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bookmarkStart w:id="0" w:name="_MON_992683204"/>
      <w:bookmarkStart w:id="1" w:name="_MON_1114341510"/>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212686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pPr>
            <w:r>
              <w:t xml:space="preserve">Distr.  </w:t>
            </w:r>
            <w:r>
              <w:br/>
            </w:r>
            <w:fldSimple w:instr=" FILLIN &quot;Distr.&quot; \* MERGEFORMAT ">
              <w:r>
                <w:t>GENERAL</w:t>
              </w:r>
            </w:fldSimple>
          </w:p>
          <w:p w:rsidR="00000000" w:rsidRDefault="00000000">
            <w:fldSimple w:instr=" FILLIN &quot;Symbol&quot; \* MERGEFORMAT ">
              <w:r>
                <w:t>CAT/C/67/Add.7</w:t>
              </w:r>
            </w:fldSimple>
            <w:r>
              <w:br/>
            </w:r>
            <w:fldSimple w:instr=" FILLIN &quot;Date&quot; \* MERGEFORMAT ">
              <w:r>
                <w:t>25 May 2005</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AGAINST TORTURE</w:t>
      </w:r>
    </w:p>
    <w:p w:rsidR="00000000" w:rsidRDefault="00000000">
      <w:pPr>
        <w:pStyle w:val="Heading1"/>
      </w:pPr>
      <w:r>
        <w:t>Consideration of reports submitted by states parties under article 19 of the Convention</w:t>
      </w:r>
    </w:p>
    <w:p w:rsidR="00000000" w:rsidRDefault="00000000">
      <w:pPr>
        <w:pStyle w:val="Heading2"/>
      </w:pPr>
      <w:r>
        <w:t>Third periodic report of States parties due in 2004</w:t>
      </w:r>
    </w:p>
    <w:p w:rsidR="00000000" w:rsidRDefault="00000000">
      <w:pPr>
        <w:pStyle w:val="Heading2"/>
      </w:pPr>
      <w:r>
        <w:t>Addendum</w:t>
      </w:r>
      <w:r>
        <w:rPr>
          <w:rStyle w:val="FootnoteReference"/>
          <w:vertAlign w:val="baseline"/>
        </w:rPr>
        <w:footnoteReference w:customMarkFollows="1" w:id="2"/>
        <w:t>*</w:t>
      </w:r>
      <w:r>
        <w:t xml:space="preserve"> </w:t>
      </w:r>
      <w:r>
        <w:rPr>
          <w:rStyle w:val="FootnoteReference"/>
          <w:vertAlign w:val="baseline"/>
        </w:rPr>
        <w:footnoteReference w:customMarkFollows="1" w:id="3"/>
        <w:t>**</w:t>
      </w:r>
    </w:p>
    <w:p w:rsidR="00000000" w:rsidRDefault="00000000">
      <w:pPr>
        <w:pStyle w:val="Heading1"/>
      </w:pPr>
      <w:r>
        <w:t>Australia</w:t>
      </w:r>
    </w:p>
    <w:p w:rsidR="00000000" w:rsidRDefault="00000000">
      <w:pPr>
        <w:jc w:val="right"/>
      </w:pPr>
      <w:r>
        <w:t xml:space="preserve"> [7 April 2005]</w:t>
      </w:r>
    </w:p>
    <w:p w:rsidR="00000000" w:rsidRDefault="00000000">
      <w:pPr>
        <w:pStyle w:val="FootnoteText"/>
        <w:jc w:val="center"/>
      </w:pPr>
      <w:r>
        <w:br w:type="page"/>
      </w:r>
      <w:r>
        <w:rPr>
          <w:b/>
        </w:rPr>
        <w:t>CONTENTS</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left" w:pos="720"/>
          <w:tab w:val="left" w:pos="1440"/>
          <w:tab w:val="left" w:leader="dot" w:pos="8520"/>
          <w:tab w:val="right" w:pos="9043"/>
        </w:tabs>
      </w:pPr>
      <w:r>
        <w:t xml:space="preserve">Recommendations of the Committee </w:t>
      </w:r>
      <w:r>
        <w:tab/>
      </w:r>
      <w:r>
        <w:tab/>
        <w:t>4</w:t>
      </w:r>
    </w:p>
    <w:p w:rsidR="00000000" w:rsidRDefault="00000000">
      <w:pPr>
        <w:pStyle w:val="FootnoteText"/>
        <w:tabs>
          <w:tab w:val="right" w:pos="480"/>
          <w:tab w:val="left" w:pos="1440"/>
          <w:tab w:val="left" w:leader="dot" w:pos="8520"/>
          <w:tab w:val="right" w:pos="9043"/>
        </w:tabs>
      </w:pPr>
      <w:r>
        <w:t>Abbreviations</w:t>
      </w:r>
      <w:r>
        <w:tab/>
      </w:r>
      <w:r>
        <w:tab/>
      </w:r>
      <w:r>
        <w:tab/>
        <w:t>6</w:t>
      </w:r>
    </w:p>
    <w:p w:rsidR="00000000" w:rsidRDefault="00000000">
      <w:pPr>
        <w:pStyle w:val="FootnoteText"/>
        <w:tabs>
          <w:tab w:val="left" w:pos="1200"/>
          <w:tab w:val="left" w:leader="dot" w:pos="6945"/>
          <w:tab w:val="decimal" w:pos="7654"/>
          <w:tab w:val="left" w:pos="7682"/>
          <w:tab w:val="right" w:pos="9043"/>
        </w:tabs>
      </w:pPr>
      <w:r>
        <w:t xml:space="preserve">Introduction </w:t>
      </w:r>
      <w:r>
        <w:tab/>
      </w:r>
      <w:r>
        <w:tab/>
        <w:t xml:space="preserve">1 </w:t>
      </w:r>
      <w:r>
        <w:noBreakHyphen/>
        <w:t xml:space="preserve"> 10</w:t>
      </w:r>
      <w:r>
        <w:tab/>
        <w:t>7</w:t>
      </w:r>
    </w:p>
    <w:p w:rsidR="00000000" w:rsidRDefault="00000000">
      <w:pPr>
        <w:pStyle w:val="FootnoteText"/>
        <w:tabs>
          <w:tab w:val="right" w:pos="480"/>
          <w:tab w:val="left" w:pos="720"/>
          <w:tab w:val="left" w:pos="1200"/>
          <w:tab w:val="left" w:leader="dot" w:pos="6945"/>
          <w:tab w:val="decimal" w:pos="7654"/>
          <w:tab w:val="left" w:pos="7682"/>
          <w:tab w:val="right" w:pos="9043"/>
        </w:tabs>
      </w:pPr>
      <w:r>
        <w:tab/>
        <w:t>I.</w:t>
      </w:r>
      <w:r>
        <w:tab/>
        <w:t xml:space="preserve">IMPLEMENTATION OF THE CONVENTION </w:t>
      </w:r>
      <w:r>
        <w:noBreakHyphen/>
        <w:t xml:space="preserve"> </w:t>
      </w:r>
      <w:r>
        <w:br/>
      </w:r>
      <w:r>
        <w:tab/>
      </w:r>
      <w:r>
        <w:tab/>
        <w:t xml:space="preserve">ARTICLES 1 AND 2 (1) </w:t>
      </w:r>
      <w:r>
        <w:tab/>
      </w:r>
      <w:r>
        <w:tab/>
        <w:t xml:space="preserve">11 </w:t>
      </w:r>
      <w:r>
        <w:noBreakHyphen/>
        <w:t xml:space="preserve"> 17</w:t>
      </w:r>
      <w:r>
        <w:tab/>
        <w:t>8</w:t>
      </w:r>
    </w:p>
    <w:p w:rsidR="00000000" w:rsidRDefault="00000000">
      <w:pPr>
        <w:pStyle w:val="FootnoteText"/>
        <w:tabs>
          <w:tab w:val="right" w:pos="480"/>
          <w:tab w:val="left" w:pos="720"/>
          <w:tab w:val="left" w:pos="1200"/>
          <w:tab w:val="left" w:leader="dot" w:pos="6945"/>
          <w:tab w:val="decimal" w:pos="7654"/>
          <w:tab w:val="left" w:pos="7682"/>
          <w:tab w:val="right" w:pos="9043"/>
        </w:tabs>
        <w:ind w:left="720"/>
      </w:pPr>
      <w:r>
        <w:t>1.1</w:t>
      </w:r>
      <w:r>
        <w:tab/>
        <w:t xml:space="preserve">Legal status and implementation of the Convention </w:t>
      </w:r>
      <w:r>
        <w:br/>
      </w:r>
      <w:r>
        <w:tab/>
        <w:t xml:space="preserve">in Australia </w:t>
      </w:r>
      <w:r>
        <w:tab/>
      </w:r>
      <w:r>
        <w:tab/>
        <w:t xml:space="preserve">11 </w:t>
      </w:r>
      <w:r>
        <w:noBreakHyphen/>
        <w:t xml:space="preserve"> 17</w:t>
      </w:r>
      <w:r>
        <w:tab/>
        <w:t>8</w:t>
      </w:r>
    </w:p>
    <w:p w:rsidR="00000000" w:rsidRDefault="00000000">
      <w:pPr>
        <w:pStyle w:val="FootnoteText"/>
        <w:tabs>
          <w:tab w:val="right" w:pos="480"/>
          <w:tab w:val="left" w:pos="720"/>
          <w:tab w:val="left" w:pos="1200"/>
          <w:tab w:val="left" w:leader="dot" w:pos="6945"/>
          <w:tab w:val="decimal" w:pos="7654"/>
          <w:tab w:val="left" w:pos="7682"/>
          <w:tab w:val="right" w:pos="9043"/>
        </w:tabs>
      </w:pPr>
      <w:r>
        <w:tab/>
        <w:t>II.</w:t>
      </w:r>
      <w:r>
        <w:tab/>
        <w:t>LEGALLY PUNISHABLE OFFENCES, EXPULSION, AND</w:t>
      </w:r>
      <w:r>
        <w:br/>
      </w:r>
      <w:r>
        <w:tab/>
      </w:r>
      <w:r>
        <w:tab/>
        <w:t xml:space="preserve">EXTRADITION </w:t>
      </w:r>
      <w:r>
        <w:noBreakHyphen/>
        <w:t xml:space="preserve"> ARTICLES 3, 4, 5, 6, 7, 8 AND 9 </w:t>
      </w:r>
      <w:r>
        <w:tab/>
      </w:r>
      <w:r>
        <w:tab/>
        <w:t xml:space="preserve">18 </w:t>
      </w:r>
      <w:r>
        <w:noBreakHyphen/>
        <w:t xml:space="preserve"> 46</w:t>
      </w:r>
      <w:r>
        <w:tab/>
        <w:t>9</w:t>
      </w:r>
    </w:p>
    <w:p w:rsidR="00000000" w:rsidRDefault="00000000">
      <w:pPr>
        <w:pStyle w:val="FootnoteText"/>
        <w:tabs>
          <w:tab w:val="right" w:pos="480"/>
          <w:tab w:val="left" w:pos="720"/>
          <w:tab w:val="left" w:pos="1200"/>
          <w:tab w:val="left" w:leader="dot" w:pos="6945"/>
          <w:tab w:val="decimal" w:pos="7654"/>
          <w:tab w:val="left" w:pos="7682"/>
          <w:tab w:val="right" w:pos="9043"/>
        </w:tabs>
        <w:ind w:left="720"/>
      </w:pPr>
      <w:r>
        <w:t>2.1</w:t>
      </w:r>
      <w:r>
        <w:tab/>
        <w:t xml:space="preserve">Jurisdiction of the Government of Australia </w:t>
      </w:r>
      <w:r>
        <w:tab/>
      </w:r>
      <w:r>
        <w:tab/>
        <w:t xml:space="preserve">18 </w:t>
      </w:r>
      <w:r>
        <w:noBreakHyphen/>
        <w:t xml:space="preserve"> 20</w:t>
      </w:r>
      <w:r>
        <w:tab/>
        <w:t>9</w:t>
      </w:r>
    </w:p>
    <w:p w:rsidR="00000000" w:rsidRDefault="00000000">
      <w:pPr>
        <w:pStyle w:val="FootnoteText"/>
        <w:tabs>
          <w:tab w:val="right" w:pos="480"/>
          <w:tab w:val="left" w:pos="720"/>
          <w:tab w:val="left" w:pos="1200"/>
          <w:tab w:val="left" w:leader="dot" w:pos="6945"/>
          <w:tab w:val="decimal" w:pos="7654"/>
          <w:tab w:val="left" w:pos="7682"/>
          <w:tab w:val="right" w:pos="9043"/>
        </w:tabs>
        <w:ind w:left="720"/>
      </w:pPr>
      <w:r>
        <w:t>2.2</w:t>
      </w:r>
      <w:r>
        <w:tab/>
        <w:t xml:space="preserve">Domestic criminal offences </w:t>
      </w:r>
      <w:r>
        <w:tab/>
      </w:r>
      <w:r>
        <w:tab/>
        <w:t xml:space="preserve">21 </w:t>
      </w:r>
      <w:r>
        <w:noBreakHyphen/>
        <w:t xml:space="preserve"> 29</w:t>
      </w:r>
      <w:r>
        <w:tab/>
        <w:t>10</w:t>
      </w:r>
    </w:p>
    <w:p w:rsidR="00000000" w:rsidRDefault="00000000">
      <w:pPr>
        <w:pStyle w:val="FootnoteText"/>
        <w:tabs>
          <w:tab w:val="right" w:pos="480"/>
          <w:tab w:val="left" w:pos="720"/>
          <w:tab w:val="left" w:pos="1200"/>
          <w:tab w:val="left" w:leader="dot" w:pos="6945"/>
          <w:tab w:val="decimal" w:pos="7654"/>
          <w:tab w:val="left" w:pos="7682"/>
          <w:tab w:val="right" w:pos="9043"/>
        </w:tabs>
        <w:ind w:left="720"/>
      </w:pPr>
      <w:r>
        <w:t>2.3</w:t>
      </w:r>
      <w:r>
        <w:tab/>
        <w:t xml:space="preserve">Refoulement, expulsion and extradition </w:t>
      </w:r>
      <w:r>
        <w:tab/>
      </w:r>
      <w:r>
        <w:tab/>
        <w:t xml:space="preserve">30 </w:t>
      </w:r>
      <w:r>
        <w:noBreakHyphen/>
        <w:t xml:space="preserve"> 41</w:t>
      </w:r>
      <w:r>
        <w:tab/>
        <w:t>11</w:t>
      </w:r>
    </w:p>
    <w:p w:rsidR="00000000" w:rsidRDefault="00000000">
      <w:pPr>
        <w:pStyle w:val="FootnoteText"/>
        <w:tabs>
          <w:tab w:val="right" w:pos="480"/>
          <w:tab w:val="left" w:pos="720"/>
          <w:tab w:val="left" w:pos="1200"/>
          <w:tab w:val="left" w:leader="dot" w:pos="6945"/>
          <w:tab w:val="decimal" w:pos="7654"/>
          <w:tab w:val="left" w:pos="7682"/>
          <w:tab w:val="right" w:pos="9043"/>
        </w:tabs>
        <w:ind w:left="720"/>
      </w:pPr>
      <w:r>
        <w:t>2.4</w:t>
      </w:r>
      <w:r>
        <w:tab/>
        <w:t xml:space="preserve">Human rights communications </w:t>
      </w:r>
      <w:r>
        <w:tab/>
      </w:r>
      <w:r>
        <w:tab/>
        <w:t xml:space="preserve">42 </w:t>
      </w:r>
      <w:r>
        <w:noBreakHyphen/>
        <w:t xml:space="preserve"> 46</w:t>
      </w:r>
      <w:r>
        <w:tab/>
        <w:t>13</w:t>
      </w:r>
    </w:p>
    <w:p w:rsidR="00000000" w:rsidRDefault="00000000">
      <w:pPr>
        <w:pStyle w:val="FootnoteText"/>
        <w:tabs>
          <w:tab w:val="right" w:pos="480"/>
          <w:tab w:val="left" w:pos="720"/>
          <w:tab w:val="left" w:pos="1200"/>
          <w:tab w:val="left" w:leader="dot" w:pos="6945"/>
          <w:tab w:val="decimal" w:pos="7654"/>
          <w:tab w:val="left" w:pos="7682"/>
          <w:tab w:val="right" w:pos="9043"/>
        </w:tabs>
      </w:pPr>
      <w:r>
        <w:tab/>
        <w:t>III.</w:t>
      </w:r>
      <w:r>
        <w:tab/>
        <w:t>EDUCATION, TRAINING, REVIEW AND OTHER</w:t>
      </w:r>
      <w:r>
        <w:br/>
      </w:r>
      <w:r>
        <w:tab/>
      </w:r>
      <w:r>
        <w:tab/>
        <w:t xml:space="preserve">PREVENTATIVE MEASURES </w:t>
      </w:r>
      <w:r>
        <w:noBreakHyphen/>
        <w:t xml:space="preserve"> ARTICLES 10, 11 </w:t>
      </w:r>
      <w:r>
        <w:br/>
      </w:r>
      <w:r>
        <w:tab/>
      </w:r>
      <w:r>
        <w:tab/>
        <w:t xml:space="preserve">AND 16 (1) </w:t>
      </w:r>
      <w:r>
        <w:tab/>
      </w:r>
      <w:r>
        <w:tab/>
        <w:t xml:space="preserve">47 </w:t>
      </w:r>
      <w:r>
        <w:noBreakHyphen/>
        <w:t xml:space="preserve"> 74</w:t>
      </w:r>
      <w:r>
        <w:tab/>
        <w:t>14</w:t>
      </w:r>
    </w:p>
    <w:p w:rsidR="00000000" w:rsidRDefault="00000000">
      <w:pPr>
        <w:pStyle w:val="FootnoteText"/>
        <w:tabs>
          <w:tab w:val="left" w:pos="480"/>
          <w:tab w:val="left" w:pos="720"/>
          <w:tab w:val="left" w:pos="1200"/>
          <w:tab w:val="left" w:leader="dot" w:pos="6945"/>
          <w:tab w:val="decimal" w:pos="7654"/>
          <w:tab w:val="left" w:pos="7682"/>
          <w:tab w:val="right" w:pos="9043"/>
        </w:tabs>
        <w:ind w:left="480"/>
      </w:pPr>
      <w:r>
        <w:tab/>
        <w:t>3.1</w:t>
      </w:r>
      <w:r>
        <w:tab/>
        <w:t xml:space="preserve">Preventative measures </w:t>
      </w:r>
      <w:r>
        <w:tab/>
      </w:r>
      <w:r>
        <w:tab/>
        <w:t xml:space="preserve">47 </w:t>
      </w:r>
      <w:r>
        <w:noBreakHyphen/>
        <w:t xml:space="preserve"> 64</w:t>
      </w:r>
      <w:r>
        <w:tab/>
        <w:t>14</w:t>
      </w:r>
    </w:p>
    <w:p w:rsidR="00000000" w:rsidRDefault="00000000">
      <w:pPr>
        <w:pStyle w:val="FootnoteText"/>
        <w:tabs>
          <w:tab w:val="left" w:pos="480"/>
          <w:tab w:val="left" w:pos="720"/>
          <w:tab w:val="left" w:pos="1200"/>
          <w:tab w:val="left" w:leader="dot" w:pos="6945"/>
          <w:tab w:val="decimal" w:pos="7654"/>
          <w:tab w:val="left" w:pos="7682"/>
          <w:tab w:val="right" w:pos="9043"/>
        </w:tabs>
        <w:ind w:left="480"/>
      </w:pPr>
      <w:r>
        <w:tab/>
        <w:t>3.2</w:t>
      </w:r>
      <w:r>
        <w:tab/>
        <w:t xml:space="preserve">Indigenous peoples and criminal justice </w:t>
      </w:r>
      <w:r>
        <w:tab/>
      </w:r>
      <w:r>
        <w:tab/>
        <w:t xml:space="preserve">65 </w:t>
      </w:r>
      <w:r>
        <w:noBreakHyphen/>
        <w:t xml:space="preserve"> 66</w:t>
      </w:r>
      <w:r>
        <w:tab/>
        <w:t>17</w:t>
      </w:r>
    </w:p>
    <w:p w:rsidR="00000000" w:rsidRDefault="00000000">
      <w:pPr>
        <w:pStyle w:val="FootnoteText"/>
        <w:tabs>
          <w:tab w:val="left" w:pos="480"/>
          <w:tab w:val="left" w:pos="720"/>
          <w:tab w:val="left" w:pos="1200"/>
          <w:tab w:val="left" w:leader="dot" w:pos="6945"/>
          <w:tab w:val="decimal" w:pos="7654"/>
          <w:tab w:val="left" w:pos="7682"/>
          <w:tab w:val="right" w:pos="9043"/>
        </w:tabs>
        <w:ind w:left="480"/>
      </w:pPr>
      <w:r>
        <w:tab/>
        <w:t>3.3</w:t>
      </w:r>
      <w:r>
        <w:tab/>
        <w:t xml:space="preserve">Mandatory sentencing provisions </w:t>
      </w:r>
      <w:r>
        <w:tab/>
      </w:r>
      <w:r>
        <w:tab/>
        <w:t xml:space="preserve">67 </w:t>
      </w:r>
      <w:r>
        <w:noBreakHyphen/>
        <w:t xml:space="preserve"> 71</w:t>
      </w:r>
      <w:r>
        <w:tab/>
        <w:t>17</w:t>
      </w:r>
    </w:p>
    <w:p w:rsidR="00000000" w:rsidRDefault="00000000">
      <w:pPr>
        <w:pStyle w:val="FootnoteText"/>
        <w:tabs>
          <w:tab w:val="left" w:pos="480"/>
          <w:tab w:val="left" w:pos="720"/>
          <w:tab w:val="left" w:pos="1200"/>
          <w:tab w:val="left" w:leader="dot" w:pos="6945"/>
          <w:tab w:val="decimal" w:pos="7654"/>
          <w:tab w:val="left" w:pos="7682"/>
          <w:tab w:val="right" w:pos="9043"/>
        </w:tabs>
        <w:ind w:left="480"/>
      </w:pPr>
      <w:r>
        <w:tab/>
        <w:t>3.4</w:t>
      </w:r>
      <w:r>
        <w:tab/>
        <w:t xml:space="preserve">Efforts to reduce overcrowding in prisons </w:t>
      </w:r>
      <w:r>
        <w:tab/>
      </w:r>
      <w:r>
        <w:tab/>
        <w:t xml:space="preserve">72 </w:t>
      </w:r>
      <w:r>
        <w:noBreakHyphen/>
        <w:t xml:space="preserve"> 74</w:t>
      </w:r>
      <w:r>
        <w:tab/>
        <w:t>18</w:t>
      </w:r>
    </w:p>
    <w:p w:rsidR="00000000" w:rsidRDefault="00000000">
      <w:pPr>
        <w:pStyle w:val="FootnoteText"/>
        <w:tabs>
          <w:tab w:val="right" w:pos="480"/>
          <w:tab w:val="left" w:pos="720"/>
          <w:tab w:val="left" w:pos="1200"/>
          <w:tab w:val="left" w:leader="dot" w:pos="6945"/>
          <w:tab w:val="decimal" w:pos="7654"/>
          <w:tab w:val="left" w:pos="7682"/>
          <w:tab w:val="right" w:pos="9043"/>
        </w:tabs>
      </w:pPr>
      <w:r>
        <w:tab/>
        <w:t>IV.</w:t>
      </w:r>
      <w:r>
        <w:tab/>
        <w:t xml:space="preserve">THE RIGHT TO PROCEDURAL GUARANTEES </w:t>
      </w:r>
      <w:r>
        <w:noBreakHyphen/>
      </w:r>
      <w:r>
        <w:br/>
      </w:r>
      <w:r>
        <w:tab/>
      </w:r>
      <w:r>
        <w:tab/>
        <w:t xml:space="preserve">ARTICLES 12, 13, 14, 15 AND 16 </w:t>
      </w:r>
      <w:r>
        <w:tab/>
      </w:r>
      <w:r>
        <w:tab/>
      </w:r>
      <w:r>
        <w:tab/>
        <w:t>75</w:t>
      </w:r>
      <w:r>
        <w:tab/>
        <w:t>19</w:t>
      </w:r>
    </w:p>
    <w:p w:rsidR="00000000" w:rsidRDefault="00000000">
      <w:pPr>
        <w:pStyle w:val="FootnoteText"/>
        <w:tabs>
          <w:tab w:val="left" w:pos="480"/>
          <w:tab w:val="left" w:pos="720"/>
          <w:tab w:val="left" w:pos="1200"/>
          <w:tab w:val="left" w:leader="dot" w:pos="6945"/>
          <w:tab w:val="decimal" w:pos="7654"/>
          <w:tab w:val="left" w:pos="7682"/>
          <w:tab w:val="right" w:pos="9043"/>
        </w:tabs>
        <w:ind w:left="480"/>
      </w:pPr>
      <w:r>
        <w:tab/>
        <w:t>4.1</w:t>
      </w:r>
      <w:r>
        <w:tab/>
        <w:t xml:space="preserve">Investigation and complaints mechanisms </w:t>
      </w:r>
      <w:r>
        <w:tab/>
      </w:r>
      <w:r>
        <w:tab/>
        <w:t xml:space="preserve">75 </w:t>
      </w:r>
      <w:r>
        <w:noBreakHyphen/>
        <w:t xml:space="preserve"> 80</w:t>
      </w:r>
      <w:r>
        <w:tab/>
        <w:t>19</w:t>
      </w:r>
    </w:p>
    <w:p w:rsidR="00000000" w:rsidRDefault="00000000">
      <w:pPr>
        <w:pStyle w:val="FootnoteText"/>
        <w:tabs>
          <w:tab w:val="left" w:pos="480"/>
          <w:tab w:val="left" w:pos="720"/>
          <w:tab w:val="left" w:pos="1200"/>
          <w:tab w:val="left" w:leader="dot" w:pos="6945"/>
          <w:tab w:val="decimal" w:pos="7654"/>
          <w:tab w:val="left" w:pos="7682"/>
          <w:tab w:val="right" w:pos="9043"/>
        </w:tabs>
        <w:ind w:left="480"/>
      </w:pPr>
      <w:r>
        <w:tab/>
        <w:t>4.2</w:t>
      </w:r>
      <w:r>
        <w:tab/>
        <w:t xml:space="preserve">Protection of complainants </w:t>
      </w:r>
      <w:r>
        <w:tab/>
      </w:r>
      <w:r>
        <w:tab/>
        <w:t xml:space="preserve">81 </w:t>
      </w:r>
      <w:r>
        <w:noBreakHyphen/>
        <w:t xml:space="preserve"> 85</w:t>
      </w:r>
      <w:r>
        <w:tab/>
        <w:t>20</w:t>
      </w:r>
    </w:p>
    <w:p w:rsidR="00000000" w:rsidRDefault="00000000">
      <w:pPr>
        <w:pStyle w:val="FootnoteText"/>
        <w:tabs>
          <w:tab w:val="left" w:pos="480"/>
          <w:tab w:val="left" w:pos="720"/>
          <w:tab w:val="left" w:pos="1200"/>
          <w:tab w:val="left" w:leader="dot" w:pos="6945"/>
          <w:tab w:val="decimal" w:pos="7654"/>
          <w:tab w:val="left" w:pos="7682"/>
          <w:tab w:val="right" w:pos="9043"/>
        </w:tabs>
        <w:ind w:left="480"/>
      </w:pPr>
      <w:r>
        <w:tab/>
        <w:t>4.3</w:t>
      </w:r>
      <w:r>
        <w:tab/>
        <w:t>Sample of investigations and complaints in the</w:t>
      </w:r>
      <w:r>
        <w:br/>
      </w:r>
      <w:r>
        <w:tab/>
      </w:r>
      <w:r>
        <w:tab/>
        <w:t xml:space="preserve">reporting period </w:t>
      </w:r>
      <w:r>
        <w:tab/>
      </w:r>
      <w:r>
        <w:tab/>
        <w:t xml:space="preserve">86 </w:t>
      </w:r>
      <w:r>
        <w:noBreakHyphen/>
        <w:t xml:space="preserve"> 100</w:t>
      </w:r>
      <w:r>
        <w:tab/>
        <w:t>21</w:t>
      </w:r>
    </w:p>
    <w:p w:rsidR="00000000" w:rsidRDefault="00000000">
      <w:pPr>
        <w:pStyle w:val="FootnoteText"/>
        <w:tabs>
          <w:tab w:val="left" w:pos="480"/>
          <w:tab w:val="left" w:pos="720"/>
          <w:tab w:val="left" w:pos="1200"/>
          <w:tab w:val="left" w:leader="dot" w:pos="6945"/>
          <w:tab w:val="decimal" w:pos="7654"/>
          <w:tab w:val="left" w:pos="7682"/>
          <w:tab w:val="right" w:pos="9043"/>
        </w:tabs>
        <w:jc w:val="center"/>
      </w:pPr>
      <w:r>
        <w:rPr>
          <w:b/>
        </w:rPr>
        <w:br w:type="page"/>
        <w:t>CONTENTS (</w:t>
      </w:r>
      <w:r>
        <w:rPr>
          <w:b/>
          <w:i/>
          <w:iCs/>
        </w:rPr>
        <w:t>continued</w:t>
      </w:r>
      <w:r>
        <w:rPr>
          <w:b/>
        </w:rPr>
        <w:t>)</w:t>
      </w:r>
    </w:p>
    <w:p w:rsidR="00000000" w:rsidRDefault="00000000">
      <w:pPr>
        <w:pStyle w:val="FootnoteText"/>
      </w:pPr>
      <w:r>
        <w:tab/>
      </w:r>
      <w:r>
        <w:tab/>
      </w:r>
      <w:r>
        <w:tab/>
      </w:r>
      <w:r>
        <w:tab/>
      </w:r>
      <w:r>
        <w:tab/>
      </w:r>
      <w:r>
        <w:tab/>
      </w:r>
      <w:r>
        <w:tab/>
      </w:r>
      <w:r>
        <w:tab/>
      </w:r>
      <w:r>
        <w:tab/>
      </w:r>
      <w:r>
        <w:tab/>
      </w:r>
      <w:r>
        <w:rPr>
          <w:i/>
        </w:rPr>
        <w:t>Paragraphs</w:t>
      </w:r>
      <w:r>
        <w:tab/>
      </w:r>
      <w:r>
        <w:rPr>
          <w:i/>
        </w:rPr>
        <w:t>Page</w:t>
      </w:r>
    </w:p>
    <w:p w:rsidR="00000000" w:rsidRDefault="00000000">
      <w:pPr>
        <w:pStyle w:val="FootnoteText"/>
        <w:tabs>
          <w:tab w:val="left" w:pos="480"/>
          <w:tab w:val="left" w:pos="720"/>
          <w:tab w:val="left" w:pos="1200"/>
          <w:tab w:val="left" w:leader="dot" w:pos="6945"/>
          <w:tab w:val="decimal" w:pos="7654"/>
          <w:tab w:val="left" w:pos="7682"/>
          <w:tab w:val="right" w:pos="9043"/>
        </w:tabs>
        <w:ind w:left="480"/>
      </w:pPr>
      <w:r>
        <w:tab/>
        <w:t>4.4</w:t>
      </w:r>
      <w:r>
        <w:tab/>
        <w:t>Medical and psychological rehabilitation after acts of</w:t>
      </w:r>
      <w:r>
        <w:br/>
      </w:r>
      <w:r>
        <w:tab/>
      </w:r>
      <w:r>
        <w:tab/>
        <w:t xml:space="preserve">torture or other cruel, inhuman or degrading treatment </w:t>
      </w:r>
      <w:r>
        <w:br/>
      </w:r>
      <w:r>
        <w:tab/>
      </w:r>
      <w:r>
        <w:tab/>
        <w:t xml:space="preserve">or punishment </w:t>
      </w:r>
      <w:r>
        <w:tab/>
      </w:r>
      <w:r>
        <w:tab/>
        <w:t xml:space="preserve">101 </w:t>
      </w:r>
      <w:r>
        <w:noBreakHyphen/>
        <w:t xml:space="preserve"> 103</w:t>
      </w:r>
      <w:r>
        <w:tab/>
        <w:t>23</w:t>
      </w:r>
    </w:p>
    <w:p w:rsidR="00000000" w:rsidRDefault="00000000">
      <w:pPr>
        <w:pStyle w:val="Heading4"/>
        <w:rPr>
          <w:iCs/>
        </w:rPr>
      </w:pPr>
      <w:r>
        <w:rPr>
          <w:iCs/>
        </w:rPr>
        <w:t>Appendices and tables</w:t>
      </w:r>
    </w:p>
    <w:p w:rsidR="00000000" w:rsidRDefault="00000000">
      <w:pPr>
        <w:pStyle w:val="FootnoteText"/>
        <w:tabs>
          <w:tab w:val="left" w:pos="720"/>
          <w:tab w:val="left" w:pos="2040"/>
          <w:tab w:val="left" w:leader="dot" w:pos="8520"/>
          <w:tab w:val="right" w:pos="9043"/>
        </w:tabs>
      </w:pPr>
      <w:r>
        <w:tab/>
        <w:t>Appendix I.</w:t>
      </w:r>
      <w:r>
        <w:tab/>
        <w:t xml:space="preserve">Offences and penalties </w:t>
      </w:r>
      <w:r>
        <w:tab/>
      </w:r>
      <w:r>
        <w:tab/>
      </w:r>
      <w:bookmarkStart w:id="2" w:name="_Toc77672853"/>
      <w:bookmarkStart w:id="3" w:name="_Toc79216214"/>
      <w:bookmarkStart w:id="4" w:name="_Toc79216807"/>
      <w:bookmarkStart w:id="5" w:name="_Toc79291340"/>
      <w:bookmarkStart w:id="6" w:name="_Toc79296075"/>
      <w:bookmarkStart w:id="7" w:name="_Toc83782159"/>
      <w:bookmarkStart w:id="8" w:name="_Toc83800972"/>
      <w:bookmarkStart w:id="9" w:name="_Toc84318893"/>
      <w:bookmarkStart w:id="10" w:name="_Toc94087512"/>
      <w:r>
        <w:t>28</w:t>
      </w:r>
    </w:p>
    <w:p w:rsidR="00000000" w:rsidRDefault="00000000">
      <w:pPr>
        <w:pStyle w:val="FootnoteText"/>
        <w:tabs>
          <w:tab w:val="left" w:pos="720"/>
          <w:tab w:val="left" w:pos="2040"/>
          <w:tab w:val="left" w:leader="dot" w:pos="8520"/>
          <w:tab w:val="right" w:pos="9043"/>
        </w:tabs>
      </w:pPr>
      <w:r>
        <w:tab/>
        <w:t>Appendix II.</w:t>
      </w:r>
      <w:r>
        <w:tab/>
        <w:t xml:space="preserve">Administrative review of public officer conduct </w:t>
      </w:r>
      <w:r>
        <w:tab/>
      </w:r>
      <w:r>
        <w:tab/>
        <w:t>45</w:t>
      </w:r>
    </w:p>
    <w:p w:rsidR="00000000" w:rsidRDefault="00000000">
      <w:pPr>
        <w:pStyle w:val="FootnoteText"/>
        <w:tabs>
          <w:tab w:val="left" w:pos="720"/>
          <w:tab w:val="left" w:pos="2040"/>
          <w:tab w:val="left" w:leader="dot" w:pos="8520"/>
          <w:tab w:val="right" w:pos="9043"/>
        </w:tabs>
      </w:pPr>
      <w:r>
        <w:tab/>
        <w:t>Table 1.</w:t>
      </w:r>
      <w:r>
        <w:tab/>
        <w:t xml:space="preserve">Legislation relevant to Australia’s obligations </w:t>
      </w:r>
      <w:r>
        <w:br/>
      </w:r>
      <w:r>
        <w:tab/>
      </w:r>
      <w:r>
        <w:tab/>
        <w:t xml:space="preserve">under the Convention </w:t>
      </w:r>
      <w:r>
        <w:tab/>
      </w:r>
      <w:r>
        <w:tab/>
        <w:t>51</w:t>
      </w:r>
    </w:p>
    <w:p w:rsidR="00000000" w:rsidRDefault="00000000">
      <w:pPr>
        <w:pStyle w:val="FootnoteText"/>
        <w:tabs>
          <w:tab w:val="left" w:pos="720"/>
          <w:tab w:val="left" w:pos="2040"/>
          <w:tab w:val="left" w:leader="dot" w:pos="8520"/>
          <w:tab w:val="right" w:pos="9043"/>
        </w:tabs>
      </w:pPr>
      <w:r>
        <w:tab/>
        <w:t>Table 2.</w:t>
      </w:r>
      <w:r>
        <w:tab/>
        <w:t xml:space="preserve">Statutory compensation schemes </w:t>
      </w:r>
      <w:r>
        <w:tab/>
      </w:r>
      <w:r>
        <w:tab/>
        <w:t>54</w:t>
      </w:r>
    </w:p>
    <w:p w:rsidR="00000000" w:rsidRDefault="00000000">
      <w:pPr>
        <w:pStyle w:val="FootnoteText"/>
        <w:tabs>
          <w:tab w:val="left" w:pos="720"/>
          <w:tab w:val="left" w:pos="2040"/>
          <w:tab w:val="left" w:leader="dot" w:pos="8520"/>
          <w:tab w:val="right" w:pos="9043"/>
        </w:tabs>
      </w:pPr>
      <w:r>
        <w:tab/>
        <w:t>Table 3.</w:t>
      </w:r>
      <w:r>
        <w:tab/>
        <w:t xml:space="preserve">Bilateral extradition arrangements with States parties </w:t>
      </w:r>
      <w:r>
        <w:br/>
      </w:r>
      <w:r>
        <w:tab/>
      </w:r>
      <w:r>
        <w:tab/>
        <w:t xml:space="preserve">to the Convention </w:t>
      </w:r>
      <w:r>
        <w:tab/>
      </w:r>
      <w:r>
        <w:tab/>
        <w:t>55</w:t>
      </w:r>
    </w:p>
    <w:p w:rsidR="00000000" w:rsidRDefault="00000000">
      <w:pPr>
        <w:pStyle w:val="FootnoteText"/>
        <w:tabs>
          <w:tab w:val="left" w:pos="720"/>
          <w:tab w:val="left" w:pos="2040"/>
          <w:tab w:val="left" w:leader="dot" w:pos="8520"/>
          <w:tab w:val="right" w:pos="9043"/>
        </w:tabs>
      </w:pPr>
      <w:r>
        <w:rPr>
          <w:i/>
          <w:iCs/>
        </w:rPr>
        <w:t>List of annexes</w:t>
      </w:r>
      <w:r>
        <w:rPr>
          <w:i/>
          <w:iCs/>
        </w:rPr>
        <w:tab/>
      </w:r>
      <w:r>
        <w:rPr>
          <w:i/>
          <w:iCs/>
        </w:rPr>
        <w:tab/>
      </w:r>
      <w:r>
        <w:tab/>
        <w:t>56</w:t>
      </w:r>
    </w:p>
    <w:p w:rsidR="00000000" w:rsidRDefault="00000000">
      <w:pPr>
        <w:pStyle w:val="Heading2"/>
      </w:pPr>
      <w:r>
        <w:br w:type="page"/>
      </w:r>
      <w:bookmarkStart w:id="11" w:name="_Toc83782160"/>
      <w:bookmarkStart w:id="12" w:name="_Toc83800973"/>
      <w:bookmarkStart w:id="13" w:name="_Toc84318894"/>
      <w:bookmarkStart w:id="14" w:name="_Toc94087513"/>
      <w:bookmarkEnd w:id="2"/>
      <w:bookmarkEnd w:id="3"/>
      <w:bookmarkEnd w:id="4"/>
      <w:bookmarkEnd w:id="5"/>
      <w:bookmarkEnd w:id="6"/>
      <w:bookmarkEnd w:id="7"/>
      <w:bookmarkEnd w:id="8"/>
      <w:bookmarkEnd w:id="9"/>
      <w:bookmarkEnd w:id="10"/>
      <w:r>
        <w:t>Recommendations of the Committee</w:t>
      </w:r>
      <w:bookmarkEnd w:id="11"/>
      <w:bookmarkEnd w:id="12"/>
      <w:bookmarkEnd w:id="13"/>
      <w:bookmarkEnd w:id="14"/>
    </w:p>
    <w:p w:rsidR="00000000" w:rsidRDefault="00000000">
      <w:r>
        <w:tab/>
        <w:t xml:space="preserve">The recommendations of the Committee against Torture, made in response to Australia’s Combined Second and Third Report under the </w:t>
      </w:r>
      <w:r>
        <w:rPr>
          <w:iCs/>
        </w:rPr>
        <w:t xml:space="preserve">Convention against Torture and Other Cruel, Inhuman or Degrading Treatment or Punishment </w:t>
      </w:r>
      <w:r>
        <w:t>at its twenty</w:t>
      </w:r>
      <w:r>
        <w:noBreakHyphen/>
        <w:t>fifth session in November 2000, are addressed as follows:</w:t>
      </w:r>
    </w:p>
    <w:p w:rsidR="00000000" w:rsidRDefault="00000000">
      <w:pPr>
        <w:pStyle w:val="Heading3"/>
      </w:pPr>
      <w:r>
        <w:t>Recommendation (a)</w:t>
      </w:r>
    </w:p>
    <w:p w:rsidR="00000000" w:rsidRDefault="00000000">
      <w:pPr>
        <w:tabs>
          <w:tab w:val="left" w:leader="dot" w:pos="7920"/>
        </w:tabs>
        <w:rPr>
          <w:bCs/>
          <w:i/>
        </w:rPr>
      </w:pPr>
      <w:r>
        <w:rPr>
          <w:iCs/>
        </w:rPr>
        <w:t xml:space="preserve">The State party ensure that all States and Territories are at all times in </w:t>
      </w:r>
      <w:r>
        <w:rPr>
          <w:iCs/>
        </w:rPr>
        <w:br/>
        <w:t xml:space="preserve">compliance with its obligations under the Convention </w:t>
      </w:r>
      <w:r>
        <w:rPr>
          <w:iCs/>
        </w:rPr>
        <w:tab/>
        <w:t xml:space="preserve"> </w:t>
      </w:r>
      <w:r>
        <w:rPr>
          <w:bCs/>
        </w:rPr>
        <w:t>paragraph 11</w:t>
      </w:r>
    </w:p>
    <w:p w:rsidR="00000000" w:rsidRDefault="00000000">
      <w:pPr>
        <w:pStyle w:val="Heading3"/>
      </w:pPr>
      <w:r>
        <w:t>Recommendation (b)</w:t>
      </w:r>
    </w:p>
    <w:p w:rsidR="00000000" w:rsidRDefault="00000000">
      <w:pPr>
        <w:tabs>
          <w:tab w:val="left" w:leader="dot" w:pos="7920"/>
        </w:tabs>
        <w:rPr>
          <w:bCs/>
          <w:i/>
        </w:rPr>
      </w:pPr>
      <w:r>
        <w:rPr>
          <w:iCs/>
        </w:rPr>
        <w:t xml:space="preserve">The State party consider the desirability of providing a mechanism for </w:t>
      </w:r>
      <w:r>
        <w:rPr>
          <w:iCs/>
        </w:rPr>
        <w:br/>
        <w:t xml:space="preserve">independent review of ministerial decisions in respect of cases coming </w:t>
      </w:r>
      <w:r>
        <w:rPr>
          <w:iCs/>
        </w:rPr>
        <w:br/>
        <w:t xml:space="preserve">under article 3 of the Convention </w:t>
      </w:r>
      <w:r>
        <w:rPr>
          <w:iCs/>
        </w:rPr>
        <w:tab/>
        <w:t xml:space="preserve"> </w:t>
      </w:r>
      <w:r>
        <w:rPr>
          <w:bCs/>
        </w:rPr>
        <w:t>paragraph 30</w:t>
      </w:r>
    </w:p>
    <w:p w:rsidR="00000000" w:rsidRDefault="00000000">
      <w:pPr>
        <w:pStyle w:val="Heading3"/>
      </w:pPr>
      <w:r>
        <w:t>Recommendation (c)</w:t>
      </w:r>
    </w:p>
    <w:p w:rsidR="00000000" w:rsidRDefault="00000000">
      <w:pPr>
        <w:tabs>
          <w:tab w:val="left" w:leader="dot" w:pos="7920"/>
        </w:tabs>
        <w:rPr>
          <w:iCs/>
        </w:rPr>
      </w:pPr>
      <w:r>
        <w:rPr>
          <w:iCs/>
        </w:rPr>
        <w:t xml:space="preserve">The State party continue its education and information efforts for law </w:t>
      </w:r>
      <w:r>
        <w:rPr>
          <w:iCs/>
        </w:rPr>
        <w:br/>
        <w:t xml:space="preserve">enforcement personnel regarding the prohibition against torture and </w:t>
      </w:r>
      <w:r>
        <w:rPr>
          <w:iCs/>
        </w:rPr>
        <w:br/>
        <w:t xml:space="preserve">further improve its efforts in training, especially of police, prison officers </w:t>
      </w:r>
      <w:r>
        <w:rPr>
          <w:iCs/>
        </w:rPr>
        <w:br/>
        <w:t xml:space="preserve">and prison medical personnel </w:t>
      </w:r>
      <w:r>
        <w:rPr>
          <w:iCs/>
        </w:rPr>
        <w:tab/>
        <w:t xml:space="preserve"> paragraph 47</w:t>
      </w:r>
    </w:p>
    <w:p w:rsidR="00000000" w:rsidRDefault="00000000">
      <w:pPr>
        <w:pStyle w:val="Heading3"/>
      </w:pPr>
      <w:r>
        <w:t>Recommendation (d)</w:t>
      </w:r>
    </w:p>
    <w:p w:rsidR="00000000" w:rsidRDefault="00000000">
      <w:pPr>
        <w:tabs>
          <w:tab w:val="left" w:leader="dot" w:pos="7920"/>
        </w:tabs>
        <w:rPr>
          <w:iCs/>
        </w:rPr>
      </w:pPr>
      <w:r>
        <w:rPr>
          <w:iCs/>
        </w:rPr>
        <w:t>The State party keep under constant review the use of instruments of restraint</w:t>
      </w:r>
      <w:r>
        <w:rPr>
          <w:iCs/>
        </w:rPr>
        <w:br/>
        <w:t>that may cause unnecessary pain and humiliation, and ensure that their use is</w:t>
      </w:r>
      <w:r>
        <w:rPr>
          <w:iCs/>
        </w:rPr>
        <w:br/>
        <w:t xml:space="preserve">appropriately recorded </w:t>
      </w:r>
      <w:r>
        <w:rPr>
          <w:iCs/>
        </w:rPr>
        <w:tab/>
        <w:t xml:space="preserve"> paragraph 47</w:t>
      </w:r>
    </w:p>
    <w:p w:rsidR="00000000" w:rsidRDefault="00000000">
      <w:pPr>
        <w:pStyle w:val="Heading3"/>
      </w:pPr>
      <w:r>
        <w:t>Recommendation (e)</w:t>
      </w:r>
    </w:p>
    <w:p w:rsidR="00000000" w:rsidRDefault="00000000">
      <w:pPr>
        <w:tabs>
          <w:tab w:val="left" w:leader="dot" w:pos="7920"/>
        </w:tabs>
        <w:rPr>
          <w:iCs/>
        </w:rPr>
      </w:pPr>
      <w:r>
        <w:rPr>
          <w:iCs/>
        </w:rPr>
        <w:t>The State party ensure that complainants are protected against intimidation and</w:t>
      </w:r>
      <w:r>
        <w:rPr>
          <w:iCs/>
        </w:rPr>
        <w:br/>
        <w:t xml:space="preserve">adverse consequences as a result of their complaint </w:t>
      </w:r>
      <w:r>
        <w:rPr>
          <w:iCs/>
        </w:rPr>
        <w:tab/>
        <w:t xml:space="preserve"> paragraph 81</w:t>
      </w:r>
    </w:p>
    <w:p w:rsidR="00000000" w:rsidRDefault="00000000">
      <w:pPr>
        <w:pStyle w:val="Heading3"/>
      </w:pPr>
      <w:r>
        <w:t>Recommendation (f)</w:t>
      </w:r>
    </w:p>
    <w:p w:rsidR="00000000" w:rsidRDefault="00000000">
      <w:pPr>
        <w:tabs>
          <w:tab w:val="left" w:leader="dot" w:pos="7920"/>
        </w:tabs>
        <w:rPr>
          <w:iCs/>
        </w:rPr>
      </w:pPr>
      <w:r>
        <w:rPr>
          <w:iCs/>
        </w:rPr>
        <w:t xml:space="preserve">The State party continue its efforts to reduce overcrowding in prisons </w:t>
      </w:r>
      <w:r>
        <w:rPr>
          <w:iCs/>
        </w:rPr>
        <w:tab/>
        <w:t xml:space="preserve"> paragraph 72</w:t>
      </w:r>
    </w:p>
    <w:p w:rsidR="00000000" w:rsidRDefault="00000000">
      <w:pPr>
        <w:pStyle w:val="Heading3"/>
      </w:pPr>
      <w:r>
        <w:t>Recommendation (g)</w:t>
      </w:r>
    </w:p>
    <w:p w:rsidR="00000000" w:rsidRDefault="00000000">
      <w:pPr>
        <w:tabs>
          <w:tab w:val="left" w:leader="dot" w:pos="7920"/>
        </w:tabs>
        <w:rPr>
          <w:iCs/>
        </w:rPr>
      </w:pPr>
      <w:r>
        <w:rPr>
          <w:iCs/>
        </w:rPr>
        <w:t>The State party continue its efforts to address the socio</w:t>
      </w:r>
      <w:r>
        <w:rPr>
          <w:iCs/>
        </w:rPr>
        <w:noBreakHyphen/>
        <w:t xml:space="preserve">economic disadvantage </w:t>
      </w:r>
      <w:r>
        <w:rPr>
          <w:iCs/>
        </w:rPr>
        <w:br/>
        <w:t xml:space="preserve">that, inter alia, leads to a disproportionate number of indigenous Australians </w:t>
      </w:r>
      <w:r>
        <w:rPr>
          <w:iCs/>
        </w:rPr>
        <w:br/>
        <w:t xml:space="preserve">coming into contact with the criminal justice system </w:t>
      </w:r>
      <w:r>
        <w:rPr>
          <w:iCs/>
        </w:rPr>
        <w:tab/>
        <w:t xml:space="preserve"> paragraph 65</w:t>
      </w:r>
    </w:p>
    <w:p w:rsidR="00000000" w:rsidRDefault="00000000">
      <w:pPr>
        <w:pStyle w:val="Heading3"/>
      </w:pPr>
      <w:r>
        <w:t>Recommendation (h)</w:t>
      </w:r>
    </w:p>
    <w:p w:rsidR="00000000" w:rsidRDefault="00000000">
      <w:pPr>
        <w:tabs>
          <w:tab w:val="left" w:leader="dot" w:pos="7920"/>
        </w:tabs>
        <w:rPr>
          <w:iCs/>
        </w:rPr>
      </w:pPr>
      <w:r>
        <w:rPr>
          <w:iCs/>
        </w:rPr>
        <w:t xml:space="preserve">The State party keep under careful review legislation imposing mandatory </w:t>
      </w:r>
      <w:r>
        <w:rPr>
          <w:iCs/>
        </w:rPr>
        <w:br/>
        <w:t xml:space="preserve">minimum sentences, to ensure that it does not raise questions of compliance </w:t>
      </w:r>
      <w:r>
        <w:rPr>
          <w:iCs/>
        </w:rPr>
        <w:br/>
        <w:t xml:space="preserve">with its international obligations under the Convention and other relevant </w:t>
      </w:r>
      <w:r>
        <w:rPr>
          <w:iCs/>
        </w:rPr>
        <w:br/>
        <w:t xml:space="preserve">international instruments, particularly with regard to the possible adverse </w:t>
      </w:r>
      <w:r>
        <w:rPr>
          <w:iCs/>
        </w:rPr>
        <w:br/>
        <w:t xml:space="preserve">effect upon disadvantaged groups </w:t>
      </w:r>
      <w:r>
        <w:rPr>
          <w:iCs/>
        </w:rPr>
        <w:tab/>
        <w:t xml:space="preserve"> paragraph 67</w:t>
      </w:r>
    </w:p>
    <w:p w:rsidR="00000000" w:rsidRDefault="00000000">
      <w:pPr>
        <w:pStyle w:val="Heading3"/>
      </w:pPr>
      <w:r>
        <w:t>Recommendation (i)</w:t>
      </w:r>
    </w:p>
    <w:p w:rsidR="00000000" w:rsidRDefault="00000000">
      <w:pPr>
        <w:tabs>
          <w:tab w:val="left" w:leader="dot" w:pos="7920"/>
        </w:tabs>
        <w:rPr>
          <w:iCs/>
        </w:rPr>
      </w:pPr>
      <w:r>
        <w:rPr>
          <w:iCs/>
        </w:rPr>
        <w:t xml:space="preserve">The State party submit its next periodic report by November 2004, and </w:t>
      </w:r>
      <w:r>
        <w:rPr>
          <w:iCs/>
        </w:rPr>
        <w:br/>
        <w:t xml:space="preserve">ensure that it contains information on the implementation of the present </w:t>
      </w:r>
      <w:r>
        <w:rPr>
          <w:iCs/>
        </w:rPr>
        <w:br/>
        <w:t xml:space="preserve">recommendations and disaggregated statistics </w:t>
      </w:r>
      <w:r>
        <w:rPr>
          <w:iCs/>
        </w:rPr>
        <w:tab/>
        <w:t xml:space="preserve"> paragraph 1</w:t>
      </w:r>
    </w:p>
    <w:p w:rsidR="00000000" w:rsidRDefault="00000000">
      <w:pPr>
        <w:pStyle w:val="Heading2"/>
      </w:pPr>
      <w:bookmarkStart w:id="15" w:name="_Toc77672854"/>
      <w:bookmarkStart w:id="16" w:name="_Toc79216215"/>
      <w:bookmarkStart w:id="17" w:name="_Toc79216809"/>
      <w:bookmarkStart w:id="18" w:name="_Toc79291341"/>
      <w:bookmarkStart w:id="19" w:name="_Toc79296076"/>
      <w:bookmarkStart w:id="20" w:name="_Toc83782161"/>
      <w:bookmarkStart w:id="21" w:name="_Toc83800974"/>
      <w:bookmarkStart w:id="22" w:name="_Toc84318895"/>
      <w:bookmarkStart w:id="23" w:name="_Toc94087514"/>
      <w:r>
        <w:br w:type="page"/>
        <w:t>Abbreviations</w:t>
      </w:r>
      <w:bookmarkEnd w:id="23"/>
    </w:p>
    <w:p w:rsidR="00000000" w:rsidRDefault="00000000">
      <w:r>
        <w:t>AAT</w:t>
      </w:r>
      <w:r>
        <w:tab/>
      </w:r>
      <w:r>
        <w:tab/>
      </w:r>
      <w:r>
        <w:tab/>
        <w:t>Administrative Appeals Tribunal</w:t>
      </w:r>
    </w:p>
    <w:p w:rsidR="00000000" w:rsidRDefault="00000000">
      <w:r>
        <w:t>ACT</w:t>
      </w:r>
      <w:r>
        <w:tab/>
      </w:r>
      <w:r>
        <w:tab/>
      </w:r>
      <w:r>
        <w:tab/>
        <w:t>Australian Capital Territory</w:t>
      </w:r>
    </w:p>
    <w:p w:rsidR="00000000" w:rsidRDefault="00000000">
      <w:r>
        <w:t>ADF</w:t>
      </w:r>
      <w:r>
        <w:tab/>
      </w:r>
      <w:r>
        <w:tab/>
      </w:r>
      <w:r>
        <w:tab/>
        <w:t>Australian Defence Force</w:t>
      </w:r>
    </w:p>
    <w:p w:rsidR="00000000" w:rsidRDefault="00000000">
      <w:r>
        <w:t>APMC</w:t>
      </w:r>
      <w:r>
        <w:tab/>
      </w:r>
      <w:r>
        <w:tab/>
      </w:r>
      <w:r>
        <w:tab/>
        <w:t>Australasian Police Ministers’ Council</w:t>
      </w:r>
    </w:p>
    <w:p w:rsidR="00000000" w:rsidRDefault="00000000">
      <w:r>
        <w:t>ASIO</w:t>
      </w:r>
      <w:r>
        <w:tab/>
      </w:r>
      <w:r>
        <w:tab/>
      </w:r>
      <w:r>
        <w:tab/>
        <w:t>Australian Security Intelligence Organisation</w:t>
      </w:r>
    </w:p>
    <w:p w:rsidR="00000000" w:rsidRDefault="00000000">
      <w:r>
        <w:t>COAG</w:t>
      </w:r>
      <w:r>
        <w:tab/>
      </w:r>
      <w:r>
        <w:tab/>
      </w:r>
      <w:r>
        <w:tab/>
        <w:t>Council of Australian Governments</w:t>
      </w:r>
    </w:p>
    <w:p w:rsidR="00000000" w:rsidRDefault="00000000">
      <w:r>
        <w:t>CRC</w:t>
      </w:r>
      <w:r>
        <w:tab/>
      </w:r>
      <w:r>
        <w:tab/>
      </w:r>
      <w:r>
        <w:tab/>
        <w:t xml:space="preserve">Convention on the Rights of the Child </w:t>
      </w:r>
    </w:p>
    <w:p w:rsidR="00000000" w:rsidRDefault="00000000">
      <w:r>
        <w:t>DIMIA</w:t>
      </w:r>
      <w:r>
        <w:tab/>
      </w:r>
      <w:r>
        <w:tab/>
      </w:r>
      <w:r>
        <w:tab/>
        <w:t>Department of Immigration and Multicultural and Indigenous Affairs</w:t>
      </w:r>
    </w:p>
    <w:p w:rsidR="00000000" w:rsidRDefault="00000000">
      <w:r>
        <w:t>FGM</w:t>
      </w:r>
      <w:r>
        <w:tab/>
      </w:r>
      <w:r>
        <w:tab/>
      </w:r>
      <w:r>
        <w:tab/>
        <w:t>Female Genital Mutilation</w:t>
      </w:r>
    </w:p>
    <w:p w:rsidR="00000000" w:rsidRDefault="00000000">
      <w:r>
        <w:t>FMC</w:t>
      </w:r>
      <w:r>
        <w:tab/>
      </w:r>
      <w:r>
        <w:tab/>
      </w:r>
      <w:r>
        <w:tab/>
        <w:t>Federal Magistrates Court</w:t>
      </w:r>
    </w:p>
    <w:p w:rsidR="00000000" w:rsidRDefault="00000000">
      <w:r>
        <w:t>HREOC</w:t>
      </w:r>
      <w:r>
        <w:tab/>
      </w:r>
      <w:r>
        <w:tab/>
        <w:t>Human Rights and Equal Opportunity Commission</w:t>
      </w:r>
    </w:p>
    <w:p w:rsidR="00000000" w:rsidRDefault="00000000">
      <w:r>
        <w:t>ICCPR</w:t>
      </w:r>
      <w:r>
        <w:tab/>
      </w:r>
      <w:r>
        <w:tab/>
      </w:r>
      <w:r>
        <w:tab/>
        <w:t>International Covenant on Civil and Political Rights</w:t>
      </w:r>
    </w:p>
    <w:p w:rsidR="00000000" w:rsidRDefault="00000000">
      <w:r>
        <w:t>IGADF</w:t>
      </w:r>
      <w:r>
        <w:tab/>
      </w:r>
      <w:r>
        <w:tab/>
        <w:t>Inspector</w:t>
      </w:r>
      <w:r>
        <w:noBreakHyphen/>
        <w:t>General, Australian Defence Force</w:t>
      </w:r>
    </w:p>
    <w:p w:rsidR="00000000" w:rsidRDefault="00000000">
      <w:r>
        <w:t>IGIS</w:t>
      </w:r>
      <w:r>
        <w:tab/>
      </w:r>
      <w:r>
        <w:tab/>
      </w:r>
      <w:r>
        <w:tab/>
        <w:t>Inspector</w:t>
      </w:r>
      <w:r>
        <w:noBreakHyphen/>
        <w:t>General of Intelligence and Security</w:t>
      </w:r>
    </w:p>
    <w:p w:rsidR="00000000" w:rsidRDefault="00000000">
      <w:r>
        <w:t>JSCOT</w:t>
      </w:r>
      <w:r>
        <w:tab/>
      </w:r>
      <w:r>
        <w:tab/>
      </w:r>
      <w:r>
        <w:tab/>
        <w:t>Joint Standing Committee on Treaties</w:t>
      </w:r>
    </w:p>
    <w:p w:rsidR="00000000" w:rsidRDefault="00000000">
      <w:r>
        <w:t>NGO</w:t>
      </w:r>
      <w:r>
        <w:tab/>
      </w:r>
      <w:r>
        <w:tab/>
      </w:r>
      <w:r>
        <w:tab/>
        <w:t>Non</w:t>
      </w:r>
      <w:r>
        <w:noBreakHyphen/>
        <w:t>Government Organisation</w:t>
      </w:r>
    </w:p>
    <w:p w:rsidR="00000000" w:rsidRDefault="00000000">
      <w:r>
        <w:t>3 RAR</w:t>
      </w:r>
      <w:r>
        <w:tab/>
      </w:r>
      <w:r>
        <w:tab/>
      </w:r>
      <w:r>
        <w:tab/>
        <w:t>Third Battalion Royal Australian Regiment</w:t>
      </w:r>
    </w:p>
    <w:p w:rsidR="00000000" w:rsidRDefault="00000000">
      <w:r>
        <w:t>IDS</w:t>
      </w:r>
      <w:r>
        <w:tab/>
      </w:r>
      <w:r>
        <w:tab/>
      </w:r>
      <w:r>
        <w:tab/>
        <w:t>Immigration Detention Standards</w:t>
      </w:r>
    </w:p>
    <w:p w:rsidR="00000000" w:rsidRDefault="00000000">
      <w:r>
        <w:t>RRT</w:t>
      </w:r>
      <w:r>
        <w:tab/>
      </w:r>
      <w:r>
        <w:tab/>
      </w:r>
      <w:r>
        <w:tab/>
        <w:t>Refugee Review Tribunal</w:t>
      </w:r>
      <w:bookmarkStart w:id="24" w:name="_Toc94087515"/>
    </w:p>
    <w:p w:rsidR="00000000" w:rsidRDefault="00000000">
      <w:pPr>
        <w:pStyle w:val="Heading2"/>
      </w:pPr>
      <w:r>
        <w:br w:type="page"/>
        <w:t>Introduction</w:t>
      </w:r>
      <w:bookmarkEnd w:id="15"/>
      <w:bookmarkEnd w:id="16"/>
      <w:bookmarkEnd w:id="17"/>
      <w:bookmarkEnd w:id="18"/>
      <w:bookmarkEnd w:id="19"/>
      <w:bookmarkEnd w:id="20"/>
      <w:bookmarkEnd w:id="21"/>
      <w:bookmarkEnd w:id="22"/>
      <w:bookmarkEnd w:id="24"/>
    </w:p>
    <w:p w:rsidR="00000000" w:rsidRDefault="00000000">
      <w:pPr>
        <w:pStyle w:val="Heading3"/>
      </w:pPr>
      <w:bookmarkStart w:id="25" w:name="_Toc77672855"/>
      <w:bookmarkStart w:id="26" w:name="_Toc79216216"/>
      <w:bookmarkStart w:id="27" w:name="_Toc79216810"/>
      <w:bookmarkStart w:id="28" w:name="_Toc79291342"/>
      <w:bookmarkStart w:id="29" w:name="_Toc79296077"/>
      <w:bookmarkStart w:id="30" w:name="_Toc83782162"/>
      <w:bookmarkStart w:id="31" w:name="_Toc83800975"/>
      <w:bookmarkStart w:id="32" w:name="_Toc84318896"/>
      <w:bookmarkStart w:id="33" w:name="_Toc94087516"/>
      <w:r>
        <w:t>Preparation and structure of the report</w:t>
      </w:r>
      <w:bookmarkEnd w:id="25"/>
      <w:bookmarkEnd w:id="26"/>
      <w:bookmarkEnd w:id="27"/>
      <w:bookmarkEnd w:id="28"/>
      <w:bookmarkEnd w:id="29"/>
      <w:bookmarkEnd w:id="30"/>
      <w:bookmarkEnd w:id="31"/>
      <w:bookmarkEnd w:id="32"/>
      <w:bookmarkEnd w:id="33"/>
    </w:p>
    <w:p w:rsidR="00000000" w:rsidRDefault="00000000">
      <w:r>
        <w:t>1.</w:t>
      </w:r>
      <w:r>
        <w:tab/>
        <w:t xml:space="preserve">The Australian Government is pleased to present to the Committee against Torture (Committee) Australia’s Fourth Report under the </w:t>
      </w:r>
      <w:r>
        <w:rPr>
          <w:i/>
        </w:rPr>
        <w:t xml:space="preserve">Convention against Torture and Other Cruel, Inhuman or Degrading Treatment or Punishment </w:t>
      </w:r>
      <w:r>
        <w:t>(Convention or Convention against Torture) in accordance with article 19 of the Convention.  Australia ratified the Convention on 8 August 1989.  The Convention came into force for Australia on 7 September 1989.</w:t>
      </w:r>
    </w:p>
    <w:p w:rsidR="00000000" w:rsidRDefault="00000000">
      <w:r>
        <w:t>2.</w:t>
      </w:r>
      <w:r>
        <w:tab/>
        <w:t xml:space="preserve">This report demonstrates that Australia takes its obligations under the Convention seriously and continues to progressively implement, monitor and enforce mechanisms to proscribe and prevent acts of torture and other cruel, inhuman or degrading treatment or punishment in all Australian jurisdictions.  Australia strongly supports international action against torture and deplores such behaviour wherever and whenever it occurs. </w:t>
      </w:r>
    </w:p>
    <w:p w:rsidR="00000000" w:rsidRDefault="00000000">
      <w:r>
        <w:t>3.</w:t>
      </w:r>
      <w:r>
        <w:tab/>
        <w:t>Australia’s Fourth Report under the Convention covers the period from 30 June 1997</w:t>
      </w:r>
      <w:r>
        <w:noBreakHyphen/>
        <w:t>29 October 2004.  The report includes information on major or significant developments in law and practice relevant to Australia’s obligations under the Convention.  It also addresses the issues raised by the Committee in response to Australia’s</w:t>
      </w:r>
      <w:r>
        <w:rPr>
          <w:i/>
        </w:rPr>
        <w:t xml:space="preserve"> </w:t>
      </w:r>
      <w:r>
        <w:t>Second and Third Report under the Convention</w:t>
      </w:r>
      <w:r>
        <w:rPr>
          <w:i/>
        </w:rPr>
        <w:t xml:space="preserve"> </w:t>
      </w:r>
      <w:r>
        <w:t>(Australia’s Second and Third Report) in its twenty</w:t>
      </w:r>
      <w:r>
        <w:noBreakHyphen/>
        <w:t xml:space="preserve">fifth session in November 2000. </w:t>
      </w:r>
    </w:p>
    <w:p w:rsidR="00000000" w:rsidRDefault="00000000">
      <w:r>
        <w:t>4.</w:t>
      </w:r>
      <w:r>
        <w:tab/>
        <w:t>This report supplements and should be read in conjunction with Australia’s previous reports under the Convention</w:t>
      </w:r>
      <w:r>
        <w:rPr>
          <w:rStyle w:val="EndnoteReference"/>
        </w:rPr>
        <w:endnoteReference w:id="2"/>
      </w:r>
      <w:r>
        <w:t xml:space="preserve"> and Australia’s Core Document.</w:t>
      </w:r>
      <w:r>
        <w:rPr>
          <w:rStyle w:val="EndnoteReference"/>
        </w:rPr>
        <w:endnoteReference w:id="3"/>
      </w:r>
      <w:r>
        <w:t xml:space="preserve">  Together, these documents outline the legislative, judicial, administrative and other measures in Australia which give effect to Australia’s obligations under the Convention.  For the most part, these measures remain substantially unchanged in this reporting round.  Thus, where particular articles are not addressed in this report, the Committee is referred to Australia’s previous reports, particularly the Second and Third Report, for up to date information.</w:t>
      </w:r>
    </w:p>
    <w:p w:rsidR="00000000" w:rsidRDefault="00000000">
      <w:r>
        <w:t>5.</w:t>
      </w:r>
      <w:r>
        <w:tab/>
        <w:t xml:space="preserve">Australia’s Fourth Report has been prepared with reference to the Committee’s Guidelines for the submission of periodic reports.  Where appropriate, overlapping articles have been grouped together and information provided accordingly.  The Committee’s recommendations in response to Australia’s Second and Third Report are addressed throughout the report where relevant, rather than in a separate Part. </w:t>
      </w:r>
    </w:p>
    <w:p w:rsidR="00000000" w:rsidRDefault="00000000">
      <w:r>
        <w:t>6.</w:t>
      </w:r>
      <w:r>
        <w:tab/>
        <w:t xml:space="preserve">To avoid adding to the burden on the secretariat resources of the Committee, the Government has not attached all documents referred to in the report.  Where appropriate, internet addresses are provided rather than hardcopy materials.  The Government will provide further information where the Committee so requests when considering the report.  </w:t>
      </w:r>
    </w:p>
    <w:p w:rsidR="00000000" w:rsidRDefault="00000000">
      <w:pPr>
        <w:pStyle w:val="Heading3"/>
      </w:pPr>
      <w:bookmarkStart w:id="34" w:name="_Toc77672856"/>
      <w:bookmarkStart w:id="35" w:name="_Toc79216217"/>
      <w:bookmarkStart w:id="36" w:name="_Toc79216811"/>
      <w:bookmarkStart w:id="37" w:name="_Toc79291343"/>
      <w:bookmarkStart w:id="38" w:name="_Toc79296078"/>
      <w:bookmarkStart w:id="39" w:name="_Toc83782163"/>
      <w:bookmarkStart w:id="40" w:name="_Toc83800976"/>
      <w:bookmarkStart w:id="41" w:name="_Toc84318897"/>
      <w:bookmarkStart w:id="42" w:name="_Toc94087517"/>
      <w:r>
        <w:t>Consultation with stakeholders</w:t>
      </w:r>
      <w:bookmarkEnd w:id="35"/>
      <w:bookmarkEnd w:id="36"/>
      <w:bookmarkEnd w:id="37"/>
      <w:bookmarkEnd w:id="38"/>
      <w:bookmarkEnd w:id="39"/>
      <w:bookmarkEnd w:id="40"/>
      <w:bookmarkEnd w:id="41"/>
      <w:bookmarkEnd w:id="42"/>
    </w:p>
    <w:p w:rsidR="00000000" w:rsidRDefault="00000000">
      <w:r>
        <w:t>7.</w:t>
      </w:r>
      <w:r>
        <w:tab/>
        <w:t>The Government consulted widely in preparing this report and is grateful to those stakeholders who provided input for their assistance and comments.  These comments were taken into consideration in the preparation of the report.</w:t>
      </w:r>
    </w:p>
    <w:p w:rsidR="00000000" w:rsidRDefault="00000000">
      <w:pPr>
        <w:pStyle w:val="Heading3"/>
      </w:pPr>
      <w:r>
        <w:t>Consultation with State and Territory Governments</w:t>
      </w:r>
      <w:bookmarkEnd w:id="34"/>
    </w:p>
    <w:p w:rsidR="00000000" w:rsidRDefault="00000000">
      <w:pPr>
        <w:rPr>
          <w:iCs/>
        </w:rPr>
      </w:pPr>
      <w:r>
        <w:rPr>
          <w:iCs/>
        </w:rPr>
        <w:t>8.</w:t>
      </w:r>
      <w:r>
        <w:rPr>
          <w:iCs/>
        </w:rPr>
        <w:tab/>
        <w:t xml:space="preserve">Australia has a federal constitutional system in which legislative, executive and judicial powers are shared or distributed between the Federal Government and those of the six States </w:t>
      </w:r>
      <w:r>
        <w:rPr>
          <w:iCs/>
        </w:rPr>
        <w:noBreakHyphen/>
        <w:t xml:space="preserve"> New South Wales, Victoria, Queensland, Western Australia, South Australia and Tasmania </w:t>
      </w:r>
      <w:r>
        <w:rPr>
          <w:iCs/>
        </w:rPr>
        <w:noBreakHyphen/>
        <w:t xml:space="preserve"> and two internal self</w:t>
      </w:r>
      <w:r>
        <w:rPr>
          <w:iCs/>
        </w:rPr>
        <w:noBreakHyphen/>
        <w:t xml:space="preserve">governing territories </w:t>
      </w:r>
      <w:r>
        <w:rPr>
          <w:iCs/>
        </w:rPr>
        <w:noBreakHyphen/>
        <w:t xml:space="preserve"> the Australian Capital Territory and the Northern Territory.</w:t>
      </w:r>
      <w:r>
        <w:rPr>
          <w:rStyle w:val="EndnoteReference"/>
          <w:iCs/>
        </w:rPr>
        <w:endnoteReference w:id="4"/>
      </w:r>
      <w:r>
        <w:rPr>
          <w:iCs/>
        </w:rPr>
        <w:t xml:space="preserve">  As the State and Territory Governments are responsible for many of the government activities that give effect to the Convention, the Federal Government has consulted extensively with the State and Territory Governments in preparing this report.  Where relevant, examples of significant legislative developments, programs and policies that have occurred in the States and Territories in the reporting period are included in the report. </w:t>
      </w:r>
    </w:p>
    <w:p w:rsidR="00000000" w:rsidRDefault="00000000">
      <w:pPr>
        <w:pStyle w:val="Heading3"/>
      </w:pPr>
      <w:bookmarkStart w:id="43" w:name="_Toc77672857"/>
      <w:r>
        <w:t>Consultation with non</w:t>
      </w:r>
      <w:r>
        <w:noBreakHyphen/>
        <w:t>government organisations</w:t>
      </w:r>
      <w:bookmarkEnd w:id="43"/>
    </w:p>
    <w:p w:rsidR="00000000" w:rsidRDefault="00000000">
      <w:r>
        <w:t>9.</w:t>
      </w:r>
      <w:r>
        <w:tab/>
        <w:t>The Government recognises the important role played by non</w:t>
      </w:r>
      <w:r>
        <w:noBreakHyphen/>
        <w:t>government organisations (NGOs) in promoting and implementing the rights set out in the Convention and consulted widely with relevant NGOs in the preparation of the report.  The Human Rights and Equal Opportunity Commission (HREOC), Australia’s national human rights institution, was also invited to comment.</w:t>
      </w:r>
    </w:p>
    <w:p w:rsidR="00000000" w:rsidRDefault="00000000">
      <w:r>
        <w:t>10.</w:t>
      </w:r>
      <w:r>
        <w:tab/>
        <w:t>The comments received from these stakeholders raised a range of issues relevant to Australia’s obligations under the Convention.  These issues were taken into consideration in preparing Australia’s Fourth Report.</w:t>
      </w:r>
    </w:p>
    <w:p w:rsidR="00000000" w:rsidRDefault="00000000">
      <w:pPr>
        <w:pStyle w:val="Heading2"/>
      </w:pPr>
      <w:bookmarkStart w:id="44" w:name="_Toc77672858"/>
      <w:bookmarkStart w:id="45" w:name="_Toc79216218"/>
      <w:bookmarkStart w:id="46" w:name="_Toc79216812"/>
      <w:bookmarkStart w:id="47" w:name="_Toc79291344"/>
      <w:bookmarkStart w:id="48" w:name="_Toc79296079"/>
      <w:bookmarkStart w:id="49" w:name="_Toc83782164"/>
      <w:bookmarkStart w:id="50" w:name="_Toc83800977"/>
      <w:bookmarkStart w:id="51" w:name="_Toc84318898"/>
      <w:bookmarkStart w:id="52" w:name="_Toc94087518"/>
      <w:r>
        <w:t xml:space="preserve">I.  IMPLEMENTATION OF THE CONVENTION </w:t>
      </w:r>
      <w:r>
        <w:noBreakHyphen/>
        <w:t xml:space="preserve"> ARTICLES 1 AND 2 (1)</w:t>
      </w:r>
      <w:bookmarkEnd w:id="44"/>
      <w:bookmarkEnd w:id="45"/>
      <w:bookmarkEnd w:id="46"/>
      <w:bookmarkEnd w:id="47"/>
      <w:bookmarkEnd w:id="48"/>
      <w:bookmarkEnd w:id="49"/>
      <w:bookmarkEnd w:id="50"/>
      <w:bookmarkEnd w:id="51"/>
      <w:bookmarkEnd w:id="52"/>
    </w:p>
    <w:p w:rsidR="00000000" w:rsidRDefault="00000000">
      <w:pPr>
        <w:pStyle w:val="Heading2"/>
      </w:pPr>
      <w:bookmarkStart w:id="53" w:name="_Toc79216219"/>
      <w:bookmarkStart w:id="54" w:name="_Toc79216813"/>
      <w:bookmarkStart w:id="55" w:name="_Toc79291345"/>
      <w:bookmarkStart w:id="56" w:name="_Toc79296080"/>
      <w:bookmarkStart w:id="57" w:name="_Toc83782165"/>
      <w:bookmarkStart w:id="58" w:name="_Toc83800978"/>
      <w:bookmarkStart w:id="59" w:name="_Toc84318899"/>
      <w:bookmarkStart w:id="60" w:name="_Toc94087519"/>
      <w:r>
        <w:t>1.1  Legal status and implementation of the Convention in Australia</w:t>
      </w:r>
      <w:bookmarkEnd w:id="53"/>
      <w:bookmarkEnd w:id="54"/>
      <w:bookmarkEnd w:id="55"/>
      <w:bookmarkEnd w:id="56"/>
      <w:bookmarkEnd w:id="57"/>
      <w:bookmarkEnd w:id="58"/>
      <w:bookmarkEnd w:id="59"/>
      <w:bookmarkEnd w:id="60"/>
    </w:p>
    <w:p w:rsidR="00000000" w:rsidRDefault="00000000">
      <w:r>
        <w:t>11.</w:t>
      </w:r>
      <w:r>
        <w:tab/>
        <w:t>Acts constituting torture and other cruel, inhuman or degrading treatment or punishment are a criminal offence and/or civil wrong in all Australian jurisdictions (see Appendix One).  In addition, specialist statutory authorities, such as HREOC and federal, State and Territory ombudsmen, are empowered to monitor and investigate the conduct of public officials.  Together, these mechanisms ensure that Australia is at all times in compliance with its obligations under the Convention against Torture.</w:t>
      </w:r>
      <w:r>
        <w:rPr>
          <w:rStyle w:val="EndnoteReference"/>
        </w:rPr>
        <w:endnoteReference w:id="5"/>
      </w:r>
      <w:r>
        <w:t xml:space="preserve">  </w:t>
      </w:r>
    </w:p>
    <w:p w:rsidR="00000000" w:rsidRDefault="00000000">
      <w:r>
        <w:t>12.</w:t>
      </w:r>
      <w:r>
        <w:tab/>
        <w:t>The Committee is referred to Part One of Australia’s Second and Third Report for further background information on the implementation and adoption of the Convention in Australia.</w:t>
      </w:r>
    </w:p>
    <w:p w:rsidR="00000000" w:rsidRDefault="00000000">
      <w:r>
        <w:t>13.</w:t>
      </w:r>
      <w:r>
        <w:tab/>
        <w:t xml:space="preserve">A number of developments relevant to Australia’s obligations under articles 1 and 2(1) of the Convention have occurred in the reporting period.  These include the adoption in 2004 of a statutory Bill of Rights by the Legislative Assembly of the Australian Capital Territory (ACT) and consideration by the Federal Government of Australia’s position regarding ratification of the Optional Protocol to the Convention against Torture (Optional Protocol).  </w:t>
      </w:r>
    </w:p>
    <w:p w:rsidR="00000000" w:rsidRDefault="00000000">
      <w:r>
        <w:t>14.</w:t>
      </w:r>
      <w:r>
        <w:tab/>
        <w:t xml:space="preserve">The ACT </w:t>
      </w:r>
      <w:r>
        <w:rPr>
          <w:i/>
          <w:iCs/>
        </w:rPr>
        <w:t>Human Rights Act 2004</w:t>
      </w:r>
      <w:r>
        <w:t xml:space="preserve"> incorporates the </w:t>
      </w:r>
      <w:r>
        <w:rPr>
          <w:i/>
        </w:rPr>
        <w:t>International Covenant on Civil and Political Rights</w:t>
      </w:r>
      <w:r>
        <w:t xml:space="preserve"> (ICCPR) into ACT law.  Article 7 of the ICCPR prohibits torture, cruel, inhuman or degrading treatment or punishment.</w:t>
      </w:r>
    </w:p>
    <w:p w:rsidR="00000000" w:rsidRDefault="00000000">
      <w:r>
        <w:t>15.</w:t>
      </w:r>
      <w:r>
        <w:tab/>
        <w:t>The ACT Human Rights Act requires that all ACT legislation be interpreted and applied consistently with human rights unless legislation clearly authorizes otherwise.  A human rights argument can be raised in proceedings against ACT authorities including, for example, where an agency has breached its statutory duty or its duty of care towards a detainee.  The prohibition on torture, cruel, inhuman or degrading treatment or punishment must also be taken into account when framing legislation and developing operational guidelines.  It is intended that the Human Rights Act will be interpreted and applied consistently with international law and internationally accepted standards.  The ACT judiciary and other public officials may refer to the Convention against Torture, the ICCPR and other related rules and guidelines for the purpose of interpreting the Human Rights Act</w:t>
      </w:r>
      <w:r>
        <w:rPr>
          <w:iCs/>
        </w:rPr>
        <w:t>.</w:t>
      </w:r>
    </w:p>
    <w:p w:rsidR="00000000" w:rsidRDefault="00000000">
      <w:bookmarkStart w:id="61" w:name="OLE_LINK13"/>
      <w:r>
        <w:t>16.</w:t>
      </w:r>
      <w:r>
        <w:tab/>
        <w:t>The Government is currently considering whether it will ratify the Optional Protocol to the Convention.  On 26 November 2003 the Australian Senate referred this issue to the independent Joint Standing Committee on Treaties (JSCOT), comprising 16 members of the Australian Parliament House of Representatives and Senate for inquiry and report.  After requesting and analysing written submissions, and hearing oral arguments, JSCOT issued a report in March 2004.</w:t>
      </w:r>
      <w:r>
        <w:rPr>
          <w:rStyle w:val="EndnoteReference"/>
        </w:rPr>
        <w:endnoteReference w:id="6"/>
      </w:r>
      <w:r>
        <w:t xml:space="preserve">  The report found, </w:t>
      </w:r>
      <w:r>
        <w:rPr>
          <w:i/>
        </w:rPr>
        <w:t>inter alia</w:t>
      </w:r>
      <w:r>
        <w:t>, that ‘there is no suggestion that the independent national preventative mechanisms are inadequate in Australia.  Commonwealth, State and Territory Governments all conduct education and training programs and have mechanisms to prevent torture’.</w:t>
      </w:r>
      <w:r>
        <w:rPr>
          <w:rStyle w:val="EndnoteReference"/>
        </w:rPr>
        <w:endnoteReference w:id="7"/>
      </w:r>
      <w:r>
        <w:t xml:space="preserve">  Consequently, the report recommended against the Commonwealth Government taking binding treaty action with respect to the Optional Protocol at this time.</w:t>
      </w:r>
      <w:r>
        <w:rPr>
          <w:rStyle w:val="EndnoteReference"/>
        </w:rPr>
        <w:endnoteReference w:id="8"/>
      </w:r>
    </w:p>
    <w:p w:rsidR="00000000" w:rsidRDefault="00000000">
      <w:r>
        <w:t>17.</w:t>
      </w:r>
      <w:r>
        <w:tab/>
        <w:t>The Government has not yet made a decision about whether it will ratify the Optional Protocol.  However, the Government believes that there are appropriate legislative, administrative and judicial measures to prevent acts of torture currently in place in Australia.</w:t>
      </w:r>
    </w:p>
    <w:p w:rsidR="00000000" w:rsidRDefault="00000000">
      <w:pPr>
        <w:pStyle w:val="Heading1"/>
        <w:ind w:left="2040" w:hanging="480"/>
        <w:jc w:val="left"/>
      </w:pPr>
      <w:bookmarkStart w:id="62" w:name="_Toc77672859"/>
      <w:bookmarkStart w:id="63" w:name="_Toc79216220"/>
      <w:bookmarkStart w:id="64" w:name="_Toc79216814"/>
      <w:bookmarkStart w:id="65" w:name="_Toc79291346"/>
      <w:bookmarkStart w:id="66" w:name="_Toc79296081"/>
      <w:bookmarkStart w:id="67" w:name="_Toc83782166"/>
      <w:bookmarkStart w:id="68" w:name="_Toc83800979"/>
      <w:bookmarkStart w:id="69" w:name="_Toc84318900"/>
      <w:bookmarkStart w:id="70" w:name="_Toc94087520"/>
      <w:bookmarkEnd w:id="61"/>
      <w:r>
        <w:t>II.</w:t>
      </w:r>
      <w:r>
        <w:tab/>
        <w:t>LEGALLY PUNISHABLE OFFENCES, EXPULSION AND</w:t>
      </w:r>
      <w:r>
        <w:br/>
        <w:t xml:space="preserve">EXTRADITION </w:t>
      </w:r>
      <w:r>
        <w:noBreakHyphen/>
        <w:t xml:space="preserve"> ARTICLES 3, 4, 5, 6, 7, 8 AND 9</w:t>
      </w:r>
      <w:bookmarkEnd w:id="62"/>
      <w:bookmarkEnd w:id="63"/>
      <w:bookmarkEnd w:id="64"/>
      <w:bookmarkEnd w:id="65"/>
      <w:bookmarkEnd w:id="66"/>
      <w:bookmarkEnd w:id="67"/>
      <w:bookmarkEnd w:id="68"/>
      <w:bookmarkEnd w:id="69"/>
      <w:bookmarkEnd w:id="70"/>
    </w:p>
    <w:p w:rsidR="00000000" w:rsidRDefault="00000000">
      <w:pPr>
        <w:pStyle w:val="Heading2"/>
      </w:pPr>
      <w:bookmarkStart w:id="71" w:name="_Toc403461598"/>
      <w:bookmarkStart w:id="72" w:name="_Toc405201244"/>
      <w:bookmarkStart w:id="73" w:name="_Toc405868780"/>
      <w:bookmarkStart w:id="74" w:name="_Toc406403110"/>
      <w:bookmarkStart w:id="75" w:name="_Toc428258676"/>
      <w:bookmarkStart w:id="76" w:name="_Toc438025307"/>
      <w:bookmarkStart w:id="77" w:name="_Toc438031721"/>
      <w:bookmarkStart w:id="78" w:name="_Toc438288362"/>
      <w:bookmarkStart w:id="79" w:name="_Toc438288805"/>
      <w:bookmarkStart w:id="80" w:name="_Toc438289101"/>
      <w:bookmarkStart w:id="81" w:name="_Toc438289570"/>
      <w:bookmarkStart w:id="82" w:name="_Toc438352800"/>
      <w:bookmarkStart w:id="83" w:name="_Toc445283868"/>
      <w:bookmarkStart w:id="84" w:name="_Toc445541512"/>
      <w:bookmarkStart w:id="85" w:name="_Toc445542755"/>
      <w:bookmarkStart w:id="86" w:name="_Toc445606568"/>
      <w:bookmarkStart w:id="87" w:name="_Toc445608708"/>
      <w:bookmarkStart w:id="88" w:name="_Toc445609097"/>
      <w:bookmarkStart w:id="89" w:name="_Toc445610527"/>
      <w:bookmarkStart w:id="90" w:name="_Toc445612299"/>
      <w:bookmarkStart w:id="91" w:name="_Toc445714805"/>
      <w:bookmarkStart w:id="92" w:name="_Toc77672860"/>
      <w:bookmarkStart w:id="93" w:name="_Toc79216221"/>
      <w:bookmarkStart w:id="94" w:name="_Toc79216815"/>
      <w:bookmarkStart w:id="95" w:name="_Toc79291347"/>
      <w:bookmarkStart w:id="96" w:name="_Toc79296082"/>
      <w:bookmarkStart w:id="97" w:name="_Toc83782167"/>
      <w:bookmarkStart w:id="98" w:name="_Toc83800980"/>
      <w:bookmarkStart w:id="99" w:name="_Toc84318901"/>
      <w:bookmarkStart w:id="100" w:name="_Toc94087521"/>
      <w:r>
        <w:t>2.1  Jurisdiction of the Government of Australia</w:t>
      </w:r>
      <w:bookmarkEnd w:id="92"/>
      <w:bookmarkEnd w:id="93"/>
      <w:bookmarkEnd w:id="94"/>
      <w:bookmarkEnd w:id="95"/>
      <w:bookmarkEnd w:id="96"/>
      <w:bookmarkEnd w:id="97"/>
      <w:bookmarkEnd w:id="98"/>
      <w:bookmarkEnd w:id="99"/>
      <w:bookmarkEnd w:id="100"/>
    </w:p>
    <w:p w:rsidR="00000000" w:rsidRDefault="00000000">
      <w:r>
        <w:t>18.</w:t>
      </w:r>
      <w:r>
        <w:tab/>
        <w:t>As noted in Australia’s Second and Third Report, Australia generally exercises jurisdiction in relation to all people within its territory, whether nationals or non</w:t>
      </w:r>
      <w:r>
        <w:noBreakHyphen/>
        <w:t xml:space="preserve">nationals, including permanent and temporary residents and visitors.  </w:t>
      </w:r>
    </w:p>
    <w:p w:rsidR="00000000" w:rsidRDefault="00000000">
      <w:r>
        <w:t>19.</w:t>
      </w:r>
      <w:r>
        <w:tab/>
        <w:t xml:space="preserve">The </w:t>
      </w:r>
      <w:r>
        <w:rPr>
          <w:i/>
        </w:rPr>
        <w:t>Crimes at Sea Act 1979</w:t>
      </w:r>
      <w:r>
        <w:t xml:space="preserve">, referred to in Australia’s previous report, has been replaced by the </w:t>
      </w:r>
      <w:r>
        <w:rPr>
          <w:i/>
        </w:rPr>
        <w:t>Crimes at Sea Act 2000</w:t>
      </w:r>
      <w:r>
        <w:t xml:space="preserve">.  Like its predecessor, this Act extends Australia’s criminal jurisdiction offshore.  The </w:t>
      </w:r>
      <w:r>
        <w:rPr>
          <w:i/>
        </w:rPr>
        <w:t>Crimes (Aviation) Act 1991</w:t>
      </w:r>
      <w:r>
        <w:t xml:space="preserve"> performs a similar function with regard to crimes committed on an Australian aircraft.  Together with corresponding State and Territory legislation, these instruments fulfil Australia’s obligations under article 5 of the Convention.  Finally, a person present in Australia who has committed a crime of torture outside Australia would be liable to prosecution under the </w:t>
      </w:r>
      <w:r>
        <w:rPr>
          <w:i/>
        </w:rPr>
        <w:t>Crimes (Torture) Act 1988</w:t>
      </w:r>
      <w:r>
        <w:t>.</w:t>
      </w:r>
    </w:p>
    <w:p w:rsidR="00000000" w:rsidRDefault="00000000">
      <w:r>
        <w:t>20.</w:t>
      </w:r>
      <w:r>
        <w:tab/>
        <w:t>The Committee is referred to paragraph 45 of Australia’s Second and Third Report for further information.</w:t>
      </w:r>
    </w:p>
    <w:p w:rsidR="00000000" w:rsidRDefault="00000000">
      <w:pPr>
        <w:pStyle w:val="Heading2"/>
      </w:pPr>
      <w:bookmarkStart w:id="101" w:name="_Toc77672861"/>
      <w:bookmarkStart w:id="102" w:name="_Toc79216222"/>
      <w:bookmarkStart w:id="103" w:name="_Toc79216816"/>
      <w:bookmarkStart w:id="104" w:name="_Toc79291348"/>
      <w:bookmarkStart w:id="105" w:name="_Toc79296083"/>
      <w:bookmarkStart w:id="106" w:name="_Toc83782168"/>
      <w:bookmarkStart w:id="107" w:name="_Toc83800981"/>
      <w:bookmarkStart w:id="108" w:name="_Toc84318902"/>
      <w:bookmarkStart w:id="109" w:name="_Toc94087522"/>
      <w:r>
        <w:t>2.2  Domestic criminal offences</w:t>
      </w:r>
      <w:bookmarkEnd w:id="101"/>
      <w:bookmarkEnd w:id="102"/>
      <w:bookmarkEnd w:id="103"/>
      <w:bookmarkEnd w:id="104"/>
      <w:bookmarkEnd w:id="105"/>
      <w:bookmarkEnd w:id="106"/>
      <w:bookmarkEnd w:id="107"/>
      <w:bookmarkEnd w:id="108"/>
      <w:bookmarkEnd w:id="109"/>
    </w:p>
    <w:p w:rsidR="00000000" w:rsidRDefault="00000000">
      <w:r>
        <w:t>21.</w:t>
      </w:r>
      <w:r>
        <w:tab/>
        <w:t>Acts constituting torture which involve the infliction of physical pain and suffering committed within Australia’s jurisdiction are offences under Australia’s criminal law.  Acts constituting cruel, inhuman or degrading treatment or punishment are also offences under Australian law.  Appendix One provides an updated list of the relevant criminal provisions and penalties in federal, State and Territory law.  Table 1 provides an updated list of other relevant legislation and delegated legislation relevant to Australia’s obligations under articles 4, 5 and 16 of the Convention.  The Committee is also referred to paragraphs 46</w:t>
      </w:r>
      <w:r>
        <w:noBreakHyphen/>
        <w:t xml:space="preserve">49 of Australia’s Second and Third Report. </w:t>
      </w:r>
    </w:p>
    <w:p w:rsidR="00000000" w:rsidRDefault="00000000">
      <w:pPr>
        <w:pStyle w:val="Heading3"/>
      </w:pPr>
      <w:r>
        <w:t>National Model Criminal Code</w:t>
      </w:r>
    </w:p>
    <w:p w:rsidR="00000000" w:rsidRDefault="00000000">
      <w:r>
        <w:t>22.</w:t>
      </w:r>
      <w:r>
        <w:tab/>
        <w:t xml:space="preserve">In the reporting period important progress was made in implementing the Model Criminal Code for all Australian jurisdictions: </w:t>
      </w:r>
    </w:p>
    <w:p w:rsidR="00000000" w:rsidRDefault="00000000">
      <w:pPr>
        <w:pStyle w:val="Heading4"/>
      </w:pPr>
      <w:r>
        <w:t>Female genital mutilation</w:t>
      </w:r>
    </w:p>
    <w:p w:rsidR="00000000" w:rsidRDefault="00000000">
      <w:pPr>
        <w:numPr>
          <w:ilvl w:val="0"/>
          <w:numId w:val="136"/>
        </w:numPr>
      </w:pPr>
      <w:r>
        <w:t>Specific offences against the person targeting female genital mutilation (FGM) have been enacted in every jurisdiction in Australia.  In most jurisdictions, it is now also an offence to remove a child from the jurisdiction in which they reside for the purpose of performing FGM.  Education and awareness raising campaigns aimed at reducing the occurrence of FGM are also being conducted throughout Australia.</w:t>
      </w:r>
      <w:r>
        <w:rPr>
          <w:rStyle w:val="EndnoteReference"/>
        </w:rPr>
        <w:endnoteReference w:id="9"/>
      </w:r>
      <w:r>
        <w:t xml:space="preserve">  </w:t>
      </w:r>
    </w:p>
    <w:p w:rsidR="00000000" w:rsidRDefault="00000000">
      <w:pPr>
        <w:pStyle w:val="Heading4"/>
      </w:pPr>
      <w:r>
        <w:t>Torture</w:t>
      </w:r>
    </w:p>
    <w:p w:rsidR="00000000" w:rsidRDefault="00000000">
      <w:pPr>
        <w:numPr>
          <w:ilvl w:val="0"/>
          <w:numId w:val="136"/>
        </w:numPr>
      </w:pPr>
      <w:bookmarkStart w:id="110" w:name="OLE_LINK2"/>
      <w:r>
        <w:t xml:space="preserve">In 2000 the federal Criminal Code was updated to include a suite of offences against the person.  Division 71 of the Code creates offences against the United Nations and Associated Personnel and gives effect to the </w:t>
      </w:r>
      <w:r>
        <w:rPr>
          <w:i/>
        </w:rPr>
        <w:t>Convention on the Safety of United Nations and Associated Personnel</w:t>
      </w:r>
      <w:r>
        <w:t xml:space="preserve">.  For many of these offences, the use of torture is an aggravating offence.  </w:t>
      </w:r>
      <w:bookmarkEnd w:id="110"/>
    </w:p>
    <w:p w:rsidR="00000000" w:rsidRDefault="00000000">
      <w:r>
        <w:t>23.</w:t>
      </w:r>
      <w:r>
        <w:tab/>
        <w:t>Efforts to progressively implement the Model Criminal Code continue across all Australian jurisdictions.  For background information on the development and implementation of the Code the Committee is referred to paragraphs 50</w:t>
      </w:r>
      <w:r>
        <w:noBreakHyphen/>
        <w:t>51 of Australia’s Second and Third Report.</w:t>
      </w:r>
    </w:p>
    <w:p w:rsidR="00000000" w:rsidRDefault="00000000">
      <w:pPr>
        <w:pStyle w:val="Heading3"/>
      </w:pPr>
      <w:bookmarkStart w:id="111" w:name="OLE_LINK16"/>
      <w:r>
        <w:t>The Rome Statute of the International Criminal Court</w:t>
      </w:r>
    </w:p>
    <w:p w:rsidR="00000000" w:rsidRDefault="00000000">
      <w:r>
        <w:t>24.</w:t>
      </w:r>
      <w:r>
        <w:tab/>
        <w:t>Australia ratified the Rome Statute of the International Criminal Court on 1 July 2002 (Statute).  The Statute entered into force for Australia on 1 September 2002.  In June 2002 the Australian Parliament enacted legislation to facilitate Australia’s compliance with the Statute.</w:t>
      </w:r>
      <w:r>
        <w:rPr>
          <w:rStyle w:val="EndnoteReference"/>
        </w:rPr>
        <w:endnoteReference w:id="10"/>
      </w:r>
      <w:r>
        <w:t xml:space="preserve">  This legislation creates offences equivalent to the crimes of genocide, crimes against humanity and war crimes set out in the Statute and ensures the primacy of Australia’s criminal jurisdiction in relation to these crimes.</w:t>
      </w:r>
    </w:p>
    <w:p w:rsidR="00000000" w:rsidRDefault="00000000">
      <w:r>
        <w:t>25.</w:t>
      </w:r>
      <w:r>
        <w:tab/>
        <w:t xml:space="preserve">These offences have been incorporated into Division 268 of the </w:t>
      </w:r>
      <w:r>
        <w:rPr>
          <w:i/>
        </w:rPr>
        <w:t>Criminal Code Act 1995</w:t>
      </w:r>
      <w:r>
        <w:t xml:space="preserve"> with specific reference to torture and inhuman treatment where relevant.  These offences operate prospectively from 26 September 2002 and apply to conduct both within and outside Australia.  </w:t>
      </w:r>
      <w:r>
        <w:br w:type="page"/>
        <w:t>All genocide offences attract life imprisonment.  Penalties for crimes against humanity range from 17 years to life imprisonment and war crimes offences attract penalties ranging from 10 years to life imprisonment.</w:t>
      </w:r>
    </w:p>
    <w:bookmarkEnd w:id="111"/>
    <w:p w:rsidR="00000000" w:rsidRDefault="00000000">
      <w:pPr>
        <w:pStyle w:val="Heading3"/>
      </w:pPr>
      <w:r>
        <w:t>Detention and questioning of persons in relation to terrorist offences</w:t>
      </w:r>
    </w:p>
    <w:p w:rsidR="00000000" w:rsidRDefault="00000000">
      <w:r>
        <w:t>26.</w:t>
      </w:r>
      <w:r>
        <w:tab/>
        <w:t xml:space="preserve">In 2003 the </w:t>
      </w:r>
      <w:r>
        <w:rPr>
          <w:i/>
          <w:iCs/>
        </w:rPr>
        <w:t>Australian Security Intelligence Organisation Act 1979</w:t>
      </w:r>
      <w:r>
        <w:t xml:space="preserve"> (ASIO Act) was amended to prevent and deter terrorist activity by enhancing the Australian Security Intelligence Organisation’s (ASIO) intelligence gathering capabilities.</w:t>
      </w:r>
      <w:r>
        <w:rPr>
          <w:rStyle w:val="EndnoteReference"/>
        </w:rPr>
        <w:endnoteReference w:id="11"/>
      </w:r>
      <w:r>
        <w:t xml:space="preserve">  The ASIO Act now empowers ASIO to seek a warrant to question, and in limited circumstances detain, a person who may have information relevant to a terrorism offence.  </w:t>
      </w:r>
    </w:p>
    <w:p w:rsidR="00000000" w:rsidRDefault="00000000">
      <w:r>
        <w:t>27.</w:t>
      </w:r>
      <w:r>
        <w:tab/>
        <w:t>The questioning regime contains rigorous requirements that must be met in order for a warrant to be issued and strict safeguards to ensure that the new powers are exercised appropriately.  The regime is for intelligence</w:t>
      </w:r>
      <w:r>
        <w:noBreakHyphen/>
        <w:t xml:space="preserve">gathering purposes only, and does not authorise punishment of any kind of a person subject to a warrant. </w:t>
      </w:r>
    </w:p>
    <w:p w:rsidR="00000000" w:rsidRDefault="00000000">
      <w:r>
        <w:t>28.</w:t>
      </w:r>
      <w:r>
        <w:tab/>
        <w:t>Under the ASIO Act, questioning proceedings are supervised by an independent prescribed authority.  Depending on the circumstances, a prescribed authority may be a former judge of a superior court, a current judge of a Supreme or District Court of a State or Territory, or a President or Deputy President of the Administrative Appeals Tribunal (AAT).  Detention, if authorised, is supervised by a police officer.  A statement of procedures for questioning and detention is set out in the Protocol to the ASIO Act.</w:t>
      </w:r>
      <w:r>
        <w:rPr>
          <w:rStyle w:val="EndnoteReference"/>
        </w:rPr>
        <w:endnoteReference w:id="12"/>
      </w:r>
      <w:r>
        <w:t xml:space="preserve">  </w:t>
      </w:r>
    </w:p>
    <w:p w:rsidR="00000000" w:rsidRDefault="00000000">
      <w:r>
        <w:t>29.</w:t>
      </w:r>
      <w:r>
        <w:tab/>
        <w:t>Among other safeguards in the ASIO Act and in the Protocol, the subject of a warrant must be treated with humanity and with respect for human dignity, and must not be subject to cruel, inhuman or degrading treatment.  An official who fails to comply with a direction of the prescribed authority, contravenes a safeguard, or fails to afford a person their rights under the ASIO Act, commits an offence punishable by a maximum of 2 years imprisonment.  An official may also be subject to other criminal penalties.</w:t>
      </w:r>
    </w:p>
    <w:p w:rsidR="00000000" w:rsidRDefault="00000000">
      <w:pPr>
        <w:pStyle w:val="Heading2"/>
      </w:pPr>
      <w:bookmarkStart w:id="112" w:name="_Toc77672862"/>
      <w:bookmarkStart w:id="113" w:name="_Toc79216223"/>
      <w:bookmarkStart w:id="114" w:name="_Toc79216817"/>
      <w:bookmarkStart w:id="115" w:name="_Toc79291349"/>
      <w:bookmarkStart w:id="116" w:name="_Toc79296084"/>
      <w:bookmarkStart w:id="117" w:name="_Toc83782169"/>
      <w:bookmarkStart w:id="118" w:name="_Toc83800982"/>
      <w:bookmarkStart w:id="119" w:name="_Toc84318903"/>
      <w:bookmarkStart w:id="120" w:name="_Toc94087523"/>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r>
        <w:t>2.3  Refoulement, expulsion and extradition</w:t>
      </w:r>
      <w:bookmarkEnd w:id="112"/>
      <w:bookmarkEnd w:id="113"/>
      <w:bookmarkEnd w:id="114"/>
      <w:bookmarkEnd w:id="115"/>
      <w:bookmarkEnd w:id="116"/>
      <w:bookmarkEnd w:id="117"/>
      <w:bookmarkEnd w:id="118"/>
      <w:bookmarkEnd w:id="119"/>
      <w:bookmarkEnd w:id="120"/>
    </w:p>
    <w:p w:rsidR="00000000" w:rsidRDefault="00000000">
      <w:pPr>
        <w:pStyle w:val="Heading3"/>
      </w:pPr>
      <w:bookmarkStart w:id="121" w:name="OLE_LINK14"/>
      <w:r>
        <w:t>Refoulement</w:t>
      </w:r>
    </w:p>
    <w:p w:rsidR="00000000" w:rsidRDefault="00000000">
      <w:pPr>
        <w:spacing w:after="180"/>
      </w:pPr>
      <w:r>
        <w:t>30.</w:t>
      </w:r>
      <w:r>
        <w:tab/>
        <w:t>In its Concluding Observations on Australia’s Second and Third Report the Committee recommended that Australia</w:t>
      </w:r>
      <w:bookmarkStart w:id="122" w:name="OLE_LINK6"/>
      <w:r>
        <w:t xml:space="preserve"> ‘</w:t>
      </w:r>
      <w:r>
        <w:rPr>
          <w:i/>
        </w:rPr>
        <w:t>consider the desirability of providing a mechanism for independent review of ministerial decisions in respect of cases coming under article 3 of the Convention</w:t>
      </w:r>
      <w:r>
        <w:t>’</w:t>
      </w:r>
      <w:bookmarkEnd w:id="122"/>
      <w:r>
        <w:t>.</w:t>
      </w:r>
      <w:r>
        <w:rPr>
          <w:rStyle w:val="EndnoteReference"/>
        </w:rPr>
        <w:endnoteReference w:id="13"/>
      </w:r>
    </w:p>
    <w:p w:rsidR="00000000" w:rsidRDefault="00000000">
      <w:r>
        <w:t>31.</w:t>
      </w:r>
      <w:r>
        <w:tab/>
        <w:t>Consideration of Australia’s non</w:t>
      </w:r>
      <w:r>
        <w:rPr>
          <w:i/>
        </w:rPr>
        <w:noBreakHyphen/>
        <w:t>refoulement</w:t>
      </w:r>
      <w:r>
        <w:t xml:space="preserve"> obligation under the Convention mainly arises in relation to persons seeking refugee protection in Australia.  As a signatory to the 1951 </w:t>
      </w:r>
      <w:r>
        <w:rPr>
          <w:i/>
        </w:rPr>
        <w:t>Convention relating to the Status of Refugees</w:t>
      </w:r>
      <w:r>
        <w:t xml:space="preserve"> and the 1967 Protocol (collectively referred to as the Refugees Convention), Australia provides protection to those asylum seekers who engage Australia’s protection obligations under these instruments.  Protection is effected through the grant of either a temporary or permanent protection visa.  The process of granting a protection visa involves determination of refugee status made by an officer of the Department of Immigration and Multicultural and Indigenous Affairs (DIMIA).</w:t>
      </w:r>
    </w:p>
    <w:p w:rsidR="00000000" w:rsidRDefault="00000000">
      <w:r>
        <w:t>32.</w:t>
      </w:r>
      <w:r>
        <w:tab/>
        <w:t>Asylum seekers in Australia have access to multiple mechanisms of review with regard to their application for refugee status.  First, unsuccessful applicants can seek review of DIMIA’s decision before the Refugee Review Tribunal (RRT) or the AAT depending on the basis for refusal.  The Tribunals are independent statutory merits</w:t>
      </w:r>
      <w:r>
        <w:noBreakHyphen/>
        <w:t>review bodies which have the power to affirm or vary DIMIA’s decision, to set aside the decision and substitute a new decision or to remit the matter to DIMIA for reconsideration.</w:t>
      </w:r>
    </w:p>
    <w:p w:rsidR="00000000" w:rsidRDefault="00000000">
      <w:r>
        <w:t>33.</w:t>
      </w:r>
      <w:r>
        <w:tab/>
        <w:t>Where there is a perceived error of law in the decision of the RRT, an applicant can appeal the decision to a single judge of the Federal Court for judicial review.  The Federal Magistrates Court (FMC) has also had jurisdiction to review decisions of the RRT since October 2001.  Such cases may go on appeal to the Full Federal Court, and may then be the subject of a special leave application to the High Court of Australia (High Court).  Under section 75 of the Constitution a person may also seek judicial review in the High Court’s original jurisdiction.</w:t>
      </w:r>
    </w:p>
    <w:p w:rsidR="00000000" w:rsidRDefault="00000000">
      <w:r>
        <w:t>34.</w:t>
      </w:r>
      <w:r>
        <w:tab/>
        <w:t>On 11 May 2004 the Government announced a package of migration litigation reforms to deal more quickly with migration cases before the courts.  Among other things, this package of reforms will direct judicial review applications of RRT decisions to the FMC.  In order to ensure that migration cases are dealt with quickly and fairly the Government has appointed eight additional magistrates to the FMC as part of this package.</w:t>
      </w:r>
    </w:p>
    <w:p w:rsidR="00000000" w:rsidRDefault="00000000">
      <w:r>
        <w:t>35.</w:t>
      </w:r>
      <w:r>
        <w:tab/>
        <w:t>Finally, sections 417</w:t>
      </w:r>
      <w:r>
        <w:rPr>
          <w:rStyle w:val="EndnoteReference"/>
        </w:rPr>
        <w:endnoteReference w:id="14"/>
      </w:r>
      <w:r>
        <w:t>, 454</w:t>
      </w:r>
      <w:r>
        <w:rPr>
          <w:rStyle w:val="EndnoteReference"/>
        </w:rPr>
        <w:endnoteReference w:id="15"/>
      </w:r>
      <w:r>
        <w:t xml:space="preserve"> and 501J</w:t>
      </w:r>
      <w:r>
        <w:rPr>
          <w:rStyle w:val="EndnoteReference"/>
        </w:rPr>
        <w:endnoteReference w:id="16"/>
      </w:r>
      <w:r>
        <w:t xml:space="preserve"> of the </w:t>
      </w:r>
      <w:r>
        <w:rPr>
          <w:i/>
        </w:rPr>
        <w:t>Migration Act 1958</w:t>
      </w:r>
      <w:r>
        <w:t xml:space="preserve"> empower the Minister for Immigration and Multicultural and Indigenous Affairs to substitute a decision of the RRT or AAT that an applicant is not a person to whom Australia has protection obligations under the Refugees Convention with a more favourable decision if the Minister considers it in the public interest to do so.</w:t>
      </w:r>
    </w:p>
    <w:p w:rsidR="00000000" w:rsidRDefault="00000000">
      <w:r>
        <w:t>36.</w:t>
      </w:r>
      <w:r>
        <w:tab/>
        <w:t>Ministerial Guidelines (Guidelines), originally introduced in 1999 and reissued in 2003, provide guidance to DIMIA officers in identifying cases in which ‘unique or exceptional circumstances’ warrant referral to the Minister for consideration as to whether or not to exercise his/her public interest powers.</w:t>
      </w:r>
      <w:r>
        <w:rPr>
          <w:rStyle w:val="EndnoteReference"/>
        </w:rPr>
        <w:endnoteReference w:id="17"/>
      </w:r>
      <w:r>
        <w:t xml:space="preserve">  Most notably, the Guidelines refer to Australia’s international obligations under the Convention against Torture, the </w:t>
      </w:r>
      <w:r>
        <w:rPr>
          <w:i/>
        </w:rPr>
        <w:t>Convention on the Rights of the Child</w:t>
      </w:r>
      <w:r>
        <w:t xml:space="preserve"> (CRC) and the ICCPR as relevant factors in deciding whether the Minister should consider exercising these powers.  These powers allow consideration at the executive level of government of the public interest, weighing up the full range of humanitarian or other issues that may arise in relation to a particular individual. </w:t>
      </w:r>
    </w:p>
    <w:p w:rsidR="00000000" w:rsidRDefault="00000000">
      <w:r>
        <w:t>37.</w:t>
      </w:r>
      <w:r>
        <w:tab/>
        <w:t>The Minister’s public interest intervention powers are transparent, as any decision to intervene must be tabled before each House of the Australian Parliament.  The Minister is ultimately accountable to the Parliament and the Australian people for his/her actions in the exercise of these powers.</w:t>
      </w:r>
    </w:p>
    <w:p w:rsidR="00000000" w:rsidRDefault="00000000">
      <w:r>
        <w:t>38.</w:t>
      </w:r>
      <w:r>
        <w:tab/>
        <w:t>Given existing review mechanisms and processes, the Government does not consider an additional level of review, such as that suggested by the Committee, either necessary or appropriate.  Furthermore, the Government maintains that current policy and practice is not inconsistent with Australia’s obligations under the Convention.</w:t>
      </w:r>
    </w:p>
    <w:bookmarkEnd w:id="121"/>
    <w:p w:rsidR="00000000" w:rsidRDefault="00000000">
      <w:pPr>
        <w:pStyle w:val="Heading3"/>
      </w:pPr>
      <w:r>
        <w:t>Expulsion</w:t>
      </w:r>
    </w:p>
    <w:p w:rsidR="00000000" w:rsidRDefault="00000000">
      <w:r>
        <w:t>39.</w:t>
      </w:r>
      <w:r>
        <w:tab/>
        <w:t>In December 1998 the Minister for Immigration and Multicultural Affairs issued a policy on criminal deportation that is binding on delegates of the Minister in making deportation determinations.</w:t>
      </w:r>
      <w:r>
        <w:rPr>
          <w:rStyle w:val="EndnoteReference"/>
        </w:rPr>
        <w:endnoteReference w:id="18"/>
      </w:r>
      <w:r>
        <w:t xml:space="preserve">  This policy directs decision</w:t>
      </w:r>
      <w:r>
        <w:noBreakHyphen/>
        <w:t>makers to consider Australia’s non</w:t>
      </w:r>
      <w:r>
        <w:noBreakHyphen/>
      </w:r>
      <w:r>
        <w:rPr>
          <w:i/>
        </w:rPr>
        <w:t>refoulement</w:t>
      </w:r>
      <w:r>
        <w:t xml:space="preserve"> obligations under the ICCPR, the Convention against Torture and the Refugees Convention in making deportation determinations.  Decision</w:t>
      </w:r>
      <w:r>
        <w:noBreakHyphen/>
        <w:t xml:space="preserve">makers are directed to obtain advice about the obligations should they be relevant in a particular case.  This policy is also binding on the AAT in exercising its power to overturn a decision of the Minister on appeal. </w:t>
      </w:r>
    </w:p>
    <w:p w:rsidR="00000000" w:rsidRDefault="00000000">
      <w:r>
        <w:t>40.</w:t>
      </w:r>
      <w:r>
        <w:tab/>
        <w:t>The Committee is referred to paragraphs 52</w:t>
      </w:r>
      <w:r>
        <w:noBreakHyphen/>
        <w:t>54 of Australia’s Second and Third Report for further information on the processes and legislative provisions relating to criminal deportation in Australia.</w:t>
      </w:r>
    </w:p>
    <w:p w:rsidR="00000000" w:rsidRDefault="00000000">
      <w:pPr>
        <w:pStyle w:val="Heading3"/>
      </w:pPr>
      <w:bookmarkStart w:id="123" w:name="OLE_LINK17"/>
      <w:r>
        <w:t>Extradition</w:t>
      </w:r>
    </w:p>
    <w:bookmarkEnd w:id="123"/>
    <w:p w:rsidR="00000000" w:rsidRDefault="00000000">
      <w:r>
        <w:t>41.</w:t>
      </w:r>
      <w:r>
        <w:tab/>
        <w:t>Table 3 provides an updated list of the States parties to the Convention with whom Australia has extradition arrangements.  For further information on Australia’s extradition framework the Committee is referred to paragraphs 59</w:t>
      </w:r>
      <w:r>
        <w:noBreakHyphen/>
        <w:t xml:space="preserve">62 of Australia’s Second and Third Report. </w:t>
      </w:r>
    </w:p>
    <w:p w:rsidR="00000000" w:rsidRDefault="00000000">
      <w:pPr>
        <w:pStyle w:val="Heading2"/>
      </w:pPr>
      <w:bookmarkStart w:id="124" w:name="_Toc77672863"/>
      <w:bookmarkStart w:id="125" w:name="_Toc79216224"/>
      <w:bookmarkStart w:id="126" w:name="_Toc79216818"/>
      <w:bookmarkStart w:id="127" w:name="_Toc79291350"/>
      <w:bookmarkStart w:id="128" w:name="_Toc79296085"/>
      <w:bookmarkStart w:id="129" w:name="_Toc83782170"/>
      <w:bookmarkStart w:id="130" w:name="_Toc83800983"/>
      <w:bookmarkStart w:id="131" w:name="_Toc84318904"/>
      <w:bookmarkStart w:id="132" w:name="_Toc94087524"/>
      <w:r>
        <w:t>2.4  Human rights communications</w:t>
      </w:r>
      <w:bookmarkEnd w:id="124"/>
      <w:bookmarkEnd w:id="125"/>
      <w:bookmarkEnd w:id="126"/>
      <w:bookmarkEnd w:id="127"/>
      <w:bookmarkEnd w:id="128"/>
      <w:bookmarkEnd w:id="129"/>
      <w:bookmarkEnd w:id="130"/>
      <w:bookmarkEnd w:id="131"/>
      <w:bookmarkEnd w:id="132"/>
    </w:p>
    <w:p w:rsidR="00000000" w:rsidRDefault="00000000">
      <w:pPr>
        <w:pStyle w:val="Heading3"/>
      </w:pPr>
      <w:r>
        <w:t>Communications under the Convention against Torture</w:t>
      </w:r>
    </w:p>
    <w:p w:rsidR="00000000" w:rsidRDefault="00000000">
      <w:r>
        <w:t>42.</w:t>
      </w:r>
      <w:r>
        <w:tab/>
        <w:t>The Government is aware of 19 communications lodged against Australia under Article 22 of the Convention against Torture in the reporting round.</w:t>
      </w:r>
      <w:r>
        <w:rPr>
          <w:rStyle w:val="EndnoteReference"/>
        </w:rPr>
        <w:endnoteReference w:id="19"/>
      </w:r>
      <w:r>
        <w:t xml:space="preserve">  All of these cases involved the actual or proposed removal from Australia of the alleged victim and the claim that Australia thereby breached or would potentially breach article 3 of the Convention.  Ten of these cases have since been discontinued or withdrawn.  The Committee against Torture has issued Views in response to eight cases, with Views still outstanding in response to one.  The Committee found Australia in breach of article 3 of the Convention in one of the eight cases considered (Communication No. 120/1998).</w:t>
      </w:r>
    </w:p>
    <w:p w:rsidR="00000000" w:rsidRDefault="00000000">
      <w:pPr>
        <w:pStyle w:val="Heading3"/>
      </w:pPr>
      <w:r>
        <w:t>Communication No. 120/1998</w:t>
      </w:r>
    </w:p>
    <w:p w:rsidR="00000000" w:rsidRDefault="00000000">
      <w:r>
        <w:t>43.</w:t>
      </w:r>
      <w:r>
        <w:tab/>
        <w:t xml:space="preserve">In </w:t>
      </w:r>
      <w:r>
        <w:rPr>
          <w:i/>
        </w:rPr>
        <w:t>Sadiq Shek Elmi v Australia</w:t>
      </w:r>
      <w:r>
        <w:t xml:space="preserve"> the author claimed that his background and clan membership in Somalia would render him personally at risk of being subjected to torture if forcibly returned to Somalia by Australia.  It was alleged that Australia would thereby violate article 3 of the Convention.</w:t>
      </w:r>
    </w:p>
    <w:p w:rsidR="00000000" w:rsidRDefault="00000000">
      <w:r>
        <w:t>44.</w:t>
      </w:r>
      <w:r>
        <w:tab/>
        <w:t>The Committee found substantial grounds for believing that the author would be in danger of being subjected to torture if returned to Somalia.</w:t>
      </w:r>
      <w:r>
        <w:rPr>
          <w:rStyle w:val="EndnoteReference"/>
        </w:rPr>
        <w:endnoteReference w:id="20"/>
      </w:r>
      <w:r>
        <w:t xml:space="preserve">  Accordingly, the Committee considered that Australia had an obligation, in accordance with article 3 of the Convention, to refrain from forcibly removing the author to Somalia or to any other country where he was at risk of being expelled or returned to Somalia.</w:t>
      </w:r>
      <w:r>
        <w:rPr>
          <w:rStyle w:val="EndnoteReference"/>
        </w:rPr>
        <w:endnoteReference w:id="21"/>
      </w:r>
    </w:p>
    <w:p w:rsidR="00000000" w:rsidRDefault="00000000">
      <w:r>
        <w:t>45.</w:t>
      </w:r>
      <w:r>
        <w:tab/>
        <w:t>In light of new evidence which arose following the Committee’s consideration of Mr Elmi’s communication, the Minister for Immigration and Multicultural Affairs decided that it was in the public interest to exercise his powers under section 48B of the Migration Act</w:t>
      </w:r>
      <w:r>
        <w:rPr>
          <w:i/>
        </w:rPr>
        <w:t xml:space="preserve"> </w:t>
      </w:r>
      <w:r>
        <w:t>to allow Mr Elmi to make a subsequent application for a protection visa.</w:t>
      </w:r>
      <w:r>
        <w:rPr>
          <w:rStyle w:val="EndnoteReference"/>
        </w:rPr>
        <w:endnoteReference w:id="22"/>
      </w:r>
      <w:r>
        <w:t xml:space="preserve">  This application was unsuccessful and Mr Elmi lodged an application for review with the RRT.  The Tribunal affirmed the decision that Mr Elmi was not a person to whom Australia owed protection obligations.  Mr Elmi departed Australia voluntarily in January 2001.</w:t>
      </w:r>
    </w:p>
    <w:p w:rsidR="00000000" w:rsidRDefault="00000000">
      <w:pPr>
        <w:pStyle w:val="Heading3"/>
      </w:pPr>
      <w:r>
        <w:t>Communications under the International Covenant on Civil and Political Rights</w:t>
      </w:r>
    </w:p>
    <w:p w:rsidR="00000000" w:rsidRDefault="00000000">
      <w:r>
        <w:t>46.</w:t>
      </w:r>
      <w:r>
        <w:tab/>
        <w:t>As a party to the first Optional Protocol to the ICCPR Australia has been the subject of a number of complaints to the United Nations Human Rights Committee alleging a violation of article 7 of the ICCPR within the reporting period.  Article 7 provides that no one shall be subjected to torture or to cruel, inhuman or degrading treatment or punishment.  These complaints will be addressed in Australia’s upcoming Fifth Report under the ICCPR.</w:t>
      </w:r>
    </w:p>
    <w:p w:rsidR="00000000" w:rsidRDefault="00000000">
      <w:pPr>
        <w:pStyle w:val="Heading2"/>
        <w:ind w:left="1200" w:hanging="480"/>
        <w:jc w:val="left"/>
      </w:pPr>
      <w:bookmarkStart w:id="133" w:name="_Toc77672864"/>
      <w:bookmarkStart w:id="134" w:name="_Toc79216225"/>
      <w:bookmarkStart w:id="135" w:name="_Toc79216819"/>
      <w:bookmarkStart w:id="136" w:name="_Toc79291351"/>
      <w:bookmarkStart w:id="137" w:name="_Toc79296086"/>
      <w:bookmarkStart w:id="138" w:name="_Toc83782171"/>
      <w:bookmarkStart w:id="139" w:name="_Toc83800984"/>
      <w:bookmarkStart w:id="140" w:name="_Toc84318905"/>
      <w:bookmarkStart w:id="141" w:name="_Toc94087525"/>
      <w:r>
        <w:t xml:space="preserve">III.  EDUCATION, TRAINING, REVIEW AND OTHER PREVENTATIVE </w:t>
      </w:r>
      <w:r>
        <w:br/>
        <w:t xml:space="preserve">MEASURES </w:t>
      </w:r>
      <w:r>
        <w:noBreakHyphen/>
        <w:t xml:space="preserve"> ARTICLES 10, 11 AND 16 (1)</w:t>
      </w:r>
      <w:bookmarkEnd w:id="133"/>
      <w:bookmarkEnd w:id="134"/>
      <w:bookmarkEnd w:id="135"/>
      <w:bookmarkEnd w:id="136"/>
      <w:bookmarkEnd w:id="137"/>
      <w:bookmarkEnd w:id="138"/>
      <w:bookmarkEnd w:id="139"/>
      <w:bookmarkEnd w:id="140"/>
      <w:bookmarkEnd w:id="141"/>
    </w:p>
    <w:p w:rsidR="00000000" w:rsidRDefault="00000000">
      <w:pPr>
        <w:pStyle w:val="Heading2"/>
      </w:pPr>
      <w:bookmarkStart w:id="142" w:name="_Toc77672865"/>
      <w:bookmarkStart w:id="143" w:name="_Toc79216226"/>
      <w:bookmarkStart w:id="144" w:name="_Toc79216820"/>
      <w:bookmarkStart w:id="145" w:name="_Toc79291352"/>
      <w:bookmarkStart w:id="146" w:name="_Toc79296087"/>
      <w:bookmarkStart w:id="147" w:name="_Toc83782172"/>
      <w:bookmarkStart w:id="148" w:name="_Toc83800985"/>
      <w:bookmarkStart w:id="149" w:name="_Toc84318906"/>
      <w:bookmarkStart w:id="150" w:name="_Toc94087526"/>
      <w:r>
        <w:t>3.1  Preventative measures</w:t>
      </w:r>
      <w:bookmarkEnd w:id="142"/>
      <w:bookmarkEnd w:id="143"/>
      <w:bookmarkEnd w:id="144"/>
      <w:bookmarkEnd w:id="145"/>
      <w:bookmarkEnd w:id="146"/>
      <w:bookmarkEnd w:id="147"/>
      <w:bookmarkEnd w:id="148"/>
      <w:bookmarkEnd w:id="149"/>
      <w:bookmarkEnd w:id="150"/>
    </w:p>
    <w:p w:rsidR="00000000" w:rsidRDefault="00000000">
      <w:pPr>
        <w:rPr>
          <w:bCs/>
        </w:rPr>
      </w:pPr>
      <w:r>
        <w:t>47.</w:t>
      </w:r>
      <w:r>
        <w:tab/>
        <w:t>In its Concluding Observations on Australia’s Second and Third Report the Committee recommended that Australia ‘…</w:t>
      </w:r>
      <w:r>
        <w:rPr>
          <w:i/>
        </w:rPr>
        <w:t>continue its education and information efforts for law enforcement personnel regarding the prohibition against torture and further improve its efforts in training, especially of police, prison officers and prison medical personnel</w:t>
      </w:r>
      <w:r>
        <w:t>’.</w:t>
      </w:r>
      <w:r>
        <w:rPr>
          <w:rStyle w:val="EndnoteReference"/>
        </w:rPr>
        <w:endnoteReference w:id="23"/>
      </w:r>
      <w:r>
        <w:t xml:space="preserve">  The Committee further recommended that Australia ‘</w:t>
      </w:r>
      <w:r>
        <w:rPr>
          <w:szCs w:val="22"/>
        </w:rPr>
        <w:t>…</w:t>
      </w:r>
      <w:r>
        <w:rPr>
          <w:i/>
        </w:rPr>
        <w:t>keep under constant review the use of instruments of restraint that may cause unnecessary pain and humiliation, and ensure that their use is appropriately recorded</w:t>
      </w:r>
      <w:r>
        <w:t>’.</w:t>
      </w:r>
      <w:r>
        <w:rPr>
          <w:rStyle w:val="EndnoteReference"/>
        </w:rPr>
        <w:endnoteReference w:id="24"/>
      </w:r>
      <w:r>
        <w:t xml:space="preserve">  </w:t>
      </w:r>
      <w:r>
        <w:rPr>
          <w:bCs/>
        </w:rPr>
        <w:t xml:space="preserve">These recommendations are addressed below. </w:t>
      </w:r>
    </w:p>
    <w:p w:rsidR="00000000" w:rsidRDefault="00000000">
      <w:pPr>
        <w:pStyle w:val="Heading3"/>
      </w:pPr>
      <w:r>
        <w:t>Police officers</w:t>
      </w:r>
    </w:p>
    <w:p w:rsidR="00000000" w:rsidRDefault="00000000">
      <w:bookmarkStart w:id="151" w:name="OLE_LINK5"/>
      <w:r>
        <w:t>48.</w:t>
      </w:r>
      <w:r>
        <w:tab/>
        <w:t>Relevant legislation and policy instructions direct police in every jurisdiction in Australia to assume responsibility for the safety and welfare of the public, including prisoners (see Table 1 and paragraphs 66</w:t>
      </w:r>
      <w:r>
        <w:noBreakHyphen/>
        <w:t xml:space="preserve">67 of Australia’s Second and Third Report).  </w:t>
      </w:r>
    </w:p>
    <w:bookmarkEnd w:id="151"/>
    <w:p w:rsidR="00000000" w:rsidRDefault="00000000">
      <w:pPr>
        <w:pStyle w:val="Heading4"/>
      </w:pPr>
      <w:r>
        <w:t>Education and training</w:t>
      </w:r>
    </w:p>
    <w:p w:rsidR="00000000" w:rsidRDefault="00000000">
      <w:r>
        <w:t>49.</w:t>
      </w:r>
      <w:r>
        <w:tab/>
        <w:t>The Australian Federal Police and all State and Territory police services in Australia continue to maintain regular education and training for police officers in the relevant law applicable to their duties, particularly with regard to the use of force, management of people in custody, the use of restraints, and reporting requirements.</w:t>
      </w:r>
    </w:p>
    <w:p w:rsidR="00000000" w:rsidRDefault="00000000">
      <w:r>
        <w:t>50.</w:t>
      </w:r>
      <w:r>
        <w:tab/>
        <w:t xml:space="preserve">For example, in 2000 the South Australia Police introduced Incident Management and Operational Safety Training as a prerequisite course for police undertaking operational duties.  This course emphasises safe prisoner management, and includes refresher training on: </w:t>
      </w:r>
    </w:p>
    <w:p w:rsidR="00000000" w:rsidRDefault="00000000">
      <w:pPr>
        <w:numPr>
          <w:ilvl w:val="0"/>
          <w:numId w:val="136"/>
        </w:numPr>
        <w:rPr>
          <w:szCs w:val="22"/>
        </w:rPr>
      </w:pPr>
      <w:r>
        <w:rPr>
          <w:szCs w:val="22"/>
        </w:rPr>
        <w:t>safe handcuffing techniques to minimise injuries to police and prisoners;</w:t>
      </w:r>
    </w:p>
    <w:p w:rsidR="00000000" w:rsidRDefault="00000000">
      <w:pPr>
        <w:numPr>
          <w:ilvl w:val="0"/>
          <w:numId w:val="136"/>
        </w:numPr>
        <w:rPr>
          <w:szCs w:val="22"/>
        </w:rPr>
      </w:pPr>
      <w:r>
        <w:rPr>
          <w:szCs w:val="22"/>
        </w:rPr>
        <w:br w:type="page"/>
        <w:t>the use of flexcuffs as an alternative/adjunct to handcuffs;</w:t>
      </w:r>
      <w:r>
        <w:rPr>
          <w:rStyle w:val="EndnoteReference"/>
          <w:szCs w:val="22"/>
        </w:rPr>
        <w:endnoteReference w:id="25"/>
      </w:r>
    </w:p>
    <w:p w:rsidR="00000000" w:rsidRDefault="00000000">
      <w:pPr>
        <w:numPr>
          <w:ilvl w:val="0"/>
          <w:numId w:val="136"/>
        </w:numPr>
        <w:rPr>
          <w:szCs w:val="22"/>
        </w:rPr>
      </w:pPr>
      <w:r>
        <w:rPr>
          <w:szCs w:val="22"/>
        </w:rPr>
        <w:t>restraint techniques to minimise or avoid injuries associated with positional asphyxia and conveyances in cage cars; and</w:t>
      </w:r>
    </w:p>
    <w:p w:rsidR="00000000" w:rsidRDefault="00000000">
      <w:pPr>
        <w:numPr>
          <w:ilvl w:val="0"/>
          <w:numId w:val="136"/>
        </w:numPr>
        <w:rPr>
          <w:szCs w:val="22"/>
        </w:rPr>
      </w:pPr>
      <w:r>
        <w:rPr>
          <w:szCs w:val="22"/>
        </w:rPr>
        <w:t>lawful and appropriate use of Oleoresin Capsicum spray and Asp batons.</w:t>
      </w:r>
    </w:p>
    <w:p w:rsidR="00000000" w:rsidRDefault="00000000">
      <w:pPr>
        <w:pStyle w:val="Heading4"/>
      </w:pPr>
      <w:r>
        <w:t>National guidelines on use of force</w:t>
      </w:r>
    </w:p>
    <w:p w:rsidR="00000000" w:rsidRDefault="00000000">
      <w:r>
        <w:t>51.</w:t>
      </w:r>
      <w:r>
        <w:tab/>
        <w:t>In 2002, a set of national reporting guidelines was established to provide jurisdictions with a framework and minimum standards to develop use of force information systems that will allow for the meaningful and comparable interpretation of data at a national level.  This data is intended to identify training needs for operational safety purposes; monitor the effectiveness of operational training, tactics, procedures and equipment to ensure appropriate behaviour; and monitor use of force trends.  Jurisdictions report to the Senior Officers’ Group and Australasian Police Ministers’ Council (APMC) each year.</w:t>
      </w:r>
      <w:r>
        <w:rPr>
          <w:rStyle w:val="EndnoteReference"/>
        </w:rPr>
        <w:endnoteReference w:id="26"/>
      </w:r>
      <w:r>
        <w:t xml:space="preserve"> </w:t>
      </w:r>
    </w:p>
    <w:p w:rsidR="00000000" w:rsidRDefault="00000000">
      <w:r>
        <w:t>52.</w:t>
      </w:r>
      <w:r>
        <w:tab/>
        <w:t xml:space="preserve">On 17 November 2004, APMC endorsed the </w:t>
      </w:r>
      <w:r>
        <w:rPr>
          <w:i/>
        </w:rPr>
        <w:t>National Guidelines for Incident Management, Conflict Resolution and Use of Force: 2004</w:t>
      </w:r>
      <w:r>
        <w:t>, and agreed that the guidelines be reviewed again in two years to ensure their relevance and currency.  The revised guidelines are strategic in nature and outline a set of general, guiding principles, allowing police organisations scope to implement innovative and appropriate solutions to specific situations.</w:t>
      </w:r>
    </w:p>
    <w:p w:rsidR="00000000" w:rsidRDefault="00000000">
      <w:pPr>
        <w:pStyle w:val="Heading3"/>
      </w:pPr>
      <w:r>
        <w:t>Prison officers</w:t>
      </w:r>
    </w:p>
    <w:p w:rsidR="00000000" w:rsidRDefault="00000000">
      <w:r>
        <w:t>53.</w:t>
      </w:r>
      <w:r>
        <w:tab/>
        <w:t>All States and Territories in Australia have established intensive and regular programs in which prison officers receive information about their statutory obligations relating to the management and use of weapons, restraint devices, use of force, and reporting requirements (see Table 1 and paragraphs 68</w:t>
      </w:r>
      <w:r>
        <w:noBreakHyphen/>
        <w:t xml:space="preserve">69 of Australia’s Second and Third Report).  </w:t>
      </w:r>
    </w:p>
    <w:p w:rsidR="00000000" w:rsidRDefault="00000000">
      <w:pPr>
        <w:pStyle w:val="Heading4"/>
      </w:pPr>
      <w:r>
        <w:t>On</w:t>
      </w:r>
      <w:r>
        <w:noBreakHyphen/>
        <w:t>going monitoring and review</w:t>
      </w:r>
    </w:p>
    <w:p w:rsidR="00000000" w:rsidRDefault="00000000">
      <w:r>
        <w:t>54.</w:t>
      </w:r>
      <w:r>
        <w:tab/>
        <w:t>Use of force by prison officers in Australia is subject to on</w:t>
      </w:r>
      <w:r>
        <w:noBreakHyphen/>
        <w:t>going monitoring and review.  For example, in 2002</w:t>
      </w:r>
      <w:r>
        <w:noBreakHyphen/>
        <w:t xml:space="preserve">2003 the former Victorian Chief Commissioner for Police conducted a review into use of force in the Victorian prison system.  The review was requested to make recommendations on legislation and procedural and operational guidelines relating to use of force; use of firearms and other operational equipment; best practice training methodology and programs with regard to use of force; and ways of ensuring the consistent application of policies and procedures related to use of force across Victoria. </w:t>
      </w:r>
    </w:p>
    <w:p w:rsidR="00000000" w:rsidRDefault="00000000">
      <w:r>
        <w:t>55.</w:t>
      </w:r>
      <w:r>
        <w:tab/>
        <w:t>The review recommended various changes to the way in which situations of risk are managed, including in relation to the use of particular operational equipment and specific training methods and programs.  The Victorian Minister for Corrections has endorsed the findings of the review and a working party has been formed to progress implementation of the recommendations.</w:t>
      </w:r>
    </w:p>
    <w:p w:rsidR="00000000" w:rsidRDefault="00000000">
      <w:pPr>
        <w:pStyle w:val="Heading3"/>
      </w:pPr>
      <w:r>
        <w:t>Public school teachers</w:t>
      </w:r>
    </w:p>
    <w:p w:rsidR="00000000" w:rsidRDefault="00000000">
      <w:pPr>
        <w:rPr>
          <w:snapToGrid w:val="0"/>
        </w:rPr>
      </w:pPr>
      <w:r>
        <w:rPr>
          <w:snapToGrid w:val="0"/>
        </w:rPr>
        <w:t>56.</w:t>
      </w:r>
      <w:r>
        <w:rPr>
          <w:snapToGrid w:val="0"/>
        </w:rPr>
        <w:tab/>
        <w:t>In every State and Territory in Australia legislation and policy guidelines circumscribe disciplinary measures which may be used by public school teachers (see Table 1 and paragraphs 84</w:t>
      </w:r>
      <w:r>
        <w:rPr>
          <w:snapToGrid w:val="0"/>
        </w:rPr>
        <w:noBreakHyphen/>
        <w:t xml:space="preserve">85 of Australia’s Second and Third Report). </w:t>
      </w:r>
    </w:p>
    <w:p w:rsidR="00000000" w:rsidRDefault="00000000">
      <w:pPr>
        <w:pStyle w:val="Heading4"/>
      </w:pPr>
      <w:r>
        <w:t>Corporal punishment</w:t>
      </w:r>
    </w:p>
    <w:p w:rsidR="00000000" w:rsidRDefault="00000000">
      <w:pPr>
        <w:rPr>
          <w:snapToGrid w:val="0"/>
        </w:rPr>
      </w:pPr>
      <w:r>
        <w:rPr>
          <w:snapToGrid w:val="0"/>
        </w:rPr>
        <w:t>57.</w:t>
      </w:r>
      <w:r>
        <w:rPr>
          <w:snapToGrid w:val="0"/>
        </w:rPr>
        <w:tab/>
        <w:t>Corporal punishment in Australian government schools and some non</w:t>
      </w:r>
      <w:r>
        <w:rPr>
          <w:snapToGrid w:val="0"/>
        </w:rPr>
        <w:noBreakHyphen/>
        <w:t>government schools has been prohibited in the ACT, New South Wales, South Australia, Queensland, Tasmania and Western Australia.  Corporal punishment in government schools is prohibited in Victoria.</w:t>
      </w:r>
    </w:p>
    <w:p w:rsidR="00000000" w:rsidRDefault="00000000">
      <w:pPr>
        <w:rPr>
          <w:snapToGrid w:val="0"/>
        </w:rPr>
      </w:pPr>
      <w:r>
        <w:rPr>
          <w:snapToGrid w:val="0"/>
        </w:rPr>
        <w:t>58.</w:t>
      </w:r>
      <w:r>
        <w:rPr>
          <w:snapToGrid w:val="0"/>
        </w:rPr>
        <w:tab/>
        <w:t xml:space="preserve">The issue of corporal punishment was considered by the Model Criminal Code Officers Committee who </w:t>
      </w:r>
      <w:r>
        <w:t>reported</w:t>
      </w:r>
      <w:r>
        <w:rPr>
          <w:snapToGrid w:val="0"/>
        </w:rPr>
        <w:t xml:space="preserve"> on this issue in September 1998.</w:t>
      </w:r>
      <w:r>
        <w:rPr>
          <w:rStyle w:val="EndnoteReference"/>
          <w:snapToGrid w:val="0"/>
        </w:rPr>
        <w:endnoteReference w:id="27"/>
      </w:r>
      <w:r>
        <w:rPr>
          <w:snapToGrid w:val="0"/>
        </w:rPr>
        <w:t xml:space="preserve">  The Model Criminal Code Officers Committee recommended that a legislative standard of reasonableness be established and that the use of objects in such a way as to cause or risk causing injury be prohibited.</w:t>
      </w:r>
      <w:r>
        <w:rPr>
          <w:rStyle w:val="EndnoteReference"/>
          <w:snapToGrid w:val="0"/>
        </w:rPr>
        <w:endnoteReference w:id="28"/>
      </w:r>
    </w:p>
    <w:p w:rsidR="00000000" w:rsidRDefault="00000000">
      <w:pPr>
        <w:rPr>
          <w:snapToGrid w:val="0"/>
        </w:rPr>
      </w:pPr>
      <w:r>
        <w:rPr>
          <w:snapToGrid w:val="0"/>
        </w:rPr>
        <w:t>59.</w:t>
      </w:r>
      <w:r>
        <w:rPr>
          <w:snapToGrid w:val="0"/>
        </w:rPr>
        <w:tab/>
        <w:t xml:space="preserve">In 2003, the Queensland Government amended the </w:t>
      </w:r>
      <w:r>
        <w:rPr>
          <w:i/>
          <w:snapToGrid w:val="0"/>
        </w:rPr>
        <w:t xml:space="preserve">Education (Teacher Registration) Act 1988 </w:t>
      </w:r>
      <w:r>
        <w:rPr>
          <w:snapToGrid w:val="0"/>
        </w:rPr>
        <w:t xml:space="preserve">to prevent teachers moving between the public and private sector when suspected of harmful behaviour to children.  Employers of both public and private schools are required to inform the Teacher Registration Board if a teacher is dismissed or resigns as a result of the employer investigating allegations that the teacher’s conduct harmed or could have harmed a child.  Similar legislation is in place or is currently being considered in a number of other States and Territories in Australia.  </w:t>
      </w:r>
    </w:p>
    <w:p w:rsidR="00000000" w:rsidRDefault="00000000">
      <w:pPr>
        <w:pStyle w:val="Heading3"/>
      </w:pPr>
      <w:r>
        <w:t>Military personnel</w:t>
      </w:r>
    </w:p>
    <w:p w:rsidR="00000000" w:rsidRDefault="00000000">
      <w:r>
        <w:t>60.</w:t>
      </w:r>
      <w:r>
        <w:tab/>
        <w:t>Australian Defence Force (ADF) members participating in international or non</w:t>
      </w:r>
      <w:r>
        <w:noBreakHyphen/>
        <w:t>international armed conflict are now bound by Division 268 of the Criminal Code Act</w:t>
      </w:r>
      <w:r>
        <w:rPr>
          <w:i/>
        </w:rPr>
        <w:t xml:space="preserve"> </w:t>
      </w:r>
      <w:r>
        <w:t xml:space="preserve">which was inserted by the </w:t>
      </w:r>
      <w:r>
        <w:rPr>
          <w:i/>
        </w:rPr>
        <w:t>International Criminal Court (Consequential Amendments) Act 2002</w:t>
      </w:r>
      <w:r>
        <w:t xml:space="preserve"> and includes war crimes, genocide and crimes against humanity (see paragraph 25).  This legislation replaces Part 2 of the </w:t>
      </w:r>
      <w:r>
        <w:rPr>
          <w:i/>
        </w:rPr>
        <w:t>Geneva Conventions Act 1957</w:t>
      </w:r>
      <w:r>
        <w:t xml:space="preserve"> which previously covered such crimes.  Australian Defence Force members are also bound by the </w:t>
      </w:r>
      <w:r>
        <w:rPr>
          <w:i/>
        </w:rPr>
        <w:t>Defence Force Discipline Act 1982</w:t>
      </w:r>
      <w:r>
        <w:t>.</w:t>
      </w:r>
    </w:p>
    <w:p w:rsidR="00000000" w:rsidRDefault="00000000">
      <w:r>
        <w:t>61.</w:t>
      </w:r>
      <w:r>
        <w:tab/>
        <w:t>Throughout their careers, and particularly prior to deployment, service members receive extensive training in humanitarian law principles (see paragraphs 70</w:t>
      </w:r>
      <w:r>
        <w:noBreakHyphen/>
        <w:t xml:space="preserve">72 of Australia’s Second and Third Report).  </w:t>
      </w:r>
    </w:p>
    <w:p w:rsidR="00000000" w:rsidRDefault="00000000">
      <w:pPr>
        <w:pStyle w:val="Heading3"/>
      </w:pPr>
      <w:r>
        <w:t>Immigration officers</w:t>
      </w:r>
    </w:p>
    <w:p w:rsidR="00000000" w:rsidRDefault="00000000">
      <w:pPr>
        <w:rPr>
          <w:iCs/>
          <w:snapToGrid w:val="0"/>
        </w:rPr>
      </w:pPr>
      <w:r>
        <w:rPr>
          <w:snapToGrid w:val="0"/>
        </w:rPr>
        <w:t>62.</w:t>
      </w:r>
      <w:r>
        <w:rPr>
          <w:snapToGrid w:val="0"/>
        </w:rPr>
        <w:tab/>
        <w:t xml:space="preserve">In February 1998 the Government contracted out detention and removal services at immigration detention centres.  This contract is currently held by Global Solutions Limited (Australia) Pty Ltd.  The contractor is required to deliver detention services in accordance with the </w:t>
      </w:r>
      <w:r>
        <w:rPr>
          <w:i/>
          <w:snapToGrid w:val="0"/>
        </w:rPr>
        <w:t>Immigration Detention Standards</w:t>
      </w:r>
      <w:r>
        <w:rPr>
          <w:snapToGrid w:val="0"/>
        </w:rPr>
        <w:t xml:space="preserve"> (IDS) developed by DIMIA in consultation with the Commonwealth Ombudsman’s Office and HREOC.</w:t>
      </w:r>
      <w:r>
        <w:rPr>
          <w:rStyle w:val="EndnoteReference"/>
          <w:snapToGrid w:val="0"/>
        </w:rPr>
        <w:endnoteReference w:id="29"/>
      </w:r>
    </w:p>
    <w:p w:rsidR="00000000" w:rsidRDefault="00000000">
      <w:pPr>
        <w:rPr>
          <w:iCs/>
          <w:snapToGrid w:val="0"/>
        </w:rPr>
      </w:pPr>
      <w:r>
        <w:rPr>
          <w:iCs/>
          <w:snapToGrid w:val="0"/>
        </w:rPr>
        <w:br w:type="page"/>
        <w:t>63.</w:t>
      </w:r>
      <w:r>
        <w:rPr>
          <w:iCs/>
          <w:snapToGrid w:val="0"/>
        </w:rPr>
        <w:tab/>
        <w:t xml:space="preserve">With regard to use of force and instruments of restraint, the IDS provide that: </w:t>
      </w:r>
    </w:p>
    <w:p w:rsidR="00000000" w:rsidRDefault="00000000">
      <w:pPr>
        <w:numPr>
          <w:ilvl w:val="0"/>
          <w:numId w:val="137"/>
        </w:numPr>
        <w:rPr>
          <w:szCs w:val="22"/>
        </w:rPr>
      </w:pPr>
      <w:r>
        <w:rPr>
          <w:szCs w:val="22"/>
        </w:rPr>
        <w:t xml:space="preserve">only such force as is reasonably necessary and proportionate in the circumstances is to be used; </w:t>
      </w:r>
    </w:p>
    <w:p w:rsidR="00000000" w:rsidRDefault="00000000">
      <w:pPr>
        <w:numPr>
          <w:ilvl w:val="0"/>
          <w:numId w:val="137"/>
        </w:numPr>
        <w:rPr>
          <w:szCs w:val="22"/>
        </w:rPr>
      </w:pPr>
      <w:r>
        <w:rPr>
          <w:szCs w:val="22"/>
        </w:rPr>
        <w:t>n</w:t>
      </w:r>
      <w:r>
        <w:rPr>
          <w:iCs/>
          <w:snapToGrid w:val="0"/>
          <w:szCs w:val="22"/>
        </w:rPr>
        <w:t>on</w:t>
      </w:r>
      <w:r>
        <w:rPr>
          <w:iCs/>
          <w:snapToGrid w:val="0"/>
          <w:szCs w:val="22"/>
        </w:rPr>
        <w:noBreakHyphen/>
        <w:t xml:space="preserve">compliance, uncooperative behaviour or conflict are to be addressed as far as practicable through communication, negotiation and conflict resolution; </w:t>
      </w:r>
    </w:p>
    <w:p w:rsidR="00000000" w:rsidRDefault="00000000">
      <w:pPr>
        <w:numPr>
          <w:ilvl w:val="0"/>
          <w:numId w:val="137"/>
        </w:numPr>
        <w:rPr>
          <w:szCs w:val="22"/>
        </w:rPr>
      </w:pPr>
      <w:r>
        <w:rPr>
          <w:iCs/>
          <w:snapToGrid w:val="0"/>
          <w:szCs w:val="22"/>
        </w:rPr>
        <w:t xml:space="preserve">use of force is to be a measure of last resort where all other control methods have failed or have been assessed as inadequate; </w:t>
      </w:r>
    </w:p>
    <w:p w:rsidR="00000000" w:rsidRDefault="00000000">
      <w:pPr>
        <w:numPr>
          <w:ilvl w:val="0"/>
          <w:numId w:val="137"/>
        </w:numPr>
        <w:rPr>
          <w:szCs w:val="22"/>
        </w:rPr>
      </w:pPr>
      <w:r>
        <w:rPr>
          <w:iCs/>
          <w:snapToGrid w:val="0"/>
          <w:szCs w:val="22"/>
        </w:rPr>
        <w:t>collective, corporal, cruel, inhumane or degrading treatments and punishments are not to be used; and</w:t>
      </w:r>
    </w:p>
    <w:p w:rsidR="00000000" w:rsidRDefault="00000000">
      <w:pPr>
        <w:numPr>
          <w:ilvl w:val="0"/>
          <w:numId w:val="137"/>
        </w:numPr>
        <w:rPr>
          <w:szCs w:val="22"/>
        </w:rPr>
      </w:pPr>
      <w:bookmarkStart w:id="152" w:name="laws"/>
      <w:bookmarkEnd w:id="152"/>
      <w:r>
        <w:rPr>
          <w:iCs/>
          <w:snapToGrid w:val="0"/>
          <w:szCs w:val="22"/>
        </w:rPr>
        <w:t>only such instruments of restraint are to be used as are reasonably necessary and proportionate in the circumstances and are never to be used as punishment.</w:t>
      </w:r>
      <w:r>
        <w:rPr>
          <w:rStyle w:val="EndnoteReference"/>
          <w:iCs/>
          <w:snapToGrid w:val="0"/>
          <w:szCs w:val="22"/>
        </w:rPr>
        <w:endnoteReference w:id="30"/>
      </w:r>
      <w:r>
        <w:rPr>
          <w:iCs/>
          <w:snapToGrid w:val="0"/>
          <w:szCs w:val="22"/>
        </w:rPr>
        <w:t xml:space="preserve">  </w:t>
      </w:r>
    </w:p>
    <w:p w:rsidR="00000000" w:rsidRDefault="00000000">
      <w:pPr>
        <w:rPr>
          <w:iCs/>
          <w:snapToGrid w:val="0"/>
        </w:rPr>
      </w:pPr>
      <w:r>
        <w:rPr>
          <w:iCs/>
          <w:snapToGrid w:val="0"/>
        </w:rPr>
        <w:t>64.</w:t>
      </w:r>
      <w:r>
        <w:rPr>
          <w:iCs/>
          <w:snapToGrid w:val="0"/>
        </w:rPr>
        <w:tab/>
        <w:t>For further information the Committee is referred to paragraphs 76</w:t>
      </w:r>
      <w:r>
        <w:rPr>
          <w:iCs/>
          <w:snapToGrid w:val="0"/>
        </w:rPr>
        <w:noBreakHyphen/>
        <w:t>77 of Australia’s Second and Third Report.</w:t>
      </w:r>
    </w:p>
    <w:p w:rsidR="00000000" w:rsidRDefault="00000000">
      <w:pPr>
        <w:pStyle w:val="Heading2"/>
      </w:pPr>
      <w:bookmarkStart w:id="153" w:name="_Toc77672866"/>
      <w:bookmarkStart w:id="154" w:name="_Toc79216227"/>
      <w:bookmarkStart w:id="155" w:name="_Toc79216821"/>
      <w:bookmarkStart w:id="156" w:name="_Toc79291353"/>
      <w:bookmarkStart w:id="157" w:name="_Toc79296088"/>
      <w:bookmarkStart w:id="158" w:name="_Toc83782173"/>
      <w:bookmarkStart w:id="159" w:name="_Toc83800986"/>
      <w:bookmarkStart w:id="160" w:name="_Toc84318907"/>
      <w:bookmarkStart w:id="161" w:name="OLE_LINK23"/>
      <w:bookmarkStart w:id="162" w:name="_Toc94087527"/>
      <w:r>
        <w:t>3.2  Indigenous peoples and criminal justice</w:t>
      </w:r>
      <w:bookmarkEnd w:id="153"/>
      <w:bookmarkEnd w:id="154"/>
      <w:bookmarkEnd w:id="155"/>
      <w:bookmarkEnd w:id="156"/>
      <w:bookmarkEnd w:id="157"/>
      <w:bookmarkEnd w:id="158"/>
      <w:bookmarkEnd w:id="159"/>
      <w:bookmarkEnd w:id="160"/>
      <w:bookmarkEnd w:id="162"/>
    </w:p>
    <w:p w:rsidR="00000000" w:rsidRDefault="00000000">
      <w:bookmarkStart w:id="163" w:name="OLE_LINK4"/>
      <w:r>
        <w:t>65.</w:t>
      </w:r>
      <w:r>
        <w:tab/>
        <w:t xml:space="preserve">In its Concluding Observations on Australia’s Second and Third Report the Committee recommended that Australia </w:t>
      </w:r>
      <w:bookmarkEnd w:id="163"/>
      <w:r>
        <w:t>‘</w:t>
      </w:r>
      <w:r>
        <w:rPr>
          <w:i/>
        </w:rPr>
        <w:t>continue its efforts to address the socio</w:t>
      </w:r>
      <w:r>
        <w:rPr>
          <w:i/>
        </w:rPr>
        <w:noBreakHyphen/>
        <w:t>economic disadvantage that, inter alia, leads to a disproportionate number of indigenous Australians coming into contact with the criminal justice system</w:t>
      </w:r>
      <w:r>
        <w:t>’.</w:t>
      </w:r>
      <w:r>
        <w:rPr>
          <w:rStyle w:val="EndnoteReference"/>
        </w:rPr>
        <w:endnoteReference w:id="31"/>
      </w:r>
      <w:r>
        <w:t xml:space="preserve">  This issue does not appear to relate to Australia’s obligations under the Convention against Torture.  The preventative measures detailed in this and previous reports are designed to ensure that all persons who come into contact with the criminal justice system are protected against torture or cruel, inhuman or degrading treatment or punishment. </w:t>
      </w:r>
    </w:p>
    <w:p w:rsidR="00000000" w:rsidRDefault="00000000">
      <w:r>
        <w:t>66.</w:t>
      </w:r>
      <w:r>
        <w:tab/>
        <w:t xml:space="preserve">For information relating to the programs and initiatives in Australia targeting indigenous disadvantage the Committee is referred to the </w:t>
      </w:r>
      <w:r>
        <w:rPr>
          <w:i/>
        </w:rPr>
        <w:t>Combined Thirteenth and Fourteenth Periodic Report of the Government of Australia under Article 9 of the International Convention on the Elimination of all Forms of Racial Discrimination</w:t>
      </w:r>
      <w:r>
        <w:t>, submitted to the Committee on the Elimination of Racial Discrimination on 28 November 2003.</w:t>
      </w:r>
    </w:p>
    <w:p w:rsidR="00000000" w:rsidRDefault="00000000">
      <w:pPr>
        <w:pStyle w:val="Heading2"/>
      </w:pPr>
      <w:bookmarkStart w:id="164" w:name="_Toc77672867"/>
      <w:bookmarkStart w:id="165" w:name="_Toc79216228"/>
      <w:bookmarkStart w:id="166" w:name="_Toc79216822"/>
      <w:bookmarkStart w:id="167" w:name="_Toc79291354"/>
      <w:bookmarkStart w:id="168" w:name="_Toc79296089"/>
      <w:bookmarkStart w:id="169" w:name="_Toc83782174"/>
      <w:bookmarkStart w:id="170" w:name="_Toc83800987"/>
      <w:bookmarkStart w:id="171" w:name="_Toc84318908"/>
      <w:bookmarkStart w:id="172" w:name="_Toc94087528"/>
      <w:r>
        <w:t>3.3  Mandatory sentencing provisions</w:t>
      </w:r>
      <w:bookmarkEnd w:id="164"/>
      <w:bookmarkEnd w:id="165"/>
      <w:bookmarkEnd w:id="166"/>
      <w:bookmarkEnd w:id="167"/>
      <w:bookmarkEnd w:id="168"/>
      <w:bookmarkEnd w:id="169"/>
      <w:bookmarkEnd w:id="170"/>
      <w:bookmarkEnd w:id="171"/>
      <w:bookmarkEnd w:id="172"/>
    </w:p>
    <w:p w:rsidR="00000000" w:rsidRDefault="00000000">
      <w:r>
        <w:t>67.</w:t>
      </w:r>
      <w:r>
        <w:tab/>
        <w:t>In its Concluding Observations on Australia’s Second and Third Report, the Committee recommended that Australia ‘</w:t>
      </w:r>
      <w:r>
        <w:rPr>
          <w:i/>
        </w:rPr>
        <w:t>keep under careful review legislation imposing mandatory minimum sentences, to ensure that it does not raise questions of compliance with its international obligations under the Convention and other relevant international instruments, particularly with regard to the possible adverse effect upon disadvantaged groups</w:t>
      </w:r>
      <w:r>
        <w:t>’.</w:t>
      </w:r>
      <w:r>
        <w:rPr>
          <w:rStyle w:val="EndnoteReference"/>
        </w:rPr>
        <w:endnoteReference w:id="32"/>
      </w:r>
      <w:r>
        <w:t xml:space="preserve"> </w:t>
      </w:r>
    </w:p>
    <w:p w:rsidR="00000000" w:rsidRDefault="00000000">
      <w:r>
        <w:br w:type="page"/>
        <w:t>68.</w:t>
      </w:r>
      <w:r>
        <w:tab/>
        <w:t>Where mandatory sentencing provisions exist in Australian law they serve important policy functions.  Such provisions are not imposed in a manner that is inconsistent with Australia’s international obligations under the Convention or other relevant international instruments.</w:t>
      </w:r>
    </w:p>
    <w:p w:rsidR="00000000" w:rsidRDefault="00000000">
      <w:r>
        <w:t>69.</w:t>
      </w:r>
      <w:r>
        <w:tab/>
        <w:t>In October 2001, the Northern Territory Parliament passed legislation repealing all mandatory minimum sentences that previously applied for property offences in relation to both adults and juveniles in the Northern Territory.</w:t>
      </w:r>
      <w:r>
        <w:rPr>
          <w:rStyle w:val="EndnoteReference"/>
        </w:rPr>
        <w:endnoteReference w:id="33"/>
      </w:r>
      <w:r>
        <w:t xml:space="preserve">  </w:t>
      </w:r>
    </w:p>
    <w:p w:rsidR="00000000" w:rsidRDefault="00000000">
      <w:r>
        <w:t>70.</w:t>
      </w:r>
      <w:r>
        <w:tab/>
        <w:t xml:space="preserve">In Western Australia, mandatory sentences of 12 months imprisonment or detention continue to apply for convicted home burglars who have two or more previous convictions for home burglary.  A review of these provisions, tabled in the Western Australian Parliament on 15 November 2001, concluded that the provisions have had little effect on the criminal justice system and that courts generally sentence adult repeat offenders to periods of imprisonment greater than the minimum 12 months mandated by the legislation.  In response to the review, the Western Australian Government announced its intention to retain the ‘repeat offender’ provisions on the grounds that Western Australia has the highest rate of burglary in Australia; the legislation has the support of both major parties and the people of Western Australia; the legislation has been appropriately targeted, in that it has affected the small number of repeat juvenile offenders; and in the case of juveniles, the Court can (and does) exercise its discretion where there are exceptional circumstances by imposing a Juvenile Conditional Release Order instead of detention. </w:t>
      </w:r>
    </w:p>
    <w:p w:rsidR="00000000" w:rsidRDefault="00000000">
      <w:r>
        <w:t>71.</w:t>
      </w:r>
      <w:r>
        <w:tab/>
        <w:t xml:space="preserve">The </w:t>
      </w:r>
      <w:r>
        <w:rPr>
          <w:i/>
        </w:rPr>
        <w:t>Border Protection (Validation and Enforcement Powers) Act 2001</w:t>
      </w:r>
      <w:r>
        <w:t>, commencing 27 September 2001, amended the Migration Act to include mandatory penalties for certain offences.  Section 233C of the Migration Act provides that a court must impose sentences of imprisonment and non</w:t>
      </w:r>
      <w:r>
        <w:noBreakHyphen/>
        <w:t>parole periods for persons convicted of organising the bringing of groups, defined under the Migration Act as five or more persons, of non</w:t>
      </w:r>
      <w:r>
        <w:noBreakHyphen/>
        <w:t>citizens into Australia or if convicted of certain other offences relating to groups of non</w:t>
      </w:r>
      <w:r>
        <w:noBreakHyphen/>
        <w:t>citizens.  The Government notes that this legislation is consistent with Australia’s international obligations and does not adversely impact upon disadvantaged groups in the community.  Rather, the provisions constitute part of a broader policy to strengthen deterrents against people smuggling and serve to protect disadvantaged groups by ensuring stiffer penalties for convicted smugglers.</w:t>
      </w:r>
    </w:p>
    <w:p w:rsidR="00000000" w:rsidRDefault="00000000">
      <w:pPr>
        <w:pStyle w:val="Heading2"/>
      </w:pPr>
      <w:bookmarkStart w:id="173" w:name="_Toc77672868"/>
      <w:bookmarkStart w:id="174" w:name="_Toc79216229"/>
      <w:bookmarkStart w:id="175" w:name="_Toc79216823"/>
      <w:bookmarkStart w:id="176" w:name="_Toc79291355"/>
      <w:bookmarkStart w:id="177" w:name="_Toc79296090"/>
      <w:bookmarkStart w:id="178" w:name="_Toc83782175"/>
      <w:bookmarkStart w:id="179" w:name="_Toc83800988"/>
      <w:bookmarkStart w:id="180" w:name="_Toc84318909"/>
      <w:bookmarkStart w:id="181" w:name="_Toc94087529"/>
      <w:bookmarkEnd w:id="161"/>
      <w:r>
        <w:t>3.4  Efforts to reduce overcrowding in prisons</w:t>
      </w:r>
      <w:bookmarkEnd w:id="173"/>
      <w:bookmarkEnd w:id="174"/>
      <w:bookmarkEnd w:id="175"/>
      <w:bookmarkEnd w:id="176"/>
      <w:bookmarkEnd w:id="177"/>
      <w:bookmarkEnd w:id="178"/>
      <w:bookmarkEnd w:id="179"/>
      <w:bookmarkEnd w:id="180"/>
      <w:bookmarkEnd w:id="181"/>
    </w:p>
    <w:p w:rsidR="00000000" w:rsidRDefault="00000000">
      <w:r>
        <w:t>72.</w:t>
      </w:r>
      <w:r>
        <w:tab/>
        <w:t>In its Concluding Observations on Australia’s Second and Third Report the Committee recommended that Australia ‘</w:t>
      </w:r>
      <w:r>
        <w:rPr>
          <w:i/>
        </w:rPr>
        <w:t>continue its efforts to reduce overcrowding in prisons</w:t>
      </w:r>
      <w:r>
        <w:t>’.</w:t>
      </w:r>
      <w:r>
        <w:rPr>
          <w:rStyle w:val="EndnoteReference"/>
        </w:rPr>
        <w:endnoteReference w:id="34"/>
      </w:r>
    </w:p>
    <w:p w:rsidR="00000000" w:rsidRDefault="00000000">
      <w:r>
        <w:t>73.</w:t>
      </w:r>
      <w:r>
        <w:tab/>
        <w:t>Overcrowding in prisons does not necessarily mean that the conditions under which prisoners are held amount to torture or to cruel or inhuman or degrading treatment or punishment.  However, corrections facilities in Australia are regularly reviewed to ensure that they can safely accommodate and manage diverse groups of prisoners in humane conditions conducive to rehabilitation.  In the reporting period a number of States and Territories in Australia have reviewed existing corrections facilities and have undertaken to upgrade those facilities or to develop new facilities as required.</w:t>
      </w:r>
    </w:p>
    <w:p w:rsidR="00000000" w:rsidRDefault="00000000">
      <w:r>
        <w:t>74.</w:t>
      </w:r>
      <w:r>
        <w:tab/>
        <w:t xml:space="preserve">Diversionary programs are also utilised throughout Australia and provide an effective means of reducing incarceration rates.  For example, in Tasmania the </w:t>
      </w:r>
      <w:r>
        <w:rPr>
          <w:i/>
        </w:rPr>
        <w:t>Youth Justice Act 1997</w:t>
      </w:r>
      <w:r>
        <w:t xml:space="preserve"> provides for a range of diversionary mechanisms to reduce the number of young people in custodial facilities.  These include formal and informal cautions, fines, probation orders, good behaviour undertakings and community conferences.  The Tasmanian Department of Health and Human Services has also sought to reduce the number of young Indigenous people in detention through a program that allows young Indigenous offenders to live in an Indigenous community and participate in activities that increase their cultural and traditional connections as an alternative to a custodial sentence. </w:t>
      </w:r>
    </w:p>
    <w:p w:rsidR="00000000" w:rsidRDefault="00000000">
      <w:pPr>
        <w:pStyle w:val="Heading1"/>
        <w:ind w:left="2280" w:hanging="480"/>
        <w:jc w:val="left"/>
      </w:pPr>
      <w:bookmarkStart w:id="182" w:name="_Toc77672869"/>
      <w:bookmarkStart w:id="183" w:name="_Toc79216230"/>
      <w:bookmarkStart w:id="184" w:name="_Toc79216824"/>
      <w:bookmarkStart w:id="185" w:name="_Toc79291356"/>
      <w:bookmarkStart w:id="186" w:name="_Toc79296091"/>
      <w:bookmarkStart w:id="187" w:name="_Toc83782176"/>
      <w:bookmarkStart w:id="188" w:name="_Toc83800989"/>
      <w:bookmarkStart w:id="189" w:name="_Toc84318910"/>
      <w:bookmarkStart w:id="190" w:name="_Toc94087530"/>
      <w:r>
        <w:t>IV.</w:t>
      </w:r>
      <w:r>
        <w:tab/>
        <w:t xml:space="preserve">the right to procedural guarantees </w:t>
      </w:r>
      <w:r>
        <w:noBreakHyphen/>
      </w:r>
      <w:r>
        <w:br/>
        <w:t>articles 12, 13, 14, 15 AND 16</w:t>
      </w:r>
      <w:bookmarkEnd w:id="182"/>
      <w:bookmarkEnd w:id="183"/>
      <w:bookmarkEnd w:id="184"/>
      <w:bookmarkEnd w:id="185"/>
      <w:bookmarkEnd w:id="186"/>
      <w:bookmarkEnd w:id="187"/>
      <w:bookmarkEnd w:id="188"/>
      <w:bookmarkEnd w:id="189"/>
      <w:bookmarkEnd w:id="190"/>
    </w:p>
    <w:p w:rsidR="00000000" w:rsidRDefault="00000000">
      <w:pPr>
        <w:pStyle w:val="Heading2"/>
      </w:pPr>
      <w:bookmarkStart w:id="191" w:name="_Toc77672870"/>
      <w:bookmarkStart w:id="192" w:name="_Toc79216231"/>
      <w:bookmarkStart w:id="193" w:name="_Toc79216825"/>
      <w:bookmarkStart w:id="194" w:name="_Toc79291357"/>
      <w:bookmarkStart w:id="195" w:name="_Toc79296092"/>
      <w:bookmarkStart w:id="196" w:name="_Toc83782177"/>
      <w:bookmarkStart w:id="197" w:name="_Toc83800990"/>
      <w:bookmarkStart w:id="198" w:name="_Toc84318911"/>
      <w:bookmarkStart w:id="199" w:name="_Toc94087531"/>
      <w:r>
        <w:t>4.1  Investigation and complaints mechanisms</w:t>
      </w:r>
      <w:bookmarkEnd w:id="191"/>
      <w:bookmarkEnd w:id="192"/>
      <w:bookmarkEnd w:id="193"/>
      <w:bookmarkEnd w:id="194"/>
      <w:bookmarkEnd w:id="195"/>
      <w:bookmarkEnd w:id="196"/>
      <w:bookmarkEnd w:id="197"/>
      <w:bookmarkEnd w:id="198"/>
      <w:bookmarkEnd w:id="199"/>
    </w:p>
    <w:p w:rsidR="00000000" w:rsidRDefault="00000000">
      <w:r>
        <w:t>75.</w:t>
      </w:r>
      <w:r>
        <w:tab/>
        <w:t xml:space="preserve">Most public officers in Australia are governed by specific legislative frameworks and are accountable to specialist complaints authorities that regulate the conduct of particular occupational groups (see Appendix 2).  For further information the Committee is referred to Part Five of Australia’s Second and Third Report. </w:t>
      </w:r>
    </w:p>
    <w:p w:rsidR="00000000" w:rsidRDefault="00000000">
      <w:pPr>
        <w:pStyle w:val="Heading3"/>
      </w:pPr>
      <w:r>
        <w:t>Complaint mechanisms, access to legal redress, and use of evidence in the ASIO questioning regime</w:t>
      </w:r>
    </w:p>
    <w:p w:rsidR="00000000" w:rsidRDefault="00000000">
      <w:r>
        <w:t>76.</w:t>
      </w:r>
      <w:r>
        <w:tab/>
        <w:t>With the amendment of the ASIO Act in this reporting round (see paragraphs 26</w:t>
      </w:r>
      <w:r>
        <w:noBreakHyphen/>
        <w:t>29), significant safeguard mechanisms were put in place to ensure that persons subject to a questioning warrant have access to appropriate procedural protections.  The ASIO Act expressly provides that the subject of a warrant can contact the Inspector</w:t>
      </w:r>
      <w:r>
        <w:noBreakHyphen/>
        <w:t>General of Intelligence and Security (IGIS) or the Commonwealth Ombudsman at any time to make a complaint.  Appropriate facilities must be provided for this purpose, including ensuring that a complaint can be made in private.</w:t>
      </w:r>
    </w:p>
    <w:p w:rsidR="00000000" w:rsidRDefault="00000000">
      <w:r>
        <w:t>77.</w:t>
      </w:r>
      <w:r>
        <w:tab/>
        <w:t>The IGIS is an important accountability mechanism for Australia’s intelligence agencies.  It operates independently of Government and has extensive investigatory powers similar to that of a standing Royal Commission.</w:t>
      </w:r>
      <w:r>
        <w:rPr>
          <w:rStyle w:val="EndnoteReference"/>
        </w:rPr>
        <w:endnoteReference w:id="35"/>
      </w:r>
      <w:r>
        <w:t xml:space="preserve">  The IGIS may be present during questioning proceedings and, if the IGIS is concerned about an illegal act or an impropriety occurring during questioning, he or she may advise the prescribed authority.  The prescribed authority may suspend questioning until the IGIS’s concerns have been addressed.</w:t>
      </w:r>
    </w:p>
    <w:p w:rsidR="00000000" w:rsidRDefault="00000000">
      <w:r>
        <w:t>78.</w:t>
      </w:r>
      <w:r>
        <w:tab/>
        <w:t xml:space="preserve">At any time, the subject of a warrant has a right to seek a remedy relating to the warrant, or the treatment of the subject in connection with the warrant, from a federal court.  The subject of a warrant may also contact a lawyer of his or her choice at any time.  The lawyer may be present during questioning subject to the direction of the prescribed authority on a case being made out by ASIO for the exclusion of a particular lawyer.  If exclusion occurs, the subject may choose another lawyer. </w:t>
      </w:r>
    </w:p>
    <w:p w:rsidR="00000000" w:rsidRDefault="00000000">
      <w:pPr>
        <w:pStyle w:val="Heading3"/>
      </w:pPr>
      <w:r>
        <w:t>Complaints relating to the conditions of immigration detention centres</w:t>
      </w:r>
    </w:p>
    <w:p w:rsidR="00000000" w:rsidRDefault="00000000">
      <w:r>
        <w:t>79.</w:t>
      </w:r>
      <w:r>
        <w:tab/>
        <w:t xml:space="preserve">The IDS establish a complaints mechanism for immigration detainees and ensure that detainees are able to comment or complain without hindrance or fear of reprisal: </w:t>
      </w:r>
    </w:p>
    <w:p w:rsidR="00000000" w:rsidRDefault="00000000">
      <w:pPr>
        <w:numPr>
          <w:ilvl w:val="0"/>
          <w:numId w:val="138"/>
        </w:numPr>
        <w:rPr>
          <w:szCs w:val="22"/>
        </w:rPr>
      </w:pPr>
      <w:r>
        <w:rPr>
          <w:szCs w:val="22"/>
        </w:rPr>
        <w:t xml:space="preserve">about any matter relating to the conditions of detention to the Services Provider, DIMIA, HREOC or the Commonwealth Ombudsman, or </w:t>
      </w:r>
    </w:p>
    <w:p w:rsidR="00000000" w:rsidRDefault="00000000">
      <w:pPr>
        <w:numPr>
          <w:ilvl w:val="0"/>
          <w:numId w:val="138"/>
        </w:numPr>
        <w:rPr>
          <w:szCs w:val="22"/>
        </w:rPr>
      </w:pPr>
      <w:r>
        <w:rPr>
          <w:szCs w:val="22"/>
        </w:rPr>
        <w:t xml:space="preserve">in the case of a suspected criminal offence, to the police, or </w:t>
      </w:r>
    </w:p>
    <w:p w:rsidR="00000000" w:rsidRDefault="00000000">
      <w:pPr>
        <w:numPr>
          <w:ilvl w:val="0"/>
          <w:numId w:val="138"/>
        </w:numPr>
        <w:rPr>
          <w:szCs w:val="22"/>
        </w:rPr>
      </w:pPr>
      <w:r>
        <w:rPr>
          <w:szCs w:val="22"/>
        </w:rPr>
        <w:t>in the case of suspected child abuse, to the relevant State/Territory welfare agency.</w:t>
      </w:r>
      <w:r>
        <w:rPr>
          <w:rStyle w:val="EndnoteReference"/>
          <w:szCs w:val="22"/>
        </w:rPr>
        <w:endnoteReference w:id="36"/>
      </w:r>
    </w:p>
    <w:p w:rsidR="00000000" w:rsidRDefault="00000000">
      <w:pPr>
        <w:rPr>
          <w:iCs/>
          <w:snapToGrid w:val="0"/>
        </w:rPr>
      </w:pPr>
      <w:r>
        <w:rPr>
          <w:iCs/>
          <w:snapToGrid w:val="0"/>
        </w:rPr>
        <w:t>80.</w:t>
      </w:r>
      <w:r>
        <w:rPr>
          <w:iCs/>
          <w:snapToGrid w:val="0"/>
        </w:rPr>
        <w:tab/>
        <w:t>The IDS also require that detainees be informed of their rights and that material advising of the right to complain to HREOC and the Commonwealth Ombudsman be displayed prominently throughout the facilities at all times and be available to detainees on request.</w:t>
      </w:r>
    </w:p>
    <w:p w:rsidR="00000000" w:rsidRDefault="00000000">
      <w:pPr>
        <w:pStyle w:val="Heading2"/>
      </w:pPr>
      <w:bookmarkStart w:id="200" w:name="_Toc77672871"/>
      <w:bookmarkStart w:id="201" w:name="_Toc79216232"/>
      <w:bookmarkStart w:id="202" w:name="_Toc79216826"/>
      <w:bookmarkStart w:id="203" w:name="_Toc79291358"/>
      <w:bookmarkStart w:id="204" w:name="_Toc79296093"/>
      <w:bookmarkStart w:id="205" w:name="_Toc83782178"/>
      <w:bookmarkStart w:id="206" w:name="_Toc83800991"/>
      <w:bookmarkStart w:id="207" w:name="_Toc84318912"/>
      <w:bookmarkStart w:id="208" w:name="_Toc94087532"/>
      <w:r>
        <w:t>4.2  Protection of complainants</w:t>
      </w:r>
      <w:bookmarkEnd w:id="201"/>
      <w:bookmarkEnd w:id="202"/>
      <w:bookmarkEnd w:id="203"/>
      <w:bookmarkEnd w:id="204"/>
      <w:bookmarkEnd w:id="205"/>
      <w:bookmarkEnd w:id="206"/>
      <w:bookmarkEnd w:id="207"/>
      <w:bookmarkEnd w:id="208"/>
    </w:p>
    <w:p w:rsidR="00000000" w:rsidRDefault="00000000">
      <w:r>
        <w:t>81.</w:t>
      </w:r>
      <w:r>
        <w:tab/>
        <w:t>In its Concluding Observations on Australia’s Second and Third Report the Committee recommended that Australia ‘</w:t>
      </w:r>
      <w:r>
        <w:rPr>
          <w:i/>
        </w:rPr>
        <w:t>ensure that complainants are protected against intimidation and adverse consequences as a result of their complaint</w:t>
      </w:r>
      <w:r>
        <w:t>’.</w:t>
      </w:r>
      <w:r>
        <w:rPr>
          <w:rStyle w:val="EndnoteReference"/>
        </w:rPr>
        <w:endnoteReference w:id="37"/>
      </w:r>
      <w:r>
        <w:t xml:space="preserve">  </w:t>
      </w:r>
    </w:p>
    <w:p w:rsidR="00000000" w:rsidRDefault="00000000">
      <w:pPr>
        <w:pStyle w:val="Heading3"/>
      </w:pPr>
      <w:r>
        <w:t>Protection against adverse consequences as a result of making a complaint</w:t>
      </w:r>
    </w:p>
    <w:p w:rsidR="00000000" w:rsidRDefault="00000000">
      <w:r>
        <w:t>82.</w:t>
      </w:r>
      <w:r>
        <w:tab/>
        <w:t xml:space="preserve">Legislation covering a wide range of areas, including health and community services, correctional services and public administration, protects complainants in all Australian jurisdictions (see Table 1).  For example, the </w:t>
      </w:r>
      <w:r>
        <w:rPr>
          <w:i/>
        </w:rPr>
        <w:t xml:space="preserve">Health and Community Services Complaints Act </w:t>
      </w:r>
      <w:r>
        <w:t>enacted in the Northern Territory in July 2003 makes it an offence to intimidate or take any action against a complainant as a result of making a complaint.  A penalty of up to $10,000 or 12 months imprisonment applies for contravention of this provision.  Both the Community Services Complaints Commissioner and the Ombudsman are able to investigate any complaint relating to harassment, intimidation or victimisation of a complainant as a result of making a complaint.</w:t>
      </w:r>
    </w:p>
    <w:p w:rsidR="00000000" w:rsidRDefault="00000000">
      <w:r>
        <w:t>83.</w:t>
      </w:r>
      <w:r>
        <w:tab/>
        <w:t xml:space="preserve">Another example is section 26 of the </w:t>
      </w:r>
      <w:r>
        <w:rPr>
          <w:i/>
        </w:rPr>
        <w:t>Human Rights and Equal Opportunity Commission Act 1986</w:t>
      </w:r>
      <w:r>
        <w:t>.  This section protects a person who provides information or makes a complaint to HREOC, or who alleges that there has been an act or practice inconsistent with or contrary to human rights, by making it an offence to intimidate or coerce such a person.</w:t>
      </w:r>
    </w:p>
    <w:p w:rsidR="00000000" w:rsidRDefault="00000000">
      <w:pPr>
        <w:pStyle w:val="Heading3"/>
      </w:pPr>
      <w:r>
        <w:t>Disclosure of public interest information</w:t>
      </w:r>
    </w:p>
    <w:p w:rsidR="00000000" w:rsidRDefault="00000000">
      <w:r>
        <w:t>84.</w:t>
      </w:r>
      <w:r>
        <w:tab/>
        <w:t xml:space="preserve">A range of legislation throughout Australia also protects individuals, including natural persons and public officers, who make public interest disclosures.  Such legislation offers special protection to disclosures about unlawful, negligent or improper public sector conduct.  For example, in July 2003 Western Australia enacted the </w:t>
      </w:r>
      <w:r>
        <w:rPr>
          <w:i/>
        </w:rPr>
        <w:t>Public Interest Disclosure Act 2003</w:t>
      </w:r>
      <w:r>
        <w:t xml:space="preserve">.  This Act facilitates the disclosure of public interest information by providing protection for those who make disclosures and those who are the subject of disclosures.  It also enables disclosed matters to be investigated and appropriate action to be taken.  A person making a disclosure is protected </w:t>
      </w:r>
      <w:r>
        <w:br w:type="page"/>
        <w:t>under the Act against any reprisals; civil and criminal liability in the event of making a disclosure; dismissal or having services dispensed with; and breach of confidentiality or secrecy agreements.</w:t>
      </w:r>
    </w:p>
    <w:p w:rsidR="00000000" w:rsidRDefault="00000000">
      <w:r>
        <w:t>85.</w:t>
      </w:r>
      <w:r>
        <w:tab/>
        <w:t>Similar legislation is in place or is currently being developed in all other Australian jurisdictions.</w:t>
      </w:r>
    </w:p>
    <w:p w:rsidR="00000000" w:rsidRDefault="00000000">
      <w:pPr>
        <w:pStyle w:val="Heading2"/>
      </w:pPr>
      <w:bookmarkStart w:id="209" w:name="_Toc79216233"/>
      <w:bookmarkStart w:id="210" w:name="_Toc79216827"/>
      <w:bookmarkStart w:id="211" w:name="_Toc79291359"/>
      <w:bookmarkStart w:id="212" w:name="_Toc79296094"/>
      <w:bookmarkStart w:id="213" w:name="_Toc83782179"/>
      <w:bookmarkStart w:id="214" w:name="_Toc83800992"/>
      <w:bookmarkStart w:id="215" w:name="_Toc84318913"/>
      <w:bookmarkStart w:id="216" w:name="_Toc94087533"/>
      <w:r>
        <w:t>4.3  Sample of investigations and complaints in the reporting period</w:t>
      </w:r>
      <w:bookmarkEnd w:id="200"/>
      <w:bookmarkEnd w:id="209"/>
      <w:bookmarkEnd w:id="210"/>
      <w:bookmarkEnd w:id="211"/>
      <w:bookmarkEnd w:id="212"/>
      <w:bookmarkEnd w:id="213"/>
      <w:bookmarkEnd w:id="214"/>
      <w:bookmarkEnd w:id="215"/>
      <w:bookmarkEnd w:id="216"/>
    </w:p>
    <w:p w:rsidR="00000000" w:rsidRDefault="00000000">
      <w:pPr>
        <w:pStyle w:val="Heading4"/>
      </w:pPr>
      <w:r>
        <w:t>Investigation into allegations of brutality in the Army’s Parachute Battalion</w:t>
      </w:r>
    </w:p>
    <w:p w:rsidR="00000000" w:rsidRDefault="00000000">
      <w:r>
        <w:t>86.</w:t>
      </w:r>
      <w:r>
        <w:tab/>
        <w:t>In April 2001 the Joint Standing Committee on Foreign Affairs, Defence and Trade (Joint Standing Committee) of the Australian Parliament released a report into allegations of systematic mistreatment within the Third Battalion Royal Australian Regiment (3 RAR) which arose in September 1998.</w:t>
      </w:r>
      <w:r>
        <w:rPr>
          <w:rStyle w:val="EndnoteReference"/>
        </w:rPr>
        <w:endnoteReference w:id="38"/>
      </w:r>
      <w:r>
        <w:t xml:space="preserve">  These allegations led to a police investigation and charges in a number of instances.  </w:t>
      </w:r>
    </w:p>
    <w:p w:rsidR="00000000" w:rsidRDefault="00000000">
      <w:r>
        <w:t>87.</w:t>
      </w:r>
      <w:r>
        <w:tab/>
        <w:t>The report concluded that an unauthorised system of extra</w:t>
      </w:r>
      <w:r>
        <w:noBreakHyphen/>
        <w:t>judicial punishment existed at 3 RAR between 1996 and 1998.  The punishment was perpetrated without a hearing on private soldiers who were presumed guilty of certain offences, typically involving theft or drugs, or who were considered to be underperforming.  The report found that the punishment primarily took the form of illegal bashings, most often perpetrated on victims by fellow privates, or junior Non</w:t>
      </w:r>
      <w:r>
        <w:noBreakHyphen/>
        <w:t>Commissioned Officers.</w:t>
      </w:r>
    </w:p>
    <w:p w:rsidR="00000000" w:rsidRDefault="00000000">
      <w:r>
        <w:t>88.</w:t>
      </w:r>
      <w:r>
        <w:tab/>
        <w:t xml:space="preserve">An internal audit of the ADF conducted in response to the allegations found that nothing pointed to the existence of any </w:t>
      </w:r>
      <w:r>
        <w:rPr>
          <w:i/>
          <w:iCs/>
        </w:rPr>
        <w:t>systemic</w:t>
      </w:r>
      <w:r>
        <w:t xml:space="preserve"> substitution of violence in any form for the due processes of lawful discipline in the ADF.</w:t>
      </w:r>
      <w:r>
        <w:rPr>
          <w:rStyle w:val="EndnoteReference"/>
        </w:rPr>
        <w:endnoteReference w:id="39"/>
      </w:r>
      <w:r>
        <w:t xml:space="preserve">  However, in response to one of the principal recommendations of the audit report, the position of Inspector</w:t>
      </w:r>
      <w:r>
        <w:noBreakHyphen/>
        <w:t>General of the Australian Defence Force (IGADF) was established in January 2003.  The IGADF provides the Chief of the Defence Force with internal audit and review of the military justice system independent of the ordinary chain of command.  The aim of this mechanism is to expose and examine any failures in military justice and to ensure that review and remedy are available.</w:t>
      </w:r>
    </w:p>
    <w:p w:rsidR="00000000" w:rsidRDefault="00000000">
      <w:r>
        <w:t>89.</w:t>
      </w:r>
      <w:r>
        <w:tab/>
        <w:t xml:space="preserve">The Government has also implemented a number of further measures in response to the recommendations of the Joint Standing Committee.  For example, the Government established the Registrar of Military Justice.  The Registrar is currently implementing a case management system to capture all ADF inquiries and matters of ADF discipline.  This information is available to the IGADF to support that office in ensuring compliance with due processes, timeliness, transparency and relevant standards in military justice. </w:t>
      </w:r>
    </w:p>
    <w:p w:rsidR="00000000" w:rsidRDefault="00000000">
      <w:pPr>
        <w:pStyle w:val="Heading4"/>
      </w:pPr>
      <w:r>
        <w:t>The Commission of Inquiry into the Abuse of Children in Queensland Institutions (Forde Inquiry)</w:t>
      </w:r>
    </w:p>
    <w:p w:rsidR="00000000" w:rsidRDefault="00000000">
      <w:r>
        <w:t>90.</w:t>
      </w:r>
      <w:r>
        <w:tab/>
        <w:t xml:space="preserve">In August 1998 the Forde Inquiry was established to investigate and report on any unsafe, improper or unlawful care or treatment of children, or any breach of statutory </w:t>
      </w:r>
      <w:r>
        <w:br w:type="page"/>
        <w:t>obligation during the care, protection or detention of children in Queensland in certain government and non</w:t>
      </w:r>
      <w:r>
        <w:noBreakHyphen/>
        <w:t>government institutions and detention centres between 1911 and 1998.  The Report of the findings of this Inquiry was tabled in Queensland Parliament in June 1999.</w:t>
      </w:r>
    </w:p>
    <w:p w:rsidR="00000000" w:rsidRDefault="00000000">
      <w:r>
        <w:t>91.</w:t>
      </w:r>
      <w:r>
        <w:tab/>
        <w:t xml:space="preserve">Although the Inquiry identified fewer incidents of abuse, neglect and breaches of statutory obligation in recent history, it considered that such incidents had occurred in many institutions and that children in the care of the State remained at risk of harm at that time.  It also found that accountability systems were inadequate and did not ensure that abuse would be prevented or that complaints would be dealt with appropriately.  </w:t>
      </w:r>
    </w:p>
    <w:p w:rsidR="00000000" w:rsidRDefault="00000000">
      <w:r>
        <w:t>92.</w:t>
      </w:r>
      <w:r>
        <w:tab/>
        <w:t xml:space="preserve">The Inquiry made 42 recommendations aimed at addressing past abuse as well as preventing abuse in the future.  The Queensland Government accepted 41 of the recommendations, undertaking to address past abuse and improve youth justice and residential care services.  The Government also broadened the application of the recommendations beyond residential care to include child protection and alternative care.  </w:t>
      </w:r>
    </w:p>
    <w:p w:rsidR="00000000" w:rsidRDefault="00000000">
      <w:r>
        <w:t>93.</w:t>
      </w:r>
      <w:r>
        <w:tab/>
        <w:t xml:space="preserve">A number of significant legislative measures arose out of the Forde Inquiry recommendations.  These included the </w:t>
      </w:r>
      <w:r>
        <w:rPr>
          <w:i/>
        </w:rPr>
        <w:t>Child Protection Act 1999</w:t>
      </w:r>
      <w:r>
        <w:t xml:space="preserve">, the </w:t>
      </w:r>
      <w:r>
        <w:rPr>
          <w:i/>
        </w:rPr>
        <w:t>Children’s Services Tribunal Act 2000</w:t>
      </w:r>
      <w:r>
        <w:t xml:space="preserve">, the </w:t>
      </w:r>
      <w:r>
        <w:rPr>
          <w:i/>
        </w:rPr>
        <w:t>Commission for Children and Young People Act 2000</w:t>
      </w:r>
      <w:r>
        <w:t xml:space="preserve">, and the </w:t>
      </w:r>
      <w:r>
        <w:rPr>
          <w:i/>
        </w:rPr>
        <w:t>Child Protection (International Measures) Act 2003</w:t>
      </w:r>
      <w:r>
        <w:t xml:space="preserve">.  Respectively, these instruments increase safeguards for children in the child protection system; establish a merits review process in relation to service provision for children and young people; strengthen the role of the Commission for Children and Young People in promoting and advocating for the rights, interests and wellbeing of children; and implement the child protection aspects of the </w:t>
      </w:r>
      <w:r>
        <w:rPr>
          <w:i/>
        </w:rPr>
        <w:t>Hague Convention on Jurisdiction, Applicable Law, Recognition, Enforcement and Co</w:t>
      </w:r>
      <w:r>
        <w:rPr>
          <w:i/>
        </w:rPr>
        <w:noBreakHyphen/>
        <w:t>operation in respect of Parental Responsibility and Measures for the Protection of Children</w:t>
      </w:r>
      <w:r>
        <w:t xml:space="preserve"> in Queensland. </w:t>
      </w:r>
    </w:p>
    <w:p w:rsidR="00000000" w:rsidRDefault="00000000">
      <w:r>
        <w:t>94.</w:t>
      </w:r>
      <w:r>
        <w:tab/>
        <w:t xml:space="preserve">In August and September 2000, an independent Committee appointed to monitor the implementation of the Forde Inquiry recommendations reported to Parliament and described the Queensland Government as having taken major steps forward in implementing the recommendations.  </w:t>
      </w:r>
    </w:p>
    <w:p w:rsidR="00000000" w:rsidRDefault="00000000">
      <w:pPr>
        <w:pStyle w:val="Heading4"/>
      </w:pPr>
      <w:r>
        <w:t>HREOC Report, A last resort?  The report of the National Inquiry into Children in Immigration Detention</w:t>
      </w:r>
    </w:p>
    <w:p w:rsidR="00000000" w:rsidRDefault="00000000">
      <w:r>
        <w:t>95.</w:t>
      </w:r>
      <w:r>
        <w:tab/>
        <w:t xml:space="preserve">On 13 May 2004, </w:t>
      </w:r>
      <w:bookmarkStart w:id="217" w:name="OLE_LINK18"/>
      <w:r>
        <w:t xml:space="preserve">HREOC released its Report, </w:t>
      </w:r>
      <w:r>
        <w:rPr>
          <w:i/>
        </w:rPr>
        <w:t>A last resort? The report of the National Inquiry into Children in Immigration Detention</w:t>
      </w:r>
      <w:r>
        <w:t xml:space="preserve">, covering the period from </w:t>
      </w:r>
      <w:bookmarkEnd w:id="217"/>
      <w:r>
        <w:t xml:space="preserve">1 January 1999 </w:t>
      </w:r>
      <w:r>
        <w:noBreakHyphen/>
        <w:t xml:space="preserve"> 31 December 2002.  The second of HREOC’s three major findings was that:</w:t>
      </w:r>
    </w:p>
    <w:p w:rsidR="00000000" w:rsidRDefault="00000000">
      <w:pPr>
        <w:ind w:left="720"/>
        <w:rPr>
          <w:szCs w:val="22"/>
        </w:rPr>
      </w:pPr>
      <w:r>
        <w:rPr>
          <w:szCs w:val="22"/>
        </w:rPr>
        <w:t>Children in immigration detention for long periods of time are at high risk of serious mental harm.  The Commonwealth’s failure to implement the repeated recommendations by mental health professionals that certain children be removed from the detention environment with their parents amounted to cruel, inhumane or degrading treatment of those children in detention.</w:t>
      </w:r>
      <w:r>
        <w:rPr>
          <w:rStyle w:val="EndnoteReference"/>
          <w:szCs w:val="22"/>
        </w:rPr>
        <w:endnoteReference w:id="40"/>
      </w:r>
    </w:p>
    <w:p w:rsidR="00000000" w:rsidRDefault="00000000">
      <w:r>
        <w:t>96.</w:t>
      </w:r>
      <w:r>
        <w:tab/>
        <w:t>HREOC was of the opinion that detention of children breached article 37 (a) of the CRC in this regard.  That article provides that ‘[n]o child shall be subjected to torture or other cruel, inhuman or degrading treatment or punishment’.</w:t>
      </w:r>
      <w:r>
        <w:rPr>
          <w:rStyle w:val="EndnoteReference"/>
        </w:rPr>
        <w:endnoteReference w:id="41"/>
      </w:r>
      <w:bookmarkStart w:id="218" w:name="OLE_LINK10"/>
      <w:bookmarkStart w:id="219" w:name="OLE_LINK19"/>
    </w:p>
    <w:p w:rsidR="00000000" w:rsidRDefault="00000000">
      <w:r>
        <w:t>97.</w:t>
      </w:r>
      <w:r>
        <w:tab/>
        <w:t xml:space="preserve">The Government rejects the major findings and recommendations of HREOC’s report.  The Government also rejects HREOC’s view that Australia’s system of immigration detention is inconsistent with Australia’s obligations under the CRC.  The reasons for these views are discussed further below. </w:t>
      </w:r>
    </w:p>
    <w:p w:rsidR="00000000" w:rsidRDefault="00000000">
      <w:r>
        <w:t>98.</w:t>
      </w:r>
      <w:r>
        <w:tab/>
        <w:t>Placement of children in immigration detention in Australia only occurs ‘in conformity with the law’, specifically the Migration Act, as required by article 37 (b) of the CRC.  A variety of programs are run within immigration detention facilities to ensure detainee development and quality of life as appropriate to the general needs, age and gender of each detainee.  For example, general educational, recreational, cultural and religious programs are available to all adult and children detainees.  In particular, children may participate in external schooling with children in the community, with the consent of their parents.  Medical or other health care, including psychiatric care and referral to specialists, is also available to all detainees as required.  All such programs and services are subject to ongoing monitoring and review.</w:t>
      </w:r>
    </w:p>
    <w:p w:rsidR="00000000" w:rsidRDefault="00000000">
      <w:r>
        <w:t>99.</w:t>
      </w:r>
      <w:r>
        <w:tab/>
        <w:t xml:space="preserve">The Government has also developed and implemented innovative alternative detention strategies for women, children and detainees with special needs, including voluntary participation for women and children in Residential Housing Projects, foster care placements and community detention arrangements with community groups and NGOs.  More information on these measures can be found on DIMIA’s website: </w:t>
      </w:r>
      <w:hyperlink r:id="rId9" w:history="1">
        <w:r>
          <w:rPr>
            <w:rStyle w:val="Hyperlink"/>
          </w:rPr>
          <w:t>www.immi.gov.au</w:t>
        </w:r>
      </w:hyperlink>
      <w:r>
        <w:t>.</w:t>
      </w:r>
    </w:p>
    <w:p w:rsidR="00000000" w:rsidRDefault="00000000">
      <w:r>
        <w:t>100.</w:t>
      </w:r>
      <w:r>
        <w:tab/>
        <w:t xml:space="preserve">Finally, the Government has developed a system that ensures that the number of children in immigration detention is as limited as possible, that children are only detained as a last resort, and that those who are detained are well cared for.  As at 15 December 2004, there was only one child classified as an unauthorised boat arrival in mainland detention centres in Australia and 26 children in alternative detention arrangements in the community. </w:t>
      </w:r>
    </w:p>
    <w:p w:rsidR="00000000" w:rsidRDefault="00000000">
      <w:pPr>
        <w:pStyle w:val="Heading2"/>
        <w:ind w:left="1680" w:hanging="480"/>
        <w:jc w:val="left"/>
      </w:pPr>
      <w:bookmarkStart w:id="220" w:name="_Toc79216234"/>
      <w:bookmarkStart w:id="221" w:name="_Toc79216828"/>
      <w:bookmarkStart w:id="222" w:name="_Toc79291360"/>
      <w:bookmarkStart w:id="223" w:name="_Toc79296095"/>
      <w:bookmarkStart w:id="224" w:name="_Toc83782180"/>
      <w:bookmarkStart w:id="225" w:name="_Toc83800993"/>
      <w:bookmarkStart w:id="226" w:name="_Toc84318914"/>
      <w:bookmarkStart w:id="227" w:name="_Toc94087534"/>
      <w:bookmarkEnd w:id="218"/>
      <w:bookmarkEnd w:id="219"/>
      <w:r>
        <w:t>4.4</w:t>
      </w:r>
      <w:r>
        <w:tab/>
        <w:t xml:space="preserve">Medical and psychological rehabilitation after acts of torture or </w:t>
      </w:r>
      <w:r>
        <w:br/>
        <w:t>other cruel, inhuman or degrading treatment or punishment</w:t>
      </w:r>
      <w:bookmarkEnd w:id="220"/>
      <w:bookmarkEnd w:id="221"/>
      <w:bookmarkEnd w:id="222"/>
      <w:bookmarkEnd w:id="223"/>
      <w:bookmarkEnd w:id="224"/>
      <w:bookmarkEnd w:id="225"/>
      <w:bookmarkEnd w:id="226"/>
      <w:bookmarkEnd w:id="227"/>
    </w:p>
    <w:p w:rsidR="00000000" w:rsidRDefault="00000000">
      <w:pPr>
        <w:spacing w:after="200"/>
      </w:pPr>
      <w:r>
        <w:t>101.</w:t>
      </w:r>
      <w:r>
        <w:tab/>
        <w:t>Torture and trauma victims in Australia are predominantly refugees and people who have entered Australia on special humanitarian grounds.  Specialist torture and trauma services exist in all Australian States and Territories to assist such people.</w:t>
      </w:r>
    </w:p>
    <w:p w:rsidR="00000000" w:rsidRDefault="00000000">
      <w:pPr>
        <w:spacing w:after="200"/>
      </w:pPr>
      <w:r>
        <w:t>102.</w:t>
      </w:r>
      <w:r>
        <w:tab/>
        <w:t xml:space="preserve">For example, New South Wales has two specialised services that target survivors of torture and other human rights abuses: </w:t>
      </w:r>
    </w:p>
    <w:p w:rsidR="00000000" w:rsidRDefault="00000000">
      <w:pPr>
        <w:numPr>
          <w:ilvl w:val="0"/>
          <w:numId w:val="139"/>
        </w:numPr>
        <w:spacing w:after="200"/>
        <w:ind w:left="1071"/>
        <w:rPr>
          <w:szCs w:val="22"/>
        </w:rPr>
      </w:pPr>
      <w:r>
        <w:rPr>
          <w:szCs w:val="22"/>
        </w:rPr>
        <w:t>the Service for the Treatment of Torture and Trauma Survivors which provides counselling, training and medical support to those who have been tortured or traumatised as part of a refugee experience; and</w:t>
      </w:r>
    </w:p>
    <w:p w:rsidR="00000000" w:rsidRDefault="00000000">
      <w:pPr>
        <w:numPr>
          <w:ilvl w:val="0"/>
          <w:numId w:val="139"/>
        </w:numPr>
        <w:spacing w:after="200"/>
        <w:ind w:left="1071"/>
        <w:rPr>
          <w:szCs w:val="22"/>
        </w:rPr>
      </w:pPr>
      <w:r>
        <w:rPr>
          <w:szCs w:val="22"/>
        </w:rPr>
        <w:t xml:space="preserve">the New South Wales Refugee Health Service which provides assessments and information and generally protects the health of persons with a refugee background living in New South Wales. </w:t>
      </w:r>
    </w:p>
    <w:p w:rsidR="00000000" w:rsidRDefault="00000000">
      <w:r>
        <w:t>103.</w:t>
      </w:r>
      <w:r>
        <w:tab/>
        <w:t>The Committee is referred to paragraphs 137</w:t>
      </w:r>
      <w:r>
        <w:noBreakHyphen/>
        <w:t>138 of Australia’s Second and Third Report for further information.</w:t>
      </w:r>
    </w:p>
    <w:p w:rsidR="00000000" w:rsidRDefault="00000000">
      <w:pPr>
        <w:pStyle w:val="Heading1"/>
        <w:spacing w:after="0"/>
        <w:rPr>
          <w:bCs/>
          <w:caps w:val="0"/>
        </w:rPr>
        <w:sectPr w:rsidR="00000000">
          <w:headerReference w:type="even" r:id="rId10"/>
          <w:headerReference w:type="default" r:id="rId11"/>
          <w:footerReference w:type="default" r:id="rId12"/>
          <w:endnotePr>
            <w:numFmt w:val="decimal"/>
          </w:endnotePr>
          <w:type w:val="continuous"/>
          <w:pgSz w:w="11907" w:h="16840" w:code="9"/>
          <w:pgMar w:top="567" w:right="850" w:bottom="1984" w:left="1701" w:header="850" w:footer="1984" w:gutter="0"/>
          <w:cols w:space="720"/>
          <w:titlePg/>
          <w:docGrid w:linePitch="326"/>
        </w:sectPr>
      </w:pPr>
      <w:r>
        <w:rPr>
          <w:bCs/>
          <w:caps w:val="0"/>
        </w:rPr>
        <w:t>Notes</w:t>
      </w:r>
    </w:p>
    <w:p w:rsidR="00000000" w:rsidRDefault="00000000">
      <w:pPr>
        <w:pStyle w:val="Heading2"/>
      </w:pPr>
      <w:r>
        <w:t>Appendices and tables</w:t>
      </w:r>
    </w:p>
    <w:p w:rsidR="00000000" w:rsidRDefault="00000000">
      <w:pPr>
        <w:pStyle w:val="Heading1"/>
      </w:pPr>
      <w:bookmarkStart w:id="228" w:name="_Toc79216236"/>
      <w:bookmarkStart w:id="229" w:name="_Toc79216830"/>
      <w:bookmarkStart w:id="230" w:name="_Toc79291362"/>
      <w:bookmarkStart w:id="231" w:name="_Toc79296097"/>
      <w:bookmarkStart w:id="232" w:name="_Toc83782182"/>
      <w:bookmarkStart w:id="233" w:name="_Toc83800995"/>
      <w:bookmarkStart w:id="234" w:name="_Toc84318916"/>
      <w:bookmarkStart w:id="235" w:name="_Toc94087536"/>
      <w:r>
        <w:t>APPENDIX I.  OFFENCES AND PENALTIES</w:t>
      </w:r>
      <w:bookmarkEnd w:id="228"/>
      <w:bookmarkEnd w:id="229"/>
      <w:bookmarkEnd w:id="230"/>
      <w:bookmarkEnd w:id="231"/>
      <w:bookmarkEnd w:id="232"/>
      <w:bookmarkEnd w:id="233"/>
      <w:bookmarkEnd w:id="234"/>
      <w:bookmarkEnd w:id="235"/>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pct5" w:color="auto" w:fill="auto"/>
        <w:tblLayout w:type="fixed"/>
        <w:tblLook w:val="0000" w:firstRow="0" w:lastRow="0" w:firstColumn="0" w:lastColumn="0" w:noHBand="0" w:noVBand="0"/>
      </w:tblPr>
      <w:tblGrid>
        <w:gridCol w:w="1276"/>
        <w:gridCol w:w="4842"/>
        <w:gridCol w:w="3238"/>
      </w:tblGrid>
      <w:tr w:rsidR="00000000">
        <w:trPr>
          <w:cantSplit/>
          <w:tblHeader/>
        </w:trPr>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after="0"/>
              <w:ind w:left="57" w:right="57"/>
            </w:pPr>
            <w:r>
              <w:t>Section</w:t>
            </w:r>
          </w:p>
        </w:tc>
        <w:tc>
          <w:tcPr>
            <w:tcW w:w="4842" w:type="dxa"/>
            <w:tcBorders>
              <w:top w:val="single" w:sz="6" w:space="0" w:color="auto"/>
              <w:left w:val="single" w:sz="6" w:space="0" w:color="auto"/>
              <w:bottom w:val="single" w:sz="6" w:space="0" w:color="auto"/>
              <w:right w:val="single" w:sz="6" w:space="0" w:color="auto"/>
            </w:tcBorders>
          </w:tcPr>
          <w:p w:rsidR="00000000" w:rsidRDefault="00000000">
            <w:pPr>
              <w:spacing w:after="0"/>
              <w:ind w:left="-64" w:right="57"/>
            </w:pPr>
            <w:r>
              <w:t>Offence</w:t>
            </w:r>
          </w:p>
        </w:tc>
        <w:tc>
          <w:tcPr>
            <w:tcW w:w="3238" w:type="dxa"/>
            <w:tcBorders>
              <w:top w:val="single" w:sz="6" w:space="0" w:color="auto"/>
              <w:left w:val="single" w:sz="6" w:space="0" w:color="auto"/>
              <w:bottom w:val="single" w:sz="6" w:space="0" w:color="auto"/>
              <w:right w:val="single" w:sz="6" w:space="0" w:color="auto"/>
            </w:tcBorders>
          </w:tcPr>
          <w:p w:rsidR="00000000" w:rsidRDefault="00000000">
            <w:pPr>
              <w:spacing w:after="0"/>
              <w:ind w:left="-64" w:right="57"/>
            </w:pPr>
            <w:r>
              <w:t>Maximum penalty</w:t>
            </w:r>
          </w:p>
        </w:tc>
      </w:tr>
      <w:tr w:rsidR="00000000">
        <w:tblPrEx>
          <w:shd w:val="clear" w:color="auto" w:fill="auto"/>
        </w:tblPrEx>
        <w:trPr>
          <w:cantSplit/>
          <w:trHeight w:val="1075"/>
        </w:trPr>
        <w:tc>
          <w:tcPr>
            <w:tcW w:w="9356" w:type="dxa"/>
            <w:gridSpan w:val="3"/>
            <w:tcBorders>
              <w:top w:val="single" w:sz="6" w:space="0" w:color="auto"/>
              <w:left w:val="nil"/>
              <w:bottom w:val="single" w:sz="4" w:space="0" w:color="auto"/>
              <w:right w:val="nil"/>
            </w:tcBorders>
          </w:tcPr>
          <w:p w:rsidR="00000000" w:rsidRDefault="00000000">
            <w:pPr>
              <w:pStyle w:val="Heading3"/>
              <w:spacing w:before="120" w:after="120"/>
            </w:pPr>
            <w:r>
              <w:tab/>
              <w:t>Federal</w:t>
            </w:r>
          </w:p>
          <w:p w:rsidR="00000000" w:rsidRDefault="00000000">
            <w:pPr>
              <w:pStyle w:val="Heading5"/>
              <w:spacing w:after="120"/>
            </w:pPr>
            <w:r>
              <w:tab/>
              <w:t>Criminal Code Act 1995</w:t>
            </w:r>
          </w:p>
        </w:tc>
      </w:tr>
      <w:tr w:rsidR="00000000">
        <w:tblPrEx>
          <w:shd w:val="clear" w:color="auto" w:fill="auto"/>
        </w:tblPrEx>
        <w:trPr>
          <w:cantSplit/>
          <w:trHeight w:val="1075"/>
        </w:trPr>
        <w:tc>
          <w:tcPr>
            <w:tcW w:w="1276" w:type="dxa"/>
            <w:tcBorders>
              <w:top w:val="single" w:sz="4" w:space="0" w:color="auto"/>
              <w:bottom w:val="single" w:sz="6" w:space="0" w:color="000000"/>
            </w:tcBorders>
          </w:tcPr>
          <w:p w:rsidR="00000000" w:rsidRDefault="00000000">
            <w:pPr>
              <w:spacing w:after="0"/>
              <w:ind w:left="57" w:right="57"/>
            </w:pPr>
            <w:r>
              <w:t>Division 268</w:t>
            </w:r>
          </w:p>
          <w:p w:rsidR="00000000" w:rsidRDefault="00000000">
            <w:pPr>
              <w:spacing w:after="0"/>
              <w:ind w:left="57" w:right="57"/>
            </w:pPr>
          </w:p>
        </w:tc>
        <w:tc>
          <w:tcPr>
            <w:tcW w:w="4842" w:type="dxa"/>
            <w:tcBorders>
              <w:top w:val="single" w:sz="4" w:space="0" w:color="auto"/>
              <w:bottom w:val="single" w:sz="6" w:space="0" w:color="000000"/>
            </w:tcBorders>
          </w:tcPr>
          <w:p w:rsidR="00000000" w:rsidRDefault="00000000">
            <w:pPr>
              <w:spacing w:after="0"/>
              <w:ind w:left="-64" w:right="57"/>
            </w:pPr>
            <w:r>
              <w:t>Proscribes:</w:t>
            </w:r>
            <w:r>
              <w:br/>
              <w:t>Genocide</w:t>
            </w:r>
            <w:r>
              <w:br/>
              <w:t>Crimes against humanity</w:t>
            </w:r>
            <w:r>
              <w:br/>
              <w:t>War crimes</w:t>
            </w:r>
          </w:p>
        </w:tc>
        <w:tc>
          <w:tcPr>
            <w:tcW w:w="3238" w:type="dxa"/>
            <w:tcBorders>
              <w:top w:val="single" w:sz="4" w:space="0" w:color="auto"/>
              <w:bottom w:val="single" w:sz="6" w:space="0" w:color="000000"/>
            </w:tcBorders>
          </w:tcPr>
          <w:p w:rsidR="00000000" w:rsidRDefault="00000000">
            <w:pPr>
              <w:spacing w:after="0"/>
              <w:ind w:left="-64" w:right="8"/>
            </w:pPr>
            <w:r>
              <w:br/>
              <w:t>Life</w:t>
            </w:r>
            <w:r>
              <w:br/>
              <w:t xml:space="preserve">17 years </w:t>
            </w:r>
            <w:r>
              <w:noBreakHyphen/>
              <w:t xml:space="preserve"> life</w:t>
            </w:r>
            <w:r>
              <w:br/>
              <w:t xml:space="preserve">10 years </w:t>
            </w:r>
            <w:r>
              <w:noBreakHyphen/>
              <w:t xml:space="preserve"> life</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3"/>
              <w:spacing w:before="120" w:after="120"/>
            </w:pPr>
            <w:r>
              <w:tab/>
              <w:t>Australian Capital Territory</w:t>
            </w:r>
          </w:p>
          <w:p w:rsidR="00000000" w:rsidRDefault="00000000">
            <w:pPr>
              <w:rPr>
                <w:b/>
                <w:bCs/>
                <w:i/>
                <w:iCs/>
              </w:rPr>
            </w:pPr>
            <w:r>
              <w:tab/>
            </w:r>
            <w:r>
              <w:rPr>
                <w:b/>
                <w:bCs/>
                <w:i/>
                <w:iCs/>
              </w:rPr>
              <w:t>Crimes Act 1900</w:t>
            </w:r>
          </w:p>
        </w:tc>
      </w:tr>
      <w:tr w:rsidR="00000000">
        <w:tblPrEx>
          <w:shd w:val="clear" w:color="auto" w:fill="auto"/>
        </w:tblPrEx>
        <w:trPr>
          <w:cantSplit/>
        </w:trPr>
        <w:tc>
          <w:tcPr>
            <w:tcW w:w="1276" w:type="dxa"/>
          </w:tcPr>
          <w:p w:rsidR="00000000" w:rsidRDefault="00000000">
            <w:pPr>
              <w:spacing w:after="0"/>
              <w:ind w:left="57" w:right="57"/>
            </w:pPr>
            <w:r>
              <w:t>s. 19</w:t>
            </w:r>
          </w:p>
        </w:tc>
        <w:tc>
          <w:tcPr>
            <w:tcW w:w="4842" w:type="dxa"/>
          </w:tcPr>
          <w:p w:rsidR="00000000" w:rsidRDefault="00000000">
            <w:pPr>
              <w:spacing w:after="0"/>
              <w:ind w:left="-64" w:right="57"/>
            </w:pPr>
            <w:r>
              <w:t>Intentionally inflicting grievous bodily harm</w:t>
            </w:r>
          </w:p>
        </w:tc>
        <w:tc>
          <w:tcPr>
            <w:tcW w:w="3238" w:type="dxa"/>
          </w:tcPr>
          <w:p w:rsidR="00000000" w:rsidRDefault="00000000">
            <w:pPr>
              <w:spacing w:after="0"/>
              <w:ind w:left="-64" w:right="8"/>
            </w:pPr>
            <w:r>
              <w:t>15 years</w:t>
            </w:r>
          </w:p>
        </w:tc>
      </w:tr>
      <w:tr w:rsidR="00000000">
        <w:tblPrEx>
          <w:shd w:val="clear" w:color="auto" w:fill="auto"/>
        </w:tblPrEx>
        <w:trPr>
          <w:cantSplit/>
        </w:trPr>
        <w:tc>
          <w:tcPr>
            <w:tcW w:w="1276" w:type="dxa"/>
          </w:tcPr>
          <w:p w:rsidR="00000000" w:rsidRDefault="00000000">
            <w:pPr>
              <w:spacing w:after="0"/>
              <w:ind w:left="57" w:right="57"/>
            </w:pPr>
            <w:r>
              <w:t>s. 20</w:t>
            </w:r>
          </w:p>
        </w:tc>
        <w:tc>
          <w:tcPr>
            <w:tcW w:w="4842" w:type="dxa"/>
          </w:tcPr>
          <w:p w:rsidR="00000000" w:rsidRDefault="00000000">
            <w:pPr>
              <w:spacing w:after="0"/>
              <w:ind w:left="-64" w:right="57"/>
            </w:pPr>
            <w:r>
              <w:t>Recklessly inflicting grievous bodily harm</w:t>
            </w:r>
          </w:p>
        </w:tc>
        <w:tc>
          <w:tcPr>
            <w:tcW w:w="3238" w:type="dxa"/>
          </w:tcPr>
          <w:p w:rsidR="00000000" w:rsidRDefault="00000000">
            <w:pPr>
              <w:spacing w:after="0"/>
              <w:ind w:left="-64" w:right="8"/>
            </w:pPr>
            <w:r>
              <w:t>10 years</w:t>
            </w:r>
          </w:p>
        </w:tc>
      </w:tr>
      <w:tr w:rsidR="00000000">
        <w:tblPrEx>
          <w:shd w:val="clear" w:color="auto" w:fill="auto"/>
        </w:tblPrEx>
        <w:trPr>
          <w:cantSplit/>
        </w:trPr>
        <w:tc>
          <w:tcPr>
            <w:tcW w:w="1276" w:type="dxa"/>
          </w:tcPr>
          <w:p w:rsidR="00000000" w:rsidRDefault="00000000">
            <w:pPr>
              <w:spacing w:after="0"/>
              <w:ind w:left="57" w:right="57"/>
            </w:pPr>
            <w:r>
              <w:t>s. 21</w:t>
            </w:r>
          </w:p>
        </w:tc>
        <w:tc>
          <w:tcPr>
            <w:tcW w:w="4842" w:type="dxa"/>
          </w:tcPr>
          <w:p w:rsidR="00000000" w:rsidRDefault="00000000">
            <w:pPr>
              <w:spacing w:after="0"/>
              <w:ind w:left="-64" w:right="57"/>
            </w:pPr>
            <w:r>
              <w:t>Wounding</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22</w:t>
            </w:r>
          </w:p>
        </w:tc>
        <w:tc>
          <w:tcPr>
            <w:tcW w:w="4842" w:type="dxa"/>
          </w:tcPr>
          <w:p w:rsidR="00000000" w:rsidRDefault="00000000">
            <w:pPr>
              <w:spacing w:after="0"/>
              <w:ind w:left="-64" w:right="57"/>
            </w:pPr>
            <w:r>
              <w:t>Assault with intent to commit certain indictable offences (i.e. those which are punishable with a maximum period of imprisonment for 5 years or more)</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23</w:t>
            </w:r>
          </w:p>
        </w:tc>
        <w:tc>
          <w:tcPr>
            <w:tcW w:w="4842" w:type="dxa"/>
          </w:tcPr>
          <w:p w:rsidR="00000000" w:rsidRDefault="00000000">
            <w:pPr>
              <w:spacing w:after="0"/>
              <w:ind w:left="-64" w:right="57"/>
            </w:pPr>
            <w:r>
              <w:t>Inflicting actual bodily harm</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24</w:t>
            </w:r>
          </w:p>
        </w:tc>
        <w:tc>
          <w:tcPr>
            <w:tcW w:w="4842" w:type="dxa"/>
          </w:tcPr>
          <w:p w:rsidR="00000000" w:rsidRDefault="00000000">
            <w:pPr>
              <w:spacing w:after="0"/>
              <w:ind w:left="-64" w:right="57"/>
            </w:pPr>
            <w:r>
              <w:t>Assault occasioning actual bodily harm</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25</w:t>
            </w:r>
          </w:p>
        </w:tc>
        <w:tc>
          <w:tcPr>
            <w:tcW w:w="4842" w:type="dxa"/>
          </w:tcPr>
          <w:p w:rsidR="00000000" w:rsidRDefault="00000000">
            <w:pPr>
              <w:spacing w:after="0"/>
              <w:ind w:left="-64" w:right="57"/>
            </w:pPr>
            <w:r>
              <w:t>Causing grievous bodily harm</w:t>
            </w:r>
          </w:p>
        </w:tc>
        <w:tc>
          <w:tcPr>
            <w:tcW w:w="3238" w:type="dxa"/>
          </w:tcPr>
          <w:p w:rsidR="00000000" w:rsidRDefault="00000000">
            <w:pPr>
              <w:spacing w:after="0"/>
              <w:ind w:left="-64" w:right="8"/>
            </w:pPr>
            <w:r>
              <w:t>2 years</w:t>
            </w:r>
          </w:p>
        </w:tc>
      </w:tr>
      <w:tr w:rsidR="00000000">
        <w:tblPrEx>
          <w:shd w:val="clear" w:color="auto" w:fill="auto"/>
        </w:tblPrEx>
        <w:trPr>
          <w:cantSplit/>
        </w:trPr>
        <w:tc>
          <w:tcPr>
            <w:tcW w:w="1276" w:type="dxa"/>
          </w:tcPr>
          <w:p w:rsidR="00000000" w:rsidRDefault="00000000">
            <w:pPr>
              <w:spacing w:after="0"/>
              <w:ind w:left="57" w:right="57"/>
            </w:pPr>
            <w:r>
              <w:t>s. 26</w:t>
            </w:r>
          </w:p>
        </w:tc>
        <w:tc>
          <w:tcPr>
            <w:tcW w:w="4842" w:type="dxa"/>
          </w:tcPr>
          <w:p w:rsidR="00000000" w:rsidRDefault="00000000">
            <w:pPr>
              <w:spacing w:after="0"/>
              <w:ind w:left="-64" w:right="57"/>
            </w:pPr>
            <w:r>
              <w:t>Common assault</w:t>
            </w:r>
          </w:p>
        </w:tc>
        <w:tc>
          <w:tcPr>
            <w:tcW w:w="3238" w:type="dxa"/>
          </w:tcPr>
          <w:p w:rsidR="00000000" w:rsidRDefault="00000000">
            <w:pPr>
              <w:spacing w:after="0"/>
              <w:ind w:left="-64" w:right="8"/>
            </w:pPr>
            <w:r>
              <w:t>2 years</w:t>
            </w:r>
          </w:p>
        </w:tc>
      </w:tr>
      <w:tr w:rsidR="00000000">
        <w:tblPrEx>
          <w:shd w:val="clear" w:color="auto" w:fill="auto"/>
        </w:tblPrEx>
        <w:trPr>
          <w:cantSplit/>
        </w:trPr>
        <w:tc>
          <w:tcPr>
            <w:tcW w:w="1276" w:type="dxa"/>
          </w:tcPr>
          <w:p w:rsidR="00000000" w:rsidRDefault="00000000">
            <w:pPr>
              <w:spacing w:after="0"/>
              <w:ind w:left="57" w:right="57"/>
            </w:pPr>
            <w:r>
              <w:t>s. 27</w:t>
            </w:r>
          </w:p>
        </w:tc>
        <w:tc>
          <w:tcPr>
            <w:tcW w:w="4842" w:type="dxa"/>
          </w:tcPr>
          <w:p w:rsidR="00000000" w:rsidRDefault="00000000">
            <w:pPr>
              <w:spacing w:after="0"/>
              <w:ind w:left="-64" w:right="57"/>
            </w:pPr>
            <w:r>
              <w:t>Acts endangering life</w:t>
            </w:r>
          </w:p>
        </w:tc>
        <w:tc>
          <w:tcPr>
            <w:tcW w:w="3238" w:type="dxa"/>
          </w:tcPr>
          <w:p w:rsidR="00000000" w:rsidRDefault="00000000">
            <w:pPr>
              <w:spacing w:after="0"/>
              <w:ind w:left="-64" w:right="8"/>
            </w:pPr>
            <w:r>
              <w:t>Where the offence is intentional and unlawful </w:t>
            </w:r>
            <w:r>
              <w:noBreakHyphen/>
              <w:t xml:space="preserve"> 10 years; and where there is intention to commit an indictable offence against the person) punishable with more than 10 years imprisonment </w:t>
            </w:r>
            <w:r>
              <w:noBreakHyphen/>
              <w:t xml:space="preserve"> 15 years</w:t>
            </w:r>
          </w:p>
        </w:tc>
      </w:tr>
      <w:tr w:rsidR="00000000">
        <w:tblPrEx>
          <w:shd w:val="clear" w:color="auto" w:fill="auto"/>
        </w:tblPrEx>
        <w:trPr>
          <w:cantSplit/>
        </w:trPr>
        <w:tc>
          <w:tcPr>
            <w:tcW w:w="1276" w:type="dxa"/>
          </w:tcPr>
          <w:p w:rsidR="00000000" w:rsidRDefault="00000000">
            <w:pPr>
              <w:spacing w:after="0"/>
              <w:ind w:left="57" w:right="57"/>
            </w:pPr>
            <w:r>
              <w:t>s. 28</w:t>
            </w:r>
          </w:p>
        </w:tc>
        <w:tc>
          <w:tcPr>
            <w:tcW w:w="4842" w:type="dxa"/>
          </w:tcPr>
          <w:p w:rsidR="00000000" w:rsidRDefault="00000000">
            <w:pPr>
              <w:spacing w:after="0"/>
              <w:ind w:left="-64" w:right="57"/>
            </w:pPr>
            <w:r>
              <w:t>Acts endangering health</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30</w:t>
            </w:r>
          </w:p>
        </w:tc>
        <w:tc>
          <w:tcPr>
            <w:tcW w:w="4842" w:type="dxa"/>
          </w:tcPr>
          <w:p w:rsidR="00000000" w:rsidRDefault="00000000">
            <w:pPr>
              <w:spacing w:after="0"/>
              <w:ind w:left="-64" w:right="57"/>
            </w:pPr>
            <w:r>
              <w:t>Threat to kill</w:t>
            </w:r>
          </w:p>
        </w:tc>
        <w:tc>
          <w:tcPr>
            <w:tcW w:w="3238" w:type="dxa"/>
          </w:tcPr>
          <w:p w:rsidR="00000000" w:rsidRDefault="00000000">
            <w:pPr>
              <w:spacing w:after="0"/>
              <w:ind w:left="-64" w:right="8"/>
            </w:pPr>
            <w:r>
              <w:t>10 years</w:t>
            </w:r>
          </w:p>
        </w:tc>
      </w:tr>
      <w:tr w:rsidR="00000000">
        <w:tblPrEx>
          <w:shd w:val="clear" w:color="auto" w:fill="auto"/>
        </w:tblPrEx>
        <w:trPr>
          <w:cantSplit/>
        </w:trPr>
        <w:tc>
          <w:tcPr>
            <w:tcW w:w="1276" w:type="dxa"/>
          </w:tcPr>
          <w:p w:rsidR="00000000" w:rsidRDefault="00000000">
            <w:pPr>
              <w:spacing w:after="0"/>
              <w:ind w:left="57" w:right="57"/>
            </w:pPr>
            <w:r>
              <w:t>s. 31</w:t>
            </w:r>
          </w:p>
        </w:tc>
        <w:tc>
          <w:tcPr>
            <w:tcW w:w="4842" w:type="dxa"/>
          </w:tcPr>
          <w:p w:rsidR="00000000" w:rsidRDefault="00000000">
            <w:pPr>
              <w:spacing w:after="0"/>
              <w:ind w:left="-64" w:right="57"/>
            </w:pPr>
            <w:r>
              <w:t>Threat to inflict grievous bodily harm</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32</w:t>
            </w:r>
          </w:p>
        </w:tc>
        <w:tc>
          <w:tcPr>
            <w:tcW w:w="4842" w:type="dxa"/>
          </w:tcPr>
          <w:p w:rsidR="00000000" w:rsidRDefault="00000000">
            <w:pPr>
              <w:spacing w:after="0"/>
              <w:ind w:left="-64" w:right="57"/>
            </w:pPr>
            <w:r>
              <w:t>Demands accompanied by threats</w:t>
            </w:r>
          </w:p>
        </w:tc>
        <w:tc>
          <w:tcPr>
            <w:tcW w:w="3238" w:type="dxa"/>
          </w:tcPr>
          <w:p w:rsidR="00000000" w:rsidRDefault="00000000">
            <w:pPr>
              <w:spacing w:after="0"/>
              <w:ind w:left="-64" w:right="8"/>
            </w:pPr>
            <w:r>
              <w:t>20 years</w:t>
            </w:r>
          </w:p>
        </w:tc>
      </w:tr>
      <w:tr w:rsidR="00000000">
        <w:tblPrEx>
          <w:shd w:val="clear" w:color="auto" w:fill="auto"/>
        </w:tblPrEx>
        <w:trPr>
          <w:cantSplit/>
        </w:trPr>
        <w:tc>
          <w:tcPr>
            <w:tcW w:w="1276" w:type="dxa"/>
          </w:tcPr>
          <w:p w:rsidR="00000000" w:rsidRDefault="00000000">
            <w:pPr>
              <w:spacing w:after="0"/>
              <w:ind w:left="57" w:right="57"/>
            </w:pPr>
            <w:r>
              <w:t>s. 33</w:t>
            </w:r>
          </w:p>
        </w:tc>
        <w:tc>
          <w:tcPr>
            <w:tcW w:w="4842" w:type="dxa"/>
          </w:tcPr>
          <w:p w:rsidR="00000000" w:rsidRDefault="00000000">
            <w:pPr>
              <w:spacing w:after="0"/>
              <w:ind w:left="-64" w:right="57"/>
            </w:pPr>
            <w:r>
              <w:t>Possession of an object with intent to kill</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34</w:t>
            </w:r>
          </w:p>
        </w:tc>
        <w:tc>
          <w:tcPr>
            <w:tcW w:w="4842" w:type="dxa"/>
          </w:tcPr>
          <w:p w:rsidR="00000000" w:rsidRDefault="00000000">
            <w:pPr>
              <w:spacing w:after="0"/>
              <w:ind w:left="-64" w:right="57"/>
            </w:pPr>
            <w:r>
              <w:t>Forcible confinement</w:t>
            </w:r>
          </w:p>
        </w:tc>
        <w:tc>
          <w:tcPr>
            <w:tcW w:w="3238" w:type="dxa"/>
          </w:tcPr>
          <w:p w:rsidR="00000000" w:rsidRDefault="00000000">
            <w:pPr>
              <w:spacing w:after="0"/>
              <w:ind w:left="-64" w:right="8"/>
            </w:pPr>
            <w:r>
              <w:t>10 years</w:t>
            </w:r>
          </w:p>
        </w:tc>
      </w:tr>
      <w:tr w:rsidR="00000000">
        <w:tblPrEx>
          <w:shd w:val="clear" w:color="auto" w:fill="auto"/>
        </w:tblPrEx>
        <w:trPr>
          <w:cantSplit/>
        </w:trPr>
        <w:tc>
          <w:tcPr>
            <w:tcW w:w="1276" w:type="dxa"/>
          </w:tcPr>
          <w:p w:rsidR="00000000" w:rsidRDefault="00000000">
            <w:pPr>
              <w:spacing w:after="0"/>
              <w:ind w:left="57" w:right="57"/>
            </w:pPr>
            <w:r>
              <w:t>s. 35</w:t>
            </w:r>
          </w:p>
        </w:tc>
        <w:tc>
          <w:tcPr>
            <w:tcW w:w="4842" w:type="dxa"/>
          </w:tcPr>
          <w:p w:rsidR="00000000" w:rsidRDefault="00000000">
            <w:pPr>
              <w:spacing w:after="0"/>
              <w:ind w:left="-64" w:right="57"/>
            </w:pPr>
            <w:r>
              <w:t>Stalking</w:t>
            </w:r>
          </w:p>
        </w:tc>
        <w:tc>
          <w:tcPr>
            <w:tcW w:w="3238" w:type="dxa"/>
          </w:tcPr>
          <w:p w:rsidR="00000000" w:rsidRDefault="00000000">
            <w:pPr>
              <w:spacing w:after="0"/>
              <w:ind w:left="-64" w:right="8"/>
            </w:pPr>
            <w:r>
              <w:t>5 years if in breach of injunction or court order; or in possession of offensive weapons; 2 years otherwise</w:t>
            </w:r>
          </w:p>
        </w:tc>
      </w:tr>
      <w:tr w:rsidR="00000000">
        <w:tblPrEx>
          <w:shd w:val="clear" w:color="auto" w:fill="auto"/>
        </w:tblPrEx>
        <w:trPr>
          <w:cantSplit/>
        </w:trPr>
        <w:tc>
          <w:tcPr>
            <w:tcW w:w="1276" w:type="dxa"/>
          </w:tcPr>
          <w:p w:rsidR="00000000" w:rsidRDefault="00000000">
            <w:pPr>
              <w:spacing w:after="0"/>
              <w:ind w:left="57" w:right="57"/>
            </w:pPr>
            <w:r>
              <w:t>s. 36</w:t>
            </w:r>
          </w:p>
        </w:tc>
        <w:tc>
          <w:tcPr>
            <w:tcW w:w="4842" w:type="dxa"/>
          </w:tcPr>
          <w:p w:rsidR="00000000" w:rsidRDefault="00000000">
            <w:pPr>
              <w:spacing w:after="0"/>
              <w:ind w:left="-64" w:right="57"/>
            </w:pPr>
            <w:r>
              <w:t>Torture</w:t>
            </w:r>
          </w:p>
        </w:tc>
        <w:tc>
          <w:tcPr>
            <w:tcW w:w="3238" w:type="dxa"/>
          </w:tcPr>
          <w:p w:rsidR="00000000" w:rsidRDefault="00000000">
            <w:pPr>
              <w:spacing w:after="0"/>
              <w:ind w:left="-64" w:right="8"/>
            </w:pPr>
            <w:r>
              <w:t>10 years</w:t>
            </w:r>
          </w:p>
        </w:tc>
      </w:tr>
      <w:tr w:rsidR="00000000">
        <w:tblPrEx>
          <w:shd w:val="clear" w:color="auto" w:fill="auto"/>
        </w:tblPrEx>
        <w:trPr>
          <w:cantSplit/>
        </w:trPr>
        <w:tc>
          <w:tcPr>
            <w:tcW w:w="1276" w:type="dxa"/>
          </w:tcPr>
          <w:p w:rsidR="00000000" w:rsidRDefault="00000000">
            <w:pPr>
              <w:spacing w:after="0"/>
              <w:ind w:left="57" w:right="57"/>
            </w:pPr>
            <w:r>
              <w:t>s. 37</w:t>
            </w:r>
          </w:p>
        </w:tc>
        <w:tc>
          <w:tcPr>
            <w:tcW w:w="4842" w:type="dxa"/>
          </w:tcPr>
          <w:p w:rsidR="00000000" w:rsidRDefault="00000000">
            <w:pPr>
              <w:spacing w:after="0"/>
              <w:ind w:left="-64" w:right="57"/>
            </w:pPr>
            <w:r>
              <w:t>Abduction of young person</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38</w:t>
            </w:r>
          </w:p>
        </w:tc>
        <w:tc>
          <w:tcPr>
            <w:tcW w:w="4842" w:type="dxa"/>
          </w:tcPr>
          <w:p w:rsidR="00000000" w:rsidRDefault="00000000">
            <w:pPr>
              <w:spacing w:after="0"/>
              <w:ind w:left="-64" w:right="57"/>
            </w:pPr>
            <w:r>
              <w:t>Kidnapping</w:t>
            </w:r>
          </w:p>
        </w:tc>
        <w:tc>
          <w:tcPr>
            <w:tcW w:w="3238" w:type="dxa"/>
          </w:tcPr>
          <w:p w:rsidR="00000000" w:rsidRDefault="00000000">
            <w:pPr>
              <w:spacing w:after="0"/>
              <w:ind w:left="-64" w:right="8"/>
            </w:pPr>
            <w:r>
              <w:t>20 years</w:t>
            </w:r>
          </w:p>
        </w:tc>
      </w:tr>
      <w:tr w:rsidR="00000000">
        <w:tblPrEx>
          <w:shd w:val="clear" w:color="auto" w:fill="auto"/>
        </w:tblPrEx>
        <w:trPr>
          <w:cantSplit/>
        </w:trPr>
        <w:tc>
          <w:tcPr>
            <w:tcW w:w="1276" w:type="dxa"/>
          </w:tcPr>
          <w:p w:rsidR="00000000" w:rsidRDefault="00000000">
            <w:pPr>
              <w:spacing w:after="0"/>
              <w:ind w:left="57" w:right="57"/>
            </w:pPr>
            <w:r>
              <w:br w:type="page"/>
              <w:t>s. 39</w:t>
            </w:r>
          </w:p>
        </w:tc>
        <w:tc>
          <w:tcPr>
            <w:tcW w:w="4842" w:type="dxa"/>
          </w:tcPr>
          <w:p w:rsidR="00000000" w:rsidRDefault="00000000">
            <w:pPr>
              <w:spacing w:after="0"/>
              <w:ind w:left="-64" w:right="57"/>
            </w:pPr>
            <w:r>
              <w:t>Neglect etc of children</w:t>
            </w:r>
          </w:p>
        </w:tc>
        <w:tc>
          <w:tcPr>
            <w:tcW w:w="3238" w:type="dxa"/>
          </w:tcPr>
          <w:p w:rsidR="00000000" w:rsidRDefault="00000000">
            <w:pPr>
              <w:spacing w:after="0"/>
              <w:ind w:left="-64" w:right="8"/>
            </w:pPr>
            <w:r>
              <w:t>200 penalty units for ill treatment, abuse or neglect/ 2 years/both; 100 penalty units for leaving unattended in circumstances where a child could suffer injury or sickness or otherwise be in danger/ 1 year/both</w:t>
            </w:r>
          </w:p>
        </w:tc>
      </w:tr>
      <w:tr w:rsidR="00000000">
        <w:tblPrEx>
          <w:shd w:val="clear" w:color="auto" w:fill="auto"/>
        </w:tblPrEx>
        <w:trPr>
          <w:cantSplit/>
        </w:trPr>
        <w:tc>
          <w:tcPr>
            <w:tcW w:w="1276" w:type="dxa"/>
          </w:tcPr>
          <w:p w:rsidR="00000000" w:rsidRDefault="00000000">
            <w:pPr>
              <w:spacing w:after="0"/>
              <w:ind w:left="57" w:right="57"/>
            </w:pPr>
            <w:r>
              <w:t>s. 40</w:t>
            </w:r>
          </w:p>
        </w:tc>
        <w:tc>
          <w:tcPr>
            <w:tcW w:w="4842" w:type="dxa"/>
          </w:tcPr>
          <w:p w:rsidR="00000000" w:rsidRDefault="00000000">
            <w:pPr>
              <w:spacing w:after="0"/>
              <w:ind w:left="-64" w:right="57"/>
            </w:pPr>
            <w:r>
              <w:t>Unlawfully taking a child</w:t>
            </w:r>
          </w:p>
        </w:tc>
        <w:tc>
          <w:tcPr>
            <w:tcW w:w="3238" w:type="dxa"/>
          </w:tcPr>
          <w:p w:rsidR="00000000" w:rsidRDefault="00000000">
            <w:pPr>
              <w:spacing w:after="0"/>
              <w:ind w:left="-64" w:right="8"/>
            </w:pPr>
            <w:r>
              <w:t>10 years</w:t>
            </w:r>
          </w:p>
        </w:tc>
      </w:tr>
      <w:tr w:rsidR="00000000">
        <w:tblPrEx>
          <w:shd w:val="clear" w:color="auto" w:fill="auto"/>
        </w:tblPrEx>
        <w:trPr>
          <w:cantSplit/>
        </w:trPr>
        <w:tc>
          <w:tcPr>
            <w:tcW w:w="1276" w:type="dxa"/>
          </w:tcPr>
          <w:p w:rsidR="00000000" w:rsidRDefault="00000000">
            <w:pPr>
              <w:spacing w:after="0"/>
              <w:ind w:left="57" w:right="57"/>
            </w:pPr>
            <w:r>
              <w:t>s. 41</w:t>
            </w:r>
          </w:p>
        </w:tc>
        <w:tc>
          <w:tcPr>
            <w:tcW w:w="4842" w:type="dxa"/>
          </w:tcPr>
          <w:p w:rsidR="00000000" w:rsidRDefault="00000000">
            <w:pPr>
              <w:spacing w:after="0"/>
              <w:ind w:left="-64" w:right="57"/>
            </w:pPr>
            <w:r>
              <w:t>Exposing or abandoning a child</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42</w:t>
            </w:r>
          </w:p>
        </w:tc>
        <w:tc>
          <w:tcPr>
            <w:tcW w:w="4842" w:type="dxa"/>
          </w:tcPr>
          <w:p w:rsidR="00000000" w:rsidRDefault="00000000">
            <w:pPr>
              <w:spacing w:after="0"/>
              <w:ind w:left="-64" w:right="57"/>
            </w:pPr>
            <w:r>
              <w:t>Child destruction</w:t>
            </w:r>
          </w:p>
        </w:tc>
        <w:tc>
          <w:tcPr>
            <w:tcW w:w="3238" w:type="dxa"/>
          </w:tcPr>
          <w:p w:rsidR="00000000" w:rsidRDefault="00000000">
            <w:pPr>
              <w:spacing w:after="0"/>
              <w:ind w:left="-64" w:right="8"/>
            </w:pPr>
            <w:r>
              <w:t>15 years</w:t>
            </w:r>
          </w:p>
        </w:tc>
      </w:tr>
      <w:tr w:rsidR="00000000">
        <w:tblPrEx>
          <w:shd w:val="clear" w:color="auto" w:fill="auto"/>
        </w:tblPrEx>
        <w:trPr>
          <w:cantSplit/>
        </w:trPr>
        <w:tc>
          <w:tcPr>
            <w:tcW w:w="1276" w:type="dxa"/>
          </w:tcPr>
          <w:p w:rsidR="00000000" w:rsidRDefault="00000000">
            <w:pPr>
              <w:spacing w:after="0"/>
              <w:ind w:left="57" w:right="57"/>
            </w:pPr>
            <w:r>
              <w:t>s. 43</w:t>
            </w:r>
          </w:p>
        </w:tc>
        <w:tc>
          <w:tcPr>
            <w:tcW w:w="4842" w:type="dxa"/>
          </w:tcPr>
          <w:p w:rsidR="00000000" w:rsidRDefault="00000000">
            <w:pPr>
              <w:spacing w:after="0"/>
              <w:ind w:left="-64" w:right="57"/>
            </w:pPr>
            <w:r>
              <w:t xml:space="preserve">Childbirth </w:t>
            </w:r>
            <w:r>
              <w:noBreakHyphen/>
              <w:t xml:space="preserve"> grievous bodily harm</w:t>
            </w:r>
          </w:p>
        </w:tc>
        <w:tc>
          <w:tcPr>
            <w:tcW w:w="3238" w:type="dxa"/>
          </w:tcPr>
          <w:p w:rsidR="00000000" w:rsidRDefault="00000000">
            <w:pPr>
              <w:spacing w:after="0"/>
              <w:ind w:left="-64" w:right="8"/>
            </w:pPr>
            <w:r>
              <w:t>10 years</w:t>
            </w:r>
          </w:p>
        </w:tc>
      </w:tr>
      <w:tr w:rsidR="00000000">
        <w:tblPrEx>
          <w:shd w:val="clear" w:color="auto" w:fill="auto"/>
        </w:tblPrEx>
        <w:trPr>
          <w:cantSplit/>
        </w:trPr>
        <w:tc>
          <w:tcPr>
            <w:tcW w:w="1276" w:type="dxa"/>
          </w:tcPr>
          <w:p w:rsidR="00000000" w:rsidRDefault="00000000">
            <w:pPr>
              <w:spacing w:after="0"/>
              <w:ind w:left="57" w:right="57"/>
            </w:pPr>
            <w:r>
              <w:t>s. 48</w:t>
            </w:r>
          </w:p>
        </w:tc>
        <w:tc>
          <w:tcPr>
            <w:tcW w:w="4842" w:type="dxa"/>
          </w:tcPr>
          <w:p w:rsidR="00000000" w:rsidRDefault="00000000">
            <w:pPr>
              <w:spacing w:after="0"/>
              <w:ind w:left="-64" w:right="57"/>
            </w:pPr>
            <w:r>
              <w:t>Misconduct with regard to corpses</w:t>
            </w:r>
          </w:p>
        </w:tc>
        <w:tc>
          <w:tcPr>
            <w:tcW w:w="3238" w:type="dxa"/>
          </w:tcPr>
          <w:p w:rsidR="00000000" w:rsidRDefault="00000000">
            <w:pPr>
              <w:spacing w:after="0"/>
              <w:ind w:left="-64" w:right="8"/>
            </w:pPr>
            <w:r>
              <w:t>2 years</w:t>
            </w:r>
          </w:p>
        </w:tc>
      </w:tr>
      <w:tr w:rsidR="00000000">
        <w:tblPrEx>
          <w:shd w:val="clear" w:color="auto" w:fill="auto"/>
        </w:tblPrEx>
        <w:trPr>
          <w:cantSplit/>
        </w:trPr>
        <w:tc>
          <w:tcPr>
            <w:tcW w:w="1276" w:type="dxa"/>
          </w:tcPr>
          <w:p w:rsidR="00000000" w:rsidRDefault="00000000">
            <w:pPr>
              <w:spacing w:after="0"/>
              <w:ind w:left="57" w:right="57"/>
            </w:pPr>
            <w:r>
              <w:t>s. 51</w:t>
            </w:r>
          </w:p>
        </w:tc>
        <w:tc>
          <w:tcPr>
            <w:tcW w:w="4842" w:type="dxa"/>
          </w:tcPr>
          <w:p w:rsidR="00000000" w:rsidRDefault="00000000">
            <w:pPr>
              <w:spacing w:after="0"/>
              <w:ind w:left="-64" w:right="57"/>
            </w:pPr>
            <w:r>
              <w:t>Sexual assault in the first degree (i.e. inflicting grievous bodily harm with intent to have sexual intercourse)</w:t>
            </w:r>
          </w:p>
        </w:tc>
        <w:tc>
          <w:tcPr>
            <w:tcW w:w="3238" w:type="dxa"/>
          </w:tcPr>
          <w:p w:rsidR="00000000" w:rsidRDefault="00000000">
            <w:pPr>
              <w:spacing w:after="0"/>
              <w:ind w:left="-64" w:right="8"/>
            </w:pPr>
            <w:r>
              <w:t xml:space="preserve">17 years; and where the accused acted in company with any other person </w:t>
            </w:r>
            <w:r>
              <w:noBreakHyphen/>
              <w:t xml:space="preserve"> 20 years</w:t>
            </w:r>
          </w:p>
        </w:tc>
      </w:tr>
      <w:tr w:rsidR="00000000">
        <w:tblPrEx>
          <w:shd w:val="clear" w:color="auto" w:fill="auto"/>
        </w:tblPrEx>
        <w:trPr>
          <w:cantSplit/>
        </w:trPr>
        <w:tc>
          <w:tcPr>
            <w:tcW w:w="1276" w:type="dxa"/>
          </w:tcPr>
          <w:p w:rsidR="00000000" w:rsidRDefault="00000000">
            <w:pPr>
              <w:spacing w:after="0"/>
              <w:ind w:left="57" w:right="57"/>
            </w:pPr>
            <w:r>
              <w:t>s. 52</w:t>
            </w:r>
          </w:p>
        </w:tc>
        <w:tc>
          <w:tcPr>
            <w:tcW w:w="4842" w:type="dxa"/>
          </w:tcPr>
          <w:p w:rsidR="00000000" w:rsidRDefault="00000000">
            <w:pPr>
              <w:spacing w:after="0"/>
              <w:ind w:left="-64" w:right="57"/>
            </w:pPr>
            <w:r>
              <w:t>Sexual assault in the second degree (i.e. inflicting actual bodily harm with intent to engage in sexual intercourse)</w:t>
            </w:r>
          </w:p>
        </w:tc>
        <w:tc>
          <w:tcPr>
            <w:tcW w:w="3238" w:type="dxa"/>
          </w:tcPr>
          <w:p w:rsidR="00000000" w:rsidRDefault="00000000">
            <w:pPr>
              <w:spacing w:after="0"/>
              <w:ind w:left="-64" w:right="8"/>
            </w:pPr>
            <w:r>
              <w:t xml:space="preserve">14 years; and where the accused acted in company with any other person </w:t>
            </w:r>
            <w:r>
              <w:noBreakHyphen/>
              <w:t xml:space="preserve"> 17 years</w:t>
            </w:r>
          </w:p>
        </w:tc>
      </w:tr>
      <w:tr w:rsidR="00000000">
        <w:tblPrEx>
          <w:shd w:val="clear" w:color="auto" w:fill="auto"/>
        </w:tblPrEx>
        <w:trPr>
          <w:cantSplit/>
        </w:trPr>
        <w:tc>
          <w:tcPr>
            <w:tcW w:w="1276" w:type="dxa"/>
          </w:tcPr>
          <w:p w:rsidR="00000000" w:rsidRDefault="00000000">
            <w:pPr>
              <w:spacing w:after="0"/>
              <w:ind w:left="57" w:right="57"/>
            </w:pPr>
            <w:r>
              <w:t>s. 53</w:t>
            </w:r>
          </w:p>
        </w:tc>
        <w:tc>
          <w:tcPr>
            <w:tcW w:w="4842" w:type="dxa"/>
          </w:tcPr>
          <w:p w:rsidR="00000000" w:rsidRDefault="00000000">
            <w:pPr>
              <w:spacing w:after="0"/>
              <w:ind w:left="-64" w:right="57"/>
            </w:pPr>
            <w:r>
              <w:t>Sexual assault in the third degree (i.e. unlawfully assaulting, or threatening to inflict grievous or actual bodily harm with intent to engage in sexual intercourse)</w:t>
            </w:r>
          </w:p>
        </w:tc>
        <w:tc>
          <w:tcPr>
            <w:tcW w:w="3238" w:type="dxa"/>
          </w:tcPr>
          <w:p w:rsidR="00000000" w:rsidRDefault="00000000">
            <w:pPr>
              <w:spacing w:after="0"/>
              <w:ind w:left="-64" w:right="8"/>
            </w:pPr>
            <w:r>
              <w:t xml:space="preserve">12 years; and where the accused acted in company with any other person </w:t>
            </w:r>
            <w:r>
              <w:noBreakHyphen/>
              <w:t xml:space="preserve"> 14 years</w:t>
            </w:r>
          </w:p>
        </w:tc>
      </w:tr>
      <w:tr w:rsidR="00000000">
        <w:tblPrEx>
          <w:shd w:val="clear" w:color="auto" w:fill="auto"/>
        </w:tblPrEx>
        <w:trPr>
          <w:cantSplit/>
        </w:trPr>
        <w:tc>
          <w:tcPr>
            <w:tcW w:w="1276" w:type="dxa"/>
          </w:tcPr>
          <w:p w:rsidR="00000000" w:rsidRDefault="00000000">
            <w:pPr>
              <w:spacing w:after="0"/>
              <w:ind w:left="57" w:right="57"/>
            </w:pPr>
            <w:r>
              <w:t>s. 54</w:t>
            </w:r>
          </w:p>
        </w:tc>
        <w:tc>
          <w:tcPr>
            <w:tcW w:w="4842" w:type="dxa"/>
          </w:tcPr>
          <w:p w:rsidR="00000000" w:rsidRDefault="00000000">
            <w:pPr>
              <w:spacing w:after="0"/>
              <w:ind w:left="-64" w:right="57"/>
            </w:pPr>
            <w:r>
              <w:t>Sexual intercourse without consent</w:t>
            </w:r>
          </w:p>
        </w:tc>
        <w:tc>
          <w:tcPr>
            <w:tcW w:w="3238" w:type="dxa"/>
          </w:tcPr>
          <w:p w:rsidR="00000000" w:rsidRDefault="00000000">
            <w:pPr>
              <w:spacing w:after="0"/>
              <w:ind w:left="-64" w:right="8"/>
            </w:pPr>
            <w:r>
              <w:t xml:space="preserve">12 years; and where the accused acted in company with any other person </w:t>
            </w:r>
            <w:r>
              <w:noBreakHyphen/>
              <w:t xml:space="preserve"> 14 years</w:t>
            </w:r>
          </w:p>
        </w:tc>
      </w:tr>
      <w:tr w:rsidR="00000000">
        <w:tblPrEx>
          <w:shd w:val="clear" w:color="auto" w:fill="auto"/>
        </w:tblPrEx>
        <w:trPr>
          <w:cantSplit/>
        </w:trPr>
        <w:tc>
          <w:tcPr>
            <w:tcW w:w="1276" w:type="dxa"/>
          </w:tcPr>
          <w:p w:rsidR="00000000" w:rsidRDefault="00000000">
            <w:pPr>
              <w:spacing w:after="0"/>
              <w:ind w:left="57" w:right="57"/>
            </w:pPr>
            <w:r>
              <w:br w:type="page"/>
              <w:t>s. 55</w:t>
            </w:r>
          </w:p>
        </w:tc>
        <w:tc>
          <w:tcPr>
            <w:tcW w:w="4842" w:type="dxa"/>
          </w:tcPr>
          <w:p w:rsidR="00000000" w:rsidRDefault="00000000">
            <w:pPr>
              <w:spacing w:after="0"/>
              <w:ind w:left="-64" w:right="57"/>
            </w:pPr>
            <w:r>
              <w:t>Sexual intercourse with a young person</w:t>
            </w:r>
          </w:p>
        </w:tc>
        <w:tc>
          <w:tcPr>
            <w:tcW w:w="3238" w:type="dxa"/>
          </w:tcPr>
          <w:p w:rsidR="00000000" w:rsidRDefault="00000000">
            <w:pPr>
              <w:spacing w:after="0"/>
              <w:ind w:left="-64" w:right="8"/>
            </w:pPr>
            <w:r>
              <w:t xml:space="preserve">Where the young  person is under 10 years of age </w:t>
            </w:r>
            <w:r>
              <w:noBreakHyphen/>
              <w:t xml:space="preserve"> 17 years; and where the young person is under 16 years of age </w:t>
            </w:r>
            <w:r>
              <w:noBreakHyphen/>
              <w:t xml:space="preserve"> 14 years</w:t>
            </w:r>
          </w:p>
        </w:tc>
      </w:tr>
      <w:tr w:rsidR="00000000">
        <w:tblPrEx>
          <w:shd w:val="clear" w:color="auto" w:fill="auto"/>
        </w:tblPrEx>
        <w:trPr>
          <w:cantSplit/>
        </w:trPr>
        <w:tc>
          <w:tcPr>
            <w:tcW w:w="1276" w:type="dxa"/>
          </w:tcPr>
          <w:p w:rsidR="00000000" w:rsidRDefault="00000000">
            <w:pPr>
              <w:spacing w:after="0"/>
              <w:ind w:left="57" w:right="57"/>
            </w:pPr>
            <w:r>
              <w:t>s. 56</w:t>
            </w:r>
          </w:p>
        </w:tc>
        <w:tc>
          <w:tcPr>
            <w:tcW w:w="4842" w:type="dxa"/>
          </w:tcPr>
          <w:p w:rsidR="00000000" w:rsidRDefault="00000000">
            <w:pPr>
              <w:spacing w:after="0"/>
              <w:ind w:left="-64" w:right="57"/>
            </w:pPr>
            <w:r>
              <w:t>Maintaining a sexual relationship with a young person</w:t>
            </w:r>
          </w:p>
        </w:tc>
        <w:tc>
          <w:tcPr>
            <w:tcW w:w="3238" w:type="dxa"/>
          </w:tcPr>
          <w:p w:rsidR="00000000" w:rsidRDefault="00000000">
            <w:pPr>
              <w:spacing w:after="0"/>
              <w:ind w:left="-64" w:right="8"/>
            </w:pPr>
            <w:r>
              <w:t xml:space="preserve">7 years; and where a person convicted of this offence was found to have committed another offence in relation to the young person, if the other offence is punishable by imprisonment for less than 14 years </w:t>
            </w:r>
            <w:r>
              <w:noBreakHyphen/>
              <w:t xml:space="preserve"> 14 years; and if the other offence is punishable by imprisonment for 14 years or more </w:t>
            </w:r>
            <w:r>
              <w:noBreakHyphen/>
              <w:t xml:space="preserve"> life imprisonment</w:t>
            </w:r>
          </w:p>
        </w:tc>
      </w:tr>
      <w:tr w:rsidR="00000000">
        <w:tblPrEx>
          <w:shd w:val="clear" w:color="auto" w:fill="auto"/>
        </w:tblPrEx>
        <w:trPr>
          <w:cantSplit/>
        </w:trPr>
        <w:tc>
          <w:tcPr>
            <w:tcW w:w="1276" w:type="dxa"/>
          </w:tcPr>
          <w:p w:rsidR="00000000" w:rsidRDefault="00000000">
            <w:pPr>
              <w:spacing w:after="0"/>
              <w:ind w:left="57" w:right="57"/>
            </w:pPr>
            <w:r>
              <w:t>s. 57</w:t>
            </w:r>
          </w:p>
        </w:tc>
        <w:tc>
          <w:tcPr>
            <w:tcW w:w="4842" w:type="dxa"/>
          </w:tcPr>
          <w:p w:rsidR="00000000" w:rsidRDefault="00000000">
            <w:pPr>
              <w:spacing w:after="0"/>
              <w:ind w:left="-64" w:right="57"/>
            </w:pPr>
            <w:r>
              <w:t xml:space="preserve">Act of indecency in the first degree (i.e. inflicting grievous bodily harm with </w:t>
            </w:r>
            <w:r>
              <w:br/>
              <w:t>intent to engage in an act of indecency)</w:t>
            </w:r>
          </w:p>
        </w:tc>
        <w:tc>
          <w:tcPr>
            <w:tcW w:w="3238" w:type="dxa"/>
          </w:tcPr>
          <w:p w:rsidR="00000000" w:rsidRDefault="00000000">
            <w:pPr>
              <w:spacing w:after="0"/>
              <w:ind w:left="-64" w:right="8"/>
            </w:pPr>
            <w:r>
              <w:t>15 years</w:t>
            </w:r>
          </w:p>
        </w:tc>
      </w:tr>
      <w:tr w:rsidR="00000000">
        <w:tblPrEx>
          <w:shd w:val="clear" w:color="auto" w:fill="auto"/>
        </w:tblPrEx>
        <w:trPr>
          <w:cantSplit/>
        </w:trPr>
        <w:tc>
          <w:tcPr>
            <w:tcW w:w="1276" w:type="dxa"/>
          </w:tcPr>
          <w:p w:rsidR="00000000" w:rsidRDefault="00000000">
            <w:pPr>
              <w:spacing w:after="0"/>
              <w:ind w:left="57" w:right="57"/>
            </w:pPr>
            <w:r>
              <w:t>s. 58</w:t>
            </w:r>
          </w:p>
        </w:tc>
        <w:tc>
          <w:tcPr>
            <w:tcW w:w="4842" w:type="dxa"/>
          </w:tcPr>
          <w:p w:rsidR="00000000" w:rsidRDefault="00000000">
            <w:pPr>
              <w:spacing w:after="0"/>
              <w:ind w:left="-64" w:right="57"/>
            </w:pPr>
            <w:r>
              <w:t xml:space="preserve">Act of indecency in the second degree (i.e. inflicting actual bodily harm with </w:t>
            </w:r>
            <w:r>
              <w:br/>
              <w:t>intent to engage in an act of indecency)</w:t>
            </w:r>
          </w:p>
        </w:tc>
        <w:tc>
          <w:tcPr>
            <w:tcW w:w="3238" w:type="dxa"/>
          </w:tcPr>
          <w:p w:rsidR="00000000" w:rsidRDefault="00000000">
            <w:pPr>
              <w:spacing w:after="0"/>
              <w:ind w:left="-64" w:right="8"/>
            </w:pPr>
            <w:r>
              <w:t>12 years</w:t>
            </w:r>
          </w:p>
        </w:tc>
      </w:tr>
      <w:tr w:rsidR="00000000">
        <w:tblPrEx>
          <w:shd w:val="clear" w:color="auto" w:fill="auto"/>
        </w:tblPrEx>
        <w:trPr>
          <w:cantSplit/>
        </w:trPr>
        <w:tc>
          <w:tcPr>
            <w:tcW w:w="1276" w:type="dxa"/>
          </w:tcPr>
          <w:p w:rsidR="00000000" w:rsidRDefault="00000000">
            <w:pPr>
              <w:spacing w:after="0"/>
              <w:ind w:left="57" w:right="57"/>
            </w:pPr>
            <w:r>
              <w:t>s. 59</w:t>
            </w:r>
          </w:p>
        </w:tc>
        <w:tc>
          <w:tcPr>
            <w:tcW w:w="4842" w:type="dxa"/>
          </w:tcPr>
          <w:p w:rsidR="00000000" w:rsidRDefault="00000000">
            <w:pPr>
              <w:spacing w:after="0"/>
              <w:ind w:left="-64" w:right="57"/>
            </w:pPr>
            <w:r>
              <w:t>Act of indecency in the third degree (i.e. unlawfully assaulting, or threatening to inflict grievous or actual bodily harm with intent to engage in an act of indecency)</w:t>
            </w:r>
          </w:p>
        </w:tc>
        <w:tc>
          <w:tcPr>
            <w:tcW w:w="3238" w:type="dxa"/>
          </w:tcPr>
          <w:p w:rsidR="00000000" w:rsidRDefault="00000000">
            <w:pPr>
              <w:spacing w:after="0"/>
              <w:ind w:left="-64" w:right="8"/>
            </w:pPr>
            <w:r>
              <w:t>10 years</w:t>
            </w:r>
          </w:p>
        </w:tc>
      </w:tr>
      <w:tr w:rsidR="00000000">
        <w:tblPrEx>
          <w:shd w:val="clear" w:color="auto" w:fill="auto"/>
        </w:tblPrEx>
        <w:trPr>
          <w:cantSplit/>
        </w:trPr>
        <w:tc>
          <w:tcPr>
            <w:tcW w:w="1276" w:type="dxa"/>
          </w:tcPr>
          <w:p w:rsidR="00000000" w:rsidRDefault="00000000">
            <w:pPr>
              <w:spacing w:after="0"/>
              <w:ind w:left="57" w:right="57"/>
            </w:pPr>
            <w:r>
              <w:t>s. 60</w:t>
            </w:r>
          </w:p>
        </w:tc>
        <w:tc>
          <w:tcPr>
            <w:tcW w:w="4842" w:type="dxa"/>
          </w:tcPr>
          <w:p w:rsidR="00000000" w:rsidRDefault="00000000">
            <w:pPr>
              <w:spacing w:after="0"/>
              <w:ind w:left="-64" w:right="57"/>
            </w:pPr>
            <w:r>
              <w:t>Act of indecency without consent</w:t>
            </w:r>
          </w:p>
        </w:tc>
        <w:tc>
          <w:tcPr>
            <w:tcW w:w="3238" w:type="dxa"/>
          </w:tcPr>
          <w:p w:rsidR="00000000" w:rsidRDefault="00000000">
            <w:pPr>
              <w:spacing w:after="0"/>
              <w:ind w:left="-64" w:right="8"/>
            </w:pPr>
            <w:r>
              <w:t xml:space="preserve">5 years; and where the accused acted in company with any other person </w:t>
            </w:r>
            <w:r>
              <w:noBreakHyphen/>
              <w:t xml:space="preserve"> 7 years</w:t>
            </w:r>
          </w:p>
        </w:tc>
      </w:tr>
      <w:tr w:rsidR="00000000">
        <w:tblPrEx>
          <w:shd w:val="clear" w:color="auto" w:fill="auto"/>
        </w:tblPrEx>
        <w:trPr>
          <w:cantSplit/>
        </w:trPr>
        <w:tc>
          <w:tcPr>
            <w:tcW w:w="1276" w:type="dxa"/>
          </w:tcPr>
          <w:p w:rsidR="00000000" w:rsidRDefault="00000000">
            <w:pPr>
              <w:spacing w:after="0"/>
              <w:ind w:left="57" w:right="57"/>
            </w:pPr>
            <w:r>
              <w:t>s. 61</w:t>
            </w:r>
          </w:p>
        </w:tc>
        <w:tc>
          <w:tcPr>
            <w:tcW w:w="4842" w:type="dxa"/>
          </w:tcPr>
          <w:p w:rsidR="00000000" w:rsidRDefault="00000000">
            <w:pPr>
              <w:spacing w:after="0"/>
              <w:ind w:left="-64" w:right="57"/>
            </w:pPr>
            <w:r>
              <w:t>Act of indecency with a young person</w:t>
            </w:r>
          </w:p>
        </w:tc>
        <w:tc>
          <w:tcPr>
            <w:tcW w:w="3238" w:type="dxa"/>
          </w:tcPr>
          <w:p w:rsidR="00000000" w:rsidRDefault="00000000">
            <w:pPr>
              <w:spacing w:after="0"/>
              <w:ind w:left="-64" w:right="8"/>
            </w:pPr>
            <w:r>
              <w:t xml:space="preserve">Where the young person is under 10 years of age </w:t>
            </w:r>
            <w:r>
              <w:noBreakHyphen/>
              <w:t xml:space="preserve"> 12 years; and where the young person is under 16 years of age </w:t>
            </w:r>
            <w:r>
              <w:noBreakHyphen/>
              <w:t xml:space="preserve"> 10 years</w:t>
            </w:r>
          </w:p>
        </w:tc>
      </w:tr>
      <w:tr w:rsidR="00000000">
        <w:tblPrEx>
          <w:shd w:val="clear" w:color="auto" w:fill="auto"/>
        </w:tblPrEx>
        <w:trPr>
          <w:cantSplit/>
        </w:trPr>
        <w:tc>
          <w:tcPr>
            <w:tcW w:w="1276" w:type="dxa"/>
          </w:tcPr>
          <w:p w:rsidR="00000000" w:rsidRDefault="00000000">
            <w:pPr>
              <w:spacing w:after="0"/>
              <w:ind w:left="57" w:right="57"/>
            </w:pPr>
            <w:r>
              <w:t>s. 62</w:t>
            </w:r>
          </w:p>
        </w:tc>
        <w:tc>
          <w:tcPr>
            <w:tcW w:w="4842" w:type="dxa"/>
          </w:tcPr>
          <w:p w:rsidR="00000000" w:rsidRDefault="00000000">
            <w:pPr>
              <w:spacing w:after="0"/>
              <w:ind w:left="-64" w:right="57"/>
            </w:pPr>
            <w:r>
              <w:t>Incest and similar offences</w:t>
            </w:r>
          </w:p>
        </w:tc>
        <w:tc>
          <w:tcPr>
            <w:tcW w:w="3238" w:type="dxa"/>
          </w:tcPr>
          <w:p w:rsidR="00000000" w:rsidRDefault="00000000">
            <w:pPr>
              <w:spacing w:after="0"/>
              <w:ind w:left="-64" w:right="8"/>
            </w:pPr>
            <w:r>
              <w:t xml:space="preserve">Under the age of 10 </w:t>
            </w:r>
            <w:r>
              <w:noBreakHyphen/>
              <w:t xml:space="preserve"> 20 years</w:t>
            </w:r>
            <w:r>
              <w:br/>
              <w:t xml:space="preserve">Under the age of 16 </w:t>
            </w:r>
            <w:r>
              <w:noBreakHyphen/>
              <w:t xml:space="preserve"> 15 years</w:t>
            </w:r>
            <w:r>
              <w:br/>
              <w:t xml:space="preserve">Over the age of 16 </w:t>
            </w:r>
            <w:r>
              <w:noBreakHyphen/>
              <w:t xml:space="preserve"> 10 years </w:t>
            </w:r>
          </w:p>
        </w:tc>
      </w:tr>
      <w:tr w:rsidR="00000000">
        <w:tblPrEx>
          <w:shd w:val="clear" w:color="auto" w:fill="auto"/>
        </w:tblPrEx>
        <w:trPr>
          <w:cantSplit/>
        </w:trPr>
        <w:tc>
          <w:tcPr>
            <w:tcW w:w="1276" w:type="dxa"/>
          </w:tcPr>
          <w:p w:rsidR="00000000" w:rsidRDefault="00000000">
            <w:pPr>
              <w:spacing w:after="0"/>
              <w:ind w:left="57" w:right="57"/>
            </w:pPr>
            <w:r>
              <w:t>s. 63</w:t>
            </w:r>
          </w:p>
        </w:tc>
        <w:tc>
          <w:tcPr>
            <w:tcW w:w="4842" w:type="dxa"/>
          </w:tcPr>
          <w:p w:rsidR="00000000" w:rsidRDefault="00000000">
            <w:pPr>
              <w:spacing w:after="0"/>
              <w:ind w:left="-64" w:right="57"/>
            </w:pPr>
            <w:r>
              <w:t>Abduction for purposes of sexual intercourse</w:t>
            </w:r>
          </w:p>
        </w:tc>
        <w:tc>
          <w:tcPr>
            <w:tcW w:w="3238" w:type="dxa"/>
          </w:tcPr>
          <w:p w:rsidR="00000000" w:rsidRDefault="00000000">
            <w:pPr>
              <w:spacing w:after="0"/>
              <w:ind w:left="-64" w:right="8"/>
            </w:pPr>
            <w:r>
              <w:t>10 years</w:t>
            </w:r>
          </w:p>
        </w:tc>
      </w:tr>
      <w:tr w:rsidR="00000000">
        <w:tblPrEx>
          <w:shd w:val="clear" w:color="auto" w:fill="auto"/>
        </w:tblPrEx>
        <w:trPr>
          <w:cantSplit/>
        </w:trPr>
        <w:tc>
          <w:tcPr>
            <w:tcW w:w="1276" w:type="dxa"/>
          </w:tcPr>
          <w:p w:rsidR="00000000" w:rsidRDefault="00000000">
            <w:pPr>
              <w:spacing w:after="0"/>
              <w:ind w:left="57" w:right="57"/>
            </w:pPr>
            <w:r>
              <w:t>s. 63</w:t>
            </w:r>
          </w:p>
        </w:tc>
        <w:tc>
          <w:tcPr>
            <w:tcW w:w="4842" w:type="dxa"/>
          </w:tcPr>
          <w:p w:rsidR="00000000" w:rsidRDefault="00000000">
            <w:pPr>
              <w:spacing w:after="0"/>
              <w:ind w:left="-64" w:right="57"/>
            </w:pPr>
            <w:r>
              <w:t>Employment of young people for pornographic purposes</w:t>
            </w:r>
          </w:p>
        </w:tc>
        <w:tc>
          <w:tcPr>
            <w:tcW w:w="3238" w:type="dxa"/>
          </w:tcPr>
          <w:p w:rsidR="00000000" w:rsidRDefault="00000000">
            <w:pPr>
              <w:spacing w:after="0"/>
              <w:ind w:left="-64" w:right="8"/>
            </w:pPr>
            <w:r>
              <w:t>10 years</w:t>
            </w:r>
          </w:p>
        </w:tc>
      </w:tr>
      <w:tr w:rsidR="00000000">
        <w:tblPrEx>
          <w:shd w:val="clear" w:color="auto" w:fill="auto"/>
        </w:tblPrEx>
        <w:trPr>
          <w:cantSplit/>
        </w:trPr>
        <w:tc>
          <w:tcPr>
            <w:tcW w:w="1276" w:type="dxa"/>
          </w:tcPr>
          <w:p w:rsidR="00000000" w:rsidRDefault="00000000">
            <w:pPr>
              <w:spacing w:after="0"/>
              <w:ind w:left="57" w:right="57"/>
            </w:pPr>
            <w:r>
              <w:t xml:space="preserve">s. 66 </w:t>
            </w:r>
          </w:p>
        </w:tc>
        <w:tc>
          <w:tcPr>
            <w:tcW w:w="4842" w:type="dxa"/>
          </w:tcPr>
          <w:p w:rsidR="00000000" w:rsidRDefault="00000000">
            <w:pPr>
              <w:spacing w:after="0"/>
              <w:ind w:left="-64" w:right="57"/>
            </w:pPr>
            <w:r>
              <w:t>Using the internet to deprave young people</w:t>
            </w:r>
          </w:p>
        </w:tc>
        <w:tc>
          <w:tcPr>
            <w:tcW w:w="3238" w:type="dxa"/>
          </w:tcPr>
          <w:p w:rsidR="00000000" w:rsidRDefault="00000000">
            <w:pPr>
              <w:spacing w:after="0"/>
              <w:ind w:left="-64" w:right="8"/>
            </w:pPr>
            <w:r>
              <w:t xml:space="preserve">First offence </w:t>
            </w:r>
            <w:r>
              <w:noBreakHyphen/>
              <w:t xml:space="preserve"> 5 years</w:t>
            </w:r>
            <w:r>
              <w:br/>
              <w:t xml:space="preserve">Second offence </w:t>
            </w:r>
            <w:r>
              <w:noBreakHyphen/>
              <w:t xml:space="preserve"> 10 years</w:t>
            </w:r>
          </w:p>
        </w:tc>
      </w:tr>
      <w:tr w:rsidR="00000000">
        <w:tblPrEx>
          <w:shd w:val="clear" w:color="auto" w:fill="auto"/>
        </w:tblPrEx>
        <w:trPr>
          <w:cantSplit/>
        </w:trPr>
        <w:tc>
          <w:tcPr>
            <w:tcW w:w="1276" w:type="dxa"/>
          </w:tcPr>
          <w:p w:rsidR="00000000" w:rsidRDefault="00000000">
            <w:pPr>
              <w:spacing w:after="0"/>
              <w:ind w:left="57" w:right="57"/>
            </w:pPr>
            <w:r>
              <w:t xml:space="preserve">s. 74 </w:t>
            </w:r>
          </w:p>
        </w:tc>
        <w:tc>
          <w:tcPr>
            <w:tcW w:w="4842" w:type="dxa"/>
          </w:tcPr>
          <w:p w:rsidR="00000000" w:rsidRDefault="00000000">
            <w:pPr>
              <w:spacing w:after="0"/>
              <w:ind w:left="-64" w:right="57"/>
            </w:pPr>
            <w:r>
              <w:t>Female genital mutilation</w:t>
            </w:r>
          </w:p>
        </w:tc>
        <w:tc>
          <w:tcPr>
            <w:tcW w:w="3238" w:type="dxa"/>
          </w:tcPr>
          <w:p w:rsidR="00000000" w:rsidRDefault="00000000">
            <w:pPr>
              <w:spacing w:after="0"/>
              <w:ind w:left="-64" w:right="8"/>
            </w:pPr>
            <w:r>
              <w:t>15 years</w:t>
            </w:r>
          </w:p>
        </w:tc>
      </w:tr>
      <w:tr w:rsidR="00000000">
        <w:tblPrEx>
          <w:shd w:val="clear" w:color="auto" w:fill="auto"/>
        </w:tblPrEx>
        <w:trPr>
          <w:cantSplit/>
        </w:trPr>
        <w:tc>
          <w:tcPr>
            <w:tcW w:w="1276" w:type="dxa"/>
          </w:tcPr>
          <w:p w:rsidR="00000000" w:rsidRDefault="00000000">
            <w:pPr>
              <w:spacing w:after="0"/>
              <w:ind w:left="57" w:right="57"/>
            </w:pPr>
            <w:r>
              <w:br w:type="page"/>
              <w:t>s. 75</w:t>
            </w:r>
          </w:p>
        </w:tc>
        <w:tc>
          <w:tcPr>
            <w:tcW w:w="4842" w:type="dxa"/>
          </w:tcPr>
          <w:p w:rsidR="00000000" w:rsidRDefault="00000000">
            <w:pPr>
              <w:spacing w:after="0"/>
              <w:ind w:left="-64" w:right="57"/>
            </w:pPr>
            <w:r>
              <w:t>Remove child from Territory for purposes of female genital  mutilation</w:t>
            </w:r>
          </w:p>
        </w:tc>
        <w:tc>
          <w:tcPr>
            <w:tcW w:w="3238" w:type="dxa"/>
          </w:tcPr>
          <w:p w:rsidR="00000000" w:rsidRDefault="00000000">
            <w:pPr>
              <w:spacing w:after="0"/>
              <w:ind w:left="-64" w:right="8"/>
            </w:pPr>
            <w:r>
              <w:t>7 years</w:t>
            </w:r>
          </w:p>
        </w:tc>
      </w:tr>
      <w:tr w:rsidR="00000000">
        <w:tblPrEx>
          <w:shd w:val="clear" w:color="auto" w:fill="auto"/>
        </w:tblPrEx>
        <w:trPr>
          <w:cantSplit/>
        </w:trPr>
        <w:tc>
          <w:tcPr>
            <w:tcW w:w="1276" w:type="dxa"/>
          </w:tcPr>
          <w:p w:rsidR="00000000" w:rsidRDefault="00000000">
            <w:pPr>
              <w:spacing w:after="0"/>
              <w:ind w:left="57" w:right="57"/>
            </w:pPr>
            <w:r>
              <w:t>s. 79</w:t>
            </w:r>
          </w:p>
        </w:tc>
        <w:tc>
          <w:tcPr>
            <w:tcW w:w="4842" w:type="dxa"/>
          </w:tcPr>
          <w:p w:rsidR="00000000" w:rsidRDefault="00000000">
            <w:pPr>
              <w:spacing w:after="0"/>
              <w:ind w:left="-64" w:right="57"/>
            </w:pPr>
            <w:r>
              <w:t>Sexual servitude offences</w:t>
            </w:r>
          </w:p>
        </w:tc>
        <w:tc>
          <w:tcPr>
            <w:tcW w:w="3238" w:type="dxa"/>
          </w:tcPr>
          <w:p w:rsidR="00000000" w:rsidRDefault="00000000">
            <w:pPr>
              <w:spacing w:after="0"/>
              <w:ind w:left="-64" w:right="8"/>
            </w:pPr>
            <w:r>
              <w:t xml:space="preserve">Aggravated offence </w:t>
            </w:r>
            <w:r>
              <w:noBreakHyphen/>
              <w:t xml:space="preserve"> 19 years</w:t>
            </w:r>
            <w:r>
              <w:br/>
              <w:t xml:space="preserve">Any other case </w:t>
            </w:r>
            <w:r>
              <w:noBreakHyphen/>
              <w:t xml:space="preserve"> 15 years</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80</w:t>
            </w:r>
          </w:p>
        </w:tc>
        <w:tc>
          <w:tcPr>
            <w:tcW w:w="4842" w:type="dxa"/>
            <w:tcBorders>
              <w:bottom w:val="single" w:sz="6" w:space="0" w:color="000000"/>
            </w:tcBorders>
          </w:tcPr>
          <w:p w:rsidR="00000000" w:rsidRDefault="00000000">
            <w:pPr>
              <w:spacing w:after="0"/>
              <w:ind w:left="-64" w:right="57"/>
            </w:pPr>
            <w:r>
              <w:t>Deceptive recruiting for sexual services</w:t>
            </w:r>
          </w:p>
        </w:tc>
        <w:tc>
          <w:tcPr>
            <w:tcW w:w="3238" w:type="dxa"/>
            <w:tcBorders>
              <w:bottom w:val="single" w:sz="6" w:space="0" w:color="000000"/>
            </w:tcBorders>
          </w:tcPr>
          <w:p w:rsidR="00000000" w:rsidRDefault="00000000">
            <w:pPr>
              <w:spacing w:after="0"/>
              <w:ind w:left="-64" w:right="8"/>
            </w:pPr>
            <w:r>
              <w:t xml:space="preserve">Aggravated offence </w:t>
            </w:r>
            <w:r>
              <w:noBreakHyphen/>
              <w:t xml:space="preserve"> 9 years</w:t>
            </w:r>
            <w:r>
              <w:br/>
              <w:t xml:space="preserve">Any other case </w:t>
            </w:r>
            <w:r>
              <w:noBreakHyphen/>
              <w:t xml:space="preserve"> 7 years</w:t>
            </w:r>
          </w:p>
        </w:tc>
      </w:tr>
      <w:tr w:rsidR="00000000">
        <w:tblPrEx>
          <w:shd w:val="clear" w:color="auto" w:fill="auto"/>
        </w:tblPrEx>
        <w:trPr>
          <w:cantSplit/>
        </w:trPr>
        <w:tc>
          <w:tcPr>
            <w:tcW w:w="9356" w:type="dxa"/>
            <w:gridSpan w:val="3"/>
            <w:tcBorders>
              <w:left w:val="nil"/>
              <w:right w:val="nil"/>
            </w:tcBorders>
          </w:tcPr>
          <w:p w:rsidR="00000000" w:rsidRDefault="00000000">
            <w:pPr>
              <w:spacing w:before="120" w:after="120"/>
              <w:ind w:right="57"/>
              <w:rPr>
                <w:b/>
                <w:bCs/>
                <w:i/>
                <w:iCs/>
              </w:rPr>
            </w:pPr>
            <w:r>
              <w:tab/>
            </w:r>
            <w:r>
              <w:rPr>
                <w:b/>
                <w:bCs/>
                <w:i/>
                <w:iCs/>
              </w:rPr>
              <w:t>Criminal Code 2002</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106</w:t>
            </w:r>
          </w:p>
        </w:tc>
        <w:tc>
          <w:tcPr>
            <w:tcW w:w="4842" w:type="dxa"/>
            <w:tcBorders>
              <w:bottom w:val="single" w:sz="6" w:space="0" w:color="000000"/>
            </w:tcBorders>
          </w:tcPr>
          <w:p w:rsidR="00000000" w:rsidRDefault="00000000">
            <w:pPr>
              <w:spacing w:after="0"/>
              <w:ind w:left="-64" w:right="57"/>
            </w:pPr>
            <w:r>
              <w:t xml:space="preserve">Threat to cause property damage </w:t>
            </w:r>
            <w:r>
              <w:noBreakHyphen/>
              <w:t xml:space="preserve"> fear of death or serious harm</w:t>
            </w:r>
          </w:p>
        </w:tc>
        <w:tc>
          <w:tcPr>
            <w:tcW w:w="3238" w:type="dxa"/>
            <w:tcBorders>
              <w:bottom w:val="single" w:sz="6" w:space="0" w:color="000000"/>
            </w:tcBorders>
          </w:tcPr>
          <w:p w:rsidR="00000000" w:rsidRDefault="00000000">
            <w:pPr>
              <w:spacing w:after="0"/>
              <w:ind w:left="-64" w:right="8"/>
            </w:pPr>
            <w:r>
              <w:t>700 penalty units/ 7 years/ both</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Children and Young People Act 1999</w:t>
            </w:r>
          </w:p>
        </w:tc>
      </w:tr>
      <w:tr w:rsidR="00000000">
        <w:tblPrEx>
          <w:shd w:val="clear" w:color="auto" w:fill="auto"/>
        </w:tblPrEx>
        <w:trPr>
          <w:cantSplit/>
        </w:trPr>
        <w:tc>
          <w:tcPr>
            <w:tcW w:w="1276" w:type="dxa"/>
          </w:tcPr>
          <w:p w:rsidR="00000000" w:rsidRDefault="00000000">
            <w:pPr>
              <w:spacing w:after="0"/>
              <w:ind w:left="57" w:right="57"/>
            </w:pPr>
            <w:r>
              <w:t>s. 369</w:t>
            </w:r>
          </w:p>
        </w:tc>
        <w:tc>
          <w:tcPr>
            <w:tcW w:w="4842" w:type="dxa"/>
          </w:tcPr>
          <w:p w:rsidR="00000000" w:rsidRDefault="00000000">
            <w:pPr>
              <w:spacing w:after="0"/>
              <w:ind w:left="-64" w:right="57"/>
            </w:pPr>
            <w:r>
              <w:t>Employment of children and young people in certain businesses</w:t>
            </w:r>
          </w:p>
        </w:tc>
        <w:tc>
          <w:tcPr>
            <w:tcW w:w="3238" w:type="dxa"/>
          </w:tcPr>
          <w:p w:rsidR="00000000" w:rsidRDefault="00000000">
            <w:pPr>
              <w:spacing w:after="0"/>
              <w:ind w:left="-64" w:right="8"/>
            </w:pPr>
            <w:r>
              <w:t>100 penalty units/ 1 year/ both</w:t>
            </w:r>
          </w:p>
        </w:tc>
      </w:tr>
      <w:tr w:rsidR="00000000">
        <w:tblPrEx>
          <w:shd w:val="clear" w:color="auto" w:fill="auto"/>
        </w:tblPrEx>
        <w:trPr>
          <w:cantSplit/>
        </w:trPr>
        <w:tc>
          <w:tcPr>
            <w:tcW w:w="1276" w:type="dxa"/>
          </w:tcPr>
          <w:p w:rsidR="00000000" w:rsidRDefault="00000000">
            <w:pPr>
              <w:spacing w:after="0"/>
              <w:ind w:left="57" w:right="57"/>
            </w:pPr>
            <w:r>
              <w:t>s. 370</w:t>
            </w:r>
          </w:p>
        </w:tc>
        <w:tc>
          <w:tcPr>
            <w:tcW w:w="4842" w:type="dxa"/>
          </w:tcPr>
          <w:p w:rsidR="00000000" w:rsidRDefault="00000000">
            <w:pPr>
              <w:spacing w:after="0"/>
              <w:ind w:left="-64" w:right="57"/>
            </w:pPr>
            <w:r>
              <w:t xml:space="preserve">Employment of young children </w:t>
            </w:r>
          </w:p>
        </w:tc>
        <w:tc>
          <w:tcPr>
            <w:tcW w:w="3238" w:type="dxa"/>
          </w:tcPr>
          <w:p w:rsidR="00000000" w:rsidRDefault="00000000">
            <w:pPr>
              <w:spacing w:after="0"/>
              <w:ind w:left="-64" w:right="8"/>
            </w:pPr>
            <w:r>
              <w:t>50 penalty units/ 6 months/ both</w:t>
            </w:r>
          </w:p>
        </w:tc>
      </w:tr>
      <w:tr w:rsidR="00000000">
        <w:tblPrEx>
          <w:shd w:val="clear" w:color="auto" w:fill="auto"/>
        </w:tblPrEx>
        <w:trPr>
          <w:cantSplit/>
        </w:trPr>
        <w:tc>
          <w:tcPr>
            <w:tcW w:w="1276" w:type="dxa"/>
          </w:tcPr>
          <w:p w:rsidR="00000000" w:rsidRDefault="00000000">
            <w:pPr>
              <w:spacing w:after="0"/>
              <w:ind w:left="57" w:right="57"/>
            </w:pPr>
            <w:r>
              <w:t>s. 374</w:t>
            </w:r>
          </w:p>
        </w:tc>
        <w:tc>
          <w:tcPr>
            <w:tcW w:w="4842" w:type="dxa"/>
          </w:tcPr>
          <w:p w:rsidR="00000000" w:rsidRDefault="00000000">
            <w:pPr>
              <w:spacing w:after="0"/>
              <w:ind w:left="-64" w:right="57"/>
            </w:pPr>
            <w:r>
              <w:t>Dangerous employment</w:t>
            </w:r>
          </w:p>
        </w:tc>
        <w:tc>
          <w:tcPr>
            <w:tcW w:w="3238" w:type="dxa"/>
          </w:tcPr>
          <w:p w:rsidR="00000000" w:rsidRDefault="00000000">
            <w:pPr>
              <w:spacing w:after="0"/>
              <w:ind w:left="-64" w:right="8"/>
            </w:pPr>
            <w:r>
              <w:t>200 penalty units/ 2 years contrary to condition</w:t>
            </w:r>
            <w:r>
              <w:br/>
              <w:t>100 penalty units/ 1 year</w:t>
            </w:r>
          </w:p>
        </w:tc>
      </w:tr>
      <w:tr w:rsidR="00000000">
        <w:tblPrEx>
          <w:shd w:val="clear" w:color="auto" w:fill="auto"/>
        </w:tblPrEx>
        <w:trPr>
          <w:cantSplit/>
        </w:trPr>
        <w:tc>
          <w:tcPr>
            <w:tcW w:w="1276" w:type="dxa"/>
          </w:tcPr>
          <w:p w:rsidR="00000000" w:rsidRDefault="00000000">
            <w:pPr>
              <w:spacing w:after="0"/>
              <w:ind w:left="57" w:right="57"/>
            </w:pPr>
            <w:r>
              <w:t>s. 376</w:t>
            </w:r>
          </w:p>
        </w:tc>
        <w:tc>
          <w:tcPr>
            <w:tcW w:w="4842" w:type="dxa"/>
          </w:tcPr>
          <w:p w:rsidR="00000000" w:rsidRDefault="00000000">
            <w:pPr>
              <w:spacing w:after="0"/>
              <w:ind w:left="-64" w:right="57"/>
            </w:pPr>
            <w:r>
              <w:t>Duty of employers of children and young people</w:t>
            </w:r>
          </w:p>
        </w:tc>
        <w:tc>
          <w:tcPr>
            <w:tcW w:w="3238" w:type="dxa"/>
          </w:tcPr>
          <w:p w:rsidR="00000000" w:rsidRDefault="00000000">
            <w:pPr>
              <w:spacing w:after="0"/>
              <w:ind w:left="-64" w:right="8"/>
            </w:pPr>
            <w:r>
              <w:t>50 penalty units</w:t>
            </w:r>
          </w:p>
        </w:tc>
      </w:tr>
      <w:tr w:rsidR="00000000">
        <w:tblPrEx>
          <w:shd w:val="clear" w:color="auto" w:fill="auto"/>
        </w:tblPrEx>
        <w:trPr>
          <w:cantSplit/>
        </w:trPr>
        <w:tc>
          <w:tcPr>
            <w:tcW w:w="1276" w:type="dxa"/>
          </w:tcPr>
          <w:p w:rsidR="00000000" w:rsidRDefault="00000000">
            <w:pPr>
              <w:spacing w:after="0"/>
              <w:ind w:left="57" w:right="57"/>
            </w:pPr>
            <w:r>
              <w:t>s. 388</w:t>
            </w:r>
          </w:p>
        </w:tc>
        <w:tc>
          <w:tcPr>
            <w:tcW w:w="4842" w:type="dxa"/>
          </w:tcPr>
          <w:p w:rsidR="00000000" w:rsidRDefault="00000000">
            <w:pPr>
              <w:spacing w:after="0"/>
              <w:ind w:left="-64" w:right="57"/>
            </w:pPr>
            <w:r>
              <w:t>Tattooing of children and young people</w:t>
            </w:r>
          </w:p>
        </w:tc>
        <w:tc>
          <w:tcPr>
            <w:tcW w:w="3238" w:type="dxa"/>
          </w:tcPr>
          <w:p w:rsidR="00000000" w:rsidRDefault="00000000">
            <w:pPr>
              <w:spacing w:after="0"/>
              <w:ind w:left="-64" w:right="8"/>
            </w:pPr>
            <w:r>
              <w:t>50 penalty units</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389</w:t>
            </w:r>
          </w:p>
        </w:tc>
        <w:tc>
          <w:tcPr>
            <w:tcW w:w="4842" w:type="dxa"/>
            <w:tcBorders>
              <w:bottom w:val="single" w:sz="6" w:space="0" w:color="000000"/>
            </w:tcBorders>
          </w:tcPr>
          <w:p w:rsidR="00000000" w:rsidRDefault="00000000">
            <w:pPr>
              <w:spacing w:after="0"/>
              <w:ind w:left="-64" w:right="57"/>
            </w:pPr>
            <w:r>
              <w:t>Offences in relation to child or young person subject to an order</w:t>
            </w:r>
          </w:p>
        </w:tc>
        <w:tc>
          <w:tcPr>
            <w:tcW w:w="3238" w:type="dxa"/>
            <w:tcBorders>
              <w:bottom w:val="single" w:sz="6" w:space="0" w:color="000000"/>
            </w:tcBorders>
          </w:tcPr>
          <w:p w:rsidR="00000000" w:rsidRDefault="00000000">
            <w:pPr>
              <w:spacing w:after="0"/>
              <w:ind w:left="-64" w:right="8"/>
            </w:pPr>
            <w:r>
              <w:t>50 penalty units/ 6 months/ both</w:t>
            </w:r>
          </w:p>
        </w:tc>
      </w:tr>
      <w:tr w:rsidR="00000000">
        <w:tblPrEx>
          <w:shd w:val="clear" w:color="auto" w:fill="auto"/>
        </w:tblPrEx>
        <w:trPr>
          <w:cantSplit/>
        </w:trPr>
        <w:tc>
          <w:tcPr>
            <w:tcW w:w="9356" w:type="dxa"/>
            <w:gridSpan w:val="3"/>
            <w:tcBorders>
              <w:left w:val="nil"/>
              <w:bottom w:val="nil"/>
              <w:right w:val="nil"/>
            </w:tcBorders>
          </w:tcPr>
          <w:p w:rsidR="00000000" w:rsidRDefault="00000000">
            <w:pPr>
              <w:spacing w:before="120" w:after="120"/>
              <w:ind w:left="57" w:right="57"/>
            </w:pPr>
            <w:r>
              <w:tab/>
              <w:t>One penalty unit = $ 100 for an individual</w:t>
            </w:r>
          </w:p>
        </w:tc>
      </w:tr>
      <w:tr w:rsidR="00000000">
        <w:tblPrEx>
          <w:shd w:val="clear" w:color="auto" w:fill="auto"/>
        </w:tblPrEx>
        <w:trPr>
          <w:cantSplit/>
        </w:trPr>
        <w:tc>
          <w:tcPr>
            <w:tcW w:w="9356" w:type="dxa"/>
            <w:gridSpan w:val="3"/>
            <w:tcBorders>
              <w:top w:val="nil"/>
              <w:left w:val="nil"/>
              <w:bottom w:val="single" w:sz="6" w:space="0" w:color="000000"/>
              <w:right w:val="nil"/>
            </w:tcBorders>
          </w:tcPr>
          <w:p w:rsidR="00000000" w:rsidRDefault="00000000">
            <w:pPr>
              <w:pStyle w:val="Heading3"/>
              <w:spacing w:after="120"/>
            </w:pPr>
            <w:r>
              <w:tab/>
              <w:t>New South Wales</w:t>
            </w:r>
          </w:p>
          <w:p w:rsidR="00000000" w:rsidRDefault="00000000">
            <w:pPr>
              <w:pStyle w:val="Heading5"/>
              <w:spacing w:after="120"/>
            </w:pPr>
            <w:r>
              <w:tab/>
              <w:t>Crimes Act 1900</w:t>
            </w:r>
          </w:p>
        </w:tc>
      </w:tr>
      <w:tr w:rsidR="00000000">
        <w:tblPrEx>
          <w:shd w:val="clear" w:color="auto" w:fill="auto"/>
        </w:tblPrEx>
        <w:trPr>
          <w:cantSplit/>
        </w:trPr>
        <w:tc>
          <w:tcPr>
            <w:tcW w:w="1276" w:type="dxa"/>
          </w:tcPr>
          <w:p w:rsidR="00000000" w:rsidRDefault="00000000">
            <w:pPr>
              <w:spacing w:after="0"/>
              <w:ind w:left="57" w:right="57"/>
            </w:pPr>
            <w:r>
              <w:t>s. 18</w:t>
            </w:r>
          </w:p>
        </w:tc>
        <w:tc>
          <w:tcPr>
            <w:tcW w:w="4842" w:type="dxa"/>
          </w:tcPr>
          <w:p w:rsidR="00000000" w:rsidRDefault="00000000">
            <w:pPr>
              <w:spacing w:after="0"/>
              <w:ind w:left="-64" w:right="57"/>
            </w:pPr>
            <w:r>
              <w:t>Murder</w:t>
            </w:r>
          </w:p>
        </w:tc>
        <w:tc>
          <w:tcPr>
            <w:tcW w:w="3238" w:type="dxa"/>
          </w:tcPr>
          <w:p w:rsidR="00000000" w:rsidRDefault="00000000">
            <w:pPr>
              <w:spacing w:after="0"/>
              <w:ind w:left="-64" w:right="8"/>
            </w:pPr>
            <w:r>
              <w:t xml:space="preserve">Life </w:t>
            </w:r>
          </w:p>
        </w:tc>
      </w:tr>
      <w:tr w:rsidR="00000000">
        <w:tblPrEx>
          <w:shd w:val="clear" w:color="auto" w:fill="auto"/>
        </w:tblPrEx>
        <w:trPr>
          <w:cantSplit/>
        </w:trPr>
        <w:tc>
          <w:tcPr>
            <w:tcW w:w="1276" w:type="dxa"/>
          </w:tcPr>
          <w:p w:rsidR="00000000" w:rsidRDefault="00000000">
            <w:pPr>
              <w:spacing w:after="0"/>
              <w:ind w:left="57" w:right="57"/>
            </w:pPr>
            <w:r>
              <w:t>s. 24A</w:t>
            </w:r>
          </w:p>
        </w:tc>
        <w:tc>
          <w:tcPr>
            <w:tcW w:w="4842" w:type="dxa"/>
          </w:tcPr>
          <w:p w:rsidR="00000000" w:rsidRDefault="00000000">
            <w:pPr>
              <w:spacing w:after="0"/>
              <w:ind w:left="-64" w:right="57"/>
            </w:pPr>
            <w:r>
              <w:t>Manslaughter</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26</w:t>
            </w:r>
          </w:p>
        </w:tc>
        <w:tc>
          <w:tcPr>
            <w:tcW w:w="4842" w:type="dxa"/>
          </w:tcPr>
          <w:p w:rsidR="00000000" w:rsidRDefault="00000000">
            <w:pPr>
              <w:spacing w:after="0"/>
              <w:ind w:left="-64" w:right="57"/>
            </w:pPr>
            <w:r>
              <w:t>Conspiring to commit murder</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27</w:t>
            </w:r>
          </w:p>
        </w:tc>
        <w:tc>
          <w:tcPr>
            <w:tcW w:w="4842" w:type="dxa"/>
          </w:tcPr>
          <w:p w:rsidR="00000000" w:rsidRDefault="00000000">
            <w:pPr>
              <w:spacing w:after="0"/>
              <w:ind w:left="-64" w:right="57"/>
            </w:pPr>
            <w:r>
              <w:t>Acts done to person with intent to murder</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28</w:t>
            </w:r>
          </w:p>
        </w:tc>
        <w:tc>
          <w:tcPr>
            <w:tcW w:w="4842" w:type="dxa"/>
          </w:tcPr>
          <w:p w:rsidR="00000000" w:rsidRDefault="00000000">
            <w:pPr>
              <w:spacing w:after="0"/>
              <w:ind w:left="-64" w:right="57"/>
            </w:pPr>
            <w:r>
              <w:t>Acts done to property with intent to murder</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29</w:t>
            </w:r>
          </w:p>
        </w:tc>
        <w:tc>
          <w:tcPr>
            <w:tcW w:w="4842" w:type="dxa"/>
          </w:tcPr>
          <w:p w:rsidR="00000000" w:rsidRDefault="00000000">
            <w:pPr>
              <w:spacing w:after="0"/>
              <w:ind w:left="-64" w:right="57"/>
            </w:pPr>
            <w:r>
              <w:t>Attempts to commit murder</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33</w:t>
            </w:r>
          </w:p>
        </w:tc>
        <w:tc>
          <w:tcPr>
            <w:tcW w:w="4842" w:type="dxa"/>
          </w:tcPr>
          <w:p w:rsidR="00000000" w:rsidRDefault="00000000">
            <w:pPr>
              <w:spacing w:after="0"/>
              <w:ind w:left="-64" w:right="57"/>
            </w:pPr>
            <w:r>
              <w:t xml:space="preserve">Wounding with intent to do bodily harm or resist arrest </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33A</w:t>
            </w:r>
          </w:p>
        </w:tc>
        <w:tc>
          <w:tcPr>
            <w:tcW w:w="4842" w:type="dxa"/>
          </w:tcPr>
          <w:p w:rsidR="00000000" w:rsidRDefault="00000000">
            <w:pPr>
              <w:spacing w:after="0"/>
              <w:ind w:left="-64" w:right="57"/>
            </w:pPr>
            <w:r>
              <w:t>Maliciously discharge a loaded weapon</w:t>
            </w:r>
          </w:p>
        </w:tc>
        <w:tc>
          <w:tcPr>
            <w:tcW w:w="3238" w:type="dxa"/>
          </w:tcPr>
          <w:p w:rsidR="00000000" w:rsidRDefault="00000000">
            <w:pPr>
              <w:spacing w:after="0"/>
              <w:ind w:left="-64" w:right="8"/>
            </w:pPr>
            <w:r>
              <w:t>14 years</w:t>
            </w:r>
          </w:p>
        </w:tc>
      </w:tr>
      <w:tr w:rsidR="00000000">
        <w:tblPrEx>
          <w:shd w:val="clear" w:color="auto" w:fill="auto"/>
        </w:tblPrEx>
        <w:trPr>
          <w:cantSplit/>
        </w:trPr>
        <w:tc>
          <w:tcPr>
            <w:tcW w:w="1276" w:type="dxa"/>
          </w:tcPr>
          <w:p w:rsidR="00000000" w:rsidRDefault="00000000">
            <w:pPr>
              <w:spacing w:after="0"/>
              <w:ind w:left="57" w:right="57"/>
            </w:pPr>
            <w:r>
              <w:t>s. 35</w:t>
            </w:r>
          </w:p>
        </w:tc>
        <w:tc>
          <w:tcPr>
            <w:tcW w:w="4842" w:type="dxa"/>
          </w:tcPr>
          <w:p w:rsidR="00000000" w:rsidRDefault="00000000">
            <w:pPr>
              <w:spacing w:after="0"/>
              <w:ind w:left="-64" w:right="57"/>
            </w:pPr>
            <w:r>
              <w:t>Malicious wounding or inflicting grievous bodily harm</w:t>
            </w:r>
          </w:p>
        </w:tc>
        <w:tc>
          <w:tcPr>
            <w:tcW w:w="3238" w:type="dxa"/>
          </w:tcPr>
          <w:p w:rsidR="00000000" w:rsidRDefault="00000000">
            <w:pPr>
              <w:spacing w:after="0"/>
              <w:ind w:left="-64" w:right="8"/>
            </w:pPr>
            <w:r>
              <w:t>7 years</w:t>
            </w:r>
            <w:r>
              <w:br/>
            </w:r>
          </w:p>
        </w:tc>
      </w:tr>
      <w:tr w:rsidR="00000000">
        <w:tblPrEx>
          <w:shd w:val="clear" w:color="auto" w:fill="auto"/>
        </w:tblPrEx>
        <w:trPr>
          <w:cantSplit/>
        </w:trPr>
        <w:tc>
          <w:tcPr>
            <w:tcW w:w="1276" w:type="dxa"/>
          </w:tcPr>
          <w:p w:rsidR="00000000" w:rsidRDefault="00000000">
            <w:pPr>
              <w:spacing w:after="0"/>
              <w:ind w:left="57" w:right="57"/>
            </w:pPr>
            <w:r>
              <w:t>s. 35A</w:t>
            </w:r>
          </w:p>
        </w:tc>
        <w:tc>
          <w:tcPr>
            <w:tcW w:w="4842" w:type="dxa"/>
          </w:tcPr>
          <w:p w:rsidR="00000000" w:rsidRDefault="00000000">
            <w:pPr>
              <w:spacing w:after="0"/>
              <w:ind w:left="-64" w:right="57"/>
            </w:pPr>
            <w:r>
              <w:t>Maliciously cause dog to inflict grievous or actual bodily harm</w:t>
            </w:r>
          </w:p>
        </w:tc>
        <w:tc>
          <w:tcPr>
            <w:tcW w:w="3238" w:type="dxa"/>
          </w:tcPr>
          <w:p w:rsidR="00000000" w:rsidRDefault="00000000">
            <w:pPr>
              <w:spacing w:after="0"/>
              <w:ind w:left="-64" w:right="8"/>
            </w:pPr>
            <w:r>
              <w:t>7 years and 5 years respectively</w:t>
            </w:r>
          </w:p>
        </w:tc>
      </w:tr>
      <w:tr w:rsidR="00000000">
        <w:tblPrEx>
          <w:shd w:val="clear" w:color="auto" w:fill="auto"/>
        </w:tblPrEx>
        <w:trPr>
          <w:cantSplit/>
        </w:trPr>
        <w:tc>
          <w:tcPr>
            <w:tcW w:w="1276" w:type="dxa"/>
          </w:tcPr>
          <w:p w:rsidR="00000000" w:rsidRDefault="00000000">
            <w:pPr>
              <w:spacing w:after="0"/>
              <w:ind w:left="57" w:right="57"/>
            </w:pPr>
            <w:r>
              <w:t>s. 36</w:t>
            </w:r>
          </w:p>
        </w:tc>
        <w:tc>
          <w:tcPr>
            <w:tcW w:w="4842" w:type="dxa"/>
          </w:tcPr>
          <w:p w:rsidR="00000000" w:rsidRDefault="00000000">
            <w:pPr>
              <w:spacing w:after="0"/>
              <w:ind w:left="-64" w:right="57"/>
            </w:pPr>
            <w:r>
              <w:t>Causing grievous bodily disease</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37</w:t>
            </w:r>
          </w:p>
        </w:tc>
        <w:tc>
          <w:tcPr>
            <w:tcW w:w="4842" w:type="dxa"/>
          </w:tcPr>
          <w:p w:rsidR="00000000" w:rsidRDefault="00000000">
            <w:pPr>
              <w:spacing w:after="0"/>
              <w:ind w:left="-64" w:right="57"/>
            </w:pPr>
            <w:r>
              <w:t>Attempts to choke, suffocate or strangle</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38</w:t>
            </w:r>
          </w:p>
        </w:tc>
        <w:tc>
          <w:tcPr>
            <w:tcW w:w="4842" w:type="dxa"/>
          </w:tcPr>
          <w:p w:rsidR="00000000" w:rsidRDefault="00000000">
            <w:pPr>
              <w:spacing w:after="0"/>
              <w:ind w:left="-64" w:right="57"/>
            </w:pPr>
            <w:r>
              <w:t>Using chloroform to commit an offence</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39</w:t>
            </w:r>
          </w:p>
        </w:tc>
        <w:tc>
          <w:tcPr>
            <w:tcW w:w="4842" w:type="dxa"/>
          </w:tcPr>
          <w:p w:rsidR="00000000" w:rsidRDefault="00000000">
            <w:pPr>
              <w:spacing w:after="0"/>
              <w:ind w:left="-64" w:right="57"/>
            </w:pPr>
            <w:r>
              <w:t>Using poison so as to endanger life</w:t>
            </w:r>
          </w:p>
        </w:tc>
        <w:tc>
          <w:tcPr>
            <w:tcW w:w="3238" w:type="dxa"/>
          </w:tcPr>
          <w:p w:rsidR="00000000" w:rsidRDefault="00000000">
            <w:pPr>
              <w:spacing w:after="0"/>
              <w:ind w:left="-64" w:right="8"/>
            </w:pPr>
            <w:r>
              <w:t>10 years</w:t>
            </w:r>
          </w:p>
        </w:tc>
      </w:tr>
      <w:tr w:rsidR="00000000">
        <w:tblPrEx>
          <w:shd w:val="clear" w:color="auto" w:fill="auto"/>
        </w:tblPrEx>
        <w:trPr>
          <w:cantSplit/>
        </w:trPr>
        <w:tc>
          <w:tcPr>
            <w:tcW w:w="1276" w:type="dxa"/>
          </w:tcPr>
          <w:p w:rsidR="00000000" w:rsidRDefault="00000000">
            <w:pPr>
              <w:spacing w:after="0"/>
              <w:ind w:left="57" w:right="57"/>
            </w:pPr>
            <w:r>
              <w:t>s. 40</w:t>
            </w:r>
          </w:p>
        </w:tc>
        <w:tc>
          <w:tcPr>
            <w:tcW w:w="4842" w:type="dxa"/>
          </w:tcPr>
          <w:p w:rsidR="00000000" w:rsidRDefault="00000000">
            <w:pPr>
              <w:spacing w:after="0"/>
              <w:ind w:left="-64" w:right="57"/>
            </w:pPr>
            <w:r>
              <w:t>Discharging loaded arms with intent</w:t>
            </w:r>
          </w:p>
        </w:tc>
        <w:tc>
          <w:tcPr>
            <w:tcW w:w="3238" w:type="dxa"/>
          </w:tcPr>
          <w:p w:rsidR="00000000" w:rsidRDefault="00000000">
            <w:pPr>
              <w:spacing w:after="0"/>
              <w:ind w:left="-64" w:right="8"/>
            </w:pPr>
            <w:r>
              <w:t>14 years</w:t>
            </w:r>
          </w:p>
        </w:tc>
      </w:tr>
      <w:tr w:rsidR="00000000">
        <w:tblPrEx>
          <w:shd w:val="clear" w:color="auto" w:fill="auto"/>
        </w:tblPrEx>
        <w:trPr>
          <w:cantSplit/>
        </w:trPr>
        <w:tc>
          <w:tcPr>
            <w:tcW w:w="1276" w:type="dxa"/>
          </w:tcPr>
          <w:p w:rsidR="00000000" w:rsidRDefault="00000000">
            <w:pPr>
              <w:spacing w:after="0"/>
              <w:ind w:left="57" w:right="57"/>
            </w:pPr>
            <w:r>
              <w:t>s. 43</w:t>
            </w:r>
          </w:p>
        </w:tc>
        <w:tc>
          <w:tcPr>
            <w:tcW w:w="4842" w:type="dxa"/>
          </w:tcPr>
          <w:p w:rsidR="00000000" w:rsidRDefault="00000000">
            <w:pPr>
              <w:spacing w:after="0"/>
              <w:ind w:left="-64" w:right="57"/>
            </w:pPr>
            <w:r>
              <w:t>Exposing or abandoning a child under 7 years</w:t>
            </w:r>
          </w:p>
        </w:tc>
        <w:tc>
          <w:tcPr>
            <w:tcW w:w="3238" w:type="dxa"/>
          </w:tcPr>
          <w:p w:rsidR="00000000" w:rsidRDefault="00000000">
            <w:pPr>
              <w:spacing w:after="0"/>
              <w:ind w:left="-64" w:right="8"/>
            </w:pPr>
            <w:r>
              <w:t>5 years imprisonment</w:t>
            </w:r>
          </w:p>
        </w:tc>
      </w:tr>
      <w:tr w:rsidR="00000000">
        <w:tblPrEx>
          <w:shd w:val="clear" w:color="auto" w:fill="auto"/>
        </w:tblPrEx>
        <w:trPr>
          <w:cantSplit/>
        </w:trPr>
        <w:tc>
          <w:tcPr>
            <w:tcW w:w="1276" w:type="dxa"/>
          </w:tcPr>
          <w:p w:rsidR="00000000" w:rsidRDefault="00000000">
            <w:pPr>
              <w:spacing w:after="0"/>
              <w:ind w:left="57" w:right="57"/>
            </w:pPr>
            <w:r>
              <w:t>s. 43A</w:t>
            </w:r>
          </w:p>
        </w:tc>
        <w:tc>
          <w:tcPr>
            <w:tcW w:w="4842" w:type="dxa"/>
          </w:tcPr>
          <w:p w:rsidR="00000000" w:rsidRDefault="00000000">
            <w:pPr>
              <w:spacing w:after="0"/>
              <w:ind w:left="-64" w:right="57"/>
            </w:pPr>
            <w:r>
              <w:t>Failure of persons with parental responsibility to care for child</w:t>
            </w:r>
          </w:p>
        </w:tc>
        <w:tc>
          <w:tcPr>
            <w:tcW w:w="3238" w:type="dxa"/>
          </w:tcPr>
          <w:p w:rsidR="00000000" w:rsidRDefault="00000000">
            <w:pPr>
              <w:spacing w:after="0"/>
              <w:ind w:left="-64" w:right="8"/>
            </w:pPr>
            <w:r>
              <w:t>5 years imprisonment</w:t>
            </w:r>
          </w:p>
        </w:tc>
      </w:tr>
      <w:tr w:rsidR="00000000">
        <w:tblPrEx>
          <w:shd w:val="clear" w:color="auto" w:fill="auto"/>
        </w:tblPrEx>
        <w:trPr>
          <w:cantSplit/>
        </w:trPr>
        <w:tc>
          <w:tcPr>
            <w:tcW w:w="1276" w:type="dxa"/>
          </w:tcPr>
          <w:p w:rsidR="00000000" w:rsidRDefault="00000000">
            <w:pPr>
              <w:spacing w:after="0"/>
              <w:ind w:left="57" w:right="57"/>
            </w:pPr>
            <w:r>
              <w:t>s. 44</w:t>
            </w:r>
          </w:p>
        </w:tc>
        <w:tc>
          <w:tcPr>
            <w:tcW w:w="4842" w:type="dxa"/>
          </w:tcPr>
          <w:p w:rsidR="00000000" w:rsidRDefault="00000000">
            <w:pPr>
              <w:spacing w:after="0"/>
              <w:ind w:left="-64" w:right="57"/>
            </w:pPr>
            <w:r>
              <w:t>Not providing wife, child or servant with food etc</w:t>
            </w:r>
          </w:p>
        </w:tc>
        <w:tc>
          <w:tcPr>
            <w:tcW w:w="3238" w:type="dxa"/>
          </w:tcPr>
          <w:p w:rsidR="00000000" w:rsidRDefault="00000000">
            <w:pPr>
              <w:spacing w:after="0"/>
              <w:ind w:left="-64" w:right="8"/>
            </w:pPr>
            <w:r>
              <w:t>5 years imprisonment</w:t>
            </w:r>
          </w:p>
        </w:tc>
      </w:tr>
      <w:tr w:rsidR="00000000">
        <w:tblPrEx>
          <w:shd w:val="clear" w:color="auto" w:fill="auto"/>
        </w:tblPrEx>
        <w:trPr>
          <w:cantSplit/>
        </w:trPr>
        <w:tc>
          <w:tcPr>
            <w:tcW w:w="1276" w:type="dxa"/>
          </w:tcPr>
          <w:p w:rsidR="00000000" w:rsidRDefault="00000000">
            <w:pPr>
              <w:spacing w:after="0"/>
              <w:ind w:left="57" w:right="57"/>
            </w:pPr>
            <w:r>
              <w:t>s. 55</w:t>
            </w:r>
          </w:p>
        </w:tc>
        <w:tc>
          <w:tcPr>
            <w:tcW w:w="4842" w:type="dxa"/>
          </w:tcPr>
          <w:p w:rsidR="00000000" w:rsidRDefault="00000000">
            <w:pPr>
              <w:spacing w:after="0"/>
              <w:ind w:left="-64" w:right="57"/>
            </w:pPr>
            <w:r>
              <w:t>Possessing or making explosives with intent to injure the person</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58</w:t>
            </w:r>
          </w:p>
        </w:tc>
        <w:tc>
          <w:tcPr>
            <w:tcW w:w="4842" w:type="dxa"/>
          </w:tcPr>
          <w:p w:rsidR="00000000" w:rsidRDefault="00000000">
            <w:pPr>
              <w:spacing w:after="0"/>
              <w:ind w:left="-64" w:right="57"/>
            </w:pPr>
            <w:r>
              <w:t>Assault with intent to commit a serious indictable offence on certain officers</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59</w:t>
            </w:r>
          </w:p>
        </w:tc>
        <w:tc>
          <w:tcPr>
            <w:tcW w:w="4842" w:type="dxa"/>
          </w:tcPr>
          <w:p w:rsidR="00000000" w:rsidRDefault="00000000">
            <w:pPr>
              <w:spacing w:after="0"/>
              <w:ind w:left="-64" w:right="57"/>
            </w:pPr>
            <w:r>
              <w:t>Assault occasioning actual bodily harm</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61</w:t>
            </w:r>
          </w:p>
        </w:tc>
        <w:tc>
          <w:tcPr>
            <w:tcW w:w="4842" w:type="dxa"/>
          </w:tcPr>
          <w:p w:rsidR="00000000" w:rsidRDefault="00000000">
            <w:pPr>
              <w:spacing w:after="0"/>
              <w:ind w:left="-64" w:right="57"/>
            </w:pPr>
            <w:r>
              <w:t>Common assault</w:t>
            </w:r>
          </w:p>
        </w:tc>
        <w:tc>
          <w:tcPr>
            <w:tcW w:w="3238" w:type="dxa"/>
          </w:tcPr>
          <w:p w:rsidR="00000000" w:rsidRDefault="00000000">
            <w:pPr>
              <w:spacing w:after="0"/>
              <w:ind w:left="-64" w:right="8"/>
            </w:pPr>
            <w:r>
              <w:t>2 years</w:t>
            </w:r>
          </w:p>
        </w:tc>
      </w:tr>
      <w:tr w:rsidR="00000000">
        <w:tblPrEx>
          <w:shd w:val="clear" w:color="auto" w:fill="auto"/>
        </w:tblPrEx>
        <w:trPr>
          <w:cantSplit/>
        </w:trPr>
        <w:tc>
          <w:tcPr>
            <w:tcW w:w="1276" w:type="dxa"/>
          </w:tcPr>
          <w:p w:rsidR="00000000" w:rsidRDefault="00000000">
            <w:pPr>
              <w:spacing w:after="0"/>
              <w:ind w:left="57" w:right="57"/>
            </w:pPr>
            <w:r>
              <w:t>s. 61I</w:t>
            </w:r>
          </w:p>
        </w:tc>
        <w:tc>
          <w:tcPr>
            <w:tcW w:w="4842" w:type="dxa"/>
          </w:tcPr>
          <w:p w:rsidR="00000000" w:rsidRDefault="00000000">
            <w:pPr>
              <w:spacing w:after="0"/>
              <w:ind w:left="-64" w:right="57"/>
            </w:pPr>
            <w:r>
              <w:t>Sexual assault</w:t>
            </w:r>
          </w:p>
        </w:tc>
        <w:tc>
          <w:tcPr>
            <w:tcW w:w="3238" w:type="dxa"/>
          </w:tcPr>
          <w:p w:rsidR="00000000" w:rsidRDefault="00000000">
            <w:pPr>
              <w:spacing w:after="0"/>
              <w:ind w:left="-64" w:right="8"/>
            </w:pPr>
            <w:r>
              <w:t xml:space="preserve">14 years </w:t>
            </w:r>
          </w:p>
        </w:tc>
      </w:tr>
      <w:tr w:rsidR="00000000">
        <w:tblPrEx>
          <w:shd w:val="clear" w:color="auto" w:fill="auto"/>
        </w:tblPrEx>
        <w:trPr>
          <w:cantSplit/>
        </w:trPr>
        <w:tc>
          <w:tcPr>
            <w:tcW w:w="1276" w:type="dxa"/>
          </w:tcPr>
          <w:p w:rsidR="00000000" w:rsidRDefault="00000000">
            <w:pPr>
              <w:spacing w:after="0"/>
              <w:ind w:left="57" w:right="57"/>
            </w:pPr>
            <w:r>
              <w:t>s. 61J</w:t>
            </w:r>
          </w:p>
        </w:tc>
        <w:tc>
          <w:tcPr>
            <w:tcW w:w="4842" w:type="dxa"/>
          </w:tcPr>
          <w:p w:rsidR="00000000" w:rsidRDefault="00000000">
            <w:pPr>
              <w:spacing w:after="0"/>
              <w:ind w:left="-64" w:right="57"/>
            </w:pPr>
            <w:r>
              <w:t>Aggravated sexual assault</w:t>
            </w:r>
          </w:p>
        </w:tc>
        <w:tc>
          <w:tcPr>
            <w:tcW w:w="3238" w:type="dxa"/>
          </w:tcPr>
          <w:p w:rsidR="00000000" w:rsidRDefault="00000000">
            <w:pPr>
              <w:spacing w:after="0"/>
              <w:ind w:left="-64" w:right="8"/>
            </w:pPr>
            <w:r>
              <w:t>20 years</w:t>
            </w:r>
          </w:p>
        </w:tc>
      </w:tr>
      <w:tr w:rsidR="00000000">
        <w:tblPrEx>
          <w:shd w:val="clear" w:color="auto" w:fill="auto"/>
        </w:tblPrEx>
        <w:trPr>
          <w:cantSplit/>
        </w:trPr>
        <w:tc>
          <w:tcPr>
            <w:tcW w:w="1276" w:type="dxa"/>
          </w:tcPr>
          <w:p w:rsidR="00000000" w:rsidRDefault="00000000">
            <w:pPr>
              <w:spacing w:after="0"/>
              <w:ind w:left="57" w:right="57"/>
            </w:pPr>
            <w:r>
              <w:t>s. 61JA</w:t>
            </w:r>
          </w:p>
        </w:tc>
        <w:tc>
          <w:tcPr>
            <w:tcW w:w="4842" w:type="dxa"/>
          </w:tcPr>
          <w:p w:rsidR="00000000" w:rsidRDefault="00000000">
            <w:pPr>
              <w:spacing w:after="0"/>
              <w:ind w:left="-64" w:right="57"/>
            </w:pPr>
            <w:r>
              <w:t>Aggravated sexual assault in company</w:t>
            </w:r>
          </w:p>
        </w:tc>
        <w:tc>
          <w:tcPr>
            <w:tcW w:w="3238" w:type="dxa"/>
          </w:tcPr>
          <w:p w:rsidR="00000000" w:rsidRDefault="00000000">
            <w:pPr>
              <w:spacing w:after="0"/>
              <w:ind w:left="-64" w:right="8"/>
            </w:pPr>
            <w:r>
              <w:t>Life</w:t>
            </w:r>
          </w:p>
        </w:tc>
      </w:tr>
      <w:tr w:rsidR="00000000">
        <w:tblPrEx>
          <w:shd w:val="clear" w:color="auto" w:fill="auto"/>
        </w:tblPrEx>
        <w:trPr>
          <w:cantSplit/>
        </w:trPr>
        <w:tc>
          <w:tcPr>
            <w:tcW w:w="1276" w:type="dxa"/>
          </w:tcPr>
          <w:p w:rsidR="00000000" w:rsidRDefault="00000000">
            <w:pPr>
              <w:spacing w:after="0"/>
              <w:ind w:left="57" w:right="57"/>
            </w:pPr>
            <w:r>
              <w:t>s. 61L</w:t>
            </w:r>
          </w:p>
        </w:tc>
        <w:tc>
          <w:tcPr>
            <w:tcW w:w="4842" w:type="dxa"/>
          </w:tcPr>
          <w:p w:rsidR="00000000" w:rsidRDefault="00000000">
            <w:pPr>
              <w:spacing w:after="0"/>
              <w:ind w:left="-64" w:right="57"/>
            </w:pPr>
            <w:r>
              <w:t>Indecent assault</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61M</w:t>
            </w:r>
          </w:p>
        </w:tc>
        <w:tc>
          <w:tcPr>
            <w:tcW w:w="4842" w:type="dxa"/>
          </w:tcPr>
          <w:p w:rsidR="00000000" w:rsidRDefault="00000000">
            <w:pPr>
              <w:spacing w:after="0"/>
              <w:ind w:left="-64" w:right="57"/>
            </w:pPr>
            <w:r>
              <w:t>Aggravated indecent assault</w:t>
            </w:r>
          </w:p>
        </w:tc>
        <w:tc>
          <w:tcPr>
            <w:tcW w:w="3238" w:type="dxa"/>
          </w:tcPr>
          <w:p w:rsidR="00000000" w:rsidRDefault="00000000">
            <w:pPr>
              <w:spacing w:after="0"/>
              <w:ind w:left="-64" w:right="8"/>
            </w:pPr>
            <w:r>
              <w:t>7 years</w:t>
            </w:r>
          </w:p>
        </w:tc>
      </w:tr>
      <w:tr w:rsidR="00000000">
        <w:tblPrEx>
          <w:shd w:val="clear" w:color="auto" w:fill="auto"/>
        </w:tblPrEx>
        <w:trPr>
          <w:cantSplit/>
        </w:trPr>
        <w:tc>
          <w:tcPr>
            <w:tcW w:w="1276" w:type="dxa"/>
          </w:tcPr>
          <w:p w:rsidR="00000000" w:rsidRDefault="00000000">
            <w:pPr>
              <w:spacing w:after="0"/>
              <w:ind w:left="57" w:right="57"/>
            </w:pPr>
            <w:r>
              <w:t>s. 61N(1)</w:t>
            </w:r>
          </w:p>
        </w:tc>
        <w:tc>
          <w:tcPr>
            <w:tcW w:w="4842" w:type="dxa"/>
          </w:tcPr>
          <w:p w:rsidR="00000000" w:rsidRDefault="00000000">
            <w:pPr>
              <w:spacing w:after="0"/>
              <w:ind w:left="-64" w:right="57"/>
            </w:pPr>
            <w:r>
              <w:t>Acts of indecency with a person under 16 years</w:t>
            </w:r>
          </w:p>
        </w:tc>
        <w:tc>
          <w:tcPr>
            <w:tcW w:w="3238" w:type="dxa"/>
          </w:tcPr>
          <w:p w:rsidR="00000000" w:rsidRDefault="00000000">
            <w:pPr>
              <w:spacing w:after="0"/>
              <w:ind w:left="-64" w:right="8"/>
            </w:pPr>
            <w:r>
              <w:t>2 years</w:t>
            </w:r>
          </w:p>
        </w:tc>
      </w:tr>
      <w:tr w:rsidR="00000000">
        <w:tblPrEx>
          <w:shd w:val="clear" w:color="auto" w:fill="auto"/>
        </w:tblPrEx>
        <w:trPr>
          <w:cantSplit/>
        </w:trPr>
        <w:tc>
          <w:tcPr>
            <w:tcW w:w="1276" w:type="dxa"/>
          </w:tcPr>
          <w:p w:rsidR="00000000" w:rsidRDefault="00000000">
            <w:pPr>
              <w:spacing w:after="0"/>
              <w:ind w:left="57" w:right="57"/>
            </w:pPr>
            <w:r>
              <w:t>s. 61N(2)</w:t>
            </w:r>
          </w:p>
        </w:tc>
        <w:tc>
          <w:tcPr>
            <w:tcW w:w="4842" w:type="dxa"/>
          </w:tcPr>
          <w:p w:rsidR="00000000" w:rsidRDefault="00000000">
            <w:pPr>
              <w:spacing w:after="0"/>
              <w:ind w:left="-64" w:right="57"/>
            </w:pPr>
            <w:r>
              <w:t>Acts of indecency with a person above 16 years and under 18 years</w:t>
            </w:r>
          </w:p>
        </w:tc>
        <w:tc>
          <w:tcPr>
            <w:tcW w:w="3238" w:type="dxa"/>
          </w:tcPr>
          <w:p w:rsidR="00000000" w:rsidRDefault="00000000">
            <w:pPr>
              <w:spacing w:after="0"/>
              <w:ind w:left="-64" w:right="8"/>
            </w:pPr>
            <w:r>
              <w:t>18 months</w:t>
            </w:r>
          </w:p>
        </w:tc>
      </w:tr>
      <w:tr w:rsidR="00000000">
        <w:tblPrEx>
          <w:shd w:val="clear" w:color="auto" w:fill="auto"/>
        </w:tblPrEx>
        <w:trPr>
          <w:cantSplit/>
        </w:trPr>
        <w:tc>
          <w:tcPr>
            <w:tcW w:w="1276" w:type="dxa"/>
          </w:tcPr>
          <w:p w:rsidR="00000000" w:rsidRDefault="00000000">
            <w:pPr>
              <w:spacing w:after="0"/>
              <w:ind w:left="57" w:right="57"/>
            </w:pPr>
            <w:r>
              <w:t>s. 61O</w:t>
            </w:r>
          </w:p>
        </w:tc>
        <w:tc>
          <w:tcPr>
            <w:tcW w:w="4842" w:type="dxa"/>
          </w:tcPr>
          <w:p w:rsidR="00000000" w:rsidRDefault="00000000">
            <w:pPr>
              <w:spacing w:after="0"/>
              <w:ind w:left="-64" w:right="57"/>
            </w:pPr>
            <w:r>
              <w:t>Aggravated acts of indecency</w:t>
            </w:r>
            <w:r>
              <w:br/>
              <w:t>Under 16 years of age</w:t>
            </w:r>
            <w:r>
              <w:br/>
              <w:t>Above 16 years of age</w:t>
            </w:r>
            <w:r>
              <w:br/>
              <w:t>Under 10 years of age</w:t>
            </w:r>
          </w:p>
        </w:tc>
        <w:tc>
          <w:tcPr>
            <w:tcW w:w="3238" w:type="dxa"/>
          </w:tcPr>
          <w:p w:rsidR="00000000" w:rsidRDefault="00000000">
            <w:pPr>
              <w:spacing w:after="0"/>
              <w:ind w:left="-64" w:right="8"/>
            </w:pPr>
            <w:r>
              <w:br/>
              <w:t>5 years</w:t>
            </w:r>
            <w:r>
              <w:br/>
              <w:t>3 years</w:t>
            </w:r>
            <w:r>
              <w:br/>
              <w:t>7 years</w:t>
            </w:r>
          </w:p>
        </w:tc>
      </w:tr>
      <w:tr w:rsidR="00000000">
        <w:tblPrEx>
          <w:shd w:val="clear" w:color="auto" w:fill="auto"/>
        </w:tblPrEx>
        <w:trPr>
          <w:cantSplit/>
        </w:trPr>
        <w:tc>
          <w:tcPr>
            <w:tcW w:w="1276" w:type="dxa"/>
          </w:tcPr>
          <w:p w:rsidR="00000000" w:rsidRDefault="00000000">
            <w:pPr>
              <w:spacing w:after="0"/>
              <w:ind w:left="57" w:right="57"/>
            </w:pPr>
            <w:r>
              <w:t>s. 80D(1)</w:t>
            </w:r>
          </w:p>
        </w:tc>
        <w:tc>
          <w:tcPr>
            <w:tcW w:w="4842" w:type="dxa"/>
          </w:tcPr>
          <w:p w:rsidR="00000000" w:rsidRDefault="00000000">
            <w:pPr>
              <w:spacing w:after="0"/>
              <w:ind w:left="-64" w:right="57"/>
            </w:pPr>
            <w:r>
              <w:t>Causing sexual servitude</w:t>
            </w:r>
          </w:p>
        </w:tc>
        <w:tc>
          <w:tcPr>
            <w:tcW w:w="3238" w:type="dxa"/>
          </w:tcPr>
          <w:p w:rsidR="00000000" w:rsidRDefault="00000000">
            <w:pPr>
              <w:spacing w:after="0"/>
              <w:ind w:left="-64" w:right="8"/>
            </w:pPr>
            <w:r>
              <w:t>15 years</w:t>
            </w:r>
          </w:p>
        </w:tc>
      </w:tr>
      <w:tr w:rsidR="00000000">
        <w:tblPrEx>
          <w:shd w:val="clear" w:color="auto" w:fill="auto"/>
        </w:tblPrEx>
        <w:trPr>
          <w:cantSplit/>
        </w:trPr>
        <w:tc>
          <w:tcPr>
            <w:tcW w:w="1276" w:type="dxa"/>
          </w:tcPr>
          <w:p w:rsidR="00000000" w:rsidRDefault="00000000">
            <w:pPr>
              <w:spacing w:after="0"/>
              <w:ind w:left="57" w:right="57"/>
            </w:pPr>
            <w:r>
              <w:t>s. 80D(2)</w:t>
            </w:r>
          </w:p>
        </w:tc>
        <w:tc>
          <w:tcPr>
            <w:tcW w:w="4842" w:type="dxa"/>
          </w:tcPr>
          <w:p w:rsidR="00000000" w:rsidRDefault="00000000">
            <w:pPr>
              <w:spacing w:after="0"/>
              <w:ind w:left="-64" w:right="57"/>
            </w:pPr>
            <w:r>
              <w:t>Aggravated sexual servitude</w:t>
            </w:r>
          </w:p>
        </w:tc>
        <w:tc>
          <w:tcPr>
            <w:tcW w:w="3238" w:type="dxa"/>
          </w:tcPr>
          <w:p w:rsidR="00000000" w:rsidRDefault="00000000">
            <w:pPr>
              <w:spacing w:after="0"/>
              <w:ind w:left="-64" w:right="8"/>
            </w:pPr>
            <w:r>
              <w:t>19 years</w:t>
            </w:r>
          </w:p>
        </w:tc>
      </w:tr>
      <w:tr w:rsidR="00000000">
        <w:tblPrEx>
          <w:shd w:val="clear" w:color="auto" w:fill="auto"/>
        </w:tblPrEx>
        <w:trPr>
          <w:cantSplit/>
        </w:trPr>
        <w:tc>
          <w:tcPr>
            <w:tcW w:w="1276" w:type="dxa"/>
          </w:tcPr>
          <w:p w:rsidR="00000000" w:rsidRDefault="00000000">
            <w:pPr>
              <w:spacing w:after="0"/>
              <w:ind w:left="57" w:right="57"/>
            </w:pPr>
            <w:r>
              <w:t>s. 80E(1)</w:t>
            </w:r>
          </w:p>
        </w:tc>
        <w:tc>
          <w:tcPr>
            <w:tcW w:w="4842" w:type="dxa"/>
          </w:tcPr>
          <w:p w:rsidR="00000000" w:rsidRDefault="00000000">
            <w:pPr>
              <w:spacing w:after="0"/>
              <w:ind w:left="-64" w:right="57"/>
            </w:pPr>
            <w:r>
              <w:t>Conducting a business that involves sexual servitude</w:t>
            </w:r>
          </w:p>
        </w:tc>
        <w:tc>
          <w:tcPr>
            <w:tcW w:w="3238" w:type="dxa"/>
          </w:tcPr>
          <w:p w:rsidR="00000000" w:rsidRDefault="00000000">
            <w:pPr>
              <w:spacing w:after="0"/>
              <w:ind w:left="-64" w:right="8"/>
            </w:pPr>
            <w:r>
              <w:t>15 years</w:t>
            </w:r>
          </w:p>
        </w:tc>
      </w:tr>
      <w:tr w:rsidR="00000000">
        <w:tblPrEx>
          <w:shd w:val="clear" w:color="auto" w:fill="auto"/>
        </w:tblPrEx>
        <w:trPr>
          <w:cantSplit/>
        </w:trPr>
        <w:tc>
          <w:tcPr>
            <w:tcW w:w="1276" w:type="dxa"/>
          </w:tcPr>
          <w:p w:rsidR="00000000" w:rsidRDefault="00000000">
            <w:pPr>
              <w:spacing w:after="0"/>
              <w:ind w:left="57" w:right="57"/>
            </w:pPr>
            <w:r>
              <w:t>s. 80E(2)</w:t>
            </w:r>
          </w:p>
        </w:tc>
        <w:tc>
          <w:tcPr>
            <w:tcW w:w="4842" w:type="dxa"/>
          </w:tcPr>
          <w:p w:rsidR="00000000" w:rsidRDefault="00000000">
            <w:pPr>
              <w:spacing w:after="0"/>
              <w:ind w:left="-64" w:right="57"/>
            </w:pPr>
            <w:r>
              <w:t>Conducting a business that involves sexual servitude in aggravated circumstances</w:t>
            </w:r>
          </w:p>
        </w:tc>
        <w:tc>
          <w:tcPr>
            <w:tcW w:w="3238" w:type="dxa"/>
          </w:tcPr>
          <w:p w:rsidR="00000000" w:rsidRDefault="00000000">
            <w:pPr>
              <w:spacing w:after="0"/>
              <w:ind w:left="-64" w:right="8"/>
            </w:pPr>
            <w:r>
              <w:t>19 years</w:t>
            </w:r>
          </w:p>
        </w:tc>
      </w:tr>
      <w:tr w:rsidR="00000000">
        <w:tblPrEx>
          <w:shd w:val="clear" w:color="auto" w:fill="auto"/>
        </w:tblPrEx>
        <w:trPr>
          <w:cantSplit/>
        </w:trPr>
        <w:tc>
          <w:tcPr>
            <w:tcW w:w="1276" w:type="dxa"/>
          </w:tcPr>
          <w:p w:rsidR="00000000" w:rsidRDefault="00000000">
            <w:pPr>
              <w:spacing w:after="0"/>
              <w:ind w:left="57" w:right="57"/>
            </w:pPr>
            <w:r>
              <w:t>s. 344A</w:t>
            </w:r>
          </w:p>
        </w:tc>
        <w:tc>
          <w:tcPr>
            <w:tcW w:w="4842" w:type="dxa"/>
          </w:tcPr>
          <w:p w:rsidR="00000000" w:rsidRDefault="00000000">
            <w:pPr>
              <w:spacing w:after="0"/>
              <w:ind w:left="-64" w:right="57"/>
            </w:pPr>
            <w:r>
              <w:t>Attempts to commit an act shall be liable to the penalty of that act</w:t>
            </w:r>
          </w:p>
        </w:tc>
        <w:tc>
          <w:tcPr>
            <w:tcW w:w="3238" w:type="dxa"/>
          </w:tcPr>
          <w:p w:rsidR="00000000" w:rsidRDefault="00000000">
            <w:pPr>
              <w:spacing w:after="0"/>
              <w:ind w:left="-64" w:right="8"/>
            </w:pPr>
          </w:p>
        </w:tc>
      </w:tr>
      <w:tr w:rsidR="00000000">
        <w:tblPrEx>
          <w:shd w:val="clear" w:color="auto" w:fill="auto"/>
        </w:tblPrEx>
        <w:trPr>
          <w:cantSplit/>
        </w:trPr>
        <w:tc>
          <w:tcPr>
            <w:tcW w:w="1276" w:type="dxa"/>
          </w:tcPr>
          <w:p w:rsidR="00000000" w:rsidRDefault="00000000">
            <w:pPr>
              <w:spacing w:after="0"/>
              <w:ind w:left="57" w:right="57"/>
            </w:pPr>
            <w:r>
              <w:t>s. 345</w:t>
            </w:r>
          </w:p>
        </w:tc>
        <w:tc>
          <w:tcPr>
            <w:tcW w:w="4842" w:type="dxa"/>
          </w:tcPr>
          <w:p w:rsidR="00000000" w:rsidRDefault="00000000">
            <w:pPr>
              <w:spacing w:after="0"/>
              <w:ind w:left="-64" w:right="57"/>
            </w:pPr>
            <w:r>
              <w:t>Principals in the second degree in any felony shall be liable to the penalty of that felony</w:t>
            </w:r>
          </w:p>
        </w:tc>
        <w:tc>
          <w:tcPr>
            <w:tcW w:w="3238" w:type="dxa"/>
          </w:tcPr>
          <w:p w:rsidR="00000000" w:rsidRDefault="00000000">
            <w:pPr>
              <w:spacing w:after="0"/>
              <w:ind w:left="-64" w:right="8"/>
            </w:pPr>
          </w:p>
        </w:tc>
      </w:tr>
      <w:tr w:rsidR="00000000">
        <w:tblPrEx>
          <w:shd w:val="clear" w:color="auto" w:fill="auto"/>
        </w:tblPrEx>
        <w:trPr>
          <w:cantSplit/>
        </w:trPr>
        <w:tc>
          <w:tcPr>
            <w:tcW w:w="1276" w:type="dxa"/>
          </w:tcPr>
          <w:p w:rsidR="00000000" w:rsidRDefault="00000000">
            <w:pPr>
              <w:spacing w:after="0"/>
              <w:ind w:left="57" w:right="57"/>
            </w:pPr>
            <w:r>
              <w:t>s. 346</w:t>
            </w:r>
          </w:p>
        </w:tc>
        <w:tc>
          <w:tcPr>
            <w:tcW w:w="4842" w:type="dxa"/>
          </w:tcPr>
          <w:p w:rsidR="00000000" w:rsidRDefault="00000000">
            <w:pPr>
              <w:spacing w:after="0"/>
              <w:ind w:left="-64" w:right="57"/>
            </w:pPr>
            <w:r>
              <w:t>Accessories before the fact shall be liable to same punishment as the principal felon</w:t>
            </w:r>
          </w:p>
        </w:tc>
        <w:tc>
          <w:tcPr>
            <w:tcW w:w="3238" w:type="dxa"/>
          </w:tcPr>
          <w:p w:rsidR="00000000" w:rsidRDefault="00000000">
            <w:pPr>
              <w:spacing w:after="0"/>
              <w:ind w:left="-64" w:right="8"/>
            </w:pP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347</w:t>
            </w:r>
          </w:p>
        </w:tc>
        <w:tc>
          <w:tcPr>
            <w:tcW w:w="4842" w:type="dxa"/>
            <w:tcBorders>
              <w:bottom w:val="single" w:sz="6" w:space="0" w:color="000000"/>
            </w:tcBorders>
          </w:tcPr>
          <w:p w:rsidR="00000000" w:rsidRDefault="00000000">
            <w:pPr>
              <w:spacing w:after="0"/>
              <w:ind w:left="-64" w:right="57"/>
            </w:pPr>
            <w:r>
              <w:t>Accessories after the fact shall be liable to the same punishment as the principal felon</w:t>
            </w:r>
          </w:p>
        </w:tc>
        <w:tc>
          <w:tcPr>
            <w:tcW w:w="3238" w:type="dxa"/>
            <w:tcBorders>
              <w:bottom w:val="single" w:sz="6" w:space="0" w:color="000000"/>
            </w:tcBorders>
          </w:tcPr>
          <w:p w:rsidR="00000000" w:rsidRDefault="00000000">
            <w:pPr>
              <w:spacing w:after="0"/>
              <w:ind w:left="-64" w:right="8"/>
            </w:pPr>
          </w:p>
        </w:tc>
      </w:tr>
      <w:tr w:rsidR="00000000">
        <w:tblPrEx>
          <w:shd w:val="clear" w:color="auto" w:fill="auto"/>
        </w:tblPrEx>
        <w:trPr>
          <w:cantSplit/>
        </w:trPr>
        <w:tc>
          <w:tcPr>
            <w:tcW w:w="9356" w:type="dxa"/>
            <w:gridSpan w:val="3"/>
            <w:tcBorders>
              <w:left w:val="nil"/>
              <w:right w:val="nil"/>
            </w:tcBorders>
          </w:tcPr>
          <w:p w:rsidR="00000000" w:rsidRDefault="00000000">
            <w:pPr>
              <w:spacing w:before="120" w:after="120"/>
              <w:ind w:right="57"/>
              <w:rPr>
                <w:b/>
                <w:bCs/>
                <w:i/>
                <w:iCs/>
              </w:rPr>
            </w:pPr>
            <w:r>
              <w:tab/>
            </w:r>
            <w:r>
              <w:rPr>
                <w:b/>
                <w:bCs/>
                <w:i/>
                <w:iCs/>
              </w:rPr>
              <w:t>Children (Care and Protection Act) 1987</w:t>
            </w:r>
          </w:p>
        </w:tc>
      </w:tr>
      <w:tr w:rsidR="00000000">
        <w:tblPrEx>
          <w:shd w:val="clear" w:color="auto" w:fill="auto"/>
        </w:tblPrEx>
        <w:trPr>
          <w:cantSplit/>
        </w:trPr>
        <w:tc>
          <w:tcPr>
            <w:tcW w:w="1276" w:type="dxa"/>
            <w:tcBorders>
              <w:bottom w:val="single" w:sz="6" w:space="0" w:color="auto"/>
            </w:tcBorders>
          </w:tcPr>
          <w:p w:rsidR="00000000" w:rsidRDefault="00000000">
            <w:pPr>
              <w:spacing w:after="0"/>
              <w:ind w:left="57" w:right="57"/>
            </w:pPr>
            <w:r>
              <w:t>s. 51</w:t>
            </w:r>
          </w:p>
        </w:tc>
        <w:tc>
          <w:tcPr>
            <w:tcW w:w="4842" w:type="dxa"/>
            <w:tcBorders>
              <w:bottom w:val="single" w:sz="6" w:space="0" w:color="auto"/>
            </w:tcBorders>
          </w:tcPr>
          <w:p w:rsidR="00000000" w:rsidRDefault="00000000">
            <w:pPr>
              <w:spacing w:after="0"/>
              <w:ind w:left="-64" w:right="57"/>
            </w:pPr>
            <w:r>
              <w:t>Endangering children in employment</w:t>
            </w:r>
          </w:p>
        </w:tc>
        <w:tc>
          <w:tcPr>
            <w:tcW w:w="3238" w:type="dxa"/>
            <w:tcBorders>
              <w:bottom w:val="single" w:sz="6" w:space="0" w:color="auto"/>
            </w:tcBorders>
          </w:tcPr>
          <w:p w:rsidR="00000000" w:rsidRDefault="00000000">
            <w:pPr>
              <w:spacing w:after="0"/>
              <w:ind w:left="-64" w:right="8"/>
            </w:pPr>
            <w:r>
              <w:t>Not exceeding 10 penalty units or imprisonment exceeding 12 months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cantSplit/>
        </w:trPr>
        <w:tc>
          <w:tcPr>
            <w:tcW w:w="9356" w:type="dxa"/>
            <w:gridSpan w:val="3"/>
            <w:tcBorders>
              <w:left w:val="nil"/>
              <w:right w:val="single" w:sz="4" w:space="0" w:color="auto"/>
            </w:tcBorders>
          </w:tcPr>
          <w:p w:rsidR="00000000" w:rsidRDefault="00000000">
            <w:pPr>
              <w:spacing w:before="120" w:after="120"/>
              <w:ind w:right="57"/>
              <w:rPr>
                <w:b/>
                <w:bCs/>
                <w:i/>
                <w:iCs/>
              </w:rPr>
            </w:pPr>
            <w:r>
              <w:tab/>
            </w:r>
            <w:r>
              <w:rPr>
                <w:b/>
                <w:bCs/>
                <w:i/>
                <w:iCs/>
              </w:rPr>
              <w:t>Children and Young Persons (Care and Protection) Act 1998</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cantSplit/>
        </w:trPr>
        <w:tc>
          <w:tcPr>
            <w:tcW w:w="1276" w:type="dxa"/>
          </w:tcPr>
          <w:p w:rsidR="00000000" w:rsidRDefault="00000000">
            <w:pPr>
              <w:tabs>
                <w:tab w:val="left" w:pos="972"/>
              </w:tabs>
              <w:spacing w:after="0"/>
              <w:ind w:left="57" w:right="57"/>
            </w:pPr>
            <w:r>
              <w:t>s. 175</w:t>
            </w:r>
          </w:p>
        </w:tc>
        <w:tc>
          <w:tcPr>
            <w:tcW w:w="4842" w:type="dxa"/>
          </w:tcPr>
          <w:p w:rsidR="00000000" w:rsidRDefault="00000000">
            <w:pPr>
              <w:spacing w:after="0"/>
              <w:ind w:left="-64" w:right="57"/>
            </w:pPr>
            <w:r>
              <w:t>Special medical treatment</w:t>
            </w:r>
          </w:p>
        </w:tc>
        <w:tc>
          <w:tcPr>
            <w:tcW w:w="3238" w:type="dxa"/>
          </w:tcPr>
          <w:p w:rsidR="00000000" w:rsidRDefault="00000000">
            <w:pPr>
              <w:spacing w:after="0"/>
              <w:ind w:left="-64" w:right="8"/>
            </w:pPr>
            <w:r>
              <w:t>7 years imprisonment</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cantSplit/>
        </w:trPr>
        <w:tc>
          <w:tcPr>
            <w:tcW w:w="1276" w:type="dxa"/>
          </w:tcPr>
          <w:p w:rsidR="00000000" w:rsidRDefault="00000000">
            <w:pPr>
              <w:spacing w:after="0"/>
              <w:ind w:left="57" w:right="57"/>
            </w:pPr>
            <w:r>
              <w:t>s. 222</w:t>
            </w:r>
          </w:p>
        </w:tc>
        <w:tc>
          <w:tcPr>
            <w:tcW w:w="4842" w:type="dxa"/>
          </w:tcPr>
          <w:p w:rsidR="00000000" w:rsidRDefault="00000000">
            <w:pPr>
              <w:spacing w:after="0"/>
              <w:ind w:left="-64" w:right="57"/>
            </w:pPr>
            <w:r>
              <w:t>Endangering children in employment</w:t>
            </w:r>
          </w:p>
        </w:tc>
        <w:tc>
          <w:tcPr>
            <w:tcW w:w="3238" w:type="dxa"/>
          </w:tcPr>
          <w:p w:rsidR="00000000" w:rsidRDefault="00000000">
            <w:pPr>
              <w:spacing w:after="0"/>
              <w:ind w:left="-64" w:right="8"/>
            </w:pPr>
            <w:r>
              <w:t>200 penalty units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cantSplit/>
        </w:trPr>
        <w:tc>
          <w:tcPr>
            <w:tcW w:w="1276" w:type="dxa"/>
          </w:tcPr>
          <w:p w:rsidR="00000000" w:rsidRDefault="00000000">
            <w:pPr>
              <w:spacing w:after="0"/>
              <w:ind w:left="57" w:right="57"/>
            </w:pPr>
            <w:r>
              <w:t>s. 227</w:t>
            </w:r>
          </w:p>
        </w:tc>
        <w:tc>
          <w:tcPr>
            <w:tcW w:w="4842" w:type="dxa"/>
          </w:tcPr>
          <w:p w:rsidR="00000000" w:rsidRDefault="00000000">
            <w:pPr>
              <w:spacing w:after="0"/>
              <w:ind w:left="-64" w:right="57"/>
            </w:pPr>
            <w:r>
              <w:t>Child and young person abuse</w:t>
            </w:r>
          </w:p>
        </w:tc>
        <w:tc>
          <w:tcPr>
            <w:tcW w:w="3238" w:type="dxa"/>
          </w:tcPr>
          <w:p w:rsidR="00000000" w:rsidRDefault="00000000">
            <w:pPr>
              <w:spacing w:after="0"/>
              <w:ind w:left="-64" w:right="8"/>
            </w:pPr>
            <w:r>
              <w:t>200 penalty units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cantSplit/>
        </w:trPr>
        <w:tc>
          <w:tcPr>
            <w:tcW w:w="1276" w:type="dxa"/>
          </w:tcPr>
          <w:p w:rsidR="00000000" w:rsidRDefault="00000000">
            <w:pPr>
              <w:spacing w:after="0"/>
              <w:ind w:left="57" w:right="57"/>
            </w:pPr>
            <w:r>
              <w:t>s. 228</w:t>
            </w:r>
          </w:p>
        </w:tc>
        <w:tc>
          <w:tcPr>
            <w:tcW w:w="4842" w:type="dxa"/>
          </w:tcPr>
          <w:p w:rsidR="00000000" w:rsidRDefault="00000000">
            <w:pPr>
              <w:spacing w:after="0"/>
              <w:ind w:left="-64" w:right="57"/>
            </w:pPr>
            <w:r>
              <w:t>Neglect of children and young persons</w:t>
            </w:r>
          </w:p>
        </w:tc>
        <w:tc>
          <w:tcPr>
            <w:tcW w:w="3238" w:type="dxa"/>
          </w:tcPr>
          <w:p w:rsidR="00000000" w:rsidRDefault="00000000">
            <w:pPr>
              <w:spacing w:after="0"/>
              <w:ind w:left="-64" w:right="8"/>
            </w:pPr>
            <w:r>
              <w:t>200 penalty units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cantSplit/>
        </w:trPr>
        <w:tc>
          <w:tcPr>
            <w:tcW w:w="1276" w:type="dxa"/>
          </w:tcPr>
          <w:p w:rsidR="00000000" w:rsidRDefault="00000000">
            <w:pPr>
              <w:spacing w:after="0"/>
              <w:ind w:left="57" w:right="57"/>
            </w:pPr>
            <w:r>
              <w:t>s. 229</w:t>
            </w:r>
          </w:p>
        </w:tc>
        <w:tc>
          <w:tcPr>
            <w:tcW w:w="4842" w:type="dxa"/>
          </w:tcPr>
          <w:p w:rsidR="00000000" w:rsidRDefault="00000000">
            <w:pPr>
              <w:spacing w:after="0"/>
              <w:ind w:left="-64" w:right="57"/>
            </w:pPr>
            <w:r>
              <w:t>Unauthorised removal of children and young people</w:t>
            </w:r>
          </w:p>
        </w:tc>
        <w:tc>
          <w:tcPr>
            <w:tcW w:w="3238" w:type="dxa"/>
          </w:tcPr>
          <w:p w:rsidR="00000000" w:rsidRDefault="00000000">
            <w:pPr>
              <w:spacing w:after="0"/>
              <w:ind w:left="-64" w:right="8"/>
            </w:pPr>
            <w:r>
              <w:t>200 penalty units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cantSplit/>
        </w:trPr>
        <w:tc>
          <w:tcPr>
            <w:tcW w:w="1276" w:type="dxa"/>
          </w:tcPr>
          <w:p w:rsidR="00000000" w:rsidRDefault="00000000">
            <w:pPr>
              <w:spacing w:after="0"/>
              <w:ind w:left="57" w:right="57"/>
            </w:pPr>
            <w:r>
              <w:t>s. 230</w:t>
            </w:r>
          </w:p>
        </w:tc>
        <w:tc>
          <w:tcPr>
            <w:tcW w:w="4842" w:type="dxa"/>
          </w:tcPr>
          <w:p w:rsidR="00000000" w:rsidRDefault="00000000">
            <w:pPr>
              <w:spacing w:after="0"/>
              <w:ind w:left="-64" w:right="57"/>
            </w:pPr>
            <w:r>
              <w:t>Tattooing a child or young person</w:t>
            </w:r>
          </w:p>
        </w:tc>
        <w:tc>
          <w:tcPr>
            <w:tcW w:w="3238" w:type="dxa"/>
          </w:tcPr>
          <w:p w:rsidR="00000000" w:rsidRDefault="00000000">
            <w:pPr>
              <w:spacing w:after="0"/>
              <w:ind w:left="-64" w:right="8"/>
            </w:pPr>
            <w:r>
              <w:t>200 penalty units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Look w:val="01E0" w:firstRow="1" w:lastRow="1" w:firstColumn="1" w:lastColumn="1" w:noHBand="0" w:noVBand="0"/>
        </w:tblPrEx>
        <w:trPr>
          <w:cantSplit/>
        </w:trPr>
        <w:tc>
          <w:tcPr>
            <w:tcW w:w="1276" w:type="dxa"/>
            <w:tcBorders>
              <w:bottom w:val="single" w:sz="6" w:space="0" w:color="000000"/>
            </w:tcBorders>
          </w:tcPr>
          <w:p w:rsidR="00000000" w:rsidRDefault="00000000">
            <w:pPr>
              <w:spacing w:after="0"/>
              <w:ind w:left="57" w:right="57"/>
            </w:pPr>
            <w:r>
              <w:t>s. 231</w:t>
            </w:r>
          </w:p>
        </w:tc>
        <w:tc>
          <w:tcPr>
            <w:tcW w:w="4842" w:type="dxa"/>
            <w:tcBorders>
              <w:bottom w:val="single" w:sz="6" w:space="0" w:color="000000"/>
            </w:tcBorders>
          </w:tcPr>
          <w:p w:rsidR="00000000" w:rsidRDefault="00000000">
            <w:pPr>
              <w:spacing w:after="0"/>
              <w:ind w:left="-64" w:right="57"/>
            </w:pPr>
            <w:r>
              <w:t>Leaving a child or young person unsupervised in cars</w:t>
            </w:r>
          </w:p>
        </w:tc>
        <w:tc>
          <w:tcPr>
            <w:tcW w:w="3238" w:type="dxa"/>
            <w:tcBorders>
              <w:bottom w:val="single" w:sz="6" w:space="0" w:color="000000"/>
            </w:tcBorders>
          </w:tcPr>
          <w:p w:rsidR="00000000" w:rsidRDefault="00000000">
            <w:pPr>
              <w:spacing w:after="0"/>
              <w:ind w:left="-64" w:right="8"/>
            </w:pPr>
            <w:r>
              <w:t>200 penalty units</w:t>
            </w:r>
          </w:p>
        </w:tc>
      </w:tr>
    </w:tbl>
    <w:p w:rsidR="00000000" w:rsidRDefault="00000000">
      <w:pPr>
        <w:pStyle w:val="Header"/>
        <w:tabs>
          <w:tab w:val="clear" w:pos="4320"/>
          <w:tab w:val="clear" w:pos="8640"/>
        </w:tabs>
        <w:spacing w:after="960"/>
      </w:pP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pct5" w:color="auto" w:fill="auto"/>
        <w:tblLayout w:type="fixed"/>
        <w:tblLook w:val="0000" w:firstRow="0" w:lastRow="0" w:firstColumn="0" w:lastColumn="0" w:noHBand="0" w:noVBand="0"/>
      </w:tblPr>
      <w:tblGrid>
        <w:gridCol w:w="1276"/>
        <w:gridCol w:w="4842"/>
        <w:gridCol w:w="3238"/>
      </w:tblGrid>
      <w:tr w:rsidR="00000000">
        <w:trPr>
          <w:cantSplit/>
          <w:tblHeader/>
        </w:trPr>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after="0"/>
              <w:ind w:left="57" w:right="57"/>
            </w:pPr>
            <w:r>
              <w:br w:type="page"/>
              <w:t>Section</w:t>
            </w:r>
          </w:p>
        </w:tc>
        <w:tc>
          <w:tcPr>
            <w:tcW w:w="4842" w:type="dxa"/>
            <w:tcBorders>
              <w:top w:val="single" w:sz="6" w:space="0" w:color="auto"/>
              <w:left w:val="single" w:sz="6" w:space="0" w:color="auto"/>
              <w:bottom w:val="single" w:sz="6" w:space="0" w:color="auto"/>
              <w:right w:val="single" w:sz="6" w:space="0" w:color="auto"/>
            </w:tcBorders>
          </w:tcPr>
          <w:p w:rsidR="00000000" w:rsidRDefault="00000000">
            <w:pPr>
              <w:spacing w:after="0"/>
              <w:ind w:left="-64" w:right="57"/>
            </w:pPr>
            <w:r>
              <w:t>Offence</w:t>
            </w:r>
          </w:p>
        </w:tc>
        <w:tc>
          <w:tcPr>
            <w:tcW w:w="3238" w:type="dxa"/>
            <w:tcBorders>
              <w:top w:val="single" w:sz="6" w:space="0" w:color="auto"/>
              <w:left w:val="single" w:sz="6" w:space="0" w:color="auto"/>
              <w:bottom w:val="single" w:sz="6" w:space="0" w:color="auto"/>
              <w:right w:val="single" w:sz="6" w:space="0" w:color="auto"/>
            </w:tcBorders>
          </w:tcPr>
          <w:p w:rsidR="00000000" w:rsidRDefault="00000000">
            <w:pPr>
              <w:spacing w:after="0"/>
              <w:ind w:left="-64" w:right="57"/>
            </w:pPr>
            <w:r>
              <w:t>Maximum penalty</w:t>
            </w:r>
          </w:p>
        </w:tc>
      </w:tr>
      <w:tr w:rsidR="00000000">
        <w:tblPrEx>
          <w:shd w:val="clear" w:color="auto" w:fill="auto"/>
        </w:tblPrEx>
        <w:trPr>
          <w:cantSplit/>
        </w:trPr>
        <w:tc>
          <w:tcPr>
            <w:tcW w:w="9356" w:type="dxa"/>
            <w:gridSpan w:val="3"/>
            <w:tcBorders>
              <w:left w:val="nil"/>
              <w:right w:val="nil"/>
            </w:tcBorders>
          </w:tcPr>
          <w:p w:rsidR="00000000" w:rsidRDefault="00000000">
            <w:pPr>
              <w:spacing w:before="120" w:after="120"/>
              <w:ind w:left="57" w:right="57"/>
            </w:pPr>
            <w:r>
              <w:rPr>
                <w:b/>
                <w:i/>
              </w:rPr>
              <w:tab/>
              <w:t>Guardianship Act 1987</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35</w:t>
            </w:r>
          </w:p>
        </w:tc>
        <w:tc>
          <w:tcPr>
            <w:tcW w:w="4842" w:type="dxa"/>
            <w:tcBorders>
              <w:bottom w:val="single" w:sz="6" w:space="0" w:color="000000"/>
            </w:tcBorders>
          </w:tcPr>
          <w:p w:rsidR="00000000" w:rsidRDefault="00000000">
            <w:pPr>
              <w:spacing w:after="0"/>
              <w:ind w:left="-64" w:right="57"/>
            </w:pPr>
            <w:r>
              <w:t>Carrying out fertility or experimental treatments without consent or legal authority, in contravention of the Act; or</w:t>
            </w:r>
            <w:r>
              <w:br/>
              <w:t>in the case of a medical or dental treatment, in contravention of the Act.</w:t>
            </w:r>
          </w:p>
        </w:tc>
        <w:tc>
          <w:tcPr>
            <w:tcW w:w="3238" w:type="dxa"/>
            <w:tcBorders>
              <w:bottom w:val="single" w:sz="6" w:space="0" w:color="000000"/>
            </w:tcBorders>
          </w:tcPr>
          <w:p w:rsidR="00000000" w:rsidRDefault="00000000">
            <w:pPr>
              <w:spacing w:after="0"/>
              <w:ind w:left="-64" w:right="8"/>
            </w:pPr>
            <w:r>
              <w:t>7 years (on conviction on indictment)</w:t>
            </w:r>
            <w:r>
              <w:br/>
            </w:r>
            <w:r>
              <w:br/>
              <w:t>1 year and/or 10 penalty units (on summary conviction)</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Crimes (Administration of Sentences) Regulation 2001</w:t>
            </w:r>
          </w:p>
        </w:tc>
      </w:tr>
      <w:tr w:rsidR="00000000">
        <w:tblPrEx>
          <w:shd w:val="clear" w:color="auto" w:fill="auto"/>
        </w:tblPrEx>
        <w:trPr>
          <w:cantSplit/>
        </w:trPr>
        <w:tc>
          <w:tcPr>
            <w:tcW w:w="1276" w:type="dxa"/>
          </w:tcPr>
          <w:p w:rsidR="00000000" w:rsidRDefault="00000000">
            <w:pPr>
              <w:spacing w:after="0"/>
              <w:ind w:left="57" w:right="57"/>
            </w:pPr>
            <w:r>
              <w:t>cl. 121</w:t>
            </w:r>
          </w:p>
        </w:tc>
        <w:tc>
          <w:tcPr>
            <w:tcW w:w="4842" w:type="dxa"/>
          </w:tcPr>
          <w:p w:rsidR="00000000" w:rsidRDefault="00000000">
            <w:pPr>
              <w:spacing w:after="0"/>
              <w:ind w:left="-64" w:right="57"/>
            </w:pPr>
            <w:r>
              <w:t>Use of force in dealing with inmates</w:t>
            </w:r>
          </w:p>
        </w:tc>
        <w:tc>
          <w:tcPr>
            <w:tcW w:w="3238" w:type="dxa"/>
          </w:tcPr>
          <w:p w:rsidR="00000000" w:rsidRDefault="00000000">
            <w:pPr>
              <w:spacing w:after="0"/>
              <w:ind w:left="-64" w:right="8"/>
            </w:pPr>
            <w:r>
              <w:t>Applicable penalties are found under the Public</w:t>
            </w:r>
            <w:r>
              <w:rPr>
                <w:i/>
              </w:rPr>
              <w:t xml:space="preserve"> Sector Management and Employment Act 2002</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cl. 243</w:t>
            </w:r>
          </w:p>
        </w:tc>
        <w:tc>
          <w:tcPr>
            <w:tcW w:w="4842" w:type="dxa"/>
            <w:tcBorders>
              <w:bottom w:val="single" w:sz="6" w:space="0" w:color="000000"/>
            </w:tcBorders>
          </w:tcPr>
          <w:p w:rsidR="00000000" w:rsidRDefault="00000000">
            <w:pPr>
              <w:spacing w:after="0"/>
              <w:ind w:left="-64" w:right="57"/>
            </w:pPr>
            <w:r>
              <w:t>Use of insulting or abusive language</w:t>
            </w:r>
          </w:p>
        </w:tc>
        <w:tc>
          <w:tcPr>
            <w:tcW w:w="3238" w:type="dxa"/>
            <w:tcBorders>
              <w:bottom w:val="single" w:sz="6" w:space="0" w:color="000000"/>
            </w:tcBorders>
          </w:tcPr>
          <w:p w:rsidR="00000000" w:rsidRDefault="00000000">
            <w:pPr>
              <w:spacing w:after="0"/>
              <w:ind w:left="-64" w:right="8"/>
            </w:pPr>
            <w:r>
              <w:t xml:space="preserve">Applicable penalties are found under the </w:t>
            </w:r>
            <w:r>
              <w:rPr>
                <w:i/>
              </w:rPr>
              <w:t xml:space="preserve">Public Sector </w:t>
            </w:r>
            <w:r>
              <w:t>Management</w:t>
            </w:r>
            <w:r>
              <w:rPr>
                <w:i/>
              </w:rPr>
              <w:t xml:space="preserve"> and Employment Act 2002</w:t>
            </w:r>
          </w:p>
        </w:tc>
      </w:tr>
      <w:tr w:rsidR="00000000">
        <w:tblPrEx>
          <w:shd w:val="clear" w:color="auto" w:fill="auto"/>
        </w:tblPrEx>
        <w:trPr>
          <w:cantSplit/>
        </w:trPr>
        <w:tc>
          <w:tcPr>
            <w:tcW w:w="9356" w:type="dxa"/>
            <w:gridSpan w:val="3"/>
            <w:tcBorders>
              <w:left w:val="nil"/>
              <w:bottom w:val="nil"/>
              <w:right w:val="single" w:sz="4" w:space="0" w:color="auto"/>
            </w:tcBorders>
          </w:tcPr>
          <w:p w:rsidR="00000000" w:rsidRDefault="00000000">
            <w:pPr>
              <w:spacing w:before="120" w:after="120"/>
              <w:ind w:left="57" w:right="57"/>
            </w:pPr>
            <w:r>
              <w:tab/>
              <w:t>One penalty unit = $ 110</w:t>
            </w:r>
          </w:p>
        </w:tc>
      </w:tr>
      <w:tr w:rsidR="00000000">
        <w:tblPrEx>
          <w:shd w:val="clear" w:color="auto" w:fill="auto"/>
        </w:tblPrEx>
        <w:trPr>
          <w:cantSplit/>
        </w:trPr>
        <w:tc>
          <w:tcPr>
            <w:tcW w:w="9356" w:type="dxa"/>
            <w:gridSpan w:val="3"/>
            <w:tcBorders>
              <w:top w:val="nil"/>
              <w:left w:val="nil"/>
              <w:bottom w:val="single" w:sz="6" w:space="0" w:color="000000"/>
              <w:right w:val="nil"/>
            </w:tcBorders>
          </w:tcPr>
          <w:p w:rsidR="00000000" w:rsidRDefault="00000000">
            <w:pPr>
              <w:pStyle w:val="Heading3"/>
              <w:spacing w:after="120"/>
            </w:pPr>
            <w:r>
              <w:tab/>
              <w:t>Northern Territory</w:t>
            </w:r>
          </w:p>
          <w:p w:rsidR="00000000" w:rsidRDefault="00000000">
            <w:pPr>
              <w:pStyle w:val="Heading5"/>
              <w:spacing w:after="120"/>
            </w:pPr>
            <w:r>
              <w:tab/>
              <w:t>Criminal Code</w:t>
            </w:r>
          </w:p>
        </w:tc>
      </w:tr>
      <w:tr w:rsidR="00000000">
        <w:tblPrEx>
          <w:shd w:val="clear" w:color="auto" w:fill="auto"/>
        </w:tblPrEx>
        <w:trPr>
          <w:cantSplit/>
        </w:trPr>
        <w:tc>
          <w:tcPr>
            <w:tcW w:w="1276" w:type="dxa"/>
          </w:tcPr>
          <w:p w:rsidR="00000000" w:rsidRDefault="00000000">
            <w:pPr>
              <w:spacing w:after="0"/>
              <w:ind w:left="57" w:right="57"/>
            </w:pPr>
            <w:r>
              <w:t>s. 125</w:t>
            </w:r>
          </w:p>
        </w:tc>
        <w:tc>
          <w:tcPr>
            <w:tcW w:w="4842" w:type="dxa"/>
          </w:tcPr>
          <w:p w:rsidR="00000000" w:rsidRDefault="00000000">
            <w:pPr>
              <w:spacing w:after="0"/>
              <w:ind w:left="-64" w:right="57"/>
            </w:pPr>
            <w:r>
              <w:t>Offering violence to officiating ministers of religion</w:t>
            </w:r>
          </w:p>
        </w:tc>
        <w:tc>
          <w:tcPr>
            <w:tcW w:w="3238" w:type="dxa"/>
          </w:tcPr>
          <w:p w:rsidR="00000000" w:rsidRDefault="00000000">
            <w:pPr>
              <w:spacing w:after="0"/>
              <w:ind w:left="-64" w:right="8"/>
            </w:pPr>
            <w:r>
              <w:t>2 years</w:t>
            </w:r>
          </w:p>
        </w:tc>
      </w:tr>
      <w:tr w:rsidR="00000000">
        <w:tblPrEx>
          <w:shd w:val="clear" w:color="auto" w:fill="auto"/>
        </w:tblPrEx>
        <w:trPr>
          <w:cantSplit/>
        </w:trPr>
        <w:tc>
          <w:tcPr>
            <w:tcW w:w="1276" w:type="dxa"/>
          </w:tcPr>
          <w:p w:rsidR="00000000" w:rsidRDefault="00000000">
            <w:pPr>
              <w:spacing w:after="0"/>
              <w:ind w:left="57" w:right="57"/>
            </w:pPr>
            <w:r>
              <w:t>s. 127</w:t>
            </w:r>
          </w:p>
        </w:tc>
        <w:tc>
          <w:tcPr>
            <w:tcW w:w="4842" w:type="dxa"/>
          </w:tcPr>
          <w:p w:rsidR="00000000" w:rsidRDefault="00000000">
            <w:pPr>
              <w:spacing w:after="0"/>
              <w:ind w:left="-64" w:right="57"/>
            </w:pPr>
            <w:r>
              <w:t>Sexual intercourse or gross indecency involving child under 16 years</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128</w:t>
            </w:r>
          </w:p>
        </w:tc>
        <w:tc>
          <w:tcPr>
            <w:tcW w:w="4842" w:type="dxa"/>
          </w:tcPr>
          <w:p w:rsidR="00000000" w:rsidRDefault="00000000">
            <w:pPr>
              <w:spacing w:after="0"/>
              <w:ind w:left="-64" w:right="57"/>
            </w:pPr>
            <w:r>
              <w:t>Sexual intercourse or gross indecency involving child over 16 years under special care</w:t>
            </w:r>
          </w:p>
        </w:tc>
        <w:tc>
          <w:tcPr>
            <w:tcW w:w="3238" w:type="dxa"/>
          </w:tcPr>
          <w:p w:rsidR="00000000" w:rsidRDefault="00000000">
            <w:pPr>
              <w:spacing w:after="0"/>
              <w:ind w:left="-64" w:right="8"/>
            </w:pPr>
            <w:r>
              <w:t>8 years</w:t>
            </w:r>
          </w:p>
        </w:tc>
      </w:tr>
      <w:tr w:rsidR="00000000">
        <w:tblPrEx>
          <w:shd w:val="clear" w:color="auto" w:fill="auto"/>
        </w:tblPrEx>
        <w:trPr>
          <w:cantSplit/>
        </w:trPr>
        <w:tc>
          <w:tcPr>
            <w:tcW w:w="1276" w:type="dxa"/>
          </w:tcPr>
          <w:p w:rsidR="00000000" w:rsidRDefault="00000000">
            <w:pPr>
              <w:spacing w:after="0"/>
              <w:ind w:left="57" w:right="57"/>
            </w:pPr>
            <w:r>
              <w:t>s. 130</w:t>
            </w:r>
          </w:p>
        </w:tc>
        <w:tc>
          <w:tcPr>
            <w:tcW w:w="4842" w:type="dxa"/>
          </w:tcPr>
          <w:p w:rsidR="00000000" w:rsidRDefault="00000000">
            <w:pPr>
              <w:spacing w:after="0"/>
              <w:ind w:left="-64" w:right="57"/>
            </w:pPr>
            <w:r>
              <w:t>Sexual intercourse or gross indecency by provider of services to mentally ill or handicapped person</w:t>
            </w:r>
          </w:p>
        </w:tc>
        <w:tc>
          <w:tcPr>
            <w:tcW w:w="3238" w:type="dxa"/>
          </w:tcPr>
          <w:p w:rsidR="00000000" w:rsidRDefault="00000000">
            <w:pPr>
              <w:spacing w:after="0"/>
              <w:ind w:left="-64" w:right="8"/>
            </w:pPr>
            <w:r>
              <w:t>20 years</w:t>
            </w:r>
          </w:p>
        </w:tc>
      </w:tr>
      <w:tr w:rsidR="00000000">
        <w:tblPrEx>
          <w:shd w:val="clear" w:color="auto" w:fill="auto"/>
        </w:tblPrEx>
        <w:trPr>
          <w:cantSplit/>
        </w:trPr>
        <w:tc>
          <w:tcPr>
            <w:tcW w:w="1276" w:type="dxa"/>
          </w:tcPr>
          <w:p w:rsidR="00000000" w:rsidRDefault="00000000">
            <w:pPr>
              <w:keepNext/>
              <w:spacing w:after="0"/>
              <w:ind w:left="57" w:right="57"/>
            </w:pPr>
            <w:r>
              <w:t>s. 131</w:t>
            </w:r>
          </w:p>
        </w:tc>
        <w:tc>
          <w:tcPr>
            <w:tcW w:w="4842" w:type="dxa"/>
          </w:tcPr>
          <w:p w:rsidR="00000000" w:rsidRDefault="00000000">
            <w:pPr>
              <w:spacing w:after="0"/>
              <w:ind w:left="-64" w:right="57"/>
            </w:pPr>
            <w:r>
              <w:t>Attempts at procuration of young persons or mentally ill or handicapped person</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131A</w:t>
            </w:r>
          </w:p>
        </w:tc>
        <w:tc>
          <w:tcPr>
            <w:tcW w:w="4842" w:type="dxa"/>
          </w:tcPr>
          <w:p w:rsidR="00000000" w:rsidRDefault="00000000">
            <w:pPr>
              <w:spacing w:after="0"/>
              <w:ind w:left="-64" w:right="57"/>
            </w:pPr>
            <w:r>
              <w:t>Unlawful sexual relations with child</w:t>
            </w:r>
          </w:p>
        </w:tc>
        <w:tc>
          <w:tcPr>
            <w:tcW w:w="3238" w:type="dxa"/>
          </w:tcPr>
          <w:p w:rsidR="00000000" w:rsidRDefault="00000000">
            <w:pPr>
              <w:spacing w:after="0"/>
              <w:ind w:left="-64" w:right="8"/>
            </w:pPr>
            <w:r>
              <w:t>Life</w:t>
            </w:r>
          </w:p>
        </w:tc>
      </w:tr>
      <w:tr w:rsidR="00000000">
        <w:tblPrEx>
          <w:shd w:val="clear" w:color="auto" w:fill="auto"/>
        </w:tblPrEx>
        <w:trPr>
          <w:cantSplit/>
        </w:trPr>
        <w:tc>
          <w:tcPr>
            <w:tcW w:w="1276" w:type="dxa"/>
          </w:tcPr>
          <w:p w:rsidR="00000000" w:rsidRDefault="00000000">
            <w:pPr>
              <w:spacing w:after="0"/>
              <w:ind w:left="57" w:right="57"/>
            </w:pPr>
            <w:r>
              <w:t>s. 132</w:t>
            </w:r>
          </w:p>
        </w:tc>
        <w:tc>
          <w:tcPr>
            <w:tcW w:w="4842" w:type="dxa"/>
          </w:tcPr>
          <w:p w:rsidR="00000000" w:rsidRDefault="00000000">
            <w:pPr>
              <w:spacing w:after="0"/>
              <w:ind w:left="-64" w:right="57"/>
            </w:pPr>
            <w:r>
              <w:t>Indecent dealing with child under 16 years</w:t>
            </w:r>
          </w:p>
        </w:tc>
        <w:tc>
          <w:tcPr>
            <w:tcW w:w="3238" w:type="dxa"/>
          </w:tcPr>
          <w:p w:rsidR="00000000" w:rsidRDefault="00000000">
            <w:pPr>
              <w:spacing w:after="0"/>
              <w:ind w:left="-64" w:right="8"/>
            </w:pPr>
            <w:r>
              <w:t>14 years</w:t>
            </w:r>
          </w:p>
        </w:tc>
      </w:tr>
      <w:tr w:rsidR="00000000">
        <w:tblPrEx>
          <w:shd w:val="clear" w:color="auto" w:fill="auto"/>
        </w:tblPrEx>
        <w:trPr>
          <w:cantSplit/>
        </w:trPr>
        <w:tc>
          <w:tcPr>
            <w:tcW w:w="1276" w:type="dxa"/>
          </w:tcPr>
          <w:p w:rsidR="00000000" w:rsidRDefault="00000000">
            <w:pPr>
              <w:spacing w:after="0"/>
              <w:ind w:left="57" w:right="57"/>
            </w:pPr>
            <w:r>
              <w:t>s. 133</w:t>
            </w:r>
          </w:p>
        </w:tc>
        <w:tc>
          <w:tcPr>
            <w:tcW w:w="4842" w:type="dxa"/>
          </w:tcPr>
          <w:p w:rsidR="00000000" w:rsidRDefault="00000000">
            <w:pPr>
              <w:spacing w:after="0"/>
              <w:ind w:left="-64" w:right="57"/>
            </w:pPr>
            <w:r>
              <w:t>Gross indecency in public</w:t>
            </w:r>
          </w:p>
        </w:tc>
        <w:tc>
          <w:tcPr>
            <w:tcW w:w="3238" w:type="dxa"/>
          </w:tcPr>
          <w:p w:rsidR="00000000" w:rsidRDefault="00000000">
            <w:pPr>
              <w:spacing w:after="0"/>
              <w:ind w:left="-64" w:right="8"/>
            </w:pPr>
            <w:r>
              <w:t>2 years</w:t>
            </w:r>
          </w:p>
        </w:tc>
      </w:tr>
      <w:tr w:rsidR="00000000">
        <w:tblPrEx>
          <w:shd w:val="clear" w:color="auto" w:fill="auto"/>
        </w:tblPrEx>
        <w:trPr>
          <w:cantSplit/>
        </w:trPr>
        <w:tc>
          <w:tcPr>
            <w:tcW w:w="1276" w:type="dxa"/>
          </w:tcPr>
          <w:p w:rsidR="00000000" w:rsidRDefault="00000000">
            <w:pPr>
              <w:spacing w:after="0"/>
              <w:ind w:left="57" w:right="57"/>
            </w:pPr>
            <w:r>
              <w:t>s. 134</w:t>
            </w:r>
          </w:p>
        </w:tc>
        <w:tc>
          <w:tcPr>
            <w:tcW w:w="4842" w:type="dxa"/>
          </w:tcPr>
          <w:p w:rsidR="00000000" w:rsidRDefault="00000000">
            <w:pPr>
              <w:spacing w:after="0"/>
              <w:ind w:left="-64" w:right="57"/>
            </w:pPr>
            <w:r>
              <w:t>Incest</w:t>
            </w:r>
          </w:p>
        </w:tc>
        <w:tc>
          <w:tcPr>
            <w:tcW w:w="3238" w:type="dxa"/>
          </w:tcPr>
          <w:p w:rsidR="00000000" w:rsidRDefault="00000000">
            <w:pPr>
              <w:spacing w:after="0"/>
              <w:ind w:left="-64" w:right="8"/>
            </w:pPr>
            <w:r>
              <w:t>25 years</w:t>
            </w:r>
          </w:p>
        </w:tc>
      </w:tr>
      <w:tr w:rsidR="00000000">
        <w:tblPrEx>
          <w:shd w:val="clear" w:color="auto" w:fill="auto"/>
        </w:tblPrEx>
        <w:trPr>
          <w:cantSplit/>
        </w:trPr>
        <w:tc>
          <w:tcPr>
            <w:tcW w:w="1276" w:type="dxa"/>
          </w:tcPr>
          <w:p w:rsidR="00000000" w:rsidRDefault="00000000">
            <w:pPr>
              <w:spacing w:after="0"/>
              <w:ind w:left="57" w:right="57"/>
            </w:pPr>
            <w:r>
              <w:t>s. 154</w:t>
            </w:r>
          </w:p>
        </w:tc>
        <w:tc>
          <w:tcPr>
            <w:tcW w:w="4842" w:type="dxa"/>
          </w:tcPr>
          <w:p w:rsidR="00000000" w:rsidRDefault="00000000">
            <w:pPr>
              <w:spacing w:after="0"/>
              <w:ind w:left="-64" w:right="57"/>
            </w:pPr>
            <w:r>
              <w:t>Dangerous acts or omissions</w:t>
            </w:r>
          </w:p>
        </w:tc>
        <w:tc>
          <w:tcPr>
            <w:tcW w:w="3238" w:type="dxa"/>
          </w:tcPr>
          <w:p w:rsidR="00000000" w:rsidRDefault="00000000">
            <w:pPr>
              <w:spacing w:after="0"/>
              <w:ind w:left="-64" w:right="8"/>
            </w:pPr>
            <w:r>
              <w:t>14 years</w:t>
            </w:r>
          </w:p>
        </w:tc>
      </w:tr>
      <w:tr w:rsidR="00000000">
        <w:tblPrEx>
          <w:shd w:val="clear" w:color="auto" w:fill="auto"/>
        </w:tblPrEx>
        <w:trPr>
          <w:cantSplit/>
        </w:trPr>
        <w:tc>
          <w:tcPr>
            <w:tcW w:w="1276" w:type="dxa"/>
          </w:tcPr>
          <w:p w:rsidR="00000000" w:rsidRDefault="00000000">
            <w:pPr>
              <w:spacing w:after="0"/>
              <w:ind w:left="57" w:right="57"/>
            </w:pPr>
            <w:r>
              <w:t>s. 164</w:t>
            </w:r>
          </w:p>
        </w:tc>
        <w:tc>
          <w:tcPr>
            <w:tcW w:w="4842" w:type="dxa"/>
          </w:tcPr>
          <w:p w:rsidR="00000000" w:rsidRDefault="00000000">
            <w:pPr>
              <w:spacing w:after="0"/>
              <w:ind w:left="-64" w:right="57"/>
            </w:pPr>
            <w:r>
              <w:t>Murder</w:t>
            </w:r>
          </w:p>
        </w:tc>
        <w:tc>
          <w:tcPr>
            <w:tcW w:w="3238" w:type="dxa"/>
          </w:tcPr>
          <w:p w:rsidR="00000000" w:rsidRDefault="00000000">
            <w:pPr>
              <w:spacing w:after="0"/>
              <w:ind w:left="-64" w:right="8"/>
            </w:pPr>
            <w:r>
              <w:t>Life</w:t>
            </w:r>
          </w:p>
        </w:tc>
      </w:tr>
      <w:tr w:rsidR="00000000">
        <w:tblPrEx>
          <w:shd w:val="clear" w:color="auto" w:fill="auto"/>
        </w:tblPrEx>
        <w:trPr>
          <w:cantSplit/>
        </w:trPr>
        <w:tc>
          <w:tcPr>
            <w:tcW w:w="1276" w:type="dxa"/>
          </w:tcPr>
          <w:p w:rsidR="00000000" w:rsidRDefault="00000000">
            <w:pPr>
              <w:spacing w:after="0"/>
              <w:ind w:left="57" w:right="57"/>
            </w:pPr>
            <w:r>
              <w:t>s. 167</w:t>
            </w:r>
          </w:p>
        </w:tc>
        <w:tc>
          <w:tcPr>
            <w:tcW w:w="4842" w:type="dxa"/>
          </w:tcPr>
          <w:p w:rsidR="00000000" w:rsidRDefault="00000000">
            <w:pPr>
              <w:spacing w:after="0"/>
              <w:ind w:left="-64" w:right="57"/>
            </w:pPr>
            <w:r>
              <w:t>Manslaughter</w:t>
            </w:r>
          </w:p>
        </w:tc>
        <w:tc>
          <w:tcPr>
            <w:tcW w:w="3238" w:type="dxa"/>
          </w:tcPr>
          <w:p w:rsidR="00000000" w:rsidRDefault="00000000">
            <w:pPr>
              <w:spacing w:after="0"/>
              <w:ind w:left="-64" w:right="8"/>
            </w:pPr>
            <w:r>
              <w:t>Life</w:t>
            </w:r>
          </w:p>
        </w:tc>
      </w:tr>
      <w:tr w:rsidR="00000000">
        <w:tblPrEx>
          <w:shd w:val="clear" w:color="auto" w:fill="auto"/>
        </w:tblPrEx>
        <w:trPr>
          <w:cantSplit/>
        </w:trPr>
        <w:tc>
          <w:tcPr>
            <w:tcW w:w="1276" w:type="dxa"/>
          </w:tcPr>
          <w:p w:rsidR="00000000" w:rsidRDefault="00000000">
            <w:pPr>
              <w:spacing w:after="0"/>
              <w:ind w:left="57" w:right="57"/>
            </w:pPr>
            <w:r>
              <w:t>s. 165</w:t>
            </w:r>
          </w:p>
        </w:tc>
        <w:tc>
          <w:tcPr>
            <w:tcW w:w="4842" w:type="dxa"/>
          </w:tcPr>
          <w:p w:rsidR="00000000" w:rsidRDefault="00000000">
            <w:pPr>
              <w:spacing w:after="0"/>
              <w:ind w:left="-64" w:right="57"/>
            </w:pPr>
            <w:r>
              <w:t>Attempt to murder</w:t>
            </w:r>
          </w:p>
        </w:tc>
        <w:tc>
          <w:tcPr>
            <w:tcW w:w="3238" w:type="dxa"/>
          </w:tcPr>
          <w:p w:rsidR="00000000" w:rsidRDefault="00000000">
            <w:pPr>
              <w:spacing w:after="0"/>
              <w:ind w:left="-64" w:right="8"/>
            </w:pPr>
            <w:r>
              <w:t>Life</w:t>
            </w:r>
          </w:p>
        </w:tc>
      </w:tr>
      <w:tr w:rsidR="00000000">
        <w:tblPrEx>
          <w:shd w:val="clear" w:color="auto" w:fill="auto"/>
        </w:tblPrEx>
        <w:trPr>
          <w:cantSplit/>
        </w:trPr>
        <w:tc>
          <w:tcPr>
            <w:tcW w:w="1276" w:type="dxa"/>
            <w:tcBorders>
              <w:bottom w:val="single" w:sz="4" w:space="0" w:color="auto"/>
            </w:tcBorders>
          </w:tcPr>
          <w:p w:rsidR="00000000" w:rsidRDefault="00000000">
            <w:pPr>
              <w:spacing w:after="0"/>
              <w:ind w:left="57" w:right="57"/>
            </w:pPr>
            <w:r>
              <w:t>s. 166</w:t>
            </w:r>
          </w:p>
        </w:tc>
        <w:tc>
          <w:tcPr>
            <w:tcW w:w="4842" w:type="dxa"/>
            <w:tcBorders>
              <w:bottom w:val="single" w:sz="4" w:space="0" w:color="auto"/>
            </w:tcBorders>
          </w:tcPr>
          <w:p w:rsidR="00000000" w:rsidRDefault="00000000">
            <w:pPr>
              <w:spacing w:after="0"/>
              <w:ind w:left="-64" w:right="57"/>
            </w:pPr>
            <w:r>
              <w:t>Threats to kill</w:t>
            </w:r>
          </w:p>
        </w:tc>
        <w:tc>
          <w:tcPr>
            <w:tcW w:w="3238" w:type="dxa"/>
            <w:tcBorders>
              <w:bottom w:val="single" w:sz="4" w:space="0" w:color="auto"/>
            </w:tcBorders>
          </w:tcPr>
          <w:p w:rsidR="00000000" w:rsidRDefault="00000000">
            <w:pPr>
              <w:spacing w:after="0"/>
              <w:ind w:left="-64" w:right="8"/>
            </w:pPr>
            <w:r>
              <w:t>7 years</w:t>
            </w:r>
          </w:p>
        </w:tc>
      </w:tr>
      <w:tr w:rsidR="00000000">
        <w:tblPrEx>
          <w:shd w:val="clear" w:color="auto" w:fill="auto"/>
        </w:tblPrEx>
        <w:trPr>
          <w:cantSplit/>
        </w:trPr>
        <w:tc>
          <w:tcPr>
            <w:tcW w:w="1276" w:type="dxa"/>
            <w:tcBorders>
              <w:top w:val="single" w:sz="4" w:space="0" w:color="auto"/>
              <w:left w:val="nil"/>
              <w:bottom w:val="nil"/>
              <w:right w:val="nil"/>
            </w:tcBorders>
          </w:tcPr>
          <w:p w:rsidR="00000000" w:rsidRDefault="00000000">
            <w:pPr>
              <w:spacing w:after="0"/>
              <w:ind w:left="57" w:right="57"/>
            </w:pPr>
          </w:p>
        </w:tc>
        <w:tc>
          <w:tcPr>
            <w:tcW w:w="4842" w:type="dxa"/>
            <w:tcBorders>
              <w:top w:val="single" w:sz="4" w:space="0" w:color="auto"/>
              <w:left w:val="nil"/>
              <w:bottom w:val="nil"/>
              <w:right w:val="nil"/>
            </w:tcBorders>
          </w:tcPr>
          <w:p w:rsidR="00000000" w:rsidRDefault="00000000">
            <w:pPr>
              <w:spacing w:after="0"/>
              <w:ind w:left="-64" w:right="57"/>
            </w:pPr>
          </w:p>
        </w:tc>
        <w:tc>
          <w:tcPr>
            <w:tcW w:w="3238" w:type="dxa"/>
            <w:tcBorders>
              <w:top w:val="single" w:sz="4" w:space="0" w:color="auto"/>
              <w:left w:val="nil"/>
              <w:bottom w:val="nil"/>
              <w:right w:val="nil"/>
            </w:tcBorders>
          </w:tcPr>
          <w:p w:rsidR="00000000" w:rsidRDefault="00000000">
            <w:pPr>
              <w:spacing w:after="0"/>
              <w:ind w:left="-64" w:right="8"/>
            </w:pPr>
          </w:p>
        </w:tc>
      </w:tr>
      <w:tr w:rsidR="00000000">
        <w:tblPrEx>
          <w:shd w:val="clear" w:color="auto" w:fill="auto"/>
        </w:tblPrEx>
        <w:trPr>
          <w:cantSplit/>
        </w:trPr>
        <w:tc>
          <w:tcPr>
            <w:tcW w:w="1276" w:type="dxa"/>
            <w:tcBorders>
              <w:top w:val="nil"/>
              <w:left w:val="nil"/>
              <w:bottom w:val="nil"/>
              <w:right w:val="nil"/>
            </w:tcBorders>
          </w:tcPr>
          <w:p w:rsidR="00000000" w:rsidRDefault="00000000">
            <w:pPr>
              <w:spacing w:after="0"/>
              <w:ind w:left="57" w:right="57"/>
            </w:pPr>
          </w:p>
        </w:tc>
        <w:tc>
          <w:tcPr>
            <w:tcW w:w="4842" w:type="dxa"/>
            <w:tcBorders>
              <w:top w:val="nil"/>
              <w:left w:val="nil"/>
              <w:bottom w:val="nil"/>
              <w:right w:val="nil"/>
            </w:tcBorders>
          </w:tcPr>
          <w:p w:rsidR="00000000" w:rsidRDefault="00000000">
            <w:pPr>
              <w:spacing w:after="0"/>
              <w:ind w:left="-64" w:right="57"/>
            </w:pPr>
          </w:p>
        </w:tc>
        <w:tc>
          <w:tcPr>
            <w:tcW w:w="3238" w:type="dxa"/>
            <w:tcBorders>
              <w:top w:val="nil"/>
              <w:left w:val="nil"/>
              <w:bottom w:val="nil"/>
              <w:right w:val="nil"/>
            </w:tcBorders>
          </w:tcPr>
          <w:p w:rsidR="00000000" w:rsidRDefault="00000000">
            <w:pPr>
              <w:spacing w:after="0"/>
              <w:ind w:left="-64" w:right="8"/>
            </w:pPr>
          </w:p>
        </w:tc>
      </w:tr>
      <w:tr w:rsidR="00000000">
        <w:tblPrEx>
          <w:shd w:val="clear" w:color="auto" w:fill="auto"/>
        </w:tblPrEx>
        <w:trPr>
          <w:cantSplit/>
        </w:trPr>
        <w:tc>
          <w:tcPr>
            <w:tcW w:w="1276" w:type="dxa"/>
            <w:tcBorders>
              <w:top w:val="nil"/>
            </w:tcBorders>
          </w:tcPr>
          <w:p w:rsidR="00000000" w:rsidRDefault="00000000">
            <w:pPr>
              <w:spacing w:after="0"/>
              <w:ind w:left="57" w:right="57"/>
            </w:pPr>
            <w:r>
              <w:t>s. 175</w:t>
            </w:r>
          </w:p>
        </w:tc>
        <w:tc>
          <w:tcPr>
            <w:tcW w:w="4842" w:type="dxa"/>
            <w:tcBorders>
              <w:top w:val="nil"/>
            </w:tcBorders>
          </w:tcPr>
          <w:p w:rsidR="00000000" w:rsidRDefault="00000000">
            <w:pPr>
              <w:spacing w:after="0"/>
              <w:ind w:left="-64" w:right="57"/>
            </w:pPr>
            <w:r>
              <w:t>Disabling in order to commit a crime</w:t>
            </w:r>
          </w:p>
        </w:tc>
        <w:tc>
          <w:tcPr>
            <w:tcW w:w="3238" w:type="dxa"/>
            <w:tcBorders>
              <w:top w:val="nil"/>
            </w:tcBorders>
          </w:tcPr>
          <w:p w:rsidR="00000000" w:rsidRDefault="00000000">
            <w:pPr>
              <w:spacing w:after="0"/>
              <w:ind w:left="-64" w:right="8"/>
            </w:pPr>
            <w:r>
              <w:t>Life</w:t>
            </w:r>
          </w:p>
        </w:tc>
      </w:tr>
      <w:tr w:rsidR="00000000">
        <w:tblPrEx>
          <w:shd w:val="clear" w:color="auto" w:fill="auto"/>
        </w:tblPrEx>
        <w:trPr>
          <w:cantSplit/>
        </w:trPr>
        <w:tc>
          <w:tcPr>
            <w:tcW w:w="1276" w:type="dxa"/>
          </w:tcPr>
          <w:p w:rsidR="00000000" w:rsidRDefault="00000000">
            <w:pPr>
              <w:spacing w:after="0"/>
              <w:ind w:left="57" w:right="57"/>
            </w:pPr>
            <w:r>
              <w:t>s. 176</w:t>
            </w:r>
          </w:p>
        </w:tc>
        <w:tc>
          <w:tcPr>
            <w:tcW w:w="4842" w:type="dxa"/>
          </w:tcPr>
          <w:p w:rsidR="00000000" w:rsidRDefault="00000000">
            <w:pPr>
              <w:spacing w:after="0"/>
              <w:ind w:left="-64" w:right="57"/>
            </w:pPr>
            <w:r>
              <w:t>Stupefying in order to commit a crime</w:t>
            </w:r>
          </w:p>
        </w:tc>
        <w:tc>
          <w:tcPr>
            <w:tcW w:w="3238" w:type="dxa"/>
          </w:tcPr>
          <w:p w:rsidR="00000000" w:rsidRDefault="00000000">
            <w:pPr>
              <w:spacing w:after="0"/>
              <w:ind w:left="-64" w:right="8"/>
            </w:pPr>
            <w:r>
              <w:t>Life</w:t>
            </w:r>
          </w:p>
        </w:tc>
      </w:tr>
      <w:tr w:rsidR="00000000">
        <w:tblPrEx>
          <w:shd w:val="clear" w:color="auto" w:fill="auto"/>
        </w:tblPrEx>
        <w:trPr>
          <w:cantSplit/>
        </w:trPr>
        <w:tc>
          <w:tcPr>
            <w:tcW w:w="1276" w:type="dxa"/>
          </w:tcPr>
          <w:p w:rsidR="00000000" w:rsidRDefault="00000000">
            <w:pPr>
              <w:spacing w:after="0"/>
              <w:ind w:left="57" w:right="57"/>
            </w:pPr>
            <w:r>
              <w:t>s. 177</w:t>
            </w:r>
          </w:p>
        </w:tc>
        <w:tc>
          <w:tcPr>
            <w:tcW w:w="4842" w:type="dxa"/>
          </w:tcPr>
          <w:p w:rsidR="00000000" w:rsidRDefault="00000000">
            <w:pPr>
              <w:spacing w:after="0"/>
              <w:ind w:left="-64" w:right="57"/>
            </w:pPr>
            <w:r>
              <w:t>Acts intended to cause grievous bodily harm or prevent apprehension</w:t>
            </w:r>
          </w:p>
        </w:tc>
        <w:tc>
          <w:tcPr>
            <w:tcW w:w="3238" w:type="dxa"/>
          </w:tcPr>
          <w:p w:rsidR="00000000" w:rsidRDefault="00000000">
            <w:pPr>
              <w:spacing w:after="0"/>
              <w:ind w:left="-64" w:right="8"/>
            </w:pPr>
            <w:r>
              <w:t>Life</w:t>
            </w:r>
          </w:p>
        </w:tc>
      </w:tr>
      <w:tr w:rsidR="00000000">
        <w:tblPrEx>
          <w:shd w:val="clear" w:color="auto" w:fill="auto"/>
        </w:tblPrEx>
        <w:trPr>
          <w:cantSplit/>
        </w:trPr>
        <w:tc>
          <w:tcPr>
            <w:tcW w:w="1276" w:type="dxa"/>
          </w:tcPr>
          <w:p w:rsidR="00000000" w:rsidRDefault="00000000">
            <w:pPr>
              <w:spacing w:after="0"/>
              <w:ind w:left="57" w:right="57"/>
            </w:pPr>
            <w:r>
              <w:t>s. 181</w:t>
            </w:r>
          </w:p>
        </w:tc>
        <w:tc>
          <w:tcPr>
            <w:tcW w:w="4842" w:type="dxa"/>
          </w:tcPr>
          <w:p w:rsidR="00000000" w:rsidRDefault="00000000">
            <w:pPr>
              <w:spacing w:after="0"/>
              <w:ind w:left="-64" w:right="57"/>
            </w:pPr>
            <w:r>
              <w:t>Grievous harm</w:t>
            </w:r>
          </w:p>
        </w:tc>
        <w:tc>
          <w:tcPr>
            <w:tcW w:w="3238" w:type="dxa"/>
          </w:tcPr>
          <w:p w:rsidR="00000000" w:rsidRDefault="00000000">
            <w:pPr>
              <w:spacing w:after="0"/>
              <w:ind w:left="-64" w:right="8"/>
            </w:pPr>
            <w:r>
              <w:t>14 years</w:t>
            </w:r>
          </w:p>
        </w:tc>
      </w:tr>
      <w:tr w:rsidR="00000000">
        <w:tblPrEx>
          <w:shd w:val="clear" w:color="auto" w:fill="auto"/>
        </w:tblPrEx>
        <w:trPr>
          <w:cantSplit/>
        </w:trPr>
        <w:tc>
          <w:tcPr>
            <w:tcW w:w="1276" w:type="dxa"/>
          </w:tcPr>
          <w:p w:rsidR="00000000" w:rsidRDefault="00000000">
            <w:pPr>
              <w:spacing w:after="0"/>
              <w:ind w:left="57" w:right="57"/>
            </w:pPr>
            <w:r>
              <w:t>s. 182</w:t>
            </w:r>
          </w:p>
        </w:tc>
        <w:tc>
          <w:tcPr>
            <w:tcW w:w="4842" w:type="dxa"/>
          </w:tcPr>
          <w:p w:rsidR="00000000" w:rsidRDefault="00000000">
            <w:pPr>
              <w:spacing w:after="0"/>
              <w:ind w:left="-64" w:right="57"/>
            </w:pPr>
            <w:r>
              <w:t>Attempting to injure by explosive substances</w:t>
            </w:r>
          </w:p>
        </w:tc>
        <w:tc>
          <w:tcPr>
            <w:tcW w:w="3238" w:type="dxa"/>
          </w:tcPr>
          <w:p w:rsidR="00000000" w:rsidRDefault="00000000">
            <w:pPr>
              <w:spacing w:after="0"/>
              <w:ind w:left="-64" w:right="8"/>
            </w:pPr>
            <w:r>
              <w:t>14 years</w:t>
            </w:r>
          </w:p>
        </w:tc>
      </w:tr>
      <w:tr w:rsidR="00000000">
        <w:tblPrEx>
          <w:shd w:val="clear" w:color="auto" w:fill="auto"/>
        </w:tblPrEx>
        <w:trPr>
          <w:cantSplit/>
        </w:trPr>
        <w:tc>
          <w:tcPr>
            <w:tcW w:w="1276" w:type="dxa"/>
          </w:tcPr>
          <w:p w:rsidR="00000000" w:rsidRDefault="00000000">
            <w:pPr>
              <w:spacing w:after="0"/>
              <w:ind w:left="57" w:right="57"/>
            </w:pPr>
            <w:r>
              <w:t>s. 185</w:t>
            </w:r>
          </w:p>
        </w:tc>
        <w:tc>
          <w:tcPr>
            <w:tcW w:w="4842" w:type="dxa"/>
          </w:tcPr>
          <w:p w:rsidR="00000000" w:rsidRDefault="00000000">
            <w:pPr>
              <w:spacing w:after="0"/>
              <w:ind w:left="-64" w:right="57"/>
            </w:pPr>
            <w:r>
              <w:t>Setting man</w:t>
            </w:r>
            <w:r>
              <w:noBreakHyphen/>
              <w:t>traps</w:t>
            </w:r>
          </w:p>
        </w:tc>
        <w:tc>
          <w:tcPr>
            <w:tcW w:w="3238" w:type="dxa"/>
          </w:tcPr>
          <w:p w:rsidR="00000000" w:rsidRDefault="00000000">
            <w:pPr>
              <w:spacing w:after="0"/>
              <w:ind w:left="-64" w:right="8"/>
            </w:pPr>
            <w:r>
              <w:t>3 years</w:t>
            </w:r>
          </w:p>
        </w:tc>
      </w:tr>
      <w:tr w:rsidR="00000000">
        <w:tblPrEx>
          <w:shd w:val="clear" w:color="auto" w:fill="auto"/>
        </w:tblPrEx>
        <w:trPr>
          <w:cantSplit/>
        </w:trPr>
        <w:tc>
          <w:tcPr>
            <w:tcW w:w="1276" w:type="dxa"/>
          </w:tcPr>
          <w:p w:rsidR="00000000" w:rsidRDefault="00000000">
            <w:pPr>
              <w:spacing w:after="0"/>
              <w:ind w:left="57" w:right="57"/>
            </w:pPr>
            <w:r>
              <w:t>s. 186</w:t>
            </w:r>
          </w:p>
        </w:tc>
        <w:tc>
          <w:tcPr>
            <w:tcW w:w="4842" w:type="dxa"/>
          </w:tcPr>
          <w:p w:rsidR="00000000" w:rsidRDefault="00000000">
            <w:pPr>
              <w:spacing w:after="0"/>
              <w:ind w:left="-64" w:right="57"/>
            </w:pPr>
            <w:r>
              <w:t>Bodily harm</w:t>
            </w:r>
          </w:p>
        </w:tc>
        <w:tc>
          <w:tcPr>
            <w:tcW w:w="3238" w:type="dxa"/>
          </w:tcPr>
          <w:p w:rsidR="00000000" w:rsidRDefault="00000000">
            <w:pPr>
              <w:spacing w:after="0"/>
              <w:ind w:left="-64" w:right="8"/>
            </w:pPr>
            <w:r>
              <w:t>2 years</w:t>
            </w:r>
          </w:p>
        </w:tc>
      </w:tr>
      <w:tr w:rsidR="00000000">
        <w:tblPrEx>
          <w:shd w:val="clear" w:color="auto" w:fill="auto"/>
        </w:tblPrEx>
        <w:trPr>
          <w:cantSplit/>
        </w:trPr>
        <w:tc>
          <w:tcPr>
            <w:tcW w:w="1276" w:type="dxa"/>
          </w:tcPr>
          <w:p w:rsidR="00000000" w:rsidRDefault="00000000">
            <w:pPr>
              <w:spacing w:after="0"/>
              <w:ind w:left="57" w:right="57"/>
            </w:pPr>
            <w:r>
              <w:t>s. 186B</w:t>
            </w:r>
          </w:p>
        </w:tc>
        <w:tc>
          <w:tcPr>
            <w:tcW w:w="4842" w:type="dxa"/>
          </w:tcPr>
          <w:p w:rsidR="00000000" w:rsidRDefault="00000000">
            <w:pPr>
              <w:spacing w:after="0"/>
              <w:ind w:left="-64" w:right="57"/>
            </w:pPr>
            <w:r>
              <w:t>Female genital mutilation</w:t>
            </w:r>
          </w:p>
        </w:tc>
        <w:tc>
          <w:tcPr>
            <w:tcW w:w="3238" w:type="dxa"/>
          </w:tcPr>
          <w:p w:rsidR="00000000" w:rsidRDefault="00000000">
            <w:pPr>
              <w:spacing w:after="0"/>
              <w:ind w:left="-64" w:right="8"/>
            </w:pPr>
            <w:r>
              <w:t>14 years</w:t>
            </w:r>
          </w:p>
        </w:tc>
      </w:tr>
      <w:tr w:rsidR="00000000">
        <w:tblPrEx>
          <w:shd w:val="clear" w:color="auto" w:fill="auto"/>
        </w:tblPrEx>
        <w:trPr>
          <w:cantSplit/>
        </w:trPr>
        <w:tc>
          <w:tcPr>
            <w:tcW w:w="1276" w:type="dxa"/>
          </w:tcPr>
          <w:p w:rsidR="00000000" w:rsidRDefault="00000000">
            <w:pPr>
              <w:spacing w:after="0"/>
              <w:ind w:left="57" w:right="57"/>
            </w:pPr>
            <w:r>
              <w:t>s. 188</w:t>
            </w:r>
          </w:p>
        </w:tc>
        <w:tc>
          <w:tcPr>
            <w:tcW w:w="4842" w:type="dxa"/>
          </w:tcPr>
          <w:p w:rsidR="00000000" w:rsidRDefault="00000000">
            <w:pPr>
              <w:spacing w:after="0"/>
              <w:ind w:left="-64" w:right="57"/>
            </w:pPr>
            <w:r>
              <w:t>Common assault</w:t>
            </w:r>
          </w:p>
        </w:tc>
        <w:tc>
          <w:tcPr>
            <w:tcW w:w="3238" w:type="dxa"/>
          </w:tcPr>
          <w:p w:rsidR="00000000" w:rsidRDefault="00000000">
            <w:pPr>
              <w:spacing w:after="0"/>
              <w:ind w:left="-64" w:right="8"/>
            </w:pPr>
            <w:r>
              <w:t>5 years</w:t>
            </w:r>
          </w:p>
        </w:tc>
      </w:tr>
      <w:tr w:rsidR="00000000">
        <w:tblPrEx>
          <w:shd w:val="clear" w:color="auto" w:fill="auto"/>
        </w:tblPrEx>
        <w:trPr>
          <w:cantSplit/>
        </w:trPr>
        <w:tc>
          <w:tcPr>
            <w:tcW w:w="1276" w:type="dxa"/>
          </w:tcPr>
          <w:p w:rsidR="00000000" w:rsidRDefault="00000000">
            <w:pPr>
              <w:spacing w:after="0"/>
              <w:ind w:left="57" w:right="57"/>
            </w:pPr>
            <w:r>
              <w:t>s. 189A</w:t>
            </w:r>
          </w:p>
        </w:tc>
        <w:tc>
          <w:tcPr>
            <w:tcW w:w="4842" w:type="dxa"/>
          </w:tcPr>
          <w:p w:rsidR="00000000" w:rsidRDefault="00000000">
            <w:pPr>
              <w:spacing w:after="0"/>
              <w:ind w:left="-64" w:right="57"/>
            </w:pPr>
            <w:r>
              <w:t>Assaults on police</w:t>
            </w:r>
          </w:p>
        </w:tc>
        <w:tc>
          <w:tcPr>
            <w:tcW w:w="3238" w:type="dxa"/>
          </w:tcPr>
          <w:p w:rsidR="00000000" w:rsidRDefault="00000000">
            <w:pPr>
              <w:spacing w:after="0"/>
              <w:ind w:left="-64" w:right="8"/>
            </w:pPr>
            <w:r>
              <w:t>16 years</w:t>
            </w:r>
          </w:p>
        </w:tc>
      </w:tr>
      <w:tr w:rsidR="00000000">
        <w:tblPrEx>
          <w:shd w:val="clear" w:color="auto" w:fill="auto"/>
        </w:tblPrEx>
        <w:trPr>
          <w:cantSplit/>
        </w:trPr>
        <w:tc>
          <w:tcPr>
            <w:tcW w:w="1276" w:type="dxa"/>
          </w:tcPr>
          <w:p w:rsidR="00000000" w:rsidRDefault="00000000">
            <w:pPr>
              <w:spacing w:after="0"/>
              <w:ind w:left="57" w:right="57"/>
            </w:pPr>
            <w:r>
              <w:t>s. 190</w:t>
            </w:r>
          </w:p>
        </w:tc>
        <w:tc>
          <w:tcPr>
            <w:tcW w:w="4842" w:type="dxa"/>
          </w:tcPr>
          <w:p w:rsidR="00000000" w:rsidRDefault="00000000">
            <w:pPr>
              <w:spacing w:after="0"/>
              <w:ind w:left="-64" w:right="57"/>
            </w:pPr>
            <w:r>
              <w:t>Assaults on the Administrator or judges or magistrates</w:t>
            </w:r>
          </w:p>
        </w:tc>
        <w:tc>
          <w:tcPr>
            <w:tcW w:w="3238" w:type="dxa"/>
          </w:tcPr>
          <w:p w:rsidR="00000000" w:rsidRDefault="00000000">
            <w:pPr>
              <w:spacing w:after="0"/>
              <w:ind w:left="-64" w:right="8"/>
            </w:pPr>
            <w:r>
              <w:t>14 years</w:t>
            </w:r>
          </w:p>
        </w:tc>
      </w:tr>
      <w:tr w:rsidR="00000000">
        <w:tblPrEx>
          <w:shd w:val="clear" w:color="auto" w:fill="auto"/>
        </w:tblPrEx>
        <w:trPr>
          <w:cantSplit/>
        </w:trPr>
        <w:tc>
          <w:tcPr>
            <w:tcW w:w="1276" w:type="dxa"/>
          </w:tcPr>
          <w:p w:rsidR="00000000" w:rsidRDefault="00000000">
            <w:pPr>
              <w:spacing w:after="0"/>
              <w:ind w:left="57" w:right="57"/>
            </w:pPr>
            <w:r>
              <w:t>s. 191</w:t>
            </w:r>
          </w:p>
        </w:tc>
        <w:tc>
          <w:tcPr>
            <w:tcW w:w="4842" w:type="dxa"/>
          </w:tcPr>
          <w:p w:rsidR="00000000" w:rsidRDefault="00000000">
            <w:pPr>
              <w:spacing w:after="0"/>
              <w:ind w:left="-64" w:right="57"/>
            </w:pPr>
            <w:r>
              <w:t>Assaults on member or crew of aircraft</w:t>
            </w:r>
          </w:p>
        </w:tc>
        <w:tc>
          <w:tcPr>
            <w:tcW w:w="3238" w:type="dxa"/>
          </w:tcPr>
          <w:p w:rsidR="00000000" w:rsidRDefault="00000000">
            <w:pPr>
              <w:spacing w:after="0"/>
              <w:ind w:left="-64" w:right="8"/>
            </w:pPr>
            <w:r>
              <w:t>14 years</w:t>
            </w:r>
          </w:p>
        </w:tc>
      </w:tr>
      <w:tr w:rsidR="00000000">
        <w:tblPrEx>
          <w:shd w:val="clear" w:color="auto" w:fill="auto"/>
        </w:tblPrEx>
        <w:trPr>
          <w:cantSplit/>
        </w:trPr>
        <w:tc>
          <w:tcPr>
            <w:tcW w:w="1276" w:type="dxa"/>
          </w:tcPr>
          <w:p w:rsidR="00000000" w:rsidRDefault="00000000">
            <w:pPr>
              <w:spacing w:after="0"/>
              <w:ind w:left="57" w:right="57"/>
            </w:pPr>
            <w:r>
              <w:t>s. 192</w:t>
            </w:r>
          </w:p>
        </w:tc>
        <w:tc>
          <w:tcPr>
            <w:tcW w:w="4842" w:type="dxa"/>
          </w:tcPr>
          <w:p w:rsidR="00000000" w:rsidRDefault="00000000">
            <w:pPr>
              <w:spacing w:after="0"/>
              <w:ind w:left="-64" w:right="57"/>
            </w:pPr>
            <w:r>
              <w:t>Sexual intercourse and gross indecency without consent</w:t>
            </w:r>
          </w:p>
        </w:tc>
        <w:tc>
          <w:tcPr>
            <w:tcW w:w="3238" w:type="dxa"/>
          </w:tcPr>
          <w:p w:rsidR="00000000" w:rsidRDefault="00000000">
            <w:pPr>
              <w:spacing w:after="0"/>
              <w:ind w:left="-64" w:right="8"/>
            </w:pPr>
            <w:r>
              <w:t>Life</w:t>
            </w:r>
          </w:p>
        </w:tc>
      </w:tr>
      <w:tr w:rsidR="00000000">
        <w:tblPrEx>
          <w:shd w:val="clear" w:color="auto" w:fill="auto"/>
        </w:tblPrEx>
        <w:trPr>
          <w:cantSplit/>
        </w:trPr>
        <w:tc>
          <w:tcPr>
            <w:tcW w:w="1276" w:type="dxa"/>
          </w:tcPr>
          <w:p w:rsidR="00000000" w:rsidRDefault="00000000">
            <w:pPr>
              <w:spacing w:after="0"/>
              <w:ind w:left="57" w:right="57"/>
            </w:pPr>
            <w:r>
              <w:t>s. 192B</w:t>
            </w:r>
          </w:p>
        </w:tc>
        <w:tc>
          <w:tcPr>
            <w:tcW w:w="4842" w:type="dxa"/>
          </w:tcPr>
          <w:p w:rsidR="00000000" w:rsidRDefault="00000000">
            <w:pPr>
              <w:spacing w:after="0"/>
              <w:ind w:left="-64" w:right="57"/>
            </w:pPr>
            <w:r>
              <w:t>Coerced sexual self</w:t>
            </w:r>
            <w:r>
              <w:noBreakHyphen/>
              <w:t>manipulation</w:t>
            </w:r>
          </w:p>
        </w:tc>
        <w:tc>
          <w:tcPr>
            <w:tcW w:w="3238" w:type="dxa"/>
          </w:tcPr>
          <w:p w:rsidR="00000000" w:rsidRDefault="00000000">
            <w:pPr>
              <w:spacing w:after="0"/>
              <w:ind w:left="-64" w:right="8"/>
            </w:pPr>
            <w:r>
              <w:t>17 years</w:t>
            </w:r>
          </w:p>
        </w:tc>
      </w:tr>
      <w:tr w:rsidR="00000000">
        <w:tblPrEx>
          <w:shd w:val="clear" w:color="auto" w:fill="auto"/>
        </w:tblPrEx>
        <w:trPr>
          <w:cantSplit/>
        </w:trPr>
        <w:tc>
          <w:tcPr>
            <w:tcW w:w="1276" w:type="dxa"/>
          </w:tcPr>
          <w:p w:rsidR="00000000" w:rsidRDefault="00000000">
            <w:pPr>
              <w:spacing w:after="0"/>
              <w:ind w:left="57" w:right="57"/>
            </w:pPr>
            <w:r>
              <w:t>s. 193</w:t>
            </w:r>
          </w:p>
        </w:tc>
        <w:tc>
          <w:tcPr>
            <w:tcW w:w="4842" w:type="dxa"/>
          </w:tcPr>
          <w:p w:rsidR="00000000" w:rsidRDefault="00000000">
            <w:pPr>
              <w:spacing w:after="0"/>
              <w:ind w:left="-64" w:right="57"/>
            </w:pPr>
            <w:r>
              <w:t>Assaults with intent to commit an offence</w:t>
            </w:r>
          </w:p>
        </w:tc>
        <w:tc>
          <w:tcPr>
            <w:tcW w:w="3238" w:type="dxa"/>
          </w:tcPr>
          <w:p w:rsidR="00000000" w:rsidRDefault="00000000">
            <w:pPr>
              <w:spacing w:after="0"/>
              <w:ind w:left="-64" w:right="8"/>
            </w:pPr>
            <w:r>
              <w:t>3 years</w:t>
            </w:r>
          </w:p>
        </w:tc>
      </w:tr>
      <w:tr w:rsidR="00000000">
        <w:tblPrEx>
          <w:shd w:val="clear" w:color="auto" w:fill="auto"/>
        </w:tblPrEx>
        <w:trPr>
          <w:cantSplit/>
        </w:trPr>
        <w:tc>
          <w:tcPr>
            <w:tcW w:w="1276" w:type="dxa"/>
          </w:tcPr>
          <w:p w:rsidR="00000000" w:rsidRDefault="00000000">
            <w:pPr>
              <w:spacing w:after="0"/>
              <w:ind w:left="57" w:right="57"/>
            </w:pPr>
            <w:r>
              <w:t>s. 194</w:t>
            </w:r>
          </w:p>
        </w:tc>
        <w:tc>
          <w:tcPr>
            <w:tcW w:w="4842" w:type="dxa"/>
          </w:tcPr>
          <w:p w:rsidR="00000000" w:rsidRDefault="00000000">
            <w:pPr>
              <w:spacing w:after="0"/>
              <w:ind w:left="-64" w:right="57"/>
            </w:pPr>
            <w:r>
              <w:t>Kidnapping for ransom</w:t>
            </w:r>
          </w:p>
        </w:tc>
        <w:tc>
          <w:tcPr>
            <w:tcW w:w="3238" w:type="dxa"/>
          </w:tcPr>
          <w:p w:rsidR="00000000" w:rsidRDefault="00000000">
            <w:pPr>
              <w:spacing w:after="0"/>
              <w:ind w:left="-64" w:right="8"/>
            </w:pPr>
            <w:r>
              <w:t>20 years</w:t>
            </w:r>
          </w:p>
        </w:tc>
      </w:tr>
      <w:tr w:rsidR="00000000">
        <w:tblPrEx>
          <w:shd w:val="clear" w:color="auto" w:fill="auto"/>
        </w:tblPrEx>
        <w:trPr>
          <w:cantSplit/>
        </w:trPr>
        <w:tc>
          <w:tcPr>
            <w:tcW w:w="1276" w:type="dxa"/>
          </w:tcPr>
          <w:p w:rsidR="00000000" w:rsidRDefault="00000000">
            <w:pPr>
              <w:spacing w:after="0"/>
              <w:ind w:left="57" w:right="57"/>
            </w:pPr>
            <w:r>
              <w:t>s. 195</w:t>
            </w:r>
          </w:p>
        </w:tc>
        <w:tc>
          <w:tcPr>
            <w:tcW w:w="4842" w:type="dxa"/>
          </w:tcPr>
          <w:p w:rsidR="00000000" w:rsidRDefault="00000000">
            <w:pPr>
              <w:spacing w:after="0"/>
              <w:ind w:left="-64" w:right="57"/>
            </w:pPr>
            <w:r>
              <w:t>Kidnapping</w:t>
            </w:r>
          </w:p>
        </w:tc>
        <w:tc>
          <w:tcPr>
            <w:tcW w:w="3238" w:type="dxa"/>
          </w:tcPr>
          <w:p w:rsidR="00000000" w:rsidRDefault="00000000">
            <w:pPr>
              <w:spacing w:after="0"/>
              <w:ind w:left="-64" w:right="8"/>
            </w:pPr>
            <w:r>
              <w:t>7 years</w:t>
            </w:r>
          </w:p>
        </w:tc>
      </w:tr>
      <w:tr w:rsidR="00000000">
        <w:tblPrEx>
          <w:shd w:val="clear" w:color="auto" w:fill="auto"/>
        </w:tblPrEx>
        <w:trPr>
          <w:cantSplit/>
        </w:trPr>
        <w:tc>
          <w:tcPr>
            <w:tcW w:w="1276" w:type="dxa"/>
          </w:tcPr>
          <w:p w:rsidR="00000000" w:rsidRDefault="00000000">
            <w:pPr>
              <w:spacing w:after="0"/>
              <w:ind w:left="57" w:right="57"/>
            </w:pPr>
            <w:r>
              <w:t>s. 196</w:t>
            </w:r>
          </w:p>
        </w:tc>
        <w:tc>
          <w:tcPr>
            <w:tcW w:w="4842" w:type="dxa"/>
          </w:tcPr>
          <w:p w:rsidR="00000000" w:rsidRDefault="00000000">
            <w:pPr>
              <w:spacing w:after="0"/>
              <w:ind w:left="-64" w:right="57"/>
            </w:pPr>
            <w:r>
              <w:t>Deprivation of liberty</w:t>
            </w:r>
          </w:p>
        </w:tc>
        <w:tc>
          <w:tcPr>
            <w:tcW w:w="3238" w:type="dxa"/>
          </w:tcPr>
          <w:p w:rsidR="00000000" w:rsidRDefault="00000000">
            <w:pPr>
              <w:spacing w:after="0"/>
              <w:ind w:left="-64" w:right="8"/>
            </w:pPr>
            <w:r>
              <w:t xml:space="preserve">7 years </w:t>
            </w:r>
          </w:p>
        </w:tc>
      </w:tr>
      <w:tr w:rsidR="00000000">
        <w:tblPrEx>
          <w:shd w:val="clear" w:color="auto" w:fill="auto"/>
        </w:tblPrEx>
        <w:trPr>
          <w:cantSplit/>
        </w:trPr>
        <w:tc>
          <w:tcPr>
            <w:tcW w:w="1276" w:type="dxa"/>
          </w:tcPr>
          <w:p w:rsidR="00000000" w:rsidRDefault="00000000">
            <w:pPr>
              <w:spacing w:after="0"/>
              <w:ind w:left="57" w:right="57"/>
            </w:pPr>
            <w:r>
              <w:t>s. 198</w:t>
            </w:r>
          </w:p>
        </w:tc>
        <w:tc>
          <w:tcPr>
            <w:tcW w:w="4842" w:type="dxa"/>
          </w:tcPr>
          <w:p w:rsidR="00000000" w:rsidRDefault="00000000">
            <w:pPr>
              <w:spacing w:after="0"/>
              <w:ind w:left="-64" w:right="57"/>
            </w:pPr>
            <w:r>
              <w:t>Concealment of matters affecting liberty</w:t>
            </w:r>
          </w:p>
        </w:tc>
        <w:tc>
          <w:tcPr>
            <w:tcW w:w="3238" w:type="dxa"/>
          </w:tcPr>
          <w:p w:rsidR="00000000" w:rsidRDefault="00000000">
            <w:pPr>
              <w:spacing w:after="0"/>
              <w:ind w:left="-64" w:right="8"/>
            </w:pPr>
            <w:r>
              <w:t>3 years</w:t>
            </w:r>
          </w:p>
        </w:tc>
      </w:tr>
      <w:tr w:rsidR="00000000">
        <w:tblPrEx>
          <w:shd w:val="clear" w:color="auto" w:fill="auto"/>
        </w:tblPrEx>
        <w:trPr>
          <w:cantSplit/>
        </w:trPr>
        <w:tc>
          <w:tcPr>
            <w:tcW w:w="1276" w:type="dxa"/>
          </w:tcPr>
          <w:p w:rsidR="00000000" w:rsidRDefault="00000000">
            <w:pPr>
              <w:spacing w:after="0"/>
              <w:ind w:left="57" w:right="57"/>
            </w:pPr>
            <w:r>
              <w:t>s. 199</w:t>
            </w:r>
          </w:p>
        </w:tc>
        <w:tc>
          <w:tcPr>
            <w:tcW w:w="4842" w:type="dxa"/>
          </w:tcPr>
          <w:p w:rsidR="00000000" w:rsidRDefault="00000000">
            <w:pPr>
              <w:spacing w:after="0"/>
              <w:ind w:left="-64" w:right="57"/>
            </w:pPr>
            <w:r>
              <w:t>Wrongful custody of mentally ill person</w:t>
            </w:r>
          </w:p>
        </w:tc>
        <w:tc>
          <w:tcPr>
            <w:tcW w:w="3238" w:type="dxa"/>
          </w:tcPr>
          <w:p w:rsidR="00000000" w:rsidRDefault="00000000">
            <w:pPr>
              <w:spacing w:after="0"/>
              <w:ind w:left="-64" w:right="8"/>
            </w:pPr>
            <w:r>
              <w:t>2 years</w:t>
            </w:r>
          </w:p>
        </w:tc>
      </w:tr>
      <w:tr w:rsidR="00000000">
        <w:tblPrEx>
          <w:shd w:val="clear" w:color="auto" w:fill="auto"/>
        </w:tblPrEx>
        <w:trPr>
          <w:cantSplit/>
        </w:trPr>
        <w:tc>
          <w:tcPr>
            <w:tcW w:w="1276" w:type="dxa"/>
          </w:tcPr>
          <w:p w:rsidR="00000000" w:rsidRDefault="00000000">
            <w:pPr>
              <w:spacing w:after="0"/>
              <w:ind w:left="57" w:right="57"/>
            </w:pPr>
            <w:r>
              <w:t>s. 200</w:t>
            </w:r>
          </w:p>
        </w:tc>
        <w:tc>
          <w:tcPr>
            <w:tcW w:w="4842" w:type="dxa"/>
          </w:tcPr>
          <w:p w:rsidR="00000000" w:rsidRDefault="00000000">
            <w:pPr>
              <w:spacing w:after="0"/>
              <w:ind w:left="-64" w:right="57"/>
            </w:pPr>
            <w:r>
              <w:t>Threats</w:t>
            </w:r>
          </w:p>
        </w:tc>
        <w:tc>
          <w:tcPr>
            <w:tcW w:w="3238" w:type="dxa"/>
          </w:tcPr>
          <w:p w:rsidR="00000000" w:rsidRDefault="00000000">
            <w:pPr>
              <w:spacing w:after="0"/>
              <w:ind w:left="-64" w:right="8"/>
            </w:pPr>
            <w:r>
              <w:t>2 years</w:t>
            </w:r>
          </w:p>
        </w:tc>
      </w:tr>
      <w:tr w:rsidR="00000000">
        <w:tblPrEx>
          <w:shd w:val="clear" w:color="auto" w:fill="auto"/>
        </w:tblPrEx>
        <w:trPr>
          <w:cantSplit/>
        </w:trPr>
        <w:tc>
          <w:tcPr>
            <w:tcW w:w="1276" w:type="dxa"/>
          </w:tcPr>
          <w:p w:rsidR="00000000" w:rsidRDefault="00000000">
            <w:pPr>
              <w:spacing w:after="0"/>
              <w:ind w:left="57" w:right="57"/>
            </w:pPr>
            <w:r>
              <w:t>s. 201</w:t>
            </w:r>
          </w:p>
        </w:tc>
        <w:tc>
          <w:tcPr>
            <w:tcW w:w="4842" w:type="dxa"/>
          </w:tcPr>
          <w:p w:rsidR="00000000" w:rsidRDefault="00000000">
            <w:pPr>
              <w:spacing w:after="0"/>
              <w:ind w:left="-64" w:right="57"/>
            </w:pPr>
            <w:r>
              <w:t>Abduction/ enticements or detention of child under 16 years for immoral purposes</w:t>
            </w:r>
          </w:p>
        </w:tc>
        <w:tc>
          <w:tcPr>
            <w:tcW w:w="3238" w:type="dxa"/>
          </w:tcPr>
          <w:p w:rsidR="00000000" w:rsidRDefault="00000000">
            <w:pPr>
              <w:spacing w:after="0"/>
              <w:ind w:left="-64" w:right="8"/>
            </w:pPr>
            <w:r>
              <w:t>7 years</w:t>
            </w:r>
          </w:p>
        </w:tc>
      </w:tr>
      <w:tr w:rsidR="00000000">
        <w:tblPrEx>
          <w:shd w:val="clear" w:color="auto" w:fill="auto"/>
        </w:tblPrEx>
        <w:trPr>
          <w:cantSplit/>
        </w:trPr>
        <w:tc>
          <w:tcPr>
            <w:tcW w:w="1276" w:type="dxa"/>
          </w:tcPr>
          <w:p w:rsidR="00000000" w:rsidRDefault="00000000">
            <w:pPr>
              <w:spacing w:after="0"/>
              <w:ind w:left="57" w:right="57"/>
            </w:pPr>
            <w:r>
              <w:t>s. 202</w:t>
            </w:r>
          </w:p>
        </w:tc>
        <w:tc>
          <w:tcPr>
            <w:tcW w:w="4842" w:type="dxa"/>
          </w:tcPr>
          <w:p w:rsidR="00000000" w:rsidRDefault="00000000">
            <w:pPr>
              <w:spacing w:after="0"/>
              <w:ind w:left="-64" w:right="57"/>
            </w:pPr>
            <w:r>
              <w:t>Abduction of children under 16 years</w:t>
            </w:r>
          </w:p>
        </w:tc>
        <w:tc>
          <w:tcPr>
            <w:tcW w:w="3238" w:type="dxa"/>
          </w:tcPr>
          <w:p w:rsidR="00000000" w:rsidRDefault="00000000">
            <w:pPr>
              <w:spacing w:after="0"/>
              <w:ind w:left="-64" w:right="8"/>
            </w:pPr>
            <w:r>
              <w:t>14 years</w:t>
            </w:r>
          </w:p>
        </w:tc>
      </w:tr>
      <w:tr w:rsidR="00000000">
        <w:tblPrEx>
          <w:shd w:val="clear" w:color="auto" w:fill="auto"/>
        </w:tblPrEx>
        <w:trPr>
          <w:cantSplit/>
        </w:trPr>
        <w:tc>
          <w:tcPr>
            <w:tcW w:w="1276" w:type="dxa"/>
          </w:tcPr>
          <w:p w:rsidR="00000000" w:rsidRDefault="00000000">
            <w:pPr>
              <w:spacing w:after="0"/>
              <w:ind w:left="57" w:right="57"/>
            </w:pPr>
            <w:r>
              <w:t xml:space="preserve">s. </w:t>
            </w:r>
            <w:r>
              <w:rPr>
                <w:spacing w:val="-14"/>
              </w:rPr>
              <w:t>202A(1)</w:t>
            </w:r>
          </w:p>
        </w:tc>
        <w:tc>
          <w:tcPr>
            <w:tcW w:w="4842" w:type="dxa"/>
          </w:tcPr>
          <w:p w:rsidR="00000000" w:rsidRDefault="00000000">
            <w:pPr>
              <w:spacing w:after="0"/>
              <w:ind w:left="-64" w:right="57"/>
            </w:pPr>
            <w:r>
              <w:t xml:space="preserve">Sexual servitude </w:t>
            </w:r>
            <w:r>
              <w:noBreakHyphen/>
              <w:t xml:space="preserve"> adult</w:t>
            </w:r>
            <w:r>
              <w:br/>
              <w:t xml:space="preserve">Sexual servitude </w:t>
            </w:r>
            <w:r>
              <w:noBreakHyphen/>
              <w:t xml:space="preserve"> child over 12</w:t>
            </w:r>
            <w:r>
              <w:br/>
              <w:t xml:space="preserve">Sexual servitude </w:t>
            </w:r>
            <w:r>
              <w:noBreakHyphen/>
              <w:t xml:space="preserve"> child under 12</w:t>
            </w:r>
          </w:p>
        </w:tc>
        <w:tc>
          <w:tcPr>
            <w:tcW w:w="3238" w:type="dxa"/>
          </w:tcPr>
          <w:p w:rsidR="00000000" w:rsidRDefault="00000000">
            <w:pPr>
              <w:spacing w:after="0"/>
              <w:ind w:left="-64" w:right="8"/>
            </w:pPr>
            <w:r>
              <w:t>15 years</w:t>
            </w:r>
            <w:r>
              <w:br/>
              <w:t>20 years</w:t>
            </w:r>
            <w:r>
              <w:br/>
              <w:t>Life</w:t>
            </w:r>
          </w:p>
        </w:tc>
      </w:tr>
      <w:tr w:rsidR="00000000">
        <w:tblPrEx>
          <w:shd w:val="clear" w:color="auto" w:fill="auto"/>
        </w:tblPrEx>
        <w:trPr>
          <w:cantSplit/>
        </w:trPr>
        <w:tc>
          <w:tcPr>
            <w:tcW w:w="1276" w:type="dxa"/>
          </w:tcPr>
          <w:p w:rsidR="00000000" w:rsidRDefault="00000000">
            <w:pPr>
              <w:spacing w:after="0"/>
              <w:ind w:left="57" w:right="57"/>
            </w:pPr>
            <w:r>
              <w:t>s. 202C</w:t>
            </w:r>
          </w:p>
        </w:tc>
        <w:tc>
          <w:tcPr>
            <w:tcW w:w="4842" w:type="dxa"/>
          </w:tcPr>
          <w:p w:rsidR="00000000" w:rsidRDefault="00000000">
            <w:pPr>
              <w:spacing w:after="0"/>
              <w:ind w:left="-64" w:right="57"/>
            </w:pPr>
            <w:r>
              <w:t>Conducting business involving sexual servitude </w:t>
            </w:r>
            <w:r>
              <w:noBreakHyphen/>
              <w:t xml:space="preserve"> adult</w:t>
            </w:r>
            <w:r>
              <w:br/>
              <w:t>Conducting business involving sexual servitude </w:t>
            </w:r>
            <w:r>
              <w:noBreakHyphen/>
              <w:t xml:space="preserve"> child over 12</w:t>
            </w:r>
            <w:r>
              <w:br/>
              <w:t>Conducting business involving sexual servitude </w:t>
            </w:r>
            <w:r>
              <w:noBreakHyphen/>
              <w:t xml:space="preserve"> child under 12</w:t>
            </w:r>
          </w:p>
        </w:tc>
        <w:tc>
          <w:tcPr>
            <w:tcW w:w="3238" w:type="dxa"/>
          </w:tcPr>
          <w:p w:rsidR="00000000" w:rsidRDefault="00000000">
            <w:pPr>
              <w:spacing w:after="0"/>
              <w:ind w:left="-64" w:right="8"/>
            </w:pPr>
            <w:r>
              <w:t>15 years</w:t>
            </w:r>
            <w:r>
              <w:br/>
            </w:r>
            <w:r>
              <w:br/>
              <w:t>20 years</w:t>
            </w:r>
            <w:r>
              <w:br/>
            </w:r>
            <w:r>
              <w:br/>
              <w:t>Life</w:t>
            </w:r>
          </w:p>
        </w:tc>
      </w:tr>
      <w:tr w:rsidR="00000000">
        <w:tblPrEx>
          <w:shd w:val="clear" w:color="auto" w:fill="auto"/>
        </w:tblPrEx>
        <w:trPr>
          <w:cantSplit/>
        </w:trPr>
        <w:tc>
          <w:tcPr>
            <w:tcW w:w="1276" w:type="dxa"/>
          </w:tcPr>
          <w:p w:rsidR="00000000" w:rsidRDefault="00000000">
            <w:pPr>
              <w:spacing w:after="0"/>
              <w:ind w:left="57" w:right="57"/>
            </w:pPr>
            <w:r>
              <w:t>s. 202D</w:t>
            </w:r>
          </w:p>
        </w:tc>
        <w:tc>
          <w:tcPr>
            <w:tcW w:w="4842" w:type="dxa"/>
          </w:tcPr>
          <w:p w:rsidR="00000000" w:rsidRDefault="00000000">
            <w:pPr>
              <w:spacing w:after="0"/>
              <w:ind w:left="-64" w:right="57"/>
            </w:pPr>
            <w:r>
              <w:t>Deceptive recruiting for sexual services</w:t>
            </w:r>
            <w:r>
              <w:br/>
              <w:t xml:space="preserve">Deceptive recruiting for sexual services </w:t>
            </w:r>
            <w:r>
              <w:noBreakHyphen/>
              <w:t xml:space="preserve"> child</w:t>
            </w:r>
          </w:p>
        </w:tc>
        <w:tc>
          <w:tcPr>
            <w:tcW w:w="3238" w:type="dxa"/>
          </w:tcPr>
          <w:p w:rsidR="00000000" w:rsidRDefault="00000000">
            <w:pPr>
              <w:spacing w:after="0"/>
              <w:ind w:left="-64" w:right="8"/>
            </w:pPr>
            <w:r>
              <w:t>10 years</w:t>
            </w:r>
            <w:r>
              <w:br/>
              <w:t>15 years</w:t>
            </w:r>
          </w:p>
        </w:tc>
      </w:tr>
      <w:tr w:rsidR="00000000">
        <w:tblPrEx>
          <w:shd w:val="clear" w:color="auto" w:fill="auto"/>
        </w:tblPrEx>
        <w:trPr>
          <w:cantSplit/>
        </w:trPr>
        <w:tc>
          <w:tcPr>
            <w:tcW w:w="1276" w:type="dxa"/>
          </w:tcPr>
          <w:p w:rsidR="00000000" w:rsidRDefault="00000000">
            <w:pPr>
              <w:spacing w:after="0"/>
              <w:ind w:left="57" w:right="57"/>
            </w:pPr>
            <w:r>
              <w:t>s. 211</w:t>
            </w:r>
          </w:p>
        </w:tc>
        <w:tc>
          <w:tcPr>
            <w:tcW w:w="4842" w:type="dxa"/>
          </w:tcPr>
          <w:p w:rsidR="00000000" w:rsidRDefault="00000000">
            <w:pPr>
              <w:spacing w:after="0"/>
              <w:ind w:left="-64" w:right="57"/>
            </w:pPr>
            <w:r>
              <w:t>Robbery</w:t>
            </w:r>
          </w:p>
        </w:tc>
        <w:tc>
          <w:tcPr>
            <w:tcW w:w="3238" w:type="dxa"/>
          </w:tcPr>
          <w:p w:rsidR="00000000" w:rsidRDefault="00000000">
            <w:pPr>
              <w:spacing w:after="0"/>
              <w:ind w:left="-64" w:right="8"/>
            </w:pPr>
            <w:r>
              <w:t>Life</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212</w:t>
            </w:r>
          </w:p>
        </w:tc>
        <w:tc>
          <w:tcPr>
            <w:tcW w:w="4842" w:type="dxa"/>
            <w:tcBorders>
              <w:bottom w:val="single" w:sz="6" w:space="0" w:color="000000"/>
            </w:tcBorders>
          </w:tcPr>
          <w:p w:rsidR="00000000" w:rsidRDefault="00000000">
            <w:pPr>
              <w:spacing w:after="0"/>
              <w:ind w:left="-64" w:right="57"/>
            </w:pPr>
            <w:r>
              <w:t>Assaults with intent to steal</w:t>
            </w:r>
          </w:p>
        </w:tc>
        <w:tc>
          <w:tcPr>
            <w:tcW w:w="3238" w:type="dxa"/>
            <w:tcBorders>
              <w:bottom w:val="single" w:sz="6" w:space="0" w:color="000000"/>
            </w:tcBorders>
          </w:tcPr>
          <w:p w:rsidR="00000000" w:rsidRDefault="00000000">
            <w:pPr>
              <w:spacing w:after="0"/>
              <w:ind w:left="-64" w:right="8"/>
            </w:pPr>
            <w:r>
              <w:t>Life</w:t>
            </w:r>
          </w:p>
        </w:tc>
      </w:tr>
    </w:tbl>
    <w:p w:rsidR="00000000" w:rsidRDefault="00000000">
      <w:pPr>
        <w:spacing w:after="1560"/>
        <w:rPr>
          <w:b/>
          <w:i/>
        </w:rPr>
      </w:pP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pct5" w:color="auto" w:fill="auto"/>
        <w:tblLayout w:type="fixed"/>
        <w:tblLook w:val="0000" w:firstRow="0" w:lastRow="0" w:firstColumn="0" w:lastColumn="0" w:noHBand="0" w:noVBand="0"/>
      </w:tblPr>
      <w:tblGrid>
        <w:gridCol w:w="1276"/>
        <w:gridCol w:w="4842"/>
        <w:gridCol w:w="3238"/>
      </w:tblGrid>
      <w:tr w:rsidR="00000000">
        <w:trPr>
          <w:cantSplit/>
          <w:tblHeader/>
        </w:trPr>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after="0"/>
              <w:ind w:left="57" w:right="57"/>
            </w:pPr>
            <w:r>
              <w:br w:type="page"/>
              <w:t>Section</w:t>
            </w:r>
          </w:p>
        </w:tc>
        <w:tc>
          <w:tcPr>
            <w:tcW w:w="4842" w:type="dxa"/>
            <w:tcBorders>
              <w:top w:val="single" w:sz="6" w:space="0" w:color="auto"/>
              <w:left w:val="single" w:sz="6" w:space="0" w:color="auto"/>
              <w:bottom w:val="single" w:sz="6" w:space="0" w:color="auto"/>
              <w:right w:val="single" w:sz="6" w:space="0" w:color="auto"/>
            </w:tcBorders>
          </w:tcPr>
          <w:p w:rsidR="00000000" w:rsidRDefault="00000000">
            <w:pPr>
              <w:spacing w:after="0"/>
              <w:ind w:left="-64" w:right="57"/>
            </w:pPr>
            <w:r>
              <w:t>Offence</w:t>
            </w:r>
          </w:p>
        </w:tc>
        <w:tc>
          <w:tcPr>
            <w:tcW w:w="3238" w:type="dxa"/>
            <w:tcBorders>
              <w:top w:val="single" w:sz="6" w:space="0" w:color="auto"/>
              <w:left w:val="single" w:sz="6" w:space="0" w:color="auto"/>
              <w:bottom w:val="single" w:sz="6" w:space="0" w:color="auto"/>
              <w:right w:val="single" w:sz="6" w:space="0" w:color="auto"/>
            </w:tcBorders>
          </w:tcPr>
          <w:p w:rsidR="00000000" w:rsidRDefault="00000000">
            <w:pPr>
              <w:spacing w:after="0"/>
              <w:ind w:left="-64" w:right="57"/>
            </w:pPr>
            <w:r>
              <w:t>Maximum penalty</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Mental Health and Related Services Act 1998</w:t>
            </w:r>
          </w:p>
        </w:tc>
      </w:tr>
      <w:tr w:rsidR="00000000">
        <w:tblPrEx>
          <w:shd w:val="clear" w:color="auto" w:fill="auto"/>
        </w:tblPrEx>
        <w:trPr>
          <w:cantSplit/>
        </w:trPr>
        <w:tc>
          <w:tcPr>
            <w:tcW w:w="1276" w:type="dxa"/>
          </w:tcPr>
          <w:p w:rsidR="00000000" w:rsidRDefault="00000000">
            <w:pPr>
              <w:spacing w:after="0"/>
              <w:ind w:left="57" w:right="57"/>
            </w:pPr>
            <w:r>
              <w:t>s. 58 (2)</w:t>
            </w:r>
          </w:p>
        </w:tc>
        <w:tc>
          <w:tcPr>
            <w:tcW w:w="4842" w:type="dxa"/>
          </w:tcPr>
          <w:p w:rsidR="00000000" w:rsidRDefault="00000000">
            <w:pPr>
              <w:spacing w:after="0"/>
              <w:ind w:left="-64" w:right="57"/>
            </w:pPr>
            <w:r>
              <w:t>A person must not perform psychotherapy on another person</w:t>
            </w:r>
          </w:p>
        </w:tc>
        <w:tc>
          <w:tcPr>
            <w:tcW w:w="3238" w:type="dxa"/>
          </w:tcPr>
          <w:p w:rsidR="00000000" w:rsidRDefault="00000000">
            <w:pPr>
              <w:spacing w:after="0"/>
              <w:ind w:left="-64" w:right="8"/>
            </w:pPr>
            <w:r>
              <w:t>$10,000</w:t>
            </w:r>
          </w:p>
        </w:tc>
      </w:tr>
      <w:tr w:rsidR="00000000">
        <w:tblPrEx>
          <w:shd w:val="clear" w:color="auto" w:fill="auto"/>
        </w:tblPrEx>
        <w:trPr>
          <w:cantSplit/>
        </w:trPr>
        <w:tc>
          <w:tcPr>
            <w:tcW w:w="1276" w:type="dxa"/>
          </w:tcPr>
          <w:p w:rsidR="00000000" w:rsidRDefault="00000000">
            <w:pPr>
              <w:spacing w:after="0"/>
              <w:ind w:left="57" w:right="57"/>
            </w:pPr>
            <w:r>
              <w:br w:type="page"/>
              <w:t>s. 59</w:t>
            </w:r>
          </w:p>
        </w:tc>
        <w:tc>
          <w:tcPr>
            <w:tcW w:w="4842" w:type="dxa"/>
          </w:tcPr>
          <w:p w:rsidR="00000000" w:rsidRDefault="00000000">
            <w:pPr>
              <w:spacing w:after="0"/>
              <w:ind w:left="-64" w:right="57"/>
            </w:pPr>
            <w:r>
              <w:t>A person must not administer to or perform on another person, deep sleep therapy; or</w:t>
            </w:r>
            <w:r>
              <w:br/>
              <w:t>insulin coma or sub</w:t>
            </w:r>
            <w:r>
              <w:noBreakHyphen/>
              <w:t>coma therapy</w:t>
            </w:r>
          </w:p>
        </w:tc>
        <w:tc>
          <w:tcPr>
            <w:tcW w:w="3238" w:type="dxa"/>
          </w:tcPr>
          <w:p w:rsidR="00000000" w:rsidRDefault="00000000">
            <w:pPr>
              <w:spacing w:after="0"/>
              <w:ind w:left="-64" w:right="8"/>
            </w:pPr>
            <w:r>
              <w:t>$10,000</w:t>
            </w:r>
          </w:p>
        </w:tc>
      </w:tr>
      <w:tr w:rsidR="00000000">
        <w:tblPrEx>
          <w:shd w:val="clear" w:color="auto" w:fill="auto"/>
        </w:tblPrEx>
        <w:trPr>
          <w:cantSplit/>
        </w:trPr>
        <w:tc>
          <w:tcPr>
            <w:tcW w:w="1276" w:type="dxa"/>
          </w:tcPr>
          <w:p w:rsidR="00000000" w:rsidRDefault="00000000">
            <w:pPr>
              <w:spacing w:after="0"/>
              <w:ind w:left="57" w:right="57"/>
            </w:pPr>
            <w:r>
              <w:t>s. 60</w:t>
            </w:r>
          </w:p>
        </w:tc>
        <w:tc>
          <w:tcPr>
            <w:tcW w:w="4842" w:type="dxa"/>
          </w:tcPr>
          <w:p w:rsidR="00000000" w:rsidRDefault="00000000">
            <w:pPr>
              <w:spacing w:after="0"/>
              <w:ind w:left="-64" w:right="57"/>
            </w:pPr>
            <w:r>
              <w:t>A person must not perform on another person, as a treatment for mental illness or mental disturbance, a treatment that is intended, or is reasonably likely, to render the other person permanently infertile</w:t>
            </w:r>
          </w:p>
        </w:tc>
        <w:tc>
          <w:tcPr>
            <w:tcW w:w="3238" w:type="dxa"/>
          </w:tcPr>
          <w:p w:rsidR="00000000" w:rsidRDefault="00000000">
            <w:pPr>
              <w:spacing w:after="0"/>
              <w:ind w:left="-64" w:right="8"/>
            </w:pPr>
            <w:r>
              <w:t>$10,000</w:t>
            </w:r>
          </w:p>
        </w:tc>
      </w:tr>
      <w:tr w:rsidR="00000000">
        <w:tblPrEx>
          <w:shd w:val="clear" w:color="auto" w:fill="auto"/>
        </w:tblPrEx>
        <w:trPr>
          <w:cantSplit/>
        </w:trPr>
        <w:tc>
          <w:tcPr>
            <w:tcW w:w="1276" w:type="dxa"/>
          </w:tcPr>
          <w:p w:rsidR="00000000" w:rsidRDefault="00000000">
            <w:pPr>
              <w:spacing w:after="0"/>
              <w:ind w:left="57" w:right="57"/>
            </w:pPr>
            <w:r>
              <w:t>s. 61 (2)</w:t>
            </w:r>
          </w:p>
        </w:tc>
        <w:tc>
          <w:tcPr>
            <w:tcW w:w="4842" w:type="dxa"/>
          </w:tcPr>
          <w:p w:rsidR="00000000" w:rsidRDefault="00000000">
            <w:pPr>
              <w:spacing w:after="0"/>
              <w:ind w:left="-64" w:right="57"/>
            </w:pPr>
            <w:r>
              <w:t>A person must not apply mechanical restraint to a person other that in accordance with s. 61(1)</w:t>
            </w:r>
          </w:p>
        </w:tc>
        <w:tc>
          <w:tcPr>
            <w:tcW w:w="3238" w:type="dxa"/>
          </w:tcPr>
          <w:p w:rsidR="00000000" w:rsidRDefault="00000000">
            <w:pPr>
              <w:spacing w:after="0"/>
              <w:ind w:left="-64" w:right="8"/>
            </w:pPr>
            <w:r>
              <w:t>$5,000</w:t>
            </w:r>
          </w:p>
        </w:tc>
      </w:tr>
      <w:tr w:rsidR="00000000">
        <w:tblPrEx>
          <w:shd w:val="clear" w:color="auto" w:fill="auto"/>
        </w:tblPrEx>
        <w:trPr>
          <w:cantSplit/>
        </w:trPr>
        <w:tc>
          <w:tcPr>
            <w:tcW w:w="1276" w:type="dxa"/>
          </w:tcPr>
          <w:p w:rsidR="00000000" w:rsidRDefault="00000000">
            <w:pPr>
              <w:spacing w:after="0"/>
              <w:ind w:left="57" w:right="57"/>
            </w:pPr>
            <w:r>
              <w:t>s. 62 (2)</w:t>
            </w:r>
          </w:p>
        </w:tc>
        <w:tc>
          <w:tcPr>
            <w:tcW w:w="4842" w:type="dxa"/>
          </w:tcPr>
          <w:p w:rsidR="00000000" w:rsidRDefault="00000000">
            <w:pPr>
              <w:spacing w:after="0"/>
              <w:ind w:left="-64" w:right="57"/>
            </w:pPr>
            <w:r>
              <w:t xml:space="preserve">A person must not keep another person in seclusion other than in accordance with s. 61(1) </w:t>
            </w:r>
          </w:p>
        </w:tc>
        <w:tc>
          <w:tcPr>
            <w:tcW w:w="3238" w:type="dxa"/>
          </w:tcPr>
          <w:p w:rsidR="00000000" w:rsidRDefault="00000000">
            <w:pPr>
              <w:spacing w:after="0"/>
              <w:ind w:left="-64" w:right="8"/>
            </w:pPr>
            <w:r>
              <w:t>$5,000</w:t>
            </w:r>
          </w:p>
        </w:tc>
      </w:tr>
      <w:tr w:rsidR="00000000">
        <w:tblPrEx>
          <w:shd w:val="clear" w:color="auto" w:fill="auto"/>
        </w:tblPrEx>
        <w:trPr>
          <w:cantSplit/>
        </w:trPr>
        <w:tc>
          <w:tcPr>
            <w:tcW w:w="1276" w:type="dxa"/>
          </w:tcPr>
          <w:p w:rsidR="00000000" w:rsidRDefault="00000000">
            <w:pPr>
              <w:spacing w:after="0"/>
              <w:ind w:left="57" w:right="57"/>
            </w:pPr>
            <w:r>
              <w:t xml:space="preserve">s. 63 (2) </w:t>
            </w:r>
          </w:p>
        </w:tc>
        <w:tc>
          <w:tcPr>
            <w:tcW w:w="4842" w:type="dxa"/>
          </w:tcPr>
          <w:p w:rsidR="00000000" w:rsidRDefault="00000000">
            <w:pPr>
              <w:spacing w:after="0"/>
              <w:ind w:left="-64" w:right="57"/>
            </w:pPr>
            <w:r>
              <w:t>A person must not perform non</w:t>
            </w:r>
            <w:r>
              <w:noBreakHyphen/>
              <w:t xml:space="preserve">psychiatric treatment on a person who is an involuntary patient or subject to a community management order other than in accordance with s. 63 (1) </w:t>
            </w:r>
          </w:p>
        </w:tc>
        <w:tc>
          <w:tcPr>
            <w:tcW w:w="3238" w:type="dxa"/>
          </w:tcPr>
          <w:p w:rsidR="00000000" w:rsidRDefault="00000000">
            <w:pPr>
              <w:spacing w:after="0"/>
              <w:ind w:left="-64" w:right="8"/>
            </w:pPr>
            <w:r>
              <w:t>$5,000</w:t>
            </w:r>
          </w:p>
        </w:tc>
      </w:tr>
      <w:tr w:rsidR="00000000">
        <w:tblPrEx>
          <w:shd w:val="clear" w:color="auto" w:fill="auto"/>
        </w:tblPrEx>
        <w:trPr>
          <w:cantSplit/>
        </w:trPr>
        <w:tc>
          <w:tcPr>
            <w:tcW w:w="1276" w:type="dxa"/>
          </w:tcPr>
          <w:p w:rsidR="00000000" w:rsidRDefault="00000000">
            <w:pPr>
              <w:spacing w:after="0"/>
              <w:ind w:left="57" w:right="57"/>
            </w:pPr>
            <w:r>
              <w:t>s. 64 (1)</w:t>
            </w:r>
          </w:p>
        </w:tc>
        <w:tc>
          <w:tcPr>
            <w:tcW w:w="4842" w:type="dxa"/>
          </w:tcPr>
          <w:p w:rsidR="00000000" w:rsidRDefault="00000000">
            <w:pPr>
              <w:spacing w:after="0"/>
              <w:ind w:left="-64" w:right="57"/>
            </w:pPr>
            <w:r>
              <w:t>A person must not perform a major medical procedure on a person who is an involuntary patient or subject to a community management order other than in accordance with this section</w:t>
            </w:r>
          </w:p>
        </w:tc>
        <w:tc>
          <w:tcPr>
            <w:tcW w:w="3238" w:type="dxa"/>
          </w:tcPr>
          <w:p w:rsidR="00000000" w:rsidRDefault="00000000">
            <w:pPr>
              <w:spacing w:after="0"/>
              <w:ind w:left="-64" w:right="8"/>
            </w:pPr>
            <w:r>
              <w:t>$5,000</w:t>
            </w:r>
          </w:p>
        </w:tc>
      </w:tr>
      <w:tr w:rsidR="00000000">
        <w:tblPrEx>
          <w:shd w:val="clear" w:color="auto" w:fill="auto"/>
        </w:tblPrEx>
        <w:trPr>
          <w:cantSplit/>
        </w:trPr>
        <w:tc>
          <w:tcPr>
            <w:tcW w:w="1276" w:type="dxa"/>
          </w:tcPr>
          <w:p w:rsidR="00000000" w:rsidRDefault="00000000">
            <w:pPr>
              <w:spacing w:after="0"/>
              <w:ind w:left="57" w:right="57"/>
            </w:pPr>
            <w:r>
              <w:t>s. 65</w:t>
            </w:r>
          </w:p>
        </w:tc>
        <w:tc>
          <w:tcPr>
            <w:tcW w:w="4842" w:type="dxa"/>
          </w:tcPr>
          <w:p w:rsidR="00000000" w:rsidRDefault="00000000">
            <w:pPr>
              <w:spacing w:after="0"/>
              <w:ind w:left="-64" w:right="57"/>
            </w:pPr>
            <w:r>
              <w:t xml:space="preserve">A person must not perform a clinical trial or experimental treatment on a person who is an involuntary patient or subject to a community management order other unless in accordance with this section </w:t>
            </w:r>
          </w:p>
        </w:tc>
        <w:tc>
          <w:tcPr>
            <w:tcW w:w="3238" w:type="dxa"/>
          </w:tcPr>
          <w:p w:rsidR="00000000" w:rsidRDefault="00000000">
            <w:pPr>
              <w:spacing w:after="0"/>
              <w:ind w:left="-64" w:right="8"/>
            </w:pPr>
            <w:r>
              <w:t>$5,000</w:t>
            </w:r>
          </w:p>
        </w:tc>
      </w:tr>
      <w:tr w:rsidR="00000000">
        <w:tblPrEx>
          <w:shd w:val="clear" w:color="auto" w:fill="auto"/>
        </w:tblPrEx>
        <w:trPr>
          <w:cantSplit/>
        </w:trPr>
        <w:tc>
          <w:tcPr>
            <w:tcW w:w="1276" w:type="dxa"/>
          </w:tcPr>
          <w:p w:rsidR="00000000" w:rsidRDefault="00000000">
            <w:pPr>
              <w:spacing w:after="0"/>
              <w:ind w:left="57" w:right="57"/>
            </w:pPr>
            <w:r>
              <w:t xml:space="preserve">s. 66 (1) </w:t>
            </w:r>
          </w:p>
        </w:tc>
        <w:tc>
          <w:tcPr>
            <w:tcW w:w="4842" w:type="dxa"/>
          </w:tcPr>
          <w:p w:rsidR="00000000" w:rsidRDefault="00000000">
            <w:pPr>
              <w:spacing w:after="0"/>
              <w:ind w:left="-64" w:right="57"/>
            </w:pPr>
            <w:r>
              <w:t>A person must not perform electro convulsive therapy on another person unless in accordance with this section</w:t>
            </w:r>
          </w:p>
        </w:tc>
        <w:tc>
          <w:tcPr>
            <w:tcW w:w="3238" w:type="dxa"/>
          </w:tcPr>
          <w:p w:rsidR="00000000" w:rsidRDefault="00000000">
            <w:pPr>
              <w:spacing w:after="0"/>
              <w:ind w:left="-64" w:right="8"/>
            </w:pPr>
            <w:r>
              <w:t>$5,000</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162 (2)</w:t>
            </w:r>
          </w:p>
        </w:tc>
        <w:tc>
          <w:tcPr>
            <w:tcW w:w="4842" w:type="dxa"/>
            <w:tcBorders>
              <w:bottom w:val="single" w:sz="6" w:space="0" w:color="000000"/>
            </w:tcBorders>
          </w:tcPr>
          <w:p w:rsidR="00000000" w:rsidRDefault="00000000">
            <w:pPr>
              <w:spacing w:after="0"/>
              <w:ind w:left="-64" w:right="8"/>
            </w:pPr>
            <w:r>
              <w:t>A person must not by fraudulent means, have or attempt to have a person who is not mentally ill or mentally disturbed,</w:t>
            </w:r>
            <w:r>
              <w:br/>
              <w:t>(a) admitted to an approved treatment facility; or</w:t>
            </w:r>
            <w:r>
              <w:br/>
              <w:t>(b) treated at an approved treatment facility or by an approved treatment agency</w:t>
            </w:r>
          </w:p>
        </w:tc>
        <w:tc>
          <w:tcPr>
            <w:tcW w:w="3238" w:type="dxa"/>
            <w:tcBorders>
              <w:bottom w:val="single" w:sz="6" w:space="0" w:color="000000"/>
            </w:tcBorders>
          </w:tcPr>
          <w:p w:rsidR="00000000" w:rsidRDefault="00000000">
            <w:pPr>
              <w:spacing w:after="0"/>
              <w:ind w:left="-64" w:right="8"/>
            </w:pPr>
            <w:r>
              <w:t>$5,000</w:t>
            </w:r>
          </w:p>
        </w:tc>
      </w:tr>
    </w:tbl>
    <w:p w:rsidR="00000000" w:rsidRDefault="00000000">
      <w:pPr>
        <w:spacing w:after="1200"/>
        <w:rPr>
          <w:b/>
          <w:i/>
        </w:rPr>
      </w:pPr>
      <w:bookmarkStart w:id="236" w:name="OLE_LINK7"/>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pct5" w:color="auto" w:fill="auto"/>
        <w:tblLayout w:type="fixed"/>
        <w:tblLook w:val="0000" w:firstRow="0" w:lastRow="0" w:firstColumn="0" w:lastColumn="0" w:noHBand="0" w:noVBand="0"/>
      </w:tblPr>
      <w:tblGrid>
        <w:gridCol w:w="1276"/>
        <w:gridCol w:w="4842"/>
        <w:gridCol w:w="3238"/>
      </w:tblGrid>
      <w:tr w:rsidR="00000000">
        <w:trPr>
          <w:cantSplit/>
          <w:tblHeader/>
        </w:trPr>
        <w:tc>
          <w:tcPr>
            <w:tcW w:w="1276" w:type="dxa"/>
            <w:tcBorders>
              <w:top w:val="single" w:sz="6" w:space="0" w:color="auto"/>
              <w:left w:val="single" w:sz="6" w:space="0" w:color="auto"/>
              <w:bottom w:val="single" w:sz="6" w:space="0" w:color="auto"/>
              <w:right w:val="single" w:sz="6" w:space="0" w:color="auto"/>
            </w:tcBorders>
          </w:tcPr>
          <w:p w:rsidR="00000000" w:rsidRDefault="00000000">
            <w:pPr>
              <w:spacing w:after="0"/>
              <w:ind w:left="57" w:right="57"/>
            </w:pPr>
            <w:r>
              <w:br w:type="page"/>
              <w:t>Section</w:t>
            </w:r>
          </w:p>
        </w:tc>
        <w:tc>
          <w:tcPr>
            <w:tcW w:w="4842" w:type="dxa"/>
            <w:tcBorders>
              <w:top w:val="single" w:sz="6" w:space="0" w:color="auto"/>
              <w:left w:val="single" w:sz="6" w:space="0" w:color="auto"/>
              <w:bottom w:val="single" w:sz="6" w:space="0" w:color="auto"/>
              <w:right w:val="single" w:sz="6" w:space="0" w:color="auto"/>
            </w:tcBorders>
          </w:tcPr>
          <w:p w:rsidR="00000000" w:rsidRDefault="00000000">
            <w:pPr>
              <w:spacing w:after="0"/>
              <w:ind w:left="-64" w:right="57"/>
            </w:pPr>
            <w:r>
              <w:t>Offence</w:t>
            </w:r>
          </w:p>
        </w:tc>
        <w:tc>
          <w:tcPr>
            <w:tcW w:w="3238" w:type="dxa"/>
            <w:tcBorders>
              <w:top w:val="single" w:sz="6" w:space="0" w:color="auto"/>
              <w:left w:val="single" w:sz="6" w:space="0" w:color="auto"/>
              <w:bottom w:val="single" w:sz="6" w:space="0" w:color="auto"/>
              <w:right w:val="single" w:sz="6" w:space="0" w:color="auto"/>
            </w:tcBorders>
          </w:tcPr>
          <w:p w:rsidR="00000000" w:rsidRDefault="00000000">
            <w:pPr>
              <w:spacing w:after="0"/>
              <w:ind w:left="-64" w:right="57"/>
            </w:pPr>
            <w:r>
              <w:t>Maximum penalty</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 xml:space="preserve">Adult Guardianship Act </w:t>
            </w:r>
            <w:bookmarkEnd w:id="236"/>
            <w:r>
              <w:t>2004</w:t>
            </w:r>
          </w:p>
        </w:tc>
      </w:tr>
      <w:tr w:rsidR="00000000">
        <w:tblPrEx>
          <w:shd w:val="clear" w:color="auto" w:fill="auto"/>
        </w:tblPrEx>
        <w:trPr>
          <w:cantSplit/>
        </w:trPr>
        <w:tc>
          <w:tcPr>
            <w:tcW w:w="1276" w:type="dxa"/>
          </w:tcPr>
          <w:p w:rsidR="00000000" w:rsidRDefault="00000000">
            <w:pPr>
              <w:spacing w:after="0"/>
              <w:ind w:left="57" w:right="57"/>
            </w:pPr>
            <w:r>
              <w:t>s. 20</w:t>
            </w:r>
          </w:p>
        </w:tc>
        <w:tc>
          <w:tcPr>
            <w:tcW w:w="4842" w:type="dxa"/>
          </w:tcPr>
          <w:p w:rsidR="00000000" w:rsidRDefault="00000000">
            <w:pPr>
              <w:spacing w:after="0"/>
              <w:ind w:left="-64" w:right="57"/>
            </w:pPr>
            <w:r>
              <w:t>A guardian must act in such a way as to protect the represented person from neglect, abuse or exploitation</w:t>
            </w:r>
          </w:p>
        </w:tc>
        <w:tc>
          <w:tcPr>
            <w:tcW w:w="3238" w:type="dxa"/>
          </w:tcPr>
          <w:p w:rsidR="00000000" w:rsidRDefault="00000000">
            <w:pPr>
              <w:spacing w:after="0"/>
              <w:ind w:left="-64" w:right="8"/>
            </w:pPr>
            <w:r>
              <w:t>Court may review guardianship order.  Possible exposure to civil/criminal liability</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21</w:t>
            </w:r>
          </w:p>
        </w:tc>
        <w:tc>
          <w:tcPr>
            <w:tcW w:w="4842" w:type="dxa"/>
            <w:tcBorders>
              <w:bottom w:val="single" w:sz="6" w:space="0" w:color="000000"/>
            </w:tcBorders>
          </w:tcPr>
          <w:p w:rsidR="00000000" w:rsidRDefault="00000000">
            <w:pPr>
              <w:spacing w:after="0"/>
              <w:ind w:left="-64" w:right="57"/>
            </w:pPr>
            <w:r>
              <w:t>A person must not carry out a major medical or dental procedure in contravention of this Act</w:t>
            </w:r>
          </w:p>
        </w:tc>
        <w:tc>
          <w:tcPr>
            <w:tcW w:w="3238" w:type="dxa"/>
            <w:tcBorders>
              <w:bottom w:val="single" w:sz="6" w:space="0" w:color="000000"/>
            </w:tcBorders>
          </w:tcPr>
          <w:p w:rsidR="00000000" w:rsidRDefault="00000000">
            <w:pPr>
              <w:spacing w:after="0"/>
              <w:ind w:left="-64" w:right="8"/>
            </w:pPr>
            <w:r>
              <w:t>Guilty of professional misconduct</w:t>
            </w:r>
          </w:p>
        </w:tc>
      </w:tr>
      <w:tr w:rsidR="00000000">
        <w:tblPrEx>
          <w:shd w:val="clear" w:color="auto" w:fill="auto"/>
        </w:tblPrEx>
        <w:trPr>
          <w:cantSplit/>
        </w:trPr>
        <w:tc>
          <w:tcPr>
            <w:tcW w:w="9356" w:type="dxa"/>
            <w:gridSpan w:val="3"/>
            <w:tcBorders>
              <w:left w:val="nil"/>
              <w:right w:val="nil"/>
            </w:tcBorders>
          </w:tcPr>
          <w:p w:rsidR="00000000" w:rsidRDefault="00000000">
            <w:pPr>
              <w:spacing w:before="120" w:after="120"/>
              <w:ind w:left="57" w:right="57"/>
            </w:pPr>
            <w:r>
              <w:rPr>
                <w:b/>
                <w:i/>
              </w:rPr>
              <w:tab/>
              <w:t>Community Welfare Act 1983</w:t>
            </w:r>
          </w:p>
        </w:tc>
      </w:tr>
      <w:tr w:rsidR="00000000">
        <w:tblPrEx>
          <w:shd w:val="clear" w:color="auto" w:fill="auto"/>
        </w:tblPrEx>
        <w:trPr>
          <w:cantSplit/>
        </w:trPr>
        <w:tc>
          <w:tcPr>
            <w:tcW w:w="1276" w:type="dxa"/>
          </w:tcPr>
          <w:p w:rsidR="00000000" w:rsidRDefault="00000000">
            <w:pPr>
              <w:spacing w:after="0"/>
              <w:ind w:left="57" w:right="57"/>
            </w:pPr>
            <w:r>
              <w:t>s. 14 (1)</w:t>
            </w:r>
          </w:p>
        </w:tc>
        <w:tc>
          <w:tcPr>
            <w:tcW w:w="4842" w:type="dxa"/>
          </w:tcPr>
          <w:p w:rsidR="00000000" w:rsidRDefault="00000000">
            <w:pPr>
              <w:spacing w:after="0"/>
              <w:ind w:left="-64" w:right="57"/>
            </w:pPr>
            <w:r>
              <w:t>Failure to report suspected child maltreatment</w:t>
            </w:r>
          </w:p>
        </w:tc>
        <w:tc>
          <w:tcPr>
            <w:tcW w:w="3238" w:type="dxa"/>
          </w:tcPr>
          <w:p w:rsidR="00000000" w:rsidRDefault="00000000">
            <w:pPr>
              <w:spacing w:after="0"/>
              <w:ind w:left="-64" w:right="8"/>
            </w:pPr>
            <w:r>
              <w:t>200 penalty units</w:t>
            </w:r>
          </w:p>
        </w:tc>
      </w:tr>
      <w:tr w:rsidR="00000000">
        <w:tblPrEx>
          <w:shd w:val="clear" w:color="auto" w:fill="auto"/>
        </w:tblPrEx>
        <w:trPr>
          <w:cantSplit/>
        </w:trPr>
        <w:tc>
          <w:tcPr>
            <w:tcW w:w="1276" w:type="dxa"/>
          </w:tcPr>
          <w:p w:rsidR="00000000" w:rsidRDefault="00000000">
            <w:pPr>
              <w:spacing w:after="0"/>
              <w:ind w:left="57" w:right="57"/>
            </w:pPr>
            <w:r>
              <w:t>s. 90</w:t>
            </w:r>
          </w:p>
        </w:tc>
        <w:tc>
          <w:tcPr>
            <w:tcW w:w="4842" w:type="dxa"/>
          </w:tcPr>
          <w:p w:rsidR="00000000" w:rsidRDefault="00000000">
            <w:pPr>
              <w:spacing w:after="0"/>
              <w:ind w:left="-64" w:right="57"/>
            </w:pPr>
            <w:r>
              <w:t>Drugs not to be administered to child in child care centre</w:t>
            </w:r>
          </w:p>
        </w:tc>
        <w:tc>
          <w:tcPr>
            <w:tcW w:w="3238" w:type="dxa"/>
          </w:tcPr>
          <w:p w:rsidR="00000000" w:rsidRDefault="00000000">
            <w:pPr>
              <w:spacing w:after="0"/>
              <w:ind w:left="-64" w:right="8"/>
            </w:pPr>
            <w:r>
              <w:t>100 penalty units if natural person</w:t>
            </w:r>
            <w:r>
              <w:br/>
              <w:t>500 penalty units if body corporate</w:t>
            </w:r>
          </w:p>
        </w:tc>
      </w:tr>
      <w:tr w:rsidR="00000000">
        <w:tblPrEx>
          <w:shd w:val="clear" w:color="auto" w:fill="auto"/>
        </w:tblPrEx>
        <w:trPr>
          <w:cantSplit/>
        </w:trPr>
        <w:tc>
          <w:tcPr>
            <w:tcW w:w="1276" w:type="dxa"/>
          </w:tcPr>
          <w:p w:rsidR="00000000" w:rsidRDefault="00000000">
            <w:pPr>
              <w:spacing w:after="0"/>
              <w:ind w:left="57" w:right="57"/>
            </w:pPr>
            <w:r>
              <w:t>s. 93</w:t>
            </w:r>
          </w:p>
        </w:tc>
        <w:tc>
          <w:tcPr>
            <w:tcW w:w="4842" w:type="dxa"/>
          </w:tcPr>
          <w:p w:rsidR="00000000" w:rsidRDefault="00000000">
            <w:pPr>
              <w:spacing w:after="0"/>
              <w:ind w:left="-64" w:right="57"/>
            </w:pPr>
            <w:r>
              <w:t>Causing or permitting a child to be employed where such employment would involve activity dangerous to the health or safety of the child</w:t>
            </w:r>
          </w:p>
        </w:tc>
        <w:tc>
          <w:tcPr>
            <w:tcW w:w="3238" w:type="dxa"/>
          </w:tcPr>
          <w:p w:rsidR="00000000" w:rsidRDefault="00000000">
            <w:pPr>
              <w:spacing w:after="0"/>
              <w:ind w:left="-64" w:right="8"/>
            </w:pPr>
            <w:r>
              <w:t>100 penalty units or 6 months imprisonment if natural person</w:t>
            </w:r>
            <w:r>
              <w:br/>
              <w:t>500 penalty points if body corporate</w:t>
            </w:r>
          </w:p>
        </w:tc>
      </w:tr>
      <w:tr w:rsidR="00000000">
        <w:tblPrEx>
          <w:shd w:val="clear" w:color="auto" w:fill="auto"/>
        </w:tblPrEx>
        <w:trPr>
          <w:cantSplit/>
        </w:trPr>
        <w:tc>
          <w:tcPr>
            <w:tcW w:w="1276" w:type="dxa"/>
          </w:tcPr>
          <w:p w:rsidR="00000000" w:rsidRDefault="00000000">
            <w:pPr>
              <w:spacing w:after="0"/>
              <w:ind w:left="57" w:right="57"/>
            </w:pPr>
            <w:r>
              <w:t>s. 96</w:t>
            </w:r>
          </w:p>
        </w:tc>
        <w:tc>
          <w:tcPr>
            <w:tcW w:w="4842" w:type="dxa"/>
          </w:tcPr>
          <w:p w:rsidR="00000000" w:rsidRDefault="00000000">
            <w:pPr>
              <w:spacing w:after="0"/>
              <w:ind w:left="-64" w:right="57"/>
            </w:pPr>
            <w:r>
              <w:t>Unlawful removal of a child from the custody of a person with whom, or a place at which, the child has been placed under the Act</w:t>
            </w:r>
          </w:p>
        </w:tc>
        <w:tc>
          <w:tcPr>
            <w:tcW w:w="3238" w:type="dxa"/>
          </w:tcPr>
          <w:p w:rsidR="00000000" w:rsidRDefault="00000000">
            <w:pPr>
              <w:spacing w:after="0"/>
              <w:ind w:left="-64" w:right="8"/>
            </w:pPr>
            <w:r>
              <w:t xml:space="preserve">200 penalty units or </w:t>
            </w:r>
            <w:r>
              <w:br/>
              <w:t>12 months imprisonment</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98</w:t>
            </w:r>
          </w:p>
        </w:tc>
        <w:tc>
          <w:tcPr>
            <w:tcW w:w="4842" w:type="dxa"/>
            <w:tcBorders>
              <w:bottom w:val="single" w:sz="6" w:space="0" w:color="000000"/>
            </w:tcBorders>
          </w:tcPr>
          <w:p w:rsidR="00000000" w:rsidRDefault="00000000">
            <w:pPr>
              <w:spacing w:after="0"/>
              <w:ind w:left="-64" w:right="57"/>
            </w:pPr>
            <w:r>
              <w:t>Contravention of, or failure to comply with the Act, Regulations, or an order under the Act or Regulations, for which a penalty is not otherwise stipulated</w:t>
            </w:r>
          </w:p>
        </w:tc>
        <w:tc>
          <w:tcPr>
            <w:tcW w:w="3238" w:type="dxa"/>
            <w:tcBorders>
              <w:bottom w:val="single" w:sz="6" w:space="0" w:color="000000"/>
            </w:tcBorders>
          </w:tcPr>
          <w:p w:rsidR="00000000" w:rsidRDefault="00000000">
            <w:pPr>
              <w:spacing w:after="0"/>
              <w:ind w:left="-64" w:right="8"/>
            </w:pPr>
            <w:r>
              <w:t xml:space="preserve">100 penalty units or </w:t>
            </w:r>
            <w:r>
              <w:br/>
              <w:t>6 months imprisonment</w:t>
            </w:r>
          </w:p>
        </w:tc>
      </w:tr>
      <w:tr w:rsidR="00000000">
        <w:tblPrEx>
          <w:shd w:val="clear" w:color="auto" w:fill="auto"/>
        </w:tblPrEx>
        <w:trPr>
          <w:cantSplit/>
        </w:trPr>
        <w:tc>
          <w:tcPr>
            <w:tcW w:w="9356" w:type="dxa"/>
            <w:gridSpan w:val="3"/>
            <w:tcBorders>
              <w:left w:val="nil"/>
              <w:bottom w:val="nil"/>
              <w:right w:val="nil"/>
            </w:tcBorders>
          </w:tcPr>
          <w:p w:rsidR="00000000" w:rsidRDefault="00000000">
            <w:pPr>
              <w:spacing w:before="120" w:after="0"/>
              <w:ind w:left="57" w:right="57"/>
            </w:pPr>
            <w:r>
              <w:tab/>
              <w:t>One penalty unit = $ 110</w:t>
            </w:r>
          </w:p>
        </w:tc>
      </w:tr>
      <w:tr w:rsidR="00000000">
        <w:tblPrEx>
          <w:shd w:val="clear" w:color="auto" w:fill="auto"/>
        </w:tblPrEx>
        <w:trPr>
          <w:cantSplit/>
          <w:trHeight w:val="536"/>
        </w:trPr>
        <w:tc>
          <w:tcPr>
            <w:tcW w:w="9356" w:type="dxa"/>
            <w:gridSpan w:val="3"/>
            <w:tcBorders>
              <w:top w:val="nil"/>
              <w:left w:val="nil"/>
              <w:bottom w:val="single" w:sz="6" w:space="0" w:color="000000"/>
              <w:right w:val="nil"/>
            </w:tcBorders>
          </w:tcPr>
          <w:p w:rsidR="00000000" w:rsidRDefault="00000000">
            <w:pPr>
              <w:pStyle w:val="Heading3"/>
              <w:spacing w:before="120" w:after="120"/>
            </w:pPr>
            <w:r>
              <w:tab/>
              <w:t>Queensland</w:t>
            </w:r>
          </w:p>
          <w:p w:rsidR="00000000" w:rsidRDefault="00000000">
            <w:pPr>
              <w:pStyle w:val="Heading5"/>
              <w:spacing w:after="120"/>
            </w:pPr>
            <w:r>
              <w:tab/>
              <w:t>Criminal Code 1899</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 xml:space="preserve">s. 75 </w:t>
            </w:r>
          </w:p>
        </w:tc>
        <w:tc>
          <w:tcPr>
            <w:tcW w:w="4842" w:type="dxa"/>
          </w:tcPr>
          <w:p w:rsidR="00000000" w:rsidRDefault="00000000">
            <w:pPr>
              <w:spacing w:after="0"/>
              <w:ind w:left="44" w:right="57"/>
            </w:pPr>
            <w:r>
              <w:t>Threatening violence</w:t>
            </w:r>
          </w:p>
        </w:tc>
        <w:tc>
          <w:tcPr>
            <w:tcW w:w="3238" w:type="dxa"/>
          </w:tcPr>
          <w:p w:rsidR="00000000" w:rsidRDefault="00000000">
            <w:pPr>
              <w:spacing w:after="0"/>
              <w:ind w:left="44" w:right="57"/>
            </w:pPr>
            <w:r>
              <w:t>2 years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78</w:t>
            </w:r>
          </w:p>
        </w:tc>
        <w:tc>
          <w:tcPr>
            <w:tcW w:w="4842" w:type="dxa"/>
          </w:tcPr>
          <w:p w:rsidR="00000000" w:rsidRDefault="00000000">
            <w:pPr>
              <w:spacing w:after="0"/>
              <w:ind w:left="44" w:right="57"/>
            </w:pPr>
            <w:r>
              <w:t>Interfering with political liberty</w:t>
            </w:r>
          </w:p>
        </w:tc>
        <w:tc>
          <w:tcPr>
            <w:tcW w:w="3238" w:type="dxa"/>
          </w:tcPr>
          <w:p w:rsidR="00000000" w:rsidRDefault="00000000">
            <w:pPr>
              <w:spacing w:after="0"/>
              <w:ind w:left="44" w:right="-4"/>
            </w:pPr>
            <w:r>
              <w:t xml:space="preserve">(a) 2 years; and </w:t>
            </w:r>
            <w:r>
              <w:br/>
              <w:t>(b) 3 years if offender is a public officer</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 xml:space="preserve">s. 119B </w:t>
            </w:r>
          </w:p>
        </w:tc>
        <w:tc>
          <w:tcPr>
            <w:tcW w:w="4842" w:type="dxa"/>
          </w:tcPr>
          <w:p w:rsidR="00000000" w:rsidRDefault="00000000">
            <w:pPr>
              <w:spacing w:after="0"/>
              <w:ind w:left="44" w:right="57"/>
            </w:pPr>
            <w:r>
              <w:t>Retaliation against judicial officer, juror, witness or family</w:t>
            </w:r>
          </w:p>
        </w:tc>
        <w:tc>
          <w:tcPr>
            <w:tcW w:w="3238" w:type="dxa"/>
          </w:tcPr>
          <w:p w:rsidR="00000000" w:rsidRDefault="00000000">
            <w:pPr>
              <w:spacing w:after="0"/>
              <w:ind w:left="44" w:right="57"/>
            </w:pPr>
            <w:r>
              <w:t>7 years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127</w:t>
            </w:r>
          </w:p>
        </w:tc>
        <w:tc>
          <w:tcPr>
            <w:tcW w:w="4842" w:type="dxa"/>
          </w:tcPr>
          <w:p w:rsidR="00000000" w:rsidRDefault="00000000">
            <w:pPr>
              <w:spacing w:after="0"/>
              <w:ind w:left="44" w:right="57"/>
            </w:pPr>
            <w:r>
              <w:t>Corruption of witnesses</w:t>
            </w:r>
          </w:p>
        </w:tc>
        <w:tc>
          <w:tcPr>
            <w:tcW w:w="3238" w:type="dxa"/>
          </w:tcPr>
          <w:p w:rsidR="00000000" w:rsidRDefault="00000000">
            <w:pPr>
              <w:spacing w:after="0"/>
              <w:ind w:left="44" w:right="57"/>
            </w:pPr>
            <w:r>
              <w:t>7 years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136</w:t>
            </w:r>
          </w:p>
        </w:tc>
        <w:tc>
          <w:tcPr>
            <w:tcW w:w="4842" w:type="dxa"/>
          </w:tcPr>
          <w:p w:rsidR="00000000" w:rsidRDefault="00000000">
            <w:pPr>
              <w:spacing w:after="0"/>
              <w:ind w:left="44" w:right="57"/>
            </w:pPr>
            <w:r>
              <w:t>Justices acting oppressively or when interested</w:t>
            </w:r>
          </w:p>
        </w:tc>
        <w:tc>
          <w:tcPr>
            <w:tcW w:w="3238" w:type="dxa"/>
          </w:tcPr>
          <w:p w:rsidR="00000000" w:rsidRDefault="00000000">
            <w:pPr>
              <w:spacing w:after="0"/>
              <w:ind w:left="44" w:right="57"/>
            </w:pPr>
            <w:r>
              <w:t>3 years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137</w:t>
            </w:r>
          </w:p>
        </w:tc>
        <w:tc>
          <w:tcPr>
            <w:tcW w:w="4842" w:type="dxa"/>
          </w:tcPr>
          <w:p w:rsidR="00000000" w:rsidRDefault="00000000">
            <w:pPr>
              <w:spacing w:after="0"/>
              <w:ind w:left="44" w:right="57"/>
            </w:pPr>
            <w:r>
              <w:t>Delays to take person before magistrate</w:t>
            </w:r>
          </w:p>
        </w:tc>
        <w:tc>
          <w:tcPr>
            <w:tcW w:w="3238" w:type="dxa"/>
          </w:tcPr>
          <w:p w:rsidR="00000000" w:rsidRDefault="00000000">
            <w:pPr>
              <w:spacing w:after="0"/>
              <w:ind w:left="44" w:right="57"/>
            </w:pPr>
            <w:r>
              <w:t>2 years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200</w:t>
            </w:r>
          </w:p>
        </w:tc>
        <w:tc>
          <w:tcPr>
            <w:tcW w:w="4842" w:type="dxa"/>
          </w:tcPr>
          <w:p w:rsidR="00000000" w:rsidRDefault="00000000">
            <w:pPr>
              <w:spacing w:after="0"/>
              <w:ind w:left="44" w:right="57"/>
            </w:pPr>
            <w:r>
              <w:t>Refusal by public officer to perform duty</w:t>
            </w:r>
          </w:p>
        </w:tc>
        <w:tc>
          <w:tcPr>
            <w:tcW w:w="3238" w:type="dxa"/>
          </w:tcPr>
          <w:p w:rsidR="00000000" w:rsidRDefault="00000000">
            <w:pPr>
              <w:spacing w:after="0"/>
              <w:ind w:left="44" w:right="57"/>
            </w:pPr>
            <w:r>
              <w:t>2 years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208</w:t>
            </w:r>
          </w:p>
        </w:tc>
        <w:tc>
          <w:tcPr>
            <w:tcW w:w="4842" w:type="dxa"/>
          </w:tcPr>
          <w:p w:rsidR="00000000" w:rsidRDefault="00000000">
            <w:pPr>
              <w:spacing w:after="0"/>
              <w:ind w:left="44"/>
            </w:pPr>
            <w:r>
              <w:t>Unlawful sodomy</w:t>
            </w:r>
          </w:p>
        </w:tc>
        <w:tc>
          <w:tcPr>
            <w:tcW w:w="3238" w:type="dxa"/>
          </w:tcPr>
          <w:p w:rsidR="00000000" w:rsidRDefault="00000000">
            <w:pPr>
              <w:spacing w:after="0"/>
              <w:ind w:left="44" w:right="57"/>
            </w:pPr>
            <w:r>
              <w:t>(a) 14 years; and</w:t>
            </w:r>
            <w:r>
              <w:br/>
              <w:t xml:space="preserve">(b) Life </w:t>
            </w:r>
            <w:r>
              <w:noBreakHyphen/>
              <w:t xml:space="preserve"> if committed against a child under 12 years; or a child, or an intellectually impaired person, who is offender’s lineal descendant or under offender’s care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209</w:t>
            </w:r>
          </w:p>
        </w:tc>
        <w:tc>
          <w:tcPr>
            <w:tcW w:w="4842" w:type="dxa"/>
          </w:tcPr>
          <w:p w:rsidR="00000000" w:rsidRDefault="00000000">
            <w:pPr>
              <w:spacing w:after="0"/>
              <w:ind w:left="44"/>
            </w:pPr>
            <w:r>
              <w:t>Attempted sodomy</w:t>
            </w:r>
          </w:p>
        </w:tc>
        <w:tc>
          <w:tcPr>
            <w:tcW w:w="3238" w:type="dxa"/>
          </w:tcPr>
          <w:p w:rsidR="00000000" w:rsidRDefault="00000000">
            <w:pPr>
              <w:spacing w:after="0"/>
              <w:ind w:left="44" w:right="57"/>
            </w:pPr>
            <w:r>
              <w:t>(a) 7 years; and</w:t>
            </w:r>
            <w:r>
              <w:br/>
              <w:t>(b) 14 years in circumstances outlined above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210</w:t>
            </w:r>
          </w:p>
        </w:tc>
        <w:tc>
          <w:tcPr>
            <w:tcW w:w="4842" w:type="dxa"/>
          </w:tcPr>
          <w:p w:rsidR="00000000" w:rsidRDefault="00000000">
            <w:pPr>
              <w:spacing w:after="0"/>
              <w:ind w:left="44"/>
            </w:pPr>
            <w:r>
              <w:t>Indecent treatment of children under 16</w:t>
            </w:r>
          </w:p>
        </w:tc>
        <w:tc>
          <w:tcPr>
            <w:tcW w:w="3238" w:type="dxa"/>
          </w:tcPr>
          <w:p w:rsidR="00000000" w:rsidRDefault="00000000">
            <w:pPr>
              <w:spacing w:after="0"/>
              <w:ind w:left="44" w:right="57"/>
            </w:pPr>
            <w:r>
              <w:t>(a) 14 years; and</w:t>
            </w:r>
            <w:r>
              <w:br/>
              <w:t xml:space="preserve">(b) 20 years </w:t>
            </w:r>
            <w:r>
              <w:noBreakHyphen/>
              <w:t xml:space="preserve"> if child is under 12 years or if child is lineal descendant of the offender or under the offender’s care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 xml:space="preserve">s. 213 </w:t>
            </w:r>
          </w:p>
        </w:tc>
        <w:tc>
          <w:tcPr>
            <w:tcW w:w="4842" w:type="dxa"/>
          </w:tcPr>
          <w:p w:rsidR="00000000" w:rsidRDefault="00000000">
            <w:pPr>
              <w:spacing w:after="0"/>
              <w:ind w:left="44"/>
            </w:pPr>
            <w:r>
              <w:t>Owner etc permitting abuse of children on premises</w:t>
            </w:r>
          </w:p>
        </w:tc>
        <w:tc>
          <w:tcPr>
            <w:tcW w:w="3238" w:type="dxa"/>
          </w:tcPr>
          <w:p w:rsidR="00000000" w:rsidRDefault="00000000">
            <w:pPr>
              <w:spacing w:after="0"/>
              <w:ind w:left="44" w:right="57"/>
            </w:pPr>
            <w:r>
              <w:t>(a) 10 years; and</w:t>
            </w:r>
            <w:r>
              <w:br/>
              <w:t xml:space="preserve">(b) 14 years </w:t>
            </w:r>
            <w:r>
              <w:noBreakHyphen/>
              <w:t xml:space="preserve"> if child under 12 years and life </w:t>
            </w:r>
            <w:r>
              <w:noBreakHyphen/>
              <w:t xml:space="preserve"> if child was subjected to sodomy or carnal knowledge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215</w:t>
            </w:r>
          </w:p>
        </w:tc>
        <w:tc>
          <w:tcPr>
            <w:tcW w:w="4842" w:type="dxa"/>
          </w:tcPr>
          <w:p w:rsidR="00000000" w:rsidRDefault="00000000">
            <w:pPr>
              <w:spacing w:after="0"/>
              <w:ind w:left="44"/>
            </w:pPr>
            <w:r>
              <w:t>Carnal knowledge with or of children under 16 years</w:t>
            </w:r>
          </w:p>
        </w:tc>
        <w:tc>
          <w:tcPr>
            <w:tcW w:w="3238" w:type="dxa"/>
          </w:tcPr>
          <w:p w:rsidR="00000000" w:rsidRDefault="00000000">
            <w:pPr>
              <w:spacing w:after="0"/>
              <w:ind w:left="44" w:right="-4"/>
            </w:pPr>
            <w:r>
              <w:t>(a) 14 years; and</w:t>
            </w:r>
            <w:r>
              <w:br/>
              <w:t xml:space="preserve">(b) life </w:t>
            </w:r>
            <w:r>
              <w:noBreakHyphen/>
              <w:t xml:space="preserve"> if child is under 12 years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216</w:t>
            </w:r>
          </w:p>
        </w:tc>
        <w:tc>
          <w:tcPr>
            <w:tcW w:w="4842" w:type="dxa"/>
          </w:tcPr>
          <w:p w:rsidR="00000000" w:rsidRDefault="00000000">
            <w:pPr>
              <w:spacing w:after="0"/>
              <w:ind w:left="44"/>
            </w:pPr>
            <w:r>
              <w:t>Abuse of intellectually impaired persons</w:t>
            </w:r>
          </w:p>
        </w:tc>
        <w:tc>
          <w:tcPr>
            <w:tcW w:w="3238" w:type="dxa"/>
          </w:tcPr>
          <w:p w:rsidR="00000000" w:rsidRDefault="00000000">
            <w:pPr>
              <w:spacing w:after="0"/>
              <w:ind w:left="44" w:right="57"/>
            </w:pPr>
            <w:r>
              <w:t xml:space="preserve">(a) 14 years </w:t>
            </w:r>
            <w:r>
              <w:noBreakHyphen/>
              <w:t xml:space="preserve"> if offender has, or attempts to have carnal knowledge of person (but life </w:t>
            </w:r>
            <w:r>
              <w:noBreakHyphen/>
              <w:t xml:space="preserve">  if offender is the guardian/carer of that person);</w:t>
            </w:r>
            <w:r>
              <w:br/>
              <w:t xml:space="preserve">(b) 10 years </w:t>
            </w:r>
            <w:r>
              <w:noBreakHyphen/>
              <w:t xml:space="preserve"> for acts of indecent dealing (but 14 years </w:t>
            </w:r>
            <w:r>
              <w:noBreakHyphen/>
              <w:t xml:space="preserve"> if offender is the guardian/carer of that person)</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217</w:t>
            </w:r>
          </w:p>
        </w:tc>
        <w:tc>
          <w:tcPr>
            <w:tcW w:w="4842" w:type="dxa"/>
          </w:tcPr>
          <w:p w:rsidR="00000000" w:rsidRDefault="00000000">
            <w:pPr>
              <w:spacing w:after="0"/>
              <w:ind w:left="44"/>
            </w:pPr>
            <w:r>
              <w:t>Procuring young person etc for carnal knowledge</w:t>
            </w:r>
          </w:p>
        </w:tc>
        <w:tc>
          <w:tcPr>
            <w:tcW w:w="3238" w:type="dxa"/>
          </w:tcPr>
          <w:p w:rsidR="00000000" w:rsidRDefault="00000000">
            <w:pPr>
              <w:spacing w:after="0"/>
              <w:ind w:left="44" w:right="57"/>
            </w:pPr>
            <w:r>
              <w:t>14 years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218</w:t>
            </w:r>
          </w:p>
        </w:tc>
        <w:tc>
          <w:tcPr>
            <w:tcW w:w="4842" w:type="dxa"/>
          </w:tcPr>
          <w:p w:rsidR="00000000" w:rsidRDefault="00000000">
            <w:pPr>
              <w:spacing w:after="0"/>
              <w:ind w:left="44"/>
            </w:pPr>
            <w:r>
              <w:t>Procuring sexual acts by coercion etc</w:t>
            </w:r>
          </w:p>
        </w:tc>
        <w:tc>
          <w:tcPr>
            <w:tcW w:w="3238" w:type="dxa"/>
          </w:tcPr>
          <w:p w:rsidR="00000000" w:rsidRDefault="00000000">
            <w:pPr>
              <w:spacing w:after="0"/>
              <w:ind w:left="44" w:right="57"/>
            </w:pPr>
            <w:r>
              <w:t>14 years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219</w:t>
            </w:r>
          </w:p>
        </w:tc>
        <w:tc>
          <w:tcPr>
            <w:tcW w:w="4842" w:type="dxa"/>
          </w:tcPr>
          <w:p w:rsidR="00000000" w:rsidRDefault="00000000">
            <w:pPr>
              <w:spacing w:after="0"/>
              <w:ind w:left="44"/>
            </w:pPr>
            <w:r>
              <w:t>Taking child for immoral purpose</w:t>
            </w:r>
          </w:p>
        </w:tc>
        <w:tc>
          <w:tcPr>
            <w:tcW w:w="3238" w:type="dxa"/>
          </w:tcPr>
          <w:p w:rsidR="00000000" w:rsidRDefault="00000000">
            <w:pPr>
              <w:spacing w:after="0"/>
              <w:ind w:left="44" w:right="57"/>
            </w:pPr>
            <w:r>
              <w:t>(a) 10 years;</w:t>
            </w:r>
          </w:p>
          <w:p w:rsidR="00000000" w:rsidRDefault="00000000">
            <w:pPr>
              <w:spacing w:after="0"/>
              <w:ind w:left="44" w:right="57"/>
            </w:pPr>
            <w:r>
              <w:t xml:space="preserve">(b) 14 years </w:t>
            </w:r>
            <w:r>
              <w:noBreakHyphen/>
              <w:t xml:space="preserve"> if child under 12 years and life </w:t>
            </w:r>
            <w:r>
              <w:noBreakHyphen/>
              <w:t xml:space="preserve"> if child taken for purpose of carnal knowledge or sodomy</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229B</w:t>
            </w:r>
          </w:p>
        </w:tc>
        <w:tc>
          <w:tcPr>
            <w:tcW w:w="4842" w:type="dxa"/>
          </w:tcPr>
          <w:p w:rsidR="00000000" w:rsidRDefault="00000000">
            <w:pPr>
              <w:spacing w:after="0"/>
              <w:ind w:left="44"/>
            </w:pPr>
            <w:r>
              <w:t>Maintaining a sexual relationship with a child</w:t>
            </w:r>
          </w:p>
        </w:tc>
        <w:tc>
          <w:tcPr>
            <w:tcW w:w="3238" w:type="dxa"/>
          </w:tcPr>
          <w:p w:rsidR="00000000" w:rsidRDefault="00000000">
            <w:pPr>
              <w:spacing w:after="0"/>
              <w:ind w:left="44" w:right="57"/>
            </w:pPr>
            <w:r>
              <w:t xml:space="preserve">Life </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295</w:t>
            </w:r>
          </w:p>
        </w:tc>
        <w:tc>
          <w:tcPr>
            <w:tcW w:w="4842" w:type="dxa"/>
          </w:tcPr>
          <w:p w:rsidR="00000000" w:rsidRDefault="00000000">
            <w:pPr>
              <w:spacing w:after="0"/>
              <w:ind w:left="44"/>
            </w:pPr>
            <w:r>
              <w:t>Causing death by threats</w:t>
            </w:r>
          </w:p>
        </w:tc>
        <w:tc>
          <w:tcPr>
            <w:tcW w:w="3238" w:type="dxa"/>
          </w:tcPr>
          <w:p w:rsidR="00000000" w:rsidRDefault="00000000">
            <w:pPr>
              <w:spacing w:after="0"/>
              <w:ind w:left="44" w:right="57"/>
            </w:pPr>
            <w:r>
              <w:t>Mandatory life or life, according to the circumstance of the case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296</w:t>
            </w:r>
          </w:p>
        </w:tc>
        <w:tc>
          <w:tcPr>
            <w:tcW w:w="4842" w:type="dxa"/>
          </w:tcPr>
          <w:p w:rsidR="00000000" w:rsidRDefault="00000000">
            <w:pPr>
              <w:spacing w:after="0"/>
              <w:ind w:left="44"/>
            </w:pPr>
            <w:r>
              <w:t>Acceleration of death</w:t>
            </w:r>
          </w:p>
        </w:tc>
        <w:tc>
          <w:tcPr>
            <w:tcW w:w="3238" w:type="dxa"/>
          </w:tcPr>
          <w:p w:rsidR="00000000" w:rsidRDefault="00000000">
            <w:pPr>
              <w:spacing w:after="0"/>
              <w:ind w:left="44" w:right="57"/>
            </w:pPr>
            <w:r>
              <w:t>Mandatory life or life, according to the circumstances of the case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s.305</w:t>
            </w:r>
          </w:p>
        </w:tc>
        <w:tc>
          <w:tcPr>
            <w:tcW w:w="4842" w:type="dxa"/>
          </w:tcPr>
          <w:p w:rsidR="00000000" w:rsidRDefault="00000000">
            <w:pPr>
              <w:spacing w:after="0"/>
              <w:ind w:left="44"/>
            </w:pPr>
            <w:r>
              <w:t>Murder</w:t>
            </w:r>
          </w:p>
        </w:tc>
        <w:tc>
          <w:tcPr>
            <w:tcW w:w="3238" w:type="dxa"/>
          </w:tcPr>
          <w:p w:rsidR="00000000" w:rsidRDefault="00000000">
            <w:pPr>
              <w:spacing w:after="0"/>
              <w:ind w:left="44" w:right="57"/>
            </w:pPr>
            <w:r>
              <w:t>Mandatory life or an indefinite sentence per Penalties and Sentences Act 1992</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306</w:t>
            </w:r>
          </w:p>
        </w:tc>
        <w:tc>
          <w:tcPr>
            <w:tcW w:w="4842" w:type="dxa"/>
          </w:tcPr>
          <w:p w:rsidR="00000000" w:rsidRDefault="00000000">
            <w:pPr>
              <w:spacing w:after="0"/>
              <w:ind w:left="44"/>
            </w:pPr>
            <w:r>
              <w:t>Attempt to murder</w:t>
            </w:r>
          </w:p>
        </w:tc>
        <w:tc>
          <w:tcPr>
            <w:tcW w:w="3238" w:type="dxa"/>
          </w:tcPr>
          <w:p w:rsidR="00000000" w:rsidRDefault="00000000">
            <w:pPr>
              <w:spacing w:after="0"/>
              <w:ind w:left="44" w:right="57"/>
            </w:pPr>
            <w:r>
              <w:t>Life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 xml:space="preserve">s. 307 </w:t>
            </w:r>
          </w:p>
        </w:tc>
        <w:tc>
          <w:tcPr>
            <w:tcW w:w="4842" w:type="dxa"/>
          </w:tcPr>
          <w:p w:rsidR="00000000" w:rsidRDefault="00000000">
            <w:pPr>
              <w:spacing w:after="0"/>
              <w:ind w:left="44"/>
            </w:pPr>
            <w:r>
              <w:t>Accessory after the fact to murder</w:t>
            </w:r>
          </w:p>
        </w:tc>
        <w:tc>
          <w:tcPr>
            <w:tcW w:w="3238" w:type="dxa"/>
          </w:tcPr>
          <w:p w:rsidR="00000000" w:rsidRDefault="00000000">
            <w:pPr>
              <w:spacing w:after="0"/>
              <w:ind w:left="44" w:right="57"/>
            </w:pPr>
            <w:r>
              <w:t>Life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309</w:t>
            </w:r>
          </w:p>
        </w:tc>
        <w:tc>
          <w:tcPr>
            <w:tcW w:w="4842" w:type="dxa"/>
          </w:tcPr>
          <w:p w:rsidR="00000000" w:rsidRDefault="00000000">
            <w:pPr>
              <w:spacing w:after="0"/>
              <w:ind w:left="44"/>
            </w:pPr>
            <w:r>
              <w:t>Conspiring to murder</w:t>
            </w:r>
          </w:p>
        </w:tc>
        <w:tc>
          <w:tcPr>
            <w:tcW w:w="3238" w:type="dxa"/>
          </w:tcPr>
          <w:p w:rsidR="00000000" w:rsidRDefault="00000000">
            <w:pPr>
              <w:spacing w:after="0"/>
              <w:ind w:left="44" w:right="57"/>
            </w:pPr>
            <w:r>
              <w:t>14 years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Pr>
          <w:p w:rsidR="00000000" w:rsidRDefault="00000000">
            <w:pPr>
              <w:spacing w:after="0"/>
              <w:ind w:left="180"/>
            </w:pPr>
            <w:r>
              <w:t>s. 310</w:t>
            </w:r>
          </w:p>
        </w:tc>
        <w:tc>
          <w:tcPr>
            <w:tcW w:w="4842" w:type="dxa"/>
          </w:tcPr>
          <w:p w:rsidR="00000000" w:rsidRDefault="00000000">
            <w:pPr>
              <w:spacing w:after="0"/>
              <w:ind w:left="44"/>
            </w:pPr>
            <w:r>
              <w:t>Manslaughter</w:t>
            </w:r>
          </w:p>
        </w:tc>
        <w:tc>
          <w:tcPr>
            <w:tcW w:w="3238" w:type="dxa"/>
          </w:tcPr>
          <w:p w:rsidR="00000000" w:rsidRDefault="00000000">
            <w:pPr>
              <w:spacing w:after="0"/>
              <w:ind w:left="44" w:right="57"/>
            </w:pPr>
            <w:r>
              <w:t>Life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Borders>
              <w:bottom w:val="single" w:sz="6" w:space="0" w:color="auto"/>
            </w:tcBorders>
          </w:tcPr>
          <w:p w:rsidR="00000000" w:rsidRDefault="00000000">
            <w:pPr>
              <w:spacing w:after="0"/>
              <w:ind w:left="180"/>
            </w:pPr>
            <w:r>
              <w:t>s. 315</w:t>
            </w:r>
          </w:p>
        </w:tc>
        <w:tc>
          <w:tcPr>
            <w:tcW w:w="4842" w:type="dxa"/>
            <w:tcBorders>
              <w:bottom w:val="single" w:sz="6" w:space="0" w:color="auto"/>
            </w:tcBorders>
          </w:tcPr>
          <w:p w:rsidR="00000000" w:rsidRDefault="00000000">
            <w:pPr>
              <w:spacing w:after="0"/>
              <w:ind w:left="44"/>
            </w:pPr>
            <w:r>
              <w:t>Disabling in order to commit indictable offence</w:t>
            </w:r>
          </w:p>
        </w:tc>
        <w:tc>
          <w:tcPr>
            <w:tcW w:w="3238" w:type="dxa"/>
            <w:tcBorders>
              <w:bottom w:val="single" w:sz="6" w:space="0" w:color="auto"/>
            </w:tcBorders>
          </w:tcPr>
          <w:p w:rsidR="00000000" w:rsidRDefault="00000000">
            <w:pPr>
              <w:spacing w:after="0"/>
              <w:ind w:left="44" w:right="57"/>
            </w:pPr>
            <w:r>
              <w:t>Life</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9356" w:type="dxa"/>
            <w:gridSpan w:val="3"/>
            <w:tcBorders>
              <w:left w:val="nil"/>
              <w:right w:val="nil"/>
            </w:tcBorders>
          </w:tcPr>
          <w:p w:rsidR="00000000" w:rsidRDefault="00000000">
            <w:pPr>
              <w:pStyle w:val="Heading5"/>
              <w:spacing w:before="120" w:after="120"/>
            </w:pPr>
            <w:r>
              <w:tab/>
              <w:t>Corrective Services Act 2000</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Borders>
              <w:bottom w:val="single" w:sz="6" w:space="0" w:color="auto"/>
            </w:tcBorders>
          </w:tcPr>
          <w:p w:rsidR="00000000" w:rsidRDefault="00000000">
            <w:pPr>
              <w:spacing w:after="0"/>
              <w:ind w:left="180"/>
            </w:pPr>
            <w:r>
              <w:t>s. 11</w:t>
            </w:r>
          </w:p>
        </w:tc>
        <w:tc>
          <w:tcPr>
            <w:tcW w:w="4842" w:type="dxa"/>
            <w:tcBorders>
              <w:bottom w:val="single" w:sz="6" w:space="0" w:color="auto"/>
            </w:tcBorders>
          </w:tcPr>
          <w:p w:rsidR="00000000" w:rsidRDefault="00000000">
            <w:pPr>
              <w:spacing w:after="0"/>
              <w:ind w:left="44"/>
            </w:pPr>
            <w:r>
              <w:t>Prisoners to be informed of entitlements and duties</w:t>
            </w:r>
          </w:p>
        </w:tc>
        <w:tc>
          <w:tcPr>
            <w:tcW w:w="3238" w:type="dxa"/>
            <w:tcBorders>
              <w:bottom w:val="single" w:sz="6" w:space="0" w:color="auto"/>
            </w:tcBorders>
          </w:tcPr>
          <w:p w:rsidR="00000000" w:rsidRDefault="00000000">
            <w:pPr>
              <w:spacing w:after="0"/>
              <w:ind w:left="44" w:right="57"/>
            </w:pPr>
            <w:r>
              <w:t>Whilst this is not a legally punishable offence, it is now a positive duty to inform a prisoner of their entitlements and duties</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9356" w:type="dxa"/>
            <w:gridSpan w:val="3"/>
            <w:tcBorders>
              <w:left w:val="nil"/>
              <w:right w:val="nil"/>
            </w:tcBorders>
          </w:tcPr>
          <w:p w:rsidR="00000000" w:rsidRDefault="00000000">
            <w:pPr>
              <w:pStyle w:val="Heading5"/>
              <w:spacing w:before="120" w:after="120"/>
            </w:pPr>
            <w:r>
              <w:tab/>
              <w:t>Juvenile Justice Act 1992</w:t>
            </w:r>
          </w:p>
        </w:tc>
      </w:tr>
      <w:tr w:rsidR="00000000">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auto"/>
          <w:tblCellMar>
            <w:left w:w="0" w:type="dxa"/>
            <w:right w:w="0" w:type="dxa"/>
          </w:tblCellMar>
        </w:tblPrEx>
        <w:trPr>
          <w:cantSplit/>
        </w:trPr>
        <w:tc>
          <w:tcPr>
            <w:tcW w:w="1276" w:type="dxa"/>
            <w:tcBorders>
              <w:bottom w:val="single" w:sz="4" w:space="0" w:color="auto"/>
            </w:tcBorders>
          </w:tcPr>
          <w:p w:rsidR="00000000" w:rsidRDefault="00000000">
            <w:pPr>
              <w:spacing w:after="0"/>
              <w:ind w:left="180"/>
            </w:pPr>
            <w:r>
              <w:t>s. 279</w:t>
            </w:r>
          </w:p>
        </w:tc>
        <w:tc>
          <w:tcPr>
            <w:tcW w:w="4842" w:type="dxa"/>
            <w:tcBorders>
              <w:bottom w:val="single" w:sz="4" w:space="0" w:color="auto"/>
            </w:tcBorders>
          </w:tcPr>
          <w:p w:rsidR="00000000" w:rsidRDefault="00000000">
            <w:pPr>
              <w:spacing w:after="0"/>
              <w:ind w:left="44"/>
            </w:pPr>
            <w:r>
              <w:t>A person must not enter a detention centre without lawful authority or convey or deliver into a centre any prohibited article (liquor, drugs, money)</w:t>
            </w:r>
          </w:p>
        </w:tc>
        <w:tc>
          <w:tcPr>
            <w:tcW w:w="3238" w:type="dxa"/>
            <w:tcBorders>
              <w:bottom w:val="single" w:sz="4" w:space="0" w:color="auto"/>
            </w:tcBorders>
          </w:tcPr>
          <w:p w:rsidR="00000000" w:rsidRDefault="00000000">
            <w:pPr>
              <w:spacing w:after="0"/>
              <w:ind w:left="44" w:right="57"/>
            </w:pPr>
            <w:r>
              <w:t>1 year or 40 penalty units</w:t>
            </w:r>
          </w:p>
        </w:tc>
      </w:tr>
      <w:tr w:rsidR="00000000">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shd w:val="clear" w:color="auto" w:fill="auto"/>
          <w:tblCellMar>
            <w:left w:w="0" w:type="dxa"/>
            <w:right w:w="0" w:type="dxa"/>
          </w:tblCellMar>
        </w:tblPrEx>
        <w:trPr>
          <w:cantSplit/>
          <w:trHeight w:val="461"/>
        </w:trPr>
        <w:tc>
          <w:tcPr>
            <w:tcW w:w="9356" w:type="dxa"/>
            <w:gridSpan w:val="3"/>
            <w:tcBorders>
              <w:top w:val="single" w:sz="4" w:space="0" w:color="auto"/>
              <w:left w:val="nil"/>
              <w:bottom w:val="single" w:sz="4" w:space="0" w:color="auto"/>
              <w:right w:val="nil"/>
            </w:tcBorders>
          </w:tcPr>
          <w:p w:rsidR="00000000" w:rsidRDefault="00000000">
            <w:pPr>
              <w:spacing w:before="120" w:after="120"/>
              <w:ind w:left="181"/>
            </w:pPr>
            <w:r>
              <w:rPr>
                <w:b/>
                <w:i/>
              </w:rPr>
              <w:tab/>
              <w:t>Mental Health Act 2000</w:t>
            </w:r>
          </w:p>
        </w:tc>
      </w:tr>
      <w:tr w:rsidR="00000000">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shd w:val="clear" w:color="auto" w:fill="auto"/>
          <w:tblCellMar>
            <w:left w:w="0" w:type="dxa"/>
            <w:right w:w="0" w:type="dxa"/>
          </w:tblCellMar>
        </w:tblPrEx>
        <w:trPr>
          <w:cantSplit/>
          <w:trHeight w:val="461"/>
        </w:trPr>
        <w:tc>
          <w:tcPr>
            <w:tcW w:w="1276" w:type="dxa"/>
            <w:tcBorders>
              <w:top w:val="single" w:sz="4" w:space="0" w:color="auto"/>
            </w:tcBorders>
          </w:tcPr>
          <w:p w:rsidR="00000000" w:rsidRDefault="00000000">
            <w:pPr>
              <w:spacing w:after="0"/>
              <w:ind w:left="181"/>
            </w:pPr>
            <w:r>
              <w:t>s. 518</w:t>
            </w:r>
          </w:p>
        </w:tc>
        <w:tc>
          <w:tcPr>
            <w:tcW w:w="4842" w:type="dxa"/>
            <w:tcBorders>
              <w:top w:val="single" w:sz="4" w:space="0" w:color="auto"/>
            </w:tcBorders>
          </w:tcPr>
          <w:p w:rsidR="00000000" w:rsidRDefault="00000000">
            <w:pPr>
              <w:spacing w:after="0"/>
              <w:ind w:left="44"/>
            </w:pPr>
            <w:r>
              <w:t>Offences relating to ill</w:t>
            </w:r>
            <w:r>
              <w:noBreakHyphen/>
              <w:t>treatment</w:t>
            </w:r>
          </w:p>
        </w:tc>
        <w:tc>
          <w:tcPr>
            <w:tcW w:w="3238" w:type="dxa"/>
            <w:tcBorders>
              <w:top w:val="single" w:sz="4" w:space="0" w:color="auto"/>
            </w:tcBorders>
          </w:tcPr>
          <w:p w:rsidR="00000000" w:rsidRDefault="00000000">
            <w:pPr>
              <w:spacing w:after="0"/>
              <w:ind w:left="44" w:right="57"/>
            </w:pPr>
            <w:r>
              <w:t>100 penalty units or 1 year</w:t>
            </w:r>
          </w:p>
        </w:tc>
      </w:tr>
      <w:tr w:rsidR="00000000">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shd w:val="clear" w:color="auto" w:fill="auto"/>
          <w:tblCellMar>
            <w:left w:w="0" w:type="dxa"/>
            <w:right w:w="0" w:type="dxa"/>
          </w:tblCellMar>
        </w:tblPrEx>
        <w:trPr>
          <w:cantSplit/>
          <w:trHeight w:val="350"/>
        </w:trPr>
        <w:tc>
          <w:tcPr>
            <w:tcW w:w="1276" w:type="dxa"/>
            <w:tcBorders>
              <w:bottom w:val="single" w:sz="4" w:space="0" w:color="auto"/>
            </w:tcBorders>
          </w:tcPr>
          <w:p w:rsidR="00000000" w:rsidRDefault="00000000">
            <w:pPr>
              <w:spacing w:after="0"/>
              <w:ind w:left="181"/>
            </w:pPr>
            <w:r>
              <w:t>s. 522</w:t>
            </w:r>
          </w:p>
        </w:tc>
        <w:tc>
          <w:tcPr>
            <w:tcW w:w="4842" w:type="dxa"/>
            <w:tcBorders>
              <w:bottom w:val="single" w:sz="4" w:space="0" w:color="auto"/>
            </w:tcBorders>
          </w:tcPr>
          <w:p w:rsidR="00000000" w:rsidRDefault="00000000">
            <w:pPr>
              <w:spacing w:after="0"/>
              <w:ind w:left="44"/>
            </w:pPr>
            <w:r>
              <w:t>False or misleading documents</w:t>
            </w:r>
          </w:p>
        </w:tc>
        <w:tc>
          <w:tcPr>
            <w:tcW w:w="3238" w:type="dxa"/>
            <w:tcBorders>
              <w:bottom w:val="single" w:sz="4" w:space="0" w:color="auto"/>
            </w:tcBorders>
          </w:tcPr>
          <w:p w:rsidR="00000000" w:rsidRDefault="00000000">
            <w:pPr>
              <w:spacing w:after="0"/>
              <w:ind w:left="44" w:right="57"/>
            </w:pPr>
            <w:r>
              <w:t>40 penalty units</w:t>
            </w:r>
          </w:p>
        </w:tc>
      </w:tr>
      <w:tr w:rsidR="00000000">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shd w:val="clear" w:color="auto" w:fill="auto"/>
          <w:tblCellMar>
            <w:left w:w="0" w:type="dxa"/>
            <w:right w:w="0" w:type="dxa"/>
          </w:tblCellMar>
        </w:tblPrEx>
        <w:trPr>
          <w:cantSplit/>
          <w:trHeight w:val="350"/>
        </w:trPr>
        <w:tc>
          <w:tcPr>
            <w:tcW w:w="9356" w:type="dxa"/>
            <w:gridSpan w:val="3"/>
            <w:tcBorders>
              <w:top w:val="single" w:sz="4" w:space="0" w:color="auto"/>
              <w:left w:val="nil"/>
              <w:bottom w:val="nil"/>
              <w:right w:val="nil"/>
            </w:tcBorders>
          </w:tcPr>
          <w:p w:rsidR="00000000" w:rsidRDefault="00000000">
            <w:pPr>
              <w:spacing w:before="120" w:after="120"/>
              <w:ind w:left="181"/>
            </w:pPr>
            <w:r>
              <w:tab/>
              <w:t>One penalty unit = $75</w:t>
            </w:r>
          </w:p>
        </w:tc>
      </w:tr>
      <w:tr w:rsidR="00000000">
        <w:tblPrEx>
          <w:tblBorders>
            <w:top w:val="single" w:sz="6" w:space="0" w:color="auto"/>
            <w:left w:val="single" w:sz="6" w:space="0" w:color="auto"/>
            <w:bottom w:val="single" w:sz="6" w:space="0" w:color="auto"/>
            <w:right w:val="single" w:sz="6" w:space="0" w:color="auto"/>
            <w:insideH w:val="single" w:sz="4" w:space="0" w:color="auto"/>
            <w:insideV w:val="single" w:sz="6" w:space="0" w:color="auto"/>
          </w:tblBorders>
          <w:shd w:val="clear" w:color="auto" w:fill="auto"/>
          <w:tblCellMar>
            <w:left w:w="0" w:type="dxa"/>
            <w:right w:w="0" w:type="dxa"/>
          </w:tblCellMar>
        </w:tblPrEx>
        <w:trPr>
          <w:cantSplit/>
          <w:trHeight w:val="703"/>
        </w:trPr>
        <w:tc>
          <w:tcPr>
            <w:tcW w:w="9356" w:type="dxa"/>
            <w:gridSpan w:val="3"/>
            <w:tcBorders>
              <w:top w:val="nil"/>
              <w:left w:val="nil"/>
              <w:bottom w:val="single" w:sz="6" w:space="0" w:color="auto"/>
              <w:right w:val="nil"/>
            </w:tcBorders>
          </w:tcPr>
          <w:p w:rsidR="00000000" w:rsidRDefault="00000000">
            <w:pPr>
              <w:pStyle w:val="Heading3"/>
              <w:spacing w:after="120"/>
            </w:pPr>
            <w:r>
              <w:tab/>
              <w:t>South Australia</w:t>
            </w:r>
          </w:p>
          <w:p w:rsidR="00000000" w:rsidRDefault="00000000">
            <w:pPr>
              <w:pStyle w:val="Heading5"/>
              <w:spacing w:after="120"/>
            </w:pPr>
            <w:r>
              <w:tab/>
              <w:t>Criminal Law Consolidation Act 1935</w:t>
            </w:r>
          </w:p>
        </w:tc>
      </w:tr>
      <w:tr w:rsidR="00000000">
        <w:tblPrEx>
          <w:shd w:val="clear" w:color="auto" w:fill="auto"/>
        </w:tblPrEx>
        <w:trPr>
          <w:cantSplit/>
          <w:trHeight w:val="71"/>
        </w:trPr>
        <w:tc>
          <w:tcPr>
            <w:tcW w:w="1276" w:type="dxa"/>
          </w:tcPr>
          <w:p w:rsidR="00000000" w:rsidRDefault="00000000">
            <w:pPr>
              <w:spacing w:after="0"/>
              <w:ind w:left="57" w:right="57"/>
            </w:pPr>
            <w:bookmarkStart w:id="237" w:name="OLE_LINK12"/>
            <w:r>
              <w:t>s. 11</w:t>
            </w:r>
          </w:p>
        </w:tc>
        <w:tc>
          <w:tcPr>
            <w:tcW w:w="4842" w:type="dxa"/>
          </w:tcPr>
          <w:p w:rsidR="00000000" w:rsidRDefault="00000000">
            <w:pPr>
              <w:spacing w:after="0"/>
              <w:ind w:left="-64" w:right="57"/>
            </w:pPr>
            <w:r>
              <w:t>Murder</w:t>
            </w:r>
          </w:p>
        </w:tc>
        <w:tc>
          <w:tcPr>
            <w:tcW w:w="3238" w:type="dxa"/>
          </w:tcPr>
          <w:p w:rsidR="00000000" w:rsidRDefault="00000000">
            <w:pPr>
              <w:spacing w:after="0"/>
              <w:ind w:left="-64" w:right="57"/>
            </w:pPr>
            <w:r>
              <w:t>Life</w:t>
            </w:r>
          </w:p>
        </w:tc>
      </w:tr>
      <w:bookmarkEnd w:id="237"/>
      <w:tr w:rsidR="00000000">
        <w:tblPrEx>
          <w:shd w:val="clear" w:color="auto" w:fill="auto"/>
        </w:tblPrEx>
        <w:trPr>
          <w:cantSplit/>
        </w:trPr>
        <w:tc>
          <w:tcPr>
            <w:tcW w:w="1276" w:type="dxa"/>
          </w:tcPr>
          <w:p w:rsidR="00000000" w:rsidRDefault="00000000">
            <w:pPr>
              <w:spacing w:after="0"/>
              <w:ind w:left="57" w:right="57"/>
            </w:pPr>
            <w:r>
              <w:t>s. 12</w:t>
            </w:r>
          </w:p>
        </w:tc>
        <w:tc>
          <w:tcPr>
            <w:tcW w:w="4842" w:type="dxa"/>
          </w:tcPr>
          <w:p w:rsidR="00000000" w:rsidRDefault="00000000">
            <w:pPr>
              <w:spacing w:after="0"/>
              <w:ind w:left="-64" w:right="57"/>
            </w:pPr>
            <w:r>
              <w:t>Conspiring or soliciting to commit murder</w:t>
            </w:r>
          </w:p>
        </w:tc>
        <w:tc>
          <w:tcPr>
            <w:tcW w:w="3238" w:type="dxa"/>
          </w:tcPr>
          <w:p w:rsidR="00000000" w:rsidRDefault="00000000">
            <w:pPr>
              <w:spacing w:after="0"/>
              <w:ind w:left="-64" w:right="57"/>
            </w:pPr>
            <w:r>
              <w:t>Life</w:t>
            </w:r>
          </w:p>
        </w:tc>
      </w:tr>
      <w:tr w:rsidR="00000000">
        <w:tblPrEx>
          <w:shd w:val="clear" w:color="auto" w:fill="auto"/>
        </w:tblPrEx>
        <w:trPr>
          <w:cantSplit/>
        </w:trPr>
        <w:tc>
          <w:tcPr>
            <w:tcW w:w="1276" w:type="dxa"/>
          </w:tcPr>
          <w:p w:rsidR="00000000" w:rsidRDefault="00000000">
            <w:pPr>
              <w:spacing w:after="0"/>
              <w:ind w:left="57" w:right="57"/>
            </w:pPr>
            <w:r>
              <w:t>s. 12a</w:t>
            </w:r>
          </w:p>
        </w:tc>
        <w:tc>
          <w:tcPr>
            <w:tcW w:w="4842" w:type="dxa"/>
          </w:tcPr>
          <w:p w:rsidR="00000000" w:rsidRDefault="00000000">
            <w:pPr>
              <w:spacing w:after="0"/>
              <w:ind w:left="-64" w:right="57"/>
            </w:pPr>
            <w:r>
              <w:t>Cause death by an intentional act of violence</w:t>
            </w:r>
          </w:p>
        </w:tc>
        <w:tc>
          <w:tcPr>
            <w:tcW w:w="3238" w:type="dxa"/>
          </w:tcPr>
          <w:p w:rsidR="00000000" w:rsidRDefault="00000000">
            <w:pPr>
              <w:spacing w:after="0"/>
              <w:ind w:left="-64" w:right="57"/>
            </w:pPr>
            <w:r>
              <w:t>Life</w:t>
            </w:r>
          </w:p>
        </w:tc>
      </w:tr>
      <w:tr w:rsidR="00000000">
        <w:tblPrEx>
          <w:shd w:val="clear" w:color="auto" w:fill="auto"/>
        </w:tblPrEx>
        <w:trPr>
          <w:cantSplit/>
        </w:trPr>
        <w:tc>
          <w:tcPr>
            <w:tcW w:w="1276" w:type="dxa"/>
          </w:tcPr>
          <w:p w:rsidR="00000000" w:rsidRDefault="00000000">
            <w:pPr>
              <w:spacing w:after="0"/>
              <w:ind w:left="57" w:right="57"/>
            </w:pPr>
            <w:r>
              <w:t>s. 19</w:t>
            </w:r>
          </w:p>
        </w:tc>
        <w:tc>
          <w:tcPr>
            <w:tcW w:w="4842" w:type="dxa"/>
          </w:tcPr>
          <w:p w:rsidR="00000000" w:rsidRDefault="00000000">
            <w:pPr>
              <w:spacing w:after="0"/>
              <w:ind w:left="-64" w:right="57"/>
            </w:pPr>
            <w:r>
              <w:t>Unlawful threats</w:t>
            </w:r>
          </w:p>
        </w:tc>
        <w:tc>
          <w:tcPr>
            <w:tcW w:w="3238" w:type="dxa"/>
          </w:tcPr>
          <w:p w:rsidR="00000000" w:rsidRDefault="00000000">
            <w:pPr>
              <w:spacing w:after="0"/>
              <w:ind w:left="-64" w:right="57"/>
            </w:pPr>
            <w:r>
              <w:t>5</w:t>
            </w:r>
            <w:r>
              <w:noBreakHyphen/>
              <w:t>12 years</w:t>
            </w:r>
          </w:p>
        </w:tc>
      </w:tr>
      <w:tr w:rsidR="00000000">
        <w:tblPrEx>
          <w:shd w:val="clear" w:color="auto" w:fill="auto"/>
        </w:tblPrEx>
        <w:trPr>
          <w:cantSplit/>
        </w:trPr>
        <w:tc>
          <w:tcPr>
            <w:tcW w:w="1276" w:type="dxa"/>
          </w:tcPr>
          <w:p w:rsidR="00000000" w:rsidRDefault="00000000">
            <w:pPr>
              <w:spacing w:after="0"/>
              <w:ind w:left="57" w:right="57"/>
            </w:pPr>
            <w:r>
              <w:t>s. 19AA</w:t>
            </w:r>
          </w:p>
        </w:tc>
        <w:tc>
          <w:tcPr>
            <w:tcW w:w="4842" w:type="dxa"/>
          </w:tcPr>
          <w:p w:rsidR="00000000" w:rsidRDefault="00000000">
            <w:pPr>
              <w:spacing w:after="0"/>
              <w:ind w:left="-64" w:right="57"/>
            </w:pPr>
            <w:r>
              <w:t>Unlawful stalking</w:t>
            </w:r>
          </w:p>
        </w:tc>
        <w:tc>
          <w:tcPr>
            <w:tcW w:w="3238" w:type="dxa"/>
          </w:tcPr>
          <w:p w:rsidR="00000000" w:rsidRDefault="00000000">
            <w:pPr>
              <w:spacing w:after="0"/>
              <w:ind w:left="-64" w:right="57"/>
            </w:pPr>
            <w:r>
              <w:t>3</w:t>
            </w:r>
            <w:r>
              <w:noBreakHyphen/>
              <w:t>5 years</w:t>
            </w:r>
          </w:p>
        </w:tc>
      </w:tr>
      <w:tr w:rsidR="00000000">
        <w:tblPrEx>
          <w:shd w:val="clear" w:color="auto" w:fill="auto"/>
        </w:tblPrEx>
        <w:trPr>
          <w:cantSplit/>
        </w:trPr>
        <w:tc>
          <w:tcPr>
            <w:tcW w:w="1276" w:type="dxa"/>
          </w:tcPr>
          <w:p w:rsidR="00000000" w:rsidRDefault="00000000">
            <w:pPr>
              <w:spacing w:after="0"/>
              <w:ind w:left="57" w:right="57"/>
            </w:pPr>
            <w:r>
              <w:t>s. 19A</w:t>
            </w:r>
          </w:p>
        </w:tc>
        <w:tc>
          <w:tcPr>
            <w:tcW w:w="4842" w:type="dxa"/>
          </w:tcPr>
          <w:p w:rsidR="00000000" w:rsidRDefault="00000000">
            <w:pPr>
              <w:spacing w:after="0"/>
              <w:ind w:left="-64" w:right="57"/>
            </w:pPr>
            <w:r>
              <w:t>Cause death and injury by reckless driving etc</w:t>
            </w:r>
          </w:p>
        </w:tc>
        <w:tc>
          <w:tcPr>
            <w:tcW w:w="3238" w:type="dxa"/>
          </w:tcPr>
          <w:p w:rsidR="00000000" w:rsidRDefault="00000000">
            <w:pPr>
              <w:spacing w:after="0"/>
              <w:ind w:left="-64" w:right="57"/>
            </w:pPr>
            <w:r>
              <w:t>4</w:t>
            </w:r>
            <w:r>
              <w:noBreakHyphen/>
              <w:t>15 years</w:t>
            </w:r>
          </w:p>
        </w:tc>
      </w:tr>
      <w:tr w:rsidR="00000000">
        <w:tblPrEx>
          <w:shd w:val="clear" w:color="auto" w:fill="auto"/>
        </w:tblPrEx>
        <w:trPr>
          <w:cantSplit/>
        </w:trPr>
        <w:tc>
          <w:tcPr>
            <w:tcW w:w="1276" w:type="dxa"/>
          </w:tcPr>
          <w:p w:rsidR="00000000" w:rsidRDefault="00000000">
            <w:pPr>
              <w:spacing w:after="0"/>
              <w:ind w:left="57" w:right="57"/>
            </w:pPr>
            <w:r>
              <w:t>s. 21</w:t>
            </w:r>
          </w:p>
        </w:tc>
        <w:tc>
          <w:tcPr>
            <w:tcW w:w="4842" w:type="dxa"/>
          </w:tcPr>
          <w:p w:rsidR="00000000" w:rsidRDefault="00000000">
            <w:pPr>
              <w:spacing w:after="0"/>
              <w:ind w:left="-64" w:right="57"/>
            </w:pPr>
            <w:r>
              <w:t>Wounding etc. with intent to do grievous bodily harm</w:t>
            </w:r>
          </w:p>
        </w:tc>
        <w:tc>
          <w:tcPr>
            <w:tcW w:w="3238" w:type="dxa"/>
          </w:tcPr>
          <w:p w:rsidR="00000000" w:rsidRDefault="00000000">
            <w:pPr>
              <w:spacing w:after="0"/>
              <w:ind w:left="-64" w:right="57"/>
            </w:pPr>
            <w:r>
              <w:t>Life</w:t>
            </w:r>
          </w:p>
        </w:tc>
      </w:tr>
      <w:tr w:rsidR="00000000">
        <w:tblPrEx>
          <w:shd w:val="clear" w:color="auto" w:fill="auto"/>
        </w:tblPrEx>
        <w:trPr>
          <w:cantSplit/>
        </w:trPr>
        <w:tc>
          <w:tcPr>
            <w:tcW w:w="1276" w:type="dxa"/>
          </w:tcPr>
          <w:p w:rsidR="00000000" w:rsidRDefault="00000000">
            <w:pPr>
              <w:spacing w:after="0"/>
              <w:ind w:left="57" w:right="57"/>
            </w:pPr>
            <w:r>
              <w:t>s. 23</w:t>
            </w:r>
          </w:p>
        </w:tc>
        <w:tc>
          <w:tcPr>
            <w:tcW w:w="4842" w:type="dxa"/>
          </w:tcPr>
          <w:p w:rsidR="00000000" w:rsidRDefault="00000000">
            <w:pPr>
              <w:spacing w:after="0"/>
              <w:ind w:left="-64" w:right="57"/>
            </w:pPr>
            <w:r>
              <w:t>Malicious wounding etc</w:t>
            </w:r>
          </w:p>
        </w:tc>
        <w:tc>
          <w:tcPr>
            <w:tcW w:w="3238" w:type="dxa"/>
          </w:tcPr>
          <w:p w:rsidR="00000000" w:rsidRDefault="00000000">
            <w:pPr>
              <w:spacing w:after="0"/>
              <w:ind w:left="-64" w:right="57"/>
            </w:pPr>
            <w:r>
              <w:t>5</w:t>
            </w:r>
            <w:r>
              <w:noBreakHyphen/>
              <w:t>8 years</w:t>
            </w:r>
          </w:p>
        </w:tc>
      </w:tr>
      <w:tr w:rsidR="00000000">
        <w:tblPrEx>
          <w:shd w:val="clear" w:color="auto" w:fill="auto"/>
        </w:tblPrEx>
        <w:trPr>
          <w:cantSplit/>
        </w:trPr>
        <w:tc>
          <w:tcPr>
            <w:tcW w:w="1276" w:type="dxa"/>
          </w:tcPr>
          <w:p w:rsidR="00000000" w:rsidRDefault="00000000">
            <w:pPr>
              <w:spacing w:after="0"/>
              <w:ind w:left="57" w:right="57"/>
            </w:pPr>
            <w:r>
              <w:t>s. 25</w:t>
            </w:r>
          </w:p>
        </w:tc>
        <w:tc>
          <w:tcPr>
            <w:tcW w:w="4842" w:type="dxa"/>
          </w:tcPr>
          <w:p w:rsidR="00000000" w:rsidRDefault="00000000">
            <w:pPr>
              <w:spacing w:after="0"/>
              <w:ind w:left="-64" w:right="57"/>
            </w:pPr>
            <w:r>
              <w:t>Choking or stupefying to commit indictable offence</w:t>
            </w:r>
          </w:p>
        </w:tc>
        <w:tc>
          <w:tcPr>
            <w:tcW w:w="3238" w:type="dxa"/>
          </w:tcPr>
          <w:p w:rsidR="00000000" w:rsidRDefault="00000000">
            <w:pPr>
              <w:spacing w:after="0"/>
              <w:ind w:left="-64" w:right="57"/>
            </w:pPr>
            <w:r>
              <w:t>Life</w:t>
            </w:r>
          </w:p>
        </w:tc>
      </w:tr>
      <w:tr w:rsidR="00000000">
        <w:tblPrEx>
          <w:shd w:val="clear" w:color="auto" w:fill="auto"/>
        </w:tblPrEx>
        <w:trPr>
          <w:cantSplit/>
        </w:trPr>
        <w:tc>
          <w:tcPr>
            <w:tcW w:w="1276" w:type="dxa"/>
          </w:tcPr>
          <w:p w:rsidR="00000000" w:rsidRDefault="00000000">
            <w:pPr>
              <w:spacing w:after="0"/>
              <w:ind w:left="57" w:right="57"/>
            </w:pPr>
            <w:r>
              <w:t>s. 27</w:t>
            </w:r>
          </w:p>
        </w:tc>
        <w:tc>
          <w:tcPr>
            <w:tcW w:w="4842" w:type="dxa"/>
          </w:tcPr>
          <w:p w:rsidR="00000000" w:rsidRDefault="00000000">
            <w:pPr>
              <w:spacing w:after="0"/>
              <w:ind w:left="-64" w:right="57"/>
            </w:pPr>
            <w:r>
              <w:t>Maliciously administering poison etc with intent to injure, aggrieve or annoy any other person</w:t>
            </w:r>
          </w:p>
        </w:tc>
        <w:tc>
          <w:tcPr>
            <w:tcW w:w="3238" w:type="dxa"/>
          </w:tcPr>
          <w:p w:rsidR="00000000" w:rsidRDefault="00000000">
            <w:pPr>
              <w:spacing w:after="0"/>
              <w:ind w:left="-64" w:right="57"/>
            </w:pPr>
            <w:r>
              <w:t>3 years</w:t>
            </w:r>
          </w:p>
        </w:tc>
      </w:tr>
      <w:tr w:rsidR="00000000">
        <w:tblPrEx>
          <w:shd w:val="clear" w:color="auto" w:fill="auto"/>
        </w:tblPrEx>
        <w:trPr>
          <w:cantSplit/>
          <w:trHeight w:val="282"/>
        </w:trPr>
        <w:tc>
          <w:tcPr>
            <w:tcW w:w="1276" w:type="dxa"/>
          </w:tcPr>
          <w:p w:rsidR="00000000" w:rsidRDefault="00000000">
            <w:pPr>
              <w:spacing w:after="0"/>
              <w:ind w:left="57" w:right="57"/>
            </w:pPr>
            <w:r>
              <w:t>s. 29</w:t>
            </w:r>
          </w:p>
        </w:tc>
        <w:tc>
          <w:tcPr>
            <w:tcW w:w="4842" w:type="dxa"/>
          </w:tcPr>
          <w:p w:rsidR="00000000" w:rsidRDefault="00000000">
            <w:pPr>
              <w:spacing w:after="0"/>
              <w:ind w:left="-64" w:right="57"/>
            </w:pPr>
            <w:r>
              <w:t>Acts endangering life or creating risk of grievous bodily harm</w:t>
            </w:r>
          </w:p>
        </w:tc>
        <w:tc>
          <w:tcPr>
            <w:tcW w:w="3238" w:type="dxa"/>
          </w:tcPr>
          <w:p w:rsidR="00000000" w:rsidRDefault="00000000">
            <w:pPr>
              <w:spacing w:after="0"/>
              <w:ind w:left="-64" w:right="57"/>
            </w:pPr>
            <w:r>
              <w:t>5</w:t>
            </w:r>
            <w:r>
              <w:noBreakHyphen/>
              <w:t>15 years</w:t>
            </w:r>
          </w:p>
        </w:tc>
      </w:tr>
      <w:tr w:rsidR="00000000">
        <w:tblPrEx>
          <w:shd w:val="clear" w:color="auto" w:fill="auto"/>
        </w:tblPrEx>
        <w:trPr>
          <w:cantSplit/>
        </w:trPr>
        <w:tc>
          <w:tcPr>
            <w:tcW w:w="1276" w:type="dxa"/>
          </w:tcPr>
          <w:p w:rsidR="00000000" w:rsidRDefault="00000000">
            <w:pPr>
              <w:spacing w:after="0"/>
              <w:ind w:left="57" w:right="57"/>
            </w:pPr>
            <w:r>
              <w:t>s. 30</w:t>
            </w:r>
          </w:p>
        </w:tc>
        <w:tc>
          <w:tcPr>
            <w:tcW w:w="4842" w:type="dxa"/>
          </w:tcPr>
          <w:p w:rsidR="00000000" w:rsidRDefault="00000000">
            <w:pPr>
              <w:spacing w:after="0"/>
              <w:ind w:left="-64" w:right="57"/>
            </w:pPr>
            <w:r>
              <w:t>Fail to provide food etc in certain circumstances</w:t>
            </w:r>
          </w:p>
        </w:tc>
        <w:tc>
          <w:tcPr>
            <w:tcW w:w="3238" w:type="dxa"/>
          </w:tcPr>
          <w:p w:rsidR="00000000" w:rsidRDefault="00000000">
            <w:pPr>
              <w:spacing w:after="0"/>
              <w:ind w:left="-64" w:right="57"/>
            </w:pPr>
            <w:r>
              <w:t>3 years</w:t>
            </w:r>
          </w:p>
        </w:tc>
      </w:tr>
      <w:tr w:rsidR="00000000">
        <w:tblPrEx>
          <w:shd w:val="clear" w:color="auto" w:fill="auto"/>
        </w:tblPrEx>
        <w:trPr>
          <w:cantSplit/>
        </w:trPr>
        <w:tc>
          <w:tcPr>
            <w:tcW w:w="1276" w:type="dxa"/>
          </w:tcPr>
          <w:p w:rsidR="00000000" w:rsidRDefault="00000000">
            <w:pPr>
              <w:spacing w:after="0"/>
              <w:ind w:left="57" w:right="57"/>
            </w:pPr>
            <w:r>
              <w:t>s. 31</w:t>
            </w:r>
          </w:p>
        </w:tc>
        <w:tc>
          <w:tcPr>
            <w:tcW w:w="4842" w:type="dxa"/>
          </w:tcPr>
          <w:p w:rsidR="00000000" w:rsidRDefault="00000000">
            <w:pPr>
              <w:spacing w:after="0"/>
              <w:ind w:left="-64" w:right="57"/>
            </w:pPr>
            <w:r>
              <w:t>Possess object with intent to kill or cause grievous bodily injury</w:t>
            </w:r>
          </w:p>
        </w:tc>
        <w:tc>
          <w:tcPr>
            <w:tcW w:w="3238" w:type="dxa"/>
          </w:tcPr>
          <w:p w:rsidR="00000000" w:rsidRDefault="00000000">
            <w:pPr>
              <w:spacing w:after="0"/>
              <w:ind w:left="-64" w:right="57"/>
            </w:pPr>
            <w:r>
              <w:t>5</w:t>
            </w:r>
            <w:r>
              <w:noBreakHyphen/>
              <w:t>10 years</w:t>
            </w:r>
          </w:p>
        </w:tc>
      </w:tr>
      <w:tr w:rsidR="00000000">
        <w:tblPrEx>
          <w:shd w:val="clear" w:color="auto" w:fill="auto"/>
        </w:tblPrEx>
        <w:trPr>
          <w:cantSplit/>
        </w:trPr>
        <w:tc>
          <w:tcPr>
            <w:tcW w:w="1276" w:type="dxa"/>
          </w:tcPr>
          <w:p w:rsidR="00000000" w:rsidRDefault="00000000">
            <w:pPr>
              <w:spacing w:after="0"/>
              <w:ind w:left="57" w:right="57"/>
            </w:pPr>
            <w:r>
              <w:t>s. 33A</w:t>
            </w:r>
          </w:p>
        </w:tc>
        <w:tc>
          <w:tcPr>
            <w:tcW w:w="4842" w:type="dxa"/>
          </w:tcPr>
          <w:p w:rsidR="00000000" w:rsidRDefault="00000000">
            <w:pPr>
              <w:spacing w:after="0"/>
              <w:ind w:left="-64" w:right="57"/>
            </w:pPr>
            <w:r>
              <w:t>Prohibition of female genital mutilation</w:t>
            </w:r>
          </w:p>
        </w:tc>
        <w:tc>
          <w:tcPr>
            <w:tcW w:w="3238" w:type="dxa"/>
          </w:tcPr>
          <w:p w:rsidR="00000000" w:rsidRDefault="00000000">
            <w:pPr>
              <w:spacing w:after="0"/>
              <w:ind w:left="-64" w:right="57"/>
            </w:pPr>
            <w:r>
              <w:t>7 years</w:t>
            </w:r>
          </w:p>
        </w:tc>
      </w:tr>
      <w:tr w:rsidR="00000000">
        <w:tblPrEx>
          <w:shd w:val="clear" w:color="auto" w:fill="auto"/>
        </w:tblPrEx>
        <w:trPr>
          <w:cantSplit/>
        </w:trPr>
        <w:tc>
          <w:tcPr>
            <w:tcW w:w="1276" w:type="dxa"/>
          </w:tcPr>
          <w:p w:rsidR="00000000" w:rsidRDefault="00000000">
            <w:pPr>
              <w:spacing w:after="0"/>
              <w:ind w:left="57" w:right="57"/>
            </w:pPr>
            <w:r>
              <w:t>s. 33B</w:t>
            </w:r>
          </w:p>
        </w:tc>
        <w:tc>
          <w:tcPr>
            <w:tcW w:w="4842" w:type="dxa"/>
          </w:tcPr>
          <w:p w:rsidR="00000000" w:rsidRDefault="00000000">
            <w:pPr>
              <w:spacing w:after="0"/>
              <w:ind w:left="-64" w:right="57"/>
            </w:pPr>
            <w:r>
              <w:t>Removal of child from State for genital mutilation</w:t>
            </w:r>
          </w:p>
        </w:tc>
        <w:tc>
          <w:tcPr>
            <w:tcW w:w="3238" w:type="dxa"/>
          </w:tcPr>
          <w:p w:rsidR="00000000" w:rsidRDefault="00000000">
            <w:pPr>
              <w:spacing w:after="0"/>
              <w:ind w:left="-64" w:right="57"/>
            </w:pPr>
            <w:r>
              <w:t>7 years</w:t>
            </w:r>
          </w:p>
        </w:tc>
      </w:tr>
      <w:tr w:rsidR="00000000">
        <w:tblPrEx>
          <w:shd w:val="clear" w:color="auto" w:fill="auto"/>
        </w:tblPrEx>
        <w:trPr>
          <w:cantSplit/>
        </w:trPr>
        <w:tc>
          <w:tcPr>
            <w:tcW w:w="1276" w:type="dxa"/>
          </w:tcPr>
          <w:p w:rsidR="00000000" w:rsidRDefault="00000000">
            <w:pPr>
              <w:spacing w:after="0"/>
              <w:ind w:left="57" w:right="57"/>
            </w:pPr>
            <w:r>
              <w:t>s. 39</w:t>
            </w:r>
          </w:p>
        </w:tc>
        <w:tc>
          <w:tcPr>
            <w:tcW w:w="4842" w:type="dxa"/>
          </w:tcPr>
          <w:p w:rsidR="00000000" w:rsidRDefault="00000000">
            <w:pPr>
              <w:spacing w:after="0"/>
              <w:ind w:left="-64" w:right="57"/>
            </w:pPr>
            <w:r>
              <w:t>Common assault</w:t>
            </w:r>
          </w:p>
        </w:tc>
        <w:tc>
          <w:tcPr>
            <w:tcW w:w="3238" w:type="dxa"/>
          </w:tcPr>
          <w:p w:rsidR="00000000" w:rsidRDefault="00000000">
            <w:pPr>
              <w:spacing w:after="0"/>
              <w:ind w:left="-64" w:right="57"/>
            </w:pPr>
            <w:r>
              <w:t>2</w:t>
            </w:r>
            <w:r>
              <w:noBreakHyphen/>
              <w:t>3 years</w:t>
            </w:r>
          </w:p>
        </w:tc>
      </w:tr>
      <w:tr w:rsidR="00000000">
        <w:tblPrEx>
          <w:shd w:val="clear" w:color="auto" w:fill="auto"/>
        </w:tblPrEx>
        <w:trPr>
          <w:cantSplit/>
        </w:trPr>
        <w:tc>
          <w:tcPr>
            <w:tcW w:w="1276" w:type="dxa"/>
          </w:tcPr>
          <w:p w:rsidR="00000000" w:rsidRDefault="00000000">
            <w:pPr>
              <w:spacing w:after="0"/>
              <w:ind w:left="57" w:right="57"/>
            </w:pPr>
            <w:r>
              <w:t>s. 40</w:t>
            </w:r>
          </w:p>
        </w:tc>
        <w:tc>
          <w:tcPr>
            <w:tcW w:w="4842" w:type="dxa"/>
          </w:tcPr>
          <w:p w:rsidR="00000000" w:rsidRDefault="00000000">
            <w:pPr>
              <w:spacing w:after="0"/>
              <w:ind w:left="-64" w:right="57"/>
            </w:pPr>
            <w:r>
              <w:t>Assaults occasioning harm</w:t>
            </w:r>
          </w:p>
        </w:tc>
        <w:tc>
          <w:tcPr>
            <w:tcW w:w="3238" w:type="dxa"/>
          </w:tcPr>
          <w:p w:rsidR="00000000" w:rsidRDefault="00000000">
            <w:pPr>
              <w:spacing w:after="0"/>
              <w:ind w:left="-64" w:right="57"/>
            </w:pPr>
            <w:r>
              <w:t>5</w:t>
            </w:r>
            <w:r>
              <w:noBreakHyphen/>
              <w:t>8 years</w:t>
            </w:r>
          </w:p>
        </w:tc>
      </w:tr>
      <w:tr w:rsidR="00000000">
        <w:tblPrEx>
          <w:shd w:val="clear" w:color="auto" w:fill="auto"/>
        </w:tblPrEx>
        <w:trPr>
          <w:cantSplit/>
        </w:trPr>
        <w:tc>
          <w:tcPr>
            <w:tcW w:w="1276" w:type="dxa"/>
          </w:tcPr>
          <w:p w:rsidR="00000000" w:rsidRDefault="00000000">
            <w:pPr>
              <w:spacing w:after="0"/>
              <w:ind w:left="57" w:right="57"/>
            </w:pPr>
            <w:r>
              <w:t>s. 47A</w:t>
            </w:r>
          </w:p>
        </w:tc>
        <w:tc>
          <w:tcPr>
            <w:tcW w:w="4842" w:type="dxa"/>
          </w:tcPr>
          <w:p w:rsidR="00000000" w:rsidRDefault="00000000">
            <w:pPr>
              <w:spacing w:after="0"/>
              <w:ind w:left="-64" w:right="57"/>
            </w:pPr>
            <w:r>
              <w:t>Threaten another person with a firearm</w:t>
            </w:r>
          </w:p>
        </w:tc>
        <w:tc>
          <w:tcPr>
            <w:tcW w:w="3238" w:type="dxa"/>
          </w:tcPr>
          <w:p w:rsidR="00000000" w:rsidRDefault="00000000">
            <w:pPr>
              <w:spacing w:after="0"/>
              <w:ind w:left="-64" w:right="57"/>
            </w:pPr>
            <w:r>
              <w:t>4 years</w:t>
            </w:r>
          </w:p>
        </w:tc>
      </w:tr>
      <w:tr w:rsidR="00000000">
        <w:tblPrEx>
          <w:shd w:val="clear" w:color="auto" w:fill="auto"/>
        </w:tblPrEx>
        <w:trPr>
          <w:cantSplit/>
        </w:trPr>
        <w:tc>
          <w:tcPr>
            <w:tcW w:w="1276" w:type="dxa"/>
          </w:tcPr>
          <w:p w:rsidR="00000000" w:rsidRDefault="00000000">
            <w:pPr>
              <w:spacing w:after="0"/>
              <w:ind w:left="57" w:right="57"/>
            </w:pPr>
            <w:r>
              <w:t>s. 48</w:t>
            </w:r>
          </w:p>
        </w:tc>
        <w:tc>
          <w:tcPr>
            <w:tcW w:w="4842" w:type="dxa"/>
          </w:tcPr>
          <w:p w:rsidR="00000000" w:rsidRDefault="00000000">
            <w:pPr>
              <w:spacing w:after="0"/>
              <w:ind w:left="-64" w:right="57"/>
            </w:pPr>
            <w:r>
              <w:t>Rape</w:t>
            </w:r>
          </w:p>
        </w:tc>
        <w:tc>
          <w:tcPr>
            <w:tcW w:w="3238" w:type="dxa"/>
          </w:tcPr>
          <w:p w:rsidR="00000000" w:rsidRDefault="00000000">
            <w:pPr>
              <w:spacing w:after="0"/>
              <w:ind w:left="-64" w:right="57"/>
            </w:pPr>
            <w:r>
              <w:t>Life</w:t>
            </w:r>
          </w:p>
        </w:tc>
      </w:tr>
      <w:tr w:rsidR="00000000">
        <w:tblPrEx>
          <w:shd w:val="clear" w:color="auto" w:fill="auto"/>
        </w:tblPrEx>
        <w:trPr>
          <w:cantSplit/>
        </w:trPr>
        <w:tc>
          <w:tcPr>
            <w:tcW w:w="1276" w:type="dxa"/>
          </w:tcPr>
          <w:p w:rsidR="00000000" w:rsidRDefault="00000000">
            <w:pPr>
              <w:spacing w:after="0"/>
              <w:ind w:left="57" w:right="57"/>
            </w:pPr>
            <w:r>
              <w:t>s. 49</w:t>
            </w:r>
          </w:p>
        </w:tc>
        <w:tc>
          <w:tcPr>
            <w:tcW w:w="4842" w:type="dxa"/>
          </w:tcPr>
          <w:p w:rsidR="00000000" w:rsidRDefault="00000000">
            <w:pPr>
              <w:spacing w:after="0"/>
              <w:ind w:left="-64" w:right="57"/>
            </w:pPr>
            <w:r>
              <w:t>Unlawful sexual intercourse</w:t>
            </w:r>
          </w:p>
        </w:tc>
        <w:tc>
          <w:tcPr>
            <w:tcW w:w="3238" w:type="dxa"/>
          </w:tcPr>
          <w:p w:rsidR="00000000" w:rsidRDefault="00000000">
            <w:pPr>
              <w:spacing w:after="0"/>
              <w:ind w:left="-64" w:right="57"/>
            </w:pPr>
            <w:r>
              <w:t xml:space="preserve">Life </w:t>
            </w:r>
          </w:p>
        </w:tc>
      </w:tr>
      <w:tr w:rsidR="00000000">
        <w:tblPrEx>
          <w:shd w:val="clear" w:color="auto" w:fill="auto"/>
        </w:tblPrEx>
        <w:trPr>
          <w:cantSplit/>
        </w:trPr>
        <w:tc>
          <w:tcPr>
            <w:tcW w:w="1276" w:type="dxa"/>
          </w:tcPr>
          <w:p w:rsidR="00000000" w:rsidRDefault="00000000">
            <w:pPr>
              <w:spacing w:after="0"/>
              <w:ind w:left="57" w:right="57"/>
            </w:pPr>
            <w:r>
              <w:t>s. 56</w:t>
            </w:r>
          </w:p>
        </w:tc>
        <w:tc>
          <w:tcPr>
            <w:tcW w:w="4842" w:type="dxa"/>
          </w:tcPr>
          <w:p w:rsidR="00000000" w:rsidRDefault="00000000">
            <w:pPr>
              <w:spacing w:after="0"/>
              <w:ind w:left="-64" w:right="57"/>
            </w:pPr>
            <w:r>
              <w:t>Indecent assault</w:t>
            </w:r>
          </w:p>
        </w:tc>
        <w:tc>
          <w:tcPr>
            <w:tcW w:w="3238" w:type="dxa"/>
          </w:tcPr>
          <w:p w:rsidR="00000000" w:rsidRDefault="00000000">
            <w:pPr>
              <w:spacing w:after="0"/>
              <w:ind w:left="-64" w:right="57"/>
            </w:pPr>
            <w:r>
              <w:t>8</w:t>
            </w:r>
            <w:r>
              <w:noBreakHyphen/>
              <w:t>10 years</w:t>
            </w:r>
          </w:p>
        </w:tc>
      </w:tr>
      <w:tr w:rsidR="00000000">
        <w:tblPrEx>
          <w:shd w:val="clear" w:color="auto" w:fill="auto"/>
        </w:tblPrEx>
        <w:trPr>
          <w:cantSplit/>
        </w:trPr>
        <w:tc>
          <w:tcPr>
            <w:tcW w:w="1276" w:type="dxa"/>
          </w:tcPr>
          <w:p w:rsidR="00000000" w:rsidRDefault="00000000">
            <w:pPr>
              <w:spacing w:after="0"/>
              <w:ind w:left="57" w:right="57"/>
            </w:pPr>
            <w:r>
              <w:t>s. 58</w:t>
            </w:r>
          </w:p>
        </w:tc>
        <w:tc>
          <w:tcPr>
            <w:tcW w:w="4842" w:type="dxa"/>
          </w:tcPr>
          <w:p w:rsidR="00000000" w:rsidRDefault="00000000">
            <w:pPr>
              <w:spacing w:after="0"/>
              <w:ind w:left="-64" w:right="57"/>
            </w:pPr>
            <w:r>
              <w:t>Acts of gross indecency</w:t>
            </w:r>
          </w:p>
        </w:tc>
        <w:tc>
          <w:tcPr>
            <w:tcW w:w="3238" w:type="dxa"/>
          </w:tcPr>
          <w:p w:rsidR="00000000" w:rsidRDefault="00000000">
            <w:pPr>
              <w:spacing w:after="0"/>
              <w:ind w:left="-64" w:right="57"/>
            </w:pPr>
            <w:r>
              <w:t>3</w:t>
            </w:r>
            <w:r>
              <w:noBreakHyphen/>
              <w:t>5 years</w:t>
            </w:r>
          </w:p>
        </w:tc>
      </w:tr>
      <w:tr w:rsidR="00000000">
        <w:tblPrEx>
          <w:shd w:val="clear" w:color="auto" w:fill="auto"/>
        </w:tblPrEx>
        <w:trPr>
          <w:cantSplit/>
        </w:trPr>
        <w:tc>
          <w:tcPr>
            <w:tcW w:w="1276" w:type="dxa"/>
          </w:tcPr>
          <w:p w:rsidR="00000000" w:rsidRDefault="00000000">
            <w:pPr>
              <w:spacing w:after="0"/>
              <w:ind w:left="57" w:right="57"/>
            </w:pPr>
            <w:r>
              <w:t>s. 58A</w:t>
            </w:r>
          </w:p>
        </w:tc>
        <w:tc>
          <w:tcPr>
            <w:tcW w:w="4842" w:type="dxa"/>
          </w:tcPr>
          <w:p w:rsidR="00000000" w:rsidRDefault="00000000">
            <w:pPr>
              <w:spacing w:after="0"/>
              <w:ind w:left="-64" w:right="57"/>
            </w:pPr>
            <w:r>
              <w:t>Incite or procure commission by child of indecent act for prurient purposes</w:t>
            </w:r>
          </w:p>
        </w:tc>
        <w:tc>
          <w:tcPr>
            <w:tcW w:w="3238" w:type="dxa"/>
          </w:tcPr>
          <w:p w:rsidR="00000000" w:rsidRDefault="00000000">
            <w:pPr>
              <w:spacing w:after="0"/>
              <w:ind w:left="-64" w:right="57"/>
            </w:pPr>
            <w:r>
              <w:t>2</w:t>
            </w:r>
            <w:r>
              <w:noBreakHyphen/>
              <w:t>3 years</w:t>
            </w:r>
          </w:p>
        </w:tc>
      </w:tr>
      <w:tr w:rsidR="00000000">
        <w:tblPrEx>
          <w:shd w:val="clear" w:color="auto" w:fill="auto"/>
        </w:tblPrEx>
        <w:trPr>
          <w:cantSplit/>
        </w:trPr>
        <w:tc>
          <w:tcPr>
            <w:tcW w:w="1276" w:type="dxa"/>
          </w:tcPr>
          <w:p w:rsidR="00000000" w:rsidRDefault="00000000">
            <w:pPr>
              <w:spacing w:after="0"/>
              <w:ind w:left="57" w:right="57"/>
            </w:pPr>
            <w:r>
              <w:t>s. 59</w:t>
            </w:r>
          </w:p>
        </w:tc>
        <w:tc>
          <w:tcPr>
            <w:tcW w:w="4842" w:type="dxa"/>
          </w:tcPr>
          <w:p w:rsidR="00000000" w:rsidRDefault="00000000">
            <w:pPr>
              <w:spacing w:after="0"/>
              <w:ind w:left="-64" w:right="57"/>
            </w:pPr>
            <w:r>
              <w:t>Abduction of male or female person</w:t>
            </w:r>
          </w:p>
        </w:tc>
        <w:tc>
          <w:tcPr>
            <w:tcW w:w="3238" w:type="dxa"/>
          </w:tcPr>
          <w:p w:rsidR="00000000" w:rsidRDefault="00000000">
            <w:pPr>
              <w:spacing w:after="0"/>
              <w:ind w:left="-64" w:right="57"/>
            </w:pPr>
            <w:r>
              <w:t>14 years</w:t>
            </w:r>
          </w:p>
        </w:tc>
      </w:tr>
      <w:tr w:rsidR="00000000">
        <w:tblPrEx>
          <w:shd w:val="clear" w:color="auto" w:fill="auto"/>
        </w:tblPrEx>
        <w:trPr>
          <w:cantSplit/>
        </w:trPr>
        <w:tc>
          <w:tcPr>
            <w:tcW w:w="1276" w:type="dxa"/>
          </w:tcPr>
          <w:p w:rsidR="00000000" w:rsidRDefault="00000000">
            <w:pPr>
              <w:spacing w:after="0"/>
              <w:ind w:left="57" w:right="57"/>
            </w:pPr>
            <w:r>
              <w:t>s. 64</w:t>
            </w:r>
          </w:p>
        </w:tc>
        <w:tc>
          <w:tcPr>
            <w:tcW w:w="4842" w:type="dxa"/>
          </w:tcPr>
          <w:p w:rsidR="00000000" w:rsidRDefault="00000000">
            <w:pPr>
              <w:spacing w:after="0"/>
              <w:ind w:left="-64" w:right="57"/>
            </w:pPr>
            <w:r>
              <w:t>Procure sexual intercourse</w:t>
            </w:r>
          </w:p>
        </w:tc>
        <w:tc>
          <w:tcPr>
            <w:tcW w:w="3238" w:type="dxa"/>
          </w:tcPr>
          <w:p w:rsidR="00000000" w:rsidRDefault="00000000">
            <w:pPr>
              <w:spacing w:after="0"/>
              <w:ind w:left="-64" w:right="57"/>
            </w:pPr>
            <w:r>
              <w:t>7 years</w:t>
            </w:r>
          </w:p>
        </w:tc>
      </w:tr>
      <w:tr w:rsidR="00000000">
        <w:tblPrEx>
          <w:shd w:val="clear" w:color="auto" w:fill="auto"/>
        </w:tblPrEx>
        <w:trPr>
          <w:cantSplit/>
        </w:trPr>
        <w:tc>
          <w:tcPr>
            <w:tcW w:w="1276" w:type="dxa"/>
          </w:tcPr>
          <w:p w:rsidR="00000000" w:rsidRDefault="00000000">
            <w:pPr>
              <w:spacing w:after="0"/>
              <w:ind w:left="57" w:right="57"/>
            </w:pPr>
            <w:r>
              <w:t>s. 74</w:t>
            </w:r>
          </w:p>
        </w:tc>
        <w:tc>
          <w:tcPr>
            <w:tcW w:w="4842" w:type="dxa"/>
          </w:tcPr>
          <w:p w:rsidR="00000000" w:rsidRDefault="00000000">
            <w:pPr>
              <w:spacing w:after="0"/>
              <w:ind w:left="-64" w:right="57"/>
            </w:pPr>
            <w:r>
              <w:t>Persistent sexual abuse of a child</w:t>
            </w:r>
          </w:p>
        </w:tc>
        <w:tc>
          <w:tcPr>
            <w:tcW w:w="3238" w:type="dxa"/>
          </w:tcPr>
          <w:p w:rsidR="00000000" w:rsidRDefault="00000000">
            <w:pPr>
              <w:spacing w:after="0"/>
              <w:ind w:left="-64" w:right="57"/>
            </w:pPr>
            <w:r>
              <w:t>Life</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80</w:t>
            </w:r>
          </w:p>
        </w:tc>
        <w:tc>
          <w:tcPr>
            <w:tcW w:w="4842" w:type="dxa"/>
            <w:tcBorders>
              <w:bottom w:val="single" w:sz="6" w:space="0" w:color="000000"/>
            </w:tcBorders>
          </w:tcPr>
          <w:p w:rsidR="00000000" w:rsidRDefault="00000000">
            <w:pPr>
              <w:spacing w:after="0"/>
              <w:ind w:left="-64" w:right="57"/>
            </w:pPr>
            <w:r>
              <w:t>Abduction of child under 16 years</w:t>
            </w:r>
          </w:p>
        </w:tc>
        <w:tc>
          <w:tcPr>
            <w:tcW w:w="3238" w:type="dxa"/>
            <w:tcBorders>
              <w:bottom w:val="single" w:sz="6" w:space="0" w:color="000000"/>
            </w:tcBorders>
          </w:tcPr>
          <w:p w:rsidR="00000000" w:rsidRDefault="00000000">
            <w:pPr>
              <w:spacing w:after="0"/>
              <w:ind w:left="-64" w:right="57"/>
            </w:pPr>
            <w:r>
              <w:t>7 years</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Mental Health Act 1993</w:t>
            </w:r>
          </w:p>
        </w:tc>
      </w:tr>
      <w:tr w:rsidR="00000000">
        <w:tblPrEx>
          <w:shd w:val="clear" w:color="auto" w:fill="auto"/>
        </w:tblPrEx>
        <w:trPr>
          <w:cantSplit/>
        </w:trPr>
        <w:tc>
          <w:tcPr>
            <w:tcW w:w="1276" w:type="dxa"/>
          </w:tcPr>
          <w:p w:rsidR="00000000" w:rsidRDefault="00000000">
            <w:pPr>
              <w:spacing w:after="0"/>
              <w:ind w:left="57" w:right="57"/>
            </w:pPr>
            <w:r>
              <w:t>s. 30</w:t>
            </w:r>
          </w:p>
        </w:tc>
        <w:tc>
          <w:tcPr>
            <w:tcW w:w="4842" w:type="dxa"/>
          </w:tcPr>
          <w:p w:rsidR="00000000" w:rsidRDefault="00000000">
            <w:pPr>
              <w:spacing w:after="0"/>
              <w:ind w:left="-64" w:right="57"/>
            </w:pPr>
            <w:r>
              <w:t>Neglect or ill treatment</w:t>
            </w:r>
          </w:p>
        </w:tc>
        <w:tc>
          <w:tcPr>
            <w:tcW w:w="3238" w:type="dxa"/>
          </w:tcPr>
          <w:p w:rsidR="00000000" w:rsidRDefault="00000000">
            <w:pPr>
              <w:spacing w:after="0"/>
              <w:ind w:left="-64" w:right="57"/>
            </w:pPr>
            <w:r>
              <w:t>2 years or $8,000 fine</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31</w:t>
            </w:r>
          </w:p>
        </w:tc>
        <w:tc>
          <w:tcPr>
            <w:tcW w:w="4842" w:type="dxa"/>
            <w:tcBorders>
              <w:bottom w:val="single" w:sz="6" w:space="0" w:color="000000"/>
            </w:tcBorders>
          </w:tcPr>
          <w:p w:rsidR="00000000" w:rsidRDefault="00000000">
            <w:pPr>
              <w:spacing w:after="0"/>
              <w:ind w:left="-64" w:right="57"/>
            </w:pPr>
            <w:r>
              <w:t>Offences in relation to authorisations and orders</w:t>
            </w:r>
          </w:p>
        </w:tc>
        <w:tc>
          <w:tcPr>
            <w:tcW w:w="3238" w:type="dxa"/>
            <w:tcBorders>
              <w:bottom w:val="single" w:sz="6" w:space="0" w:color="000000"/>
            </w:tcBorders>
          </w:tcPr>
          <w:p w:rsidR="00000000" w:rsidRDefault="00000000">
            <w:pPr>
              <w:spacing w:after="0"/>
              <w:ind w:left="-64" w:right="57"/>
            </w:pPr>
            <w:r>
              <w:t>2 years or $8,000 fine</w:t>
            </w:r>
          </w:p>
        </w:tc>
      </w:tr>
      <w:tr w:rsidR="00000000">
        <w:tblPrEx>
          <w:shd w:val="clear" w:color="auto" w:fill="auto"/>
        </w:tblPrEx>
        <w:trPr>
          <w:cantSplit/>
        </w:trPr>
        <w:tc>
          <w:tcPr>
            <w:tcW w:w="9356" w:type="dxa"/>
            <w:gridSpan w:val="3"/>
            <w:tcBorders>
              <w:left w:val="nil"/>
              <w:right w:val="nil"/>
            </w:tcBorders>
          </w:tcPr>
          <w:p w:rsidR="00000000" w:rsidRDefault="00000000">
            <w:pPr>
              <w:spacing w:before="120" w:after="120"/>
              <w:ind w:left="-62" w:right="57"/>
              <w:rPr>
                <w:b/>
                <w:bCs/>
                <w:i/>
                <w:iCs/>
              </w:rPr>
            </w:pPr>
            <w:r>
              <w:tab/>
            </w:r>
            <w:r>
              <w:tab/>
            </w:r>
            <w:r>
              <w:rPr>
                <w:b/>
                <w:bCs/>
                <w:i/>
                <w:iCs/>
              </w:rPr>
              <w:t>Guardianship and Administration Act 1993</w:t>
            </w:r>
          </w:p>
        </w:tc>
      </w:tr>
      <w:tr w:rsidR="00000000">
        <w:tblPrEx>
          <w:shd w:val="clear" w:color="auto" w:fill="auto"/>
        </w:tblPrEx>
        <w:trPr>
          <w:cantSplit/>
        </w:trPr>
        <w:tc>
          <w:tcPr>
            <w:tcW w:w="1276" w:type="dxa"/>
          </w:tcPr>
          <w:p w:rsidR="00000000" w:rsidRDefault="00000000">
            <w:pPr>
              <w:spacing w:after="0"/>
              <w:ind w:left="57" w:right="57"/>
            </w:pPr>
            <w:r>
              <w:t>s. 61</w:t>
            </w:r>
          </w:p>
        </w:tc>
        <w:tc>
          <w:tcPr>
            <w:tcW w:w="4842" w:type="dxa"/>
          </w:tcPr>
          <w:p w:rsidR="00000000" w:rsidRDefault="00000000">
            <w:pPr>
              <w:spacing w:after="0"/>
              <w:ind w:left="-64" w:right="57"/>
            </w:pPr>
            <w:r>
              <w:t>Prescribed treatment not to be carried out without Board’s consent</w:t>
            </w:r>
          </w:p>
        </w:tc>
        <w:tc>
          <w:tcPr>
            <w:tcW w:w="3238" w:type="dxa"/>
          </w:tcPr>
          <w:p w:rsidR="00000000" w:rsidRDefault="00000000">
            <w:pPr>
              <w:spacing w:after="0"/>
              <w:ind w:left="-64" w:right="57"/>
            </w:pPr>
            <w:r>
              <w:t>2 years or $10,000 fine</w:t>
            </w:r>
          </w:p>
        </w:tc>
      </w:tr>
      <w:tr w:rsidR="00000000">
        <w:tblPrEx>
          <w:shd w:val="clear" w:color="auto" w:fill="auto"/>
        </w:tblPrEx>
        <w:trPr>
          <w:cantSplit/>
        </w:trPr>
        <w:tc>
          <w:tcPr>
            <w:tcW w:w="1276" w:type="dxa"/>
          </w:tcPr>
          <w:p w:rsidR="00000000" w:rsidRDefault="00000000">
            <w:pPr>
              <w:spacing w:after="0"/>
              <w:ind w:left="57" w:right="57"/>
            </w:pPr>
            <w:r>
              <w:t>s. 76</w:t>
            </w:r>
          </w:p>
        </w:tc>
        <w:tc>
          <w:tcPr>
            <w:tcW w:w="4842" w:type="dxa"/>
          </w:tcPr>
          <w:p w:rsidR="00000000" w:rsidRDefault="00000000">
            <w:pPr>
              <w:spacing w:after="0"/>
              <w:ind w:left="-64" w:right="57"/>
            </w:pPr>
            <w:r>
              <w:t>Ill treatment or neglect of a person with mental incapacity</w:t>
            </w:r>
          </w:p>
        </w:tc>
        <w:tc>
          <w:tcPr>
            <w:tcW w:w="3238" w:type="dxa"/>
          </w:tcPr>
          <w:p w:rsidR="00000000" w:rsidRDefault="00000000">
            <w:pPr>
              <w:spacing w:after="0"/>
              <w:ind w:left="-64" w:right="57"/>
            </w:pPr>
            <w:r>
              <w:t>2 years or $10,000 fine</w:t>
            </w:r>
          </w:p>
        </w:tc>
      </w:tr>
      <w:tr w:rsidR="00000000">
        <w:tblPrEx>
          <w:shd w:val="clear" w:color="auto" w:fill="auto"/>
        </w:tblPrEx>
        <w:trPr>
          <w:cantSplit/>
        </w:trPr>
        <w:tc>
          <w:tcPr>
            <w:tcW w:w="1276" w:type="dxa"/>
            <w:tcBorders>
              <w:bottom w:val="single" w:sz="4" w:space="0" w:color="auto"/>
            </w:tcBorders>
          </w:tcPr>
          <w:p w:rsidR="00000000" w:rsidRDefault="00000000">
            <w:pPr>
              <w:spacing w:after="0"/>
              <w:ind w:left="57" w:right="57"/>
            </w:pPr>
            <w:r>
              <w:t>s. 77</w:t>
            </w:r>
          </w:p>
        </w:tc>
        <w:tc>
          <w:tcPr>
            <w:tcW w:w="4842" w:type="dxa"/>
            <w:tcBorders>
              <w:bottom w:val="single" w:sz="4" w:space="0" w:color="auto"/>
            </w:tcBorders>
          </w:tcPr>
          <w:p w:rsidR="00000000" w:rsidRDefault="00000000">
            <w:pPr>
              <w:spacing w:after="0"/>
              <w:ind w:left="-64" w:right="57"/>
            </w:pPr>
            <w:r>
              <w:t>Offences in relation to certain certificates and reports</w:t>
            </w:r>
          </w:p>
        </w:tc>
        <w:tc>
          <w:tcPr>
            <w:tcW w:w="3238" w:type="dxa"/>
            <w:tcBorders>
              <w:bottom w:val="single" w:sz="4" w:space="0" w:color="auto"/>
            </w:tcBorders>
          </w:tcPr>
          <w:p w:rsidR="00000000" w:rsidRDefault="00000000">
            <w:pPr>
              <w:spacing w:after="0"/>
              <w:ind w:left="-62" w:right="57"/>
            </w:pPr>
            <w:r>
              <w:t>2 years or $20,000 fine</w:t>
            </w:r>
          </w:p>
        </w:tc>
      </w:tr>
      <w:tr w:rsidR="00000000">
        <w:tblPrEx>
          <w:shd w:val="clear" w:color="auto" w:fill="auto"/>
        </w:tblPrEx>
        <w:trPr>
          <w:cantSplit/>
          <w:trHeight w:val="797"/>
        </w:trPr>
        <w:tc>
          <w:tcPr>
            <w:tcW w:w="9356" w:type="dxa"/>
            <w:gridSpan w:val="3"/>
            <w:tcBorders>
              <w:top w:val="single" w:sz="4" w:space="0" w:color="auto"/>
              <w:left w:val="nil"/>
              <w:bottom w:val="single" w:sz="6" w:space="0" w:color="000000"/>
              <w:right w:val="nil"/>
            </w:tcBorders>
          </w:tcPr>
          <w:p w:rsidR="00000000" w:rsidRDefault="00000000">
            <w:pPr>
              <w:pStyle w:val="Heading3"/>
              <w:spacing w:before="120" w:after="120"/>
            </w:pPr>
            <w:r>
              <w:tab/>
              <w:t>Tasmania</w:t>
            </w:r>
          </w:p>
          <w:p w:rsidR="00000000" w:rsidRDefault="00000000">
            <w:pPr>
              <w:pStyle w:val="Heading5"/>
              <w:spacing w:after="120"/>
            </w:pPr>
            <w:r>
              <w:tab/>
              <w:t>Criminal Code 1924</w:t>
            </w:r>
          </w:p>
        </w:tc>
      </w:tr>
      <w:tr w:rsidR="00000000">
        <w:tblPrEx>
          <w:shd w:val="clear" w:color="auto" w:fill="auto"/>
        </w:tblPrEx>
        <w:trPr>
          <w:cantSplit/>
        </w:trPr>
        <w:tc>
          <w:tcPr>
            <w:tcW w:w="1276" w:type="dxa"/>
          </w:tcPr>
          <w:p w:rsidR="00000000" w:rsidRDefault="00000000">
            <w:pPr>
              <w:spacing w:after="0"/>
              <w:ind w:left="57" w:right="57"/>
            </w:pPr>
            <w:r>
              <w:t>s. 115</w:t>
            </w:r>
          </w:p>
        </w:tc>
        <w:tc>
          <w:tcPr>
            <w:tcW w:w="4842" w:type="dxa"/>
          </w:tcPr>
          <w:p w:rsidR="00000000" w:rsidRDefault="00000000">
            <w:pPr>
              <w:spacing w:after="0"/>
              <w:ind w:left="-64" w:right="57"/>
            </w:pPr>
            <w:r>
              <w:t>Omission by public officer to perform duty</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126</w:t>
            </w:r>
          </w:p>
        </w:tc>
        <w:tc>
          <w:tcPr>
            <w:tcW w:w="4842" w:type="dxa"/>
          </w:tcPr>
          <w:p w:rsidR="00000000" w:rsidRDefault="00000000">
            <w:pPr>
              <w:spacing w:after="0"/>
              <w:ind w:left="-64" w:right="57"/>
            </w:pPr>
            <w:r>
              <w:t>Unlawful sexual intercourse with insane persons or defectives</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127</w:t>
            </w:r>
          </w:p>
        </w:tc>
        <w:tc>
          <w:tcPr>
            <w:tcW w:w="4842" w:type="dxa"/>
          </w:tcPr>
          <w:p w:rsidR="00000000" w:rsidRDefault="00000000">
            <w:pPr>
              <w:spacing w:after="0"/>
              <w:ind w:left="-64" w:right="57"/>
            </w:pPr>
            <w:r>
              <w:t>Indecent assault</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127A</w:t>
            </w:r>
          </w:p>
        </w:tc>
        <w:tc>
          <w:tcPr>
            <w:tcW w:w="4842" w:type="dxa"/>
          </w:tcPr>
          <w:p w:rsidR="00000000" w:rsidRDefault="00000000">
            <w:pPr>
              <w:spacing w:after="0"/>
              <w:ind w:left="-64" w:right="57"/>
            </w:pPr>
            <w:r>
              <w:t>Aggravated sexual assault</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144</w:t>
            </w:r>
          </w:p>
        </w:tc>
        <w:tc>
          <w:tcPr>
            <w:tcW w:w="4842" w:type="dxa"/>
          </w:tcPr>
          <w:p w:rsidR="00000000" w:rsidRDefault="00000000">
            <w:pPr>
              <w:spacing w:after="0"/>
              <w:ind w:left="-64" w:right="57"/>
            </w:pPr>
            <w:r>
              <w:t>Duty to provide necessaries</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152</w:t>
            </w:r>
          </w:p>
        </w:tc>
        <w:tc>
          <w:tcPr>
            <w:tcW w:w="4842" w:type="dxa"/>
          </w:tcPr>
          <w:p w:rsidR="00000000" w:rsidRDefault="00000000">
            <w:pPr>
              <w:spacing w:after="0"/>
              <w:ind w:left="-64" w:right="57"/>
            </w:pPr>
            <w:r>
              <w:t>Omission of duty</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158</w:t>
            </w:r>
          </w:p>
        </w:tc>
        <w:tc>
          <w:tcPr>
            <w:tcW w:w="4842" w:type="dxa"/>
          </w:tcPr>
          <w:p w:rsidR="00000000" w:rsidRDefault="00000000">
            <w:pPr>
              <w:spacing w:after="0"/>
              <w:ind w:left="-64" w:right="57"/>
            </w:pPr>
            <w:r>
              <w:t>Murder</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159</w:t>
            </w:r>
          </w:p>
        </w:tc>
        <w:tc>
          <w:tcPr>
            <w:tcW w:w="4842" w:type="dxa"/>
          </w:tcPr>
          <w:p w:rsidR="00000000" w:rsidRDefault="00000000">
            <w:pPr>
              <w:spacing w:after="0"/>
              <w:ind w:left="-64" w:right="57"/>
            </w:pPr>
            <w:r>
              <w:t>Manslaughter</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161</w:t>
            </w:r>
          </w:p>
        </w:tc>
        <w:tc>
          <w:tcPr>
            <w:tcW w:w="4842" w:type="dxa"/>
          </w:tcPr>
          <w:p w:rsidR="00000000" w:rsidRDefault="00000000">
            <w:pPr>
              <w:spacing w:after="0"/>
              <w:ind w:left="-64" w:right="57"/>
            </w:pPr>
            <w:r>
              <w:t>Accessory after the fact to murder</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170</w:t>
            </w:r>
          </w:p>
        </w:tc>
        <w:tc>
          <w:tcPr>
            <w:tcW w:w="4842" w:type="dxa"/>
          </w:tcPr>
          <w:p w:rsidR="00000000" w:rsidRDefault="00000000">
            <w:pPr>
              <w:spacing w:after="0"/>
              <w:ind w:left="-64" w:right="57"/>
            </w:pPr>
            <w:r>
              <w:t>Committing an unlawful act intending to cause bodily harm</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172</w:t>
            </w:r>
          </w:p>
        </w:tc>
        <w:tc>
          <w:tcPr>
            <w:tcW w:w="4842" w:type="dxa"/>
          </w:tcPr>
          <w:p w:rsidR="00000000" w:rsidRDefault="00000000">
            <w:pPr>
              <w:spacing w:after="0"/>
              <w:ind w:left="-64" w:right="57"/>
            </w:pPr>
            <w:r>
              <w:t>Wounding or causing grievous bodily harm</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175</w:t>
            </w:r>
          </w:p>
        </w:tc>
        <w:tc>
          <w:tcPr>
            <w:tcW w:w="4842" w:type="dxa"/>
          </w:tcPr>
          <w:p w:rsidR="00000000" w:rsidRDefault="00000000">
            <w:pPr>
              <w:spacing w:after="0"/>
              <w:ind w:left="-64" w:right="57"/>
            </w:pPr>
            <w:r>
              <w:t>Causing injury by poison</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176</w:t>
            </w:r>
          </w:p>
        </w:tc>
        <w:tc>
          <w:tcPr>
            <w:tcW w:w="4842" w:type="dxa"/>
          </w:tcPr>
          <w:p w:rsidR="00000000" w:rsidRDefault="00000000">
            <w:pPr>
              <w:spacing w:after="0"/>
              <w:ind w:left="-64" w:right="57"/>
            </w:pPr>
            <w:r>
              <w:t>Administering poison</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177</w:t>
            </w:r>
          </w:p>
        </w:tc>
        <w:tc>
          <w:tcPr>
            <w:tcW w:w="4842" w:type="dxa"/>
          </w:tcPr>
          <w:p w:rsidR="00000000" w:rsidRDefault="00000000">
            <w:pPr>
              <w:spacing w:after="0"/>
              <w:ind w:left="-64" w:right="57"/>
            </w:pPr>
            <w:r>
              <w:t>Failing to supply necessaries</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183</w:t>
            </w:r>
          </w:p>
        </w:tc>
        <w:tc>
          <w:tcPr>
            <w:tcW w:w="4842" w:type="dxa"/>
          </w:tcPr>
          <w:p w:rsidR="00000000" w:rsidRDefault="00000000">
            <w:pPr>
              <w:spacing w:after="0"/>
              <w:ind w:left="-64" w:right="57"/>
            </w:pPr>
            <w:r>
              <w:t>Aggravated assault</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Pr>
          <w:p w:rsidR="00000000" w:rsidRDefault="00000000">
            <w:pPr>
              <w:spacing w:after="0"/>
              <w:ind w:left="57" w:right="57"/>
            </w:pPr>
            <w:r>
              <w:t>s. 184</w:t>
            </w:r>
          </w:p>
        </w:tc>
        <w:tc>
          <w:tcPr>
            <w:tcW w:w="4842" w:type="dxa"/>
          </w:tcPr>
          <w:p w:rsidR="00000000" w:rsidRDefault="00000000">
            <w:pPr>
              <w:spacing w:after="0"/>
              <w:ind w:left="-64" w:right="57"/>
            </w:pPr>
            <w:r>
              <w:t>Assault</w:t>
            </w:r>
          </w:p>
        </w:tc>
        <w:tc>
          <w:tcPr>
            <w:tcW w:w="3238" w:type="dxa"/>
          </w:tcPr>
          <w:p w:rsidR="00000000" w:rsidRDefault="00000000">
            <w:pPr>
              <w:spacing w:after="0"/>
              <w:ind w:left="-62" w:right="6"/>
            </w:pPr>
            <w:r>
              <w:t>21 years</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185</w:t>
            </w:r>
          </w:p>
        </w:tc>
        <w:tc>
          <w:tcPr>
            <w:tcW w:w="4842" w:type="dxa"/>
            <w:tcBorders>
              <w:bottom w:val="single" w:sz="6" w:space="0" w:color="000000"/>
            </w:tcBorders>
          </w:tcPr>
          <w:p w:rsidR="00000000" w:rsidRDefault="00000000">
            <w:pPr>
              <w:spacing w:after="0"/>
              <w:ind w:left="-64" w:right="57"/>
            </w:pPr>
            <w:r>
              <w:t>Rape</w:t>
            </w:r>
          </w:p>
        </w:tc>
        <w:tc>
          <w:tcPr>
            <w:tcW w:w="3238" w:type="dxa"/>
            <w:tcBorders>
              <w:bottom w:val="single" w:sz="6" w:space="0" w:color="000000"/>
            </w:tcBorders>
          </w:tcPr>
          <w:p w:rsidR="00000000" w:rsidRDefault="00000000">
            <w:pPr>
              <w:spacing w:after="0"/>
              <w:ind w:left="-62" w:right="6"/>
            </w:pPr>
            <w:r>
              <w:t>21 years</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Alcohol and Drug Dependency Act 1968</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63</w:t>
            </w:r>
          </w:p>
        </w:tc>
        <w:tc>
          <w:tcPr>
            <w:tcW w:w="4842" w:type="dxa"/>
            <w:tcBorders>
              <w:bottom w:val="single" w:sz="6" w:space="0" w:color="000000"/>
            </w:tcBorders>
          </w:tcPr>
          <w:p w:rsidR="00000000" w:rsidRDefault="00000000">
            <w:pPr>
              <w:spacing w:after="0"/>
              <w:ind w:left="-64" w:right="57"/>
            </w:pPr>
            <w:r>
              <w:t>Ill treatment or neglect of patients in treatment centres</w:t>
            </w:r>
          </w:p>
        </w:tc>
        <w:tc>
          <w:tcPr>
            <w:tcW w:w="3238" w:type="dxa"/>
            <w:tcBorders>
              <w:bottom w:val="single" w:sz="6" w:space="0" w:color="000000"/>
            </w:tcBorders>
          </w:tcPr>
          <w:p w:rsidR="00000000" w:rsidRDefault="00000000">
            <w:pPr>
              <w:spacing w:after="0"/>
              <w:ind w:left="-64" w:right="57"/>
            </w:pPr>
            <w:r>
              <w:t>12 months</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Children, Young Persons and Their Families Act 1977</w:t>
            </w:r>
          </w:p>
        </w:tc>
      </w:tr>
      <w:tr w:rsidR="00000000">
        <w:tblPrEx>
          <w:shd w:val="clear" w:color="auto" w:fill="auto"/>
        </w:tblPrEx>
        <w:trPr>
          <w:cantSplit/>
        </w:trPr>
        <w:tc>
          <w:tcPr>
            <w:tcW w:w="1276" w:type="dxa"/>
          </w:tcPr>
          <w:p w:rsidR="00000000" w:rsidRDefault="00000000">
            <w:pPr>
              <w:spacing w:after="0"/>
              <w:ind w:left="57" w:right="57"/>
            </w:pPr>
            <w:r>
              <w:t>s. 13</w:t>
            </w:r>
          </w:p>
        </w:tc>
        <w:tc>
          <w:tcPr>
            <w:tcW w:w="4842" w:type="dxa"/>
          </w:tcPr>
          <w:p w:rsidR="00000000" w:rsidRDefault="00000000">
            <w:pPr>
              <w:spacing w:after="0"/>
              <w:ind w:left="-64" w:right="57"/>
            </w:pPr>
            <w:r>
              <w:t>Responsibility to prevent abuse or neglect</w:t>
            </w:r>
          </w:p>
        </w:tc>
        <w:tc>
          <w:tcPr>
            <w:tcW w:w="3238" w:type="dxa"/>
          </w:tcPr>
          <w:p w:rsidR="00000000" w:rsidRDefault="00000000">
            <w:pPr>
              <w:spacing w:after="0"/>
              <w:ind w:left="-64" w:right="57"/>
            </w:pPr>
            <w:r>
              <w:t>Fine not exceeding 20 penalty units</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91</w:t>
            </w:r>
          </w:p>
        </w:tc>
        <w:tc>
          <w:tcPr>
            <w:tcW w:w="4842" w:type="dxa"/>
            <w:tcBorders>
              <w:bottom w:val="single" w:sz="6" w:space="0" w:color="000000"/>
            </w:tcBorders>
          </w:tcPr>
          <w:p w:rsidR="00000000" w:rsidRDefault="00000000">
            <w:pPr>
              <w:spacing w:after="0"/>
              <w:ind w:left="-64" w:right="57"/>
            </w:pPr>
            <w:r>
              <w:t>Failure to protect child from harm</w:t>
            </w:r>
          </w:p>
        </w:tc>
        <w:tc>
          <w:tcPr>
            <w:tcW w:w="3238" w:type="dxa"/>
            <w:tcBorders>
              <w:bottom w:val="single" w:sz="6" w:space="0" w:color="000000"/>
            </w:tcBorders>
          </w:tcPr>
          <w:p w:rsidR="00000000" w:rsidRDefault="00000000">
            <w:pPr>
              <w:spacing w:after="0"/>
              <w:ind w:left="-64" w:right="57"/>
            </w:pPr>
            <w:r>
              <w:t>50 penalty units or imprisonment for a term not exceeding 2 years or both</w:t>
            </w:r>
          </w:p>
        </w:tc>
      </w:tr>
      <w:tr w:rsidR="00000000">
        <w:tblPrEx>
          <w:shd w:val="clear" w:color="auto" w:fill="auto"/>
        </w:tblPrEx>
        <w:trPr>
          <w:cantSplit/>
          <w:trHeight w:val="1053"/>
        </w:trPr>
        <w:tc>
          <w:tcPr>
            <w:tcW w:w="9356" w:type="dxa"/>
            <w:gridSpan w:val="3"/>
            <w:tcBorders>
              <w:left w:val="nil"/>
              <w:bottom w:val="single" w:sz="6" w:space="0" w:color="000000"/>
              <w:right w:val="nil"/>
            </w:tcBorders>
          </w:tcPr>
          <w:p w:rsidR="00000000" w:rsidRDefault="00000000">
            <w:pPr>
              <w:spacing w:before="120" w:after="120"/>
              <w:ind w:left="57" w:right="57"/>
            </w:pPr>
            <w:r>
              <w:tab/>
              <w:t>One penalty point = $ 100</w:t>
            </w:r>
          </w:p>
          <w:p w:rsidR="00000000" w:rsidRDefault="00000000">
            <w:pPr>
              <w:pStyle w:val="Heading5"/>
              <w:spacing w:after="120"/>
            </w:pPr>
            <w:r>
              <w:tab/>
              <w:t>Guardianship and Administration Act 1995</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38</w:t>
            </w:r>
          </w:p>
        </w:tc>
        <w:tc>
          <w:tcPr>
            <w:tcW w:w="4842" w:type="dxa"/>
            <w:tcBorders>
              <w:bottom w:val="single" w:sz="6" w:space="0" w:color="000000"/>
            </w:tcBorders>
          </w:tcPr>
          <w:p w:rsidR="00000000" w:rsidRDefault="00000000">
            <w:pPr>
              <w:spacing w:after="0"/>
              <w:ind w:left="-64" w:right="57"/>
            </w:pPr>
            <w:r>
              <w:t>Carrying out medical treatment contrary to the Act on indictment</w:t>
            </w:r>
          </w:p>
        </w:tc>
        <w:tc>
          <w:tcPr>
            <w:tcW w:w="3238" w:type="dxa"/>
            <w:tcBorders>
              <w:bottom w:val="single" w:sz="6" w:space="0" w:color="000000"/>
            </w:tcBorders>
          </w:tcPr>
          <w:p w:rsidR="00000000" w:rsidRDefault="00000000">
            <w:pPr>
              <w:spacing w:after="0"/>
              <w:ind w:left="-64" w:right="57"/>
            </w:pPr>
            <w:r>
              <w:t>21 years</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Mental Health Act 1963</w:t>
            </w:r>
          </w:p>
        </w:tc>
      </w:tr>
      <w:tr w:rsidR="00000000">
        <w:tblPrEx>
          <w:shd w:val="clear" w:color="auto" w:fill="auto"/>
        </w:tblPrEx>
        <w:trPr>
          <w:cantSplit/>
        </w:trPr>
        <w:tc>
          <w:tcPr>
            <w:tcW w:w="1276" w:type="dxa"/>
          </w:tcPr>
          <w:p w:rsidR="00000000" w:rsidRDefault="00000000">
            <w:pPr>
              <w:spacing w:after="0"/>
              <w:ind w:left="57" w:right="57"/>
            </w:pPr>
            <w:r>
              <w:t>s. 106 (1)</w:t>
            </w:r>
          </w:p>
        </w:tc>
        <w:tc>
          <w:tcPr>
            <w:tcW w:w="4842" w:type="dxa"/>
          </w:tcPr>
          <w:p w:rsidR="00000000" w:rsidRDefault="00000000">
            <w:pPr>
              <w:spacing w:after="0"/>
              <w:ind w:left="-64" w:right="57"/>
            </w:pPr>
            <w:r>
              <w:t>Ill treatment or neglect of patients by staff</w:t>
            </w:r>
          </w:p>
        </w:tc>
        <w:tc>
          <w:tcPr>
            <w:tcW w:w="3238" w:type="dxa"/>
          </w:tcPr>
          <w:p w:rsidR="00000000" w:rsidRDefault="00000000">
            <w:pPr>
              <w:spacing w:after="0"/>
              <w:ind w:left="-64" w:right="57"/>
            </w:pPr>
            <w:r>
              <w:t>6 months</w:t>
            </w:r>
          </w:p>
        </w:tc>
      </w:tr>
      <w:tr w:rsidR="00000000">
        <w:tblPrEx>
          <w:shd w:val="clear" w:color="auto" w:fill="auto"/>
        </w:tblPrEx>
        <w:trPr>
          <w:cantSplit/>
        </w:trPr>
        <w:tc>
          <w:tcPr>
            <w:tcW w:w="1276" w:type="dxa"/>
          </w:tcPr>
          <w:p w:rsidR="00000000" w:rsidRDefault="00000000">
            <w:pPr>
              <w:spacing w:after="0"/>
              <w:ind w:left="57" w:right="57"/>
            </w:pPr>
            <w:r>
              <w:t>s. 106 (3)</w:t>
            </w:r>
          </w:p>
        </w:tc>
        <w:tc>
          <w:tcPr>
            <w:tcW w:w="4842" w:type="dxa"/>
          </w:tcPr>
          <w:p w:rsidR="00000000" w:rsidRDefault="00000000">
            <w:pPr>
              <w:spacing w:after="0"/>
              <w:ind w:left="-64" w:right="57"/>
            </w:pPr>
            <w:r>
              <w:t>Ill treatment or neglect of mental illness patients by responsible persons</w:t>
            </w:r>
          </w:p>
        </w:tc>
        <w:tc>
          <w:tcPr>
            <w:tcW w:w="3238" w:type="dxa"/>
          </w:tcPr>
          <w:p w:rsidR="00000000" w:rsidRDefault="00000000">
            <w:pPr>
              <w:spacing w:after="0"/>
              <w:ind w:left="-64" w:right="57"/>
            </w:pPr>
            <w:r>
              <w:t>6 months</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107</w:t>
            </w:r>
          </w:p>
        </w:tc>
        <w:tc>
          <w:tcPr>
            <w:tcW w:w="4842" w:type="dxa"/>
            <w:tcBorders>
              <w:bottom w:val="single" w:sz="6" w:space="0" w:color="000000"/>
            </w:tcBorders>
          </w:tcPr>
          <w:p w:rsidR="00000000" w:rsidRDefault="00000000">
            <w:pPr>
              <w:spacing w:after="0"/>
              <w:ind w:left="-64" w:right="57"/>
            </w:pPr>
            <w:r>
              <w:t>Improper use of restraint and seclusion of patients with mental illness</w:t>
            </w:r>
          </w:p>
        </w:tc>
        <w:tc>
          <w:tcPr>
            <w:tcW w:w="3238" w:type="dxa"/>
            <w:tcBorders>
              <w:bottom w:val="single" w:sz="6" w:space="0" w:color="000000"/>
            </w:tcBorders>
          </w:tcPr>
          <w:p w:rsidR="00000000" w:rsidRDefault="00000000">
            <w:pPr>
              <w:spacing w:after="0"/>
              <w:ind w:left="-64" w:right="57"/>
            </w:pPr>
            <w:r>
              <w:t>6 months</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Mental Health Act 1996</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87</w:t>
            </w:r>
          </w:p>
        </w:tc>
        <w:tc>
          <w:tcPr>
            <w:tcW w:w="4842" w:type="dxa"/>
            <w:tcBorders>
              <w:bottom w:val="single" w:sz="6" w:space="0" w:color="000000"/>
            </w:tcBorders>
          </w:tcPr>
          <w:p w:rsidR="00000000" w:rsidRDefault="00000000">
            <w:pPr>
              <w:spacing w:after="0"/>
              <w:ind w:left="-64" w:right="57"/>
            </w:pPr>
            <w:r>
              <w:t>Ill treatment or neglect of patients</w:t>
            </w:r>
          </w:p>
        </w:tc>
        <w:tc>
          <w:tcPr>
            <w:tcW w:w="3238" w:type="dxa"/>
            <w:tcBorders>
              <w:bottom w:val="single" w:sz="6" w:space="0" w:color="000000"/>
            </w:tcBorders>
          </w:tcPr>
          <w:p w:rsidR="00000000" w:rsidRDefault="00000000">
            <w:pPr>
              <w:spacing w:after="0"/>
              <w:ind w:left="-64" w:right="57"/>
            </w:pPr>
            <w:r>
              <w:t>2 years</w:t>
            </w:r>
          </w:p>
        </w:tc>
      </w:tr>
      <w:tr w:rsidR="00000000">
        <w:tblPrEx>
          <w:shd w:val="clear" w:color="auto" w:fill="auto"/>
        </w:tblPrEx>
        <w:trPr>
          <w:cantSplit/>
          <w:trHeight w:val="551"/>
        </w:trPr>
        <w:tc>
          <w:tcPr>
            <w:tcW w:w="9356" w:type="dxa"/>
            <w:gridSpan w:val="3"/>
            <w:tcBorders>
              <w:left w:val="nil"/>
              <w:bottom w:val="single" w:sz="6" w:space="0" w:color="000000"/>
              <w:right w:val="nil"/>
            </w:tcBorders>
          </w:tcPr>
          <w:p w:rsidR="00000000" w:rsidRDefault="00000000">
            <w:pPr>
              <w:pStyle w:val="Heading3"/>
              <w:spacing w:before="120" w:after="120"/>
            </w:pPr>
            <w:r>
              <w:tab/>
              <w:t>Victoria</w:t>
            </w:r>
          </w:p>
          <w:p w:rsidR="00000000" w:rsidRDefault="00000000">
            <w:pPr>
              <w:pStyle w:val="Heading5"/>
              <w:spacing w:after="120"/>
            </w:pPr>
            <w:r>
              <w:tab/>
              <w:t>Crimes Act 1958</w:t>
            </w:r>
          </w:p>
        </w:tc>
      </w:tr>
      <w:tr w:rsidR="00000000">
        <w:tblPrEx>
          <w:shd w:val="clear" w:color="auto" w:fill="auto"/>
        </w:tblPrEx>
        <w:trPr>
          <w:cantSplit/>
        </w:trPr>
        <w:tc>
          <w:tcPr>
            <w:tcW w:w="1276" w:type="dxa"/>
          </w:tcPr>
          <w:p w:rsidR="00000000" w:rsidRDefault="00000000">
            <w:pPr>
              <w:spacing w:after="0"/>
              <w:ind w:left="57" w:right="57"/>
            </w:pPr>
            <w:r>
              <w:t>s. 3</w:t>
            </w:r>
          </w:p>
        </w:tc>
        <w:tc>
          <w:tcPr>
            <w:tcW w:w="4842" w:type="dxa"/>
          </w:tcPr>
          <w:p w:rsidR="00000000" w:rsidRDefault="00000000">
            <w:pPr>
              <w:spacing w:after="0"/>
              <w:ind w:left="-64" w:right="57"/>
            </w:pPr>
            <w:r>
              <w:t>Punishment for murder</w:t>
            </w:r>
          </w:p>
        </w:tc>
        <w:tc>
          <w:tcPr>
            <w:tcW w:w="3238" w:type="dxa"/>
          </w:tcPr>
          <w:p w:rsidR="00000000" w:rsidRDefault="00000000">
            <w:pPr>
              <w:spacing w:after="0"/>
              <w:ind w:left="-64" w:right="57"/>
            </w:pPr>
            <w:r>
              <w:t>Life or imprisonment for such other term as is fixed by the court</w:t>
            </w:r>
          </w:p>
        </w:tc>
      </w:tr>
      <w:tr w:rsidR="00000000">
        <w:tblPrEx>
          <w:shd w:val="clear" w:color="auto" w:fill="auto"/>
        </w:tblPrEx>
        <w:trPr>
          <w:cantSplit/>
        </w:trPr>
        <w:tc>
          <w:tcPr>
            <w:tcW w:w="1276" w:type="dxa"/>
          </w:tcPr>
          <w:p w:rsidR="00000000" w:rsidRDefault="00000000">
            <w:pPr>
              <w:spacing w:after="0"/>
              <w:ind w:left="57" w:right="57"/>
            </w:pPr>
            <w:r>
              <w:t>s. 3A</w:t>
            </w:r>
          </w:p>
        </w:tc>
        <w:tc>
          <w:tcPr>
            <w:tcW w:w="4842" w:type="dxa"/>
          </w:tcPr>
          <w:p w:rsidR="00000000" w:rsidRDefault="00000000">
            <w:pPr>
              <w:spacing w:after="0"/>
              <w:ind w:left="-64" w:right="57"/>
            </w:pPr>
            <w:r>
              <w:t>Unintentional killing in the course of furtherance of a crime of violence</w:t>
            </w:r>
          </w:p>
        </w:tc>
        <w:tc>
          <w:tcPr>
            <w:tcW w:w="3238" w:type="dxa"/>
          </w:tcPr>
          <w:p w:rsidR="00000000" w:rsidRDefault="00000000">
            <w:pPr>
              <w:spacing w:after="0"/>
              <w:ind w:left="-64" w:right="57"/>
            </w:pPr>
            <w:r>
              <w:t>Person liable to be convicted of murder.  Penalties as above</w:t>
            </w:r>
          </w:p>
        </w:tc>
      </w:tr>
      <w:tr w:rsidR="00000000">
        <w:tblPrEx>
          <w:shd w:val="clear" w:color="auto" w:fill="auto"/>
        </w:tblPrEx>
        <w:trPr>
          <w:cantSplit/>
        </w:trPr>
        <w:tc>
          <w:tcPr>
            <w:tcW w:w="1276" w:type="dxa"/>
          </w:tcPr>
          <w:p w:rsidR="00000000" w:rsidRDefault="00000000">
            <w:pPr>
              <w:spacing w:after="0"/>
              <w:ind w:left="57" w:right="57"/>
            </w:pPr>
            <w:r>
              <w:t>s. 5</w:t>
            </w:r>
          </w:p>
        </w:tc>
        <w:tc>
          <w:tcPr>
            <w:tcW w:w="4842" w:type="dxa"/>
          </w:tcPr>
          <w:p w:rsidR="00000000" w:rsidRDefault="00000000">
            <w:pPr>
              <w:spacing w:after="0"/>
              <w:ind w:left="-64" w:right="57"/>
            </w:pPr>
            <w:r>
              <w:t>Punishment of manslaughter</w:t>
            </w:r>
          </w:p>
        </w:tc>
        <w:tc>
          <w:tcPr>
            <w:tcW w:w="3238" w:type="dxa"/>
          </w:tcPr>
          <w:p w:rsidR="00000000" w:rsidRDefault="00000000">
            <w:pPr>
              <w:spacing w:after="0"/>
              <w:ind w:left="-64" w:right="57"/>
            </w:pPr>
            <w:r>
              <w:t>20 years imprisonment or a fine in addition to or instead of a term of imprisonment</w:t>
            </w:r>
          </w:p>
        </w:tc>
      </w:tr>
      <w:tr w:rsidR="00000000">
        <w:tblPrEx>
          <w:shd w:val="clear" w:color="auto" w:fill="auto"/>
        </w:tblPrEx>
        <w:trPr>
          <w:cantSplit/>
        </w:trPr>
        <w:tc>
          <w:tcPr>
            <w:tcW w:w="1276" w:type="dxa"/>
          </w:tcPr>
          <w:p w:rsidR="00000000" w:rsidRDefault="00000000">
            <w:pPr>
              <w:spacing w:after="0"/>
              <w:ind w:left="57" w:right="57"/>
            </w:pPr>
            <w:r>
              <w:t>s. 16</w:t>
            </w:r>
          </w:p>
        </w:tc>
        <w:tc>
          <w:tcPr>
            <w:tcW w:w="4842" w:type="dxa"/>
          </w:tcPr>
          <w:p w:rsidR="00000000" w:rsidRDefault="00000000">
            <w:pPr>
              <w:spacing w:after="0"/>
              <w:ind w:left="-64" w:right="57"/>
            </w:pPr>
            <w:r>
              <w:t>Causing serious injury intentionally</w:t>
            </w:r>
          </w:p>
        </w:tc>
        <w:tc>
          <w:tcPr>
            <w:tcW w:w="3238" w:type="dxa"/>
          </w:tcPr>
          <w:p w:rsidR="00000000" w:rsidRDefault="00000000">
            <w:pPr>
              <w:spacing w:after="0"/>
              <w:ind w:left="-64" w:right="57"/>
            </w:pPr>
            <w:r>
              <w:t xml:space="preserve">20 years </w:t>
            </w:r>
          </w:p>
        </w:tc>
      </w:tr>
      <w:tr w:rsidR="00000000">
        <w:tblPrEx>
          <w:shd w:val="clear" w:color="auto" w:fill="auto"/>
        </w:tblPrEx>
        <w:trPr>
          <w:cantSplit/>
        </w:trPr>
        <w:tc>
          <w:tcPr>
            <w:tcW w:w="1276" w:type="dxa"/>
          </w:tcPr>
          <w:p w:rsidR="00000000" w:rsidRDefault="00000000">
            <w:pPr>
              <w:spacing w:after="0"/>
              <w:ind w:left="57" w:right="57"/>
            </w:pPr>
            <w:r>
              <w:t>s. 17</w:t>
            </w:r>
          </w:p>
        </w:tc>
        <w:tc>
          <w:tcPr>
            <w:tcW w:w="4842" w:type="dxa"/>
          </w:tcPr>
          <w:p w:rsidR="00000000" w:rsidRDefault="00000000">
            <w:pPr>
              <w:spacing w:after="0"/>
              <w:ind w:left="-64" w:right="57"/>
            </w:pPr>
            <w:r>
              <w:t>Causing serious injury recklessly</w:t>
            </w:r>
          </w:p>
        </w:tc>
        <w:tc>
          <w:tcPr>
            <w:tcW w:w="3238" w:type="dxa"/>
          </w:tcPr>
          <w:p w:rsidR="00000000" w:rsidRDefault="00000000">
            <w:pPr>
              <w:spacing w:after="0"/>
              <w:ind w:left="-64" w:right="57"/>
            </w:pPr>
            <w:r>
              <w:t xml:space="preserve">15 years </w:t>
            </w:r>
          </w:p>
        </w:tc>
      </w:tr>
      <w:tr w:rsidR="00000000">
        <w:tblPrEx>
          <w:shd w:val="clear" w:color="auto" w:fill="auto"/>
        </w:tblPrEx>
        <w:trPr>
          <w:cantSplit/>
        </w:trPr>
        <w:tc>
          <w:tcPr>
            <w:tcW w:w="1276" w:type="dxa"/>
          </w:tcPr>
          <w:p w:rsidR="00000000" w:rsidRDefault="00000000">
            <w:pPr>
              <w:spacing w:after="0"/>
              <w:ind w:left="57" w:right="57"/>
            </w:pPr>
            <w:r>
              <w:t>s. 18</w:t>
            </w:r>
          </w:p>
        </w:tc>
        <w:tc>
          <w:tcPr>
            <w:tcW w:w="4842" w:type="dxa"/>
          </w:tcPr>
          <w:p w:rsidR="00000000" w:rsidRDefault="00000000">
            <w:pPr>
              <w:spacing w:after="0"/>
              <w:ind w:left="-64" w:right="57"/>
            </w:pPr>
            <w:r>
              <w:t>Causing injury intentionally or recklessly</w:t>
            </w:r>
          </w:p>
        </w:tc>
        <w:tc>
          <w:tcPr>
            <w:tcW w:w="3238" w:type="dxa"/>
          </w:tcPr>
          <w:p w:rsidR="00000000" w:rsidRDefault="00000000">
            <w:pPr>
              <w:spacing w:after="0"/>
              <w:ind w:left="-64" w:right="57"/>
            </w:pPr>
            <w:r>
              <w:t xml:space="preserve">10 years if the injury was caused intentionally; </w:t>
            </w:r>
            <w:r>
              <w:br/>
              <w:t>5 years if the injury was caused recklessly</w:t>
            </w:r>
          </w:p>
        </w:tc>
      </w:tr>
      <w:tr w:rsidR="00000000">
        <w:tblPrEx>
          <w:shd w:val="clear" w:color="auto" w:fill="auto"/>
        </w:tblPrEx>
        <w:trPr>
          <w:cantSplit/>
        </w:trPr>
        <w:tc>
          <w:tcPr>
            <w:tcW w:w="1276" w:type="dxa"/>
          </w:tcPr>
          <w:p w:rsidR="00000000" w:rsidRDefault="00000000">
            <w:pPr>
              <w:spacing w:after="0"/>
              <w:ind w:left="57" w:right="57"/>
            </w:pPr>
            <w:r>
              <w:t>s. 20</w:t>
            </w:r>
          </w:p>
        </w:tc>
        <w:tc>
          <w:tcPr>
            <w:tcW w:w="4842" w:type="dxa"/>
          </w:tcPr>
          <w:p w:rsidR="00000000" w:rsidRDefault="00000000">
            <w:pPr>
              <w:spacing w:after="0"/>
              <w:ind w:left="-64" w:right="57"/>
            </w:pPr>
            <w:r>
              <w:t>Threats to kill</w:t>
            </w:r>
          </w:p>
        </w:tc>
        <w:tc>
          <w:tcPr>
            <w:tcW w:w="3238" w:type="dxa"/>
          </w:tcPr>
          <w:p w:rsidR="00000000" w:rsidRDefault="00000000">
            <w:pPr>
              <w:spacing w:after="0"/>
              <w:ind w:left="-64" w:right="57"/>
            </w:pPr>
            <w:r>
              <w:t>10 years</w:t>
            </w:r>
          </w:p>
        </w:tc>
      </w:tr>
      <w:tr w:rsidR="00000000">
        <w:tblPrEx>
          <w:shd w:val="clear" w:color="auto" w:fill="auto"/>
        </w:tblPrEx>
        <w:trPr>
          <w:cantSplit/>
        </w:trPr>
        <w:tc>
          <w:tcPr>
            <w:tcW w:w="1276" w:type="dxa"/>
          </w:tcPr>
          <w:p w:rsidR="00000000" w:rsidRDefault="00000000">
            <w:pPr>
              <w:spacing w:after="0"/>
              <w:ind w:left="57" w:right="57"/>
            </w:pPr>
            <w:r>
              <w:t>s. 21</w:t>
            </w:r>
          </w:p>
        </w:tc>
        <w:tc>
          <w:tcPr>
            <w:tcW w:w="4842" w:type="dxa"/>
          </w:tcPr>
          <w:p w:rsidR="00000000" w:rsidRDefault="00000000">
            <w:pPr>
              <w:spacing w:after="0"/>
              <w:ind w:left="-64" w:right="57"/>
            </w:pPr>
            <w:r>
              <w:t>Threats to inflict serious injury</w:t>
            </w:r>
          </w:p>
        </w:tc>
        <w:tc>
          <w:tcPr>
            <w:tcW w:w="3238" w:type="dxa"/>
          </w:tcPr>
          <w:p w:rsidR="00000000" w:rsidRDefault="00000000">
            <w:pPr>
              <w:spacing w:after="0"/>
              <w:ind w:left="-64" w:right="57"/>
            </w:pPr>
            <w:r>
              <w:t>5 years</w:t>
            </w:r>
          </w:p>
        </w:tc>
      </w:tr>
      <w:tr w:rsidR="00000000">
        <w:tblPrEx>
          <w:shd w:val="clear" w:color="auto" w:fill="auto"/>
        </w:tblPrEx>
        <w:trPr>
          <w:cantSplit/>
        </w:trPr>
        <w:tc>
          <w:tcPr>
            <w:tcW w:w="1276" w:type="dxa"/>
          </w:tcPr>
          <w:p w:rsidR="00000000" w:rsidRDefault="00000000">
            <w:pPr>
              <w:spacing w:after="0"/>
              <w:ind w:left="57" w:right="57"/>
            </w:pPr>
            <w:r>
              <w:t>s. 21A</w:t>
            </w:r>
          </w:p>
        </w:tc>
        <w:tc>
          <w:tcPr>
            <w:tcW w:w="4842" w:type="dxa"/>
          </w:tcPr>
          <w:p w:rsidR="00000000" w:rsidRDefault="00000000">
            <w:pPr>
              <w:spacing w:after="0"/>
              <w:ind w:left="-64" w:right="57"/>
            </w:pPr>
            <w:r>
              <w:t>Stalking</w:t>
            </w:r>
          </w:p>
        </w:tc>
        <w:tc>
          <w:tcPr>
            <w:tcW w:w="3238" w:type="dxa"/>
          </w:tcPr>
          <w:p w:rsidR="00000000" w:rsidRDefault="00000000">
            <w:pPr>
              <w:spacing w:after="0"/>
              <w:ind w:left="-64" w:right="57"/>
            </w:pPr>
            <w:r>
              <w:t>10 years</w:t>
            </w:r>
          </w:p>
        </w:tc>
      </w:tr>
      <w:tr w:rsidR="00000000">
        <w:tblPrEx>
          <w:shd w:val="clear" w:color="auto" w:fill="auto"/>
        </w:tblPrEx>
        <w:trPr>
          <w:cantSplit/>
        </w:trPr>
        <w:tc>
          <w:tcPr>
            <w:tcW w:w="1276" w:type="dxa"/>
          </w:tcPr>
          <w:p w:rsidR="00000000" w:rsidRDefault="00000000">
            <w:pPr>
              <w:spacing w:after="0"/>
              <w:ind w:left="57" w:right="57"/>
            </w:pPr>
            <w:r>
              <w:t>s. 22</w:t>
            </w:r>
          </w:p>
        </w:tc>
        <w:tc>
          <w:tcPr>
            <w:tcW w:w="4842" w:type="dxa"/>
          </w:tcPr>
          <w:p w:rsidR="00000000" w:rsidRDefault="00000000">
            <w:pPr>
              <w:spacing w:after="0"/>
              <w:ind w:left="-64" w:right="57"/>
            </w:pPr>
            <w:r>
              <w:t>Conduct endangering life</w:t>
            </w:r>
          </w:p>
        </w:tc>
        <w:tc>
          <w:tcPr>
            <w:tcW w:w="3238" w:type="dxa"/>
          </w:tcPr>
          <w:p w:rsidR="00000000" w:rsidRDefault="00000000">
            <w:pPr>
              <w:spacing w:after="0"/>
              <w:ind w:left="-64" w:right="57"/>
            </w:pPr>
            <w:r>
              <w:t>10 years</w:t>
            </w:r>
          </w:p>
        </w:tc>
      </w:tr>
      <w:tr w:rsidR="00000000">
        <w:tblPrEx>
          <w:shd w:val="clear" w:color="auto" w:fill="auto"/>
        </w:tblPrEx>
        <w:trPr>
          <w:cantSplit/>
        </w:trPr>
        <w:tc>
          <w:tcPr>
            <w:tcW w:w="1276" w:type="dxa"/>
          </w:tcPr>
          <w:p w:rsidR="00000000" w:rsidRDefault="00000000">
            <w:pPr>
              <w:spacing w:after="0"/>
              <w:ind w:left="57" w:right="57"/>
            </w:pPr>
            <w:r>
              <w:t>s. 23</w:t>
            </w:r>
          </w:p>
        </w:tc>
        <w:tc>
          <w:tcPr>
            <w:tcW w:w="4842" w:type="dxa"/>
          </w:tcPr>
          <w:p w:rsidR="00000000" w:rsidRDefault="00000000">
            <w:pPr>
              <w:spacing w:after="0"/>
              <w:ind w:left="-64" w:right="57"/>
            </w:pPr>
            <w:r>
              <w:t>Conduct causing serious injury</w:t>
            </w:r>
          </w:p>
        </w:tc>
        <w:tc>
          <w:tcPr>
            <w:tcW w:w="3238" w:type="dxa"/>
          </w:tcPr>
          <w:p w:rsidR="00000000" w:rsidRDefault="00000000">
            <w:pPr>
              <w:spacing w:after="0"/>
              <w:ind w:left="-64" w:right="57"/>
            </w:pPr>
            <w:r>
              <w:t>5 years</w:t>
            </w:r>
          </w:p>
        </w:tc>
      </w:tr>
      <w:tr w:rsidR="00000000">
        <w:tblPrEx>
          <w:shd w:val="clear" w:color="auto" w:fill="auto"/>
        </w:tblPrEx>
        <w:trPr>
          <w:cantSplit/>
        </w:trPr>
        <w:tc>
          <w:tcPr>
            <w:tcW w:w="1276" w:type="dxa"/>
          </w:tcPr>
          <w:p w:rsidR="00000000" w:rsidRDefault="00000000">
            <w:pPr>
              <w:spacing w:after="0"/>
              <w:ind w:left="57" w:right="57"/>
            </w:pPr>
            <w:r>
              <w:t>s. 24</w:t>
            </w:r>
          </w:p>
        </w:tc>
        <w:tc>
          <w:tcPr>
            <w:tcW w:w="4842" w:type="dxa"/>
          </w:tcPr>
          <w:p w:rsidR="00000000" w:rsidRDefault="00000000">
            <w:pPr>
              <w:spacing w:after="0"/>
              <w:ind w:left="-64" w:right="57"/>
            </w:pPr>
            <w:r>
              <w:t>Negligently causing serious injury</w:t>
            </w:r>
          </w:p>
        </w:tc>
        <w:tc>
          <w:tcPr>
            <w:tcW w:w="3238" w:type="dxa"/>
          </w:tcPr>
          <w:p w:rsidR="00000000" w:rsidRDefault="00000000">
            <w:pPr>
              <w:spacing w:after="0"/>
              <w:ind w:left="-64" w:right="57"/>
            </w:pPr>
            <w:r>
              <w:t xml:space="preserve">5 years </w:t>
            </w:r>
          </w:p>
        </w:tc>
      </w:tr>
      <w:tr w:rsidR="00000000">
        <w:tblPrEx>
          <w:shd w:val="clear" w:color="auto" w:fill="auto"/>
        </w:tblPrEx>
        <w:trPr>
          <w:cantSplit/>
        </w:trPr>
        <w:tc>
          <w:tcPr>
            <w:tcW w:w="1276" w:type="dxa"/>
          </w:tcPr>
          <w:p w:rsidR="00000000" w:rsidRDefault="00000000">
            <w:pPr>
              <w:spacing w:after="0"/>
              <w:ind w:left="57" w:right="57"/>
            </w:pPr>
            <w:r>
              <w:t>s. 27</w:t>
            </w:r>
          </w:p>
        </w:tc>
        <w:tc>
          <w:tcPr>
            <w:tcW w:w="4842" w:type="dxa"/>
          </w:tcPr>
          <w:p w:rsidR="00000000" w:rsidRDefault="00000000">
            <w:pPr>
              <w:spacing w:after="0"/>
              <w:ind w:left="-64" w:right="57"/>
            </w:pPr>
            <w:r>
              <w:t>Extortion with threat to kill</w:t>
            </w:r>
          </w:p>
        </w:tc>
        <w:tc>
          <w:tcPr>
            <w:tcW w:w="3238" w:type="dxa"/>
          </w:tcPr>
          <w:p w:rsidR="00000000" w:rsidRDefault="00000000">
            <w:pPr>
              <w:spacing w:after="0"/>
              <w:ind w:left="-64" w:right="57"/>
            </w:pPr>
            <w:r>
              <w:t xml:space="preserve">15 years </w:t>
            </w:r>
          </w:p>
        </w:tc>
      </w:tr>
      <w:tr w:rsidR="00000000">
        <w:tblPrEx>
          <w:shd w:val="clear" w:color="auto" w:fill="auto"/>
        </w:tblPrEx>
        <w:trPr>
          <w:cantSplit/>
        </w:trPr>
        <w:tc>
          <w:tcPr>
            <w:tcW w:w="1276" w:type="dxa"/>
          </w:tcPr>
          <w:p w:rsidR="00000000" w:rsidRDefault="00000000">
            <w:pPr>
              <w:spacing w:after="0"/>
              <w:ind w:left="57" w:right="57"/>
            </w:pPr>
            <w:r>
              <w:t>s. 31</w:t>
            </w:r>
          </w:p>
        </w:tc>
        <w:tc>
          <w:tcPr>
            <w:tcW w:w="4842" w:type="dxa"/>
          </w:tcPr>
          <w:p w:rsidR="00000000" w:rsidRDefault="00000000">
            <w:pPr>
              <w:spacing w:after="0"/>
              <w:ind w:left="-64" w:right="57"/>
            </w:pPr>
            <w:r>
              <w:t>Criminal assaults</w:t>
            </w:r>
          </w:p>
        </w:tc>
        <w:tc>
          <w:tcPr>
            <w:tcW w:w="3238" w:type="dxa"/>
          </w:tcPr>
          <w:p w:rsidR="00000000" w:rsidRDefault="00000000">
            <w:pPr>
              <w:spacing w:after="0"/>
              <w:ind w:left="-64" w:right="57"/>
            </w:pPr>
            <w:r>
              <w:t>5 years</w:t>
            </w:r>
          </w:p>
        </w:tc>
      </w:tr>
      <w:tr w:rsidR="00000000">
        <w:tblPrEx>
          <w:shd w:val="clear" w:color="auto" w:fill="auto"/>
        </w:tblPrEx>
        <w:trPr>
          <w:cantSplit/>
        </w:trPr>
        <w:tc>
          <w:tcPr>
            <w:tcW w:w="1276" w:type="dxa"/>
          </w:tcPr>
          <w:p w:rsidR="00000000" w:rsidRDefault="00000000">
            <w:pPr>
              <w:spacing w:after="0"/>
              <w:ind w:left="57" w:right="57"/>
            </w:pPr>
            <w:r>
              <w:t>s. 38</w:t>
            </w:r>
          </w:p>
        </w:tc>
        <w:tc>
          <w:tcPr>
            <w:tcW w:w="4842" w:type="dxa"/>
          </w:tcPr>
          <w:p w:rsidR="00000000" w:rsidRDefault="00000000">
            <w:pPr>
              <w:spacing w:after="0"/>
              <w:ind w:left="-64" w:right="57"/>
            </w:pPr>
            <w:r>
              <w:t>Rape</w:t>
            </w:r>
          </w:p>
        </w:tc>
        <w:tc>
          <w:tcPr>
            <w:tcW w:w="3238" w:type="dxa"/>
          </w:tcPr>
          <w:p w:rsidR="00000000" w:rsidRDefault="00000000">
            <w:pPr>
              <w:spacing w:after="0"/>
              <w:ind w:left="-64" w:right="57"/>
            </w:pPr>
            <w:r>
              <w:t xml:space="preserve">25 years </w:t>
            </w:r>
          </w:p>
        </w:tc>
      </w:tr>
      <w:tr w:rsidR="00000000">
        <w:tblPrEx>
          <w:shd w:val="clear" w:color="auto" w:fill="auto"/>
        </w:tblPrEx>
        <w:trPr>
          <w:cantSplit/>
        </w:trPr>
        <w:tc>
          <w:tcPr>
            <w:tcW w:w="1276" w:type="dxa"/>
          </w:tcPr>
          <w:p w:rsidR="00000000" w:rsidRDefault="00000000">
            <w:pPr>
              <w:spacing w:after="0"/>
              <w:ind w:left="57" w:right="57"/>
            </w:pPr>
            <w:r>
              <w:t>s. 39</w:t>
            </w:r>
          </w:p>
        </w:tc>
        <w:tc>
          <w:tcPr>
            <w:tcW w:w="4842" w:type="dxa"/>
          </w:tcPr>
          <w:p w:rsidR="00000000" w:rsidRDefault="00000000">
            <w:pPr>
              <w:spacing w:after="0"/>
              <w:ind w:left="-64" w:right="57"/>
            </w:pPr>
            <w:r>
              <w:t>Indecent assault</w:t>
            </w:r>
          </w:p>
        </w:tc>
        <w:tc>
          <w:tcPr>
            <w:tcW w:w="3238" w:type="dxa"/>
          </w:tcPr>
          <w:p w:rsidR="00000000" w:rsidRDefault="00000000">
            <w:pPr>
              <w:spacing w:after="0"/>
              <w:ind w:left="-64" w:right="57"/>
            </w:pPr>
            <w:r>
              <w:t xml:space="preserve">10 years </w:t>
            </w:r>
          </w:p>
        </w:tc>
      </w:tr>
      <w:tr w:rsidR="00000000">
        <w:tblPrEx>
          <w:shd w:val="clear" w:color="auto" w:fill="auto"/>
        </w:tblPrEx>
        <w:trPr>
          <w:cantSplit/>
        </w:trPr>
        <w:tc>
          <w:tcPr>
            <w:tcW w:w="1276" w:type="dxa"/>
          </w:tcPr>
          <w:p w:rsidR="00000000" w:rsidRDefault="00000000">
            <w:pPr>
              <w:spacing w:after="0"/>
              <w:ind w:left="57" w:right="57"/>
            </w:pPr>
            <w:r>
              <w:t>s. 40</w:t>
            </w:r>
          </w:p>
        </w:tc>
        <w:tc>
          <w:tcPr>
            <w:tcW w:w="4842" w:type="dxa"/>
          </w:tcPr>
          <w:p w:rsidR="00000000" w:rsidRDefault="00000000">
            <w:pPr>
              <w:spacing w:after="0"/>
              <w:ind w:left="-64" w:right="57"/>
            </w:pPr>
            <w:r>
              <w:t>Assault with intent to rape</w:t>
            </w:r>
          </w:p>
        </w:tc>
        <w:tc>
          <w:tcPr>
            <w:tcW w:w="3238" w:type="dxa"/>
          </w:tcPr>
          <w:p w:rsidR="00000000" w:rsidRDefault="00000000">
            <w:pPr>
              <w:spacing w:after="0"/>
              <w:ind w:left="-64" w:right="57"/>
            </w:pPr>
            <w:r>
              <w:t xml:space="preserve">10 years </w:t>
            </w:r>
          </w:p>
        </w:tc>
      </w:tr>
      <w:tr w:rsidR="00000000">
        <w:tblPrEx>
          <w:shd w:val="clear" w:color="auto" w:fill="auto"/>
        </w:tblPrEx>
        <w:trPr>
          <w:cantSplit/>
        </w:trPr>
        <w:tc>
          <w:tcPr>
            <w:tcW w:w="1276" w:type="dxa"/>
          </w:tcPr>
          <w:p w:rsidR="00000000" w:rsidRDefault="00000000">
            <w:pPr>
              <w:spacing w:after="0"/>
              <w:ind w:left="57" w:right="57"/>
            </w:pPr>
            <w:r>
              <w:t>s. 321</w:t>
            </w:r>
          </w:p>
        </w:tc>
        <w:tc>
          <w:tcPr>
            <w:tcW w:w="4842" w:type="dxa"/>
          </w:tcPr>
          <w:p w:rsidR="00000000" w:rsidRDefault="00000000">
            <w:pPr>
              <w:spacing w:after="0"/>
              <w:ind w:left="-64" w:right="57"/>
            </w:pPr>
            <w:r>
              <w:t>Conspiracy to commit an offence against a law or laws of Victoria</w:t>
            </w:r>
          </w:p>
        </w:tc>
        <w:tc>
          <w:tcPr>
            <w:tcW w:w="3238" w:type="dxa"/>
          </w:tcPr>
          <w:p w:rsidR="00000000" w:rsidRDefault="00000000">
            <w:pPr>
              <w:spacing w:after="0"/>
              <w:ind w:left="-64" w:right="57"/>
            </w:pPr>
            <w:r>
              <w:t>Penalty for the relevant offence fixed by law; if penalty for relevant offences is imprisonment where maximum length of term is not prescribed by law, then 15 years; if the relevant offence is murder, the person is liable to life imprisonment or imprisonment for a term fixed by the court</w:t>
            </w:r>
          </w:p>
        </w:tc>
      </w:tr>
      <w:tr w:rsidR="00000000">
        <w:tblPrEx>
          <w:shd w:val="clear" w:color="auto" w:fill="auto"/>
        </w:tblPrEx>
        <w:trPr>
          <w:cantSplit/>
          <w:trHeight w:val="2739"/>
        </w:trPr>
        <w:tc>
          <w:tcPr>
            <w:tcW w:w="1276" w:type="dxa"/>
          </w:tcPr>
          <w:p w:rsidR="00000000" w:rsidRDefault="00000000">
            <w:pPr>
              <w:spacing w:after="0"/>
              <w:ind w:left="57" w:right="57"/>
            </w:pPr>
            <w:r>
              <w:br w:type="page"/>
              <w:t>s. 321G</w:t>
            </w:r>
          </w:p>
        </w:tc>
        <w:tc>
          <w:tcPr>
            <w:tcW w:w="4842" w:type="dxa"/>
          </w:tcPr>
          <w:p w:rsidR="00000000" w:rsidRDefault="00000000">
            <w:pPr>
              <w:spacing w:after="0"/>
              <w:ind w:left="-64" w:right="57"/>
            </w:pPr>
            <w:r>
              <w:t>Incitement</w:t>
            </w:r>
          </w:p>
        </w:tc>
        <w:tc>
          <w:tcPr>
            <w:tcW w:w="3238" w:type="dxa"/>
          </w:tcPr>
          <w:p w:rsidR="00000000" w:rsidRDefault="00000000">
            <w:pPr>
              <w:spacing w:after="0"/>
              <w:ind w:left="-64" w:right="57"/>
            </w:pPr>
            <w:r>
              <w:t>Penalty for the relevant offence fixed by law; if penalty for relevant offence/s is imprisonment where maximum length of term is not prescribed by law, then 15 years; if the relevant offence is murder, the person is liable to life imprisonment or imprisonment for a term fixed by the court</w:t>
            </w:r>
          </w:p>
        </w:tc>
      </w:tr>
      <w:tr w:rsidR="00000000">
        <w:tblPrEx>
          <w:shd w:val="clear" w:color="auto" w:fill="auto"/>
        </w:tblPrEx>
        <w:trPr>
          <w:cantSplit/>
        </w:trPr>
        <w:tc>
          <w:tcPr>
            <w:tcW w:w="1276" w:type="dxa"/>
          </w:tcPr>
          <w:p w:rsidR="00000000" w:rsidRDefault="00000000">
            <w:pPr>
              <w:spacing w:after="0"/>
              <w:ind w:left="57" w:right="57"/>
            </w:pPr>
            <w:r>
              <w:t>s. 323</w:t>
            </w:r>
          </w:p>
        </w:tc>
        <w:tc>
          <w:tcPr>
            <w:tcW w:w="4842" w:type="dxa"/>
          </w:tcPr>
          <w:p w:rsidR="00000000" w:rsidRDefault="00000000">
            <w:pPr>
              <w:spacing w:after="0"/>
              <w:ind w:left="-64" w:right="57"/>
            </w:pPr>
            <w:r>
              <w:t>Abettors in indictable offences</w:t>
            </w:r>
          </w:p>
        </w:tc>
        <w:tc>
          <w:tcPr>
            <w:tcW w:w="3238" w:type="dxa"/>
          </w:tcPr>
          <w:p w:rsidR="00000000" w:rsidRDefault="00000000">
            <w:pPr>
              <w:spacing w:after="0"/>
              <w:ind w:left="-64" w:right="57"/>
            </w:pPr>
            <w:r>
              <w:t>A person who aids, abets, counsels or procures the commission of an indictable offence can be punished as a principal offender</w:t>
            </w:r>
          </w:p>
        </w:tc>
      </w:tr>
      <w:tr w:rsidR="00000000">
        <w:tblPrEx>
          <w:shd w:val="clear" w:color="auto" w:fill="auto"/>
        </w:tblPrEx>
        <w:trPr>
          <w:cantSplit/>
        </w:trPr>
        <w:tc>
          <w:tcPr>
            <w:tcW w:w="1276" w:type="dxa"/>
          </w:tcPr>
          <w:p w:rsidR="00000000" w:rsidRDefault="00000000">
            <w:pPr>
              <w:spacing w:after="0"/>
              <w:ind w:left="57" w:right="57"/>
            </w:pPr>
            <w:r>
              <w:t>s. 325</w:t>
            </w:r>
          </w:p>
        </w:tc>
        <w:tc>
          <w:tcPr>
            <w:tcW w:w="4842" w:type="dxa"/>
          </w:tcPr>
          <w:p w:rsidR="00000000" w:rsidRDefault="00000000">
            <w:pPr>
              <w:spacing w:after="0"/>
              <w:ind w:left="-64" w:right="57"/>
            </w:pPr>
            <w:r>
              <w:t xml:space="preserve">Accessories </w:t>
            </w:r>
            <w:r>
              <w:noBreakHyphen/>
              <w:t xml:space="preserve"> a person who does any act with the purpose of impeding the apprehension, prosecution, conviction or punishment of a principal offender is guilty of an indictable offence</w:t>
            </w:r>
          </w:p>
        </w:tc>
        <w:tc>
          <w:tcPr>
            <w:tcW w:w="3238" w:type="dxa"/>
          </w:tcPr>
          <w:p w:rsidR="00000000" w:rsidRDefault="00000000">
            <w:pPr>
              <w:spacing w:after="0"/>
              <w:ind w:left="-64" w:right="57"/>
            </w:pPr>
            <w:r>
              <w:t>If the principal offence is one for which the maximum penalty is life imprisonment, then a maximum penalty of 20 years; in any other case, to imprisonment for a term which is neither more than 60 months in length; nor more than one</w:t>
            </w:r>
            <w:r>
              <w:noBreakHyphen/>
              <w:t>half the length of the longest term which may be imposed on first conviction for the principal offence</w:t>
            </w:r>
          </w:p>
        </w:tc>
      </w:tr>
      <w:tr w:rsidR="00000000">
        <w:tblPrEx>
          <w:shd w:val="clear" w:color="auto" w:fill="auto"/>
        </w:tblPrEx>
        <w:trPr>
          <w:cantSplit/>
        </w:trPr>
        <w:tc>
          <w:tcPr>
            <w:tcW w:w="1276" w:type="dxa"/>
          </w:tcPr>
          <w:p w:rsidR="00000000" w:rsidRDefault="00000000">
            <w:pPr>
              <w:spacing w:after="0"/>
              <w:ind w:left="57" w:right="57"/>
            </w:pPr>
            <w:r>
              <w:t>Common law</w:t>
            </w:r>
          </w:p>
        </w:tc>
        <w:tc>
          <w:tcPr>
            <w:tcW w:w="4842" w:type="dxa"/>
          </w:tcPr>
          <w:p w:rsidR="00000000" w:rsidRDefault="00000000">
            <w:pPr>
              <w:spacing w:after="0"/>
              <w:ind w:left="-64" w:right="57"/>
            </w:pPr>
            <w:r>
              <w:t>Common assault</w:t>
            </w:r>
          </w:p>
        </w:tc>
        <w:tc>
          <w:tcPr>
            <w:tcW w:w="3238" w:type="dxa"/>
          </w:tcPr>
          <w:p w:rsidR="00000000" w:rsidRDefault="00000000">
            <w:pPr>
              <w:spacing w:after="0"/>
              <w:ind w:left="-64" w:right="57"/>
            </w:pPr>
            <w:r>
              <w:t>5 years</w:t>
            </w:r>
          </w:p>
        </w:tc>
      </w:tr>
      <w:tr w:rsidR="00000000">
        <w:tblPrEx>
          <w:shd w:val="clear" w:color="auto" w:fill="auto"/>
        </w:tblPrEx>
        <w:trPr>
          <w:cantSplit/>
        </w:trPr>
        <w:tc>
          <w:tcPr>
            <w:tcW w:w="1276" w:type="dxa"/>
          </w:tcPr>
          <w:p w:rsidR="00000000" w:rsidRDefault="00000000">
            <w:pPr>
              <w:spacing w:after="0"/>
              <w:ind w:left="57" w:right="57"/>
            </w:pPr>
            <w:r>
              <w:t>Common law</w:t>
            </w:r>
          </w:p>
        </w:tc>
        <w:tc>
          <w:tcPr>
            <w:tcW w:w="4842" w:type="dxa"/>
          </w:tcPr>
          <w:p w:rsidR="00000000" w:rsidRDefault="00000000">
            <w:pPr>
              <w:spacing w:after="0"/>
              <w:ind w:left="-64" w:right="57"/>
            </w:pPr>
            <w:r>
              <w:t>False imprisonment</w:t>
            </w:r>
          </w:p>
        </w:tc>
        <w:tc>
          <w:tcPr>
            <w:tcW w:w="3238" w:type="dxa"/>
          </w:tcPr>
          <w:p w:rsidR="00000000" w:rsidRDefault="00000000">
            <w:pPr>
              <w:spacing w:after="0"/>
              <w:ind w:left="-64" w:right="57"/>
            </w:pPr>
            <w:r>
              <w:t>10 years</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Common law</w:t>
            </w:r>
          </w:p>
        </w:tc>
        <w:tc>
          <w:tcPr>
            <w:tcW w:w="4842" w:type="dxa"/>
            <w:tcBorders>
              <w:bottom w:val="single" w:sz="6" w:space="0" w:color="000000"/>
            </w:tcBorders>
          </w:tcPr>
          <w:p w:rsidR="00000000" w:rsidRDefault="00000000">
            <w:pPr>
              <w:spacing w:after="0"/>
              <w:ind w:left="-64" w:right="57"/>
            </w:pPr>
            <w:r>
              <w:t>Kidnapping</w:t>
            </w:r>
          </w:p>
        </w:tc>
        <w:tc>
          <w:tcPr>
            <w:tcW w:w="3238" w:type="dxa"/>
            <w:tcBorders>
              <w:bottom w:val="single" w:sz="6" w:space="0" w:color="000000"/>
            </w:tcBorders>
          </w:tcPr>
          <w:p w:rsidR="00000000" w:rsidRDefault="00000000">
            <w:pPr>
              <w:spacing w:after="0"/>
              <w:ind w:left="-64" w:right="57"/>
            </w:pPr>
            <w:r>
              <w:t>25 years</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Summary Offences Act 1966</w:t>
            </w:r>
          </w:p>
        </w:tc>
      </w:tr>
      <w:tr w:rsidR="00000000">
        <w:tblPrEx>
          <w:shd w:val="clear" w:color="auto" w:fill="auto"/>
        </w:tblPrEx>
        <w:trPr>
          <w:cantSplit/>
        </w:trPr>
        <w:tc>
          <w:tcPr>
            <w:tcW w:w="1276" w:type="dxa"/>
          </w:tcPr>
          <w:p w:rsidR="00000000" w:rsidRDefault="00000000">
            <w:pPr>
              <w:spacing w:after="0"/>
              <w:ind w:left="57" w:right="57"/>
            </w:pPr>
            <w:r>
              <w:t>s. 23</w:t>
            </w:r>
          </w:p>
        </w:tc>
        <w:tc>
          <w:tcPr>
            <w:tcW w:w="4842" w:type="dxa"/>
          </w:tcPr>
          <w:p w:rsidR="00000000" w:rsidRDefault="00000000">
            <w:pPr>
              <w:spacing w:after="0"/>
              <w:ind w:left="-64" w:right="57"/>
            </w:pPr>
            <w:r>
              <w:t>Common assault</w:t>
            </w:r>
          </w:p>
        </w:tc>
        <w:tc>
          <w:tcPr>
            <w:tcW w:w="3238" w:type="dxa"/>
          </w:tcPr>
          <w:p w:rsidR="00000000" w:rsidRDefault="00000000">
            <w:pPr>
              <w:spacing w:after="0"/>
              <w:ind w:left="-64" w:right="57"/>
            </w:pPr>
            <w:r>
              <w:t>$1500 fine or 3 months imprisonment</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24</w:t>
            </w:r>
          </w:p>
        </w:tc>
        <w:tc>
          <w:tcPr>
            <w:tcW w:w="4842" w:type="dxa"/>
            <w:tcBorders>
              <w:bottom w:val="single" w:sz="6" w:space="0" w:color="000000"/>
            </w:tcBorders>
          </w:tcPr>
          <w:p w:rsidR="00000000" w:rsidRDefault="00000000">
            <w:pPr>
              <w:spacing w:after="0"/>
              <w:ind w:left="-64" w:right="57"/>
            </w:pPr>
            <w:r>
              <w:t>Aggravated assault</w:t>
            </w:r>
          </w:p>
        </w:tc>
        <w:tc>
          <w:tcPr>
            <w:tcW w:w="3238" w:type="dxa"/>
            <w:tcBorders>
              <w:bottom w:val="single" w:sz="6" w:space="0" w:color="000000"/>
            </w:tcBorders>
          </w:tcPr>
          <w:p w:rsidR="00000000" w:rsidRDefault="00000000">
            <w:pPr>
              <w:spacing w:after="0"/>
              <w:ind w:left="-64" w:right="57"/>
            </w:pPr>
            <w:r>
              <w:t>$2500 fine or 6 months imprisonment</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Mental Health Act 1986</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Part 5</w:t>
            </w:r>
          </w:p>
        </w:tc>
        <w:tc>
          <w:tcPr>
            <w:tcW w:w="4842" w:type="dxa"/>
            <w:tcBorders>
              <w:bottom w:val="single" w:sz="6" w:space="0" w:color="000000"/>
            </w:tcBorders>
          </w:tcPr>
          <w:p w:rsidR="00000000" w:rsidRDefault="00000000">
            <w:pPr>
              <w:spacing w:after="0"/>
              <w:ind w:left="-64" w:right="57"/>
            </w:pPr>
            <w:r>
              <w:t>Proscribed conduct in relation to mentally ill persons, unless the procedure is carried out in accordance with legislation or with the consent of the person:</w:t>
            </w:r>
            <w:r>
              <w:br/>
              <w:t>•  psychosurgery</w:t>
            </w:r>
            <w:r>
              <w:br/>
              <w:t>•  electroconvulsive therapy</w:t>
            </w:r>
            <w:r>
              <w:br/>
              <w:t xml:space="preserve">•  mechanical restraint, seclusion, and </w:t>
            </w:r>
            <w:r>
              <w:br/>
              <w:t xml:space="preserve">   non</w:t>
            </w:r>
            <w:r>
              <w:noBreakHyphen/>
              <w:t>psychiatric</w:t>
            </w:r>
            <w:r>
              <w:br/>
              <w:t>•  medical treatment</w:t>
            </w:r>
          </w:p>
        </w:tc>
        <w:tc>
          <w:tcPr>
            <w:tcW w:w="3238" w:type="dxa"/>
            <w:tcBorders>
              <w:bottom w:val="single" w:sz="6" w:space="0" w:color="000000"/>
            </w:tcBorders>
          </w:tcPr>
          <w:p w:rsidR="00000000" w:rsidRDefault="00000000">
            <w:pPr>
              <w:spacing w:after="0"/>
              <w:ind w:left="-64" w:right="57"/>
            </w:pPr>
            <w:r>
              <w:t>$2,000 fine.  A community based order may also be imposed</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Intellectually Disabled Persons’ Services Act 1986</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Div 3 of Part 5</w:t>
            </w:r>
          </w:p>
        </w:tc>
        <w:tc>
          <w:tcPr>
            <w:tcW w:w="4842" w:type="dxa"/>
            <w:tcBorders>
              <w:bottom w:val="single" w:sz="6" w:space="0" w:color="000000"/>
            </w:tcBorders>
          </w:tcPr>
          <w:p w:rsidR="00000000" w:rsidRDefault="00000000">
            <w:pPr>
              <w:spacing w:after="0"/>
              <w:ind w:left="-64" w:right="57"/>
            </w:pPr>
            <w:r>
              <w:t xml:space="preserve">Proscribed actions in relation to intellectually disabled persons unless the procedure is carried out in accordance with </w:t>
            </w:r>
            <w:r>
              <w:br/>
              <w:t>legislation</w:t>
            </w:r>
            <w:r>
              <w:br/>
              <w:t>•  mechanical or chemical bodily restraint</w:t>
            </w:r>
            <w:r>
              <w:br/>
              <w:t>•  seclusion</w:t>
            </w:r>
            <w:r>
              <w:br/>
              <w:t>•  aversive therapy</w:t>
            </w:r>
          </w:p>
        </w:tc>
        <w:tc>
          <w:tcPr>
            <w:tcW w:w="3238" w:type="dxa"/>
            <w:tcBorders>
              <w:bottom w:val="single" w:sz="6" w:space="0" w:color="000000"/>
            </w:tcBorders>
          </w:tcPr>
          <w:p w:rsidR="00000000" w:rsidRDefault="00000000">
            <w:pPr>
              <w:spacing w:after="0"/>
              <w:ind w:left="-64" w:right="57"/>
            </w:pPr>
            <w:r>
              <w:t>$2,000 fine.  A community based order may also be imposed</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Alcoholics and Drug Dependent Persons Act 1968</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23</w:t>
            </w:r>
          </w:p>
        </w:tc>
        <w:tc>
          <w:tcPr>
            <w:tcW w:w="4842" w:type="dxa"/>
            <w:tcBorders>
              <w:bottom w:val="single" w:sz="6" w:space="0" w:color="000000"/>
            </w:tcBorders>
          </w:tcPr>
          <w:p w:rsidR="00000000" w:rsidRDefault="00000000">
            <w:pPr>
              <w:spacing w:after="0"/>
              <w:ind w:left="-64" w:right="57"/>
            </w:pPr>
            <w:r>
              <w:t>To strike, wound, ill treat or wilfully neglect any person detained in an alcohol and drug assessment or treatment centre</w:t>
            </w:r>
          </w:p>
        </w:tc>
        <w:tc>
          <w:tcPr>
            <w:tcW w:w="3238" w:type="dxa"/>
            <w:tcBorders>
              <w:bottom w:val="single" w:sz="6" w:space="0" w:color="000000"/>
            </w:tcBorders>
          </w:tcPr>
          <w:p w:rsidR="00000000" w:rsidRDefault="00000000">
            <w:pPr>
              <w:spacing w:after="0"/>
              <w:ind w:left="-64" w:right="57"/>
            </w:pPr>
            <w:r>
              <w:t>3 years</w:t>
            </w:r>
          </w:p>
        </w:tc>
      </w:tr>
      <w:tr w:rsidR="00000000">
        <w:tblPrEx>
          <w:shd w:val="clear" w:color="auto" w:fill="auto"/>
        </w:tblPrEx>
        <w:trPr>
          <w:cantSplit/>
        </w:trPr>
        <w:tc>
          <w:tcPr>
            <w:tcW w:w="9356" w:type="dxa"/>
            <w:gridSpan w:val="3"/>
            <w:tcBorders>
              <w:left w:val="nil"/>
              <w:right w:val="nil"/>
            </w:tcBorders>
          </w:tcPr>
          <w:p w:rsidR="00000000" w:rsidRDefault="00000000">
            <w:pPr>
              <w:pStyle w:val="Heading5"/>
              <w:spacing w:before="120" w:after="120"/>
            </w:pPr>
            <w:r>
              <w:tab/>
              <w:t>Children and Young Persons Act 1989</w:t>
            </w:r>
          </w:p>
        </w:tc>
      </w:tr>
      <w:tr w:rsidR="00000000">
        <w:tblPrEx>
          <w:shd w:val="clear" w:color="auto" w:fill="auto"/>
        </w:tblPrEx>
        <w:trPr>
          <w:cantSplit/>
        </w:trPr>
        <w:tc>
          <w:tcPr>
            <w:tcW w:w="1276" w:type="dxa"/>
            <w:tcBorders>
              <w:bottom w:val="single" w:sz="6" w:space="0" w:color="000000"/>
            </w:tcBorders>
          </w:tcPr>
          <w:p w:rsidR="00000000" w:rsidRDefault="00000000">
            <w:pPr>
              <w:spacing w:after="0"/>
              <w:ind w:left="57" w:right="57"/>
            </w:pPr>
            <w:r>
              <w:t>s. 261</w:t>
            </w:r>
          </w:p>
        </w:tc>
        <w:tc>
          <w:tcPr>
            <w:tcW w:w="4842" w:type="dxa"/>
            <w:tcBorders>
              <w:bottom w:val="single" w:sz="6" w:space="0" w:color="000000"/>
            </w:tcBorders>
          </w:tcPr>
          <w:p w:rsidR="00000000" w:rsidRDefault="00000000">
            <w:pPr>
              <w:spacing w:after="0"/>
              <w:ind w:left="-64" w:right="57"/>
            </w:pPr>
            <w:r>
              <w:t>It is an offence for any person who has a duty of care in relation to a child to take action that results in the child suffering significant harm from physical injury or sexual abuse, significant emotional or psychological harm, or which is likely to result in the child’s physical development or health being significantly harmed.</w:t>
            </w:r>
            <w:r>
              <w:br/>
              <w:t>It is also an offence to intentionally fail to take action that results in the child’s physical development or health being harmed</w:t>
            </w:r>
          </w:p>
        </w:tc>
        <w:tc>
          <w:tcPr>
            <w:tcW w:w="3238" w:type="dxa"/>
            <w:tcBorders>
              <w:bottom w:val="single" w:sz="6" w:space="0" w:color="000000"/>
            </w:tcBorders>
          </w:tcPr>
          <w:p w:rsidR="00000000" w:rsidRDefault="00000000">
            <w:pPr>
              <w:spacing w:after="0"/>
              <w:ind w:left="-64" w:right="57"/>
            </w:pPr>
            <w:r>
              <w:t xml:space="preserve">$5,000 or imprisonment for up to 12 months.  The full range of sentencing options under </w:t>
            </w:r>
            <w:r>
              <w:br/>
              <w:t>the Sentencing Act 1991 (i.e. intensive correction orders; community based orders) are also available</w:t>
            </w:r>
          </w:p>
        </w:tc>
      </w:tr>
    </w:tbl>
    <w:p w:rsidR="00000000" w:rsidRDefault="00000000">
      <w:pPr>
        <w:spacing w:after="1360"/>
        <w:rPr>
          <w:b/>
        </w:rPr>
      </w:pPr>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1276"/>
        <w:gridCol w:w="4842"/>
        <w:gridCol w:w="3238"/>
      </w:tblGrid>
      <w:tr w:rsidR="00000000">
        <w:trPr>
          <w:tblHeader/>
        </w:trPr>
        <w:tc>
          <w:tcPr>
            <w:tcW w:w="1276" w:type="dxa"/>
          </w:tcPr>
          <w:p w:rsidR="00000000" w:rsidRDefault="00000000">
            <w:pPr>
              <w:spacing w:after="0"/>
              <w:ind w:left="57" w:right="57"/>
            </w:pPr>
            <w:r>
              <w:t>Section</w:t>
            </w:r>
          </w:p>
        </w:tc>
        <w:tc>
          <w:tcPr>
            <w:tcW w:w="4842" w:type="dxa"/>
          </w:tcPr>
          <w:p w:rsidR="00000000" w:rsidRDefault="00000000">
            <w:pPr>
              <w:spacing w:after="0"/>
              <w:ind w:left="-64" w:right="57"/>
            </w:pPr>
            <w:r>
              <w:t>Offence</w:t>
            </w:r>
          </w:p>
        </w:tc>
        <w:tc>
          <w:tcPr>
            <w:tcW w:w="3238" w:type="dxa"/>
          </w:tcPr>
          <w:p w:rsidR="00000000" w:rsidRDefault="00000000">
            <w:pPr>
              <w:spacing w:after="0"/>
              <w:ind w:left="-64" w:right="8"/>
            </w:pPr>
            <w:r>
              <w:t>Maximum penalty</w:t>
            </w:r>
          </w:p>
        </w:tc>
      </w:tr>
      <w:tr w:rsidR="00000000">
        <w:trPr>
          <w:cantSplit/>
          <w:trHeight w:val="551"/>
        </w:trPr>
        <w:tc>
          <w:tcPr>
            <w:tcW w:w="9356" w:type="dxa"/>
            <w:gridSpan w:val="3"/>
            <w:tcBorders>
              <w:left w:val="nil"/>
              <w:bottom w:val="single" w:sz="6" w:space="0" w:color="000000"/>
              <w:right w:val="nil"/>
            </w:tcBorders>
          </w:tcPr>
          <w:p w:rsidR="00000000" w:rsidRDefault="00000000">
            <w:pPr>
              <w:pStyle w:val="Heading3"/>
              <w:spacing w:before="120" w:after="120"/>
            </w:pPr>
            <w:r>
              <w:tab/>
              <w:t>Western Australia</w:t>
            </w:r>
          </w:p>
          <w:p w:rsidR="00000000" w:rsidRDefault="00000000">
            <w:pPr>
              <w:pStyle w:val="Heading5"/>
              <w:spacing w:after="120"/>
            </w:pPr>
            <w:r>
              <w:tab/>
              <w:t>Criminal Code</w:t>
            </w:r>
          </w:p>
        </w:tc>
      </w:tr>
      <w:tr w:rsidR="00000000">
        <w:trPr>
          <w:cantSplit/>
        </w:trPr>
        <w:tc>
          <w:tcPr>
            <w:tcW w:w="1276" w:type="dxa"/>
          </w:tcPr>
          <w:p w:rsidR="00000000" w:rsidRDefault="00000000">
            <w:pPr>
              <w:spacing w:after="0"/>
              <w:ind w:left="57" w:right="57"/>
            </w:pPr>
            <w:r>
              <w:t>s. 294</w:t>
            </w:r>
          </w:p>
        </w:tc>
        <w:tc>
          <w:tcPr>
            <w:tcW w:w="4842" w:type="dxa"/>
          </w:tcPr>
          <w:p w:rsidR="00000000" w:rsidRDefault="00000000">
            <w:pPr>
              <w:spacing w:after="0"/>
              <w:ind w:left="-64" w:right="57"/>
            </w:pPr>
            <w:r>
              <w:t>Intentionally causing grievous bodily harm or prevent arrest</w:t>
            </w:r>
          </w:p>
        </w:tc>
        <w:tc>
          <w:tcPr>
            <w:tcW w:w="3238" w:type="dxa"/>
          </w:tcPr>
          <w:p w:rsidR="00000000" w:rsidRDefault="00000000">
            <w:pPr>
              <w:spacing w:after="0"/>
              <w:ind w:left="-64" w:right="57"/>
            </w:pPr>
            <w:r>
              <w:t>20 years</w:t>
            </w:r>
          </w:p>
        </w:tc>
      </w:tr>
      <w:tr w:rsidR="00000000">
        <w:trPr>
          <w:cantSplit/>
        </w:trPr>
        <w:tc>
          <w:tcPr>
            <w:tcW w:w="1276" w:type="dxa"/>
          </w:tcPr>
          <w:p w:rsidR="00000000" w:rsidRDefault="00000000">
            <w:pPr>
              <w:spacing w:after="0"/>
              <w:ind w:left="57" w:right="57"/>
            </w:pPr>
            <w:r>
              <w:t>s. 295</w:t>
            </w:r>
          </w:p>
        </w:tc>
        <w:tc>
          <w:tcPr>
            <w:tcW w:w="4842" w:type="dxa"/>
          </w:tcPr>
          <w:p w:rsidR="00000000" w:rsidRDefault="00000000">
            <w:pPr>
              <w:spacing w:after="0"/>
              <w:ind w:left="-64" w:right="57"/>
            </w:pPr>
            <w:r>
              <w:t>Preventing escape from wreck</w:t>
            </w:r>
          </w:p>
        </w:tc>
        <w:tc>
          <w:tcPr>
            <w:tcW w:w="3238" w:type="dxa"/>
          </w:tcPr>
          <w:p w:rsidR="00000000" w:rsidRDefault="00000000">
            <w:pPr>
              <w:spacing w:after="0"/>
              <w:ind w:left="-64" w:right="57"/>
            </w:pPr>
            <w:r>
              <w:t>20 years</w:t>
            </w:r>
          </w:p>
        </w:tc>
      </w:tr>
      <w:tr w:rsidR="00000000">
        <w:trPr>
          <w:cantSplit/>
        </w:trPr>
        <w:tc>
          <w:tcPr>
            <w:tcW w:w="1276" w:type="dxa"/>
          </w:tcPr>
          <w:p w:rsidR="00000000" w:rsidRDefault="00000000">
            <w:pPr>
              <w:spacing w:after="0"/>
              <w:ind w:left="57" w:right="57"/>
            </w:pPr>
            <w:r>
              <w:t>s. 297</w:t>
            </w:r>
          </w:p>
        </w:tc>
        <w:tc>
          <w:tcPr>
            <w:tcW w:w="4842" w:type="dxa"/>
          </w:tcPr>
          <w:p w:rsidR="00000000" w:rsidRDefault="00000000">
            <w:pPr>
              <w:spacing w:after="0"/>
              <w:ind w:left="-64" w:right="57"/>
            </w:pPr>
            <w:r>
              <w:t>Grievous bodily harm</w:t>
            </w:r>
          </w:p>
        </w:tc>
        <w:tc>
          <w:tcPr>
            <w:tcW w:w="3238" w:type="dxa"/>
          </w:tcPr>
          <w:p w:rsidR="00000000" w:rsidRDefault="00000000">
            <w:pPr>
              <w:spacing w:after="0"/>
              <w:ind w:left="-64" w:right="57"/>
            </w:pPr>
            <w:r>
              <w:t>7 years</w:t>
            </w:r>
          </w:p>
        </w:tc>
      </w:tr>
      <w:tr w:rsidR="00000000">
        <w:trPr>
          <w:cantSplit/>
        </w:trPr>
        <w:tc>
          <w:tcPr>
            <w:tcW w:w="1276" w:type="dxa"/>
          </w:tcPr>
          <w:p w:rsidR="00000000" w:rsidRDefault="00000000">
            <w:pPr>
              <w:spacing w:after="0"/>
              <w:ind w:left="57" w:right="57"/>
            </w:pPr>
            <w:r>
              <w:t>s. 298</w:t>
            </w:r>
          </w:p>
        </w:tc>
        <w:tc>
          <w:tcPr>
            <w:tcW w:w="4842" w:type="dxa"/>
          </w:tcPr>
          <w:p w:rsidR="00000000" w:rsidRDefault="00000000">
            <w:pPr>
              <w:spacing w:after="0"/>
              <w:ind w:left="-64" w:right="57"/>
            </w:pPr>
            <w:r>
              <w:t>Causing explosion likely to endanger life</w:t>
            </w:r>
          </w:p>
        </w:tc>
        <w:tc>
          <w:tcPr>
            <w:tcW w:w="3238" w:type="dxa"/>
          </w:tcPr>
          <w:p w:rsidR="00000000" w:rsidRDefault="00000000">
            <w:pPr>
              <w:spacing w:after="0"/>
              <w:ind w:left="-64" w:right="57"/>
            </w:pPr>
            <w:r>
              <w:t>20 years</w:t>
            </w:r>
          </w:p>
        </w:tc>
      </w:tr>
      <w:tr w:rsidR="00000000">
        <w:trPr>
          <w:cantSplit/>
        </w:trPr>
        <w:tc>
          <w:tcPr>
            <w:tcW w:w="1276" w:type="dxa"/>
          </w:tcPr>
          <w:p w:rsidR="00000000" w:rsidRDefault="00000000">
            <w:pPr>
              <w:spacing w:after="0"/>
              <w:ind w:left="57" w:right="57"/>
            </w:pPr>
            <w:r>
              <w:t>s. 299</w:t>
            </w:r>
          </w:p>
        </w:tc>
        <w:tc>
          <w:tcPr>
            <w:tcW w:w="4842" w:type="dxa"/>
          </w:tcPr>
          <w:p w:rsidR="00000000" w:rsidRDefault="00000000">
            <w:pPr>
              <w:spacing w:after="0"/>
              <w:ind w:left="-64" w:right="57"/>
            </w:pPr>
            <w:r>
              <w:t>Attempting to cause explosion likely to endanger life</w:t>
            </w:r>
          </w:p>
        </w:tc>
        <w:tc>
          <w:tcPr>
            <w:tcW w:w="3238" w:type="dxa"/>
          </w:tcPr>
          <w:p w:rsidR="00000000" w:rsidRDefault="00000000">
            <w:pPr>
              <w:spacing w:after="0"/>
              <w:ind w:left="-64" w:right="57"/>
            </w:pPr>
            <w:r>
              <w:t>14 years</w:t>
            </w:r>
          </w:p>
        </w:tc>
      </w:tr>
      <w:tr w:rsidR="00000000">
        <w:trPr>
          <w:cantSplit/>
          <w:trHeight w:val="126"/>
        </w:trPr>
        <w:tc>
          <w:tcPr>
            <w:tcW w:w="1276" w:type="dxa"/>
          </w:tcPr>
          <w:p w:rsidR="00000000" w:rsidRDefault="00000000">
            <w:pPr>
              <w:spacing w:after="0"/>
              <w:ind w:left="57" w:right="57"/>
            </w:pPr>
            <w:r>
              <w:t>s. 300</w:t>
            </w:r>
          </w:p>
        </w:tc>
        <w:tc>
          <w:tcPr>
            <w:tcW w:w="4842" w:type="dxa"/>
          </w:tcPr>
          <w:p w:rsidR="00000000" w:rsidRDefault="00000000">
            <w:pPr>
              <w:spacing w:after="0"/>
              <w:ind w:left="-64" w:right="57"/>
            </w:pPr>
            <w:r>
              <w:t>Maliciously administering poison with intent to harm</w:t>
            </w:r>
          </w:p>
        </w:tc>
        <w:tc>
          <w:tcPr>
            <w:tcW w:w="3238" w:type="dxa"/>
          </w:tcPr>
          <w:p w:rsidR="00000000" w:rsidRDefault="00000000">
            <w:pPr>
              <w:spacing w:after="0"/>
              <w:ind w:left="-64" w:right="57"/>
            </w:pPr>
            <w:r>
              <w:t>14 years</w:t>
            </w:r>
          </w:p>
        </w:tc>
      </w:tr>
      <w:tr w:rsidR="00000000">
        <w:trPr>
          <w:cantSplit/>
          <w:trHeight w:val="126"/>
        </w:trPr>
        <w:tc>
          <w:tcPr>
            <w:tcW w:w="1276" w:type="dxa"/>
          </w:tcPr>
          <w:p w:rsidR="00000000" w:rsidRDefault="00000000">
            <w:pPr>
              <w:spacing w:after="0"/>
              <w:ind w:left="57" w:right="57"/>
            </w:pPr>
            <w:r>
              <w:t>s. 301</w:t>
            </w:r>
          </w:p>
        </w:tc>
        <w:tc>
          <w:tcPr>
            <w:tcW w:w="4842" w:type="dxa"/>
          </w:tcPr>
          <w:p w:rsidR="00000000" w:rsidRDefault="00000000">
            <w:pPr>
              <w:spacing w:after="0"/>
              <w:ind w:left="-64" w:right="57"/>
            </w:pPr>
            <w:r>
              <w:t>Wounding and similar acts</w:t>
            </w:r>
          </w:p>
        </w:tc>
        <w:tc>
          <w:tcPr>
            <w:tcW w:w="3238" w:type="dxa"/>
          </w:tcPr>
          <w:p w:rsidR="00000000" w:rsidRDefault="00000000">
            <w:pPr>
              <w:spacing w:after="0"/>
              <w:ind w:left="-64" w:right="57"/>
            </w:pPr>
            <w:r>
              <w:t>5 years</w:t>
            </w:r>
          </w:p>
        </w:tc>
      </w:tr>
      <w:tr w:rsidR="00000000">
        <w:trPr>
          <w:cantSplit/>
          <w:trHeight w:val="126"/>
        </w:trPr>
        <w:tc>
          <w:tcPr>
            <w:tcW w:w="1276" w:type="dxa"/>
          </w:tcPr>
          <w:p w:rsidR="00000000" w:rsidRDefault="00000000">
            <w:pPr>
              <w:spacing w:after="0"/>
              <w:ind w:left="57" w:right="57"/>
            </w:pPr>
            <w:r>
              <w:t>s. 302</w:t>
            </w:r>
          </w:p>
        </w:tc>
        <w:tc>
          <w:tcPr>
            <w:tcW w:w="4842" w:type="dxa"/>
          </w:tcPr>
          <w:p w:rsidR="00000000" w:rsidRDefault="00000000">
            <w:pPr>
              <w:spacing w:after="0"/>
              <w:ind w:left="-64" w:right="57"/>
            </w:pPr>
            <w:r>
              <w:t>Failure to supply necessities of life</w:t>
            </w:r>
          </w:p>
        </w:tc>
        <w:tc>
          <w:tcPr>
            <w:tcW w:w="3238" w:type="dxa"/>
          </w:tcPr>
          <w:p w:rsidR="00000000" w:rsidRDefault="00000000">
            <w:pPr>
              <w:spacing w:after="0"/>
              <w:ind w:left="-64" w:right="57"/>
            </w:pPr>
            <w:r>
              <w:t>3 years</w:t>
            </w:r>
          </w:p>
        </w:tc>
      </w:tr>
      <w:tr w:rsidR="00000000">
        <w:trPr>
          <w:cantSplit/>
          <w:trHeight w:val="126"/>
        </w:trPr>
        <w:tc>
          <w:tcPr>
            <w:tcW w:w="1276" w:type="dxa"/>
          </w:tcPr>
          <w:p w:rsidR="00000000" w:rsidRDefault="00000000">
            <w:pPr>
              <w:spacing w:after="0"/>
              <w:ind w:left="57" w:right="57"/>
            </w:pPr>
            <w:r>
              <w:t>s. 303</w:t>
            </w:r>
          </w:p>
        </w:tc>
        <w:tc>
          <w:tcPr>
            <w:tcW w:w="4842" w:type="dxa"/>
          </w:tcPr>
          <w:p w:rsidR="00000000" w:rsidRDefault="00000000">
            <w:pPr>
              <w:spacing w:after="0"/>
              <w:ind w:left="-64" w:right="57"/>
            </w:pPr>
            <w:r>
              <w:t>Endangering life or health of apprentices or servants</w:t>
            </w:r>
          </w:p>
        </w:tc>
        <w:tc>
          <w:tcPr>
            <w:tcW w:w="3238" w:type="dxa"/>
          </w:tcPr>
          <w:p w:rsidR="00000000" w:rsidRDefault="00000000">
            <w:pPr>
              <w:spacing w:after="0"/>
              <w:ind w:left="-64" w:right="57"/>
            </w:pPr>
            <w:r>
              <w:t>3 years</w:t>
            </w:r>
          </w:p>
        </w:tc>
      </w:tr>
      <w:tr w:rsidR="00000000">
        <w:trPr>
          <w:cantSplit/>
          <w:trHeight w:val="126"/>
        </w:trPr>
        <w:tc>
          <w:tcPr>
            <w:tcW w:w="1276" w:type="dxa"/>
          </w:tcPr>
          <w:p w:rsidR="00000000" w:rsidRDefault="00000000">
            <w:pPr>
              <w:spacing w:after="0"/>
              <w:ind w:left="57" w:right="57"/>
            </w:pPr>
            <w:r>
              <w:t>s. 304</w:t>
            </w:r>
          </w:p>
        </w:tc>
        <w:tc>
          <w:tcPr>
            <w:tcW w:w="4842" w:type="dxa"/>
          </w:tcPr>
          <w:p w:rsidR="00000000" w:rsidRDefault="00000000">
            <w:pPr>
              <w:spacing w:after="0"/>
              <w:ind w:left="-64" w:right="57"/>
            </w:pPr>
            <w:r>
              <w:t>Endangering life of children by exposure</w:t>
            </w:r>
          </w:p>
        </w:tc>
        <w:tc>
          <w:tcPr>
            <w:tcW w:w="3238" w:type="dxa"/>
          </w:tcPr>
          <w:p w:rsidR="00000000" w:rsidRDefault="00000000">
            <w:pPr>
              <w:spacing w:after="0"/>
              <w:ind w:left="-64" w:right="57"/>
            </w:pPr>
            <w:r>
              <w:t>3 years</w:t>
            </w:r>
          </w:p>
        </w:tc>
      </w:tr>
      <w:tr w:rsidR="00000000">
        <w:trPr>
          <w:cantSplit/>
          <w:trHeight w:val="126"/>
        </w:trPr>
        <w:tc>
          <w:tcPr>
            <w:tcW w:w="1276" w:type="dxa"/>
          </w:tcPr>
          <w:p w:rsidR="00000000" w:rsidRDefault="00000000">
            <w:pPr>
              <w:spacing w:after="0"/>
              <w:ind w:left="57" w:right="57"/>
            </w:pPr>
            <w:r>
              <w:t>s. 305</w:t>
            </w:r>
          </w:p>
        </w:tc>
        <w:tc>
          <w:tcPr>
            <w:tcW w:w="4842" w:type="dxa"/>
          </w:tcPr>
          <w:p w:rsidR="00000000" w:rsidRDefault="00000000">
            <w:pPr>
              <w:spacing w:after="0"/>
              <w:ind w:left="-64" w:right="57"/>
            </w:pPr>
            <w:r>
              <w:t>Setting mantraps</w:t>
            </w:r>
          </w:p>
        </w:tc>
        <w:tc>
          <w:tcPr>
            <w:tcW w:w="3238" w:type="dxa"/>
          </w:tcPr>
          <w:p w:rsidR="00000000" w:rsidRDefault="00000000">
            <w:pPr>
              <w:spacing w:after="0"/>
              <w:ind w:left="-64" w:right="57"/>
            </w:pPr>
            <w:r>
              <w:t>3 years</w:t>
            </w:r>
          </w:p>
        </w:tc>
      </w:tr>
      <w:tr w:rsidR="00000000">
        <w:trPr>
          <w:cantSplit/>
          <w:trHeight w:val="259"/>
        </w:trPr>
        <w:tc>
          <w:tcPr>
            <w:tcW w:w="1276" w:type="dxa"/>
          </w:tcPr>
          <w:p w:rsidR="00000000" w:rsidRDefault="00000000">
            <w:pPr>
              <w:spacing w:after="0"/>
              <w:ind w:left="57" w:right="57"/>
            </w:pPr>
            <w:r>
              <w:t>s. 313</w:t>
            </w:r>
          </w:p>
        </w:tc>
        <w:tc>
          <w:tcPr>
            <w:tcW w:w="4842" w:type="dxa"/>
          </w:tcPr>
          <w:p w:rsidR="00000000" w:rsidRDefault="00000000">
            <w:pPr>
              <w:spacing w:after="0"/>
              <w:ind w:left="-64" w:right="57"/>
            </w:pPr>
            <w:r>
              <w:t>Common assault</w:t>
            </w:r>
          </w:p>
        </w:tc>
        <w:tc>
          <w:tcPr>
            <w:tcW w:w="3238" w:type="dxa"/>
          </w:tcPr>
          <w:p w:rsidR="00000000" w:rsidRDefault="00000000">
            <w:pPr>
              <w:spacing w:after="0"/>
              <w:ind w:left="-64" w:right="57"/>
            </w:pPr>
            <w:r>
              <w:t>18 months</w:t>
            </w:r>
          </w:p>
        </w:tc>
      </w:tr>
      <w:tr w:rsidR="00000000">
        <w:trPr>
          <w:cantSplit/>
          <w:trHeight w:val="126"/>
        </w:trPr>
        <w:tc>
          <w:tcPr>
            <w:tcW w:w="1276" w:type="dxa"/>
          </w:tcPr>
          <w:p w:rsidR="00000000" w:rsidRDefault="00000000">
            <w:pPr>
              <w:spacing w:after="0"/>
              <w:ind w:left="57" w:right="57"/>
            </w:pPr>
            <w:r>
              <w:t>s. 317</w:t>
            </w:r>
          </w:p>
        </w:tc>
        <w:tc>
          <w:tcPr>
            <w:tcW w:w="4842" w:type="dxa"/>
          </w:tcPr>
          <w:p w:rsidR="00000000" w:rsidRDefault="00000000">
            <w:pPr>
              <w:spacing w:after="0"/>
              <w:ind w:left="-64" w:right="57"/>
            </w:pPr>
            <w:r>
              <w:t>Assaults occasioning bodily harm</w:t>
            </w:r>
          </w:p>
        </w:tc>
        <w:tc>
          <w:tcPr>
            <w:tcW w:w="3238" w:type="dxa"/>
          </w:tcPr>
          <w:p w:rsidR="00000000" w:rsidRDefault="00000000">
            <w:pPr>
              <w:spacing w:after="0"/>
              <w:ind w:left="-64" w:right="57"/>
            </w:pPr>
            <w:r>
              <w:t>5 years</w:t>
            </w:r>
          </w:p>
        </w:tc>
      </w:tr>
      <w:tr w:rsidR="00000000">
        <w:trPr>
          <w:cantSplit/>
          <w:trHeight w:val="126"/>
        </w:trPr>
        <w:tc>
          <w:tcPr>
            <w:tcW w:w="1276" w:type="dxa"/>
          </w:tcPr>
          <w:p w:rsidR="00000000" w:rsidRDefault="00000000">
            <w:pPr>
              <w:spacing w:after="0"/>
              <w:ind w:left="57" w:right="57"/>
            </w:pPr>
            <w:r>
              <w:t>s. 317A</w:t>
            </w:r>
          </w:p>
        </w:tc>
        <w:tc>
          <w:tcPr>
            <w:tcW w:w="4842" w:type="dxa"/>
          </w:tcPr>
          <w:p w:rsidR="00000000" w:rsidRDefault="00000000">
            <w:pPr>
              <w:spacing w:after="0"/>
              <w:ind w:left="-64" w:right="57"/>
            </w:pPr>
            <w:r>
              <w:t>Assaults with intent</w:t>
            </w:r>
          </w:p>
        </w:tc>
        <w:tc>
          <w:tcPr>
            <w:tcW w:w="3238" w:type="dxa"/>
          </w:tcPr>
          <w:p w:rsidR="00000000" w:rsidRDefault="00000000">
            <w:pPr>
              <w:spacing w:after="0"/>
              <w:ind w:left="-64" w:right="57"/>
            </w:pPr>
            <w:r>
              <w:t>5 years</w:t>
            </w:r>
          </w:p>
        </w:tc>
      </w:tr>
      <w:tr w:rsidR="00000000">
        <w:trPr>
          <w:cantSplit/>
        </w:trPr>
        <w:tc>
          <w:tcPr>
            <w:tcW w:w="1276" w:type="dxa"/>
          </w:tcPr>
          <w:p w:rsidR="00000000" w:rsidRDefault="00000000">
            <w:pPr>
              <w:spacing w:after="0"/>
              <w:ind w:left="57" w:right="57"/>
            </w:pPr>
            <w:r>
              <w:t>s. 318</w:t>
            </w:r>
          </w:p>
        </w:tc>
        <w:tc>
          <w:tcPr>
            <w:tcW w:w="4842" w:type="dxa"/>
          </w:tcPr>
          <w:p w:rsidR="00000000" w:rsidRDefault="00000000">
            <w:pPr>
              <w:spacing w:after="0"/>
              <w:ind w:left="-64" w:right="57"/>
            </w:pPr>
            <w:r>
              <w:t>Serious assaults</w:t>
            </w:r>
          </w:p>
        </w:tc>
        <w:tc>
          <w:tcPr>
            <w:tcW w:w="3238" w:type="dxa"/>
          </w:tcPr>
          <w:p w:rsidR="00000000" w:rsidRDefault="00000000">
            <w:pPr>
              <w:spacing w:after="0"/>
              <w:ind w:left="-64" w:right="57"/>
            </w:pPr>
            <w:r>
              <w:t>10 years</w:t>
            </w:r>
          </w:p>
        </w:tc>
      </w:tr>
      <w:tr w:rsidR="00000000">
        <w:trPr>
          <w:cantSplit/>
        </w:trPr>
        <w:tc>
          <w:tcPr>
            <w:tcW w:w="1276" w:type="dxa"/>
          </w:tcPr>
          <w:p w:rsidR="00000000" w:rsidRDefault="00000000">
            <w:pPr>
              <w:spacing w:after="0"/>
              <w:ind w:left="57" w:right="57"/>
            </w:pPr>
            <w:r>
              <w:t>s. 320</w:t>
            </w:r>
          </w:p>
        </w:tc>
        <w:tc>
          <w:tcPr>
            <w:tcW w:w="4842" w:type="dxa"/>
          </w:tcPr>
          <w:p w:rsidR="00000000" w:rsidRDefault="00000000">
            <w:pPr>
              <w:spacing w:after="0"/>
              <w:ind w:left="-64" w:right="57"/>
            </w:pPr>
            <w:r>
              <w:t>Sexual offences against child under 13</w:t>
            </w:r>
          </w:p>
        </w:tc>
        <w:tc>
          <w:tcPr>
            <w:tcW w:w="3238" w:type="dxa"/>
          </w:tcPr>
          <w:p w:rsidR="00000000" w:rsidRDefault="00000000">
            <w:pPr>
              <w:spacing w:after="0"/>
              <w:ind w:left="-64" w:right="57"/>
            </w:pPr>
            <w:r>
              <w:t>20 years</w:t>
            </w:r>
          </w:p>
        </w:tc>
      </w:tr>
      <w:tr w:rsidR="00000000">
        <w:trPr>
          <w:cantSplit/>
        </w:trPr>
        <w:tc>
          <w:tcPr>
            <w:tcW w:w="1276" w:type="dxa"/>
          </w:tcPr>
          <w:p w:rsidR="00000000" w:rsidRDefault="00000000">
            <w:pPr>
              <w:spacing w:after="0"/>
              <w:ind w:left="57" w:right="57"/>
            </w:pPr>
            <w:r>
              <w:t>s. 321</w:t>
            </w:r>
          </w:p>
        </w:tc>
        <w:tc>
          <w:tcPr>
            <w:tcW w:w="4842" w:type="dxa"/>
          </w:tcPr>
          <w:p w:rsidR="00000000" w:rsidRDefault="00000000">
            <w:pPr>
              <w:spacing w:after="0"/>
              <w:ind w:left="-64" w:right="57"/>
            </w:pPr>
            <w:r>
              <w:t>Sexual offences against child or over 13 and under 16</w:t>
            </w:r>
          </w:p>
        </w:tc>
        <w:tc>
          <w:tcPr>
            <w:tcW w:w="3238" w:type="dxa"/>
          </w:tcPr>
          <w:p w:rsidR="00000000" w:rsidRDefault="00000000">
            <w:pPr>
              <w:spacing w:after="0"/>
              <w:ind w:left="-64" w:right="57"/>
            </w:pPr>
            <w:r>
              <w:t>20 years</w:t>
            </w:r>
          </w:p>
        </w:tc>
      </w:tr>
      <w:tr w:rsidR="00000000">
        <w:trPr>
          <w:cantSplit/>
        </w:trPr>
        <w:tc>
          <w:tcPr>
            <w:tcW w:w="1276" w:type="dxa"/>
          </w:tcPr>
          <w:p w:rsidR="00000000" w:rsidRDefault="00000000">
            <w:pPr>
              <w:spacing w:after="0"/>
              <w:ind w:left="57" w:right="57"/>
            </w:pPr>
            <w:r>
              <w:t>s. 322</w:t>
            </w:r>
          </w:p>
        </w:tc>
        <w:tc>
          <w:tcPr>
            <w:tcW w:w="4842" w:type="dxa"/>
          </w:tcPr>
          <w:p w:rsidR="00000000" w:rsidRDefault="00000000">
            <w:pPr>
              <w:spacing w:after="0"/>
              <w:ind w:left="-64" w:right="57"/>
            </w:pPr>
            <w:r>
              <w:t>Sexual offences by person in authority against child of or over 16</w:t>
            </w:r>
          </w:p>
        </w:tc>
        <w:tc>
          <w:tcPr>
            <w:tcW w:w="3238" w:type="dxa"/>
          </w:tcPr>
          <w:p w:rsidR="00000000" w:rsidRDefault="00000000">
            <w:pPr>
              <w:spacing w:after="0"/>
              <w:ind w:left="-64" w:right="57"/>
            </w:pPr>
            <w:r>
              <w:t>10 years</w:t>
            </w:r>
          </w:p>
        </w:tc>
      </w:tr>
      <w:tr w:rsidR="00000000">
        <w:trPr>
          <w:cantSplit/>
        </w:trPr>
        <w:tc>
          <w:tcPr>
            <w:tcW w:w="1276" w:type="dxa"/>
          </w:tcPr>
          <w:p w:rsidR="00000000" w:rsidRDefault="00000000">
            <w:pPr>
              <w:spacing w:after="0"/>
              <w:ind w:left="57" w:right="57"/>
            </w:pPr>
            <w:r>
              <w:br w:type="page"/>
            </w:r>
            <w:r>
              <w:br w:type="page"/>
              <w:t>s. 322a</w:t>
            </w:r>
          </w:p>
        </w:tc>
        <w:tc>
          <w:tcPr>
            <w:tcW w:w="4842" w:type="dxa"/>
          </w:tcPr>
          <w:p w:rsidR="00000000" w:rsidRDefault="00000000">
            <w:pPr>
              <w:spacing w:after="0"/>
              <w:ind w:left="-64" w:right="57"/>
            </w:pPr>
            <w:r>
              <w:t>Sexual offences against juvenile male</w:t>
            </w:r>
          </w:p>
        </w:tc>
        <w:tc>
          <w:tcPr>
            <w:tcW w:w="3238" w:type="dxa"/>
          </w:tcPr>
          <w:p w:rsidR="00000000" w:rsidRDefault="00000000">
            <w:pPr>
              <w:spacing w:after="0"/>
              <w:ind w:left="-64" w:right="57"/>
            </w:pPr>
            <w:r>
              <w:t>5 years</w:t>
            </w:r>
          </w:p>
        </w:tc>
      </w:tr>
      <w:tr w:rsidR="00000000">
        <w:trPr>
          <w:cantSplit/>
        </w:trPr>
        <w:tc>
          <w:tcPr>
            <w:tcW w:w="1276" w:type="dxa"/>
          </w:tcPr>
          <w:p w:rsidR="00000000" w:rsidRDefault="00000000">
            <w:pPr>
              <w:spacing w:after="0"/>
              <w:ind w:left="57" w:right="57"/>
            </w:pPr>
            <w:r>
              <w:t>s. 323</w:t>
            </w:r>
          </w:p>
        </w:tc>
        <w:tc>
          <w:tcPr>
            <w:tcW w:w="4842" w:type="dxa"/>
          </w:tcPr>
          <w:p w:rsidR="00000000" w:rsidRDefault="00000000">
            <w:pPr>
              <w:spacing w:after="0"/>
              <w:ind w:left="-64" w:right="57"/>
            </w:pPr>
            <w:r>
              <w:t>Indecent assault</w:t>
            </w:r>
          </w:p>
        </w:tc>
        <w:tc>
          <w:tcPr>
            <w:tcW w:w="3238" w:type="dxa"/>
          </w:tcPr>
          <w:p w:rsidR="00000000" w:rsidRDefault="00000000">
            <w:pPr>
              <w:spacing w:after="0"/>
              <w:ind w:left="-64" w:right="57"/>
            </w:pPr>
            <w:r>
              <w:t>5 years</w:t>
            </w:r>
          </w:p>
        </w:tc>
      </w:tr>
      <w:tr w:rsidR="00000000">
        <w:trPr>
          <w:cantSplit/>
        </w:trPr>
        <w:tc>
          <w:tcPr>
            <w:tcW w:w="1276" w:type="dxa"/>
          </w:tcPr>
          <w:p w:rsidR="00000000" w:rsidRDefault="00000000">
            <w:pPr>
              <w:spacing w:after="0"/>
              <w:ind w:left="57" w:right="57"/>
            </w:pPr>
            <w:r>
              <w:t>s. 324</w:t>
            </w:r>
          </w:p>
        </w:tc>
        <w:tc>
          <w:tcPr>
            <w:tcW w:w="4842" w:type="dxa"/>
          </w:tcPr>
          <w:p w:rsidR="00000000" w:rsidRDefault="00000000">
            <w:pPr>
              <w:spacing w:after="0"/>
              <w:ind w:left="-64" w:right="57"/>
            </w:pPr>
            <w:r>
              <w:t>Aggravated indecent assault</w:t>
            </w:r>
          </w:p>
        </w:tc>
        <w:tc>
          <w:tcPr>
            <w:tcW w:w="3238" w:type="dxa"/>
          </w:tcPr>
          <w:p w:rsidR="00000000" w:rsidRDefault="00000000">
            <w:pPr>
              <w:spacing w:after="0"/>
              <w:ind w:left="-64" w:right="57"/>
            </w:pPr>
            <w:r>
              <w:t>7 years</w:t>
            </w:r>
          </w:p>
        </w:tc>
      </w:tr>
      <w:tr w:rsidR="00000000">
        <w:trPr>
          <w:cantSplit/>
        </w:trPr>
        <w:tc>
          <w:tcPr>
            <w:tcW w:w="1276" w:type="dxa"/>
          </w:tcPr>
          <w:p w:rsidR="00000000" w:rsidRDefault="00000000">
            <w:pPr>
              <w:spacing w:after="0"/>
              <w:ind w:left="57" w:right="57"/>
            </w:pPr>
            <w:r>
              <w:t>s. 325</w:t>
            </w:r>
          </w:p>
        </w:tc>
        <w:tc>
          <w:tcPr>
            <w:tcW w:w="4842" w:type="dxa"/>
          </w:tcPr>
          <w:p w:rsidR="00000000" w:rsidRDefault="00000000">
            <w:pPr>
              <w:spacing w:after="0"/>
              <w:ind w:left="-64" w:right="57"/>
            </w:pPr>
            <w:r>
              <w:t>Sexual penetration without consent</w:t>
            </w:r>
          </w:p>
        </w:tc>
        <w:tc>
          <w:tcPr>
            <w:tcW w:w="3238" w:type="dxa"/>
          </w:tcPr>
          <w:p w:rsidR="00000000" w:rsidRDefault="00000000">
            <w:pPr>
              <w:spacing w:after="0"/>
              <w:ind w:left="-64" w:right="57"/>
            </w:pPr>
            <w:r>
              <w:t>20 years</w:t>
            </w:r>
          </w:p>
        </w:tc>
      </w:tr>
      <w:tr w:rsidR="00000000">
        <w:trPr>
          <w:cantSplit/>
        </w:trPr>
        <w:tc>
          <w:tcPr>
            <w:tcW w:w="1276" w:type="dxa"/>
          </w:tcPr>
          <w:p w:rsidR="00000000" w:rsidRDefault="00000000">
            <w:pPr>
              <w:spacing w:after="0"/>
              <w:ind w:left="57" w:right="57"/>
            </w:pPr>
            <w:r>
              <w:t>s. 326</w:t>
            </w:r>
          </w:p>
        </w:tc>
        <w:tc>
          <w:tcPr>
            <w:tcW w:w="4842" w:type="dxa"/>
          </w:tcPr>
          <w:p w:rsidR="00000000" w:rsidRDefault="00000000">
            <w:pPr>
              <w:spacing w:after="0"/>
              <w:ind w:left="-64" w:right="57"/>
            </w:pPr>
            <w:r>
              <w:t>Aggravated sexual penetration without consent</w:t>
            </w:r>
          </w:p>
        </w:tc>
        <w:tc>
          <w:tcPr>
            <w:tcW w:w="3238" w:type="dxa"/>
          </w:tcPr>
          <w:p w:rsidR="00000000" w:rsidRDefault="00000000">
            <w:pPr>
              <w:spacing w:after="0"/>
              <w:ind w:left="-64" w:right="57"/>
            </w:pPr>
            <w:r>
              <w:t>20 years</w:t>
            </w:r>
          </w:p>
        </w:tc>
      </w:tr>
      <w:tr w:rsidR="00000000">
        <w:trPr>
          <w:cantSplit/>
        </w:trPr>
        <w:tc>
          <w:tcPr>
            <w:tcW w:w="1276" w:type="dxa"/>
          </w:tcPr>
          <w:p w:rsidR="00000000" w:rsidRDefault="00000000">
            <w:pPr>
              <w:spacing w:after="0"/>
              <w:ind w:left="57" w:right="57"/>
            </w:pPr>
            <w:r>
              <w:t>s. 327</w:t>
            </w:r>
          </w:p>
        </w:tc>
        <w:tc>
          <w:tcPr>
            <w:tcW w:w="4842" w:type="dxa"/>
          </w:tcPr>
          <w:p w:rsidR="00000000" w:rsidRDefault="00000000">
            <w:pPr>
              <w:spacing w:after="0"/>
              <w:ind w:left="-64" w:right="57"/>
            </w:pPr>
            <w:r>
              <w:t>Sexual coercion</w:t>
            </w:r>
          </w:p>
        </w:tc>
        <w:tc>
          <w:tcPr>
            <w:tcW w:w="3238" w:type="dxa"/>
          </w:tcPr>
          <w:p w:rsidR="00000000" w:rsidRDefault="00000000">
            <w:pPr>
              <w:spacing w:after="0"/>
              <w:ind w:left="-64" w:right="57"/>
            </w:pPr>
            <w:r>
              <w:t>14 years</w:t>
            </w:r>
          </w:p>
        </w:tc>
      </w:tr>
      <w:tr w:rsidR="00000000">
        <w:trPr>
          <w:cantSplit/>
        </w:trPr>
        <w:tc>
          <w:tcPr>
            <w:tcW w:w="1276" w:type="dxa"/>
          </w:tcPr>
          <w:p w:rsidR="00000000" w:rsidRDefault="00000000">
            <w:pPr>
              <w:spacing w:after="0"/>
              <w:ind w:left="57" w:right="57"/>
            </w:pPr>
            <w:r>
              <w:t>s. 328</w:t>
            </w:r>
          </w:p>
        </w:tc>
        <w:tc>
          <w:tcPr>
            <w:tcW w:w="4842" w:type="dxa"/>
          </w:tcPr>
          <w:p w:rsidR="00000000" w:rsidRDefault="00000000">
            <w:pPr>
              <w:spacing w:after="0"/>
              <w:ind w:left="-64" w:right="57"/>
            </w:pPr>
            <w:r>
              <w:t>Aggravated sexual coercion</w:t>
            </w:r>
          </w:p>
        </w:tc>
        <w:tc>
          <w:tcPr>
            <w:tcW w:w="3238" w:type="dxa"/>
          </w:tcPr>
          <w:p w:rsidR="00000000" w:rsidRDefault="00000000">
            <w:pPr>
              <w:spacing w:after="0"/>
              <w:ind w:left="-64" w:right="57"/>
            </w:pPr>
            <w:r>
              <w:t>20 years</w:t>
            </w:r>
          </w:p>
        </w:tc>
      </w:tr>
      <w:tr w:rsidR="00000000">
        <w:trPr>
          <w:cantSplit/>
        </w:trPr>
        <w:tc>
          <w:tcPr>
            <w:tcW w:w="1276" w:type="dxa"/>
          </w:tcPr>
          <w:p w:rsidR="00000000" w:rsidRDefault="00000000">
            <w:pPr>
              <w:spacing w:after="0"/>
              <w:ind w:left="57" w:right="57"/>
            </w:pPr>
            <w:r>
              <w:t>s. 330</w:t>
            </w:r>
          </w:p>
        </w:tc>
        <w:tc>
          <w:tcPr>
            <w:tcW w:w="4842" w:type="dxa"/>
          </w:tcPr>
          <w:p w:rsidR="00000000" w:rsidRDefault="00000000">
            <w:pPr>
              <w:spacing w:after="0"/>
              <w:ind w:left="-64" w:right="57"/>
            </w:pPr>
            <w:r>
              <w:t>Sexual offences against incapable person</w:t>
            </w:r>
          </w:p>
        </w:tc>
        <w:tc>
          <w:tcPr>
            <w:tcW w:w="3238" w:type="dxa"/>
          </w:tcPr>
          <w:p w:rsidR="00000000" w:rsidRDefault="00000000">
            <w:pPr>
              <w:spacing w:after="0"/>
              <w:ind w:left="-64" w:right="57"/>
            </w:pPr>
            <w:r>
              <w:t>20 years</w:t>
            </w:r>
          </w:p>
        </w:tc>
      </w:tr>
      <w:tr w:rsidR="00000000">
        <w:trPr>
          <w:cantSplit/>
        </w:trPr>
        <w:tc>
          <w:tcPr>
            <w:tcW w:w="1276" w:type="dxa"/>
          </w:tcPr>
          <w:p w:rsidR="00000000" w:rsidRDefault="00000000">
            <w:pPr>
              <w:spacing w:after="0"/>
              <w:ind w:left="57" w:right="57"/>
            </w:pPr>
            <w:r>
              <w:t>s. 332</w:t>
            </w:r>
          </w:p>
        </w:tc>
        <w:tc>
          <w:tcPr>
            <w:tcW w:w="4842" w:type="dxa"/>
          </w:tcPr>
          <w:p w:rsidR="00000000" w:rsidRDefault="00000000">
            <w:pPr>
              <w:spacing w:after="0"/>
              <w:ind w:left="-64" w:right="57"/>
            </w:pPr>
            <w:r>
              <w:t>Kidnapping</w:t>
            </w:r>
          </w:p>
        </w:tc>
        <w:tc>
          <w:tcPr>
            <w:tcW w:w="3238" w:type="dxa"/>
          </w:tcPr>
          <w:p w:rsidR="00000000" w:rsidRDefault="00000000">
            <w:pPr>
              <w:spacing w:after="0"/>
              <w:ind w:left="-64" w:right="57"/>
            </w:pPr>
            <w:r>
              <w:t>20 years</w:t>
            </w:r>
          </w:p>
        </w:tc>
      </w:tr>
      <w:tr w:rsidR="00000000">
        <w:trPr>
          <w:cantSplit/>
        </w:trPr>
        <w:tc>
          <w:tcPr>
            <w:tcW w:w="1276" w:type="dxa"/>
          </w:tcPr>
          <w:p w:rsidR="00000000" w:rsidRDefault="00000000">
            <w:pPr>
              <w:spacing w:after="0"/>
              <w:ind w:left="57" w:right="57"/>
            </w:pPr>
            <w:r>
              <w:t>s. 333</w:t>
            </w:r>
          </w:p>
        </w:tc>
        <w:tc>
          <w:tcPr>
            <w:tcW w:w="4842" w:type="dxa"/>
          </w:tcPr>
          <w:p w:rsidR="00000000" w:rsidRDefault="00000000">
            <w:pPr>
              <w:spacing w:after="0"/>
              <w:ind w:left="-64" w:right="57"/>
            </w:pPr>
            <w:r>
              <w:t>Deprivation of liberty</w:t>
            </w:r>
          </w:p>
        </w:tc>
        <w:tc>
          <w:tcPr>
            <w:tcW w:w="3238" w:type="dxa"/>
          </w:tcPr>
          <w:p w:rsidR="00000000" w:rsidRDefault="00000000">
            <w:pPr>
              <w:spacing w:after="0"/>
              <w:ind w:left="-64" w:right="57"/>
            </w:pPr>
            <w:r>
              <w:t>10 years</w:t>
            </w:r>
          </w:p>
        </w:tc>
      </w:tr>
      <w:tr w:rsidR="00000000">
        <w:trPr>
          <w:cantSplit/>
        </w:trPr>
        <w:tc>
          <w:tcPr>
            <w:tcW w:w="1276" w:type="dxa"/>
          </w:tcPr>
          <w:p w:rsidR="00000000" w:rsidRDefault="00000000">
            <w:pPr>
              <w:spacing w:after="0"/>
              <w:ind w:left="57" w:right="57"/>
            </w:pPr>
            <w:r>
              <w:t>s. 336</w:t>
            </w:r>
          </w:p>
        </w:tc>
        <w:tc>
          <w:tcPr>
            <w:tcW w:w="4842" w:type="dxa"/>
          </w:tcPr>
          <w:p w:rsidR="00000000" w:rsidRDefault="00000000">
            <w:pPr>
              <w:spacing w:after="0"/>
              <w:ind w:left="-64" w:right="57"/>
            </w:pPr>
            <w:r>
              <w:t>Procuring the apprehension or detention of a person not suffering from a mental disorder</w:t>
            </w:r>
          </w:p>
        </w:tc>
        <w:tc>
          <w:tcPr>
            <w:tcW w:w="3238" w:type="dxa"/>
          </w:tcPr>
          <w:p w:rsidR="00000000" w:rsidRDefault="00000000">
            <w:pPr>
              <w:spacing w:after="0"/>
              <w:ind w:left="-64" w:right="57"/>
            </w:pPr>
            <w:r>
              <w:t>3 years</w:t>
            </w:r>
          </w:p>
        </w:tc>
      </w:tr>
      <w:tr w:rsidR="00000000">
        <w:trPr>
          <w:cantSplit/>
        </w:trPr>
        <w:tc>
          <w:tcPr>
            <w:tcW w:w="1276" w:type="dxa"/>
          </w:tcPr>
          <w:p w:rsidR="00000000" w:rsidRDefault="00000000">
            <w:pPr>
              <w:spacing w:after="0"/>
              <w:ind w:left="57" w:right="57"/>
            </w:pPr>
            <w:r>
              <w:t>s. 337</w:t>
            </w:r>
          </w:p>
        </w:tc>
        <w:tc>
          <w:tcPr>
            <w:tcW w:w="4842" w:type="dxa"/>
          </w:tcPr>
          <w:p w:rsidR="00000000" w:rsidRDefault="00000000">
            <w:pPr>
              <w:spacing w:after="0"/>
              <w:ind w:left="-64" w:right="57"/>
            </w:pPr>
            <w:r>
              <w:t>Unlawful custody of persons suffering from mental disorder</w:t>
            </w:r>
          </w:p>
        </w:tc>
        <w:tc>
          <w:tcPr>
            <w:tcW w:w="3238" w:type="dxa"/>
          </w:tcPr>
          <w:p w:rsidR="00000000" w:rsidRDefault="00000000">
            <w:pPr>
              <w:spacing w:after="0"/>
              <w:ind w:left="-64" w:right="57"/>
            </w:pPr>
            <w:r>
              <w:t>2 years</w:t>
            </w:r>
          </w:p>
        </w:tc>
      </w:tr>
      <w:tr w:rsidR="00000000">
        <w:trPr>
          <w:cantSplit/>
        </w:trPr>
        <w:tc>
          <w:tcPr>
            <w:tcW w:w="1276" w:type="dxa"/>
            <w:tcBorders>
              <w:bottom w:val="single" w:sz="4" w:space="0" w:color="auto"/>
            </w:tcBorders>
          </w:tcPr>
          <w:p w:rsidR="00000000" w:rsidRDefault="00000000">
            <w:pPr>
              <w:spacing w:after="0"/>
              <w:ind w:left="57" w:right="57"/>
            </w:pPr>
            <w:r>
              <w:t>s. 338A</w:t>
            </w:r>
          </w:p>
        </w:tc>
        <w:tc>
          <w:tcPr>
            <w:tcW w:w="4842" w:type="dxa"/>
            <w:tcBorders>
              <w:bottom w:val="single" w:sz="4" w:space="0" w:color="auto"/>
            </w:tcBorders>
          </w:tcPr>
          <w:p w:rsidR="00000000" w:rsidRDefault="00000000">
            <w:pPr>
              <w:spacing w:after="0"/>
              <w:ind w:left="-64" w:right="57"/>
            </w:pPr>
            <w:r>
              <w:t>Threats with intent to influence</w:t>
            </w:r>
          </w:p>
        </w:tc>
        <w:tc>
          <w:tcPr>
            <w:tcW w:w="3238" w:type="dxa"/>
            <w:tcBorders>
              <w:bottom w:val="single" w:sz="4" w:space="0" w:color="auto"/>
            </w:tcBorders>
          </w:tcPr>
          <w:p w:rsidR="00000000" w:rsidRDefault="00000000">
            <w:pPr>
              <w:spacing w:after="0"/>
              <w:ind w:left="-64" w:right="57"/>
            </w:pPr>
            <w:r>
              <w:t>10 years</w:t>
            </w:r>
          </w:p>
        </w:tc>
      </w:tr>
      <w:tr w:rsidR="00000000">
        <w:trPr>
          <w:cantSplit/>
        </w:trPr>
        <w:tc>
          <w:tcPr>
            <w:tcW w:w="1276" w:type="dxa"/>
            <w:tcBorders>
              <w:top w:val="single" w:sz="4" w:space="0" w:color="auto"/>
              <w:left w:val="nil"/>
              <w:bottom w:val="nil"/>
              <w:right w:val="nil"/>
            </w:tcBorders>
          </w:tcPr>
          <w:p w:rsidR="00000000" w:rsidRDefault="00000000">
            <w:pPr>
              <w:spacing w:after="0"/>
              <w:ind w:left="57" w:right="57"/>
            </w:pPr>
          </w:p>
        </w:tc>
        <w:tc>
          <w:tcPr>
            <w:tcW w:w="4842" w:type="dxa"/>
            <w:tcBorders>
              <w:top w:val="single" w:sz="4" w:space="0" w:color="auto"/>
              <w:left w:val="nil"/>
              <w:bottom w:val="nil"/>
              <w:right w:val="nil"/>
            </w:tcBorders>
          </w:tcPr>
          <w:p w:rsidR="00000000" w:rsidRDefault="00000000">
            <w:pPr>
              <w:spacing w:after="0"/>
              <w:ind w:left="-64" w:right="57"/>
            </w:pPr>
          </w:p>
        </w:tc>
        <w:tc>
          <w:tcPr>
            <w:tcW w:w="3238" w:type="dxa"/>
            <w:tcBorders>
              <w:top w:val="single" w:sz="4" w:space="0" w:color="auto"/>
              <w:left w:val="nil"/>
              <w:bottom w:val="nil"/>
              <w:right w:val="nil"/>
            </w:tcBorders>
          </w:tcPr>
          <w:p w:rsidR="00000000" w:rsidRDefault="00000000">
            <w:pPr>
              <w:spacing w:after="0"/>
              <w:ind w:left="-64" w:right="57"/>
            </w:pPr>
          </w:p>
        </w:tc>
      </w:tr>
      <w:tr w:rsidR="00000000">
        <w:trPr>
          <w:cantSplit/>
        </w:trPr>
        <w:tc>
          <w:tcPr>
            <w:tcW w:w="1276" w:type="dxa"/>
            <w:tcBorders>
              <w:top w:val="nil"/>
              <w:left w:val="nil"/>
              <w:bottom w:val="nil"/>
              <w:right w:val="nil"/>
            </w:tcBorders>
          </w:tcPr>
          <w:p w:rsidR="00000000" w:rsidRDefault="00000000">
            <w:pPr>
              <w:spacing w:after="0"/>
              <w:ind w:left="57" w:right="57"/>
            </w:pPr>
          </w:p>
        </w:tc>
        <w:tc>
          <w:tcPr>
            <w:tcW w:w="4842" w:type="dxa"/>
            <w:tcBorders>
              <w:top w:val="nil"/>
              <w:left w:val="nil"/>
              <w:bottom w:val="nil"/>
              <w:right w:val="nil"/>
            </w:tcBorders>
          </w:tcPr>
          <w:p w:rsidR="00000000" w:rsidRDefault="00000000">
            <w:pPr>
              <w:spacing w:after="0"/>
              <w:ind w:left="-64" w:right="57"/>
            </w:pPr>
          </w:p>
        </w:tc>
        <w:tc>
          <w:tcPr>
            <w:tcW w:w="3238" w:type="dxa"/>
            <w:tcBorders>
              <w:top w:val="nil"/>
              <w:left w:val="nil"/>
              <w:bottom w:val="nil"/>
              <w:right w:val="nil"/>
            </w:tcBorders>
          </w:tcPr>
          <w:p w:rsidR="00000000" w:rsidRDefault="00000000">
            <w:pPr>
              <w:spacing w:after="0"/>
              <w:ind w:left="-64" w:right="57"/>
            </w:pPr>
          </w:p>
        </w:tc>
      </w:tr>
      <w:tr w:rsidR="00000000">
        <w:trPr>
          <w:cantSplit/>
        </w:trPr>
        <w:tc>
          <w:tcPr>
            <w:tcW w:w="1276" w:type="dxa"/>
            <w:tcBorders>
              <w:top w:val="nil"/>
            </w:tcBorders>
          </w:tcPr>
          <w:p w:rsidR="00000000" w:rsidRDefault="00000000">
            <w:pPr>
              <w:spacing w:after="0"/>
              <w:ind w:left="57" w:right="57"/>
            </w:pPr>
            <w:r>
              <w:t>s. 338B</w:t>
            </w:r>
          </w:p>
        </w:tc>
        <w:tc>
          <w:tcPr>
            <w:tcW w:w="4842" w:type="dxa"/>
            <w:tcBorders>
              <w:top w:val="nil"/>
            </w:tcBorders>
          </w:tcPr>
          <w:p w:rsidR="00000000" w:rsidRDefault="00000000">
            <w:pPr>
              <w:spacing w:after="0"/>
              <w:ind w:left="-64" w:right="57"/>
            </w:pPr>
            <w:r>
              <w:t>Threats</w:t>
            </w:r>
          </w:p>
        </w:tc>
        <w:tc>
          <w:tcPr>
            <w:tcW w:w="3238" w:type="dxa"/>
            <w:tcBorders>
              <w:top w:val="nil"/>
            </w:tcBorders>
          </w:tcPr>
          <w:p w:rsidR="00000000" w:rsidRDefault="00000000">
            <w:pPr>
              <w:spacing w:after="0"/>
              <w:ind w:left="-64" w:right="57"/>
            </w:pPr>
            <w:r>
              <w:t>7 years</w:t>
            </w:r>
          </w:p>
        </w:tc>
      </w:tr>
      <w:tr w:rsidR="00000000">
        <w:trPr>
          <w:cantSplit/>
        </w:trPr>
        <w:tc>
          <w:tcPr>
            <w:tcW w:w="1276" w:type="dxa"/>
          </w:tcPr>
          <w:p w:rsidR="00000000" w:rsidRDefault="00000000">
            <w:pPr>
              <w:spacing w:after="0"/>
              <w:ind w:left="57" w:right="57"/>
            </w:pPr>
            <w:r>
              <w:t>s. 338D</w:t>
            </w:r>
          </w:p>
        </w:tc>
        <w:tc>
          <w:tcPr>
            <w:tcW w:w="4842" w:type="dxa"/>
          </w:tcPr>
          <w:p w:rsidR="00000000" w:rsidRDefault="00000000">
            <w:pPr>
              <w:spacing w:after="0"/>
              <w:ind w:left="-64" w:right="57"/>
            </w:pPr>
            <w:r>
              <w:t>Unlawful stalking</w:t>
            </w:r>
          </w:p>
        </w:tc>
        <w:tc>
          <w:tcPr>
            <w:tcW w:w="3238" w:type="dxa"/>
          </w:tcPr>
          <w:p w:rsidR="00000000" w:rsidRDefault="00000000">
            <w:pPr>
              <w:spacing w:after="0"/>
              <w:ind w:left="-64" w:right="57"/>
            </w:pPr>
            <w:r>
              <w:t>8 years</w:t>
            </w:r>
          </w:p>
        </w:tc>
      </w:tr>
      <w:tr w:rsidR="00000000">
        <w:trPr>
          <w:cantSplit/>
        </w:trPr>
        <w:tc>
          <w:tcPr>
            <w:tcW w:w="1276" w:type="dxa"/>
          </w:tcPr>
          <w:p w:rsidR="00000000" w:rsidRDefault="00000000">
            <w:pPr>
              <w:spacing w:after="0"/>
              <w:ind w:left="57" w:right="57"/>
            </w:pPr>
            <w:r>
              <w:t>s. 554</w:t>
            </w:r>
          </w:p>
        </w:tc>
        <w:tc>
          <w:tcPr>
            <w:tcW w:w="4842" w:type="dxa"/>
          </w:tcPr>
          <w:p w:rsidR="00000000" w:rsidRDefault="00000000">
            <w:pPr>
              <w:spacing w:after="0"/>
              <w:ind w:left="-64" w:right="57"/>
            </w:pPr>
            <w:r>
              <w:t>Attempt to commit indictable offence</w:t>
            </w:r>
          </w:p>
        </w:tc>
        <w:tc>
          <w:tcPr>
            <w:tcW w:w="3238" w:type="dxa"/>
          </w:tcPr>
          <w:p w:rsidR="00000000" w:rsidRDefault="00000000">
            <w:pPr>
              <w:spacing w:after="0"/>
              <w:ind w:left="-64" w:right="57"/>
            </w:pPr>
            <w:r>
              <w:t>14 years</w:t>
            </w:r>
          </w:p>
        </w:tc>
      </w:tr>
      <w:tr w:rsidR="00000000">
        <w:trPr>
          <w:cantSplit/>
        </w:trPr>
        <w:tc>
          <w:tcPr>
            <w:tcW w:w="1276" w:type="dxa"/>
          </w:tcPr>
          <w:p w:rsidR="00000000" w:rsidRDefault="00000000">
            <w:pPr>
              <w:spacing w:after="0"/>
              <w:ind w:left="57" w:right="57"/>
            </w:pPr>
            <w:r>
              <w:t>s. 554</w:t>
            </w:r>
          </w:p>
        </w:tc>
        <w:tc>
          <w:tcPr>
            <w:tcW w:w="4842" w:type="dxa"/>
          </w:tcPr>
          <w:p w:rsidR="00000000" w:rsidRDefault="00000000">
            <w:pPr>
              <w:spacing w:after="0"/>
              <w:ind w:left="-64" w:right="57"/>
            </w:pPr>
            <w:r>
              <w:t>Incitement to commit indictable offence</w:t>
            </w:r>
          </w:p>
        </w:tc>
        <w:tc>
          <w:tcPr>
            <w:tcW w:w="3238" w:type="dxa"/>
          </w:tcPr>
          <w:p w:rsidR="00000000" w:rsidRDefault="00000000">
            <w:pPr>
              <w:spacing w:after="0"/>
              <w:ind w:left="-64" w:right="57"/>
            </w:pPr>
            <w:r>
              <w:t>14 years</w:t>
            </w:r>
          </w:p>
        </w:tc>
      </w:tr>
      <w:tr w:rsidR="00000000">
        <w:trPr>
          <w:cantSplit/>
        </w:trPr>
        <w:tc>
          <w:tcPr>
            <w:tcW w:w="1276" w:type="dxa"/>
          </w:tcPr>
          <w:p w:rsidR="00000000" w:rsidRDefault="00000000">
            <w:pPr>
              <w:spacing w:after="0"/>
              <w:ind w:left="57" w:right="57"/>
            </w:pPr>
            <w:r>
              <w:t>s. 555</w:t>
            </w:r>
          </w:p>
        </w:tc>
        <w:tc>
          <w:tcPr>
            <w:tcW w:w="4842" w:type="dxa"/>
          </w:tcPr>
          <w:p w:rsidR="00000000" w:rsidRDefault="00000000">
            <w:pPr>
              <w:spacing w:after="0"/>
              <w:ind w:left="-64" w:right="57"/>
            </w:pPr>
            <w:r>
              <w:t>Summary trial of attempt or incitement</w:t>
            </w:r>
          </w:p>
        </w:tc>
        <w:tc>
          <w:tcPr>
            <w:tcW w:w="3238" w:type="dxa"/>
          </w:tcPr>
          <w:p w:rsidR="00000000" w:rsidRDefault="00000000">
            <w:pPr>
              <w:spacing w:after="0"/>
              <w:ind w:left="-64" w:right="57"/>
            </w:pPr>
            <w:r>
              <w:t>Half statutory penalty on indictment; or summary conviction penalty whichever is lesser</w:t>
            </w:r>
          </w:p>
        </w:tc>
      </w:tr>
      <w:tr w:rsidR="00000000">
        <w:trPr>
          <w:cantSplit/>
        </w:trPr>
        <w:tc>
          <w:tcPr>
            <w:tcW w:w="1276" w:type="dxa"/>
          </w:tcPr>
          <w:p w:rsidR="00000000" w:rsidRDefault="00000000">
            <w:pPr>
              <w:spacing w:after="0"/>
              <w:ind w:left="57" w:right="57"/>
            </w:pPr>
            <w:r>
              <w:t>s. 555A</w:t>
            </w:r>
          </w:p>
        </w:tc>
        <w:tc>
          <w:tcPr>
            <w:tcW w:w="4842" w:type="dxa"/>
          </w:tcPr>
          <w:p w:rsidR="00000000" w:rsidRDefault="00000000">
            <w:pPr>
              <w:spacing w:after="0"/>
              <w:ind w:left="-64" w:right="57"/>
            </w:pPr>
            <w:r>
              <w:t>Attempts and incitement (simple offences)</w:t>
            </w:r>
          </w:p>
        </w:tc>
        <w:tc>
          <w:tcPr>
            <w:tcW w:w="3238" w:type="dxa"/>
          </w:tcPr>
          <w:p w:rsidR="00000000" w:rsidRDefault="00000000">
            <w:pPr>
              <w:spacing w:after="0"/>
              <w:ind w:left="-64" w:right="57"/>
            </w:pPr>
            <w:r>
              <w:t>Statutory penalty</w:t>
            </w:r>
          </w:p>
        </w:tc>
      </w:tr>
      <w:tr w:rsidR="00000000">
        <w:trPr>
          <w:cantSplit/>
        </w:trPr>
        <w:tc>
          <w:tcPr>
            <w:tcW w:w="1276" w:type="dxa"/>
          </w:tcPr>
          <w:p w:rsidR="00000000" w:rsidRDefault="00000000">
            <w:pPr>
              <w:spacing w:after="0"/>
              <w:ind w:left="57" w:right="57"/>
            </w:pPr>
            <w:r>
              <w:t>s. 556</w:t>
            </w:r>
          </w:p>
        </w:tc>
        <w:tc>
          <w:tcPr>
            <w:tcW w:w="4842" w:type="dxa"/>
          </w:tcPr>
          <w:p w:rsidR="00000000" w:rsidRDefault="00000000">
            <w:pPr>
              <w:spacing w:after="0"/>
              <w:ind w:left="-64" w:right="57"/>
            </w:pPr>
            <w:r>
              <w:t>Attempt to procure commission of criminal act</w:t>
            </w:r>
          </w:p>
        </w:tc>
        <w:tc>
          <w:tcPr>
            <w:tcW w:w="3238" w:type="dxa"/>
          </w:tcPr>
          <w:p w:rsidR="00000000" w:rsidRDefault="00000000">
            <w:pPr>
              <w:spacing w:after="0"/>
              <w:ind w:left="-64" w:right="57"/>
            </w:pPr>
            <w:r>
              <w:t>Statutory penalty</w:t>
            </w:r>
          </w:p>
        </w:tc>
      </w:tr>
      <w:tr w:rsidR="00000000">
        <w:trPr>
          <w:cantSplit/>
        </w:trPr>
        <w:tc>
          <w:tcPr>
            <w:tcW w:w="1276" w:type="dxa"/>
          </w:tcPr>
          <w:p w:rsidR="00000000" w:rsidRDefault="00000000">
            <w:pPr>
              <w:spacing w:after="0"/>
              <w:ind w:left="57" w:right="57"/>
            </w:pPr>
            <w:r>
              <w:t>s. 558</w:t>
            </w:r>
          </w:p>
        </w:tc>
        <w:tc>
          <w:tcPr>
            <w:tcW w:w="4842" w:type="dxa"/>
          </w:tcPr>
          <w:p w:rsidR="00000000" w:rsidRDefault="00000000">
            <w:pPr>
              <w:spacing w:after="0"/>
              <w:ind w:left="-64" w:right="57"/>
            </w:pPr>
            <w:r>
              <w:t>Conspiracy to commit indictable offence</w:t>
            </w:r>
          </w:p>
        </w:tc>
        <w:tc>
          <w:tcPr>
            <w:tcW w:w="3238" w:type="dxa"/>
          </w:tcPr>
          <w:p w:rsidR="00000000" w:rsidRDefault="00000000">
            <w:pPr>
              <w:spacing w:after="0"/>
              <w:ind w:left="-64" w:right="57"/>
            </w:pPr>
            <w:r>
              <w:t>14 years</w:t>
            </w:r>
          </w:p>
        </w:tc>
      </w:tr>
      <w:tr w:rsidR="00000000">
        <w:trPr>
          <w:cantSplit/>
        </w:trPr>
        <w:tc>
          <w:tcPr>
            <w:tcW w:w="1276" w:type="dxa"/>
          </w:tcPr>
          <w:p w:rsidR="00000000" w:rsidRDefault="00000000">
            <w:pPr>
              <w:spacing w:after="0"/>
              <w:ind w:left="57" w:right="57"/>
            </w:pPr>
            <w:r>
              <w:t>s. 560</w:t>
            </w:r>
          </w:p>
        </w:tc>
        <w:tc>
          <w:tcPr>
            <w:tcW w:w="4842" w:type="dxa"/>
          </w:tcPr>
          <w:p w:rsidR="00000000" w:rsidRDefault="00000000">
            <w:pPr>
              <w:spacing w:after="0"/>
              <w:ind w:left="-64" w:right="57"/>
            </w:pPr>
            <w:r>
              <w:t>Summary trial of conspiracy to commit indictable offence</w:t>
            </w:r>
          </w:p>
        </w:tc>
        <w:tc>
          <w:tcPr>
            <w:tcW w:w="3238" w:type="dxa"/>
          </w:tcPr>
          <w:p w:rsidR="00000000" w:rsidRDefault="00000000">
            <w:pPr>
              <w:spacing w:after="0"/>
              <w:ind w:left="-64" w:right="57"/>
            </w:pPr>
            <w:r>
              <w:t>Statutory penalty</w:t>
            </w:r>
          </w:p>
        </w:tc>
      </w:tr>
      <w:tr w:rsidR="00000000">
        <w:trPr>
          <w:cantSplit/>
        </w:trPr>
        <w:tc>
          <w:tcPr>
            <w:tcW w:w="1276" w:type="dxa"/>
          </w:tcPr>
          <w:p w:rsidR="00000000" w:rsidRDefault="00000000">
            <w:pPr>
              <w:spacing w:after="0"/>
              <w:ind w:left="57" w:right="57"/>
            </w:pPr>
            <w:r>
              <w:t>s. 562</w:t>
            </w:r>
          </w:p>
        </w:tc>
        <w:tc>
          <w:tcPr>
            <w:tcW w:w="4842" w:type="dxa"/>
          </w:tcPr>
          <w:p w:rsidR="00000000" w:rsidRDefault="00000000">
            <w:pPr>
              <w:spacing w:after="0"/>
              <w:ind w:left="-64" w:right="57"/>
            </w:pPr>
            <w:r>
              <w:t>Accessory after the fact (indictable offence)</w:t>
            </w:r>
          </w:p>
        </w:tc>
        <w:tc>
          <w:tcPr>
            <w:tcW w:w="3238" w:type="dxa"/>
          </w:tcPr>
          <w:p w:rsidR="00000000" w:rsidRDefault="00000000">
            <w:pPr>
              <w:spacing w:after="0"/>
              <w:ind w:left="-64" w:right="57"/>
            </w:pPr>
            <w:r>
              <w:t>14 years</w:t>
            </w:r>
          </w:p>
        </w:tc>
      </w:tr>
      <w:tr w:rsidR="00000000">
        <w:trPr>
          <w:cantSplit/>
        </w:trPr>
        <w:tc>
          <w:tcPr>
            <w:tcW w:w="1276" w:type="dxa"/>
            <w:tcBorders>
              <w:bottom w:val="single" w:sz="6" w:space="0" w:color="000000"/>
            </w:tcBorders>
          </w:tcPr>
          <w:p w:rsidR="00000000" w:rsidRDefault="00000000">
            <w:pPr>
              <w:spacing w:after="0"/>
              <w:ind w:left="57" w:right="57"/>
            </w:pPr>
            <w:r>
              <w:t>s. 563</w:t>
            </w:r>
          </w:p>
        </w:tc>
        <w:tc>
          <w:tcPr>
            <w:tcW w:w="4842" w:type="dxa"/>
            <w:tcBorders>
              <w:bottom w:val="single" w:sz="6" w:space="0" w:color="000000"/>
            </w:tcBorders>
          </w:tcPr>
          <w:p w:rsidR="00000000" w:rsidRDefault="00000000">
            <w:pPr>
              <w:spacing w:after="0"/>
              <w:ind w:left="-64" w:right="57"/>
            </w:pPr>
            <w:r>
              <w:t>Summary trial of accessory after the fact</w:t>
            </w:r>
          </w:p>
        </w:tc>
        <w:tc>
          <w:tcPr>
            <w:tcW w:w="3238" w:type="dxa"/>
            <w:tcBorders>
              <w:bottom w:val="single" w:sz="6" w:space="0" w:color="000000"/>
            </w:tcBorders>
          </w:tcPr>
          <w:p w:rsidR="00000000" w:rsidRDefault="00000000">
            <w:pPr>
              <w:spacing w:after="0"/>
              <w:ind w:left="-64" w:right="57"/>
            </w:pPr>
            <w:r>
              <w:t>(see s.555)</w:t>
            </w:r>
          </w:p>
        </w:tc>
      </w:tr>
      <w:tr w:rsidR="00000000">
        <w:trPr>
          <w:cantSplit/>
        </w:trPr>
        <w:tc>
          <w:tcPr>
            <w:tcW w:w="9356" w:type="dxa"/>
            <w:gridSpan w:val="3"/>
            <w:tcBorders>
              <w:left w:val="nil"/>
              <w:right w:val="nil"/>
            </w:tcBorders>
          </w:tcPr>
          <w:p w:rsidR="00000000" w:rsidRDefault="00000000">
            <w:pPr>
              <w:pStyle w:val="Heading5"/>
              <w:spacing w:before="120" w:after="120"/>
            </w:pPr>
            <w:r>
              <w:tab/>
              <w:t>Child Welfare Act</w:t>
            </w:r>
          </w:p>
        </w:tc>
      </w:tr>
      <w:tr w:rsidR="00000000">
        <w:trPr>
          <w:cantSplit/>
        </w:trPr>
        <w:tc>
          <w:tcPr>
            <w:tcW w:w="1276" w:type="dxa"/>
            <w:tcBorders>
              <w:bottom w:val="single" w:sz="6" w:space="0" w:color="000000"/>
            </w:tcBorders>
          </w:tcPr>
          <w:p w:rsidR="00000000" w:rsidRDefault="00000000">
            <w:pPr>
              <w:spacing w:after="0"/>
              <w:ind w:left="57" w:right="57"/>
            </w:pPr>
            <w:r>
              <w:t>s. 31A</w:t>
            </w:r>
          </w:p>
        </w:tc>
        <w:tc>
          <w:tcPr>
            <w:tcW w:w="4842" w:type="dxa"/>
            <w:tcBorders>
              <w:bottom w:val="single" w:sz="6" w:space="0" w:color="000000"/>
            </w:tcBorders>
          </w:tcPr>
          <w:p w:rsidR="00000000" w:rsidRDefault="00000000">
            <w:pPr>
              <w:spacing w:after="0"/>
              <w:ind w:left="-64" w:right="57"/>
            </w:pPr>
            <w:r>
              <w:t>Punishment for misconduct or neglect causing a child to be in need of cure and protection</w:t>
            </w:r>
          </w:p>
        </w:tc>
        <w:tc>
          <w:tcPr>
            <w:tcW w:w="3238" w:type="dxa"/>
            <w:tcBorders>
              <w:bottom w:val="single" w:sz="6" w:space="0" w:color="000000"/>
            </w:tcBorders>
          </w:tcPr>
          <w:p w:rsidR="00000000" w:rsidRDefault="00000000">
            <w:pPr>
              <w:spacing w:after="0"/>
              <w:ind w:left="-64" w:right="57"/>
            </w:pPr>
            <w:r>
              <w:t>1 year</w:t>
            </w:r>
          </w:p>
        </w:tc>
      </w:tr>
      <w:tr w:rsidR="00000000">
        <w:trPr>
          <w:cantSplit/>
        </w:trPr>
        <w:tc>
          <w:tcPr>
            <w:tcW w:w="9356" w:type="dxa"/>
            <w:gridSpan w:val="3"/>
            <w:tcBorders>
              <w:left w:val="nil"/>
              <w:right w:val="nil"/>
            </w:tcBorders>
          </w:tcPr>
          <w:p w:rsidR="00000000" w:rsidRDefault="00000000">
            <w:pPr>
              <w:pStyle w:val="Heading5"/>
              <w:spacing w:before="120" w:after="120"/>
            </w:pPr>
            <w:r>
              <w:tab/>
              <w:t>Disability Services Act 1993</w:t>
            </w:r>
          </w:p>
        </w:tc>
      </w:tr>
      <w:tr w:rsidR="00000000">
        <w:trPr>
          <w:cantSplit/>
        </w:trPr>
        <w:tc>
          <w:tcPr>
            <w:tcW w:w="1276" w:type="dxa"/>
            <w:tcBorders>
              <w:bottom w:val="single" w:sz="6" w:space="0" w:color="000000"/>
            </w:tcBorders>
          </w:tcPr>
          <w:p w:rsidR="00000000" w:rsidRDefault="00000000">
            <w:pPr>
              <w:spacing w:after="0"/>
              <w:ind w:left="57" w:right="57"/>
            </w:pPr>
            <w:r>
              <w:t>s. 53</w:t>
            </w:r>
          </w:p>
        </w:tc>
        <w:tc>
          <w:tcPr>
            <w:tcW w:w="4842" w:type="dxa"/>
            <w:tcBorders>
              <w:bottom w:val="single" w:sz="6" w:space="0" w:color="000000"/>
            </w:tcBorders>
          </w:tcPr>
          <w:p w:rsidR="00000000" w:rsidRDefault="00000000">
            <w:pPr>
              <w:spacing w:after="0"/>
              <w:ind w:left="-64" w:right="57"/>
            </w:pPr>
            <w:r>
              <w:t>Offence of ill</w:t>
            </w:r>
            <w:r>
              <w:noBreakHyphen/>
              <w:t>treatment</w:t>
            </w:r>
          </w:p>
        </w:tc>
        <w:tc>
          <w:tcPr>
            <w:tcW w:w="3238" w:type="dxa"/>
            <w:tcBorders>
              <w:bottom w:val="single" w:sz="6" w:space="0" w:color="000000"/>
            </w:tcBorders>
          </w:tcPr>
          <w:p w:rsidR="00000000" w:rsidRDefault="00000000">
            <w:pPr>
              <w:spacing w:after="0"/>
              <w:ind w:left="-64" w:right="57"/>
            </w:pPr>
            <w:r>
              <w:t>1 year or $4,000</w:t>
            </w:r>
          </w:p>
        </w:tc>
      </w:tr>
      <w:tr w:rsidR="00000000">
        <w:trPr>
          <w:cantSplit/>
        </w:trPr>
        <w:tc>
          <w:tcPr>
            <w:tcW w:w="9356" w:type="dxa"/>
            <w:gridSpan w:val="3"/>
            <w:tcBorders>
              <w:left w:val="nil"/>
              <w:right w:val="nil"/>
            </w:tcBorders>
          </w:tcPr>
          <w:p w:rsidR="00000000" w:rsidRDefault="00000000">
            <w:pPr>
              <w:pStyle w:val="Heading5"/>
              <w:spacing w:before="120" w:after="120"/>
            </w:pPr>
            <w:r>
              <w:tab/>
              <w:t>Mental Health Act 1996</w:t>
            </w:r>
          </w:p>
        </w:tc>
      </w:tr>
      <w:tr w:rsidR="00000000">
        <w:trPr>
          <w:cantSplit/>
        </w:trPr>
        <w:tc>
          <w:tcPr>
            <w:tcW w:w="1276" w:type="dxa"/>
          </w:tcPr>
          <w:p w:rsidR="00000000" w:rsidRDefault="00000000">
            <w:pPr>
              <w:spacing w:after="0"/>
              <w:ind w:left="57" w:right="57"/>
            </w:pPr>
            <w:r>
              <w:t>s. 162</w:t>
            </w:r>
          </w:p>
        </w:tc>
        <w:tc>
          <w:tcPr>
            <w:tcW w:w="4842" w:type="dxa"/>
          </w:tcPr>
          <w:p w:rsidR="00000000" w:rsidRDefault="00000000">
            <w:pPr>
              <w:spacing w:after="0"/>
              <w:ind w:left="-64" w:right="57"/>
            </w:pPr>
            <w:r>
              <w:t>Offence of ill</w:t>
            </w:r>
            <w:r>
              <w:noBreakHyphen/>
              <w:t>treatment</w:t>
            </w:r>
          </w:p>
        </w:tc>
        <w:tc>
          <w:tcPr>
            <w:tcW w:w="3238" w:type="dxa"/>
          </w:tcPr>
          <w:p w:rsidR="00000000" w:rsidRDefault="00000000">
            <w:pPr>
              <w:spacing w:after="0"/>
              <w:ind w:left="-64" w:right="57"/>
            </w:pPr>
            <w:r>
              <w:t>1 year or $4,000</w:t>
            </w:r>
          </w:p>
        </w:tc>
      </w:tr>
    </w:tbl>
    <w:p w:rsidR="00000000" w:rsidRDefault="00000000">
      <w:pPr>
        <w:pStyle w:val="Heading1"/>
      </w:pPr>
      <w:bookmarkStart w:id="238" w:name="_Toc406403145"/>
      <w:bookmarkStart w:id="239" w:name="_Toc428258711"/>
      <w:bookmarkStart w:id="240" w:name="_Toc438025171"/>
      <w:bookmarkStart w:id="241" w:name="_Toc438025342"/>
      <w:bookmarkStart w:id="242" w:name="_Toc438031758"/>
      <w:bookmarkStart w:id="243" w:name="_Toc438288399"/>
      <w:bookmarkStart w:id="244" w:name="_Toc438288842"/>
      <w:bookmarkStart w:id="245" w:name="_Toc438289138"/>
      <w:bookmarkStart w:id="246" w:name="_Toc438289608"/>
      <w:bookmarkStart w:id="247" w:name="_Toc438352838"/>
      <w:bookmarkStart w:id="248" w:name="_Toc445283906"/>
      <w:bookmarkStart w:id="249" w:name="_Toc445541550"/>
      <w:bookmarkStart w:id="250" w:name="_Toc445542793"/>
      <w:bookmarkStart w:id="251" w:name="_Toc445606606"/>
      <w:bookmarkStart w:id="252" w:name="_Toc445608746"/>
      <w:bookmarkStart w:id="253" w:name="_Toc445609135"/>
      <w:bookmarkStart w:id="254" w:name="_Toc445610565"/>
      <w:bookmarkStart w:id="255" w:name="_Toc445612337"/>
      <w:bookmarkStart w:id="256" w:name="_Toc445714843"/>
      <w:bookmarkStart w:id="257" w:name="_Toc79216237"/>
      <w:bookmarkStart w:id="258" w:name="_Toc79216831"/>
      <w:bookmarkStart w:id="259" w:name="_Toc79291363"/>
      <w:bookmarkStart w:id="260" w:name="_Toc79296098"/>
      <w:bookmarkStart w:id="261" w:name="_Toc83782183"/>
      <w:bookmarkStart w:id="262" w:name="_Toc83800996"/>
      <w:bookmarkStart w:id="263" w:name="_Toc84318917"/>
      <w:bookmarkStart w:id="264" w:name="_Toc94087537"/>
      <w:r>
        <w:br w:type="page"/>
        <w:t>APPENDIX II.  ADMINISTRATIVE REVIEW OF PUBLIC OFFICER CONDUCT</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000000" w:rsidRDefault="00000000">
      <w:pPr>
        <w:pStyle w:val="Heading2"/>
      </w:pPr>
      <w:bookmarkStart w:id="265" w:name="_Toc77672874"/>
      <w:r>
        <w:t>Appendix 2.1.  Police officers</w:t>
      </w:r>
      <w:bookmarkEnd w:id="265"/>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280"/>
        <w:gridCol w:w="7076"/>
      </w:tblGrid>
      <w:tr w:rsidR="00000000">
        <w:trPr>
          <w:cantSplit/>
        </w:trPr>
        <w:tc>
          <w:tcPr>
            <w:tcW w:w="2280" w:type="dxa"/>
          </w:tcPr>
          <w:p w:rsidR="00000000" w:rsidRDefault="00000000">
            <w:pPr>
              <w:spacing w:after="0"/>
              <w:rPr>
                <w:b/>
              </w:rPr>
            </w:pPr>
            <w:r>
              <w:rPr>
                <w:b/>
              </w:rPr>
              <w:t>Federal</w:t>
            </w:r>
          </w:p>
        </w:tc>
        <w:tc>
          <w:tcPr>
            <w:tcW w:w="7076" w:type="dxa"/>
          </w:tcPr>
          <w:p w:rsidR="00000000" w:rsidRDefault="00000000">
            <w:pPr>
              <w:pStyle w:val="Header"/>
              <w:tabs>
                <w:tab w:val="clear" w:pos="4320"/>
                <w:tab w:val="clear" w:pos="8640"/>
              </w:tabs>
              <w:spacing w:after="0"/>
            </w:pPr>
            <w:r>
              <w:t>Merit Protection Review Agency</w:t>
            </w:r>
            <w:r>
              <w:br/>
              <w:t>Ombudsman</w:t>
            </w:r>
            <w:r>
              <w:br/>
              <w:t>Internal investigations</w:t>
            </w:r>
          </w:p>
        </w:tc>
      </w:tr>
      <w:tr w:rsidR="00000000">
        <w:trPr>
          <w:cantSplit/>
        </w:trPr>
        <w:tc>
          <w:tcPr>
            <w:tcW w:w="2280" w:type="dxa"/>
          </w:tcPr>
          <w:p w:rsidR="00000000" w:rsidRDefault="00000000">
            <w:pPr>
              <w:spacing w:after="0"/>
              <w:rPr>
                <w:b/>
              </w:rPr>
            </w:pPr>
            <w:r>
              <w:rPr>
                <w:b/>
              </w:rPr>
              <w:t>Australian Capital Territory</w:t>
            </w:r>
          </w:p>
        </w:tc>
        <w:tc>
          <w:tcPr>
            <w:tcW w:w="7076" w:type="dxa"/>
          </w:tcPr>
          <w:p w:rsidR="00000000" w:rsidRDefault="00000000">
            <w:pPr>
              <w:pStyle w:val="Header"/>
              <w:tabs>
                <w:tab w:val="clear" w:pos="4320"/>
                <w:tab w:val="clear" w:pos="8640"/>
              </w:tabs>
              <w:spacing w:after="0"/>
            </w:pPr>
            <w:r>
              <w:t>Discrimination Commissioner</w:t>
            </w:r>
            <w:r>
              <w:br/>
              <w:t>Official Prison Visitors</w:t>
            </w:r>
            <w:r>
              <w:br/>
              <w:t>Ombudsman</w:t>
            </w:r>
            <w:r>
              <w:br/>
              <w:t>Internal investigations</w:t>
            </w:r>
          </w:p>
        </w:tc>
      </w:tr>
      <w:tr w:rsidR="00000000">
        <w:trPr>
          <w:cantSplit/>
        </w:trPr>
        <w:tc>
          <w:tcPr>
            <w:tcW w:w="2280" w:type="dxa"/>
          </w:tcPr>
          <w:p w:rsidR="00000000" w:rsidRDefault="00000000">
            <w:pPr>
              <w:spacing w:after="0"/>
              <w:rPr>
                <w:b/>
              </w:rPr>
            </w:pPr>
            <w:r>
              <w:rPr>
                <w:b/>
              </w:rPr>
              <w:t>New South Wales</w:t>
            </w:r>
          </w:p>
        </w:tc>
        <w:tc>
          <w:tcPr>
            <w:tcW w:w="7076" w:type="dxa"/>
          </w:tcPr>
          <w:p w:rsidR="00000000" w:rsidRDefault="00000000">
            <w:pPr>
              <w:spacing w:after="0"/>
            </w:pPr>
            <w:r>
              <w:t>Independent Commission Against Corruption</w:t>
            </w:r>
            <w:r>
              <w:br/>
              <w:t>Police Integrity Commission</w:t>
            </w:r>
            <w:r>
              <w:br/>
              <w:t>Police Service Internal Affairs Branch</w:t>
            </w:r>
            <w:r>
              <w:br/>
              <w:t>Ombudsman</w:t>
            </w:r>
          </w:p>
        </w:tc>
      </w:tr>
      <w:tr w:rsidR="00000000">
        <w:trPr>
          <w:cantSplit/>
        </w:trPr>
        <w:tc>
          <w:tcPr>
            <w:tcW w:w="2280" w:type="dxa"/>
          </w:tcPr>
          <w:p w:rsidR="00000000" w:rsidRDefault="00000000">
            <w:pPr>
              <w:spacing w:after="0"/>
              <w:rPr>
                <w:b/>
              </w:rPr>
            </w:pPr>
            <w:r>
              <w:rPr>
                <w:b/>
              </w:rPr>
              <w:t>Northern Territory</w:t>
            </w:r>
          </w:p>
        </w:tc>
        <w:tc>
          <w:tcPr>
            <w:tcW w:w="7076" w:type="dxa"/>
          </w:tcPr>
          <w:p w:rsidR="00000000" w:rsidRDefault="00000000">
            <w:pPr>
              <w:spacing w:after="0"/>
            </w:pPr>
            <w:r>
              <w:t>Anti</w:t>
            </w:r>
            <w:r>
              <w:noBreakHyphen/>
              <w:t>Discrimination Commission</w:t>
            </w:r>
            <w:r>
              <w:br/>
              <w:t>Police Professional Responsibility Unit</w:t>
            </w:r>
            <w:r>
              <w:br/>
              <w:t>Ombudsman</w:t>
            </w:r>
          </w:p>
        </w:tc>
      </w:tr>
      <w:tr w:rsidR="00000000">
        <w:trPr>
          <w:cantSplit/>
        </w:trPr>
        <w:tc>
          <w:tcPr>
            <w:tcW w:w="2280" w:type="dxa"/>
          </w:tcPr>
          <w:p w:rsidR="00000000" w:rsidRDefault="00000000">
            <w:pPr>
              <w:spacing w:after="0"/>
              <w:rPr>
                <w:b/>
              </w:rPr>
            </w:pPr>
            <w:r>
              <w:rPr>
                <w:b/>
              </w:rPr>
              <w:t>Queensland</w:t>
            </w:r>
          </w:p>
        </w:tc>
        <w:tc>
          <w:tcPr>
            <w:tcW w:w="7076" w:type="dxa"/>
          </w:tcPr>
          <w:p w:rsidR="00000000" w:rsidRDefault="00000000">
            <w:pPr>
              <w:spacing w:after="0"/>
            </w:pPr>
            <w:r>
              <w:t>Ethical Standards Command</w:t>
            </w:r>
            <w:r>
              <w:br/>
              <w:t>Commissioner for Children and Young People</w:t>
            </w:r>
            <w:r>
              <w:br/>
              <w:t>Crime and Misconduct Commission</w:t>
            </w:r>
            <w:r>
              <w:br/>
              <w:t>Misconduct Tribunal</w:t>
            </w:r>
            <w:r>
              <w:br/>
              <w:t>Integrity Commissioner</w:t>
            </w:r>
          </w:p>
        </w:tc>
      </w:tr>
      <w:tr w:rsidR="00000000">
        <w:trPr>
          <w:cantSplit/>
        </w:trPr>
        <w:tc>
          <w:tcPr>
            <w:tcW w:w="2280" w:type="dxa"/>
          </w:tcPr>
          <w:p w:rsidR="00000000" w:rsidRDefault="00000000">
            <w:pPr>
              <w:spacing w:after="0"/>
              <w:rPr>
                <w:b/>
              </w:rPr>
            </w:pPr>
            <w:r>
              <w:rPr>
                <w:b/>
              </w:rPr>
              <w:t>South Australia</w:t>
            </w:r>
          </w:p>
        </w:tc>
        <w:tc>
          <w:tcPr>
            <w:tcW w:w="7076" w:type="dxa"/>
          </w:tcPr>
          <w:p w:rsidR="00000000" w:rsidRDefault="00000000">
            <w:pPr>
              <w:spacing w:after="0"/>
            </w:pPr>
            <w:r>
              <w:t>Anti</w:t>
            </w:r>
            <w:r>
              <w:noBreakHyphen/>
              <w:t>Corruption Branch</w:t>
            </w:r>
            <w:r>
              <w:br/>
              <w:t>Police Complaints Authority</w:t>
            </w:r>
            <w:r>
              <w:br/>
              <w:t>Police Disciplinary Tribunal</w:t>
            </w:r>
            <w:r>
              <w:br/>
              <w:t>Internal Investigations Branch</w:t>
            </w:r>
          </w:p>
        </w:tc>
      </w:tr>
      <w:tr w:rsidR="00000000">
        <w:trPr>
          <w:cantSplit/>
        </w:trPr>
        <w:tc>
          <w:tcPr>
            <w:tcW w:w="2280" w:type="dxa"/>
          </w:tcPr>
          <w:p w:rsidR="00000000" w:rsidRDefault="00000000">
            <w:pPr>
              <w:spacing w:after="0"/>
              <w:rPr>
                <w:b/>
              </w:rPr>
            </w:pPr>
            <w:r>
              <w:rPr>
                <w:b/>
              </w:rPr>
              <w:t>Tasmania</w:t>
            </w:r>
          </w:p>
        </w:tc>
        <w:tc>
          <w:tcPr>
            <w:tcW w:w="7076" w:type="dxa"/>
          </w:tcPr>
          <w:p w:rsidR="00000000" w:rsidRDefault="00000000">
            <w:pPr>
              <w:spacing w:after="0"/>
            </w:pPr>
            <w:r>
              <w:t>Internal Investigation Unit</w:t>
            </w:r>
            <w:r>
              <w:br/>
              <w:t>Ombudsman</w:t>
            </w:r>
          </w:p>
        </w:tc>
      </w:tr>
      <w:tr w:rsidR="00000000">
        <w:trPr>
          <w:cantSplit/>
        </w:trPr>
        <w:tc>
          <w:tcPr>
            <w:tcW w:w="2280" w:type="dxa"/>
          </w:tcPr>
          <w:p w:rsidR="00000000" w:rsidRDefault="00000000">
            <w:pPr>
              <w:spacing w:after="0"/>
              <w:rPr>
                <w:b/>
              </w:rPr>
            </w:pPr>
            <w:r>
              <w:rPr>
                <w:b/>
              </w:rPr>
              <w:t>Victoria</w:t>
            </w:r>
          </w:p>
        </w:tc>
        <w:tc>
          <w:tcPr>
            <w:tcW w:w="7076" w:type="dxa"/>
          </w:tcPr>
          <w:p w:rsidR="00000000" w:rsidRDefault="00000000">
            <w:pPr>
              <w:spacing w:after="0"/>
            </w:pPr>
            <w:r>
              <w:t>Ethical Standards Department, Victoria Police</w:t>
            </w:r>
            <w:r>
              <w:br/>
              <w:t>Police Ombudsman</w:t>
            </w:r>
          </w:p>
        </w:tc>
      </w:tr>
      <w:tr w:rsidR="00000000">
        <w:trPr>
          <w:cantSplit/>
        </w:trPr>
        <w:tc>
          <w:tcPr>
            <w:tcW w:w="2280" w:type="dxa"/>
          </w:tcPr>
          <w:p w:rsidR="00000000" w:rsidRDefault="00000000">
            <w:pPr>
              <w:spacing w:after="0"/>
              <w:rPr>
                <w:b/>
              </w:rPr>
            </w:pPr>
            <w:r>
              <w:rPr>
                <w:b/>
              </w:rPr>
              <w:t>Western Australia</w:t>
            </w:r>
          </w:p>
        </w:tc>
        <w:tc>
          <w:tcPr>
            <w:tcW w:w="7076" w:type="dxa"/>
          </w:tcPr>
          <w:p w:rsidR="00000000" w:rsidRDefault="00000000">
            <w:pPr>
              <w:spacing w:after="0"/>
            </w:pPr>
            <w:r>
              <w:t>Corruption and Crime Commission</w:t>
            </w:r>
            <w:r>
              <w:br/>
              <w:t>Police Complaints Administration Centre</w:t>
            </w:r>
            <w:r>
              <w:br/>
              <w:t>Ombudsman</w:t>
            </w:r>
          </w:p>
        </w:tc>
      </w:tr>
    </w:tbl>
    <w:p w:rsidR="00000000" w:rsidRDefault="00000000">
      <w:pPr>
        <w:pStyle w:val="Heading2"/>
        <w:spacing w:before="240"/>
      </w:pPr>
      <w:bookmarkStart w:id="266" w:name="_Toc77672875"/>
      <w:r>
        <w:t>Appendix 2.2.  Prison officers</w:t>
      </w:r>
      <w:bookmarkEnd w:id="266"/>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280"/>
        <w:gridCol w:w="7075"/>
      </w:tblGrid>
      <w:tr w:rsidR="00000000">
        <w:trPr>
          <w:cantSplit/>
        </w:trPr>
        <w:tc>
          <w:tcPr>
            <w:tcW w:w="2280" w:type="dxa"/>
            <w:tcBorders>
              <w:bottom w:val="single" w:sz="4" w:space="0" w:color="auto"/>
            </w:tcBorders>
          </w:tcPr>
          <w:p w:rsidR="00000000" w:rsidRDefault="00000000">
            <w:pPr>
              <w:spacing w:after="0"/>
              <w:rPr>
                <w:b/>
              </w:rPr>
            </w:pPr>
            <w:r>
              <w:rPr>
                <w:b/>
              </w:rPr>
              <w:t>Australian Capital Territory</w:t>
            </w:r>
          </w:p>
        </w:tc>
        <w:tc>
          <w:tcPr>
            <w:tcW w:w="7075" w:type="dxa"/>
            <w:tcBorders>
              <w:bottom w:val="single" w:sz="4" w:space="0" w:color="auto"/>
            </w:tcBorders>
          </w:tcPr>
          <w:p w:rsidR="00000000" w:rsidRDefault="00000000">
            <w:pPr>
              <w:pStyle w:val="Header"/>
              <w:tabs>
                <w:tab w:val="clear" w:pos="4320"/>
                <w:tab w:val="clear" w:pos="8640"/>
              </w:tabs>
              <w:spacing w:after="0"/>
            </w:pPr>
            <w:r>
              <w:t>Human Rights and Discrimination Commissioner</w:t>
            </w:r>
            <w:r>
              <w:br/>
              <w:t>Official Prison Visitors</w:t>
            </w:r>
            <w:r>
              <w:br/>
              <w:t>Ombudsman</w:t>
            </w:r>
            <w:r>
              <w:br/>
              <w:t>Internal investigations</w:t>
            </w:r>
          </w:p>
        </w:tc>
      </w:tr>
      <w:tr w:rsidR="00000000">
        <w:trPr>
          <w:cantSplit/>
        </w:trPr>
        <w:tc>
          <w:tcPr>
            <w:tcW w:w="2280" w:type="dxa"/>
            <w:tcBorders>
              <w:top w:val="single" w:sz="4" w:space="0" w:color="auto"/>
            </w:tcBorders>
          </w:tcPr>
          <w:p w:rsidR="00000000" w:rsidRDefault="00000000">
            <w:pPr>
              <w:spacing w:after="0"/>
              <w:rPr>
                <w:b/>
              </w:rPr>
            </w:pPr>
            <w:r>
              <w:rPr>
                <w:b/>
              </w:rPr>
              <w:t>New South Wales</w:t>
            </w:r>
          </w:p>
        </w:tc>
        <w:tc>
          <w:tcPr>
            <w:tcW w:w="7075" w:type="dxa"/>
            <w:tcBorders>
              <w:top w:val="single" w:sz="4" w:space="0" w:color="auto"/>
            </w:tcBorders>
          </w:tcPr>
          <w:p w:rsidR="00000000" w:rsidRDefault="00000000">
            <w:pPr>
              <w:pStyle w:val="Header"/>
              <w:tabs>
                <w:tab w:val="clear" w:pos="4320"/>
                <w:tab w:val="clear" w:pos="8640"/>
              </w:tabs>
              <w:spacing w:after="0"/>
            </w:pPr>
            <w:r>
              <w:t xml:space="preserve">Employee Relations and Professional Conduct Unit, Department of </w:t>
            </w:r>
            <w:r>
              <w:br/>
              <w:t xml:space="preserve">  Juvenile Justice</w:t>
            </w:r>
            <w:r>
              <w:br/>
              <w:t>Chief Executive Office, Corrections Health Service</w:t>
            </w:r>
            <w:r>
              <w:br/>
              <w:t>Independent Commission Against Corruption</w:t>
            </w:r>
            <w:r>
              <w:br/>
              <w:t>Professional Standards Unit, Department of Corrective Services</w:t>
            </w:r>
            <w:r>
              <w:br/>
              <w:t>Ombudsman</w:t>
            </w:r>
          </w:p>
        </w:tc>
      </w:tr>
      <w:tr w:rsidR="00000000">
        <w:trPr>
          <w:cantSplit/>
        </w:trPr>
        <w:tc>
          <w:tcPr>
            <w:tcW w:w="2280" w:type="dxa"/>
          </w:tcPr>
          <w:p w:rsidR="00000000" w:rsidRDefault="00000000">
            <w:pPr>
              <w:spacing w:after="0"/>
              <w:rPr>
                <w:b/>
              </w:rPr>
            </w:pPr>
            <w:r>
              <w:rPr>
                <w:b/>
              </w:rPr>
              <w:t>Northern Territory</w:t>
            </w:r>
          </w:p>
        </w:tc>
        <w:tc>
          <w:tcPr>
            <w:tcW w:w="7075" w:type="dxa"/>
          </w:tcPr>
          <w:p w:rsidR="00000000" w:rsidRDefault="00000000">
            <w:pPr>
              <w:spacing w:after="0"/>
            </w:pPr>
            <w:r>
              <w:t>Anti</w:t>
            </w:r>
            <w:r>
              <w:noBreakHyphen/>
              <w:t>Discrimination Commission</w:t>
            </w:r>
            <w:r>
              <w:br/>
              <w:t>Official Prison Visitors</w:t>
            </w:r>
            <w:r>
              <w:br/>
              <w:t>Ombudsman</w:t>
            </w:r>
          </w:p>
        </w:tc>
      </w:tr>
      <w:tr w:rsidR="00000000">
        <w:trPr>
          <w:cantSplit/>
        </w:trPr>
        <w:tc>
          <w:tcPr>
            <w:tcW w:w="2280" w:type="dxa"/>
          </w:tcPr>
          <w:p w:rsidR="00000000" w:rsidRDefault="00000000">
            <w:pPr>
              <w:spacing w:after="0"/>
              <w:rPr>
                <w:b/>
              </w:rPr>
            </w:pPr>
            <w:r>
              <w:rPr>
                <w:b/>
              </w:rPr>
              <w:t>Queensland</w:t>
            </w:r>
          </w:p>
        </w:tc>
        <w:tc>
          <w:tcPr>
            <w:tcW w:w="7075" w:type="dxa"/>
          </w:tcPr>
          <w:p w:rsidR="00000000" w:rsidRDefault="00000000">
            <w:pPr>
              <w:tabs>
                <w:tab w:val="left" w:pos="612"/>
              </w:tabs>
              <w:spacing w:after="0"/>
            </w:pPr>
            <w:r>
              <w:t>Administrative complaints and review mechanisms</w:t>
            </w:r>
            <w:r>
              <w:br/>
              <w:t>Commissioner for Children and Young People</w:t>
            </w:r>
            <w:r>
              <w:br/>
              <w:t>Community Visitor program</w:t>
            </w:r>
            <w:r>
              <w:br/>
              <w:t>Crime and Misconduct Commission</w:t>
            </w:r>
            <w:r>
              <w:br/>
              <w:t>Misconduct Tribunals</w:t>
            </w:r>
            <w:r>
              <w:br/>
              <w:t>Parliamentary Commissioner for Administrative Investigations</w:t>
            </w:r>
            <w:r>
              <w:br/>
              <w:t>Ombudsman</w:t>
            </w:r>
          </w:p>
        </w:tc>
      </w:tr>
      <w:tr w:rsidR="00000000">
        <w:trPr>
          <w:cantSplit/>
        </w:trPr>
        <w:tc>
          <w:tcPr>
            <w:tcW w:w="2280" w:type="dxa"/>
          </w:tcPr>
          <w:p w:rsidR="00000000" w:rsidRDefault="00000000">
            <w:pPr>
              <w:spacing w:after="0"/>
              <w:rPr>
                <w:b/>
              </w:rPr>
            </w:pPr>
            <w:r>
              <w:rPr>
                <w:b/>
              </w:rPr>
              <w:t>South Australia</w:t>
            </w:r>
          </w:p>
        </w:tc>
        <w:tc>
          <w:tcPr>
            <w:tcW w:w="7075" w:type="dxa"/>
          </w:tcPr>
          <w:p w:rsidR="00000000" w:rsidRDefault="00000000">
            <w:pPr>
              <w:spacing w:after="0"/>
            </w:pPr>
            <w:r>
              <w:t>Senior Investigation Officer, Department of Correctional Services</w:t>
            </w:r>
            <w:r>
              <w:br/>
              <w:t>Visiting Tribunal</w:t>
            </w:r>
            <w:r>
              <w:br/>
              <w:t>Ombudsman</w:t>
            </w:r>
          </w:p>
        </w:tc>
      </w:tr>
      <w:tr w:rsidR="00000000">
        <w:trPr>
          <w:cantSplit/>
        </w:trPr>
        <w:tc>
          <w:tcPr>
            <w:tcW w:w="2280" w:type="dxa"/>
          </w:tcPr>
          <w:p w:rsidR="00000000" w:rsidRDefault="00000000">
            <w:pPr>
              <w:spacing w:after="0"/>
              <w:rPr>
                <w:b/>
              </w:rPr>
            </w:pPr>
            <w:r>
              <w:rPr>
                <w:b/>
              </w:rPr>
              <w:t>Tasmania</w:t>
            </w:r>
          </w:p>
        </w:tc>
        <w:tc>
          <w:tcPr>
            <w:tcW w:w="7075" w:type="dxa"/>
          </w:tcPr>
          <w:p w:rsidR="00000000" w:rsidRDefault="00000000">
            <w:pPr>
              <w:spacing w:after="0"/>
            </w:pPr>
            <w:r>
              <w:t>Head of Agency</w:t>
            </w:r>
            <w:r>
              <w:br/>
              <w:t>Ombudsman</w:t>
            </w:r>
          </w:p>
        </w:tc>
      </w:tr>
      <w:tr w:rsidR="00000000">
        <w:trPr>
          <w:cantSplit/>
        </w:trPr>
        <w:tc>
          <w:tcPr>
            <w:tcW w:w="2280" w:type="dxa"/>
          </w:tcPr>
          <w:p w:rsidR="00000000" w:rsidRDefault="00000000">
            <w:pPr>
              <w:spacing w:after="0"/>
              <w:rPr>
                <w:b/>
              </w:rPr>
            </w:pPr>
            <w:r>
              <w:rPr>
                <w:b/>
              </w:rPr>
              <w:t>Victoria</w:t>
            </w:r>
          </w:p>
        </w:tc>
        <w:tc>
          <w:tcPr>
            <w:tcW w:w="7075" w:type="dxa"/>
          </w:tcPr>
          <w:p w:rsidR="00000000" w:rsidRDefault="00000000">
            <w:pPr>
              <w:spacing w:after="0"/>
            </w:pPr>
            <w:r>
              <w:t>Official Prison Visitors</w:t>
            </w:r>
            <w:r>
              <w:br/>
              <w:t>Ombudsman</w:t>
            </w:r>
          </w:p>
        </w:tc>
      </w:tr>
      <w:tr w:rsidR="00000000">
        <w:trPr>
          <w:cantSplit/>
        </w:trPr>
        <w:tc>
          <w:tcPr>
            <w:tcW w:w="2280" w:type="dxa"/>
          </w:tcPr>
          <w:p w:rsidR="00000000" w:rsidRDefault="00000000">
            <w:pPr>
              <w:spacing w:after="0"/>
              <w:rPr>
                <w:b/>
              </w:rPr>
            </w:pPr>
            <w:r>
              <w:rPr>
                <w:b/>
              </w:rPr>
              <w:t>Western Australia</w:t>
            </w:r>
          </w:p>
        </w:tc>
        <w:tc>
          <w:tcPr>
            <w:tcW w:w="7075" w:type="dxa"/>
          </w:tcPr>
          <w:p w:rsidR="00000000" w:rsidRDefault="00000000">
            <w:pPr>
              <w:spacing w:after="0"/>
            </w:pPr>
            <w:r>
              <w:t>Aboriginal Visitors Scheme</w:t>
            </w:r>
            <w:r>
              <w:br/>
              <w:t>Corruption and Crime Commission</w:t>
            </w:r>
            <w:r>
              <w:br/>
              <w:t>Independent Visitor Services</w:t>
            </w:r>
            <w:r>
              <w:br/>
              <w:t>Inspector of Custodial Services</w:t>
            </w:r>
            <w:r>
              <w:br/>
              <w:t>Juvenile Detention Centre Visitors</w:t>
            </w:r>
            <w:r>
              <w:br/>
              <w:t>Prison Visitors</w:t>
            </w:r>
            <w:r>
              <w:br/>
              <w:t>Department of Justice Investigations Unit</w:t>
            </w:r>
            <w:r>
              <w:br/>
              <w:t>Ombudsman</w:t>
            </w:r>
          </w:p>
        </w:tc>
      </w:tr>
    </w:tbl>
    <w:p w:rsidR="00000000" w:rsidRDefault="00000000">
      <w:pPr>
        <w:pStyle w:val="Heading2"/>
        <w:spacing w:before="240"/>
      </w:pPr>
      <w:bookmarkStart w:id="267" w:name="_Toc77672876"/>
      <w:r>
        <w:t>Appendix 2.3.  Military personnel</w:t>
      </w:r>
      <w:bookmarkEnd w:id="267"/>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280"/>
        <w:gridCol w:w="7075"/>
      </w:tblGrid>
      <w:tr w:rsidR="00000000">
        <w:tc>
          <w:tcPr>
            <w:tcW w:w="2280" w:type="dxa"/>
          </w:tcPr>
          <w:p w:rsidR="00000000" w:rsidRDefault="00000000">
            <w:pPr>
              <w:spacing w:after="0"/>
              <w:rPr>
                <w:b/>
              </w:rPr>
            </w:pPr>
            <w:r>
              <w:rPr>
                <w:b/>
              </w:rPr>
              <w:t>Federal</w:t>
            </w:r>
          </w:p>
        </w:tc>
        <w:tc>
          <w:tcPr>
            <w:tcW w:w="7075" w:type="dxa"/>
          </w:tcPr>
          <w:p w:rsidR="00000000" w:rsidRDefault="00000000">
            <w:pPr>
              <w:pStyle w:val="Header"/>
              <w:tabs>
                <w:tab w:val="clear" w:pos="4320"/>
                <w:tab w:val="clear" w:pos="8640"/>
              </w:tabs>
              <w:spacing w:after="0"/>
            </w:pPr>
            <w:r>
              <w:t>Boards of Inquiry</w:t>
            </w:r>
            <w:r>
              <w:br/>
              <w:t>Disciplinary Tribunals</w:t>
            </w:r>
            <w:r>
              <w:br/>
              <w:t>Federal Court of Australia</w:t>
            </w:r>
            <w:r>
              <w:br/>
              <w:t>General Courts of  Inquiry</w:t>
            </w:r>
            <w:r>
              <w:br/>
              <w:t>Human Rights and Equal Opportunity Commission</w:t>
            </w:r>
            <w:r>
              <w:br/>
              <w:t>Commonwealth Ombudsman (Deputy Ombudsman (Defence))</w:t>
            </w:r>
            <w:r>
              <w:br/>
              <w:t>Internal Investigating Officers</w:t>
            </w:r>
          </w:p>
        </w:tc>
      </w:tr>
    </w:tbl>
    <w:p w:rsidR="00000000" w:rsidRDefault="00000000">
      <w:pPr>
        <w:pStyle w:val="Heading2"/>
        <w:spacing w:before="240"/>
      </w:pPr>
      <w:bookmarkStart w:id="268" w:name="_Toc77672877"/>
      <w:r>
        <w:t>Appendix 2.4.  Immigration officers</w:t>
      </w:r>
      <w:bookmarkEnd w:id="268"/>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280"/>
        <w:gridCol w:w="7075"/>
      </w:tblGrid>
      <w:tr w:rsidR="00000000">
        <w:trPr>
          <w:trHeight w:val="1150"/>
        </w:trPr>
        <w:tc>
          <w:tcPr>
            <w:tcW w:w="2280" w:type="dxa"/>
          </w:tcPr>
          <w:p w:rsidR="00000000" w:rsidRDefault="00000000">
            <w:pPr>
              <w:spacing w:after="0"/>
              <w:rPr>
                <w:b/>
              </w:rPr>
            </w:pPr>
            <w:r>
              <w:rPr>
                <w:b/>
              </w:rPr>
              <w:t>Federal</w:t>
            </w:r>
          </w:p>
        </w:tc>
        <w:tc>
          <w:tcPr>
            <w:tcW w:w="7075" w:type="dxa"/>
          </w:tcPr>
          <w:p w:rsidR="00000000" w:rsidRDefault="00000000">
            <w:pPr>
              <w:pStyle w:val="Header"/>
              <w:tabs>
                <w:tab w:val="clear" w:pos="4320"/>
                <w:tab w:val="clear" w:pos="8640"/>
              </w:tabs>
              <w:spacing w:after="0"/>
            </w:pPr>
            <w:r>
              <w:t>Federal Court of Australia</w:t>
            </w:r>
            <w:r>
              <w:br/>
              <w:t>Human Rights and Equal Opportunity Commission</w:t>
            </w:r>
            <w:r>
              <w:br/>
              <w:t xml:space="preserve">Values and Conduct Section, Department of Immigration and </w:t>
            </w:r>
            <w:r>
              <w:br/>
              <w:t xml:space="preserve">  Multicultural and Indigenous Affairs</w:t>
            </w:r>
            <w:r>
              <w:br/>
              <w:t>Commonwealth Ombudsman</w:t>
            </w:r>
          </w:p>
        </w:tc>
      </w:tr>
    </w:tbl>
    <w:p w:rsidR="00000000" w:rsidRDefault="00000000">
      <w:pPr>
        <w:pStyle w:val="Heading2"/>
      </w:pPr>
      <w:bookmarkStart w:id="269" w:name="_Toc77672878"/>
      <w:r>
        <w:t>Appendix 2.5.  Customs officers</w:t>
      </w:r>
      <w:bookmarkEnd w:id="269"/>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280"/>
        <w:gridCol w:w="7075"/>
      </w:tblGrid>
      <w:tr w:rsidR="00000000">
        <w:tc>
          <w:tcPr>
            <w:tcW w:w="2280" w:type="dxa"/>
          </w:tcPr>
          <w:p w:rsidR="00000000" w:rsidRDefault="00000000">
            <w:pPr>
              <w:pStyle w:val="Heading3"/>
              <w:spacing w:after="0"/>
            </w:pPr>
            <w:r>
              <w:t>Federal</w:t>
            </w:r>
          </w:p>
        </w:tc>
        <w:tc>
          <w:tcPr>
            <w:tcW w:w="7075" w:type="dxa"/>
          </w:tcPr>
          <w:p w:rsidR="00000000" w:rsidRDefault="00000000">
            <w:pPr>
              <w:pStyle w:val="Header"/>
              <w:tabs>
                <w:tab w:val="clear" w:pos="4320"/>
                <w:tab w:val="clear" w:pos="8640"/>
              </w:tabs>
              <w:spacing w:after="0"/>
            </w:pPr>
            <w:r>
              <w:t>Federal Court of Australia</w:t>
            </w:r>
            <w:r>
              <w:br/>
              <w:t>Human Rights and Equal Opportunity Commission</w:t>
            </w:r>
            <w:r>
              <w:br/>
              <w:t>Commonwealth Ombudsman</w:t>
            </w:r>
            <w:r>
              <w:br/>
              <w:t>Internal investigations by the Australian Customs Service</w:t>
            </w:r>
          </w:p>
        </w:tc>
      </w:tr>
    </w:tbl>
    <w:p w:rsidR="00000000" w:rsidRDefault="00000000">
      <w:pPr>
        <w:pStyle w:val="Heading2"/>
        <w:spacing w:before="240"/>
      </w:pPr>
      <w:bookmarkStart w:id="270" w:name="_Toc77672879"/>
      <w:r>
        <w:t>Appendix 2.6.  Public medical officers</w:t>
      </w:r>
      <w:bookmarkEnd w:id="270"/>
    </w:p>
    <w:tbl>
      <w:tblPr>
        <w:tblW w:w="9356" w:type="dxa"/>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280"/>
        <w:gridCol w:w="7076"/>
      </w:tblGrid>
      <w:tr w:rsidR="00000000">
        <w:tc>
          <w:tcPr>
            <w:tcW w:w="2280" w:type="dxa"/>
          </w:tcPr>
          <w:p w:rsidR="00000000" w:rsidRDefault="00000000">
            <w:pPr>
              <w:spacing w:after="0"/>
              <w:rPr>
                <w:b/>
              </w:rPr>
            </w:pPr>
            <w:r>
              <w:rPr>
                <w:b/>
              </w:rPr>
              <w:t>Australian Capital Territory</w:t>
            </w:r>
          </w:p>
        </w:tc>
        <w:tc>
          <w:tcPr>
            <w:tcW w:w="7076" w:type="dxa"/>
          </w:tcPr>
          <w:p w:rsidR="00000000" w:rsidRDefault="00000000">
            <w:pPr>
              <w:pStyle w:val="Header"/>
              <w:tabs>
                <w:tab w:val="clear" w:pos="4320"/>
                <w:tab w:val="clear" w:pos="8640"/>
              </w:tabs>
              <w:spacing w:after="0"/>
            </w:pPr>
            <w:r>
              <w:t>Chief Psychiatrist</w:t>
            </w:r>
            <w:r>
              <w:br/>
              <w:t>Clinical Director of Mental Health</w:t>
            </w:r>
            <w:r>
              <w:br/>
              <w:t>Community Advocate</w:t>
            </w:r>
            <w:r>
              <w:br/>
              <w:t>Community and Health Services Complaints Commissioner</w:t>
            </w:r>
            <w:r>
              <w:br/>
              <w:t>Discrimination Commissioner</w:t>
            </w:r>
            <w:r>
              <w:br/>
              <w:t>Medical Board</w:t>
            </w:r>
            <w:r>
              <w:br/>
              <w:t>Official Visitor of Public Hospitals</w:t>
            </w:r>
            <w:r>
              <w:br/>
              <w:t>Public Sector Disciplinary Committee</w:t>
            </w:r>
            <w:r>
              <w:br/>
              <w:t>Ombudsman</w:t>
            </w:r>
          </w:p>
        </w:tc>
      </w:tr>
      <w:tr w:rsidR="00000000">
        <w:tc>
          <w:tcPr>
            <w:tcW w:w="2280" w:type="dxa"/>
          </w:tcPr>
          <w:p w:rsidR="00000000" w:rsidRDefault="00000000">
            <w:pPr>
              <w:spacing w:after="0"/>
              <w:rPr>
                <w:b/>
              </w:rPr>
            </w:pPr>
            <w:r>
              <w:rPr>
                <w:b/>
              </w:rPr>
              <w:t>New South Wales</w:t>
            </w:r>
          </w:p>
        </w:tc>
        <w:tc>
          <w:tcPr>
            <w:tcW w:w="7076" w:type="dxa"/>
          </w:tcPr>
          <w:p w:rsidR="00000000" w:rsidRDefault="00000000">
            <w:pPr>
              <w:spacing w:after="0"/>
            </w:pPr>
            <w:r>
              <w:t>Health Care Complaints Commission</w:t>
            </w:r>
            <w:r>
              <w:br/>
              <w:t>Independent Commission Against Corruption</w:t>
            </w:r>
            <w:r>
              <w:br/>
              <w:t>Mental Health Review Tribunal</w:t>
            </w:r>
            <w:r>
              <w:br/>
              <w:t>Ombudsman</w:t>
            </w:r>
          </w:p>
        </w:tc>
      </w:tr>
      <w:tr w:rsidR="00000000">
        <w:tc>
          <w:tcPr>
            <w:tcW w:w="2280" w:type="dxa"/>
          </w:tcPr>
          <w:p w:rsidR="00000000" w:rsidRDefault="00000000">
            <w:pPr>
              <w:spacing w:after="0"/>
              <w:rPr>
                <w:b/>
              </w:rPr>
            </w:pPr>
            <w:r>
              <w:br w:type="page"/>
            </w:r>
            <w:r>
              <w:rPr>
                <w:b/>
              </w:rPr>
              <w:t>Northern Territory</w:t>
            </w:r>
          </w:p>
        </w:tc>
        <w:tc>
          <w:tcPr>
            <w:tcW w:w="7076" w:type="dxa"/>
          </w:tcPr>
          <w:p w:rsidR="00000000" w:rsidRDefault="00000000">
            <w:pPr>
              <w:spacing w:after="0"/>
            </w:pPr>
            <w:r>
              <w:t>Anti</w:t>
            </w:r>
            <w:r>
              <w:noBreakHyphen/>
              <w:t>Discrimination Commission</w:t>
            </w:r>
            <w:r>
              <w:br/>
              <w:t>Community Visitor Program</w:t>
            </w:r>
            <w:r>
              <w:br/>
              <w:t>Health and Community Services Complaints Commission</w:t>
            </w:r>
            <w:r>
              <w:br/>
              <w:t>Mental Health Review Tribunal</w:t>
            </w:r>
            <w:r>
              <w:br/>
              <w:t>Patient Advocate, Royal Darwin Hospital</w:t>
            </w:r>
            <w:r>
              <w:br/>
              <w:t>Ombudsman</w:t>
            </w:r>
          </w:p>
        </w:tc>
      </w:tr>
      <w:tr w:rsidR="00000000">
        <w:tc>
          <w:tcPr>
            <w:tcW w:w="2280" w:type="dxa"/>
          </w:tcPr>
          <w:p w:rsidR="00000000" w:rsidRDefault="00000000">
            <w:pPr>
              <w:spacing w:after="0"/>
              <w:rPr>
                <w:b/>
              </w:rPr>
            </w:pPr>
            <w:r>
              <w:rPr>
                <w:b/>
              </w:rPr>
              <w:t>Queensland</w:t>
            </w:r>
          </w:p>
        </w:tc>
        <w:tc>
          <w:tcPr>
            <w:tcW w:w="7076" w:type="dxa"/>
          </w:tcPr>
          <w:p w:rsidR="00000000" w:rsidRDefault="00000000">
            <w:pPr>
              <w:spacing w:after="0"/>
            </w:pPr>
            <w:r>
              <w:t>Anti</w:t>
            </w:r>
            <w:r>
              <w:noBreakHyphen/>
              <w:t>Discrimination Commission</w:t>
            </w:r>
            <w:r>
              <w:br/>
              <w:t>Crime and Misconduct Commission</w:t>
            </w:r>
            <w:r>
              <w:br/>
              <w:t>Health Rights Commission</w:t>
            </w:r>
            <w:r>
              <w:br/>
              <w:t>Medical Assessment Tribunal</w:t>
            </w:r>
            <w:r>
              <w:br/>
              <w:t>Office of Health Registration Practitioner Boards</w:t>
            </w:r>
            <w:r>
              <w:br/>
              <w:t>Queensland Police Service</w:t>
            </w:r>
            <w:r>
              <w:br/>
              <w:t xml:space="preserve">Ombudsman </w:t>
            </w:r>
          </w:p>
        </w:tc>
      </w:tr>
      <w:tr w:rsidR="00000000">
        <w:trPr>
          <w:cantSplit/>
        </w:trPr>
        <w:tc>
          <w:tcPr>
            <w:tcW w:w="2280" w:type="dxa"/>
          </w:tcPr>
          <w:p w:rsidR="00000000" w:rsidRDefault="00000000">
            <w:pPr>
              <w:spacing w:after="0"/>
              <w:rPr>
                <w:b/>
              </w:rPr>
            </w:pPr>
            <w:r>
              <w:rPr>
                <w:b/>
              </w:rPr>
              <w:t>South Australia</w:t>
            </w:r>
          </w:p>
        </w:tc>
        <w:tc>
          <w:tcPr>
            <w:tcW w:w="7076" w:type="dxa"/>
          </w:tcPr>
          <w:p w:rsidR="00000000" w:rsidRDefault="00000000">
            <w:pPr>
              <w:spacing w:after="0"/>
            </w:pPr>
            <w:r>
              <w:t>Health Commission</w:t>
            </w:r>
            <w:r>
              <w:br/>
              <w:t>Medical Practitioners Board</w:t>
            </w:r>
            <w:r>
              <w:br/>
              <w:t>Medical Practitioners Tribunal</w:t>
            </w:r>
            <w:r>
              <w:br/>
              <w:t>Mental Health Review Tribunal</w:t>
            </w:r>
            <w:r>
              <w:br/>
              <w:t>Public Advocate</w:t>
            </w:r>
          </w:p>
        </w:tc>
      </w:tr>
      <w:tr w:rsidR="00000000">
        <w:tc>
          <w:tcPr>
            <w:tcW w:w="2280" w:type="dxa"/>
          </w:tcPr>
          <w:p w:rsidR="00000000" w:rsidRDefault="00000000">
            <w:pPr>
              <w:spacing w:after="0"/>
              <w:rPr>
                <w:b/>
              </w:rPr>
            </w:pPr>
            <w:r>
              <w:rPr>
                <w:b/>
              </w:rPr>
              <w:t>Tasmania</w:t>
            </w:r>
          </w:p>
        </w:tc>
        <w:tc>
          <w:tcPr>
            <w:tcW w:w="7076" w:type="dxa"/>
          </w:tcPr>
          <w:p w:rsidR="00000000" w:rsidRDefault="00000000">
            <w:pPr>
              <w:pStyle w:val="Header"/>
              <w:tabs>
                <w:tab w:val="clear" w:pos="4320"/>
                <w:tab w:val="clear" w:pos="8640"/>
              </w:tabs>
              <w:spacing w:after="0"/>
            </w:pPr>
            <w:r>
              <w:t>Head of Agency</w:t>
            </w:r>
            <w:r>
              <w:br/>
              <w:t>Health Complaints Commissioner</w:t>
            </w:r>
            <w:r>
              <w:br/>
              <w:t>Mental Health Review Tribunal</w:t>
            </w:r>
            <w:r>
              <w:br/>
              <w:t>Public Guardian</w:t>
            </w:r>
            <w:r>
              <w:br/>
              <w:t>Ombudsman</w:t>
            </w:r>
          </w:p>
        </w:tc>
      </w:tr>
      <w:tr w:rsidR="00000000">
        <w:trPr>
          <w:cantSplit/>
        </w:trPr>
        <w:tc>
          <w:tcPr>
            <w:tcW w:w="2280" w:type="dxa"/>
          </w:tcPr>
          <w:p w:rsidR="00000000" w:rsidRDefault="00000000">
            <w:pPr>
              <w:spacing w:after="0"/>
              <w:rPr>
                <w:b/>
              </w:rPr>
            </w:pPr>
            <w:r>
              <w:rPr>
                <w:b/>
              </w:rPr>
              <w:t>Victoria</w:t>
            </w:r>
          </w:p>
        </w:tc>
        <w:tc>
          <w:tcPr>
            <w:tcW w:w="7076" w:type="dxa"/>
          </w:tcPr>
          <w:p w:rsidR="00000000" w:rsidRDefault="00000000">
            <w:pPr>
              <w:spacing w:after="0"/>
            </w:pPr>
            <w:r>
              <w:t>Mental Health Review Board</w:t>
            </w:r>
            <w:r>
              <w:br/>
              <w:t>Community Visitors</w:t>
            </w:r>
            <w:r>
              <w:br/>
              <w:t>Health Services Commissioner</w:t>
            </w:r>
            <w:r>
              <w:br/>
              <w:t>Chief Psychiatrist</w:t>
            </w:r>
            <w:r>
              <w:br/>
              <w:t>Intellectual Disability Review Panel</w:t>
            </w:r>
            <w:r>
              <w:br/>
              <w:t>Ombudsman</w:t>
            </w:r>
          </w:p>
        </w:tc>
      </w:tr>
      <w:tr w:rsidR="00000000">
        <w:tc>
          <w:tcPr>
            <w:tcW w:w="2280" w:type="dxa"/>
          </w:tcPr>
          <w:p w:rsidR="00000000" w:rsidRDefault="00000000">
            <w:pPr>
              <w:spacing w:after="0"/>
              <w:rPr>
                <w:b/>
              </w:rPr>
            </w:pPr>
            <w:r>
              <w:rPr>
                <w:b/>
              </w:rPr>
              <w:t>Western Australia</w:t>
            </w:r>
          </w:p>
        </w:tc>
        <w:tc>
          <w:tcPr>
            <w:tcW w:w="7076" w:type="dxa"/>
          </w:tcPr>
          <w:p w:rsidR="00000000" w:rsidRDefault="00000000">
            <w:pPr>
              <w:spacing w:after="0"/>
            </w:pPr>
            <w:r>
              <w:t>Board of Visitors</w:t>
            </w:r>
            <w:r>
              <w:br/>
              <w:t>Medical Board</w:t>
            </w:r>
            <w:r>
              <w:br/>
              <w:t>Mental Health Review Board</w:t>
            </w:r>
            <w:r>
              <w:br/>
              <w:t>(Mental Health) Council of Official Visitors</w:t>
            </w:r>
            <w:r>
              <w:br/>
              <w:t>Office of Health Review</w:t>
            </w:r>
            <w:r>
              <w:br/>
              <w:t>Parliamentary Commissioner for Administrative Investigations</w:t>
            </w:r>
          </w:p>
        </w:tc>
      </w:tr>
    </w:tbl>
    <w:p w:rsidR="00000000" w:rsidRDefault="00000000">
      <w:pPr>
        <w:pStyle w:val="Heading2"/>
        <w:spacing w:before="240"/>
      </w:pPr>
      <w:bookmarkStart w:id="271" w:name="_Toc77672880"/>
      <w:r>
        <w:t>Appendix 2.7.  Residential carers</w:t>
      </w:r>
      <w:bookmarkEnd w:id="271"/>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280"/>
        <w:gridCol w:w="7075"/>
      </w:tblGrid>
      <w:tr w:rsidR="00000000">
        <w:tc>
          <w:tcPr>
            <w:tcW w:w="2280" w:type="dxa"/>
          </w:tcPr>
          <w:p w:rsidR="00000000" w:rsidRDefault="00000000">
            <w:pPr>
              <w:spacing w:after="0"/>
              <w:rPr>
                <w:b/>
              </w:rPr>
            </w:pPr>
            <w:r>
              <w:rPr>
                <w:b/>
              </w:rPr>
              <w:t>Australian Capital Territory</w:t>
            </w:r>
          </w:p>
        </w:tc>
        <w:tc>
          <w:tcPr>
            <w:tcW w:w="7075" w:type="dxa"/>
          </w:tcPr>
          <w:p w:rsidR="00000000" w:rsidRDefault="00000000">
            <w:pPr>
              <w:pStyle w:val="Header"/>
              <w:tabs>
                <w:tab w:val="clear" w:pos="4320"/>
                <w:tab w:val="clear" w:pos="8640"/>
              </w:tabs>
              <w:spacing w:after="0"/>
            </w:pPr>
            <w:r>
              <w:t>Community and Health Services Complaints Commissioner</w:t>
            </w:r>
            <w:r>
              <w:br/>
              <w:t>Discrimination Commissioner</w:t>
            </w:r>
            <w:r>
              <w:br/>
              <w:t>Internal investigations by Department</w:t>
            </w:r>
            <w:r>
              <w:br/>
              <w:t>Office of the Community Advocate</w:t>
            </w:r>
            <w:r>
              <w:br/>
              <w:t>Official Visitors</w:t>
            </w:r>
            <w:r>
              <w:br/>
              <w:t>Public Sector Management Inquiry</w:t>
            </w:r>
            <w:r>
              <w:br/>
              <w:t xml:space="preserve">Ombudsman </w:t>
            </w:r>
          </w:p>
        </w:tc>
      </w:tr>
      <w:tr w:rsidR="00000000">
        <w:tc>
          <w:tcPr>
            <w:tcW w:w="2280" w:type="dxa"/>
          </w:tcPr>
          <w:p w:rsidR="00000000" w:rsidRDefault="00000000">
            <w:pPr>
              <w:spacing w:after="0"/>
              <w:rPr>
                <w:b/>
              </w:rPr>
            </w:pPr>
            <w:r>
              <w:rPr>
                <w:b/>
              </w:rPr>
              <w:t>New South Wales</w:t>
            </w:r>
          </w:p>
        </w:tc>
        <w:tc>
          <w:tcPr>
            <w:tcW w:w="7075" w:type="dxa"/>
          </w:tcPr>
          <w:p w:rsidR="00000000" w:rsidRDefault="00000000">
            <w:pPr>
              <w:spacing w:after="0"/>
            </w:pPr>
            <w:r>
              <w:t>Administrative Decisions Tribunal</w:t>
            </w:r>
            <w:r>
              <w:br/>
              <w:t xml:space="preserve">Allegations Against Employees Unit, Department of Community </w:t>
            </w:r>
            <w:r>
              <w:br/>
              <w:t xml:space="preserve">  Services</w:t>
            </w:r>
            <w:r>
              <w:br/>
              <w:t xml:space="preserve">Client Feedback and Assistance Unit, Department of Community </w:t>
            </w:r>
            <w:r>
              <w:br/>
              <w:t xml:space="preserve">  Services</w:t>
            </w:r>
            <w:r>
              <w:br/>
              <w:t>Community Services Appeals Tribunal</w:t>
            </w:r>
            <w:r>
              <w:br/>
              <w:t>Guardianship Board</w:t>
            </w:r>
            <w:r>
              <w:br/>
              <w:t>Health Care Complaints Commission</w:t>
            </w:r>
            <w:r>
              <w:br/>
              <w:t>Independent Commission Against Corruption</w:t>
            </w:r>
            <w:r>
              <w:br/>
              <w:t>Mental Health Review Tribunal</w:t>
            </w:r>
            <w:r>
              <w:br/>
              <w:t>Ombudsman</w:t>
            </w:r>
          </w:p>
        </w:tc>
      </w:tr>
      <w:tr w:rsidR="00000000">
        <w:tc>
          <w:tcPr>
            <w:tcW w:w="2280" w:type="dxa"/>
          </w:tcPr>
          <w:p w:rsidR="00000000" w:rsidRDefault="00000000">
            <w:pPr>
              <w:spacing w:after="0"/>
              <w:rPr>
                <w:b/>
              </w:rPr>
            </w:pPr>
            <w:r>
              <w:rPr>
                <w:b/>
              </w:rPr>
              <w:t>Northern Territory</w:t>
            </w:r>
          </w:p>
        </w:tc>
        <w:tc>
          <w:tcPr>
            <w:tcW w:w="7075" w:type="dxa"/>
          </w:tcPr>
          <w:p w:rsidR="00000000" w:rsidRDefault="00000000">
            <w:pPr>
              <w:spacing w:after="0"/>
              <w:rPr>
                <w:i/>
              </w:rPr>
            </w:pPr>
            <w:r>
              <w:t xml:space="preserve">Minister responsible for the </w:t>
            </w:r>
            <w:r>
              <w:rPr>
                <w:i/>
              </w:rPr>
              <w:t>Community Welfare Act</w:t>
            </w:r>
            <w:r>
              <w:rPr>
                <w:i/>
              </w:rPr>
              <w:br/>
            </w:r>
            <w:r>
              <w:t>Ombudsman</w:t>
            </w:r>
          </w:p>
        </w:tc>
      </w:tr>
      <w:tr w:rsidR="00000000">
        <w:trPr>
          <w:cantSplit/>
        </w:trPr>
        <w:tc>
          <w:tcPr>
            <w:tcW w:w="2280" w:type="dxa"/>
          </w:tcPr>
          <w:p w:rsidR="00000000" w:rsidRDefault="00000000">
            <w:pPr>
              <w:spacing w:after="0"/>
              <w:rPr>
                <w:b/>
              </w:rPr>
            </w:pPr>
            <w:r>
              <w:br w:type="page"/>
            </w:r>
            <w:r>
              <w:rPr>
                <w:b/>
              </w:rPr>
              <w:t>Queensland</w:t>
            </w:r>
          </w:p>
        </w:tc>
        <w:tc>
          <w:tcPr>
            <w:tcW w:w="7075" w:type="dxa"/>
          </w:tcPr>
          <w:p w:rsidR="00000000" w:rsidRDefault="00000000">
            <w:pPr>
              <w:spacing w:after="0"/>
              <w:ind w:left="-8"/>
            </w:pPr>
            <w:r>
              <w:t>Adult Guardian</w:t>
            </w:r>
            <w:r>
              <w:br/>
              <w:t>Children’s Services Tribunal</w:t>
            </w:r>
            <w:r>
              <w:br/>
              <w:t>Commissioner for Children and Young People</w:t>
            </w:r>
            <w:r>
              <w:br/>
              <w:t>Crime and Misconduct Commission</w:t>
            </w:r>
            <w:r>
              <w:br/>
              <w:t>Health Rights Commission</w:t>
            </w:r>
            <w:r>
              <w:br/>
              <w:t>Misconduct Tribunals</w:t>
            </w:r>
            <w:r>
              <w:br/>
              <w:t>Parliamentary Commissioner for Administrative Investigations</w:t>
            </w:r>
          </w:p>
        </w:tc>
      </w:tr>
      <w:tr w:rsidR="00000000">
        <w:trPr>
          <w:cantSplit/>
        </w:trPr>
        <w:tc>
          <w:tcPr>
            <w:tcW w:w="2280" w:type="dxa"/>
          </w:tcPr>
          <w:p w:rsidR="00000000" w:rsidRDefault="00000000">
            <w:pPr>
              <w:spacing w:after="0"/>
              <w:rPr>
                <w:b/>
              </w:rPr>
            </w:pPr>
            <w:r>
              <w:rPr>
                <w:b/>
              </w:rPr>
              <w:t>South Australia</w:t>
            </w:r>
          </w:p>
        </w:tc>
        <w:tc>
          <w:tcPr>
            <w:tcW w:w="7075" w:type="dxa"/>
          </w:tcPr>
          <w:p w:rsidR="00000000" w:rsidRDefault="00000000">
            <w:pPr>
              <w:pStyle w:val="Header"/>
              <w:tabs>
                <w:tab w:val="clear" w:pos="4320"/>
                <w:tab w:val="clear" w:pos="8640"/>
              </w:tabs>
              <w:spacing w:after="0"/>
            </w:pPr>
            <w:r>
              <w:t>Commissioner of Police</w:t>
            </w:r>
            <w:r>
              <w:br/>
              <w:t>Director, Young Offenders Unit</w:t>
            </w:r>
            <w:r>
              <w:br/>
              <w:t>Guardianship Board</w:t>
            </w:r>
            <w:r>
              <w:br/>
              <w:t>Manager, Secure Care Centre</w:t>
            </w:r>
            <w:r>
              <w:br/>
              <w:t>Medical Board</w:t>
            </w:r>
            <w:r>
              <w:br/>
              <w:t>Medical Practitioners Professional Conduct Tribunal</w:t>
            </w:r>
            <w:r>
              <w:br/>
              <w:t>Police Complaints Authority</w:t>
            </w:r>
            <w:r>
              <w:br/>
              <w:t>Ombudsman</w:t>
            </w:r>
          </w:p>
        </w:tc>
      </w:tr>
      <w:tr w:rsidR="00000000">
        <w:tc>
          <w:tcPr>
            <w:tcW w:w="2280" w:type="dxa"/>
          </w:tcPr>
          <w:p w:rsidR="00000000" w:rsidRDefault="00000000">
            <w:pPr>
              <w:spacing w:after="0"/>
              <w:rPr>
                <w:b/>
              </w:rPr>
            </w:pPr>
            <w:r>
              <w:rPr>
                <w:b/>
              </w:rPr>
              <w:t>Tasmania</w:t>
            </w:r>
          </w:p>
        </w:tc>
        <w:tc>
          <w:tcPr>
            <w:tcW w:w="7075" w:type="dxa"/>
          </w:tcPr>
          <w:p w:rsidR="00000000" w:rsidRDefault="00000000">
            <w:pPr>
              <w:spacing w:after="0"/>
            </w:pPr>
            <w:r>
              <w:t>Head of Agency</w:t>
            </w:r>
            <w:r>
              <w:br/>
              <w:t>Ombudsman</w:t>
            </w:r>
          </w:p>
        </w:tc>
      </w:tr>
      <w:tr w:rsidR="00000000">
        <w:tc>
          <w:tcPr>
            <w:tcW w:w="2280" w:type="dxa"/>
          </w:tcPr>
          <w:p w:rsidR="00000000" w:rsidRDefault="00000000">
            <w:pPr>
              <w:spacing w:after="0"/>
              <w:rPr>
                <w:b/>
              </w:rPr>
            </w:pPr>
            <w:r>
              <w:rPr>
                <w:b/>
              </w:rPr>
              <w:t>Victoria</w:t>
            </w:r>
          </w:p>
        </w:tc>
        <w:tc>
          <w:tcPr>
            <w:tcW w:w="7075" w:type="dxa"/>
          </w:tcPr>
          <w:p w:rsidR="00000000" w:rsidRDefault="00000000">
            <w:pPr>
              <w:spacing w:after="0"/>
            </w:pPr>
            <w:r>
              <w:t>Department of Human Services</w:t>
            </w:r>
            <w:r>
              <w:br/>
              <w:t>Health Services Commissioner</w:t>
            </w:r>
            <w:r>
              <w:br/>
              <w:t>Police</w:t>
            </w:r>
            <w:r>
              <w:br/>
              <w:t>Public Advocate</w:t>
            </w:r>
            <w:r>
              <w:br/>
              <w:t>Ombudsman</w:t>
            </w:r>
          </w:p>
        </w:tc>
      </w:tr>
      <w:tr w:rsidR="00000000">
        <w:tc>
          <w:tcPr>
            <w:tcW w:w="2280" w:type="dxa"/>
          </w:tcPr>
          <w:p w:rsidR="00000000" w:rsidRDefault="00000000">
            <w:pPr>
              <w:spacing w:after="0"/>
              <w:rPr>
                <w:b/>
              </w:rPr>
            </w:pPr>
            <w:r>
              <w:rPr>
                <w:b/>
              </w:rPr>
              <w:t>Western Australia</w:t>
            </w:r>
          </w:p>
        </w:tc>
        <w:tc>
          <w:tcPr>
            <w:tcW w:w="7075" w:type="dxa"/>
          </w:tcPr>
          <w:p w:rsidR="00000000" w:rsidRDefault="00000000">
            <w:pPr>
              <w:spacing w:after="0"/>
            </w:pPr>
            <w:r>
              <w:t>Commissioner for Equal Opportunity</w:t>
            </w:r>
            <w:r>
              <w:br/>
              <w:t>Guardianship and Administration Board</w:t>
            </w:r>
            <w:r>
              <w:br/>
              <w:t>Public Advocate</w:t>
            </w:r>
            <w:r>
              <w:br/>
              <w:t>Ombudsman</w:t>
            </w:r>
            <w:r>
              <w:br/>
              <w:t xml:space="preserve">Internal responses to complaints (Consumer Advocate, Case Review </w:t>
            </w:r>
            <w:r>
              <w:br/>
              <w:t xml:space="preserve">  Board (child wards), Minister for Family and Children’s Services)</w:t>
            </w:r>
          </w:p>
        </w:tc>
      </w:tr>
    </w:tbl>
    <w:p w:rsidR="00000000" w:rsidRDefault="00000000">
      <w:pPr>
        <w:pStyle w:val="Heading2"/>
        <w:spacing w:before="240"/>
      </w:pPr>
      <w:bookmarkStart w:id="272" w:name="_Toc77672881"/>
      <w:r>
        <w:t>Appendix 2.8.  Public schoolteachers</w:t>
      </w:r>
      <w:bookmarkEnd w:id="272"/>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2280"/>
        <w:gridCol w:w="7075"/>
      </w:tblGrid>
      <w:tr w:rsidR="00000000">
        <w:tc>
          <w:tcPr>
            <w:tcW w:w="2280" w:type="dxa"/>
          </w:tcPr>
          <w:p w:rsidR="00000000" w:rsidRDefault="00000000">
            <w:pPr>
              <w:spacing w:after="0"/>
              <w:rPr>
                <w:b/>
              </w:rPr>
            </w:pPr>
            <w:r>
              <w:rPr>
                <w:b/>
              </w:rPr>
              <w:t>Australian Capital Territory</w:t>
            </w:r>
          </w:p>
        </w:tc>
        <w:tc>
          <w:tcPr>
            <w:tcW w:w="7075" w:type="dxa"/>
          </w:tcPr>
          <w:p w:rsidR="00000000" w:rsidRDefault="00000000">
            <w:pPr>
              <w:pStyle w:val="Header"/>
              <w:tabs>
                <w:tab w:val="clear" w:pos="4320"/>
                <w:tab w:val="clear" w:pos="8640"/>
              </w:tabs>
              <w:spacing w:after="0"/>
            </w:pPr>
            <w:r>
              <w:t>Discrimination Commissioner</w:t>
            </w:r>
            <w:r>
              <w:br/>
              <w:t xml:space="preserve">Internal investigations by Department of Education and Children’s </w:t>
            </w:r>
            <w:r>
              <w:br/>
              <w:t xml:space="preserve">  &amp; Family Services Bureau</w:t>
            </w:r>
            <w:r>
              <w:br/>
              <w:t>Public Sector Management Inquiry</w:t>
            </w:r>
          </w:p>
        </w:tc>
      </w:tr>
      <w:tr w:rsidR="00000000">
        <w:tc>
          <w:tcPr>
            <w:tcW w:w="2280" w:type="dxa"/>
          </w:tcPr>
          <w:p w:rsidR="00000000" w:rsidRDefault="00000000">
            <w:pPr>
              <w:spacing w:after="0"/>
              <w:rPr>
                <w:b/>
              </w:rPr>
            </w:pPr>
            <w:r>
              <w:rPr>
                <w:b/>
              </w:rPr>
              <w:t>New South Wales</w:t>
            </w:r>
          </w:p>
        </w:tc>
        <w:tc>
          <w:tcPr>
            <w:tcW w:w="7075" w:type="dxa"/>
          </w:tcPr>
          <w:p w:rsidR="00000000" w:rsidRDefault="00000000">
            <w:pPr>
              <w:spacing w:after="0"/>
            </w:pPr>
            <w:r>
              <w:t>Director General, Department of Education and Training</w:t>
            </w:r>
            <w:r>
              <w:br/>
              <w:t>Anti</w:t>
            </w:r>
            <w:r>
              <w:noBreakHyphen/>
              <w:t>Discrimination Board</w:t>
            </w:r>
            <w:r>
              <w:br/>
              <w:t>Independent Commission Against Corruption</w:t>
            </w:r>
            <w:r>
              <w:br/>
              <w:t>Privacy NSW</w:t>
            </w:r>
            <w:r>
              <w:br/>
              <w:t>Ombudsman</w:t>
            </w:r>
          </w:p>
        </w:tc>
      </w:tr>
      <w:tr w:rsidR="00000000">
        <w:trPr>
          <w:cantSplit/>
        </w:trPr>
        <w:tc>
          <w:tcPr>
            <w:tcW w:w="2280" w:type="dxa"/>
          </w:tcPr>
          <w:p w:rsidR="00000000" w:rsidRDefault="00000000">
            <w:pPr>
              <w:spacing w:after="0"/>
              <w:rPr>
                <w:b/>
              </w:rPr>
            </w:pPr>
            <w:r>
              <w:rPr>
                <w:b/>
              </w:rPr>
              <w:t>Northern Territory</w:t>
            </w:r>
          </w:p>
        </w:tc>
        <w:tc>
          <w:tcPr>
            <w:tcW w:w="7075" w:type="dxa"/>
          </w:tcPr>
          <w:p w:rsidR="00000000" w:rsidRDefault="00000000">
            <w:pPr>
              <w:spacing w:after="0"/>
            </w:pPr>
            <w:r>
              <w:t>Anti</w:t>
            </w:r>
            <w:r>
              <w:noBreakHyphen/>
              <w:t>Discrimination Commission</w:t>
            </w:r>
            <w:r>
              <w:br/>
              <w:t>Chief Executive Officer</w:t>
            </w:r>
            <w:r>
              <w:br/>
              <w:t>Department of Employment, Education and Training</w:t>
            </w:r>
            <w:r>
              <w:br/>
              <w:t>Minister for Employment, Education and Training</w:t>
            </w:r>
            <w:r>
              <w:br/>
              <w:t>Teacher Registration Board</w:t>
            </w:r>
            <w:r>
              <w:br/>
              <w:t>Ombudsman</w:t>
            </w:r>
          </w:p>
        </w:tc>
      </w:tr>
      <w:tr w:rsidR="00000000">
        <w:tc>
          <w:tcPr>
            <w:tcW w:w="2280" w:type="dxa"/>
          </w:tcPr>
          <w:p w:rsidR="00000000" w:rsidRDefault="00000000">
            <w:pPr>
              <w:spacing w:after="0"/>
              <w:rPr>
                <w:b/>
              </w:rPr>
            </w:pPr>
            <w:r>
              <w:rPr>
                <w:b/>
              </w:rPr>
              <w:t>Queensland</w:t>
            </w:r>
          </w:p>
        </w:tc>
        <w:tc>
          <w:tcPr>
            <w:tcW w:w="7075" w:type="dxa"/>
          </w:tcPr>
          <w:p w:rsidR="00000000" w:rsidRDefault="00000000">
            <w:pPr>
              <w:spacing w:after="0"/>
              <w:ind w:right="-113"/>
            </w:pPr>
            <w:r>
              <w:t>Anti</w:t>
            </w:r>
            <w:r>
              <w:noBreakHyphen/>
              <w:t>Discrimination Commission</w:t>
            </w:r>
            <w:r>
              <w:br/>
              <w:t>Crime and Misconduct Commission</w:t>
            </w:r>
            <w:r>
              <w:br/>
              <w:t xml:space="preserve">Disciplinary action under the </w:t>
            </w:r>
            <w:r>
              <w:rPr>
                <w:i/>
              </w:rPr>
              <w:t>Public Service Act 1996</w:t>
            </w:r>
            <w:r>
              <w:rPr>
                <w:i/>
              </w:rPr>
              <w:br/>
            </w:r>
            <w:r>
              <w:t xml:space="preserve">Disciplinary inquiries under Education </w:t>
            </w:r>
            <w:r>
              <w:rPr>
                <w:i/>
              </w:rPr>
              <w:t>(Teacher</w:t>
            </w:r>
            <w:r>
              <w:rPr>
                <w:iCs/>
              </w:rPr>
              <w:t xml:space="preserve"> </w:t>
            </w:r>
            <w:r>
              <w:rPr>
                <w:i/>
              </w:rPr>
              <w:t>Registration) Act 1988</w:t>
            </w:r>
            <w:r>
              <w:br/>
              <w:t>Misconduct Tribunals</w:t>
            </w:r>
            <w:r>
              <w:br/>
              <w:t>Ombudsman</w:t>
            </w:r>
          </w:p>
        </w:tc>
      </w:tr>
      <w:tr w:rsidR="00000000">
        <w:trPr>
          <w:cantSplit/>
        </w:trPr>
        <w:tc>
          <w:tcPr>
            <w:tcW w:w="2280" w:type="dxa"/>
          </w:tcPr>
          <w:p w:rsidR="00000000" w:rsidRDefault="00000000">
            <w:pPr>
              <w:spacing w:after="0"/>
              <w:rPr>
                <w:b/>
              </w:rPr>
            </w:pPr>
            <w:r>
              <w:br w:type="page"/>
            </w:r>
            <w:r>
              <w:rPr>
                <w:b/>
              </w:rPr>
              <w:t>South Australia</w:t>
            </w:r>
          </w:p>
        </w:tc>
        <w:tc>
          <w:tcPr>
            <w:tcW w:w="7075" w:type="dxa"/>
          </w:tcPr>
          <w:p w:rsidR="00000000" w:rsidRDefault="00000000">
            <w:pPr>
              <w:pStyle w:val="Header"/>
              <w:tabs>
                <w:tab w:val="clear" w:pos="4320"/>
                <w:tab w:val="clear" w:pos="8640"/>
              </w:tabs>
              <w:spacing w:after="0"/>
            </w:pPr>
            <w:r>
              <w:t>Commissioner for Equal Opportunity</w:t>
            </w:r>
            <w:r>
              <w:br/>
              <w:t>Department of Education and Children’s Services</w:t>
            </w:r>
            <w:r>
              <w:br/>
              <w:t>Director</w:t>
            </w:r>
            <w:r>
              <w:noBreakHyphen/>
              <w:t>General, Department of Education and Children’s Services</w:t>
            </w:r>
            <w:r>
              <w:br/>
              <w:t>District Director</w:t>
            </w:r>
            <w:r>
              <w:br/>
              <w:t>Manager, Ethical Standards and Merit Protection</w:t>
            </w:r>
            <w:r>
              <w:br/>
              <w:t>Ombudsman</w:t>
            </w:r>
          </w:p>
        </w:tc>
      </w:tr>
      <w:tr w:rsidR="00000000">
        <w:tc>
          <w:tcPr>
            <w:tcW w:w="2280" w:type="dxa"/>
          </w:tcPr>
          <w:p w:rsidR="00000000" w:rsidRDefault="00000000">
            <w:pPr>
              <w:spacing w:after="0"/>
              <w:rPr>
                <w:b/>
              </w:rPr>
            </w:pPr>
            <w:r>
              <w:rPr>
                <w:b/>
              </w:rPr>
              <w:t>Tasmania</w:t>
            </w:r>
          </w:p>
        </w:tc>
        <w:tc>
          <w:tcPr>
            <w:tcW w:w="7075" w:type="dxa"/>
          </w:tcPr>
          <w:p w:rsidR="00000000" w:rsidRDefault="00000000">
            <w:pPr>
              <w:pStyle w:val="Header"/>
              <w:tabs>
                <w:tab w:val="clear" w:pos="4320"/>
                <w:tab w:val="clear" w:pos="8640"/>
              </w:tabs>
              <w:spacing w:after="0"/>
            </w:pPr>
            <w:r>
              <w:t>Head of Agency</w:t>
            </w:r>
            <w:r>
              <w:br/>
              <w:t>Teachers Registration Board</w:t>
            </w:r>
            <w:r>
              <w:br/>
              <w:t>Ombudsman</w:t>
            </w:r>
          </w:p>
        </w:tc>
      </w:tr>
      <w:tr w:rsidR="00000000">
        <w:trPr>
          <w:trHeight w:val="65"/>
        </w:trPr>
        <w:tc>
          <w:tcPr>
            <w:tcW w:w="2280" w:type="dxa"/>
          </w:tcPr>
          <w:p w:rsidR="00000000" w:rsidRDefault="00000000">
            <w:pPr>
              <w:spacing w:after="0"/>
              <w:rPr>
                <w:b/>
              </w:rPr>
            </w:pPr>
            <w:r>
              <w:rPr>
                <w:b/>
              </w:rPr>
              <w:t>Victoria</w:t>
            </w:r>
          </w:p>
        </w:tc>
        <w:tc>
          <w:tcPr>
            <w:tcW w:w="7075" w:type="dxa"/>
          </w:tcPr>
          <w:p w:rsidR="00000000" w:rsidRDefault="00000000">
            <w:pPr>
              <w:spacing w:after="0"/>
            </w:pPr>
            <w:r>
              <w:t>Deputy Secretary, Office of School Education</w:t>
            </w:r>
            <w:r>
              <w:br/>
              <w:t>Merit Protection Board</w:t>
            </w:r>
          </w:p>
        </w:tc>
      </w:tr>
      <w:tr w:rsidR="00000000">
        <w:tc>
          <w:tcPr>
            <w:tcW w:w="2280" w:type="dxa"/>
          </w:tcPr>
          <w:p w:rsidR="00000000" w:rsidRDefault="00000000">
            <w:pPr>
              <w:spacing w:after="0"/>
              <w:rPr>
                <w:b/>
              </w:rPr>
            </w:pPr>
            <w:r>
              <w:rPr>
                <w:b/>
              </w:rPr>
              <w:t>Western Australia</w:t>
            </w:r>
          </w:p>
        </w:tc>
        <w:tc>
          <w:tcPr>
            <w:tcW w:w="7075" w:type="dxa"/>
          </w:tcPr>
          <w:p w:rsidR="00000000" w:rsidRDefault="00000000">
            <w:pPr>
              <w:spacing w:after="0"/>
            </w:pPr>
            <w:r>
              <w:t>Ombudsman</w:t>
            </w:r>
            <w:r>
              <w:br/>
              <w:t xml:space="preserve">Internal responses to complaints (Principal, District Superintendent, </w:t>
            </w:r>
            <w:r>
              <w:br/>
              <w:t xml:space="preserve">  Director General)</w:t>
            </w:r>
          </w:p>
        </w:tc>
      </w:tr>
    </w:tbl>
    <w:p w:rsidR="00000000" w:rsidRDefault="00000000">
      <w:pPr>
        <w:pStyle w:val="Heading2"/>
        <w:spacing w:after="200"/>
      </w:pPr>
      <w:bookmarkStart w:id="273" w:name="OLE_LINK15"/>
      <w:bookmarkStart w:id="274" w:name="_Toc438289139"/>
      <w:bookmarkStart w:id="275" w:name="_Toc438289609"/>
      <w:bookmarkStart w:id="276" w:name="_Toc438352839"/>
      <w:bookmarkStart w:id="277" w:name="_Toc445283907"/>
      <w:bookmarkStart w:id="278" w:name="_Toc445541551"/>
      <w:bookmarkStart w:id="279" w:name="_Toc445542794"/>
      <w:bookmarkStart w:id="280" w:name="_Toc445606607"/>
      <w:bookmarkStart w:id="281" w:name="_Toc445608747"/>
      <w:bookmarkStart w:id="282" w:name="_Toc445609136"/>
      <w:bookmarkStart w:id="283" w:name="_Toc445610566"/>
      <w:bookmarkStart w:id="284" w:name="_Toc445612338"/>
      <w:bookmarkStart w:id="285" w:name="_Toc445714844"/>
      <w:bookmarkStart w:id="286" w:name="_Toc79216238"/>
      <w:bookmarkStart w:id="287" w:name="_Toc79216832"/>
      <w:bookmarkStart w:id="288" w:name="_Toc79291364"/>
      <w:bookmarkStart w:id="289" w:name="_Toc79296099"/>
      <w:bookmarkStart w:id="290" w:name="_Toc83782184"/>
      <w:bookmarkStart w:id="291" w:name="_Toc83800997"/>
      <w:bookmarkStart w:id="292" w:name="_Toc84318918"/>
      <w:bookmarkStart w:id="293" w:name="_Toc94087538"/>
      <w:r>
        <w:br w:type="page"/>
        <w:t>Table 1</w:t>
      </w:r>
    </w:p>
    <w:p w:rsidR="00000000" w:rsidRDefault="00000000">
      <w:pPr>
        <w:pStyle w:val="Heading2"/>
        <w:spacing w:after="200"/>
      </w:pPr>
      <w:r>
        <w:t>Legislation relevant to Australia’s obligations under the Convention</w:t>
      </w:r>
    </w:p>
    <w:tbl>
      <w:tblPr>
        <w:tblW w:w="937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89"/>
        <w:gridCol w:w="3193"/>
        <w:gridCol w:w="3088"/>
      </w:tblGrid>
      <w:tr w:rsidR="00000000">
        <w:tblPrEx>
          <w:tblCellMar>
            <w:top w:w="0" w:type="dxa"/>
            <w:bottom w:w="0" w:type="dxa"/>
          </w:tblCellMar>
        </w:tblPrEx>
        <w:trPr>
          <w:tblHeader/>
          <w:jc w:val="center"/>
        </w:trPr>
        <w:tc>
          <w:tcPr>
            <w:tcW w:w="3089" w:type="dxa"/>
            <w:tcBorders>
              <w:bottom w:val="nil"/>
            </w:tcBorders>
          </w:tcPr>
          <w:p w:rsidR="00000000" w:rsidRDefault="00000000">
            <w:pPr>
              <w:pStyle w:val="Heading1"/>
              <w:keepNext w:val="0"/>
              <w:spacing w:after="40"/>
              <w:rPr>
                <w:caps w:val="0"/>
              </w:rPr>
            </w:pPr>
            <w:r>
              <w:rPr>
                <w:caps w:val="0"/>
              </w:rPr>
              <w:t>Federal</w:t>
            </w:r>
          </w:p>
        </w:tc>
        <w:tc>
          <w:tcPr>
            <w:tcW w:w="3193" w:type="dxa"/>
            <w:tcBorders>
              <w:bottom w:val="nil"/>
            </w:tcBorders>
          </w:tcPr>
          <w:p w:rsidR="00000000" w:rsidRDefault="00000000">
            <w:pPr>
              <w:pStyle w:val="BodyText3"/>
              <w:spacing w:after="40"/>
            </w:pPr>
            <w:r>
              <w:t>Australian Capital Territory</w:t>
            </w:r>
          </w:p>
        </w:tc>
        <w:tc>
          <w:tcPr>
            <w:tcW w:w="3088" w:type="dxa"/>
            <w:tcBorders>
              <w:bottom w:val="nil"/>
            </w:tcBorders>
          </w:tcPr>
          <w:p w:rsidR="00000000" w:rsidRDefault="00000000">
            <w:pPr>
              <w:pStyle w:val="Heading1"/>
              <w:keepNext w:val="0"/>
              <w:spacing w:after="40"/>
              <w:rPr>
                <w:caps w:val="0"/>
              </w:rPr>
            </w:pPr>
            <w:r>
              <w:rPr>
                <w:caps w:val="0"/>
              </w:rPr>
              <w:t>New South Wales</w:t>
            </w:r>
          </w:p>
        </w:tc>
      </w:t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tr w:rsidR="00000000">
        <w:tblPrEx>
          <w:tblCellMar>
            <w:top w:w="0" w:type="dxa"/>
            <w:bottom w:w="0" w:type="dxa"/>
          </w:tblCellMar>
        </w:tblPrEx>
        <w:trPr>
          <w:jc w:val="center"/>
        </w:trPr>
        <w:tc>
          <w:tcPr>
            <w:tcW w:w="3089" w:type="dxa"/>
            <w:tcBorders>
              <w:bottom w:val="single" w:sz="4" w:space="0" w:color="auto"/>
            </w:tcBorders>
          </w:tcPr>
          <w:p w:rsidR="00000000" w:rsidRDefault="00000000">
            <w:pPr>
              <w:pStyle w:val="Header"/>
              <w:tabs>
                <w:tab w:val="clear" w:pos="4320"/>
                <w:tab w:val="clear" w:pos="8640"/>
              </w:tabs>
              <w:spacing w:after="40"/>
            </w:pPr>
            <w:r>
              <w:t>Aged Care Act 1997</w:t>
            </w:r>
          </w:p>
          <w:p w:rsidR="00000000" w:rsidRDefault="00000000">
            <w:pPr>
              <w:spacing w:after="40"/>
            </w:pPr>
            <w:r>
              <w:t>Crimes Act 1914</w:t>
            </w:r>
          </w:p>
          <w:p w:rsidR="00000000" w:rsidRDefault="00000000">
            <w:pPr>
              <w:pStyle w:val="Header"/>
              <w:tabs>
                <w:tab w:val="clear" w:pos="4320"/>
                <w:tab w:val="clear" w:pos="8640"/>
              </w:tabs>
              <w:spacing w:after="40"/>
            </w:pPr>
            <w:r>
              <w:t>Crimes (Aviation) Act 1991</w:t>
            </w:r>
          </w:p>
          <w:p w:rsidR="00000000" w:rsidRDefault="00000000">
            <w:pPr>
              <w:spacing w:after="40"/>
            </w:pPr>
            <w:r>
              <w:t>Crimes at Sea Act 2000</w:t>
            </w:r>
          </w:p>
          <w:p w:rsidR="00000000" w:rsidRDefault="00000000">
            <w:pPr>
              <w:spacing w:after="40"/>
              <w:rPr>
                <w:iCs/>
              </w:rPr>
            </w:pPr>
            <w:r>
              <w:t>Crimes (Torture) Act 1988</w:t>
            </w:r>
          </w:p>
          <w:p w:rsidR="00000000" w:rsidRDefault="00000000">
            <w:pPr>
              <w:spacing w:after="40"/>
            </w:pPr>
            <w:r>
              <w:t>Criminal Code Act 1995</w:t>
            </w:r>
          </w:p>
          <w:p w:rsidR="00000000" w:rsidRDefault="00000000">
            <w:pPr>
              <w:spacing w:after="40"/>
            </w:pPr>
            <w:r>
              <w:t>Customs Act 1901</w:t>
            </w:r>
          </w:p>
          <w:p w:rsidR="00000000" w:rsidRDefault="00000000">
            <w:pPr>
              <w:spacing w:after="40"/>
            </w:pPr>
            <w:r>
              <w:t>Defence Act 1903</w:t>
            </w:r>
          </w:p>
          <w:p w:rsidR="00000000" w:rsidRDefault="00000000">
            <w:pPr>
              <w:spacing w:after="40"/>
            </w:pPr>
            <w:r>
              <w:t xml:space="preserve">Defence Force Discipline </w:t>
            </w:r>
            <w:r>
              <w:br/>
              <w:t xml:space="preserve">  Act 1982</w:t>
            </w:r>
          </w:p>
          <w:p w:rsidR="00000000" w:rsidRDefault="00000000">
            <w:pPr>
              <w:spacing w:after="40"/>
            </w:pPr>
            <w:r>
              <w:t xml:space="preserve">Disability Discrimination </w:t>
            </w:r>
            <w:r>
              <w:br/>
              <w:t xml:space="preserve">  Act 1992</w:t>
            </w:r>
          </w:p>
          <w:p w:rsidR="00000000" w:rsidRDefault="00000000">
            <w:pPr>
              <w:spacing w:after="40"/>
            </w:pPr>
            <w:r>
              <w:t>Extradition Act 1988</w:t>
            </w:r>
          </w:p>
          <w:p w:rsidR="00000000" w:rsidRDefault="00000000">
            <w:pPr>
              <w:spacing w:after="40"/>
            </w:pPr>
            <w:r>
              <w:t>Family Law Act 1975</w:t>
            </w:r>
          </w:p>
          <w:p w:rsidR="00000000" w:rsidRDefault="00000000">
            <w:pPr>
              <w:pStyle w:val="BodyText"/>
            </w:pPr>
            <w:r>
              <w:t xml:space="preserve">Freedom of Information </w:t>
            </w:r>
            <w:r>
              <w:br/>
              <w:t xml:space="preserve">  Act 1982</w:t>
            </w:r>
          </w:p>
          <w:p w:rsidR="00000000" w:rsidRDefault="00000000">
            <w:pPr>
              <w:spacing w:after="40"/>
            </w:pPr>
            <w:r>
              <w:t>Human Rights and Equal</w:t>
            </w:r>
            <w:r>
              <w:br/>
              <w:t xml:space="preserve">  Opportunity Act 1986</w:t>
            </w:r>
          </w:p>
          <w:p w:rsidR="00000000" w:rsidRDefault="00000000">
            <w:pPr>
              <w:spacing w:after="40"/>
            </w:pPr>
            <w:r>
              <w:t>International Criminal</w:t>
            </w:r>
            <w:r>
              <w:br/>
              <w:t xml:space="preserve">  Court Act 2002</w:t>
            </w:r>
          </w:p>
          <w:p w:rsidR="00000000" w:rsidRDefault="00000000">
            <w:pPr>
              <w:spacing w:after="40"/>
            </w:pPr>
            <w:r>
              <w:t>Ombudsman Act 1976</w:t>
            </w:r>
          </w:p>
          <w:p w:rsidR="00000000" w:rsidRDefault="00000000">
            <w:pPr>
              <w:spacing w:after="40"/>
            </w:pPr>
            <w:r>
              <w:t>Public Service Act 1999</w:t>
            </w:r>
          </w:p>
          <w:p w:rsidR="00000000" w:rsidRDefault="00000000">
            <w:pPr>
              <w:spacing w:after="40"/>
            </w:pPr>
            <w:r>
              <w:t xml:space="preserve">Racial Discrimination </w:t>
            </w:r>
            <w:r>
              <w:br/>
              <w:t xml:space="preserve">  Act 1975 (incorporating </w:t>
            </w:r>
            <w:r>
              <w:br/>
              <w:t xml:space="preserve">  Part IIA dealing with </w:t>
            </w:r>
            <w:r>
              <w:br/>
              <w:t xml:space="preserve">  racially offensive </w:t>
            </w:r>
            <w:r>
              <w:br/>
              <w:t xml:space="preserve">  behaviour)</w:t>
            </w:r>
          </w:p>
          <w:p w:rsidR="00000000" w:rsidRDefault="00000000">
            <w:pPr>
              <w:spacing w:after="40"/>
            </w:pPr>
            <w:r>
              <w:t>Sex Discrimination Act 1984</w:t>
            </w:r>
          </w:p>
          <w:p w:rsidR="00000000" w:rsidRDefault="00000000">
            <w:pPr>
              <w:spacing w:after="40"/>
              <w:rPr>
                <w:color w:val="000000"/>
              </w:rPr>
            </w:pPr>
            <w:r>
              <w:t>War Crimes Act 1945</w:t>
            </w:r>
          </w:p>
        </w:tc>
        <w:tc>
          <w:tcPr>
            <w:tcW w:w="3193" w:type="dxa"/>
            <w:tcBorders>
              <w:bottom w:val="single" w:sz="4" w:space="0" w:color="auto"/>
            </w:tcBorders>
          </w:tcPr>
          <w:p w:rsidR="00000000" w:rsidRDefault="00000000">
            <w:pPr>
              <w:spacing w:after="40"/>
            </w:pPr>
            <w:r>
              <w:t>Children and Young People</w:t>
            </w:r>
            <w:r>
              <w:br/>
              <w:t xml:space="preserve">  Act 1999</w:t>
            </w:r>
          </w:p>
          <w:p w:rsidR="00000000" w:rsidRDefault="00000000">
            <w:pPr>
              <w:spacing w:after="40"/>
            </w:pPr>
            <w:r>
              <w:t>Crimes Act 1900</w:t>
            </w:r>
          </w:p>
          <w:p w:rsidR="00000000" w:rsidRDefault="00000000">
            <w:pPr>
              <w:spacing w:after="40"/>
            </w:pPr>
            <w:r>
              <w:t xml:space="preserve">Crimes (Forensic Procedures) </w:t>
            </w:r>
            <w:r>
              <w:br/>
              <w:t xml:space="preserve">  Act 2000</w:t>
            </w:r>
          </w:p>
          <w:p w:rsidR="00000000" w:rsidRDefault="00000000">
            <w:pPr>
              <w:spacing w:after="40"/>
            </w:pPr>
            <w:r>
              <w:t>Criminal Code 2002</w:t>
            </w:r>
          </w:p>
          <w:p w:rsidR="00000000" w:rsidRDefault="00000000">
            <w:pPr>
              <w:spacing w:after="40"/>
            </w:pPr>
            <w:r>
              <w:t>Discrimination Act 1991</w:t>
            </w:r>
          </w:p>
          <w:p w:rsidR="00000000" w:rsidRDefault="00000000">
            <w:pPr>
              <w:spacing w:after="40"/>
            </w:pPr>
            <w:r>
              <w:t xml:space="preserve">Freedom of Information </w:t>
            </w:r>
            <w:r>
              <w:br/>
              <w:t xml:space="preserve">  Act 1989</w:t>
            </w:r>
          </w:p>
          <w:p w:rsidR="00000000" w:rsidRDefault="00000000">
            <w:pPr>
              <w:spacing w:after="40"/>
            </w:pPr>
            <w:r>
              <w:t>Human Rights Act 2004</w:t>
            </w:r>
          </w:p>
          <w:p w:rsidR="00000000" w:rsidRDefault="00000000">
            <w:pPr>
              <w:spacing w:after="40"/>
            </w:pPr>
            <w:r>
              <w:t xml:space="preserve">Mental Health (Treatment and </w:t>
            </w:r>
            <w:r>
              <w:br/>
              <w:t xml:space="preserve">  Care) Act 1994</w:t>
            </w:r>
          </w:p>
          <w:p w:rsidR="00000000" w:rsidRDefault="00000000">
            <w:pPr>
              <w:spacing w:after="40"/>
            </w:pPr>
            <w:r>
              <w:t>Ombudsman Act 1989 (ACT)</w:t>
            </w:r>
          </w:p>
          <w:p w:rsidR="00000000" w:rsidRDefault="00000000">
            <w:pPr>
              <w:spacing w:after="40"/>
            </w:pPr>
            <w:r>
              <w:t xml:space="preserve">Prisoners (International </w:t>
            </w:r>
            <w:r>
              <w:br/>
              <w:t xml:space="preserve">  Transfer) Act 1999</w:t>
            </w:r>
          </w:p>
          <w:p w:rsidR="00000000" w:rsidRDefault="00000000">
            <w:pPr>
              <w:spacing w:after="40"/>
            </w:pPr>
            <w:r>
              <w:t>Protection Orders Act 2001</w:t>
            </w:r>
          </w:p>
          <w:p w:rsidR="00000000" w:rsidRDefault="00000000">
            <w:pPr>
              <w:pStyle w:val="Header"/>
              <w:tabs>
                <w:tab w:val="clear" w:pos="4320"/>
                <w:tab w:val="clear" w:pos="8640"/>
              </w:tabs>
              <w:spacing w:after="40"/>
              <w:rPr>
                <w:color w:val="000000"/>
              </w:rPr>
            </w:pPr>
            <w:r>
              <w:t>Rehabilitation of Offenders</w:t>
            </w:r>
            <w:r>
              <w:br/>
              <w:t xml:space="preserve">  (Interim) Act 2001</w:t>
            </w:r>
          </w:p>
        </w:tc>
        <w:tc>
          <w:tcPr>
            <w:tcW w:w="3088" w:type="dxa"/>
            <w:tcBorders>
              <w:bottom w:val="single" w:sz="4" w:space="0" w:color="auto"/>
            </w:tcBorders>
          </w:tcPr>
          <w:p w:rsidR="00000000" w:rsidRDefault="00000000">
            <w:pPr>
              <w:spacing w:after="40"/>
            </w:pPr>
            <w:r>
              <w:t>Anti</w:t>
            </w:r>
            <w:r>
              <w:noBreakHyphen/>
              <w:t xml:space="preserve">Discrimination Act </w:t>
            </w:r>
            <w:r>
              <w:br/>
              <w:t xml:space="preserve">  1977</w:t>
            </w:r>
          </w:p>
          <w:p w:rsidR="00000000" w:rsidRDefault="00000000">
            <w:pPr>
              <w:spacing w:after="40"/>
            </w:pPr>
            <w:r>
              <w:t xml:space="preserve">Child Protection (Offenders </w:t>
            </w:r>
            <w:r>
              <w:br/>
              <w:t xml:space="preserve">  Registration) Act 2000</w:t>
            </w:r>
          </w:p>
          <w:p w:rsidR="00000000" w:rsidRDefault="00000000">
            <w:pPr>
              <w:spacing w:after="40"/>
            </w:pPr>
            <w:r>
              <w:t xml:space="preserve">Child Protection (Prohibited </w:t>
            </w:r>
            <w:r>
              <w:br/>
              <w:t xml:space="preserve">  Employment) Act 1998</w:t>
            </w:r>
          </w:p>
          <w:p w:rsidR="00000000" w:rsidRDefault="00000000">
            <w:pPr>
              <w:spacing w:after="40"/>
            </w:pPr>
            <w:r>
              <w:t xml:space="preserve">Children and Young Persons </w:t>
            </w:r>
            <w:r>
              <w:br/>
              <w:t xml:space="preserve">  (Care and Protection) </w:t>
            </w:r>
            <w:r>
              <w:br/>
              <w:t xml:space="preserve">  Act 1998</w:t>
            </w:r>
          </w:p>
          <w:p w:rsidR="00000000" w:rsidRDefault="00000000">
            <w:pPr>
              <w:spacing w:after="40"/>
            </w:pPr>
            <w:r>
              <w:t xml:space="preserve">Children (Care and </w:t>
            </w:r>
            <w:r>
              <w:br/>
              <w:t xml:space="preserve">  Protection) Act 1987</w:t>
            </w:r>
          </w:p>
          <w:p w:rsidR="00000000" w:rsidRDefault="00000000">
            <w:pPr>
              <w:spacing w:after="40"/>
            </w:pPr>
            <w:r>
              <w:t xml:space="preserve">Children (Detention Centres) </w:t>
            </w:r>
            <w:r>
              <w:br/>
              <w:t xml:space="preserve">  Act 1987</w:t>
            </w:r>
          </w:p>
          <w:p w:rsidR="00000000" w:rsidRDefault="00000000">
            <w:pPr>
              <w:spacing w:after="40"/>
            </w:pPr>
            <w:r>
              <w:t xml:space="preserve">Commission for Children and </w:t>
            </w:r>
            <w:r>
              <w:br/>
              <w:t xml:space="preserve">  Young People Act 1998</w:t>
            </w:r>
          </w:p>
          <w:p w:rsidR="00000000" w:rsidRDefault="00000000">
            <w:pPr>
              <w:spacing w:after="40"/>
            </w:pPr>
            <w:r>
              <w:t xml:space="preserve">Correctional Centres Act </w:t>
            </w:r>
            <w:r>
              <w:br/>
              <w:t xml:space="preserve">  1952</w:t>
            </w:r>
          </w:p>
          <w:p w:rsidR="00000000" w:rsidRDefault="00000000">
            <w:pPr>
              <w:spacing w:after="40"/>
            </w:pPr>
            <w:r>
              <w:t>Crimes Act 1900</w:t>
            </w:r>
          </w:p>
          <w:p w:rsidR="00000000" w:rsidRDefault="00000000">
            <w:pPr>
              <w:spacing w:after="40"/>
            </w:pPr>
            <w:r>
              <w:t xml:space="preserve">Crimes (Child Sexual </w:t>
            </w:r>
            <w:r>
              <w:br/>
              <w:t xml:space="preserve">Tourism) Amendment Act </w:t>
            </w:r>
            <w:r>
              <w:br/>
              <w:t xml:space="preserve">  1994</w:t>
            </w:r>
          </w:p>
          <w:p w:rsidR="00000000" w:rsidRDefault="00000000">
            <w:pPr>
              <w:spacing w:after="40"/>
            </w:pPr>
            <w:r>
              <w:t xml:space="preserve">Education Reform </w:t>
            </w:r>
            <w:r>
              <w:br/>
              <w:t xml:space="preserve">  Amendment (School </w:t>
            </w:r>
            <w:r>
              <w:br/>
              <w:t xml:space="preserve">  Discipline) Act 1995</w:t>
            </w:r>
          </w:p>
          <w:p w:rsidR="00000000" w:rsidRDefault="00000000">
            <w:pPr>
              <w:spacing w:after="40"/>
            </w:pPr>
            <w:r>
              <w:t xml:space="preserve">Freedom of Information Act </w:t>
            </w:r>
            <w:r>
              <w:br/>
              <w:t xml:space="preserve">  1989</w:t>
            </w:r>
          </w:p>
          <w:p w:rsidR="00000000" w:rsidRDefault="00000000">
            <w:pPr>
              <w:spacing w:after="40"/>
            </w:pPr>
            <w:r>
              <w:t>Guardianship Act 1987</w:t>
            </w:r>
          </w:p>
          <w:p w:rsidR="00000000" w:rsidRDefault="00000000">
            <w:pPr>
              <w:spacing w:after="40"/>
            </w:pPr>
            <w:r>
              <w:t xml:space="preserve">Independent Commission </w:t>
            </w:r>
            <w:r>
              <w:br/>
              <w:t xml:space="preserve">  Against Corruption Act </w:t>
            </w:r>
            <w:r>
              <w:br/>
              <w:t xml:space="preserve">  1988</w:t>
            </w:r>
          </w:p>
          <w:p w:rsidR="00000000" w:rsidRDefault="00000000">
            <w:pPr>
              <w:spacing w:after="40"/>
            </w:pPr>
            <w:r>
              <w:t>Ombudsman Act 1974</w:t>
            </w:r>
          </w:p>
          <w:p w:rsidR="00000000" w:rsidRDefault="00000000">
            <w:pPr>
              <w:spacing w:after="40"/>
            </w:pPr>
            <w:r>
              <w:t xml:space="preserve">Police Integrity Commission </w:t>
            </w:r>
            <w:r>
              <w:br/>
              <w:t xml:space="preserve">  Act 1996</w:t>
            </w:r>
          </w:p>
          <w:p w:rsidR="00000000" w:rsidRDefault="00000000">
            <w:pPr>
              <w:spacing w:after="40"/>
            </w:pPr>
            <w:r>
              <w:t xml:space="preserve">Public Sector Employment </w:t>
            </w:r>
            <w:r>
              <w:br/>
              <w:t xml:space="preserve">  and Management Act 2002</w:t>
            </w:r>
          </w:p>
          <w:p w:rsidR="00000000" w:rsidRDefault="00000000">
            <w:pPr>
              <w:spacing w:after="40"/>
            </w:pPr>
            <w:r>
              <w:t>Police Service Act 1990</w:t>
            </w:r>
          </w:p>
          <w:p w:rsidR="00000000" w:rsidRDefault="00000000">
            <w:pPr>
              <w:pStyle w:val="Header"/>
              <w:tabs>
                <w:tab w:val="clear" w:pos="4320"/>
                <w:tab w:val="clear" w:pos="8640"/>
              </w:tabs>
              <w:spacing w:after="40"/>
              <w:rPr>
                <w:color w:val="000000"/>
              </w:rPr>
            </w:pPr>
            <w:r>
              <w:t xml:space="preserve">Protected Disclosures Act </w:t>
            </w:r>
            <w:r>
              <w:br/>
              <w:t xml:space="preserve">  1994</w:t>
            </w:r>
          </w:p>
        </w:tc>
      </w:tr>
    </w:tbl>
    <w:p w:rsidR="00000000" w:rsidRDefault="00000000">
      <w:pPr>
        <w:spacing w:after="0"/>
        <w:rPr>
          <w:sz w:val="2"/>
        </w:rPr>
      </w:pPr>
    </w:p>
    <w:p w:rsidR="00000000" w:rsidRDefault="00000000">
      <w:pPr>
        <w:spacing w:after="0"/>
        <w:jc w:val="center"/>
        <w:rPr>
          <w:sz w:val="2"/>
        </w:rPr>
      </w:pPr>
    </w:p>
    <w:p w:rsidR="00000000" w:rsidRDefault="00000000">
      <w:pPr>
        <w:spacing w:after="0"/>
        <w:rPr>
          <w:sz w:val="2"/>
        </w:rPr>
      </w:pPr>
    </w:p>
    <w:tbl>
      <w:tblPr>
        <w:tblW w:w="9370" w:type="dxa"/>
        <w:jc w:val="center"/>
        <w:tblBorders>
          <w:top w:val="single" w:sz="4" w:space="0" w:color="auto"/>
          <w:left w:val="single" w:sz="6" w:space="0" w:color="auto"/>
          <w:right w:val="single" w:sz="6" w:space="0" w:color="auto"/>
          <w:insideH w:val="single" w:sz="4" w:space="0" w:color="auto"/>
          <w:insideV w:val="single" w:sz="6" w:space="0" w:color="auto"/>
        </w:tblBorders>
        <w:tblLayout w:type="fixed"/>
        <w:tblLook w:val="0000" w:firstRow="0" w:lastRow="0" w:firstColumn="0" w:lastColumn="0" w:noHBand="0" w:noVBand="0"/>
      </w:tblPr>
      <w:tblGrid>
        <w:gridCol w:w="3089"/>
        <w:gridCol w:w="3193"/>
        <w:gridCol w:w="3088"/>
      </w:tblGrid>
      <w:tr w:rsidR="00000000">
        <w:tblPrEx>
          <w:tblCellMar>
            <w:top w:w="0" w:type="dxa"/>
            <w:bottom w:w="0" w:type="dxa"/>
          </w:tblCellMar>
        </w:tblPrEx>
        <w:trPr>
          <w:jc w:val="center"/>
        </w:trPr>
        <w:tc>
          <w:tcPr>
            <w:tcW w:w="3089" w:type="dxa"/>
            <w:tcBorders>
              <w:top w:val="single" w:sz="6" w:space="0" w:color="auto"/>
              <w:bottom w:val="single" w:sz="6" w:space="0" w:color="auto"/>
              <w:right w:val="single" w:sz="6" w:space="0" w:color="auto"/>
            </w:tcBorders>
          </w:tcPr>
          <w:p w:rsidR="00000000" w:rsidRDefault="00000000">
            <w:pPr>
              <w:pStyle w:val="Heading2"/>
              <w:spacing w:after="60"/>
            </w:pPr>
            <w:r>
              <w:t>Northern Territory</w:t>
            </w:r>
          </w:p>
        </w:tc>
        <w:tc>
          <w:tcPr>
            <w:tcW w:w="3193" w:type="dxa"/>
            <w:tcBorders>
              <w:top w:val="single" w:sz="6" w:space="0" w:color="auto"/>
              <w:left w:val="single" w:sz="6" w:space="0" w:color="auto"/>
              <w:bottom w:val="single" w:sz="6" w:space="0" w:color="auto"/>
              <w:right w:val="single" w:sz="6" w:space="0" w:color="auto"/>
            </w:tcBorders>
          </w:tcPr>
          <w:p w:rsidR="00000000" w:rsidRDefault="00000000">
            <w:pPr>
              <w:pStyle w:val="Heading2"/>
              <w:spacing w:after="60"/>
            </w:pPr>
            <w:r>
              <w:t>Queensland</w:t>
            </w:r>
          </w:p>
        </w:tc>
        <w:tc>
          <w:tcPr>
            <w:tcW w:w="3088" w:type="dxa"/>
            <w:tcBorders>
              <w:top w:val="single" w:sz="6" w:space="0" w:color="auto"/>
              <w:left w:val="single" w:sz="6" w:space="0" w:color="auto"/>
              <w:bottom w:val="single" w:sz="6" w:space="0" w:color="auto"/>
            </w:tcBorders>
          </w:tcPr>
          <w:p w:rsidR="00000000" w:rsidRDefault="00000000">
            <w:pPr>
              <w:spacing w:after="60"/>
              <w:jc w:val="center"/>
              <w:rPr>
                <w:b/>
              </w:rPr>
            </w:pPr>
            <w:r>
              <w:rPr>
                <w:b/>
              </w:rPr>
              <w:t>South Australia</w:t>
            </w:r>
          </w:p>
        </w:tc>
      </w:tr>
      <w:tr w:rsidR="00000000">
        <w:tblPrEx>
          <w:tblCellMar>
            <w:top w:w="0" w:type="dxa"/>
            <w:bottom w:w="0" w:type="dxa"/>
          </w:tblCellMar>
        </w:tblPrEx>
        <w:trPr>
          <w:jc w:val="center"/>
        </w:trPr>
        <w:tc>
          <w:tcPr>
            <w:tcW w:w="3089" w:type="dxa"/>
            <w:tcBorders>
              <w:top w:val="single" w:sz="6" w:space="0" w:color="auto"/>
              <w:bottom w:val="single" w:sz="4" w:space="0" w:color="auto"/>
            </w:tcBorders>
          </w:tcPr>
          <w:p w:rsidR="00000000" w:rsidRDefault="00000000">
            <w:pPr>
              <w:pStyle w:val="Header"/>
              <w:tabs>
                <w:tab w:val="clear" w:pos="4320"/>
                <w:tab w:val="clear" w:pos="8640"/>
              </w:tabs>
              <w:spacing w:after="60"/>
              <w:rPr>
                <w:iCs/>
              </w:rPr>
            </w:pPr>
            <w:r>
              <w:rPr>
                <w:iCs/>
              </w:rPr>
              <w:t>Adult Guardianship Act</w:t>
            </w:r>
          </w:p>
          <w:p w:rsidR="00000000" w:rsidRDefault="00000000">
            <w:pPr>
              <w:spacing w:after="60"/>
              <w:rPr>
                <w:iCs/>
              </w:rPr>
            </w:pPr>
            <w:r>
              <w:rPr>
                <w:iCs/>
              </w:rPr>
              <w:t>Anti</w:t>
            </w:r>
            <w:r>
              <w:rPr>
                <w:iCs/>
              </w:rPr>
              <w:noBreakHyphen/>
              <w:t xml:space="preserve">Discrimination </w:t>
            </w:r>
            <w:r>
              <w:rPr>
                <w:iCs/>
              </w:rPr>
              <w:br/>
              <w:t xml:space="preserve">  Act 1992</w:t>
            </w:r>
          </w:p>
          <w:p w:rsidR="00000000" w:rsidRDefault="00000000">
            <w:pPr>
              <w:spacing w:after="60"/>
              <w:rPr>
                <w:iCs/>
              </w:rPr>
            </w:pPr>
            <w:r>
              <w:rPr>
                <w:iCs/>
              </w:rPr>
              <w:t>Criminal Code</w:t>
            </w:r>
          </w:p>
          <w:p w:rsidR="00000000" w:rsidRDefault="00000000">
            <w:pPr>
              <w:spacing w:after="60"/>
              <w:rPr>
                <w:iCs/>
              </w:rPr>
            </w:pPr>
            <w:r>
              <w:rPr>
                <w:iCs/>
              </w:rPr>
              <w:t xml:space="preserve">Community Welfare </w:t>
            </w:r>
            <w:r>
              <w:rPr>
                <w:iCs/>
              </w:rPr>
              <w:br/>
              <w:t xml:space="preserve">  Act 1983</w:t>
            </w:r>
          </w:p>
          <w:p w:rsidR="00000000" w:rsidRDefault="00000000">
            <w:pPr>
              <w:spacing w:after="60"/>
              <w:rPr>
                <w:iCs/>
              </w:rPr>
            </w:pPr>
            <w:r>
              <w:rPr>
                <w:iCs/>
              </w:rPr>
              <w:t>Education Act 1979</w:t>
            </w:r>
          </w:p>
          <w:p w:rsidR="00000000" w:rsidRDefault="00000000">
            <w:pPr>
              <w:spacing w:after="60"/>
              <w:rPr>
                <w:iCs/>
              </w:rPr>
            </w:pPr>
            <w:r>
              <w:rPr>
                <w:iCs/>
              </w:rPr>
              <w:t xml:space="preserve">Health and Community </w:t>
            </w:r>
            <w:r>
              <w:rPr>
                <w:iCs/>
              </w:rPr>
              <w:br/>
              <w:t xml:space="preserve">  Services Complaints Act</w:t>
            </w:r>
          </w:p>
          <w:p w:rsidR="00000000" w:rsidRDefault="00000000">
            <w:pPr>
              <w:spacing w:after="60"/>
              <w:rPr>
                <w:iCs/>
              </w:rPr>
            </w:pPr>
            <w:r>
              <w:rPr>
                <w:iCs/>
              </w:rPr>
              <w:t>Juvenile Justice Act</w:t>
            </w:r>
          </w:p>
          <w:p w:rsidR="00000000" w:rsidRDefault="00000000">
            <w:pPr>
              <w:spacing w:after="60"/>
              <w:rPr>
                <w:iCs/>
              </w:rPr>
            </w:pPr>
            <w:r>
              <w:rPr>
                <w:iCs/>
              </w:rPr>
              <w:t>Mental Health and Related</w:t>
            </w:r>
            <w:r>
              <w:rPr>
                <w:iCs/>
              </w:rPr>
              <w:br/>
              <w:t xml:space="preserve">  Services Act 1998</w:t>
            </w:r>
          </w:p>
          <w:p w:rsidR="00000000" w:rsidRDefault="00000000">
            <w:pPr>
              <w:spacing w:after="60"/>
              <w:rPr>
                <w:iCs/>
              </w:rPr>
            </w:pPr>
            <w:r>
              <w:rPr>
                <w:iCs/>
              </w:rPr>
              <w:t>Ombudsman</w:t>
            </w:r>
            <w:r>
              <w:rPr>
                <w:iCs/>
              </w:rPr>
              <w:br/>
              <w:t xml:space="preserve">  (Northern Territory) </w:t>
            </w:r>
            <w:r>
              <w:rPr>
                <w:iCs/>
              </w:rPr>
              <w:br/>
              <w:t xml:space="preserve">  Act 1977</w:t>
            </w:r>
          </w:p>
          <w:p w:rsidR="00000000" w:rsidRDefault="00000000">
            <w:pPr>
              <w:spacing w:after="60"/>
              <w:rPr>
                <w:iCs/>
              </w:rPr>
            </w:pPr>
            <w:r>
              <w:rPr>
                <w:iCs/>
              </w:rPr>
              <w:t xml:space="preserve">Police Administration </w:t>
            </w:r>
            <w:r>
              <w:rPr>
                <w:iCs/>
              </w:rPr>
              <w:br/>
              <w:t xml:space="preserve">  Act 1979</w:t>
            </w:r>
          </w:p>
          <w:p w:rsidR="00000000" w:rsidRDefault="00000000">
            <w:pPr>
              <w:spacing w:after="60"/>
              <w:rPr>
                <w:iCs/>
              </w:rPr>
            </w:pPr>
            <w:r>
              <w:rPr>
                <w:iCs/>
              </w:rPr>
              <w:t xml:space="preserve">Prison (Correctional </w:t>
            </w:r>
            <w:r>
              <w:rPr>
                <w:iCs/>
              </w:rPr>
              <w:br/>
              <w:t xml:space="preserve">  Services) Act 1980</w:t>
            </w:r>
          </w:p>
          <w:p w:rsidR="00000000" w:rsidRDefault="00000000">
            <w:pPr>
              <w:pStyle w:val="Header"/>
              <w:tabs>
                <w:tab w:val="clear" w:pos="4320"/>
                <w:tab w:val="clear" w:pos="8640"/>
              </w:tabs>
              <w:spacing w:after="60"/>
              <w:rPr>
                <w:iCs/>
                <w:color w:val="000000"/>
              </w:rPr>
            </w:pPr>
            <w:r>
              <w:rPr>
                <w:iCs/>
              </w:rPr>
              <w:t xml:space="preserve">Teacher Registration </w:t>
            </w:r>
            <w:r>
              <w:rPr>
                <w:iCs/>
              </w:rPr>
              <w:br/>
              <w:t xml:space="preserve">  (Northern Territory) </w:t>
            </w:r>
            <w:r>
              <w:rPr>
                <w:iCs/>
              </w:rPr>
              <w:br/>
              <w:t xml:space="preserve">  Act 2004</w:t>
            </w:r>
          </w:p>
        </w:tc>
        <w:tc>
          <w:tcPr>
            <w:tcW w:w="3193" w:type="dxa"/>
            <w:tcBorders>
              <w:top w:val="single" w:sz="6" w:space="0" w:color="auto"/>
              <w:bottom w:val="single" w:sz="4" w:space="0" w:color="auto"/>
            </w:tcBorders>
          </w:tcPr>
          <w:p w:rsidR="00000000" w:rsidRDefault="00000000">
            <w:pPr>
              <w:spacing w:after="60"/>
              <w:rPr>
                <w:iCs/>
              </w:rPr>
            </w:pPr>
            <w:r>
              <w:rPr>
                <w:iCs/>
              </w:rPr>
              <w:t>Anti</w:t>
            </w:r>
            <w:r>
              <w:rPr>
                <w:iCs/>
              </w:rPr>
              <w:noBreakHyphen/>
              <w:t>Discrimination Act 1991</w:t>
            </w:r>
          </w:p>
          <w:p w:rsidR="00000000" w:rsidRDefault="00000000">
            <w:pPr>
              <w:spacing w:after="60"/>
              <w:rPr>
                <w:iCs/>
              </w:rPr>
            </w:pPr>
            <w:r>
              <w:rPr>
                <w:iCs/>
              </w:rPr>
              <w:t>Bail Act 1980</w:t>
            </w:r>
          </w:p>
          <w:p w:rsidR="00000000" w:rsidRDefault="00000000">
            <w:pPr>
              <w:spacing w:after="60"/>
              <w:rPr>
                <w:iCs/>
              </w:rPr>
            </w:pPr>
            <w:r>
              <w:rPr>
                <w:iCs/>
              </w:rPr>
              <w:t>Child Care Act 2002</w:t>
            </w:r>
          </w:p>
          <w:p w:rsidR="00000000" w:rsidRDefault="00000000">
            <w:pPr>
              <w:spacing w:after="60"/>
              <w:rPr>
                <w:iCs/>
              </w:rPr>
            </w:pPr>
            <w:r>
              <w:rPr>
                <w:iCs/>
              </w:rPr>
              <w:t>Child Care Regulation 2003</w:t>
            </w:r>
          </w:p>
          <w:p w:rsidR="00000000" w:rsidRDefault="00000000">
            <w:pPr>
              <w:spacing w:after="60"/>
              <w:rPr>
                <w:iCs/>
              </w:rPr>
            </w:pPr>
            <w:r>
              <w:rPr>
                <w:iCs/>
              </w:rPr>
              <w:t>Child Protection Act 1999</w:t>
            </w:r>
          </w:p>
          <w:p w:rsidR="00000000" w:rsidRDefault="00000000">
            <w:pPr>
              <w:spacing w:after="60"/>
              <w:rPr>
                <w:iCs/>
              </w:rPr>
            </w:pPr>
            <w:r>
              <w:rPr>
                <w:iCs/>
              </w:rPr>
              <w:t>Child Protection (International</w:t>
            </w:r>
            <w:r>
              <w:rPr>
                <w:iCs/>
              </w:rPr>
              <w:br/>
              <w:t xml:space="preserve">  Measures) Act 2003</w:t>
            </w:r>
          </w:p>
          <w:p w:rsidR="00000000" w:rsidRDefault="00000000">
            <w:pPr>
              <w:spacing w:after="60"/>
              <w:rPr>
                <w:iCs/>
              </w:rPr>
            </w:pPr>
            <w:r>
              <w:rPr>
                <w:iCs/>
              </w:rPr>
              <w:t>Child Protection Regulation</w:t>
            </w:r>
            <w:r>
              <w:rPr>
                <w:iCs/>
              </w:rPr>
              <w:br/>
              <w:t xml:space="preserve">  2000</w:t>
            </w:r>
          </w:p>
          <w:p w:rsidR="00000000" w:rsidRDefault="00000000">
            <w:pPr>
              <w:spacing w:after="60"/>
              <w:rPr>
                <w:iCs/>
              </w:rPr>
            </w:pPr>
            <w:r>
              <w:rPr>
                <w:iCs/>
              </w:rPr>
              <w:t>Children Services Tribunal</w:t>
            </w:r>
            <w:r>
              <w:rPr>
                <w:iCs/>
              </w:rPr>
              <w:br/>
              <w:t xml:space="preserve">  Act 2000</w:t>
            </w:r>
          </w:p>
          <w:p w:rsidR="00000000" w:rsidRDefault="00000000">
            <w:pPr>
              <w:spacing w:after="60"/>
              <w:rPr>
                <w:iCs/>
              </w:rPr>
            </w:pPr>
            <w:r>
              <w:rPr>
                <w:iCs/>
              </w:rPr>
              <w:t>Commission for Children and</w:t>
            </w:r>
            <w:r>
              <w:rPr>
                <w:iCs/>
              </w:rPr>
              <w:br/>
              <w:t xml:space="preserve">  Young People Act 2000</w:t>
            </w:r>
          </w:p>
          <w:p w:rsidR="00000000" w:rsidRDefault="00000000">
            <w:pPr>
              <w:spacing w:after="60"/>
              <w:rPr>
                <w:iCs/>
              </w:rPr>
            </w:pPr>
            <w:r>
              <w:rPr>
                <w:iCs/>
              </w:rPr>
              <w:t>Corrective Services Act 2000</w:t>
            </w:r>
          </w:p>
          <w:p w:rsidR="00000000" w:rsidRDefault="00000000">
            <w:pPr>
              <w:spacing w:after="60"/>
              <w:rPr>
                <w:iCs/>
              </w:rPr>
            </w:pPr>
            <w:r>
              <w:rPr>
                <w:iCs/>
              </w:rPr>
              <w:t>Corrective Services</w:t>
            </w:r>
            <w:r>
              <w:rPr>
                <w:iCs/>
              </w:rPr>
              <w:br/>
              <w:t xml:space="preserve">  Regulations 2001</w:t>
            </w:r>
          </w:p>
          <w:p w:rsidR="00000000" w:rsidRDefault="00000000">
            <w:pPr>
              <w:spacing w:after="60"/>
              <w:rPr>
                <w:iCs/>
              </w:rPr>
            </w:pPr>
            <w:r>
              <w:rPr>
                <w:iCs/>
              </w:rPr>
              <w:t>Crime and Misconduct Act</w:t>
            </w:r>
            <w:r>
              <w:rPr>
                <w:iCs/>
              </w:rPr>
              <w:br/>
              <w:t xml:space="preserve">  2001</w:t>
            </w:r>
          </w:p>
          <w:p w:rsidR="00000000" w:rsidRDefault="00000000">
            <w:pPr>
              <w:spacing w:after="60"/>
              <w:rPr>
                <w:iCs/>
              </w:rPr>
            </w:pPr>
            <w:r>
              <w:rPr>
                <w:iCs/>
              </w:rPr>
              <w:t>Criminal Code Act 1899</w:t>
            </w:r>
          </w:p>
          <w:p w:rsidR="00000000" w:rsidRDefault="00000000">
            <w:pPr>
              <w:spacing w:after="60"/>
              <w:rPr>
                <w:iCs/>
              </w:rPr>
            </w:pPr>
            <w:r>
              <w:rPr>
                <w:iCs/>
              </w:rPr>
              <w:t xml:space="preserve">Domestic and Family </w:t>
            </w:r>
            <w:r>
              <w:rPr>
                <w:iCs/>
              </w:rPr>
              <w:br/>
              <w:t xml:space="preserve">  Violence Protection Act </w:t>
            </w:r>
            <w:r>
              <w:rPr>
                <w:iCs/>
              </w:rPr>
              <w:br/>
              <w:t xml:space="preserve">  1989</w:t>
            </w:r>
          </w:p>
          <w:p w:rsidR="00000000" w:rsidRDefault="00000000">
            <w:pPr>
              <w:spacing w:after="60"/>
              <w:rPr>
                <w:iCs/>
              </w:rPr>
            </w:pPr>
            <w:r>
              <w:rPr>
                <w:iCs/>
              </w:rPr>
              <w:t xml:space="preserve">Domestic and Family </w:t>
            </w:r>
            <w:r>
              <w:rPr>
                <w:iCs/>
              </w:rPr>
              <w:br/>
              <w:t xml:space="preserve">  Violence Protection </w:t>
            </w:r>
            <w:r>
              <w:rPr>
                <w:iCs/>
              </w:rPr>
              <w:br/>
              <w:t xml:space="preserve">  Regulation 2003</w:t>
            </w:r>
          </w:p>
          <w:p w:rsidR="00000000" w:rsidRDefault="00000000">
            <w:pPr>
              <w:spacing w:after="60"/>
              <w:rPr>
                <w:iCs/>
              </w:rPr>
            </w:pPr>
            <w:r>
              <w:rPr>
                <w:iCs/>
              </w:rPr>
              <w:t xml:space="preserve">Education (General </w:t>
            </w:r>
            <w:r>
              <w:rPr>
                <w:iCs/>
              </w:rPr>
              <w:br/>
              <w:t xml:space="preserve">  Provisions) Act 1989</w:t>
            </w:r>
          </w:p>
          <w:p w:rsidR="00000000" w:rsidRDefault="00000000">
            <w:pPr>
              <w:keepNext/>
              <w:spacing w:after="60"/>
              <w:rPr>
                <w:iCs/>
              </w:rPr>
            </w:pPr>
            <w:r>
              <w:rPr>
                <w:iCs/>
              </w:rPr>
              <w:t xml:space="preserve">Education (Accreditation of </w:t>
            </w:r>
            <w:r>
              <w:rPr>
                <w:iCs/>
              </w:rPr>
              <w:br/>
              <w:t xml:space="preserve">  Non</w:t>
            </w:r>
            <w:r>
              <w:rPr>
                <w:iCs/>
              </w:rPr>
              <w:noBreakHyphen/>
              <w:t>State Schools) Act 2001</w:t>
            </w:r>
            <w:r>
              <w:rPr>
                <w:iCs/>
              </w:rPr>
              <w:br/>
              <w:t xml:space="preserve">  and Regulation Education </w:t>
            </w:r>
            <w:r>
              <w:rPr>
                <w:iCs/>
              </w:rPr>
              <w:br/>
              <w:t xml:space="preserve">  (Teacher Registration) Act</w:t>
            </w:r>
            <w:r>
              <w:rPr>
                <w:iCs/>
              </w:rPr>
              <w:br/>
              <w:t xml:space="preserve">  1988</w:t>
            </w:r>
          </w:p>
          <w:p w:rsidR="00000000" w:rsidRDefault="00000000">
            <w:pPr>
              <w:spacing w:after="60"/>
              <w:rPr>
                <w:iCs/>
              </w:rPr>
            </w:pPr>
            <w:r>
              <w:rPr>
                <w:iCs/>
              </w:rPr>
              <w:t>Education (Teacher</w:t>
            </w:r>
            <w:r>
              <w:rPr>
                <w:iCs/>
              </w:rPr>
              <w:br/>
              <w:t xml:space="preserve">  Registration) By</w:t>
            </w:r>
            <w:r>
              <w:rPr>
                <w:iCs/>
              </w:rPr>
              <w:noBreakHyphen/>
              <w:t>law 1999</w:t>
            </w:r>
          </w:p>
          <w:p w:rsidR="00000000" w:rsidRDefault="00000000">
            <w:pPr>
              <w:spacing w:after="60"/>
              <w:rPr>
                <w:color w:val="000000"/>
              </w:rPr>
            </w:pPr>
            <w:r>
              <w:t>Family Services Act 1987</w:t>
            </w:r>
          </w:p>
        </w:tc>
        <w:tc>
          <w:tcPr>
            <w:tcW w:w="3088" w:type="dxa"/>
            <w:tcBorders>
              <w:top w:val="single" w:sz="6" w:space="0" w:color="auto"/>
              <w:bottom w:val="single" w:sz="4" w:space="0" w:color="auto"/>
            </w:tcBorders>
          </w:tcPr>
          <w:p w:rsidR="00000000" w:rsidRDefault="00000000">
            <w:pPr>
              <w:spacing w:after="60"/>
              <w:rPr>
                <w:iCs/>
              </w:rPr>
            </w:pPr>
            <w:r>
              <w:rPr>
                <w:iCs/>
              </w:rPr>
              <w:t>Consent to Medical</w:t>
            </w:r>
            <w:r>
              <w:rPr>
                <w:iCs/>
              </w:rPr>
              <w:br/>
              <w:t xml:space="preserve">  Treatment and Palliative</w:t>
            </w:r>
            <w:r>
              <w:rPr>
                <w:iCs/>
              </w:rPr>
              <w:br/>
              <w:t xml:space="preserve">  Care Act 1995</w:t>
            </w:r>
          </w:p>
          <w:p w:rsidR="00000000" w:rsidRDefault="00000000">
            <w:pPr>
              <w:spacing w:after="60"/>
              <w:rPr>
                <w:iCs/>
              </w:rPr>
            </w:pPr>
            <w:r>
              <w:rPr>
                <w:iCs/>
              </w:rPr>
              <w:t>Corporal Punishment</w:t>
            </w:r>
            <w:r>
              <w:rPr>
                <w:iCs/>
              </w:rPr>
              <w:br/>
              <w:t xml:space="preserve">  Abolition Act 1971</w:t>
            </w:r>
          </w:p>
          <w:p w:rsidR="00000000" w:rsidRDefault="00000000">
            <w:pPr>
              <w:spacing w:after="60"/>
              <w:rPr>
                <w:iCs/>
              </w:rPr>
            </w:pPr>
            <w:r>
              <w:rPr>
                <w:iCs/>
              </w:rPr>
              <w:t>Correctional Services Act</w:t>
            </w:r>
            <w:r>
              <w:rPr>
                <w:iCs/>
              </w:rPr>
              <w:br/>
              <w:t xml:space="preserve">  1982</w:t>
            </w:r>
          </w:p>
          <w:p w:rsidR="00000000" w:rsidRDefault="00000000">
            <w:pPr>
              <w:spacing w:after="60"/>
              <w:rPr>
                <w:iCs/>
              </w:rPr>
            </w:pPr>
            <w:r>
              <w:rPr>
                <w:iCs/>
              </w:rPr>
              <w:t>Criminal Law Consolidation</w:t>
            </w:r>
            <w:r>
              <w:rPr>
                <w:iCs/>
              </w:rPr>
              <w:br/>
              <w:t xml:space="preserve">  Act 1935</w:t>
            </w:r>
          </w:p>
          <w:p w:rsidR="00000000" w:rsidRDefault="00000000">
            <w:pPr>
              <w:pStyle w:val="Header"/>
              <w:tabs>
                <w:tab w:val="clear" w:pos="4320"/>
                <w:tab w:val="clear" w:pos="8640"/>
              </w:tabs>
              <w:spacing w:after="60"/>
              <w:rPr>
                <w:iCs/>
              </w:rPr>
            </w:pPr>
            <w:r>
              <w:rPr>
                <w:iCs/>
              </w:rPr>
              <w:t>Equal Opportunity Act 1984</w:t>
            </w:r>
          </w:p>
          <w:p w:rsidR="00000000" w:rsidRDefault="00000000">
            <w:pPr>
              <w:spacing w:after="60"/>
              <w:rPr>
                <w:iCs/>
              </w:rPr>
            </w:pPr>
            <w:r>
              <w:rPr>
                <w:iCs/>
              </w:rPr>
              <w:t>Family and Community</w:t>
            </w:r>
            <w:r>
              <w:rPr>
                <w:iCs/>
              </w:rPr>
              <w:br/>
              <w:t xml:space="preserve">  Services Act 1972</w:t>
            </w:r>
          </w:p>
          <w:p w:rsidR="00000000" w:rsidRDefault="00000000">
            <w:pPr>
              <w:spacing w:after="60"/>
              <w:rPr>
                <w:iCs/>
              </w:rPr>
            </w:pPr>
            <w:r>
              <w:rPr>
                <w:iCs/>
              </w:rPr>
              <w:t>Freedom of Information Act</w:t>
            </w:r>
            <w:r>
              <w:rPr>
                <w:iCs/>
              </w:rPr>
              <w:br/>
              <w:t xml:space="preserve">  1991</w:t>
            </w:r>
          </w:p>
          <w:p w:rsidR="00000000" w:rsidRDefault="00000000">
            <w:pPr>
              <w:spacing w:after="60"/>
              <w:rPr>
                <w:iCs/>
              </w:rPr>
            </w:pPr>
            <w:r>
              <w:rPr>
                <w:iCs/>
              </w:rPr>
              <w:t>Guardianship and</w:t>
            </w:r>
            <w:r>
              <w:rPr>
                <w:iCs/>
              </w:rPr>
              <w:br/>
              <w:t xml:space="preserve">  Administration Act 1993</w:t>
            </w:r>
          </w:p>
          <w:p w:rsidR="00000000" w:rsidRDefault="00000000">
            <w:pPr>
              <w:spacing w:after="60"/>
              <w:rPr>
                <w:iCs/>
              </w:rPr>
            </w:pPr>
            <w:r>
              <w:rPr>
                <w:iCs/>
              </w:rPr>
              <w:t xml:space="preserve">Medical Practitioners Act </w:t>
            </w:r>
            <w:r>
              <w:rPr>
                <w:iCs/>
              </w:rPr>
              <w:br/>
              <w:t xml:space="preserve">  1983</w:t>
            </w:r>
          </w:p>
          <w:p w:rsidR="00000000" w:rsidRDefault="00000000">
            <w:pPr>
              <w:spacing w:after="60"/>
              <w:rPr>
                <w:iCs/>
              </w:rPr>
            </w:pPr>
            <w:r>
              <w:rPr>
                <w:iCs/>
              </w:rPr>
              <w:t>Mental Health Act 1993</w:t>
            </w:r>
          </w:p>
          <w:p w:rsidR="00000000" w:rsidRDefault="00000000">
            <w:pPr>
              <w:pStyle w:val="Header"/>
              <w:tabs>
                <w:tab w:val="clear" w:pos="4320"/>
                <w:tab w:val="clear" w:pos="8640"/>
              </w:tabs>
              <w:spacing w:after="60"/>
            </w:pPr>
            <w:r>
              <w:t>Police Act 1998</w:t>
            </w:r>
          </w:p>
          <w:p w:rsidR="00000000" w:rsidRDefault="00000000">
            <w:pPr>
              <w:spacing w:after="60"/>
              <w:rPr>
                <w:iCs/>
              </w:rPr>
            </w:pPr>
            <w:r>
              <w:rPr>
                <w:iCs/>
              </w:rPr>
              <w:t xml:space="preserve">Police Act Regulations </w:t>
            </w:r>
          </w:p>
          <w:p w:rsidR="00000000" w:rsidRDefault="00000000">
            <w:pPr>
              <w:spacing w:after="60"/>
              <w:rPr>
                <w:iCs/>
              </w:rPr>
            </w:pPr>
            <w:r>
              <w:rPr>
                <w:iCs/>
              </w:rPr>
              <w:t>General Order 226/01</w:t>
            </w:r>
            <w:r>
              <w:rPr>
                <w:iCs/>
              </w:rPr>
              <w:br/>
              <w:t xml:space="preserve">  (Police Corruption)</w:t>
            </w:r>
          </w:p>
          <w:p w:rsidR="00000000" w:rsidRDefault="00000000">
            <w:pPr>
              <w:spacing w:after="60"/>
              <w:rPr>
                <w:iCs/>
              </w:rPr>
            </w:pPr>
            <w:r>
              <w:rPr>
                <w:iCs/>
              </w:rPr>
              <w:t>Public and Environmental</w:t>
            </w:r>
            <w:r>
              <w:rPr>
                <w:iCs/>
              </w:rPr>
              <w:br/>
              <w:t xml:space="preserve">  Health Act 1987</w:t>
            </w:r>
          </w:p>
          <w:p w:rsidR="00000000" w:rsidRDefault="00000000">
            <w:pPr>
              <w:spacing w:after="60"/>
              <w:rPr>
                <w:iCs/>
              </w:rPr>
            </w:pPr>
            <w:r>
              <w:rPr>
                <w:iCs/>
              </w:rPr>
              <w:t>Public Sector Management</w:t>
            </w:r>
            <w:r>
              <w:rPr>
                <w:iCs/>
              </w:rPr>
              <w:br/>
              <w:t xml:space="preserve">  Act 1995</w:t>
            </w:r>
          </w:p>
          <w:p w:rsidR="00000000" w:rsidRDefault="00000000">
            <w:pPr>
              <w:spacing w:after="60"/>
              <w:rPr>
                <w:iCs/>
              </w:rPr>
            </w:pPr>
            <w:r>
              <w:rPr>
                <w:iCs/>
              </w:rPr>
              <w:t xml:space="preserve">Sexual Reassignment Act </w:t>
            </w:r>
            <w:r>
              <w:rPr>
                <w:iCs/>
              </w:rPr>
              <w:br/>
              <w:t xml:space="preserve">  1988</w:t>
            </w:r>
          </w:p>
          <w:p w:rsidR="00000000" w:rsidRDefault="00000000">
            <w:pPr>
              <w:spacing w:after="60"/>
              <w:rPr>
                <w:iCs/>
              </w:rPr>
            </w:pPr>
            <w:r>
              <w:rPr>
                <w:iCs/>
              </w:rPr>
              <w:t>Summary Offences Act 1953</w:t>
            </w:r>
          </w:p>
          <w:p w:rsidR="00000000" w:rsidRDefault="00000000">
            <w:pPr>
              <w:pStyle w:val="Header"/>
              <w:tabs>
                <w:tab w:val="clear" w:pos="4320"/>
                <w:tab w:val="clear" w:pos="8640"/>
              </w:tabs>
              <w:spacing w:after="60"/>
              <w:rPr>
                <w:iCs/>
                <w:color w:val="000000"/>
              </w:rPr>
            </w:pPr>
            <w:r>
              <w:rPr>
                <w:iCs/>
              </w:rPr>
              <w:t>Young Offenders Act 1993</w:t>
            </w:r>
          </w:p>
        </w:tc>
      </w:tr>
      <w:tr w:rsidR="00000000">
        <w:tblPrEx>
          <w:tblCellMar>
            <w:top w:w="0" w:type="dxa"/>
            <w:bottom w:w="0" w:type="dxa"/>
          </w:tblCellMar>
        </w:tblPrEx>
        <w:trPr>
          <w:jc w:val="center"/>
        </w:trPr>
        <w:tc>
          <w:tcPr>
            <w:tcW w:w="3089" w:type="dxa"/>
            <w:tcBorders>
              <w:top w:val="single" w:sz="4" w:space="0" w:color="auto"/>
              <w:left w:val="nil"/>
              <w:bottom w:val="nil"/>
              <w:right w:val="nil"/>
            </w:tcBorders>
          </w:tcPr>
          <w:p w:rsidR="00000000" w:rsidRDefault="00000000">
            <w:pPr>
              <w:pStyle w:val="Heading2"/>
              <w:keepNext w:val="0"/>
              <w:widowControl w:val="0"/>
              <w:spacing w:after="60"/>
            </w:pPr>
          </w:p>
        </w:tc>
        <w:tc>
          <w:tcPr>
            <w:tcW w:w="3193" w:type="dxa"/>
            <w:tcBorders>
              <w:top w:val="single" w:sz="4" w:space="0" w:color="auto"/>
              <w:left w:val="nil"/>
              <w:bottom w:val="nil"/>
              <w:right w:val="nil"/>
            </w:tcBorders>
          </w:tcPr>
          <w:p w:rsidR="00000000" w:rsidRDefault="00000000">
            <w:pPr>
              <w:pStyle w:val="Heading2"/>
              <w:keepNext w:val="0"/>
              <w:widowControl w:val="0"/>
              <w:spacing w:after="60"/>
            </w:pPr>
          </w:p>
        </w:tc>
        <w:tc>
          <w:tcPr>
            <w:tcW w:w="3088" w:type="dxa"/>
            <w:tcBorders>
              <w:top w:val="single" w:sz="4" w:space="0" w:color="auto"/>
              <w:left w:val="nil"/>
              <w:bottom w:val="nil"/>
              <w:right w:val="nil"/>
            </w:tcBorders>
          </w:tcPr>
          <w:p w:rsidR="00000000" w:rsidRDefault="00000000">
            <w:pPr>
              <w:widowControl w:val="0"/>
              <w:spacing w:after="60"/>
              <w:jc w:val="center"/>
              <w:rPr>
                <w:b/>
              </w:rPr>
            </w:pPr>
          </w:p>
        </w:tc>
      </w:tr>
    </w:tbl>
    <w:p w:rsidR="00000000" w:rsidRDefault="00000000">
      <w:pPr>
        <w:pStyle w:val="Header"/>
        <w:tabs>
          <w:tab w:val="clear" w:pos="4320"/>
          <w:tab w:val="clear" w:pos="8640"/>
        </w:tabs>
        <w:spacing w:after="1080"/>
      </w:pPr>
    </w:p>
    <w:tbl>
      <w:tblPr>
        <w:tblW w:w="9370" w:type="dxa"/>
        <w:jc w:val="center"/>
        <w:tblBorders>
          <w:top w:val="single" w:sz="4" w:space="0" w:color="auto"/>
          <w:left w:val="single" w:sz="6" w:space="0" w:color="auto"/>
          <w:right w:val="single" w:sz="6" w:space="0" w:color="auto"/>
          <w:insideH w:val="single" w:sz="4" w:space="0" w:color="auto"/>
          <w:insideV w:val="single" w:sz="6" w:space="0" w:color="auto"/>
        </w:tblBorders>
        <w:tblLayout w:type="fixed"/>
        <w:tblLook w:val="0000" w:firstRow="0" w:lastRow="0" w:firstColumn="0" w:lastColumn="0" w:noHBand="0" w:noVBand="0"/>
      </w:tblPr>
      <w:tblGrid>
        <w:gridCol w:w="3089"/>
        <w:gridCol w:w="3193"/>
        <w:gridCol w:w="3088"/>
      </w:tblGrid>
      <w:tr w:rsidR="00000000">
        <w:tblPrEx>
          <w:tblCellMar>
            <w:top w:w="0" w:type="dxa"/>
            <w:bottom w:w="0" w:type="dxa"/>
          </w:tblCellMar>
        </w:tblPrEx>
        <w:trPr>
          <w:jc w:val="center"/>
        </w:trPr>
        <w:tc>
          <w:tcPr>
            <w:tcW w:w="3089" w:type="dxa"/>
            <w:tcBorders>
              <w:top w:val="single" w:sz="6" w:space="0" w:color="auto"/>
              <w:bottom w:val="single" w:sz="6" w:space="0" w:color="auto"/>
            </w:tcBorders>
          </w:tcPr>
          <w:p w:rsidR="00000000" w:rsidRDefault="00000000">
            <w:pPr>
              <w:pStyle w:val="Heading2"/>
              <w:spacing w:after="60"/>
            </w:pPr>
            <w:r>
              <w:t>Northern Territory</w:t>
            </w:r>
          </w:p>
        </w:tc>
        <w:tc>
          <w:tcPr>
            <w:tcW w:w="3193" w:type="dxa"/>
            <w:tcBorders>
              <w:top w:val="single" w:sz="6" w:space="0" w:color="auto"/>
              <w:bottom w:val="single" w:sz="6" w:space="0" w:color="auto"/>
            </w:tcBorders>
          </w:tcPr>
          <w:p w:rsidR="00000000" w:rsidRDefault="00000000">
            <w:pPr>
              <w:pStyle w:val="Heading2"/>
              <w:spacing w:after="60"/>
            </w:pPr>
            <w:r>
              <w:t>Queensland</w:t>
            </w:r>
          </w:p>
        </w:tc>
        <w:tc>
          <w:tcPr>
            <w:tcW w:w="3088" w:type="dxa"/>
            <w:tcBorders>
              <w:top w:val="single" w:sz="6" w:space="0" w:color="auto"/>
              <w:bottom w:val="single" w:sz="6" w:space="0" w:color="auto"/>
            </w:tcBorders>
          </w:tcPr>
          <w:p w:rsidR="00000000" w:rsidRDefault="00000000">
            <w:pPr>
              <w:spacing w:after="60"/>
              <w:jc w:val="center"/>
              <w:rPr>
                <w:b/>
              </w:rPr>
            </w:pPr>
            <w:r>
              <w:rPr>
                <w:b/>
              </w:rPr>
              <w:t>South Australia</w:t>
            </w:r>
          </w:p>
        </w:tc>
      </w:tr>
      <w:tr w:rsidR="00000000">
        <w:tblPrEx>
          <w:tblCellMar>
            <w:top w:w="0" w:type="dxa"/>
            <w:bottom w:w="0" w:type="dxa"/>
          </w:tblCellMar>
        </w:tblPrEx>
        <w:trPr>
          <w:jc w:val="center"/>
        </w:trPr>
        <w:tc>
          <w:tcPr>
            <w:tcW w:w="3089" w:type="dxa"/>
            <w:tcBorders>
              <w:top w:val="single" w:sz="6" w:space="0" w:color="auto"/>
              <w:bottom w:val="single" w:sz="6" w:space="0" w:color="auto"/>
            </w:tcBorders>
          </w:tcPr>
          <w:p w:rsidR="00000000" w:rsidRDefault="00000000">
            <w:pPr>
              <w:pStyle w:val="Header"/>
              <w:tabs>
                <w:tab w:val="clear" w:pos="4320"/>
                <w:tab w:val="clear" w:pos="8640"/>
              </w:tabs>
              <w:spacing w:after="60"/>
              <w:rPr>
                <w:iCs/>
              </w:rPr>
            </w:pPr>
          </w:p>
        </w:tc>
        <w:tc>
          <w:tcPr>
            <w:tcW w:w="3193" w:type="dxa"/>
            <w:tcBorders>
              <w:top w:val="single" w:sz="6" w:space="0" w:color="auto"/>
              <w:bottom w:val="single" w:sz="6" w:space="0" w:color="auto"/>
            </w:tcBorders>
          </w:tcPr>
          <w:p w:rsidR="00000000" w:rsidRDefault="00000000">
            <w:pPr>
              <w:spacing w:after="60"/>
              <w:rPr>
                <w:iCs/>
              </w:rPr>
            </w:pPr>
            <w:r>
              <w:rPr>
                <w:iCs/>
              </w:rPr>
              <w:t>Freedom of Information Act</w:t>
            </w:r>
            <w:r>
              <w:rPr>
                <w:iCs/>
              </w:rPr>
              <w:br/>
              <w:t xml:space="preserve">  1992</w:t>
            </w:r>
          </w:p>
          <w:p w:rsidR="00000000" w:rsidRDefault="00000000">
            <w:pPr>
              <w:spacing w:after="60"/>
              <w:rPr>
                <w:iCs/>
              </w:rPr>
            </w:pPr>
            <w:r>
              <w:rPr>
                <w:iCs/>
              </w:rPr>
              <w:t xml:space="preserve">Guardianship and </w:t>
            </w:r>
            <w:r>
              <w:rPr>
                <w:iCs/>
              </w:rPr>
              <w:br/>
              <w:t xml:space="preserve">  Administration Act 2000</w:t>
            </w:r>
          </w:p>
          <w:p w:rsidR="00000000" w:rsidRDefault="00000000">
            <w:pPr>
              <w:spacing w:after="60"/>
              <w:rPr>
                <w:iCs/>
              </w:rPr>
            </w:pPr>
            <w:r>
              <w:t>Guardian and Administration</w:t>
            </w:r>
            <w:r>
              <w:br/>
              <w:t xml:space="preserve">  Regulation 2000</w:t>
            </w:r>
            <w:r>
              <w:rPr>
                <w:iCs/>
              </w:rPr>
              <w:t>Health Services Act 1991</w:t>
            </w:r>
          </w:p>
          <w:p w:rsidR="00000000" w:rsidRDefault="00000000">
            <w:pPr>
              <w:spacing w:after="60"/>
              <w:rPr>
                <w:iCs/>
              </w:rPr>
            </w:pPr>
            <w:r>
              <w:rPr>
                <w:iCs/>
              </w:rPr>
              <w:t>Judicial Review Act 1997</w:t>
            </w:r>
          </w:p>
          <w:p w:rsidR="00000000" w:rsidRDefault="00000000">
            <w:pPr>
              <w:spacing w:after="60"/>
              <w:rPr>
                <w:iCs/>
              </w:rPr>
            </w:pPr>
            <w:r>
              <w:rPr>
                <w:iCs/>
              </w:rPr>
              <w:t>Juvenile Justice Act 1992</w:t>
            </w:r>
          </w:p>
          <w:p w:rsidR="00000000" w:rsidRDefault="00000000">
            <w:pPr>
              <w:spacing w:after="60"/>
              <w:rPr>
                <w:iCs/>
              </w:rPr>
            </w:pPr>
            <w:r>
              <w:rPr>
                <w:iCs/>
              </w:rPr>
              <w:t>Juvenile Justice Regulation</w:t>
            </w:r>
            <w:r>
              <w:rPr>
                <w:iCs/>
              </w:rPr>
              <w:br/>
              <w:t xml:space="preserve">  2003</w:t>
            </w:r>
          </w:p>
          <w:p w:rsidR="00000000" w:rsidRDefault="00000000">
            <w:pPr>
              <w:spacing w:after="60"/>
              <w:rPr>
                <w:iCs/>
              </w:rPr>
            </w:pPr>
            <w:r>
              <w:rPr>
                <w:iCs/>
              </w:rPr>
              <w:t>Mental Health Act 2000</w:t>
            </w:r>
          </w:p>
          <w:p w:rsidR="00000000" w:rsidRDefault="00000000">
            <w:pPr>
              <w:spacing w:after="60"/>
              <w:rPr>
                <w:iCs/>
              </w:rPr>
            </w:pPr>
            <w:r>
              <w:rPr>
                <w:iCs/>
              </w:rPr>
              <w:t>Ombudsman Act 2001 (Qld)</w:t>
            </w:r>
          </w:p>
          <w:p w:rsidR="00000000" w:rsidRDefault="00000000">
            <w:pPr>
              <w:spacing w:after="60"/>
              <w:rPr>
                <w:iCs/>
              </w:rPr>
            </w:pPr>
            <w:r>
              <w:rPr>
                <w:iCs/>
              </w:rPr>
              <w:t>Penalties and Sentences Act</w:t>
            </w:r>
            <w:r>
              <w:rPr>
                <w:iCs/>
              </w:rPr>
              <w:br/>
              <w:t xml:space="preserve">  1992</w:t>
            </w:r>
          </w:p>
          <w:p w:rsidR="00000000" w:rsidRDefault="00000000">
            <w:pPr>
              <w:spacing w:after="60"/>
              <w:rPr>
                <w:iCs/>
              </w:rPr>
            </w:pPr>
            <w:r>
              <w:rPr>
                <w:iCs/>
              </w:rPr>
              <w:t>Police Powers and</w:t>
            </w:r>
            <w:r>
              <w:rPr>
                <w:iCs/>
              </w:rPr>
              <w:br/>
              <w:t xml:space="preserve">  Responsibilities Act 2000</w:t>
            </w:r>
          </w:p>
          <w:p w:rsidR="00000000" w:rsidRDefault="00000000">
            <w:pPr>
              <w:spacing w:after="60"/>
              <w:rPr>
                <w:iCs/>
              </w:rPr>
            </w:pPr>
            <w:r>
              <w:rPr>
                <w:iCs/>
              </w:rPr>
              <w:t>Police Powers and</w:t>
            </w:r>
            <w:r>
              <w:rPr>
                <w:iCs/>
              </w:rPr>
              <w:br/>
              <w:t xml:space="preserve">  Responsibilities Regulation</w:t>
            </w:r>
            <w:r>
              <w:rPr>
                <w:iCs/>
              </w:rPr>
              <w:br/>
              <w:t xml:space="preserve">  2000</w:t>
            </w:r>
          </w:p>
          <w:p w:rsidR="00000000" w:rsidRDefault="00000000">
            <w:pPr>
              <w:spacing w:after="60"/>
              <w:rPr>
                <w:iCs/>
              </w:rPr>
            </w:pPr>
            <w:r>
              <w:rPr>
                <w:iCs/>
              </w:rPr>
              <w:t>Police Service Administration</w:t>
            </w:r>
            <w:r>
              <w:rPr>
                <w:iCs/>
              </w:rPr>
              <w:br/>
              <w:t xml:space="preserve">  Act 1990</w:t>
            </w:r>
          </w:p>
          <w:p w:rsidR="00000000" w:rsidRDefault="00000000">
            <w:pPr>
              <w:spacing w:after="60"/>
              <w:rPr>
                <w:iCs/>
              </w:rPr>
            </w:pPr>
            <w:r>
              <w:rPr>
                <w:iCs/>
              </w:rPr>
              <w:t>Police Service (Discipline)</w:t>
            </w:r>
            <w:r>
              <w:rPr>
                <w:iCs/>
              </w:rPr>
              <w:br/>
              <w:t xml:space="preserve">  Regulations 1990</w:t>
            </w:r>
          </w:p>
          <w:p w:rsidR="00000000" w:rsidRDefault="00000000">
            <w:pPr>
              <w:pStyle w:val="BodyText2"/>
              <w:spacing w:before="0" w:after="60"/>
              <w:rPr>
                <w:i w:val="0"/>
                <w:iCs/>
              </w:rPr>
            </w:pPr>
            <w:r>
              <w:rPr>
                <w:i w:val="0"/>
                <w:iCs/>
              </w:rPr>
              <w:t>Police Service (Review of</w:t>
            </w:r>
            <w:r>
              <w:rPr>
                <w:i w:val="0"/>
                <w:iCs/>
              </w:rPr>
              <w:br/>
              <w:t xml:space="preserve">  Decisions) Regulations 1990</w:t>
            </w:r>
          </w:p>
          <w:p w:rsidR="00000000" w:rsidRDefault="00000000">
            <w:pPr>
              <w:spacing w:after="60"/>
              <w:rPr>
                <w:iCs/>
              </w:rPr>
            </w:pPr>
            <w:r>
              <w:rPr>
                <w:iCs/>
              </w:rPr>
              <w:t xml:space="preserve">Police Service </w:t>
            </w:r>
            <w:r>
              <w:rPr>
                <w:iCs/>
              </w:rPr>
              <w:br/>
              <w:t xml:space="preserve">  (Administration) Regulations</w:t>
            </w:r>
            <w:r>
              <w:rPr>
                <w:iCs/>
              </w:rPr>
              <w:br/>
              <w:t xml:space="preserve">  1990</w:t>
            </w:r>
          </w:p>
          <w:p w:rsidR="00000000" w:rsidRDefault="00000000">
            <w:pPr>
              <w:pStyle w:val="BodyText2"/>
              <w:spacing w:before="0" w:after="60"/>
              <w:rPr>
                <w:i w:val="0"/>
                <w:iCs/>
              </w:rPr>
            </w:pPr>
            <w:r>
              <w:rPr>
                <w:i w:val="0"/>
                <w:iCs/>
              </w:rPr>
              <w:t>Powers of Attorney Act 1998</w:t>
            </w:r>
          </w:p>
          <w:p w:rsidR="00000000" w:rsidRDefault="00000000">
            <w:pPr>
              <w:pStyle w:val="Header"/>
              <w:tabs>
                <w:tab w:val="clear" w:pos="4320"/>
                <w:tab w:val="clear" w:pos="8640"/>
              </w:tabs>
              <w:spacing w:after="60"/>
              <w:rPr>
                <w:iCs/>
                <w:color w:val="000000"/>
              </w:rPr>
            </w:pPr>
            <w:r>
              <w:rPr>
                <w:iCs/>
              </w:rPr>
              <w:t>Whistleblowers Protection Act</w:t>
            </w:r>
            <w:r>
              <w:rPr>
                <w:iCs/>
              </w:rPr>
              <w:br/>
              <w:t xml:space="preserve">  1994</w:t>
            </w:r>
          </w:p>
        </w:tc>
        <w:tc>
          <w:tcPr>
            <w:tcW w:w="3088" w:type="dxa"/>
            <w:tcBorders>
              <w:top w:val="single" w:sz="6" w:space="0" w:color="auto"/>
              <w:bottom w:val="single" w:sz="6" w:space="0" w:color="auto"/>
            </w:tcBorders>
          </w:tcPr>
          <w:p w:rsidR="00000000" w:rsidRDefault="00000000">
            <w:pPr>
              <w:pStyle w:val="Header"/>
              <w:tabs>
                <w:tab w:val="clear" w:pos="4320"/>
                <w:tab w:val="clear" w:pos="8640"/>
              </w:tabs>
              <w:spacing w:after="60"/>
              <w:rPr>
                <w:iCs/>
              </w:rPr>
            </w:pPr>
          </w:p>
        </w:tc>
      </w:tr>
    </w:tbl>
    <w:p w:rsidR="00000000" w:rsidRDefault="00000000">
      <w:pPr>
        <w:spacing w:after="4320"/>
        <w:jc w:val="center"/>
      </w:pPr>
    </w:p>
    <w:tbl>
      <w:tblPr>
        <w:tblW w:w="9370" w:type="dxa"/>
        <w:jc w:val="center"/>
        <w:tblBorders>
          <w:top w:val="single" w:sz="4" w:space="0" w:color="auto"/>
          <w:left w:val="single" w:sz="6" w:space="0" w:color="auto"/>
          <w:right w:val="single" w:sz="6" w:space="0" w:color="auto"/>
          <w:insideH w:val="single" w:sz="4" w:space="0" w:color="auto"/>
          <w:insideV w:val="single" w:sz="6" w:space="0" w:color="auto"/>
        </w:tblBorders>
        <w:tblLayout w:type="fixed"/>
        <w:tblLook w:val="0000" w:firstRow="0" w:lastRow="0" w:firstColumn="0" w:lastColumn="0" w:noHBand="0" w:noVBand="0"/>
      </w:tblPr>
      <w:tblGrid>
        <w:gridCol w:w="3089"/>
        <w:gridCol w:w="3193"/>
        <w:gridCol w:w="3088"/>
      </w:tblGrid>
      <w:tr w:rsidR="00000000">
        <w:tblPrEx>
          <w:tblCellMar>
            <w:top w:w="0" w:type="dxa"/>
            <w:bottom w:w="0" w:type="dxa"/>
          </w:tblCellMar>
        </w:tblPrEx>
        <w:trPr>
          <w:jc w:val="center"/>
        </w:trPr>
        <w:tc>
          <w:tcPr>
            <w:tcW w:w="3089" w:type="dxa"/>
            <w:tcBorders>
              <w:top w:val="single" w:sz="6" w:space="0" w:color="auto"/>
              <w:bottom w:val="single" w:sz="4" w:space="0" w:color="auto"/>
            </w:tcBorders>
          </w:tcPr>
          <w:p w:rsidR="00000000" w:rsidRDefault="00000000">
            <w:pPr>
              <w:spacing w:after="60"/>
              <w:jc w:val="center"/>
              <w:rPr>
                <w:b/>
              </w:rPr>
            </w:pPr>
            <w:r>
              <w:rPr>
                <w:b/>
              </w:rPr>
              <w:t>Tasmania</w:t>
            </w:r>
          </w:p>
        </w:tc>
        <w:tc>
          <w:tcPr>
            <w:tcW w:w="3193" w:type="dxa"/>
            <w:tcBorders>
              <w:top w:val="single" w:sz="6" w:space="0" w:color="auto"/>
              <w:bottom w:val="single" w:sz="4" w:space="0" w:color="auto"/>
            </w:tcBorders>
          </w:tcPr>
          <w:p w:rsidR="00000000" w:rsidRDefault="00000000">
            <w:pPr>
              <w:spacing w:after="60"/>
              <w:jc w:val="center"/>
              <w:rPr>
                <w:b/>
              </w:rPr>
            </w:pPr>
            <w:r>
              <w:rPr>
                <w:b/>
              </w:rPr>
              <w:t>Victoria</w:t>
            </w:r>
          </w:p>
        </w:tc>
        <w:tc>
          <w:tcPr>
            <w:tcW w:w="3088" w:type="dxa"/>
            <w:tcBorders>
              <w:top w:val="single" w:sz="6" w:space="0" w:color="auto"/>
              <w:bottom w:val="single" w:sz="4" w:space="0" w:color="auto"/>
            </w:tcBorders>
          </w:tcPr>
          <w:p w:rsidR="00000000" w:rsidRDefault="00000000">
            <w:pPr>
              <w:spacing w:after="60"/>
              <w:jc w:val="center"/>
              <w:rPr>
                <w:b/>
              </w:rPr>
            </w:pPr>
            <w:r>
              <w:rPr>
                <w:b/>
              </w:rPr>
              <w:t>Western Australia</w:t>
            </w:r>
          </w:p>
        </w:tc>
      </w:tr>
      <w:tr w:rsidR="00000000">
        <w:tblPrEx>
          <w:tblCellMar>
            <w:top w:w="0" w:type="dxa"/>
            <w:bottom w:w="0" w:type="dxa"/>
          </w:tblCellMar>
        </w:tblPrEx>
        <w:trPr>
          <w:jc w:val="center"/>
        </w:trPr>
        <w:tc>
          <w:tcPr>
            <w:tcW w:w="3089" w:type="dxa"/>
            <w:tcBorders>
              <w:top w:val="single" w:sz="4" w:space="0" w:color="auto"/>
              <w:bottom w:val="single" w:sz="4" w:space="0" w:color="auto"/>
            </w:tcBorders>
          </w:tcPr>
          <w:p w:rsidR="00000000" w:rsidRDefault="00000000">
            <w:pPr>
              <w:pStyle w:val="Header"/>
              <w:tabs>
                <w:tab w:val="clear" w:pos="4320"/>
                <w:tab w:val="clear" w:pos="8640"/>
              </w:tabs>
              <w:spacing w:after="60"/>
              <w:rPr>
                <w:iCs/>
              </w:rPr>
            </w:pPr>
            <w:r>
              <w:rPr>
                <w:iCs/>
              </w:rPr>
              <w:t>Alcohol and Drug</w:t>
            </w:r>
            <w:r>
              <w:rPr>
                <w:iCs/>
              </w:rPr>
              <w:br/>
              <w:t xml:space="preserve">  Dependency Act 1968</w:t>
            </w:r>
          </w:p>
          <w:p w:rsidR="00000000" w:rsidRDefault="00000000">
            <w:pPr>
              <w:pStyle w:val="Header"/>
              <w:tabs>
                <w:tab w:val="clear" w:pos="4320"/>
                <w:tab w:val="clear" w:pos="8640"/>
              </w:tabs>
              <w:spacing w:after="60"/>
              <w:rPr>
                <w:iCs/>
              </w:rPr>
            </w:pPr>
            <w:r>
              <w:rPr>
                <w:iCs/>
              </w:rPr>
              <w:t>Anti</w:t>
            </w:r>
            <w:r>
              <w:rPr>
                <w:iCs/>
              </w:rPr>
              <w:noBreakHyphen/>
              <w:t>Discrimination Act</w:t>
            </w:r>
            <w:r>
              <w:rPr>
                <w:iCs/>
              </w:rPr>
              <w:br/>
              <w:t xml:space="preserve">  1998</w:t>
            </w:r>
          </w:p>
          <w:p w:rsidR="00000000" w:rsidRDefault="00000000">
            <w:pPr>
              <w:pStyle w:val="Header"/>
              <w:tabs>
                <w:tab w:val="clear" w:pos="4320"/>
                <w:tab w:val="clear" w:pos="8640"/>
              </w:tabs>
              <w:spacing w:after="60"/>
              <w:rPr>
                <w:iCs/>
              </w:rPr>
            </w:pPr>
            <w:r>
              <w:rPr>
                <w:iCs/>
              </w:rPr>
              <w:t>Children, Young Persons and</w:t>
            </w:r>
            <w:r>
              <w:rPr>
                <w:iCs/>
              </w:rPr>
              <w:br/>
              <w:t xml:space="preserve">  Their Families Act 1997</w:t>
            </w:r>
          </w:p>
          <w:p w:rsidR="00000000" w:rsidRDefault="00000000">
            <w:pPr>
              <w:pStyle w:val="Header"/>
              <w:tabs>
                <w:tab w:val="clear" w:pos="4320"/>
                <w:tab w:val="clear" w:pos="8640"/>
              </w:tabs>
              <w:spacing w:after="60"/>
              <w:rPr>
                <w:iCs/>
              </w:rPr>
            </w:pPr>
            <w:r>
              <w:rPr>
                <w:iCs/>
              </w:rPr>
              <w:t>Corrections Act 1997</w:t>
            </w:r>
          </w:p>
          <w:p w:rsidR="00000000" w:rsidRDefault="00000000">
            <w:pPr>
              <w:pStyle w:val="Header"/>
              <w:tabs>
                <w:tab w:val="clear" w:pos="4320"/>
                <w:tab w:val="clear" w:pos="8640"/>
              </w:tabs>
              <w:spacing w:after="60"/>
              <w:rPr>
                <w:iCs/>
              </w:rPr>
            </w:pPr>
            <w:r>
              <w:rPr>
                <w:iCs/>
              </w:rPr>
              <w:t>Criminal Code Act 1924</w:t>
            </w:r>
          </w:p>
          <w:p w:rsidR="00000000" w:rsidRDefault="00000000">
            <w:pPr>
              <w:pStyle w:val="Header"/>
              <w:tabs>
                <w:tab w:val="clear" w:pos="4320"/>
                <w:tab w:val="clear" w:pos="8640"/>
              </w:tabs>
              <w:spacing w:after="60"/>
              <w:rPr>
                <w:iCs/>
              </w:rPr>
            </w:pPr>
            <w:r>
              <w:rPr>
                <w:iCs/>
              </w:rPr>
              <w:t>Freedom of Information Act</w:t>
            </w:r>
            <w:r>
              <w:rPr>
                <w:iCs/>
              </w:rPr>
              <w:br/>
              <w:t xml:space="preserve">  1991</w:t>
            </w:r>
          </w:p>
          <w:p w:rsidR="00000000" w:rsidRDefault="00000000">
            <w:pPr>
              <w:pStyle w:val="Header"/>
              <w:tabs>
                <w:tab w:val="clear" w:pos="4320"/>
                <w:tab w:val="clear" w:pos="8640"/>
              </w:tabs>
              <w:spacing w:after="60"/>
              <w:rPr>
                <w:iCs/>
              </w:rPr>
            </w:pPr>
            <w:r>
              <w:rPr>
                <w:iCs/>
              </w:rPr>
              <w:t>Guardianship and</w:t>
            </w:r>
            <w:r>
              <w:rPr>
                <w:iCs/>
              </w:rPr>
              <w:br/>
              <w:t xml:space="preserve">  Administration Act 1995</w:t>
            </w:r>
          </w:p>
          <w:p w:rsidR="00000000" w:rsidRDefault="00000000">
            <w:pPr>
              <w:pStyle w:val="Header"/>
              <w:tabs>
                <w:tab w:val="clear" w:pos="4320"/>
                <w:tab w:val="clear" w:pos="8640"/>
              </w:tabs>
              <w:spacing w:after="60"/>
              <w:rPr>
                <w:iCs/>
              </w:rPr>
            </w:pPr>
            <w:r>
              <w:rPr>
                <w:iCs/>
              </w:rPr>
              <w:t>Health Complaints Act 1995</w:t>
            </w:r>
          </w:p>
          <w:p w:rsidR="00000000" w:rsidRDefault="00000000">
            <w:pPr>
              <w:spacing w:after="60"/>
              <w:rPr>
                <w:iCs/>
              </w:rPr>
            </w:pPr>
            <w:r>
              <w:rPr>
                <w:iCs/>
              </w:rPr>
              <w:t>HIV/AIDS Preventive</w:t>
            </w:r>
            <w:r>
              <w:rPr>
                <w:iCs/>
              </w:rPr>
              <w:br/>
              <w:t xml:space="preserve">  Measures Act 1993</w:t>
            </w:r>
          </w:p>
          <w:p w:rsidR="00000000" w:rsidRDefault="00000000">
            <w:pPr>
              <w:spacing w:after="60"/>
            </w:pPr>
            <w:r>
              <w:t>Mental Health Act 1963</w:t>
            </w:r>
          </w:p>
          <w:p w:rsidR="00000000" w:rsidRDefault="00000000">
            <w:pPr>
              <w:spacing w:after="60"/>
            </w:pPr>
            <w:r>
              <w:t>Ombudsman Act 1978</w:t>
            </w:r>
          </w:p>
          <w:p w:rsidR="00000000" w:rsidRDefault="00000000">
            <w:pPr>
              <w:spacing w:after="60"/>
            </w:pPr>
            <w:r>
              <w:t>Police Service Act 2003</w:t>
            </w:r>
          </w:p>
          <w:p w:rsidR="00000000" w:rsidRDefault="00000000">
            <w:pPr>
              <w:spacing w:after="60"/>
            </w:pPr>
            <w:r>
              <w:t>Public Interest Disclosures</w:t>
            </w:r>
            <w:r>
              <w:br/>
              <w:t xml:space="preserve">  Act 2002</w:t>
            </w:r>
          </w:p>
          <w:p w:rsidR="00000000" w:rsidRDefault="00000000">
            <w:pPr>
              <w:spacing w:after="60"/>
            </w:pPr>
            <w:r>
              <w:t>Teachers Registration Act</w:t>
            </w:r>
            <w:r>
              <w:br/>
              <w:t xml:space="preserve">  2000</w:t>
            </w:r>
          </w:p>
          <w:p w:rsidR="00000000" w:rsidRDefault="00000000">
            <w:pPr>
              <w:pStyle w:val="Header"/>
              <w:tabs>
                <w:tab w:val="clear" w:pos="4320"/>
                <w:tab w:val="clear" w:pos="8640"/>
              </w:tabs>
              <w:spacing w:after="60"/>
              <w:rPr>
                <w:iCs/>
              </w:rPr>
            </w:pPr>
            <w:r>
              <w:t>Youth Justice Act 1997</w:t>
            </w:r>
          </w:p>
        </w:tc>
        <w:tc>
          <w:tcPr>
            <w:tcW w:w="3193" w:type="dxa"/>
            <w:tcBorders>
              <w:top w:val="single" w:sz="4" w:space="0" w:color="auto"/>
              <w:bottom w:val="single" w:sz="4" w:space="0" w:color="auto"/>
            </w:tcBorders>
          </w:tcPr>
          <w:p w:rsidR="00000000" w:rsidRDefault="00000000">
            <w:pPr>
              <w:spacing w:after="60"/>
              <w:rPr>
                <w:iCs/>
              </w:rPr>
            </w:pPr>
            <w:r>
              <w:rPr>
                <w:iCs/>
              </w:rPr>
              <w:t xml:space="preserve">Alcoholics and Drug </w:t>
            </w:r>
            <w:r>
              <w:rPr>
                <w:iCs/>
              </w:rPr>
              <w:br/>
              <w:t xml:space="preserve">  Dependent Persons Act 1968</w:t>
            </w:r>
          </w:p>
          <w:p w:rsidR="00000000" w:rsidRDefault="00000000">
            <w:pPr>
              <w:spacing w:after="60"/>
              <w:rPr>
                <w:iCs/>
              </w:rPr>
            </w:pPr>
            <w:r>
              <w:rPr>
                <w:iCs/>
              </w:rPr>
              <w:t xml:space="preserve">Children and Young Persons </w:t>
            </w:r>
            <w:r>
              <w:rPr>
                <w:iCs/>
              </w:rPr>
              <w:br/>
              <w:t xml:space="preserve">  Act 1989</w:t>
            </w:r>
          </w:p>
          <w:p w:rsidR="00000000" w:rsidRDefault="00000000">
            <w:pPr>
              <w:spacing w:after="60"/>
              <w:rPr>
                <w:iCs/>
              </w:rPr>
            </w:pPr>
            <w:r>
              <w:rPr>
                <w:iCs/>
              </w:rPr>
              <w:t>Corrections Regulations 1988</w:t>
            </w:r>
          </w:p>
          <w:p w:rsidR="00000000" w:rsidRDefault="00000000">
            <w:pPr>
              <w:spacing w:after="60"/>
              <w:rPr>
                <w:iCs/>
              </w:rPr>
            </w:pPr>
            <w:r>
              <w:rPr>
                <w:iCs/>
              </w:rPr>
              <w:t>Crimes Act 1958</w:t>
            </w:r>
          </w:p>
          <w:p w:rsidR="00000000" w:rsidRDefault="00000000">
            <w:pPr>
              <w:spacing w:after="60"/>
              <w:rPr>
                <w:iCs/>
              </w:rPr>
            </w:pPr>
            <w:r>
              <w:rPr>
                <w:iCs/>
              </w:rPr>
              <w:t>Crimes At Sea Act 1999</w:t>
            </w:r>
          </w:p>
          <w:p w:rsidR="00000000" w:rsidRDefault="00000000">
            <w:pPr>
              <w:spacing w:after="60"/>
              <w:rPr>
                <w:iCs/>
              </w:rPr>
            </w:pPr>
            <w:r>
              <w:rPr>
                <w:iCs/>
              </w:rPr>
              <w:t>Education Regulations 1998</w:t>
            </w:r>
          </w:p>
          <w:p w:rsidR="00000000" w:rsidRDefault="00000000">
            <w:pPr>
              <w:spacing w:after="60"/>
              <w:rPr>
                <w:iCs/>
              </w:rPr>
            </w:pPr>
            <w:r>
              <w:rPr>
                <w:iCs/>
              </w:rPr>
              <w:t>Equal Opportunity Act 1995</w:t>
            </w:r>
          </w:p>
          <w:p w:rsidR="00000000" w:rsidRDefault="00000000">
            <w:pPr>
              <w:spacing w:after="60"/>
              <w:rPr>
                <w:iCs/>
              </w:rPr>
            </w:pPr>
            <w:r>
              <w:rPr>
                <w:iCs/>
              </w:rPr>
              <w:t>Freedom of Information Act</w:t>
            </w:r>
            <w:r>
              <w:rPr>
                <w:iCs/>
              </w:rPr>
              <w:br/>
              <w:t xml:space="preserve">  1982</w:t>
            </w:r>
          </w:p>
          <w:p w:rsidR="00000000" w:rsidRDefault="00000000">
            <w:pPr>
              <w:spacing w:after="60"/>
              <w:rPr>
                <w:iCs/>
              </w:rPr>
            </w:pPr>
            <w:r>
              <w:rPr>
                <w:iCs/>
              </w:rPr>
              <w:t>Health Services (Conciliation</w:t>
            </w:r>
            <w:r>
              <w:rPr>
                <w:iCs/>
              </w:rPr>
              <w:br/>
              <w:t xml:space="preserve">  and Review) Act 1987</w:t>
            </w:r>
          </w:p>
          <w:p w:rsidR="00000000" w:rsidRDefault="00000000">
            <w:pPr>
              <w:spacing w:after="60"/>
            </w:pPr>
            <w:r>
              <w:t>Intellectually Disabled</w:t>
            </w:r>
            <w:r>
              <w:br/>
              <w:t xml:space="preserve">  Persons’ Services Act 1986</w:t>
            </w:r>
          </w:p>
          <w:p w:rsidR="00000000" w:rsidRDefault="00000000">
            <w:pPr>
              <w:spacing w:after="60"/>
            </w:pPr>
            <w:r>
              <w:t>Mental Health Act 1986</w:t>
            </w:r>
          </w:p>
          <w:p w:rsidR="00000000" w:rsidRDefault="00000000">
            <w:pPr>
              <w:spacing w:after="60"/>
            </w:pPr>
            <w:r>
              <w:t>Ombudsman Act 1973</w:t>
            </w:r>
          </w:p>
          <w:p w:rsidR="00000000" w:rsidRDefault="00000000">
            <w:pPr>
              <w:spacing w:after="60"/>
            </w:pPr>
            <w:r>
              <w:t>Summary Offences Act 1966</w:t>
            </w:r>
          </w:p>
          <w:p w:rsidR="00000000" w:rsidRDefault="00000000">
            <w:pPr>
              <w:spacing w:after="60"/>
            </w:pPr>
            <w:r>
              <w:t>Whistleblowers Protection Act</w:t>
            </w:r>
            <w:r>
              <w:br/>
              <w:t xml:space="preserve">  2001</w:t>
            </w:r>
          </w:p>
          <w:p w:rsidR="00000000" w:rsidRDefault="00000000">
            <w:pPr>
              <w:spacing w:after="60"/>
              <w:rPr>
                <w:iCs/>
              </w:rPr>
            </w:pPr>
            <w:r>
              <w:t>Witness Protection Act 2001</w:t>
            </w:r>
          </w:p>
        </w:tc>
        <w:tc>
          <w:tcPr>
            <w:tcW w:w="3088" w:type="dxa"/>
            <w:tcBorders>
              <w:top w:val="single" w:sz="4" w:space="0" w:color="auto"/>
              <w:bottom w:val="single" w:sz="4" w:space="0" w:color="auto"/>
            </w:tcBorders>
          </w:tcPr>
          <w:p w:rsidR="00000000" w:rsidRDefault="00000000">
            <w:pPr>
              <w:spacing w:after="60"/>
              <w:rPr>
                <w:iCs/>
              </w:rPr>
            </w:pPr>
            <w:r>
              <w:rPr>
                <w:iCs/>
              </w:rPr>
              <w:t>Criminal Code Compilation</w:t>
            </w:r>
            <w:r>
              <w:rPr>
                <w:iCs/>
              </w:rPr>
              <w:br/>
              <w:t xml:space="preserve">  Act 1913</w:t>
            </w:r>
          </w:p>
          <w:p w:rsidR="00000000" w:rsidRDefault="00000000">
            <w:pPr>
              <w:spacing w:after="60"/>
              <w:rPr>
                <w:iCs/>
              </w:rPr>
            </w:pPr>
            <w:r>
              <w:rPr>
                <w:iCs/>
              </w:rPr>
              <w:t>Crimes (Offences at Sea) Act</w:t>
            </w:r>
            <w:r>
              <w:rPr>
                <w:iCs/>
              </w:rPr>
              <w:br/>
              <w:t xml:space="preserve">  1979</w:t>
            </w:r>
          </w:p>
          <w:p w:rsidR="00000000" w:rsidRDefault="00000000">
            <w:pPr>
              <w:spacing w:after="60"/>
              <w:rPr>
                <w:iCs/>
              </w:rPr>
            </w:pPr>
            <w:r>
              <w:rPr>
                <w:iCs/>
              </w:rPr>
              <w:t>Child Welfare Act 1947</w:t>
            </w:r>
          </w:p>
          <w:p w:rsidR="00000000" w:rsidRDefault="00000000">
            <w:pPr>
              <w:spacing w:after="60"/>
              <w:rPr>
                <w:iCs/>
              </w:rPr>
            </w:pPr>
            <w:r>
              <w:rPr>
                <w:iCs/>
              </w:rPr>
              <w:t>Equal Opportunity Act 1984</w:t>
            </w:r>
          </w:p>
          <w:p w:rsidR="00000000" w:rsidRDefault="00000000">
            <w:pPr>
              <w:pStyle w:val="Header"/>
              <w:tabs>
                <w:tab w:val="clear" w:pos="4320"/>
                <w:tab w:val="clear" w:pos="8640"/>
              </w:tabs>
              <w:spacing w:after="60"/>
              <w:rPr>
                <w:iCs/>
              </w:rPr>
            </w:pPr>
            <w:r>
              <w:rPr>
                <w:iCs/>
              </w:rPr>
              <w:t>Education Act 1928</w:t>
            </w:r>
          </w:p>
          <w:p w:rsidR="00000000" w:rsidRDefault="00000000">
            <w:pPr>
              <w:spacing w:after="60"/>
              <w:rPr>
                <w:iCs/>
              </w:rPr>
            </w:pPr>
            <w:r>
              <w:rPr>
                <w:iCs/>
              </w:rPr>
              <w:t>Freedom of Information Act</w:t>
            </w:r>
            <w:r>
              <w:rPr>
                <w:iCs/>
              </w:rPr>
              <w:br/>
              <w:t xml:space="preserve">  1992</w:t>
            </w:r>
          </w:p>
          <w:p w:rsidR="00000000" w:rsidRDefault="00000000">
            <w:pPr>
              <w:spacing w:after="60"/>
              <w:rPr>
                <w:iCs/>
              </w:rPr>
            </w:pPr>
            <w:r>
              <w:rPr>
                <w:iCs/>
              </w:rPr>
              <w:t>Disability Services Act 1993</w:t>
            </w:r>
          </w:p>
          <w:p w:rsidR="00000000" w:rsidRDefault="00000000">
            <w:pPr>
              <w:spacing w:after="60"/>
              <w:rPr>
                <w:iCs/>
              </w:rPr>
            </w:pPr>
            <w:r>
              <w:rPr>
                <w:iCs/>
              </w:rPr>
              <w:t>Guardianship and</w:t>
            </w:r>
            <w:r>
              <w:rPr>
                <w:iCs/>
              </w:rPr>
              <w:br/>
              <w:t xml:space="preserve">  Administration Act 1990</w:t>
            </w:r>
          </w:p>
          <w:p w:rsidR="00000000" w:rsidRDefault="00000000">
            <w:pPr>
              <w:spacing w:after="60"/>
              <w:rPr>
                <w:iCs/>
              </w:rPr>
            </w:pPr>
            <w:r>
              <w:rPr>
                <w:iCs/>
              </w:rPr>
              <w:t>Health Services (Conciliation</w:t>
            </w:r>
            <w:r>
              <w:rPr>
                <w:iCs/>
              </w:rPr>
              <w:br/>
              <w:t xml:space="preserve">  and Review) Act 1995</w:t>
            </w:r>
          </w:p>
          <w:p w:rsidR="00000000" w:rsidRDefault="00000000">
            <w:pPr>
              <w:spacing w:after="60"/>
            </w:pPr>
            <w:r>
              <w:t>Mental Health Act 1996</w:t>
            </w:r>
          </w:p>
          <w:p w:rsidR="00000000" w:rsidRDefault="00000000">
            <w:pPr>
              <w:spacing w:after="60"/>
            </w:pPr>
            <w:r>
              <w:t>Ombudsman Act 1971</w:t>
            </w:r>
          </w:p>
          <w:p w:rsidR="00000000" w:rsidRDefault="00000000">
            <w:pPr>
              <w:spacing w:after="60"/>
            </w:pPr>
            <w:r>
              <w:t>Police Act 1892</w:t>
            </w:r>
          </w:p>
          <w:p w:rsidR="00000000" w:rsidRDefault="00000000">
            <w:pPr>
              <w:spacing w:after="60"/>
            </w:pPr>
            <w:r>
              <w:t>Prisons Act 1981</w:t>
            </w:r>
          </w:p>
          <w:p w:rsidR="00000000" w:rsidRDefault="00000000">
            <w:pPr>
              <w:spacing w:after="60"/>
            </w:pPr>
            <w:r>
              <w:t xml:space="preserve">Public Sector Management </w:t>
            </w:r>
            <w:r>
              <w:br/>
              <w:t xml:space="preserve">  Act 1994</w:t>
            </w:r>
          </w:p>
          <w:p w:rsidR="00000000" w:rsidRDefault="00000000">
            <w:pPr>
              <w:spacing w:after="60"/>
            </w:pPr>
            <w:r>
              <w:t xml:space="preserve">Public Interest Disclosure </w:t>
            </w:r>
            <w:r>
              <w:br/>
              <w:t xml:space="preserve">  Act 2003</w:t>
            </w:r>
          </w:p>
          <w:p w:rsidR="00000000" w:rsidRDefault="00000000">
            <w:pPr>
              <w:spacing w:after="60"/>
              <w:rPr>
                <w:iCs/>
              </w:rPr>
            </w:pPr>
            <w:r>
              <w:t>Young Offenders Act 1994</w:t>
            </w:r>
          </w:p>
        </w:tc>
      </w:tr>
    </w:tbl>
    <w:p w:rsidR="00000000" w:rsidRDefault="00000000">
      <w:pPr>
        <w:pStyle w:val="Heading2"/>
        <w:spacing w:before="360"/>
      </w:pPr>
      <w:bookmarkStart w:id="294" w:name="_Toc438289141"/>
      <w:bookmarkStart w:id="295" w:name="_Toc438289611"/>
      <w:bookmarkStart w:id="296" w:name="_Toc438352841"/>
      <w:bookmarkStart w:id="297" w:name="_Toc445283909"/>
      <w:bookmarkStart w:id="298" w:name="_Toc445541553"/>
      <w:bookmarkStart w:id="299" w:name="_Toc445542796"/>
      <w:bookmarkStart w:id="300" w:name="_Toc445606609"/>
      <w:bookmarkStart w:id="301" w:name="_Toc445608749"/>
      <w:bookmarkStart w:id="302" w:name="_Toc445609138"/>
      <w:bookmarkStart w:id="303" w:name="_Toc445610568"/>
      <w:bookmarkStart w:id="304" w:name="_Toc445612340"/>
      <w:bookmarkStart w:id="305" w:name="_Toc445714846"/>
      <w:bookmarkStart w:id="306" w:name="_Toc79216239"/>
      <w:bookmarkStart w:id="307" w:name="_Toc79216833"/>
      <w:bookmarkStart w:id="308" w:name="_Toc79291365"/>
      <w:bookmarkStart w:id="309" w:name="_Toc79296100"/>
      <w:bookmarkStart w:id="310" w:name="_Toc83782185"/>
      <w:bookmarkStart w:id="311" w:name="_Toc83800998"/>
      <w:bookmarkStart w:id="312" w:name="_Toc84318919"/>
      <w:bookmarkStart w:id="313" w:name="_Toc94087539"/>
      <w:bookmarkEnd w:id="273"/>
      <w:r>
        <w:t>Table 2</w:t>
      </w:r>
    </w:p>
    <w:p w:rsidR="00000000" w:rsidRDefault="00000000">
      <w:pPr>
        <w:pStyle w:val="Heading2"/>
      </w:pPr>
      <w:r>
        <w:t>Statutory compensation schemes</w:t>
      </w:r>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00" w:firstRow="0" w:lastRow="0" w:firstColumn="0" w:lastColumn="0" w:noHBand="0" w:noVBand="0"/>
      </w:tblPr>
      <w:tblGrid>
        <w:gridCol w:w="3240"/>
        <w:gridCol w:w="6116"/>
      </w:tblGrid>
      <w:tr w:rsidR="00000000">
        <w:tc>
          <w:tcPr>
            <w:tcW w:w="3240" w:type="dxa"/>
            <w:tcBorders>
              <w:bottom w:val="nil"/>
            </w:tcBorders>
          </w:tcPr>
          <w:p w:rsidR="00000000" w:rsidRDefault="00000000">
            <w:pPr>
              <w:spacing w:after="60"/>
              <w:rPr>
                <w:b/>
              </w:rPr>
            </w:pPr>
            <w:r>
              <w:rPr>
                <w:b/>
              </w:rPr>
              <w:t>Australian Capital Territory</w:t>
            </w:r>
          </w:p>
        </w:tc>
        <w:tc>
          <w:tcPr>
            <w:tcW w:w="6116" w:type="dxa"/>
            <w:tcBorders>
              <w:bottom w:val="nil"/>
            </w:tcBorders>
          </w:tcPr>
          <w:p w:rsidR="00000000" w:rsidRDefault="00000000">
            <w:pPr>
              <w:pStyle w:val="Header"/>
              <w:tabs>
                <w:tab w:val="clear" w:pos="4320"/>
                <w:tab w:val="clear" w:pos="8640"/>
              </w:tabs>
              <w:spacing w:after="60"/>
              <w:rPr>
                <w:b/>
                <w:iCs/>
              </w:rPr>
            </w:pPr>
            <w:r>
              <w:rPr>
                <w:iCs/>
              </w:rPr>
              <w:t>Victims of Crime (Financial Assistance) Act 1983</w:t>
            </w:r>
          </w:p>
        </w:tc>
      </w:tr>
      <w:tr w:rsidR="00000000">
        <w:tc>
          <w:tcPr>
            <w:tcW w:w="3240" w:type="dxa"/>
            <w:tcBorders>
              <w:top w:val="nil"/>
              <w:bottom w:val="nil"/>
            </w:tcBorders>
          </w:tcPr>
          <w:p w:rsidR="00000000" w:rsidRDefault="00000000">
            <w:pPr>
              <w:spacing w:after="60"/>
              <w:rPr>
                <w:b/>
              </w:rPr>
            </w:pPr>
            <w:r>
              <w:rPr>
                <w:b/>
              </w:rPr>
              <w:t>New South Wales</w:t>
            </w:r>
          </w:p>
        </w:tc>
        <w:tc>
          <w:tcPr>
            <w:tcW w:w="6116" w:type="dxa"/>
            <w:tcBorders>
              <w:top w:val="nil"/>
              <w:bottom w:val="nil"/>
            </w:tcBorders>
          </w:tcPr>
          <w:p w:rsidR="00000000" w:rsidRDefault="00000000">
            <w:pPr>
              <w:pStyle w:val="Header"/>
              <w:tabs>
                <w:tab w:val="clear" w:pos="4320"/>
                <w:tab w:val="clear" w:pos="8640"/>
              </w:tabs>
              <w:spacing w:after="60"/>
              <w:rPr>
                <w:b/>
                <w:iCs/>
              </w:rPr>
            </w:pPr>
            <w:r>
              <w:rPr>
                <w:iCs/>
              </w:rPr>
              <w:t>Victims Support and Rehabilitation Act 1996 (NSW)</w:t>
            </w:r>
          </w:p>
        </w:tc>
      </w:tr>
      <w:tr w:rsidR="00000000">
        <w:trPr>
          <w:trHeight w:val="555"/>
        </w:trPr>
        <w:tc>
          <w:tcPr>
            <w:tcW w:w="3240" w:type="dxa"/>
            <w:tcBorders>
              <w:top w:val="nil"/>
              <w:bottom w:val="nil"/>
            </w:tcBorders>
          </w:tcPr>
          <w:p w:rsidR="00000000" w:rsidRDefault="00000000">
            <w:pPr>
              <w:spacing w:after="60"/>
              <w:rPr>
                <w:b/>
              </w:rPr>
            </w:pPr>
            <w:r>
              <w:rPr>
                <w:b/>
              </w:rPr>
              <w:t>Northern Territory</w:t>
            </w:r>
          </w:p>
        </w:tc>
        <w:tc>
          <w:tcPr>
            <w:tcW w:w="6116" w:type="dxa"/>
            <w:tcBorders>
              <w:top w:val="nil"/>
              <w:bottom w:val="nil"/>
            </w:tcBorders>
          </w:tcPr>
          <w:p w:rsidR="00000000" w:rsidRDefault="00000000">
            <w:pPr>
              <w:spacing w:after="60"/>
              <w:rPr>
                <w:b/>
                <w:iCs/>
              </w:rPr>
            </w:pPr>
            <w:r>
              <w:rPr>
                <w:iCs/>
              </w:rPr>
              <w:t>Crimes (Victims Assistance) Act 1982 (NT)</w:t>
            </w:r>
            <w:r>
              <w:rPr>
                <w:iCs/>
              </w:rPr>
              <w:br/>
              <w:t>Crimes Compensation Act 1992 (NT)</w:t>
            </w:r>
          </w:p>
        </w:tc>
      </w:tr>
      <w:tr w:rsidR="00000000">
        <w:tc>
          <w:tcPr>
            <w:tcW w:w="3240" w:type="dxa"/>
            <w:tcBorders>
              <w:top w:val="nil"/>
              <w:bottom w:val="nil"/>
            </w:tcBorders>
          </w:tcPr>
          <w:p w:rsidR="00000000" w:rsidRDefault="00000000">
            <w:pPr>
              <w:spacing w:after="60"/>
              <w:rPr>
                <w:b/>
              </w:rPr>
            </w:pPr>
            <w:r>
              <w:rPr>
                <w:b/>
                <w:color w:val="000000"/>
              </w:rPr>
              <w:t>Queensland</w:t>
            </w:r>
          </w:p>
        </w:tc>
        <w:tc>
          <w:tcPr>
            <w:tcW w:w="6116" w:type="dxa"/>
            <w:tcBorders>
              <w:top w:val="nil"/>
              <w:bottom w:val="nil"/>
            </w:tcBorders>
          </w:tcPr>
          <w:p w:rsidR="00000000" w:rsidRDefault="00000000">
            <w:pPr>
              <w:spacing w:after="60"/>
              <w:rPr>
                <w:b/>
                <w:iCs/>
              </w:rPr>
            </w:pPr>
            <w:r>
              <w:rPr>
                <w:iCs/>
              </w:rPr>
              <w:t>Criminal Offence Victims Act 1995 (Qld)</w:t>
            </w:r>
          </w:p>
        </w:tc>
      </w:tr>
      <w:tr w:rsidR="00000000">
        <w:tc>
          <w:tcPr>
            <w:tcW w:w="3240" w:type="dxa"/>
            <w:tcBorders>
              <w:top w:val="nil"/>
              <w:bottom w:val="nil"/>
            </w:tcBorders>
          </w:tcPr>
          <w:p w:rsidR="00000000" w:rsidRDefault="00000000">
            <w:pPr>
              <w:spacing w:after="60"/>
              <w:rPr>
                <w:b/>
              </w:rPr>
            </w:pPr>
            <w:r>
              <w:rPr>
                <w:b/>
                <w:color w:val="000000"/>
              </w:rPr>
              <w:t>South Australia</w:t>
            </w:r>
          </w:p>
        </w:tc>
        <w:tc>
          <w:tcPr>
            <w:tcW w:w="6116" w:type="dxa"/>
            <w:tcBorders>
              <w:top w:val="nil"/>
              <w:bottom w:val="nil"/>
            </w:tcBorders>
          </w:tcPr>
          <w:p w:rsidR="00000000" w:rsidRDefault="00000000">
            <w:pPr>
              <w:spacing w:after="60"/>
              <w:rPr>
                <w:b/>
                <w:iCs/>
              </w:rPr>
            </w:pPr>
            <w:r>
              <w:rPr>
                <w:iCs/>
              </w:rPr>
              <w:t>Victims of Crime Act 2001 (SA)</w:t>
            </w:r>
          </w:p>
        </w:tc>
      </w:tr>
      <w:tr w:rsidR="00000000">
        <w:tc>
          <w:tcPr>
            <w:tcW w:w="3240" w:type="dxa"/>
            <w:tcBorders>
              <w:top w:val="nil"/>
              <w:bottom w:val="nil"/>
            </w:tcBorders>
          </w:tcPr>
          <w:p w:rsidR="00000000" w:rsidRDefault="00000000">
            <w:pPr>
              <w:spacing w:after="60"/>
              <w:rPr>
                <w:b/>
              </w:rPr>
            </w:pPr>
            <w:r>
              <w:rPr>
                <w:b/>
                <w:color w:val="000000"/>
              </w:rPr>
              <w:t>Tasmania</w:t>
            </w:r>
          </w:p>
        </w:tc>
        <w:tc>
          <w:tcPr>
            <w:tcW w:w="6116" w:type="dxa"/>
            <w:tcBorders>
              <w:top w:val="nil"/>
              <w:bottom w:val="nil"/>
            </w:tcBorders>
          </w:tcPr>
          <w:p w:rsidR="00000000" w:rsidRDefault="00000000">
            <w:pPr>
              <w:pStyle w:val="Header"/>
              <w:tabs>
                <w:tab w:val="clear" w:pos="4320"/>
                <w:tab w:val="clear" w:pos="8640"/>
              </w:tabs>
              <w:spacing w:after="60"/>
              <w:rPr>
                <w:b/>
                <w:iCs/>
              </w:rPr>
            </w:pPr>
            <w:r>
              <w:rPr>
                <w:iCs/>
              </w:rPr>
              <w:t>Criminal Injuries Compensation Act 1976 (Tas)</w:t>
            </w:r>
          </w:p>
        </w:tc>
      </w:tr>
      <w:tr w:rsidR="00000000">
        <w:tc>
          <w:tcPr>
            <w:tcW w:w="3240" w:type="dxa"/>
            <w:tcBorders>
              <w:top w:val="nil"/>
              <w:bottom w:val="nil"/>
            </w:tcBorders>
          </w:tcPr>
          <w:p w:rsidR="00000000" w:rsidRDefault="00000000">
            <w:pPr>
              <w:spacing w:after="60"/>
              <w:rPr>
                <w:b/>
              </w:rPr>
            </w:pPr>
            <w:r>
              <w:rPr>
                <w:b/>
                <w:color w:val="000000"/>
              </w:rPr>
              <w:t>Victoria</w:t>
            </w:r>
          </w:p>
        </w:tc>
        <w:tc>
          <w:tcPr>
            <w:tcW w:w="6116" w:type="dxa"/>
            <w:tcBorders>
              <w:top w:val="nil"/>
              <w:bottom w:val="nil"/>
            </w:tcBorders>
          </w:tcPr>
          <w:p w:rsidR="00000000" w:rsidRDefault="00000000">
            <w:pPr>
              <w:spacing w:after="60"/>
              <w:rPr>
                <w:b/>
                <w:iCs/>
              </w:rPr>
            </w:pPr>
            <w:r>
              <w:rPr>
                <w:iCs/>
              </w:rPr>
              <w:t>Victims of Crime Assistance Act 1996 (Vic)</w:t>
            </w:r>
          </w:p>
        </w:tc>
      </w:tr>
      <w:tr w:rsidR="00000000">
        <w:tc>
          <w:tcPr>
            <w:tcW w:w="3240" w:type="dxa"/>
            <w:tcBorders>
              <w:top w:val="nil"/>
            </w:tcBorders>
          </w:tcPr>
          <w:p w:rsidR="00000000" w:rsidRDefault="00000000">
            <w:pPr>
              <w:spacing w:after="60"/>
              <w:rPr>
                <w:b/>
                <w:color w:val="000000"/>
              </w:rPr>
            </w:pPr>
            <w:r>
              <w:rPr>
                <w:b/>
                <w:color w:val="000000"/>
              </w:rPr>
              <w:t>Western Australia</w:t>
            </w:r>
          </w:p>
        </w:tc>
        <w:tc>
          <w:tcPr>
            <w:tcW w:w="6116" w:type="dxa"/>
            <w:tcBorders>
              <w:top w:val="nil"/>
            </w:tcBorders>
          </w:tcPr>
          <w:p w:rsidR="00000000" w:rsidRDefault="00000000">
            <w:pPr>
              <w:spacing w:after="60"/>
              <w:rPr>
                <w:iCs/>
              </w:rPr>
            </w:pPr>
            <w:r>
              <w:rPr>
                <w:iCs/>
              </w:rPr>
              <w:t>Criminal Injuries Compensation Act 2003 (WA)</w:t>
            </w:r>
            <w:r>
              <w:rPr>
                <w:iCs/>
              </w:rPr>
              <w:br/>
              <w:t>Sentencing Act 1995 (WA)</w:t>
            </w:r>
            <w:r>
              <w:rPr>
                <w:iCs/>
              </w:rPr>
              <w:br/>
              <w:t>Young Offenders Act 1994 (WA)</w:t>
            </w:r>
          </w:p>
        </w:tc>
      </w:tr>
    </w:tbl>
    <w:p w:rsidR="00000000" w:rsidRDefault="00000000">
      <w:pPr>
        <w:pStyle w:val="Heading2"/>
      </w:pPr>
      <w:bookmarkStart w:id="314" w:name="_Toc445612341"/>
      <w:bookmarkStart w:id="315" w:name="_Toc438289142"/>
      <w:bookmarkStart w:id="316" w:name="_Toc438289612"/>
      <w:bookmarkStart w:id="317" w:name="_Toc438352842"/>
      <w:bookmarkStart w:id="318" w:name="_Toc445283910"/>
      <w:bookmarkStart w:id="319" w:name="_Toc445541554"/>
      <w:bookmarkStart w:id="320" w:name="_Toc445542797"/>
      <w:bookmarkStart w:id="321" w:name="_Toc445606610"/>
      <w:bookmarkStart w:id="322" w:name="_Toc445608750"/>
      <w:bookmarkStart w:id="323" w:name="_Toc445609139"/>
      <w:bookmarkStart w:id="324" w:name="_Toc445610569"/>
      <w:bookmarkStart w:id="325" w:name="_Toc445714847"/>
      <w:bookmarkStart w:id="326" w:name="_Toc79216240"/>
      <w:bookmarkStart w:id="327" w:name="_Toc79216834"/>
      <w:bookmarkStart w:id="328" w:name="_Toc79291366"/>
      <w:bookmarkStart w:id="329" w:name="_Toc79296101"/>
      <w:bookmarkStart w:id="330" w:name="_Toc83782186"/>
      <w:bookmarkStart w:id="331" w:name="_Toc83800999"/>
      <w:bookmarkStart w:id="332" w:name="_Toc84318920"/>
      <w:bookmarkStart w:id="333" w:name="_Toc94087540"/>
      <w:r>
        <w:br w:type="page"/>
        <w:t>Table 3</w:t>
      </w:r>
    </w:p>
    <w:p w:rsidR="00000000" w:rsidRDefault="00000000">
      <w:pPr>
        <w:pStyle w:val="Heading2"/>
      </w:pPr>
      <w:r>
        <w:t>Bilateral extradition arrangements with States parties to the Convention</w:t>
      </w:r>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000000" w:rsidRDefault="00000000">
      <w:pPr>
        <w:pStyle w:val="Heading3"/>
      </w:pPr>
      <w:bookmarkStart w:id="334" w:name="_Toc77672882"/>
      <w:bookmarkStart w:id="335" w:name="_Toc79216241"/>
      <w:bookmarkStart w:id="336" w:name="_Toc79216835"/>
      <w:bookmarkStart w:id="337" w:name="_Toc79291367"/>
      <w:bookmarkStart w:id="338" w:name="_Toc79296102"/>
      <w:bookmarkStart w:id="339" w:name="_Toc83782187"/>
      <w:bookmarkStart w:id="340" w:name="_Toc83801000"/>
      <w:bookmarkStart w:id="341" w:name="_Toc84318921"/>
      <w:bookmarkStart w:id="342" w:name="_Toc94087541"/>
      <w:r>
        <w:t>Extradition treaties</w:t>
      </w:r>
      <w:bookmarkEnd w:id="334"/>
      <w:bookmarkEnd w:id="335"/>
      <w:bookmarkEnd w:id="336"/>
      <w:bookmarkEnd w:id="337"/>
      <w:bookmarkEnd w:id="338"/>
      <w:bookmarkEnd w:id="339"/>
      <w:bookmarkEnd w:id="340"/>
      <w:bookmarkEnd w:id="341"/>
      <w:bookmarkEnd w:id="342"/>
    </w:p>
    <w:p w:rsidR="00000000" w:rsidRDefault="00000000">
      <w:pPr>
        <w:ind w:firstLine="720"/>
      </w:pPr>
      <w:r>
        <w:t>Australia has an extradition treaty or arrangement in force with the following State parties to the Convention against Torture:</w:t>
      </w:r>
    </w:p>
    <w:tbl>
      <w:tblPr>
        <w:tblW w:w="9284" w:type="dxa"/>
        <w:jc w:val="center"/>
        <w:tblInd w:w="-101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0" w:type="dxa"/>
          <w:right w:w="80" w:type="dxa"/>
        </w:tblCellMar>
        <w:tblLook w:val="0000" w:firstRow="0" w:lastRow="0" w:firstColumn="0" w:lastColumn="0" w:noHBand="0" w:noVBand="0"/>
      </w:tblPr>
      <w:tblGrid>
        <w:gridCol w:w="2321"/>
        <w:gridCol w:w="2321"/>
        <w:gridCol w:w="2321"/>
        <w:gridCol w:w="2321"/>
      </w:tblGrid>
      <w:tr w:rsidR="00000000">
        <w:tblPrEx>
          <w:tblCellMar>
            <w:top w:w="0" w:type="dxa"/>
            <w:bottom w:w="0" w:type="dxa"/>
          </w:tblCellMar>
        </w:tblPrEx>
        <w:trPr>
          <w:cantSplit/>
          <w:jc w:val="center"/>
        </w:trPr>
        <w:tc>
          <w:tcPr>
            <w:tcW w:w="2321" w:type="dxa"/>
            <w:tcBorders>
              <w:bottom w:val="nil"/>
            </w:tcBorders>
          </w:tcPr>
          <w:p w:rsidR="00000000" w:rsidRDefault="00000000">
            <w:pPr>
              <w:spacing w:after="40"/>
              <w:ind w:left="57" w:right="57"/>
            </w:pPr>
            <w:r>
              <w:t>Argentina</w:t>
            </w:r>
          </w:p>
        </w:tc>
        <w:tc>
          <w:tcPr>
            <w:tcW w:w="2321" w:type="dxa"/>
            <w:tcBorders>
              <w:bottom w:val="nil"/>
            </w:tcBorders>
          </w:tcPr>
          <w:p w:rsidR="00000000" w:rsidRDefault="00000000">
            <w:pPr>
              <w:spacing w:after="40"/>
              <w:ind w:left="57" w:right="57"/>
            </w:pPr>
            <w:r>
              <w:t>Germany</w:t>
            </w:r>
          </w:p>
        </w:tc>
        <w:tc>
          <w:tcPr>
            <w:tcW w:w="2321" w:type="dxa"/>
            <w:tcBorders>
              <w:bottom w:val="nil"/>
            </w:tcBorders>
          </w:tcPr>
          <w:p w:rsidR="00000000" w:rsidRDefault="00000000">
            <w:pPr>
              <w:spacing w:after="40"/>
              <w:ind w:left="57" w:right="57"/>
            </w:pPr>
            <w:r>
              <w:t>Mexico</w:t>
            </w:r>
          </w:p>
        </w:tc>
        <w:tc>
          <w:tcPr>
            <w:tcW w:w="2321" w:type="dxa"/>
            <w:tcBorders>
              <w:bottom w:val="nil"/>
            </w:tcBorders>
          </w:tcPr>
          <w:p w:rsidR="00000000" w:rsidRDefault="00000000">
            <w:pPr>
              <w:spacing w:after="40"/>
              <w:ind w:left="57" w:right="57"/>
            </w:pPr>
            <w:r>
              <w:t>Spain</w:t>
            </w:r>
          </w:p>
        </w:tc>
      </w:tr>
      <w:tr w:rsidR="00000000">
        <w:tblPrEx>
          <w:tblCellMar>
            <w:top w:w="0" w:type="dxa"/>
            <w:bottom w:w="0" w:type="dxa"/>
          </w:tblCellMar>
        </w:tblPrEx>
        <w:trPr>
          <w:cantSplit/>
          <w:jc w:val="center"/>
        </w:trPr>
        <w:tc>
          <w:tcPr>
            <w:tcW w:w="2321" w:type="dxa"/>
            <w:tcBorders>
              <w:top w:val="nil"/>
              <w:bottom w:val="nil"/>
            </w:tcBorders>
          </w:tcPr>
          <w:p w:rsidR="00000000" w:rsidRDefault="00000000">
            <w:pPr>
              <w:spacing w:after="40"/>
              <w:ind w:left="57" w:right="57"/>
            </w:pPr>
            <w:r>
              <w:t>Austria</w:t>
            </w:r>
          </w:p>
        </w:tc>
        <w:tc>
          <w:tcPr>
            <w:tcW w:w="2321" w:type="dxa"/>
            <w:tcBorders>
              <w:top w:val="nil"/>
              <w:bottom w:val="nil"/>
            </w:tcBorders>
          </w:tcPr>
          <w:p w:rsidR="00000000" w:rsidRDefault="00000000">
            <w:pPr>
              <w:spacing w:after="40"/>
              <w:ind w:left="57" w:right="57"/>
            </w:pPr>
            <w:r>
              <w:t>Greece</w:t>
            </w:r>
          </w:p>
        </w:tc>
        <w:tc>
          <w:tcPr>
            <w:tcW w:w="2321" w:type="dxa"/>
            <w:tcBorders>
              <w:top w:val="nil"/>
              <w:bottom w:val="nil"/>
            </w:tcBorders>
          </w:tcPr>
          <w:p w:rsidR="00000000" w:rsidRDefault="00000000">
            <w:pPr>
              <w:spacing w:after="40"/>
              <w:ind w:left="57" w:right="57"/>
            </w:pPr>
            <w:r>
              <w:t>Monaco</w:t>
            </w:r>
          </w:p>
        </w:tc>
        <w:tc>
          <w:tcPr>
            <w:tcW w:w="2321" w:type="dxa"/>
            <w:tcBorders>
              <w:top w:val="nil"/>
              <w:bottom w:val="nil"/>
            </w:tcBorders>
          </w:tcPr>
          <w:p w:rsidR="00000000" w:rsidRDefault="00000000">
            <w:pPr>
              <w:spacing w:after="40"/>
              <w:ind w:left="57" w:right="57"/>
            </w:pPr>
            <w:r>
              <w:t>Sweden</w:t>
            </w:r>
          </w:p>
        </w:tc>
      </w:tr>
      <w:tr w:rsidR="00000000">
        <w:tblPrEx>
          <w:tblCellMar>
            <w:top w:w="0" w:type="dxa"/>
            <w:bottom w:w="0" w:type="dxa"/>
          </w:tblCellMar>
        </w:tblPrEx>
        <w:trPr>
          <w:cantSplit/>
          <w:jc w:val="center"/>
        </w:trPr>
        <w:tc>
          <w:tcPr>
            <w:tcW w:w="2321" w:type="dxa"/>
            <w:tcBorders>
              <w:top w:val="nil"/>
              <w:bottom w:val="nil"/>
            </w:tcBorders>
          </w:tcPr>
          <w:p w:rsidR="00000000" w:rsidRDefault="00000000">
            <w:pPr>
              <w:spacing w:after="40"/>
              <w:ind w:left="57" w:right="57"/>
              <w:rPr>
                <w:i/>
              </w:rPr>
            </w:pPr>
            <w:r>
              <w:t>Belgium</w:t>
            </w:r>
          </w:p>
        </w:tc>
        <w:tc>
          <w:tcPr>
            <w:tcW w:w="2321" w:type="dxa"/>
            <w:tcBorders>
              <w:top w:val="nil"/>
              <w:bottom w:val="nil"/>
            </w:tcBorders>
          </w:tcPr>
          <w:p w:rsidR="00000000" w:rsidRDefault="00000000">
            <w:pPr>
              <w:spacing w:after="40"/>
              <w:ind w:left="57" w:right="57"/>
            </w:pPr>
            <w:r>
              <w:t>Hong Kong SAR</w:t>
            </w:r>
          </w:p>
        </w:tc>
        <w:tc>
          <w:tcPr>
            <w:tcW w:w="2321" w:type="dxa"/>
            <w:tcBorders>
              <w:top w:val="nil"/>
              <w:bottom w:val="nil"/>
            </w:tcBorders>
          </w:tcPr>
          <w:p w:rsidR="00000000" w:rsidRDefault="00000000">
            <w:pPr>
              <w:spacing w:after="40"/>
              <w:ind w:left="57" w:right="57"/>
            </w:pPr>
            <w:r>
              <w:t>Netherlands</w:t>
            </w:r>
          </w:p>
        </w:tc>
        <w:tc>
          <w:tcPr>
            <w:tcW w:w="2321" w:type="dxa"/>
            <w:tcBorders>
              <w:top w:val="nil"/>
              <w:bottom w:val="nil"/>
            </w:tcBorders>
          </w:tcPr>
          <w:p w:rsidR="00000000" w:rsidRDefault="00000000">
            <w:pPr>
              <w:spacing w:after="40"/>
              <w:ind w:left="57" w:right="57"/>
            </w:pPr>
            <w:r>
              <w:t>Switzerland</w:t>
            </w:r>
          </w:p>
        </w:tc>
      </w:tr>
      <w:tr w:rsidR="00000000">
        <w:tblPrEx>
          <w:tblCellMar>
            <w:top w:w="0" w:type="dxa"/>
            <w:bottom w:w="0" w:type="dxa"/>
          </w:tblCellMar>
        </w:tblPrEx>
        <w:trPr>
          <w:cantSplit/>
          <w:jc w:val="center"/>
        </w:trPr>
        <w:tc>
          <w:tcPr>
            <w:tcW w:w="2321" w:type="dxa"/>
            <w:tcBorders>
              <w:top w:val="nil"/>
              <w:bottom w:val="nil"/>
            </w:tcBorders>
          </w:tcPr>
          <w:p w:rsidR="00000000" w:rsidRDefault="00000000">
            <w:pPr>
              <w:spacing w:after="40"/>
              <w:ind w:left="57" w:right="57"/>
            </w:pPr>
            <w:r>
              <w:t>Brazil</w:t>
            </w:r>
          </w:p>
        </w:tc>
        <w:tc>
          <w:tcPr>
            <w:tcW w:w="2321" w:type="dxa"/>
            <w:tcBorders>
              <w:top w:val="nil"/>
              <w:bottom w:val="nil"/>
            </w:tcBorders>
          </w:tcPr>
          <w:p w:rsidR="00000000" w:rsidRDefault="00000000">
            <w:pPr>
              <w:spacing w:after="40"/>
              <w:ind w:left="57" w:right="57"/>
            </w:pPr>
            <w:r>
              <w:t>Hungary</w:t>
            </w:r>
          </w:p>
        </w:tc>
        <w:tc>
          <w:tcPr>
            <w:tcW w:w="2321" w:type="dxa"/>
            <w:tcBorders>
              <w:top w:val="nil"/>
              <w:bottom w:val="nil"/>
            </w:tcBorders>
          </w:tcPr>
          <w:p w:rsidR="00000000" w:rsidRDefault="00000000">
            <w:pPr>
              <w:spacing w:after="40"/>
              <w:ind w:left="57" w:right="57"/>
            </w:pPr>
            <w:r>
              <w:t>Norway</w:t>
            </w:r>
          </w:p>
        </w:tc>
        <w:tc>
          <w:tcPr>
            <w:tcW w:w="2321" w:type="dxa"/>
            <w:tcBorders>
              <w:top w:val="nil"/>
              <w:bottom w:val="nil"/>
            </w:tcBorders>
          </w:tcPr>
          <w:p w:rsidR="00000000" w:rsidRDefault="00000000">
            <w:pPr>
              <w:spacing w:after="40"/>
              <w:ind w:left="57" w:right="57"/>
            </w:pPr>
            <w:r>
              <w:t>Turkey</w:t>
            </w:r>
          </w:p>
        </w:tc>
      </w:tr>
      <w:tr w:rsidR="00000000">
        <w:tblPrEx>
          <w:tblCellMar>
            <w:top w:w="0" w:type="dxa"/>
            <w:bottom w:w="0" w:type="dxa"/>
          </w:tblCellMar>
        </w:tblPrEx>
        <w:trPr>
          <w:cantSplit/>
          <w:jc w:val="center"/>
        </w:trPr>
        <w:tc>
          <w:tcPr>
            <w:tcW w:w="2321" w:type="dxa"/>
            <w:tcBorders>
              <w:top w:val="nil"/>
              <w:bottom w:val="nil"/>
            </w:tcBorders>
          </w:tcPr>
          <w:p w:rsidR="00000000" w:rsidRDefault="00000000">
            <w:pPr>
              <w:spacing w:after="40"/>
              <w:ind w:left="57" w:right="57"/>
            </w:pPr>
            <w:r>
              <w:t xml:space="preserve">Chile </w:t>
            </w:r>
          </w:p>
        </w:tc>
        <w:tc>
          <w:tcPr>
            <w:tcW w:w="2321" w:type="dxa"/>
            <w:tcBorders>
              <w:top w:val="nil"/>
              <w:bottom w:val="nil"/>
            </w:tcBorders>
          </w:tcPr>
          <w:p w:rsidR="00000000" w:rsidRDefault="00000000">
            <w:pPr>
              <w:spacing w:after="40"/>
              <w:ind w:left="57" w:right="57"/>
            </w:pPr>
            <w:r>
              <w:t>Ireland</w:t>
            </w:r>
          </w:p>
        </w:tc>
        <w:tc>
          <w:tcPr>
            <w:tcW w:w="2321" w:type="dxa"/>
            <w:tcBorders>
              <w:top w:val="nil"/>
              <w:bottom w:val="nil"/>
            </w:tcBorders>
          </w:tcPr>
          <w:p w:rsidR="00000000" w:rsidRDefault="00000000">
            <w:pPr>
              <w:spacing w:after="40"/>
              <w:ind w:left="57" w:right="57"/>
            </w:pPr>
            <w:r>
              <w:t>Paraguay</w:t>
            </w:r>
          </w:p>
        </w:tc>
        <w:tc>
          <w:tcPr>
            <w:tcW w:w="2321" w:type="dxa"/>
            <w:tcBorders>
              <w:top w:val="nil"/>
              <w:bottom w:val="nil"/>
            </w:tcBorders>
          </w:tcPr>
          <w:p w:rsidR="00000000" w:rsidRDefault="00000000">
            <w:pPr>
              <w:spacing w:after="40"/>
              <w:ind w:left="57" w:right="57"/>
            </w:pPr>
            <w:r>
              <w:t>USA</w:t>
            </w:r>
          </w:p>
        </w:tc>
      </w:tr>
      <w:tr w:rsidR="00000000">
        <w:tblPrEx>
          <w:tblCellMar>
            <w:top w:w="0" w:type="dxa"/>
            <w:bottom w:w="0" w:type="dxa"/>
          </w:tblCellMar>
        </w:tblPrEx>
        <w:trPr>
          <w:cantSplit/>
          <w:jc w:val="center"/>
        </w:trPr>
        <w:tc>
          <w:tcPr>
            <w:tcW w:w="2321" w:type="dxa"/>
            <w:tcBorders>
              <w:top w:val="nil"/>
              <w:bottom w:val="nil"/>
            </w:tcBorders>
          </w:tcPr>
          <w:p w:rsidR="00000000" w:rsidRDefault="00000000">
            <w:pPr>
              <w:spacing w:after="40"/>
              <w:ind w:left="57" w:right="57"/>
            </w:pPr>
            <w:r>
              <w:t>Croatia</w:t>
            </w:r>
          </w:p>
        </w:tc>
        <w:tc>
          <w:tcPr>
            <w:tcW w:w="2321" w:type="dxa"/>
            <w:tcBorders>
              <w:top w:val="nil"/>
              <w:bottom w:val="nil"/>
            </w:tcBorders>
          </w:tcPr>
          <w:p w:rsidR="00000000" w:rsidRDefault="00000000">
            <w:pPr>
              <w:spacing w:after="40"/>
              <w:ind w:left="57" w:right="57"/>
            </w:pPr>
            <w:r>
              <w:t>Israel</w:t>
            </w:r>
          </w:p>
        </w:tc>
        <w:tc>
          <w:tcPr>
            <w:tcW w:w="2321" w:type="dxa"/>
            <w:tcBorders>
              <w:top w:val="nil"/>
              <w:bottom w:val="nil"/>
            </w:tcBorders>
          </w:tcPr>
          <w:p w:rsidR="00000000" w:rsidRDefault="00000000">
            <w:pPr>
              <w:spacing w:after="40"/>
              <w:ind w:left="57" w:right="57"/>
            </w:pPr>
            <w:r>
              <w:t>Philippines</w:t>
            </w:r>
          </w:p>
        </w:tc>
        <w:tc>
          <w:tcPr>
            <w:tcW w:w="2321" w:type="dxa"/>
            <w:tcBorders>
              <w:top w:val="nil"/>
              <w:bottom w:val="nil"/>
            </w:tcBorders>
          </w:tcPr>
          <w:p w:rsidR="00000000" w:rsidRDefault="00000000">
            <w:pPr>
              <w:spacing w:after="40"/>
              <w:ind w:left="57" w:right="57"/>
            </w:pPr>
            <w:r>
              <w:t>Venezuela</w:t>
            </w:r>
          </w:p>
        </w:tc>
      </w:tr>
      <w:tr w:rsidR="00000000">
        <w:tblPrEx>
          <w:tblCellMar>
            <w:top w:w="0" w:type="dxa"/>
            <w:bottom w:w="0" w:type="dxa"/>
          </w:tblCellMar>
        </w:tblPrEx>
        <w:trPr>
          <w:cantSplit/>
          <w:jc w:val="center"/>
        </w:trPr>
        <w:tc>
          <w:tcPr>
            <w:tcW w:w="2321" w:type="dxa"/>
            <w:tcBorders>
              <w:top w:val="nil"/>
              <w:bottom w:val="nil"/>
            </w:tcBorders>
          </w:tcPr>
          <w:p w:rsidR="00000000" w:rsidRDefault="00000000">
            <w:pPr>
              <w:spacing w:after="40"/>
              <w:ind w:left="57" w:right="57"/>
            </w:pPr>
            <w:r>
              <w:t>Ecuador</w:t>
            </w:r>
          </w:p>
        </w:tc>
        <w:tc>
          <w:tcPr>
            <w:tcW w:w="2321" w:type="dxa"/>
            <w:tcBorders>
              <w:top w:val="nil"/>
              <w:bottom w:val="nil"/>
            </w:tcBorders>
          </w:tcPr>
          <w:p w:rsidR="00000000" w:rsidRDefault="00000000">
            <w:pPr>
              <w:spacing w:after="40"/>
              <w:ind w:left="57" w:right="57"/>
            </w:pPr>
            <w:r>
              <w:t>Italy</w:t>
            </w:r>
          </w:p>
        </w:tc>
        <w:tc>
          <w:tcPr>
            <w:tcW w:w="2321" w:type="dxa"/>
            <w:tcBorders>
              <w:top w:val="nil"/>
              <w:bottom w:val="nil"/>
            </w:tcBorders>
          </w:tcPr>
          <w:p w:rsidR="00000000" w:rsidRDefault="00000000">
            <w:pPr>
              <w:spacing w:after="40"/>
              <w:ind w:left="57" w:right="57"/>
            </w:pPr>
            <w:r>
              <w:t>Poland</w:t>
            </w:r>
          </w:p>
        </w:tc>
        <w:tc>
          <w:tcPr>
            <w:tcW w:w="2321" w:type="dxa"/>
            <w:tcBorders>
              <w:top w:val="nil"/>
              <w:bottom w:val="nil"/>
            </w:tcBorders>
          </w:tcPr>
          <w:p w:rsidR="00000000" w:rsidRDefault="00000000">
            <w:pPr>
              <w:spacing w:after="40"/>
              <w:ind w:left="57" w:right="57"/>
            </w:pPr>
          </w:p>
        </w:tc>
      </w:tr>
      <w:tr w:rsidR="00000000">
        <w:tblPrEx>
          <w:tblCellMar>
            <w:top w:w="0" w:type="dxa"/>
            <w:bottom w:w="0" w:type="dxa"/>
          </w:tblCellMar>
        </w:tblPrEx>
        <w:trPr>
          <w:cantSplit/>
          <w:jc w:val="center"/>
        </w:trPr>
        <w:tc>
          <w:tcPr>
            <w:tcW w:w="2321" w:type="dxa"/>
            <w:tcBorders>
              <w:top w:val="nil"/>
              <w:bottom w:val="nil"/>
            </w:tcBorders>
          </w:tcPr>
          <w:p w:rsidR="00000000" w:rsidRDefault="00000000">
            <w:pPr>
              <w:spacing w:after="40"/>
              <w:ind w:left="57" w:right="57"/>
            </w:pPr>
            <w:r>
              <w:t>Finland</w:t>
            </w:r>
          </w:p>
        </w:tc>
        <w:tc>
          <w:tcPr>
            <w:tcW w:w="2321" w:type="dxa"/>
            <w:tcBorders>
              <w:top w:val="nil"/>
              <w:bottom w:val="nil"/>
            </w:tcBorders>
          </w:tcPr>
          <w:p w:rsidR="00000000" w:rsidRDefault="00000000">
            <w:pPr>
              <w:spacing w:after="40"/>
              <w:ind w:left="57" w:right="57"/>
            </w:pPr>
            <w:r>
              <w:t>Korea, Republic of</w:t>
            </w:r>
          </w:p>
        </w:tc>
        <w:tc>
          <w:tcPr>
            <w:tcW w:w="2321" w:type="dxa"/>
            <w:tcBorders>
              <w:top w:val="nil"/>
              <w:bottom w:val="nil"/>
            </w:tcBorders>
          </w:tcPr>
          <w:p w:rsidR="00000000" w:rsidRDefault="00000000">
            <w:pPr>
              <w:spacing w:after="40"/>
              <w:ind w:left="57" w:right="57"/>
            </w:pPr>
            <w:r>
              <w:t>Portugal</w:t>
            </w:r>
          </w:p>
        </w:tc>
        <w:tc>
          <w:tcPr>
            <w:tcW w:w="2321" w:type="dxa"/>
            <w:tcBorders>
              <w:top w:val="nil"/>
              <w:bottom w:val="nil"/>
            </w:tcBorders>
          </w:tcPr>
          <w:p w:rsidR="00000000" w:rsidRDefault="00000000">
            <w:pPr>
              <w:spacing w:after="40"/>
              <w:ind w:left="57" w:right="57"/>
            </w:pPr>
          </w:p>
        </w:tc>
      </w:tr>
      <w:tr w:rsidR="00000000">
        <w:tblPrEx>
          <w:tblCellMar>
            <w:top w:w="0" w:type="dxa"/>
            <w:bottom w:w="0" w:type="dxa"/>
          </w:tblCellMar>
        </w:tblPrEx>
        <w:trPr>
          <w:cantSplit/>
          <w:jc w:val="center"/>
        </w:trPr>
        <w:tc>
          <w:tcPr>
            <w:tcW w:w="2321" w:type="dxa"/>
            <w:tcBorders>
              <w:top w:val="nil"/>
            </w:tcBorders>
          </w:tcPr>
          <w:p w:rsidR="00000000" w:rsidRDefault="00000000">
            <w:pPr>
              <w:spacing w:after="40"/>
              <w:ind w:left="57" w:right="57"/>
            </w:pPr>
            <w:r>
              <w:t>France</w:t>
            </w:r>
          </w:p>
        </w:tc>
        <w:tc>
          <w:tcPr>
            <w:tcW w:w="2321" w:type="dxa"/>
            <w:tcBorders>
              <w:top w:val="nil"/>
            </w:tcBorders>
          </w:tcPr>
          <w:p w:rsidR="00000000" w:rsidRDefault="00000000">
            <w:pPr>
              <w:spacing w:after="40"/>
              <w:ind w:left="57" w:right="57"/>
            </w:pPr>
            <w:r>
              <w:t>Luxembourg</w:t>
            </w:r>
          </w:p>
        </w:tc>
        <w:tc>
          <w:tcPr>
            <w:tcW w:w="2321" w:type="dxa"/>
            <w:tcBorders>
              <w:top w:val="nil"/>
            </w:tcBorders>
          </w:tcPr>
          <w:p w:rsidR="00000000" w:rsidRDefault="00000000">
            <w:pPr>
              <w:spacing w:after="40"/>
              <w:ind w:left="57" w:right="57"/>
            </w:pPr>
            <w:r>
              <w:t>South Africa</w:t>
            </w:r>
          </w:p>
        </w:tc>
        <w:tc>
          <w:tcPr>
            <w:tcW w:w="2321" w:type="dxa"/>
            <w:tcBorders>
              <w:top w:val="nil"/>
            </w:tcBorders>
          </w:tcPr>
          <w:p w:rsidR="00000000" w:rsidRDefault="00000000">
            <w:pPr>
              <w:spacing w:after="40"/>
              <w:ind w:left="57" w:right="57"/>
            </w:pPr>
          </w:p>
        </w:tc>
      </w:tr>
    </w:tbl>
    <w:p w:rsidR="00000000" w:rsidRDefault="00000000">
      <w:pPr>
        <w:pStyle w:val="Heading3"/>
        <w:spacing w:before="240"/>
      </w:pPr>
      <w:bookmarkStart w:id="343" w:name="_Toc77672883"/>
      <w:bookmarkStart w:id="344" w:name="_Toc79216242"/>
      <w:bookmarkStart w:id="345" w:name="_Toc79216836"/>
      <w:bookmarkStart w:id="346" w:name="_Toc79291368"/>
      <w:bookmarkStart w:id="347" w:name="_Toc79296103"/>
      <w:bookmarkStart w:id="348" w:name="_Toc83782188"/>
      <w:bookmarkStart w:id="349" w:name="_Toc83801001"/>
      <w:bookmarkStart w:id="350" w:name="_Toc84318922"/>
      <w:bookmarkStart w:id="351" w:name="_Toc94087542"/>
      <w:r>
        <w:t>Non</w:t>
      </w:r>
      <w:r>
        <w:noBreakHyphen/>
        <w:t>treaty based extradition relationships</w:t>
      </w:r>
      <w:bookmarkEnd w:id="343"/>
      <w:bookmarkEnd w:id="344"/>
      <w:bookmarkEnd w:id="345"/>
      <w:bookmarkEnd w:id="346"/>
      <w:bookmarkEnd w:id="347"/>
      <w:bookmarkEnd w:id="348"/>
      <w:bookmarkEnd w:id="349"/>
      <w:bookmarkEnd w:id="350"/>
      <w:bookmarkEnd w:id="351"/>
    </w:p>
    <w:p w:rsidR="00000000" w:rsidRDefault="00000000">
      <w:pPr>
        <w:ind w:firstLine="720"/>
      </w:pPr>
      <w:r>
        <w:t>Australia has non</w:t>
      </w:r>
      <w:r>
        <w:noBreakHyphen/>
        <w:t>treaty based extradition relationships with the following countries and State parties to the Convention against Torture:</w:t>
      </w:r>
    </w:p>
    <w:tbl>
      <w:tblPr>
        <w:tblW w:w="0" w:type="auto"/>
        <w:jc w:val="center"/>
        <w:tblInd w:w="-188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80" w:type="dxa"/>
          <w:right w:w="80" w:type="dxa"/>
        </w:tblCellMar>
        <w:tblLook w:val="0000" w:firstRow="0" w:lastRow="0" w:firstColumn="0" w:lastColumn="0" w:noHBand="0" w:noVBand="0"/>
      </w:tblPr>
      <w:tblGrid>
        <w:gridCol w:w="3141"/>
        <w:gridCol w:w="3074"/>
        <w:gridCol w:w="3074"/>
      </w:tblGrid>
      <w:tr w:rsidR="00000000">
        <w:tblPrEx>
          <w:tblCellMar>
            <w:top w:w="0" w:type="dxa"/>
            <w:bottom w:w="0" w:type="dxa"/>
          </w:tblCellMar>
        </w:tblPrEx>
        <w:trPr>
          <w:cantSplit/>
          <w:jc w:val="center"/>
        </w:trPr>
        <w:tc>
          <w:tcPr>
            <w:tcW w:w="3141" w:type="dxa"/>
            <w:tcBorders>
              <w:bottom w:val="nil"/>
            </w:tcBorders>
          </w:tcPr>
          <w:p w:rsidR="00000000" w:rsidRDefault="00000000">
            <w:pPr>
              <w:spacing w:after="40"/>
              <w:ind w:left="57" w:right="57"/>
            </w:pPr>
            <w:r>
              <w:t>Antigua and Barbuda</w:t>
            </w:r>
          </w:p>
        </w:tc>
        <w:tc>
          <w:tcPr>
            <w:tcW w:w="3074" w:type="dxa"/>
            <w:tcBorders>
              <w:bottom w:val="nil"/>
            </w:tcBorders>
          </w:tcPr>
          <w:p w:rsidR="00000000" w:rsidRDefault="00000000">
            <w:pPr>
              <w:spacing w:after="40"/>
              <w:ind w:left="57" w:right="57"/>
            </w:pPr>
            <w:r>
              <w:t>Iceland</w:t>
            </w:r>
          </w:p>
        </w:tc>
        <w:tc>
          <w:tcPr>
            <w:tcW w:w="3074" w:type="dxa"/>
            <w:tcBorders>
              <w:bottom w:val="nil"/>
            </w:tcBorders>
          </w:tcPr>
          <w:p w:rsidR="00000000" w:rsidRDefault="00000000">
            <w:pPr>
              <w:spacing w:after="40"/>
              <w:ind w:left="57" w:right="57"/>
            </w:pPr>
            <w:r>
              <w:t>Namibia</w:t>
            </w:r>
          </w:p>
        </w:tc>
      </w:tr>
      <w:tr w:rsidR="00000000">
        <w:tblPrEx>
          <w:tblCellMar>
            <w:top w:w="0" w:type="dxa"/>
            <w:bottom w:w="0" w:type="dxa"/>
          </w:tblCellMar>
        </w:tblPrEx>
        <w:trPr>
          <w:cantSplit/>
          <w:jc w:val="center"/>
        </w:trPr>
        <w:tc>
          <w:tcPr>
            <w:tcW w:w="3141" w:type="dxa"/>
            <w:tcBorders>
              <w:top w:val="nil"/>
              <w:bottom w:val="nil"/>
            </w:tcBorders>
          </w:tcPr>
          <w:p w:rsidR="00000000" w:rsidRDefault="00000000">
            <w:pPr>
              <w:spacing w:after="40"/>
              <w:ind w:left="57" w:right="57"/>
            </w:pPr>
            <w:r>
              <w:t>Bangladesh</w:t>
            </w:r>
          </w:p>
        </w:tc>
        <w:tc>
          <w:tcPr>
            <w:tcW w:w="3074" w:type="dxa"/>
            <w:tcBorders>
              <w:top w:val="nil"/>
              <w:bottom w:val="nil"/>
            </w:tcBorders>
          </w:tcPr>
          <w:p w:rsidR="00000000" w:rsidRDefault="00000000">
            <w:pPr>
              <w:spacing w:after="40"/>
              <w:ind w:left="57" w:right="57"/>
            </w:pPr>
            <w:r>
              <w:t>Japan</w:t>
            </w:r>
          </w:p>
        </w:tc>
        <w:tc>
          <w:tcPr>
            <w:tcW w:w="3074" w:type="dxa"/>
            <w:tcBorders>
              <w:top w:val="nil"/>
              <w:bottom w:val="nil"/>
            </w:tcBorders>
          </w:tcPr>
          <w:p w:rsidR="00000000" w:rsidRDefault="00000000">
            <w:pPr>
              <w:spacing w:after="40"/>
              <w:ind w:left="57" w:right="57"/>
            </w:pPr>
            <w:r>
              <w:t xml:space="preserve">New Zealand </w:t>
            </w:r>
          </w:p>
        </w:tc>
      </w:tr>
      <w:tr w:rsidR="00000000">
        <w:tblPrEx>
          <w:tblCellMar>
            <w:top w:w="0" w:type="dxa"/>
            <w:bottom w:w="0" w:type="dxa"/>
          </w:tblCellMar>
        </w:tblPrEx>
        <w:trPr>
          <w:cantSplit/>
          <w:jc w:val="center"/>
        </w:trPr>
        <w:tc>
          <w:tcPr>
            <w:tcW w:w="3141" w:type="dxa"/>
            <w:tcBorders>
              <w:top w:val="nil"/>
              <w:bottom w:val="nil"/>
            </w:tcBorders>
          </w:tcPr>
          <w:p w:rsidR="00000000" w:rsidRDefault="00000000">
            <w:pPr>
              <w:spacing w:after="40"/>
              <w:ind w:left="57" w:right="57"/>
            </w:pPr>
            <w:r>
              <w:t>Botswana</w:t>
            </w:r>
          </w:p>
        </w:tc>
        <w:tc>
          <w:tcPr>
            <w:tcW w:w="3074" w:type="dxa"/>
            <w:tcBorders>
              <w:top w:val="nil"/>
              <w:bottom w:val="nil"/>
            </w:tcBorders>
          </w:tcPr>
          <w:p w:rsidR="00000000" w:rsidRDefault="00000000">
            <w:pPr>
              <w:spacing w:after="40"/>
              <w:ind w:left="57" w:right="57"/>
            </w:pPr>
            <w:r>
              <w:t>Jordan</w:t>
            </w:r>
          </w:p>
        </w:tc>
        <w:tc>
          <w:tcPr>
            <w:tcW w:w="3074" w:type="dxa"/>
            <w:tcBorders>
              <w:top w:val="nil"/>
              <w:bottom w:val="nil"/>
            </w:tcBorders>
          </w:tcPr>
          <w:p w:rsidR="00000000" w:rsidRDefault="00000000">
            <w:pPr>
              <w:spacing w:after="40"/>
              <w:ind w:left="57" w:right="57"/>
            </w:pPr>
            <w:r>
              <w:t>Nigeria</w:t>
            </w:r>
          </w:p>
        </w:tc>
      </w:tr>
      <w:tr w:rsidR="00000000">
        <w:tblPrEx>
          <w:tblCellMar>
            <w:top w:w="0" w:type="dxa"/>
            <w:bottom w:w="0" w:type="dxa"/>
          </w:tblCellMar>
        </w:tblPrEx>
        <w:trPr>
          <w:cantSplit/>
          <w:jc w:val="center"/>
        </w:trPr>
        <w:tc>
          <w:tcPr>
            <w:tcW w:w="3141" w:type="dxa"/>
            <w:tcBorders>
              <w:top w:val="nil"/>
              <w:bottom w:val="nil"/>
            </w:tcBorders>
          </w:tcPr>
          <w:p w:rsidR="00000000" w:rsidRDefault="00000000">
            <w:pPr>
              <w:spacing w:after="40"/>
              <w:ind w:left="57" w:right="57"/>
            </w:pPr>
            <w:r>
              <w:t>Cambodia</w:t>
            </w:r>
          </w:p>
        </w:tc>
        <w:tc>
          <w:tcPr>
            <w:tcW w:w="3074" w:type="dxa"/>
            <w:tcBorders>
              <w:top w:val="nil"/>
              <w:bottom w:val="nil"/>
            </w:tcBorders>
          </w:tcPr>
          <w:p w:rsidR="00000000" w:rsidRDefault="00000000">
            <w:pPr>
              <w:spacing w:after="40"/>
              <w:ind w:left="57" w:right="57"/>
            </w:pPr>
            <w:r>
              <w:t>Kenya</w:t>
            </w:r>
          </w:p>
        </w:tc>
        <w:tc>
          <w:tcPr>
            <w:tcW w:w="3074" w:type="dxa"/>
            <w:tcBorders>
              <w:top w:val="nil"/>
              <w:bottom w:val="nil"/>
            </w:tcBorders>
          </w:tcPr>
          <w:p w:rsidR="00000000" w:rsidRDefault="00000000">
            <w:pPr>
              <w:spacing w:after="40"/>
              <w:ind w:left="57" w:right="57"/>
            </w:pPr>
            <w:r>
              <w:t>Seychelles</w:t>
            </w:r>
          </w:p>
        </w:tc>
      </w:tr>
      <w:tr w:rsidR="00000000">
        <w:tblPrEx>
          <w:tblCellMar>
            <w:top w:w="0" w:type="dxa"/>
            <w:bottom w:w="0" w:type="dxa"/>
          </w:tblCellMar>
        </w:tblPrEx>
        <w:trPr>
          <w:cantSplit/>
          <w:jc w:val="center"/>
        </w:trPr>
        <w:tc>
          <w:tcPr>
            <w:tcW w:w="3141" w:type="dxa"/>
            <w:tcBorders>
              <w:top w:val="nil"/>
              <w:bottom w:val="nil"/>
            </w:tcBorders>
          </w:tcPr>
          <w:p w:rsidR="00000000" w:rsidRDefault="00000000">
            <w:pPr>
              <w:spacing w:after="40"/>
              <w:ind w:left="57" w:right="57"/>
            </w:pPr>
            <w:r>
              <w:t>Canada</w:t>
            </w:r>
          </w:p>
        </w:tc>
        <w:tc>
          <w:tcPr>
            <w:tcW w:w="3074" w:type="dxa"/>
            <w:tcBorders>
              <w:top w:val="nil"/>
              <w:bottom w:val="nil"/>
            </w:tcBorders>
          </w:tcPr>
          <w:p w:rsidR="00000000" w:rsidRDefault="00000000">
            <w:pPr>
              <w:spacing w:after="40"/>
              <w:ind w:left="57" w:right="57"/>
            </w:pPr>
            <w:r>
              <w:t>Latvia</w:t>
            </w:r>
          </w:p>
        </w:tc>
        <w:tc>
          <w:tcPr>
            <w:tcW w:w="3074" w:type="dxa"/>
            <w:tcBorders>
              <w:top w:val="nil"/>
              <w:bottom w:val="nil"/>
            </w:tcBorders>
          </w:tcPr>
          <w:p w:rsidR="00000000" w:rsidRDefault="00000000">
            <w:pPr>
              <w:spacing w:after="40"/>
              <w:ind w:left="57" w:right="57"/>
            </w:pPr>
            <w:r>
              <w:t>Sierra Leone</w:t>
            </w:r>
          </w:p>
        </w:tc>
      </w:tr>
      <w:tr w:rsidR="00000000">
        <w:tblPrEx>
          <w:tblCellMar>
            <w:top w:w="0" w:type="dxa"/>
            <w:bottom w:w="0" w:type="dxa"/>
          </w:tblCellMar>
        </w:tblPrEx>
        <w:trPr>
          <w:cantSplit/>
          <w:jc w:val="center"/>
        </w:trPr>
        <w:tc>
          <w:tcPr>
            <w:tcW w:w="3141" w:type="dxa"/>
            <w:tcBorders>
              <w:top w:val="nil"/>
              <w:bottom w:val="nil"/>
            </w:tcBorders>
          </w:tcPr>
          <w:p w:rsidR="00000000" w:rsidRDefault="00000000">
            <w:pPr>
              <w:spacing w:after="40"/>
              <w:ind w:left="57" w:right="57"/>
            </w:pPr>
            <w:r>
              <w:t xml:space="preserve">Cyprus </w:t>
            </w:r>
          </w:p>
        </w:tc>
        <w:tc>
          <w:tcPr>
            <w:tcW w:w="3074" w:type="dxa"/>
            <w:tcBorders>
              <w:top w:val="nil"/>
              <w:bottom w:val="nil"/>
            </w:tcBorders>
          </w:tcPr>
          <w:p w:rsidR="00000000" w:rsidRDefault="00000000">
            <w:pPr>
              <w:spacing w:after="40"/>
              <w:ind w:left="57" w:right="57"/>
            </w:pPr>
            <w:r>
              <w:t>Lebanon</w:t>
            </w:r>
          </w:p>
        </w:tc>
        <w:tc>
          <w:tcPr>
            <w:tcW w:w="3074" w:type="dxa"/>
            <w:tcBorders>
              <w:top w:val="nil"/>
              <w:bottom w:val="nil"/>
            </w:tcBorders>
          </w:tcPr>
          <w:p w:rsidR="00000000" w:rsidRDefault="00000000">
            <w:pPr>
              <w:spacing w:after="40"/>
              <w:ind w:left="57" w:right="57"/>
            </w:pPr>
            <w:r>
              <w:t>Sri Lanka</w:t>
            </w:r>
          </w:p>
        </w:tc>
      </w:tr>
      <w:tr w:rsidR="00000000">
        <w:tblPrEx>
          <w:tblCellMar>
            <w:top w:w="0" w:type="dxa"/>
            <w:bottom w:w="0" w:type="dxa"/>
          </w:tblCellMar>
        </w:tblPrEx>
        <w:trPr>
          <w:cantSplit/>
          <w:jc w:val="center"/>
        </w:trPr>
        <w:tc>
          <w:tcPr>
            <w:tcW w:w="3141" w:type="dxa"/>
            <w:tcBorders>
              <w:top w:val="nil"/>
              <w:bottom w:val="nil"/>
            </w:tcBorders>
          </w:tcPr>
          <w:p w:rsidR="00000000" w:rsidRDefault="00000000">
            <w:pPr>
              <w:spacing w:after="40"/>
              <w:ind w:left="57" w:right="57"/>
            </w:pPr>
            <w:r>
              <w:t>Denmark</w:t>
            </w:r>
          </w:p>
        </w:tc>
        <w:tc>
          <w:tcPr>
            <w:tcW w:w="3074" w:type="dxa"/>
            <w:tcBorders>
              <w:top w:val="nil"/>
              <w:bottom w:val="nil"/>
            </w:tcBorders>
          </w:tcPr>
          <w:p w:rsidR="00000000" w:rsidRDefault="00000000">
            <w:pPr>
              <w:spacing w:after="40"/>
              <w:ind w:left="57" w:right="57"/>
            </w:pPr>
            <w:r>
              <w:t>Lesotho</w:t>
            </w:r>
          </w:p>
        </w:tc>
        <w:tc>
          <w:tcPr>
            <w:tcW w:w="3074" w:type="dxa"/>
            <w:tcBorders>
              <w:top w:val="nil"/>
              <w:bottom w:val="nil"/>
            </w:tcBorders>
          </w:tcPr>
          <w:p w:rsidR="00000000" w:rsidRDefault="00000000">
            <w:pPr>
              <w:spacing w:after="40"/>
              <w:ind w:left="57" w:right="57"/>
            </w:pPr>
            <w:r>
              <w:t xml:space="preserve">Uganda </w:t>
            </w:r>
          </w:p>
        </w:tc>
      </w:tr>
      <w:tr w:rsidR="00000000">
        <w:tblPrEx>
          <w:tblCellMar>
            <w:top w:w="0" w:type="dxa"/>
            <w:bottom w:w="0" w:type="dxa"/>
          </w:tblCellMar>
        </w:tblPrEx>
        <w:trPr>
          <w:cantSplit/>
          <w:jc w:val="center"/>
        </w:trPr>
        <w:tc>
          <w:tcPr>
            <w:tcW w:w="3141" w:type="dxa"/>
            <w:tcBorders>
              <w:top w:val="nil"/>
              <w:bottom w:val="nil"/>
            </w:tcBorders>
          </w:tcPr>
          <w:p w:rsidR="00000000" w:rsidRDefault="00000000">
            <w:pPr>
              <w:spacing w:after="40"/>
              <w:ind w:left="57" w:right="57"/>
            </w:pPr>
            <w:r>
              <w:t>Estonia</w:t>
            </w:r>
          </w:p>
        </w:tc>
        <w:tc>
          <w:tcPr>
            <w:tcW w:w="3074" w:type="dxa"/>
            <w:tcBorders>
              <w:top w:val="nil"/>
              <w:bottom w:val="nil"/>
            </w:tcBorders>
          </w:tcPr>
          <w:p w:rsidR="00000000" w:rsidRDefault="00000000">
            <w:pPr>
              <w:spacing w:after="40"/>
              <w:ind w:left="57" w:right="57"/>
            </w:pPr>
            <w:r>
              <w:t>Malawi</w:t>
            </w:r>
          </w:p>
        </w:tc>
        <w:tc>
          <w:tcPr>
            <w:tcW w:w="3074" w:type="dxa"/>
            <w:tcBorders>
              <w:top w:val="nil"/>
              <w:bottom w:val="nil"/>
            </w:tcBorders>
          </w:tcPr>
          <w:p w:rsidR="00000000" w:rsidRDefault="00000000">
            <w:pPr>
              <w:spacing w:after="40"/>
              <w:ind w:left="57" w:right="57"/>
            </w:pPr>
            <w:r>
              <w:t>United Kingdom</w:t>
            </w:r>
          </w:p>
        </w:tc>
      </w:tr>
      <w:tr w:rsidR="00000000">
        <w:tblPrEx>
          <w:tblCellMar>
            <w:top w:w="0" w:type="dxa"/>
            <w:bottom w:w="0" w:type="dxa"/>
          </w:tblCellMar>
        </w:tblPrEx>
        <w:trPr>
          <w:cantSplit/>
          <w:jc w:val="center"/>
        </w:trPr>
        <w:tc>
          <w:tcPr>
            <w:tcW w:w="3141" w:type="dxa"/>
            <w:tcBorders>
              <w:top w:val="nil"/>
              <w:bottom w:val="nil"/>
            </w:tcBorders>
          </w:tcPr>
          <w:p w:rsidR="00000000" w:rsidRDefault="00000000">
            <w:pPr>
              <w:spacing w:after="40"/>
              <w:ind w:left="57" w:right="57"/>
            </w:pPr>
            <w:r>
              <w:t>Ghana</w:t>
            </w:r>
          </w:p>
        </w:tc>
        <w:tc>
          <w:tcPr>
            <w:tcW w:w="3074" w:type="dxa"/>
            <w:tcBorders>
              <w:top w:val="nil"/>
              <w:bottom w:val="nil"/>
            </w:tcBorders>
          </w:tcPr>
          <w:p w:rsidR="00000000" w:rsidRDefault="00000000">
            <w:pPr>
              <w:spacing w:after="40"/>
              <w:ind w:left="57" w:right="57"/>
            </w:pPr>
            <w:r>
              <w:t>Malta</w:t>
            </w:r>
          </w:p>
        </w:tc>
        <w:tc>
          <w:tcPr>
            <w:tcW w:w="3074" w:type="dxa"/>
            <w:tcBorders>
              <w:top w:val="nil"/>
              <w:bottom w:val="nil"/>
            </w:tcBorders>
          </w:tcPr>
          <w:p w:rsidR="00000000" w:rsidRDefault="00000000">
            <w:pPr>
              <w:spacing w:after="40"/>
              <w:ind w:left="57" w:right="57"/>
            </w:pPr>
            <w:r>
              <w:t>Zambia</w:t>
            </w:r>
          </w:p>
        </w:tc>
      </w:tr>
      <w:tr w:rsidR="00000000">
        <w:tblPrEx>
          <w:tblCellMar>
            <w:top w:w="0" w:type="dxa"/>
            <w:bottom w:w="0" w:type="dxa"/>
          </w:tblCellMar>
        </w:tblPrEx>
        <w:trPr>
          <w:cantSplit/>
          <w:jc w:val="center"/>
        </w:trPr>
        <w:tc>
          <w:tcPr>
            <w:tcW w:w="3141" w:type="dxa"/>
            <w:tcBorders>
              <w:top w:val="nil"/>
            </w:tcBorders>
          </w:tcPr>
          <w:p w:rsidR="00000000" w:rsidRDefault="00000000">
            <w:pPr>
              <w:spacing w:after="40"/>
              <w:ind w:left="57" w:right="57"/>
            </w:pPr>
            <w:r>
              <w:t>Guyana</w:t>
            </w:r>
          </w:p>
        </w:tc>
        <w:tc>
          <w:tcPr>
            <w:tcW w:w="3074" w:type="dxa"/>
            <w:tcBorders>
              <w:top w:val="nil"/>
            </w:tcBorders>
          </w:tcPr>
          <w:p w:rsidR="00000000" w:rsidRDefault="00000000">
            <w:pPr>
              <w:spacing w:after="40"/>
              <w:ind w:left="57" w:right="57"/>
            </w:pPr>
            <w:r>
              <w:t>Mauritius</w:t>
            </w:r>
          </w:p>
        </w:tc>
        <w:tc>
          <w:tcPr>
            <w:tcW w:w="3074" w:type="dxa"/>
            <w:tcBorders>
              <w:top w:val="nil"/>
            </w:tcBorders>
          </w:tcPr>
          <w:p w:rsidR="00000000" w:rsidRDefault="00000000">
            <w:pPr>
              <w:spacing w:after="40"/>
              <w:ind w:left="57" w:right="57"/>
            </w:pPr>
          </w:p>
        </w:tc>
      </w:tr>
    </w:tbl>
    <w:p w:rsidR="00000000" w:rsidRDefault="00000000">
      <w:pPr>
        <w:pStyle w:val="Heading2"/>
      </w:pPr>
      <w:bookmarkStart w:id="352" w:name="_Toc445283911"/>
      <w:bookmarkStart w:id="353" w:name="_Toc445541555"/>
      <w:bookmarkStart w:id="354" w:name="_Toc445542798"/>
      <w:bookmarkStart w:id="355" w:name="_Toc445606611"/>
      <w:bookmarkStart w:id="356" w:name="_Toc445608751"/>
      <w:bookmarkStart w:id="357" w:name="_Toc445609140"/>
      <w:bookmarkStart w:id="358" w:name="_Toc445610570"/>
      <w:bookmarkStart w:id="359" w:name="_Toc445612342"/>
      <w:bookmarkStart w:id="360" w:name="_Toc445714848"/>
      <w:bookmarkStart w:id="361" w:name="_Toc79216243"/>
      <w:bookmarkStart w:id="362" w:name="_Toc79216837"/>
      <w:bookmarkStart w:id="363" w:name="_Toc79291369"/>
      <w:bookmarkStart w:id="364" w:name="_Toc79296104"/>
      <w:bookmarkStart w:id="365" w:name="_Toc83782189"/>
      <w:bookmarkStart w:id="366" w:name="_Toc83801002"/>
      <w:bookmarkStart w:id="367" w:name="_Toc84318923"/>
      <w:bookmarkStart w:id="368" w:name="_Toc94087543"/>
      <w:r>
        <w:br w:type="page"/>
        <w:t>List of annexes</w:t>
      </w:r>
      <w:bookmarkEnd w:id="352"/>
      <w:bookmarkEnd w:id="353"/>
      <w:bookmarkEnd w:id="354"/>
      <w:bookmarkEnd w:id="355"/>
      <w:bookmarkEnd w:id="356"/>
      <w:bookmarkEnd w:id="357"/>
      <w:bookmarkEnd w:id="358"/>
      <w:bookmarkEnd w:id="359"/>
      <w:bookmarkEnd w:id="360"/>
      <w:r>
        <w:rPr>
          <w:rStyle w:val="FootnoteReference"/>
          <w:vertAlign w:val="baseline"/>
        </w:rPr>
        <w:footnoteReference w:customMarkFollows="1" w:id="4"/>
        <w:t>*</w:t>
      </w:r>
      <w:bookmarkEnd w:id="361"/>
      <w:bookmarkEnd w:id="362"/>
      <w:bookmarkEnd w:id="363"/>
      <w:bookmarkEnd w:id="364"/>
      <w:bookmarkEnd w:id="365"/>
      <w:bookmarkEnd w:id="366"/>
      <w:bookmarkEnd w:id="367"/>
      <w:bookmarkEnd w:id="368"/>
    </w:p>
    <w:p w:rsidR="00000000" w:rsidRDefault="00000000">
      <w:pPr>
        <w:ind w:left="1134" w:hanging="1134"/>
      </w:pPr>
      <w:r>
        <w:rPr>
          <w:bCs/>
        </w:rPr>
        <w:t>Annex 1</w:t>
      </w:r>
      <w:r>
        <w:tab/>
      </w:r>
      <w:r>
        <w:rPr>
          <w:i/>
        </w:rPr>
        <w:t>Guidelines on Ministerial Powers Under Sections 345, 351, 391, 417, 454 and 501J of the Migration Act 1958.</w:t>
      </w:r>
    </w:p>
    <w:p w:rsidR="00000000" w:rsidRDefault="00000000">
      <w:pPr>
        <w:ind w:left="1134" w:hanging="1134"/>
      </w:pPr>
      <w:r>
        <w:rPr>
          <w:bCs/>
        </w:rPr>
        <w:t>Annex 2</w:t>
      </w:r>
      <w:r>
        <w:tab/>
        <w:t xml:space="preserve">General Direction No. 9, </w:t>
      </w:r>
      <w:r>
        <w:rPr>
          <w:i/>
        </w:rPr>
        <w:t>Criminal Deportation under Section 200 of the Migration Act 1958</w:t>
      </w:r>
      <w:r>
        <w:t>, December 1998.</w:t>
      </w:r>
    </w:p>
    <w:p w:rsidR="00000000" w:rsidRDefault="00000000">
      <w:pPr>
        <w:ind w:left="1134" w:hanging="1134"/>
        <w:jc w:val="center"/>
      </w:pPr>
      <w:r>
        <w:t>-----</w:t>
      </w:r>
    </w:p>
    <w:sectPr w:rsidR="00000000">
      <w:headerReference w:type="even" r:id="rId13"/>
      <w:headerReference w:type="default" r:id="rId14"/>
      <w:headerReference w:type="first" r:id="rId15"/>
      <w:endnotePr>
        <w:numFmt w:val="decimal"/>
      </w:endnotePr>
      <w:pgSz w:w="11907" w:h="16840" w:code="9"/>
      <w:pgMar w:top="567" w:right="851" w:bottom="1985" w:left="1701" w:header="851" w:footer="1985"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 w:id="2">
    <w:p w:rsidR="00000000" w:rsidRDefault="00000000">
      <w:pPr>
        <w:pStyle w:val="EndnoteText"/>
        <w:spacing w:after="200"/>
      </w:pPr>
      <w:r>
        <w:rPr>
          <w:rStyle w:val="EndnoteReference"/>
        </w:rPr>
        <w:endnoteRef/>
      </w:r>
      <w:r>
        <w:t xml:space="preserve">  Australia’s First Report under the Convention, submitted to the Committee on 27 August 1991; Australia’s Second and Third Report, submitted to the Committee on 19 October 1999.</w:t>
      </w:r>
    </w:p>
  </w:endnote>
  <w:endnote w:id="3">
    <w:p w:rsidR="00000000" w:rsidRDefault="00000000">
      <w:pPr>
        <w:pStyle w:val="EndnoteText"/>
        <w:spacing w:after="200"/>
      </w:pPr>
      <w:r>
        <w:rPr>
          <w:rStyle w:val="EndnoteReference"/>
        </w:rPr>
        <w:endnoteRef/>
      </w:r>
      <w:r>
        <w:rPr>
          <w:i/>
        </w:rPr>
        <w:t xml:space="preserve">  Core Document Australia</w:t>
      </w:r>
      <w:r>
        <w:t>, 19 April 1994.  At the time of preparation of this report, Australia is in the process of updating its Core Document.</w:t>
      </w:r>
    </w:p>
  </w:endnote>
  <w:endnote w:id="4">
    <w:p w:rsidR="00000000" w:rsidRDefault="00000000">
      <w:pPr>
        <w:pStyle w:val="EndnoteText"/>
        <w:spacing w:after="200"/>
      </w:pPr>
      <w:r>
        <w:rPr>
          <w:rStyle w:val="EndnoteReference"/>
        </w:rPr>
        <w:endnoteRef/>
      </w:r>
      <w:r>
        <w:t xml:space="preserve">  The Committee is referred to Australia’s Core Document for a more detailed description of Australia’s federal constitutional system.  In particular, see the following sections: ‘Law in Australia </w:t>
      </w:r>
      <w:r>
        <w:noBreakHyphen/>
        <w:t xml:space="preserve"> Nature and Composition’ and ‘Implementing Human Rights Obligations in a Federal System’.</w:t>
      </w:r>
    </w:p>
  </w:endnote>
  <w:endnote w:id="5">
    <w:p w:rsidR="00000000" w:rsidRDefault="00000000">
      <w:pPr>
        <w:pStyle w:val="EndnoteText"/>
        <w:spacing w:after="200"/>
      </w:pPr>
      <w:r>
        <w:rPr>
          <w:rStyle w:val="EndnoteReference"/>
        </w:rPr>
        <w:endnoteRef/>
      </w:r>
      <w:r>
        <w:t xml:space="preserve">  In its Concluding Observations on Australia’s Second and Third Report, the Committee recommended that Australia ‘ensure that all States and territories are at all times in compliance with its obligations under the Convention’: </w:t>
      </w:r>
      <w:r>
        <w:rPr>
          <w:i/>
        </w:rPr>
        <w:t>Concluding Observations of the Committee against Torture: Australia</w:t>
      </w:r>
      <w:r>
        <w:t>, twenty</w:t>
      </w:r>
      <w:r>
        <w:noBreakHyphen/>
        <w:t>fifth session, 13</w:t>
      </w:r>
      <w:r>
        <w:noBreakHyphen/>
        <w:t>24 November 2000.</w:t>
      </w:r>
    </w:p>
  </w:endnote>
  <w:endnote w:id="6">
    <w:p w:rsidR="00000000" w:rsidRDefault="00000000">
      <w:pPr>
        <w:pStyle w:val="EndnoteText"/>
        <w:spacing w:after="200"/>
      </w:pPr>
      <w:r>
        <w:rPr>
          <w:rStyle w:val="EndnoteReference"/>
        </w:rPr>
        <w:endnoteRef/>
      </w:r>
      <w:r>
        <w:t xml:space="preserve">  Joint Standing Committee on Treaties, </w:t>
      </w:r>
      <w:r>
        <w:rPr>
          <w:i/>
        </w:rPr>
        <w:t>Report 58, Optional Protocol to the Convention against Torture and Other Cruel, Inhuman or Degrading Treatment or Punishment</w:t>
      </w:r>
      <w:r>
        <w:t xml:space="preserve">, March 2004, at: </w:t>
      </w:r>
      <w:hyperlink r:id="rId1" w:history="1">
        <w:r>
          <w:rPr>
            <w:rStyle w:val="Hyperlink"/>
          </w:rPr>
          <w:t>http://www.aph.gov.au/house/committee/jsct/OPCAT/report/front.pdf</w:t>
        </w:r>
      </w:hyperlink>
      <w:r>
        <w:t xml:space="preserve"> .</w:t>
      </w:r>
    </w:p>
  </w:endnote>
  <w:endnote w:id="7">
    <w:p w:rsidR="00000000" w:rsidRDefault="00000000">
      <w:pPr>
        <w:pStyle w:val="EndnoteText"/>
        <w:spacing w:after="200"/>
      </w:pPr>
      <w:r>
        <w:rPr>
          <w:rStyle w:val="EndnoteReference"/>
        </w:rPr>
        <w:endnoteRef/>
      </w:r>
      <w:r>
        <w:t xml:space="preserve">  Ibid, v.</w:t>
      </w:r>
    </w:p>
  </w:endnote>
  <w:endnote w:id="8">
    <w:p w:rsidR="00000000" w:rsidRDefault="00000000">
      <w:pPr>
        <w:pStyle w:val="EndnoteText"/>
        <w:spacing w:after="200"/>
      </w:pPr>
      <w:r>
        <w:rPr>
          <w:rStyle w:val="EndnoteReference"/>
        </w:rPr>
        <w:endnoteRef/>
      </w:r>
      <w:r>
        <w:t xml:space="preserve">  Ibid, Recommendation 1, xi. </w:t>
      </w:r>
    </w:p>
  </w:endnote>
  <w:endnote w:id="9">
    <w:p w:rsidR="00000000" w:rsidRDefault="00000000">
      <w:pPr>
        <w:pStyle w:val="EndnoteText"/>
        <w:spacing w:after="200"/>
      </w:pPr>
      <w:r>
        <w:rPr>
          <w:rStyle w:val="EndnoteReference"/>
        </w:rPr>
        <w:endnoteRef/>
      </w:r>
      <w:r>
        <w:t xml:space="preserve">  For further information the Committee is referred to </w:t>
      </w:r>
      <w:r>
        <w:rPr>
          <w:i/>
        </w:rPr>
        <w:t>Australia’s Combined Second and Third Reports under the Convention on the Rights of the Child 2003</w:t>
      </w:r>
      <w:r>
        <w:t>, submitted to the Committee on the Rights of the Child on 30 September 2003.</w:t>
      </w:r>
    </w:p>
  </w:endnote>
  <w:endnote w:id="10">
    <w:p w:rsidR="00000000" w:rsidRDefault="00000000">
      <w:pPr>
        <w:pStyle w:val="EndnoteText"/>
        <w:spacing w:after="200"/>
      </w:pPr>
      <w:r>
        <w:rPr>
          <w:rStyle w:val="EndnoteReference"/>
        </w:rPr>
        <w:endnoteRef/>
      </w:r>
      <w:r>
        <w:t xml:space="preserve">  </w:t>
      </w:r>
      <w:r>
        <w:rPr>
          <w:i/>
        </w:rPr>
        <w:t>International Criminal Court Act 2002</w:t>
      </w:r>
      <w:r>
        <w:t xml:space="preserve"> (</w:t>
      </w:r>
      <w:hyperlink r:id="rId2" w:history="1">
        <w:r>
          <w:rPr>
            <w:rStyle w:val="Hyperlink"/>
          </w:rPr>
          <w:t>http://www.austlii.edu.au/au/legis/cth/consol_act/</w:t>
        </w:r>
        <w:r>
          <w:rPr>
            <w:rStyle w:val="Hyperlink"/>
          </w:rPr>
          <w:br/>
          <w:t>icca2002303/</w:t>
        </w:r>
      </w:hyperlink>
      <w:r>
        <w:t xml:space="preserve">); </w:t>
      </w:r>
      <w:r>
        <w:rPr>
          <w:i/>
        </w:rPr>
        <w:t xml:space="preserve">International Criminal Court (Consequential Amendments) Act 2002 </w:t>
      </w:r>
      <w:r>
        <w:t>(</w:t>
      </w:r>
      <w:hyperlink r:id="rId3" w:history="1">
        <w:r>
          <w:rPr>
            <w:rStyle w:val="Hyperlink"/>
          </w:rPr>
          <w:t>http://www.austlii.edu.au/au/legis/cth/consol_act/iccaa2002543/sch1.html</w:t>
        </w:r>
      </w:hyperlink>
      <w:r>
        <w:t>).</w:t>
      </w:r>
    </w:p>
  </w:endnote>
  <w:endnote w:id="11">
    <w:p w:rsidR="00000000" w:rsidRDefault="00000000">
      <w:pPr>
        <w:pStyle w:val="EndnoteText"/>
        <w:spacing w:after="200"/>
      </w:pPr>
      <w:r>
        <w:rPr>
          <w:rStyle w:val="EndnoteReference"/>
        </w:rPr>
        <w:endnoteRef/>
      </w:r>
      <w:r>
        <w:t xml:space="preserve">  The </w:t>
      </w:r>
      <w:r>
        <w:rPr>
          <w:i/>
          <w:iCs/>
        </w:rPr>
        <w:t>Australian Security Intelligence Organisation Act 1979</w:t>
      </w:r>
      <w:r>
        <w:t xml:space="preserve"> can be accessed at </w:t>
      </w:r>
      <w:hyperlink r:id="rId4" w:history="1">
        <w:r>
          <w:rPr>
            <w:rStyle w:val="Hyperlink"/>
          </w:rPr>
          <w:t>http://www.austlii.edu.au/au/legis/cth/consol_act/asioa1979472/</w:t>
        </w:r>
      </w:hyperlink>
      <w:r>
        <w:t xml:space="preserve">. </w:t>
      </w:r>
    </w:p>
  </w:endnote>
  <w:endnote w:id="12">
    <w:p w:rsidR="00000000" w:rsidRDefault="00000000">
      <w:pPr>
        <w:pStyle w:val="EndnoteText"/>
        <w:spacing w:after="200"/>
      </w:pPr>
      <w:r>
        <w:rPr>
          <w:rStyle w:val="EndnoteReference"/>
        </w:rPr>
        <w:endnoteRef/>
      </w:r>
      <w:r>
        <w:t xml:space="preserve">  The Protocol is available at: </w:t>
      </w:r>
      <w:hyperlink r:id="rId5" w:history="1">
        <w:r>
          <w:rPr>
            <w:rStyle w:val="Hyperlink"/>
          </w:rPr>
          <w:t>http://nationalsecurity.ag.gov.au/agd/WWW/</w:t>
        </w:r>
        <w:r>
          <w:rPr>
            <w:rStyle w:val="Hyperlink"/>
          </w:rPr>
          <w:br/>
          <w:t>nationalsecurityHome.nsf/Page/Legislation_NS_Detention_and_Questioning_Protocols</w:t>
        </w:r>
      </w:hyperlink>
      <w:r>
        <w:t>.</w:t>
      </w:r>
    </w:p>
  </w:endnote>
  <w:endnote w:id="13">
    <w:p w:rsidR="00000000" w:rsidRDefault="00000000">
      <w:r>
        <w:rPr>
          <w:rStyle w:val="EndnoteReference"/>
        </w:rPr>
        <w:endnoteRef/>
      </w:r>
      <w:r>
        <w:t xml:space="preserve">  Concluding Observations of the Committee against Torture: Australia, twenty</w:t>
      </w:r>
      <w:r>
        <w:noBreakHyphen/>
        <w:t>fifth session, 13</w:t>
      </w:r>
      <w:r>
        <w:noBreakHyphen/>
        <w:t>24 November 2000.</w:t>
      </w:r>
    </w:p>
  </w:endnote>
  <w:endnote w:id="14">
    <w:p w:rsidR="00000000" w:rsidRDefault="00000000">
      <w:pPr>
        <w:pStyle w:val="EndnoteText"/>
        <w:spacing w:after="200"/>
      </w:pPr>
      <w:r>
        <w:rPr>
          <w:rStyle w:val="EndnoteReference"/>
        </w:rPr>
        <w:endnoteRef/>
      </w:r>
      <w:r>
        <w:t xml:space="preserve">  Section 417 provides: </w:t>
      </w:r>
    </w:p>
    <w:p w:rsidR="00000000" w:rsidRDefault="00000000">
      <w:pPr>
        <w:pStyle w:val="BodyTextIndent"/>
        <w:spacing w:after="200"/>
        <w:ind w:left="720"/>
      </w:pPr>
      <w:r>
        <w:t xml:space="preserve">     (1)</w:t>
      </w:r>
      <w:r>
        <w:tab/>
        <w:t xml:space="preserve">If the Minister thinks that it is in the public interest to do so, the Minister may substitute for a decision of the </w:t>
      </w:r>
      <w:hyperlink r:id="rId6" w:anchor="tribunal" w:history="1">
        <w:r>
          <w:t>Tribunal</w:t>
        </w:r>
      </w:hyperlink>
      <w:r>
        <w:t xml:space="preserve"> under section 415 another decision, being a decision that is more favourable to the applicant, whether or not the </w:t>
      </w:r>
      <w:hyperlink r:id="rId7" w:anchor="tribunal" w:history="1">
        <w:r>
          <w:t>Tribunal</w:t>
        </w:r>
      </w:hyperlink>
      <w:r>
        <w:t xml:space="preserve"> had the power to make that other decision. </w:t>
      </w:r>
    </w:p>
  </w:endnote>
  <w:endnote w:id="15">
    <w:p w:rsidR="00000000" w:rsidRDefault="00000000">
      <w:pPr>
        <w:pStyle w:val="EndnoteText"/>
        <w:spacing w:after="200"/>
      </w:pPr>
      <w:r>
        <w:rPr>
          <w:rStyle w:val="EndnoteReference"/>
        </w:rPr>
        <w:endnoteRef/>
      </w:r>
      <w:r>
        <w:t xml:space="preserve">  Section 454 provides:</w:t>
      </w:r>
    </w:p>
    <w:p w:rsidR="00000000" w:rsidRDefault="00000000">
      <w:pPr>
        <w:pStyle w:val="EndnoteText"/>
        <w:spacing w:after="200"/>
        <w:ind w:left="720" w:hanging="720"/>
      </w:pPr>
      <w:r>
        <w:rPr>
          <w:bCs/>
        </w:rPr>
        <w:t xml:space="preserve">     (1)</w:t>
      </w:r>
      <w:r>
        <w:tab/>
        <w:t>If the Minister thinks that it is in the public interest to do so, the Minister may substitute for a decision of the Administrative Appeals Tribunal in relation to an RRT</w:t>
      </w:r>
      <w:r>
        <w:noBreakHyphen/>
        <w:t>reviewable decision another decision, being a decision that is more favourable to the applicant, whether or not the Administrative Appeals Tribunal had the power to make that other decision.</w:t>
      </w:r>
    </w:p>
  </w:endnote>
  <w:endnote w:id="16">
    <w:p w:rsidR="00000000" w:rsidRDefault="00000000">
      <w:pPr>
        <w:pStyle w:val="EndnoteText"/>
        <w:spacing w:after="200"/>
      </w:pPr>
      <w:r>
        <w:rPr>
          <w:rStyle w:val="EndnoteReference"/>
        </w:rPr>
        <w:endnoteRef/>
      </w:r>
      <w:r>
        <w:t xml:space="preserve">  Section 501J provides:</w:t>
      </w:r>
    </w:p>
    <w:p w:rsidR="00000000" w:rsidRDefault="00000000">
      <w:pPr>
        <w:pStyle w:val="EndnoteText"/>
        <w:spacing w:after="200"/>
        <w:ind w:left="720" w:hanging="720"/>
      </w:pPr>
      <w:r>
        <w:rPr>
          <w:bCs/>
        </w:rPr>
        <w:t xml:space="preserve">     (1)</w:t>
      </w:r>
      <w:r>
        <w:tab/>
        <w:t>If the Minister thinks that it is in the public interest to do so, the Minister may set aside an AAT protection visa decision and substitute another decision that is more favourable to the applicant in the review, whether or not the Administrative Appeals Tribunal had the power to make that other decision.</w:t>
      </w:r>
    </w:p>
  </w:endnote>
  <w:endnote w:id="17">
    <w:p w:rsidR="00000000" w:rsidRDefault="00000000">
      <w:pPr>
        <w:pStyle w:val="EndnoteText"/>
        <w:spacing w:after="200"/>
      </w:pPr>
      <w:r>
        <w:rPr>
          <w:rStyle w:val="EndnoteReference"/>
        </w:rPr>
        <w:endnoteRef/>
      </w:r>
      <w:r>
        <w:t xml:space="preserve">  </w:t>
      </w:r>
      <w:r>
        <w:rPr>
          <w:i/>
        </w:rPr>
        <w:t xml:space="preserve">Migration Series Instructions 386 </w:t>
      </w:r>
      <w:r>
        <w:rPr>
          <w:i/>
        </w:rPr>
        <w:noBreakHyphen/>
        <w:t xml:space="preserve"> Guidelines on Ministerial Powers Under Sections 345, 351, 391, 417, 454 and 501J of the Migration Act 1958.</w:t>
      </w:r>
      <w:r>
        <w:t xml:space="preserve">  A copy of the Guidelines is attached, Annex 1.</w:t>
      </w:r>
    </w:p>
  </w:endnote>
  <w:endnote w:id="18">
    <w:p w:rsidR="00000000" w:rsidRDefault="00000000">
      <w:pPr>
        <w:pStyle w:val="EndnoteText"/>
        <w:spacing w:after="200"/>
      </w:pPr>
      <w:r>
        <w:rPr>
          <w:rStyle w:val="EndnoteReference"/>
        </w:rPr>
        <w:endnoteRef/>
      </w:r>
      <w:r>
        <w:t xml:space="preserve">  General Direction No. 9, </w:t>
      </w:r>
      <w:r>
        <w:rPr>
          <w:i/>
        </w:rPr>
        <w:t>Criminal Deportation under Section 200 of the Migration Act 1958</w:t>
      </w:r>
      <w:r>
        <w:t>.  A copy is attached, Annex 2.</w:t>
      </w:r>
    </w:p>
  </w:endnote>
  <w:endnote w:id="19">
    <w:p w:rsidR="00000000" w:rsidRDefault="00000000">
      <w:pPr>
        <w:pStyle w:val="EndnoteText"/>
        <w:spacing w:after="200"/>
      </w:pPr>
      <w:r>
        <w:rPr>
          <w:rStyle w:val="EndnoteReference"/>
        </w:rPr>
        <w:endnoteRef/>
      </w:r>
      <w:r>
        <w:t xml:space="preserve">  Communication No. 211/2002; Communication No. 177/2001; Communication No. 168/2000; Communication No. 167/2000 Communication No. 165/2000; Communication No. 162/2000; Communication No. 158/2000; Communication No. 157/2000; Communication No. 154/2000; Communication No. 153/2000; Communication No. 152/1999; Communication No. 151/1999; Communication No.</w:t>
      </w:r>
      <w:r>
        <w:rPr>
          <w:b/>
        </w:rPr>
        <w:t xml:space="preserve"> </w:t>
      </w:r>
      <w:r>
        <w:t xml:space="preserve">148/1999; Communication No. 139/1999; Communication No. 138/1999; Communication No. 136/1999; Communication No. 120/1998; Communication No. 106/1998; Communication No. 102/1998. </w:t>
      </w:r>
    </w:p>
  </w:endnote>
  <w:endnote w:id="20">
    <w:p w:rsidR="00000000" w:rsidRDefault="00000000">
      <w:pPr>
        <w:pStyle w:val="EndnoteText"/>
        <w:spacing w:after="200"/>
      </w:pPr>
      <w:r>
        <w:rPr>
          <w:rStyle w:val="EndnoteReference"/>
        </w:rPr>
        <w:endnoteRef/>
      </w:r>
      <w:r>
        <w:t xml:space="preserve">  Communication No. 120/1998, pr 6.9.</w:t>
      </w:r>
    </w:p>
  </w:endnote>
  <w:endnote w:id="21">
    <w:p w:rsidR="00000000" w:rsidRDefault="00000000">
      <w:r>
        <w:rPr>
          <w:rStyle w:val="EndnoteReference"/>
        </w:rPr>
        <w:endnoteRef/>
      </w:r>
      <w:r>
        <w:t xml:space="preserve">  Communication No. 120/1998, pr 7.</w:t>
      </w:r>
    </w:p>
  </w:endnote>
  <w:endnote w:id="22">
    <w:p w:rsidR="00000000" w:rsidRDefault="00000000">
      <w:pPr>
        <w:pStyle w:val="EndnoteText"/>
        <w:spacing w:after="200"/>
      </w:pPr>
      <w:r>
        <w:rPr>
          <w:rStyle w:val="EndnoteReference"/>
        </w:rPr>
        <w:endnoteRef/>
      </w:r>
      <w:r>
        <w:t xml:space="preserve">  Section 48B provides:</w:t>
      </w:r>
    </w:p>
    <w:p w:rsidR="00000000" w:rsidRDefault="00000000">
      <w:pPr>
        <w:pStyle w:val="EndnoteText"/>
        <w:spacing w:after="200"/>
        <w:ind w:left="720" w:hanging="720"/>
      </w:pPr>
      <w:r>
        <w:t xml:space="preserve">     (1)</w:t>
      </w:r>
      <w:r>
        <w:tab/>
        <w:t>If the Minister thinks that it is in the public interest to do so, the Minister may, by written notice given to a particular non</w:t>
      </w:r>
      <w:r>
        <w:noBreakHyphen/>
        <w:t>citizen, determine that section 48A does not apply to prevent an application for a protection visa made by the non</w:t>
      </w:r>
      <w:r>
        <w:noBreakHyphen/>
        <w:t>citizen in the period starting when the notice is given and ending at the end of the seventh working day after the day on which the notice is given.</w:t>
      </w:r>
    </w:p>
  </w:endnote>
  <w:endnote w:id="23">
    <w:p w:rsidR="00000000" w:rsidRDefault="00000000">
      <w:pPr>
        <w:pStyle w:val="EndnoteText"/>
      </w:pPr>
      <w:r>
        <w:rPr>
          <w:rStyle w:val="EndnoteReference"/>
        </w:rPr>
        <w:endnoteRef/>
      </w:r>
      <w:r>
        <w:t xml:space="preserve">  </w:t>
      </w:r>
      <w:r>
        <w:rPr>
          <w:i/>
        </w:rPr>
        <w:t>Concluding Observations of the Committee against Torture: Australia</w:t>
      </w:r>
      <w:r>
        <w:t>, twenty</w:t>
      </w:r>
      <w:r>
        <w:noBreakHyphen/>
        <w:t>fifth session, 13</w:t>
      </w:r>
      <w:r>
        <w:noBreakHyphen/>
        <w:t>24 November 2000.</w:t>
      </w:r>
    </w:p>
  </w:endnote>
  <w:endnote w:id="24">
    <w:p w:rsidR="00000000" w:rsidRDefault="00000000">
      <w:pPr>
        <w:pStyle w:val="EndnoteText"/>
      </w:pPr>
      <w:r>
        <w:rPr>
          <w:rStyle w:val="EndnoteReference"/>
        </w:rPr>
        <w:endnoteRef/>
      </w:r>
      <w:r>
        <w:t xml:space="preserve">  Ibid.</w:t>
      </w:r>
    </w:p>
  </w:endnote>
  <w:endnote w:id="25">
    <w:p w:rsidR="00000000" w:rsidRDefault="00000000">
      <w:pPr>
        <w:pStyle w:val="EndnoteText"/>
      </w:pPr>
      <w:r>
        <w:rPr>
          <w:rStyle w:val="EndnoteReference"/>
        </w:rPr>
        <w:endnoteRef/>
      </w:r>
      <w:r>
        <w:t xml:space="preserve">  Flexcuffs are a smooth single</w:t>
      </w:r>
      <w:r>
        <w:noBreakHyphen/>
        <w:t>use plastic strip with a one way lock.  They allow for the binding of both legs and larger wrists.  Flexcuffs were introduced in South Australia in 1999.</w:t>
      </w:r>
    </w:p>
  </w:endnote>
  <w:endnote w:id="26">
    <w:p w:rsidR="00000000" w:rsidRDefault="00000000">
      <w:pPr>
        <w:pStyle w:val="EndnoteText"/>
      </w:pPr>
      <w:r>
        <w:rPr>
          <w:rStyle w:val="EndnoteReference"/>
        </w:rPr>
        <w:endnoteRef/>
      </w:r>
      <w:r>
        <w:t xml:space="preserve">  The Senior Officers’ Group is a standing Committee of officials from Australia and New Zealand which advises APMC.  APMC consists of the Ministers responsible for police affairs from each State and Territory, the Australian federal Government, and New Zealand.</w:t>
      </w:r>
    </w:p>
  </w:endnote>
  <w:endnote w:id="27">
    <w:p w:rsidR="00000000" w:rsidRDefault="00000000">
      <w:pPr>
        <w:pStyle w:val="EndnoteText"/>
      </w:pPr>
      <w:r>
        <w:rPr>
          <w:rStyle w:val="EndnoteReference"/>
        </w:rPr>
        <w:endnoteRef/>
      </w:r>
      <w:r>
        <w:t xml:space="preserve">  Report of the Model Criminal Code Officers Committee of the Standing Committee of Attorneys</w:t>
      </w:r>
      <w:r>
        <w:noBreakHyphen/>
        <w:t>General, Chapter 5, Non Fatal Offences Against the Person, September 1998, pages 131</w:t>
      </w:r>
      <w:r>
        <w:noBreakHyphen/>
        <w:t>139.</w:t>
      </w:r>
    </w:p>
  </w:endnote>
  <w:endnote w:id="28">
    <w:p w:rsidR="00000000" w:rsidRDefault="00000000">
      <w:pPr>
        <w:pStyle w:val="EndnoteText"/>
      </w:pPr>
      <w:r>
        <w:rPr>
          <w:rStyle w:val="EndnoteReference"/>
        </w:rPr>
        <w:endnoteRef/>
      </w:r>
      <w:r>
        <w:t xml:space="preserve">  For further information the Committee is referred to paragraphs 184</w:t>
      </w:r>
      <w:r>
        <w:noBreakHyphen/>
        <w:t xml:space="preserve">188 of </w:t>
      </w:r>
      <w:r>
        <w:rPr>
          <w:i/>
        </w:rPr>
        <w:t>Australia’s Combined Second and Third Reports under the Convention on the Rights of the Child</w:t>
      </w:r>
      <w:r>
        <w:t>, submitted to the Committee on the Rights of the Child on 30 September 2003.</w:t>
      </w:r>
    </w:p>
  </w:endnote>
  <w:endnote w:id="29">
    <w:p w:rsidR="00000000" w:rsidRDefault="00000000">
      <w:pPr>
        <w:pStyle w:val="EndnoteText"/>
      </w:pPr>
      <w:r>
        <w:rPr>
          <w:rStyle w:val="EndnoteReference"/>
        </w:rPr>
        <w:endnoteRef/>
      </w:r>
      <w:r>
        <w:t xml:space="preserve">  The Immigration Detention Standards can be accessed at: </w:t>
      </w:r>
      <w:hyperlink r:id="rId8" w:history="1">
        <w:r>
          <w:rPr>
            <w:rStyle w:val="Hyperlink"/>
          </w:rPr>
          <w:t>http://www.immi.gov.au/detention/</w:t>
        </w:r>
        <w:r>
          <w:rPr>
            <w:rStyle w:val="Hyperlink"/>
          </w:rPr>
          <w:br/>
          <w:t>standards_index.htm#standards</w:t>
        </w:r>
      </w:hyperlink>
      <w:r>
        <w:t>.</w:t>
      </w:r>
    </w:p>
  </w:endnote>
  <w:endnote w:id="30">
    <w:p w:rsidR="00000000" w:rsidRDefault="00000000">
      <w:pPr>
        <w:pStyle w:val="EndnoteText"/>
      </w:pPr>
      <w:r>
        <w:rPr>
          <w:rStyle w:val="EndnoteReference"/>
        </w:rPr>
        <w:endnoteRef/>
      </w:r>
      <w:r>
        <w:t xml:space="preserve">  Immigration Detention Standards, Part 6.4, </w:t>
      </w:r>
      <w:r>
        <w:rPr>
          <w:i/>
        </w:rPr>
        <w:t>Obeying laws, orders and directions, including conflict resolution</w:t>
      </w:r>
      <w:r>
        <w:t xml:space="preserve">, </w:t>
      </w:r>
      <w:hyperlink r:id="rId9" w:history="1">
        <w:r>
          <w:rPr>
            <w:rStyle w:val="Hyperlink"/>
          </w:rPr>
          <w:t>http://www.immi.gov.au/detention/standards_six.htm</w:t>
        </w:r>
      </w:hyperlink>
      <w:r>
        <w:t xml:space="preserve">. </w:t>
      </w:r>
    </w:p>
  </w:endnote>
  <w:endnote w:id="31">
    <w:p w:rsidR="00000000" w:rsidRDefault="00000000">
      <w:pPr>
        <w:pStyle w:val="EndnoteText"/>
      </w:pPr>
      <w:r>
        <w:rPr>
          <w:rStyle w:val="EndnoteReference"/>
        </w:rPr>
        <w:endnoteRef/>
      </w:r>
      <w:r>
        <w:t xml:space="preserve">  </w:t>
      </w:r>
      <w:r>
        <w:rPr>
          <w:i/>
        </w:rPr>
        <w:t>Concluding Observations of the Committee against Torture: Australia</w:t>
      </w:r>
      <w:r>
        <w:t>, twenty</w:t>
      </w:r>
      <w:r>
        <w:noBreakHyphen/>
        <w:t>fifth session, 13</w:t>
      </w:r>
      <w:r>
        <w:noBreakHyphen/>
        <w:t>24 November 2000.</w:t>
      </w:r>
    </w:p>
  </w:endnote>
  <w:endnote w:id="32">
    <w:p w:rsidR="00000000" w:rsidRDefault="00000000">
      <w:pPr>
        <w:pStyle w:val="EndnoteText"/>
      </w:pPr>
      <w:r>
        <w:rPr>
          <w:rStyle w:val="EndnoteReference"/>
        </w:rPr>
        <w:endnoteRef/>
      </w:r>
      <w:r>
        <w:t xml:space="preserve">  Ibid.</w:t>
      </w:r>
    </w:p>
  </w:endnote>
  <w:endnote w:id="33">
    <w:p w:rsidR="00000000" w:rsidRDefault="00000000">
      <w:r>
        <w:rPr>
          <w:rStyle w:val="EndnoteReference"/>
        </w:rPr>
        <w:endnoteRef/>
      </w:r>
      <w:r>
        <w:t xml:space="preserve">  The </w:t>
      </w:r>
      <w:r>
        <w:rPr>
          <w:i/>
        </w:rPr>
        <w:t>Juvenile Justice Amendment Act (No.2) 2001</w:t>
      </w:r>
      <w:r>
        <w:t xml:space="preserve"> repealed mandatory sentencing for juvenile offenders and the </w:t>
      </w:r>
      <w:r>
        <w:rPr>
          <w:i/>
        </w:rPr>
        <w:t>Sentencing Amendment Act (No. 3) 2001</w:t>
      </w:r>
      <w:r>
        <w:t xml:space="preserve"> repealed mandatory sentencing for property offences for adults.</w:t>
      </w:r>
    </w:p>
  </w:endnote>
  <w:endnote w:id="34">
    <w:p w:rsidR="00000000" w:rsidRDefault="00000000">
      <w:pPr>
        <w:pStyle w:val="EndnoteText"/>
      </w:pPr>
      <w:r>
        <w:rPr>
          <w:rStyle w:val="EndnoteReference"/>
        </w:rPr>
        <w:endnoteRef/>
      </w:r>
      <w:r>
        <w:t xml:space="preserve">  </w:t>
      </w:r>
      <w:r>
        <w:rPr>
          <w:i/>
        </w:rPr>
        <w:t>Concluding Observations of the Committee against Torture: Australia</w:t>
      </w:r>
      <w:r>
        <w:t>, twenty</w:t>
      </w:r>
      <w:r>
        <w:noBreakHyphen/>
        <w:t>fifth session, 13</w:t>
      </w:r>
      <w:r>
        <w:noBreakHyphen/>
        <w:t>24 November 2000.</w:t>
      </w:r>
    </w:p>
  </w:endnote>
  <w:endnote w:id="35">
    <w:p w:rsidR="00000000" w:rsidRDefault="00000000">
      <w:pPr>
        <w:pStyle w:val="EndnoteText"/>
      </w:pPr>
      <w:r>
        <w:rPr>
          <w:rStyle w:val="EndnoteReference"/>
        </w:rPr>
        <w:endnoteRef/>
      </w:r>
      <w:r>
        <w:t xml:space="preserve">  As an example, see the powers set out in section 2 of the </w:t>
      </w:r>
      <w:r>
        <w:rPr>
          <w:i/>
        </w:rPr>
        <w:t>Royal Commissions Act 1902</w:t>
      </w:r>
      <w:r>
        <w:t xml:space="preserve"> (see: </w:t>
      </w:r>
      <w:hyperlink r:id="rId10" w:history="1">
        <w:r>
          <w:rPr>
            <w:rStyle w:val="Hyperlink"/>
          </w:rPr>
          <w:t>http://scale/html/pasteact/1/525/0/PA000080.htm</w:t>
        </w:r>
      </w:hyperlink>
      <w:r>
        <w:t>).</w:t>
      </w:r>
    </w:p>
  </w:endnote>
  <w:endnote w:id="36">
    <w:p w:rsidR="00000000" w:rsidRDefault="00000000">
      <w:pPr>
        <w:pStyle w:val="EndnoteText"/>
      </w:pPr>
      <w:r>
        <w:rPr>
          <w:rStyle w:val="EndnoteReference"/>
        </w:rPr>
        <w:endnoteRef/>
      </w:r>
      <w:r>
        <w:t xml:space="preserve">  Immigration Detention Standards, Part 8.1 </w:t>
      </w:r>
      <w:r>
        <w:rPr>
          <w:i/>
        </w:rPr>
        <w:t>Complaints Mechanisms</w:t>
      </w:r>
      <w:r>
        <w:t xml:space="preserve">, </w:t>
      </w:r>
      <w:hyperlink r:id="rId11" w:history="1">
        <w:r>
          <w:rPr>
            <w:rStyle w:val="Hyperlink"/>
          </w:rPr>
          <w:t>http://www.immi.gov.au/</w:t>
        </w:r>
        <w:r>
          <w:rPr>
            <w:rStyle w:val="Hyperlink"/>
          </w:rPr>
          <w:br/>
          <w:t>detention/standards_eight.htm</w:t>
        </w:r>
      </w:hyperlink>
      <w:r>
        <w:t xml:space="preserve">. </w:t>
      </w:r>
    </w:p>
  </w:endnote>
  <w:endnote w:id="37">
    <w:p w:rsidR="00000000" w:rsidRDefault="00000000">
      <w:pPr>
        <w:pStyle w:val="EndnoteText"/>
        <w:spacing w:after="1440"/>
      </w:pPr>
      <w:r>
        <w:rPr>
          <w:rStyle w:val="EndnoteReference"/>
        </w:rPr>
        <w:endnoteRef/>
      </w:r>
      <w:r>
        <w:t xml:space="preserve">  </w:t>
      </w:r>
      <w:r>
        <w:rPr>
          <w:i/>
        </w:rPr>
        <w:t>Concluding Observations of the Committee against Torture: Australia</w:t>
      </w:r>
      <w:r>
        <w:t>, twenty</w:t>
      </w:r>
      <w:r>
        <w:noBreakHyphen/>
        <w:t>fifth session, 13</w:t>
      </w:r>
      <w:r>
        <w:noBreakHyphen/>
        <w:t>24 November 2000.</w:t>
      </w:r>
    </w:p>
  </w:endnote>
  <w:endnote w:id="38">
    <w:p w:rsidR="00000000" w:rsidRDefault="00000000">
      <w:pPr>
        <w:pStyle w:val="EndnoteText"/>
      </w:pPr>
      <w:r>
        <w:rPr>
          <w:rStyle w:val="EndnoteReference"/>
        </w:rPr>
        <w:endnoteRef/>
      </w:r>
      <w:r>
        <w:t xml:space="preserve">  Joint Standing Committee on Foreign Affairs, Defence and Trade, ‘</w:t>
      </w:r>
      <w:r>
        <w:rPr>
          <w:i/>
        </w:rPr>
        <w:t>Rough Justice? An Investigation into Allegations of Brutality in the Army’s Parachute Battalion</w:t>
      </w:r>
      <w:r>
        <w:t xml:space="preserve">’, 11 April 2001.  A transcript of the Report can be found at:  </w:t>
      </w:r>
      <w:hyperlink r:id="rId12" w:history="1">
        <w:r>
          <w:rPr>
            <w:rStyle w:val="Hyperlink"/>
          </w:rPr>
          <w:t>http://www.aph.gov.au/house/committee/jfadt/</w:t>
        </w:r>
        <w:r>
          <w:rPr>
            <w:rStyle w:val="Hyperlink"/>
          </w:rPr>
          <w:br/>
          <w:t>DOD_Rept/MJindex.htm</w:t>
        </w:r>
      </w:hyperlink>
      <w:r>
        <w:t>.</w:t>
      </w:r>
    </w:p>
  </w:endnote>
  <w:endnote w:id="39">
    <w:p w:rsidR="00000000" w:rsidRDefault="00000000">
      <w:pPr>
        <w:pStyle w:val="EndnoteText"/>
      </w:pPr>
      <w:r>
        <w:rPr>
          <w:rStyle w:val="EndnoteReference"/>
        </w:rPr>
        <w:endnoteRef/>
      </w:r>
      <w:r>
        <w:t xml:space="preserve">  Mr J.C.S. Burchett, QC,</w:t>
      </w:r>
      <w:r>
        <w:rPr>
          <w:i/>
        </w:rPr>
        <w:t xml:space="preserve"> A Report of an Inquiry into Military Justice in the Australian Defence Force</w:t>
      </w:r>
      <w:r>
        <w:t>, 13 July 2001.</w:t>
      </w:r>
    </w:p>
  </w:endnote>
  <w:endnote w:id="40">
    <w:p w:rsidR="00000000" w:rsidRDefault="00000000">
      <w:pPr>
        <w:pStyle w:val="EndnoteText"/>
      </w:pPr>
      <w:r>
        <w:rPr>
          <w:rStyle w:val="EndnoteReference"/>
        </w:rPr>
        <w:endnoteRef/>
      </w:r>
      <w:r>
        <w:t xml:space="preserve">  Human Rights and Equal Opportunity Commission, </w:t>
      </w:r>
      <w:r>
        <w:rPr>
          <w:i/>
        </w:rPr>
        <w:t>A Last Resort? The report of the National Inquiry into Children in Immigration Detention</w:t>
      </w:r>
      <w:r>
        <w:t xml:space="preserve">, p. 850.  A copy of the report can be accessed at: </w:t>
      </w:r>
      <w:hyperlink r:id="rId13" w:history="1">
        <w:r>
          <w:rPr>
            <w:rStyle w:val="Hyperlink"/>
          </w:rPr>
          <w:t>http://www.humanrights.gov.au/</w:t>
        </w:r>
        <w:r>
          <w:rPr>
            <w:rStyle w:val="Hyperlink"/>
          </w:rPr>
          <w:t>h</w:t>
        </w:r>
        <w:r>
          <w:rPr>
            <w:rStyle w:val="Hyperlink"/>
          </w:rPr>
          <w:t>uman_rights/children_detention_report/</w:t>
        </w:r>
      </w:hyperlink>
      <w:r>
        <w:t>.</w:t>
      </w:r>
    </w:p>
  </w:endnote>
  <w:endnote w:id="4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t xml:space="preserve">  </w:t>
      </w:r>
      <w:r>
        <w:rPr>
          <w:rStyle w:val="FootnoteReference"/>
          <w:b w:val="0"/>
          <w:bCs/>
          <w:vertAlign w:val="baseline"/>
        </w:rPr>
        <w:t>*</w:t>
      </w:r>
      <w:r>
        <w:t xml:space="preserve">  For the initial report of Australia, see CAT/C/9/Add.8; for its consideration, see CAT/C/SR.95 and 96 and </w:t>
      </w:r>
      <w:r>
        <w:rPr>
          <w:i/>
          <w:iCs/>
        </w:rPr>
        <w:t>Official Records of the General Assembly, Forty</w:t>
      </w:r>
      <w:r>
        <w:rPr>
          <w:i/>
          <w:iCs/>
        </w:rPr>
        <w:noBreakHyphen/>
        <w:t>seventh Session, Supplement No. 47</w:t>
      </w:r>
      <w:r>
        <w:t xml:space="preserve"> (A/47/44), paras. 181</w:t>
      </w:r>
      <w:r>
        <w:noBreakHyphen/>
        <w:t>214.</w:t>
      </w:r>
    </w:p>
    <w:p w:rsidR="00000000" w:rsidRDefault="00000000">
      <w:pPr>
        <w:pStyle w:val="FootnoteText"/>
      </w:pPr>
      <w:r>
        <w:tab/>
        <w:t xml:space="preserve">For the second periodic report, see CAT/C/25/Add.11; for its consideration, see CAT/C/SR.444, 447 and 451 and </w:t>
      </w:r>
      <w:r>
        <w:rPr>
          <w:i/>
          <w:iCs/>
        </w:rPr>
        <w:t>Official Records of the General Assembly, Fifty</w:t>
      </w:r>
      <w:r>
        <w:rPr>
          <w:i/>
          <w:iCs/>
        </w:rPr>
        <w:noBreakHyphen/>
        <w:t>sixth Session, Supplement No. 56</w:t>
      </w:r>
      <w:r>
        <w:t xml:space="preserve"> (A/56/44), paras. 47</w:t>
      </w:r>
      <w:r>
        <w:noBreakHyphen/>
        <w:t>53.</w:t>
      </w:r>
    </w:p>
  </w:footnote>
  <w:footnote w:id="3">
    <w:p w:rsidR="00000000" w:rsidRDefault="00000000">
      <w:pPr>
        <w:pStyle w:val="FootnoteText"/>
      </w:pPr>
      <w:r>
        <w:rPr>
          <w:rStyle w:val="FootnoteReference"/>
          <w:b w:val="0"/>
          <w:bCs/>
          <w:vertAlign w:val="baseline"/>
        </w:rPr>
        <w:t>**</w:t>
      </w:r>
      <w:r>
        <w:t xml:space="preserve">  In accordance with the information transmitted to States parties regarding the processing of their reports, the present document was not formally edited before being sent to the United Nations translation services.</w:t>
      </w:r>
    </w:p>
    <w:p w:rsidR="00000000" w:rsidRDefault="00000000">
      <w:pPr>
        <w:pStyle w:val="FootnoteText"/>
      </w:pPr>
      <w:r>
        <w:t>GE.05</w:t>
      </w:r>
      <w:r>
        <w:noBreakHyphen/>
        <w:t>42075  (E)    031005</w:t>
      </w:r>
    </w:p>
  </w:footnote>
  <w:footnote w:id="4">
    <w:p w:rsidR="00000000" w:rsidRDefault="00000000">
      <w:pPr>
        <w:pStyle w:val="FootnoteText"/>
      </w:pPr>
      <w:r>
        <w:rPr>
          <w:rStyle w:val="FootnoteReference"/>
          <w:b w:val="0"/>
          <w:bCs/>
          <w:vertAlign w:val="baseline"/>
        </w:rPr>
        <w:t>*</w:t>
      </w:r>
      <w:r>
        <w:t xml:space="preserve">  These annexes may be consulted in the files of the Office of the United Nations High Commissioner for Human Rights.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CAT/C/67/Add.7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CAT/C/67/Add.7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320"/>
        <w:tab w:val="clear" w:pos="8640"/>
        <w:tab w:val="left" w:pos="5828"/>
        <w:tab w:val="left" w:pos="6650"/>
      </w:tabs>
      <w:spacing w:after="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CAT/C/67/Add.7</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28</w:t>
    </w:r>
    <w:r>
      <w:fldChar w:fldCharType="end"/>
    </w:r>
  </w:p>
  <w:p w:rsidR="00000000" w:rsidRDefault="00000000">
    <w:pPr>
      <w:pStyle w:val="Header"/>
      <w:spacing w:after="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CAT/C/67/Add.7</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57</w:t>
    </w:r>
    <w:r>
      <w:fldChar w:fldCharType="end"/>
    </w:r>
  </w:p>
  <w:p w:rsidR="00000000" w:rsidRDefault="00000000">
    <w:pPr>
      <w:pStyle w:val="Header"/>
      <w:tabs>
        <w:tab w:val="clear" w:pos="4320"/>
        <w:tab w:val="clear" w:pos="8640"/>
        <w:tab w:val="left" w:pos="5828"/>
        <w:tab w:val="left" w:pos="6650"/>
      </w:tabs>
      <w:spacing w:after="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BA0026FA"/>
    <w:lvl w:ilvl="0">
      <w:start w:val="1"/>
      <w:numFmt w:val="decimal"/>
      <w:lvlText w:val="%1."/>
      <w:lvlJc w:val="left"/>
      <w:pPr>
        <w:tabs>
          <w:tab w:val="num" w:pos="1209"/>
        </w:tabs>
        <w:ind w:left="1209" w:hanging="360"/>
      </w:pPr>
    </w:lvl>
  </w:abstractNum>
  <w:abstractNum w:abstractNumId="2">
    <w:nsid w:val="FFFFFF7E"/>
    <w:multiLevelType w:val="singleLevel"/>
    <w:tmpl w:val="FD6A8580"/>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B2CE5EC"/>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BC4017"/>
    <w:multiLevelType w:val="multilevel"/>
    <w:tmpl w:val="95649D6C"/>
    <w:lvl w:ilvl="0">
      <w:start w:val="1"/>
      <w:numFmt w:val="bullet"/>
      <w:lvlText w:val=""/>
      <w:lvlJc w:val="left"/>
      <w:pPr>
        <w:tabs>
          <w:tab w:val="num" w:pos="360"/>
        </w:tabs>
        <w:ind w:left="360" w:hanging="360"/>
      </w:pPr>
      <w:rPr>
        <w:rFonts w:ascii="Wingdings" w:hAnsi="Wingding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3586B0F"/>
    <w:multiLevelType w:val="multilevel"/>
    <w:tmpl w:val="8CEE0454"/>
    <w:lvl w:ilvl="0">
      <w:start w:val="1"/>
      <w:numFmt w:val="decimal"/>
      <w:lvlText w:val="3.%1"/>
      <w:lvlJc w:val="left"/>
      <w:pPr>
        <w:tabs>
          <w:tab w:val="num" w:pos="850"/>
        </w:tabs>
        <w:ind w:left="850" w:hanging="850"/>
      </w:pPr>
    </w:lvl>
    <w:lvl w:ilvl="1">
      <w:start w:val="1"/>
      <w:numFmt w:val="lowerLetter"/>
      <w:lvlText w:val="%2)"/>
      <w:lvlJc w:val="left"/>
      <w:pPr>
        <w:tabs>
          <w:tab w:val="num" w:pos="1701"/>
        </w:tabs>
        <w:ind w:left="1701" w:hanging="851"/>
      </w:pPr>
    </w:lvl>
    <w:lvl w:ilvl="2">
      <w:start w:val="1"/>
      <w:numFmt w:val="lowerRoman"/>
      <w:lvlText w:val="%3)"/>
      <w:lvlJc w:val="left"/>
      <w:pPr>
        <w:tabs>
          <w:tab w:val="num" w:pos="2551"/>
        </w:tabs>
        <w:ind w:left="2551" w:hanging="850"/>
      </w:pPr>
    </w:lvl>
    <w:lvl w:ilvl="3">
      <w:start w:val="1"/>
      <w:numFmt w:val="decimal"/>
      <w:lvlText w:val="(%4)"/>
      <w:lvlJc w:val="left"/>
      <w:pPr>
        <w:tabs>
          <w:tab w:val="num" w:pos="1440"/>
        </w:tabs>
        <w:ind w:left="1440" w:hanging="363"/>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13">
    <w:nsid w:val="035F78C4"/>
    <w:multiLevelType w:val="multilevel"/>
    <w:tmpl w:val="99E0901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4">
    <w:nsid w:val="04044344"/>
    <w:multiLevelType w:val="multilevel"/>
    <w:tmpl w:val="89E6AE86"/>
    <w:lvl w:ilvl="0">
      <w:start w:val="1"/>
      <w:numFmt w:val="bullet"/>
      <w:lvlText w:val=""/>
      <w:lvlJc w:val="left"/>
      <w:pPr>
        <w:tabs>
          <w:tab w:val="num" w:pos="1080"/>
        </w:tabs>
        <w:ind w:left="1080" w:hanging="36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5">
    <w:nsid w:val="042D51FA"/>
    <w:multiLevelType w:val="hybridMultilevel"/>
    <w:tmpl w:val="49DAA098"/>
    <w:lvl w:ilvl="0" w:tplc="B1A69EB0">
      <w:start w:val="56"/>
      <w:numFmt w:val="decimal"/>
      <w:lvlText w:val="%1."/>
      <w:lvlJc w:val="left"/>
      <w:pPr>
        <w:tabs>
          <w:tab w:val="num" w:pos="1080"/>
        </w:tabs>
        <w:ind w:left="1080" w:hanging="72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16">
    <w:nsid w:val="05C46A2F"/>
    <w:multiLevelType w:val="hybridMultilevel"/>
    <w:tmpl w:val="D358886A"/>
    <w:lvl w:ilvl="0" w:tplc="58C88132">
      <w:start w:val="1"/>
      <w:numFmt w:val="bullet"/>
      <w:lvlText w:val=""/>
      <w:lvlJc w:val="left"/>
      <w:pPr>
        <w:tabs>
          <w:tab w:val="num" w:pos="397"/>
        </w:tabs>
        <w:ind w:left="397" w:hanging="340"/>
      </w:pPr>
      <w:rPr>
        <w:rFonts w:ascii="Symbol" w:hAnsi="Symbol" w:hint="default"/>
      </w:rPr>
    </w:lvl>
    <w:lvl w:ilvl="1" w:tplc="0C090003" w:tentative="1">
      <w:start w:val="1"/>
      <w:numFmt w:val="bullet"/>
      <w:lvlText w:val="o"/>
      <w:lvlJc w:val="left"/>
      <w:pPr>
        <w:tabs>
          <w:tab w:val="num" w:pos="1497"/>
        </w:tabs>
        <w:ind w:left="1497" w:hanging="360"/>
      </w:pPr>
      <w:rPr>
        <w:rFonts w:ascii="Courier New" w:hAnsi="Courier New" w:cs="Courier New" w:hint="default"/>
      </w:rPr>
    </w:lvl>
    <w:lvl w:ilvl="2" w:tplc="0C090005" w:tentative="1">
      <w:start w:val="1"/>
      <w:numFmt w:val="bullet"/>
      <w:lvlText w:val=""/>
      <w:lvlJc w:val="left"/>
      <w:pPr>
        <w:tabs>
          <w:tab w:val="num" w:pos="2217"/>
        </w:tabs>
        <w:ind w:left="2217" w:hanging="360"/>
      </w:pPr>
      <w:rPr>
        <w:rFonts w:ascii="Wingdings" w:hAnsi="Wingdings" w:hint="default"/>
      </w:rPr>
    </w:lvl>
    <w:lvl w:ilvl="3" w:tplc="0C090001" w:tentative="1">
      <w:start w:val="1"/>
      <w:numFmt w:val="bullet"/>
      <w:lvlText w:val=""/>
      <w:lvlJc w:val="left"/>
      <w:pPr>
        <w:tabs>
          <w:tab w:val="num" w:pos="2937"/>
        </w:tabs>
        <w:ind w:left="2937" w:hanging="360"/>
      </w:pPr>
      <w:rPr>
        <w:rFonts w:ascii="Symbol" w:hAnsi="Symbol" w:hint="default"/>
      </w:rPr>
    </w:lvl>
    <w:lvl w:ilvl="4" w:tplc="0C090003" w:tentative="1">
      <w:start w:val="1"/>
      <w:numFmt w:val="bullet"/>
      <w:lvlText w:val="o"/>
      <w:lvlJc w:val="left"/>
      <w:pPr>
        <w:tabs>
          <w:tab w:val="num" w:pos="3657"/>
        </w:tabs>
        <w:ind w:left="3657" w:hanging="360"/>
      </w:pPr>
      <w:rPr>
        <w:rFonts w:ascii="Courier New" w:hAnsi="Courier New" w:cs="Courier New" w:hint="default"/>
      </w:rPr>
    </w:lvl>
    <w:lvl w:ilvl="5" w:tplc="0C090005" w:tentative="1">
      <w:start w:val="1"/>
      <w:numFmt w:val="bullet"/>
      <w:lvlText w:val=""/>
      <w:lvlJc w:val="left"/>
      <w:pPr>
        <w:tabs>
          <w:tab w:val="num" w:pos="4377"/>
        </w:tabs>
        <w:ind w:left="4377" w:hanging="360"/>
      </w:pPr>
      <w:rPr>
        <w:rFonts w:ascii="Wingdings" w:hAnsi="Wingdings" w:hint="default"/>
      </w:rPr>
    </w:lvl>
    <w:lvl w:ilvl="6" w:tplc="0C090001" w:tentative="1">
      <w:start w:val="1"/>
      <w:numFmt w:val="bullet"/>
      <w:lvlText w:val=""/>
      <w:lvlJc w:val="left"/>
      <w:pPr>
        <w:tabs>
          <w:tab w:val="num" w:pos="5097"/>
        </w:tabs>
        <w:ind w:left="5097" w:hanging="360"/>
      </w:pPr>
      <w:rPr>
        <w:rFonts w:ascii="Symbol" w:hAnsi="Symbol" w:hint="default"/>
      </w:rPr>
    </w:lvl>
    <w:lvl w:ilvl="7" w:tplc="0C090003" w:tentative="1">
      <w:start w:val="1"/>
      <w:numFmt w:val="bullet"/>
      <w:lvlText w:val="o"/>
      <w:lvlJc w:val="left"/>
      <w:pPr>
        <w:tabs>
          <w:tab w:val="num" w:pos="5817"/>
        </w:tabs>
        <w:ind w:left="5817" w:hanging="360"/>
      </w:pPr>
      <w:rPr>
        <w:rFonts w:ascii="Courier New" w:hAnsi="Courier New" w:cs="Courier New" w:hint="default"/>
      </w:rPr>
    </w:lvl>
    <w:lvl w:ilvl="8" w:tplc="0C090005" w:tentative="1">
      <w:start w:val="1"/>
      <w:numFmt w:val="bullet"/>
      <w:lvlText w:val=""/>
      <w:lvlJc w:val="left"/>
      <w:pPr>
        <w:tabs>
          <w:tab w:val="num" w:pos="6537"/>
        </w:tabs>
        <w:ind w:left="6537" w:hanging="360"/>
      </w:pPr>
      <w:rPr>
        <w:rFonts w:ascii="Wingdings" w:hAnsi="Wingdings" w:hint="default"/>
      </w:rPr>
    </w:lvl>
  </w:abstractNum>
  <w:abstractNum w:abstractNumId="17">
    <w:nsid w:val="06976D75"/>
    <w:multiLevelType w:val="singleLevel"/>
    <w:tmpl w:val="5CF831E0"/>
    <w:lvl w:ilvl="0">
      <w:start w:val="1"/>
      <w:numFmt w:val="bullet"/>
      <w:lvlText w:val=""/>
      <w:lvlJc w:val="left"/>
      <w:pPr>
        <w:tabs>
          <w:tab w:val="num" w:pos="360"/>
        </w:tabs>
        <w:ind w:left="284" w:hanging="284"/>
      </w:pPr>
      <w:rPr>
        <w:rFonts w:ascii="Symbol" w:hAnsi="Symbol" w:hint="default"/>
      </w:rPr>
    </w:lvl>
  </w:abstractNum>
  <w:abstractNum w:abstractNumId="18">
    <w:nsid w:val="07B902B8"/>
    <w:multiLevelType w:val="hybridMultilevel"/>
    <w:tmpl w:val="EC6EBB6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9">
    <w:nsid w:val="085562CA"/>
    <w:multiLevelType w:val="multilevel"/>
    <w:tmpl w:val="3EB4F27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08CE67D7"/>
    <w:multiLevelType w:val="multilevel"/>
    <w:tmpl w:val="BB00616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08CE72D2"/>
    <w:multiLevelType w:val="singleLevel"/>
    <w:tmpl w:val="0409000F"/>
    <w:lvl w:ilvl="0">
      <w:start w:val="1"/>
      <w:numFmt w:val="decimal"/>
      <w:lvlText w:val="%1."/>
      <w:lvlJc w:val="left"/>
      <w:pPr>
        <w:tabs>
          <w:tab w:val="num" w:pos="360"/>
        </w:tabs>
        <w:ind w:left="360" w:hanging="360"/>
      </w:pPr>
    </w:lvl>
  </w:abstractNum>
  <w:abstractNum w:abstractNumId="22">
    <w:nsid w:val="092450FA"/>
    <w:multiLevelType w:val="hybridMultilevel"/>
    <w:tmpl w:val="B71AE946"/>
    <w:lvl w:ilvl="0" w:tplc="04090005">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09C7478E"/>
    <w:multiLevelType w:val="hybridMultilevel"/>
    <w:tmpl w:val="1F62632A"/>
    <w:lvl w:ilvl="0" w:tplc="A6A49556">
      <w:start w:val="1"/>
      <w:numFmt w:val="bullet"/>
      <w:lvlText w:val=""/>
      <w:lvlJc w:val="left"/>
      <w:pPr>
        <w:tabs>
          <w:tab w:val="num" w:pos="417"/>
        </w:tabs>
        <w:ind w:left="397" w:hanging="340"/>
      </w:pPr>
      <w:rPr>
        <w:rFonts w:ascii="Symbol" w:hAnsi="Symbol" w:hint="default"/>
        <w:color w:val="auto"/>
      </w:rPr>
    </w:lvl>
    <w:lvl w:ilvl="1" w:tplc="04090003" w:tentative="1">
      <w:start w:val="1"/>
      <w:numFmt w:val="bullet"/>
      <w:lvlText w:val="o"/>
      <w:lvlJc w:val="left"/>
      <w:pPr>
        <w:tabs>
          <w:tab w:val="num" w:pos="777"/>
        </w:tabs>
        <w:ind w:left="777" w:hanging="360"/>
      </w:pPr>
      <w:rPr>
        <w:rFonts w:ascii="Courier New" w:hAnsi="Courier New" w:cs="Courier New" w:hint="default"/>
      </w:rPr>
    </w:lvl>
    <w:lvl w:ilvl="2" w:tplc="04090005" w:tentative="1">
      <w:start w:val="1"/>
      <w:numFmt w:val="bullet"/>
      <w:lvlText w:val=""/>
      <w:lvlJc w:val="left"/>
      <w:pPr>
        <w:tabs>
          <w:tab w:val="num" w:pos="1497"/>
        </w:tabs>
        <w:ind w:left="1497" w:hanging="360"/>
      </w:pPr>
      <w:rPr>
        <w:rFonts w:ascii="Wingdings" w:hAnsi="Wingdings" w:hint="default"/>
      </w:rPr>
    </w:lvl>
    <w:lvl w:ilvl="3" w:tplc="04090001" w:tentative="1">
      <w:start w:val="1"/>
      <w:numFmt w:val="bullet"/>
      <w:lvlText w:val=""/>
      <w:lvlJc w:val="left"/>
      <w:pPr>
        <w:tabs>
          <w:tab w:val="num" w:pos="2217"/>
        </w:tabs>
        <w:ind w:left="2217" w:hanging="360"/>
      </w:pPr>
      <w:rPr>
        <w:rFonts w:ascii="Symbol" w:hAnsi="Symbol" w:hint="default"/>
      </w:rPr>
    </w:lvl>
    <w:lvl w:ilvl="4" w:tplc="04090003" w:tentative="1">
      <w:start w:val="1"/>
      <w:numFmt w:val="bullet"/>
      <w:lvlText w:val="o"/>
      <w:lvlJc w:val="left"/>
      <w:pPr>
        <w:tabs>
          <w:tab w:val="num" w:pos="2937"/>
        </w:tabs>
        <w:ind w:left="2937" w:hanging="360"/>
      </w:pPr>
      <w:rPr>
        <w:rFonts w:ascii="Courier New" w:hAnsi="Courier New" w:cs="Courier New" w:hint="default"/>
      </w:rPr>
    </w:lvl>
    <w:lvl w:ilvl="5" w:tplc="04090005" w:tentative="1">
      <w:start w:val="1"/>
      <w:numFmt w:val="bullet"/>
      <w:lvlText w:val=""/>
      <w:lvlJc w:val="left"/>
      <w:pPr>
        <w:tabs>
          <w:tab w:val="num" w:pos="3657"/>
        </w:tabs>
        <w:ind w:left="3657" w:hanging="360"/>
      </w:pPr>
      <w:rPr>
        <w:rFonts w:ascii="Wingdings" w:hAnsi="Wingdings" w:hint="default"/>
      </w:rPr>
    </w:lvl>
    <w:lvl w:ilvl="6" w:tplc="04090001" w:tentative="1">
      <w:start w:val="1"/>
      <w:numFmt w:val="bullet"/>
      <w:lvlText w:val=""/>
      <w:lvlJc w:val="left"/>
      <w:pPr>
        <w:tabs>
          <w:tab w:val="num" w:pos="4377"/>
        </w:tabs>
        <w:ind w:left="4377" w:hanging="360"/>
      </w:pPr>
      <w:rPr>
        <w:rFonts w:ascii="Symbol" w:hAnsi="Symbol" w:hint="default"/>
      </w:rPr>
    </w:lvl>
    <w:lvl w:ilvl="7" w:tplc="04090003" w:tentative="1">
      <w:start w:val="1"/>
      <w:numFmt w:val="bullet"/>
      <w:lvlText w:val="o"/>
      <w:lvlJc w:val="left"/>
      <w:pPr>
        <w:tabs>
          <w:tab w:val="num" w:pos="5097"/>
        </w:tabs>
        <w:ind w:left="5097" w:hanging="360"/>
      </w:pPr>
      <w:rPr>
        <w:rFonts w:ascii="Courier New" w:hAnsi="Courier New" w:cs="Courier New" w:hint="default"/>
      </w:rPr>
    </w:lvl>
    <w:lvl w:ilvl="8" w:tplc="04090005" w:tentative="1">
      <w:start w:val="1"/>
      <w:numFmt w:val="bullet"/>
      <w:lvlText w:val=""/>
      <w:lvlJc w:val="left"/>
      <w:pPr>
        <w:tabs>
          <w:tab w:val="num" w:pos="5817"/>
        </w:tabs>
        <w:ind w:left="5817" w:hanging="360"/>
      </w:pPr>
      <w:rPr>
        <w:rFonts w:ascii="Wingdings" w:hAnsi="Wingdings" w:hint="default"/>
      </w:rPr>
    </w:lvl>
  </w:abstractNum>
  <w:abstractNum w:abstractNumId="24">
    <w:nsid w:val="09ED010A"/>
    <w:multiLevelType w:val="multilevel"/>
    <w:tmpl w:val="12743E0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25">
    <w:nsid w:val="0A86765F"/>
    <w:multiLevelType w:val="multilevel"/>
    <w:tmpl w:val="8CEE0454"/>
    <w:lvl w:ilvl="0">
      <w:start w:val="1"/>
      <w:numFmt w:val="decimal"/>
      <w:lvlText w:val="3.%1"/>
      <w:lvlJc w:val="left"/>
      <w:pPr>
        <w:tabs>
          <w:tab w:val="num" w:pos="850"/>
        </w:tabs>
        <w:ind w:left="850" w:hanging="850"/>
      </w:pPr>
    </w:lvl>
    <w:lvl w:ilvl="1">
      <w:start w:val="1"/>
      <w:numFmt w:val="lowerLetter"/>
      <w:lvlText w:val="%2)"/>
      <w:lvlJc w:val="left"/>
      <w:pPr>
        <w:tabs>
          <w:tab w:val="num" w:pos="1701"/>
        </w:tabs>
        <w:ind w:left="1701" w:hanging="851"/>
      </w:pPr>
    </w:lvl>
    <w:lvl w:ilvl="2">
      <w:start w:val="1"/>
      <w:numFmt w:val="lowerRoman"/>
      <w:lvlText w:val="%3)"/>
      <w:lvlJc w:val="left"/>
      <w:pPr>
        <w:tabs>
          <w:tab w:val="num" w:pos="2551"/>
        </w:tabs>
        <w:ind w:left="2551" w:hanging="850"/>
      </w:pPr>
    </w:lvl>
    <w:lvl w:ilvl="3">
      <w:start w:val="1"/>
      <w:numFmt w:val="decimal"/>
      <w:lvlText w:val="(%4)"/>
      <w:lvlJc w:val="left"/>
      <w:pPr>
        <w:tabs>
          <w:tab w:val="num" w:pos="1440"/>
        </w:tabs>
        <w:ind w:left="1440" w:hanging="363"/>
      </w:pPr>
    </w:lvl>
    <w:lvl w:ilvl="4">
      <w:start w:val="1"/>
      <w:numFmt w:val="lowerLetter"/>
      <w:lvlText w:val="(%5)"/>
      <w:lvlJc w:val="left"/>
      <w:pPr>
        <w:tabs>
          <w:tab w:val="num" w:pos="1797"/>
        </w:tabs>
        <w:ind w:left="1797" w:hanging="357"/>
      </w:pPr>
    </w:lvl>
    <w:lvl w:ilvl="5">
      <w:start w:val="1"/>
      <w:numFmt w:val="lowerRoman"/>
      <w:lvlText w:val="(%6)"/>
      <w:lvlJc w:val="left"/>
      <w:pPr>
        <w:tabs>
          <w:tab w:val="num" w:pos="2160"/>
        </w:tabs>
        <w:ind w:left="2160" w:hanging="363"/>
      </w:pPr>
    </w:lvl>
    <w:lvl w:ilvl="6">
      <w:start w:val="1"/>
      <w:numFmt w:val="decimal"/>
      <w:lvlText w:val="%7."/>
      <w:lvlJc w:val="left"/>
      <w:pPr>
        <w:tabs>
          <w:tab w:val="num" w:pos="2517"/>
        </w:tabs>
        <w:ind w:left="2517" w:hanging="357"/>
      </w:pPr>
    </w:lvl>
    <w:lvl w:ilvl="7">
      <w:start w:val="1"/>
      <w:numFmt w:val="lowerLetter"/>
      <w:lvlText w:val="%8."/>
      <w:lvlJc w:val="left"/>
      <w:pPr>
        <w:tabs>
          <w:tab w:val="num" w:pos="2880"/>
        </w:tabs>
        <w:ind w:left="2880" w:hanging="363"/>
      </w:pPr>
    </w:lvl>
    <w:lvl w:ilvl="8">
      <w:start w:val="1"/>
      <w:numFmt w:val="lowerRoman"/>
      <w:lvlText w:val="%9."/>
      <w:lvlJc w:val="left"/>
      <w:pPr>
        <w:tabs>
          <w:tab w:val="num" w:pos="3237"/>
        </w:tabs>
        <w:ind w:left="3237" w:hanging="357"/>
      </w:pPr>
    </w:lvl>
  </w:abstractNum>
  <w:abstractNum w:abstractNumId="26">
    <w:nsid w:val="0AC26C62"/>
    <w:multiLevelType w:val="singleLevel"/>
    <w:tmpl w:val="561E0F3E"/>
    <w:lvl w:ilvl="0">
      <w:start w:val="1"/>
      <w:numFmt w:val="decimal"/>
      <w:lvlText w:val="%1."/>
      <w:lvlJc w:val="left"/>
      <w:pPr>
        <w:tabs>
          <w:tab w:val="num" w:pos="720"/>
        </w:tabs>
        <w:ind w:left="720" w:hanging="720"/>
      </w:pPr>
    </w:lvl>
  </w:abstractNum>
  <w:abstractNum w:abstractNumId="27">
    <w:nsid w:val="0B6D0BE4"/>
    <w:multiLevelType w:val="hybridMultilevel"/>
    <w:tmpl w:val="A646502E"/>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8">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0CF71344"/>
    <w:multiLevelType w:val="multilevel"/>
    <w:tmpl w:val="1674E7E2"/>
    <w:lvl w:ilvl="0">
      <w:start w:val="1"/>
      <w:numFmt w:val="decimal"/>
      <w:lvlText w:val="%1."/>
      <w:lvlJc w:val="left"/>
      <w:pPr>
        <w:tabs>
          <w:tab w:val="num" w:pos="1080"/>
        </w:tabs>
        <w:ind w:left="1080" w:hanging="360"/>
      </w:pPr>
      <w:rPr>
        <w:rFonts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30">
    <w:nsid w:val="0E354178"/>
    <w:multiLevelType w:val="hybridMultilevel"/>
    <w:tmpl w:val="1DE4F920"/>
    <w:lvl w:ilvl="0" w:tplc="58C88132">
      <w:start w:val="1"/>
      <w:numFmt w:val="bullet"/>
      <w:lvlText w:val=""/>
      <w:lvlJc w:val="left"/>
      <w:pPr>
        <w:tabs>
          <w:tab w:val="num" w:pos="1060"/>
        </w:tabs>
        <w:ind w:left="1060" w:hanging="34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31">
    <w:nsid w:val="0E823FD9"/>
    <w:multiLevelType w:val="hybridMultilevel"/>
    <w:tmpl w:val="5302F796"/>
    <w:lvl w:ilvl="0" w:tplc="58C88132">
      <w:start w:val="1"/>
      <w:numFmt w:val="bullet"/>
      <w:lvlText w:val=""/>
      <w:lvlJc w:val="left"/>
      <w:pPr>
        <w:tabs>
          <w:tab w:val="num" w:pos="1060"/>
        </w:tabs>
        <w:ind w:left="1060" w:hanging="34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32">
    <w:nsid w:val="0EC72465"/>
    <w:multiLevelType w:val="multilevel"/>
    <w:tmpl w:val="DE6E9C5E"/>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33">
    <w:nsid w:val="0F8E7CAF"/>
    <w:multiLevelType w:val="multilevel"/>
    <w:tmpl w:val="1602CD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0FAC6894"/>
    <w:multiLevelType w:val="multilevel"/>
    <w:tmpl w:val="683C5764"/>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35">
    <w:nsid w:val="10361CB3"/>
    <w:multiLevelType w:val="hybridMultilevel"/>
    <w:tmpl w:val="3A403020"/>
    <w:lvl w:ilvl="0" w:tplc="401CF032">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11AB7935"/>
    <w:multiLevelType w:val="singleLevel"/>
    <w:tmpl w:val="CD746DE4"/>
    <w:lvl w:ilvl="0">
      <w:start w:val="200"/>
      <w:numFmt w:val="bullet"/>
      <w:lvlText w:val="-"/>
      <w:lvlJc w:val="left"/>
      <w:pPr>
        <w:tabs>
          <w:tab w:val="num" w:pos="720"/>
        </w:tabs>
        <w:ind w:left="720" w:hanging="360"/>
      </w:pPr>
      <w:rPr>
        <w:rFonts w:ascii="Times New Roman" w:hAnsi="Times New Roman" w:hint="default"/>
      </w:rPr>
    </w:lvl>
  </w:abstractNum>
  <w:abstractNum w:abstractNumId="37">
    <w:nsid w:val="123D6A29"/>
    <w:multiLevelType w:val="multilevel"/>
    <w:tmpl w:val="DCCACB58"/>
    <w:lvl w:ilvl="0">
      <w:start w:val="1"/>
      <w:numFmt w:val="lowerRoman"/>
      <w:lvlText w:val="%1)"/>
      <w:lvlJc w:val="left"/>
      <w:pPr>
        <w:tabs>
          <w:tab w:val="num" w:pos="1440"/>
        </w:tabs>
        <w:ind w:left="1440" w:hanging="72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8">
    <w:nsid w:val="149B3A33"/>
    <w:multiLevelType w:val="multilevel"/>
    <w:tmpl w:val="C7405A30"/>
    <w:lvl w:ilvl="0">
      <w:start w:val="1"/>
      <w:numFmt w:val="bullet"/>
      <w:lvlText w:val=""/>
      <w:lvlJc w:val="left"/>
      <w:pPr>
        <w:tabs>
          <w:tab w:val="num" w:pos="907"/>
        </w:tabs>
        <w:ind w:left="907" w:hanging="340"/>
      </w:pPr>
      <w:rPr>
        <w:rFonts w:ascii="Symbol" w:hAnsi="Symbol" w:hint="default"/>
        <w:sz w:val="24"/>
      </w:rPr>
    </w:lvl>
    <w:lvl w:ilvl="1">
      <w:start w:val="1"/>
      <w:numFmt w:val="lowerLetter"/>
      <w:lvlText w:val="%2."/>
      <w:lvlJc w:val="left"/>
      <w:pPr>
        <w:tabs>
          <w:tab w:val="num" w:pos="2007"/>
        </w:tabs>
        <w:ind w:left="2007" w:hanging="360"/>
      </w:pPr>
      <w:rPr>
        <w:rFonts w:hint="default"/>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abstractNum w:abstractNumId="39">
    <w:nsid w:val="14F70DC1"/>
    <w:multiLevelType w:val="multilevel"/>
    <w:tmpl w:val="95649D6C"/>
    <w:lvl w:ilvl="0">
      <w:start w:val="1"/>
      <w:numFmt w:val="bullet"/>
      <w:lvlText w:val=""/>
      <w:lvlJc w:val="left"/>
      <w:pPr>
        <w:tabs>
          <w:tab w:val="num" w:pos="360"/>
        </w:tabs>
        <w:ind w:left="360" w:hanging="360"/>
      </w:pPr>
      <w:rPr>
        <w:rFonts w:ascii="Wingdings" w:hAnsi="Wingding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0">
    <w:nsid w:val="165D201C"/>
    <w:multiLevelType w:val="multilevel"/>
    <w:tmpl w:val="265264F8"/>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170C549E"/>
    <w:multiLevelType w:val="singleLevel"/>
    <w:tmpl w:val="01325DD6"/>
    <w:lvl w:ilvl="0">
      <w:start w:val="1"/>
      <w:numFmt w:val="lowerLetter"/>
      <w:lvlText w:val="(%1)"/>
      <w:lvlJc w:val="left"/>
      <w:pPr>
        <w:tabs>
          <w:tab w:val="num" w:pos="720"/>
        </w:tabs>
        <w:ind w:left="720" w:hanging="720"/>
      </w:pPr>
    </w:lvl>
  </w:abstractNum>
  <w:abstractNum w:abstractNumId="42">
    <w:nsid w:val="18A4753D"/>
    <w:multiLevelType w:val="multilevel"/>
    <w:tmpl w:val="D1B00E10"/>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43">
    <w:nsid w:val="1AED3948"/>
    <w:multiLevelType w:val="hybridMultilevel"/>
    <w:tmpl w:val="81E0FA58"/>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44">
    <w:nsid w:val="1E141A26"/>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5">
    <w:nsid w:val="2059393F"/>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46">
    <w:nsid w:val="20AC30E6"/>
    <w:multiLevelType w:val="hybridMultilevel"/>
    <w:tmpl w:val="3E861DE8"/>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7">
    <w:nsid w:val="20E40D91"/>
    <w:multiLevelType w:val="multilevel"/>
    <w:tmpl w:val="4218E748"/>
    <w:lvl w:ilvl="0">
      <w:start w:val="1"/>
      <w:numFmt w:val="decimal"/>
      <w:isLgl/>
      <w:lvlText w:val="%1.1"/>
      <w:lvlJc w:val="left"/>
      <w:pPr>
        <w:tabs>
          <w:tab w:val="num" w:pos="567"/>
        </w:tabs>
        <w:ind w:left="567" w:hanging="567"/>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3"/>
      <w:lvlJc w:val="left"/>
      <w:pPr>
        <w:tabs>
          <w:tab w:val="num" w:pos="720"/>
        </w:tabs>
        <w:ind w:left="720" w:hanging="720"/>
      </w:pPr>
      <w:rPr>
        <w:rFonts w:hint="default"/>
      </w:rPr>
    </w:lvl>
    <w:lvl w:ilvl="3">
      <w:start w:val="1"/>
      <w:numFmt w:val="decimal"/>
      <w:lvlText w:val="%1.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nsid w:val="21F03507"/>
    <w:multiLevelType w:val="multilevel"/>
    <w:tmpl w:val="1602CD66"/>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9">
    <w:nsid w:val="238568EC"/>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0">
    <w:nsid w:val="25E61C71"/>
    <w:multiLevelType w:val="multilevel"/>
    <w:tmpl w:val="96A236CC"/>
    <w:lvl w:ilvl="0">
      <w:start w:val="1"/>
      <w:numFmt w:val="bullet"/>
      <w:lvlText w:val=""/>
      <w:lvlJc w:val="left"/>
      <w:pPr>
        <w:tabs>
          <w:tab w:val="num" w:pos="907"/>
        </w:tabs>
        <w:ind w:left="907" w:hanging="340"/>
      </w:pPr>
      <w:rPr>
        <w:rFonts w:ascii="Symbol" w:hAnsi="Symbol" w:hint="default"/>
        <w:sz w:val="24"/>
      </w:rPr>
    </w:lvl>
    <w:lvl w:ilvl="1">
      <w:start w:val="1"/>
      <w:numFmt w:val="lowerLetter"/>
      <w:lvlText w:val="%2."/>
      <w:lvlJc w:val="left"/>
      <w:pPr>
        <w:tabs>
          <w:tab w:val="num" w:pos="2007"/>
        </w:tabs>
        <w:ind w:left="2007" w:hanging="360"/>
      </w:pPr>
      <w:rPr>
        <w:rFonts w:hint="default"/>
      </w:rPr>
    </w:lvl>
    <w:lvl w:ilvl="2">
      <w:start w:val="1"/>
      <w:numFmt w:val="lowerRoman"/>
      <w:lvlText w:val="%3."/>
      <w:lvlJc w:val="right"/>
      <w:pPr>
        <w:tabs>
          <w:tab w:val="num" w:pos="2727"/>
        </w:tabs>
        <w:ind w:left="2727" w:hanging="180"/>
      </w:pPr>
      <w:rPr>
        <w:rFonts w:hint="default"/>
      </w:rPr>
    </w:lvl>
    <w:lvl w:ilvl="3">
      <w:start w:val="1"/>
      <w:numFmt w:val="decimal"/>
      <w:lvlText w:val="%4."/>
      <w:lvlJc w:val="left"/>
      <w:pPr>
        <w:tabs>
          <w:tab w:val="num" w:pos="3447"/>
        </w:tabs>
        <w:ind w:left="3447" w:hanging="360"/>
      </w:pPr>
      <w:rPr>
        <w:rFonts w:hint="default"/>
      </w:rPr>
    </w:lvl>
    <w:lvl w:ilvl="4">
      <w:start w:val="1"/>
      <w:numFmt w:val="lowerLetter"/>
      <w:lvlText w:val="%5."/>
      <w:lvlJc w:val="left"/>
      <w:pPr>
        <w:tabs>
          <w:tab w:val="num" w:pos="4167"/>
        </w:tabs>
        <w:ind w:left="4167" w:hanging="360"/>
      </w:pPr>
      <w:rPr>
        <w:rFonts w:hint="default"/>
      </w:rPr>
    </w:lvl>
    <w:lvl w:ilvl="5">
      <w:start w:val="1"/>
      <w:numFmt w:val="lowerRoman"/>
      <w:lvlText w:val="%6."/>
      <w:lvlJc w:val="right"/>
      <w:pPr>
        <w:tabs>
          <w:tab w:val="num" w:pos="4887"/>
        </w:tabs>
        <w:ind w:left="4887" w:hanging="180"/>
      </w:pPr>
      <w:rPr>
        <w:rFonts w:hint="default"/>
      </w:rPr>
    </w:lvl>
    <w:lvl w:ilvl="6">
      <w:start w:val="1"/>
      <w:numFmt w:val="decimal"/>
      <w:lvlText w:val="%7."/>
      <w:lvlJc w:val="left"/>
      <w:pPr>
        <w:tabs>
          <w:tab w:val="num" w:pos="5607"/>
        </w:tabs>
        <w:ind w:left="5607" w:hanging="360"/>
      </w:pPr>
      <w:rPr>
        <w:rFonts w:hint="default"/>
      </w:rPr>
    </w:lvl>
    <w:lvl w:ilvl="7">
      <w:start w:val="1"/>
      <w:numFmt w:val="lowerLetter"/>
      <w:lvlText w:val="%8."/>
      <w:lvlJc w:val="left"/>
      <w:pPr>
        <w:tabs>
          <w:tab w:val="num" w:pos="6327"/>
        </w:tabs>
        <w:ind w:left="6327" w:hanging="360"/>
      </w:pPr>
      <w:rPr>
        <w:rFonts w:hint="default"/>
      </w:rPr>
    </w:lvl>
    <w:lvl w:ilvl="8">
      <w:start w:val="1"/>
      <w:numFmt w:val="lowerRoman"/>
      <w:lvlText w:val="%9."/>
      <w:lvlJc w:val="right"/>
      <w:pPr>
        <w:tabs>
          <w:tab w:val="num" w:pos="7047"/>
        </w:tabs>
        <w:ind w:left="7047" w:hanging="180"/>
      </w:pPr>
      <w:rPr>
        <w:rFonts w:hint="default"/>
      </w:rPr>
    </w:lvl>
  </w:abstractNum>
  <w:abstractNum w:abstractNumId="51">
    <w:nsid w:val="267B65F1"/>
    <w:multiLevelType w:val="hybridMultilevel"/>
    <w:tmpl w:val="2C3EC2CE"/>
    <w:lvl w:ilvl="0" w:tplc="A6A49556">
      <w:start w:val="1"/>
      <w:numFmt w:val="bullet"/>
      <w:lvlText w:val=""/>
      <w:lvlJc w:val="left"/>
      <w:pPr>
        <w:tabs>
          <w:tab w:val="num" w:pos="1080"/>
        </w:tabs>
        <w:ind w:left="1060" w:hanging="34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27AA5357"/>
    <w:multiLevelType w:val="multilevel"/>
    <w:tmpl w:val="8FE8493C"/>
    <w:lvl w:ilvl="0">
      <w:start w:val="5"/>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29137B90"/>
    <w:multiLevelType w:val="multilevel"/>
    <w:tmpl w:val="0C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4">
    <w:nsid w:val="2B1929EB"/>
    <w:multiLevelType w:val="multilevel"/>
    <w:tmpl w:val="D132F356"/>
    <w:lvl w:ilvl="0">
      <w:start w:val="5"/>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5">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6">
    <w:nsid w:val="2BDF421B"/>
    <w:multiLevelType w:val="hybridMultilevel"/>
    <w:tmpl w:val="B36A5B72"/>
    <w:lvl w:ilvl="0" w:tplc="250E00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7">
    <w:nsid w:val="2C6A15F2"/>
    <w:multiLevelType w:val="hybridMultilevel"/>
    <w:tmpl w:val="6046DBFE"/>
    <w:lvl w:ilvl="0" w:tplc="2046A598">
      <w:start w:val="1"/>
      <w:numFmt w:val="lowerLetter"/>
      <w:lvlText w:val="(%1)"/>
      <w:lvlJc w:val="left"/>
      <w:pPr>
        <w:tabs>
          <w:tab w:val="num" w:pos="720"/>
        </w:tabs>
        <w:ind w:left="720" w:hanging="360"/>
      </w:pPr>
      <w:rPr>
        <w:rFonts w:hint="default"/>
      </w:r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58">
    <w:nsid w:val="2D2C274E"/>
    <w:multiLevelType w:val="hybridMultilevel"/>
    <w:tmpl w:val="3E525AAA"/>
    <w:lvl w:ilvl="0" w:tplc="4B6CF6B6">
      <w:start w:val="1"/>
      <w:numFmt w:val="decimal"/>
      <w:lvlText w:val="%1."/>
      <w:lvlJc w:val="left"/>
      <w:pPr>
        <w:tabs>
          <w:tab w:val="num" w:pos="720"/>
        </w:tabs>
        <w:ind w:left="720" w:hanging="360"/>
      </w:pPr>
    </w:lvl>
    <w:lvl w:ilvl="1" w:tplc="0C090019" w:tentative="1">
      <w:start w:val="1"/>
      <w:numFmt w:val="lowerLetter"/>
      <w:lvlText w:val="%2."/>
      <w:lvlJc w:val="left"/>
      <w:pPr>
        <w:tabs>
          <w:tab w:val="num" w:pos="1440"/>
        </w:tabs>
        <w:ind w:left="1440" w:hanging="360"/>
      </w:pPr>
    </w:lvl>
    <w:lvl w:ilvl="2" w:tplc="0C09001B" w:tentative="1">
      <w:start w:val="1"/>
      <w:numFmt w:val="lowerRoman"/>
      <w:lvlText w:val="%3."/>
      <w:lvlJc w:val="right"/>
      <w:pPr>
        <w:tabs>
          <w:tab w:val="num" w:pos="2160"/>
        </w:tabs>
        <w:ind w:left="2160" w:hanging="180"/>
      </w:pPr>
    </w:lvl>
    <w:lvl w:ilvl="3" w:tplc="0C09000F" w:tentative="1">
      <w:start w:val="1"/>
      <w:numFmt w:val="decimal"/>
      <w:lvlText w:val="%4."/>
      <w:lvlJc w:val="left"/>
      <w:pPr>
        <w:tabs>
          <w:tab w:val="num" w:pos="2880"/>
        </w:tabs>
        <w:ind w:left="2880" w:hanging="360"/>
      </w:pPr>
    </w:lvl>
    <w:lvl w:ilvl="4" w:tplc="0C090019" w:tentative="1">
      <w:start w:val="1"/>
      <w:numFmt w:val="lowerLetter"/>
      <w:lvlText w:val="%5."/>
      <w:lvlJc w:val="left"/>
      <w:pPr>
        <w:tabs>
          <w:tab w:val="num" w:pos="3600"/>
        </w:tabs>
        <w:ind w:left="3600" w:hanging="360"/>
      </w:pPr>
    </w:lvl>
    <w:lvl w:ilvl="5" w:tplc="0C09001B" w:tentative="1">
      <w:start w:val="1"/>
      <w:numFmt w:val="lowerRoman"/>
      <w:lvlText w:val="%6."/>
      <w:lvlJc w:val="right"/>
      <w:pPr>
        <w:tabs>
          <w:tab w:val="num" w:pos="4320"/>
        </w:tabs>
        <w:ind w:left="4320" w:hanging="180"/>
      </w:pPr>
    </w:lvl>
    <w:lvl w:ilvl="6" w:tplc="0C09000F" w:tentative="1">
      <w:start w:val="1"/>
      <w:numFmt w:val="decimal"/>
      <w:lvlText w:val="%7."/>
      <w:lvlJc w:val="left"/>
      <w:pPr>
        <w:tabs>
          <w:tab w:val="num" w:pos="5040"/>
        </w:tabs>
        <w:ind w:left="5040" w:hanging="360"/>
      </w:pPr>
    </w:lvl>
    <w:lvl w:ilvl="7" w:tplc="0C090019" w:tentative="1">
      <w:start w:val="1"/>
      <w:numFmt w:val="lowerLetter"/>
      <w:lvlText w:val="%8."/>
      <w:lvlJc w:val="left"/>
      <w:pPr>
        <w:tabs>
          <w:tab w:val="num" w:pos="5760"/>
        </w:tabs>
        <w:ind w:left="5760" w:hanging="360"/>
      </w:pPr>
    </w:lvl>
    <w:lvl w:ilvl="8" w:tplc="0C09001B" w:tentative="1">
      <w:start w:val="1"/>
      <w:numFmt w:val="lowerRoman"/>
      <w:lvlText w:val="%9."/>
      <w:lvlJc w:val="right"/>
      <w:pPr>
        <w:tabs>
          <w:tab w:val="num" w:pos="6480"/>
        </w:tabs>
        <w:ind w:left="6480" w:hanging="180"/>
      </w:pPr>
    </w:lvl>
  </w:abstractNum>
  <w:abstractNum w:abstractNumId="59">
    <w:nsid w:val="2DAE358F"/>
    <w:multiLevelType w:val="multilevel"/>
    <w:tmpl w:val="E78A248C"/>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0">
    <w:nsid w:val="2DD7522E"/>
    <w:multiLevelType w:val="multilevel"/>
    <w:tmpl w:val="D4AEB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302A75A7"/>
    <w:multiLevelType w:val="singleLevel"/>
    <w:tmpl w:val="3496DD40"/>
    <w:lvl w:ilvl="0">
      <w:start w:val="1"/>
      <w:numFmt w:val="decimal"/>
      <w:lvlText w:val="(%1)"/>
      <w:lvlJc w:val="left"/>
      <w:pPr>
        <w:tabs>
          <w:tab w:val="num" w:pos="1440"/>
        </w:tabs>
        <w:ind w:left="1440" w:hanging="720"/>
      </w:pPr>
    </w:lvl>
  </w:abstractNum>
  <w:abstractNum w:abstractNumId="62">
    <w:nsid w:val="30974FED"/>
    <w:multiLevelType w:val="hybridMultilevel"/>
    <w:tmpl w:val="0E88EC6C"/>
    <w:lvl w:ilvl="0" w:tplc="0C090001">
      <w:start w:val="1"/>
      <w:numFmt w:val="bullet"/>
      <w:lvlText w:val=""/>
      <w:lvlJc w:val="left"/>
      <w:pPr>
        <w:tabs>
          <w:tab w:val="num" w:pos="-708"/>
        </w:tabs>
        <w:ind w:left="-708" w:hanging="360"/>
      </w:pPr>
      <w:rPr>
        <w:rFonts w:ascii="Symbol" w:hAnsi="Symbol" w:hint="default"/>
      </w:rPr>
    </w:lvl>
    <w:lvl w:ilvl="1" w:tplc="0C090003" w:tentative="1">
      <w:start w:val="1"/>
      <w:numFmt w:val="bullet"/>
      <w:lvlText w:val="o"/>
      <w:lvlJc w:val="left"/>
      <w:pPr>
        <w:tabs>
          <w:tab w:val="num" w:pos="12"/>
        </w:tabs>
        <w:ind w:left="12" w:hanging="360"/>
      </w:pPr>
      <w:rPr>
        <w:rFonts w:ascii="Courier New" w:hAnsi="Courier New" w:cs="Courier New" w:hint="default"/>
      </w:rPr>
    </w:lvl>
    <w:lvl w:ilvl="2" w:tplc="0C090005" w:tentative="1">
      <w:start w:val="1"/>
      <w:numFmt w:val="bullet"/>
      <w:lvlText w:val=""/>
      <w:lvlJc w:val="left"/>
      <w:pPr>
        <w:tabs>
          <w:tab w:val="num" w:pos="732"/>
        </w:tabs>
        <w:ind w:left="732" w:hanging="360"/>
      </w:pPr>
      <w:rPr>
        <w:rFonts w:ascii="Wingdings" w:hAnsi="Wingdings" w:hint="default"/>
      </w:rPr>
    </w:lvl>
    <w:lvl w:ilvl="3" w:tplc="0C090001" w:tentative="1">
      <w:start w:val="1"/>
      <w:numFmt w:val="bullet"/>
      <w:lvlText w:val=""/>
      <w:lvlJc w:val="left"/>
      <w:pPr>
        <w:tabs>
          <w:tab w:val="num" w:pos="1452"/>
        </w:tabs>
        <w:ind w:left="1452" w:hanging="360"/>
      </w:pPr>
      <w:rPr>
        <w:rFonts w:ascii="Symbol" w:hAnsi="Symbol" w:hint="default"/>
      </w:rPr>
    </w:lvl>
    <w:lvl w:ilvl="4" w:tplc="0C090003" w:tentative="1">
      <w:start w:val="1"/>
      <w:numFmt w:val="bullet"/>
      <w:lvlText w:val="o"/>
      <w:lvlJc w:val="left"/>
      <w:pPr>
        <w:tabs>
          <w:tab w:val="num" w:pos="2172"/>
        </w:tabs>
        <w:ind w:left="2172" w:hanging="360"/>
      </w:pPr>
      <w:rPr>
        <w:rFonts w:ascii="Courier New" w:hAnsi="Courier New" w:cs="Courier New" w:hint="default"/>
      </w:rPr>
    </w:lvl>
    <w:lvl w:ilvl="5" w:tplc="0C090005" w:tentative="1">
      <w:start w:val="1"/>
      <w:numFmt w:val="bullet"/>
      <w:lvlText w:val=""/>
      <w:lvlJc w:val="left"/>
      <w:pPr>
        <w:tabs>
          <w:tab w:val="num" w:pos="2892"/>
        </w:tabs>
        <w:ind w:left="2892" w:hanging="360"/>
      </w:pPr>
      <w:rPr>
        <w:rFonts w:ascii="Wingdings" w:hAnsi="Wingdings" w:hint="default"/>
      </w:rPr>
    </w:lvl>
    <w:lvl w:ilvl="6" w:tplc="0C090001" w:tentative="1">
      <w:start w:val="1"/>
      <w:numFmt w:val="bullet"/>
      <w:lvlText w:val=""/>
      <w:lvlJc w:val="left"/>
      <w:pPr>
        <w:tabs>
          <w:tab w:val="num" w:pos="3612"/>
        </w:tabs>
        <w:ind w:left="3612" w:hanging="360"/>
      </w:pPr>
      <w:rPr>
        <w:rFonts w:ascii="Symbol" w:hAnsi="Symbol" w:hint="default"/>
      </w:rPr>
    </w:lvl>
    <w:lvl w:ilvl="7" w:tplc="0C090003" w:tentative="1">
      <w:start w:val="1"/>
      <w:numFmt w:val="bullet"/>
      <w:lvlText w:val="o"/>
      <w:lvlJc w:val="left"/>
      <w:pPr>
        <w:tabs>
          <w:tab w:val="num" w:pos="4332"/>
        </w:tabs>
        <w:ind w:left="4332" w:hanging="360"/>
      </w:pPr>
      <w:rPr>
        <w:rFonts w:ascii="Courier New" w:hAnsi="Courier New" w:cs="Courier New" w:hint="default"/>
      </w:rPr>
    </w:lvl>
    <w:lvl w:ilvl="8" w:tplc="0C090005" w:tentative="1">
      <w:start w:val="1"/>
      <w:numFmt w:val="bullet"/>
      <w:lvlText w:val=""/>
      <w:lvlJc w:val="left"/>
      <w:pPr>
        <w:tabs>
          <w:tab w:val="num" w:pos="5052"/>
        </w:tabs>
        <w:ind w:left="5052" w:hanging="360"/>
      </w:pPr>
      <w:rPr>
        <w:rFonts w:ascii="Wingdings" w:hAnsi="Wingdings" w:hint="default"/>
      </w:rPr>
    </w:lvl>
  </w:abstractNum>
  <w:abstractNum w:abstractNumId="63">
    <w:nsid w:val="313452EB"/>
    <w:multiLevelType w:val="hybridMultilevel"/>
    <w:tmpl w:val="857C7D4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4">
    <w:nsid w:val="3152485A"/>
    <w:multiLevelType w:val="hybridMultilevel"/>
    <w:tmpl w:val="BA68BDE2"/>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5">
    <w:nsid w:val="31B945C5"/>
    <w:multiLevelType w:val="multilevel"/>
    <w:tmpl w:val="B3C2C658"/>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66">
    <w:nsid w:val="31FC479B"/>
    <w:multiLevelType w:val="multilevel"/>
    <w:tmpl w:val="8AD8116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67">
    <w:nsid w:val="32132E91"/>
    <w:multiLevelType w:val="multilevel"/>
    <w:tmpl w:val="68529F00"/>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68">
    <w:nsid w:val="3449129D"/>
    <w:multiLevelType w:val="multilevel"/>
    <w:tmpl w:val="6F185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36255761"/>
    <w:multiLevelType w:val="singleLevel"/>
    <w:tmpl w:val="0409000F"/>
    <w:lvl w:ilvl="0">
      <w:start w:val="1"/>
      <w:numFmt w:val="decimal"/>
      <w:lvlText w:val="%1."/>
      <w:lvlJc w:val="left"/>
      <w:pPr>
        <w:tabs>
          <w:tab w:val="num" w:pos="360"/>
        </w:tabs>
        <w:ind w:left="360" w:hanging="360"/>
      </w:pPr>
    </w:lvl>
  </w:abstractNum>
  <w:abstractNum w:abstractNumId="70">
    <w:nsid w:val="371B4B67"/>
    <w:multiLevelType w:val="hybridMultilevel"/>
    <w:tmpl w:val="C06CA256"/>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1">
    <w:nsid w:val="3A7B4D34"/>
    <w:multiLevelType w:val="multilevel"/>
    <w:tmpl w:val="272295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3BB53D21"/>
    <w:multiLevelType w:val="hybridMultilevel"/>
    <w:tmpl w:val="CD42EABC"/>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3">
    <w:nsid w:val="3BD817ED"/>
    <w:multiLevelType w:val="hybridMultilevel"/>
    <w:tmpl w:val="2F0ADAE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5">
    <w:nsid w:val="3F530CE2"/>
    <w:multiLevelType w:val="hybridMultilevel"/>
    <w:tmpl w:val="DB2CCA1E"/>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cs="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cs="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cs="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76">
    <w:nsid w:val="40221049"/>
    <w:multiLevelType w:val="singleLevel"/>
    <w:tmpl w:val="04D4B0C4"/>
    <w:lvl w:ilvl="0">
      <w:start w:val="1"/>
      <w:numFmt w:val="decimal"/>
      <w:lvlText w:val="%1."/>
      <w:lvlJc w:val="left"/>
      <w:pPr>
        <w:tabs>
          <w:tab w:val="num" w:pos="360"/>
        </w:tabs>
        <w:ind w:left="360" w:hanging="360"/>
      </w:pPr>
    </w:lvl>
  </w:abstractNum>
  <w:abstractNum w:abstractNumId="77">
    <w:nsid w:val="406B163E"/>
    <w:multiLevelType w:val="hybridMultilevel"/>
    <w:tmpl w:val="18C6D3F2"/>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78">
    <w:nsid w:val="40E72442"/>
    <w:multiLevelType w:val="hybridMultilevel"/>
    <w:tmpl w:val="733EB2BE"/>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79">
    <w:nsid w:val="41412D4A"/>
    <w:multiLevelType w:val="hybridMultilevel"/>
    <w:tmpl w:val="41466A66"/>
    <w:lvl w:ilvl="0" w:tplc="8AFEA3C0">
      <w:start w:val="1"/>
      <w:numFmt w:val="decimal"/>
      <w:lvlText w:val="(%1)"/>
      <w:lvlJc w:val="left"/>
      <w:pPr>
        <w:tabs>
          <w:tab w:val="num" w:pos="1080"/>
        </w:tabs>
        <w:ind w:left="1080" w:hanging="360"/>
      </w:pPr>
      <w:rPr>
        <w:rFonts w:hint="default"/>
      </w:rPr>
    </w:lvl>
    <w:lvl w:ilvl="1" w:tplc="37BED940">
      <w:start w:val="1"/>
      <w:numFmt w:val="lowerLetter"/>
      <w:lvlText w:val="(%2)"/>
      <w:lvlJc w:val="left"/>
      <w:pPr>
        <w:tabs>
          <w:tab w:val="num" w:pos="1800"/>
        </w:tabs>
        <w:ind w:left="1800" w:hanging="360"/>
      </w:pPr>
      <w:rPr>
        <w:rFonts w:hint="default"/>
      </w:r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abstractNum w:abstractNumId="80">
    <w:nsid w:val="41FF1E73"/>
    <w:multiLevelType w:val="multilevel"/>
    <w:tmpl w:val="8C286CD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81">
    <w:nsid w:val="424515A7"/>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2">
    <w:nsid w:val="431F4957"/>
    <w:multiLevelType w:val="hybridMultilevel"/>
    <w:tmpl w:val="96EC69AA"/>
    <w:lvl w:ilvl="0" w:tplc="58C88132">
      <w:start w:val="1"/>
      <w:numFmt w:val="bullet"/>
      <w:lvlText w:val=""/>
      <w:lvlJc w:val="left"/>
      <w:pPr>
        <w:tabs>
          <w:tab w:val="num" w:pos="1060"/>
        </w:tabs>
        <w:ind w:left="1060" w:hanging="34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83">
    <w:nsid w:val="433B7819"/>
    <w:multiLevelType w:val="multilevel"/>
    <w:tmpl w:val="A6104374"/>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567"/>
        </w:tabs>
        <w:ind w:left="0" w:firstLine="0"/>
      </w:pPr>
      <w:rPr>
        <w:rFonts w:hint="default"/>
      </w:rPr>
    </w:lvl>
    <w:lvl w:ilvl="2">
      <w:start w:val="1"/>
      <w:numFmt w:val="none"/>
      <w:lvlText w:val="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84">
    <w:nsid w:val="44AC3EE6"/>
    <w:multiLevelType w:val="multilevel"/>
    <w:tmpl w:val="816EF812"/>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85">
    <w:nsid w:val="44FF3DC2"/>
    <w:multiLevelType w:val="multilevel"/>
    <w:tmpl w:val="E792873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86">
    <w:nsid w:val="452D144C"/>
    <w:multiLevelType w:val="singleLevel"/>
    <w:tmpl w:val="7C4C0A7C"/>
    <w:lvl w:ilvl="0">
      <w:start w:val="1"/>
      <w:numFmt w:val="decimal"/>
      <w:lvlText w:val="(%1)"/>
      <w:lvlJc w:val="left"/>
      <w:pPr>
        <w:tabs>
          <w:tab w:val="num" w:pos="720"/>
        </w:tabs>
        <w:ind w:left="720" w:hanging="720"/>
      </w:pPr>
    </w:lvl>
  </w:abstractNum>
  <w:abstractNum w:abstractNumId="87">
    <w:nsid w:val="4680647A"/>
    <w:multiLevelType w:val="hybridMultilevel"/>
    <w:tmpl w:val="F1805B0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8">
    <w:nsid w:val="475977D6"/>
    <w:multiLevelType w:val="hybridMultilevel"/>
    <w:tmpl w:val="2F5E9D5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9">
    <w:nsid w:val="47816C76"/>
    <w:multiLevelType w:val="multilevel"/>
    <w:tmpl w:val="15C47A44"/>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0">
    <w:nsid w:val="47D03C89"/>
    <w:multiLevelType w:val="singleLevel"/>
    <w:tmpl w:val="A1920412"/>
    <w:lvl w:ilvl="0">
      <w:start w:val="1"/>
      <w:numFmt w:val="bullet"/>
      <w:pStyle w:val="Bullet1"/>
      <w:lvlText w:val=""/>
      <w:lvlJc w:val="left"/>
      <w:pPr>
        <w:tabs>
          <w:tab w:val="num" w:pos="425"/>
        </w:tabs>
        <w:ind w:left="425" w:hanging="425"/>
      </w:pPr>
      <w:rPr>
        <w:rFonts w:ascii="Symbol" w:hAnsi="Symbol" w:hint="default"/>
      </w:rPr>
    </w:lvl>
  </w:abstractNum>
  <w:abstractNum w:abstractNumId="9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2">
    <w:nsid w:val="4A223FC7"/>
    <w:multiLevelType w:val="multilevel"/>
    <w:tmpl w:val="EB70CDB8"/>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3">
    <w:nsid w:val="4C22021E"/>
    <w:multiLevelType w:val="multilevel"/>
    <w:tmpl w:val="E9A4F828"/>
    <w:lvl w:ilvl="0">
      <w:start w:val="1"/>
      <w:numFmt w:val="decimal"/>
      <w:lvlText w:val="%1"/>
      <w:lvlJc w:val="left"/>
      <w:pPr>
        <w:tabs>
          <w:tab w:val="num" w:pos="432"/>
        </w:tabs>
        <w:ind w:left="432" w:hanging="432"/>
      </w:pPr>
      <w:rPr>
        <w:rFonts w:hint="default"/>
      </w:rPr>
    </w:lvl>
    <w:lvl w:ilvl="1">
      <w:start w:val="1"/>
      <w:numFmt w:val="decimal"/>
      <w:pStyle w:val="Heading22"/>
      <w:lvlText w:val="2.%2"/>
      <w:lvlJc w:val="left"/>
      <w:pPr>
        <w:tabs>
          <w:tab w:val="num" w:pos="567"/>
        </w:tabs>
        <w:ind w:left="0" w:firstLine="0"/>
      </w:pPr>
      <w:rPr>
        <w:rFonts w:hint="default"/>
      </w:rPr>
    </w:lvl>
    <w:lvl w:ilvl="2">
      <w:start w:val="1"/>
      <w:numFmt w:val="none"/>
      <w:lvlText w:val="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4">
    <w:nsid w:val="4CC60656"/>
    <w:multiLevelType w:val="hybridMultilevel"/>
    <w:tmpl w:val="871CA98E"/>
    <w:lvl w:ilvl="0" w:tplc="FFFFFFFF">
      <w:start w:val="1"/>
      <w:numFmt w:val="bullet"/>
      <w:lvlText w:val=""/>
      <w:lvlJc w:val="left"/>
      <w:pPr>
        <w:tabs>
          <w:tab w:val="num" w:pos="780"/>
        </w:tabs>
        <w:ind w:left="780" w:hanging="360"/>
      </w:pPr>
      <w:rPr>
        <w:rFonts w:ascii="Symbol" w:hAnsi="Symbol" w:hint="default"/>
      </w:rPr>
    </w:lvl>
    <w:lvl w:ilvl="1" w:tplc="FFFFFFFF">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95">
    <w:nsid w:val="4D910BAD"/>
    <w:multiLevelType w:val="singleLevel"/>
    <w:tmpl w:val="3514B1C2"/>
    <w:lvl w:ilvl="0">
      <w:start w:val="1"/>
      <w:numFmt w:val="bullet"/>
      <w:pStyle w:val="Bullet"/>
      <w:lvlText w:val="•"/>
      <w:lvlJc w:val="left"/>
      <w:pPr>
        <w:tabs>
          <w:tab w:val="num" w:pos="360"/>
        </w:tabs>
        <w:ind w:left="284" w:hanging="284"/>
      </w:pPr>
      <w:rPr>
        <w:rFonts w:ascii="Times New Roman" w:hAnsi="Times New Roman" w:hint="default"/>
        <w:sz w:val="18"/>
      </w:rPr>
    </w:lvl>
  </w:abstractNum>
  <w:abstractNum w:abstractNumId="96">
    <w:nsid w:val="4EFA2598"/>
    <w:multiLevelType w:val="singleLevel"/>
    <w:tmpl w:val="0409000F"/>
    <w:lvl w:ilvl="0">
      <w:start w:val="1"/>
      <w:numFmt w:val="decimal"/>
      <w:lvlText w:val="%1."/>
      <w:lvlJc w:val="left"/>
      <w:pPr>
        <w:tabs>
          <w:tab w:val="num" w:pos="360"/>
        </w:tabs>
        <w:ind w:left="360" w:hanging="360"/>
      </w:pPr>
    </w:lvl>
  </w:abstractNum>
  <w:abstractNum w:abstractNumId="97">
    <w:nsid w:val="4F0F32C8"/>
    <w:multiLevelType w:val="hybridMultilevel"/>
    <w:tmpl w:val="C8D643FE"/>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500"/>
        </w:tabs>
        <w:ind w:left="1500" w:hanging="360"/>
      </w:pPr>
      <w:rPr>
        <w:rFonts w:ascii="Courier New" w:hAnsi="Courier New" w:hint="default"/>
      </w:rPr>
    </w:lvl>
    <w:lvl w:ilvl="2" w:tplc="FFFFFFFF" w:tentative="1">
      <w:start w:val="1"/>
      <w:numFmt w:val="bullet"/>
      <w:lvlText w:val=""/>
      <w:lvlJc w:val="left"/>
      <w:pPr>
        <w:tabs>
          <w:tab w:val="num" w:pos="2220"/>
        </w:tabs>
        <w:ind w:left="2220" w:hanging="360"/>
      </w:pPr>
      <w:rPr>
        <w:rFonts w:ascii="Wingdings" w:hAnsi="Wingdings" w:hint="default"/>
      </w:rPr>
    </w:lvl>
    <w:lvl w:ilvl="3" w:tplc="FFFFFFFF" w:tentative="1">
      <w:start w:val="1"/>
      <w:numFmt w:val="bullet"/>
      <w:lvlText w:val=""/>
      <w:lvlJc w:val="left"/>
      <w:pPr>
        <w:tabs>
          <w:tab w:val="num" w:pos="2940"/>
        </w:tabs>
        <w:ind w:left="2940" w:hanging="360"/>
      </w:pPr>
      <w:rPr>
        <w:rFonts w:ascii="Symbol" w:hAnsi="Symbol" w:hint="default"/>
      </w:rPr>
    </w:lvl>
    <w:lvl w:ilvl="4" w:tplc="FFFFFFFF" w:tentative="1">
      <w:start w:val="1"/>
      <w:numFmt w:val="bullet"/>
      <w:lvlText w:val="o"/>
      <w:lvlJc w:val="left"/>
      <w:pPr>
        <w:tabs>
          <w:tab w:val="num" w:pos="3660"/>
        </w:tabs>
        <w:ind w:left="3660" w:hanging="360"/>
      </w:pPr>
      <w:rPr>
        <w:rFonts w:ascii="Courier New" w:hAnsi="Courier New" w:hint="default"/>
      </w:rPr>
    </w:lvl>
    <w:lvl w:ilvl="5" w:tplc="FFFFFFFF" w:tentative="1">
      <w:start w:val="1"/>
      <w:numFmt w:val="bullet"/>
      <w:lvlText w:val=""/>
      <w:lvlJc w:val="left"/>
      <w:pPr>
        <w:tabs>
          <w:tab w:val="num" w:pos="4380"/>
        </w:tabs>
        <w:ind w:left="4380" w:hanging="360"/>
      </w:pPr>
      <w:rPr>
        <w:rFonts w:ascii="Wingdings" w:hAnsi="Wingdings" w:hint="default"/>
      </w:rPr>
    </w:lvl>
    <w:lvl w:ilvl="6" w:tplc="FFFFFFFF" w:tentative="1">
      <w:start w:val="1"/>
      <w:numFmt w:val="bullet"/>
      <w:lvlText w:val=""/>
      <w:lvlJc w:val="left"/>
      <w:pPr>
        <w:tabs>
          <w:tab w:val="num" w:pos="5100"/>
        </w:tabs>
        <w:ind w:left="5100" w:hanging="360"/>
      </w:pPr>
      <w:rPr>
        <w:rFonts w:ascii="Symbol" w:hAnsi="Symbol" w:hint="default"/>
      </w:rPr>
    </w:lvl>
    <w:lvl w:ilvl="7" w:tplc="FFFFFFFF" w:tentative="1">
      <w:start w:val="1"/>
      <w:numFmt w:val="bullet"/>
      <w:lvlText w:val="o"/>
      <w:lvlJc w:val="left"/>
      <w:pPr>
        <w:tabs>
          <w:tab w:val="num" w:pos="5820"/>
        </w:tabs>
        <w:ind w:left="5820" w:hanging="360"/>
      </w:pPr>
      <w:rPr>
        <w:rFonts w:ascii="Courier New" w:hAnsi="Courier New" w:hint="default"/>
      </w:rPr>
    </w:lvl>
    <w:lvl w:ilvl="8" w:tplc="FFFFFFFF" w:tentative="1">
      <w:start w:val="1"/>
      <w:numFmt w:val="bullet"/>
      <w:lvlText w:val=""/>
      <w:lvlJc w:val="left"/>
      <w:pPr>
        <w:tabs>
          <w:tab w:val="num" w:pos="6540"/>
        </w:tabs>
        <w:ind w:left="6540" w:hanging="360"/>
      </w:pPr>
      <w:rPr>
        <w:rFonts w:ascii="Wingdings" w:hAnsi="Wingdings" w:hint="default"/>
      </w:rPr>
    </w:lvl>
  </w:abstractNum>
  <w:abstractNum w:abstractNumId="98">
    <w:nsid w:val="51D06AE2"/>
    <w:multiLevelType w:val="multilevel"/>
    <w:tmpl w:val="4C1E7380"/>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99">
    <w:nsid w:val="52EC6053"/>
    <w:multiLevelType w:val="hybridMultilevel"/>
    <w:tmpl w:val="2BB6523E"/>
    <w:lvl w:ilvl="0" w:tplc="250E009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100">
    <w:nsid w:val="53DE4095"/>
    <w:multiLevelType w:val="hybridMultilevel"/>
    <w:tmpl w:val="CFAE03B8"/>
    <w:lvl w:ilvl="0" w:tplc="58C88132">
      <w:start w:val="1"/>
      <w:numFmt w:val="bullet"/>
      <w:lvlText w:val=""/>
      <w:lvlJc w:val="left"/>
      <w:pPr>
        <w:tabs>
          <w:tab w:val="num" w:pos="1060"/>
        </w:tabs>
        <w:ind w:left="1060" w:hanging="340"/>
      </w:pPr>
      <w:rPr>
        <w:rFonts w:ascii="Symbol" w:hAnsi="Symbol" w:hint="default"/>
      </w:rPr>
    </w:lvl>
    <w:lvl w:ilvl="1" w:tplc="0C090003" w:tentative="1">
      <w:start w:val="1"/>
      <w:numFmt w:val="bullet"/>
      <w:lvlText w:val="o"/>
      <w:lvlJc w:val="left"/>
      <w:pPr>
        <w:tabs>
          <w:tab w:val="num" w:pos="2160"/>
        </w:tabs>
        <w:ind w:left="2160" w:hanging="360"/>
      </w:pPr>
      <w:rPr>
        <w:rFonts w:ascii="Courier New" w:hAnsi="Courier New" w:cs="Courier New" w:hint="default"/>
      </w:rPr>
    </w:lvl>
    <w:lvl w:ilvl="2" w:tplc="0C090005" w:tentative="1">
      <w:start w:val="1"/>
      <w:numFmt w:val="bullet"/>
      <w:lvlText w:val=""/>
      <w:lvlJc w:val="left"/>
      <w:pPr>
        <w:tabs>
          <w:tab w:val="num" w:pos="2880"/>
        </w:tabs>
        <w:ind w:left="2880" w:hanging="360"/>
      </w:pPr>
      <w:rPr>
        <w:rFonts w:ascii="Wingdings" w:hAnsi="Wingdings" w:hint="default"/>
      </w:rPr>
    </w:lvl>
    <w:lvl w:ilvl="3" w:tplc="0C090001" w:tentative="1">
      <w:start w:val="1"/>
      <w:numFmt w:val="bullet"/>
      <w:lvlText w:val=""/>
      <w:lvlJc w:val="left"/>
      <w:pPr>
        <w:tabs>
          <w:tab w:val="num" w:pos="3600"/>
        </w:tabs>
        <w:ind w:left="3600" w:hanging="360"/>
      </w:pPr>
      <w:rPr>
        <w:rFonts w:ascii="Symbol" w:hAnsi="Symbol" w:hint="default"/>
      </w:rPr>
    </w:lvl>
    <w:lvl w:ilvl="4" w:tplc="0C090003" w:tentative="1">
      <w:start w:val="1"/>
      <w:numFmt w:val="bullet"/>
      <w:lvlText w:val="o"/>
      <w:lvlJc w:val="left"/>
      <w:pPr>
        <w:tabs>
          <w:tab w:val="num" w:pos="4320"/>
        </w:tabs>
        <w:ind w:left="4320" w:hanging="360"/>
      </w:pPr>
      <w:rPr>
        <w:rFonts w:ascii="Courier New" w:hAnsi="Courier New" w:cs="Courier New" w:hint="default"/>
      </w:rPr>
    </w:lvl>
    <w:lvl w:ilvl="5" w:tplc="0C090005" w:tentative="1">
      <w:start w:val="1"/>
      <w:numFmt w:val="bullet"/>
      <w:lvlText w:val=""/>
      <w:lvlJc w:val="left"/>
      <w:pPr>
        <w:tabs>
          <w:tab w:val="num" w:pos="5040"/>
        </w:tabs>
        <w:ind w:left="5040" w:hanging="360"/>
      </w:pPr>
      <w:rPr>
        <w:rFonts w:ascii="Wingdings" w:hAnsi="Wingdings" w:hint="default"/>
      </w:rPr>
    </w:lvl>
    <w:lvl w:ilvl="6" w:tplc="0C090001" w:tentative="1">
      <w:start w:val="1"/>
      <w:numFmt w:val="bullet"/>
      <w:lvlText w:val=""/>
      <w:lvlJc w:val="left"/>
      <w:pPr>
        <w:tabs>
          <w:tab w:val="num" w:pos="5760"/>
        </w:tabs>
        <w:ind w:left="5760" w:hanging="360"/>
      </w:pPr>
      <w:rPr>
        <w:rFonts w:ascii="Symbol" w:hAnsi="Symbol" w:hint="default"/>
      </w:rPr>
    </w:lvl>
    <w:lvl w:ilvl="7" w:tplc="0C090003" w:tentative="1">
      <w:start w:val="1"/>
      <w:numFmt w:val="bullet"/>
      <w:lvlText w:val="o"/>
      <w:lvlJc w:val="left"/>
      <w:pPr>
        <w:tabs>
          <w:tab w:val="num" w:pos="6480"/>
        </w:tabs>
        <w:ind w:left="6480" w:hanging="360"/>
      </w:pPr>
      <w:rPr>
        <w:rFonts w:ascii="Courier New" w:hAnsi="Courier New" w:cs="Courier New" w:hint="default"/>
      </w:rPr>
    </w:lvl>
    <w:lvl w:ilvl="8" w:tplc="0C090005" w:tentative="1">
      <w:start w:val="1"/>
      <w:numFmt w:val="bullet"/>
      <w:lvlText w:val=""/>
      <w:lvlJc w:val="left"/>
      <w:pPr>
        <w:tabs>
          <w:tab w:val="num" w:pos="7200"/>
        </w:tabs>
        <w:ind w:left="7200" w:hanging="360"/>
      </w:pPr>
      <w:rPr>
        <w:rFonts w:ascii="Wingdings" w:hAnsi="Wingdings" w:hint="default"/>
      </w:rPr>
    </w:lvl>
  </w:abstractNum>
  <w:abstractNum w:abstractNumId="101">
    <w:nsid w:val="542D1000"/>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2">
    <w:nsid w:val="545D34C5"/>
    <w:multiLevelType w:val="hybridMultilevel"/>
    <w:tmpl w:val="5668425E"/>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03">
    <w:nsid w:val="545D3737"/>
    <w:multiLevelType w:val="multilevel"/>
    <w:tmpl w:val="0E1A4AC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04">
    <w:nsid w:val="54813224"/>
    <w:multiLevelType w:val="multilevel"/>
    <w:tmpl w:val="352061EC"/>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567"/>
        </w:tabs>
        <w:ind w:left="0" w:firstLine="0"/>
      </w:pPr>
      <w:rPr>
        <w:rFonts w:hint="default"/>
      </w:rPr>
    </w:lvl>
    <w:lvl w:ilvl="2">
      <w:start w:val="1"/>
      <w:numFmt w:val="none"/>
      <w:lvlText w:val="3.1"/>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5">
    <w:nsid w:val="56663D31"/>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6">
    <w:nsid w:val="57AD5096"/>
    <w:multiLevelType w:val="multilevel"/>
    <w:tmpl w:val="5058A47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7">
    <w:nsid w:val="58951059"/>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8">
    <w:nsid w:val="58E22118"/>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9">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110">
    <w:nsid w:val="5BA47999"/>
    <w:multiLevelType w:val="hybridMultilevel"/>
    <w:tmpl w:val="69E86D8A"/>
    <w:lvl w:ilvl="0" w:tplc="CDAE3E5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1">
    <w:nsid w:val="5CF90256"/>
    <w:multiLevelType w:val="multilevel"/>
    <w:tmpl w:val="A3405D60"/>
    <w:lvl w:ilvl="0">
      <w:start w:val="5"/>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
    <w:nsid w:val="5DA84537"/>
    <w:multiLevelType w:val="hybridMultilevel"/>
    <w:tmpl w:val="2B06D03A"/>
    <w:lvl w:ilvl="0" w:tplc="CDAE3E5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3">
    <w:nsid w:val="5EF242BB"/>
    <w:multiLevelType w:val="multilevel"/>
    <w:tmpl w:val="7464A4BA"/>
    <w:lvl w:ilvl="0">
      <w:start w:val="1"/>
      <w:numFmt w:val="bullet"/>
      <w:lvlText w:val=""/>
      <w:lvlJc w:val="left"/>
      <w:pPr>
        <w:tabs>
          <w:tab w:val="num" w:pos="1020"/>
        </w:tabs>
        <w:ind w:left="1020" w:hanging="340"/>
      </w:pPr>
      <w:rPr>
        <w:rFonts w:ascii="Symbol" w:hAnsi="Symbol" w:hint="default"/>
        <w:sz w:val="24"/>
      </w:rPr>
    </w:lvl>
    <w:lvl w:ilvl="1">
      <w:start w:val="1"/>
      <w:numFmt w:val="lowerLetter"/>
      <w:lvlText w:val="%2."/>
      <w:lvlJc w:val="left"/>
      <w:pPr>
        <w:tabs>
          <w:tab w:val="num" w:pos="2120"/>
        </w:tabs>
        <w:ind w:left="2120" w:hanging="360"/>
      </w:pPr>
      <w:rPr>
        <w:rFonts w:hint="default"/>
      </w:rPr>
    </w:lvl>
    <w:lvl w:ilvl="2">
      <w:start w:val="1"/>
      <w:numFmt w:val="lowerRoman"/>
      <w:lvlText w:val="%3."/>
      <w:lvlJc w:val="right"/>
      <w:pPr>
        <w:tabs>
          <w:tab w:val="num" w:pos="2840"/>
        </w:tabs>
        <w:ind w:left="2840" w:hanging="180"/>
      </w:pPr>
      <w:rPr>
        <w:rFonts w:hint="default"/>
      </w:rPr>
    </w:lvl>
    <w:lvl w:ilvl="3">
      <w:start w:val="1"/>
      <w:numFmt w:val="decimal"/>
      <w:lvlText w:val="%4."/>
      <w:lvlJc w:val="left"/>
      <w:pPr>
        <w:tabs>
          <w:tab w:val="num" w:pos="3560"/>
        </w:tabs>
        <w:ind w:left="3560" w:hanging="360"/>
      </w:pPr>
      <w:rPr>
        <w:rFonts w:hint="default"/>
      </w:rPr>
    </w:lvl>
    <w:lvl w:ilvl="4">
      <w:start w:val="1"/>
      <w:numFmt w:val="lowerLetter"/>
      <w:lvlText w:val="%5."/>
      <w:lvlJc w:val="left"/>
      <w:pPr>
        <w:tabs>
          <w:tab w:val="num" w:pos="4280"/>
        </w:tabs>
        <w:ind w:left="4280" w:hanging="360"/>
      </w:pPr>
      <w:rPr>
        <w:rFonts w:hint="default"/>
      </w:rPr>
    </w:lvl>
    <w:lvl w:ilvl="5">
      <w:start w:val="1"/>
      <w:numFmt w:val="lowerRoman"/>
      <w:lvlText w:val="%6."/>
      <w:lvlJc w:val="right"/>
      <w:pPr>
        <w:tabs>
          <w:tab w:val="num" w:pos="5000"/>
        </w:tabs>
        <w:ind w:left="5000" w:hanging="180"/>
      </w:pPr>
      <w:rPr>
        <w:rFonts w:hint="default"/>
      </w:rPr>
    </w:lvl>
    <w:lvl w:ilvl="6">
      <w:start w:val="1"/>
      <w:numFmt w:val="decimal"/>
      <w:lvlText w:val="%7."/>
      <w:lvlJc w:val="left"/>
      <w:pPr>
        <w:tabs>
          <w:tab w:val="num" w:pos="5720"/>
        </w:tabs>
        <w:ind w:left="5720" w:hanging="360"/>
      </w:pPr>
      <w:rPr>
        <w:rFonts w:hint="default"/>
      </w:rPr>
    </w:lvl>
    <w:lvl w:ilvl="7">
      <w:start w:val="1"/>
      <w:numFmt w:val="lowerLetter"/>
      <w:lvlText w:val="%8."/>
      <w:lvlJc w:val="left"/>
      <w:pPr>
        <w:tabs>
          <w:tab w:val="num" w:pos="6440"/>
        </w:tabs>
        <w:ind w:left="6440" w:hanging="360"/>
      </w:pPr>
      <w:rPr>
        <w:rFonts w:hint="default"/>
      </w:rPr>
    </w:lvl>
    <w:lvl w:ilvl="8">
      <w:start w:val="1"/>
      <w:numFmt w:val="lowerRoman"/>
      <w:lvlText w:val="%9."/>
      <w:lvlJc w:val="right"/>
      <w:pPr>
        <w:tabs>
          <w:tab w:val="num" w:pos="7160"/>
        </w:tabs>
        <w:ind w:left="7160" w:hanging="180"/>
      </w:pPr>
      <w:rPr>
        <w:rFonts w:hint="default"/>
      </w:rPr>
    </w:lvl>
  </w:abstractNum>
  <w:abstractNum w:abstractNumId="114">
    <w:nsid w:val="60155E91"/>
    <w:multiLevelType w:val="multilevel"/>
    <w:tmpl w:val="725810F6"/>
    <w:lvl w:ilvl="0">
      <w:start w:val="1"/>
      <w:numFmt w:val="decimal"/>
      <w:lvlText w:val="%1"/>
      <w:lvlJc w:val="left"/>
      <w:pPr>
        <w:tabs>
          <w:tab w:val="num" w:pos="432"/>
        </w:tabs>
        <w:ind w:left="432" w:hanging="432"/>
      </w:pPr>
      <w:rPr>
        <w:rFonts w:hint="default"/>
      </w:rPr>
    </w:lvl>
    <w:lvl w:ilvl="1">
      <w:start w:val="1"/>
      <w:numFmt w:val="decimal"/>
      <w:lvlText w:val="2.%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5">
    <w:nsid w:val="60920C77"/>
    <w:multiLevelType w:val="multilevel"/>
    <w:tmpl w:val="D2942736"/>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16">
    <w:nsid w:val="61C920AA"/>
    <w:multiLevelType w:val="hybridMultilevel"/>
    <w:tmpl w:val="2D08151E"/>
    <w:lvl w:ilvl="0" w:tplc="DC14AA1C">
      <w:start w:val="1"/>
      <w:numFmt w:val="decimal"/>
      <w:lvlText w:val="(%1)"/>
      <w:lvlJc w:val="left"/>
      <w:pPr>
        <w:tabs>
          <w:tab w:val="num" w:pos="1080"/>
        </w:tabs>
        <w:ind w:left="1080" w:hanging="360"/>
      </w:pPr>
      <w:rPr>
        <w:rFonts w:hint="default"/>
      </w:rPr>
    </w:lvl>
    <w:lvl w:ilvl="1" w:tplc="0C090019" w:tentative="1">
      <w:start w:val="1"/>
      <w:numFmt w:val="lowerLetter"/>
      <w:lvlText w:val="%2."/>
      <w:lvlJc w:val="left"/>
      <w:pPr>
        <w:tabs>
          <w:tab w:val="num" w:pos="1800"/>
        </w:tabs>
        <w:ind w:left="1800" w:hanging="360"/>
      </w:p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abstractNum w:abstractNumId="117">
    <w:nsid w:val="624A6D38"/>
    <w:multiLevelType w:val="hybridMultilevel"/>
    <w:tmpl w:val="A1F2391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8">
    <w:nsid w:val="62EF3C63"/>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9">
    <w:nsid w:val="65D15DFE"/>
    <w:multiLevelType w:val="singleLevel"/>
    <w:tmpl w:val="475E6D3C"/>
    <w:lvl w:ilvl="0">
      <w:start w:val="1"/>
      <w:numFmt w:val="decimal"/>
      <w:lvlText w:val="%1."/>
      <w:lvlJc w:val="left"/>
      <w:pPr>
        <w:tabs>
          <w:tab w:val="num" w:pos="360"/>
        </w:tabs>
        <w:ind w:left="360" w:hanging="360"/>
      </w:pPr>
    </w:lvl>
  </w:abstractNum>
  <w:abstractNum w:abstractNumId="120">
    <w:nsid w:val="67655D2C"/>
    <w:multiLevelType w:val="hybridMultilevel"/>
    <w:tmpl w:val="3D4CE8CA"/>
    <w:lvl w:ilvl="0" w:tplc="250E0096">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1">
    <w:nsid w:val="67CB1CAF"/>
    <w:multiLevelType w:val="hybridMultilevel"/>
    <w:tmpl w:val="3DECECE6"/>
    <w:lvl w:ilvl="0" w:tplc="A06485C4">
      <w:start w:val="1"/>
      <w:numFmt w:val="lowerRoman"/>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2">
    <w:nsid w:val="6AFF03E4"/>
    <w:multiLevelType w:val="multilevel"/>
    <w:tmpl w:val="C7E89310"/>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3">
    <w:nsid w:val="6BC83859"/>
    <w:multiLevelType w:val="multilevel"/>
    <w:tmpl w:val="12C2F4CC"/>
    <w:lvl w:ilvl="0">
      <w:start w:val="2"/>
      <w:numFmt w:val="decimal"/>
      <w:lvlText w:val="%1."/>
      <w:lvlJc w:val="left"/>
      <w:pPr>
        <w:tabs>
          <w:tab w:val="num" w:pos="567"/>
        </w:tabs>
        <w:ind w:left="567" w:hanging="567"/>
      </w:pPr>
      <w:rPr>
        <w:rFonts w:hint="default"/>
        <w:sz w:val="24"/>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4">
    <w:nsid w:val="6C967288"/>
    <w:multiLevelType w:val="hybridMultilevel"/>
    <w:tmpl w:val="197615A4"/>
    <w:lvl w:ilvl="0" w:tplc="0C09000D">
      <w:start w:val="1"/>
      <w:numFmt w:val="bullet"/>
      <w:lvlText w:val=""/>
      <w:lvlJc w:val="left"/>
      <w:pPr>
        <w:tabs>
          <w:tab w:val="num" w:pos="1152"/>
        </w:tabs>
        <w:ind w:left="1152" w:hanging="360"/>
      </w:pPr>
      <w:rPr>
        <w:rFonts w:ascii="Wingdings" w:hAnsi="Wingdings" w:hint="default"/>
      </w:rPr>
    </w:lvl>
    <w:lvl w:ilvl="1" w:tplc="0C090003" w:tentative="1">
      <w:start w:val="1"/>
      <w:numFmt w:val="bullet"/>
      <w:lvlText w:val="o"/>
      <w:lvlJc w:val="left"/>
      <w:pPr>
        <w:tabs>
          <w:tab w:val="num" w:pos="1872"/>
        </w:tabs>
        <w:ind w:left="1872" w:hanging="360"/>
      </w:pPr>
      <w:rPr>
        <w:rFonts w:ascii="Courier New" w:hAnsi="Courier New" w:cs="Courier New" w:hint="default"/>
      </w:rPr>
    </w:lvl>
    <w:lvl w:ilvl="2" w:tplc="0C090005" w:tentative="1">
      <w:start w:val="1"/>
      <w:numFmt w:val="bullet"/>
      <w:lvlText w:val=""/>
      <w:lvlJc w:val="left"/>
      <w:pPr>
        <w:tabs>
          <w:tab w:val="num" w:pos="2592"/>
        </w:tabs>
        <w:ind w:left="2592" w:hanging="360"/>
      </w:pPr>
      <w:rPr>
        <w:rFonts w:ascii="Wingdings" w:hAnsi="Wingdings" w:hint="default"/>
      </w:rPr>
    </w:lvl>
    <w:lvl w:ilvl="3" w:tplc="0C090001" w:tentative="1">
      <w:start w:val="1"/>
      <w:numFmt w:val="bullet"/>
      <w:lvlText w:val=""/>
      <w:lvlJc w:val="left"/>
      <w:pPr>
        <w:tabs>
          <w:tab w:val="num" w:pos="3312"/>
        </w:tabs>
        <w:ind w:left="3312" w:hanging="360"/>
      </w:pPr>
      <w:rPr>
        <w:rFonts w:ascii="Symbol" w:hAnsi="Symbol" w:hint="default"/>
      </w:rPr>
    </w:lvl>
    <w:lvl w:ilvl="4" w:tplc="0C090003" w:tentative="1">
      <w:start w:val="1"/>
      <w:numFmt w:val="bullet"/>
      <w:lvlText w:val="o"/>
      <w:lvlJc w:val="left"/>
      <w:pPr>
        <w:tabs>
          <w:tab w:val="num" w:pos="4032"/>
        </w:tabs>
        <w:ind w:left="4032" w:hanging="360"/>
      </w:pPr>
      <w:rPr>
        <w:rFonts w:ascii="Courier New" w:hAnsi="Courier New" w:cs="Courier New" w:hint="default"/>
      </w:rPr>
    </w:lvl>
    <w:lvl w:ilvl="5" w:tplc="0C090005" w:tentative="1">
      <w:start w:val="1"/>
      <w:numFmt w:val="bullet"/>
      <w:lvlText w:val=""/>
      <w:lvlJc w:val="left"/>
      <w:pPr>
        <w:tabs>
          <w:tab w:val="num" w:pos="4752"/>
        </w:tabs>
        <w:ind w:left="4752" w:hanging="360"/>
      </w:pPr>
      <w:rPr>
        <w:rFonts w:ascii="Wingdings" w:hAnsi="Wingdings" w:hint="default"/>
      </w:rPr>
    </w:lvl>
    <w:lvl w:ilvl="6" w:tplc="0C090001" w:tentative="1">
      <w:start w:val="1"/>
      <w:numFmt w:val="bullet"/>
      <w:lvlText w:val=""/>
      <w:lvlJc w:val="left"/>
      <w:pPr>
        <w:tabs>
          <w:tab w:val="num" w:pos="5472"/>
        </w:tabs>
        <w:ind w:left="5472" w:hanging="360"/>
      </w:pPr>
      <w:rPr>
        <w:rFonts w:ascii="Symbol" w:hAnsi="Symbol" w:hint="default"/>
      </w:rPr>
    </w:lvl>
    <w:lvl w:ilvl="7" w:tplc="0C090003" w:tentative="1">
      <w:start w:val="1"/>
      <w:numFmt w:val="bullet"/>
      <w:lvlText w:val="o"/>
      <w:lvlJc w:val="left"/>
      <w:pPr>
        <w:tabs>
          <w:tab w:val="num" w:pos="6192"/>
        </w:tabs>
        <w:ind w:left="6192" w:hanging="360"/>
      </w:pPr>
      <w:rPr>
        <w:rFonts w:ascii="Courier New" w:hAnsi="Courier New" w:cs="Courier New" w:hint="default"/>
      </w:rPr>
    </w:lvl>
    <w:lvl w:ilvl="8" w:tplc="0C090005" w:tentative="1">
      <w:start w:val="1"/>
      <w:numFmt w:val="bullet"/>
      <w:lvlText w:val=""/>
      <w:lvlJc w:val="left"/>
      <w:pPr>
        <w:tabs>
          <w:tab w:val="num" w:pos="6912"/>
        </w:tabs>
        <w:ind w:left="6912" w:hanging="360"/>
      </w:pPr>
      <w:rPr>
        <w:rFonts w:ascii="Wingdings" w:hAnsi="Wingdings" w:hint="default"/>
      </w:rPr>
    </w:lvl>
  </w:abstractNum>
  <w:abstractNum w:abstractNumId="125">
    <w:nsid w:val="6D092E4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6">
    <w:nsid w:val="6D7871F8"/>
    <w:multiLevelType w:val="multilevel"/>
    <w:tmpl w:val="289C6B7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7">
    <w:nsid w:val="6DDD7AD9"/>
    <w:multiLevelType w:val="singleLevel"/>
    <w:tmpl w:val="35AC725E"/>
    <w:lvl w:ilvl="0">
      <w:start w:val="73"/>
      <w:numFmt w:val="bullet"/>
      <w:lvlText w:val="–"/>
      <w:lvlJc w:val="left"/>
      <w:pPr>
        <w:tabs>
          <w:tab w:val="num" w:pos="1500"/>
        </w:tabs>
        <w:ind w:left="1500" w:hanging="360"/>
      </w:pPr>
      <w:rPr>
        <w:rFonts w:ascii="Times New Roman" w:hAnsi="Times New Roman" w:hint="default"/>
      </w:rPr>
    </w:lvl>
  </w:abstractNum>
  <w:abstractNum w:abstractNumId="128">
    <w:nsid w:val="6FD76B15"/>
    <w:multiLevelType w:val="hybridMultilevel"/>
    <w:tmpl w:val="8146EC0C"/>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29">
    <w:nsid w:val="70635630"/>
    <w:multiLevelType w:val="hybridMultilevel"/>
    <w:tmpl w:val="72FEF0C6"/>
    <w:lvl w:ilvl="0" w:tplc="95CA03E4">
      <w:start w:val="1"/>
      <w:numFmt w:val="bullet"/>
      <w:lvlText w:val=""/>
      <w:lvlJc w:val="left"/>
      <w:pPr>
        <w:tabs>
          <w:tab w:val="num" w:pos="720"/>
        </w:tabs>
        <w:ind w:left="720" w:hanging="360"/>
      </w:pPr>
      <w:rPr>
        <w:rFonts w:ascii="Symbol" w:hAnsi="Symbol" w:hint="default"/>
        <w:sz w:val="24"/>
        <w:szCs w:val="24"/>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30">
    <w:nsid w:val="70780833"/>
    <w:multiLevelType w:val="singleLevel"/>
    <w:tmpl w:val="79E01994"/>
    <w:lvl w:ilvl="0">
      <w:start w:val="76"/>
      <w:numFmt w:val="decimal"/>
      <w:lvlText w:val="%1."/>
      <w:lvlJc w:val="left"/>
      <w:pPr>
        <w:tabs>
          <w:tab w:val="num" w:pos="720"/>
        </w:tabs>
        <w:ind w:left="720" w:hanging="720"/>
      </w:pPr>
      <w:rPr>
        <w:rFonts w:hint="default"/>
      </w:rPr>
    </w:lvl>
  </w:abstractNum>
  <w:abstractNum w:abstractNumId="131">
    <w:nsid w:val="7745545B"/>
    <w:multiLevelType w:val="multilevel"/>
    <w:tmpl w:val="C0261C42"/>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2">
    <w:nsid w:val="77D0457B"/>
    <w:multiLevelType w:val="multilevel"/>
    <w:tmpl w:val="72B029B8"/>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33">
    <w:nsid w:val="780F2BE7"/>
    <w:multiLevelType w:val="multilevel"/>
    <w:tmpl w:val="5626638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4">
    <w:nsid w:val="7A5A27B5"/>
    <w:multiLevelType w:val="hybridMultilevel"/>
    <w:tmpl w:val="7D686C64"/>
    <w:lvl w:ilvl="0" w:tplc="0C090001">
      <w:start w:val="1"/>
      <w:numFmt w:val="bullet"/>
      <w:lvlText w:val=""/>
      <w:lvlJc w:val="left"/>
      <w:pPr>
        <w:tabs>
          <w:tab w:val="num" w:pos="360"/>
        </w:tabs>
        <w:ind w:left="360" w:hanging="360"/>
      </w:pPr>
      <w:rPr>
        <w:rFonts w:ascii="Symbol" w:hAnsi="Symbol" w:hint="default"/>
      </w:rPr>
    </w:lvl>
    <w:lvl w:ilvl="1" w:tplc="0C090003" w:tentative="1">
      <w:start w:val="1"/>
      <w:numFmt w:val="bullet"/>
      <w:lvlText w:val="o"/>
      <w:lvlJc w:val="left"/>
      <w:pPr>
        <w:tabs>
          <w:tab w:val="num" w:pos="1080"/>
        </w:tabs>
        <w:ind w:left="1080" w:hanging="360"/>
      </w:pPr>
      <w:rPr>
        <w:rFonts w:ascii="Courier New" w:hAnsi="Courier New" w:cs="Courier New" w:hint="default"/>
      </w:rPr>
    </w:lvl>
    <w:lvl w:ilvl="2" w:tplc="0C090005" w:tentative="1">
      <w:start w:val="1"/>
      <w:numFmt w:val="bullet"/>
      <w:lvlText w:val=""/>
      <w:lvlJc w:val="left"/>
      <w:pPr>
        <w:tabs>
          <w:tab w:val="num" w:pos="1800"/>
        </w:tabs>
        <w:ind w:left="1800" w:hanging="360"/>
      </w:pPr>
      <w:rPr>
        <w:rFonts w:ascii="Wingdings" w:hAnsi="Wingdings" w:hint="default"/>
      </w:rPr>
    </w:lvl>
    <w:lvl w:ilvl="3" w:tplc="0C090001" w:tentative="1">
      <w:start w:val="1"/>
      <w:numFmt w:val="bullet"/>
      <w:lvlText w:val=""/>
      <w:lvlJc w:val="left"/>
      <w:pPr>
        <w:tabs>
          <w:tab w:val="num" w:pos="2520"/>
        </w:tabs>
        <w:ind w:left="2520" w:hanging="360"/>
      </w:pPr>
      <w:rPr>
        <w:rFonts w:ascii="Symbol" w:hAnsi="Symbol" w:hint="default"/>
      </w:rPr>
    </w:lvl>
    <w:lvl w:ilvl="4" w:tplc="0C090003" w:tentative="1">
      <w:start w:val="1"/>
      <w:numFmt w:val="bullet"/>
      <w:lvlText w:val="o"/>
      <w:lvlJc w:val="left"/>
      <w:pPr>
        <w:tabs>
          <w:tab w:val="num" w:pos="3240"/>
        </w:tabs>
        <w:ind w:left="3240" w:hanging="360"/>
      </w:pPr>
      <w:rPr>
        <w:rFonts w:ascii="Courier New" w:hAnsi="Courier New" w:cs="Courier New" w:hint="default"/>
      </w:rPr>
    </w:lvl>
    <w:lvl w:ilvl="5" w:tplc="0C090005" w:tentative="1">
      <w:start w:val="1"/>
      <w:numFmt w:val="bullet"/>
      <w:lvlText w:val=""/>
      <w:lvlJc w:val="left"/>
      <w:pPr>
        <w:tabs>
          <w:tab w:val="num" w:pos="3960"/>
        </w:tabs>
        <w:ind w:left="3960" w:hanging="360"/>
      </w:pPr>
      <w:rPr>
        <w:rFonts w:ascii="Wingdings" w:hAnsi="Wingdings" w:hint="default"/>
      </w:rPr>
    </w:lvl>
    <w:lvl w:ilvl="6" w:tplc="0C090001" w:tentative="1">
      <w:start w:val="1"/>
      <w:numFmt w:val="bullet"/>
      <w:lvlText w:val=""/>
      <w:lvlJc w:val="left"/>
      <w:pPr>
        <w:tabs>
          <w:tab w:val="num" w:pos="4680"/>
        </w:tabs>
        <w:ind w:left="4680" w:hanging="360"/>
      </w:pPr>
      <w:rPr>
        <w:rFonts w:ascii="Symbol" w:hAnsi="Symbol" w:hint="default"/>
      </w:rPr>
    </w:lvl>
    <w:lvl w:ilvl="7" w:tplc="0C090003" w:tentative="1">
      <w:start w:val="1"/>
      <w:numFmt w:val="bullet"/>
      <w:lvlText w:val="o"/>
      <w:lvlJc w:val="left"/>
      <w:pPr>
        <w:tabs>
          <w:tab w:val="num" w:pos="5400"/>
        </w:tabs>
        <w:ind w:left="5400" w:hanging="360"/>
      </w:pPr>
      <w:rPr>
        <w:rFonts w:ascii="Courier New" w:hAnsi="Courier New" w:cs="Courier New" w:hint="default"/>
      </w:rPr>
    </w:lvl>
    <w:lvl w:ilvl="8" w:tplc="0C090005" w:tentative="1">
      <w:start w:val="1"/>
      <w:numFmt w:val="bullet"/>
      <w:lvlText w:val=""/>
      <w:lvlJc w:val="left"/>
      <w:pPr>
        <w:tabs>
          <w:tab w:val="num" w:pos="6120"/>
        </w:tabs>
        <w:ind w:left="6120" w:hanging="360"/>
      </w:pPr>
      <w:rPr>
        <w:rFonts w:ascii="Wingdings" w:hAnsi="Wingdings" w:hint="default"/>
      </w:rPr>
    </w:lvl>
  </w:abstractNum>
  <w:abstractNum w:abstractNumId="135">
    <w:nsid w:val="7ACA643D"/>
    <w:multiLevelType w:val="singleLevel"/>
    <w:tmpl w:val="0409000F"/>
    <w:lvl w:ilvl="0">
      <w:start w:val="1"/>
      <w:numFmt w:val="decimal"/>
      <w:lvlText w:val="%1."/>
      <w:lvlJc w:val="left"/>
      <w:pPr>
        <w:tabs>
          <w:tab w:val="num" w:pos="360"/>
        </w:tabs>
        <w:ind w:left="360" w:hanging="360"/>
      </w:pPr>
    </w:lvl>
  </w:abstractNum>
  <w:abstractNum w:abstractNumId="136">
    <w:nsid w:val="7AEA2DF3"/>
    <w:multiLevelType w:val="multilevel"/>
    <w:tmpl w:val="0F4893FA"/>
    <w:lvl w:ilvl="0">
      <w:start w:val="1"/>
      <w:numFmt w:val="bullet"/>
      <w:lvlText w:val=""/>
      <w:lvlJc w:val="left"/>
      <w:pPr>
        <w:tabs>
          <w:tab w:val="num" w:pos="1080"/>
        </w:tabs>
        <w:ind w:left="1080" w:hanging="36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abstractNum w:abstractNumId="137">
    <w:nsid w:val="7B275A40"/>
    <w:multiLevelType w:val="hybridMultilevel"/>
    <w:tmpl w:val="D0A26C26"/>
    <w:lvl w:ilvl="0" w:tplc="B232C854">
      <w:start w:val="1"/>
      <w:numFmt w:val="decimal"/>
      <w:pStyle w:val="Style4"/>
      <w:lvlText w:val="%1."/>
      <w:lvlJc w:val="left"/>
      <w:pPr>
        <w:tabs>
          <w:tab w:val="num" w:pos="1287"/>
        </w:tabs>
        <w:ind w:left="1287" w:hanging="567"/>
      </w:pPr>
      <w:rPr>
        <w:rFonts w:hint="default"/>
      </w:rPr>
    </w:lvl>
    <w:lvl w:ilvl="1" w:tplc="0C090019" w:tentative="1">
      <w:start w:val="1"/>
      <w:numFmt w:val="lowerLetter"/>
      <w:lvlText w:val="%2."/>
      <w:lvlJc w:val="left"/>
      <w:pPr>
        <w:tabs>
          <w:tab w:val="num" w:pos="1800"/>
        </w:tabs>
        <w:ind w:left="1800" w:hanging="360"/>
      </w:pPr>
    </w:lvl>
    <w:lvl w:ilvl="2" w:tplc="0C09001B" w:tentative="1">
      <w:start w:val="1"/>
      <w:numFmt w:val="lowerRoman"/>
      <w:lvlText w:val="%3."/>
      <w:lvlJc w:val="right"/>
      <w:pPr>
        <w:tabs>
          <w:tab w:val="num" w:pos="2520"/>
        </w:tabs>
        <w:ind w:left="2520" w:hanging="180"/>
      </w:pPr>
    </w:lvl>
    <w:lvl w:ilvl="3" w:tplc="0C09000F" w:tentative="1">
      <w:start w:val="1"/>
      <w:numFmt w:val="decimal"/>
      <w:lvlText w:val="%4."/>
      <w:lvlJc w:val="left"/>
      <w:pPr>
        <w:tabs>
          <w:tab w:val="num" w:pos="3240"/>
        </w:tabs>
        <w:ind w:left="3240" w:hanging="360"/>
      </w:pPr>
    </w:lvl>
    <w:lvl w:ilvl="4" w:tplc="0C090019" w:tentative="1">
      <w:start w:val="1"/>
      <w:numFmt w:val="lowerLetter"/>
      <w:lvlText w:val="%5."/>
      <w:lvlJc w:val="left"/>
      <w:pPr>
        <w:tabs>
          <w:tab w:val="num" w:pos="3960"/>
        </w:tabs>
        <w:ind w:left="3960" w:hanging="360"/>
      </w:pPr>
    </w:lvl>
    <w:lvl w:ilvl="5" w:tplc="0C09001B" w:tentative="1">
      <w:start w:val="1"/>
      <w:numFmt w:val="lowerRoman"/>
      <w:lvlText w:val="%6."/>
      <w:lvlJc w:val="right"/>
      <w:pPr>
        <w:tabs>
          <w:tab w:val="num" w:pos="4680"/>
        </w:tabs>
        <w:ind w:left="4680" w:hanging="180"/>
      </w:pPr>
    </w:lvl>
    <w:lvl w:ilvl="6" w:tplc="0C09000F" w:tentative="1">
      <w:start w:val="1"/>
      <w:numFmt w:val="decimal"/>
      <w:lvlText w:val="%7."/>
      <w:lvlJc w:val="left"/>
      <w:pPr>
        <w:tabs>
          <w:tab w:val="num" w:pos="5400"/>
        </w:tabs>
        <w:ind w:left="5400" w:hanging="360"/>
      </w:pPr>
    </w:lvl>
    <w:lvl w:ilvl="7" w:tplc="0C090019" w:tentative="1">
      <w:start w:val="1"/>
      <w:numFmt w:val="lowerLetter"/>
      <w:lvlText w:val="%8."/>
      <w:lvlJc w:val="left"/>
      <w:pPr>
        <w:tabs>
          <w:tab w:val="num" w:pos="6120"/>
        </w:tabs>
        <w:ind w:left="6120" w:hanging="360"/>
      </w:pPr>
    </w:lvl>
    <w:lvl w:ilvl="8" w:tplc="0C09001B" w:tentative="1">
      <w:start w:val="1"/>
      <w:numFmt w:val="lowerRoman"/>
      <w:lvlText w:val="%9."/>
      <w:lvlJc w:val="right"/>
      <w:pPr>
        <w:tabs>
          <w:tab w:val="num" w:pos="6840"/>
        </w:tabs>
        <w:ind w:left="6840" w:hanging="180"/>
      </w:pPr>
    </w:lvl>
  </w:abstractNum>
  <w:abstractNum w:abstractNumId="138">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9">
    <w:nsid w:val="7DBF6B58"/>
    <w:multiLevelType w:val="singleLevel"/>
    <w:tmpl w:val="0409000F"/>
    <w:lvl w:ilvl="0">
      <w:start w:val="1"/>
      <w:numFmt w:val="decimal"/>
      <w:lvlText w:val="%1."/>
      <w:lvlJc w:val="left"/>
      <w:pPr>
        <w:tabs>
          <w:tab w:val="num" w:pos="360"/>
        </w:tabs>
        <w:ind w:left="360" w:hanging="360"/>
      </w:pPr>
    </w:lvl>
  </w:abstractNum>
  <w:abstractNum w:abstractNumId="140">
    <w:nsid w:val="7FF104A9"/>
    <w:multiLevelType w:val="multilevel"/>
    <w:tmpl w:val="13D430D2"/>
    <w:lvl w:ilvl="0">
      <w:start w:val="1"/>
      <w:numFmt w:val="bullet"/>
      <w:lvlText w:val=""/>
      <w:lvlJc w:val="left"/>
      <w:pPr>
        <w:tabs>
          <w:tab w:val="num" w:pos="1060"/>
        </w:tabs>
        <w:ind w:left="1060" w:hanging="340"/>
      </w:pPr>
      <w:rPr>
        <w:rFonts w:ascii="Symbol" w:hAnsi="Symbol" w:hint="default"/>
        <w:sz w:val="24"/>
      </w:rPr>
    </w:lvl>
    <w:lvl w:ilvl="1">
      <w:start w:val="1"/>
      <w:numFmt w:val="lowerLetter"/>
      <w:lvlText w:val="%2."/>
      <w:lvlJc w:val="left"/>
      <w:pPr>
        <w:tabs>
          <w:tab w:val="num" w:pos="2160"/>
        </w:tabs>
        <w:ind w:left="2160" w:hanging="360"/>
      </w:pPr>
      <w:rPr>
        <w:rFonts w:hint="default"/>
      </w:rPr>
    </w:lvl>
    <w:lvl w:ilvl="2">
      <w:start w:val="1"/>
      <w:numFmt w:val="lowerRoman"/>
      <w:lvlText w:val="%3."/>
      <w:lvlJc w:val="right"/>
      <w:pPr>
        <w:tabs>
          <w:tab w:val="num" w:pos="2880"/>
        </w:tabs>
        <w:ind w:left="2880" w:hanging="180"/>
      </w:pPr>
      <w:rPr>
        <w:rFonts w:hint="default"/>
      </w:rPr>
    </w:lvl>
    <w:lvl w:ilvl="3">
      <w:start w:val="1"/>
      <w:numFmt w:val="decimal"/>
      <w:lvlText w:val="%4."/>
      <w:lvlJc w:val="left"/>
      <w:pPr>
        <w:tabs>
          <w:tab w:val="num" w:pos="3600"/>
        </w:tabs>
        <w:ind w:left="3600" w:hanging="360"/>
      </w:pPr>
      <w:rPr>
        <w:rFonts w:hint="default"/>
      </w:rPr>
    </w:lvl>
    <w:lvl w:ilvl="4">
      <w:start w:val="1"/>
      <w:numFmt w:val="lowerLetter"/>
      <w:lvlText w:val="%5."/>
      <w:lvlJc w:val="left"/>
      <w:pPr>
        <w:tabs>
          <w:tab w:val="num" w:pos="4320"/>
        </w:tabs>
        <w:ind w:left="4320" w:hanging="360"/>
      </w:pPr>
      <w:rPr>
        <w:rFonts w:hint="default"/>
      </w:rPr>
    </w:lvl>
    <w:lvl w:ilvl="5">
      <w:start w:val="1"/>
      <w:numFmt w:val="lowerRoman"/>
      <w:lvlText w:val="%6."/>
      <w:lvlJc w:val="right"/>
      <w:pPr>
        <w:tabs>
          <w:tab w:val="num" w:pos="5040"/>
        </w:tabs>
        <w:ind w:left="5040" w:hanging="180"/>
      </w:pPr>
      <w:rPr>
        <w:rFonts w:hint="default"/>
      </w:rPr>
    </w:lvl>
    <w:lvl w:ilvl="6">
      <w:start w:val="1"/>
      <w:numFmt w:val="decimal"/>
      <w:lvlText w:val="%7."/>
      <w:lvlJc w:val="left"/>
      <w:pPr>
        <w:tabs>
          <w:tab w:val="num" w:pos="5760"/>
        </w:tabs>
        <w:ind w:left="5760" w:hanging="360"/>
      </w:pPr>
      <w:rPr>
        <w:rFonts w:hint="default"/>
      </w:rPr>
    </w:lvl>
    <w:lvl w:ilvl="7">
      <w:start w:val="1"/>
      <w:numFmt w:val="lowerLetter"/>
      <w:lvlText w:val="%8."/>
      <w:lvlJc w:val="left"/>
      <w:pPr>
        <w:tabs>
          <w:tab w:val="num" w:pos="6480"/>
        </w:tabs>
        <w:ind w:left="6480" w:hanging="360"/>
      </w:pPr>
      <w:rPr>
        <w:rFonts w:hint="default"/>
      </w:rPr>
    </w:lvl>
    <w:lvl w:ilvl="8">
      <w:start w:val="1"/>
      <w:numFmt w:val="lowerRoman"/>
      <w:lvlText w:val="%9."/>
      <w:lvlJc w:val="right"/>
      <w:pPr>
        <w:tabs>
          <w:tab w:val="num" w:pos="7200"/>
        </w:tabs>
        <w:ind w:left="7200" w:hanging="180"/>
      </w:pPr>
      <w:rPr>
        <w:rFonts w:hint="default"/>
      </w:rPr>
    </w:lvl>
  </w:abstractNum>
  <w:num w:numId="1">
    <w:abstractNumId w:val="138"/>
  </w:num>
  <w:num w:numId="2">
    <w:abstractNumId w:val="55"/>
  </w:num>
  <w:num w:numId="3">
    <w:abstractNumId w:val="138"/>
  </w:num>
  <w:num w:numId="4">
    <w:abstractNumId w:val="55"/>
  </w:num>
  <w:num w:numId="5">
    <w:abstractNumId w:val="21"/>
  </w:num>
  <w:num w:numId="6">
    <w:abstractNumId w:val="69"/>
  </w:num>
  <w:num w:numId="7">
    <w:abstractNumId w:val="76"/>
  </w:num>
  <w:num w:numId="8">
    <w:abstractNumId w:val="135"/>
  </w:num>
  <w:num w:numId="9">
    <w:abstractNumId w:val="96"/>
  </w:num>
  <w:num w:numId="10">
    <w:abstractNumId w:val="139"/>
  </w:num>
  <w:num w:numId="11">
    <w:abstractNumId w:val="76"/>
  </w:num>
  <w:num w:numId="12">
    <w:abstractNumId w:val="91"/>
  </w:num>
  <w:num w:numId="13">
    <w:abstractNumId w:val="91"/>
  </w:num>
  <w:num w:numId="14">
    <w:abstractNumId w:val="119"/>
  </w:num>
  <w:num w:numId="15">
    <w:abstractNumId w:val="74"/>
  </w:num>
  <w:num w:numId="16">
    <w:abstractNumId w:val="74"/>
  </w:num>
  <w:num w:numId="17">
    <w:abstractNumId w:val="138"/>
  </w:num>
  <w:num w:numId="18">
    <w:abstractNumId w:val="55"/>
  </w:num>
  <w:num w:numId="19">
    <w:abstractNumId w:val="8"/>
  </w:num>
  <w:num w:numId="20">
    <w:abstractNumId w:val="1"/>
  </w:num>
  <w:num w:numId="21">
    <w:abstractNumId w:val="2"/>
  </w:num>
  <w:num w:numId="22">
    <w:abstractNumId w:val="138"/>
  </w:num>
  <w:num w:numId="23">
    <w:abstractNumId w:val="55"/>
  </w:num>
  <w:num w:numId="24">
    <w:abstractNumId w:val="58"/>
  </w:num>
  <w:num w:numId="25">
    <w:abstractNumId w:val="48"/>
  </w:num>
  <w:num w:numId="26">
    <w:abstractNumId w:val="47"/>
  </w:num>
  <w:num w:numId="27">
    <w:abstractNumId w:val="126"/>
  </w:num>
  <w:num w:numId="28">
    <w:abstractNumId w:val="89"/>
  </w:num>
  <w:num w:numId="29">
    <w:abstractNumId w:val="108"/>
  </w:num>
  <w:num w:numId="30">
    <w:abstractNumId w:val="53"/>
  </w:num>
  <w:num w:numId="31">
    <w:abstractNumId w:val="83"/>
  </w:num>
  <w:num w:numId="32">
    <w:abstractNumId w:val="106"/>
  </w:num>
  <w:num w:numId="33">
    <w:abstractNumId w:val="114"/>
  </w:num>
  <w:num w:numId="34">
    <w:abstractNumId w:val="104"/>
  </w:num>
  <w:num w:numId="35">
    <w:abstractNumId w:val="93"/>
  </w:num>
  <w:num w:numId="36">
    <w:abstractNumId w:val="33"/>
  </w:num>
  <w:num w:numId="37">
    <w:abstractNumId w:val="127"/>
  </w:num>
  <w:num w:numId="38">
    <w:abstractNumId w:val="130"/>
  </w:num>
  <w:num w:numId="39">
    <w:abstractNumId w:val="36"/>
  </w:num>
  <w:num w:numId="40">
    <w:abstractNumId w:val="15"/>
  </w:num>
  <w:num w:numId="41">
    <w:abstractNumId w:val="129"/>
  </w:num>
  <w:num w:numId="42">
    <w:abstractNumId w:val="45"/>
  </w:num>
  <w:num w:numId="43">
    <w:abstractNumId w:val="49"/>
  </w:num>
  <w:num w:numId="44">
    <w:abstractNumId w:val="44"/>
  </w:num>
  <w:num w:numId="45">
    <w:abstractNumId w:val="107"/>
  </w:num>
  <w:num w:numId="46">
    <w:abstractNumId w:val="123"/>
  </w:num>
  <w:num w:numId="47">
    <w:abstractNumId w:val="118"/>
  </w:num>
  <w:num w:numId="48">
    <w:abstractNumId w:val="105"/>
  </w:num>
  <w:num w:numId="49">
    <w:abstractNumId w:val="81"/>
  </w:num>
  <w:num w:numId="50">
    <w:abstractNumId w:val="101"/>
  </w:num>
  <w:num w:numId="51">
    <w:abstractNumId w:val="48"/>
    <w:lvlOverride w:ilvl="0">
      <w:startOverride w:val="3"/>
    </w:lvlOverride>
    <w:lvlOverride w:ilvl="1">
      <w:startOverride w:val="1"/>
    </w:lvlOverride>
  </w:num>
  <w:num w:numId="52">
    <w:abstractNumId w:val="39"/>
  </w:num>
  <w:num w:numId="53">
    <w:abstractNumId w:val="10"/>
  </w:num>
  <w:num w:numId="54">
    <w:abstractNumId w:val="140"/>
  </w:num>
  <w:num w:numId="55">
    <w:abstractNumId w:val="13"/>
  </w:num>
  <w:num w:numId="56">
    <w:abstractNumId w:val="122"/>
  </w:num>
  <w:num w:numId="57">
    <w:abstractNumId w:val="75"/>
  </w:num>
  <w:num w:numId="58">
    <w:abstractNumId w:val="90"/>
  </w:num>
  <w:num w:numId="59">
    <w:abstractNumId w:val="137"/>
  </w:num>
  <w:num w:numId="60">
    <w:abstractNumId w:val="37"/>
  </w:num>
  <w:num w:numId="61">
    <w:abstractNumId w:val="84"/>
  </w:num>
  <w:num w:numId="62">
    <w:abstractNumId w:val="30"/>
  </w:num>
  <w:num w:numId="63">
    <w:abstractNumId w:val="79"/>
  </w:num>
  <w:num w:numId="64">
    <w:abstractNumId w:val="42"/>
  </w:num>
  <w:num w:numId="65">
    <w:abstractNumId w:val="121"/>
  </w:num>
  <w:num w:numId="66">
    <w:abstractNumId w:val="110"/>
  </w:num>
  <w:num w:numId="67">
    <w:abstractNumId w:val="112"/>
  </w:num>
  <w:num w:numId="68">
    <w:abstractNumId w:val="35"/>
  </w:num>
  <w:num w:numId="69">
    <w:abstractNumId w:val="131"/>
  </w:num>
  <w:num w:numId="70">
    <w:abstractNumId w:val="85"/>
  </w:num>
  <w:num w:numId="71">
    <w:abstractNumId w:val="12"/>
  </w:num>
  <w:num w:numId="72">
    <w:abstractNumId w:val="25"/>
  </w:num>
  <w:num w:numId="73">
    <w:abstractNumId w:val="34"/>
  </w:num>
  <w:num w:numId="74">
    <w:abstractNumId w:val="98"/>
  </w:num>
  <w:num w:numId="75">
    <w:abstractNumId w:val="50"/>
  </w:num>
  <w:num w:numId="76">
    <w:abstractNumId w:val="32"/>
  </w:num>
  <w:num w:numId="77">
    <w:abstractNumId w:val="38"/>
  </w:num>
  <w:num w:numId="78">
    <w:abstractNumId w:val="67"/>
  </w:num>
  <w:num w:numId="79">
    <w:abstractNumId w:val="115"/>
  </w:num>
  <w:num w:numId="80">
    <w:abstractNumId w:val="54"/>
  </w:num>
  <w:num w:numId="81">
    <w:abstractNumId w:val="87"/>
  </w:num>
  <w:num w:numId="82">
    <w:abstractNumId w:val="94"/>
  </w:num>
  <w:num w:numId="83">
    <w:abstractNumId w:val="97"/>
  </w:num>
  <w:num w:numId="84">
    <w:abstractNumId w:val="80"/>
  </w:num>
  <w:num w:numId="85">
    <w:abstractNumId w:val="113"/>
  </w:num>
  <w:num w:numId="86">
    <w:abstractNumId w:val="31"/>
  </w:num>
  <w:num w:numId="87">
    <w:abstractNumId w:val="29"/>
  </w:num>
  <w:num w:numId="88">
    <w:abstractNumId w:val="100"/>
  </w:num>
  <w:num w:numId="89">
    <w:abstractNumId w:val="134"/>
  </w:num>
  <w:num w:numId="90">
    <w:abstractNumId w:val="43"/>
  </w:num>
  <w:num w:numId="91">
    <w:abstractNumId w:val="128"/>
  </w:num>
  <w:num w:numId="92">
    <w:abstractNumId w:val="17"/>
  </w:num>
  <w:num w:numId="93">
    <w:abstractNumId w:val="102"/>
  </w:num>
  <w:num w:numId="94">
    <w:abstractNumId w:val="62"/>
  </w:num>
  <w:num w:numId="95">
    <w:abstractNumId w:val="48"/>
    <w:lvlOverride w:ilvl="0">
      <w:startOverride w:val="5"/>
    </w:lvlOverride>
    <w:lvlOverride w:ilvl="1">
      <w:startOverride w:val="1"/>
    </w:lvlOverride>
  </w:num>
  <w:num w:numId="96">
    <w:abstractNumId w:val="133"/>
  </w:num>
  <w:num w:numId="97">
    <w:abstractNumId w:val="19"/>
  </w:num>
  <w:num w:numId="98">
    <w:abstractNumId w:val="14"/>
  </w:num>
  <w:num w:numId="99">
    <w:abstractNumId w:val="52"/>
  </w:num>
  <w:num w:numId="100">
    <w:abstractNumId w:val="116"/>
  </w:num>
  <w:num w:numId="101">
    <w:abstractNumId w:val="95"/>
  </w:num>
  <w:num w:numId="102">
    <w:abstractNumId w:val="136"/>
  </w:num>
  <w:num w:numId="103">
    <w:abstractNumId w:val="59"/>
  </w:num>
  <w:num w:numId="104">
    <w:abstractNumId w:val="71"/>
  </w:num>
  <w:num w:numId="105">
    <w:abstractNumId w:val="78"/>
  </w:num>
  <w:num w:numId="106">
    <w:abstractNumId w:val="72"/>
  </w:num>
  <w:num w:numId="107">
    <w:abstractNumId w:val="40"/>
  </w:num>
  <w:num w:numId="108">
    <w:abstractNumId w:val="63"/>
  </w:num>
  <w:num w:numId="109">
    <w:abstractNumId w:val="64"/>
  </w:num>
  <w:num w:numId="110">
    <w:abstractNumId w:val="46"/>
  </w:num>
  <w:num w:numId="111">
    <w:abstractNumId w:val="18"/>
  </w:num>
  <w:num w:numId="112">
    <w:abstractNumId w:val="73"/>
  </w:num>
  <w:num w:numId="113">
    <w:abstractNumId w:val="70"/>
  </w:num>
  <w:num w:numId="114">
    <w:abstractNumId w:val="60"/>
  </w:num>
  <w:num w:numId="115">
    <w:abstractNumId w:val="68"/>
  </w:num>
  <w:num w:numId="116">
    <w:abstractNumId w:val="20"/>
  </w:num>
  <w:num w:numId="117">
    <w:abstractNumId w:val="48"/>
    <w:lvlOverride w:ilvl="0">
      <w:startOverride w:val="2"/>
    </w:lvlOverride>
    <w:lvlOverride w:ilvl="1">
      <w:startOverride w:val="2"/>
    </w:lvlOverride>
  </w:num>
  <w:num w:numId="118">
    <w:abstractNumId w:val="124"/>
  </w:num>
  <w:num w:numId="119">
    <w:abstractNumId w:val="23"/>
  </w:num>
  <w:num w:numId="120">
    <w:abstractNumId w:val="51"/>
  </w:num>
  <w:num w:numId="121">
    <w:abstractNumId w:val="117"/>
  </w:num>
  <w:num w:numId="122">
    <w:abstractNumId w:val="125"/>
  </w:num>
  <w:num w:numId="123">
    <w:abstractNumId w:val="22"/>
  </w:num>
  <w:num w:numId="124">
    <w:abstractNumId w:val="88"/>
  </w:num>
  <w:num w:numId="125">
    <w:abstractNumId w:val="103"/>
  </w:num>
  <w:num w:numId="126">
    <w:abstractNumId w:val="132"/>
  </w:num>
  <w:num w:numId="127">
    <w:abstractNumId w:val="111"/>
  </w:num>
  <w:num w:numId="128">
    <w:abstractNumId w:val="92"/>
  </w:num>
  <w:num w:numId="129">
    <w:abstractNumId w:val="24"/>
  </w:num>
  <w:num w:numId="130">
    <w:abstractNumId w:val="65"/>
  </w:num>
  <w:num w:numId="131">
    <w:abstractNumId w:val="57"/>
  </w:num>
  <w:num w:numId="132">
    <w:abstractNumId w:val="66"/>
  </w:num>
  <w:num w:numId="133">
    <w:abstractNumId w:val="16"/>
  </w:num>
  <w:num w:numId="134">
    <w:abstractNumId w:val="77"/>
  </w:num>
  <w:num w:numId="135">
    <w:abstractNumId w:val="82"/>
  </w:num>
  <w:num w:numId="136">
    <w:abstractNumId w:val="120"/>
  </w:num>
  <w:num w:numId="137">
    <w:abstractNumId w:val="27"/>
  </w:num>
  <w:num w:numId="138">
    <w:abstractNumId w:val="56"/>
  </w:num>
  <w:num w:numId="139">
    <w:abstractNumId w:val="99"/>
  </w:num>
  <w:num w:numId="140">
    <w:abstractNumId w:val="0"/>
  </w:num>
  <w:num w:numId="141">
    <w:abstractNumId w:val="61"/>
  </w:num>
  <w:num w:numId="142">
    <w:abstractNumId w:val="11"/>
  </w:num>
  <w:num w:numId="143">
    <w:abstractNumId w:val="41"/>
  </w:num>
  <w:num w:numId="144">
    <w:abstractNumId w:val="26"/>
  </w:num>
  <w:num w:numId="145">
    <w:abstractNumId w:val="86"/>
  </w:num>
  <w:num w:numId="146">
    <w:abstractNumId w:val="109"/>
  </w:num>
  <w:num w:numId="147">
    <w:abstractNumId w:val="3"/>
  </w:num>
  <w:num w:numId="148">
    <w:abstractNumId w:val="9"/>
  </w:num>
  <w:num w:numId="149">
    <w:abstractNumId w:val="7"/>
  </w:num>
  <w:num w:numId="150">
    <w:abstractNumId w:val="6"/>
  </w:num>
  <w:num w:numId="151">
    <w:abstractNumId w:val="5"/>
  </w:num>
  <w:num w:numId="152">
    <w:abstractNumId w:val="4"/>
  </w:num>
  <w:num w:numId="15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pos w:val="sectEnd"/>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aliases w:val="Endnote Text Char2,Endnote Text Char Char1,Endnote Text Char1 Char Char,Endnote Text Char Char Char Char,Endnote Text Char1 Char1,Endnote Text Char Char Char1,Endnote Text Char11"/>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22">
    <w:name w:val="Heading 2/2"/>
    <w:basedOn w:val="Heading2"/>
    <w:pPr>
      <w:numPr>
        <w:ilvl w:val="1"/>
        <w:numId w:val="35"/>
      </w:numPr>
      <w:tabs>
        <w:tab w:val="clear" w:pos="567"/>
        <w:tab w:val="num" w:pos="360"/>
      </w:tabs>
      <w:spacing w:before="240" w:after="0" w:line="360" w:lineRule="auto"/>
      <w:jc w:val="left"/>
    </w:pPr>
    <w:rPr>
      <w:rFonts w:ascii="Arial" w:hAnsi="Arial" w:cs="Arial"/>
      <w:b w:val="0"/>
      <w:bCs/>
      <w:iCs/>
      <w:szCs w:val="28"/>
      <w:lang w:val="en-AU" w:eastAsia="en-AU"/>
    </w:rPr>
  </w:style>
  <w:style w:type="paragraph" w:customStyle="1" w:styleId="Heading33">
    <w:name w:val="Heading 3/3"/>
    <w:basedOn w:val="Heading22"/>
    <w:pPr>
      <w:numPr>
        <w:ilvl w:val="2"/>
        <w:numId w:val="31"/>
      </w:numPr>
    </w:pPr>
  </w:style>
  <w:style w:type="paragraph" w:customStyle="1" w:styleId="Bullet1">
    <w:name w:val="Bullet 1"/>
    <w:basedOn w:val="Normal"/>
    <w:pPr>
      <w:numPr>
        <w:numId w:val="58"/>
      </w:numPr>
      <w:spacing w:before="120" w:after="0" w:line="360" w:lineRule="auto"/>
    </w:pPr>
    <w:rPr>
      <w:lang w:val="en-AU" w:eastAsia="en-AU"/>
    </w:rPr>
  </w:style>
  <w:style w:type="paragraph" w:customStyle="1" w:styleId="Style4">
    <w:name w:val="Style4"/>
    <w:basedOn w:val="Normal"/>
    <w:pPr>
      <w:numPr>
        <w:numId w:val="59"/>
      </w:numPr>
      <w:spacing w:before="120" w:after="120" w:line="360" w:lineRule="auto"/>
    </w:pPr>
    <w:rPr>
      <w:szCs w:val="24"/>
      <w:lang w:val="en-AU" w:eastAsia="en-AU"/>
    </w:rPr>
  </w:style>
  <w:style w:type="paragraph" w:customStyle="1" w:styleId="Bullet">
    <w:name w:val="Bullet"/>
    <w:basedOn w:val="Normal"/>
    <w:pPr>
      <w:numPr>
        <w:numId w:val="101"/>
      </w:numPr>
      <w:tabs>
        <w:tab w:val="clear" w:pos="360"/>
        <w:tab w:val="left" w:pos="284"/>
      </w:tabs>
      <w:jc w:val="both"/>
    </w:pPr>
    <w:rPr>
      <w:lang w:val="en-AU" w:eastAsia="en-AU"/>
    </w:rPr>
  </w:style>
  <w:style w:type="character" w:styleId="Hyperlink">
    <w:name w:val="Hyperlink"/>
    <w:semiHidden/>
    <w:rPr>
      <w:color w:val="0000FF"/>
      <w:u w:val="single"/>
    </w:rPr>
  </w:style>
  <w:style w:type="paragraph" w:styleId="BodyTextIndent">
    <w:name w:val="Body Text Indent"/>
    <w:basedOn w:val="Normal"/>
    <w:semiHidden/>
    <w:pPr>
      <w:ind w:left="1440" w:hanging="720"/>
    </w:pPr>
  </w:style>
  <w:style w:type="paragraph" w:styleId="BodyText3">
    <w:name w:val="Body Text 3"/>
    <w:basedOn w:val="Normal"/>
    <w:semiHidden/>
    <w:pPr>
      <w:spacing w:after="120"/>
      <w:jc w:val="center"/>
    </w:pPr>
    <w:rPr>
      <w:b/>
    </w:rPr>
  </w:style>
  <w:style w:type="paragraph" w:styleId="BodyText2">
    <w:name w:val="Body Text 2"/>
    <w:basedOn w:val="Normal"/>
    <w:semiHidden/>
    <w:pPr>
      <w:spacing w:before="40" w:after="40"/>
    </w:pPr>
    <w:rPr>
      <w:i/>
    </w:rPr>
  </w:style>
  <w:style w:type="paragraph" w:styleId="BodyText">
    <w:name w:val="Body Text"/>
    <w:basedOn w:val="Normal"/>
    <w:semiHidden/>
    <w:pPr>
      <w:spacing w:after="40"/>
    </w:pPr>
    <w:rPr>
      <w:color w:val="000000"/>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immi.gov.au" TargetMode="External"/><Relationship Id="rId14" Type="http://schemas.openxmlformats.org/officeDocument/2006/relationships/header" Target="header4.xml"/></Relationships>
</file>

<file path=word/_rels/endnotes.xml.rels><?xml version="1.0" encoding="UTF-8" standalone="yes"?>
<Relationships xmlns="http://schemas.openxmlformats.org/package/2006/relationships"><Relationship Id="rId8" Type="http://schemas.openxmlformats.org/officeDocument/2006/relationships/hyperlink" Target="http://www.immi.gov.au/detention/standards_index.htm#standards" TargetMode="External"/><Relationship Id="rId13" Type="http://schemas.openxmlformats.org/officeDocument/2006/relationships/hyperlink" Target="http://www.humanrights.gov.au/human_rights/children_detention_report/" TargetMode="External"/><Relationship Id="rId3" Type="http://schemas.openxmlformats.org/officeDocument/2006/relationships/hyperlink" Target="http://www.austlii.edu.au/au/legis/cth/consol_act/iccaa2002543/sch1.html" TargetMode="External"/><Relationship Id="rId7" Type="http://schemas.openxmlformats.org/officeDocument/2006/relationships/hyperlink" Target="http://www.austlii.edu.au/au/legis/cth/consol_act/ma1958118/s337.html" TargetMode="External"/><Relationship Id="rId12" Type="http://schemas.openxmlformats.org/officeDocument/2006/relationships/hyperlink" Target="http://www.aph.gov.au/house/committee/jfadt/DOD_Rept/MJindex.htm" TargetMode="External"/><Relationship Id="rId2" Type="http://schemas.openxmlformats.org/officeDocument/2006/relationships/hyperlink" Target="http://www.austlii.edu.au/au/legis/cth/consol_act/icca2002303/" TargetMode="External"/><Relationship Id="rId1" Type="http://schemas.openxmlformats.org/officeDocument/2006/relationships/hyperlink" Target="http://www.aph.gov.au/house/committee/jsct/OPCAT/report/front.pdf" TargetMode="External"/><Relationship Id="rId6" Type="http://schemas.openxmlformats.org/officeDocument/2006/relationships/hyperlink" Target="http://www.austlii.edu.au/au/legis/cth/consol_act/ma1958118/s337.html" TargetMode="External"/><Relationship Id="rId11" Type="http://schemas.openxmlformats.org/officeDocument/2006/relationships/hyperlink" Target="http://www.immi.gov.au/detention/standards_eight.htm" TargetMode="External"/><Relationship Id="rId5" Type="http://schemas.openxmlformats.org/officeDocument/2006/relationships/hyperlink" Target="http://nationalsecurity.ag.gov.au/agd/WWW/nationalsecurityHome.nsf/Page/Legislation_NS_Detention_and_Questioning_Protocols" TargetMode="External"/><Relationship Id="rId10" Type="http://schemas.openxmlformats.org/officeDocument/2006/relationships/hyperlink" Target="http://scale/html/pasteact/1/525/0/PA000080.htm" TargetMode="External"/><Relationship Id="rId4" Type="http://schemas.openxmlformats.org/officeDocument/2006/relationships/hyperlink" Target="http://www.austlii.edu.au/au/legis/cth/consol_act/asioa1979472/" TargetMode="External"/><Relationship Id="rId9" Type="http://schemas.openxmlformats.org/officeDocument/2006/relationships/hyperlink" Target="http://www.immi.gov.au/detention/standards_six.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14364</Words>
  <Characters>81877</Characters>
  <Application>Microsoft Office Word</Application>
  <DocSecurity>4</DocSecurity>
  <Lines>682</Lines>
  <Paragraphs>163</Paragraphs>
  <ScaleCrop>false</ScaleCrop>
  <HeadingPairs>
    <vt:vector size="4" baseType="variant">
      <vt:variant>
        <vt:lpstr>Title</vt:lpstr>
      </vt:variant>
      <vt:variant>
        <vt:i4>1</vt:i4>
      </vt:variant>
      <vt:variant>
        <vt:lpstr>Headings</vt:lpstr>
      </vt:variant>
      <vt:variant>
        <vt:i4>76</vt:i4>
      </vt:variant>
    </vt:vector>
  </HeadingPairs>
  <TitlesOfParts>
    <vt:vector size="77" baseType="lpstr">
      <vt:lpstr>0542075</vt:lpstr>
      <vt:lpstr>Consideration of reports submitted by states parties under article 19 of the Con</vt:lpstr>
      <vt:lpstr>    Third periodic report of States parties due in 2004</vt:lpstr>
      <vt:lpstr>    Addendum* **</vt:lpstr>
      <vt:lpstr>Australia</vt:lpstr>
      <vt:lpstr>    Recommendations of the Committee</vt:lpstr>
      <vt:lpstr>        Recommendation (a)</vt:lpstr>
      <vt:lpstr>        Recommendation (b)</vt:lpstr>
      <vt:lpstr>        Recommendation (c)</vt:lpstr>
      <vt:lpstr>        Recommendation (d)</vt:lpstr>
      <vt:lpstr>        Recommendation (e)</vt:lpstr>
      <vt:lpstr>        Recommendation (f)</vt:lpstr>
      <vt:lpstr>        Recommendation (g)</vt:lpstr>
      <vt:lpstr>        Recommendation (h)</vt:lpstr>
      <vt:lpstr>        Recommendation (i)</vt:lpstr>
      <vt:lpstr>    Abbreviations</vt:lpstr>
      <vt:lpstr>    Introduction</vt:lpstr>
      <vt:lpstr>        Preparation and structure of the report</vt:lpstr>
      <vt:lpstr>        Consultation with stakeholders</vt:lpstr>
      <vt:lpstr>        Consultation with State and Territory Governments</vt:lpstr>
      <vt:lpstr>        Consultation with non-government organisations</vt:lpstr>
      <vt:lpstr>    I.  IMPLEMENTATION OF THE CONVENTION - ARTICLES 1 AND 2 (1)</vt:lpstr>
      <vt:lpstr>    1.1  Legal status and implementation of the Convention in Australia</vt:lpstr>
      <vt:lpstr>II.	LEGALLY PUNISHABLE OFFENCES, EXPULSION AND EXTRADITION - ARTICLES 3, 4, 5, 6</vt:lpstr>
      <vt:lpstr>    2.1  Jurisdiction of the Government of Australia</vt:lpstr>
      <vt:lpstr>    2.2  Domestic criminal offences</vt:lpstr>
      <vt:lpstr>        National Model Criminal Code</vt:lpstr>
      <vt:lpstr>        The Rome Statute of the International Criminal Court</vt:lpstr>
      <vt:lpstr>        Detention and questioning of persons in relation to terrorist offences</vt:lpstr>
      <vt:lpstr>    2.3  Refoulement, expulsion and extradition</vt:lpstr>
      <vt:lpstr>        Refoulement</vt:lpstr>
      <vt:lpstr>        Expulsion</vt:lpstr>
      <vt:lpstr>        Extradition</vt:lpstr>
      <vt:lpstr>    2.4  Human rights communications</vt:lpstr>
      <vt:lpstr>        Communications under the Convention against Torture</vt:lpstr>
      <vt:lpstr>        Communication No. 120/1998</vt:lpstr>
      <vt:lpstr>        Communications under the International Covenant on Civil and Political Rights</vt:lpstr>
      <vt:lpstr>    III.  EDUCATION, TRAINING, REVIEW AND OTHER PREVENTATIVE  MEASURES - ARTICLES 10</vt:lpstr>
      <vt:lpstr>    3.1  Preventative measures</vt:lpstr>
      <vt:lpstr>        Police officers</vt:lpstr>
      <vt:lpstr>        Prison officers</vt:lpstr>
      <vt:lpstr>        Public school teachers</vt:lpstr>
      <vt:lpstr>        Military personnel</vt:lpstr>
      <vt:lpstr>        Immigration officers</vt:lpstr>
      <vt:lpstr>    3.2  Indigenous peoples and criminal justice</vt:lpstr>
      <vt:lpstr>    3.3  Mandatory sentencing provisions</vt:lpstr>
      <vt:lpstr>    3.4  Efforts to reduce overcrowding in prisons</vt:lpstr>
      <vt:lpstr>IV.	the right to procedural guarantees - articles 12, 13, 14, 15 AND 16</vt:lpstr>
      <vt:lpstr>    4.1  Investigation and complaints mechanisms</vt:lpstr>
      <vt:lpstr>        Complaint mechanisms, access to legal redress, and use of evidence in the ASIO q</vt:lpstr>
      <vt:lpstr>        Complaints relating to the conditions of immigration detention centres</vt:lpstr>
      <vt:lpstr>    4.2  Protection of complainants</vt:lpstr>
      <vt:lpstr>        Protection against adverse consequences as a result of making a complaint</vt:lpstr>
      <vt:lpstr>        Disclosure of public interest information</vt:lpstr>
      <vt:lpstr>    4.3  Sample of investigations and complaints in the reporting period</vt:lpstr>
      <vt:lpstr>    4.4	Medical and psychological rehabilitation after acts of torture or  other cru</vt:lpstr>
      <vt:lpstr>Notes</vt:lpstr>
      <vt:lpstr>    Appendices and tables</vt:lpstr>
      <vt:lpstr>APPENDIX I.  OFFENCES AND PENALTIES</vt:lpstr>
      <vt:lpstr>APPENDIX II.  ADMINISTRATIVE REVIEW OF PUBLIC OFFICER CONDUCT</vt:lpstr>
      <vt:lpstr>    Appendix 2.1.  Police officers</vt:lpstr>
      <vt:lpstr>    Appendix 2.2.  Prison officers</vt:lpstr>
      <vt:lpstr>    Appendix 2.3.  Military personnel</vt:lpstr>
      <vt:lpstr>    Appendix 2.4.  Immigration officers</vt:lpstr>
      <vt:lpstr>    Appendix 2.5.  Customs officers</vt:lpstr>
      <vt:lpstr>    Appendix 2.6.  Public medical officers</vt:lpstr>
      <vt:lpstr>    Appendix 2.7.  Residential carers</vt:lpstr>
      <vt:lpstr>    Appendix 2.8.  Public schoolteachers</vt:lpstr>
      <vt:lpstr>    Table 1</vt:lpstr>
      <vt:lpstr>    Legislation relevant to Australia’s obligations under the Convention</vt:lpstr>
      <vt:lpstr>    Table 2</vt:lpstr>
      <vt:lpstr>    Statutory compensation schemes</vt:lpstr>
      <vt:lpstr>    Table 3</vt:lpstr>
      <vt:lpstr>    Bilateral extradition arrangements with States parties to the Convention</vt:lpstr>
      <vt:lpstr>        Extradition treaties</vt:lpstr>
      <vt:lpstr>        Non-treaty based extradition relationships</vt:lpstr>
      <vt:lpstr>    List of annexes*</vt:lpstr>
    </vt:vector>
  </TitlesOfParts>
  <Company>ONU</Company>
  <LinksUpToDate>false</LinksUpToDate>
  <CharactersWithSpaces>100550</CharactersWithSpaces>
  <SharedDoc>false</SharedDoc>
  <HLinks>
    <vt:vector size="84" baseType="variant">
      <vt:variant>
        <vt:i4>3473444</vt:i4>
      </vt:variant>
      <vt:variant>
        <vt:i4>15</vt:i4>
      </vt:variant>
      <vt:variant>
        <vt:i4>0</vt:i4>
      </vt:variant>
      <vt:variant>
        <vt:i4>5</vt:i4>
      </vt:variant>
      <vt:variant>
        <vt:lpwstr>http://www.immi.gov.au/</vt:lpwstr>
      </vt:variant>
      <vt:variant>
        <vt:lpwstr/>
      </vt:variant>
      <vt:variant>
        <vt:i4>3801099</vt:i4>
      </vt:variant>
      <vt:variant>
        <vt:i4>36</vt:i4>
      </vt:variant>
      <vt:variant>
        <vt:i4>0</vt:i4>
      </vt:variant>
      <vt:variant>
        <vt:i4>5</vt:i4>
      </vt:variant>
      <vt:variant>
        <vt:lpwstr>http://www.humanrights.gov.au/human_rights/children_detention_report/</vt:lpwstr>
      </vt:variant>
      <vt:variant>
        <vt:lpwstr/>
      </vt:variant>
      <vt:variant>
        <vt:i4>6488157</vt:i4>
      </vt:variant>
      <vt:variant>
        <vt:i4>33</vt:i4>
      </vt:variant>
      <vt:variant>
        <vt:i4>0</vt:i4>
      </vt:variant>
      <vt:variant>
        <vt:i4>5</vt:i4>
      </vt:variant>
      <vt:variant>
        <vt:lpwstr>http://www.aph.gov.au/house/committee/jfadt/DOD_Rept/MJindex.htm</vt:lpwstr>
      </vt:variant>
      <vt:variant>
        <vt:lpwstr/>
      </vt:variant>
      <vt:variant>
        <vt:i4>4718628</vt:i4>
      </vt:variant>
      <vt:variant>
        <vt:i4>30</vt:i4>
      </vt:variant>
      <vt:variant>
        <vt:i4>0</vt:i4>
      </vt:variant>
      <vt:variant>
        <vt:i4>5</vt:i4>
      </vt:variant>
      <vt:variant>
        <vt:lpwstr>http://www.immi.gov.au/detention/standards_eight.htm</vt:lpwstr>
      </vt:variant>
      <vt:variant>
        <vt:lpwstr/>
      </vt:variant>
      <vt:variant>
        <vt:i4>6619199</vt:i4>
      </vt:variant>
      <vt:variant>
        <vt:i4>27</vt:i4>
      </vt:variant>
      <vt:variant>
        <vt:i4>0</vt:i4>
      </vt:variant>
      <vt:variant>
        <vt:i4>5</vt:i4>
      </vt:variant>
      <vt:variant>
        <vt:lpwstr>http://scale/html/pasteact/1/525/0/PA000080.htm</vt:lpwstr>
      </vt:variant>
      <vt:variant>
        <vt:lpwstr/>
      </vt:variant>
      <vt:variant>
        <vt:i4>3473484</vt:i4>
      </vt:variant>
      <vt:variant>
        <vt:i4>24</vt:i4>
      </vt:variant>
      <vt:variant>
        <vt:i4>0</vt:i4>
      </vt:variant>
      <vt:variant>
        <vt:i4>5</vt:i4>
      </vt:variant>
      <vt:variant>
        <vt:lpwstr>http://www.immi.gov.au/detention/standards_six.htm</vt:lpwstr>
      </vt:variant>
      <vt:variant>
        <vt:lpwstr/>
      </vt:variant>
      <vt:variant>
        <vt:i4>5505066</vt:i4>
      </vt:variant>
      <vt:variant>
        <vt:i4>21</vt:i4>
      </vt:variant>
      <vt:variant>
        <vt:i4>0</vt:i4>
      </vt:variant>
      <vt:variant>
        <vt:i4>5</vt:i4>
      </vt:variant>
      <vt:variant>
        <vt:lpwstr>http://www.immi.gov.au/detention/standards_index.htm</vt:lpwstr>
      </vt:variant>
      <vt:variant>
        <vt:lpwstr>standards</vt:lpwstr>
      </vt:variant>
      <vt:variant>
        <vt:i4>7864329</vt:i4>
      </vt:variant>
      <vt:variant>
        <vt:i4>18</vt:i4>
      </vt:variant>
      <vt:variant>
        <vt:i4>0</vt:i4>
      </vt:variant>
      <vt:variant>
        <vt:i4>5</vt:i4>
      </vt:variant>
      <vt:variant>
        <vt:lpwstr>http://www.austlii.edu.au/au/legis/cth/consol_act/ma1958118/s337.html</vt:lpwstr>
      </vt:variant>
      <vt:variant>
        <vt:lpwstr>tribunal</vt:lpwstr>
      </vt:variant>
      <vt:variant>
        <vt:i4>7864329</vt:i4>
      </vt:variant>
      <vt:variant>
        <vt:i4>15</vt:i4>
      </vt:variant>
      <vt:variant>
        <vt:i4>0</vt:i4>
      </vt:variant>
      <vt:variant>
        <vt:i4>5</vt:i4>
      </vt:variant>
      <vt:variant>
        <vt:lpwstr>http://www.austlii.edu.au/au/legis/cth/consol_act/ma1958118/s337.html</vt:lpwstr>
      </vt:variant>
      <vt:variant>
        <vt:lpwstr>tribunal</vt:lpwstr>
      </vt:variant>
      <vt:variant>
        <vt:i4>5832815</vt:i4>
      </vt:variant>
      <vt:variant>
        <vt:i4>12</vt:i4>
      </vt:variant>
      <vt:variant>
        <vt:i4>0</vt:i4>
      </vt:variant>
      <vt:variant>
        <vt:i4>5</vt:i4>
      </vt:variant>
      <vt:variant>
        <vt:lpwstr>http://nationalsecurity.ag.gov.au/agd/WWW/nationalsecurityHome.nsf/Page/Legislation_NS_Detention_and_Questioning_Protocols</vt:lpwstr>
      </vt:variant>
      <vt:variant>
        <vt:lpwstr/>
      </vt:variant>
      <vt:variant>
        <vt:i4>589860</vt:i4>
      </vt:variant>
      <vt:variant>
        <vt:i4>9</vt:i4>
      </vt:variant>
      <vt:variant>
        <vt:i4>0</vt:i4>
      </vt:variant>
      <vt:variant>
        <vt:i4>5</vt:i4>
      </vt:variant>
      <vt:variant>
        <vt:lpwstr>http://www.austlii.edu.au/au/legis/cth/consol_act/asioa1979472/</vt:lpwstr>
      </vt:variant>
      <vt:variant>
        <vt:lpwstr/>
      </vt:variant>
      <vt:variant>
        <vt:i4>4063327</vt:i4>
      </vt:variant>
      <vt:variant>
        <vt:i4>6</vt:i4>
      </vt:variant>
      <vt:variant>
        <vt:i4>0</vt:i4>
      </vt:variant>
      <vt:variant>
        <vt:i4>5</vt:i4>
      </vt:variant>
      <vt:variant>
        <vt:lpwstr>http://www.austlii.edu.au/au/legis/cth/consol_act/iccaa2002543/sch1.html</vt:lpwstr>
      </vt:variant>
      <vt:variant>
        <vt:lpwstr/>
      </vt:variant>
      <vt:variant>
        <vt:i4>655474</vt:i4>
      </vt:variant>
      <vt:variant>
        <vt:i4>3</vt:i4>
      </vt:variant>
      <vt:variant>
        <vt:i4>0</vt:i4>
      </vt:variant>
      <vt:variant>
        <vt:i4>5</vt:i4>
      </vt:variant>
      <vt:variant>
        <vt:lpwstr>http://www.austlii.edu.au/au/legis/cth/consol_act/icca2002303/</vt:lpwstr>
      </vt:variant>
      <vt:variant>
        <vt:lpwstr/>
      </vt:variant>
      <vt:variant>
        <vt:i4>262239</vt:i4>
      </vt:variant>
      <vt:variant>
        <vt:i4>0</vt:i4>
      </vt:variant>
      <vt:variant>
        <vt:i4>0</vt:i4>
      </vt:variant>
      <vt:variant>
        <vt:i4>5</vt:i4>
      </vt:variant>
      <vt:variant>
        <vt:lpwstr>http://www.aph.gov.au/house/committee/jsct/OPCAT/report/front.pdf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0542075</dc:title>
  <dc:subject/>
  <dc:creator>HAWKE</dc:creator>
  <cp:keywords>CAT/C/67/Add.7</cp:keywords>
  <dc:description>FINAL</dc:description>
  <cp:lastModifiedBy>CSD</cp:lastModifiedBy>
  <cp:revision>3</cp:revision>
  <cp:lastPrinted>2005-10-03T10:01:00Z</cp:lastPrinted>
  <dcterms:created xsi:type="dcterms:W3CDTF">2005-10-03T10:01:00Z</dcterms:created>
  <dcterms:modified xsi:type="dcterms:W3CDTF">2005-10-03T10:02:00Z</dcterms:modified>
</cp:coreProperties>
</file>