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737C07">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737C07" w:rsidP="00737C07">
            <w:pPr>
              <w:jc w:val="right"/>
            </w:pPr>
            <w:r w:rsidRPr="00737C07">
              <w:rPr>
                <w:sz w:val="40"/>
              </w:rPr>
              <w:t>CCPR</w:t>
            </w:r>
            <w:r>
              <w:t>/C/MWI/Q/1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737C07" w:rsidRDefault="00737C07" w:rsidP="00464EEE">
            <w:pPr>
              <w:spacing w:before="240"/>
            </w:pPr>
            <w:r>
              <w:t>Distr. générale</w:t>
            </w:r>
          </w:p>
          <w:p w:rsidR="00737C07" w:rsidRDefault="00737C07" w:rsidP="00737C07">
            <w:pPr>
              <w:spacing w:line="240" w:lineRule="exact"/>
            </w:pPr>
            <w:r>
              <w:t>26 avril 2011</w:t>
            </w:r>
          </w:p>
          <w:p w:rsidR="00737C07" w:rsidRDefault="00737C07" w:rsidP="00737C07">
            <w:pPr>
              <w:spacing w:line="240" w:lineRule="exact"/>
            </w:pPr>
            <w:r>
              <w:t>Français</w:t>
            </w:r>
          </w:p>
          <w:p w:rsidR="00AF1CE8" w:rsidRPr="00DB58B5" w:rsidRDefault="00737C07" w:rsidP="00737C07">
            <w:pPr>
              <w:spacing w:line="240" w:lineRule="exact"/>
            </w:pPr>
            <w:r>
              <w:t>Original: anglais</w:t>
            </w:r>
          </w:p>
        </w:tc>
      </w:tr>
    </w:tbl>
    <w:p w:rsidR="00737C07" w:rsidRPr="00AF5402" w:rsidRDefault="00737C07" w:rsidP="00737C07">
      <w:pPr>
        <w:spacing w:before="120"/>
        <w:rPr>
          <w:b/>
          <w:sz w:val="24"/>
          <w:szCs w:val="24"/>
        </w:rPr>
      </w:pPr>
      <w:r w:rsidRPr="00AF5402">
        <w:rPr>
          <w:b/>
          <w:sz w:val="24"/>
          <w:szCs w:val="24"/>
        </w:rPr>
        <w:t xml:space="preserve">Comité des droits de l’homme </w:t>
      </w:r>
    </w:p>
    <w:p w:rsidR="00737C07" w:rsidRPr="00AF5402" w:rsidRDefault="00737C07" w:rsidP="00737C07">
      <w:pPr>
        <w:rPr>
          <w:b/>
        </w:rPr>
      </w:pPr>
      <w:r>
        <w:rPr>
          <w:b/>
        </w:rPr>
        <w:t>101</w:t>
      </w:r>
      <w:r w:rsidRPr="00C432BD">
        <w:rPr>
          <w:b/>
          <w:vertAlign w:val="superscript"/>
        </w:rPr>
        <w:t>e</w:t>
      </w:r>
      <w:r w:rsidRPr="00AF5402">
        <w:rPr>
          <w:b/>
        </w:rPr>
        <w:t xml:space="preserve"> session</w:t>
      </w:r>
    </w:p>
    <w:p w:rsidR="00737C07" w:rsidRPr="00AF5402" w:rsidRDefault="00737C07" w:rsidP="00737C07">
      <w:r w:rsidRPr="00AF5402">
        <w:t>New York, 14 mars-1</w:t>
      </w:r>
      <w:r w:rsidRPr="00AF5402">
        <w:rPr>
          <w:vertAlign w:val="superscript"/>
        </w:rPr>
        <w:t>er</w:t>
      </w:r>
      <w:r>
        <w:t xml:space="preserve"> </w:t>
      </w:r>
      <w:r w:rsidRPr="00AF5402">
        <w:t>avril 2011</w:t>
      </w:r>
    </w:p>
    <w:p w:rsidR="00737C07" w:rsidRPr="00AF5402" w:rsidRDefault="00737C07" w:rsidP="00C41DC8">
      <w:pPr>
        <w:pStyle w:val="HChG"/>
      </w:pPr>
      <w:r>
        <w:tab/>
      </w:r>
      <w:r>
        <w:tab/>
      </w:r>
      <w:r w:rsidRPr="00AF5402">
        <w:t>Liste des points à traiter établie en l’absence du rapport initial du Malawi</w:t>
      </w:r>
    </w:p>
    <w:p w:rsidR="00737C07" w:rsidRPr="00AF5402" w:rsidRDefault="00737C07" w:rsidP="00375D56">
      <w:pPr>
        <w:pStyle w:val="H1G"/>
        <w:spacing w:before="320" w:after="220" w:line="260" w:lineRule="exact"/>
      </w:pPr>
      <w:r>
        <w:tab/>
      </w:r>
      <w:r>
        <w:tab/>
      </w:r>
      <w:r w:rsidRPr="00AF5402">
        <w:t xml:space="preserve">Cadre constitutionnel </w:t>
      </w:r>
      <w:r>
        <w:t xml:space="preserve">et </w:t>
      </w:r>
      <w:r w:rsidRPr="00AF5402">
        <w:t>juridique de l’</w:t>
      </w:r>
      <w:r>
        <w:t>application du Pacte (art. </w:t>
      </w:r>
      <w:r w:rsidRPr="00AF5402">
        <w:t>2)</w:t>
      </w:r>
    </w:p>
    <w:p w:rsidR="00737C07" w:rsidRPr="00AF5402" w:rsidRDefault="00737C07" w:rsidP="00375D56">
      <w:pPr>
        <w:pStyle w:val="ParNoG"/>
        <w:spacing w:after="100" w:line="230" w:lineRule="exact"/>
      </w:pPr>
      <w:r>
        <w:t>Indiquer</w:t>
      </w:r>
      <w:r w:rsidRPr="00AF5402">
        <w:t xml:space="preserve"> si le Pacte </w:t>
      </w:r>
      <w:r>
        <w:t xml:space="preserve">peut être </w:t>
      </w:r>
      <w:r w:rsidRPr="00AF5402">
        <w:t xml:space="preserve">invoqué directement devant </w:t>
      </w:r>
      <w:r>
        <w:t xml:space="preserve">des </w:t>
      </w:r>
      <w:r w:rsidRPr="00AF5402">
        <w:t xml:space="preserve">tribunaux et </w:t>
      </w:r>
      <w:r>
        <w:t xml:space="preserve">des </w:t>
      </w:r>
      <w:r w:rsidRPr="00AF5402">
        <w:t xml:space="preserve">autorités administratives et </w:t>
      </w:r>
      <w:r>
        <w:t>s’il peut être</w:t>
      </w:r>
      <w:r w:rsidRPr="00AF5402">
        <w:t xml:space="preserve"> appliqué par ces instances, conformément à la décision de la Cour d’appel suprême du Malawi rendue en m</w:t>
      </w:r>
      <w:r>
        <w:t>ai 2007. Dans l’affirmative, donner des exemples</w:t>
      </w:r>
      <w:r w:rsidRPr="00AF5402">
        <w:t xml:space="preserve">. Quelles mesures ont été prises pour sensibiliser au Pacte les fonctionnaires et les agents de l’État, en particulier dans le cadre de la formation des juges, des avocats et des agents </w:t>
      </w:r>
      <w:r>
        <w:t>chargés d’appliquer la loi</w:t>
      </w:r>
      <w:r w:rsidRPr="00AF5402">
        <w:t>?</w:t>
      </w:r>
    </w:p>
    <w:p w:rsidR="00737C07" w:rsidRPr="00AF5402" w:rsidRDefault="00737C07" w:rsidP="00375D56">
      <w:pPr>
        <w:pStyle w:val="H1G"/>
        <w:spacing w:before="320" w:after="220" w:line="260" w:lineRule="exact"/>
      </w:pPr>
      <w:r>
        <w:tab/>
      </w:r>
      <w:r>
        <w:tab/>
        <w:t xml:space="preserve">Non-discrimination, égalité entre les sexes </w:t>
      </w:r>
      <w:r w:rsidR="00D729C0">
        <w:t>(art. </w:t>
      </w:r>
      <w:r w:rsidRPr="00AF5402">
        <w:t>2, par.</w:t>
      </w:r>
      <w:r w:rsidR="00D729C0">
        <w:t> </w:t>
      </w:r>
      <w:r w:rsidRPr="00AF5402">
        <w:t>1, 3 et</w:t>
      </w:r>
      <w:r w:rsidR="00D729C0">
        <w:t> </w:t>
      </w:r>
      <w:r w:rsidRPr="00AF5402">
        <w:t>26)</w:t>
      </w:r>
    </w:p>
    <w:p w:rsidR="00737C07" w:rsidRPr="00AF5402" w:rsidRDefault="00737C07" w:rsidP="00D729C0">
      <w:pPr>
        <w:pStyle w:val="ParNoG"/>
        <w:spacing w:after="100" w:line="230" w:lineRule="exact"/>
      </w:pPr>
      <w:r w:rsidRPr="00AF5402">
        <w:t xml:space="preserve">Donner des informations sur les mesures prises pour protéger les personnes contre la discrimination et la violence fondées sur l’orientation sexuelle. Indiquer le nombre de personnes qui ont été </w:t>
      </w:r>
      <w:r>
        <w:t>agressées</w:t>
      </w:r>
      <w:r w:rsidRPr="00AF5402">
        <w:t xml:space="preserve"> depuis 2005 en raison de leur orientation sexuelle, </w:t>
      </w:r>
      <w:r>
        <w:t>notamment</w:t>
      </w:r>
      <w:r w:rsidRPr="00AF5402">
        <w:t xml:space="preserve"> par la police ou d’autres forces de sécurité, et indiquer si les responsables ont été systématiquement poursuivis et sanctionnés. </w:t>
      </w:r>
      <w:r>
        <w:t>Est-il prévu d’apporter des modifications à la loi pour dépénaliser l’homosexualité</w:t>
      </w:r>
      <w:r w:rsidRPr="00AF5402">
        <w:t>?</w:t>
      </w:r>
    </w:p>
    <w:p w:rsidR="00737C07" w:rsidRPr="00AF5402" w:rsidRDefault="00737C07" w:rsidP="00D729C0">
      <w:pPr>
        <w:pStyle w:val="ParNoG"/>
        <w:spacing w:after="100" w:line="230" w:lineRule="exact"/>
      </w:pPr>
      <w:r w:rsidRPr="00AF5402">
        <w:t xml:space="preserve">Donner des informations sur les mesures prises, notamment </w:t>
      </w:r>
      <w:r>
        <w:t xml:space="preserve">dans le domaine </w:t>
      </w:r>
      <w:r w:rsidRPr="00AF5402">
        <w:t>législati</w:t>
      </w:r>
      <w:r>
        <w:t>f, pour: 1)</w:t>
      </w:r>
      <w:r w:rsidR="00020C3E">
        <w:t> </w:t>
      </w:r>
      <w:r w:rsidRPr="00AF5402">
        <w:t>empêcher que la famille d’un mari décédé s’approprie illégalement les biens d</w:t>
      </w:r>
      <w:r>
        <w:t>e sa veuve; 2)</w:t>
      </w:r>
      <w:r w:rsidR="00020C3E">
        <w:t> </w:t>
      </w:r>
      <w:r w:rsidRPr="00AF5402">
        <w:t xml:space="preserve">protéger </w:t>
      </w:r>
      <w:r>
        <w:t>les</w:t>
      </w:r>
      <w:r w:rsidRPr="00AF5402">
        <w:t xml:space="preserve"> veuve</w:t>
      </w:r>
      <w:r>
        <w:t>s</w:t>
      </w:r>
      <w:r w:rsidRPr="00AF5402">
        <w:t xml:space="preserve"> contre des relations sexuelles forcées avec un membre de </w:t>
      </w:r>
      <w:r>
        <w:t>leur</w:t>
      </w:r>
      <w:r w:rsidRPr="00AF5402">
        <w:t xml:space="preserve"> belle-famille dans le cadre d’un rite de «nettoyage sexuel» pratiqué après le décès d</w:t>
      </w:r>
      <w:r>
        <w:t>u</w:t>
      </w:r>
      <w:r w:rsidRPr="00AF5402">
        <w:t xml:space="preserve"> mari; et 3)</w:t>
      </w:r>
      <w:r w:rsidR="00020C3E">
        <w:t> </w:t>
      </w:r>
      <w:r w:rsidRPr="00AF5402">
        <w:t xml:space="preserve">combattre la pratique alléguée </w:t>
      </w:r>
      <w:r>
        <w:t xml:space="preserve">qui voudrait que </w:t>
      </w:r>
      <w:r w:rsidRPr="00AF5402">
        <w:t>la veuve fa</w:t>
      </w:r>
      <w:r>
        <w:t>sse</w:t>
      </w:r>
      <w:r w:rsidRPr="00AF5402">
        <w:t xml:space="preserve"> partie de l’héritage d’un beau-frère ou d’un autre parent </w:t>
      </w:r>
      <w:r>
        <w:t xml:space="preserve">de sexe </w:t>
      </w:r>
      <w:r w:rsidRPr="00AF5402">
        <w:t>masculin.</w:t>
      </w:r>
    </w:p>
    <w:p w:rsidR="00737C07" w:rsidRPr="00AF5402" w:rsidRDefault="00737C07" w:rsidP="00D729C0">
      <w:pPr>
        <w:pStyle w:val="ParNoG"/>
        <w:spacing w:after="100" w:line="230" w:lineRule="exact"/>
      </w:pPr>
      <w:r>
        <w:t>Indiquer quand les nouveaux projets de loi sur le mariage</w:t>
      </w:r>
      <w:r w:rsidRPr="00AF5402">
        <w:t xml:space="preserve">, le divorce et les relations familiales, sur les biens des </w:t>
      </w:r>
      <w:r>
        <w:t>défunts</w:t>
      </w:r>
      <w:r w:rsidRPr="00AF5402">
        <w:t xml:space="preserve"> (testament</w:t>
      </w:r>
      <w:r>
        <w:t>s</w:t>
      </w:r>
      <w:r w:rsidRPr="00AF5402">
        <w:t xml:space="preserve">, protection et </w:t>
      </w:r>
      <w:r>
        <w:t>succession</w:t>
      </w:r>
      <w:r w:rsidRPr="00AF5402">
        <w:t xml:space="preserve">) et sur l’égalité des sexes </w:t>
      </w:r>
      <w:r>
        <w:t>seront présentés à l’Assemblée nationale</w:t>
      </w:r>
      <w:r w:rsidRPr="00AF5402">
        <w:t>.</w:t>
      </w:r>
    </w:p>
    <w:p w:rsidR="00737C07" w:rsidRPr="00AF5402" w:rsidRDefault="00737C07" w:rsidP="00375D56">
      <w:pPr>
        <w:pStyle w:val="H1G"/>
        <w:spacing w:before="320" w:after="220" w:line="260" w:lineRule="exact"/>
      </w:pPr>
      <w:r>
        <w:tab/>
      </w:r>
      <w:r>
        <w:tab/>
      </w:r>
      <w:r w:rsidRPr="00AF5402">
        <w:t>Droit à la vie (art.</w:t>
      </w:r>
      <w:r>
        <w:t xml:space="preserve"> </w:t>
      </w:r>
      <w:r w:rsidRPr="00AF5402">
        <w:t>6)</w:t>
      </w:r>
    </w:p>
    <w:p w:rsidR="00737C07" w:rsidRPr="00AF5402" w:rsidRDefault="00737C07" w:rsidP="00D729C0">
      <w:pPr>
        <w:pStyle w:val="ParNoG"/>
        <w:spacing w:after="100" w:line="230" w:lineRule="exact"/>
      </w:pPr>
      <w:r>
        <w:t>Selon des informations dont dispose le Comité, il existe un moratoire de facto sur les exécutions depuis 1992. Indiquer si l’État entend ratifier le deuxième Protocole facultatif se rapportant au Pacte international relatif aux droits civils et politiques et modifier le Code pénal en vue d’abolir officiellement la peine de mort.</w:t>
      </w:r>
    </w:p>
    <w:p w:rsidR="00737C07" w:rsidRDefault="00737C07" w:rsidP="00737C07">
      <w:pPr>
        <w:pStyle w:val="ParNoG"/>
      </w:pPr>
      <w:r>
        <w:t>Donner des informations sur les mesures prises depuis 2005 pour enquêter sur les cas présumés de privation arbitraire de la vie par des policiers, punir les policiers reconnus responsables et offrir recours et réparation aux familles des victimes</w:t>
      </w:r>
      <w:r w:rsidRPr="00AF5402">
        <w:t>.</w:t>
      </w:r>
    </w:p>
    <w:p w:rsidR="00737C07" w:rsidRPr="00AF5402" w:rsidRDefault="00737C07" w:rsidP="00737C07">
      <w:pPr>
        <w:pStyle w:val="ParNoG"/>
      </w:pPr>
      <w:r>
        <w:t>Indiquer quelles infractions sont passibles de la peine de mort et si son application dans ces cas est obligatoire.</w:t>
      </w:r>
    </w:p>
    <w:p w:rsidR="00737C07" w:rsidRPr="00AF5402" w:rsidRDefault="00737C07" w:rsidP="00737C07">
      <w:pPr>
        <w:pStyle w:val="H1G"/>
      </w:pPr>
      <w:r>
        <w:tab/>
      </w:r>
      <w:r>
        <w:tab/>
      </w:r>
      <w:r w:rsidRPr="00AF5402">
        <w:t>Interdiction de la torture et des peines ou traitements cruels, inhumains ou dégradants, droit à la liberté et à la sécurité de la personne et traitement des personnes privées de li</w:t>
      </w:r>
      <w:r>
        <w:t>berté (art. 7, 9, 10, 12 et 13)</w:t>
      </w:r>
    </w:p>
    <w:p w:rsidR="00737C07" w:rsidRPr="00D729C0" w:rsidRDefault="00737C07" w:rsidP="00737C07">
      <w:pPr>
        <w:pStyle w:val="ParNoG"/>
        <w:rPr>
          <w:spacing w:val="-2"/>
        </w:rPr>
      </w:pPr>
      <w:r w:rsidRPr="00D729C0">
        <w:rPr>
          <w:spacing w:val="-2"/>
        </w:rPr>
        <w:t>Donner des informations sur: 1)</w:t>
      </w:r>
      <w:r w:rsidR="00D729C0" w:rsidRPr="00D729C0">
        <w:rPr>
          <w:spacing w:val="-2"/>
        </w:rPr>
        <w:t> </w:t>
      </w:r>
      <w:r w:rsidRPr="00D729C0">
        <w:rPr>
          <w:spacing w:val="-2"/>
        </w:rPr>
        <w:t>le nombre total de cas allégués de torture et de traitements cruels, inhumains ou dégradants imputés à des policiers ou des agents pénitentiaires qui ont fait l’objet d’une enquête depuis 2005; 2)</w:t>
      </w:r>
      <w:r w:rsidR="00D729C0" w:rsidRPr="00D729C0">
        <w:rPr>
          <w:spacing w:val="-2"/>
        </w:rPr>
        <w:t> </w:t>
      </w:r>
      <w:r w:rsidRPr="00D729C0">
        <w:rPr>
          <w:spacing w:val="-2"/>
        </w:rPr>
        <w:t xml:space="preserve">l’issue des enquêtes et les mesures prises à </w:t>
      </w:r>
      <w:r w:rsidR="00D729C0" w:rsidRPr="00D729C0">
        <w:rPr>
          <w:spacing w:val="-2"/>
        </w:rPr>
        <w:t>l’encontre des coupables; et 3) </w:t>
      </w:r>
      <w:r w:rsidRPr="00D729C0">
        <w:rPr>
          <w:spacing w:val="-2"/>
        </w:rPr>
        <w:t>les mesures prises en vue de la réadaptation des victimes et les indemnisations accordées. Indiquer en outre si les droits de l’homme font systématiquement partie des programmes de formation des membres des forces de l’ordre.</w:t>
      </w:r>
    </w:p>
    <w:p w:rsidR="00737C07" w:rsidRPr="00AF5402" w:rsidRDefault="00737C07" w:rsidP="00737C07">
      <w:pPr>
        <w:pStyle w:val="ParNoG"/>
      </w:pPr>
      <w:r w:rsidRPr="00AF5402">
        <w:t xml:space="preserve">Donner des informations sur les mesures prises pour prévenir et combattre la violence </w:t>
      </w:r>
      <w:r>
        <w:t>dans la famille</w:t>
      </w:r>
      <w:r w:rsidRPr="00AF5402">
        <w:t xml:space="preserve">, y compris la formation </w:t>
      </w:r>
      <w:r>
        <w:t>destinée</w:t>
      </w:r>
      <w:r w:rsidRPr="00AF5402">
        <w:t xml:space="preserve"> aux juges, aux </w:t>
      </w:r>
      <w:r>
        <w:t xml:space="preserve">policiers </w:t>
      </w:r>
      <w:r w:rsidRPr="00AF5402">
        <w:t xml:space="preserve">et aux agents de </w:t>
      </w:r>
      <w:r>
        <w:t xml:space="preserve">la </w:t>
      </w:r>
      <w:r w:rsidRPr="00AF5402">
        <w:t xml:space="preserve">santé, ainsi que sur les campagnes publiques de sensibilisation </w:t>
      </w:r>
      <w:r>
        <w:t>organisées à l’intention</w:t>
      </w:r>
      <w:r w:rsidRPr="00AF5402">
        <w:t xml:space="preserve"> des femmes concernant leurs droits et les recours disponibles. Donner également des renseignements sur les mesures prises pour garantir que les actes de violence </w:t>
      </w:r>
      <w:r>
        <w:t xml:space="preserve">dans la famille </w:t>
      </w:r>
      <w:r w:rsidRPr="00AF5402">
        <w:t xml:space="preserve">fassent effectivement l’objet d’une enquête et que leurs auteurs soient poursuivis et </w:t>
      </w:r>
      <w:r>
        <w:t>punis</w:t>
      </w:r>
      <w:r w:rsidRPr="00AF5402">
        <w:t xml:space="preserve"> au titre de la loi sur la prévention de la violence familiale. Indiquer si le viol </w:t>
      </w:r>
      <w:r>
        <w:t>conjugal</w:t>
      </w:r>
      <w:r w:rsidRPr="00AF5402">
        <w:t xml:space="preserve"> est expressément </w:t>
      </w:r>
      <w:r>
        <w:t xml:space="preserve">érigé en infraction par </w:t>
      </w:r>
      <w:r w:rsidRPr="00AF5402">
        <w:t>le Code pénal.</w:t>
      </w:r>
    </w:p>
    <w:p w:rsidR="00737C07" w:rsidRPr="00AF5402" w:rsidRDefault="00737C07" w:rsidP="00737C07">
      <w:pPr>
        <w:pStyle w:val="ParNoG"/>
      </w:pPr>
      <w:r w:rsidRPr="00AF5402">
        <w:t>Indiquer combien de personnes sont détenues avant jugement. Que</w:t>
      </w:r>
      <w:r>
        <w:t>lle</w:t>
      </w:r>
      <w:r w:rsidRPr="00AF5402">
        <w:t xml:space="preserve"> est la durée moyenne de la détention avant jugement?</w:t>
      </w:r>
      <w:r>
        <w:t xml:space="preserve"> </w:t>
      </w:r>
      <w:r w:rsidRPr="00AF5402">
        <w:t xml:space="preserve">Les </w:t>
      </w:r>
      <w:r>
        <w:t>pr</w:t>
      </w:r>
      <w:r w:rsidRPr="00AF5402">
        <w:t>é</w:t>
      </w:r>
      <w:r>
        <w:t>v</w:t>
      </w:r>
      <w:r w:rsidRPr="00AF5402">
        <w:t xml:space="preserve">enus sont-ils séparés des </w:t>
      </w:r>
      <w:r>
        <w:t>condamnés</w:t>
      </w:r>
      <w:r w:rsidRPr="00AF5402">
        <w:t>?</w:t>
      </w:r>
    </w:p>
    <w:p w:rsidR="00737C07" w:rsidRPr="00AF5402" w:rsidRDefault="00737C07" w:rsidP="00737C07">
      <w:pPr>
        <w:pStyle w:val="ParNoG"/>
      </w:pPr>
      <w:r>
        <w:t>A-t-on</w:t>
      </w:r>
      <w:r w:rsidRPr="00AF5402">
        <w:t xml:space="preserve"> établi </w:t>
      </w:r>
      <w:r>
        <w:t>un système de</w:t>
      </w:r>
      <w:r w:rsidRPr="00AF5402">
        <w:t xml:space="preserve"> surveill</w:t>
      </w:r>
      <w:r>
        <w:t>ance régulière et indépendante d</w:t>
      </w:r>
      <w:r w:rsidRPr="00AF5402">
        <w:t>es lieux de</w:t>
      </w:r>
      <w:r w:rsidR="00703754">
        <w:t> </w:t>
      </w:r>
      <w:r w:rsidRPr="00AF5402">
        <w:t xml:space="preserve">détention? Donner des informations sur les mesures prises pour améliorer les conditions de détention, y compris en ce qui concerne la nutrition, les services </w:t>
      </w:r>
      <w:r>
        <w:t>et</w:t>
      </w:r>
      <w:r w:rsidRPr="00AF5402">
        <w:t xml:space="preserve"> les installations de</w:t>
      </w:r>
      <w:r w:rsidR="00703754">
        <w:t> </w:t>
      </w:r>
      <w:r w:rsidRPr="00AF5402">
        <w:t xml:space="preserve">santé et </w:t>
      </w:r>
      <w:r>
        <w:t>le surpeuplement</w:t>
      </w:r>
      <w:r w:rsidRPr="00AF5402">
        <w:t>, en particulier depuis la décision rendue par la Cour</w:t>
      </w:r>
      <w:r w:rsidR="00703754">
        <w:t> </w:t>
      </w:r>
      <w:r w:rsidRPr="00AF5402">
        <w:t>constitutionnelle le</w:t>
      </w:r>
      <w:r w:rsidR="00375D56">
        <w:t> </w:t>
      </w:r>
      <w:r w:rsidRPr="00AF5402">
        <w:t>9</w:t>
      </w:r>
      <w:r w:rsidR="00375D56">
        <w:t> </w:t>
      </w:r>
      <w:r w:rsidRPr="00AF5402">
        <w:t xml:space="preserve">novembre 2010 dans l’affaire </w:t>
      </w:r>
      <w:r w:rsidRPr="00AF5402">
        <w:rPr>
          <w:i/>
          <w:iCs/>
        </w:rPr>
        <w:t xml:space="preserve">Gable Masango </w:t>
      </w:r>
      <w:r>
        <w:rPr>
          <w:i/>
          <w:iCs/>
        </w:rPr>
        <w:t>v</w:t>
      </w:r>
      <w:r w:rsidRPr="00AF5402">
        <w:rPr>
          <w:iCs/>
        </w:rPr>
        <w:t>.</w:t>
      </w:r>
      <w:r w:rsidR="00EE7986">
        <w:rPr>
          <w:iCs/>
        </w:rPr>
        <w:t> </w:t>
      </w:r>
      <w:r>
        <w:rPr>
          <w:i/>
          <w:iCs/>
        </w:rPr>
        <w:t>The Attorney General</w:t>
      </w:r>
      <w:r w:rsidRPr="00AF5402">
        <w:rPr>
          <w:i/>
        </w:rPr>
        <w:t xml:space="preserve">. </w:t>
      </w:r>
      <w:r w:rsidRPr="00AF5402">
        <w:t>Combien</w:t>
      </w:r>
      <w:r w:rsidR="00EE7986">
        <w:t> </w:t>
      </w:r>
      <w:r>
        <w:t>y</w:t>
      </w:r>
      <w:r w:rsidR="00D729C0">
        <w:t> </w:t>
      </w:r>
      <w:r>
        <w:t>a</w:t>
      </w:r>
      <w:r>
        <w:noBreakHyphen/>
        <w:t>t</w:t>
      </w:r>
      <w:r>
        <w:noBreakHyphen/>
        <w:t xml:space="preserve">il eu de décès de </w:t>
      </w:r>
      <w:r w:rsidRPr="00AF5402">
        <w:t xml:space="preserve">détenus </w:t>
      </w:r>
      <w:r>
        <w:t>par</w:t>
      </w:r>
      <w:r w:rsidRPr="00AF5402">
        <w:t xml:space="preserve"> mois depuis 2005, et quelles </w:t>
      </w:r>
      <w:r>
        <w:t xml:space="preserve">en sont les </w:t>
      </w:r>
      <w:r w:rsidRPr="00AF5402">
        <w:t>causes</w:t>
      </w:r>
      <w:r w:rsidR="00EE7986">
        <w:t> </w:t>
      </w:r>
      <w:r>
        <w:t>déclarées</w:t>
      </w:r>
      <w:r w:rsidRPr="00AF5402">
        <w:t>?</w:t>
      </w:r>
    </w:p>
    <w:p w:rsidR="00737C07" w:rsidRPr="00AF5402" w:rsidRDefault="00737C07" w:rsidP="00737C07">
      <w:pPr>
        <w:pStyle w:val="ParNoG"/>
      </w:pPr>
      <w:r w:rsidRPr="00AF5402">
        <w:t xml:space="preserve">Commenter les informations selon lesquelles la plupart des suspects seraient arrêtés sans mandat et </w:t>
      </w:r>
      <w:r>
        <w:t xml:space="preserve">il arrive régulièrement que des policiers </w:t>
      </w:r>
      <w:r w:rsidRPr="00AF5402">
        <w:t>arrête</w:t>
      </w:r>
      <w:r>
        <w:t>nt</w:t>
      </w:r>
      <w:r w:rsidRPr="00AF5402">
        <w:t xml:space="preserve"> les parents d’un suspect pour </w:t>
      </w:r>
      <w:r>
        <w:t>l’obliger à se</w:t>
      </w:r>
      <w:r w:rsidRPr="00AF5402">
        <w:t xml:space="preserve"> rendre.</w:t>
      </w:r>
    </w:p>
    <w:p w:rsidR="00737C07" w:rsidRPr="00AF5402" w:rsidRDefault="00737C07" w:rsidP="00737C07">
      <w:pPr>
        <w:pStyle w:val="H1G"/>
      </w:pPr>
      <w:r>
        <w:tab/>
      </w:r>
      <w:r>
        <w:tab/>
      </w:r>
      <w:r w:rsidRPr="00AF5402">
        <w:t>Élimination de l’esclavage et de la servitude (art. 8)</w:t>
      </w:r>
    </w:p>
    <w:p w:rsidR="00737C07" w:rsidRPr="00AF5402" w:rsidRDefault="00737C07" w:rsidP="00737C07">
      <w:pPr>
        <w:pStyle w:val="ParNoG"/>
      </w:pPr>
      <w:r w:rsidRPr="00AF5402">
        <w:t xml:space="preserve">Donner des informations sur les mesures prises pour combattre et prévenir la traite et la vente de personnes, en particulier </w:t>
      </w:r>
      <w:r>
        <w:t>de</w:t>
      </w:r>
      <w:r w:rsidRPr="00AF5402">
        <w:t xml:space="preserve"> personnes de moins de 18 ans. Quelles mesures concrètes </w:t>
      </w:r>
      <w:r>
        <w:t xml:space="preserve">ont été prises </w:t>
      </w:r>
      <w:r w:rsidRPr="00AF5402">
        <w:t xml:space="preserve">pour </w:t>
      </w:r>
      <w:r>
        <w:t xml:space="preserve">assurer la protection et la réadaptation des </w:t>
      </w:r>
      <w:r w:rsidRPr="00AF5402">
        <w:t xml:space="preserve">victimes de </w:t>
      </w:r>
      <w:r>
        <w:t xml:space="preserve">la </w:t>
      </w:r>
      <w:r w:rsidRPr="00AF5402">
        <w:t>traite? Préciser s</w:t>
      </w:r>
      <w:r>
        <w:t>’</w:t>
      </w:r>
      <w:r w:rsidRPr="00AF5402">
        <w:t>i</w:t>
      </w:r>
      <w:r>
        <w:t xml:space="preserve">l est prévu de modifier la législation pour ériger en infraction pénale </w:t>
      </w:r>
      <w:r w:rsidRPr="00AF5402">
        <w:t xml:space="preserve">la traite de toutes les personnes, </w:t>
      </w:r>
      <w:r>
        <w:t>y compris</w:t>
      </w:r>
      <w:r w:rsidRPr="00AF5402">
        <w:t xml:space="preserve"> </w:t>
      </w:r>
      <w:r>
        <w:t>d</w:t>
      </w:r>
      <w:r w:rsidRPr="00AF5402">
        <w:t xml:space="preserve">es garçons? Donner des renseignements sur la formation prévue pour les juges, les procureurs et les </w:t>
      </w:r>
      <w:r>
        <w:t>policiers</w:t>
      </w:r>
      <w:r w:rsidRPr="00AF5402">
        <w:t xml:space="preserve"> concernant </w:t>
      </w:r>
      <w:r>
        <w:t xml:space="preserve">la détection des cas de traite, les </w:t>
      </w:r>
      <w:r w:rsidRPr="00AF5402">
        <w:t xml:space="preserve">enquêtes et </w:t>
      </w:r>
      <w:r>
        <w:t xml:space="preserve">la conduite des </w:t>
      </w:r>
      <w:r w:rsidRPr="00AF5402">
        <w:t>poursuite</w:t>
      </w:r>
      <w:r>
        <w:t>s</w:t>
      </w:r>
      <w:r w:rsidRPr="00AF5402">
        <w:t xml:space="preserve">, et indiquer si cette formation repose sur une approche </w:t>
      </w:r>
      <w:r>
        <w:t>qui tient compte d</w:t>
      </w:r>
      <w:r w:rsidRPr="00AF5402">
        <w:t xml:space="preserve">es victimes. </w:t>
      </w:r>
    </w:p>
    <w:p w:rsidR="00737C07" w:rsidRPr="00AF5402" w:rsidRDefault="00737C07" w:rsidP="00737C07">
      <w:pPr>
        <w:pStyle w:val="H1G"/>
      </w:pPr>
      <w:r>
        <w:tab/>
      </w:r>
      <w:r>
        <w:tab/>
      </w:r>
      <w:r w:rsidRPr="00AF5402">
        <w:t>Droit à un procès équitable (art. 14)</w:t>
      </w:r>
    </w:p>
    <w:p w:rsidR="00737C07" w:rsidRPr="00AF5402" w:rsidRDefault="00737C07" w:rsidP="00737C07">
      <w:pPr>
        <w:pStyle w:val="ParNoG"/>
      </w:pPr>
      <w:r w:rsidRPr="00AF5402">
        <w:t xml:space="preserve">Donner des informations sur les mesures prises pour renforcer le fonctionnement du système judiciaire, y compris </w:t>
      </w:r>
      <w:r>
        <w:t>celles qui visent à</w:t>
      </w:r>
      <w:r w:rsidRPr="00AF5402">
        <w:t xml:space="preserve"> améliorer l’accès à une aide juridique de qualité. Donner des informations sur les mesures prises pour officialiser et institutionnaliser le rôle des auxiliaires de justice et les services qu’ils fournissent aux </w:t>
      </w:r>
      <w:r>
        <w:t>personnes placées en détention</w:t>
      </w:r>
      <w:r w:rsidRPr="00AF5402">
        <w:t xml:space="preserve"> avant jugement et aux personnes accusées d’infractions pénales</w:t>
      </w:r>
      <w:r>
        <w:t>.</w:t>
      </w:r>
      <w:r w:rsidRPr="00AF5402">
        <w:t xml:space="preserve"> </w:t>
      </w:r>
      <w:r>
        <w:t>Où en est le projet de loi portant modification de la loi sur la formation juridique et</w:t>
      </w:r>
      <w:r w:rsidRPr="00AF5402">
        <w:t xml:space="preserve"> les </w:t>
      </w:r>
      <w:r>
        <w:t xml:space="preserve">juristes </w:t>
      </w:r>
      <w:r w:rsidRPr="00AF5402">
        <w:t xml:space="preserve">et </w:t>
      </w:r>
      <w:r>
        <w:t>le</w:t>
      </w:r>
      <w:r w:rsidRPr="00AF5402">
        <w:t xml:space="preserve"> projet </w:t>
      </w:r>
      <w:r>
        <w:t xml:space="preserve">de loi sur </w:t>
      </w:r>
      <w:r w:rsidRPr="00AF5402">
        <w:t>l’aide juridique</w:t>
      </w:r>
      <w:r>
        <w:t>?</w:t>
      </w:r>
      <w:r w:rsidRPr="00AF5402">
        <w:t xml:space="preserve"> Indiquer également quelles mesures ont été prises pour renforcer la procédure d’appel, </w:t>
      </w:r>
      <w:r>
        <w:t xml:space="preserve">notamment pour </w:t>
      </w:r>
      <w:r w:rsidRPr="00AF5402">
        <w:t xml:space="preserve">accélérer </w:t>
      </w:r>
      <w:r>
        <w:t>le processus d’appel</w:t>
      </w:r>
      <w:r w:rsidRPr="00AF5402">
        <w:t xml:space="preserve"> et garantir </w:t>
      </w:r>
      <w:r>
        <w:t xml:space="preserve">l’examen rapide de </w:t>
      </w:r>
      <w:r w:rsidRPr="00AF5402">
        <w:t xml:space="preserve">tous les </w:t>
      </w:r>
      <w:r>
        <w:t xml:space="preserve">recours </w:t>
      </w:r>
      <w:r w:rsidRPr="00AF5402">
        <w:t>par un tribunal</w:t>
      </w:r>
      <w:r>
        <w:t>.</w:t>
      </w:r>
    </w:p>
    <w:p w:rsidR="00737C07" w:rsidRPr="00AF5402" w:rsidRDefault="00737C07" w:rsidP="00737C07">
      <w:pPr>
        <w:pStyle w:val="H1G"/>
      </w:pPr>
      <w:r>
        <w:tab/>
      </w:r>
      <w:r>
        <w:tab/>
      </w:r>
      <w:r w:rsidRPr="00AF5402">
        <w:t>D</w:t>
      </w:r>
      <w:r>
        <w:t xml:space="preserve">roit à la reconnaissance </w:t>
      </w:r>
      <w:r w:rsidRPr="00AF5402">
        <w:t>de sa personnalité juridique (art.</w:t>
      </w:r>
      <w:r>
        <w:t> </w:t>
      </w:r>
      <w:r w:rsidRPr="00AF5402">
        <w:t>16)</w:t>
      </w:r>
    </w:p>
    <w:p w:rsidR="00737C07" w:rsidRPr="00AF5402" w:rsidRDefault="00737C07" w:rsidP="00737C07">
      <w:pPr>
        <w:pStyle w:val="ParNoG"/>
      </w:pPr>
      <w:r w:rsidRPr="00AF5402">
        <w:t>Donner des informations sur les</w:t>
      </w:r>
      <w:r>
        <w:t xml:space="preserve"> lois et politiques en vigueur qui garantissent </w:t>
      </w:r>
      <w:r w:rsidRPr="00AF5402">
        <w:t xml:space="preserve">que les personnes handicapées jouissent de la capacité juridique </w:t>
      </w:r>
      <w:r>
        <w:t>dans des conditions d’</w:t>
      </w:r>
      <w:r w:rsidRPr="00AF5402">
        <w:t>égalité avec les autres</w:t>
      </w:r>
      <w:r>
        <w:t xml:space="preserve"> personnes</w:t>
      </w:r>
      <w:r w:rsidRPr="00AF5402">
        <w:t>.</w:t>
      </w:r>
    </w:p>
    <w:p w:rsidR="00737C07" w:rsidRPr="00AF5402" w:rsidRDefault="00737C07" w:rsidP="00737C07">
      <w:pPr>
        <w:pStyle w:val="H1G"/>
      </w:pPr>
      <w:r>
        <w:tab/>
      </w:r>
      <w:r>
        <w:tab/>
      </w:r>
      <w:r w:rsidRPr="00AF5402">
        <w:t>Interdiction de l’ingérence arbitraire ou illégale dans la vie privée</w:t>
      </w:r>
      <w:r>
        <w:t>,</w:t>
      </w:r>
      <w:r>
        <w:br/>
        <w:t>la famille, le domicile ou la corresponda</w:t>
      </w:r>
      <w:r w:rsidRPr="00AF5402">
        <w:t>nce (art.</w:t>
      </w:r>
      <w:r>
        <w:t xml:space="preserve"> </w:t>
      </w:r>
      <w:r w:rsidRPr="00AF5402">
        <w:t>17)</w:t>
      </w:r>
    </w:p>
    <w:p w:rsidR="00737C07" w:rsidRPr="00AF5402" w:rsidRDefault="00737C07" w:rsidP="00737C07">
      <w:pPr>
        <w:pStyle w:val="ParNoG"/>
      </w:pPr>
      <w:r w:rsidRPr="00AF5402">
        <w:t>Donner des informations sur la loi sur la police du 2 décembre 2009, qui autorise les policiers à effectuer des perquisitions sans mandat</w:t>
      </w:r>
      <w:r>
        <w:t>.</w:t>
      </w:r>
    </w:p>
    <w:p w:rsidR="00737C07" w:rsidRPr="00AF5402" w:rsidRDefault="00737C07" w:rsidP="00737C07">
      <w:pPr>
        <w:pStyle w:val="ParNoG"/>
      </w:pPr>
      <w:r w:rsidRPr="00AF5402">
        <w:t xml:space="preserve">Indiquer les mesures </w:t>
      </w:r>
      <w:r>
        <w:t>prises par</w:t>
      </w:r>
      <w:r w:rsidRPr="00AF5402">
        <w:t xml:space="preserve"> l’État partie pour garantir la confidentialité des données médicales, y compris </w:t>
      </w:r>
      <w:r>
        <w:t>la séropositivité</w:t>
      </w:r>
      <w:r w:rsidRPr="00AF5402">
        <w:t>. Expliquer aussi</w:t>
      </w:r>
      <w:r>
        <w:t xml:space="preserve"> </w:t>
      </w:r>
      <w:r w:rsidRPr="00AF5402">
        <w:t>en quoi l’</w:t>
      </w:r>
      <w:r>
        <w:t>article</w:t>
      </w:r>
      <w:r w:rsidR="00EA7572">
        <w:t> </w:t>
      </w:r>
      <w:r>
        <w:t>10 (</w:t>
      </w:r>
      <w:r w:rsidRPr="00AF5402">
        <w:t xml:space="preserve">autorisant un agent de santé à révéler </w:t>
      </w:r>
      <w:r>
        <w:t>la séropositivité</w:t>
      </w:r>
      <w:r w:rsidRPr="00AF5402">
        <w:t xml:space="preserve"> d’une personne) et les dispositions de la loi sur le</w:t>
      </w:r>
      <w:r>
        <w:t xml:space="preserve"> </w:t>
      </w:r>
      <w:r w:rsidRPr="00AF5402">
        <w:t xml:space="preserve">VIH/sida (prévention et gestion) relatives au </w:t>
      </w:r>
      <w:r>
        <w:t>dépistage</w:t>
      </w:r>
      <w:r w:rsidRPr="00AF5402">
        <w:t xml:space="preserve"> obligatoire sont conformes aux droits garantis dans le Pacte.</w:t>
      </w:r>
    </w:p>
    <w:p w:rsidR="00737C07" w:rsidRPr="00AF5402" w:rsidRDefault="00737C07" w:rsidP="00737C07">
      <w:pPr>
        <w:pStyle w:val="H1G"/>
      </w:pPr>
      <w:r>
        <w:tab/>
      </w:r>
      <w:r>
        <w:tab/>
      </w:r>
      <w:r w:rsidRPr="00AF5402">
        <w:t>Liberté de conscience et de religion (art.</w:t>
      </w:r>
      <w:r>
        <w:t xml:space="preserve"> </w:t>
      </w:r>
      <w:r w:rsidRPr="00AF5402">
        <w:t>18)</w:t>
      </w:r>
    </w:p>
    <w:p w:rsidR="00737C07" w:rsidRPr="00AF5402" w:rsidRDefault="00737C07" w:rsidP="00737C07">
      <w:pPr>
        <w:pStyle w:val="ParNoG"/>
      </w:pPr>
      <w:r w:rsidRPr="00AF5402">
        <w:t xml:space="preserve">Donner des informations sur l’existence de différentes religions </w:t>
      </w:r>
      <w:r>
        <w:t>sur le territoire</w:t>
      </w:r>
      <w:r w:rsidRPr="00AF5402">
        <w:t xml:space="preserve"> de l’État partie, et sur les principales différences de statut</w:t>
      </w:r>
      <w:r>
        <w:t>, le cas échéant,</w:t>
      </w:r>
      <w:r w:rsidRPr="00AF5402">
        <w:t xml:space="preserve"> entre la religion dominante et </w:t>
      </w:r>
      <w:r>
        <w:t xml:space="preserve">les </w:t>
      </w:r>
      <w:r w:rsidRPr="00AF5402">
        <w:t xml:space="preserve">autres </w:t>
      </w:r>
      <w:r>
        <w:t>confessions</w:t>
      </w:r>
      <w:r w:rsidRPr="00AF5402">
        <w:t>, en particulier en ce qui concerne l’octroi de subventions, la protection des lieux de culte et l’accès à ces lieux, en particulier pour ceux qui appartiennent à des minorités religieuses.</w:t>
      </w:r>
    </w:p>
    <w:p w:rsidR="00737C07" w:rsidRPr="00AF5402" w:rsidRDefault="00737C07" w:rsidP="00737C07">
      <w:pPr>
        <w:pStyle w:val="H1G"/>
      </w:pPr>
      <w:r>
        <w:tab/>
      </w:r>
      <w:r>
        <w:tab/>
      </w:r>
      <w:r w:rsidRPr="00AF5402">
        <w:t>Liberté d’opinion et d’expression (art.</w:t>
      </w:r>
      <w:r>
        <w:t xml:space="preserve"> </w:t>
      </w:r>
      <w:r w:rsidRPr="00AF5402">
        <w:t>19)</w:t>
      </w:r>
    </w:p>
    <w:p w:rsidR="00737C07" w:rsidRDefault="00737C07" w:rsidP="00737C07">
      <w:pPr>
        <w:pStyle w:val="ParNoG"/>
      </w:pPr>
      <w:r w:rsidRPr="00AF5402">
        <w:t xml:space="preserve">Donner des informations sur </w:t>
      </w:r>
      <w:r>
        <w:t xml:space="preserve">la modification du </w:t>
      </w:r>
      <w:r w:rsidRPr="00AF5402">
        <w:t>Code pénal autorisant le Ministre de l’information à interdire des journaux. Donner des renseignements concernant le nombre</w:t>
      </w:r>
      <w:r>
        <w:t xml:space="preserve"> </w:t>
      </w:r>
      <w:r w:rsidRPr="00AF5402">
        <w:t>de journalistes et de défenseurs des droits de l’homme qui ont été arrêtés</w:t>
      </w:r>
      <w:r>
        <w:t xml:space="preserve"> depuis 2005</w:t>
      </w:r>
      <w:r w:rsidRPr="00AF5402">
        <w:t xml:space="preserve">, </w:t>
      </w:r>
      <w:r>
        <w:t xml:space="preserve">ainsi que </w:t>
      </w:r>
      <w:r w:rsidRPr="00AF5402">
        <w:t xml:space="preserve">les motifs </w:t>
      </w:r>
      <w:r>
        <w:t xml:space="preserve">et les suites </w:t>
      </w:r>
      <w:r w:rsidRPr="00AF5402">
        <w:t xml:space="preserve">de leur arrestation. </w:t>
      </w:r>
      <w:r>
        <w:t xml:space="preserve">Expliquer </w:t>
      </w:r>
      <w:r w:rsidRPr="00AF5402">
        <w:t xml:space="preserve">la décision </w:t>
      </w:r>
      <w:r>
        <w:t>de</w:t>
      </w:r>
      <w:r w:rsidRPr="00AF5402">
        <w:t xml:space="preserve"> l’Autorité </w:t>
      </w:r>
      <w:r>
        <w:t xml:space="preserve">de </w:t>
      </w:r>
      <w:r w:rsidRPr="00AF5402">
        <w:t>réglementa</w:t>
      </w:r>
      <w:r>
        <w:t>tion</w:t>
      </w:r>
      <w:r w:rsidRPr="00AF5402">
        <w:t xml:space="preserve"> de</w:t>
      </w:r>
      <w:r>
        <w:t>s</w:t>
      </w:r>
      <w:r w:rsidRPr="00AF5402">
        <w:t xml:space="preserve"> communication</w:t>
      </w:r>
      <w:r>
        <w:t>s</w:t>
      </w:r>
      <w:r w:rsidRPr="00AF5402">
        <w:t xml:space="preserve"> du Malawi </w:t>
      </w:r>
      <w:r>
        <w:t>d’interdire</w:t>
      </w:r>
      <w:r w:rsidRPr="00AF5402">
        <w:t xml:space="preserve"> à toutes les stations de radio du Malawi de diffuser en direct, sans s</w:t>
      </w:r>
      <w:r>
        <w:t>on autorisation</w:t>
      </w:r>
      <w:r w:rsidRPr="00AF5402">
        <w:t xml:space="preserve">, des </w:t>
      </w:r>
      <w:r>
        <w:t xml:space="preserve">reportages sur </w:t>
      </w:r>
      <w:r w:rsidRPr="00AF5402">
        <w:t xml:space="preserve">les rassemblements de l’opposition pendant la période </w:t>
      </w:r>
      <w:r>
        <w:t>précédant</w:t>
      </w:r>
      <w:r w:rsidRPr="00AF5402">
        <w:t xml:space="preserve"> les élections de 2009. Donner également des informations sur les motifs de la fermeture par la police de </w:t>
      </w:r>
      <w:r>
        <w:t>la station</w:t>
      </w:r>
      <w:r w:rsidRPr="00AF5402">
        <w:t xml:space="preserve"> privé</w:t>
      </w:r>
      <w:r>
        <w:t>e</w:t>
      </w:r>
      <w:r w:rsidRPr="00AF5402">
        <w:t xml:space="preserve"> Joy</w:t>
      </w:r>
      <w:r w:rsidR="00946A65">
        <w:t> </w:t>
      </w:r>
      <w:r w:rsidRPr="00AF5402">
        <w:t>Radio le jour du scrutin, le 19</w:t>
      </w:r>
      <w:r w:rsidR="00020C3E">
        <w:t> </w:t>
      </w:r>
      <w:r w:rsidRPr="00AF5402">
        <w:t>mai 2009</w:t>
      </w:r>
      <w:r>
        <w:t>.</w:t>
      </w:r>
    </w:p>
    <w:p w:rsidR="00737C07" w:rsidRPr="00AF5402" w:rsidRDefault="00737C07" w:rsidP="00737C07">
      <w:pPr>
        <w:pStyle w:val="ParNoG"/>
      </w:pPr>
      <w:r w:rsidRPr="00AF5402">
        <w:t xml:space="preserve">Donner des informations sur le nombre de personnes arrêtées </w:t>
      </w:r>
      <w:r>
        <w:t xml:space="preserve">depuis 2005 </w:t>
      </w:r>
      <w:r w:rsidRPr="00AF5402">
        <w:t xml:space="preserve">pour avoir </w:t>
      </w:r>
      <w:r>
        <w:t>eu ou exprimé</w:t>
      </w:r>
      <w:r w:rsidRPr="00AF5402">
        <w:t xml:space="preserve"> des opinions politiques. En outre, indiquer s’il est prévu de modifier le Code pénal </w:t>
      </w:r>
      <w:r>
        <w:t>pour</w:t>
      </w:r>
      <w:r w:rsidRPr="00AF5402">
        <w:t xml:space="preserve"> interdire l’utilisation du travail forcé ou obligatoire </w:t>
      </w:r>
      <w:r>
        <w:t xml:space="preserve">comme châtiment </w:t>
      </w:r>
      <w:r w:rsidRPr="00AF5402">
        <w:t xml:space="preserve">pour avoir </w:t>
      </w:r>
      <w:r>
        <w:t xml:space="preserve">eu ou </w:t>
      </w:r>
      <w:r w:rsidRPr="00AF5402">
        <w:t xml:space="preserve">manifesté des opinions </w:t>
      </w:r>
      <w:r>
        <w:t xml:space="preserve">politiques allant à l’encontre de </w:t>
      </w:r>
      <w:r w:rsidRPr="00AF5402">
        <w:t>l’ordre politique, social ou économique établi.</w:t>
      </w:r>
    </w:p>
    <w:p w:rsidR="00737C07" w:rsidRPr="00AF5402" w:rsidRDefault="00737C07" w:rsidP="00737C07">
      <w:pPr>
        <w:pStyle w:val="H1G"/>
        <w:spacing w:before="300" w:after="200"/>
      </w:pPr>
      <w:r>
        <w:tab/>
      </w:r>
      <w:r>
        <w:tab/>
      </w:r>
      <w:r w:rsidRPr="00AF5402">
        <w:t>Liberté de réunion et d’association (art.</w:t>
      </w:r>
      <w:r>
        <w:t xml:space="preserve"> 21 et</w:t>
      </w:r>
      <w:r w:rsidRPr="00AF5402">
        <w:t xml:space="preserve"> 22)</w:t>
      </w:r>
    </w:p>
    <w:p w:rsidR="00737C07" w:rsidRPr="002A74DA" w:rsidRDefault="00737C07" w:rsidP="00737C07">
      <w:pPr>
        <w:pStyle w:val="ParNoG"/>
        <w:rPr>
          <w:spacing w:val="-1"/>
        </w:rPr>
      </w:pPr>
      <w:r w:rsidRPr="002A74DA">
        <w:rPr>
          <w:spacing w:val="-1"/>
        </w:rPr>
        <w:t>Donner des informations sur les restrictions législatives au droit de réunion pacifique, y compris sur les critères d’interdiction des réunions, ainsi que sur tous les cas d’interdiction de réunions ou de manifestations enregistrés depuis 2005 et les raisons invoquées.</w:t>
      </w:r>
    </w:p>
    <w:p w:rsidR="00737C07" w:rsidRPr="00AF5402" w:rsidRDefault="00737C07" w:rsidP="00737C07">
      <w:pPr>
        <w:pStyle w:val="H1G"/>
        <w:spacing w:before="300" w:after="200"/>
      </w:pPr>
      <w:r>
        <w:tab/>
      </w:r>
      <w:r>
        <w:tab/>
      </w:r>
      <w:r w:rsidRPr="00AF5402">
        <w:t xml:space="preserve">Liberté de </w:t>
      </w:r>
      <w:r>
        <w:t>circulation</w:t>
      </w:r>
      <w:r w:rsidRPr="00AF5402">
        <w:t xml:space="preserve">, mariage, famille et mesures </w:t>
      </w:r>
      <w:r>
        <w:t>de protection</w:t>
      </w:r>
      <w:r w:rsidR="00653580">
        <w:t xml:space="preserve"> </w:t>
      </w:r>
      <w:r>
        <w:br/>
      </w:r>
      <w:r w:rsidRPr="00AF5402">
        <w:t>des mineurs (art. 12, 23 et 24)</w:t>
      </w:r>
    </w:p>
    <w:p w:rsidR="00737C07" w:rsidRDefault="00737C07" w:rsidP="00737C07">
      <w:pPr>
        <w:pStyle w:val="ParNoG"/>
      </w:pPr>
      <w:r w:rsidRPr="00AF5402">
        <w:t xml:space="preserve">Donner des informations sur l’état d’avancement </w:t>
      </w:r>
      <w:r>
        <w:t>du projet d’amendement</w:t>
      </w:r>
      <w:r w:rsidRPr="00AF5402">
        <w:t xml:space="preserve"> </w:t>
      </w:r>
      <w:r>
        <w:t>de C</w:t>
      </w:r>
      <w:r w:rsidRPr="00AF5402">
        <w:t>ode pénal et</w:t>
      </w:r>
      <w:r>
        <w:t xml:space="preserve"> </w:t>
      </w:r>
      <w:r w:rsidRPr="00AF5402">
        <w:t xml:space="preserve">de la loi </w:t>
      </w:r>
      <w:r>
        <w:t>sur</w:t>
      </w:r>
      <w:r w:rsidRPr="00AF5402">
        <w:t xml:space="preserve"> l’enfance (soins, protection et justice)</w:t>
      </w:r>
      <w:r>
        <w:t>. Les châtiments corporels sont</w:t>
      </w:r>
      <w:r w:rsidR="00D729C0">
        <w:noBreakHyphen/>
      </w:r>
      <w:r w:rsidRPr="00AF5402">
        <w:t xml:space="preserve">ils interdits </w:t>
      </w:r>
      <w:r>
        <w:t xml:space="preserve">par </w:t>
      </w:r>
      <w:r w:rsidRPr="00AF5402">
        <w:t xml:space="preserve">la loi dans tous les </w:t>
      </w:r>
      <w:r>
        <w:t>contextes</w:t>
      </w:r>
      <w:r w:rsidRPr="00AF5402">
        <w:t xml:space="preserve">? Quelles mesures sont prises pour garantir </w:t>
      </w:r>
      <w:r>
        <w:t>le non</w:t>
      </w:r>
      <w:r>
        <w:noBreakHyphen/>
        <w:t>recours</w:t>
      </w:r>
      <w:r w:rsidRPr="00AF5402">
        <w:t xml:space="preserve"> aux châtiments corporels dans la pratique? Donner également des informations sur les mesures prises pour prévenir les sévices sexuels sur les enfants et poursuivre et </w:t>
      </w:r>
      <w:r>
        <w:t>punir</w:t>
      </w:r>
      <w:r w:rsidRPr="00AF5402">
        <w:t xml:space="preserve"> les coupables. Quelles mesures l’État partie prend-il pour interdire et prévenir les mutilations génitales féminines?</w:t>
      </w:r>
    </w:p>
    <w:p w:rsidR="00737C07" w:rsidRPr="00AF5402" w:rsidRDefault="00737C07" w:rsidP="00737C07">
      <w:pPr>
        <w:pStyle w:val="ParNoG"/>
      </w:pPr>
      <w:r w:rsidRPr="00AF5402">
        <w:t xml:space="preserve">Indiquer si d’autres </w:t>
      </w:r>
      <w:r>
        <w:t>modifications sont prévues</w:t>
      </w:r>
      <w:r w:rsidRPr="00AF5402">
        <w:t xml:space="preserve"> au projet de loi sur l’enfance (soins, protection et justice), afin de relever l’âge minimum de la responsabilité pénale. Donner</w:t>
      </w:r>
      <w:r w:rsidR="00FA7A09">
        <w:t> </w:t>
      </w:r>
      <w:r w:rsidRPr="00AF5402">
        <w:t xml:space="preserve">des informations sur les mesures prises pour élaborer et mettre en œuvre des mesures </w:t>
      </w:r>
      <w:r>
        <w:t>de substitution</w:t>
      </w:r>
      <w:r w:rsidRPr="00AF5402">
        <w:t xml:space="preserve"> aux peines </w:t>
      </w:r>
      <w:r>
        <w:t>privatives de liberté</w:t>
      </w:r>
      <w:r w:rsidRPr="00AF5402">
        <w:t xml:space="preserve"> pour les mineurs.</w:t>
      </w:r>
    </w:p>
    <w:p w:rsidR="00737C07" w:rsidRPr="00AF5402" w:rsidRDefault="00737C07" w:rsidP="00737C07">
      <w:pPr>
        <w:pStyle w:val="ParNoG"/>
      </w:pPr>
      <w:r w:rsidRPr="00AF5402">
        <w:t xml:space="preserve">Donner des informations sur les mesures prises pour éliminer le travail et </w:t>
      </w:r>
      <w:r>
        <w:t>l’</w:t>
      </w:r>
      <w:r w:rsidRPr="00AF5402">
        <w:t>exploitation économique</w:t>
      </w:r>
      <w:r>
        <w:t xml:space="preserve"> des enfants</w:t>
      </w:r>
      <w:r w:rsidRPr="00AF5402">
        <w:t xml:space="preserve">, en particulier dans les </w:t>
      </w:r>
      <w:r>
        <w:t>plantations de tabac, les exploitations familiales et le travail de maison</w:t>
      </w:r>
      <w:r w:rsidRPr="00AF5402">
        <w:t xml:space="preserve">. Indiquer également si des mesures législatives sont envisagées pour </w:t>
      </w:r>
      <w:r>
        <w:t>interdire</w:t>
      </w:r>
      <w:r w:rsidRPr="00AF5402">
        <w:t xml:space="preserve"> l’utilisation, le recrutement ou l’offre d</w:t>
      </w:r>
      <w:r>
        <w:t xml:space="preserve">e personnes de </w:t>
      </w:r>
      <w:r w:rsidRPr="00AF5402">
        <w:t>moins de 18 ans à des fins de prostitution ou de pornographie.</w:t>
      </w:r>
    </w:p>
    <w:p w:rsidR="00737C07" w:rsidRPr="00AF5402" w:rsidRDefault="00737C07" w:rsidP="00737C07">
      <w:pPr>
        <w:pStyle w:val="H1G"/>
        <w:spacing w:before="300" w:after="200"/>
      </w:pPr>
      <w:r>
        <w:tab/>
      </w:r>
      <w:r>
        <w:tab/>
      </w:r>
      <w:r w:rsidRPr="00AF5402">
        <w:t>Droit de prendre part à la direction des affaires publiques (art. 25)</w:t>
      </w:r>
    </w:p>
    <w:p w:rsidR="00737C07" w:rsidRPr="00AF5402" w:rsidRDefault="00737C07" w:rsidP="00737C07">
      <w:pPr>
        <w:pStyle w:val="ParNoG"/>
      </w:pPr>
      <w:r>
        <w:t xml:space="preserve">Expliquer pourquoi </w:t>
      </w:r>
      <w:r w:rsidRPr="00AF5402">
        <w:t xml:space="preserve">des élections locales ont </w:t>
      </w:r>
      <w:r>
        <w:t>été organisées</w:t>
      </w:r>
      <w:r w:rsidRPr="00AF5402">
        <w:t xml:space="preserve"> une </w:t>
      </w:r>
      <w:r>
        <w:t xml:space="preserve">seule </w:t>
      </w:r>
      <w:r w:rsidRPr="00AF5402">
        <w:t>fois depuis 1995 alors que la loi sur les élections locales dispose qu</w:t>
      </w:r>
      <w:r>
        <w:t>’</w:t>
      </w:r>
      <w:r w:rsidRPr="00AF5402">
        <w:t>e</w:t>
      </w:r>
      <w:r>
        <w:t xml:space="preserve">lles </w:t>
      </w:r>
      <w:r w:rsidRPr="00AF5402">
        <w:t>doivent avoir lieu tous les cinq</w:t>
      </w:r>
      <w:r w:rsidR="00375D56">
        <w:t> </w:t>
      </w:r>
      <w:r w:rsidRPr="00AF5402">
        <w:t>ans</w:t>
      </w:r>
      <w:r>
        <w:t>,</w:t>
      </w:r>
      <w:r w:rsidRPr="00AF5402">
        <w:t xml:space="preserve"> et indiquer la date prévue pour les prochaines élections locales. </w:t>
      </w:r>
    </w:p>
    <w:p w:rsidR="00737C07" w:rsidRPr="00AF5402" w:rsidRDefault="00737C07" w:rsidP="00737C07">
      <w:pPr>
        <w:pStyle w:val="H1G"/>
      </w:pPr>
      <w:r>
        <w:tab/>
      </w:r>
      <w:r>
        <w:tab/>
      </w:r>
      <w:r w:rsidRPr="00AF5402">
        <w:t>Droit des personnes appartenant à des minorités (art. 27)</w:t>
      </w:r>
    </w:p>
    <w:p w:rsidR="00737C07" w:rsidRDefault="00737C07" w:rsidP="00737C07">
      <w:pPr>
        <w:pStyle w:val="ParNoG"/>
      </w:pPr>
      <w:r w:rsidRPr="00AF5402">
        <w:t xml:space="preserve">Donner des informations sur les minorités ethniques, religieuses ou linguistiques qui existent sur le territoire de l’État partie, et </w:t>
      </w:r>
      <w:r>
        <w:t xml:space="preserve">préciser </w:t>
      </w:r>
      <w:r w:rsidRPr="00AF5402">
        <w:t xml:space="preserve">quelles mesures, y compris les mesures positives de protection, ont été prises pour garantir que les membres de ces minorités jouissent du droit, </w:t>
      </w:r>
      <w:r>
        <w:t xml:space="preserve">en commun </w:t>
      </w:r>
      <w:r w:rsidRPr="00AF5402">
        <w:t xml:space="preserve">avec d’autres membres de leur groupe, </w:t>
      </w:r>
      <w:r>
        <w:t xml:space="preserve">d’avoir </w:t>
      </w:r>
      <w:r w:rsidRPr="00AF5402">
        <w:t>leur propre culture, de professer et de pratiquer leur propre religion, et d’utiliser leur propre langue.</w:t>
      </w:r>
    </w:p>
    <w:p w:rsidR="00DF3BF1" w:rsidRPr="00737C07" w:rsidRDefault="00737C07" w:rsidP="00737C07">
      <w:pPr>
        <w:pStyle w:val="SingleTxtG"/>
        <w:spacing w:before="240" w:after="0"/>
        <w:jc w:val="center"/>
        <w:rPr>
          <w:u w:val="single"/>
        </w:rPr>
      </w:pPr>
      <w:r>
        <w:rPr>
          <w:u w:val="single"/>
        </w:rPr>
        <w:tab/>
      </w:r>
      <w:r>
        <w:rPr>
          <w:u w:val="single"/>
        </w:rPr>
        <w:tab/>
      </w:r>
      <w:r>
        <w:rPr>
          <w:u w:val="single"/>
        </w:rPr>
        <w:tab/>
      </w:r>
    </w:p>
    <w:sectPr w:rsidR="00DF3BF1" w:rsidRPr="00737C07" w:rsidSect="00737C0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5BB" w:rsidRDefault="00EE05BB"/>
  </w:endnote>
  <w:endnote w:type="continuationSeparator" w:id="0">
    <w:p w:rsidR="00EE05BB" w:rsidRDefault="00EE05BB"/>
  </w:endnote>
  <w:endnote w:type="continuationNotice" w:id="1">
    <w:p w:rsidR="00EE05BB" w:rsidRPr="00903B66" w:rsidRDefault="00EE05BB"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376" w:rsidRPr="00737C07" w:rsidRDefault="007E5376" w:rsidP="00737C07">
    <w:pPr>
      <w:pStyle w:val="Footer"/>
      <w:tabs>
        <w:tab w:val="right" w:pos="9638"/>
      </w:tabs>
    </w:pPr>
    <w:r w:rsidRPr="00737C07">
      <w:rPr>
        <w:b/>
        <w:sz w:val="18"/>
      </w:rPr>
      <w:fldChar w:fldCharType="begin"/>
    </w:r>
    <w:r w:rsidRPr="00737C07">
      <w:rPr>
        <w:b/>
        <w:sz w:val="18"/>
      </w:rPr>
      <w:instrText xml:space="preserve"> PAGE  \* MERGEFORMAT </w:instrText>
    </w:r>
    <w:r w:rsidRPr="00737C07">
      <w:rPr>
        <w:b/>
        <w:sz w:val="18"/>
      </w:rPr>
      <w:fldChar w:fldCharType="separate"/>
    </w:r>
    <w:r w:rsidR="008B5829">
      <w:rPr>
        <w:b/>
        <w:noProof/>
        <w:sz w:val="18"/>
      </w:rPr>
      <w:t>2</w:t>
    </w:r>
    <w:r w:rsidRPr="00737C07">
      <w:rPr>
        <w:b/>
        <w:sz w:val="18"/>
      </w:rPr>
      <w:fldChar w:fldCharType="end"/>
    </w:r>
    <w:r>
      <w:rPr>
        <w:b/>
        <w:sz w:val="18"/>
      </w:rPr>
      <w:tab/>
    </w:r>
    <w:r>
      <w:t>GE.11-44871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376" w:rsidRPr="00737C07" w:rsidRDefault="007E5376" w:rsidP="00737C07">
    <w:pPr>
      <w:pStyle w:val="Footer"/>
      <w:tabs>
        <w:tab w:val="right" w:pos="9638"/>
      </w:tabs>
      <w:rPr>
        <w:b/>
        <w:sz w:val="18"/>
      </w:rPr>
    </w:pPr>
    <w:r>
      <w:t>GE.11-44871</w:t>
    </w:r>
    <w:r>
      <w:tab/>
    </w:r>
    <w:r w:rsidRPr="00737C07">
      <w:rPr>
        <w:b/>
        <w:sz w:val="18"/>
      </w:rPr>
      <w:fldChar w:fldCharType="begin"/>
    </w:r>
    <w:r w:rsidRPr="00737C07">
      <w:rPr>
        <w:b/>
        <w:sz w:val="18"/>
      </w:rPr>
      <w:instrText xml:space="preserve"> PAGE  \* MERGEFORMAT </w:instrText>
    </w:r>
    <w:r w:rsidRPr="00737C07">
      <w:rPr>
        <w:b/>
        <w:sz w:val="18"/>
      </w:rPr>
      <w:fldChar w:fldCharType="separate"/>
    </w:r>
    <w:r w:rsidR="008B5829">
      <w:rPr>
        <w:b/>
        <w:noProof/>
        <w:sz w:val="18"/>
      </w:rPr>
      <w:t>3</w:t>
    </w:r>
    <w:r w:rsidRPr="00737C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376" w:rsidRDefault="007E5376">
    <w:pPr>
      <w:pStyle w:val="Footer"/>
    </w:pPr>
    <w:r>
      <w:rPr>
        <w:sz w:val="20"/>
      </w:rPr>
      <w:t>GE.11-44871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260813    260813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5BB" w:rsidRPr="00D27D5E" w:rsidRDefault="00EE05BB" w:rsidP="00D27D5E">
      <w:pPr>
        <w:tabs>
          <w:tab w:val="right" w:pos="2155"/>
        </w:tabs>
        <w:spacing w:after="80"/>
        <w:ind w:left="680"/>
        <w:rPr>
          <w:u w:val="single"/>
        </w:rPr>
      </w:pPr>
      <w:r>
        <w:rPr>
          <w:u w:val="single"/>
        </w:rPr>
        <w:tab/>
      </w:r>
    </w:p>
  </w:footnote>
  <w:footnote w:type="continuationSeparator" w:id="0">
    <w:p w:rsidR="00EE05BB" w:rsidRPr="00091505" w:rsidRDefault="00EE05BB" w:rsidP="00091505">
      <w:pPr>
        <w:tabs>
          <w:tab w:val="right" w:pos="2155"/>
        </w:tabs>
        <w:spacing w:after="80"/>
        <w:ind w:left="680"/>
        <w:rPr>
          <w:u w:val="single"/>
        </w:rPr>
      </w:pPr>
      <w:r w:rsidRPr="00091505">
        <w:rPr>
          <w:u w:val="single"/>
        </w:rPr>
        <w:tab/>
      </w:r>
    </w:p>
  </w:footnote>
  <w:footnote w:type="continuationNotice" w:id="1">
    <w:p w:rsidR="00EE05BB" w:rsidRPr="00903B66" w:rsidRDefault="00EE05BB"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376" w:rsidRPr="00737C07" w:rsidRDefault="007E5376">
    <w:pPr>
      <w:pStyle w:val="Header"/>
    </w:pPr>
    <w:r>
      <w:t>CCPR/C/MWI/Q/1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376" w:rsidRPr="00737C07" w:rsidRDefault="007E5376" w:rsidP="00737C07">
    <w:pPr>
      <w:pStyle w:val="Header"/>
      <w:jc w:val="right"/>
    </w:pPr>
    <w:r>
      <w:t>CCPR/C/MWI/Q/1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C4F0A2"/>
    <w:lvl w:ilvl="0">
      <w:start w:val="1"/>
      <w:numFmt w:val="decimal"/>
      <w:lvlText w:val="%1."/>
      <w:lvlJc w:val="left"/>
      <w:pPr>
        <w:tabs>
          <w:tab w:val="num" w:pos="1492"/>
        </w:tabs>
        <w:ind w:left="1492" w:hanging="360"/>
      </w:pPr>
    </w:lvl>
  </w:abstractNum>
  <w:abstractNum w:abstractNumId="1">
    <w:nsid w:val="FFFFFF7D"/>
    <w:multiLevelType w:val="singleLevel"/>
    <w:tmpl w:val="4302FBF0"/>
    <w:lvl w:ilvl="0">
      <w:start w:val="1"/>
      <w:numFmt w:val="decimal"/>
      <w:lvlText w:val="%1."/>
      <w:lvlJc w:val="left"/>
      <w:pPr>
        <w:tabs>
          <w:tab w:val="num" w:pos="1209"/>
        </w:tabs>
        <w:ind w:left="1209" w:hanging="360"/>
      </w:pPr>
    </w:lvl>
  </w:abstractNum>
  <w:abstractNum w:abstractNumId="2">
    <w:nsid w:val="FFFFFF7E"/>
    <w:multiLevelType w:val="singleLevel"/>
    <w:tmpl w:val="6D143002"/>
    <w:lvl w:ilvl="0">
      <w:start w:val="1"/>
      <w:numFmt w:val="decimal"/>
      <w:lvlText w:val="%1."/>
      <w:lvlJc w:val="left"/>
      <w:pPr>
        <w:tabs>
          <w:tab w:val="num" w:pos="926"/>
        </w:tabs>
        <w:ind w:left="926" w:hanging="360"/>
      </w:pPr>
    </w:lvl>
  </w:abstractNum>
  <w:abstractNum w:abstractNumId="3">
    <w:nsid w:val="FFFFFF7F"/>
    <w:multiLevelType w:val="singleLevel"/>
    <w:tmpl w:val="EA3A444C"/>
    <w:lvl w:ilvl="0">
      <w:start w:val="1"/>
      <w:numFmt w:val="decimal"/>
      <w:lvlText w:val="%1."/>
      <w:lvlJc w:val="left"/>
      <w:pPr>
        <w:tabs>
          <w:tab w:val="num" w:pos="643"/>
        </w:tabs>
        <w:ind w:left="643" w:hanging="360"/>
      </w:pPr>
    </w:lvl>
  </w:abstractNum>
  <w:abstractNum w:abstractNumId="4">
    <w:nsid w:val="FFFFFF80"/>
    <w:multiLevelType w:val="singleLevel"/>
    <w:tmpl w:val="36A017C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94CEB8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9C6EC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1EC474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640A3A8"/>
    <w:lvl w:ilvl="0">
      <w:start w:val="1"/>
      <w:numFmt w:val="decimal"/>
      <w:lvlText w:val="%1."/>
      <w:lvlJc w:val="left"/>
      <w:pPr>
        <w:tabs>
          <w:tab w:val="num" w:pos="360"/>
        </w:tabs>
        <w:ind w:left="360" w:hanging="360"/>
      </w:pPr>
    </w:lvl>
  </w:abstractNum>
  <w:abstractNum w:abstractNumId="9">
    <w:nsid w:val="FFFFFF89"/>
    <w:multiLevelType w:val="singleLevel"/>
    <w:tmpl w:val="FDAC4A86"/>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10"/>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6560"/>
    <w:rsid w:val="00006560"/>
    <w:rsid w:val="00016AC5"/>
    <w:rsid w:val="00020C3E"/>
    <w:rsid w:val="00091505"/>
    <w:rsid w:val="000A147A"/>
    <w:rsid w:val="000B7AA9"/>
    <w:rsid w:val="000E61F8"/>
    <w:rsid w:val="000F41F2"/>
    <w:rsid w:val="001028F4"/>
    <w:rsid w:val="00133A65"/>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A74DA"/>
    <w:rsid w:val="002E0222"/>
    <w:rsid w:val="002E1A7F"/>
    <w:rsid w:val="003016B7"/>
    <w:rsid w:val="00326067"/>
    <w:rsid w:val="003515AA"/>
    <w:rsid w:val="00366F5B"/>
    <w:rsid w:val="00374106"/>
    <w:rsid w:val="00375D56"/>
    <w:rsid w:val="003976D5"/>
    <w:rsid w:val="003D6C68"/>
    <w:rsid w:val="00413931"/>
    <w:rsid w:val="004159D0"/>
    <w:rsid w:val="00464EEE"/>
    <w:rsid w:val="00543D5E"/>
    <w:rsid w:val="00571F41"/>
    <w:rsid w:val="005E5D1F"/>
    <w:rsid w:val="005F55D5"/>
    <w:rsid w:val="00611D43"/>
    <w:rsid w:val="00612D48"/>
    <w:rsid w:val="00616B45"/>
    <w:rsid w:val="00630D9B"/>
    <w:rsid w:val="00631953"/>
    <w:rsid w:val="006439EC"/>
    <w:rsid w:val="00653580"/>
    <w:rsid w:val="006B4590"/>
    <w:rsid w:val="006C340C"/>
    <w:rsid w:val="0070347C"/>
    <w:rsid w:val="00703754"/>
    <w:rsid w:val="0071451B"/>
    <w:rsid w:val="007176C1"/>
    <w:rsid w:val="00725DC9"/>
    <w:rsid w:val="00737C07"/>
    <w:rsid w:val="00737DEE"/>
    <w:rsid w:val="00775D99"/>
    <w:rsid w:val="00796940"/>
    <w:rsid w:val="007C7846"/>
    <w:rsid w:val="007E5376"/>
    <w:rsid w:val="007F55CB"/>
    <w:rsid w:val="00844750"/>
    <w:rsid w:val="00873B3C"/>
    <w:rsid w:val="00892241"/>
    <w:rsid w:val="008A39ED"/>
    <w:rsid w:val="008B44C4"/>
    <w:rsid w:val="008B5829"/>
    <w:rsid w:val="008E7FAE"/>
    <w:rsid w:val="008F53ED"/>
    <w:rsid w:val="00903B66"/>
    <w:rsid w:val="00911BF7"/>
    <w:rsid w:val="00943FFD"/>
    <w:rsid w:val="00946A65"/>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93051"/>
    <w:rsid w:val="00BF0556"/>
    <w:rsid w:val="00BF6AF3"/>
    <w:rsid w:val="00C261F8"/>
    <w:rsid w:val="00C33100"/>
    <w:rsid w:val="00C4083C"/>
    <w:rsid w:val="00C41DC8"/>
    <w:rsid w:val="00CA6A02"/>
    <w:rsid w:val="00CB5A09"/>
    <w:rsid w:val="00CD1A71"/>
    <w:rsid w:val="00CD1FBB"/>
    <w:rsid w:val="00CD4E76"/>
    <w:rsid w:val="00CF5128"/>
    <w:rsid w:val="00D016B5"/>
    <w:rsid w:val="00D034F1"/>
    <w:rsid w:val="00D27D5E"/>
    <w:rsid w:val="00D35B2D"/>
    <w:rsid w:val="00D729C0"/>
    <w:rsid w:val="00DE6D90"/>
    <w:rsid w:val="00DF002F"/>
    <w:rsid w:val="00DF3BF1"/>
    <w:rsid w:val="00E0244D"/>
    <w:rsid w:val="00E144C5"/>
    <w:rsid w:val="00E368FF"/>
    <w:rsid w:val="00E4028E"/>
    <w:rsid w:val="00E81E94"/>
    <w:rsid w:val="00E82607"/>
    <w:rsid w:val="00EA7572"/>
    <w:rsid w:val="00EE05BB"/>
    <w:rsid w:val="00EE7986"/>
    <w:rsid w:val="00EF318A"/>
    <w:rsid w:val="00F076EF"/>
    <w:rsid w:val="00F33865"/>
    <w:rsid w:val="00F833D6"/>
    <w:rsid w:val="00FA5A79"/>
    <w:rsid w:val="00FA7A0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4</Pages>
  <Words>1857</Words>
  <Characters>10067</Characters>
  <Application>Microsoft Office Word</Application>
  <DocSecurity>4</DocSecurity>
  <Lines>165</Lines>
  <Paragraphs>59</Paragraphs>
  <ScaleCrop>false</ScaleCrop>
  <HeadingPairs>
    <vt:vector size="2" baseType="variant">
      <vt:variant>
        <vt:lpstr>Titre</vt:lpstr>
      </vt:variant>
      <vt:variant>
        <vt:i4>1</vt:i4>
      </vt:variant>
    </vt:vector>
  </HeadingPairs>
  <TitlesOfParts>
    <vt:vector size="1" baseType="lpstr">
      <vt:lpstr>CCPR/C/MWI/Q/1</vt:lpstr>
    </vt:vector>
  </TitlesOfParts>
  <Company>CSD</Company>
  <LinksUpToDate>false</LinksUpToDate>
  <CharactersWithSpaces>11865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CCPR/C/MWI/Q/1</dc:title>
  <dc:subject>FINAL CCPR</dc:subject>
  <dc:creator>N-Rossi</dc:creator>
  <cp:keywords/>
  <dc:description/>
  <cp:lastModifiedBy>N-Rossi</cp:lastModifiedBy>
  <cp:revision>2</cp:revision>
  <cp:lastPrinted>2013-08-26T16:27:00Z</cp:lastPrinted>
  <dcterms:created xsi:type="dcterms:W3CDTF">2013-08-26T16:31:00Z</dcterms:created>
  <dcterms:modified xsi:type="dcterms:W3CDTF">2013-08-26T16:31:00Z</dcterms:modified>
</cp:coreProperties>
</file>