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32196" w14:textId="77777777" w:rsidR="00483E94" w:rsidRPr="000D3C65" w:rsidRDefault="00021E86" w:rsidP="00483E94">
      <w:pPr>
        <w:spacing w:after="360"/>
        <w:jc w:val="right"/>
        <w:outlineLvl w:val="0"/>
        <w:rPr>
          <w:bCs/>
        </w:rPr>
      </w:pPr>
      <w:r w:rsidRPr="000D3C65">
        <w:rPr>
          <w:bCs/>
        </w:rPr>
        <w:t>A/80/40</w:t>
      </w:r>
    </w:p>
    <w:p w14:paraId="476C54DA" w14:textId="77777777" w:rsidR="00483E94" w:rsidRPr="000D3C65" w:rsidRDefault="001D12EC" w:rsidP="00483E94">
      <w:pPr>
        <w:ind w:left="1134"/>
      </w:pPr>
      <w:r w:rsidRPr="000D3C65">
        <w:rPr>
          <w:noProof/>
          <w:lang w:eastAsia="fr-CH"/>
        </w:rPr>
        <w:drawing>
          <wp:inline distT="0" distB="0" distL="0" distR="0" wp14:anchorId="42C3F329" wp14:editId="72544CC6">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22001579" w14:textId="77777777" w:rsidR="00483E94" w:rsidRPr="000D3C65" w:rsidRDefault="00C81366" w:rsidP="00C2512C">
      <w:pPr>
        <w:pStyle w:val="XLargeG"/>
        <w:spacing w:after="800"/>
      </w:pPr>
      <w:r w:rsidRPr="000D3C65">
        <w:t>Naciones Unidas</w:t>
      </w:r>
    </w:p>
    <w:p w14:paraId="78449A78" w14:textId="5EFB1369" w:rsidR="00483E94" w:rsidRPr="000D3C65" w:rsidRDefault="00C81366" w:rsidP="00021E86">
      <w:pPr>
        <w:pStyle w:val="STitleLG"/>
      </w:pPr>
      <w:r w:rsidRPr="000D3C65">
        <w:t>Informe</w:t>
      </w:r>
      <w:r w:rsidR="00483E94" w:rsidRPr="000D3C65">
        <w:t xml:space="preserve"> </w:t>
      </w:r>
      <w:r w:rsidR="00021E86" w:rsidRPr="000D3C65">
        <w:t>del Comité de Derechos Humanos</w:t>
      </w:r>
    </w:p>
    <w:p w14:paraId="7AE6F3C9" w14:textId="0648BAEC" w:rsidR="00483E94" w:rsidRPr="000D3C65" w:rsidRDefault="00021E86" w:rsidP="00021E86">
      <w:pPr>
        <w:pStyle w:val="STitleMG"/>
        <w:rPr>
          <w:lang w:val="es-ES"/>
        </w:rPr>
      </w:pPr>
      <w:r w:rsidRPr="000D3C65">
        <w:rPr>
          <w:lang w:val="es-ES"/>
        </w:rPr>
        <w:t>141</w:t>
      </w:r>
      <w:r w:rsidRPr="000D3C65">
        <w:rPr>
          <w:vertAlign w:val="superscript"/>
          <w:lang w:val="es-ES"/>
        </w:rPr>
        <w:t>er</w:t>
      </w:r>
      <w:r w:rsidRPr="000D3C65">
        <w:rPr>
          <w:lang w:val="es-ES"/>
        </w:rPr>
        <w:t xml:space="preserve"> período de sesiones</w:t>
      </w:r>
    </w:p>
    <w:p w14:paraId="09237284" w14:textId="5F5D1829" w:rsidR="00D944F3" w:rsidRPr="000D3C65" w:rsidRDefault="00483E94" w:rsidP="007D5DC9">
      <w:pPr>
        <w:pStyle w:val="STitleMG"/>
        <w:spacing w:after="120"/>
        <w:rPr>
          <w:lang w:val="es-ES"/>
        </w:rPr>
      </w:pPr>
      <w:r w:rsidRPr="000D3C65">
        <w:rPr>
          <w:lang w:val="es-ES"/>
        </w:rPr>
        <w:t>(</w:t>
      </w:r>
      <w:r w:rsidR="00021E86" w:rsidRPr="000D3C65">
        <w:rPr>
          <w:lang w:val="es-ES"/>
        </w:rPr>
        <w:t>1 a 23 de julio de 2024</w:t>
      </w:r>
      <w:r w:rsidRPr="000D3C65">
        <w:rPr>
          <w:lang w:val="es-ES"/>
        </w:rPr>
        <w:t>)</w:t>
      </w:r>
    </w:p>
    <w:p w14:paraId="75762CE0" w14:textId="18A90A00" w:rsidR="00021E86" w:rsidRPr="000D3C65" w:rsidRDefault="00021E86" w:rsidP="00021E86">
      <w:pPr>
        <w:pStyle w:val="STitleMG"/>
        <w:rPr>
          <w:lang w:val="es-ES"/>
        </w:rPr>
      </w:pPr>
      <w:r w:rsidRPr="000D3C65">
        <w:rPr>
          <w:lang w:val="es-ES"/>
        </w:rPr>
        <w:t>142º período de sesiones</w:t>
      </w:r>
    </w:p>
    <w:p w14:paraId="0F9BAFF8" w14:textId="7386533E" w:rsidR="00021E86" w:rsidRPr="000D3C65" w:rsidRDefault="00021E86" w:rsidP="007D5DC9">
      <w:pPr>
        <w:pStyle w:val="STitleMG"/>
        <w:spacing w:after="120"/>
        <w:rPr>
          <w:lang w:val="es-ES"/>
        </w:rPr>
      </w:pPr>
      <w:r w:rsidRPr="000D3C65">
        <w:rPr>
          <w:lang w:val="es-ES"/>
        </w:rPr>
        <w:t>(14 de octubre a 7 de noviembre de 2024)</w:t>
      </w:r>
    </w:p>
    <w:p w14:paraId="25AB60A5" w14:textId="78321F8D" w:rsidR="00021E86" w:rsidRPr="000D3C65" w:rsidRDefault="00021E86" w:rsidP="00021E86">
      <w:pPr>
        <w:pStyle w:val="STitleMG"/>
        <w:rPr>
          <w:lang w:val="es-ES"/>
        </w:rPr>
      </w:pPr>
      <w:r w:rsidRPr="000D3C65">
        <w:rPr>
          <w:lang w:val="es-ES"/>
        </w:rPr>
        <w:t>143</w:t>
      </w:r>
      <w:r w:rsidRPr="000D3C65">
        <w:rPr>
          <w:vertAlign w:val="superscript"/>
          <w:lang w:val="es-ES"/>
        </w:rPr>
        <w:t>er</w:t>
      </w:r>
      <w:r w:rsidRPr="000D3C65">
        <w:rPr>
          <w:lang w:val="es-ES"/>
        </w:rPr>
        <w:t xml:space="preserve"> período de sesiones</w:t>
      </w:r>
    </w:p>
    <w:p w14:paraId="2D76FF84" w14:textId="4030EA4A" w:rsidR="00021E86" w:rsidRPr="000D3C65" w:rsidRDefault="00021E86" w:rsidP="00021E86">
      <w:pPr>
        <w:pStyle w:val="STitleMG"/>
        <w:rPr>
          <w:lang w:val="es-ES"/>
        </w:rPr>
      </w:pPr>
      <w:r w:rsidRPr="000D3C65">
        <w:rPr>
          <w:lang w:val="es-ES"/>
        </w:rPr>
        <w:t>(3 a 28 de marzo de 2025)</w:t>
      </w:r>
    </w:p>
    <w:p w14:paraId="2FECD53F" w14:textId="77777777" w:rsidR="00483E94" w:rsidRPr="000D3C65" w:rsidRDefault="00C81366" w:rsidP="00FC4149">
      <w:pPr>
        <w:pStyle w:val="XLargeG"/>
        <w:spacing w:before="4000"/>
      </w:pPr>
      <w:r w:rsidRPr="000D3C65">
        <w:t>Asamblea General</w:t>
      </w:r>
    </w:p>
    <w:p w14:paraId="2BBD9A92" w14:textId="1C81F9DE" w:rsidR="003D346F" w:rsidRPr="000D3C65" w:rsidRDefault="00C81366" w:rsidP="00021E86">
      <w:pPr>
        <w:pStyle w:val="HChG"/>
        <w:tabs>
          <w:tab w:val="clear" w:pos="851"/>
        </w:tabs>
        <w:spacing w:before="0" w:after="0"/>
        <w:ind w:firstLine="0"/>
      </w:pPr>
      <w:r w:rsidRPr="000D3C65">
        <w:t>Documentos oficiales</w:t>
      </w:r>
      <w:r w:rsidR="00FC4149" w:rsidRPr="000D3C65">
        <w:br/>
      </w:r>
      <w:r w:rsidR="00021E86" w:rsidRPr="000D3C65">
        <w:t>Octogésimo</w:t>
      </w:r>
      <w:r w:rsidR="00483E94" w:rsidRPr="000D3C65">
        <w:t xml:space="preserve"> </w:t>
      </w:r>
      <w:r w:rsidRPr="000D3C65">
        <w:t>período de sesiones</w:t>
      </w:r>
      <w:r w:rsidR="00FC4149" w:rsidRPr="000D3C65">
        <w:br/>
      </w:r>
      <w:r w:rsidRPr="000D3C65">
        <w:t>Suplemento n</w:t>
      </w:r>
      <w:r w:rsidR="009040DE" w:rsidRPr="000D3C65">
        <w:t>ú</w:t>
      </w:r>
      <w:r w:rsidRPr="000D3C65">
        <w:t>m</w:t>
      </w:r>
      <w:r w:rsidR="009040DE" w:rsidRPr="000D3C65">
        <w:t>.</w:t>
      </w:r>
      <w:r w:rsidR="00483E94" w:rsidRPr="000D3C65">
        <w:t xml:space="preserve"> </w:t>
      </w:r>
      <w:r w:rsidR="00021E86" w:rsidRPr="000D3C65">
        <w:t>40</w:t>
      </w:r>
      <w:r w:rsidR="00FB1C8F" w:rsidRPr="000D3C65">
        <w:t xml:space="preserve"> </w:t>
      </w:r>
      <w:r w:rsidR="00483E94" w:rsidRPr="000D3C65">
        <w:t>(</w:t>
      </w:r>
      <w:r w:rsidR="00021E86" w:rsidRPr="000D3C65">
        <w:t>A/80/40</w:t>
      </w:r>
      <w:r w:rsidR="00483E94" w:rsidRPr="000D3C65">
        <w:t>)</w:t>
      </w:r>
    </w:p>
    <w:p w14:paraId="23DF8DDC" w14:textId="77777777" w:rsidR="003D346F" w:rsidRPr="000D3C65" w:rsidRDefault="003D346F">
      <w:pPr>
        <w:suppressAutoHyphens w:val="0"/>
        <w:kinsoku/>
        <w:overflowPunct/>
        <w:autoSpaceDE/>
        <w:autoSpaceDN/>
        <w:adjustRightInd/>
        <w:snapToGrid/>
        <w:spacing w:line="240" w:lineRule="auto"/>
        <w:rPr>
          <w:b/>
          <w:sz w:val="28"/>
          <w:szCs w:val="28"/>
        </w:rPr>
      </w:pPr>
      <w:r w:rsidRPr="000D3C65">
        <w:rPr>
          <w:b/>
          <w:sz w:val="28"/>
          <w:szCs w:val="28"/>
        </w:rPr>
        <w:br w:type="page"/>
      </w:r>
    </w:p>
    <w:p w14:paraId="5251FAF3" w14:textId="77777777" w:rsidR="00483E94" w:rsidRPr="000D3C65" w:rsidRDefault="00483E94" w:rsidP="003D346F"/>
    <w:p w14:paraId="2E1527CD" w14:textId="77777777" w:rsidR="00483E94" w:rsidRPr="000D3C65" w:rsidRDefault="00483E94" w:rsidP="00C451B9">
      <w:pPr>
        <w:sectPr w:rsidR="00483E94" w:rsidRPr="000D3C65" w:rsidSect="00021E86">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0D3C65" w14:paraId="2DDE05E8" w14:textId="77777777" w:rsidTr="00D944F3">
        <w:tc>
          <w:tcPr>
            <w:tcW w:w="4814" w:type="dxa"/>
          </w:tcPr>
          <w:p w14:paraId="7CA4B00C" w14:textId="77777777" w:rsidR="00C81366" w:rsidRPr="000D3C65" w:rsidRDefault="00C81366" w:rsidP="00C81366">
            <w:pPr>
              <w:rPr>
                <w:b/>
                <w:sz w:val="24"/>
                <w:szCs w:val="24"/>
              </w:rPr>
            </w:pPr>
            <w:r w:rsidRPr="000D3C65">
              <w:rPr>
                <w:b/>
                <w:sz w:val="24"/>
                <w:szCs w:val="24"/>
              </w:rPr>
              <w:lastRenderedPageBreak/>
              <w:t>Asamblea general</w:t>
            </w:r>
          </w:p>
          <w:p w14:paraId="5502AEA0" w14:textId="77777777" w:rsidR="00C81366" w:rsidRPr="000D3C65" w:rsidRDefault="00C81366" w:rsidP="00C81366">
            <w:pPr>
              <w:rPr>
                <w:sz w:val="24"/>
                <w:szCs w:val="24"/>
              </w:rPr>
            </w:pPr>
            <w:r w:rsidRPr="000D3C65">
              <w:rPr>
                <w:sz w:val="24"/>
                <w:szCs w:val="24"/>
              </w:rPr>
              <w:t>Documentos Oficiales</w:t>
            </w:r>
          </w:p>
          <w:p w14:paraId="62F20A1D" w14:textId="22C56885" w:rsidR="00C81366" w:rsidRPr="000D3C65" w:rsidRDefault="00021E86" w:rsidP="00021E86">
            <w:pPr>
              <w:rPr>
                <w:sz w:val="24"/>
                <w:szCs w:val="24"/>
              </w:rPr>
            </w:pPr>
            <w:r w:rsidRPr="000D3C65">
              <w:rPr>
                <w:sz w:val="24"/>
                <w:szCs w:val="24"/>
              </w:rPr>
              <w:t>Octogésimo</w:t>
            </w:r>
            <w:r w:rsidR="00C81366" w:rsidRPr="000D3C65">
              <w:rPr>
                <w:sz w:val="24"/>
                <w:szCs w:val="24"/>
              </w:rPr>
              <w:t xml:space="preserve"> período de sesiones</w:t>
            </w:r>
          </w:p>
          <w:p w14:paraId="7A7ADA24" w14:textId="73A32E9C" w:rsidR="00D944F3" w:rsidRPr="000D3C65" w:rsidRDefault="00C81366" w:rsidP="00021E86">
            <w:r w:rsidRPr="000D3C65">
              <w:rPr>
                <w:sz w:val="24"/>
                <w:szCs w:val="24"/>
              </w:rPr>
              <w:t xml:space="preserve">Suplemento núm. </w:t>
            </w:r>
            <w:r w:rsidR="00021E86" w:rsidRPr="000D3C65">
              <w:rPr>
                <w:sz w:val="24"/>
                <w:szCs w:val="24"/>
              </w:rPr>
              <w:t>40</w:t>
            </w:r>
          </w:p>
        </w:tc>
        <w:tc>
          <w:tcPr>
            <w:tcW w:w="4815" w:type="dxa"/>
          </w:tcPr>
          <w:p w14:paraId="560F8E96" w14:textId="77777777" w:rsidR="00D944F3" w:rsidRPr="000D3C65" w:rsidRDefault="00021E86" w:rsidP="00D944F3">
            <w:pPr>
              <w:jc w:val="right"/>
            </w:pPr>
            <w:r w:rsidRPr="000D3C65">
              <w:rPr>
                <w:bCs/>
              </w:rPr>
              <w:t>A/80/40</w:t>
            </w:r>
          </w:p>
        </w:tc>
      </w:tr>
    </w:tbl>
    <w:p w14:paraId="399560F6" w14:textId="2EFDD69E" w:rsidR="00541BE4" w:rsidRPr="000D3C65" w:rsidRDefault="00C81366" w:rsidP="00021E86">
      <w:pPr>
        <w:pStyle w:val="SMG"/>
        <w:spacing w:before="1134" w:after="480"/>
        <w:rPr>
          <w:szCs w:val="40"/>
        </w:rPr>
      </w:pPr>
      <w:r w:rsidRPr="000D3C65">
        <w:t>Informe</w:t>
      </w:r>
      <w:r w:rsidR="00541BE4" w:rsidRPr="000D3C65">
        <w:t xml:space="preserve"> </w:t>
      </w:r>
      <w:r w:rsidR="00021E86" w:rsidRPr="000D3C65">
        <w:t>del Comité de Derechos Humanos</w:t>
      </w:r>
    </w:p>
    <w:p w14:paraId="349DEF71" w14:textId="77777777" w:rsidR="00021E86" w:rsidRPr="000D3C65" w:rsidRDefault="00021E86" w:rsidP="007D5DC9">
      <w:pPr>
        <w:pStyle w:val="SSG"/>
        <w:spacing w:after="120"/>
      </w:pPr>
      <w:r w:rsidRPr="000D3C65">
        <w:t>141</w:t>
      </w:r>
      <w:r w:rsidRPr="000D3C65">
        <w:rPr>
          <w:vertAlign w:val="superscript"/>
        </w:rPr>
        <w:t>er</w:t>
      </w:r>
      <w:r w:rsidRPr="000D3C65">
        <w:t xml:space="preserve"> período de sesiones</w:t>
      </w:r>
      <w:r w:rsidRPr="000D3C65">
        <w:br/>
        <w:t>(1 a 23 de julio de 2024)</w:t>
      </w:r>
    </w:p>
    <w:p w14:paraId="29F79DFD" w14:textId="77777777" w:rsidR="00021E86" w:rsidRPr="000D3C65" w:rsidRDefault="00021E86" w:rsidP="007D5DC9">
      <w:pPr>
        <w:pStyle w:val="SSG"/>
        <w:spacing w:after="120"/>
      </w:pPr>
      <w:r w:rsidRPr="000D3C65">
        <w:t>142º período de sesiones</w:t>
      </w:r>
      <w:r w:rsidRPr="000D3C65">
        <w:br/>
        <w:t>(14 de octubre a 7 de noviembre de 2024)</w:t>
      </w:r>
    </w:p>
    <w:p w14:paraId="785781E0" w14:textId="2605E1FB" w:rsidR="00541BE4" w:rsidRPr="000D3C65" w:rsidRDefault="00021E86" w:rsidP="00021E86">
      <w:pPr>
        <w:pStyle w:val="SSG"/>
      </w:pPr>
      <w:r w:rsidRPr="000D3C65">
        <w:rPr>
          <w:bCs/>
        </w:rPr>
        <w:t>143</w:t>
      </w:r>
      <w:r w:rsidRPr="000D3C65">
        <w:rPr>
          <w:bCs/>
          <w:vertAlign w:val="superscript"/>
        </w:rPr>
        <w:t>er</w:t>
      </w:r>
      <w:r w:rsidRPr="000D3C65">
        <w:rPr>
          <w:bCs/>
        </w:rPr>
        <w:t xml:space="preserve"> período de sesiones</w:t>
      </w:r>
      <w:r w:rsidRPr="000D3C65">
        <w:rPr>
          <w:bCs/>
        </w:rPr>
        <w:br/>
        <w:t>(3 a 28 de marzo de 2025</w:t>
      </w:r>
      <w:r w:rsidRPr="000D3C65">
        <w:t>)</w:t>
      </w:r>
    </w:p>
    <w:p w14:paraId="501E68E2" w14:textId="27CE1D75" w:rsidR="00DF4D0D" w:rsidRPr="000D3C65" w:rsidRDefault="001D12EC" w:rsidP="00BF2362">
      <w:pPr>
        <w:spacing w:before="6400"/>
        <w:ind w:left="1134"/>
        <w:outlineLvl w:val="0"/>
      </w:pPr>
      <w:r w:rsidRPr="000D3C65">
        <w:rPr>
          <w:noProof/>
          <w:lang w:eastAsia="fr-CH"/>
        </w:rPr>
        <w:drawing>
          <wp:inline distT="0" distB="0" distL="0" distR="0" wp14:anchorId="0AB13C83" wp14:editId="4C6B12F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39AA7F58" w14:textId="3A0BBAF4" w:rsidR="00541BE4" w:rsidRPr="000D3C65" w:rsidRDefault="00C81366" w:rsidP="00541BE4">
      <w:pPr>
        <w:ind w:left="1134"/>
        <w:outlineLvl w:val="0"/>
        <w:rPr>
          <w:bCs/>
          <w:sz w:val="24"/>
          <w:szCs w:val="24"/>
        </w:rPr>
      </w:pPr>
      <w:r w:rsidRPr="000D3C65">
        <w:rPr>
          <w:bCs/>
          <w:noProof/>
          <w:sz w:val="28"/>
        </w:rPr>
        <w:t>Naciones Unidas</w:t>
      </w:r>
      <w:r w:rsidR="00541BE4" w:rsidRPr="000D3C65">
        <w:rPr>
          <w:bCs/>
          <w:sz w:val="28"/>
        </w:rPr>
        <w:t xml:space="preserve"> • </w:t>
      </w:r>
      <w:r w:rsidRPr="000D3C65">
        <w:rPr>
          <w:bCs/>
          <w:sz w:val="28"/>
        </w:rPr>
        <w:t>Nueva York</w:t>
      </w:r>
      <w:r w:rsidR="00541BE4" w:rsidRPr="000D3C65">
        <w:rPr>
          <w:bCs/>
          <w:sz w:val="28"/>
        </w:rPr>
        <w:t xml:space="preserve">, </w:t>
      </w:r>
      <w:r w:rsidR="00021E86" w:rsidRPr="000D3C65">
        <w:rPr>
          <w:bCs/>
          <w:sz w:val="28"/>
        </w:rPr>
        <w:t>2025</w:t>
      </w:r>
    </w:p>
    <w:p w14:paraId="5CE41341" w14:textId="77777777" w:rsidR="007B0ECA" w:rsidRPr="000D3C65" w:rsidRDefault="00541BE4" w:rsidP="00541BE4">
      <w:pPr>
        <w:spacing w:before="4800" w:after="120"/>
        <w:ind w:left="1134"/>
      </w:pPr>
      <w:r w:rsidRPr="000D3C65">
        <w:br w:type="page"/>
      </w:r>
    </w:p>
    <w:p w14:paraId="34C39EF9" w14:textId="77777777" w:rsidR="007B0ECA" w:rsidRPr="000D3C65" w:rsidRDefault="007B0ECA" w:rsidP="005813E3">
      <w:pPr>
        <w:tabs>
          <w:tab w:val="left" w:pos="2035"/>
        </w:tabs>
        <w:spacing w:before="4800" w:after="120"/>
        <w:ind w:left="1134" w:firstLine="567"/>
      </w:pPr>
    </w:p>
    <w:p w14:paraId="4FB681AF" w14:textId="77777777" w:rsidR="00541BE4" w:rsidRPr="000D3C65" w:rsidRDefault="00541BE4" w:rsidP="007B0ECA">
      <w:pPr>
        <w:spacing w:before="1400" w:after="120"/>
        <w:ind w:left="1134"/>
        <w:rPr>
          <w:i/>
        </w:rPr>
      </w:pPr>
      <w:r w:rsidRPr="000D3C65">
        <w:rPr>
          <w:i/>
        </w:rPr>
        <w:t>Not</w:t>
      </w:r>
      <w:r w:rsidR="00C81366" w:rsidRPr="000D3C65">
        <w:rPr>
          <w:i/>
        </w:rPr>
        <w:t>a</w:t>
      </w:r>
    </w:p>
    <w:p w14:paraId="51E01D2B" w14:textId="1DCBD2AA" w:rsidR="00021E86" w:rsidRPr="000D3C65" w:rsidRDefault="00C81366" w:rsidP="00021E86">
      <w:pPr>
        <w:pStyle w:val="SingleTxtG"/>
        <w:ind w:firstLine="567"/>
        <w:rPr>
          <w:bCs/>
        </w:rPr>
      </w:pPr>
      <w:r w:rsidRPr="000D3C65">
        <w:t>Las signaturas de los documentos de las Naciones Unidas se componen de letras y cifras. La mención de una de tales signaturas indica que se hace referencia a un documento de las Naciones Unidas</w:t>
      </w:r>
      <w:r w:rsidRPr="000D3C65">
        <w:rPr>
          <w:bCs/>
        </w:rPr>
        <w:t>.</w:t>
      </w:r>
    </w:p>
    <w:p w14:paraId="7C173CF4" w14:textId="7D6411CB" w:rsidR="00021E86" w:rsidRPr="000D3C65" w:rsidRDefault="00021E86" w:rsidP="00021E86">
      <w:pPr>
        <w:pStyle w:val="SingleTxtG"/>
        <w:spacing w:before="10400"/>
        <w:ind w:firstLine="567"/>
        <w:rPr>
          <w:bCs/>
        </w:rPr>
      </w:pPr>
      <w:r w:rsidRPr="000D3C65">
        <w:rPr>
          <w:bCs/>
        </w:rPr>
        <w:t>ISSN 0255-237X</w:t>
      </w:r>
    </w:p>
    <w:p w14:paraId="2DA06441" w14:textId="77777777" w:rsidR="00021E86" w:rsidRPr="000D3C65" w:rsidRDefault="00021E86" w:rsidP="00021E86">
      <w:pPr>
        <w:pStyle w:val="SingleTxtG"/>
        <w:ind w:firstLine="567"/>
        <w:rPr>
          <w:bCs/>
        </w:rPr>
      </w:pPr>
    </w:p>
    <w:p w14:paraId="59C54BDD" w14:textId="77777777" w:rsidR="00541BE4" w:rsidRPr="000D3C65" w:rsidRDefault="00541BE4" w:rsidP="00C451B9">
      <w:pPr>
        <w:sectPr w:rsidR="00541BE4" w:rsidRPr="000D3C65" w:rsidSect="00021E86">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00FC558D" w14:textId="669EC9C2" w:rsidR="00EF7D1D" w:rsidRPr="000D3C65" w:rsidRDefault="00A669DA" w:rsidP="00021E86">
      <w:pPr>
        <w:spacing w:after="480"/>
        <w:jc w:val="right"/>
      </w:pPr>
      <w:r w:rsidRPr="000D3C65">
        <w:lastRenderedPageBreak/>
        <w:t>[</w:t>
      </w:r>
      <w:r w:rsidR="00021E86" w:rsidRPr="000D3C65">
        <w:t>14 de julio de 2025</w:t>
      </w:r>
      <w:r w:rsidRPr="000D3C65">
        <w:t>]</w:t>
      </w:r>
    </w:p>
    <w:p w14:paraId="6B6AA3CA" w14:textId="77777777" w:rsidR="00A669DA" w:rsidRPr="000D3C65" w:rsidRDefault="00C81366" w:rsidP="0060322E">
      <w:pPr>
        <w:spacing w:after="120"/>
        <w:rPr>
          <w:sz w:val="28"/>
        </w:rPr>
      </w:pPr>
      <w:r w:rsidRPr="000D3C65">
        <w:rPr>
          <w:sz w:val="28"/>
        </w:rPr>
        <w:t>Índice</w:t>
      </w:r>
    </w:p>
    <w:p w14:paraId="751A649B" w14:textId="77777777" w:rsidR="00A669DA" w:rsidRPr="000D3C65" w:rsidRDefault="00A669DA" w:rsidP="0060322E">
      <w:pPr>
        <w:tabs>
          <w:tab w:val="right" w:pos="9638"/>
        </w:tabs>
        <w:spacing w:after="120"/>
        <w:ind w:left="283"/>
        <w:rPr>
          <w:sz w:val="18"/>
        </w:rPr>
      </w:pPr>
      <w:r w:rsidRPr="000D3C65">
        <w:rPr>
          <w:i/>
          <w:sz w:val="18"/>
        </w:rPr>
        <w:tab/>
      </w:r>
      <w:r w:rsidR="00C81366" w:rsidRPr="000D3C65">
        <w:rPr>
          <w:i/>
          <w:sz w:val="18"/>
        </w:rPr>
        <w:t>Página</w:t>
      </w:r>
    </w:p>
    <w:p w14:paraId="3B43F6E0" w14:textId="2C4BA586" w:rsidR="007D5DC9" w:rsidRPr="000D3C65" w:rsidRDefault="007D5DC9" w:rsidP="007D5DC9">
      <w:pPr>
        <w:tabs>
          <w:tab w:val="right" w:pos="851"/>
          <w:tab w:val="left" w:pos="1134"/>
          <w:tab w:val="left" w:pos="1559"/>
          <w:tab w:val="left" w:pos="1984"/>
          <w:tab w:val="left" w:leader="dot" w:pos="8929"/>
          <w:tab w:val="right" w:pos="9638"/>
        </w:tabs>
        <w:spacing w:after="120"/>
        <w:rPr>
          <w:bCs/>
        </w:rPr>
      </w:pPr>
      <w:r w:rsidRPr="000D3C65">
        <w:rPr>
          <w:bCs/>
        </w:rPr>
        <w:tab/>
        <w:t>I.</w:t>
      </w:r>
      <w:r w:rsidRPr="000D3C65">
        <w:rPr>
          <w:bCs/>
        </w:rPr>
        <w:tab/>
        <w:t>Jurisdicción y actividades</w:t>
      </w:r>
      <w:r w:rsidRPr="000D3C65">
        <w:rPr>
          <w:bCs/>
        </w:rPr>
        <w:tab/>
      </w:r>
      <w:r w:rsidRPr="000D3C65">
        <w:rPr>
          <w:bCs/>
        </w:rPr>
        <w:tab/>
      </w:r>
      <w:r w:rsidR="000D3C65">
        <w:rPr>
          <w:bCs/>
        </w:rPr>
        <w:t>1</w:t>
      </w:r>
    </w:p>
    <w:p w14:paraId="3962D162" w14:textId="6D19CA16"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A.</w:t>
      </w:r>
      <w:r w:rsidRPr="000D3C65">
        <w:rPr>
          <w:bCs/>
        </w:rPr>
        <w:tab/>
        <w:t xml:space="preserve">Estados Partes en el Pacto Internacional de Derechos Civiles y Políticos y en sus </w:t>
      </w:r>
      <w:r w:rsidR="00E8300A" w:rsidRPr="000D3C65">
        <w:rPr>
          <w:bCs/>
        </w:rPr>
        <w:br/>
      </w:r>
      <w:r w:rsidRPr="000D3C65">
        <w:rPr>
          <w:bCs/>
        </w:rPr>
        <w:t>Protocolos Facultativos</w:t>
      </w:r>
      <w:r w:rsidRPr="000D3C65">
        <w:rPr>
          <w:bCs/>
        </w:rPr>
        <w:tab/>
      </w:r>
      <w:r w:rsidRPr="000D3C65">
        <w:rPr>
          <w:bCs/>
        </w:rPr>
        <w:tab/>
      </w:r>
      <w:r w:rsidR="000D3C65">
        <w:rPr>
          <w:bCs/>
        </w:rPr>
        <w:t>1</w:t>
      </w:r>
    </w:p>
    <w:p w14:paraId="1F07668F" w14:textId="116AA7FB"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B.</w:t>
      </w:r>
      <w:r w:rsidRPr="000D3C65">
        <w:rPr>
          <w:bCs/>
        </w:rPr>
        <w:tab/>
        <w:t>Períodos de sesiones del Comité</w:t>
      </w:r>
      <w:r w:rsidRPr="000D3C65">
        <w:rPr>
          <w:bCs/>
        </w:rPr>
        <w:tab/>
      </w:r>
      <w:r w:rsidRPr="000D3C65">
        <w:rPr>
          <w:bCs/>
        </w:rPr>
        <w:tab/>
      </w:r>
      <w:r w:rsidR="000D3C65">
        <w:rPr>
          <w:bCs/>
        </w:rPr>
        <w:t>1</w:t>
      </w:r>
    </w:p>
    <w:p w14:paraId="79F63A23" w14:textId="43BAF092"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C.</w:t>
      </w:r>
      <w:r w:rsidRPr="000D3C65">
        <w:rPr>
          <w:bCs/>
        </w:rPr>
        <w:tab/>
        <w:t>Elección de la Mesa</w:t>
      </w:r>
      <w:r w:rsidRPr="000D3C65">
        <w:rPr>
          <w:bCs/>
        </w:rPr>
        <w:tab/>
      </w:r>
      <w:r w:rsidRPr="000D3C65">
        <w:rPr>
          <w:bCs/>
        </w:rPr>
        <w:tab/>
      </w:r>
      <w:r w:rsidR="000D3C65">
        <w:rPr>
          <w:bCs/>
        </w:rPr>
        <w:t>1</w:t>
      </w:r>
    </w:p>
    <w:p w14:paraId="762147C6" w14:textId="75ABE734"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D.</w:t>
      </w:r>
      <w:r w:rsidRPr="000D3C65">
        <w:rPr>
          <w:bCs/>
        </w:rPr>
        <w:tab/>
        <w:t>Relatores especiales</w:t>
      </w:r>
      <w:r w:rsidRPr="000D3C65">
        <w:rPr>
          <w:bCs/>
        </w:rPr>
        <w:tab/>
      </w:r>
      <w:r w:rsidRPr="000D3C65">
        <w:rPr>
          <w:bCs/>
        </w:rPr>
        <w:tab/>
      </w:r>
      <w:r w:rsidR="000D3C65">
        <w:rPr>
          <w:bCs/>
        </w:rPr>
        <w:t>2</w:t>
      </w:r>
    </w:p>
    <w:p w14:paraId="75CB68E5" w14:textId="5ED1B1BF"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E.</w:t>
      </w:r>
      <w:r w:rsidRPr="000D3C65">
        <w:rPr>
          <w:bCs/>
        </w:rPr>
        <w:tab/>
        <w:t xml:space="preserve">Equipos de tareas para los informes de los países y Grupo de Trabajo sobre las </w:t>
      </w:r>
      <w:r w:rsidR="00E8300A" w:rsidRPr="000D3C65">
        <w:rPr>
          <w:bCs/>
        </w:rPr>
        <w:br/>
      </w:r>
      <w:r w:rsidRPr="000D3C65">
        <w:rPr>
          <w:bCs/>
        </w:rPr>
        <w:t>Comunicaciones</w:t>
      </w:r>
      <w:r w:rsidRPr="000D3C65">
        <w:rPr>
          <w:bCs/>
        </w:rPr>
        <w:tab/>
      </w:r>
      <w:r w:rsidRPr="000D3C65">
        <w:rPr>
          <w:bCs/>
        </w:rPr>
        <w:tab/>
      </w:r>
      <w:r w:rsidR="000D3C65">
        <w:rPr>
          <w:bCs/>
        </w:rPr>
        <w:t>2</w:t>
      </w:r>
    </w:p>
    <w:p w14:paraId="1783FDAC" w14:textId="2D9CCFF8"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F.</w:t>
      </w:r>
      <w:r w:rsidRPr="000D3C65">
        <w:rPr>
          <w:bCs/>
        </w:rPr>
        <w:tab/>
        <w:t>Suspensión de obligaciones en virtud del artículo 4 del Pacto</w:t>
      </w:r>
      <w:r w:rsidRPr="000D3C65">
        <w:rPr>
          <w:bCs/>
        </w:rPr>
        <w:tab/>
      </w:r>
      <w:r w:rsidRPr="000D3C65">
        <w:rPr>
          <w:bCs/>
        </w:rPr>
        <w:tab/>
      </w:r>
      <w:r w:rsidR="000D3C65">
        <w:rPr>
          <w:bCs/>
        </w:rPr>
        <w:t>2</w:t>
      </w:r>
    </w:p>
    <w:p w14:paraId="3DA7794A" w14:textId="73E31FED"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G.</w:t>
      </w:r>
      <w:r w:rsidRPr="000D3C65">
        <w:rPr>
          <w:bCs/>
        </w:rPr>
        <w:tab/>
        <w:t>Observaciones finales y su seguimiento</w:t>
      </w:r>
      <w:r w:rsidRPr="000D3C65">
        <w:rPr>
          <w:bCs/>
        </w:rPr>
        <w:tab/>
      </w:r>
      <w:r w:rsidRPr="000D3C65">
        <w:rPr>
          <w:bCs/>
        </w:rPr>
        <w:tab/>
      </w:r>
      <w:r w:rsidR="000D3C65">
        <w:rPr>
          <w:bCs/>
        </w:rPr>
        <w:t>3</w:t>
      </w:r>
    </w:p>
    <w:p w14:paraId="5CE4E280" w14:textId="23153F3B"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H.</w:t>
      </w:r>
      <w:r w:rsidRPr="000D3C65">
        <w:rPr>
          <w:bCs/>
        </w:rPr>
        <w:tab/>
        <w:t>Comunicaciones y seguimiento de los dictámenes</w:t>
      </w:r>
      <w:r w:rsidRPr="000D3C65">
        <w:rPr>
          <w:bCs/>
        </w:rPr>
        <w:tab/>
      </w:r>
      <w:r w:rsidRPr="000D3C65">
        <w:rPr>
          <w:bCs/>
        </w:rPr>
        <w:tab/>
      </w:r>
      <w:r w:rsidR="0020068E">
        <w:rPr>
          <w:bCs/>
        </w:rPr>
        <w:t>3</w:t>
      </w:r>
    </w:p>
    <w:p w14:paraId="53D22170" w14:textId="0127896A"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I.</w:t>
      </w:r>
      <w:r w:rsidRPr="000D3C65">
        <w:rPr>
          <w:bCs/>
        </w:rPr>
        <w:tab/>
        <w:t>Recursos de personal, traducción de documentos oficiales y transformación digital</w:t>
      </w:r>
      <w:r w:rsidRPr="000D3C65">
        <w:rPr>
          <w:bCs/>
        </w:rPr>
        <w:tab/>
      </w:r>
      <w:r w:rsidRPr="000D3C65">
        <w:rPr>
          <w:bCs/>
        </w:rPr>
        <w:tab/>
      </w:r>
      <w:r w:rsidR="0020068E">
        <w:rPr>
          <w:bCs/>
        </w:rPr>
        <w:t>7</w:t>
      </w:r>
    </w:p>
    <w:p w14:paraId="3F59B6D4" w14:textId="64CF45DA"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J.</w:t>
      </w:r>
      <w:r w:rsidRPr="000D3C65">
        <w:rPr>
          <w:bCs/>
        </w:rPr>
        <w:tab/>
        <w:t>Difusión de la labor del Comité</w:t>
      </w:r>
      <w:r w:rsidRPr="000D3C65">
        <w:rPr>
          <w:bCs/>
        </w:rPr>
        <w:tab/>
      </w:r>
      <w:r w:rsidRPr="000D3C65">
        <w:rPr>
          <w:bCs/>
        </w:rPr>
        <w:tab/>
      </w:r>
      <w:r w:rsidR="0020068E">
        <w:rPr>
          <w:bCs/>
        </w:rPr>
        <w:t>7</w:t>
      </w:r>
    </w:p>
    <w:p w14:paraId="6FC7C77E" w14:textId="7EB7ABB0"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K.</w:t>
      </w:r>
      <w:r w:rsidRPr="000D3C65">
        <w:rPr>
          <w:bCs/>
        </w:rPr>
        <w:tab/>
        <w:t>Presentación del informe anual del Comité a la Asamblea General</w:t>
      </w:r>
      <w:r w:rsidRPr="000D3C65">
        <w:rPr>
          <w:bCs/>
        </w:rPr>
        <w:tab/>
      </w:r>
      <w:r w:rsidRPr="000D3C65">
        <w:rPr>
          <w:bCs/>
        </w:rPr>
        <w:tab/>
      </w:r>
      <w:r w:rsidR="0020068E">
        <w:rPr>
          <w:bCs/>
        </w:rPr>
        <w:t>7</w:t>
      </w:r>
    </w:p>
    <w:p w14:paraId="5E3D1CDD" w14:textId="67426F07"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L.</w:t>
      </w:r>
      <w:r w:rsidRPr="000D3C65">
        <w:rPr>
          <w:bCs/>
        </w:rPr>
        <w:tab/>
        <w:t>Aprobación del informe</w:t>
      </w:r>
      <w:r w:rsidRPr="000D3C65">
        <w:rPr>
          <w:bCs/>
        </w:rPr>
        <w:tab/>
      </w:r>
      <w:r w:rsidRPr="000D3C65">
        <w:rPr>
          <w:bCs/>
        </w:rPr>
        <w:tab/>
      </w:r>
      <w:r w:rsidR="0020068E">
        <w:rPr>
          <w:bCs/>
        </w:rPr>
        <w:t>7</w:t>
      </w:r>
    </w:p>
    <w:p w14:paraId="6989404C" w14:textId="7AAA558D" w:rsidR="007D5DC9" w:rsidRPr="000D3C65" w:rsidRDefault="007D5DC9" w:rsidP="007D5DC9">
      <w:pPr>
        <w:tabs>
          <w:tab w:val="right" w:pos="851"/>
          <w:tab w:val="left" w:pos="1134"/>
          <w:tab w:val="left" w:pos="1559"/>
          <w:tab w:val="left" w:pos="1984"/>
          <w:tab w:val="left" w:leader="dot" w:pos="8929"/>
          <w:tab w:val="right" w:pos="9638"/>
        </w:tabs>
        <w:spacing w:after="120"/>
        <w:ind w:left="1134" w:hanging="1134"/>
        <w:rPr>
          <w:bCs/>
        </w:rPr>
      </w:pPr>
      <w:r w:rsidRPr="000D3C65">
        <w:rPr>
          <w:bCs/>
        </w:rPr>
        <w:tab/>
        <w:t>II.</w:t>
      </w:r>
      <w:r w:rsidRPr="000D3C65">
        <w:rPr>
          <w:bCs/>
        </w:rPr>
        <w:tab/>
        <w:t xml:space="preserve">Métodos de trabajo del Comité en virtud del artículo 40 del Pacto y cooperación con otros </w:t>
      </w:r>
      <w:r w:rsidRPr="000D3C65">
        <w:rPr>
          <w:bCs/>
        </w:rPr>
        <w:br/>
        <w:t>órganos de las Naciones Unidas</w:t>
      </w:r>
      <w:r w:rsidRPr="000D3C65">
        <w:rPr>
          <w:bCs/>
        </w:rPr>
        <w:tab/>
      </w:r>
      <w:r w:rsidRPr="000D3C65">
        <w:rPr>
          <w:bCs/>
        </w:rPr>
        <w:tab/>
      </w:r>
      <w:r w:rsidR="0020068E">
        <w:rPr>
          <w:bCs/>
        </w:rPr>
        <w:t>8</w:t>
      </w:r>
    </w:p>
    <w:p w14:paraId="517480AB" w14:textId="73A105A5"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A.</w:t>
      </w:r>
      <w:r w:rsidRPr="000D3C65">
        <w:rPr>
          <w:bCs/>
        </w:rPr>
        <w:tab/>
        <w:t>Cambios y decisiones recientes en materia de procedimientos</w:t>
      </w:r>
      <w:r w:rsidRPr="000D3C65">
        <w:rPr>
          <w:bCs/>
        </w:rPr>
        <w:tab/>
      </w:r>
      <w:r w:rsidRPr="000D3C65">
        <w:rPr>
          <w:bCs/>
        </w:rPr>
        <w:tab/>
      </w:r>
      <w:r w:rsidR="0020068E">
        <w:rPr>
          <w:bCs/>
        </w:rPr>
        <w:t>8</w:t>
      </w:r>
    </w:p>
    <w:p w14:paraId="7D7910E2" w14:textId="03627BDD"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B.</w:t>
      </w:r>
      <w:r w:rsidRPr="000D3C65">
        <w:rPr>
          <w:bCs/>
        </w:rPr>
        <w:tab/>
        <w:t>Vínculos con otros órganos</w:t>
      </w:r>
      <w:r w:rsidRPr="000D3C65">
        <w:rPr>
          <w:bCs/>
        </w:rPr>
        <w:tab/>
      </w:r>
      <w:r w:rsidRPr="000D3C65">
        <w:rPr>
          <w:bCs/>
        </w:rPr>
        <w:tab/>
      </w:r>
      <w:r w:rsidR="0020068E">
        <w:rPr>
          <w:bCs/>
        </w:rPr>
        <w:t>8</w:t>
      </w:r>
    </w:p>
    <w:p w14:paraId="2889BC78" w14:textId="74367691" w:rsidR="007D5DC9" w:rsidRPr="000D3C65" w:rsidRDefault="007D5DC9" w:rsidP="007D5DC9">
      <w:pPr>
        <w:tabs>
          <w:tab w:val="right" w:pos="851"/>
          <w:tab w:val="left" w:pos="1134"/>
          <w:tab w:val="left" w:pos="1559"/>
          <w:tab w:val="left" w:pos="1984"/>
          <w:tab w:val="left" w:leader="dot" w:pos="8929"/>
          <w:tab w:val="right" w:pos="9638"/>
        </w:tabs>
        <w:spacing w:after="120"/>
        <w:rPr>
          <w:bCs/>
        </w:rPr>
      </w:pPr>
      <w:r w:rsidRPr="000D3C65">
        <w:rPr>
          <w:bCs/>
        </w:rPr>
        <w:tab/>
        <w:t>III.</w:t>
      </w:r>
      <w:r w:rsidRPr="000D3C65">
        <w:rPr>
          <w:bCs/>
        </w:rPr>
        <w:tab/>
        <w:t>Presentación de informes por los Estados Partes en virtud del artículo 40 del Pacto</w:t>
      </w:r>
      <w:r w:rsidRPr="000D3C65">
        <w:rPr>
          <w:bCs/>
        </w:rPr>
        <w:tab/>
      </w:r>
      <w:r w:rsidRPr="000D3C65">
        <w:rPr>
          <w:bCs/>
        </w:rPr>
        <w:tab/>
      </w:r>
      <w:r w:rsidR="0020068E">
        <w:rPr>
          <w:bCs/>
        </w:rPr>
        <w:t>8</w:t>
      </w:r>
    </w:p>
    <w:p w14:paraId="470FFF91" w14:textId="686F9C19"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A.</w:t>
      </w:r>
      <w:r w:rsidRPr="000D3C65">
        <w:rPr>
          <w:bCs/>
        </w:rPr>
        <w:tab/>
        <w:t xml:space="preserve">Informes presentados al Secretario General entre el 29 de marzo de 2024 y el 28 de marzo </w:t>
      </w:r>
      <w:r w:rsidR="00E8300A" w:rsidRPr="000D3C65">
        <w:rPr>
          <w:bCs/>
        </w:rPr>
        <w:br/>
      </w:r>
      <w:r w:rsidRPr="000D3C65">
        <w:rPr>
          <w:bCs/>
        </w:rPr>
        <w:t>de 2025</w:t>
      </w:r>
      <w:r w:rsidR="00E8300A" w:rsidRPr="000D3C65">
        <w:rPr>
          <w:bCs/>
        </w:rPr>
        <w:tab/>
      </w:r>
      <w:r w:rsidR="00E8300A" w:rsidRPr="000D3C65">
        <w:rPr>
          <w:bCs/>
        </w:rPr>
        <w:tab/>
      </w:r>
      <w:r w:rsidR="0020068E">
        <w:rPr>
          <w:bCs/>
        </w:rPr>
        <w:t>8</w:t>
      </w:r>
    </w:p>
    <w:p w14:paraId="4BCC2B73" w14:textId="1CC45C00"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B.</w:t>
      </w:r>
      <w:r w:rsidRPr="000D3C65">
        <w:rPr>
          <w:bCs/>
        </w:rPr>
        <w:tab/>
        <w:t xml:space="preserve">Informes atrasados e incumplimiento por los Estados Partes de las obligaciones contraídas </w:t>
      </w:r>
      <w:r w:rsidR="00E8300A" w:rsidRPr="000D3C65">
        <w:rPr>
          <w:bCs/>
        </w:rPr>
        <w:br/>
      </w:r>
      <w:r w:rsidRPr="000D3C65">
        <w:rPr>
          <w:bCs/>
        </w:rPr>
        <w:t>en virtud del artículo 40</w:t>
      </w:r>
      <w:r w:rsidR="00E8300A" w:rsidRPr="000D3C65">
        <w:rPr>
          <w:bCs/>
        </w:rPr>
        <w:tab/>
      </w:r>
      <w:r w:rsidR="00E8300A" w:rsidRPr="000D3C65">
        <w:rPr>
          <w:bCs/>
        </w:rPr>
        <w:tab/>
      </w:r>
      <w:r w:rsidR="0020068E">
        <w:rPr>
          <w:bCs/>
        </w:rPr>
        <w:t>8</w:t>
      </w:r>
    </w:p>
    <w:p w14:paraId="72ABC972" w14:textId="340A3B93" w:rsidR="007D5DC9" w:rsidRPr="000D3C65" w:rsidRDefault="007D5DC9" w:rsidP="007D5DC9">
      <w:pPr>
        <w:tabs>
          <w:tab w:val="right" w:pos="851"/>
          <w:tab w:val="left" w:pos="1134"/>
          <w:tab w:val="left" w:pos="1559"/>
          <w:tab w:val="left" w:pos="1984"/>
          <w:tab w:val="left" w:leader="dot" w:pos="8929"/>
          <w:tab w:val="right" w:pos="9638"/>
        </w:tabs>
        <w:spacing w:after="120"/>
        <w:ind w:left="1559" w:hanging="1559"/>
        <w:rPr>
          <w:bCs/>
        </w:rPr>
      </w:pPr>
      <w:r w:rsidRPr="000D3C65">
        <w:rPr>
          <w:bCs/>
        </w:rPr>
        <w:tab/>
      </w:r>
      <w:r w:rsidRPr="000D3C65">
        <w:rPr>
          <w:bCs/>
        </w:rPr>
        <w:tab/>
        <w:t>C.</w:t>
      </w:r>
      <w:r w:rsidRPr="000D3C65">
        <w:rPr>
          <w:bCs/>
        </w:rPr>
        <w:tab/>
        <w:t xml:space="preserve">Fecha en que deben presentar su siguiente informe periódico los Estados Partes </w:t>
      </w:r>
      <w:r w:rsidR="00E8300A" w:rsidRPr="000D3C65">
        <w:rPr>
          <w:bCs/>
        </w:rPr>
        <w:br/>
      </w:r>
      <w:r w:rsidRPr="000D3C65">
        <w:rPr>
          <w:bCs/>
        </w:rPr>
        <w:t>cuyo informe se examinó durante el período abarcado por el presente informe</w:t>
      </w:r>
      <w:r w:rsidR="00E8300A" w:rsidRPr="000D3C65">
        <w:rPr>
          <w:bCs/>
        </w:rPr>
        <w:tab/>
      </w:r>
      <w:r w:rsidR="00E8300A" w:rsidRPr="000D3C65">
        <w:rPr>
          <w:bCs/>
        </w:rPr>
        <w:tab/>
      </w:r>
      <w:r w:rsidR="0020068E">
        <w:rPr>
          <w:bCs/>
        </w:rPr>
        <w:t>9</w:t>
      </w:r>
    </w:p>
    <w:p w14:paraId="10928D2A" w14:textId="55EBE2DE" w:rsidR="00A669DA" w:rsidRPr="000D3C65" w:rsidRDefault="007D5DC9" w:rsidP="0060322E">
      <w:pPr>
        <w:tabs>
          <w:tab w:val="right" w:pos="850"/>
          <w:tab w:val="left" w:pos="1134"/>
          <w:tab w:val="left" w:pos="1559"/>
          <w:tab w:val="left" w:pos="1984"/>
          <w:tab w:val="left" w:leader="dot" w:pos="8929"/>
          <w:tab w:val="right" w:pos="9638"/>
        </w:tabs>
        <w:spacing w:after="120"/>
      </w:pPr>
      <w:r w:rsidRPr="000D3C65">
        <w:t>Anexos</w:t>
      </w:r>
    </w:p>
    <w:p w14:paraId="01B36E94" w14:textId="122F72AA" w:rsidR="00021E86" w:rsidRPr="000D3C65" w:rsidRDefault="007D5DC9" w:rsidP="00E8300A">
      <w:pPr>
        <w:tabs>
          <w:tab w:val="right" w:pos="850"/>
          <w:tab w:val="left" w:pos="1134"/>
          <w:tab w:val="left" w:pos="1559"/>
          <w:tab w:val="left" w:pos="1984"/>
          <w:tab w:val="left" w:leader="dot" w:pos="8929"/>
          <w:tab w:val="right" w:pos="9638"/>
        </w:tabs>
        <w:spacing w:after="120"/>
      </w:pPr>
      <w:r w:rsidRPr="000D3C65">
        <w:tab/>
        <w:t>I.</w:t>
      </w:r>
      <w:r w:rsidRPr="000D3C65">
        <w:tab/>
      </w:r>
      <w:r w:rsidR="00E8300A" w:rsidRPr="000D3C65">
        <w:t>Miembros del Comité de Derechos Humanos, 2023-2024</w:t>
      </w:r>
      <w:r w:rsidR="00E8300A" w:rsidRPr="000D3C65">
        <w:tab/>
      </w:r>
      <w:r w:rsidR="00E8300A" w:rsidRPr="000D3C65">
        <w:tab/>
      </w:r>
      <w:r w:rsidR="0020068E">
        <w:t>16</w:t>
      </w:r>
    </w:p>
    <w:p w14:paraId="02CF47C1" w14:textId="011D92AD" w:rsidR="00021E86" w:rsidRPr="000D3C65" w:rsidRDefault="007D5DC9" w:rsidP="00E8300A">
      <w:pPr>
        <w:tabs>
          <w:tab w:val="right" w:pos="850"/>
          <w:tab w:val="left" w:pos="1134"/>
          <w:tab w:val="left" w:pos="1559"/>
          <w:tab w:val="left" w:pos="1984"/>
          <w:tab w:val="left" w:leader="dot" w:pos="8929"/>
          <w:tab w:val="right" w:pos="9638"/>
        </w:tabs>
        <w:spacing w:after="120"/>
      </w:pPr>
      <w:r w:rsidRPr="000D3C65">
        <w:tab/>
        <w:t>II.</w:t>
      </w:r>
      <w:r w:rsidRPr="000D3C65">
        <w:tab/>
      </w:r>
      <w:r w:rsidR="00E8300A" w:rsidRPr="000D3C65">
        <w:t>Miembros del Comité de Derechos Humanos, 2024-2025</w:t>
      </w:r>
      <w:r w:rsidR="00E8300A" w:rsidRPr="000D3C65">
        <w:tab/>
      </w:r>
      <w:r w:rsidR="00E8300A" w:rsidRPr="000D3C65">
        <w:tab/>
      </w:r>
      <w:r w:rsidR="0020068E">
        <w:t>17</w:t>
      </w:r>
    </w:p>
    <w:p w14:paraId="613E4BAA" w14:textId="77777777" w:rsidR="00021E86" w:rsidRPr="000D3C65" w:rsidRDefault="00021E86">
      <w:pPr>
        <w:suppressAutoHyphens w:val="0"/>
        <w:kinsoku/>
        <w:overflowPunct/>
        <w:autoSpaceDE/>
        <w:autoSpaceDN/>
        <w:adjustRightInd/>
        <w:snapToGrid/>
        <w:spacing w:line="240" w:lineRule="auto"/>
      </w:pPr>
      <w:r w:rsidRPr="000D3C65">
        <w:br w:type="page"/>
      </w:r>
    </w:p>
    <w:p w14:paraId="2DE99692" w14:textId="77777777" w:rsidR="00021E86" w:rsidRPr="000D3C65" w:rsidRDefault="00021E86">
      <w:pPr>
        <w:suppressAutoHyphens w:val="0"/>
        <w:kinsoku/>
        <w:overflowPunct/>
        <w:autoSpaceDE/>
        <w:autoSpaceDN/>
        <w:adjustRightInd/>
        <w:snapToGrid/>
        <w:spacing w:line="240" w:lineRule="auto"/>
      </w:pPr>
      <w:r w:rsidRPr="000D3C65">
        <w:lastRenderedPageBreak/>
        <w:br w:type="page"/>
      </w:r>
    </w:p>
    <w:p w14:paraId="75422266" w14:textId="77777777" w:rsidR="00021E86" w:rsidRPr="000D3C65" w:rsidRDefault="00021E86" w:rsidP="00A669DA">
      <w:pPr>
        <w:sectPr w:rsidR="00021E86" w:rsidRPr="000D3C65" w:rsidSect="00021E86">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504ECCCE" w14:textId="77777777" w:rsidR="00021E86" w:rsidRPr="000D3C65" w:rsidRDefault="00021E86" w:rsidP="00021E86">
      <w:pPr>
        <w:pStyle w:val="HChG"/>
      </w:pPr>
      <w:bookmarkStart w:id="0" w:name="_Toc108626026"/>
      <w:r w:rsidRPr="000D3C65">
        <w:lastRenderedPageBreak/>
        <w:tab/>
        <w:t>I.</w:t>
      </w:r>
      <w:r w:rsidRPr="000D3C65">
        <w:tab/>
        <w:t>Jurisdicción y actividades</w:t>
      </w:r>
      <w:bookmarkStart w:id="1" w:name="_Toc14335197"/>
      <w:bookmarkStart w:id="2" w:name="_Toc14248471"/>
      <w:bookmarkEnd w:id="0"/>
      <w:bookmarkEnd w:id="1"/>
      <w:bookmarkEnd w:id="2"/>
    </w:p>
    <w:p w14:paraId="7A13CEC1" w14:textId="77777777" w:rsidR="00021E86" w:rsidRPr="000D3C65" w:rsidRDefault="00021E86" w:rsidP="00021E86">
      <w:pPr>
        <w:pStyle w:val="H1G"/>
      </w:pPr>
      <w:r w:rsidRPr="000D3C65">
        <w:tab/>
        <w:t>A.</w:t>
      </w:r>
      <w:r w:rsidRPr="000D3C65">
        <w:tab/>
        <w:t>Estados Partes en el Pacto Internacional de Derechos Civiles y Políticos y en sus Protocolos Facultativos</w:t>
      </w:r>
    </w:p>
    <w:p w14:paraId="64EFACBC" w14:textId="77777777" w:rsidR="00021E86" w:rsidRPr="000D3C65" w:rsidRDefault="00021E86" w:rsidP="00021E86">
      <w:pPr>
        <w:pStyle w:val="SingleTxtG"/>
      </w:pPr>
      <w:r w:rsidRPr="000D3C65">
        <w:t>1.</w:t>
      </w:r>
      <w:r w:rsidRPr="000D3C65">
        <w:tab/>
        <w:t>Al 28 de marzo de 2025, 174 Estados eran partes en el Pacto Internacional de Derechos Civiles y Políticos y 116 en el primer Protocolo Facultativo del Pacto. Ambos instrumentos entraron en vigor el 23 de marzo de 1976. El Segundo Protocolo Facultativo del Pacto, destinado a abolir la pena de muerte, entró en vigor el 11 de julio de 1991. Al 28 de marzo de 2025, 92 Estados eran partes en ese Protocolo.</w:t>
      </w:r>
    </w:p>
    <w:p w14:paraId="59C2946B" w14:textId="77777777" w:rsidR="00021E86" w:rsidRPr="000D3C65" w:rsidRDefault="00021E86" w:rsidP="00021E86">
      <w:pPr>
        <w:pStyle w:val="SingleTxtG"/>
      </w:pPr>
      <w:r w:rsidRPr="000D3C65">
        <w:t>2.</w:t>
      </w:r>
      <w:r w:rsidRPr="000D3C65">
        <w:tab/>
        <w:t>Asimismo, al 28 de marzo de 2025, 50 Estados habían hecho la declaración prevista en el artículo 41, párrafo 1, del Pacto. Al respecto, el Comité insta a los Estados Partes a que hagan esa declaración y consideren la posibilidad de utilizar ese mecanismo con miras a lograr una aplicación más efectiva de las disposiciones del Pacto.</w:t>
      </w:r>
    </w:p>
    <w:p w14:paraId="18C4AAD5" w14:textId="6D5E62E0" w:rsidR="00021E86" w:rsidRPr="000D3C65" w:rsidRDefault="00021E86" w:rsidP="00021E86">
      <w:pPr>
        <w:pStyle w:val="SingleTxtG"/>
      </w:pPr>
      <w:r w:rsidRPr="000D3C65">
        <w:t>3.</w:t>
      </w:r>
      <w:r w:rsidRPr="000D3C65">
        <w:tab/>
        <w:t xml:space="preserve">Toda información relativa a la situación de los tratados, incluidas las reservas y declaraciones formuladas por los Estados Partes, puede consultarse en la siguiente dirección: </w:t>
      </w:r>
      <w:hyperlink r:id="rId24" w:history="1">
        <w:r w:rsidRPr="000D3C65">
          <w:rPr>
            <w:rStyle w:val="Hipervnculo"/>
          </w:rPr>
          <w:t>https://treaties.un.org/Pages/Treaties.aspx?id=4&amp;subid=A&amp;lang=en</w:t>
        </w:r>
      </w:hyperlink>
      <w:r w:rsidRPr="000D3C65">
        <w:t>.</w:t>
      </w:r>
    </w:p>
    <w:p w14:paraId="4BDA7EAD" w14:textId="77777777" w:rsidR="00021E86" w:rsidRPr="000D3C65" w:rsidRDefault="00021E86" w:rsidP="00021E86">
      <w:pPr>
        <w:pStyle w:val="H1G"/>
      </w:pPr>
      <w:r w:rsidRPr="000D3C65">
        <w:tab/>
        <w:t>B.</w:t>
      </w:r>
      <w:r w:rsidRPr="000D3C65">
        <w:tab/>
        <w:t>Períodos de sesiones del Comité</w:t>
      </w:r>
    </w:p>
    <w:p w14:paraId="183A8FC3" w14:textId="77777777" w:rsidR="00021E86" w:rsidRPr="000D3C65" w:rsidRDefault="00021E86" w:rsidP="00021E86">
      <w:pPr>
        <w:pStyle w:val="SingleTxtG"/>
      </w:pPr>
      <w:r w:rsidRPr="000D3C65">
        <w:t>4.</w:t>
      </w:r>
      <w:r w:rsidRPr="000D3C65">
        <w:tab/>
        <w:t>Desde la aprobación de su anterior informe anual, el Comité ha celebrado tres períodos de sesiones. El 141</w:t>
      </w:r>
      <w:r w:rsidRPr="000D3C65">
        <w:rPr>
          <w:vertAlign w:val="superscript"/>
        </w:rPr>
        <w:t>er</w:t>
      </w:r>
      <w:r w:rsidRPr="000D3C65">
        <w:t xml:space="preserve"> período de sesiones se celebró del 1 al 23 de julio de 2024; el 142º período de sesiones, del 14 de octubre al 7 de noviembre de 2024 y el 143</w:t>
      </w:r>
      <w:r w:rsidRPr="000D3C65">
        <w:rPr>
          <w:vertAlign w:val="superscript"/>
        </w:rPr>
        <w:t>er</w:t>
      </w:r>
      <w:r w:rsidRPr="000D3C65">
        <w:t xml:space="preserve"> período de sesiones, del 3 al 28 de marzo de 2025.</w:t>
      </w:r>
    </w:p>
    <w:p w14:paraId="19A9E84F" w14:textId="77777777" w:rsidR="00021E86" w:rsidRPr="000D3C65" w:rsidRDefault="00021E86" w:rsidP="00021E86">
      <w:pPr>
        <w:pStyle w:val="H1G"/>
      </w:pPr>
      <w:r w:rsidRPr="000D3C65">
        <w:tab/>
        <w:t>C.</w:t>
      </w:r>
      <w:r w:rsidRPr="000D3C65">
        <w:tab/>
        <w:t>Elección de la Mesa</w:t>
      </w:r>
    </w:p>
    <w:p w14:paraId="2641E895" w14:textId="77777777" w:rsidR="00021E86" w:rsidRPr="000D3C65" w:rsidRDefault="00021E86" w:rsidP="00021E86">
      <w:pPr>
        <w:pStyle w:val="SingleTxtG"/>
      </w:pPr>
      <w:r w:rsidRPr="000D3C65">
        <w:t>5.</w:t>
      </w:r>
      <w:r w:rsidRPr="000D3C65">
        <w:tab/>
        <w:t>Durante los períodos de sesiones 141º y 142º, la composición de la Mesa siguió siendo la siguiente:</w:t>
      </w:r>
    </w:p>
    <w:p w14:paraId="4984535A" w14:textId="63E4CB2A" w:rsidR="00021E86" w:rsidRPr="000D3C65" w:rsidRDefault="00021E86" w:rsidP="00021E86">
      <w:pPr>
        <w:pStyle w:val="SingleTxtG"/>
        <w:tabs>
          <w:tab w:val="clear" w:pos="2835"/>
          <w:tab w:val="left" w:pos="3402"/>
        </w:tabs>
        <w:ind w:left="1701"/>
      </w:pPr>
      <w:r w:rsidRPr="000D3C65">
        <w:rPr>
          <w:i/>
          <w:iCs/>
        </w:rPr>
        <w:t>Presidenta:</w:t>
      </w:r>
      <w:r w:rsidRPr="000D3C65">
        <w:tab/>
        <w:t>Tania María Abdo Rocholl</w:t>
      </w:r>
    </w:p>
    <w:p w14:paraId="747E7883" w14:textId="77777777" w:rsidR="00021E86" w:rsidRPr="000D3C65" w:rsidRDefault="00021E86" w:rsidP="00021E86">
      <w:pPr>
        <w:pStyle w:val="SingleTxtG"/>
        <w:ind w:left="3402" w:hanging="1701"/>
      </w:pPr>
      <w:r w:rsidRPr="000D3C65">
        <w:rPr>
          <w:i/>
          <w:iCs/>
        </w:rPr>
        <w:t>Vicepresidentes:</w:t>
      </w:r>
      <w:r w:rsidRPr="000D3C65">
        <w:tab/>
        <w:t>José Manuel Santos Pais, Soh Changrok y Kobauyah Tchamdja Kpatcha</w:t>
      </w:r>
    </w:p>
    <w:p w14:paraId="32E22B1B" w14:textId="5B52EF1C" w:rsidR="00021E86" w:rsidRPr="000D3C65" w:rsidRDefault="00021E86" w:rsidP="00021E86">
      <w:pPr>
        <w:pStyle w:val="SingleTxtG"/>
        <w:tabs>
          <w:tab w:val="clear" w:pos="2835"/>
          <w:tab w:val="left" w:pos="3402"/>
        </w:tabs>
        <w:ind w:left="1701"/>
      </w:pPr>
      <w:r w:rsidRPr="000D3C65">
        <w:rPr>
          <w:i/>
          <w:iCs/>
        </w:rPr>
        <w:t>Relatora:</w:t>
      </w:r>
      <w:r w:rsidRPr="000D3C65">
        <w:tab/>
        <w:t>Tijana Šurlan</w:t>
      </w:r>
    </w:p>
    <w:p w14:paraId="299C8BD8" w14:textId="77777777" w:rsidR="00021E86" w:rsidRPr="000D3C65" w:rsidRDefault="00021E86" w:rsidP="00021E86">
      <w:pPr>
        <w:pStyle w:val="SingleTxtG"/>
      </w:pPr>
      <w:r w:rsidRPr="000D3C65">
        <w:t>6.</w:t>
      </w:r>
      <w:r w:rsidRPr="000D3C65">
        <w:tab/>
        <w:t>El 3 de marzo de 2025, el Comité eligió a los siguientes miembros de la Mesa por un período de dos años, conforme a lo dispuesto en el artículo 39, párrafo 1, del Pacto (véase la lista de miembros del Comité en el anexo):</w:t>
      </w:r>
    </w:p>
    <w:p w14:paraId="75AD998F" w14:textId="17ABF1BF" w:rsidR="00021E86" w:rsidRPr="000D3C65" w:rsidRDefault="00021E86" w:rsidP="00021E86">
      <w:pPr>
        <w:pStyle w:val="SingleTxtG"/>
        <w:tabs>
          <w:tab w:val="clear" w:pos="2835"/>
          <w:tab w:val="left" w:pos="3402"/>
        </w:tabs>
        <w:ind w:left="1701"/>
      </w:pPr>
      <w:r w:rsidRPr="000D3C65">
        <w:rPr>
          <w:i/>
          <w:iCs/>
        </w:rPr>
        <w:t>Presidente:</w:t>
      </w:r>
      <w:r w:rsidRPr="000D3C65">
        <w:tab/>
        <w:t xml:space="preserve">Soh Changrok </w:t>
      </w:r>
    </w:p>
    <w:p w14:paraId="1FE8F6B7" w14:textId="590412A0" w:rsidR="00021E86" w:rsidRPr="000D3C65" w:rsidRDefault="00021E86" w:rsidP="00021E86">
      <w:pPr>
        <w:pStyle w:val="SingleTxtG"/>
        <w:ind w:left="3402" w:hanging="1701"/>
      </w:pPr>
      <w:r w:rsidRPr="000D3C65">
        <w:rPr>
          <w:i/>
          <w:iCs/>
        </w:rPr>
        <w:t>Vicepresidentes:</w:t>
      </w:r>
      <w:r w:rsidRPr="000D3C65">
        <w:tab/>
        <w:t>Wafaa Ashraf Moharram Bassim, Hernán Quezada Cabrera y Hélène Tigroudja</w:t>
      </w:r>
    </w:p>
    <w:p w14:paraId="474D9662" w14:textId="77777777" w:rsidR="00021E86" w:rsidRPr="000D3C65" w:rsidRDefault="00021E86" w:rsidP="00021E86">
      <w:pPr>
        <w:pStyle w:val="SingleTxtG"/>
      </w:pPr>
      <w:r w:rsidRPr="000D3C65">
        <w:t>El 17 de marzo de 2025, el Comité eligió al siguiente miembro de la Mesa por un período de dos años, conforme a lo dispuesto en el artículo 39, párrafo 1, del Pacto:</w:t>
      </w:r>
    </w:p>
    <w:p w14:paraId="068F0785" w14:textId="3A65E76E" w:rsidR="00021E86" w:rsidRPr="000D3C65" w:rsidRDefault="00021E86" w:rsidP="00021E86">
      <w:pPr>
        <w:pStyle w:val="SingleTxtG"/>
        <w:tabs>
          <w:tab w:val="clear" w:pos="2835"/>
          <w:tab w:val="left" w:pos="3402"/>
        </w:tabs>
        <w:ind w:left="1701"/>
      </w:pPr>
      <w:r w:rsidRPr="000D3C65">
        <w:rPr>
          <w:i/>
          <w:iCs/>
        </w:rPr>
        <w:t>Relator:</w:t>
      </w:r>
      <w:r w:rsidRPr="000D3C65">
        <w:tab/>
        <w:t xml:space="preserve">Ivan Šimonović </w:t>
      </w:r>
    </w:p>
    <w:p w14:paraId="38202B98" w14:textId="77777777" w:rsidR="00021E86" w:rsidRPr="000D3C65" w:rsidRDefault="00021E86" w:rsidP="00021E86">
      <w:pPr>
        <w:pStyle w:val="SingleTxtG"/>
      </w:pPr>
      <w:r w:rsidRPr="000D3C65">
        <w:t>7.</w:t>
      </w:r>
      <w:r w:rsidRPr="000D3C65">
        <w:tab/>
        <w:t>En los períodos de sesiones 141º, 142º y 143º, la Mesa del Comité celebró varias sesiones. En cumplimiento de lo acordado durante el 71</w:t>
      </w:r>
      <w:r w:rsidRPr="000D3C65">
        <w:rPr>
          <w:vertAlign w:val="superscript"/>
        </w:rPr>
        <w:t>er</w:t>
      </w:r>
      <w:r w:rsidRPr="000D3C65">
        <w:t xml:space="preserve"> período de sesiones, la Mesa hace constar sus decisiones en minutas oficiales que se levantan a ese efecto.</w:t>
      </w:r>
    </w:p>
    <w:p w14:paraId="2637F903" w14:textId="77777777" w:rsidR="00021E86" w:rsidRPr="000D3C65" w:rsidRDefault="00021E86" w:rsidP="00021E86">
      <w:pPr>
        <w:pStyle w:val="H1G"/>
      </w:pPr>
      <w:r w:rsidRPr="000D3C65">
        <w:lastRenderedPageBreak/>
        <w:tab/>
        <w:t>D.</w:t>
      </w:r>
      <w:r w:rsidRPr="000D3C65">
        <w:tab/>
        <w:t>Relatores especiales</w:t>
      </w:r>
    </w:p>
    <w:p w14:paraId="4C58B052" w14:textId="77777777" w:rsidR="00021E86" w:rsidRPr="000D3C65" w:rsidRDefault="00021E86" w:rsidP="00021E86">
      <w:pPr>
        <w:pStyle w:val="SingleTxtG"/>
      </w:pPr>
      <w:r w:rsidRPr="000D3C65">
        <w:t>8.</w:t>
      </w:r>
      <w:r w:rsidRPr="000D3C65">
        <w:tab/>
        <w:t>En el período al que se refiere el presente informe, el Comité, por conducto de sus Relatoras Especiales sobre nuevas comunicaciones y medidas provisionales, registró 159 comunicaciones, que transmitió a los Estados Partes interesados. También por conducto de las Relatoras Especiales, el Comité adoptó 28 decisiones en las que solicitaba la adopción de medidas provisionales de protección con arreglo al artículo 94 de su reglamento. Hélène Tigroudja fue Relatora Especial sobre nuevas comunicaciones y medidas provisionales en los períodos de sesiones 141º, 142º y 143º, y Kobauyah Tchamdja Kpatcha fue Relatora Especial adjunta sobre nuevas comunicaciones y medidas provisionales los períodos de sesiones 141º y 142º.</w:t>
      </w:r>
    </w:p>
    <w:p w14:paraId="01711787" w14:textId="77777777" w:rsidR="00021E86" w:rsidRPr="000D3C65" w:rsidRDefault="00021E86" w:rsidP="00021E86">
      <w:pPr>
        <w:pStyle w:val="SingleTxtG"/>
      </w:pPr>
      <w:r w:rsidRPr="000D3C65">
        <w:t>9.</w:t>
      </w:r>
      <w:r w:rsidRPr="000D3C65">
        <w:tab/>
        <w:t>El Relator Especial para el seguimiento de las observaciones finales, Imeru Yigezu, y el Relator Especial para el seguimiento de los dictámenes, José Manuel Santos Pais, llevaron a cabo sus funciones durante los períodos de sesiones 141º y 142º. En el 143</w:t>
      </w:r>
      <w:r w:rsidRPr="000D3C65">
        <w:rPr>
          <w:vertAlign w:val="superscript"/>
        </w:rPr>
        <w:t>er</w:t>
      </w:r>
      <w:r w:rsidRPr="000D3C65">
        <w:t xml:space="preserve"> período de sesiones, Yvonne Donders fue nombrada Relatora Especial para el seguimiento de las observaciones finales y Dalia Leinarte fue nombrada Relatora Especial para el seguimiento de los dictámenes. En los períodos de sesiones 141º y 142º desempeñó las funciones de Relator sobre las represalias Hernán Quezada Cabrera, y en el 143</w:t>
      </w:r>
      <w:r w:rsidRPr="000D3C65">
        <w:rPr>
          <w:vertAlign w:val="superscript"/>
        </w:rPr>
        <w:t>er</w:t>
      </w:r>
      <w:r w:rsidRPr="000D3C65">
        <w:t xml:space="preserve"> período de sesiones, Teraya Koji.</w:t>
      </w:r>
    </w:p>
    <w:p w14:paraId="6AA0526F" w14:textId="77777777" w:rsidR="00021E86" w:rsidRPr="000D3C65" w:rsidRDefault="00021E86" w:rsidP="00021E86">
      <w:pPr>
        <w:pStyle w:val="H1G"/>
      </w:pPr>
      <w:r w:rsidRPr="000D3C65">
        <w:tab/>
        <w:t>E.</w:t>
      </w:r>
      <w:r w:rsidRPr="000D3C65">
        <w:tab/>
        <w:t xml:space="preserve">Equipos de tareas para los informes de los países </w:t>
      </w:r>
      <w:r w:rsidRPr="000D3C65">
        <w:br/>
        <w:t>y Grupo de Trabajo sobre las Comunicaciones</w:t>
      </w:r>
    </w:p>
    <w:p w14:paraId="2387559A" w14:textId="77777777" w:rsidR="00021E86" w:rsidRPr="000D3C65" w:rsidRDefault="00021E86" w:rsidP="00021E86">
      <w:pPr>
        <w:pStyle w:val="SingleTxtG"/>
      </w:pPr>
      <w:r w:rsidRPr="000D3C65">
        <w:t>10.</w:t>
      </w:r>
      <w:r w:rsidRPr="000D3C65">
        <w:tab/>
        <w:t>Los equipos de tareas para los informes de los países se reunieron durante los períodos de sesiones 141º, 142º y 143º para examinar y aprobar las listas de cuestiones relativas a los informes de Chad y Letonia y las listas de cuestiones previas a la presentación de informes de Antigua y Barbuda, Austria, Barbados, Benin, el Camerún, Costa Rica, Côte d’Ivoire, Eslovenia, Jordania, Mauricio, Mónaco, Nueva Zelandia, Polonia, la República Dominicana, Samoa, Sierra Leona y Sudáfrica.</w:t>
      </w:r>
    </w:p>
    <w:p w14:paraId="19EBBBC1" w14:textId="77777777" w:rsidR="00021E86" w:rsidRPr="000D3C65" w:rsidRDefault="00021E86" w:rsidP="00021E86">
      <w:pPr>
        <w:pStyle w:val="SingleTxtG"/>
      </w:pPr>
      <w:r w:rsidRPr="000D3C65">
        <w:t>11.</w:t>
      </w:r>
      <w:r w:rsidRPr="000D3C65">
        <w:tab/>
        <w:t>Antes de que se aprobaran las listas de cuestiones y las listas de cuestiones previas a la presentación de informes, la secretaría y el Centro para los Derechos Civiles y Políticos (Centro CCPR) organizaron sesiones para que los miembros del Comité recibieran información de diversas partes interesadas.</w:t>
      </w:r>
    </w:p>
    <w:p w14:paraId="038EA78B" w14:textId="77777777" w:rsidR="00021E86" w:rsidRPr="000D3C65" w:rsidRDefault="00021E86" w:rsidP="00021E86">
      <w:pPr>
        <w:pStyle w:val="SingleTxtG"/>
      </w:pPr>
      <w:r w:rsidRPr="000D3C65">
        <w:t>12.</w:t>
      </w:r>
      <w:r w:rsidRPr="000D3C65">
        <w:tab/>
        <w:t>En el 141</w:t>
      </w:r>
      <w:r w:rsidRPr="000D3C65">
        <w:rPr>
          <w:vertAlign w:val="superscript"/>
        </w:rPr>
        <w:t>er</w:t>
      </w:r>
      <w:r w:rsidRPr="000D3C65">
        <w:t xml:space="preserve"> período de sesiones, el Grupo de Trabajo sobre las Comunicaciones estuvo integrado por Yvonne Donders, Laurence R. Helfer, Bacre Waly Ndiaye, Kobauyah Tchamdja Kpatcha, Hélène Tigroudja e Imeru Tamerat Yigezu. La Sra. Tigroudja fue designada Presidenta-Relatora. El Grupo de Trabajo se reunió del 26 al 28 de junio de 2024.</w:t>
      </w:r>
    </w:p>
    <w:p w14:paraId="12BE3D77" w14:textId="77777777" w:rsidR="00021E86" w:rsidRPr="000D3C65" w:rsidRDefault="00021E86" w:rsidP="00021E86">
      <w:pPr>
        <w:pStyle w:val="SingleTxtG"/>
      </w:pPr>
      <w:bookmarkStart w:id="3" w:name="_Hlk190680327"/>
      <w:r w:rsidRPr="000D3C65">
        <w:t>13.</w:t>
      </w:r>
      <w:r w:rsidRPr="000D3C65">
        <w:tab/>
        <w:t>En el 142º período de sesiones, el Grupo de Trabajo estuvo integrado por Wafaa Ashraf Moharram Bassim, Rodrigo A. Carazo, Mahjoub El Haiba, Tijana Šurlan, Teraya Koji y Hélène Tigroudja. La Sra. Bassim fue designada Presidenta-Relatora. El Grupo de Trabajo se reunió del 7 al 11 de octubre de 2024.</w:t>
      </w:r>
      <w:bookmarkEnd w:id="3"/>
    </w:p>
    <w:p w14:paraId="2748BA06" w14:textId="77777777" w:rsidR="00021E86" w:rsidRPr="000D3C65" w:rsidRDefault="00021E86" w:rsidP="00021E86">
      <w:pPr>
        <w:pStyle w:val="SingleTxtG"/>
      </w:pPr>
      <w:r w:rsidRPr="000D3C65">
        <w:t>14.</w:t>
      </w:r>
      <w:r w:rsidRPr="000D3C65">
        <w:tab/>
        <w:t>En el 143</w:t>
      </w:r>
      <w:r w:rsidRPr="000D3C65">
        <w:rPr>
          <w:vertAlign w:val="superscript"/>
        </w:rPr>
        <w:t>er</w:t>
      </w:r>
      <w:r w:rsidRPr="000D3C65">
        <w:t xml:space="preserve"> período de sesiones, el Grupo de Trabajo estuvo integrado por Yvonne Donders, Laurence R. Helfer, Bacre Waly Ndiaye, Soh Changrok, Tijana Šurlan, Hélène Tigroudja e Imeru Tamerat Yigezu. El Sr. Helfer fue designado Presidente-Relator. El Grupo de Trabajo se reunió del 24 al 28 de febrero de 2025.</w:t>
      </w:r>
    </w:p>
    <w:p w14:paraId="2C155012" w14:textId="77777777" w:rsidR="00021E86" w:rsidRPr="000D3C65" w:rsidRDefault="00021E86" w:rsidP="00021E86">
      <w:pPr>
        <w:pStyle w:val="H1G"/>
      </w:pPr>
      <w:r w:rsidRPr="000D3C65">
        <w:tab/>
        <w:t>F.</w:t>
      </w:r>
      <w:r w:rsidRPr="000D3C65">
        <w:tab/>
        <w:t>Suspensión de obligaciones en virtud del artículo 4 del Pacto</w:t>
      </w:r>
    </w:p>
    <w:p w14:paraId="48AD9EDA" w14:textId="30C85516" w:rsidR="00021E86" w:rsidRPr="000D3C65" w:rsidRDefault="00021E86" w:rsidP="00021E86">
      <w:pPr>
        <w:pStyle w:val="SingleTxtG"/>
      </w:pPr>
      <w:r w:rsidRPr="000D3C65">
        <w:t>15.</w:t>
      </w:r>
      <w:r w:rsidR="00871205" w:rsidRPr="000D3C65">
        <w:tab/>
      </w:r>
      <w:r w:rsidRPr="000D3C65">
        <w:t xml:space="preserve">El artículo 4, párrafo 1, del Pacto dispone que, en situaciones excepcionales que pongan en peligro la vida de la nación, los Estados Partes podrán adoptar disposiciones que suspendan algunas de las obligaciones contraídas en virtud del Pacto. Con arreglo al artículo 4, párrafo 2, no se autoriza suspensión alguna de los artículos 6; 7; 8, párrafos 1 y 2; 11; 15; 16; y 18. Conforme al artículo 4, párrafo 3, cualquier suspensión debe ser notificada inmediatamente a los demás Estados Partes por conducto del Secretario General. Se exige </w:t>
      </w:r>
      <w:r w:rsidRPr="000D3C65">
        <w:lastRenderedPageBreak/>
        <w:t>una nueva notificación al darse por terminada o al prorrogarse la suspensión</w:t>
      </w:r>
      <w:r w:rsidRPr="000D3C65">
        <w:rPr>
          <w:rStyle w:val="Refdenotaalpie"/>
          <w:lang w:val="es-ES"/>
        </w:rPr>
        <w:footnoteReference w:id="2"/>
      </w:r>
      <w:r w:rsidRPr="000D3C65">
        <w:t xml:space="preserve">. Durante el período que abarca el presente informe, el Ecuador, El Salvador y Guatemala realizaron esas notificaciones iniciales. Los Estados siguientes prorrogaron sus suspensiones iniciales: Ecuador, El Salvador, Guatemala, Perú y Ucrania. El Ecuador y el Paraguay notificaron la terminación de sus suspensiones. Todas esas notificaciones pueden consultarse en </w:t>
      </w:r>
      <w:hyperlink r:id="rId25" w:history="1">
        <w:r w:rsidRPr="000D3C65">
          <w:rPr>
            <w:rStyle w:val="Hipervnculo"/>
          </w:rPr>
          <w:t>https://treaties.un.org</w:t>
        </w:r>
      </w:hyperlink>
      <w:r w:rsidRPr="000D3C65">
        <w:t>.</w:t>
      </w:r>
    </w:p>
    <w:p w14:paraId="47B3E2A4" w14:textId="77777777" w:rsidR="00021E86" w:rsidRPr="000D3C65" w:rsidRDefault="00021E86" w:rsidP="00021E86">
      <w:pPr>
        <w:pStyle w:val="H1G"/>
      </w:pPr>
      <w:r w:rsidRPr="000D3C65">
        <w:tab/>
        <w:t>G.</w:t>
      </w:r>
      <w:r w:rsidRPr="000D3C65">
        <w:tab/>
        <w:t>Observaciones finales y su seguimiento</w:t>
      </w:r>
    </w:p>
    <w:p w14:paraId="5B0A986D" w14:textId="3AFF2C06" w:rsidR="00021E86" w:rsidRPr="000D3C65" w:rsidRDefault="00021E86" w:rsidP="00021E86">
      <w:pPr>
        <w:pStyle w:val="SingleTxtG"/>
      </w:pPr>
      <w:r w:rsidRPr="000D3C65">
        <w:t>16.</w:t>
      </w:r>
      <w:r w:rsidRPr="000D3C65">
        <w:tab/>
        <w:t>Desde su 44º período de sesiones, celebrado en marzo de 1992, el Comité aprueba observaciones finales</w:t>
      </w:r>
      <w:r w:rsidRPr="000D3C65">
        <w:rPr>
          <w:rStyle w:val="Refdenotaalpie"/>
          <w:lang w:val="es-ES"/>
        </w:rPr>
        <w:footnoteReference w:id="3"/>
      </w:r>
      <w:r w:rsidRPr="000D3C65">
        <w:t>. Considera que las observaciones finales constituyen un punto de partida para la elaboración de la lista de cuestiones que deben abordarse al examinar el siguiente informe del Estado Parte. En el período que se examina se aprobaron observaciones finales en relación con 18 Estados Partes. En su 141</w:t>
      </w:r>
      <w:r w:rsidRPr="000D3C65">
        <w:rPr>
          <w:vertAlign w:val="superscript"/>
        </w:rPr>
        <w:t>er</w:t>
      </w:r>
      <w:r w:rsidRPr="000D3C65">
        <w:t xml:space="preserve"> período de sesiones, el Comité aprobó observaciones finales en relación con Croacia, Honduras, la India, Maldivas, Malta, la República Árabe Siria y Suriname</w:t>
      </w:r>
      <w:r w:rsidRPr="000D3C65">
        <w:rPr>
          <w:rStyle w:val="Refdenotaalpie"/>
          <w:lang w:val="es-ES"/>
        </w:rPr>
        <w:footnoteReference w:id="4"/>
      </w:r>
      <w:r w:rsidRPr="000D3C65">
        <w:t>. En su 142º período de sesiones, el Comité aprobó observaciones finales en relación con el Ecuador, Francia, Grecia, Islandia, el Pakistán y Türkiye</w:t>
      </w:r>
      <w:r w:rsidRPr="000D3C65">
        <w:rPr>
          <w:rStyle w:val="Refdenotaalpie"/>
          <w:lang w:val="es-ES"/>
        </w:rPr>
        <w:footnoteReference w:id="5"/>
      </w:r>
      <w:r w:rsidRPr="000D3C65">
        <w:t>. En su 143</w:t>
      </w:r>
      <w:r w:rsidRPr="000D3C65">
        <w:rPr>
          <w:vertAlign w:val="superscript"/>
        </w:rPr>
        <w:t>er</w:t>
      </w:r>
      <w:r w:rsidRPr="000D3C65">
        <w:t xml:space="preserve"> período de sesiones, el Comité adoptó observaciones finales en relación con Albania, Burkina Faso, Mongolia, Montenegro y Zimbabwe</w:t>
      </w:r>
      <w:r w:rsidRPr="000D3C65">
        <w:rPr>
          <w:rStyle w:val="Refdenotaalpie"/>
          <w:lang w:val="es-ES"/>
        </w:rPr>
        <w:footnoteReference w:id="6"/>
      </w:r>
      <w:r w:rsidRPr="000D3C65">
        <w:t>. Las observaciones finales pueden consultarse en la base de datos de los órganos de tratados (</w:t>
      </w:r>
      <w:hyperlink r:id="rId26" w:history="1">
        <w:r w:rsidRPr="000D3C65">
          <w:rPr>
            <w:rStyle w:val="Hipervnculo"/>
          </w:rPr>
          <w:t>https://tbinternet.ohchr.org/_layouts/15/TreatyBodyExternal/TBSearch.aspx?Lang=es</w:t>
        </w:r>
      </w:hyperlink>
      <w:r w:rsidRPr="000D3C65">
        <w:t>) y en el Sistema de Archivo de Documentos de las Naciones Unidas (</w:t>
      </w:r>
      <w:hyperlink r:id="rId27" w:history="1">
        <w:r w:rsidRPr="000D3C65">
          <w:rPr>
            <w:rStyle w:val="Hipervnculo"/>
          </w:rPr>
          <w:t>https://documents.un.org</w:t>
        </w:r>
      </w:hyperlink>
      <w:r w:rsidRPr="000D3C65">
        <w:t>), bajo la signatura correspondiente.</w:t>
      </w:r>
    </w:p>
    <w:p w14:paraId="40866830" w14:textId="64C0F07D" w:rsidR="00021E86" w:rsidRPr="000D3C65" w:rsidRDefault="00021E86" w:rsidP="00021E86">
      <w:pPr>
        <w:pStyle w:val="SingleTxtG"/>
      </w:pPr>
      <w:r w:rsidRPr="000D3C65">
        <w:t>17.</w:t>
      </w:r>
      <w:r w:rsidRPr="000D3C65">
        <w:tab/>
        <w:t>Durante el 141</w:t>
      </w:r>
      <w:r w:rsidRPr="000D3C65">
        <w:rPr>
          <w:vertAlign w:val="superscript"/>
        </w:rPr>
        <w:t>er</w:t>
      </w:r>
      <w:r w:rsidRPr="000D3C65">
        <w:t xml:space="preserve"> período de sesiones, el Relator Especial para el seguimiento de las observaciones finales presentó al Comité informes provisionales. En ese período de sesiones, el Comité examinó los siguientes Estados Partes en relación con el proceso de seguimiento: Kenya</w:t>
      </w:r>
      <w:r w:rsidRPr="000D3C65">
        <w:rPr>
          <w:rStyle w:val="Refdenotaalpie"/>
          <w:lang w:val="es-ES"/>
        </w:rPr>
        <w:footnoteReference w:id="7"/>
      </w:r>
      <w:r w:rsidRPr="000D3C65">
        <w:t>, Liberia</w:t>
      </w:r>
      <w:r w:rsidRPr="000D3C65">
        <w:rPr>
          <w:rStyle w:val="Refdenotaalpie"/>
          <w:lang w:val="es-ES"/>
        </w:rPr>
        <w:footnoteReference w:id="8"/>
      </w:r>
      <w:r w:rsidR="000700DF" w:rsidRPr="000D3C65">
        <w:t>,</w:t>
      </w:r>
      <w:r w:rsidRPr="000D3C65">
        <w:t xml:space="preserve"> </w:t>
      </w:r>
      <w:r w:rsidR="000700DF" w:rsidRPr="000D3C65">
        <w:t>República Democrática del Congo</w:t>
      </w:r>
      <w:r w:rsidR="000700DF" w:rsidRPr="000D3C65">
        <w:rPr>
          <w:rStyle w:val="Refdenotaalpie"/>
          <w:lang w:val="es-ES"/>
        </w:rPr>
        <w:footnoteReference w:id="9"/>
      </w:r>
      <w:r w:rsidRPr="000D3C65">
        <w:t>y República Democrática Popular Lao</w:t>
      </w:r>
      <w:r w:rsidRPr="000D3C65">
        <w:rPr>
          <w:rStyle w:val="Refdenotaalpie"/>
          <w:lang w:val="es-ES"/>
        </w:rPr>
        <w:footnoteReference w:id="10"/>
      </w:r>
      <w:r w:rsidRPr="000D3C65">
        <w:t>.</w:t>
      </w:r>
    </w:p>
    <w:p w14:paraId="7F57C410" w14:textId="77777777" w:rsidR="00021E86" w:rsidRPr="000D3C65" w:rsidRDefault="00021E86" w:rsidP="00021E86">
      <w:pPr>
        <w:pStyle w:val="SingleTxtG"/>
      </w:pPr>
      <w:r w:rsidRPr="000D3C65">
        <w:t>18.</w:t>
      </w:r>
      <w:r w:rsidRPr="000D3C65">
        <w:tab/>
        <w:t>Durante el período que se examina, se recibió información complementaria de algunos Estados Partes y otros interesados.</w:t>
      </w:r>
    </w:p>
    <w:p w14:paraId="650996B7" w14:textId="77777777" w:rsidR="00021E86" w:rsidRPr="000D3C65" w:rsidRDefault="00021E86" w:rsidP="00021E86">
      <w:pPr>
        <w:pStyle w:val="SingleTxtG"/>
      </w:pPr>
      <w:r w:rsidRPr="000D3C65">
        <w:t>19.</w:t>
      </w:r>
      <w:r w:rsidRPr="000D3C65">
        <w:tab/>
        <w:t>Toda la información relativa al seguimiento de las observaciones finales, incluidos los informes de seguimiento, puede consultarse en el sitio web de la Oficina del Alto Comisionado de las Naciones Unidas para los Derechos Humanos (ACNUDH)</w:t>
      </w:r>
      <w:r w:rsidRPr="000D3C65">
        <w:rPr>
          <w:rStyle w:val="Refdenotaalpie"/>
          <w:lang w:val="es-ES"/>
        </w:rPr>
        <w:footnoteReference w:id="11"/>
      </w:r>
      <w:r w:rsidRPr="000D3C65">
        <w:t>.</w:t>
      </w:r>
    </w:p>
    <w:p w14:paraId="3BE7E2E4" w14:textId="77777777" w:rsidR="00021E86" w:rsidRPr="000D3C65" w:rsidRDefault="00021E86" w:rsidP="00021E86">
      <w:pPr>
        <w:pStyle w:val="H1G"/>
      </w:pPr>
      <w:r w:rsidRPr="000D3C65">
        <w:tab/>
        <w:t>H.</w:t>
      </w:r>
      <w:r w:rsidRPr="000D3C65">
        <w:tab/>
        <w:t>Comunicaciones y seguimiento de los dictámenes</w:t>
      </w:r>
    </w:p>
    <w:p w14:paraId="49F81AB2" w14:textId="28BE6C40" w:rsidR="00021E86" w:rsidRPr="000D3C65" w:rsidRDefault="00021E86" w:rsidP="00021E86">
      <w:pPr>
        <w:pStyle w:val="SingleTxtG"/>
      </w:pPr>
      <w:r w:rsidRPr="000D3C65">
        <w:t>20.</w:t>
      </w:r>
      <w:r w:rsidRPr="000D3C65">
        <w:tab/>
        <w:t xml:space="preserve">Los particulares que estimen ser víctimas de la violación por un Estado Parte de los derechos que se les reconocen en el Pacto y que hayan agotado todos los recursos internos disponibles podrán presentar al Comité comunicaciones escritas para que este las examine en virtud del Protocolo Facultativo. No se pueden considerar las comunicaciones a menos que se refieran a un Estado Parte en el Pacto que haya reconocido la competencia del Comité haciéndose parte en el Protocolo Facultativo. De conformidad con el artículo 93 del reglamento del Comité, los Estados Partes tienen la posibilidad de solicitar al Comité que examine la admisibilidad de una comunicación separadamente del fondo. El Comité decidió </w:t>
      </w:r>
      <w:r w:rsidRPr="000D3C65">
        <w:lastRenderedPageBreak/>
        <w:t>que, por razones de eficacia procedimental y debido a limitaciones estructurales de recursos, suspendería, a partir del 8 de mayo de 2024 y hasta nuevo aviso, la posibilidad de que los Estados Partes presentaran tales solicitudes. La decisión no afecta a las solicitudes para que se examine la admisibilidad por separado si se</w:t>
      </w:r>
      <w:r w:rsidR="000D3C65">
        <w:t xml:space="preserve"> </w:t>
      </w:r>
      <w:r w:rsidRPr="000D3C65">
        <w:t>presentaron antes del 8 de mayo de 2024; dichas solicitudes se seguirían tramitando con arreglo a la práctica habitual. La decisión de suspensión también se aplica sin perjuicio de que el Comité pueda decidir, en el momento del registro, examinar la admisibilidad de la comunicación separadamente del fondo. En esos casos, se informaría oportunamente a los Estados en las notas de registro.</w:t>
      </w:r>
    </w:p>
    <w:p w14:paraId="4E24FEA6" w14:textId="77777777" w:rsidR="00021E86" w:rsidRPr="000D3C65" w:rsidRDefault="00021E86" w:rsidP="00021E86">
      <w:pPr>
        <w:pStyle w:val="SingleTxtG"/>
      </w:pPr>
      <w:r w:rsidRPr="000D3C65">
        <w:t>21.</w:t>
      </w:r>
      <w:r w:rsidRPr="000D3C65">
        <w:tab/>
        <w:t>El examen de las comunicaciones en virtud del Protocolo Facultativo es confidencial y se efectúa en sesiones privadas (art. 5, párr. 3). Las decisiones finales del Comité (dictámenes, decisiones de inadmisibilidad y decisiones de cesación de las actuaciones) se hacen públicas; también se revela el nombre de los autores, salvo que, a petición de estos, el Comité decida otra cosa.</w:t>
      </w:r>
    </w:p>
    <w:p w14:paraId="7C49F3ED" w14:textId="77777777" w:rsidR="00021E86" w:rsidRPr="000D3C65" w:rsidRDefault="00021E86" w:rsidP="00021E86">
      <w:pPr>
        <w:pStyle w:val="SingleTxtG"/>
      </w:pPr>
      <w:r w:rsidRPr="000D3C65">
        <w:t>22.</w:t>
      </w:r>
      <w:r w:rsidRPr="000D3C65">
        <w:tab/>
        <w:t>En la observación general núm. 33 (2008) del Comité se reseñan las obligaciones que incumben a los Estados Partes en virtud del Protocolo Facultativo.</w:t>
      </w:r>
    </w:p>
    <w:p w14:paraId="3C1FD232" w14:textId="77777777" w:rsidR="00021E86" w:rsidRPr="000D3C65" w:rsidRDefault="00021E86" w:rsidP="00021E86">
      <w:pPr>
        <w:pStyle w:val="SingleTxtG"/>
      </w:pPr>
      <w:r w:rsidRPr="000D3C65">
        <w:t>23.</w:t>
      </w:r>
      <w:r w:rsidRPr="000D3C65">
        <w:tab/>
        <w:t>En su 140º período de sesiones, el Comité adoptó una estrategia pluridimensional orientada a reducir el elevado número de comunicaciones pendientes de examen y aprobación. En el marco de la estrategia, el Comité adoptó un formato simplificado en el caso de determinadas decisiones. Esas decisiones se referían a comunicaciones en las que se planteaban hechos y reclamaciones similares y en relación con violaciones respecto de las cuales el Comité había determinado el carácter estructural y las disposiciones vulneradas y había establecido una jurisprudencia constante a lo largo de los años.</w:t>
      </w:r>
    </w:p>
    <w:p w14:paraId="2BCF8ED3" w14:textId="77777777" w:rsidR="00021E86" w:rsidRPr="000D3C65" w:rsidRDefault="00021E86" w:rsidP="00021E86">
      <w:pPr>
        <w:pStyle w:val="H23G"/>
      </w:pPr>
      <w:r w:rsidRPr="000D3C65">
        <w:tab/>
        <w:t>1.</w:t>
      </w:r>
      <w:r w:rsidRPr="000D3C65">
        <w:tab/>
        <w:t>Marcha de los trabajos</w:t>
      </w:r>
    </w:p>
    <w:p w14:paraId="54A6F324" w14:textId="77777777" w:rsidR="00021E86" w:rsidRPr="000D3C65" w:rsidRDefault="00021E86" w:rsidP="00021E86">
      <w:pPr>
        <w:pStyle w:val="SingleTxtG"/>
      </w:pPr>
      <w:r w:rsidRPr="000D3C65">
        <w:t>24.</w:t>
      </w:r>
      <w:r w:rsidRPr="000D3C65">
        <w:tab/>
        <w:t>El Comité inició su labor con arreglo al Protocolo Facultativo en su segundo período de sesiones, celebrado en 1977. Desde entonces, se han sometido a su consideración 4.809 comunicaciones relativas a 95 Estados Partes, de las que 159 se registraron en el período que abarca el presente informe. El estado de las 4.809 comunicaciones registradas actualmente es el siguiente:</w:t>
      </w:r>
    </w:p>
    <w:p w14:paraId="23CA98A7" w14:textId="60FE7CC3" w:rsidR="00021E86" w:rsidRPr="000D3C65" w:rsidRDefault="00021E86" w:rsidP="00021E86">
      <w:pPr>
        <w:pStyle w:val="SingleTxtG"/>
      </w:pPr>
      <w:r w:rsidRPr="000D3C65">
        <w:tab/>
        <w:t>a)</w:t>
      </w:r>
      <w:r w:rsidRPr="000D3C65">
        <w:tab/>
        <w:t>Examen finalizado con la aprobación de un dictamen a tenor del artículo 5, párrafo 4, del Protocolo Facultativo:</w:t>
      </w:r>
      <w:r w:rsidR="00BD0845" w:rsidRPr="000D3C65">
        <w:t xml:space="preserve"> </w:t>
      </w:r>
      <w:r w:rsidRPr="000D3C65">
        <w:t>3.679, en 1.868 de las cuales se determinó la existencia de violaciones del Pacto;</w:t>
      </w:r>
    </w:p>
    <w:p w14:paraId="2E4EF9B6" w14:textId="77777777" w:rsidR="00021E86" w:rsidRPr="000D3C65" w:rsidRDefault="00021E86" w:rsidP="00021E86">
      <w:pPr>
        <w:pStyle w:val="SingleTxtG"/>
      </w:pPr>
      <w:r w:rsidRPr="000D3C65">
        <w:tab/>
        <w:t>b)</w:t>
      </w:r>
      <w:r w:rsidRPr="000D3C65">
        <w:tab/>
        <w:t>Comunicaciones declaradas inadmisibles: 1.104;</w:t>
      </w:r>
    </w:p>
    <w:p w14:paraId="26CE9A0E" w14:textId="77777777" w:rsidR="00021E86" w:rsidRPr="000D3C65" w:rsidRDefault="00021E86" w:rsidP="00021E86">
      <w:pPr>
        <w:pStyle w:val="SingleTxtG"/>
      </w:pPr>
      <w:r w:rsidRPr="000D3C65">
        <w:tab/>
        <w:t>c)</w:t>
      </w:r>
      <w:r w:rsidRPr="000D3C65">
        <w:tab/>
        <w:t>Comunicaciones canceladas o retiradas: 707;</w:t>
      </w:r>
    </w:p>
    <w:p w14:paraId="5EF8C3E1" w14:textId="77777777" w:rsidR="00021E86" w:rsidRPr="000D3C65" w:rsidRDefault="00021E86" w:rsidP="00021E86">
      <w:pPr>
        <w:pStyle w:val="SingleTxtG"/>
      </w:pPr>
      <w:r w:rsidRPr="000D3C65">
        <w:tab/>
        <w:t>d)</w:t>
      </w:r>
      <w:r w:rsidRPr="000D3C65">
        <w:tab/>
        <w:t>Comunicaciones cuyo examen no ha finalizado: 1.051.</w:t>
      </w:r>
    </w:p>
    <w:p w14:paraId="087F82CE" w14:textId="453F9E1F" w:rsidR="00021E86" w:rsidRPr="000D3C65" w:rsidRDefault="00021E86" w:rsidP="00021E86">
      <w:pPr>
        <w:pStyle w:val="SingleTxtG"/>
      </w:pPr>
      <w:r w:rsidRPr="000D3C65">
        <w:t>25.</w:t>
      </w:r>
      <w:r w:rsidRPr="000D3C65">
        <w:tab/>
        <w:t>En sus períodos de sesiones 141º, 142º y 143º, el Comité aprobó dictámenes respecto de 378</w:t>
      </w:r>
      <w:r w:rsidRPr="000D3C65">
        <w:rPr>
          <w:rStyle w:val="Refdenotaalpie"/>
          <w:lang w:val="es-ES"/>
        </w:rPr>
        <w:footnoteReference w:id="12"/>
      </w:r>
      <w:r w:rsidRPr="000D3C65">
        <w:t xml:space="preserve"> casos y concluyó el examen de 25 comunicaciones declarándolas inadmisibles. Los dictámenes aprobados y las decisiones finales adoptadas por el Comité en los períodos de sesiones pueden consultarse en la base de datos sobre jurisprudencia de los órganos de tratados (</w:t>
      </w:r>
      <w:hyperlink r:id="rId28" w:history="1">
        <w:r w:rsidRPr="000D3C65">
          <w:rPr>
            <w:rStyle w:val="Hipervnculo"/>
          </w:rPr>
          <w:t>https://juris.ohchr.org</w:t>
        </w:r>
      </w:hyperlink>
      <w:r w:rsidRPr="000D3C65">
        <w:t>) y en la información sobre jurisprudencia publicada en el sitio web del ACNUDH (por período de sesiones)</w:t>
      </w:r>
      <w:r w:rsidRPr="000D3C65">
        <w:rPr>
          <w:rStyle w:val="Refdenotaalpie"/>
          <w:lang w:val="es-ES"/>
        </w:rPr>
        <w:footnoteReference w:id="13"/>
      </w:r>
      <w:r w:rsidRPr="000D3C65">
        <w:t>. También pueden consultarse en la base de datos de los órganos de tratados que figura en el sitio web del ACNUDH y en el Sistema de Archivo de Documentos de las Naciones Unidas.</w:t>
      </w:r>
    </w:p>
    <w:p w14:paraId="1EC9DA2D" w14:textId="77777777" w:rsidR="00021E86" w:rsidRPr="000D3C65" w:rsidRDefault="00021E86" w:rsidP="00021E86">
      <w:pPr>
        <w:pStyle w:val="SingleTxtG"/>
      </w:pPr>
      <w:r w:rsidRPr="000D3C65">
        <w:t>26.</w:t>
      </w:r>
      <w:r w:rsidRPr="000D3C65">
        <w:tab/>
        <w:t>Durante el período que se examina, el Comité decidió dar por terminado el examen de 66 comunicaciones porque los autores las habían retirado, porque los autores o sus abogados no respondieron al Comité pese a habérseles enviado varios recordatorios, o porque los autores sobre los que pendía una orden de expulsión habían sido al fin autorizados a permanecer en los países en cuestión.</w:t>
      </w:r>
    </w:p>
    <w:p w14:paraId="40C3B2CF" w14:textId="77777777" w:rsidR="00021E86" w:rsidRPr="000D3C65" w:rsidRDefault="00021E86" w:rsidP="00021E86">
      <w:pPr>
        <w:pStyle w:val="SingleTxtG"/>
      </w:pPr>
      <w:r w:rsidRPr="000D3C65">
        <w:lastRenderedPageBreak/>
        <w:t>27.</w:t>
      </w:r>
      <w:r w:rsidRPr="000D3C65">
        <w:tab/>
        <w:t>En el siguiente cuadro se muestra la labor realizada por el Comité en lo relativo a las comunicaciones durante los 13 últimos años (comunicaciones examinadas entre 2012 y el 31 de diciembre de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848"/>
        <w:gridCol w:w="1848"/>
        <w:gridCol w:w="2681"/>
      </w:tblGrid>
      <w:tr w:rsidR="002278E9" w:rsidRPr="000D3C65" w14:paraId="7B17D8B4" w14:textId="77777777" w:rsidTr="002278E9">
        <w:trPr>
          <w:cantSplit/>
          <w:trHeight w:val="240"/>
          <w:tblHeader/>
        </w:trPr>
        <w:tc>
          <w:tcPr>
            <w:tcW w:w="993" w:type="dxa"/>
            <w:tcBorders>
              <w:top w:val="single" w:sz="4" w:space="0" w:color="auto"/>
              <w:bottom w:val="single" w:sz="12" w:space="0" w:color="auto"/>
            </w:tcBorders>
            <w:shd w:val="clear" w:color="auto" w:fill="auto"/>
            <w:vAlign w:val="bottom"/>
            <w:hideMark/>
          </w:tcPr>
          <w:p w14:paraId="2EAF8D76" w14:textId="77777777" w:rsidR="00021E86" w:rsidRPr="000D3C65" w:rsidRDefault="00021E86" w:rsidP="002278E9">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Año</w:t>
            </w:r>
          </w:p>
        </w:tc>
        <w:tc>
          <w:tcPr>
            <w:tcW w:w="1848" w:type="dxa"/>
            <w:tcBorders>
              <w:top w:val="single" w:sz="4" w:space="0" w:color="auto"/>
              <w:bottom w:val="single" w:sz="12" w:space="0" w:color="auto"/>
            </w:tcBorders>
            <w:shd w:val="clear" w:color="auto" w:fill="auto"/>
            <w:vAlign w:val="bottom"/>
            <w:hideMark/>
          </w:tcPr>
          <w:p w14:paraId="1FD2AEAD" w14:textId="77777777" w:rsidR="00021E86" w:rsidRPr="000D3C65" w:rsidRDefault="00021E86" w:rsidP="002278E9">
            <w:pPr>
              <w:pStyle w:val="SingleTxtG"/>
              <w:tabs>
                <w:tab w:val="clear" w:pos="1701"/>
                <w:tab w:val="clear" w:pos="2268"/>
                <w:tab w:val="clear" w:pos="2835"/>
              </w:tabs>
              <w:suppressAutoHyphens w:val="0"/>
              <w:spacing w:before="80" w:after="80" w:line="200" w:lineRule="exact"/>
              <w:ind w:left="0" w:right="28"/>
              <w:jc w:val="right"/>
              <w:rPr>
                <w:i/>
                <w:sz w:val="16"/>
              </w:rPr>
            </w:pPr>
            <w:r w:rsidRPr="000D3C65">
              <w:rPr>
                <w:i/>
                <w:iCs/>
                <w:sz w:val="16"/>
              </w:rPr>
              <w:t>Nuevos casos registrados</w:t>
            </w:r>
          </w:p>
        </w:tc>
        <w:tc>
          <w:tcPr>
            <w:tcW w:w="1848" w:type="dxa"/>
            <w:tcBorders>
              <w:top w:val="single" w:sz="4" w:space="0" w:color="auto"/>
              <w:bottom w:val="single" w:sz="12" w:space="0" w:color="auto"/>
            </w:tcBorders>
            <w:shd w:val="clear" w:color="auto" w:fill="auto"/>
            <w:vAlign w:val="bottom"/>
            <w:hideMark/>
          </w:tcPr>
          <w:p w14:paraId="7083EF46" w14:textId="77777777" w:rsidR="00021E86" w:rsidRPr="000D3C65" w:rsidRDefault="00021E86" w:rsidP="002278E9">
            <w:pPr>
              <w:pStyle w:val="SingleTxtG"/>
              <w:tabs>
                <w:tab w:val="clear" w:pos="1701"/>
                <w:tab w:val="clear" w:pos="2268"/>
                <w:tab w:val="clear" w:pos="2835"/>
              </w:tabs>
              <w:suppressAutoHyphens w:val="0"/>
              <w:spacing w:before="80" w:after="80" w:line="200" w:lineRule="exact"/>
              <w:ind w:left="0" w:right="28"/>
              <w:jc w:val="right"/>
              <w:rPr>
                <w:i/>
                <w:sz w:val="16"/>
              </w:rPr>
            </w:pPr>
            <w:r w:rsidRPr="000D3C65">
              <w:rPr>
                <w:i/>
                <w:iCs/>
                <w:sz w:val="16"/>
              </w:rPr>
              <w:t>Casos terminados</w:t>
            </w:r>
            <w:r w:rsidRPr="000D3C65">
              <w:rPr>
                <w:i/>
                <w:iCs/>
                <w:sz w:val="16"/>
                <w:vertAlign w:val="superscript"/>
              </w:rPr>
              <w:t>a</w:t>
            </w:r>
          </w:p>
        </w:tc>
        <w:tc>
          <w:tcPr>
            <w:tcW w:w="2681" w:type="dxa"/>
            <w:tcBorders>
              <w:top w:val="single" w:sz="4" w:space="0" w:color="auto"/>
              <w:bottom w:val="single" w:sz="12" w:space="0" w:color="auto"/>
            </w:tcBorders>
            <w:shd w:val="clear" w:color="auto" w:fill="auto"/>
            <w:vAlign w:val="bottom"/>
            <w:hideMark/>
          </w:tcPr>
          <w:p w14:paraId="107F34C3" w14:textId="77777777" w:rsidR="00021E86" w:rsidRPr="000D3C65" w:rsidRDefault="00021E86" w:rsidP="002278E9">
            <w:pPr>
              <w:pStyle w:val="SingleTxtG"/>
              <w:tabs>
                <w:tab w:val="clear" w:pos="1701"/>
                <w:tab w:val="clear" w:pos="2268"/>
                <w:tab w:val="clear" w:pos="2835"/>
              </w:tabs>
              <w:suppressAutoHyphens w:val="0"/>
              <w:spacing w:before="80" w:after="80" w:line="200" w:lineRule="exact"/>
              <w:ind w:left="0" w:right="28"/>
              <w:jc w:val="right"/>
              <w:rPr>
                <w:i/>
                <w:sz w:val="16"/>
              </w:rPr>
            </w:pPr>
            <w:r w:rsidRPr="000D3C65">
              <w:rPr>
                <w:i/>
                <w:iCs/>
                <w:sz w:val="16"/>
              </w:rPr>
              <w:t>Casos pendientes al 31 de diciembre</w:t>
            </w:r>
          </w:p>
        </w:tc>
      </w:tr>
      <w:tr w:rsidR="002278E9" w:rsidRPr="000D3C65" w14:paraId="2AC731EC" w14:textId="77777777" w:rsidTr="002278E9">
        <w:trPr>
          <w:cantSplit/>
          <w:trHeight w:val="240"/>
        </w:trPr>
        <w:tc>
          <w:tcPr>
            <w:tcW w:w="993" w:type="dxa"/>
            <w:tcBorders>
              <w:top w:val="single" w:sz="12" w:space="0" w:color="auto"/>
            </w:tcBorders>
            <w:shd w:val="clear" w:color="auto" w:fill="auto"/>
          </w:tcPr>
          <w:p w14:paraId="5CE1769D"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2024</w:t>
            </w:r>
          </w:p>
        </w:tc>
        <w:tc>
          <w:tcPr>
            <w:tcW w:w="1848" w:type="dxa"/>
            <w:tcBorders>
              <w:top w:val="single" w:sz="12" w:space="0" w:color="auto"/>
            </w:tcBorders>
            <w:shd w:val="clear" w:color="auto" w:fill="auto"/>
            <w:vAlign w:val="bottom"/>
          </w:tcPr>
          <w:p w14:paraId="50903D60"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164</w:t>
            </w:r>
          </w:p>
        </w:tc>
        <w:tc>
          <w:tcPr>
            <w:tcW w:w="1848" w:type="dxa"/>
            <w:tcBorders>
              <w:top w:val="single" w:sz="12" w:space="0" w:color="auto"/>
            </w:tcBorders>
            <w:shd w:val="clear" w:color="auto" w:fill="auto"/>
            <w:vAlign w:val="bottom"/>
          </w:tcPr>
          <w:p w14:paraId="488F6BA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446</w:t>
            </w:r>
          </w:p>
        </w:tc>
        <w:tc>
          <w:tcPr>
            <w:tcW w:w="2681" w:type="dxa"/>
            <w:tcBorders>
              <w:top w:val="single" w:sz="12" w:space="0" w:color="auto"/>
            </w:tcBorders>
            <w:shd w:val="clear" w:color="auto" w:fill="auto"/>
            <w:vAlign w:val="bottom"/>
          </w:tcPr>
          <w:p w14:paraId="412104F0"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985</w:t>
            </w:r>
          </w:p>
        </w:tc>
      </w:tr>
      <w:tr w:rsidR="002278E9" w:rsidRPr="000D3C65" w14:paraId="626D5B57" w14:textId="77777777" w:rsidTr="002278E9">
        <w:trPr>
          <w:cantSplit/>
          <w:trHeight w:val="240"/>
        </w:trPr>
        <w:tc>
          <w:tcPr>
            <w:tcW w:w="993" w:type="dxa"/>
            <w:shd w:val="clear" w:color="auto" w:fill="auto"/>
          </w:tcPr>
          <w:p w14:paraId="36D2F03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2023</w:t>
            </w:r>
          </w:p>
        </w:tc>
        <w:tc>
          <w:tcPr>
            <w:tcW w:w="1848" w:type="dxa"/>
            <w:shd w:val="clear" w:color="auto" w:fill="auto"/>
            <w:vAlign w:val="bottom"/>
          </w:tcPr>
          <w:p w14:paraId="55557040"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231</w:t>
            </w:r>
          </w:p>
        </w:tc>
        <w:tc>
          <w:tcPr>
            <w:tcW w:w="1848" w:type="dxa"/>
            <w:shd w:val="clear" w:color="auto" w:fill="auto"/>
            <w:vAlign w:val="bottom"/>
          </w:tcPr>
          <w:p w14:paraId="49C02908"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164</w:t>
            </w:r>
          </w:p>
        </w:tc>
        <w:tc>
          <w:tcPr>
            <w:tcW w:w="2681" w:type="dxa"/>
            <w:shd w:val="clear" w:color="auto" w:fill="auto"/>
            <w:vAlign w:val="bottom"/>
          </w:tcPr>
          <w:p w14:paraId="6BF2F351"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1 267</w:t>
            </w:r>
          </w:p>
        </w:tc>
      </w:tr>
      <w:tr w:rsidR="002278E9" w:rsidRPr="000D3C65" w14:paraId="06876E84" w14:textId="77777777" w:rsidTr="002278E9">
        <w:trPr>
          <w:cantSplit/>
          <w:trHeight w:val="240"/>
        </w:trPr>
        <w:tc>
          <w:tcPr>
            <w:tcW w:w="993" w:type="dxa"/>
            <w:shd w:val="clear" w:color="auto" w:fill="auto"/>
          </w:tcPr>
          <w:p w14:paraId="18560E9F"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2022</w:t>
            </w:r>
          </w:p>
        </w:tc>
        <w:tc>
          <w:tcPr>
            <w:tcW w:w="1848" w:type="dxa"/>
            <w:shd w:val="clear" w:color="auto" w:fill="auto"/>
            <w:vAlign w:val="bottom"/>
          </w:tcPr>
          <w:p w14:paraId="387BA076"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210</w:t>
            </w:r>
          </w:p>
        </w:tc>
        <w:tc>
          <w:tcPr>
            <w:tcW w:w="1848" w:type="dxa"/>
            <w:shd w:val="clear" w:color="auto" w:fill="auto"/>
            <w:vAlign w:val="bottom"/>
          </w:tcPr>
          <w:p w14:paraId="79C79945"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175</w:t>
            </w:r>
          </w:p>
        </w:tc>
        <w:tc>
          <w:tcPr>
            <w:tcW w:w="2681" w:type="dxa"/>
            <w:shd w:val="clear" w:color="auto" w:fill="auto"/>
            <w:vAlign w:val="bottom"/>
          </w:tcPr>
          <w:p w14:paraId="794FD410"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1 200</w:t>
            </w:r>
          </w:p>
        </w:tc>
      </w:tr>
      <w:tr w:rsidR="002278E9" w:rsidRPr="000D3C65" w14:paraId="6BE77055" w14:textId="77777777" w:rsidTr="002278E9">
        <w:trPr>
          <w:cantSplit/>
          <w:trHeight w:val="240"/>
        </w:trPr>
        <w:tc>
          <w:tcPr>
            <w:tcW w:w="993" w:type="dxa"/>
            <w:shd w:val="clear" w:color="auto" w:fill="auto"/>
          </w:tcPr>
          <w:p w14:paraId="14A76571"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2021</w:t>
            </w:r>
          </w:p>
        </w:tc>
        <w:tc>
          <w:tcPr>
            <w:tcW w:w="1848" w:type="dxa"/>
            <w:shd w:val="clear" w:color="auto" w:fill="auto"/>
            <w:vAlign w:val="bottom"/>
          </w:tcPr>
          <w:p w14:paraId="74EB6F5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212</w:t>
            </w:r>
          </w:p>
        </w:tc>
        <w:tc>
          <w:tcPr>
            <w:tcW w:w="1848" w:type="dxa"/>
            <w:shd w:val="clear" w:color="auto" w:fill="auto"/>
            <w:vAlign w:val="bottom"/>
          </w:tcPr>
          <w:p w14:paraId="071AA3BD"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132</w:t>
            </w:r>
          </w:p>
        </w:tc>
        <w:tc>
          <w:tcPr>
            <w:tcW w:w="2681" w:type="dxa"/>
            <w:shd w:val="clear" w:color="auto" w:fill="auto"/>
            <w:vAlign w:val="bottom"/>
          </w:tcPr>
          <w:p w14:paraId="2408426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1 273</w:t>
            </w:r>
          </w:p>
        </w:tc>
      </w:tr>
      <w:tr w:rsidR="002278E9" w:rsidRPr="000D3C65" w14:paraId="34754BAE" w14:textId="77777777" w:rsidTr="002278E9">
        <w:trPr>
          <w:cantSplit/>
          <w:trHeight w:val="240"/>
        </w:trPr>
        <w:tc>
          <w:tcPr>
            <w:tcW w:w="993" w:type="dxa"/>
            <w:shd w:val="clear" w:color="auto" w:fill="auto"/>
          </w:tcPr>
          <w:p w14:paraId="28CD58B4"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2020</w:t>
            </w:r>
          </w:p>
        </w:tc>
        <w:tc>
          <w:tcPr>
            <w:tcW w:w="1848" w:type="dxa"/>
            <w:shd w:val="clear" w:color="auto" w:fill="auto"/>
            <w:vAlign w:val="bottom"/>
          </w:tcPr>
          <w:p w14:paraId="68D0B38D"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170</w:t>
            </w:r>
          </w:p>
        </w:tc>
        <w:tc>
          <w:tcPr>
            <w:tcW w:w="1848" w:type="dxa"/>
            <w:shd w:val="clear" w:color="auto" w:fill="auto"/>
            <w:vAlign w:val="bottom"/>
          </w:tcPr>
          <w:p w14:paraId="298510F9"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155</w:t>
            </w:r>
          </w:p>
        </w:tc>
        <w:tc>
          <w:tcPr>
            <w:tcW w:w="2681" w:type="dxa"/>
            <w:shd w:val="clear" w:color="auto" w:fill="auto"/>
            <w:vAlign w:val="bottom"/>
          </w:tcPr>
          <w:p w14:paraId="70E8F7BF"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1 193</w:t>
            </w:r>
          </w:p>
        </w:tc>
      </w:tr>
      <w:tr w:rsidR="002278E9" w:rsidRPr="000D3C65" w14:paraId="3EAE9449" w14:textId="77777777" w:rsidTr="002278E9">
        <w:trPr>
          <w:cantSplit/>
          <w:trHeight w:val="240"/>
        </w:trPr>
        <w:tc>
          <w:tcPr>
            <w:tcW w:w="993" w:type="dxa"/>
            <w:shd w:val="clear" w:color="auto" w:fill="auto"/>
            <w:hideMark/>
          </w:tcPr>
          <w:p w14:paraId="12E51E44"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2019</w:t>
            </w:r>
          </w:p>
        </w:tc>
        <w:tc>
          <w:tcPr>
            <w:tcW w:w="1848" w:type="dxa"/>
            <w:shd w:val="clear" w:color="auto" w:fill="auto"/>
            <w:vAlign w:val="bottom"/>
            <w:hideMark/>
          </w:tcPr>
          <w:p w14:paraId="7AC6D830"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413</w:t>
            </w:r>
          </w:p>
        </w:tc>
        <w:tc>
          <w:tcPr>
            <w:tcW w:w="1848" w:type="dxa"/>
            <w:shd w:val="clear" w:color="auto" w:fill="auto"/>
            <w:vAlign w:val="bottom"/>
            <w:hideMark/>
          </w:tcPr>
          <w:p w14:paraId="3960A033"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134</w:t>
            </w:r>
          </w:p>
        </w:tc>
        <w:tc>
          <w:tcPr>
            <w:tcW w:w="2681" w:type="dxa"/>
            <w:shd w:val="clear" w:color="auto" w:fill="auto"/>
            <w:vAlign w:val="bottom"/>
            <w:hideMark/>
          </w:tcPr>
          <w:p w14:paraId="4AEE9A9F"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1 178</w:t>
            </w:r>
          </w:p>
        </w:tc>
      </w:tr>
      <w:tr w:rsidR="002278E9" w:rsidRPr="000D3C65" w14:paraId="02956EB6" w14:textId="77777777" w:rsidTr="002278E9">
        <w:trPr>
          <w:cantSplit/>
          <w:trHeight w:val="240"/>
        </w:trPr>
        <w:tc>
          <w:tcPr>
            <w:tcW w:w="993" w:type="dxa"/>
            <w:shd w:val="clear" w:color="auto" w:fill="auto"/>
            <w:hideMark/>
          </w:tcPr>
          <w:p w14:paraId="4A7B9C25"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2018</w:t>
            </w:r>
          </w:p>
        </w:tc>
        <w:tc>
          <w:tcPr>
            <w:tcW w:w="1848" w:type="dxa"/>
            <w:shd w:val="clear" w:color="auto" w:fill="auto"/>
            <w:vAlign w:val="bottom"/>
            <w:hideMark/>
          </w:tcPr>
          <w:p w14:paraId="0322194D"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190</w:t>
            </w:r>
          </w:p>
        </w:tc>
        <w:tc>
          <w:tcPr>
            <w:tcW w:w="1848" w:type="dxa"/>
            <w:shd w:val="clear" w:color="auto" w:fill="auto"/>
            <w:vAlign w:val="bottom"/>
            <w:hideMark/>
          </w:tcPr>
          <w:p w14:paraId="4E315AFD"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101</w:t>
            </w:r>
          </w:p>
        </w:tc>
        <w:tc>
          <w:tcPr>
            <w:tcW w:w="2681" w:type="dxa"/>
            <w:shd w:val="clear" w:color="auto" w:fill="auto"/>
            <w:vAlign w:val="bottom"/>
            <w:hideMark/>
          </w:tcPr>
          <w:p w14:paraId="567C88B5"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746</w:t>
            </w:r>
          </w:p>
        </w:tc>
      </w:tr>
      <w:tr w:rsidR="002278E9" w:rsidRPr="000D3C65" w14:paraId="1EFBA7C9" w14:textId="77777777" w:rsidTr="002278E9">
        <w:trPr>
          <w:cantSplit/>
          <w:trHeight w:val="240"/>
        </w:trPr>
        <w:tc>
          <w:tcPr>
            <w:tcW w:w="993" w:type="dxa"/>
            <w:shd w:val="clear" w:color="auto" w:fill="auto"/>
            <w:hideMark/>
          </w:tcPr>
          <w:p w14:paraId="39C4DF4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2017</w:t>
            </w:r>
          </w:p>
        </w:tc>
        <w:tc>
          <w:tcPr>
            <w:tcW w:w="1848" w:type="dxa"/>
            <w:shd w:val="clear" w:color="auto" w:fill="auto"/>
            <w:vAlign w:val="bottom"/>
            <w:hideMark/>
          </w:tcPr>
          <w:p w14:paraId="50B5C816"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167</w:t>
            </w:r>
          </w:p>
        </w:tc>
        <w:tc>
          <w:tcPr>
            <w:tcW w:w="1848" w:type="dxa"/>
            <w:shd w:val="clear" w:color="auto" w:fill="auto"/>
            <w:vAlign w:val="bottom"/>
            <w:hideMark/>
          </w:tcPr>
          <w:p w14:paraId="68C9CE0E"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131</w:t>
            </w:r>
          </w:p>
        </w:tc>
        <w:tc>
          <w:tcPr>
            <w:tcW w:w="2681" w:type="dxa"/>
            <w:shd w:val="clear" w:color="auto" w:fill="auto"/>
            <w:vAlign w:val="bottom"/>
            <w:hideMark/>
          </w:tcPr>
          <w:p w14:paraId="20F2D5AA"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635</w:t>
            </w:r>
          </w:p>
        </w:tc>
      </w:tr>
      <w:tr w:rsidR="002278E9" w:rsidRPr="000D3C65" w14:paraId="21B1D1A6" w14:textId="77777777" w:rsidTr="002278E9">
        <w:trPr>
          <w:cantSplit/>
          <w:trHeight w:val="240"/>
        </w:trPr>
        <w:tc>
          <w:tcPr>
            <w:tcW w:w="993" w:type="dxa"/>
            <w:shd w:val="clear" w:color="auto" w:fill="auto"/>
            <w:hideMark/>
          </w:tcPr>
          <w:p w14:paraId="3760995F"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2016</w:t>
            </w:r>
          </w:p>
        </w:tc>
        <w:tc>
          <w:tcPr>
            <w:tcW w:w="1848" w:type="dxa"/>
            <w:shd w:val="clear" w:color="auto" w:fill="auto"/>
            <w:vAlign w:val="bottom"/>
            <w:hideMark/>
          </w:tcPr>
          <w:p w14:paraId="0FE892B4"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211</w:t>
            </w:r>
          </w:p>
        </w:tc>
        <w:tc>
          <w:tcPr>
            <w:tcW w:w="1848" w:type="dxa"/>
            <w:shd w:val="clear" w:color="auto" w:fill="auto"/>
            <w:vAlign w:val="bottom"/>
            <w:hideMark/>
          </w:tcPr>
          <w:p w14:paraId="6850B7EA"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113</w:t>
            </w:r>
          </w:p>
        </w:tc>
        <w:tc>
          <w:tcPr>
            <w:tcW w:w="2681" w:type="dxa"/>
            <w:shd w:val="clear" w:color="auto" w:fill="auto"/>
            <w:vAlign w:val="bottom"/>
            <w:hideMark/>
          </w:tcPr>
          <w:p w14:paraId="7BAC7282"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599</w:t>
            </w:r>
          </w:p>
        </w:tc>
      </w:tr>
      <w:tr w:rsidR="002278E9" w:rsidRPr="000D3C65" w14:paraId="6F79FBE8" w14:textId="77777777" w:rsidTr="002278E9">
        <w:trPr>
          <w:cantSplit/>
          <w:trHeight w:val="240"/>
        </w:trPr>
        <w:tc>
          <w:tcPr>
            <w:tcW w:w="993" w:type="dxa"/>
            <w:shd w:val="clear" w:color="auto" w:fill="auto"/>
            <w:hideMark/>
          </w:tcPr>
          <w:p w14:paraId="3DC4A0DA"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2015</w:t>
            </w:r>
          </w:p>
        </w:tc>
        <w:tc>
          <w:tcPr>
            <w:tcW w:w="1848" w:type="dxa"/>
            <w:shd w:val="clear" w:color="auto" w:fill="auto"/>
            <w:vAlign w:val="bottom"/>
            <w:hideMark/>
          </w:tcPr>
          <w:p w14:paraId="3B5B92FA"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196</w:t>
            </w:r>
          </w:p>
        </w:tc>
        <w:tc>
          <w:tcPr>
            <w:tcW w:w="1848" w:type="dxa"/>
            <w:shd w:val="clear" w:color="auto" w:fill="auto"/>
            <w:vAlign w:val="bottom"/>
            <w:hideMark/>
          </w:tcPr>
          <w:p w14:paraId="43225B1C"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101</w:t>
            </w:r>
          </w:p>
        </w:tc>
        <w:tc>
          <w:tcPr>
            <w:tcW w:w="2681" w:type="dxa"/>
            <w:shd w:val="clear" w:color="auto" w:fill="auto"/>
            <w:vAlign w:val="bottom"/>
            <w:hideMark/>
          </w:tcPr>
          <w:p w14:paraId="180E164B"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532</w:t>
            </w:r>
          </w:p>
        </w:tc>
      </w:tr>
      <w:tr w:rsidR="002278E9" w:rsidRPr="000D3C65" w14:paraId="24383208" w14:textId="77777777" w:rsidTr="002278E9">
        <w:trPr>
          <w:cantSplit/>
          <w:trHeight w:val="240"/>
        </w:trPr>
        <w:tc>
          <w:tcPr>
            <w:tcW w:w="993" w:type="dxa"/>
            <w:shd w:val="clear" w:color="auto" w:fill="auto"/>
            <w:hideMark/>
          </w:tcPr>
          <w:p w14:paraId="35C1EA1E"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2014</w:t>
            </w:r>
          </w:p>
        </w:tc>
        <w:tc>
          <w:tcPr>
            <w:tcW w:w="1848" w:type="dxa"/>
            <w:shd w:val="clear" w:color="auto" w:fill="auto"/>
            <w:vAlign w:val="bottom"/>
            <w:hideMark/>
          </w:tcPr>
          <w:p w14:paraId="6B3F5E08"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191</w:t>
            </w:r>
          </w:p>
        </w:tc>
        <w:tc>
          <w:tcPr>
            <w:tcW w:w="1848" w:type="dxa"/>
            <w:shd w:val="clear" w:color="auto" w:fill="auto"/>
            <w:vAlign w:val="bottom"/>
            <w:hideMark/>
          </w:tcPr>
          <w:p w14:paraId="790750A3"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124</w:t>
            </w:r>
          </w:p>
        </w:tc>
        <w:tc>
          <w:tcPr>
            <w:tcW w:w="2681" w:type="dxa"/>
            <w:shd w:val="clear" w:color="auto" w:fill="auto"/>
            <w:vAlign w:val="bottom"/>
            <w:hideMark/>
          </w:tcPr>
          <w:p w14:paraId="28AD879C"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456</w:t>
            </w:r>
          </w:p>
        </w:tc>
      </w:tr>
      <w:tr w:rsidR="002278E9" w:rsidRPr="000D3C65" w14:paraId="32AE8F9C" w14:textId="77777777" w:rsidTr="002278E9">
        <w:trPr>
          <w:cantSplit/>
          <w:trHeight w:val="240"/>
        </w:trPr>
        <w:tc>
          <w:tcPr>
            <w:tcW w:w="993" w:type="dxa"/>
            <w:shd w:val="clear" w:color="auto" w:fill="auto"/>
            <w:hideMark/>
          </w:tcPr>
          <w:p w14:paraId="1AE425E4"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2013</w:t>
            </w:r>
          </w:p>
        </w:tc>
        <w:tc>
          <w:tcPr>
            <w:tcW w:w="1848" w:type="dxa"/>
            <w:shd w:val="clear" w:color="auto" w:fill="auto"/>
            <w:vAlign w:val="bottom"/>
            <w:hideMark/>
          </w:tcPr>
          <w:p w14:paraId="3D8E4C28"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93</w:t>
            </w:r>
          </w:p>
        </w:tc>
        <w:tc>
          <w:tcPr>
            <w:tcW w:w="1848" w:type="dxa"/>
            <w:shd w:val="clear" w:color="auto" w:fill="auto"/>
            <w:vAlign w:val="bottom"/>
            <w:hideMark/>
          </w:tcPr>
          <w:p w14:paraId="170C7A71"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72</w:t>
            </w:r>
          </w:p>
        </w:tc>
        <w:tc>
          <w:tcPr>
            <w:tcW w:w="2681" w:type="dxa"/>
            <w:shd w:val="clear" w:color="auto" w:fill="auto"/>
            <w:vAlign w:val="bottom"/>
            <w:hideMark/>
          </w:tcPr>
          <w:p w14:paraId="54C207B5"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379</w:t>
            </w:r>
          </w:p>
        </w:tc>
      </w:tr>
      <w:tr w:rsidR="002278E9" w:rsidRPr="000D3C65" w14:paraId="3C54C11F" w14:textId="77777777" w:rsidTr="002278E9">
        <w:trPr>
          <w:cantSplit/>
          <w:trHeight w:val="240"/>
        </w:trPr>
        <w:tc>
          <w:tcPr>
            <w:tcW w:w="993" w:type="dxa"/>
            <w:tcBorders>
              <w:bottom w:val="single" w:sz="12" w:space="0" w:color="auto"/>
            </w:tcBorders>
            <w:shd w:val="clear" w:color="auto" w:fill="auto"/>
            <w:hideMark/>
          </w:tcPr>
          <w:p w14:paraId="6DC819E1"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0"/>
              <w:jc w:val="left"/>
              <w:rPr>
                <w:sz w:val="18"/>
              </w:rPr>
            </w:pPr>
            <w:r w:rsidRPr="000D3C65">
              <w:rPr>
                <w:sz w:val="18"/>
              </w:rPr>
              <w:t>2012</w:t>
            </w:r>
          </w:p>
        </w:tc>
        <w:tc>
          <w:tcPr>
            <w:tcW w:w="1848" w:type="dxa"/>
            <w:tcBorders>
              <w:bottom w:val="single" w:sz="12" w:space="0" w:color="auto"/>
            </w:tcBorders>
            <w:shd w:val="clear" w:color="auto" w:fill="auto"/>
            <w:vAlign w:val="bottom"/>
            <w:hideMark/>
          </w:tcPr>
          <w:p w14:paraId="3095AE25"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102</w:t>
            </w:r>
          </w:p>
        </w:tc>
        <w:tc>
          <w:tcPr>
            <w:tcW w:w="1848" w:type="dxa"/>
            <w:tcBorders>
              <w:bottom w:val="single" w:sz="12" w:space="0" w:color="auto"/>
            </w:tcBorders>
            <w:shd w:val="clear" w:color="auto" w:fill="auto"/>
            <w:vAlign w:val="bottom"/>
            <w:hideMark/>
          </w:tcPr>
          <w:p w14:paraId="7946A05F"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99</w:t>
            </w:r>
          </w:p>
        </w:tc>
        <w:tc>
          <w:tcPr>
            <w:tcW w:w="2681" w:type="dxa"/>
            <w:tcBorders>
              <w:bottom w:val="single" w:sz="12" w:space="0" w:color="auto"/>
            </w:tcBorders>
            <w:shd w:val="clear" w:color="auto" w:fill="auto"/>
            <w:vAlign w:val="bottom"/>
            <w:hideMark/>
          </w:tcPr>
          <w:p w14:paraId="25836209" w14:textId="77777777" w:rsidR="00021E86" w:rsidRPr="000D3C65" w:rsidRDefault="00021E86" w:rsidP="002278E9">
            <w:pPr>
              <w:pStyle w:val="SingleTxtG"/>
              <w:tabs>
                <w:tab w:val="clear" w:pos="1701"/>
                <w:tab w:val="clear" w:pos="2268"/>
                <w:tab w:val="clear" w:pos="2835"/>
              </w:tabs>
              <w:suppressAutoHyphens w:val="0"/>
              <w:spacing w:before="40" w:after="40" w:line="220" w:lineRule="exact"/>
              <w:ind w:left="0" w:right="28"/>
              <w:jc w:val="right"/>
              <w:rPr>
                <w:sz w:val="18"/>
              </w:rPr>
            </w:pPr>
            <w:r w:rsidRPr="000D3C65">
              <w:rPr>
                <w:sz w:val="18"/>
              </w:rPr>
              <w:t>355</w:t>
            </w:r>
          </w:p>
        </w:tc>
      </w:tr>
    </w:tbl>
    <w:p w14:paraId="1A81918A" w14:textId="0C21A635" w:rsidR="00021E86" w:rsidRPr="000D3C65" w:rsidRDefault="00021E86" w:rsidP="002278E9">
      <w:pPr>
        <w:pStyle w:val="SingleTxtG"/>
        <w:spacing w:before="120"/>
        <w:ind w:firstLine="170"/>
        <w:jc w:val="left"/>
        <w:rPr>
          <w:sz w:val="18"/>
          <w:szCs w:val="18"/>
        </w:rPr>
      </w:pPr>
      <w:r w:rsidRPr="000D3C65">
        <w:rPr>
          <w:i/>
          <w:sz w:val="18"/>
          <w:szCs w:val="18"/>
          <w:vertAlign w:val="superscript"/>
        </w:rPr>
        <w:t>a</w:t>
      </w:r>
      <w:r w:rsidRPr="000D3C65">
        <w:rPr>
          <w:sz w:val="18"/>
          <w:szCs w:val="18"/>
        </w:rPr>
        <w:t xml:space="preserve"> </w:t>
      </w:r>
      <w:r w:rsidR="002278E9" w:rsidRPr="000D3C65">
        <w:rPr>
          <w:sz w:val="18"/>
          <w:szCs w:val="18"/>
        </w:rPr>
        <w:t xml:space="preserve"> </w:t>
      </w:r>
      <w:r w:rsidRPr="000D3C65">
        <w:rPr>
          <w:sz w:val="18"/>
          <w:szCs w:val="18"/>
        </w:rPr>
        <w:t>Número total de casos que han sido objeto de una decisión (dictámenes, decisiones de inadmisibilidad y decisiones de cesación de las actuaciones).</w:t>
      </w:r>
    </w:p>
    <w:p w14:paraId="77B91559" w14:textId="77777777" w:rsidR="00021E86" w:rsidRPr="000D3C65" w:rsidRDefault="00021E86" w:rsidP="00021E86">
      <w:pPr>
        <w:pStyle w:val="SingleTxtG"/>
      </w:pPr>
      <w:r w:rsidRPr="000D3C65">
        <w:t>28.</w:t>
      </w:r>
      <w:r w:rsidRPr="000D3C65">
        <w:tab/>
        <w:t>Al 28 de marzo de 2025, la secretaría debía preparar unas 590 comunicaciones para que el Comité adoptara una decisión sobre la admisibilidad o sobre el fondo. Sin embargo, si no se mejora sustancialmente la capacidad de la secretaría para tramitar las comunicaciones, el Comité seguirá viendo seriamente comprometida su capacidad para resolver el retraso acumulado al respecto.</w:t>
      </w:r>
    </w:p>
    <w:p w14:paraId="1274FCB5" w14:textId="77777777" w:rsidR="00021E86" w:rsidRPr="000D3C65" w:rsidRDefault="00021E86" w:rsidP="00021E86">
      <w:pPr>
        <w:pStyle w:val="SingleTxtG"/>
      </w:pPr>
      <w:r w:rsidRPr="000D3C65">
        <w:t>29.</w:t>
      </w:r>
      <w:r w:rsidRPr="000D3C65">
        <w:tab/>
        <w:t>En el período al que se refiere el presente informe, el Comité, por conducto de sus Relatoras Especiales sobre nuevas comunicaciones y medidas provisionales, transmitió a los Estados Partes interesados 159 nuevas comunicaciones en virtud del artículo 92 del reglamento del Comité, en las que solicitaba información u observaciones en relación con las cuestiones de la admisibilidad y el fondo.</w:t>
      </w:r>
    </w:p>
    <w:p w14:paraId="2D0F6B85" w14:textId="77777777" w:rsidR="00021E86" w:rsidRPr="000D3C65" w:rsidRDefault="00021E86" w:rsidP="002278E9">
      <w:pPr>
        <w:pStyle w:val="H23G"/>
      </w:pPr>
      <w:r w:rsidRPr="000D3C65">
        <w:tab/>
        <w:t>2.</w:t>
      </w:r>
      <w:r w:rsidRPr="000D3C65">
        <w:tab/>
        <w:t>Cooperación de los Estados Partes en el examen de las comunicaciones</w:t>
      </w:r>
    </w:p>
    <w:p w14:paraId="439C96E5" w14:textId="77777777" w:rsidR="00021E86" w:rsidRPr="000D3C65" w:rsidRDefault="00021E86" w:rsidP="00021E86">
      <w:pPr>
        <w:pStyle w:val="SingleTxtG"/>
      </w:pPr>
      <w:r w:rsidRPr="000D3C65">
        <w:t>30.</w:t>
      </w:r>
      <w:r w:rsidRPr="000D3C65">
        <w:tab/>
        <w:t>En varios casos resueltos durante el período considerado, el Comité observó que los Estados Partes no habían cooperado en el procedimiento al no proporcionar observaciones sobre la admisibilidad o sobre el fondo de las alegaciones de los autores o al hacer caso omiso de la solicitud de medidas provisionales para evitar daños irreparables a las presuntas víctimas. El Comité lamentó enérgicamente la situación y recordó que la aplicación de buena fe del Protocolo Facultativo requería que los Estados Partes facilitaran al Comité toda la información de que dispusieran y atendieran la solicitud de medidas provisionales. En ausencia de respuesta de los Estados Partes, el Comité debía dar el peso adecuado a las alegaciones del autor, en la medida en que se hubieran fundamentado suficientemente.</w:t>
      </w:r>
    </w:p>
    <w:p w14:paraId="6955B744" w14:textId="77777777" w:rsidR="00021E86" w:rsidRPr="000D3C65" w:rsidRDefault="00021E86" w:rsidP="002278E9">
      <w:pPr>
        <w:pStyle w:val="H23G"/>
      </w:pPr>
      <w:r w:rsidRPr="000D3C65">
        <w:tab/>
        <w:t>3.</w:t>
      </w:r>
      <w:r w:rsidRPr="000D3C65">
        <w:tab/>
        <w:t>Cuestiones examinadas por el Comité</w:t>
      </w:r>
    </w:p>
    <w:p w14:paraId="18649102" w14:textId="77777777" w:rsidR="00021E86" w:rsidRPr="000D3C65" w:rsidRDefault="00021E86" w:rsidP="00021E86">
      <w:pPr>
        <w:pStyle w:val="SingleTxtG"/>
      </w:pPr>
      <w:r w:rsidRPr="000D3C65">
        <w:t>31.</w:t>
      </w:r>
      <w:r w:rsidRPr="000D3C65">
        <w:tab/>
        <w:t>El texto completo de los dictámenes aprobados por el Comité y de sus decisiones de inadmisibilidad adoptadas en virtud del Protocolo Facultativo puede consultarse en la base de datos de los órganos de tratados.</w:t>
      </w:r>
    </w:p>
    <w:p w14:paraId="651BC361" w14:textId="755E95BA" w:rsidR="00021E86" w:rsidRPr="000D3C65" w:rsidRDefault="00021E86" w:rsidP="00021E86">
      <w:pPr>
        <w:pStyle w:val="SingleTxtG"/>
      </w:pPr>
      <w:r w:rsidRPr="000D3C65">
        <w:t>32.</w:t>
      </w:r>
      <w:r w:rsidRPr="000D3C65">
        <w:tab/>
        <w:t xml:space="preserve">Durante el período que abarca el informe, el Comité examinó las siguientes comunicaciones en las que determinó que se habían producido violaciones del Pacto: </w:t>
      </w:r>
      <w:r w:rsidRPr="000D3C65">
        <w:rPr>
          <w:i/>
          <w:iCs/>
        </w:rPr>
        <w:t xml:space="preserve">Gritsunov c. la Federación de Rusia </w:t>
      </w:r>
      <w:r w:rsidRPr="000D3C65">
        <w:t>(</w:t>
      </w:r>
      <w:hyperlink r:id="rId29" w:history="1">
        <w:r w:rsidRPr="000D3C65">
          <w:rPr>
            <w:rStyle w:val="Hipervnculo"/>
          </w:rPr>
          <w:t>CCPR/C/141/D/2576/2015</w:t>
        </w:r>
      </w:hyperlink>
      <w:r w:rsidRPr="000D3C65">
        <w:t xml:space="preserve">), </w:t>
      </w:r>
      <w:r w:rsidRPr="000D3C65">
        <w:rPr>
          <w:i/>
          <w:iCs/>
        </w:rPr>
        <w:t xml:space="preserve">Fedortsov c. la Federación de Rusia </w:t>
      </w:r>
      <w:r w:rsidRPr="000D3C65">
        <w:t>(</w:t>
      </w:r>
      <w:hyperlink r:id="rId30" w:history="1">
        <w:r w:rsidRPr="000D3C65">
          <w:rPr>
            <w:rStyle w:val="Hipervnculo"/>
          </w:rPr>
          <w:t>CCPR/C/141/D/3034/2017</w:t>
        </w:r>
      </w:hyperlink>
      <w:r w:rsidRPr="000D3C65">
        <w:t>),</w:t>
      </w:r>
      <w:r w:rsidRPr="000D3C65">
        <w:rPr>
          <w:i/>
          <w:iCs/>
        </w:rPr>
        <w:t xml:space="preserve"> Kyarizov c. Turkmenistán </w:t>
      </w:r>
      <w:r w:rsidRPr="000D3C65">
        <w:t>(</w:t>
      </w:r>
      <w:hyperlink r:id="rId31" w:history="1">
        <w:r w:rsidRPr="000D3C65">
          <w:rPr>
            <w:rStyle w:val="Hipervnculo"/>
          </w:rPr>
          <w:t>CCPR/C/141/D/3097/2018</w:t>
        </w:r>
      </w:hyperlink>
      <w:r w:rsidRPr="000D3C65">
        <w:t>),</w:t>
      </w:r>
      <w:r w:rsidRPr="000D3C65">
        <w:rPr>
          <w:i/>
          <w:iCs/>
        </w:rPr>
        <w:t xml:space="preserve"> Z. D. y M. M. c. Suecia </w:t>
      </w:r>
      <w:r w:rsidRPr="000D3C65">
        <w:t>(</w:t>
      </w:r>
      <w:hyperlink r:id="rId32" w:history="1">
        <w:r w:rsidRPr="000D3C65">
          <w:rPr>
            <w:rStyle w:val="Hipervnculo"/>
          </w:rPr>
          <w:t>CCPR/C/141/D/3623/2019</w:t>
        </w:r>
      </w:hyperlink>
      <w:r w:rsidRPr="000D3C65">
        <w:t>),</w:t>
      </w:r>
      <w:r w:rsidRPr="000D3C65">
        <w:rPr>
          <w:i/>
          <w:iCs/>
        </w:rPr>
        <w:t xml:space="preserve"> Koshkarbayev e Insenova c. Kazajstán </w:t>
      </w:r>
      <w:r w:rsidRPr="000D3C65">
        <w:t>(</w:t>
      </w:r>
      <w:hyperlink r:id="rId33" w:history="1">
        <w:r w:rsidRPr="000D3C65">
          <w:rPr>
            <w:rStyle w:val="Hipervnculo"/>
          </w:rPr>
          <w:t>CCPR/C/141/D/2548/2015-</w:t>
        </w:r>
        <w:r w:rsidRPr="000D3C65">
          <w:rPr>
            <w:rStyle w:val="Hipervnculo"/>
          </w:rPr>
          <w:lastRenderedPageBreak/>
          <w:t>CCPR/C/141/D/2677/2015</w:t>
        </w:r>
      </w:hyperlink>
      <w:r w:rsidRPr="000D3C65">
        <w:t>),</w:t>
      </w:r>
      <w:r w:rsidRPr="000D3C65">
        <w:rPr>
          <w:i/>
          <w:iCs/>
        </w:rPr>
        <w:t xml:space="preserve"> Jandiev c. Eslovaquia </w:t>
      </w:r>
      <w:r w:rsidRPr="000D3C65">
        <w:t>(</w:t>
      </w:r>
      <w:hyperlink r:id="rId34" w:history="1">
        <w:r w:rsidRPr="000D3C65">
          <w:rPr>
            <w:rStyle w:val="Hipervnculo"/>
          </w:rPr>
          <w:t>CCPR/C/141/D/3193/2018</w:t>
        </w:r>
      </w:hyperlink>
      <w:r w:rsidRPr="000D3C65">
        <w:t>)</w:t>
      </w:r>
      <w:r w:rsidRPr="000D3C65">
        <w:rPr>
          <w:i/>
          <w:iCs/>
        </w:rPr>
        <w:t>, Gasparini c. la Argentina</w:t>
      </w:r>
      <w:r w:rsidRPr="000D3C65">
        <w:t xml:space="preserve"> (</w:t>
      </w:r>
      <w:hyperlink r:id="rId35" w:history="1">
        <w:r w:rsidRPr="000D3C65">
          <w:rPr>
            <w:rStyle w:val="Hipervnculo"/>
          </w:rPr>
          <w:t>CCPR/C/141/D/4035/2021</w:t>
        </w:r>
      </w:hyperlink>
      <w:r w:rsidRPr="000D3C65">
        <w:t>),</w:t>
      </w:r>
      <w:r w:rsidRPr="000D3C65">
        <w:rPr>
          <w:i/>
          <w:iCs/>
        </w:rPr>
        <w:t xml:space="preserve"> Lupach c. Belarús</w:t>
      </w:r>
      <w:r w:rsidRPr="000D3C65">
        <w:t xml:space="preserve"> (</w:t>
      </w:r>
      <w:hyperlink r:id="rId36" w:history="1">
        <w:r w:rsidRPr="000D3C65">
          <w:rPr>
            <w:rStyle w:val="Hipervnculo"/>
          </w:rPr>
          <w:t>CCPR/C/141/D/J/1</w:t>
        </w:r>
      </w:hyperlink>
      <w:r w:rsidRPr="000D3C65">
        <w:t>),</w:t>
      </w:r>
      <w:r w:rsidRPr="000D3C65">
        <w:rPr>
          <w:i/>
          <w:iCs/>
        </w:rPr>
        <w:t xml:space="preserve"> Kulakov y otros c. Belarús</w:t>
      </w:r>
      <w:r w:rsidRPr="000D3C65">
        <w:t xml:space="preserve"> (</w:t>
      </w:r>
      <w:hyperlink r:id="rId37" w:history="1">
        <w:r w:rsidRPr="000D3C65">
          <w:rPr>
            <w:rStyle w:val="Hipervnculo"/>
          </w:rPr>
          <w:t>CCPR/C/141/D/J/2</w:t>
        </w:r>
      </w:hyperlink>
      <w:r w:rsidRPr="000D3C65">
        <w:t>),</w:t>
      </w:r>
      <w:r w:rsidRPr="000D3C65">
        <w:rPr>
          <w:i/>
          <w:iCs/>
        </w:rPr>
        <w:t xml:space="preserve"> D. K. c. Grecia</w:t>
      </w:r>
      <w:r w:rsidRPr="000D3C65">
        <w:t xml:space="preserve"> (</w:t>
      </w:r>
      <w:hyperlink r:id="rId38" w:history="1">
        <w:r w:rsidRPr="000D3C65">
          <w:rPr>
            <w:rStyle w:val="Hipervnculo"/>
          </w:rPr>
          <w:t>CCPR/C/141/D/3582/2019</w:t>
        </w:r>
      </w:hyperlink>
      <w:r w:rsidRPr="000D3C65">
        <w:t>),</w:t>
      </w:r>
      <w:r w:rsidRPr="000D3C65">
        <w:rPr>
          <w:i/>
          <w:iCs/>
        </w:rPr>
        <w:t xml:space="preserve"> Sara c. Noruega</w:t>
      </w:r>
      <w:r w:rsidRPr="000D3C65">
        <w:t xml:space="preserve"> (</w:t>
      </w:r>
      <w:hyperlink r:id="rId39" w:history="1">
        <w:r w:rsidRPr="000D3C65">
          <w:rPr>
            <w:rStyle w:val="Hipervnculo"/>
          </w:rPr>
          <w:t>CCPR/C/141/D/3588/2019</w:t>
        </w:r>
      </w:hyperlink>
      <w:r w:rsidRPr="000D3C65">
        <w:t>),</w:t>
      </w:r>
      <w:r w:rsidRPr="000D3C65">
        <w:rPr>
          <w:i/>
          <w:iCs/>
        </w:rPr>
        <w:t xml:space="preserve"> Albanese y otros c. Italia</w:t>
      </w:r>
      <w:r w:rsidRPr="000D3C65">
        <w:t xml:space="preserve"> (</w:t>
      </w:r>
      <w:hyperlink r:id="rId40" w:history="1">
        <w:r w:rsidRPr="000D3C65">
          <w:rPr>
            <w:rStyle w:val="Hipervnculo"/>
          </w:rPr>
          <w:t>CCPR/C/142/D/3328/2019-CCPR/C/142/D/3579/2019</w:t>
        </w:r>
      </w:hyperlink>
      <w:r w:rsidRPr="000D3C65">
        <w:t>),</w:t>
      </w:r>
      <w:r w:rsidRPr="000D3C65">
        <w:rPr>
          <w:i/>
          <w:iCs/>
        </w:rPr>
        <w:t xml:space="preserve"> Kalin y otros c</w:t>
      </w:r>
      <w:r w:rsidRPr="000D3C65">
        <w:t>.</w:t>
      </w:r>
      <w:r w:rsidRPr="000D3C65">
        <w:rPr>
          <w:i/>
          <w:iCs/>
        </w:rPr>
        <w:t xml:space="preserve"> la Federación de Rusia </w:t>
      </w:r>
      <w:r w:rsidRPr="000D3C65">
        <w:t>(</w:t>
      </w:r>
      <w:hyperlink r:id="rId41" w:history="1">
        <w:r w:rsidRPr="000D3C65">
          <w:rPr>
            <w:rStyle w:val="Hipervnculo"/>
          </w:rPr>
          <w:t>CCPR/C/142/D/2935/2017</w:t>
        </w:r>
      </w:hyperlink>
      <w:r w:rsidRPr="000D3C65">
        <w:t>),</w:t>
      </w:r>
      <w:r w:rsidRPr="000D3C65">
        <w:rPr>
          <w:i/>
          <w:iCs/>
        </w:rPr>
        <w:t xml:space="preserve"> Tsoy y otros c. Uzbekistá</w:t>
      </w:r>
      <w:r w:rsidRPr="000D3C65">
        <w:t>n (</w:t>
      </w:r>
      <w:hyperlink r:id="rId42" w:history="1">
        <w:r w:rsidRPr="000D3C65">
          <w:rPr>
            <w:rStyle w:val="Hipervnculo"/>
          </w:rPr>
          <w:t>CCPR/C/142/D/3155/2018</w:t>
        </w:r>
      </w:hyperlink>
      <w:r w:rsidRPr="000D3C65">
        <w:t xml:space="preserve">, </w:t>
      </w:r>
      <w:hyperlink r:id="rId43" w:history="1">
        <w:r w:rsidRPr="000D3C65">
          <w:rPr>
            <w:rStyle w:val="Hipervnculo"/>
          </w:rPr>
          <w:t>CCPR/C/142/D/3156/2018</w:t>
        </w:r>
      </w:hyperlink>
      <w:r w:rsidRPr="000D3C65">
        <w:t xml:space="preserve">, </w:t>
      </w:r>
      <w:hyperlink r:id="rId44" w:history="1">
        <w:r w:rsidRPr="000D3C65">
          <w:rPr>
            <w:rStyle w:val="Hipervnculo"/>
          </w:rPr>
          <w:t>CCPR/C/142/D/3158/2018</w:t>
        </w:r>
      </w:hyperlink>
      <w:r w:rsidRPr="000D3C65">
        <w:t>),</w:t>
      </w:r>
      <w:r w:rsidRPr="000D3C65">
        <w:rPr>
          <w:i/>
          <w:iCs/>
        </w:rPr>
        <w:t xml:space="preserve"> Maksutova y otros c. Uzbekistá</w:t>
      </w:r>
      <w:r w:rsidRPr="000D3C65">
        <w:t>n (</w:t>
      </w:r>
      <w:hyperlink r:id="rId45" w:history="1">
        <w:r w:rsidRPr="000D3C65">
          <w:rPr>
            <w:rStyle w:val="Hipervnculo"/>
          </w:rPr>
          <w:t>CCPR/C/142/D/3157/2018</w:t>
        </w:r>
      </w:hyperlink>
      <w:r w:rsidRPr="000D3C65">
        <w:t xml:space="preserve">, </w:t>
      </w:r>
      <w:hyperlink r:id="rId46" w:history="1">
        <w:r w:rsidRPr="000D3C65">
          <w:rPr>
            <w:rStyle w:val="Hipervnculo"/>
          </w:rPr>
          <w:t>CCPR/C/142/D/3159/2018</w:t>
        </w:r>
      </w:hyperlink>
      <w:r w:rsidRPr="000D3C65">
        <w:t xml:space="preserve">, </w:t>
      </w:r>
      <w:hyperlink r:id="rId47" w:history="1">
        <w:r w:rsidRPr="000D3C65">
          <w:rPr>
            <w:rStyle w:val="Hipervnculo"/>
          </w:rPr>
          <w:t>CCPR/C/142/D/3166/2018</w:t>
        </w:r>
      </w:hyperlink>
      <w:r w:rsidRPr="000D3C65">
        <w:t xml:space="preserve">, </w:t>
      </w:r>
      <w:hyperlink r:id="rId48" w:history="1">
        <w:r w:rsidRPr="000D3C65">
          <w:rPr>
            <w:rStyle w:val="Hipervnculo"/>
          </w:rPr>
          <w:t>CCPR/C/142/D/3185/2018</w:t>
        </w:r>
      </w:hyperlink>
      <w:r w:rsidRPr="000D3C65">
        <w:t>),</w:t>
      </w:r>
      <w:r w:rsidRPr="000D3C65">
        <w:rPr>
          <w:i/>
          <w:iCs/>
        </w:rPr>
        <w:t xml:space="preserve"> M. I. y otros c. Australi</w:t>
      </w:r>
      <w:r w:rsidRPr="000D3C65">
        <w:t>a (</w:t>
      </w:r>
      <w:hyperlink r:id="rId49" w:history="1">
        <w:r w:rsidRPr="000D3C65">
          <w:rPr>
            <w:rStyle w:val="Hipervnculo"/>
          </w:rPr>
          <w:t>CCPR/C/142/D/2749/2016</w:t>
        </w:r>
      </w:hyperlink>
      <w:r w:rsidRPr="000D3C65">
        <w:t>),</w:t>
      </w:r>
      <w:r w:rsidRPr="000D3C65">
        <w:rPr>
          <w:i/>
          <w:iCs/>
        </w:rPr>
        <w:t xml:space="preserve"> Nabhari c. Australi</w:t>
      </w:r>
      <w:r w:rsidRPr="000D3C65">
        <w:rPr>
          <w:i/>
        </w:rPr>
        <w:t>a</w:t>
      </w:r>
      <w:r w:rsidRPr="000D3C65">
        <w:t xml:space="preserve"> (</w:t>
      </w:r>
      <w:hyperlink r:id="rId50" w:history="1">
        <w:r w:rsidRPr="000D3C65">
          <w:rPr>
            <w:rStyle w:val="Hipervnculo"/>
          </w:rPr>
          <w:t>CCPR/C/142/D/3663/2019</w:t>
        </w:r>
      </w:hyperlink>
      <w:r w:rsidRPr="000D3C65">
        <w:t>),</w:t>
      </w:r>
      <w:r w:rsidRPr="000D3C65">
        <w:rPr>
          <w:i/>
          <w:iCs/>
        </w:rPr>
        <w:t xml:space="preserve"> Faslliu y otros c. Albani</w:t>
      </w:r>
      <w:r w:rsidRPr="000D3C65">
        <w:t>a (</w:t>
      </w:r>
      <w:hyperlink r:id="rId51" w:history="1">
        <w:r w:rsidRPr="000D3C65">
          <w:rPr>
            <w:rStyle w:val="Hipervnculo"/>
          </w:rPr>
          <w:t>CCPR/C/142/D/3602/2019</w:t>
        </w:r>
      </w:hyperlink>
      <w:r w:rsidRPr="000D3C65">
        <w:t>),</w:t>
      </w:r>
      <w:r w:rsidRPr="000D3C65">
        <w:rPr>
          <w:i/>
          <w:iCs/>
        </w:rPr>
        <w:t xml:space="preserve"> Susana c. Nicaragu</w:t>
      </w:r>
      <w:r w:rsidRPr="000D3C65">
        <w:t>a (</w:t>
      </w:r>
      <w:hyperlink r:id="rId52" w:history="1">
        <w:r w:rsidRPr="000D3C65">
          <w:rPr>
            <w:rStyle w:val="Hipervnculo"/>
          </w:rPr>
          <w:t>CCPR/C/142/D/3626/2019</w:t>
        </w:r>
      </w:hyperlink>
      <w:r w:rsidRPr="000D3C65">
        <w:t>),</w:t>
      </w:r>
      <w:r w:rsidRPr="000D3C65">
        <w:rPr>
          <w:i/>
          <w:iCs/>
        </w:rPr>
        <w:t xml:space="preserve"> Lucía c. Nicaragua</w:t>
      </w:r>
      <w:r w:rsidRPr="000D3C65">
        <w:t xml:space="preserve"> (</w:t>
      </w:r>
      <w:hyperlink r:id="rId53" w:history="1">
        <w:r w:rsidRPr="000D3C65">
          <w:rPr>
            <w:rStyle w:val="Hipervnculo"/>
          </w:rPr>
          <w:t>CCPR/C/142/D/3627/2019</w:t>
        </w:r>
      </w:hyperlink>
      <w:r w:rsidRPr="000D3C65">
        <w:t>),</w:t>
      </w:r>
      <w:r w:rsidRPr="000D3C65">
        <w:rPr>
          <w:i/>
          <w:iCs/>
        </w:rPr>
        <w:t xml:space="preserve"> Norma c. el Ecuado</w:t>
      </w:r>
      <w:r w:rsidRPr="000D3C65">
        <w:t>r (</w:t>
      </w:r>
      <w:hyperlink r:id="rId54" w:history="1">
        <w:r w:rsidRPr="000D3C65">
          <w:rPr>
            <w:rStyle w:val="Hipervnculo"/>
          </w:rPr>
          <w:t>CCPR/C/142/D/3628/2019</w:t>
        </w:r>
      </w:hyperlink>
      <w:r w:rsidRPr="000D3C65">
        <w:t>),</w:t>
      </w:r>
      <w:r w:rsidRPr="000D3C65">
        <w:rPr>
          <w:i/>
          <w:iCs/>
        </w:rPr>
        <w:t xml:space="preserve"> Amelkovich y otros c. Belarú</w:t>
      </w:r>
      <w:r w:rsidRPr="000D3C65">
        <w:t>s (</w:t>
      </w:r>
      <w:hyperlink r:id="rId55" w:history="1">
        <w:r w:rsidRPr="000D3C65">
          <w:rPr>
            <w:rStyle w:val="Hipervnculo"/>
          </w:rPr>
          <w:t>CCPR/C/142/D/J/1</w:t>
        </w:r>
      </w:hyperlink>
      <w:r w:rsidRPr="000D3C65">
        <w:t xml:space="preserve">), </w:t>
      </w:r>
      <w:r w:rsidRPr="000D3C65">
        <w:rPr>
          <w:i/>
          <w:iCs/>
        </w:rPr>
        <w:t xml:space="preserve">Zakharenko c. Belarús </w:t>
      </w:r>
      <w:r w:rsidRPr="000D3C65">
        <w:t>(</w:t>
      </w:r>
      <w:hyperlink r:id="rId56" w:history="1">
        <w:r w:rsidRPr="000D3C65">
          <w:rPr>
            <w:rStyle w:val="Hipervnculo"/>
          </w:rPr>
          <w:t>CCPR/C/143/D/2991/2017</w:t>
        </w:r>
      </w:hyperlink>
      <w:r w:rsidRPr="000D3C65">
        <w:t xml:space="preserve">), </w:t>
      </w:r>
      <w:r w:rsidRPr="000D3C65">
        <w:rPr>
          <w:i/>
          <w:iCs/>
        </w:rPr>
        <w:t>Akhmedov c. Kazajstán</w:t>
      </w:r>
      <w:r w:rsidRPr="000D3C65">
        <w:t xml:space="preserve"> (</w:t>
      </w:r>
      <w:hyperlink r:id="rId57" w:history="1">
        <w:r w:rsidRPr="000D3C65">
          <w:rPr>
            <w:rStyle w:val="Hipervnculo"/>
          </w:rPr>
          <w:t>CCPR/C/143/D/3098/2018</w:t>
        </w:r>
      </w:hyperlink>
      <w:r w:rsidRPr="000D3C65">
        <w:t xml:space="preserve">), </w:t>
      </w:r>
      <w:r w:rsidRPr="000D3C65">
        <w:rPr>
          <w:i/>
          <w:iCs/>
        </w:rPr>
        <w:t>Golubev c. la Federación de Rusia</w:t>
      </w:r>
      <w:r w:rsidRPr="000D3C65">
        <w:t xml:space="preserve"> (</w:t>
      </w:r>
      <w:hyperlink r:id="rId58" w:history="1">
        <w:r w:rsidRPr="000D3C65">
          <w:rPr>
            <w:rStyle w:val="Hipervnculo"/>
          </w:rPr>
          <w:t>CCPR/C/143/D/3127/2018</w:t>
        </w:r>
      </w:hyperlink>
      <w:r w:rsidRPr="000D3C65">
        <w:t xml:space="preserve">), </w:t>
      </w:r>
      <w:r w:rsidRPr="000D3C65">
        <w:rPr>
          <w:i/>
          <w:iCs/>
        </w:rPr>
        <w:t xml:space="preserve">Djakupova e Idinov c. Kirguistán </w:t>
      </w:r>
      <w:r w:rsidRPr="000D3C65">
        <w:t>(</w:t>
      </w:r>
      <w:hyperlink r:id="rId59" w:history="1">
        <w:r w:rsidRPr="000D3C65">
          <w:rPr>
            <w:rStyle w:val="Hipervnculo"/>
          </w:rPr>
          <w:t>CCPR/C/143/D/3195/2018</w:t>
        </w:r>
      </w:hyperlink>
      <w:r w:rsidRPr="000D3C65">
        <w:t xml:space="preserve">), </w:t>
      </w:r>
      <w:r w:rsidRPr="000D3C65">
        <w:rPr>
          <w:i/>
          <w:iCs/>
        </w:rPr>
        <w:t>Kim y otros c. la República de Corea</w:t>
      </w:r>
      <w:r w:rsidRPr="000D3C65">
        <w:t xml:space="preserve"> (</w:t>
      </w:r>
      <w:hyperlink r:id="rId60" w:history="1">
        <w:r w:rsidRPr="000D3C65">
          <w:rPr>
            <w:rStyle w:val="Hipervnculo"/>
          </w:rPr>
          <w:t>CCPR/C/143/D/3660/2019</w:t>
        </w:r>
      </w:hyperlink>
      <w:r w:rsidRPr="000D3C65">
        <w:t xml:space="preserve">), </w:t>
      </w:r>
      <w:r w:rsidRPr="000D3C65">
        <w:rPr>
          <w:i/>
          <w:iCs/>
        </w:rPr>
        <w:t>Tolmachev c. la Federación de Rusia</w:t>
      </w:r>
      <w:r w:rsidRPr="000D3C65">
        <w:t xml:space="preserve"> (</w:t>
      </w:r>
      <w:hyperlink r:id="rId61" w:history="1">
        <w:r w:rsidRPr="000D3C65">
          <w:rPr>
            <w:rStyle w:val="Hipervnculo"/>
          </w:rPr>
          <w:t>CCPR/C/143/D/3054/2017</w:t>
        </w:r>
      </w:hyperlink>
      <w:r w:rsidRPr="000D3C65">
        <w:t xml:space="preserve">), </w:t>
      </w:r>
      <w:r w:rsidRPr="000D3C65">
        <w:rPr>
          <w:i/>
          <w:iCs/>
        </w:rPr>
        <w:t>Safdary c. Australia</w:t>
      </w:r>
      <w:r w:rsidRPr="000D3C65">
        <w:t xml:space="preserve"> (</w:t>
      </w:r>
      <w:hyperlink r:id="rId62" w:history="1">
        <w:r w:rsidRPr="000D3C65">
          <w:rPr>
            <w:rStyle w:val="Hipervnculo"/>
          </w:rPr>
          <w:t>CCPR/C/143/D/3686/2019</w:t>
        </w:r>
      </w:hyperlink>
      <w:r w:rsidRPr="000D3C65">
        <w:t xml:space="preserve">), </w:t>
      </w:r>
      <w:r w:rsidRPr="000D3C65">
        <w:rPr>
          <w:i/>
          <w:iCs/>
        </w:rPr>
        <w:t>35</w:t>
      </w:r>
      <w:r w:rsidR="009C0C6A" w:rsidRPr="000D3C65">
        <w:rPr>
          <w:i/>
          <w:iCs/>
        </w:rPr>
        <w:t> </w:t>
      </w:r>
      <w:r w:rsidRPr="000D3C65">
        <w:rPr>
          <w:i/>
          <w:iCs/>
        </w:rPr>
        <w:t xml:space="preserve">miembros del Pueblo Maya K’iche’ del municipio de Chiché y otros c. Guatemala </w:t>
      </w:r>
      <w:r w:rsidRPr="000D3C65">
        <w:t>(</w:t>
      </w:r>
      <w:hyperlink r:id="rId63" w:history="1">
        <w:r w:rsidRPr="000D3C65">
          <w:rPr>
            <w:rStyle w:val="Hipervnculo"/>
          </w:rPr>
          <w:t>CCPR/C/143/D/4023-4032/2021</w:t>
        </w:r>
      </w:hyperlink>
      <w:r w:rsidRPr="000D3C65">
        <w:t xml:space="preserve">), </w:t>
      </w:r>
      <w:r w:rsidRPr="000D3C65">
        <w:rPr>
          <w:i/>
          <w:iCs/>
        </w:rPr>
        <w:t>Pernalete López y Llovera Hurtado c. la República Bolivariana de Venezuela</w:t>
      </w:r>
      <w:r w:rsidRPr="000D3C65">
        <w:t xml:space="preserve"> (</w:t>
      </w:r>
      <w:hyperlink r:id="rId64" w:history="1">
        <w:r w:rsidRPr="000D3C65">
          <w:rPr>
            <w:rStyle w:val="Hipervnculo"/>
          </w:rPr>
          <w:t>CCPR/C/143/D/3283/2019</w:t>
        </w:r>
      </w:hyperlink>
      <w:r w:rsidRPr="000D3C65">
        <w:t xml:space="preserve">), </w:t>
      </w:r>
      <w:r w:rsidRPr="000D3C65">
        <w:rPr>
          <w:i/>
          <w:iCs/>
        </w:rPr>
        <w:t>Fátima c. Guatemala</w:t>
      </w:r>
      <w:r w:rsidRPr="000D3C65">
        <w:t xml:space="preserve"> (</w:t>
      </w:r>
      <w:hyperlink r:id="rId65" w:history="1">
        <w:r w:rsidRPr="000D3C65">
          <w:rPr>
            <w:rStyle w:val="Hipervnculo"/>
          </w:rPr>
          <w:t>CCPR/C/143/D/3629/2019</w:t>
        </w:r>
      </w:hyperlink>
      <w:r w:rsidRPr="000D3C65">
        <w:t xml:space="preserve">), </w:t>
      </w:r>
      <w:r w:rsidRPr="000D3C65">
        <w:rPr>
          <w:i/>
          <w:iCs/>
        </w:rPr>
        <w:t>Matskevich y otros c. Belarús</w:t>
      </w:r>
      <w:r w:rsidRPr="000D3C65">
        <w:t xml:space="preserve"> (</w:t>
      </w:r>
      <w:hyperlink r:id="rId66" w:history="1">
        <w:r w:rsidRPr="000D3C65">
          <w:rPr>
            <w:rStyle w:val="Hipervnculo"/>
          </w:rPr>
          <w:t>CCPR/C/143/D/J/1</w:t>
        </w:r>
      </w:hyperlink>
      <w:r w:rsidRPr="000D3C65">
        <w:t xml:space="preserve">), </w:t>
      </w:r>
      <w:r w:rsidRPr="000D3C65">
        <w:rPr>
          <w:i/>
          <w:iCs/>
        </w:rPr>
        <w:t>Saad c. Libia</w:t>
      </w:r>
      <w:r w:rsidRPr="000D3C65">
        <w:t xml:space="preserve"> (</w:t>
      </w:r>
      <w:hyperlink r:id="rId67" w:history="1">
        <w:r w:rsidRPr="000D3C65">
          <w:rPr>
            <w:rStyle w:val="Hipervnculo"/>
          </w:rPr>
          <w:t>CCPR/C/143/D/3324/2019</w:t>
        </w:r>
      </w:hyperlink>
      <w:r w:rsidRPr="000D3C65">
        <w:t xml:space="preserve">) y </w:t>
      </w:r>
      <w:r w:rsidRPr="000D3C65">
        <w:rPr>
          <w:i/>
          <w:iCs/>
        </w:rPr>
        <w:t xml:space="preserve">Tran y L. c. Australia </w:t>
      </w:r>
      <w:r w:rsidRPr="000D3C65">
        <w:t>(</w:t>
      </w:r>
      <w:hyperlink r:id="rId68" w:history="1">
        <w:r w:rsidRPr="000D3C65">
          <w:rPr>
            <w:rStyle w:val="Hipervnculo"/>
          </w:rPr>
          <w:t>CCPR/C/143/D/3665/2019</w:t>
        </w:r>
      </w:hyperlink>
      <w:r w:rsidRPr="000D3C65">
        <w:t>).</w:t>
      </w:r>
    </w:p>
    <w:p w14:paraId="75234F47" w14:textId="7E6E87C2" w:rsidR="00021E86" w:rsidRPr="000D3C65" w:rsidRDefault="00021E86" w:rsidP="00021E86">
      <w:pPr>
        <w:pStyle w:val="SingleTxtG"/>
      </w:pPr>
      <w:r w:rsidRPr="000D3C65">
        <w:t>33.</w:t>
      </w:r>
      <w:r w:rsidRPr="000D3C65">
        <w:tab/>
        <w:t xml:space="preserve">El Comité determinó que no se había violado el Pacto en las siguientes comunicaciones: </w:t>
      </w:r>
      <w:r w:rsidRPr="000D3C65">
        <w:rPr>
          <w:i/>
          <w:iCs/>
        </w:rPr>
        <w:t xml:space="preserve">Ghazaryan c. Armenia </w:t>
      </w:r>
      <w:r w:rsidRPr="000D3C65">
        <w:t>(</w:t>
      </w:r>
      <w:hyperlink r:id="rId69" w:history="1">
        <w:r w:rsidRPr="000D3C65">
          <w:rPr>
            <w:rStyle w:val="Hipervnculo"/>
          </w:rPr>
          <w:t>CCPR/C/141/D/3168/2018</w:t>
        </w:r>
      </w:hyperlink>
      <w:r w:rsidRPr="000D3C65">
        <w:t xml:space="preserve">), </w:t>
      </w:r>
      <w:r w:rsidRPr="000D3C65">
        <w:rPr>
          <w:i/>
          <w:iCs/>
        </w:rPr>
        <w:t>M. L. D. c. Filipinas</w:t>
      </w:r>
      <w:r w:rsidRPr="000D3C65">
        <w:t xml:space="preserve"> (</w:t>
      </w:r>
      <w:hyperlink r:id="rId70" w:history="1">
        <w:r w:rsidRPr="000D3C65">
          <w:rPr>
            <w:rStyle w:val="Hipervnculo"/>
          </w:rPr>
          <w:t>CCPR/C/141/D/3581/2019</w:t>
        </w:r>
      </w:hyperlink>
      <w:r w:rsidRPr="000D3C65">
        <w:t xml:space="preserve">), </w:t>
      </w:r>
      <w:r w:rsidRPr="000D3C65">
        <w:rPr>
          <w:i/>
          <w:iCs/>
        </w:rPr>
        <w:t>Kvasha c. Belarús</w:t>
      </w:r>
      <w:r w:rsidRPr="000D3C65">
        <w:t xml:space="preserve"> (</w:t>
      </w:r>
      <w:hyperlink r:id="rId71" w:history="1">
        <w:r w:rsidRPr="000D3C65">
          <w:rPr>
            <w:rStyle w:val="Hipervnculo"/>
          </w:rPr>
          <w:t>CCPR/C/142/D/2065/2011</w:t>
        </w:r>
      </w:hyperlink>
      <w:r w:rsidRPr="000D3C65">
        <w:t xml:space="preserve">) y </w:t>
      </w:r>
      <w:r w:rsidRPr="000D3C65">
        <w:rPr>
          <w:i/>
          <w:iCs/>
        </w:rPr>
        <w:t>M. E. y T. G. I. c. Grecia</w:t>
      </w:r>
      <w:r w:rsidRPr="000D3C65">
        <w:t xml:space="preserve"> (</w:t>
      </w:r>
      <w:hyperlink r:id="rId72" w:history="1">
        <w:r w:rsidRPr="000D3C65">
          <w:rPr>
            <w:rStyle w:val="Hipervnculo"/>
          </w:rPr>
          <w:t>CCPR/C/143/D/3597/2019</w:t>
        </w:r>
      </w:hyperlink>
      <w:r w:rsidRPr="000D3C65">
        <w:t>).</w:t>
      </w:r>
    </w:p>
    <w:p w14:paraId="66A55E56" w14:textId="5DE1C489" w:rsidR="00021E86" w:rsidRPr="000D3C65" w:rsidRDefault="00021E86" w:rsidP="00021E86">
      <w:pPr>
        <w:pStyle w:val="SingleTxtG"/>
      </w:pPr>
      <w:r w:rsidRPr="000D3C65">
        <w:t>34.</w:t>
      </w:r>
      <w:r w:rsidRPr="000D3C65">
        <w:tab/>
        <w:t xml:space="preserve">El Comité decidió que las comunicaciones siguientes eran inadmisibles: </w:t>
      </w:r>
      <w:r w:rsidRPr="000D3C65">
        <w:rPr>
          <w:i/>
          <w:iCs/>
        </w:rPr>
        <w:t xml:space="preserve">A. M. c. la Federación de Rusia </w:t>
      </w:r>
      <w:r w:rsidRPr="000D3C65">
        <w:t>(</w:t>
      </w:r>
      <w:hyperlink r:id="rId73" w:history="1">
        <w:r w:rsidRPr="000D3C65">
          <w:rPr>
            <w:rStyle w:val="Hipervnculo"/>
          </w:rPr>
          <w:t>CCPR/C/141/D/3068/2017</w:t>
        </w:r>
      </w:hyperlink>
      <w:r w:rsidRPr="000D3C65">
        <w:t>),</w:t>
      </w:r>
      <w:r w:rsidRPr="000D3C65">
        <w:rPr>
          <w:i/>
          <w:iCs/>
        </w:rPr>
        <w:t xml:space="preserve"> A. Z. c. Kazajstán </w:t>
      </w:r>
      <w:r w:rsidRPr="000D3C65">
        <w:t>(</w:t>
      </w:r>
      <w:hyperlink r:id="rId74" w:history="1">
        <w:r w:rsidRPr="000D3C65">
          <w:rPr>
            <w:rStyle w:val="Hipervnculo"/>
          </w:rPr>
          <w:t>CCPR/C/141/D/3079/2017</w:t>
        </w:r>
      </w:hyperlink>
      <w:r w:rsidRPr="000D3C65">
        <w:t xml:space="preserve">), </w:t>
      </w:r>
      <w:r w:rsidRPr="000D3C65">
        <w:rPr>
          <w:i/>
          <w:iCs/>
        </w:rPr>
        <w:t>A. L.</w:t>
      </w:r>
      <w:r w:rsidRPr="000D3C65">
        <w:t xml:space="preserve"> </w:t>
      </w:r>
      <w:r w:rsidRPr="000D3C65">
        <w:rPr>
          <w:i/>
          <w:iCs/>
        </w:rPr>
        <w:t xml:space="preserve">c. Letonia </w:t>
      </w:r>
      <w:r w:rsidRPr="000D3C65">
        <w:t>(</w:t>
      </w:r>
      <w:hyperlink r:id="rId75" w:history="1">
        <w:r w:rsidRPr="000D3C65">
          <w:rPr>
            <w:rStyle w:val="Hipervnculo"/>
          </w:rPr>
          <w:t>CCPR/C/141/D/3148/2018</w:t>
        </w:r>
      </w:hyperlink>
      <w:r w:rsidRPr="000D3C65">
        <w:t>),</w:t>
      </w:r>
      <w:r w:rsidRPr="000D3C65">
        <w:rPr>
          <w:i/>
          <w:iCs/>
        </w:rPr>
        <w:t xml:space="preserve"> C. y otros c. Suecia </w:t>
      </w:r>
      <w:r w:rsidRPr="000D3C65">
        <w:t>(</w:t>
      </w:r>
      <w:hyperlink r:id="rId76" w:history="1">
        <w:r w:rsidRPr="000D3C65">
          <w:rPr>
            <w:rStyle w:val="Hipervnculo"/>
          </w:rPr>
          <w:t>CCPR/C/141/D/3307/2019</w:t>
        </w:r>
      </w:hyperlink>
      <w:r w:rsidRPr="000D3C65">
        <w:t xml:space="preserve">), </w:t>
      </w:r>
      <w:r w:rsidRPr="000D3C65">
        <w:rPr>
          <w:i/>
          <w:iCs/>
        </w:rPr>
        <w:t xml:space="preserve">V. K. y A. K. c. Letonia </w:t>
      </w:r>
      <w:r w:rsidRPr="000D3C65">
        <w:t>(</w:t>
      </w:r>
      <w:hyperlink r:id="rId77" w:history="1">
        <w:r w:rsidRPr="000D3C65">
          <w:rPr>
            <w:rStyle w:val="Hipervnculo"/>
          </w:rPr>
          <w:t>CCPR/C/141/D/3595/2019</w:t>
        </w:r>
      </w:hyperlink>
      <w:r w:rsidRPr="000D3C65">
        <w:t xml:space="preserve">), </w:t>
      </w:r>
      <w:r w:rsidRPr="000D3C65">
        <w:rPr>
          <w:i/>
          <w:iCs/>
        </w:rPr>
        <w:t>İ.</w:t>
      </w:r>
      <w:r w:rsidR="005D5A32" w:rsidRPr="000D3C65">
        <w:rPr>
          <w:i/>
          <w:iCs/>
        </w:rPr>
        <w:t> </w:t>
      </w:r>
      <w:r w:rsidRPr="000D3C65">
        <w:rPr>
          <w:i/>
          <w:iCs/>
        </w:rPr>
        <w:t xml:space="preserve">K. y E. T. c. Türkiye </w:t>
      </w:r>
      <w:r w:rsidRPr="000D3C65">
        <w:t>(</w:t>
      </w:r>
      <w:hyperlink r:id="rId78" w:history="1">
        <w:r w:rsidRPr="000D3C65">
          <w:rPr>
            <w:rStyle w:val="Hipervnculo"/>
          </w:rPr>
          <w:t>CCPR/C/141/D/3923/2021-CCPR/C/141/D/3924/2021</w:t>
        </w:r>
      </w:hyperlink>
      <w:r w:rsidRPr="000D3C65">
        <w:t>),</w:t>
      </w:r>
      <w:r w:rsidRPr="000D3C65">
        <w:rPr>
          <w:i/>
          <w:iCs/>
        </w:rPr>
        <w:t xml:space="preserve"> R. M. y Q.</w:t>
      </w:r>
      <w:r w:rsidR="000D3C65" w:rsidRPr="000D3C65">
        <w:rPr>
          <w:i/>
          <w:iCs/>
        </w:rPr>
        <w:t> </w:t>
      </w:r>
      <w:r w:rsidRPr="000D3C65">
        <w:rPr>
          <w:i/>
          <w:iCs/>
        </w:rPr>
        <w:t xml:space="preserve">M. c. Suecia </w:t>
      </w:r>
      <w:r w:rsidRPr="000D3C65">
        <w:t>(</w:t>
      </w:r>
      <w:hyperlink r:id="rId79" w:history="1">
        <w:r w:rsidRPr="000D3C65">
          <w:rPr>
            <w:rStyle w:val="Hipervnculo"/>
          </w:rPr>
          <w:t>CCPR/C/141/D/4062/2021-CCPR/C/141/D/4191/2022</w:t>
        </w:r>
      </w:hyperlink>
      <w:r w:rsidRPr="000D3C65">
        <w:t xml:space="preserve">), </w:t>
      </w:r>
      <w:r w:rsidRPr="000D3C65">
        <w:rPr>
          <w:i/>
          <w:iCs/>
        </w:rPr>
        <w:t xml:space="preserve">S. N. K. c. Türkiye </w:t>
      </w:r>
      <w:r w:rsidRPr="000D3C65">
        <w:t>(</w:t>
      </w:r>
      <w:hyperlink r:id="rId80" w:history="1">
        <w:r w:rsidRPr="000D3C65">
          <w:rPr>
            <w:rStyle w:val="Hipervnculo"/>
          </w:rPr>
          <w:t>CCPR/C/141/D/4275/2022</w:t>
        </w:r>
      </w:hyperlink>
      <w:r w:rsidRPr="000D3C65">
        <w:t xml:space="preserve">), </w:t>
      </w:r>
      <w:r w:rsidRPr="000D3C65">
        <w:rPr>
          <w:i/>
          <w:iCs/>
        </w:rPr>
        <w:t xml:space="preserve">S. P. y otros c. la Federación de Rusia </w:t>
      </w:r>
      <w:r w:rsidRPr="000D3C65">
        <w:t>(</w:t>
      </w:r>
      <w:hyperlink r:id="rId81" w:history="1">
        <w:r w:rsidRPr="000D3C65">
          <w:rPr>
            <w:rStyle w:val="Hipervnculo"/>
          </w:rPr>
          <w:t>CCPR/C/142/D/2932/2017</w:t>
        </w:r>
      </w:hyperlink>
      <w:r w:rsidRPr="000D3C65">
        <w:t xml:space="preserve">, </w:t>
      </w:r>
      <w:hyperlink r:id="rId82" w:history="1">
        <w:r w:rsidRPr="000D3C65">
          <w:rPr>
            <w:rStyle w:val="Hipervnculo"/>
          </w:rPr>
          <w:t>CCPR/C/142/D/3005/2017</w:t>
        </w:r>
      </w:hyperlink>
      <w:r w:rsidRPr="000D3C65">
        <w:t xml:space="preserve">, </w:t>
      </w:r>
      <w:hyperlink r:id="rId83" w:history="1">
        <w:r w:rsidRPr="000D3C65">
          <w:rPr>
            <w:rStyle w:val="Hipervnculo"/>
          </w:rPr>
          <w:t>CCPR/C/142/D/3047/2017</w:t>
        </w:r>
      </w:hyperlink>
      <w:r w:rsidRPr="000D3C65">
        <w:t xml:space="preserve">, </w:t>
      </w:r>
      <w:hyperlink r:id="rId84" w:history="1">
        <w:r w:rsidRPr="000D3C65">
          <w:rPr>
            <w:rStyle w:val="Hipervnculo"/>
          </w:rPr>
          <w:t>CCPR/C/142/D/3087/2017</w:t>
        </w:r>
      </w:hyperlink>
      <w:r w:rsidRPr="000D3C65">
        <w:t xml:space="preserve">), </w:t>
      </w:r>
      <w:r w:rsidRPr="000D3C65">
        <w:rPr>
          <w:i/>
          <w:iCs/>
        </w:rPr>
        <w:t xml:space="preserve">A. M. A c. México </w:t>
      </w:r>
      <w:r w:rsidRPr="000D3C65">
        <w:t>(</w:t>
      </w:r>
      <w:hyperlink r:id="rId85" w:history="1">
        <w:r w:rsidRPr="000D3C65">
          <w:rPr>
            <w:rStyle w:val="Hipervnculo"/>
          </w:rPr>
          <w:t>CCPR/C/142/D/3149/2018</w:t>
        </w:r>
      </w:hyperlink>
      <w:r w:rsidRPr="000D3C65">
        <w:t xml:space="preserve">), </w:t>
      </w:r>
      <w:r w:rsidRPr="000D3C65">
        <w:rPr>
          <w:i/>
          <w:iCs/>
        </w:rPr>
        <w:t xml:space="preserve">G. B. c. Türkiye </w:t>
      </w:r>
      <w:r w:rsidRPr="000D3C65">
        <w:t>(</w:t>
      </w:r>
      <w:hyperlink r:id="rId86" w:history="1">
        <w:r w:rsidRPr="000D3C65">
          <w:rPr>
            <w:rStyle w:val="Hipervnculo"/>
          </w:rPr>
          <w:t>CCPR/C/142/D/3592/2019</w:t>
        </w:r>
      </w:hyperlink>
      <w:r w:rsidRPr="000D3C65">
        <w:t xml:space="preserve">), </w:t>
      </w:r>
      <w:r w:rsidRPr="000D3C65">
        <w:rPr>
          <w:i/>
          <w:iCs/>
        </w:rPr>
        <w:t xml:space="preserve">F. J. S. y otros c. Suecia </w:t>
      </w:r>
      <w:r w:rsidRPr="000D3C65">
        <w:t>(</w:t>
      </w:r>
      <w:hyperlink r:id="rId87" w:history="1">
        <w:r w:rsidRPr="000D3C65">
          <w:rPr>
            <w:rStyle w:val="Hipervnculo"/>
          </w:rPr>
          <w:t>CCPR/C/142/D/3605/2019</w:t>
        </w:r>
      </w:hyperlink>
      <w:r w:rsidRPr="000D3C65">
        <w:t xml:space="preserve">), </w:t>
      </w:r>
      <w:r w:rsidRPr="000D3C65">
        <w:rPr>
          <w:i/>
          <w:iCs/>
        </w:rPr>
        <w:t xml:space="preserve">M. D. c. el Canadá </w:t>
      </w:r>
      <w:r w:rsidRPr="000D3C65">
        <w:t>(</w:t>
      </w:r>
      <w:hyperlink r:id="rId88" w:history="1">
        <w:r w:rsidRPr="000D3C65">
          <w:rPr>
            <w:rStyle w:val="Hipervnculo"/>
          </w:rPr>
          <w:t>CCPR/C/142/D/3618/2019</w:t>
        </w:r>
      </w:hyperlink>
      <w:r w:rsidRPr="000D3C65">
        <w:t xml:space="preserve">), </w:t>
      </w:r>
      <w:r w:rsidRPr="000D3C65">
        <w:rPr>
          <w:i/>
          <w:iCs/>
        </w:rPr>
        <w:t xml:space="preserve">E. A. c. Türkiye </w:t>
      </w:r>
      <w:r w:rsidRPr="000D3C65">
        <w:t>(</w:t>
      </w:r>
      <w:hyperlink r:id="rId89" w:history="1">
        <w:r w:rsidRPr="000D3C65">
          <w:rPr>
            <w:rStyle w:val="Hipervnculo"/>
          </w:rPr>
          <w:t>CCPR/C/142/D/3668/2019</w:t>
        </w:r>
      </w:hyperlink>
      <w:r w:rsidRPr="000D3C65">
        <w:t xml:space="preserve">), </w:t>
      </w:r>
      <w:r w:rsidRPr="000D3C65">
        <w:rPr>
          <w:i/>
          <w:iCs/>
        </w:rPr>
        <w:t xml:space="preserve">S. F. c. Lituania </w:t>
      </w:r>
      <w:r w:rsidRPr="000D3C65">
        <w:t>(</w:t>
      </w:r>
      <w:hyperlink r:id="rId90" w:history="1">
        <w:r w:rsidRPr="000D3C65">
          <w:rPr>
            <w:rStyle w:val="Hipervnculo"/>
          </w:rPr>
          <w:t>CCPR/C/142/D/3844/2020</w:t>
        </w:r>
      </w:hyperlink>
      <w:r w:rsidRPr="000D3C65">
        <w:t xml:space="preserve">), </w:t>
      </w:r>
      <w:r w:rsidRPr="000D3C65">
        <w:rPr>
          <w:i/>
          <w:iCs/>
        </w:rPr>
        <w:t>N. c. el Canadá</w:t>
      </w:r>
      <w:r w:rsidRPr="000D3C65">
        <w:t xml:space="preserve"> (</w:t>
      </w:r>
      <w:hyperlink r:id="rId91" w:history="1">
        <w:r w:rsidRPr="000D3C65">
          <w:rPr>
            <w:rStyle w:val="Hipervnculo"/>
          </w:rPr>
          <w:t>CCPR/C/143/D/4367/2023</w:t>
        </w:r>
      </w:hyperlink>
      <w:r w:rsidRPr="000D3C65">
        <w:t xml:space="preserve">), </w:t>
      </w:r>
      <w:r w:rsidRPr="000D3C65">
        <w:rPr>
          <w:i/>
          <w:iCs/>
        </w:rPr>
        <w:t xml:space="preserve">W. K. D. c. Suecia </w:t>
      </w:r>
      <w:r w:rsidRPr="000D3C65">
        <w:t>(</w:t>
      </w:r>
      <w:hyperlink r:id="rId92" w:history="1">
        <w:r w:rsidRPr="000D3C65">
          <w:rPr>
            <w:rStyle w:val="Hipervnculo"/>
          </w:rPr>
          <w:t>CCPR/C/143/D/2971/2017</w:t>
        </w:r>
      </w:hyperlink>
      <w:r w:rsidRPr="000D3C65">
        <w:t xml:space="preserve">), </w:t>
      </w:r>
      <w:r w:rsidRPr="000D3C65">
        <w:rPr>
          <w:i/>
          <w:iCs/>
        </w:rPr>
        <w:t>A. K. c. la Federación de Rusia</w:t>
      </w:r>
      <w:r w:rsidRPr="000D3C65">
        <w:t xml:space="preserve"> (</w:t>
      </w:r>
      <w:hyperlink r:id="rId93" w:history="1">
        <w:r w:rsidRPr="000D3C65">
          <w:rPr>
            <w:rStyle w:val="Hipervnculo"/>
          </w:rPr>
          <w:t>CCPR/C/143/D/3035/2017</w:t>
        </w:r>
      </w:hyperlink>
      <w:r w:rsidRPr="000D3C65">
        <w:t xml:space="preserve">), </w:t>
      </w:r>
      <w:r w:rsidRPr="000D3C65">
        <w:rPr>
          <w:i/>
          <w:iCs/>
        </w:rPr>
        <w:t>P. B. P. c. España</w:t>
      </w:r>
      <w:r w:rsidRPr="000D3C65">
        <w:t xml:space="preserve"> (</w:t>
      </w:r>
      <w:hyperlink r:id="rId94" w:history="1">
        <w:r w:rsidRPr="000D3C65">
          <w:rPr>
            <w:rStyle w:val="Hipervnculo"/>
          </w:rPr>
          <w:t>CCPR/C/143/D/3226/2018</w:t>
        </w:r>
      </w:hyperlink>
      <w:r w:rsidRPr="000D3C65">
        <w:t xml:space="preserve">) y </w:t>
      </w:r>
      <w:r w:rsidRPr="000D3C65">
        <w:rPr>
          <w:i/>
          <w:iCs/>
        </w:rPr>
        <w:t>G. Z. c. el Canadá</w:t>
      </w:r>
      <w:r w:rsidRPr="000D3C65">
        <w:t xml:space="preserve"> (</w:t>
      </w:r>
      <w:hyperlink r:id="rId95" w:history="1">
        <w:r w:rsidRPr="000D3C65">
          <w:rPr>
            <w:rStyle w:val="Hipervnculo"/>
          </w:rPr>
          <w:t>CCPR/C/143/D/3253/2018</w:t>
        </w:r>
      </w:hyperlink>
      <w:r w:rsidRPr="000D3C65">
        <w:t>).</w:t>
      </w:r>
    </w:p>
    <w:p w14:paraId="7120F9B5" w14:textId="77777777" w:rsidR="00021E86" w:rsidRPr="000D3C65" w:rsidRDefault="00021E86" w:rsidP="002278E9">
      <w:pPr>
        <w:pStyle w:val="H23G"/>
      </w:pPr>
      <w:r w:rsidRPr="000D3C65">
        <w:tab/>
        <w:t>4.</w:t>
      </w:r>
      <w:r w:rsidRPr="000D3C65">
        <w:tab/>
        <w:t>Seguimiento de los dictámenes</w:t>
      </w:r>
    </w:p>
    <w:p w14:paraId="1918873F" w14:textId="77777777" w:rsidR="00021E86" w:rsidRPr="000D3C65" w:rsidRDefault="00021E86" w:rsidP="00021E86">
      <w:pPr>
        <w:pStyle w:val="SingleTxtG"/>
      </w:pPr>
      <w:r w:rsidRPr="000D3C65">
        <w:t>35.</w:t>
      </w:r>
      <w:r w:rsidRPr="000D3C65">
        <w:tab/>
        <w:t>En el período considerado, el Relator Especial para el seguimiento de los dictámenes presentó un informe en el 142º período de sesiones.</w:t>
      </w:r>
    </w:p>
    <w:p w14:paraId="5D094457" w14:textId="77777777" w:rsidR="00021E86" w:rsidRPr="000D3C65" w:rsidRDefault="00021E86" w:rsidP="00021E86">
      <w:pPr>
        <w:pStyle w:val="SingleTxtG"/>
      </w:pPr>
      <w:r w:rsidRPr="000D3C65">
        <w:t>36.</w:t>
      </w:r>
      <w:r w:rsidRPr="000D3C65">
        <w:tab/>
        <w:t>A la conclusión del 143</w:t>
      </w:r>
      <w:r w:rsidRPr="000D3C65">
        <w:rPr>
          <w:vertAlign w:val="superscript"/>
        </w:rPr>
        <w:t>er</w:t>
      </w:r>
      <w:r w:rsidRPr="000D3C65">
        <w:t xml:space="preserve"> período de sesiones, el Comité había determinado que se había producido una violación del Pacto en 1.868 de los 2.444 dictámenes aprobados desde 1977. El Comité ha continuado la práctica, iniciada en su 109º período de sesiones (14 de octubre a 1 de noviembre de 2013), consistente en incluir en sus informes de seguimiento de los dictámenes una evaluación de las respuestas de los Estados Partes o de las medidas adoptadas por estos; la evaluación se basa en los criterios establecidos para el procedimiento de seguimiento de las observaciones finales. En su 118º período de sesiones (17 de octubre a 4 de noviembre de 2016), el Comité decidió revisar sus criterios de evaluación. En su 121</w:t>
      </w:r>
      <w:r w:rsidRPr="000D3C65">
        <w:rPr>
          <w:vertAlign w:val="superscript"/>
        </w:rPr>
        <w:t>er</w:t>
      </w:r>
      <w:r w:rsidRPr="000D3C65">
        <w:t xml:space="preserve"> período de sesiones (16 de octubre a 20 de noviembre de 2017), el Comité decidió seguir revisando su metodología y procedimiento para vigilar el seguimiento </w:t>
      </w:r>
      <w:r w:rsidRPr="000D3C65">
        <w:lastRenderedPageBreak/>
        <w:t>de sus dictámenes. En su 136º período de sesiones (10 de octubre a 4 de noviembre de 2022), el Comité aprobó una nota con directrices sobre el procedimiento de seguimiento de los dictámenes, que preparó con el fin de mejorar el proceso de determinación de las medidas adoptadas por los Estados Partes para dar efecto a sus dictámenes</w:t>
      </w:r>
      <w:r w:rsidRPr="000D3C65">
        <w:rPr>
          <w:rStyle w:val="Refdenotaalpie"/>
          <w:lang w:val="es-ES"/>
        </w:rPr>
        <w:footnoteReference w:id="14"/>
      </w:r>
      <w:r w:rsidRPr="000D3C65">
        <w:t>. El Comité sigue observando y lamenta que muchos Estados Partes no han llevado a efecto los dictámenes emitidos en virtud del primer Protocolo Facultativo.</w:t>
      </w:r>
    </w:p>
    <w:p w14:paraId="478FB03F" w14:textId="77777777" w:rsidR="00021E86" w:rsidRPr="000D3C65" w:rsidRDefault="00021E86" w:rsidP="002278E9">
      <w:pPr>
        <w:pStyle w:val="H1G"/>
      </w:pPr>
      <w:r w:rsidRPr="000D3C65">
        <w:tab/>
        <w:t>I.</w:t>
      </w:r>
      <w:r w:rsidRPr="000D3C65">
        <w:tab/>
        <w:t>Recursos de personal, traducción de documentos oficiales y transformación digital</w:t>
      </w:r>
    </w:p>
    <w:p w14:paraId="6E693747" w14:textId="77777777" w:rsidR="00021E86" w:rsidRPr="000D3C65" w:rsidRDefault="00021E86" w:rsidP="00021E86">
      <w:pPr>
        <w:pStyle w:val="SingleTxtG"/>
      </w:pPr>
      <w:r w:rsidRPr="000D3C65">
        <w:t>37.</w:t>
      </w:r>
      <w:r w:rsidRPr="000D3C65">
        <w:tab/>
        <w:t>En virtud del artículo 36 del Pacto, el Secretario General tiene el deber de proporcionar al Comité el personal y los servicios necesarios para el desempeño eficaz de sus funciones. El Comité reitera su preocupación por la escasez de recursos de personal y pone de relieve una vez más la importancia de asignar suficiente personal para prestar servicios en sus períodos de sesiones. El Comité expresa su apoyo a la agenda de transformación digital de la Oficina del Alto Comisionado de las Naciones Unidas para los Derechos Humanos y alienta encarecidamente a los Estados Partes a que aporten contribuciones sostenibles a dicha agenda, ya que es de vital importancia para la labor del Comité y el futuro del sistema de derechos humanos.</w:t>
      </w:r>
    </w:p>
    <w:p w14:paraId="557A8931" w14:textId="77777777" w:rsidR="00021E86" w:rsidRPr="000D3C65" w:rsidRDefault="00021E86" w:rsidP="002278E9">
      <w:pPr>
        <w:pStyle w:val="H1G"/>
      </w:pPr>
      <w:r w:rsidRPr="000D3C65">
        <w:tab/>
        <w:t>J.</w:t>
      </w:r>
      <w:r w:rsidRPr="000D3C65">
        <w:tab/>
        <w:t>Difusión de la labor del Comité</w:t>
      </w:r>
    </w:p>
    <w:p w14:paraId="58EDF3F1" w14:textId="77777777" w:rsidR="00021E86" w:rsidRPr="000D3C65" w:rsidRDefault="00021E86" w:rsidP="00021E86">
      <w:pPr>
        <w:pStyle w:val="SingleTxtG"/>
      </w:pPr>
      <w:r w:rsidRPr="000D3C65">
        <w:t>38.</w:t>
      </w:r>
      <w:r w:rsidRPr="000D3C65">
        <w:tab/>
        <w:t>En su 94º período de sesiones, el Comité aprobó un documento sobre un enfoque estratégico de las relaciones públicas con los medios de comunicación</w:t>
      </w:r>
      <w:r w:rsidRPr="000D3C65">
        <w:rPr>
          <w:rStyle w:val="Refdenotaalpie"/>
          <w:lang w:val="es-ES"/>
        </w:rPr>
        <w:footnoteReference w:id="15"/>
      </w:r>
      <w:r w:rsidRPr="000D3C65">
        <w:t>. Desde entonces, el Comité ha seguido elaborando su estrategia de medios de comunicación, que ha incluido, entre otras cosas, la celebración de conferencias de prensa al final de cada período de sesiones, la emisión de comunicados de prensa sobre comunicaciones individuales pertinentes y la publicación de entradas en los medios sociales.</w:t>
      </w:r>
    </w:p>
    <w:p w14:paraId="3BB447E8" w14:textId="052F5D0C" w:rsidR="00021E86" w:rsidRPr="000D3C65" w:rsidRDefault="00021E86" w:rsidP="00021E86">
      <w:pPr>
        <w:pStyle w:val="SingleTxtG"/>
      </w:pPr>
      <w:r w:rsidRPr="000D3C65">
        <w:t>39.</w:t>
      </w:r>
      <w:r w:rsidRPr="000D3C65">
        <w:tab/>
        <w:t xml:space="preserve">En los períodos de sesiones 141º, 142º y 143º, el ACNUDH proporcionó transmisiones web completas de las partes públicas de todos los trabajos del Comité, incluido el examen de todos los informes de los Estados Partes. Las transmisiones web pueden verse en </w:t>
      </w:r>
      <w:hyperlink r:id="rId96" w:history="1">
        <w:r w:rsidRPr="000D3C65">
          <w:rPr>
            <w:rStyle w:val="Hipervnculo"/>
          </w:rPr>
          <w:t>https://webtv.un.org</w:t>
        </w:r>
      </w:hyperlink>
      <w:r w:rsidRPr="000D3C65">
        <w:t>.</w:t>
      </w:r>
    </w:p>
    <w:p w14:paraId="0E376394" w14:textId="77777777" w:rsidR="00021E86" w:rsidRPr="000D3C65" w:rsidRDefault="00021E86" w:rsidP="002278E9">
      <w:pPr>
        <w:pStyle w:val="H1G"/>
      </w:pPr>
      <w:r w:rsidRPr="000D3C65">
        <w:tab/>
        <w:t>K.</w:t>
      </w:r>
      <w:r w:rsidRPr="000D3C65">
        <w:tab/>
        <w:t>Presentación del informe anual del Comité a la Asamblea General</w:t>
      </w:r>
    </w:p>
    <w:p w14:paraId="7DF3E580" w14:textId="77777777" w:rsidR="00021E86" w:rsidRPr="000D3C65" w:rsidRDefault="00021E86" w:rsidP="00021E86">
      <w:pPr>
        <w:pStyle w:val="SingleTxtG"/>
      </w:pPr>
      <w:r w:rsidRPr="000D3C65">
        <w:t>40.</w:t>
      </w:r>
      <w:r w:rsidRPr="000D3C65">
        <w:tab/>
        <w:t>El 14 de octubre de 2024, durante el 142º período de sesiones, la Presidenta asistió al diálogo interactivo en línea con la Tercera Comisión, en el que presentó el informe anual del Comité.</w:t>
      </w:r>
    </w:p>
    <w:p w14:paraId="10B85D4F" w14:textId="77777777" w:rsidR="00021E86" w:rsidRPr="000D3C65" w:rsidRDefault="00021E86" w:rsidP="002278E9">
      <w:pPr>
        <w:pStyle w:val="H1G"/>
      </w:pPr>
      <w:r w:rsidRPr="000D3C65">
        <w:tab/>
        <w:t>L.</w:t>
      </w:r>
      <w:r w:rsidRPr="000D3C65">
        <w:tab/>
        <w:t>Aprobación del informe</w:t>
      </w:r>
    </w:p>
    <w:p w14:paraId="0BE05248" w14:textId="77777777" w:rsidR="00021E86" w:rsidRPr="000D3C65" w:rsidRDefault="00021E86" w:rsidP="00021E86">
      <w:pPr>
        <w:pStyle w:val="SingleTxtG"/>
      </w:pPr>
      <w:r w:rsidRPr="000D3C65">
        <w:t>41.</w:t>
      </w:r>
      <w:r w:rsidRPr="000D3C65">
        <w:tab/>
        <w:t>En su 4218ª sesión, celebrada el 26 de marzo de 2025, el Comité examinó el proyecto de su 67º informe anual sobre las actividades realizadas en sus períodos de sesiones 141º, 142º y 143º, celebrados en 2024 y 2025. El informe, con las modificaciones introducidas en el curso de los debates, fue aprobado por unanimidad. En virtud de su decisión 1985/105, de 8 de febrero de 1985, el Consejo Económico y Social autorizó al Secretario General a que transmitiese directamente a la Asamblea General el informe anual del Comité.</w:t>
      </w:r>
    </w:p>
    <w:p w14:paraId="37C13892" w14:textId="67F1A2F3" w:rsidR="00021E86" w:rsidRPr="000D3C65" w:rsidRDefault="00021E86" w:rsidP="002278E9">
      <w:pPr>
        <w:pStyle w:val="HChG"/>
      </w:pPr>
      <w:r w:rsidRPr="000D3C65">
        <w:lastRenderedPageBreak/>
        <w:tab/>
        <w:t>II.</w:t>
      </w:r>
      <w:r w:rsidRPr="000D3C65">
        <w:tab/>
        <w:t xml:space="preserve">Métodos de trabajo del Comité en virtud del </w:t>
      </w:r>
      <w:r w:rsidR="00050E47" w:rsidRPr="000D3C65">
        <w:br/>
      </w:r>
      <w:r w:rsidRPr="000D3C65">
        <w:t xml:space="preserve">artículo 40 del Pacto y cooperación con otros </w:t>
      </w:r>
      <w:r w:rsidR="00050E47" w:rsidRPr="000D3C65">
        <w:br/>
      </w:r>
      <w:r w:rsidRPr="000D3C65">
        <w:t>órganos de las Naciones Unidas</w:t>
      </w:r>
    </w:p>
    <w:p w14:paraId="0AA41D85" w14:textId="77777777" w:rsidR="00021E86" w:rsidRPr="000D3C65" w:rsidRDefault="00021E86" w:rsidP="002278E9">
      <w:pPr>
        <w:pStyle w:val="H1G"/>
      </w:pPr>
      <w:r w:rsidRPr="000D3C65">
        <w:tab/>
        <w:t>A.</w:t>
      </w:r>
      <w:r w:rsidRPr="000D3C65">
        <w:tab/>
        <w:t>Cambios y decisiones recientes en materia de procedimientos</w:t>
      </w:r>
    </w:p>
    <w:p w14:paraId="550D410B" w14:textId="77777777" w:rsidR="00021E86" w:rsidRPr="000D3C65" w:rsidRDefault="00021E86" w:rsidP="00021E86">
      <w:pPr>
        <w:pStyle w:val="SingleTxtG"/>
      </w:pPr>
      <w:r w:rsidRPr="000D3C65">
        <w:t>42.</w:t>
      </w:r>
      <w:r w:rsidRPr="000D3C65">
        <w:tab/>
        <w:t>En su 142º período de sesiones, el Comité aprobó un documento interno en el que se impartían orientaciones técnicas básicas para los nuevos miembros del Comité.</w:t>
      </w:r>
    </w:p>
    <w:p w14:paraId="78853901" w14:textId="77777777" w:rsidR="00021E86" w:rsidRPr="000D3C65" w:rsidRDefault="00021E86" w:rsidP="002278E9">
      <w:pPr>
        <w:pStyle w:val="H1G"/>
      </w:pPr>
      <w:r w:rsidRPr="000D3C65">
        <w:tab/>
        <w:t>B.</w:t>
      </w:r>
      <w:r w:rsidRPr="000D3C65">
        <w:tab/>
        <w:t>Vínculos con otros órganos</w:t>
      </w:r>
    </w:p>
    <w:p w14:paraId="29E8DECA" w14:textId="77777777" w:rsidR="00021E86" w:rsidRPr="000D3C65" w:rsidRDefault="00021E86" w:rsidP="00021E86">
      <w:pPr>
        <w:pStyle w:val="SingleTxtG"/>
      </w:pPr>
      <w:r w:rsidRPr="000D3C65">
        <w:t>43.</w:t>
      </w:r>
      <w:r w:rsidRPr="000D3C65">
        <w:tab/>
        <w:t>En un esfuerzo por fortalecer la relación con otros órganos de tratados y mecanismos regionales de derechos humanos, durante los períodos de sesiones 141º y 142º el Comité mantuvo a los siguientes coordinadores: Bacre Waly Ndiaye para el Comité contra la Tortura y el Subcomité para la Prevención de la Tortura y Otros Tratos o Penas Crueles, Inhumanos o Degradantes; Yvonne Donders para el Comité de Derechos Económicos, Sociales y Culturales; Kobauyah Tchamdja Kpatcha para el Comité para la Eliminación de la Discriminación contra la Mujer; Marcia V. J. Kran para el Comité sobre los Derechos de las Personas con Discapacidad; Teraya Koji para el Comité contra la Desaparición Forzada; Soh Changrok para el Comité de Protección de los Derechos de Todos los Trabajadores Migratorios y de Sus Familiares; Wafaa Ashraf Moharram Bassim para el Comité de los Derechos del Niño; Mahjoub El Haiba para el sistema africano de derechos humanos; Tijana Šurlan para el Tribunal Europeo de Derechos Humanos; y Rodrigo A. Carazo para el sistema interamericano de derechos humanos.</w:t>
      </w:r>
    </w:p>
    <w:p w14:paraId="65B7B5EF" w14:textId="13B8D6CF" w:rsidR="00021E86" w:rsidRPr="000D3C65" w:rsidRDefault="00021E86" w:rsidP="00021E86">
      <w:pPr>
        <w:pStyle w:val="SingleTxtG"/>
      </w:pPr>
      <w:r w:rsidRPr="000D3C65">
        <w:t>44.</w:t>
      </w:r>
      <w:r w:rsidR="0078270F" w:rsidRPr="000D3C65">
        <w:tab/>
      </w:r>
      <w:r w:rsidRPr="000D3C65">
        <w:t>En su 143</w:t>
      </w:r>
      <w:r w:rsidRPr="000D3C65">
        <w:rPr>
          <w:vertAlign w:val="superscript"/>
        </w:rPr>
        <w:t>er</w:t>
      </w:r>
      <w:r w:rsidRPr="000D3C65">
        <w:t xml:space="preserve"> período de sesiones, el Comité nombró a los siguientes coordinadores: Bacre Waly Ndiaye para el Comité contra la Tortura y el Subcomité para la Prevención de la Tortura; Carlos Ramón Fernández Liesa para el Comité de Derechos Económicos, Sociales y Culturales; Mahjoub El Haiba para el Comité para la Eliminación de la Discriminación contra la Mujer; Hernán Quezada Cabrera para el Comité sobre los Derechos de las Personas con Discapacidad; Hélène Tigroudja para el Comité de los Derechos del Niño; Wafaa Ashraf Moharram Bassim para el Comité para la Eliminación de la Discriminación Racial; Mahjoub El Haiba para el sistema africano de derechos humanos; Konstantin Korkelia para el Tribunal Europeo de Derechos Humanos y Rodrigo A. Carazo para el sistema interamericano de derechos humanos.</w:t>
      </w:r>
    </w:p>
    <w:p w14:paraId="53CB87C3" w14:textId="77777777" w:rsidR="00021E86" w:rsidRPr="000D3C65" w:rsidRDefault="00021E86" w:rsidP="002278E9">
      <w:pPr>
        <w:pStyle w:val="HChG"/>
      </w:pPr>
      <w:r w:rsidRPr="000D3C65">
        <w:tab/>
        <w:t>III.</w:t>
      </w:r>
      <w:r w:rsidRPr="000D3C65">
        <w:tab/>
        <w:t>Presentación de informes por los Estados Partes en virtud del artículo 40 del Pacto</w:t>
      </w:r>
    </w:p>
    <w:p w14:paraId="422419EF" w14:textId="77777777" w:rsidR="00021E86" w:rsidRPr="000D3C65" w:rsidRDefault="00021E86" w:rsidP="002278E9">
      <w:pPr>
        <w:pStyle w:val="H1G"/>
      </w:pPr>
      <w:r w:rsidRPr="000D3C65">
        <w:tab/>
        <w:t>A.</w:t>
      </w:r>
      <w:r w:rsidRPr="000D3C65">
        <w:tab/>
        <w:t>Informes presentados al Secretario General entre el 29 de marzo de 2024 y el 28 de marzo de 2025</w:t>
      </w:r>
    </w:p>
    <w:p w14:paraId="7E03B458" w14:textId="77777777" w:rsidR="00021E86" w:rsidRPr="000D3C65" w:rsidRDefault="00021E86" w:rsidP="00021E86">
      <w:pPr>
        <w:pStyle w:val="SingleTxtG"/>
      </w:pPr>
      <w:r w:rsidRPr="000D3C65">
        <w:t>45.</w:t>
      </w:r>
      <w:r w:rsidRPr="000D3C65">
        <w:tab/>
        <w:t>Entre el 29 de marzo de 2024 y el 28 de marzo de 2025, se presentaron al Secretario General siete informes de los Estados Partes siguientes: Canadá (séptimo informe periódico), Guinea-Bissau (informe inicial), Kazajstán (tercer informe periódico), Letonia (cuarto informe periódico), República de Moldova (cuarto informe periódico), Eslovaquia (quinto informe periódico) y España (séptimo informe periódico).</w:t>
      </w:r>
    </w:p>
    <w:p w14:paraId="6F2AA1F5" w14:textId="77777777" w:rsidR="00021E86" w:rsidRPr="000D3C65" w:rsidRDefault="00021E86" w:rsidP="002278E9">
      <w:pPr>
        <w:pStyle w:val="H1G"/>
      </w:pPr>
      <w:r w:rsidRPr="000D3C65">
        <w:tab/>
        <w:t>B.</w:t>
      </w:r>
      <w:r w:rsidRPr="000D3C65">
        <w:tab/>
        <w:t>Informes atrasados e incumplimiento por los Estados Partes de las obligaciones contraídas en virtud del artículo 40</w:t>
      </w:r>
    </w:p>
    <w:p w14:paraId="519415EF" w14:textId="77777777" w:rsidR="00021E86" w:rsidRPr="000D3C65" w:rsidRDefault="00021E86" w:rsidP="00021E86">
      <w:pPr>
        <w:pStyle w:val="SingleTxtG"/>
      </w:pPr>
      <w:r w:rsidRPr="000D3C65">
        <w:t>46.</w:t>
      </w:r>
      <w:r w:rsidRPr="000D3C65">
        <w:tab/>
        <w:t xml:space="preserve">El Comité desea reiterar que los Estados Partes en el Pacto han de presentar a tiempo los informes previstos en el artículo 40 para que el Comité pueda desempeñar debidamente las funciones que se le asignan en ese artículo. Lamentablemente, desde la creación del Comité se han producido retrasos considerables. El Comité observa con preocupación que el </w:t>
      </w:r>
      <w:r w:rsidRPr="000D3C65">
        <w:lastRenderedPageBreak/>
        <w:t>hecho de que los Estados Partes no presenten informes le impide desempeñar las funciones de vigilancia que se le encomiendan en el artículo 40 del Pacto. El Comité reitera que los Estados cuyos informes están atrasados han incurrido en incumplimiento de las obligaciones contraídas en virtud de ese artículo.</w:t>
      </w:r>
    </w:p>
    <w:p w14:paraId="391A5B40" w14:textId="533FBB5D" w:rsidR="00021E86" w:rsidRPr="000D3C65" w:rsidRDefault="00021E86" w:rsidP="002278E9">
      <w:pPr>
        <w:pStyle w:val="H1G"/>
      </w:pPr>
      <w:r w:rsidRPr="000D3C65">
        <w:tab/>
        <w:t>C.</w:t>
      </w:r>
      <w:r w:rsidRPr="000D3C65">
        <w:tab/>
        <w:t xml:space="preserve">Fecha en que deben presentar su siguiente informe periódico los Estados Partes cuyo informe se examinó durante </w:t>
      </w:r>
      <w:r w:rsidR="000A7FDF" w:rsidRPr="000D3C65">
        <w:br/>
      </w:r>
      <w:r w:rsidRPr="000D3C65">
        <w:t>el período abarcado por el presente informe</w:t>
      </w:r>
    </w:p>
    <w:p w14:paraId="432B6F88" w14:textId="77777777" w:rsidR="00021E86" w:rsidRPr="000D3C65" w:rsidRDefault="00021E86" w:rsidP="00021E86">
      <w:pPr>
        <w:pStyle w:val="SingleTxtG"/>
      </w:pPr>
      <w:r w:rsidRPr="000D3C65">
        <w:t>47.</w:t>
      </w:r>
      <w:r w:rsidRPr="000D3C65">
        <w:tab/>
        <w:t>En el cuadro que figura a continuación se muestra la fecha del examen de los informes de los Estados Partes que se examinaron durante el período que abarca el presente informe y la fecha en que han de presentar el siguiente informe.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22"/>
        <w:gridCol w:w="2086"/>
        <w:gridCol w:w="2862"/>
      </w:tblGrid>
      <w:tr w:rsidR="00DC58DE" w:rsidRPr="000D3C65" w14:paraId="74E735ED" w14:textId="77777777" w:rsidTr="00DC58DE">
        <w:trPr>
          <w:trHeight w:val="240"/>
          <w:tblHeader/>
        </w:trPr>
        <w:tc>
          <w:tcPr>
            <w:tcW w:w="2422" w:type="dxa"/>
            <w:tcBorders>
              <w:top w:val="single" w:sz="4" w:space="0" w:color="auto"/>
              <w:bottom w:val="single" w:sz="12" w:space="0" w:color="auto"/>
            </w:tcBorders>
            <w:shd w:val="clear" w:color="auto" w:fill="auto"/>
            <w:vAlign w:val="bottom"/>
            <w:hideMark/>
          </w:tcPr>
          <w:p w14:paraId="7462809B" w14:textId="77777777" w:rsidR="00021E86" w:rsidRPr="000D3C65" w:rsidRDefault="00021E86" w:rsidP="00DC58DE">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Estado Parte</w:t>
            </w:r>
          </w:p>
        </w:tc>
        <w:tc>
          <w:tcPr>
            <w:tcW w:w="2086" w:type="dxa"/>
            <w:tcBorders>
              <w:top w:val="single" w:sz="4" w:space="0" w:color="auto"/>
              <w:bottom w:val="single" w:sz="12" w:space="0" w:color="auto"/>
            </w:tcBorders>
            <w:shd w:val="clear" w:color="auto" w:fill="auto"/>
            <w:vAlign w:val="bottom"/>
            <w:hideMark/>
          </w:tcPr>
          <w:p w14:paraId="01ECB01A" w14:textId="77777777" w:rsidR="00021E86" w:rsidRPr="000D3C65" w:rsidRDefault="00021E86" w:rsidP="00DC58DE">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Fecha del examen</w:t>
            </w:r>
          </w:p>
        </w:tc>
        <w:tc>
          <w:tcPr>
            <w:tcW w:w="2862" w:type="dxa"/>
            <w:tcBorders>
              <w:top w:val="single" w:sz="4" w:space="0" w:color="auto"/>
              <w:bottom w:val="single" w:sz="12" w:space="0" w:color="auto"/>
            </w:tcBorders>
            <w:shd w:val="clear" w:color="auto" w:fill="auto"/>
            <w:vAlign w:val="bottom"/>
            <w:hideMark/>
          </w:tcPr>
          <w:p w14:paraId="702C773C" w14:textId="77777777" w:rsidR="00021E86" w:rsidRPr="000D3C65" w:rsidRDefault="00021E86" w:rsidP="00DC58DE">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Año de examen del siguiente informe</w:t>
            </w:r>
          </w:p>
        </w:tc>
      </w:tr>
      <w:tr w:rsidR="00DC58DE" w:rsidRPr="000D3C65" w14:paraId="0F5D41EA" w14:textId="77777777" w:rsidTr="00DC58DE">
        <w:trPr>
          <w:trHeight w:hRule="exact" w:val="113"/>
          <w:tblHeader/>
        </w:trPr>
        <w:tc>
          <w:tcPr>
            <w:tcW w:w="2422" w:type="dxa"/>
            <w:tcBorders>
              <w:top w:val="single" w:sz="12" w:space="0" w:color="auto"/>
            </w:tcBorders>
            <w:shd w:val="clear" w:color="auto" w:fill="auto"/>
          </w:tcPr>
          <w:p w14:paraId="650CC30D"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p>
        </w:tc>
        <w:tc>
          <w:tcPr>
            <w:tcW w:w="2086" w:type="dxa"/>
            <w:tcBorders>
              <w:top w:val="single" w:sz="12" w:space="0" w:color="auto"/>
            </w:tcBorders>
            <w:shd w:val="clear" w:color="auto" w:fill="auto"/>
          </w:tcPr>
          <w:p w14:paraId="35A3B09A"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p>
        </w:tc>
        <w:tc>
          <w:tcPr>
            <w:tcW w:w="2862" w:type="dxa"/>
            <w:tcBorders>
              <w:top w:val="single" w:sz="12" w:space="0" w:color="auto"/>
            </w:tcBorders>
            <w:shd w:val="clear" w:color="auto" w:fill="auto"/>
          </w:tcPr>
          <w:p w14:paraId="63BAC67B"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p>
        </w:tc>
      </w:tr>
      <w:tr w:rsidR="00DC58DE" w:rsidRPr="000D3C65" w14:paraId="3F9D9C2F" w14:textId="77777777" w:rsidTr="00DC58DE">
        <w:trPr>
          <w:cantSplit/>
          <w:trHeight w:val="240"/>
        </w:trPr>
        <w:tc>
          <w:tcPr>
            <w:tcW w:w="2422" w:type="dxa"/>
            <w:shd w:val="clear" w:color="auto" w:fill="auto"/>
            <w:hideMark/>
          </w:tcPr>
          <w:p w14:paraId="07B670B3"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Croacia</w:t>
            </w:r>
          </w:p>
        </w:tc>
        <w:tc>
          <w:tcPr>
            <w:tcW w:w="2086" w:type="dxa"/>
            <w:shd w:val="clear" w:color="auto" w:fill="auto"/>
            <w:hideMark/>
          </w:tcPr>
          <w:p w14:paraId="7D0E297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hideMark/>
          </w:tcPr>
          <w:p w14:paraId="23599B0A"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63698FF7" w14:textId="77777777" w:rsidTr="00DC58DE">
        <w:trPr>
          <w:cantSplit/>
          <w:trHeight w:val="240"/>
        </w:trPr>
        <w:tc>
          <w:tcPr>
            <w:tcW w:w="2422" w:type="dxa"/>
            <w:shd w:val="clear" w:color="auto" w:fill="auto"/>
          </w:tcPr>
          <w:p w14:paraId="1C7D90D7"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Honduras</w:t>
            </w:r>
          </w:p>
        </w:tc>
        <w:tc>
          <w:tcPr>
            <w:tcW w:w="2086" w:type="dxa"/>
            <w:shd w:val="clear" w:color="auto" w:fill="auto"/>
          </w:tcPr>
          <w:p w14:paraId="182A52D0"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2AB7ACB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13E599AE" w14:textId="77777777" w:rsidTr="00DC58DE">
        <w:trPr>
          <w:cantSplit/>
          <w:trHeight w:val="240"/>
        </w:trPr>
        <w:tc>
          <w:tcPr>
            <w:tcW w:w="2422" w:type="dxa"/>
            <w:shd w:val="clear" w:color="auto" w:fill="auto"/>
          </w:tcPr>
          <w:p w14:paraId="63C4EC5E"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India</w:t>
            </w:r>
          </w:p>
        </w:tc>
        <w:tc>
          <w:tcPr>
            <w:tcW w:w="2086" w:type="dxa"/>
            <w:shd w:val="clear" w:color="auto" w:fill="auto"/>
          </w:tcPr>
          <w:p w14:paraId="14ACB2BC"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40518EF1"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3829F1DB" w14:textId="77777777" w:rsidTr="00DC58DE">
        <w:trPr>
          <w:cantSplit/>
          <w:trHeight w:val="240"/>
        </w:trPr>
        <w:tc>
          <w:tcPr>
            <w:tcW w:w="2422" w:type="dxa"/>
            <w:shd w:val="clear" w:color="auto" w:fill="auto"/>
          </w:tcPr>
          <w:p w14:paraId="6A4571CA"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Maldivas</w:t>
            </w:r>
          </w:p>
        </w:tc>
        <w:tc>
          <w:tcPr>
            <w:tcW w:w="2086" w:type="dxa"/>
            <w:shd w:val="clear" w:color="auto" w:fill="auto"/>
          </w:tcPr>
          <w:p w14:paraId="052B3A7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666E7FCE"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7FFC4728" w14:textId="77777777" w:rsidTr="00DC58DE">
        <w:trPr>
          <w:cantSplit/>
          <w:trHeight w:val="240"/>
        </w:trPr>
        <w:tc>
          <w:tcPr>
            <w:tcW w:w="2422" w:type="dxa"/>
            <w:shd w:val="clear" w:color="auto" w:fill="auto"/>
          </w:tcPr>
          <w:p w14:paraId="3C30273D"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Malta</w:t>
            </w:r>
          </w:p>
        </w:tc>
        <w:tc>
          <w:tcPr>
            <w:tcW w:w="2086" w:type="dxa"/>
            <w:shd w:val="clear" w:color="auto" w:fill="auto"/>
          </w:tcPr>
          <w:p w14:paraId="1E5E3058"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1E716A00"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6BD36C50" w14:textId="77777777" w:rsidTr="00DC58DE">
        <w:trPr>
          <w:cantSplit/>
          <w:trHeight w:val="240"/>
        </w:trPr>
        <w:tc>
          <w:tcPr>
            <w:tcW w:w="2422" w:type="dxa"/>
            <w:shd w:val="clear" w:color="auto" w:fill="auto"/>
          </w:tcPr>
          <w:p w14:paraId="0C42BC7A"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Suriname</w:t>
            </w:r>
          </w:p>
        </w:tc>
        <w:tc>
          <w:tcPr>
            <w:tcW w:w="2086" w:type="dxa"/>
            <w:shd w:val="clear" w:color="auto" w:fill="auto"/>
          </w:tcPr>
          <w:p w14:paraId="77453A02"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35CF4694"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6BCD316A" w14:textId="77777777" w:rsidTr="00DC58DE">
        <w:trPr>
          <w:cantSplit/>
          <w:trHeight w:val="240"/>
        </w:trPr>
        <w:tc>
          <w:tcPr>
            <w:tcW w:w="2422" w:type="dxa"/>
            <w:shd w:val="clear" w:color="auto" w:fill="auto"/>
          </w:tcPr>
          <w:p w14:paraId="28EF1D05"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República Árabe Siria</w:t>
            </w:r>
          </w:p>
        </w:tc>
        <w:tc>
          <w:tcPr>
            <w:tcW w:w="2086" w:type="dxa"/>
            <w:shd w:val="clear" w:color="auto" w:fill="auto"/>
          </w:tcPr>
          <w:p w14:paraId="78390847"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Julio de 2024</w:t>
            </w:r>
          </w:p>
        </w:tc>
        <w:tc>
          <w:tcPr>
            <w:tcW w:w="2862" w:type="dxa"/>
            <w:shd w:val="clear" w:color="auto" w:fill="auto"/>
          </w:tcPr>
          <w:p w14:paraId="3EFF863A"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641E36F3" w14:textId="77777777" w:rsidTr="00DC58DE">
        <w:trPr>
          <w:cantSplit/>
          <w:trHeight w:val="240"/>
        </w:trPr>
        <w:tc>
          <w:tcPr>
            <w:tcW w:w="2422" w:type="dxa"/>
            <w:shd w:val="clear" w:color="auto" w:fill="auto"/>
          </w:tcPr>
          <w:p w14:paraId="39EDA140"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Ecuador</w:t>
            </w:r>
          </w:p>
        </w:tc>
        <w:tc>
          <w:tcPr>
            <w:tcW w:w="2086" w:type="dxa"/>
            <w:shd w:val="clear" w:color="auto" w:fill="auto"/>
          </w:tcPr>
          <w:p w14:paraId="6C4FE3E5"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4FE6CB9D"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61457218" w14:textId="77777777" w:rsidTr="00DC58DE">
        <w:trPr>
          <w:cantSplit/>
          <w:trHeight w:val="240"/>
        </w:trPr>
        <w:tc>
          <w:tcPr>
            <w:tcW w:w="2422" w:type="dxa"/>
            <w:shd w:val="clear" w:color="auto" w:fill="auto"/>
          </w:tcPr>
          <w:p w14:paraId="762EFE36" w14:textId="77777777" w:rsidR="00021E86" w:rsidRPr="000D3C65" w:rsidDel="003633F8" w:rsidRDefault="00021E86" w:rsidP="00DC58DE">
            <w:pPr>
              <w:pStyle w:val="SingleTxtG"/>
              <w:tabs>
                <w:tab w:val="clear" w:pos="1701"/>
                <w:tab w:val="clear" w:pos="2268"/>
                <w:tab w:val="clear" w:pos="2835"/>
              </w:tabs>
              <w:suppressAutoHyphens w:val="0"/>
              <w:spacing w:before="40"/>
              <w:ind w:left="0" w:right="0"/>
              <w:jc w:val="left"/>
            </w:pPr>
            <w:r w:rsidRPr="000D3C65">
              <w:t>Francia</w:t>
            </w:r>
          </w:p>
        </w:tc>
        <w:tc>
          <w:tcPr>
            <w:tcW w:w="2086" w:type="dxa"/>
            <w:shd w:val="clear" w:color="auto" w:fill="auto"/>
          </w:tcPr>
          <w:p w14:paraId="03DB5A14"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111B5981"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1CEC8CF0" w14:textId="77777777" w:rsidTr="00DC58DE">
        <w:trPr>
          <w:cantSplit/>
          <w:trHeight w:val="240"/>
        </w:trPr>
        <w:tc>
          <w:tcPr>
            <w:tcW w:w="2422" w:type="dxa"/>
            <w:shd w:val="clear" w:color="auto" w:fill="auto"/>
          </w:tcPr>
          <w:p w14:paraId="4036E074" w14:textId="77777777" w:rsidR="00021E86" w:rsidRPr="000D3C65" w:rsidDel="00AD187D" w:rsidRDefault="00021E86" w:rsidP="00DC58DE">
            <w:pPr>
              <w:pStyle w:val="SingleTxtG"/>
              <w:tabs>
                <w:tab w:val="clear" w:pos="1701"/>
                <w:tab w:val="clear" w:pos="2268"/>
                <w:tab w:val="clear" w:pos="2835"/>
              </w:tabs>
              <w:suppressAutoHyphens w:val="0"/>
              <w:spacing w:before="40"/>
              <w:ind w:left="0" w:right="0"/>
              <w:jc w:val="left"/>
            </w:pPr>
            <w:r w:rsidRPr="000D3C65">
              <w:t>Grecia</w:t>
            </w:r>
          </w:p>
        </w:tc>
        <w:tc>
          <w:tcPr>
            <w:tcW w:w="2086" w:type="dxa"/>
            <w:shd w:val="clear" w:color="auto" w:fill="auto"/>
          </w:tcPr>
          <w:p w14:paraId="144DA4E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01BBCE78"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38A08292" w14:textId="77777777" w:rsidTr="00DC58DE">
        <w:trPr>
          <w:cantSplit/>
          <w:trHeight w:val="240"/>
        </w:trPr>
        <w:tc>
          <w:tcPr>
            <w:tcW w:w="2422" w:type="dxa"/>
            <w:shd w:val="clear" w:color="auto" w:fill="auto"/>
          </w:tcPr>
          <w:p w14:paraId="39E7A7A2" w14:textId="77777777" w:rsidR="00021E86" w:rsidRPr="000D3C65" w:rsidDel="003633F8" w:rsidRDefault="00021E86" w:rsidP="00DC58DE">
            <w:pPr>
              <w:pStyle w:val="SingleTxtG"/>
              <w:tabs>
                <w:tab w:val="clear" w:pos="1701"/>
                <w:tab w:val="clear" w:pos="2268"/>
                <w:tab w:val="clear" w:pos="2835"/>
              </w:tabs>
              <w:suppressAutoHyphens w:val="0"/>
              <w:spacing w:before="40"/>
              <w:ind w:left="0" w:right="0"/>
              <w:jc w:val="left"/>
            </w:pPr>
            <w:r w:rsidRPr="000D3C65">
              <w:t>Islandia</w:t>
            </w:r>
          </w:p>
        </w:tc>
        <w:tc>
          <w:tcPr>
            <w:tcW w:w="2086" w:type="dxa"/>
            <w:shd w:val="clear" w:color="auto" w:fill="auto"/>
          </w:tcPr>
          <w:p w14:paraId="0716D788"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1257428B"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38506070" w14:textId="77777777" w:rsidTr="00DC58DE">
        <w:trPr>
          <w:cantSplit/>
          <w:trHeight w:val="240"/>
        </w:trPr>
        <w:tc>
          <w:tcPr>
            <w:tcW w:w="2422" w:type="dxa"/>
            <w:shd w:val="clear" w:color="auto" w:fill="auto"/>
          </w:tcPr>
          <w:p w14:paraId="00BDFE19" w14:textId="77777777" w:rsidR="00021E86" w:rsidRPr="000D3C65" w:rsidDel="00AD187D" w:rsidRDefault="00021E86" w:rsidP="00DC58DE">
            <w:pPr>
              <w:pStyle w:val="SingleTxtG"/>
              <w:tabs>
                <w:tab w:val="clear" w:pos="1701"/>
                <w:tab w:val="clear" w:pos="2268"/>
                <w:tab w:val="clear" w:pos="2835"/>
              </w:tabs>
              <w:suppressAutoHyphens w:val="0"/>
              <w:spacing w:before="40"/>
              <w:ind w:left="0" w:right="0"/>
              <w:jc w:val="left"/>
            </w:pPr>
            <w:r w:rsidRPr="000D3C65">
              <w:t>Pakistán</w:t>
            </w:r>
          </w:p>
        </w:tc>
        <w:tc>
          <w:tcPr>
            <w:tcW w:w="2086" w:type="dxa"/>
            <w:shd w:val="clear" w:color="auto" w:fill="auto"/>
          </w:tcPr>
          <w:p w14:paraId="13C9BD82"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3D77CF1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4D38F384" w14:textId="77777777" w:rsidTr="00DC58DE">
        <w:trPr>
          <w:cantSplit/>
          <w:trHeight w:val="240"/>
        </w:trPr>
        <w:tc>
          <w:tcPr>
            <w:tcW w:w="2422" w:type="dxa"/>
            <w:shd w:val="clear" w:color="auto" w:fill="auto"/>
          </w:tcPr>
          <w:p w14:paraId="7E9077F5"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Türkiye</w:t>
            </w:r>
          </w:p>
        </w:tc>
        <w:tc>
          <w:tcPr>
            <w:tcW w:w="2086" w:type="dxa"/>
            <w:shd w:val="clear" w:color="auto" w:fill="auto"/>
          </w:tcPr>
          <w:p w14:paraId="0756F8F4"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Octubre de 2024</w:t>
            </w:r>
          </w:p>
        </w:tc>
        <w:tc>
          <w:tcPr>
            <w:tcW w:w="2862" w:type="dxa"/>
            <w:shd w:val="clear" w:color="auto" w:fill="auto"/>
          </w:tcPr>
          <w:p w14:paraId="2E99615D"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2032</w:t>
            </w:r>
          </w:p>
        </w:tc>
      </w:tr>
      <w:tr w:rsidR="00DC58DE" w:rsidRPr="000D3C65" w14:paraId="2756903B" w14:textId="77777777" w:rsidTr="00DC58DE">
        <w:trPr>
          <w:cantSplit/>
          <w:trHeight w:val="240"/>
        </w:trPr>
        <w:tc>
          <w:tcPr>
            <w:tcW w:w="2422" w:type="dxa"/>
            <w:shd w:val="clear" w:color="auto" w:fill="auto"/>
          </w:tcPr>
          <w:p w14:paraId="1CE2FAC7"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Albania</w:t>
            </w:r>
          </w:p>
        </w:tc>
        <w:tc>
          <w:tcPr>
            <w:tcW w:w="2086" w:type="dxa"/>
            <w:shd w:val="clear" w:color="auto" w:fill="auto"/>
          </w:tcPr>
          <w:p w14:paraId="4ABB6661"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Marzo de 2025</w:t>
            </w:r>
          </w:p>
        </w:tc>
        <w:tc>
          <w:tcPr>
            <w:tcW w:w="2862" w:type="dxa"/>
            <w:shd w:val="clear" w:color="auto" w:fill="auto"/>
          </w:tcPr>
          <w:p w14:paraId="12537906"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2033</w:t>
            </w:r>
          </w:p>
        </w:tc>
      </w:tr>
      <w:tr w:rsidR="00DC58DE" w:rsidRPr="000D3C65" w14:paraId="0596089B" w14:textId="77777777" w:rsidTr="00DC58DE">
        <w:trPr>
          <w:cantSplit/>
          <w:trHeight w:val="240"/>
        </w:trPr>
        <w:tc>
          <w:tcPr>
            <w:tcW w:w="2422" w:type="dxa"/>
            <w:shd w:val="clear" w:color="auto" w:fill="auto"/>
          </w:tcPr>
          <w:p w14:paraId="3EE7F1FD"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Burkina Faso</w:t>
            </w:r>
          </w:p>
        </w:tc>
        <w:tc>
          <w:tcPr>
            <w:tcW w:w="2086" w:type="dxa"/>
            <w:shd w:val="clear" w:color="auto" w:fill="auto"/>
          </w:tcPr>
          <w:p w14:paraId="633B467B"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Marzo de 2025</w:t>
            </w:r>
          </w:p>
        </w:tc>
        <w:tc>
          <w:tcPr>
            <w:tcW w:w="2862" w:type="dxa"/>
            <w:shd w:val="clear" w:color="auto" w:fill="auto"/>
          </w:tcPr>
          <w:p w14:paraId="740BD923"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2033</w:t>
            </w:r>
          </w:p>
        </w:tc>
      </w:tr>
      <w:tr w:rsidR="00DC58DE" w:rsidRPr="000D3C65" w14:paraId="23DF15E9" w14:textId="77777777" w:rsidTr="00DC58DE">
        <w:trPr>
          <w:cantSplit/>
          <w:trHeight w:val="240"/>
        </w:trPr>
        <w:tc>
          <w:tcPr>
            <w:tcW w:w="2422" w:type="dxa"/>
            <w:shd w:val="clear" w:color="auto" w:fill="auto"/>
          </w:tcPr>
          <w:p w14:paraId="67D4E392"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Mongolia</w:t>
            </w:r>
          </w:p>
        </w:tc>
        <w:tc>
          <w:tcPr>
            <w:tcW w:w="2086" w:type="dxa"/>
            <w:shd w:val="clear" w:color="auto" w:fill="auto"/>
          </w:tcPr>
          <w:p w14:paraId="6D2B39E5"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Marzo de 2025</w:t>
            </w:r>
          </w:p>
        </w:tc>
        <w:tc>
          <w:tcPr>
            <w:tcW w:w="2862" w:type="dxa"/>
            <w:shd w:val="clear" w:color="auto" w:fill="auto"/>
          </w:tcPr>
          <w:p w14:paraId="2E58E893"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2033</w:t>
            </w:r>
          </w:p>
        </w:tc>
      </w:tr>
      <w:tr w:rsidR="00DC58DE" w:rsidRPr="000D3C65" w14:paraId="1BC3DF1E" w14:textId="77777777" w:rsidTr="00DC58DE">
        <w:trPr>
          <w:cantSplit/>
          <w:trHeight w:val="240"/>
        </w:trPr>
        <w:tc>
          <w:tcPr>
            <w:tcW w:w="2422" w:type="dxa"/>
            <w:shd w:val="clear" w:color="auto" w:fill="auto"/>
          </w:tcPr>
          <w:p w14:paraId="40586290"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Montenegro</w:t>
            </w:r>
          </w:p>
        </w:tc>
        <w:tc>
          <w:tcPr>
            <w:tcW w:w="2086" w:type="dxa"/>
            <w:shd w:val="clear" w:color="auto" w:fill="auto"/>
          </w:tcPr>
          <w:p w14:paraId="19C9FCC4"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Marzo de 2025</w:t>
            </w:r>
          </w:p>
        </w:tc>
        <w:tc>
          <w:tcPr>
            <w:tcW w:w="2862" w:type="dxa"/>
            <w:shd w:val="clear" w:color="auto" w:fill="auto"/>
          </w:tcPr>
          <w:p w14:paraId="74F2A57F"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2033</w:t>
            </w:r>
          </w:p>
        </w:tc>
      </w:tr>
      <w:tr w:rsidR="00DC58DE" w:rsidRPr="000D3C65" w14:paraId="166ABCC8" w14:textId="77777777" w:rsidTr="00DC58DE">
        <w:trPr>
          <w:cantSplit/>
          <w:trHeight w:val="240"/>
        </w:trPr>
        <w:tc>
          <w:tcPr>
            <w:tcW w:w="2422" w:type="dxa"/>
            <w:tcBorders>
              <w:bottom w:val="single" w:sz="12" w:space="0" w:color="auto"/>
            </w:tcBorders>
            <w:shd w:val="clear" w:color="auto" w:fill="auto"/>
          </w:tcPr>
          <w:p w14:paraId="44533D9E"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Zimbabwe</w:t>
            </w:r>
          </w:p>
        </w:tc>
        <w:tc>
          <w:tcPr>
            <w:tcW w:w="2086" w:type="dxa"/>
            <w:tcBorders>
              <w:bottom w:val="single" w:sz="12" w:space="0" w:color="auto"/>
            </w:tcBorders>
            <w:shd w:val="clear" w:color="auto" w:fill="auto"/>
          </w:tcPr>
          <w:p w14:paraId="486FA752"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Marzo de 2025</w:t>
            </w:r>
          </w:p>
        </w:tc>
        <w:tc>
          <w:tcPr>
            <w:tcW w:w="2862" w:type="dxa"/>
            <w:tcBorders>
              <w:bottom w:val="single" w:sz="12" w:space="0" w:color="auto"/>
            </w:tcBorders>
            <w:shd w:val="clear" w:color="auto" w:fill="auto"/>
          </w:tcPr>
          <w:p w14:paraId="7E72D538" w14:textId="77777777" w:rsidR="00021E86" w:rsidRPr="000D3C65" w:rsidRDefault="00021E86" w:rsidP="00DC58DE">
            <w:pPr>
              <w:pStyle w:val="SingleTxtG"/>
              <w:tabs>
                <w:tab w:val="clear" w:pos="1701"/>
                <w:tab w:val="clear" w:pos="2268"/>
                <w:tab w:val="clear" w:pos="2835"/>
              </w:tabs>
              <w:suppressAutoHyphens w:val="0"/>
              <w:spacing w:before="40"/>
              <w:ind w:left="0" w:right="0"/>
              <w:jc w:val="left"/>
            </w:pPr>
            <w:r w:rsidRPr="000D3C65">
              <w:t>2033</w:t>
            </w:r>
          </w:p>
        </w:tc>
      </w:tr>
    </w:tbl>
    <w:p w14:paraId="17D90CD1" w14:textId="77777777" w:rsidR="00021E86" w:rsidRPr="000D3C65" w:rsidRDefault="00021E86" w:rsidP="00021E86">
      <w:pPr>
        <w:pStyle w:val="SingleTxtG"/>
        <w:rPr>
          <w:b/>
        </w:rPr>
      </w:pPr>
      <w:r w:rsidRPr="000D3C65">
        <w:br w:type="page"/>
      </w:r>
    </w:p>
    <w:p w14:paraId="7CCD5E53" w14:textId="3E09588D" w:rsidR="00021E86" w:rsidRPr="000D3C65" w:rsidRDefault="00DC58DE" w:rsidP="00DC58DE">
      <w:pPr>
        <w:pStyle w:val="HChG"/>
      </w:pPr>
      <w:r w:rsidRPr="000D3C65">
        <w:lastRenderedPageBreak/>
        <w:tab/>
      </w:r>
      <w:r w:rsidR="00021E86" w:rsidRPr="000D3C65">
        <w:t>Anexo I</w:t>
      </w:r>
    </w:p>
    <w:p w14:paraId="6DA8A364" w14:textId="0796FA55" w:rsidR="00021E86" w:rsidRPr="000D3C65" w:rsidRDefault="00DC58DE" w:rsidP="00DC58DE">
      <w:pPr>
        <w:pStyle w:val="HChG"/>
      </w:pPr>
      <w:r w:rsidRPr="000D3C65">
        <w:tab/>
      </w:r>
      <w:r w:rsidR="00021E86" w:rsidRPr="000D3C65">
        <w:tab/>
      </w:r>
      <w:r w:rsidR="00021E86" w:rsidRPr="000D3C65">
        <w:rPr>
          <w:bCs/>
        </w:rPr>
        <w:t>Miembros del Comité de Derechos Humanos, 2023-2024</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Description w:val="List of Members"/>
      </w:tblPr>
      <w:tblGrid>
        <w:gridCol w:w="3120"/>
        <w:gridCol w:w="2550"/>
        <w:gridCol w:w="1700"/>
      </w:tblGrid>
      <w:tr w:rsidR="0039393A" w:rsidRPr="000D3C65" w14:paraId="6F3DA828" w14:textId="77777777" w:rsidTr="0039393A">
        <w:trPr>
          <w:cantSplit/>
          <w:trHeight w:val="240"/>
          <w:tblHeader/>
        </w:trPr>
        <w:tc>
          <w:tcPr>
            <w:tcW w:w="3120" w:type="dxa"/>
            <w:tcBorders>
              <w:top w:val="single" w:sz="4" w:space="0" w:color="auto"/>
              <w:bottom w:val="single" w:sz="12" w:space="0" w:color="auto"/>
            </w:tcBorders>
            <w:shd w:val="clear" w:color="auto" w:fill="auto"/>
            <w:vAlign w:val="bottom"/>
            <w:hideMark/>
          </w:tcPr>
          <w:p w14:paraId="79911C4D" w14:textId="460E51F1" w:rsidR="00021E86" w:rsidRPr="000D3C65" w:rsidRDefault="00021E86" w:rsidP="0039393A">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Nombre</w:t>
            </w:r>
          </w:p>
        </w:tc>
        <w:tc>
          <w:tcPr>
            <w:tcW w:w="2550" w:type="dxa"/>
            <w:tcBorders>
              <w:top w:val="single" w:sz="4" w:space="0" w:color="auto"/>
              <w:bottom w:val="single" w:sz="12" w:space="0" w:color="auto"/>
            </w:tcBorders>
            <w:shd w:val="clear" w:color="auto" w:fill="auto"/>
            <w:vAlign w:val="bottom"/>
            <w:hideMark/>
          </w:tcPr>
          <w:p w14:paraId="4EF7A23E" w14:textId="77777777" w:rsidR="00021E86" w:rsidRPr="000D3C65" w:rsidRDefault="00021E86" w:rsidP="0039393A">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País de nacionalidad</w:t>
            </w:r>
            <w:r w:rsidRPr="000D3C65">
              <w:rPr>
                <w:i/>
                <w:iCs/>
                <w:sz w:val="16"/>
                <w:vertAlign w:val="superscript"/>
              </w:rPr>
              <w:t>a</w:t>
            </w:r>
          </w:p>
        </w:tc>
        <w:tc>
          <w:tcPr>
            <w:tcW w:w="1700" w:type="dxa"/>
            <w:tcBorders>
              <w:top w:val="single" w:sz="4" w:space="0" w:color="auto"/>
              <w:bottom w:val="single" w:sz="12" w:space="0" w:color="auto"/>
            </w:tcBorders>
            <w:shd w:val="clear" w:color="auto" w:fill="auto"/>
            <w:vAlign w:val="bottom"/>
            <w:hideMark/>
          </w:tcPr>
          <w:p w14:paraId="0D181080" w14:textId="77777777" w:rsidR="00021E86" w:rsidRPr="000D3C65" w:rsidRDefault="00021E86" w:rsidP="0039393A">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El mandato finaliza el 31 de diciembre</w:t>
            </w:r>
          </w:p>
        </w:tc>
      </w:tr>
      <w:tr w:rsidR="0039393A" w:rsidRPr="000D3C65" w14:paraId="7A866680" w14:textId="77777777" w:rsidTr="0039393A">
        <w:trPr>
          <w:cantSplit/>
          <w:trHeight w:hRule="exact" w:val="113"/>
          <w:tblHeader/>
        </w:trPr>
        <w:tc>
          <w:tcPr>
            <w:tcW w:w="3120" w:type="dxa"/>
            <w:tcBorders>
              <w:top w:val="single" w:sz="12" w:space="0" w:color="auto"/>
            </w:tcBorders>
            <w:shd w:val="clear" w:color="auto" w:fill="auto"/>
          </w:tcPr>
          <w:p w14:paraId="2B69066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p>
        </w:tc>
        <w:tc>
          <w:tcPr>
            <w:tcW w:w="2550" w:type="dxa"/>
            <w:tcBorders>
              <w:top w:val="single" w:sz="12" w:space="0" w:color="auto"/>
            </w:tcBorders>
            <w:shd w:val="clear" w:color="auto" w:fill="auto"/>
          </w:tcPr>
          <w:p w14:paraId="7728AC8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p>
        </w:tc>
        <w:tc>
          <w:tcPr>
            <w:tcW w:w="1700" w:type="dxa"/>
            <w:tcBorders>
              <w:top w:val="single" w:sz="12" w:space="0" w:color="auto"/>
            </w:tcBorders>
            <w:shd w:val="clear" w:color="auto" w:fill="auto"/>
          </w:tcPr>
          <w:p w14:paraId="6E70DACA"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p>
        </w:tc>
      </w:tr>
      <w:tr w:rsidR="0039393A" w:rsidRPr="000D3C65" w14:paraId="1A4C3420" w14:textId="77777777" w:rsidTr="0039393A">
        <w:trPr>
          <w:cantSplit/>
          <w:trHeight w:val="240"/>
        </w:trPr>
        <w:tc>
          <w:tcPr>
            <w:tcW w:w="3120" w:type="dxa"/>
            <w:shd w:val="clear" w:color="auto" w:fill="auto"/>
            <w:hideMark/>
          </w:tcPr>
          <w:p w14:paraId="111724BA"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Tania María Abdo Rocholl</w:t>
            </w:r>
          </w:p>
        </w:tc>
        <w:tc>
          <w:tcPr>
            <w:tcW w:w="2550" w:type="dxa"/>
            <w:shd w:val="clear" w:color="auto" w:fill="auto"/>
            <w:hideMark/>
          </w:tcPr>
          <w:p w14:paraId="3FE8C08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Paraguay</w:t>
            </w:r>
          </w:p>
        </w:tc>
        <w:tc>
          <w:tcPr>
            <w:tcW w:w="1700" w:type="dxa"/>
            <w:shd w:val="clear" w:color="auto" w:fill="auto"/>
            <w:hideMark/>
          </w:tcPr>
          <w:p w14:paraId="5F2E9D0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42132CCE" w14:textId="77777777" w:rsidTr="0039393A">
        <w:trPr>
          <w:cantSplit/>
          <w:trHeight w:val="240"/>
        </w:trPr>
        <w:tc>
          <w:tcPr>
            <w:tcW w:w="3120" w:type="dxa"/>
            <w:shd w:val="clear" w:color="auto" w:fill="auto"/>
            <w:hideMark/>
          </w:tcPr>
          <w:p w14:paraId="787863C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Farid Ahmadov</w:t>
            </w:r>
          </w:p>
        </w:tc>
        <w:tc>
          <w:tcPr>
            <w:tcW w:w="2550" w:type="dxa"/>
            <w:shd w:val="clear" w:color="auto" w:fill="auto"/>
            <w:hideMark/>
          </w:tcPr>
          <w:p w14:paraId="3D988CF4"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Azerbaiyán</w:t>
            </w:r>
          </w:p>
        </w:tc>
        <w:tc>
          <w:tcPr>
            <w:tcW w:w="1700" w:type="dxa"/>
            <w:shd w:val="clear" w:color="auto" w:fill="auto"/>
            <w:hideMark/>
          </w:tcPr>
          <w:p w14:paraId="20644762" w14:textId="5D13FE2B"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r w:rsidRPr="000D3C65">
              <w:rPr>
                <w:iCs/>
                <w:vertAlign w:val="superscript"/>
              </w:rPr>
              <w:t xml:space="preserve"> </w:t>
            </w:r>
            <w:r w:rsidRPr="000D3C65">
              <w:rPr>
                <w:i/>
                <w:iCs/>
                <w:sz w:val="18"/>
                <w:vertAlign w:val="superscript"/>
              </w:rPr>
              <w:t>d</w:t>
            </w:r>
          </w:p>
        </w:tc>
      </w:tr>
      <w:tr w:rsidR="0039393A" w:rsidRPr="000D3C65" w14:paraId="0558ABC2" w14:textId="77777777" w:rsidTr="0039393A">
        <w:trPr>
          <w:cantSplit/>
          <w:trHeight w:val="240"/>
        </w:trPr>
        <w:tc>
          <w:tcPr>
            <w:tcW w:w="3120" w:type="dxa"/>
            <w:shd w:val="clear" w:color="auto" w:fill="auto"/>
            <w:hideMark/>
          </w:tcPr>
          <w:p w14:paraId="74AAA92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Wafaa Ashraf Moharram Bassim</w:t>
            </w:r>
          </w:p>
        </w:tc>
        <w:tc>
          <w:tcPr>
            <w:tcW w:w="2550" w:type="dxa"/>
            <w:shd w:val="clear" w:color="auto" w:fill="auto"/>
            <w:hideMark/>
          </w:tcPr>
          <w:p w14:paraId="5227766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Egipto</w:t>
            </w:r>
          </w:p>
        </w:tc>
        <w:tc>
          <w:tcPr>
            <w:tcW w:w="1700" w:type="dxa"/>
            <w:shd w:val="clear" w:color="auto" w:fill="auto"/>
            <w:hideMark/>
          </w:tcPr>
          <w:p w14:paraId="4EF76E8B"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7DC45C70" w14:textId="77777777" w:rsidTr="0039393A">
        <w:trPr>
          <w:cantSplit/>
          <w:trHeight w:val="240"/>
        </w:trPr>
        <w:tc>
          <w:tcPr>
            <w:tcW w:w="3120" w:type="dxa"/>
            <w:shd w:val="clear" w:color="auto" w:fill="auto"/>
            <w:hideMark/>
          </w:tcPr>
          <w:p w14:paraId="35C1DC1D"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 xml:space="preserve">Rodrigo A. Carazo </w:t>
            </w:r>
          </w:p>
        </w:tc>
        <w:tc>
          <w:tcPr>
            <w:tcW w:w="2550" w:type="dxa"/>
            <w:shd w:val="clear" w:color="auto" w:fill="auto"/>
            <w:hideMark/>
          </w:tcPr>
          <w:p w14:paraId="6926059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Costa Rica</w:t>
            </w:r>
          </w:p>
        </w:tc>
        <w:tc>
          <w:tcPr>
            <w:tcW w:w="1700" w:type="dxa"/>
            <w:shd w:val="clear" w:color="auto" w:fill="auto"/>
            <w:hideMark/>
          </w:tcPr>
          <w:p w14:paraId="72B0A55A"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022776AB" w14:textId="77777777" w:rsidTr="0039393A">
        <w:trPr>
          <w:cantSplit/>
          <w:trHeight w:val="240"/>
        </w:trPr>
        <w:tc>
          <w:tcPr>
            <w:tcW w:w="3120" w:type="dxa"/>
            <w:shd w:val="clear" w:color="auto" w:fill="auto"/>
            <w:hideMark/>
          </w:tcPr>
          <w:p w14:paraId="711B208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Yvonne Donders</w:t>
            </w:r>
          </w:p>
        </w:tc>
        <w:tc>
          <w:tcPr>
            <w:tcW w:w="2550" w:type="dxa"/>
            <w:shd w:val="clear" w:color="auto" w:fill="auto"/>
            <w:hideMark/>
          </w:tcPr>
          <w:p w14:paraId="38BB03C1"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Reino de los Países Bajos</w:t>
            </w:r>
          </w:p>
        </w:tc>
        <w:tc>
          <w:tcPr>
            <w:tcW w:w="1700" w:type="dxa"/>
            <w:shd w:val="clear" w:color="auto" w:fill="auto"/>
            <w:hideMark/>
          </w:tcPr>
          <w:p w14:paraId="798BC59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095C40CB" w14:textId="77777777" w:rsidTr="0039393A">
        <w:trPr>
          <w:cantSplit/>
          <w:trHeight w:val="240"/>
        </w:trPr>
        <w:tc>
          <w:tcPr>
            <w:tcW w:w="3120" w:type="dxa"/>
            <w:shd w:val="clear" w:color="auto" w:fill="auto"/>
            <w:hideMark/>
          </w:tcPr>
          <w:p w14:paraId="3F001EB7"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Mahjoub El Haiba</w:t>
            </w:r>
          </w:p>
        </w:tc>
        <w:tc>
          <w:tcPr>
            <w:tcW w:w="2550" w:type="dxa"/>
            <w:shd w:val="clear" w:color="auto" w:fill="auto"/>
            <w:hideMark/>
          </w:tcPr>
          <w:p w14:paraId="02A72CDA"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Marruecos</w:t>
            </w:r>
          </w:p>
        </w:tc>
        <w:tc>
          <w:tcPr>
            <w:tcW w:w="1700" w:type="dxa"/>
            <w:shd w:val="clear" w:color="auto" w:fill="auto"/>
            <w:hideMark/>
          </w:tcPr>
          <w:p w14:paraId="62704D8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457AA7DC" w14:textId="77777777" w:rsidTr="0039393A">
        <w:trPr>
          <w:cantSplit/>
          <w:trHeight w:val="240"/>
        </w:trPr>
        <w:tc>
          <w:tcPr>
            <w:tcW w:w="3120" w:type="dxa"/>
            <w:shd w:val="clear" w:color="auto" w:fill="auto"/>
            <w:hideMark/>
          </w:tcPr>
          <w:p w14:paraId="332E6E0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Carlos Gómez Martínez</w:t>
            </w:r>
          </w:p>
        </w:tc>
        <w:tc>
          <w:tcPr>
            <w:tcW w:w="2550" w:type="dxa"/>
            <w:shd w:val="clear" w:color="auto" w:fill="auto"/>
            <w:hideMark/>
          </w:tcPr>
          <w:p w14:paraId="174105C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España</w:t>
            </w:r>
          </w:p>
        </w:tc>
        <w:tc>
          <w:tcPr>
            <w:tcW w:w="1700" w:type="dxa"/>
            <w:shd w:val="clear" w:color="auto" w:fill="auto"/>
            <w:hideMark/>
          </w:tcPr>
          <w:p w14:paraId="34874BFB"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27C052EF" w14:textId="77777777" w:rsidTr="0039393A">
        <w:trPr>
          <w:cantSplit/>
          <w:trHeight w:val="240"/>
        </w:trPr>
        <w:tc>
          <w:tcPr>
            <w:tcW w:w="3120" w:type="dxa"/>
            <w:shd w:val="clear" w:color="auto" w:fill="auto"/>
            <w:hideMark/>
          </w:tcPr>
          <w:p w14:paraId="0D868E4C"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Laurence R. Helfer</w:t>
            </w:r>
          </w:p>
        </w:tc>
        <w:tc>
          <w:tcPr>
            <w:tcW w:w="2550" w:type="dxa"/>
            <w:shd w:val="clear" w:color="auto" w:fill="auto"/>
            <w:hideMark/>
          </w:tcPr>
          <w:p w14:paraId="7E0DB83F"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Estados Unidos de América</w:t>
            </w:r>
          </w:p>
        </w:tc>
        <w:tc>
          <w:tcPr>
            <w:tcW w:w="1700" w:type="dxa"/>
            <w:shd w:val="clear" w:color="auto" w:fill="auto"/>
            <w:hideMark/>
          </w:tcPr>
          <w:p w14:paraId="6F624364"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3939CDFB" w14:textId="77777777" w:rsidTr="0039393A">
        <w:trPr>
          <w:cantSplit/>
          <w:trHeight w:val="240"/>
        </w:trPr>
        <w:tc>
          <w:tcPr>
            <w:tcW w:w="3120" w:type="dxa"/>
            <w:shd w:val="clear" w:color="auto" w:fill="auto"/>
            <w:hideMark/>
          </w:tcPr>
          <w:p w14:paraId="183A5B31" w14:textId="5F32498A"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Marcia V.</w:t>
            </w:r>
            <w:r w:rsidR="0039393A" w:rsidRPr="000D3C65">
              <w:t xml:space="preserve"> </w:t>
            </w:r>
            <w:r w:rsidRPr="000D3C65">
              <w:t>J. Kran</w:t>
            </w:r>
          </w:p>
        </w:tc>
        <w:tc>
          <w:tcPr>
            <w:tcW w:w="2550" w:type="dxa"/>
            <w:shd w:val="clear" w:color="auto" w:fill="auto"/>
            <w:hideMark/>
          </w:tcPr>
          <w:p w14:paraId="11C91B67"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Canadá</w:t>
            </w:r>
          </w:p>
        </w:tc>
        <w:tc>
          <w:tcPr>
            <w:tcW w:w="1700" w:type="dxa"/>
            <w:shd w:val="clear" w:color="auto" w:fill="auto"/>
            <w:hideMark/>
          </w:tcPr>
          <w:p w14:paraId="6B2D058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3EF04B3D" w14:textId="77777777" w:rsidTr="0039393A">
        <w:trPr>
          <w:cantSplit/>
          <w:trHeight w:val="240"/>
        </w:trPr>
        <w:tc>
          <w:tcPr>
            <w:tcW w:w="3120" w:type="dxa"/>
            <w:shd w:val="clear" w:color="auto" w:fill="auto"/>
            <w:hideMark/>
          </w:tcPr>
          <w:p w14:paraId="799FEA0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Bacre Waly Ndiaye</w:t>
            </w:r>
          </w:p>
        </w:tc>
        <w:tc>
          <w:tcPr>
            <w:tcW w:w="2550" w:type="dxa"/>
            <w:shd w:val="clear" w:color="auto" w:fill="auto"/>
            <w:hideMark/>
          </w:tcPr>
          <w:p w14:paraId="06E1F234"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 xml:space="preserve">Senegal </w:t>
            </w:r>
          </w:p>
        </w:tc>
        <w:tc>
          <w:tcPr>
            <w:tcW w:w="1700" w:type="dxa"/>
            <w:shd w:val="clear" w:color="auto" w:fill="auto"/>
            <w:hideMark/>
          </w:tcPr>
          <w:p w14:paraId="2515587C"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440733F0" w14:textId="77777777" w:rsidTr="0039393A">
        <w:trPr>
          <w:cantSplit/>
          <w:trHeight w:val="240"/>
        </w:trPr>
        <w:tc>
          <w:tcPr>
            <w:tcW w:w="3120" w:type="dxa"/>
            <w:shd w:val="clear" w:color="auto" w:fill="auto"/>
            <w:hideMark/>
          </w:tcPr>
          <w:p w14:paraId="238333DC"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Hernán Quezada Cabrera</w:t>
            </w:r>
          </w:p>
        </w:tc>
        <w:tc>
          <w:tcPr>
            <w:tcW w:w="2550" w:type="dxa"/>
            <w:shd w:val="clear" w:color="auto" w:fill="auto"/>
            <w:hideMark/>
          </w:tcPr>
          <w:p w14:paraId="7B694A7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Chile</w:t>
            </w:r>
          </w:p>
        </w:tc>
        <w:tc>
          <w:tcPr>
            <w:tcW w:w="1700" w:type="dxa"/>
            <w:shd w:val="clear" w:color="auto" w:fill="auto"/>
            <w:hideMark/>
          </w:tcPr>
          <w:p w14:paraId="1159FB37"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2022</w:t>
            </w:r>
            <w:r w:rsidRPr="000D3C65">
              <w:rPr>
                <w:i/>
                <w:iCs/>
                <w:sz w:val="18"/>
                <w:vertAlign w:val="superscript"/>
              </w:rPr>
              <w:t>b</w:t>
            </w:r>
          </w:p>
        </w:tc>
      </w:tr>
      <w:tr w:rsidR="0039393A" w:rsidRPr="000D3C65" w14:paraId="04AF9D2A" w14:textId="77777777" w:rsidTr="0039393A">
        <w:trPr>
          <w:cantSplit/>
          <w:trHeight w:val="240"/>
        </w:trPr>
        <w:tc>
          <w:tcPr>
            <w:tcW w:w="3120" w:type="dxa"/>
            <w:shd w:val="clear" w:color="auto" w:fill="auto"/>
            <w:hideMark/>
          </w:tcPr>
          <w:p w14:paraId="6360588D"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José Manuel Santos Pais</w:t>
            </w:r>
          </w:p>
        </w:tc>
        <w:tc>
          <w:tcPr>
            <w:tcW w:w="2550" w:type="dxa"/>
            <w:shd w:val="clear" w:color="auto" w:fill="auto"/>
            <w:hideMark/>
          </w:tcPr>
          <w:p w14:paraId="0231F550"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Portugal</w:t>
            </w:r>
          </w:p>
        </w:tc>
        <w:tc>
          <w:tcPr>
            <w:tcW w:w="1700" w:type="dxa"/>
            <w:shd w:val="clear" w:color="auto" w:fill="auto"/>
            <w:hideMark/>
          </w:tcPr>
          <w:p w14:paraId="519CBA9B"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607377B0" w14:textId="77777777" w:rsidTr="0039393A">
        <w:trPr>
          <w:cantSplit/>
          <w:trHeight w:val="240"/>
        </w:trPr>
        <w:tc>
          <w:tcPr>
            <w:tcW w:w="3120" w:type="dxa"/>
            <w:shd w:val="clear" w:color="auto" w:fill="auto"/>
            <w:hideMark/>
          </w:tcPr>
          <w:p w14:paraId="602CF7FF" w14:textId="273C238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Soh Changrok</w:t>
            </w:r>
          </w:p>
        </w:tc>
        <w:tc>
          <w:tcPr>
            <w:tcW w:w="2550" w:type="dxa"/>
            <w:shd w:val="clear" w:color="auto" w:fill="auto"/>
            <w:hideMark/>
          </w:tcPr>
          <w:p w14:paraId="3832E421"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República de Corea</w:t>
            </w:r>
          </w:p>
        </w:tc>
        <w:tc>
          <w:tcPr>
            <w:tcW w:w="1700" w:type="dxa"/>
            <w:shd w:val="clear" w:color="auto" w:fill="auto"/>
            <w:hideMark/>
          </w:tcPr>
          <w:p w14:paraId="13668E7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0A28F9FB" w14:textId="77777777" w:rsidTr="0039393A">
        <w:trPr>
          <w:cantSplit/>
          <w:trHeight w:val="240"/>
        </w:trPr>
        <w:tc>
          <w:tcPr>
            <w:tcW w:w="3120" w:type="dxa"/>
            <w:shd w:val="clear" w:color="auto" w:fill="auto"/>
            <w:hideMark/>
          </w:tcPr>
          <w:p w14:paraId="48C397B1" w14:textId="492BB734"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Tijana Šurlan</w:t>
            </w:r>
          </w:p>
        </w:tc>
        <w:tc>
          <w:tcPr>
            <w:tcW w:w="2550" w:type="dxa"/>
            <w:shd w:val="clear" w:color="auto" w:fill="auto"/>
            <w:hideMark/>
          </w:tcPr>
          <w:p w14:paraId="129F4BB4"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Serbia</w:t>
            </w:r>
          </w:p>
        </w:tc>
        <w:tc>
          <w:tcPr>
            <w:tcW w:w="1700" w:type="dxa"/>
            <w:shd w:val="clear" w:color="auto" w:fill="auto"/>
            <w:hideMark/>
          </w:tcPr>
          <w:p w14:paraId="0427E92C"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080AF0FA" w14:textId="77777777" w:rsidTr="0039393A">
        <w:trPr>
          <w:cantSplit/>
          <w:trHeight w:val="240"/>
        </w:trPr>
        <w:tc>
          <w:tcPr>
            <w:tcW w:w="3120" w:type="dxa"/>
            <w:shd w:val="clear" w:color="auto" w:fill="auto"/>
            <w:hideMark/>
          </w:tcPr>
          <w:p w14:paraId="610AC01D"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Kobauyah Tchamdja Kpatcha</w:t>
            </w:r>
          </w:p>
        </w:tc>
        <w:tc>
          <w:tcPr>
            <w:tcW w:w="2550" w:type="dxa"/>
            <w:shd w:val="clear" w:color="auto" w:fill="auto"/>
            <w:hideMark/>
          </w:tcPr>
          <w:p w14:paraId="7478FFA2"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Togo</w:t>
            </w:r>
          </w:p>
        </w:tc>
        <w:tc>
          <w:tcPr>
            <w:tcW w:w="1700" w:type="dxa"/>
            <w:shd w:val="clear" w:color="auto" w:fill="auto"/>
            <w:hideMark/>
          </w:tcPr>
          <w:p w14:paraId="60F3E7A8"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r w:rsidR="0039393A" w:rsidRPr="000D3C65" w14:paraId="5C6A6654" w14:textId="77777777" w:rsidTr="0039393A">
        <w:trPr>
          <w:cantSplit/>
          <w:trHeight w:val="240"/>
        </w:trPr>
        <w:tc>
          <w:tcPr>
            <w:tcW w:w="3120" w:type="dxa"/>
            <w:shd w:val="clear" w:color="auto" w:fill="auto"/>
            <w:hideMark/>
          </w:tcPr>
          <w:p w14:paraId="26CB4B3D"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Teraya Koji</w:t>
            </w:r>
          </w:p>
        </w:tc>
        <w:tc>
          <w:tcPr>
            <w:tcW w:w="2550" w:type="dxa"/>
            <w:shd w:val="clear" w:color="auto" w:fill="auto"/>
            <w:hideMark/>
          </w:tcPr>
          <w:p w14:paraId="6012214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Japón</w:t>
            </w:r>
          </w:p>
        </w:tc>
        <w:tc>
          <w:tcPr>
            <w:tcW w:w="1700" w:type="dxa"/>
            <w:shd w:val="clear" w:color="auto" w:fill="auto"/>
            <w:hideMark/>
          </w:tcPr>
          <w:p w14:paraId="32936A86"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c</w:t>
            </w:r>
          </w:p>
        </w:tc>
      </w:tr>
      <w:tr w:rsidR="0039393A" w:rsidRPr="000D3C65" w14:paraId="2C30240B" w14:textId="77777777" w:rsidTr="0039393A">
        <w:trPr>
          <w:cantSplit/>
          <w:trHeight w:val="240"/>
        </w:trPr>
        <w:tc>
          <w:tcPr>
            <w:tcW w:w="3120" w:type="dxa"/>
            <w:shd w:val="clear" w:color="auto" w:fill="auto"/>
            <w:hideMark/>
          </w:tcPr>
          <w:p w14:paraId="78E48193"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Hélène Tigroudja</w:t>
            </w:r>
          </w:p>
        </w:tc>
        <w:tc>
          <w:tcPr>
            <w:tcW w:w="2550" w:type="dxa"/>
            <w:shd w:val="clear" w:color="auto" w:fill="auto"/>
            <w:hideMark/>
          </w:tcPr>
          <w:p w14:paraId="714BD52B"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Francia</w:t>
            </w:r>
          </w:p>
        </w:tc>
        <w:tc>
          <w:tcPr>
            <w:tcW w:w="1700" w:type="dxa"/>
            <w:shd w:val="clear" w:color="auto" w:fill="auto"/>
            <w:hideMark/>
          </w:tcPr>
          <w:p w14:paraId="053DBAB3"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2022</w:t>
            </w:r>
            <w:r w:rsidRPr="000D3C65">
              <w:rPr>
                <w:i/>
                <w:iCs/>
                <w:sz w:val="18"/>
                <w:vertAlign w:val="superscript"/>
              </w:rPr>
              <w:t>b</w:t>
            </w:r>
          </w:p>
        </w:tc>
      </w:tr>
      <w:tr w:rsidR="0039393A" w:rsidRPr="000D3C65" w14:paraId="72D5C5D6" w14:textId="77777777" w:rsidTr="0039393A">
        <w:trPr>
          <w:cantSplit/>
          <w:trHeight w:val="240"/>
        </w:trPr>
        <w:tc>
          <w:tcPr>
            <w:tcW w:w="3120" w:type="dxa"/>
            <w:tcBorders>
              <w:bottom w:val="single" w:sz="12" w:space="0" w:color="auto"/>
            </w:tcBorders>
            <w:shd w:val="clear" w:color="auto" w:fill="auto"/>
            <w:hideMark/>
          </w:tcPr>
          <w:p w14:paraId="4DE38A9E"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Imeru Tamerat Yigezu</w:t>
            </w:r>
          </w:p>
        </w:tc>
        <w:tc>
          <w:tcPr>
            <w:tcW w:w="2550" w:type="dxa"/>
            <w:tcBorders>
              <w:bottom w:val="single" w:sz="12" w:space="0" w:color="auto"/>
            </w:tcBorders>
            <w:shd w:val="clear" w:color="auto" w:fill="auto"/>
            <w:hideMark/>
          </w:tcPr>
          <w:p w14:paraId="2D49BA53"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Etiopía</w:t>
            </w:r>
          </w:p>
        </w:tc>
        <w:tc>
          <w:tcPr>
            <w:tcW w:w="1700" w:type="dxa"/>
            <w:tcBorders>
              <w:bottom w:val="single" w:sz="12" w:space="0" w:color="auto"/>
            </w:tcBorders>
            <w:shd w:val="clear" w:color="auto" w:fill="auto"/>
            <w:hideMark/>
          </w:tcPr>
          <w:p w14:paraId="007DBD5A" w14:textId="77777777" w:rsidR="00021E86" w:rsidRPr="000D3C65" w:rsidRDefault="00021E86" w:rsidP="0039393A">
            <w:pPr>
              <w:pStyle w:val="SingleTxtG"/>
              <w:tabs>
                <w:tab w:val="clear" w:pos="1701"/>
                <w:tab w:val="clear" w:pos="2268"/>
                <w:tab w:val="clear" w:pos="2835"/>
              </w:tabs>
              <w:suppressAutoHyphens w:val="0"/>
              <w:spacing w:before="40"/>
              <w:ind w:left="0" w:right="0"/>
              <w:jc w:val="left"/>
            </w:pPr>
            <w:r w:rsidRPr="000D3C65">
              <w:t>2024</w:t>
            </w:r>
            <w:r w:rsidRPr="000D3C65">
              <w:rPr>
                <w:i/>
                <w:iCs/>
                <w:sz w:val="18"/>
                <w:vertAlign w:val="superscript"/>
              </w:rPr>
              <w:t>b</w:t>
            </w:r>
          </w:p>
        </w:tc>
      </w:tr>
    </w:tbl>
    <w:p w14:paraId="0E13A007" w14:textId="76E9A094" w:rsidR="00021E86" w:rsidRPr="000D3C65" w:rsidRDefault="00021E86" w:rsidP="003A450B">
      <w:pPr>
        <w:pStyle w:val="SingleTxtG"/>
        <w:spacing w:before="120" w:after="0"/>
        <w:ind w:firstLine="170"/>
        <w:jc w:val="left"/>
        <w:rPr>
          <w:sz w:val="18"/>
          <w:szCs w:val="18"/>
        </w:rPr>
      </w:pPr>
      <w:r w:rsidRPr="000D3C65">
        <w:rPr>
          <w:i/>
          <w:iCs/>
          <w:sz w:val="18"/>
          <w:szCs w:val="18"/>
        </w:rPr>
        <w:t>Nota:</w:t>
      </w:r>
      <w:r w:rsidRPr="000D3C65">
        <w:rPr>
          <w:sz w:val="18"/>
          <w:szCs w:val="18"/>
        </w:rPr>
        <w:t xml:space="preserve"> La información sobre los miembros actuales y los antiguos miembros del Comité puede consultarse en </w:t>
      </w:r>
      <w:hyperlink r:id="rId97" w:history="1">
        <w:r w:rsidRPr="000D3C65">
          <w:rPr>
            <w:rStyle w:val="Hipervnculo"/>
            <w:sz w:val="18"/>
            <w:szCs w:val="18"/>
          </w:rPr>
          <w:t>https://www.ohchr.org/es/treaty-bodies/ccpr/membership</w:t>
        </w:r>
      </w:hyperlink>
      <w:r w:rsidRPr="000D3C65">
        <w:rPr>
          <w:sz w:val="18"/>
          <w:szCs w:val="18"/>
        </w:rPr>
        <w:t>.</w:t>
      </w:r>
    </w:p>
    <w:p w14:paraId="21EEE02C" w14:textId="618DF2F8" w:rsidR="00021E86" w:rsidRPr="000D3C65" w:rsidRDefault="00021E86" w:rsidP="003A450B">
      <w:pPr>
        <w:pStyle w:val="SingleTxtG"/>
        <w:spacing w:after="0"/>
        <w:ind w:firstLine="170"/>
        <w:jc w:val="left"/>
        <w:rPr>
          <w:sz w:val="18"/>
          <w:szCs w:val="18"/>
        </w:rPr>
      </w:pPr>
      <w:r w:rsidRPr="000D3C65">
        <w:rPr>
          <w:i/>
          <w:iCs/>
          <w:sz w:val="18"/>
          <w:szCs w:val="18"/>
          <w:vertAlign w:val="superscript"/>
        </w:rPr>
        <w:t>a</w:t>
      </w:r>
      <w:r w:rsidR="002646D3" w:rsidRPr="000D3C65">
        <w:rPr>
          <w:sz w:val="18"/>
          <w:szCs w:val="18"/>
          <w:vertAlign w:val="superscript"/>
        </w:rPr>
        <w:t xml:space="preserve"> </w:t>
      </w:r>
      <w:r w:rsidRPr="000D3C65">
        <w:rPr>
          <w:sz w:val="18"/>
          <w:szCs w:val="18"/>
          <w:vertAlign w:val="superscript"/>
        </w:rPr>
        <w:t xml:space="preserve"> </w:t>
      </w:r>
      <w:r w:rsidRPr="000D3C65">
        <w:rPr>
          <w:sz w:val="18"/>
          <w:szCs w:val="18"/>
        </w:rPr>
        <w:t>De conformidad con el artículo 28, párrafo 3, del Pacto Internacional de Derechos Civiles y Políticos, los miembros del Comité serán elegidos y ejercerán sus funciones a título personal.</w:t>
      </w:r>
    </w:p>
    <w:p w14:paraId="641AB13A" w14:textId="1DAEFF3E" w:rsidR="00021E86" w:rsidRPr="000D3C65" w:rsidRDefault="00021E86" w:rsidP="003A450B">
      <w:pPr>
        <w:pStyle w:val="SingleTxtG"/>
        <w:spacing w:after="0"/>
        <w:ind w:firstLine="170"/>
        <w:jc w:val="left"/>
        <w:rPr>
          <w:sz w:val="18"/>
          <w:szCs w:val="18"/>
        </w:rPr>
      </w:pPr>
      <w:r w:rsidRPr="000D3C65">
        <w:rPr>
          <w:i/>
          <w:iCs/>
          <w:sz w:val="18"/>
          <w:szCs w:val="18"/>
          <w:vertAlign w:val="superscript"/>
        </w:rPr>
        <w:t>b</w:t>
      </w:r>
      <w:r w:rsidR="002646D3" w:rsidRPr="000D3C65">
        <w:rPr>
          <w:sz w:val="18"/>
          <w:szCs w:val="18"/>
          <w:vertAlign w:val="superscript"/>
        </w:rPr>
        <w:t xml:space="preserve"> </w:t>
      </w:r>
      <w:r w:rsidRPr="000D3C65">
        <w:rPr>
          <w:sz w:val="18"/>
          <w:szCs w:val="18"/>
          <w:vertAlign w:val="superscript"/>
        </w:rPr>
        <w:t xml:space="preserve"> </w:t>
      </w:r>
      <w:r w:rsidRPr="000D3C65">
        <w:rPr>
          <w:sz w:val="18"/>
          <w:szCs w:val="18"/>
        </w:rPr>
        <w:t>Miembro elegido durante la 38ª reunión de los Estados partes, celebrada en Nueva York el 17 de septiembre de 2020.</w:t>
      </w:r>
    </w:p>
    <w:p w14:paraId="6F0DF594" w14:textId="5D82BD9F" w:rsidR="00021E86" w:rsidRPr="000D3C65" w:rsidRDefault="00021E86" w:rsidP="003A450B">
      <w:pPr>
        <w:pStyle w:val="SingleTxtG"/>
        <w:spacing w:after="0"/>
        <w:ind w:firstLine="170"/>
        <w:jc w:val="left"/>
        <w:rPr>
          <w:sz w:val="18"/>
          <w:szCs w:val="18"/>
        </w:rPr>
      </w:pPr>
      <w:r w:rsidRPr="000D3C65">
        <w:rPr>
          <w:i/>
          <w:iCs/>
          <w:sz w:val="18"/>
          <w:szCs w:val="18"/>
          <w:vertAlign w:val="superscript"/>
        </w:rPr>
        <w:t>c</w:t>
      </w:r>
      <w:r w:rsidR="002646D3" w:rsidRPr="000D3C65">
        <w:rPr>
          <w:sz w:val="18"/>
          <w:szCs w:val="18"/>
          <w:vertAlign w:val="superscript"/>
        </w:rPr>
        <w:t xml:space="preserve"> </w:t>
      </w:r>
      <w:r w:rsidRPr="000D3C65">
        <w:rPr>
          <w:sz w:val="18"/>
          <w:szCs w:val="18"/>
          <w:vertAlign w:val="superscript"/>
        </w:rPr>
        <w:t xml:space="preserve"> </w:t>
      </w:r>
      <w:r w:rsidRPr="000D3C65">
        <w:rPr>
          <w:sz w:val="18"/>
          <w:szCs w:val="18"/>
        </w:rPr>
        <w:t>Miembro elegido durante la 39ª reunión de los Estados partes, celebrada en Nueva York el 17 de junio de 2022.</w:t>
      </w:r>
    </w:p>
    <w:p w14:paraId="0593241B" w14:textId="4CFE218E" w:rsidR="00021E86" w:rsidRPr="000D3C65" w:rsidRDefault="00021E86" w:rsidP="002646D3">
      <w:pPr>
        <w:pStyle w:val="SingleTxtG"/>
        <w:ind w:firstLine="170"/>
        <w:jc w:val="left"/>
        <w:rPr>
          <w:sz w:val="18"/>
          <w:szCs w:val="18"/>
        </w:rPr>
      </w:pPr>
      <w:r w:rsidRPr="000D3C65">
        <w:rPr>
          <w:i/>
          <w:iCs/>
          <w:sz w:val="18"/>
          <w:szCs w:val="18"/>
          <w:vertAlign w:val="superscript"/>
        </w:rPr>
        <w:t>d</w:t>
      </w:r>
      <w:r w:rsidR="002646D3" w:rsidRPr="000D3C65">
        <w:rPr>
          <w:sz w:val="18"/>
          <w:szCs w:val="18"/>
          <w:vertAlign w:val="superscript"/>
        </w:rPr>
        <w:t xml:space="preserve"> </w:t>
      </w:r>
      <w:r w:rsidRPr="000D3C65">
        <w:rPr>
          <w:sz w:val="18"/>
          <w:szCs w:val="18"/>
          <w:vertAlign w:val="superscript"/>
        </w:rPr>
        <w:t xml:space="preserve"> </w:t>
      </w:r>
      <w:r w:rsidRPr="000D3C65">
        <w:rPr>
          <w:sz w:val="18"/>
          <w:szCs w:val="18"/>
        </w:rPr>
        <w:t xml:space="preserve">Presentó su dimisión, con efecto a partir del 1 de marzo de 2024. </w:t>
      </w:r>
    </w:p>
    <w:p w14:paraId="78DCE4AA" w14:textId="77777777" w:rsidR="00021E86" w:rsidRPr="000D3C65" w:rsidRDefault="00021E86" w:rsidP="00021E86">
      <w:pPr>
        <w:pStyle w:val="SingleTxtG"/>
        <w:rPr>
          <w:b/>
        </w:rPr>
      </w:pPr>
      <w:r w:rsidRPr="000D3C65">
        <w:br w:type="page"/>
      </w:r>
    </w:p>
    <w:p w14:paraId="4D3D4B30" w14:textId="60346988" w:rsidR="00021E86" w:rsidRPr="000D3C65" w:rsidRDefault="002646D3" w:rsidP="002646D3">
      <w:pPr>
        <w:pStyle w:val="HChG"/>
      </w:pPr>
      <w:r w:rsidRPr="000D3C65">
        <w:lastRenderedPageBreak/>
        <w:tab/>
      </w:r>
      <w:r w:rsidR="00021E86" w:rsidRPr="000D3C65">
        <w:t>Anexo II</w:t>
      </w:r>
    </w:p>
    <w:p w14:paraId="437A4CF9" w14:textId="55C17BF8" w:rsidR="00021E86" w:rsidRPr="000D3C65" w:rsidRDefault="00021E86" w:rsidP="002646D3">
      <w:pPr>
        <w:pStyle w:val="HChG"/>
      </w:pPr>
      <w:r w:rsidRPr="000D3C65">
        <w:tab/>
      </w:r>
      <w:r w:rsidR="002646D3" w:rsidRPr="000D3C65">
        <w:tab/>
      </w:r>
      <w:r w:rsidRPr="000D3C65">
        <w:t>Miembros del Comité de Derechos Humanos, 2024-2025</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Description w:val="List of Members"/>
      </w:tblPr>
      <w:tblGrid>
        <w:gridCol w:w="3120"/>
        <w:gridCol w:w="2550"/>
        <w:gridCol w:w="1700"/>
      </w:tblGrid>
      <w:tr w:rsidR="007D5DC9" w:rsidRPr="000D3C65" w14:paraId="6E0BCCF2" w14:textId="77777777" w:rsidTr="007D5DC9">
        <w:trPr>
          <w:cantSplit/>
          <w:trHeight w:val="240"/>
          <w:tblHeader/>
        </w:trPr>
        <w:tc>
          <w:tcPr>
            <w:tcW w:w="3120" w:type="dxa"/>
            <w:tcBorders>
              <w:top w:val="single" w:sz="4" w:space="0" w:color="auto"/>
              <w:bottom w:val="single" w:sz="12" w:space="0" w:color="auto"/>
            </w:tcBorders>
            <w:shd w:val="clear" w:color="auto" w:fill="auto"/>
            <w:vAlign w:val="bottom"/>
            <w:hideMark/>
          </w:tcPr>
          <w:p w14:paraId="45E7D2CF" w14:textId="77777777" w:rsidR="00021E86" w:rsidRPr="000D3C65" w:rsidRDefault="00021E86" w:rsidP="007D5DC9">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Nombre</w:t>
            </w:r>
          </w:p>
        </w:tc>
        <w:tc>
          <w:tcPr>
            <w:tcW w:w="2550" w:type="dxa"/>
            <w:tcBorders>
              <w:top w:val="single" w:sz="4" w:space="0" w:color="auto"/>
              <w:bottom w:val="single" w:sz="12" w:space="0" w:color="auto"/>
            </w:tcBorders>
            <w:shd w:val="clear" w:color="auto" w:fill="auto"/>
            <w:vAlign w:val="bottom"/>
            <w:hideMark/>
          </w:tcPr>
          <w:p w14:paraId="698F2DAE" w14:textId="77777777" w:rsidR="00021E86" w:rsidRPr="000D3C65" w:rsidRDefault="00021E86" w:rsidP="007D5DC9">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País de nacionalidad</w:t>
            </w:r>
            <w:r w:rsidRPr="000D3C65">
              <w:rPr>
                <w:i/>
                <w:iCs/>
                <w:sz w:val="16"/>
                <w:vertAlign w:val="superscript"/>
              </w:rPr>
              <w:t>a</w:t>
            </w:r>
          </w:p>
        </w:tc>
        <w:tc>
          <w:tcPr>
            <w:tcW w:w="1700" w:type="dxa"/>
            <w:tcBorders>
              <w:top w:val="single" w:sz="4" w:space="0" w:color="auto"/>
              <w:bottom w:val="single" w:sz="12" w:space="0" w:color="auto"/>
            </w:tcBorders>
            <w:shd w:val="clear" w:color="auto" w:fill="auto"/>
            <w:vAlign w:val="bottom"/>
            <w:hideMark/>
          </w:tcPr>
          <w:p w14:paraId="34D86E4A" w14:textId="77777777" w:rsidR="00021E86" w:rsidRPr="000D3C65" w:rsidRDefault="00021E86" w:rsidP="007D5DC9">
            <w:pPr>
              <w:pStyle w:val="SingleTxtG"/>
              <w:tabs>
                <w:tab w:val="clear" w:pos="1701"/>
                <w:tab w:val="clear" w:pos="2268"/>
                <w:tab w:val="clear" w:pos="2835"/>
              </w:tabs>
              <w:suppressAutoHyphens w:val="0"/>
              <w:spacing w:before="80" w:after="80" w:line="200" w:lineRule="exact"/>
              <w:ind w:left="0" w:right="0"/>
              <w:jc w:val="left"/>
              <w:rPr>
                <w:i/>
                <w:sz w:val="16"/>
              </w:rPr>
            </w:pPr>
            <w:r w:rsidRPr="000D3C65">
              <w:rPr>
                <w:i/>
                <w:iCs/>
                <w:sz w:val="16"/>
              </w:rPr>
              <w:t>El mandato finaliza el 31 de diciembre</w:t>
            </w:r>
          </w:p>
        </w:tc>
      </w:tr>
      <w:tr w:rsidR="007D5DC9" w:rsidRPr="000D3C65" w14:paraId="41EB8794" w14:textId="77777777" w:rsidTr="007D5DC9">
        <w:trPr>
          <w:cantSplit/>
          <w:trHeight w:hRule="exact" w:val="113"/>
          <w:tblHeader/>
        </w:trPr>
        <w:tc>
          <w:tcPr>
            <w:tcW w:w="3120" w:type="dxa"/>
            <w:tcBorders>
              <w:top w:val="single" w:sz="12" w:space="0" w:color="auto"/>
            </w:tcBorders>
            <w:shd w:val="clear" w:color="auto" w:fill="auto"/>
          </w:tcPr>
          <w:p w14:paraId="55C2455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p>
        </w:tc>
        <w:tc>
          <w:tcPr>
            <w:tcW w:w="2550" w:type="dxa"/>
            <w:tcBorders>
              <w:top w:val="single" w:sz="12" w:space="0" w:color="auto"/>
            </w:tcBorders>
            <w:shd w:val="clear" w:color="auto" w:fill="auto"/>
          </w:tcPr>
          <w:p w14:paraId="18EBFEE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p>
        </w:tc>
        <w:tc>
          <w:tcPr>
            <w:tcW w:w="1700" w:type="dxa"/>
            <w:tcBorders>
              <w:top w:val="single" w:sz="12" w:space="0" w:color="auto"/>
            </w:tcBorders>
            <w:shd w:val="clear" w:color="auto" w:fill="auto"/>
          </w:tcPr>
          <w:p w14:paraId="309E3F3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p>
        </w:tc>
      </w:tr>
      <w:tr w:rsidR="007D5DC9" w:rsidRPr="000D3C65" w14:paraId="04D8ACA2" w14:textId="77777777" w:rsidTr="007D5DC9">
        <w:trPr>
          <w:cantSplit/>
          <w:trHeight w:val="240"/>
        </w:trPr>
        <w:tc>
          <w:tcPr>
            <w:tcW w:w="3120" w:type="dxa"/>
            <w:shd w:val="clear" w:color="auto" w:fill="auto"/>
            <w:hideMark/>
          </w:tcPr>
          <w:p w14:paraId="03BD22D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Tania María Abdo Rocholl</w:t>
            </w:r>
          </w:p>
        </w:tc>
        <w:tc>
          <w:tcPr>
            <w:tcW w:w="2550" w:type="dxa"/>
            <w:shd w:val="clear" w:color="auto" w:fill="auto"/>
            <w:hideMark/>
          </w:tcPr>
          <w:p w14:paraId="09EF59EC"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Paraguay</w:t>
            </w:r>
          </w:p>
        </w:tc>
        <w:tc>
          <w:tcPr>
            <w:tcW w:w="1700" w:type="dxa"/>
            <w:shd w:val="clear" w:color="auto" w:fill="auto"/>
            <w:hideMark/>
          </w:tcPr>
          <w:p w14:paraId="3E5959D9"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41FA1D6F" w14:textId="77777777" w:rsidTr="007D5DC9">
        <w:trPr>
          <w:cantSplit/>
          <w:trHeight w:val="240"/>
        </w:trPr>
        <w:tc>
          <w:tcPr>
            <w:tcW w:w="3120" w:type="dxa"/>
            <w:shd w:val="clear" w:color="auto" w:fill="auto"/>
            <w:hideMark/>
          </w:tcPr>
          <w:p w14:paraId="07636B51"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Wafaa Ashraf Moharram Bassim</w:t>
            </w:r>
          </w:p>
        </w:tc>
        <w:tc>
          <w:tcPr>
            <w:tcW w:w="2550" w:type="dxa"/>
            <w:shd w:val="clear" w:color="auto" w:fill="auto"/>
            <w:hideMark/>
          </w:tcPr>
          <w:p w14:paraId="0C18B93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Egipto</w:t>
            </w:r>
          </w:p>
        </w:tc>
        <w:tc>
          <w:tcPr>
            <w:tcW w:w="1700" w:type="dxa"/>
            <w:shd w:val="clear" w:color="auto" w:fill="auto"/>
            <w:hideMark/>
          </w:tcPr>
          <w:p w14:paraId="2B85AAE7"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2A9C82C0" w14:textId="77777777" w:rsidTr="007D5DC9">
        <w:trPr>
          <w:cantSplit/>
          <w:trHeight w:val="240"/>
        </w:trPr>
        <w:tc>
          <w:tcPr>
            <w:tcW w:w="3120" w:type="dxa"/>
            <w:shd w:val="clear" w:color="auto" w:fill="auto"/>
            <w:hideMark/>
          </w:tcPr>
          <w:p w14:paraId="33480A09"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 xml:space="preserve">Rodrigo A. Carazo </w:t>
            </w:r>
          </w:p>
        </w:tc>
        <w:tc>
          <w:tcPr>
            <w:tcW w:w="2550" w:type="dxa"/>
            <w:shd w:val="clear" w:color="auto" w:fill="auto"/>
            <w:hideMark/>
          </w:tcPr>
          <w:p w14:paraId="6DB5C585"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Costa Rica</w:t>
            </w:r>
          </w:p>
        </w:tc>
        <w:tc>
          <w:tcPr>
            <w:tcW w:w="1700" w:type="dxa"/>
            <w:shd w:val="clear" w:color="auto" w:fill="auto"/>
            <w:hideMark/>
          </w:tcPr>
          <w:p w14:paraId="71677FB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36F976CB" w14:textId="77777777" w:rsidTr="007D5DC9">
        <w:trPr>
          <w:cantSplit/>
          <w:trHeight w:val="240"/>
        </w:trPr>
        <w:tc>
          <w:tcPr>
            <w:tcW w:w="3120" w:type="dxa"/>
            <w:shd w:val="clear" w:color="auto" w:fill="auto"/>
          </w:tcPr>
          <w:p w14:paraId="5150DACA"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Yvonne Donders</w:t>
            </w:r>
          </w:p>
        </w:tc>
        <w:tc>
          <w:tcPr>
            <w:tcW w:w="2550" w:type="dxa"/>
            <w:shd w:val="clear" w:color="auto" w:fill="auto"/>
          </w:tcPr>
          <w:p w14:paraId="25E64576"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Reino de los Países Bajos</w:t>
            </w:r>
          </w:p>
        </w:tc>
        <w:tc>
          <w:tcPr>
            <w:tcW w:w="1700" w:type="dxa"/>
            <w:shd w:val="clear" w:color="auto" w:fill="auto"/>
          </w:tcPr>
          <w:p w14:paraId="0E037DB0"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24326E90" w14:textId="77777777" w:rsidTr="007D5DC9">
        <w:trPr>
          <w:cantSplit/>
          <w:trHeight w:val="240"/>
        </w:trPr>
        <w:tc>
          <w:tcPr>
            <w:tcW w:w="3120" w:type="dxa"/>
            <w:shd w:val="clear" w:color="auto" w:fill="auto"/>
            <w:hideMark/>
          </w:tcPr>
          <w:p w14:paraId="1B4F29E2"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Mahjoub El Haiba</w:t>
            </w:r>
          </w:p>
        </w:tc>
        <w:tc>
          <w:tcPr>
            <w:tcW w:w="2550" w:type="dxa"/>
            <w:shd w:val="clear" w:color="auto" w:fill="auto"/>
            <w:hideMark/>
          </w:tcPr>
          <w:p w14:paraId="4706784D"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Marruecos</w:t>
            </w:r>
          </w:p>
        </w:tc>
        <w:tc>
          <w:tcPr>
            <w:tcW w:w="1700" w:type="dxa"/>
            <w:shd w:val="clear" w:color="auto" w:fill="auto"/>
            <w:hideMark/>
          </w:tcPr>
          <w:p w14:paraId="5E41FA76"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758E2040" w14:textId="77777777" w:rsidTr="007D5DC9">
        <w:trPr>
          <w:cantSplit/>
          <w:trHeight w:val="240"/>
        </w:trPr>
        <w:tc>
          <w:tcPr>
            <w:tcW w:w="3120" w:type="dxa"/>
            <w:shd w:val="clear" w:color="auto" w:fill="auto"/>
          </w:tcPr>
          <w:p w14:paraId="3DC86128"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Carlos Ramón Fernández Liesa</w:t>
            </w:r>
          </w:p>
        </w:tc>
        <w:tc>
          <w:tcPr>
            <w:tcW w:w="2550" w:type="dxa"/>
            <w:shd w:val="clear" w:color="auto" w:fill="auto"/>
          </w:tcPr>
          <w:p w14:paraId="4B440303"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España</w:t>
            </w:r>
          </w:p>
        </w:tc>
        <w:tc>
          <w:tcPr>
            <w:tcW w:w="1700" w:type="dxa"/>
            <w:shd w:val="clear" w:color="auto" w:fill="auto"/>
          </w:tcPr>
          <w:p w14:paraId="0B346EDF"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489BD292" w14:textId="77777777" w:rsidTr="007D5DC9">
        <w:trPr>
          <w:cantSplit/>
          <w:trHeight w:val="240"/>
        </w:trPr>
        <w:tc>
          <w:tcPr>
            <w:tcW w:w="3120" w:type="dxa"/>
            <w:shd w:val="clear" w:color="auto" w:fill="auto"/>
          </w:tcPr>
          <w:p w14:paraId="68781CC7"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Laurence R. Helfer</w:t>
            </w:r>
          </w:p>
        </w:tc>
        <w:tc>
          <w:tcPr>
            <w:tcW w:w="2550" w:type="dxa"/>
            <w:shd w:val="clear" w:color="auto" w:fill="auto"/>
          </w:tcPr>
          <w:p w14:paraId="62F4DCED"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Estados Unidos de América</w:t>
            </w:r>
          </w:p>
        </w:tc>
        <w:tc>
          <w:tcPr>
            <w:tcW w:w="1700" w:type="dxa"/>
            <w:shd w:val="clear" w:color="auto" w:fill="auto"/>
          </w:tcPr>
          <w:p w14:paraId="66CC59BF"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6C31CD73" w14:textId="77777777" w:rsidTr="007D5DC9">
        <w:trPr>
          <w:cantSplit/>
          <w:trHeight w:val="240"/>
        </w:trPr>
        <w:tc>
          <w:tcPr>
            <w:tcW w:w="3120" w:type="dxa"/>
            <w:shd w:val="clear" w:color="auto" w:fill="auto"/>
          </w:tcPr>
          <w:p w14:paraId="1CEA113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Konstantin Korkelia</w:t>
            </w:r>
          </w:p>
        </w:tc>
        <w:tc>
          <w:tcPr>
            <w:tcW w:w="2550" w:type="dxa"/>
            <w:shd w:val="clear" w:color="auto" w:fill="auto"/>
          </w:tcPr>
          <w:p w14:paraId="5AA44812"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Georgia</w:t>
            </w:r>
          </w:p>
        </w:tc>
        <w:tc>
          <w:tcPr>
            <w:tcW w:w="1700" w:type="dxa"/>
            <w:shd w:val="clear" w:color="auto" w:fill="auto"/>
          </w:tcPr>
          <w:p w14:paraId="6B6DBE7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3CD13145" w14:textId="77777777" w:rsidTr="007D5DC9">
        <w:trPr>
          <w:cantSplit/>
          <w:trHeight w:val="240"/>
        </w:trPr>
        <w:tc>
          <w:tcPr>
            <w:tcW w:w="3120" w:type="dxa"/>
            <w:shd w:val="clear" w:color="auto" w:fill="auto"/>
          </w:tcPr>
          <w:p w14:paraId="4DA3A159"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Dalia Leinarte</w:t>
            </w:r>
          </w:p>
        </w:tc>
        <w:tc>
          <w:tcPr>
            <w:tcW w:w="2550" w:type="dxa"/>
            <w:shd w:val="clear" w:color="auto" w:fill="auto"/>
          </w:tcPr>
          <w:p w14:paraId="1971B4D1"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Lituania</w:t>
            </w:r>
          </w:p>
        </w:tc>
        <w:tc>
          <w:tcPr>
            <w:tcW w:w="1700" w:type="dxa"/>
            <w:shd w:val="clear" w:color="auto" w:fill="auto"/>
          </w:tcPr>
          <w:p w14:paraId="3A327577"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d</w:t>
            </w:r>
          </w:p>
        </w:tc>
      </w:tr>
      <w:tr w:rsidR="007D5DC9" w:rsidRPr="000D3C65" w14:paraId="16C1414D" w14:textId="77777777" w:rsidTr="007D5DC9">
        <w:trPr>
          <w:cantSplit/>
          <w:trHeight w:val="240"/>
        </w:trPr>
        <w:tc>
          <w:tcPr>
            <w:tcW w:w="3120" w:type="dxa"/>
            <w:shd w:val="clear" w:color="auto" w:fill="auto"/>
            <w:hideMark/>
          </w:tcPr>
          <w:p w14:paraId="405BF22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Bacre Waly Ndiaye</w:t>
            </w:r>
          </w:p>
        </w:tc>
        <w:tc>
          <w:tcPr>
            <w:tcW w:w="2550" w:type="dxa"/>
            <w:shd w:val="clear" w:color="auto" w:fill="auto"/>
            <w:hideMark/>
          </w:tcPr>
          <w:p w14:paraId="22653342"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 xml:space="preserve">Senegal </w:t>
            </w:r>
          </w:p>
        </w:tc>
        <w:tc>
          <w:tcPr>
            <w:tcW w:w="1700" w:type="dxa"/>
            <w:shd w:val="clear" w:color="auto" w:fill="auto"/>
            <w:hideMark/>
          </w:tcPr>
          <w:p w14:paraId="1F6C3F33"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18398C83" w14:textId="77777777" w:rsidTr="007D5DC9">
        <w:trPr>
          <w:cantSplit/>
          <w:trHeight w:val="240"/>
        </w:trPr>
        <w:tc>
          <w:tcPr>
            <w:tcW w:w="3120" w:type="dxa"/>
            <w:shd w:val="clear" w:color="auto" w:fill="auto"/>
            <w:hideMark/>
          </w:tcPr>
          <w:p w14:paraId="0EF2DC2D"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Hernán Quezada Cabrera</w:t>
            </w:r>
          </w:p>
        </w:tc>
        <w:tc>
          <w:tcPr>
            <w:tcW w:w="2550" w:type="dxa"/>
            <w:shd w:val="clear" w:color="auto" w:fill="auto"/>
            <w:hideMark/>
          </w:tcPr>
          <w:p w14:paraId="15F55C7A"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Chile</w:t>
            </w:r>
          </w:p>
        </w:tc>
        <w:tc>
          <w:tcPr>
            <w:tcW w:w="1700" w:type="dxa"/>
            <w:shd w:val="clear" w:color="auto" w:fill="auto"/>
            <w:hideMark/>
          </w:tcPr>
          <w:p w14:paraId="00E97BA8"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076AED19" w14:textId="77777777" w:rsidTr="007D5DC9">
        <w:trPr>
          <w:cantSplit/>
          <w:trHeight w:val="240"/>
        </w:trPr>
        <w:tc>
          <w:tcPr>
            <w:tcW w:w="3120" w:type="dxa"/>
            <w:shd w:val="clear" w:color="auto" w:fill="auto"/>
          </w:tcPr>
          <w:p w14:paraId="72D04512"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Akmal Saidov</w:t>
            </w:r>
          </w:p>
        </w:tc>
        <w:tc>
          <w:tcPr>
            <w:tcW w:w="2550" w:type="dxa"/>
            <w:shd w:val="clear" w:color="auto" w:fill="auto"/>
          </w:tcPr>
          <w:p w14:paraId="3AF6B3D2"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Uzbekistán</w:t>
            </w:r>
          </w:p>
        </w:tc>
        <w:tc>
          <w:tcPr>
            <w:tcW w:w="1700" w:type="dxa"/>
            <w:shd w:val="clear" w:color="auto" w:fill="auto"/>
          </w:tcPr>
          <w:p w14:paraId="255D4D4B"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488C696A" w14:textId="77777777" w:rsidTr="007D5DC9">
        <w:trPr>
          <w:cantSplit/>
          <w:trHeight w:val="240"/>
        </w:trPr>
        <w:tc>
          <w:tcPr>
            <w:tcW w:w="3120" w:type="dxa"/>
            <w:shd w:val="clear" w:color="auto" w:fill="auto"/>
          </w:tcPr>
          <w:p w14:paraId="2C168A10"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Ivan Šimonović</w:t>
            </w:r>
          </w:p>
        </w:tc>
        <w:tc>
          <w:tcPr>
            <w:tcW w:w="2550" w:type="dxa"/>
            <w:shd w:val="clear" w:color="auto" w:fill="auto"/>
          </w:tcPr>
          <w:p w14:paraId="77BB413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Croacia</w:t>
            </w:r>
          </w:p>
        </w:tc>
        <w:tc>
          <w:tcPr>
            <w:tcW w:w="1700" w:type="dxa"/>
            <w:shd w:val="clear" w:color="auto" w:fill="auto"/>
          </w:tcPr>
          <w:p w14:paraId="65C16D56"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44C2160B" w14:textId="77777777" w:rsidTr="007D5DC9">
        <w:trPr>
          <w:cantSplit/>
          <w:trHeight w:val="240"/>
        </w:trPr>
        <w:tc>
          <w:tcPr>
            <w:tcW w:w="3120" w:type="dxa"/>
            <w:shd w:val="clear" w:color="auto" w:fill="auto"/>
            <w:hideMark/>
          </w:tcPr>
          <w:p w14:paraId="4DB4D3EF"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 xml:space="preserve">Soh Changrok </w:t>
            </w:r>
          </w:p>
        </w:tc>
        <w:tc>
          <w:tcPr>
            <w:tcW w:w="2550" w:type="dxa"/>
            <w:shd w:val="clear" w:color="auto" w:fill="auto"/>
            <w:hideMark/>
          </w:tcPr>
          <w:p w14:paraId="2D335C28"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República de Corea</w:t>
            </w:r>
          </w:p>
        </w:tc>
        <w:tc>
          <w:tcPr>
            <w:tcW w:w="1700" w:type="dxa"/>
            <w:shd w:val="clear" w:color="auto" w:fill="auto"/>
            <w:hideMark/>
          </w:tcPr>
          <w:p w14:paraId="26632653"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r w:rsidR="007D5DC9" w:rsidRPr="000D3C65" w14:paraId="7CDB3778" w14:textId="77777777" w:rsidTr="007D5DC9">
        <w:trPr>
          <w:cantSplit/>
          <w:trHeight w:val="240"/>
        </w:trPr>
        <w:tc>
          <w:tcPr>
            <w:tcW w:w="3120" w:type="dxa"/>
            <w:shd w:val="clear" w:color="auto" w:fill="auto"/>
          </w:tcPr>
          <w:p w14:paraId="64D4804E"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 xml:space="preserve">Tijana Šurlan </w:t>
            </w:r>
          </w:p>
        </w:tc>
        <w:tc>
          <w:tcPr>
            <w:tcW w:w="2550" w:type="dxa"/>
            <w:shd w:val="clear" w:color="auto" w:fill="auto"/>
          </w:tcPr>
          <w:p w14:paraId="474B2825"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Serbia</w:t>
            </w:r>
          </w:p>
        </w:tc>
        <w:tc>
          <w:tcPr>
            <w:tcW w:w="1700" w:type="dxa"/>
            <w:shd w:val="clear" w:color="auto" w:fill="auto"/>
          </w:tcPr>
          <w:p w14:paraId="294FFE4A"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1038DFF7" w14:textId="77777777" w:rsidTr="007D5DC9">
        <w:trPr>
          <w:cantSplit/>
          <w:trHeight w:val="240"/>
        </w:trPr>
        <w:tc>
          <w:tcPr>
            <w:tcW w:w="3120" w:type="dxa"/>
            <w:shd w:val="clear" w:color="auto" w:fill="auto"/>
          </w:tcPr>
          <w:p w14:paraId="00EBE797"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Teraya Koji</w:t>
            </w:r>
          </w:p>
        </w:tc>
        <w:tc>
          <w:tcPr>
            <w:tcW w:w="2550" w:type="dxa"/>
            <w:shd w:val="clear" w:color="auto" w:fill="auto"/>
          </w:tcPr>
          <w:p w14:paraId="75203C08"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Japón</w:t>
            </w:r>
          </w:p>
        </w:tc>
        <w:tc>
          <w:tcPr>
            <w:tcW w:w="1700" w:type="dxa"/>
            <w:shd w:val="clear" w:color="auto" w:fill="auto"/>
          </w:tcPr>
          <w:p w14:paraId="70ABF73D"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4B19DF98" w14:textId="77777777" w:rsidTr="007D5DC9">
        <w:trPr>
          <w:cantSplit/>
          <w:trHeight w:val="240"/>
        </w:trPr>
        <w:tc>
          <w:tcPr>
            <w:tcW w:w="3120" w:type="dxa"/>
            <w:shd w:val="clear" w:color="auto" w:fill="auto"/>
            <w:hideMark/>
          </w:tcPr>
          <w:p w14:paraId="70F4C37F"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Hélène Tigroudja</w:t>
            </w:r>
          </w:p>
        </w:tc>
        <w:tc>
          <w:tcPr>
            <w:tcW w:w="2550" w:type="dxa"/>
            <w:shd w:val="clear" w:color="auto" w:fill="auto"/>
            <w:hideMark/>
          </w:tcPr>
          <w:p w14:paraId="78FCC4E3"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Francia</w:t>
            </w:r>
          </w:p>
        </w:tc>
        <w:tc>
          <w:tcPr>
            <w:tcW w:w="1700" w:type="dxa"/>
            <w:shd w:val="clear" w:color="auto" w:fill="auto"/>
            <w:hideMark/>
          </w:tcPr>
          <w:p w14:paraId="141A2C15"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2026</w:t>
            </w:r>
            <w:r w:rsidRPr="000D3C65">
              <w:rPr>
                <w:i/>
                <w:iCs/>
                <w:sz w:val="18"/>
                <w:vertAlign w:val="superscript"/>
              </w:rPr>
              <w:t>b</w:t>
            </w:r>
          </w:p>
        </w:tc>
      </w:tr>
      <w:tr w:rsidR="007D5DC9" w:rsidRPr="000D3C65" w14:paraId="2DFEEE67" w14:textId="77777777" w:rsidTr="007D5DC9">
        <w:trPr>
          <w:cantSplit/>
          <w:trHeight w:val="240"/>
        </w:trPr>
        <w:tc>
          <w:tcPr>
            <w:tcW w:w="3120" w:type="dxa"/>
            <w:tcBorders>
              <w:bottom w:val="single" w:sz="12" w:space="0" w:color="auto"/>
            </w:tcBorders>
            <w:shd w:val="clear" w:color="auto" w:fill="auto"/>
            <w:hideMark/>
          </w:tcPr>
          <w:p w14:paraId="3AA3AC60"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Imeru Tamerat Yigezu</w:t>
            </w:r>
          </w:p>
        </w:tc>
        <w:tc>
          <w:tcPr>
            <w:tcW w:w="2550" w:type="dxa"/>
            <w:tcBorders>
              <w:bottom w:val="single" w:sz="12" w:space="0" w:color="auto"/>
            </w:tcBorders>
            <w:shd w:val="clear" w:color="auto" w:fill="auto"/>
            <w:hideMark/>
          </w:tcPr>
          <w:p w14:paraId="3418B6C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Etiopía</w:t>
            </w:r>
          </w:p>
        </w:tc>
        <w:tc>
          <w:tcPr>
            <w:tcW w:w="1700" w:type="dxa"/>
            <w:tcBorders>
              <w:bottom w:val="single" w:sz="12" w:space="0" w:color="auto"/>
            </w:tcBorders>
            <w:shd w:val="clear" w:color="auto" w:fill="auto"/>
            <w:hideMark/>
          </w:tcPr>
          <w:p w14:paraId="33285984" w14:textId="77777777" w:rsidR="00021E86" w:rsidRPr="000D3C65" w:rsidRDefault="00021E86" w:rsidP="007D5DC9">
            <w:pPr>
              <w:pStyle w:val="SingleTxtG"/>
              <w:tabs>
                <w:tab w:val="clear" w:pos="1701"/>
                <w:tab w:val="clear" w:pos="2268"/>
                <w:tab w:val="clear" w:pos="2835"/>
              </w:tabs>
              <w:suppressAutoHyphens w:val="0"/>
              <w:spacing w:before="40"/>
              <w:ind w:left="0" w:right="0"/>
              <w:jc w:val="left"/>
            </w:pPr>
            <w:r w:rsidRPr="000D3C65">
              <w:t>2028</w:t>
            </w:r>
            <w:r w:rsidRPr="000D3C65">
              <w:rPr>
                <w:i/>
                <w:iCs/>
                <w:sz w:val="18"/>
                <w:vertAlign w:val="superscript"/>
              </w:rPr>
              <w:t>c</w:t>
            </w:r>
          </w:p>
        </w:tc>
      </w:tr>
    </w:tbl>
    <w:p w14:paraId="280CA9E7" w14:textId="0A69E6E5" w:rsidR="00021E86" w:rsidRPr="000D3C65" w:rsidRDefault="00021E86" w:rsidP="003A450B">
      <w:pPr>
        <w:pStyle w:val="SingleTxtG"/>
        <w:spacing w:before="120" w:after="0"/>
        <w:ind w:firstLine="170"/>
        <w:jc w:val="left"/>
        <w:rPr>
          <w:sz w:val="18"/>
          <w:szCs w:val="18"/>
        </w:rPr>
      </w:pPr>
      <w:r w:rsidRPr="000D3C65">
        <w:rPr>
          <w:i/>
          <w:iCs/>
          <w:sz w:val="18"/>
          <w:szCs w:val="18"/>
        </w:rPr>
        <w:t>Nota</w:t>
      </w:r>
      <w:r w:rsidRPr="000D3C65">
        <w:rPr>
          <w:i/>
          <w:sz w:val="18"/>
          <w:szCs w:val="18"/>
        </w:rPr>
        <w:t>:</w:t>
      </w:r>
      <w:r w:rsidRPr="000D3C65">
        <w:rPr>
          <w:sz w:val="18"/>
          <w:szCs w:val="18"/>
        </w:rPr>
        <w:t xml:space="preserve"> La información sobre los miembros actuales y los antiguos miembros del Comité puede consultarse en </w:t>
      </w:r>
      <w:hyperlink r:id="rId98" w:history="1">
        <w:r w:rsidRPr="000D3C65">
          <w:rPr>
            <w:rStyle w:val="Hipervnculo"/>
            <w:sz w:val="18"/>
            <w:szCs w:val="18"/>
          </w:rPr>
          <w:t>https://www.ohchr.org/es/treaty-bodies/ccpr/membership</w:t>
        </w:r>
      </w:hyperlink>
      <w:r w:rsidRPr="000D3C65">
        <w:rPr>
          <w:sz w:val="18"/>
          <w:szCs w:val="18"/>
        </w:rPr>
        <w:t>.</w:t>
      </w:r>
    </w:p>
    <w:p w14:paraId="08DEDD83" w14:textId="77777777" w:rsidR="00021E86" w:rsidRPr="000D3C65" w:rsidRDefault="00021E86" w:rsidP="003A450B">
      <w:pPr>
        <w:pStyle w:val="SingleTxtG"/>
        <w:spacing w:after="0"/>
        <w:ind w:firstLine="170"/>
        <w:jc w:val="left"/>
        <w:rPr>
          <w:i/>
          <w:iCs/>
          <w:sz w:val="18"/>
          <w:szCs w:val="18"/>
          <w:vertAlign w:val="superscript"/>
        </w:rPr>
      </w:pPr>
      <w:r w:rsidRPr="000D3C65">
        <w:rPr>
          <w:i/>
          <w:sz w:val="18"/>
          <w:szCs w:val="18"/>
          <w:vertAlign w:val="superscript"/>
        </w:rPr>
        <w:t>a</w:t>
      </w:r>
      <w:r w:rsidRPr="000D3C65">
        <w:rPr>
          <w:sz w:val="18"/>
          <w:szCs w:val="18"/>
        </w:rPr>
        <w:t xml:space="preserve">  De conformidad con el artículo 28, párrafo 3, del Pacto Internacional de Derechos Civiles y Políticos, los miembros del Comité serán elegidos y ejercerán sus funciones a título personal.</w:t>
      </w:r>
    </w:p>
    <w:p w14:paraId="68E48EDA" w14:textId="77777777" w:rsidR="00021E86" w:rsidRPr="000D3C65" w:rsidRDefault="00021E86" w:rsidP="003A450B">
      <w:pPr>
        <w:pStyle w:val="SingleTxtG"/>
        <w:spacing w:after="0"/>
        <w:ind w:firstLine="170"/>
        <w:jc w:val="left"/>
        <w:rPr>
          <w:sz w:val="18"/>
          <w:szCs w:val="18"/>
        </w:rPr>
      </w:pPr>
      <w:r w:rsidRPr="000D3C65">
        <w:rPr>
          <w:i/>
          <w:sz w:val="18"/>
          <w:szCs w:val="18"/>
          <w:vertAlign w:val="superscript"/>
        </w:rPr>
        <w:t>b</w:t>
      </w:r>
      <w:r w:rsidRPr="000D3C65">
        <w:rPr>
          <w:sz w:val="18"/>
          <w:szCs w:val="18"/>
        </w:rPr>
        <w:t xml:space="preserve">  Miembro elegido durante la 39ª reunión de los Estados Partes, celebrada en Nueva York el 17 de junio de 2022.</w:t>
      </w:r>
    </w:p>
    <w:p w14:paraId="23493E1A" w14:textId="77777777" w:rsidR="00021E86" w:rsidRPr="000D3C65" w:rsidRDefault="00021E86" w:rsidP="003A450B">
      <w:pPr>
        <w:pStyle w:val="SingleTxtG"/>
        <w:spacing w:after="0"/>
        <w:ind w:firstLine="170"/>
        <w:jc w:val="left"/>
        <w:rPr>
          <w:sz w:val="18"/>
          <w:szCs w:val="18"/>
        </w:rPr>
      </w:pPr>
      <w:r w:rsidRPr="000D3C65">
        <w:rPr>
          <w:i/>
          <w:sz w:val="18"/>
          <w:szCs w:val="18"/>
          <w:vertAlign w:val="superscript"/>
        </w:rPr>
        <w:t>c</w:t>
      </w:r>
      <w:r w:rsidRPr="000D3C65">
        <w:rPr>
          <w:sz w:val="18"/>
          <w:szCs w:val="18"/>
        </w:rPr>
        <w:t xml:space="preserve">  Miembro elegido durante la 40ª reunión de los Estados Partes, celebrada en Nueva York el 29 de mayo de 2024.</w:t>
      </w:r>
    </w:p>
    <w:p w14:paraId="052E8836" w14:textId="4BE03D6B" w:rsidR="00A669DA" w:rsidRPr="000D3C65" w:rsidRDefault="00021E86" w:rsidP="007D5DC9">
      <w:pPr>
        <w:pStyle w:val="SingleTxtG"/>
        <w:ind w:firstLine="170"/>
        <w:jc w:val="left"/>
        <w:rPr>
          <w:sz w:val="18"/>
          <w:szCs w:val="18"/>
        </w:rPr>
      </w:pPr>
      <w:r w:rsidRPr="000D3C65">
        <w:rPr>
          <w:i/>
          <w:sz w:val="18"/>
          <w:szCs w:val="18"/>
          <w:vertAlign w:val="superscript"/>
        </w:rPr>
        <w:t>d</w:t>
      </w:r>
      <w:r w:rsidRPr="000D3C65">
        <w:rPr>
          <w:sz w:val="18"/>
          <w:szCs w:val="18"/>
        </w:rPr>
        <w:t xml:space="preserve">  Miembro elegido durante la 41ª reunión de los Estados Partes, celebrada en Nueva York el 21 de enero de 2025.</w:t>
      </w:r>
    </w:p>
    <w:p w14:paraId="585FD681" w14:textId="6FB4FB63" w:rsidR="00021E86" w:rsidRPr="000D3C65" w:rsidRDefault="00021E86" w:rsidP="00021E86">
      <w:pPr>
        <w:pStyle w:val="SingleTxtG"/>
        <w:spacing w:before="240" w:after="0"/>
        <w:jc w:val="center"/>
        <w:rPr>
          <w:u w:val="single"/>
        </w:rPr>
      </w:pPr>
      <w:r w:rsidRPr="000D3C65">
        <w:rPr>
          <w:u w:val="single"/>
        </w:rPr>
        <w:tab/>
      </w:r>
      <w:r w:rsidRPr="000D3C65">
        <w:rPr>
          <w:u w:val="single"/>
        </w:rPr>
        <w:tab/>
      </w:r>
      <w:r w:rsidRPr="000D3C65">
        <w:rPr>
          <w:u w:val="single"/>
        </w:rPr>
        <w:tab/>
      </w:r>
    </w:p>
    <w:sectPr w:rsidR="00021E86" w:rsidRPr="000D3C65" w:rsidSect="00021E86">
      <w:headerReference w:type="default" r:id="rId99"/>
      <w:footerReference w:type="default" r:id="rId100"/>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DCEE7" w14:textId="77777777" w:rsidR="000A2D0F" w:rsidRDefault="000A2D0F"/>
  </w:endnote>
  <w:endnote w:type="continuationSeparator" w:id="0">
    <w:p w14:paraId="428243CD" w14:textId="77777777" w:rsidR="000A2D0F" w:rsidRDefault="000A2D0F">
      <w:pPr>
        <w:pStyle w:val="Piedepgina"/>
      </w:pPr>
    </w:p>
  </w:endnote>
  <w:endnote w:type="continuationNotice" w:id="1">
    <w:p w14:paraId="51F4B821" w14:textId="77777777" w:rsidR="000A2D0F" w:rsidRPr="00C451B9" w:rsidRDefault="000A2D0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2600" w14:textId="77777777" w:rsidR="00BD03A2" w:rsidRDefault="00021E86">
    <w:pPr>
      <w:pStyle w:val="Piedepgina"/>
    </w:pPr>
    <w:r>
      <w:rPr>
        <w:noProof/>
      </w:rPr>
      <w:drawing>
        <wp:anchor distT="0" distB="0" distL="114300" distR="114300" simplePos="0" relativeHeight="251662336" behindDoc="0" locked="0" layoutInCell="1" allowOverlap="1" wp14:anchorId="26D5E5B0" wp14:editId="76D94C94">
          <wp:simplePos x="0" y="0"/>
          <wp:positionH relativeFrom="margin">
            <wp:posOffset>5489575</wp:posOffset>
          </wp:positionH>
          <wp:positionV relativeFrom="margin">
            <wp:posOffset>8891905</wp:posOffset>
          </wp:positionV>
          <wp:extent cx="628650" cy="628650"/>
          <wp:effectExtent l="0" t="0" r="0" b="0"/>
          <wp:wrapNone/>
          <wp:docPr id="938163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4C6382A6" wp14:editId="2097F113">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9DAF6" w14:textId="77777777" w:rsidR="00021E86" w:rsidRDefault="00021E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9582"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35C4"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F95E" w14:textId="77777777" w:rsidR="00021E86" w:rsidRPr="00021E86" w:rsidRDefault="00021E86" w:rsidP="00021E86">
    <w:pPr>
      <w:pStyle w:val="Piedepgina"/>
      <w:tabs>
        <w:tab w:val="right" w:pos="9638"/>
      </w:tabs>
    </w:pPr>
    <w:r w:rsidRPr="00021E86">
      <w:rPr>
        <w:b/>
        <w:sz w:val="18"/>
      </w:rPr>
      <w:fldChar w:fldCharType="begin"/>
    </w:r>
    <w:r w:rsidRPr="00021E86">
      <w:rPr>
        <w:b/>
        <w:sz w:val="18"/>
      </w:rPr>
      <w:instrText xml:space="preserve"> PAGE  \* MERGEFORMAT </w:instrText>
    </w:r>
    <w:r w:rsidRPr="00021E86">
      <w:rPr>
        <w:b/>
        <w:sz w:val="18"/>
      </w:rPr>
      <w:fldChar w:fldCharType="separate"/>
    </w:r>
    <w:r w:rsidRPr="00021E86">
      <w:rPr>
        <w:b/>
        <w:noProof/>
        <w:sz w:val="18"/>
      </w:rPr>
      <w:t>iv</w:t>
    </w:r>
    <w:r w:rsidRPr="00021E86">
      <w:rPr>
        <w:b/>
        <w:sz w:val="18"/>
      </w:rPr>
      <w:fldChar w:fldCharType="end"/>
    </w:r>
    <w:r>
      <w:rPr>
        <w:b/>
        <w:sz w:val="18"/>
      </w:rPr>
      <w:tab/>
    </w:r>
    <w:r>
      <w:t>GE.25-10662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6A5B6" w14:textId="77777777" w:rsidR="00B7180A" w:rsidRPr="00021E86" w:rsidRDefault="00021E86" w:rsidP="00021E86">
    <w:pPr>
      <w:pStyle w:val="Piedepgina"/>
      <w:tabs>
        <w:tab w:val="right" w:pos="9638"/>
      </w:tabs>
      <w:rPr>
        <w:b/>
        <w:sz w:val="18"/>
      </w:rPr>
    </w:pPr>
    <w:r>
      <w:t>GE.25-10662</w:t>
    </w:r>
    <w:r>
      <w:tab/>
    </w:r>
    <w:r w:rsidRPr="00021E86">
      <w:rPr>
        <w:b/>
        <w:sz w:val="18"/>
      </w:rPr>
      <w:fldChar w:fldCharType="begin"/>
    </w:r>
    <w:r w:rsidRPr="00021E86">
      <w:rPr>
        <w:b/>
        <w:sz w:val="18"/>
      </w:rPr>
      <w:instrText xml:space="preserve"> PAGE  \* MERGEFORMAT </w:instrText>
    </w:r>
    <w:r w:rsidRPr="00021E86">
      <w:rPr>
        <w:b/>
        <w:sz w:val="18"/>
      </w:rPr>
      <w:fldChar w:fldCharType="separate"/>
    </w:r>
    <w:r w:rsidRPr="00021E86">
      <w:rPr>
        <w:b/>
        <w:noProof/>
        <w:sz w:val="18"/>
      </w:rPr>
      <w:t>v</w:t>
    </w:r>
    <w:r w:rsidRPr="00021E86">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6EF47" w14:textId="56905A33" w:rsidR="00021E86" w:rsidRPr="00021E86" w:rsidRDefault="00021E86" w:rsidP="00021E86">
    <w:pPr>
      <w:pStyle w:val="Piedepgina"/>
      <w:tabs>
        <w:tab w:val="right" w:pos="9638"/>
      </w:tabs>
      <w:spacing w:before="120"/>
      <w:rPr>
        <w:b/>
        <w:sz w:val="18"/>
      </w:rPr>
    </w:pPr>
    <w:r>
      <w:rPr>
        <w:sz w:val="20"/>
      </w:rPr>
      <w:t>GE.25-10662  (S)    140825    150825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6D7B" w14:textId="77777777" w:rsidR="00021E86" w:rsidRPr="00021E86" w:rsidRDefault="00021E86" w:rsidP="00021E86">
    <w:pPr>
      <w:pStyle w:val="Piedepgina"/>
      <w:tabs>
        <w:tab w:val="right" w:pos="9638"/>
      </w:tabs>
      <w:rPr>
        <w:b/>
        <w:sz w:val="18"/>
      </w:rPr>
    </w:pPr>
    <w:r>
      <w:t>GE.25-10662</w:t>
    </w:r>
    <w:r>
      <w:tab/>
    </w:r>
    <w:r w:rsidRPr="00021E86">
      <w:rPr>
        <w:b/>
        <w:sz w:val="18"/>
      </w:rPr>
      <w:fldChar w:fldCharType="begin"/>
    </w:r>
    <w:r w:rsidRPr="00021E86">
      <w:rPr>
        <w:b/>
        <w:sz w:val="18"/>
      </w:rPr>
      <w:instrText xml:space="preserve"> PAGE  \* MERGEFORMAT </w:instrText>
    </w:r>
    <w:r w:rsidRPr="00021E86">
      <w:rPr>
        <w:b/>
        <w:sz w:val="18"/>
      </w:rPr>
      <w:fldChar w:fldCharType="separate"/>
    </w:r>
    <w:r w:rsidRPr="00021E86">
      <w:rPr>
        <w:b/>
        <w:noProof/>
        <w:sz w:val="18"/>
      </w:rPr>
      <w:t>v</w:t>
    </w:r>
    <w:r w:rsidRPr="00021E8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FB36" w14:textId="77777777" w:rsidR="000A2D0F" w:rsidRPr="00D27D5E" w:rsidRDefault="000A2D0F" w:rsidP="00D27D5E">
      <w:pPr>
        <w:tabs>
          <w:tab w:val="right" w:pos="2155"/>
        </w:tabs>
        <w:spacing w:after="80"/>
        <w:ind w:left="680"/>
        <w:rPr>
          <w:u w:val="single"/>
        </w:rPr>
      </w:pPr>
      <w:r>
        <w:rPr>
          <w:u w:val="single"/>
        </w:rPr>
        <w:tab/>
      </w:r>
    </w:p>
  </w:footnote>
  <w:footnote w:type="continuationSeparator" w:id="0">
    <w:p w14:paraId="03BEF5E0" w14:textId="77777777" w:rsidR="000A2D0F" w:rsidRPr="00D171D4" w:rsidRDefault="000A2D0F" w:rsidP="00D171D4">
      <w:pPr>
        <w:tabs>
          <w:tab w:val="right" w:pos="2155"/>
        </w:tabs>
        <w:spacing w:after="80"/>
        <w:ind w:left="680"/>
        <w:rPr>
          <w:u w:val="single"/>
        </w:rPr>
      </w:pPr>
      <w:r w:rsidRPr="00D171D4">
        <w:rPr>
          <w:u w:val="single"/>
        </w:rPr>
        <w:tab/>
      </w:r>
    </w:p>
  </w:footnote>
  <w:footnote w:type="continuationNotice" w:id="1">
    <w:p w14:paraId="0E739E6D" w14:textId="77777777" w:rsidR="000A2D0F" w:rsidRPr="00C451B9" w:rsidRDefault="000A2D0F" w:rsidP="00C451B9">
      <w:pPr>
        <w:spacing w:line="240" w:lineRule="auto"/>
        <w:rPr>
          <w:sz w:val="2"/>
          <w:szCs w:val="2"/>
        </w:rPr>
      </w:pPr>
    </w:p>
  </w:footnote>
  <w:footnote w:id="2">
    <w:p w14:paraId="74A100C5" w14:textId="4D5458AF" w:rsidR="00021E86" w:rsidRPr="00FF7106" w:rsidRDefault="00021E86" w:rsidP="00021E86">
      <w:pPr>
        <w:pStyle w:val="Textonotapie"/>
        <w:rPr>
          <w:lang w:val="en-US"/>
        </w:rPr>
      </w:pPr>
      <w:r w:rsidRPr="00FF7106">
        <w:tab/>
      </w:r>
      <w:r w:rsidRPr="00021E86">
        <w:rPr>
          <w:rStyle w:val="Refdenotaalpie"/>
        </w:rPr>
        <w:footnoteRef/>
      </w:r>
      <w:r w:rsidRPr="00FF7106">
        <w:rPr>
          <w:lang w:val="en-US"/>
        </w:rPr>
        <w:tab/>
      </w:r>
      <w:hyperlink r:id="rId1" w:history="1">
        <w:r w:rsidRPr="007B46FE">
          <w:rPr>
            <w:rStyle w:val="Hipervnculo"/>
            <w:lang w:val="en-US"/>
          </w:rPr>
          <w:t>A/60/40 (vol. I)</w:t>
        </w:r>
      </w:hyperlink>
      <w:r w:rsidRPr="00FF7106">
        <w:rPr>
          <w:lang w:val="en-US"/>
        </w:rPr>
        <w:t>, cap. I, párr. 28.</w:t>
      </w:r>
    </w:p>
  </w:footnote>
  <w:footnote w:id="3">
    <w:p w14:paraId="5FA769AB" w14:textId="2FACA0E1" w:rsidR="00021E86" w:rsidRPr="00FF7106" w:rsidRDefault="00021E86" w:rsidP="00021E86">
      <w:pPr>
        <w:pStyle w:val="Textonotapie"/>
        <w:rPr>
          <w:lang w:val="en-US"/>
        </w:rPr>
      </w:pPr>
      <w:r w:rsidRPr="00FF7106">
        <w:rPr>
          <w:szCs w:val="18"/>
          <w:lang w:val="en-US"/>
        </w:rPr>
        <w:tab/>
      </w:r>
      <w:r w:rsidRPr="00021E86">
        <w:rPr>
          <w:rStyle w:val="Refdenotaalpie"/>
        </w:rPr>
        <w:footnoteRef/>
      </w:r>
      <w:r w:rsidRPr="00FF7106">
        <w:rPr>
          <w:lang w:val="en-US"/>
        </w:rPr>
        <w:tab/>
      </w:r>
      <w:hyperlink r:id="rId2" w:history="1">
        <w:r w:rsidRPr="00FA2235">
          <w:rPr>
            <w:rStyle w:val="Hipervnculo"/>
            <w:lang w:val="en-US"/>
          </w:rPr>
          <w:t>A/47/40</w:t>
        </w:r>
      </w:hyperlink>
      <w:r w:rsidRPr="00FF7106">
        <w:rPr>
          <w:lang w:val="en-US"/>
        </w:rPr>
        <w:t>, cap. I, secc. E, párr. 18.</w:t>
      </w:r>
    </w:p>
  </w:footnote>
  <w:footnote w:id="4">
    <w:p w14:paraId="348DB8BD" w14:textId="0558AAA4"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3" w:history="1">
        <w:r w:rsidRPr="007B46FE">
          <w:rPr>
            <w:rStyle w:val="Hipervnculo"/>
            <w:lang w:val="en-US"/>
          </w:rPr>
          <w:t>CCPR/C/HRV/CO/4</w:t>
        </w:r>
      </w:hyperlink>
      <w:r w:rsidRPr="00FF7106">
        <w:rPr>
          <w:lang w:val="en-US"/>
        </w:rPr>
        <w:t xml:space="preserve">, </w:t>
      </w:r>
      <w:hyperlink r:id="rId4" w:history="1">
        <w:r w:rsidRPr="007B46FE">
          <w:rPr>
            <w:rStyle w:val="Hipervnculo"/>
            <w:lang w:val="en-US"/>
          </w:rPr>
          <w:t>CCPR/C/HND/CO/3</w:t>
        </w:r>
      </w:hyperlink>
      <w:r w:rsidRPr="00FF7106">
        <w:rPr>
          <w:lang w:val="en-US"/>
        </w:rPr>
        <w:t xml:space="preserve">, </w:t>
      </w:r>
      <w:hyperlink r:id="rId5" w:history="1">
        <w:r w:rsidRPr="007B46FE">
          <w:rPr>
            <w:rStyle w:val="Hipervnculo"/>
            <w:lang w:val="en-US"/>
          </w:rPr>
          <w:t>CCPR/C/IND/CO/4</w:t>
        </w:r>
      </w:hyperlink>
      <w:r w:rsidRPr="00FF7106">
        <w:rPr>
          <w:lang w:val="en-US"/>
        </w:rPr>
        <w:t xml:space="preserve">, </w:t>
      </w:r>
      <w:hyperlink r:id="rId6" w:history="1">
        <w:r w:rsidRPr="007B46FE">
          <w:rPr>
            <w:rStyle w:val="Hipervnculo"/>
            <w:lang w:val="en-US"/>
          </w:rPr>
          <w:t>CCPR/C/MDV/CO/2</w:t>
        </w:r>
      </w:hyperlink>
      <w:r w:rsidRPr="00FF7106">
        <w:rPr>
          <w:lang w:val="en-US"/>
        </w:rPr>
        <w:t xml:space="preserve">, </w:t>
      </w:r>
      <w:hyperlink r:id="rId7" w:history="1">
        <w:r w:rsidRPr="007B46FE">
          <w:rPr>
            <w:rStyle w:val="Hipervnculo"/>
            <w:lang w:val="en-US"/>
          </w:rPr>
          <w:t>CCPR/C/MLT/CO/3</w:t>
        </w:r>
      </w:hyperlink>
      <w:r w:rsidRPr="00FF7106">
        <w:rPr>
          <w:lang w:val="en-US"/>
        </w:rPr>
        <w:t xml:space="preserve">, </w:t>
      </w:r>
      <w:hyperlink r:id="rId8" w:history="1">
        <w:r w:rsidRPr="007B46FE">
          <w:rPr>
            <w:rStyle w:val="Hipervnculo"/>
            <w:lang w:val="en-US"/>
          </w:rPr>
          <w:t>CCPR/C/SYR/CO/4</w:t>
        </w:r>
      </w:hyperlink>
      <w:r w:rsidRPr="00FF7106">
        <w:rPr>
          <w:rStyle w:val="Ttulo8Car"/>
          <w:lang w:val="en-US"/>
        </w:rPr>
        <w:t xml:space="preserve"> y </w:t>
      </w:r>
      <w:hyperlink r:id="rId9" w:history="1">
        <w:r w:rsidRPr="007B46FE">
          <w:rPr>
            <w:rStyle w:val="Hipervnculo"/>
            <w:lang w:val="en-US"/>
          </w:rPr>
          <w:t>CCPR/C/SUR/CO/4</w:t>
        </w:r>
      </w:hyperlink>
      <w:r w:rsidRPr="00FF7106">
        <w:rPr>
          <w:lang w:val="en-US"/>
        </w:rPr>
        <w:t>.</w:t>
      </w:r>
    </w:p>
  </w:footnote>
  <w:footnote w:id="5">
    <w:p w14:paraId="3BF4E88D" w14:textId="74C87E6A"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10" w:history="1">
        <w:r w:rsidRPr="007B46FE">
          <w:rPr>
            <w:rStyle w:val="Hipervnculo"/>
            <w:lang w:val="en-US"/>
          </w:rPr>
          <w:t>CCPR/C/ECU/CO/7</w:t>
        </w:r>
      </w:hyperlink>
      <w:r w:rsidRPr="00FF7106">
        <w:rPr>
          <w:lang w:val="en-US"/>
        </w:rPr>
        <w:t xml:space="preserve">, </w:t>
      </w:r>
      <w:hyperlink r:id="rId11" w:history="1">
        <w:r w:rsidRPr="007B46FE">
          <w:rPr>
            <w:rStyle w:val="Hipervnculo"/>
            <w:lang w:val="en-US"/>
          </w:rPr>
          <w:t>CCPR/C/FRA/CO/6</w:t>
        </w:r>
      </w:hyperlink>
      <w:r w:rsidRPr="00FF7106">
        <w:rPr>
          <w:lang w:val="en-US"/>
        </w:rPr>
        <w:t xml:space="preserve">, </w:t>
      </w:r>
      <w:hyperlink r:id="rId12" w:history="1">
        <w:r w:rsidRPr="007B46FE">
          <w:rPr>
            <w:rStyle w:val="Hipervnculo"/>
            <w:lang w:val="en-US"/>
          </w:rPr>
          <w:t>CCPR/C/GRC/CO/3</w:t>
        </w:r>
      </w:hyperlink>
      <w:r w:rsidRPr="00FF7106">
        <w:rPr>
          <w:lang w:val="en-US"/>
        </w:rPr>
        <w:t xml:space="preserve">, </w:t>
      </w:r>
      <w:hyperlink r:id="rId13" w:history="1">
        <w:r w:rsidRPr="007B46FE">
          <w:rPr>
            <w:rStyle w:val="Hipervnculo"/>
            <w:lang w:val="en-US"/>
          </w:rPr>
          <w:t>CCPR/C/ISL/CO/5</w:t>
        </w:r>
      </w:hyperlink>
      <w:r w:rsidRPr="00FF7106">
        <w:rPr>
          <w:lang w:val="en-US"/>
        </w:rPr>
        <w:t xml:space="preserve">, </w:t>
      </w:r>
      <w:hyperlink r:id="rId14" w:history="1">
        <w:r w:rsidRPr="007B46FE">
          <w:rPr>
            <w:rStyle w:val="Hipervnculo"/>
            <w:lang w:val="en-US"/>
          </w:rPr>
          <w:t>CCPR/C/PAK/CO/2</w:t>
        </w:r>
      </w:hyperlink>
      <w:r w:rsidRPr="00FF7106">
        <w:rPr>
          <w:lang w:val="en-US"/>
        </w:rPr>
        <w:t xml:space="preserve"> y </w:t>
      </w:r>
      <w:hyperlink r:id="rId15" w:history="1">
        <w:r w:rsidRPr="007B46FE">
          <w:rPr>
            <w:rStyle w:val="Hipervnculo"/>
            <w:lang w:val="en-US"/>
          </w:rPr>
          <w:t>CCPR/C/TUR/CO/2</w:t>
        </w:r>
      </w:hyperlink>
      <w:r w:rsidRPr="00FF7106">
        <w:rPr>
          <w:lang w:val="en-US"/>
        </w:rPr>
        <w:t>.</w:t>
      </w:r>
    </w:p>
  </w:footnote>
  <w:footnote w:id="6">
    <w:p w14:paraId="3D8A4469" w14:textId="3C24679C"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16" w:history="1">
        <w:r w:rsidRPr="007B46FE">
          <w:rPr>
            <w:rStyle w:val="Hipervnculo"/>
            <w:lang w:val="en-US"/>
          </w:rPr>
          <w:t>CCPR/C/ALB/CO/3</w:t>
        </w:r>
      </w:hyperlink>
      <w:r w:rsidRPr="00FF7106">
        <w:rPr>
          <w:lang w:val="en-US"/>
        </w:rPr>
        <w:t xml:space="preserve">, </w:t>
      </w:r>
      <w:hyperlink r:id="rId17" w:history="1">
        <w:r w:rsidRPr="007B46FE">
          <w:rPr>
            <w:rStyle w:val="Hipervnculo"/>
            <w:lang w:val="en-US"/>
          </w:rPr>
          <w:t>CCPR/C/BFA/CO/2</w:t>
        </w:r>
      </w:hyperlink>
      <w:r w:rsidRPr="00FF7106">
        <w:rPr>
          <w:lang w:val="en-US"/>
        </w:rPr>
        <w:t xml:space="preserve">, </w:t>
      </w:r>
      <w:hyperlink r:id="rId18" w:history="1">
        <w:r w:rsidRPr="007B46FE">
          <w:rPr>
            <w:rStyle w:val="Hipervnculo"/>
            <w:lang w:val="en-US"/>
          </w:rPr>
          <w:t>CCPR/C/MNG/CO/7</w:t>
        </w:r>
      </w:hyperlink>
      <w:r w:rsidRPr="00FF7106">
        <w:rPr>
          <w:lang w:val="en-US"/>
        </w:rPr>
        <w:t xml:space="preserve">, </w:t>
      </w:r>
      <w:hyperlink r:id="rId19" w:history="1">
        <w:r w:rsidRPr="007B46FE">
          <w:rPr>
            <w:rStyle w:val="Hipervnculo"/>
            <w:lang w:val="en-US"/>
          </w:rPr>
          <w:t>CCPR/C/MNE/CO/2</w:t>
        </w:r>
      </w:hyperlink>
      <w:r w:rsidRPr="00FF7106">
        <w:rPr>
          <w:lang w:val="en-US"/>
        </w:rPr>
        <w:t xml:space="preserve"> y </w:t>
      </w:r>
      <w:hyperlink r:id="rId20" w:history="1">
        <w:r w:rsidRPr="007B46FE">
          <w:rPr>
            <w:rStyle w:val="Hipervnculo"/>
            <w:lang w:val="en-US"/>
          </w:rPr>
          <w:t>CCPR/C/ZWE/CO/2</w:t>
        </w:r>
      </w:hyperlink>
      <w:r w:rsidRPr="00FF7106">
        <w:rPr>
          <w:lang w:val="en-US"/>
        </w:rPr>
        <w:t>.</w:t>
      </w:r>
    </w:p>
  </w:footnote>
  <w:footnote w:id="7">
    <w:p w14:paraId="54C97678" w14:textId="22850E94"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21" w:history="1">
        <w:r w:rsidRPr="007B46FE">
          <w:rPr>
            <w:rStyle w:val="Hipervnculo"/>
            <w:lang w:val="en-US"/>
          </w:rPr>
          <w:t>CCPR/C/141/2/Add.1</w:t>
        </w:r>
      </w:hyperlink>
      <w:r w:rsidRPr="00FF7106">
        <w:rPr>
          <w:lang w:val="en-US"/>
        </w:rPr>
        <w:t>.</w:t>
      </w:r>
    </w:p>
  </w:footnote>
  <w:footnote w:id="8">
    <w:p w14:paraId="4FD2AEA3" w14:textId="26D7147E"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22" w:history="1">
        <w:r w:rsidRPr="007B46FE">
          <w:rPr>
            <w:rStyle w:val="Hipervnculo"/>
            <w:lang w:val="en-US"/>
          </w:rPr>
          <w:t>CCPR/C/141/2/Add.3</w:t>
        </w:r>
      </w:hyperlink>
      <w:r w:rsidRPr="00FF7106">
        <w:rPr>
          <w:lang w:val="en-US"/>
        </w:rPr>
        <w:t>.</w:t>
      </w:r>
    </w:p>
  </w:footnote>
  <w:footnote w:id="9">
    <w:p w14:paraId="5953FBA5" w14:textId="6DA3DCD7" w:rsidR="000700DF" w:rsidRPr="00FF7106" w:rsidRDefault="000700DF" w:rsidP="000700DF">
      <w:pPr>
        <w:pStyle w:val="Textonotapie"/>
        <w:rPr>
          <w:lang w:val="en-US"/>
        </w:rPr>
      </w:pPr>
      <w:r w:rsidRPr="00FF7106">
        <w:rPr>
          <w:lang w:val="en-US"/>
        </w:rPr>
        <w:tab/>
      </w:r>
      <w:r w:rsidRPr="00021E86">
        <w:rPr>
          <w:rStyle w:val="Refdenotaalpie"/>
        </w:rPr>
        <w:footnoteRef/>
      </w:r>
      <w:r w:rsidRPr="00FF7106">
        <w:rPr>
          <w:lang w:val="en-US"/>
        </w:rPr>
        <w:tab/>
      </w:r>
      <w:hyperlink r:id="rId23" w:history="1">
        <w:r w:rsidRPr="007B46FE">
          <w:rPr>
            <w:rStyle w:val="Hipervnculo"/>
            <w:lang w:val="en-US"/>
          </w:rPr>
          <w:t>CCPR/C/141/2/Add.2</w:t>
        </w:r>
      </w:hyperlink>
      <w:r w:rsidRPr="00FF7106">
        <w:rPr>
          <w:lang w:val="en-US"/>
        </w:rPr>
        <w:t>.</w:t>
      </w:r>
    </w:p>
  </w:footnote>
  <w:footnote w:id="10">
    <w:p w14:paraId="60828345" w14:textId="4CD16E82" w:rsidR="00021E86" w:rsidRPr="00FF7106" w:rsidRDefault="00021E86" w:rsidP="00021E86">
      <w:pPr>
        <w:pStyle w:val="Textonotapie"/>
        <w:rPr>
          <w:lang w:val="en-US"/>
        </w:rPr>
      </w:pPr>
      <w:r w:rsidRPr="00FF7106">
        <w:rPr>
          <w:lang w:val="en-US"/>
        </w:rPr>
        <w:tab/>
      </w:r>
      <w:r w:rsidRPr="00021E86">
        <w:rPr>
          <w:rStyle w:val="Refdenotaalpie"/>
        </w:rPr>
        <w:footnoteRef/>
      </w:r>
      <w:r w:rsidRPr="00FF7106">
        <w:rPr>
          <w:lang w:val="en-US"/>
        </w:rPr>
        <w:tab/>
      </w:r>
      <w:hyperlink r:id="rId24" w:history="1">
        <w:r w:rsidRPr="007B46FE">
          <w:rPr>
            <w:rStyle w:val="Hipervnculo"/>
            <w:lang w:val="en-US"/>
          </w:rPr>
          <w:t>CCPR/C/141/2/Add.4</w:t>
        </w:r>
      </w:hyperlink>
      <w:r w:rsidRPr="00FF7106">
        <w:rPr>
          <w:lang w:val="en-US"/>
        </w:rPr>
        <w:t>.</w:t>
      </w:r>
    </w:p>
  </w:footnote>
  <w:footnote w:id="11">
    <w:p w14:paraId="09F2E907" w14:textId="28EB96F4" w:rsidR="00021E86" w:rsidRPr="00FF7106" w:rsidRDefault="00021E86" w:rsidP="00021E86">
      <w:pPr>
        <w:pStyle w:val="Textonotapie"/>
        <w:rPr>
          <w:lang w:val="fr-CH"/>
        </w:rPr>
      </w:pPr>
      <w:r w:rsidRPr="00FF7106">
        <w:rPr>
          <w:lang w:val="en-US"/>
        </w:rPr>
        <w:tab/>
      </w:r>
      <w:r w:rsidRPr="00021E86">
        <w:rPr>
          <w:rStyle w:val="Refdenotaalpie"/>
        </w:rPr>
        <w:footnoteRef/>
      </w:r>
      <w:r w:rsidRPr="00FF7106">
        <w:rPr>
          <w:lang w:val="fr-CH"/>
        </w:rPr>
        <w:tab/>
        <w:t xml:space="preserve">Véase </w:t>
      </w:r>
      <w:hyperlink r:id="rId25" w:history="1">
        <w:r w:rsidRPr="000700DF">
          <w:rPr>
            <w:rStyle w:val="Hipervnculo"/>
            <w:lang w:val="fr-CH"/>
          </w:rPr>
          <w:t>https://www.ohchr.org/es/treaty-bodies/ccpr</w:t>
        </w:r>
      </w:hyperlink>
      <w:r w:rsidRPr="00FF7106">
        <w:rPr>
          <w:lang w:val="fr-CH"/>
        </w:rPr>
        <w:t>.</w:t>
      </w:r>
    </w:p>
  </w:footnote>
  <w:footnote w:id="12">
    <w:p w14:paraId="46E267CA" w14:textId="3F5DE4F5" w:rsidR="00021E86" w:rsidRPr="00FF7106" w:rsidRDefault="00021E86" w:rsidP="00021E86">
      <w:pPr>
        <w:pStyle w:val="Textonotapie"/>
      </w:pPr>
      <w:r w:rsidRPr="00FF7106">
        <w:rPr>
          <w:lang w:val="fr-CH"/>
        </w:rPr>
        <w:tab/>
      </w:r>
      <w:r w:rsidRPr="00021E86">
        <w:rPr>
          <w:rStyle w:val="Refdenotaalpie"/>
        </w:rPr>
        <w:footnoteRef/>
      </w:r>
      <w:r w:rsidRPr="00FF7106">
        <w:tab/>
        <w:t>Este número es fruto de la estrategia de unir comunicaciones muy similares desde el punto de vista jurídico y de los hechos, y de unir 252 casos relativos al mismo Estado que plantean cuestiones de hecho y de derecho similares.</w:t>
      </w:r>
    </w:p>
  </w:footnote>
  <w:footnote w:id="13">
    <w:p w14:paraId="76B49DB3" w14:textId="75435CAF" w:rsidR="00021E86" w:rsidRPr="00FF7106" w:rsidRDefault="00021E86" w:rsidP="00021E86">
      <w:pPr>
        <w:pStyle w:val="Textonotapie"/>
        <w:rPr>
          <w:lang w:val="fr-CH"/>
        </w:rPr>
      </w:pPr>
      <w:r w:rsidRPr="00FF7106">
        <w:rPr>
          <w:szCs w:val="18"/>
        </w:rPr>
        <w:tab/>
      </w:r>
      <w:r w:rsidRPr="00021E86">
        <w:rPr>
          <w:rStyle w:val="Refdenotaalpie"/>
        </w:rPr>
        <w:footnoteRef/>
      </w:r>
      <w:r w:rsidRPr="00FF7106">
        <w:rPr>
          <w:lang w:val="fr-CH"/>
        </w:rPr>
        <w:tab/>
        <w:t xml:space="preserve">Véase </w:t>
      </w:r>
      <w:hyperlink r:id="rId26" w:history="1">
        <w:r w:rsidRPr="00BD0845">
          <w:rPr>
            <w:rStyle w:val="Hipervnculo"/>
            <w:lang w:val="fr-CH"/>
          </w:rPr>
          <w:t>https://tbinternet.ohchr.org/_layouts/15/TreatyBodyExternal/SessionsList.aspx?Treaty=CCPR</w:t>
        </w:r>
      </w:hyperlink>
      <w:r w:rsidRPr="00FF7106">
        <w:rPr>
          <w:lang w:val="fr-CH"/>
        </w:rPr>
        <w:t>.</w:t>
      </w:r>
    </w:p>
  </w:footnote>
  <w:footnote w:id="14">
    <w:p w14:paraId="0A12DCC2" w14:textId="03DC8B07" w:rsidR="00021E86" w:rsidRPr="00FF7106" w:rsidRDefault="00021E86" w:rsidP="00021E86">
      <w:pPr>
        <w:pStyle w:val="Textonotapie"/>
      </w:pPr>
      <w:r w:rsidRPr="00FF7106">
        <w:rPr>
          <w:lang w:val="fr-CH"/>
        </w:rPr>
        <w:tab/>
      </w:r>
      <w:r w:rsidRPr="00021E86">
        <w:rPr>
          <w:rStyle w:val="Refdenotaalpie"/>
        </w:rPr>
        <w:footnoteRef/>
      </w:r>
      <w:r w:rsidRPr="00FF7106">
        <w:tab/>
      </w:r>
      <w:hyperlink r:id="rId27" w:history="1">
        <w:r w:rsidRPr="007B46FE">
          <w:rPr>
            <w:rStyle w:val="Hipervnculo"/>
          </w:rPr>
          <w:t>CCPR/C/162</w:t>
        </w:r>
      </w:hyperlink>
      <w:r w:rsidRPr="00FF7106">
        <w:t>.</w:t>
      </w:r>
    </w:p>
  </w:footnote>
  <w:footnote w:id="15">
    <w:p w14:paraId="10ABB45A" w14:textId="11AE5C29" w:rsidR="00021E86" w:rsidRPr="00FF7106" w:rsidRDefault="00021E86" w:rsidP="00021E86">
      <w:pPr>
        <w:pStyle w:val="Textonotapie"/>
      </w:pPr>
      <w:r w:rsidRPr="00FF7106">
        <w:tab/>
      </w:r>
      <w:r w:rsidRPr="00021E86">
        <w:rPr>
          <w:rStyle w:val="Refdenotaalpie"/>
        </w:rPr>
        <w:footnoteRef/>
      </w:r>
      <w:r w:rsidRPr="00FF7106">
        <w:tab/>
      </w:r>
      <w:hyperlink r:id="rId28" w:history="1">
        <w:r w:rsidRPr="007B46FE">
          <w:rPr>
            <w:rStyle w:val="Hipervnculo"/>
          </w:rPr>
          <w:t>CCPR/C/94/3</w:t>
        </w:r>
      </w:hyperlink>
      <w:r w:rsidRPr="00FF71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0A344" w14:textId="1830022E"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FC4F58">
      <w:rPr>
        <w:sz w:val="17"/>
        <w:szCs w:val="17"/>
      </w:rPr>
      <w:t>A/80/40</w:t>
    </w:r>
    <w:r w:rsidRPr="00BC4613">
      <w:rPr>
        <w:sz w:val="17"/>
        <w:szCs w:val="17"/>
      </w:rPr>
      <w:fldChar w:fldCharType="end"/>
    </w:r>
  </w:p>
  <w:p w14:paraId="2D345E77"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9082" w14:textId="77777777" w:rsidR="00067141" w:rsidRPr="005813E3" w:rsidRDefault="00067141" w:rsidP="00021E8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BD17D"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A4C58" w14:textId="77777777" w:rsidR="00B7180A" w:rsidRDefault="00B7180A" w:rsidP="00021E8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0D08" w14:textId="47A5C4D5" w:rsidR="00021E86" w:rsidRPr="00021E86" w:rsidRDefault="00021E86" w:rsidP="00021E86">
    <w:pPr>
      <w:pStyle w:val="Encabezado"/>
    </w:pPr>
    <w:fldSimple w:instr=" TITLE  \* MERGEFORMAT ">
      <w:r w:rsidR="00FC4F58">
        <w:t>A/80/40</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B108C" w14:textId="7F186383" w:rsidR="00B7180A" w:rsidRDefault="00021E86" w:rsidP="00021E86">
    <w:pPr>
      <w:pStyle w:val="Encabezado"/>
      <w:jc w:val="right"/>
    </w:pPr>
    <w:fldSimple w:instr=" TITLE  \* MERGEFORMAT ">
      <w:r w:rsidR="00FC4F58">
        <w:t>A/80/40</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3580" w14:textId="74C40587" w:rsidR="00021E86" w:rsidRDefault="00021E86" w:rsidP="00021E86">
    <w:pPr>
      <w:pStyle w:val="Encabezado"/>
      <w:jc w:val="right"/>
    </w:pPr>
    <w:fldSimple w:instr=" TITLE  \* MERGEFORMAT ">
      <w:r w:rsidR="00FC4F58">
        <w:t>A/80/40</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4AC7" w14:textId="02956077" w:rsidR="00021E86" w:rsidRDefault="00021E86" w:rsidP="00021E86">
    <w:pPr>
      <w:pStyle w:val="Encabezado"/>
      <w:jc w:val="right"/>
    </w:pPr>
    <w:fldSimple w:instr=" TITLE  \* MERGEFORMAT ">
      <w:r w:rsidR="00FC4F58">
        <w:t>A/80/40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659"/>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E540113"/>
    <w:multiLevelType w:val="hybridMultilevel"/>
    <w:tmpl w:val="3C8A005A"/>
    <w:lvl w:ilvl="0" w:tplc="61845BDA">
      <w:start w:val="1"/>
      <w:numFmt w:val="upperRoman"/>
      <w:lvlText w:val="%1."/>
      <w:lvlJc w:val="left"/>
      <w:pPr>
        <w:ind w:left="1455" w:hanging="72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69546246">
    <w:abstractNumId w:val="4"/>
  </w:num>
  <w:num w:numId="2" w16cid:durableId="1844010011">
    <w:abstractNumId w:val="2"/>
  </w:num>
  <w:num w:numId="3" w16cid:durableId="1529217892">
    <w:abstractNumId w:val="1"/>
  </w:num>
  <w:num w:numId="4" w16cid:durableId="805123015">
    <w:abstractNumId w:val="4"/>
  </w:num>
  <w:num w:numId="5" w16cid:durableId="1179396045">
    <w:abstractNumId w:val="2"/>
  </w:num>
  <w:num w:numId="6" w16cid:durableId="241187342">
    <w:abstractNumId w:val="1"/>
  </w:num>
  <w:num w:numId="7" w16cid:durableId="1614750937">
    <w:abstractNumId w:val="4"/>
  </w:num>
  <w:num w:numId="8" w16cid:durableId="542908369">
    <w:abstractNumId w:val="2"/>
  </w:num>
  <w:num w:numId="9" w16cid:durableId="2136212365">
    <w:abstractNumId w:val="1"/>
  </w:num>
  <w:num w:numId="10" w16cid:durableId="1692336397">
    <w:abstractNumId w:val="0"/>
  </w:num>
  <w:num w:numId="11" w16cid:durableId="33253623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D0F"/>
    <w:rsid w:val="000067A6"/>
    <w:rsid w:val="0001470D"/>
    <w:rsid w:val="00016165"/>
    <w:rsid w:val="00016AC5"/>
    <w:rsid w:val="00021907"/>
    <w:rsid w:val="00021E86"/>
    <w:rsid w:val="000233A5"/>
    <w:rsid w:val="0002445D"/>
    <w:rsid w:val="00024C50"/>
    <w:rsid w:val="00025E92"/>
    <w:rsid w:val="000276A3"/>
    <w:rsid w:val="00031C3D"/>
    <w:rsid w:val="00032060"/>
    <w:rsid w:val="00040539"/>
    <w:rsid w:val="00040598"/>
    <w:rsid w:val="00047F10"/>
    <w:rsid w:val="00050E47"/>
    <w:rsid w:val="00052157"/>
    <w:rsid w:val="0005346D"/>
    <w:rsid w:val="00055FE4"/>
    <w:rsid w:val="000641CE"/>
    <w:rsid w:val="00067141"/>
    <w:rsid w:val="00067310"/>
    <w:rsid w:val="000700DF"/>
    <w:rsid w:val="00077E35"/>
    <w:rsid w:val="0008669E"/>
    <w:rsid w:val="00090599"/>
    <w:rsid w:val="00096270"/>
    <w:rsid w:val="000A097F"/>
    <w:rsid w:val="000A1501"/>
    <w:rsid w:val="000A2494"/>
    <w:rsid w:val="000A2D0F"/>
    <w:rsid w:val="000A6B7E"/>
    <w:rsid w:val="000A7FDF"/>
    <w:rsid w:val="000C6CDB"/>
    <w:rsid w:val="000D3C65"/>
    <w:rsid w:val="000D5C25"/>
    <w:rsid w:val="000E4F06"/>
    <w:rsid w:val="000E5601"/>
    <w:rsid w:val="000F41F2"/>
    <w:rsid w:val="0010373B"/>
    <w:rsid w:val="00125446"/>
    <w:rsid w:val="00126DCC"/>
    <w:rsid w:val="00132C1F"/>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68E"/>
    <w:rsid w:val="00200CBA"/>
    <w:rsid w:val="00204B66"/>
    <w:rsid w:val="002059CE"/>
    <w:rsid w:val="00206AD4"/>
    <w:rsid w:val="00224B8B"/>
    <w:rsid w:val="00225A8C"/>
    <w:rsid w:val="002278E9"/>
    <w:rsid w:val="00231A7F"/>
    <w:rsid w:val="00242BBD"/>
    <w:rsid w:val="0024586F"/>
    <w:rsid w:val="00246BC8"/>
    <w:rsid w:val="00251F95"/>
    <w:rsid w:val="00252317"/>
    <w:rsid w:val="002646D3"/>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288B"/>
    <w:rsid w:val="002D3DA4"/>
    <w:rsid w:val="002D64CF"/>
    <w:rsid w:val="002E2F5C"/>
    <w:rsid w:val="002F0C48"/>
    <w:rsid w:val="002F5FD4"/>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393A"/>
    <w:rsid w:val="00394410"/>
    <w:rsid w:val="003976D5"/>
    <w:rsid w:val="003A450B"/>
    <w:rsid w:val="003B4C83"/>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1345"/>
    <w:rsid w:val="005D5A32"/>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060EA"/>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270F"/>
    <w:rsid w:val="00785F1F"/>
    <w:rsid w:val="00790B9D"/>
    <w:rsid w:val="00796316"/>
    <w:rsid w:val="007A1C58"/>
    <w:rsid w:val="007A20D2"/>
    <w:rsid w:val="007A79CD"/>
    <w:rsid w:val="007B0ECA"/>
    <w:rsid w:val="007B46FE"/>
    <w:rsid w:val="007D2668"/>
    <w:rsid w:val="007D3119"/>
    <w:rsid w:val="007D5DC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1205"/>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C0C6A"/>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572D"/>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2BF8"/>
    <w:rsid w:val="00B75E66"/>
    <w:rsid w:val="00B773BF"/>
    <w:rsid w:val="00B840C1"/>
    <w:rsid w:val="00B93C7D"/>
    <w:rsid w:val="00BB0DAE"/>
    <w:rsid w:val="00BC0F18"/>
    <w:rsid w:val="00BC3F20"/>
    <w:rsid w:val="00BC4613"/>
    <w:rsid w:val="00BD03A2"/>
    <w:rsid w:val="00BD0845"/>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E033D"/>
    <w:rsid w:val="00CE08E5"/>
    <w:rsid w:val="00D016B5"/>
    <w:rsid w:val="00D034F1"/>
    <w:rsid w:val="00D10955"/>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C58DE"/>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A1F"/>
    <w:rsid w:val="00E37E21"/>
    <w:rsid w:val="00E510F3"/>
    <w:rsid w:val="00E60012"/>
    <w:rsid w:val="00E62CFF"/>
    <w:rsid w:val="00E665EE"/>
    <w:rsid w:val="00E679AE"/>
    <w:rsid w:val="00E71570"/>
    <w:rsid w:val="00E73B13"/>
    <w:rsid w:val="00E75C58"/>
    <w:rsid w:val="00E76819"/>
    <w:rsid w:val="00E81E94"/>
    <w:rsid w:val="00E82607"/>
    <w:rsid w:val="00E8300A"/>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235"/>
    <w:rsid w:val="00FA27D4"/>
    <w:rsid w:val="00FA5A79"/>
    <w:rsid w:val="00FB0BFE"/>
    <w:rsid w:val="00FB1C8F"/>
    <w:rsid w:val="00FB4300"/>
    <w:rsid w:val="00FB4C51"/>
    <w:rsid w:val="00FB734D"/>
    <w:rsid w:val="00FC21B2"/>
    <w:rsid w:val="00FC4149"/>
    <w:rsid w:val="00FC4F58"/>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008266B"/>
  <w15:docId w15:val="{20706F16-21FA-4094-9401-36425ECBB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4"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uiPriority w:val="2"/>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semiHidden/>
    <w:unhideWhenUsed/>
    <w:rsid w:val="00021E86"/>
    <w:pPr>
      <w:numPr>
        <w:numId w:val="10"/>
      </w:numPr>
    </w:pPr>
  </w:style>
  <w:style w:type="character" w:styleId="Mencinsinresolver">
    <w:name w:val="Unresolved Mention"/>
    <w:basedOn w:val="Fuentedeprrafopredeter"/>
    <w:uiPriority w:val="99"/>
    <w:semiHidden/>
    <w:unhideWhenUsed/>
    <w:rsid w:val="00021E86"/>
    <w:rPr>
      <w:color w:val="605E5C"/>
      <w:shd w:val="clear" w:color="auto" w:fill="E1DFDD"/>
    </w:rPr>
  </w:style>
  <w:style w:type="paragraph" w:styleId="Prrafodelista">
    <w:name w:val="List Paragraph"/>
    <w:basedOn w:val="Normal"/>
    <w:uiPriority w:val="99"/>
    <w:semiHidden/>
    <w:qFormat/>
    <w:rsid w:val="007D5D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binternet.ohchr.org/_layouts/15/TreatyBodyExternal/TBSearch.aspx?Lang=es" TargetMode="External"/><Relationship Id="rId21" Type="http://schemas.openxmlformats.org/officeDocument/2006/relationships/footer" Target="footer6.xml"/><Relationship Id="rId34" Type="http://schemas.openxmlformats.org/officeDocument/2006/relationships/hyperlink" Target="https://docs.un.org/es/CCPR/C/141/D/3193/2018" TargetMode="External"/><Relationship Id="rId42" Type="http://schemas.openxmlformats.org/officeDocument/2006/relationships/hyperlink" Target="https://docs.un.org/es/CCPR/C/142/D/3155/2018" TargetMode="External"/><Relationship Id="rId47" Type="http://schemas.openxmlformats.org/officeDocument/2006/relationships/hyperlink" Target="https://docs.un.org/es/CCPR/C/142/D/3157/2018" TargetMode="External"/><Relationship Id="rId50" Type="http://schemas.openxmlformats.org/officeDocument/2006/relationships/hyperlink" Target="https://docs.un.org/es/CCPR/C/142/D/3663/2019" TargetMode="External"/><Relationship Id="rId55" Type="http://schemas.openxmlformats.org/officeDocument/2006/relationships/hyperlink" Target="https://docs.un.org/es/CCPR/C/142/D/J/1" TargetMode="External"/><Relationship Id="rId63" Type="http://schemas.openxmlformats.org/officeDocument/2006/relationships/hyperlink" Target="https://docs.un.org/es/CCPR/C/143/D/4023-4032/2021" TargetMode="External"/><Relationship Id="rId68" Type="http://schemas.openxmlformats.org/officeDocument/2006/relationships/hyperlink" Target="https://docs.un.org/es/CCPR/C/143/D/3665/2019" TargetMode="External"/><Relationship Id="rId76" Type="http://schemas.openxmlformats.org/officeDocument/2006/relationships/hyperlink" Target="https://docs.un.org/es/CCPR/C/141/D/3307/2019" TargetMode="External"/><Relationship Id="rId84" Type="http://schemas.openxmlformats.org/officeDocument/2006/relationships/hyperlink" Target="https://docs.un.org/es/CCPR/C/142/D/3087/2017" TargetMode="External"/><Relationship Id="rId89" Type="http://schemas.openxmlformats.org/officeDocument/2006/relationships/hyperlink" Target="https://docs.un.org/es/CCPR/C/142/D/3668/2019" TargetMode="External"/><Relationship Id="rId97" Type="http://schemas.openxmlformats.org/officeDocument/2006/relationships/hyperlink" Target="https://www.ohchr.org/es/treaty-bodies/ccpr/membership" TargetMode="External"/><Relationship Id="rId7" Type="http://schemas.openxmlformats.org/officeDocument/2006/relationships/endnotes" Target="endnotes.xml"/><Relationship Id="rId71" Type="http://schemas.openxmlformats.org/officeDocument/2006/relationships/hyperlink" Target="https://docs.un.org/es/CCPR/C/142/D/2065/2011" TargetMode="External"/><Relationship Id="rId92" Type="http://schemas.openxmlformats.org/officeDocument/2006/relationships/hyperlink" Target="https://docs.un.org/es/CCPR/C/143/D/2971/2017"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s/CCPR/C/141/D/2576/2015" TargetMode="External"/><Relationship Id="rId11" Type="http://schemas.openxmlformats.org/officeDocument/2006/relationships/image" Target="media/image4.png"/><Relationship Id="rId24" Type="http://schemas.openxmlformats.org/officeDocument/2006/relationships/hyperlink" Target="https://treaties.un.org/Pages/Treaties.aspx?id=4&amp;subid=A&amp;lang=en" TargetMode="External"/><Relationship Id="rId32" Type="http://schemas.openxmlformats.org/officeDocument/2006/relationships/hyperlink" Target="https://docs.un.org/es/CCPR/C/141/D/3623/2019" TargetMode="External"/><Relationship Id="rId37" Type="http://schemas.openxmlformats.org/officeDocument/2006/relationships/hyperlink" Target="https://docs.un.org/es/CCPR/C/141/D/J/2" TargetMode="External"/><Relationship Id="rId40" Type="http://schemas.openxmlformats.org/officeDocument/2006/relationships/hyperlink" Target="https://docs.un.org/es/CCPR/C/142/D/3328/2019" TargetMode="External"/><Relationship Id="rId45" Type="http://schemas.openxmlformats.org/officeDocument/2006/relationships/hyperlink" Target="https://docs.un.org/es/CCPR/C/142/D/3157/2018" TargetMode="External"/><Relationship Id="rId53" Type="http://schemas.openxmlformats.org/officeDocument/2006/relationships/hyperlink" Target="https://docs.un.org/es/CCPR/C/142/D/3627/2019" TargetMode="External"/><Relationship Id="rId58" Type="http://schemas.openxmlformats.org/officeDocument/2006/relationships/hyperlink" Target="https://docs.un.org/es/CCPR/C/143/D/3127/2018" TargetMode="External"/><Relationship Id="rId66" Type="http://schemas.openxmlformats.org/officeDocument/2006/relationships/hyperlink" Target="https://docs.un.org/es/CCPR/C/143/D/J/1" TargetMode="External"/><Relationship Id="rId74" Type="http://schemas.openxmlformats.org/officeDocument/2006/relationships/hyperlink" Target="https://docs.un.org/es/CCPR/C/141/D/3079/2017" TargetMode="External"/><Relationship Id="rId79" Type="http://schemas.openxmlformats.org/officeDocument/2006/relationships/hyperlink" Target="https://docs.un.org/es/CCPR/C/141/D/4062/2021" TargetMode="External"/><Relationship Id="rId87" Type="http://schemas.openxmlformats.org/officeDocument/2006/relationships/hyperlink" Target="https://docs.un.org/es/CCPR/C/142/D/3605/2019"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cs.un.org/es/CCPR/C/143/D/3054/2017" TargetMode="External"/><Relationship Id="rId82" Type="http://schemas.openxmlformats.org/officeDocument/2006/relationships/hyperlink" Target="https://docs.un.org/es/CCPR/C/142/D/3005/2017" TargetMode="External"/><Relationship Id="rId90" Type="http://schemas.openxmlformats.org/officeDocument/2006/relationships/hyperlink" Target="https://docs.un.org/es/CCPR/C/142/D/3844/2020" TargetMode="External"/><Relationship Id="rId95" Type="http://schemas.openxmlformats.org/officeDocument/2006/relationships/hyperlink" Target="https://docs.un.org/es/CCPR/C/143/D/3253/2018"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uments.un.org" TargetMode="External"/><Relationship Id="rId30" Type="http://schemas.openxmlformats.org/officeDocument/2006/relationships/hyperlink" Target="https://docs.un.org/es/CCPR/C/141/D/3034/2017" TargetMode="External"/><Relationship Id="rId35" Type="http://schemas.openxmlformats.org/officeDocument/2006/relationships/hyperlink" Target="https://docs.un.org/es/CCPR/C/141/D/4035/2021" TargetMode="External"/><Relationship Id="rId43" Type="http://schemas.openxmlformats.org/officeDocument/2006/relationships/hyperlink" Target="https://docs.un.org/es/CCPR/C/142/D/3156/2018" TargetMode="External"/><Relationship Id="rId48" Type="http://schemas.openxmlformats.org/officeDocument/2006/relationships/hyperlink" Target="https://docs.un.org/es/CCPR/C/142/D/3157/2018" TargetMode="External"/><Relationship Id="rId56" Type="http://schemas.openxmlformats.org/officeDocument/2006/relationships/hyperlink" Target="https://docs.un.org/es/CCPR/C/143/D/2991/2017" TargetMode="External"/><Relationship Id="rId64" Type="http://schemas.openxmlformats.org/officeDocument/2006/relationships/hyperlink" Target="https://docs.un.org/es/CCPR/C/143/D/3283/2019" TargetMode="External"/><Relationship Id="rId69" Type="http://schemas.openxmlformats.org/officeDocument/2006/relationships/hyperlink" Target="https://docs.un.org/es/CCPR/C/141/D/3168/2018" TargetMode="External"/><Relationship Id="rId77" Type="http://schemas.openxmlformats.org/officeDocument/2006/relationships/hyperlink" Target="https://docs.un.org/es/CCPR/C/141/D/3595/2019" TargetMode="External"/><Relationship Id="rId100"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s://docs.un.org/es/CCPR/C/142/D/3602/2019" TargetMode="External"/><Relationship Id="rId72" Type="http://schemas.openxmlformats.org/officeDocument/2006/relationships/hyperlink" Target="https://docs.un.org/es/CCPR/C/143/D/3597/2019" TargetMode="External"/><Relationship Id="rId80" Type="http://schemas.openxmlformats.org/officeDocument/2006/relationships/hyperlink" Target="https://docs.un.org/es/CCPR/C/141/D/4275/2022" TargetMode="External"/><Relationship Id="rId85" Type="http://schemas.openxmlformats.org/officeDocument/2006/relationships/hyperlink" Target="https://docs.un.org/es/CCPR/C/142/D/3149/2018" TargetMode="External"/><Relationship Id="rId93" Type="http://schemas.openxmlformats.org/officeDocument/2006/relationships/hyperlink" Target="https://docs.un.org/es/CCPR/C/143/D/3035/2017" TargetMode="External"/><Relationship Id="rId98" Type="http://schemas.openxmlformats.org/officeDocument/2006/relationships/hyperlink" Target="https://www.ohchr.org/es/treaty-bodies/ccpr/membership"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treaties.un.org" TargetMode="External"/><Relationship Id="rId33" Type="http://schemas.openxmlformats.org/officeDocument/2006/relationships/hyperlink" Target="https://docs.un.org/es/CCPR/C/141/D/2548/2015" TargetMode="External"/><Relationship Id="rId38" Type="http://schemas.openxmlformats.org/officeDocument/2006/relationships/hyperlink" Target="https://docs.un.org/es/CCPR/C/141/D/3582/2019" TargetMode="External"/><Relationship Id="rId46" Type="http://schemas.openxmlformats.org/officeDocument/2006/relationships/hyperlink" Target="https://docs.un.org/es/CCPR/C/142/D/3159/2018" TargetMode="External"/><Relationship Id="rId59" Type="http://schemas.openxmlformats.org/officeDocument/2006/relationships/hyperlink" Target="https://docs.un.org/es/CCPR/C/143/D/3195/2018" TargetMode="External"/><Relationship Id="rId67" Type="http://schemas.openxmlformats.org/officeDocument/2006/relationships/hyperlink" Target="https://docs.un.org/es/CCPR/C/143/D/3324/2019" TargetMode="External"/><Relationship Id="rId20" Type="http://schemas.openxmlformats.org/officeDocument/2006/relationships/footer" Target="footer5.xml"/><Relationship Id="rId41" Type="http://schemas.openxmlformats.org/officeDocument/2006/relationships/hyperlink" Target="https://docs.un.org/es/CCPR/C/142/D/2935/2017" TargetMode="External"/><Relationship Id="rId54" Type="http://schemas.openxmlformats.org/officeDocument/2006/relationships/hyperlink" Target="https://docs.un.org/es/CCPR/C/142/D/3628/2019" TargetMode="External"/><Relationship Id="rId62" Type="http://schemas.openxmlformats.org/officeDocument/2006/relationships/hyperlink" Target="https://docs.un.org/es/CCPR/C/143/D/3686/2019" TargetMode="External"/><Relationship Id="rId70" Type="http://schemas.openxmlformats.org/officeDocument/2006/relationships/hyperlink" Target="https://docs.un.org/es/CCPR/C/141/D/3581/2019" TargetMode="External"/><Relationship Id="rId75" Type="http://schemas.openxmlformats.org/officeDocument/2006/relationships/hyperlink" Target="https://docs.un.org/es/CCPR/C/141/D/3148/2018" TargetMode="External"/><Relationship Id="rId83" Type="http://schemas.openxmlformats.org/officeDocument/2006/relationships/hyperlink" Target="https://docs.un.org/es/CCPR/C/142/D/3047/2017" TargetMode="External"/><Relationship Id="rId88" Type="http://schemas.openxmlformats.org/officeDocument/2006/relationships/hyperlink" Target="https://docs.un.org/es/CCPR/C/142/D/3618/2019" TargetMode="External"/><Relationship Id="rId91" Type="http://schemas.openxmlformats.org/officeDocument/2006/relationships/hyperlink" Target="https://docs.un.org/es/CCPR/C/143/D/4367/2023" TargetMode="External"/><Relationship Id="rId96" Type="http://schemas.openxmlformats.org/officeDocument/2006/relationships/hyperlink" Target="https://webtv.un.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juris.ohchr.org" TargetMode="External"/><Relationship Id="rId36" Type="http://schemas.openxmlformats.org/officeDocument/2006/relationships/hyperlink" Target="https://docs.un.org/es/CCPR/C/141/D/J/1" TargetMode="External"/><Relationship Id="rId49" Type="http://schemas.openxmlformats.org/officeDocument/2006/relationships/hyperlink" Target="https://docs.un.org/es/CCPR/C/142/D/2749/2016" TargetMode="External"/><Relationship Id="rId57" Type="http://schemas.openxmlformats.org/officeDocument/2006/relationships/hyperlink" Target="https://docs.un.org/es/CCPR/C/143/D/3098/2018" TargetMode="External"/><Relationship Id="rId10" Type="http://schemas.openxmlformats.org/officeDocument/2006/relationships/footer" Target="footer1.xml"/><Relationship Id="rId31" Type="http://schemas.openxmlformats.org/officeDocument/2006/relationships/hyperlink" Target="https://docs.un.org/es/CCPR/C/141/D/3097/2018" TargetMode="External"/><Relationship Id="rId44" Type="http://schemas.openxmlformats.org/officeDocument/2006/relationships/hyperlink" Target="https://docs.un.org/es/CCPR/C/142/D/3158/2018" TargetMode="External"/><Relationship Id="rId52" Type="http://schemas.openxmlformats.org/officeDocument/2006/relationships/hyperlink" Target="https://docs.un.org/es/CCPR/C/142/D/3626/2019" TargetMode="External"/><Relationship Id="rId60" Type="http://schemas.openxmlformats.org/officeDocument/2006/relationships/hyperlink" Target="https://docs.un.org/es/CCPR/C/143/D/3660/2019" TargetMode="External"/><Relationship Id="rId65" Type="http://schemas.openxmlformats.org/officeDocument/2006/relationships/hyperlink" Target="https://docs.un.org/es/CCPR/C/143/D/3629/2019" TargetMode="External"/><Relationship Id="rId73" Type="http://schemas.openxmlformats.org/officeDocument/2006/relationships/hyperlink" Target="https://docs.un.org/es/CCPR/C/141/D/3068/2017" TargetMode="External"/><Relationship Id="rId78" Type="http://schemas.openxmlformats.org/officeDocument/2006/relationships/hyperlink" Target="https://docs.un.org/es/CCPR/C/141/D/3923/2021" TargetMode="External"/><Relationship Id="rId81" Type="http://schemas.openxmlformats.org/officeDocument/2006/relationships/hyperlink" Target="https://docs.un.org/es/CCPR/C/142/D/2932/2017" TargetMode="External"/><Relationship Id="rId86" Type="http://schemas.openxmlformats.org/officeDocument/2006/relationships/hyperlink" Target="https://docs.un.org/es/CCPR/C/142/D/3592/2019" TargetMode="External"/><Relationship Id="rId94" Type="http://schemas.openxmlformats.org/officeDocument/2006/relationships/hyperlink" Target="https://docs.un.org/es/CCPR/C/143/D/3226/2018" TargetMode="External"/><Relationship Id="rId99" Type="http://schemas.openxmlformats.org/officeDocument/2006/relationships/header" Target="header8.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es/CCPR/C/141/D/3588/2019"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SYR/CO/4" TargetMode="External"/><Relationship Id="rId13" Type="http://schemas.openxmlformats.org/officeDocument/2006/relationships/hyperlink" Target="https://docs.un.org/es/CCPR/C/ISL/CO/5" TargetMode="External"/><Relationship Id="rId18" Type="http://schemas.openxmlformats.org/officeDocument/2006/relationships/hyperlink" Target="https://docs.un.org/es/CCPR/C/MNG/CO/7" TargetMode="External"/><Relationship Id="rId26" Type="http://schemas.openxmlformats.org/officeDocument/2006/relationships/hyperlink" Target="https://tbinternet.ohchr.org/_layouts/15/TreatyBodyExternal/SessionsList.aspx?Treaty=CCPR" TargetMode="External"/><Relationship Id="rId3" Type="http://schemas.openxmlformats.org/officeDocument/2006/relationships/hyperlink" Target="https://docs.un.org/es/CCPR/C/HRV/CO/4" TargetMode="External"/><Relationship Id="rId21" Type="http://schemas.openxmlformats.org/officeDocument/2006/relationships/hyperlink" Target="https://docs.un.org/es/CCPR/C/141/2/Add.1" TargetMode="External"/><Relationship Id="rId7" Type="http://schemas.openxmlformats.org/officeDocument/2006/relationships/hyperlink" Target="https://docs.un.org/es/CCPR/C/MLT/CO/3" TargetMode="External"/><Relationship Id="rId12" Type="http://schemas.openxmlformats.org/officeDocument/2006/relationships/hyperlink" Target="https://docs.un.org/es/CCPR/C/GRC/CO/3" TargetMode="External"/><Relationship Id="rId17" Type="http://schemas.openxmlformats.org/officeDocument/2006/relationships/hyperlink" Target="https://docs.un.org/es/CCPR/C/BFA/CO/2" TargetMode="External"/><Relationship Id="rId25" Type="http://schemas.openxmlformats.org/officeDocument/2006/relationships/hyperlink" Target="https://www.ohchr.org/es/treaty-bodies/ccpr" TargetMode="External"/><Relationship Id="rId2" Type="http://schemas.openxmlformats.org/officeDocument/2006/relationships/hyperlink" Target="https://docs.un.org/es/A/47/40(supp)" TargetMode="External"/><Relationship Id="rId16" Type="http://schemas.openxmlformats.org/officeDocument/2006/relationships/hyperlink" Target="https://docs.un.org/es/CCPR/C/ALB/CO/3" TargetMode="External"/><Relationship Id="rId20" Type="http://schemas.openxmlformats.org/officeDocument/2006/relationships/hyperlink" Target="https://docs.un.org/es/CCPR/C/ZWE/CO/2" TargetMode="External"/><Relationship Id="rId1" Type="http://schemas.openxmlformats.org/officeDocument/2006/relationships/hyperlink" Target="https://docs.un.org/es/A/60/40(vol.I)" TargetMode="External"/><Relationship Id="rId6" Type="http://schemas.openxmlformats.org/officeDocument/2006/relationships/hyperlink" Target="https://docs.un.org/es/CCPR/C/MDV/CO/2" TargetMode="External"/><Relationship Id="rId11" Type="http://schemas.openxmlformats.org/officeDocument/2006/relationships/hyperlink" Target="https://docs.un.org/es/CCPR/C/FRA/CO/6" TargetMode="External"/><Relationship Id="rId24" Type="http://schemas.openxmlformats.org/officeDocument/2006/relationships/hyperlink" Target="https://docs.un.org/es/CCPR/C/141/2/Add.4" TargetMode="External"/><Relationship Id="rId5" Type="http://schemas.openxmlformats.org/officeDocument/2006/relationships/hyperlink" Target="https://docs.un.org/es/CCPR/C/IND/CO/4" TargetMode="External"/><Relationship Id="rId15" Type="http://schemas.openxmlformats.org/officeDocument/2006/relationships/hyperlink" Target="https://docs.un.org/es/CCPR/C/TUR/CO/2" TargetMode="External"/><Relationship Id="rId23" Type="http://schemas.openxmlformats.org/officeDocument/2006/relationships/hyperlink" Target="https://docs.un.org/es/CCPR/C/141/2/Add.2" TargetMode="External"/><Relationship Id="rId28" Type="http://schemas.openxmlformats.org/officeDocument/2006/relationships/hyperlink" Target="https://docs.un.org/es/CCPR/C/94/3" TargetMode="External"/><Relationship Id="rId10" Type="http://schemas.openxmlformats.org/officeDocument/2006/relationships/hyperlink" Target="https://docs.un.org/es/CCPR/C/ECU/CO/7" TargetMode="External"/><Relationship Id="rId19" Type="http://schemas.openxmlformats.org/officeDocument/2006/relationships/hyperlink" Target="https://docs.un.org/es/CCPR/C/MNE/CO/2" TargetMode="External"/><Relationship Id="rId4" Type="http://schemas.openxmlformats.org/officeDocument/2006/relationships/hyperlink" Target="https://docs.un.org/es/CCPR/C/HND/CO/3" TargetMode="External"/><Relationship Id="rId9" Type="http://schemas.openxmlformats.org/officeDocument/2006/relationships/hyperlink" Target="https://docs.un.org/es/CCPR/C/SUR/CO/4" TargetMode="External"/><Relationship Id="rId14" Type="http://schemas.openxmlformats.org/officeDocument/2006/relationships/hyperlink" Target="https://docs.un.org/es/CCPR/C/PAK/CO/2" TargetMode="External"/><Relationship Id="rId22" Type="http://schemas.openxmlformats.org/officeDocument/2006/relationships/hyperlink" Target="https://docs.un.org/es/CCPR/C/141/2/Add.3" TargetMode="External"/><Relationship Id="rId27" Type="http://schemas.openxmlformats.org/officeDocument/2006/relationships/hyperlink" Target="https://docs.un.org/es/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2</TotalTime>
  <Pages>17</Pages>
  <Words>5699</Words>
  <Characters>32485</Characters>
  <Application>Microsoft Office Word</Application>
  <DocSecurity>0</DocSecurity>
  <Lines>270</Lines>
  <Paragraphs>76</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A/80/40</vt:lpstr>
      <vt:lpstr>A/XX/XX</vt:lpstr>
      <vt:lpstr>A/…</vt:lpstr>
    </vt:vector>
  </TitlesOfParts>
  <Manager>Corinne</Manager>
  <Company>CSD</Company>
  <LinksUpToDate>false</LinksUpToDate>
  <CharactersWithSpaces>38108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A/80/40</dc:title>
  <dc:subject/>
  <dc:creator>Marcel GONZALEZ-PEREZ</dc:creator>
  <cp:keywords/>
  <cp:lastModifiedBy>Marcel Gonzalez Perez</cp:lastModifiedBy>
  <cp:revision>3</cp:revision>
  <cp:lastPrinted>2025-08-15T06:55:00Z</cp:lastPrinted>
  <dcterms:created xsi:type="dcterms:W3CDTF">2025-08-15T06:55:00Z</dcterms:created>
  <dcterms:modified xsi:type="dcterms:W3CDTF">2025-08-15T06:57:00Z</dcterms:modified>
</cp:coreProperties>
</file>