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4AA2BB0" w14:textId="77777777" w:rsidTr="00C6457C">
        <w:trPr>
          <w:trHeight w:hRule="exact" w:val="851"/>
        </w:trPr>
        <w:tc>
          <w:tcPr>
            <w:tcW w:w="1276" w:type="dxa"/>
            <w:tcBorders>
              <w:bottom w:val="single" w:sz="4" w:space="0" w:color="auto"/>
            </w:tcBorders>
          </w:tcPr>
          <w:p w14:paraId="43DFBB30" w14:textId="77777777" w:rsidR="002D5AAC" w:rsidRPr="0056415C" w:rsidRDefault="002D5AAC" w:rsidP="00CF64F3">
            <w:pPr>
              <w:kinsoku w:val="0"/>
              <w:overflowPunct w:val="0"/>
              <w:autoSpaceDE w:val="0"/>
              <w:autoSpaceDN w:val="0"/>
              <w:adjustRightInd w:val="0"/>
              <w:snapToGrid w:val="0"/>
              <w:rPr>
                <w:rStyle w:val="SubtleEmphasis"/>
                <w:i w:val="0"/>
              </w:rPr>
            </w:pPr>
          </w:p>
        </w:tc>
        <w:tc>
          <w:tcPr>
            <w:tcW w:w="2268" w:type="dxa"/>
            <w:tcBorders>
              <w:bottom w:val="single" w:sz="4" w:space="0" w:color="auto"/>
            </w:tcBorders>
            <w:vAlign w:val="bottom"/>
          </w:tcPr>
          <w:p w14:paraId="791D07FC"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9C84FCC" w14:textId="610C3077" w:rsidR="002D5AAC" w:rsidRDefault="00CF64F3" w:rsidP="00CF64F3">
            <w:pPr>
              <w:jc w:val="right"/>
            </w:pPr>
            <w:r w:rsidRPr="00CF64F3">
              <w:rPr>
                <w:sz w:val="40"/>
              </w:rPr>
              <w:t>CRPD</w:t>
            </w:r>
            <w:r>
              <w:t>/C/SGP/RQ/1</w:t>
            </w:r>
          </w:p>
        </w:tc>
      </w:tr>
      <w:tr w:rsidR="002D5AAC" w14:paraId="285A5CD1" w14:textId="77777777" w:rsidTr="00C6457C">
        <w:trPr>
          <w:trHeight w:hRule="exact" w:val="2835"/>
        </w:trPr>
        <w:tc>
          <w:tcPr>
            <w:tcW w:w="1276" w:type="dxa"/>
            <w:tcBorders>
              <w:top w:val="single" w:sz="4" w:space="0" w:color="auto"/>
              <w:bottom w:val="single" w:sz="12" w:space="0" w:color="auto"/>
            </w:tcBorders>
          </w:tcPr>
          <w:p w14:paraId="4F5ACBF7" w14:textId="77777777" w:rsidR="002D5AAC" w:rsidRDefault="00952284" w:rsidP="00C6457C">
            <w:pPr>
              <w:spacing w:before="120"/>
              <w:jc w:val="center"/>
            </w:pPr>
            <w:r>
              <w:rPr>
                <w:noProof/>
              </w:rPr>
              <w:drawing>
                <wp:inline distT="0" distB="0" distL="0" distR="0" wp14:anchorId="0D9C183D" wp14:editId="385A8945">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4F9214"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366830AB" w14:textId="77777777" w:rsidR="002D5AAC" w:rsidRDefault="00CF64F3" w:rsidP="00C6457C">
            <w:pPr>
              <w:spacing w:before="240"/>
            </w:pPr>
            <w:proofErr w:type="spellStart"/>
            <w:r>
              <w:t>Distr</w:t>
            </w:r>
            <w:proofErr w:type="spellEnd"/>
            <w:r>
              <w:t>. general</w:t>
            </w:r>
          </w:p>
          <w:p w14:paraId="5DB76C37" w14:textId="77777777" w:rsidR="00CF64F3" w:rsidRDefault="00CF64F3" w:rsidP="00CF64F3">
            <w:pPr>
              <w:spacing w:line="240" w:lineRule="exact"/>
            </w:pPr>
            <w:r>
              <w:t>29 de abril de 2021</w:t>
            </w:r>
          </w:p>
          <w:p w14:paraId="01446DBB" w14:textId="77777777" w:rsidR="00CF64F3" w:rsidRDefault="00CF64F3" w:rsidP="00CF64F3">
            <w:pPr>
              <w:spacing w:line="240" w:lineRule="exact"/>
            </w:pPr>
            <w:r>
              <w:t>Español</w:t>
            </w:r>
          </w:p>
          <w:p w14:paraId="1B6B1B48" w14:textId="77777777" w:rsidR="00CF64F3" w:rsidRDefault="00CF64F3" w:rsidP="00CF64F3">
            <w:pPr>
              <w:spacing w:line="240" w:lineRule="exact"/>
            </w:pPr>
            <w:r>
              <w:t>Original: inglés</w:t>
            </w:r>
          </w:p>
          <w:p w14:paraId="2CA3F0D1" w14:textId="1965F3AE" w:rsidR="00CF64F3" w:rsidRDefault="00CF64F3" w:rsidP="00CF64F3">
            <w:pPr>
              <w:spacing w:line="240" w:lineRule="exact"/>
            </w:pPr>
            <w:r>
              <w:t>Español, francés e inglés únicamente</w:t>
            </w:r>
          </w:p>
        </w:tc>
      </w:tr>
    </w:tbl>
    <w:p w14:paraId="6AA29E22" w14:textId="6FC47F24" w:rsidR="00CF64F3" w:rsidRPr="00CF64F3" w:rsidRDefault="00CF64F3" w:rsidP="00CF64F3">
      <w:pPr>
        <w:spacing w:before="120" w:line="240" w:lineRule="auto"/>
        <w:rPr>
          <w:b/>
          <w:bCs/>
          <w:sz w:val="24"/>
          <w:szCs w:val="24"/>
        </w:rPr>
      </w:pPr>
      <w:r w:rsidRPr="00CF64F3">
        <w:rPr>
          <w:b/>
          <w:bCs/>
          <w:sz w:val="24"/>
          <w:szCs w:val="24"/>
        </w:rPr>
        <w:t xml:space="preserve">Comité sobre los Derechos de las Personas </w:t>
      </w:r>
      <w:r>
        <w:rPr>
          <w:b/>
          <w:bCs/>
          <w:sz w:val="24"/>
          <w:szCs w:val="24"/>
        </w:rPr>
        <w:br/>
      </w:r>
      <w:r w:rsidRPr="00CF64F3">
        <w:rPr>
          <w:b/>
          <w:bCs/>
          <w:sz w:val="24"/>
          <w:szCs w:val="24"/>
        </w:rPr>
        <w:t>con Discapacidad</w:t>
      </w:r>
    </w:p>
    <w:p w14:paraId="7B995E2E" w14:textId="77777777" w:rsidR="00CF64F3" w:rsidRPr="00CF64F3" w:rsidRDefault="00CF64F3" w:rsidP="00CF64F3">
      <w:pPr>
        <w:spacing w:line="240" w:lineRule="auto"/>
        <w:rPr>
          <w:b/>
          <w:bCs/>
        </w:rPr>
      </w:pPr>
      <w:r w:rsidRPr="00CF64F3">
        <w:rPr>
          <w:b/>
          <w:bCs/>
        </w:rPr>
        <w:t>25º período de sesiones</w:t>
      </w:r>
    </w:p>
    <w:p w14:paraId="45BF1720" w14:textId="77777777" w:rsidR="00CF64F3" w:rsidRPr="00CF64F3" w:rsidRDefault="00CF64F3" w:rsidP="00CF64F3">
      <w:pPr>
        <w:spacing w:line="240" w:lineRule="auto"/>
      </w:pPr>
      <w:r w:rsidRPr="00CF64F3">
        <w:t>16 de agosto a 10 de septiembre de 2021</w:t>
      </w:r>
    </w:p>
    <w:p w14:paraId="4EE70FC0" w14:textId="77777777" w:rsidR="00CF64F3" w:rsidRPr="00CF64F3" w:rsidRDefault="00CF64F3" w:rsidP="00CF64F3">
      <w:pPr>
        <w:spacing w:line="240" w:lineRule="auto"/>
      </w:pPr>
      <w:r w:rsidRPr="00CF64F3">
        <w:t>Tema 5 del programa provisional</w:t>
      </w:r>
    </w:p>
    <w:p w14:paraId="3ED7CF07" w14:textId="77777777" w:rsidR="00CF64F3" w:rsidRDefault="00CF64F3" w:rsidP="00CF64F3">
      <w:pPr>
        <w:spacing w:line="240" w:lineRule="auto"/>
        <w:rPr>
          <w:b/>
          <w:bCs/>
        </w:rPr>
      </w:pPr>
      <w:r w:rsidRPr="00CF64F3">
        <w:rPr>
          <w:b/>
          <w:bCs/>
        </w:rPr>
        <w:t xml:space="preserve">Examen de los informes presentados por las partes </w:t>
      </w:r>
    </w:p>
    <w:p w14:paraId="11540C86" w14:textId="604E81D6" w:rsidR="00CF64F3" w:rsidRPr="00CF64F3" w:rsidRDefault="00CF64F3" w:rsidP="00CF64F3">
      <w:pPr>
        <w:spacing w:line="240" w:lineRule="auto"/>
        <w:rPr>
          <w:b/>
          <w:bCs/>
        </w:rPr>
      </w:pPr>
      <w:r w:rsidRPr="00CF64F3">
        <w:rPr>
          <w:b/>
          <w:bCs/>
        </w:rPr>
        <w:t>en la Convención en virtud del artículo 35</w:t>
      </w:r>
    </w:p>
    <w:p w14:paraId="60712700" w14:textId="34FE9B3A" w:rsidR="00CF64F3" w:rsidRPr="00CF64F3" w:rsidRDefault="00CF64F3" w:rsidP="00CF64F3">
      <w:pPr>
        <w:pStyle w:val="HMG"/>
      </w:pPr>
      <w:r>
        <w:tab/>
      </w:r>
      <w:r w:rsidRPr="00CF64F3">
        <w:tab/>
        <w:t>Respuestas de Singapur a la lista de cuestiones relativa a su informe inicial</w:t>
      </w:r>
      <w:r w:rsidRPr="00CF64F3">
        <w:rPr>
          <w:rStyle w:val="FootnoteReference"/>
          <w:b w:val="0"/>
          <w:bCs/>
          <w:sz w:val="20"/>
          <w:vertAlign w:val="baseline"/>
        </w:rPr>
        <w:footnoteReference w:customMarkFollows="1" w:id="1"/>
        <w:t>*</w:t>
      </w:r>
    </w:p>
    <w:p w14:paraId="6FF21F49" w14:textId="77777777" w:rsidR="00CF64F3" w:rsidRPr="00CF64F3" w:rsidRDefault="00CF64F3" w:rsidP="00CF64F3">
      <w:pPr>
        <w:pStyle w:val="SingleTxtG"/>
        <w:jc w:val="right"/>
      </w:pPr>
      <w:r w:rsidRPr="00CF64F3">
        <w:t>[Fecha de recepción: 29 de septiembre de 2020]</w:t>
      </w:r>
    </w:p>
    <w:p w14:paraId="36A73020" w14:textId="77777777" w:rsidR="00CF64F3" w:rsidRPr="00CF64F3" w:rsidRDefault="00CF64F3" w:rsidP="00CF64F3">
      <w:pPr>
        <w:spacing w:line="240" w:lineRule="auto"/>
      </w:pPr>
      <w:r w:rsidRPr="00CF64F3">
        <w:br w:type="page"/>
      </w:r>
    </w:p>
    <w:p w14:paraId="46EE1829" w14:textId="0BA8ACE4" w:rsidR="00CF64F3" w:rsidRPr="00CF64F3" w:rsidRDefault="00CF64F3" w:rsidP="00F40ECB">
      <w:pPr>
        <w:pStyle w:val="HChG"/>
      </w:pPr>
      <w:r>
        <w:lastRenderedPageBreak/>
        <w:tab/>
      </w:r>
      <w:r w:rsidRPr="00CF64F3">
        <w:tab/>
        <w:t>Prefacio</w:t>
      </w:r>
    </w:p>
    <w:p w14:paraId="3721C33F" w14:textId="5D2CB97F" w:rsidR="00CF64F3" w:rsidRPr="00CF64F3" w:rsidRDefault="00CF64F3" w:rsidP="00CF64F3">
      <w:pPr>
        <w:pStyle w:val="SingleTxtG"/>
      </w:pPr>
      <w:r w:rsidRPr="00CF64F3">
        <w:t>1.</w:t>
      </w:r>
      <w:r w:rsidR="006E65F3">
        <w:tab/>
      </w:r>
      <w:r w:rsidRPr="00CF64F3">
        <w:t>Singapur se esfuerza por construir una sociedad inclusiva en la que se reconozca y empodere a las personas con discapacidad como miembros integrantes y activos de la sociedad. Ha elaborado Planes Generales sobre la Discapacidad, que son hojas de ruta quinquenales para apoyar a las personas con discapacidad. Desde 2007, Singapur ha puesto en marcha tres planes generales. Actualmente está aplicando el tercer Plan General sobre la Discapacidad (2017-2021).</w:t>
      </w:r>
    </w:p>
    <w:p w14:paraId="254C2660" w14:textId="717B7FA5" w:rsidR="00CF64F3" w:rsidRPr="00CF64F3" w:rsidRDefault="00CF64F3" w:rsidP="00CF64F3">
      <w:pPr>
        <w:pStyle w:val="SingleTxtG"/>
      </w:pPr>
      <w:r w:rsidRPr="00CF64F3">
        <w:t>2.</w:t>
      </w:r>
      <w:r w:rsidRPr="00CF64F3">
        <w:tab/>
        <w:t>Desde la presentación del informe inicial, se ha conseguido que los programas de intervención temprana sean más asequibles y se adapten mejor a las diversas necesidades de los niños y se ha reforzado la labor de determinación de las necesidades de desarrollo. El sistema educativo sigue siendo más inclusivo, con mejoras en su calidad y alcance. Se ha facilitado una transición más fluida de los estudiantes con discapacidad de la formación al empleo y se ha intensificado el apoyo a los solicitantes de empleo con discapacidad. Singapur se ha vuelto más accesible, con un transporte público prácticamente libre de obstáculos. Se han hecho progresos en la accesibilidad de la información y en el aumento de espacios inclusivos y oportunidades de interacción significativa en todas las etapas de la vida. También se ha reforzado el ecosistema de apoyo a los cuidadores y se ha logrado que la información esté disponible y sea accesible para ellos.</w:t>
      </w:r>
    </w:p>
    <w:p w14:paraId="7568E639" w14:textId="29DCCFF5" w:rsidR="00CF64F3" w:rsidRPr="00CF64F3" w:rsidRDefault="00CF64F3" w:rsidP="00CF64F3">
      <w:pPr>
        <w:pStyle w:val="SingleTxtG"/>
      </w:pPr>
      <w:r w:rsidRPr="00CF64F3">
        <w:t>3.</w:t>
      </w:r>
      <w:r w:rsidRPr="00CF64F3">
        <w:tab/>
        <w:t xml:space="preserve">Singapur sigue obteniendo buenos resultados en los estudios internacionales de análisis comparado y, con arreglo a la clasificación del Banco Mundial, en 2020 fue el país con el Índice de Capital Humano más elevado (0,88); además, la Unidad de Investigación de la revista </w:t>
      </w:r>
      <w:r w:rsidRPr="00CF64F3">
        <w:rPr>
          <w:i/>
          <w:iCs/>
        </w:rPr>
        <w:t xml:space="preserve">The Economist </w:t>
      </w:r>
      <w:r w:rsidRPr="00CF64F3">
        <w:t>ha determinado que ocupa el segundo puesto de Asia en el Índice de Internet Inclusivo. Singapur también ratificó la Convención Internacional sobre la Eliminación de Todas las Formas de Discriminación Racial el 27 de noviembre de 2017.</w:t>
      </w:r>
    </w:p>
    <w:p w14:paraId="5454FF22" w14:textId="0AABF7B8" w:rsidR="00CF64F3" w:rsidRPr="00CF64F3" w:rsidRDefault="00CF64F3" w:rsidP="00CF64F3">
      <w:pPr>
        <w:pStyle w:val="SingleTxtG"/>
      </w:pPr>
      <w:r w:rsidRPr="00CF64F3">
        <w:t>4.</w:t>
      </w:r>
      <w:r w:rsidRPr="00CF64F3">
        <w:tab/>
        <w:t>Recientemente, el mundo se ha visto afectado por la pandemia de COVID-19, y Singapur no ha sido una excepción. Se ha adoptado un enfoque centrado en la dimensión humana para velar por que todo el mundo reciba ayuda, y se ha trabajado en estrecha colaboración con los asociados comunitarios para involucrar a las diferentes comunidades de personas con discapacidad y proporcionarles el apoyo que necesiten</w:t>
      </w:r>
      <w:r w:rsidRPr="00CF64F3">
        <w:rPr>
          <w:rStyle w:val="FootnoteReference"/>
        </w:rPr>
        <w:footnoteReference w:id="2"/>
      </w:r>
      <w:r w:rsidRPr="00CF64F3">
        <w:t>.</w:t>
      </w:r>
      <w:bookmarkStart w:id="0" w:name="_Hlk51593213"/>
      <w:bookmarkEnd w:id="0"/>
    </w:p>
    <w:p w14:paraId="5BCCA0E1" w14:textId="024B0EF6" w:rsidR="00CF64F3" w:rsidRPr="00CF64F3" w:rsidRDefault="00CF64F3" w:rsidP="00CF64F3">
      <w:pPr>
        <w:pStyle w:val="H1G"/>
      </w:pPr>
      <w:r>
        <w:tab/>
      </w:r>
      <w:r w:rsidRPr="00CF64F3">
        <w:tab/>
        <w:t>Respuesta al párrafo 1 de la lista de cuestiones (CRPD/C/SGP/Q/1)</w:t>
      </w:r>
    </w:p>
    <w:p w14:paraId="5444B64C" w14:textId="05D086C8" w:rsidR="00CF64F3" w:rsidRPr="00CF64F3" w:rsidRDefault="00CF64F3" w:rsidP="00CF64F3">
      <w:pPr>
        <w:pStyle w:val="SingleTxtG"/>
      </w:pPr>
      <w:r w:rsidRPr="00CF64F3">
        <w:t>5.</w:t>
      </w:r>
      <w:r w:rsidRPr="00CF64F3">
        <w:tab/>
        <w:t xml:space="preserve">Los planes generales sobre la discapacidad definen a las </w:t>
      </w:r>
      <w:r>
        <w:t>“</w:t>
      </w:r>
      <w:r w:rsidRPr="00CF64F3">
        <w:t>personas con discapacidad</w:t>
      </w:r>
      <w:r>
        <w:t>”</w:t>
      </w:r>
      <w:r w:rsidRPr="00CF64F3">
        <w:t xml:space="preserve"> como aquellas con perspectivas sustancialmente reducidas de conseguir una plaza y conservarla y progresar en la educación y la formación, el empleo y el ocio, debido a deficiencias físicas, intelectuales y sensoriales, así como a necesidades de desarrollo, incluido el trastorno del espectro autista. Esta definición fue aprobada en 2004 por el Consejo Directivo del primer Plan General sobre la Discapacidad, integrado por representantes del ámbito de la discapacidad y de los sectores público y privado. Los planes y servicios de discapacidad de Singapur se rigen por esa definición.</w:t>
      </w:r>
    </w:p>
    <w:p w14:paraId="6B12644A" w14:textId="77777777" w:rsidR="00CF64F3" w:rsidRPr="00CF64F3" w:rsidRDefault="00CF64F3" w:rsidP="00CF64F3">
      <w:pPr>
        <w:pStyle w:val="SingleTxtG"/>
      </w:pPr>
      <w:r w:rsidRPr="00CF64F3">
        <w:t>6.</w:t>
      </w:r>
      <w:r w:rsidRPr="00CF64F3">
        <w:tab/>
        <w:t xml:space="preserve">Para determinar el cumplimiento de los requisitos exigidos, se recurre tanto a exámenes médicos como a valoraciones de las limitaciones </w:t>
      </w:r>
      <w:proofErr w:type="spellStart"/>
      <w:r w:rsidRPr="00CF64F3">
        <w:t>sociofuncionales</w:t>
      </w:r>
      <w:proofErr w:type="spellEnd"/>
      <w:r w:rsidRPr="00CF64F3">
        <w:t xml:space="preserve"> a las que se enfrentan las personas con discapacidad. El Consejo Directivo del Plan General sobre la Discapacidad de 2004 señaló que el diagnóstico médico garantizaba una determinación rigurosa de lo que constituía una discapacidad, mientras que la valoración </w:t>
      </w:r>
      <w:proofErr w:type="spellStart"/>
      <w:r w:rsidRPr="00CF64F3">
        <w:t>sociofuncional</w:t>
      </w:r>
      <w:proofErr w:type="spellEnd"/>
      <w:r w:rsidRPr="00CF64F3">
        <w:t xml:space="preserve"> permitía tener en cuenta los obstáculos económicos, ambientales y culturales. La certificación médica de la necesidad y su grado también aseguran que la ayuda se canalice hacia los más necesitados.</w:t>
      </w:r>
    </w:p>
    <w:p w14:paraId="3B9E4D30" w14:textId="2BCF5B68" w:rsidR="00CF64F3" w:rsidRPr="00CF64F3" w:rsidRDefault="00CF64F3" w:rsidP="00CF64F3">
      <w:pPr>
        <w:pStyle w:val="H23G"/>
      </w:pPr>
      <w:r>
        <w:tab/>
      </w:r>
      <w:r w:rsidRPr="00CF64F3">
        <w:tab/>
        <w:t>Apoyo a las personas con problemas de salud mental</w:t>
      </w:r>
    </w:p>
    <w:p w14:paraId="43041044" w14:textId="77777777" w:rsidR="00CF64F3" w:rsidRPr="00CF64F3" w:rsidRDefault="00CF64F3" w:rsidP="00CF64F3">
      <w:pPr>
        <w:pStyle w:val="SingleTxtG"/>
      </w:pPr>
      <w:r w:rsidRPr="00CF64F3">
        <w:t>7.</w:t>
      </w:r>
      <w:r w:rsidRPr="00CF64F3">
        <w:tab/>
        <w:t xml:space="preserve">Las personas con problemas de salud mental no quedan excluidas de la asistencia del Estado. El apoyo a estas personas se centra en su recuperación y reintegración en la sociedad, </w:t>
      </w:r>
      <w:r w:rsidRPr="00CF64F3">
        <w:lastRenderedPageBreak/>
        <w:t>como se indica en el Plan Nacional de Salud Mental y en el Plan Maestro de Salud Mental Comunitaria</w:t>
      </w:r>
      <w:r w:rsidRPr="00CF64F3">
        <w:rPr>
          <w:rStyle w:val="FootnoteReference"/>
        </w:rPr>
        <w:footnoteReference w:id="3"/>
      </w:r>
      <w:r w:rsidRPr="00CF64F3">
        <w:t>.</w:t>
      </w:r>
    </w:p>
    <w:p w14:paraId="0DF0D4C7" w14:textId="452FCA22" w:rsidR="00CF64F3" w:rsidRPr="00CF64F3" w:rsidRDefault="00CF64F3" w:rsidP="00CF64F3">
      <w:pPr>
        <w:pStyle w:val="H23G"/>
      </w:pPr>
      <w:r>
        <w:tab/>
      </w:r>
      <w:r w:rsidRPr="00CF64F3">
        <w:tab/>
        <w:t>Terminología</w:t>
      </w:r>
    </w:p>
    <w:p w14:paraId="6B1F8220" w14:textId="3D933CE8" w:rsidR="00CF64F3" w:rsidRPr="00CF64F3" w:rsidRDefault="00CF64F3" w:rsidP="00CF64F3">
      <w:pPr>
        <w:pStyle w:val="SingleTxtG"/>
      </w:pPr>
      <w:bookmarkStart w:id="2" w:name="OLE_LINK7"/>
      <w:bookmarkStart w:id="3" w:name="_Hlk52177426"/>
      <w:bookmarkStart w:id="4" w:name="_Hlk51363081"/>
      <w:r w:rsidRPr="00CF64F3">
        <w:t>8.</w:t>
      </w:r>
      <w:r w:rsidRPr="00CF64F3">
        <w:tab/>
        <w:t xml:space="preserve">Singapur ha adoptado medidas con miras a revisar la terminología utilizada en la legislación, ya que el lenguaje cumple una función importante en el fomento de la inclusión. En el ámbito del derecho penal, el término </w:t>
      </w:r>
      <w:r>
        <w:t>“</w:t>
      </w:r>
      <w:r w:rsidRPr="00CF64F3">
        <w:t>demencia</w:t>
      </w:r>
      <w:r>
        <w:t>”</w:t>
      </w:r>
      <w:r w:rsidRPr="00CF64F3">
        <w:t xml:space="preserve"> ha adquirido un significado jurídico específico que los tribunales de Singapur vienen utilizando desde hace décadas, resulta fácilmente comprensible y no ha planteado ninguna dificultad en la práctica. Por ello, en 2018 el Comité de Revisión del Código Penal recomendó mantener este término en el Código Penal. También se realizaron consultas sobre las recomendaciones del Comité a las organizaciones de personas con discapacidad, que no pusieron ninguna objeción al uso de este término.</w:t>
      </w:r>
      <w:bookmarkStart w:id="5" w:name="OLE_LINK1"/>
      <w:bookmarkEnd w:id="2"/>
      <w:bookmarkEnd w:id="3"/>
      <w:bookmarkEnd w:id="5"/>
    </w:p>
    <w:p w14:paraId="32CFE96E" w14:textId="390650BD" w:rsidR="00CF64F3" w:rsidRPr="00CF64F3" w:rsidRDefault="00CF64F3" w:rsidP="00CF64F3">
      <w:pPr>
        <w:pStyle w:val="SingleTxtG"/>
      </w:pPr>
      <w:bookmarkStart w:id="6" w:name="_Hlk51361742"/>
      <w:r w:rsidRPr="00CF64F3">
        <w:t>9.</w:t>
      </w:r>
      <w:r w:rsidRPr="00CF64F3">
        <w:tab/>
        <w:t xml:space="preserve">Singapur ha revisado el uso de la frase </w:t>
      </w:r>
      <w:r>
        <w:t>“</w:t>
      </w:r>
      <w:r w:rsidRPr="00CF64F3">
        <w:t>menor o persona lunática, idiota o demente</w:t>
      </w:r>
      <w:r>
        <w:t>”</w:t>
      </w:r>
      <w:r w:rsidRPr="00CF64F3">
        <w:t xml:space="preserve"> en la Ley del Impuesto sobre la Renta y tiene intención de eliminarla antes de que acabe 2020. También se ha asegurado de que la nueva legislación, incluido el Reglamento sobre la COVID-19 (Medidas Temporales) (Orden de Control), promulgado en abril de 2020 en virtud de la Ley sobre la COVID-19 (Medidas Temporales)</w:t>
      </w:r>
      <w:r w:rsidRPr="00CF64F3">
        <w:rPr>
          <w:rStyle w:val="FootnoteReference"/>
        </w:rPr>
        <w:footnoteReference w:id="4"/>
      </w:r>
      <w:r w:rsidRPr="00CF64F3">
        <w:t>, no contenga terminología peyorativa.</w:t>
      </w:r>
      <w:bookmarkEnd w:id="6"/>
    </w:p>
    <w:p w14:paraId="6D3AF8B3" w14:textId="42543289" w:rsidR="00CF64F3" w:rsidRPr="00CF64F3" w:rsidRDefault="00CF64F3" w:rsidP="00CF64F3">
      <w:pPr>
        <w:pStyle w:val="SingleTxtG"/>
      </w:pPr>
      <w:r w:rsidRPr="00CF64F3">
        <w:t>10.</w:t>
      </w:r>
      <w:r w:rsidRPr="00CF64F3">
        <w:tab/>
        <w:t>Se seguirá revisando la legislación de Singapur y actualizando la terminología para que sea inclusiva en lo relativo a la discapacidad, en consulta con las partes interesadas.</w:t>
      </w:r>
    </w:p>
    <w:bookmarkEnd w:id="4"/>
    <w:p w14:paraId="0A63DFC5" w14:textId="33237D60" w:rsidR="00CF64F3" w:rsidRPr="00CF64F3" w:rsidRDefault="00CF64F3" w:rsidP="00CF64F3">
      <w:pPr>
        <w:pStyle w:val="H23G"/>
      </w:pPr>
      <w:r>
        <w:tab/>
      </w:r>
      <w:r w:rsidRPr="00CF64F3">
        <w:tab/>
        <w:t>Personas afectadas por la lepra</w:t>
      </w:r>
    </w:p>
    <w:p w14:paraId="348C3C0B" w14:textId="738D89EA" w:rsidR="00CF64F3" w:rsidRPr="00CF64F3" w:rsidRDefault="00CF64F3" w:rsidP="00CF64F3">
      <w:pPr>
        <w:pStyle w:val="SingleTxtG"/>
      </w:pPr>
      <w:bookmarkStart w:id="7" w:name="_Hlk51933514"/>
      <w:r w:rsidRPr="00CF64F3">
        <w:t>11.</w:t>
      </w:r>
      <w:r w:rsidRPr="00CF64F3">
        <w:tab/>
        <w:t>El número de casos de lepra en Singapur es muy bajo</w:t>
      </w:r>
      <w:r w:rsidRPr="00CF64F3">
        <w:rPr>
          <w:rStyle w:val="FootnoteReference"/>
        </w:rPr>
        <w:footnoteReference w:id="5"/>
      </w:r>
      <w:r w:rsidRPr="00CF64F3">
        <w:t>. La legislación existente en que se hace referencia a la lepra, incluida la Ley de Ferrocarriles, vela por que se trate a las personas con lepra de acuerdo con los principios de salud pública y no se las discrimine. La Ley de Enfermedades Infecciosas regula la prevención y vigilancia de esas enfermedades, incluida la lepra, así como la respuesta ante ellas. Esta Ley no exige que se aísle a las personas diagnosticadas de lepra. Por lo general, reciben tratamiento ambulatorio en el Centro Dermatológico Nacional, siguiendo las directrices de la Organización Mundial de la Salud</w:t>
      </w:r>
      <w:r w:rsidRPr="00CF64F3">
        <w:rPr>
          <w:rStyle w:val="FootnoteReference"/>
        </w:rPr>
        <w:footnoteReference w:id="6"/>
      </w:r>
      <w:r w:rsidRPr="00CF64F3">
        <w:t>. La Ley de Prisiones y el Reglamento de Seguridad Interna sobre Personas Detenidas se basan asimismo en la Ley de Enfermedades Infecciosas y permiten que las personas con lepra sean trasladadas del lugar en que se encuentren recluidas a cualquier hospital o lugar designado por el Director de los Servicios Médicos, a fin de que reciban tratamiento médico.</w:t>
      </w:r>
    </w:p>
    <w:bookmarkEnd w:id="7"/>
    <w:p w14:paraId="02E843AC" w14:textId="09E14F33" w:rsidR="00CF64F3" w:rsidRPr="00CF64F3" w:rsidRDefault="00CF64F3" w:rsidP="00CF64F3">
      <w:pPr>
        <w:pStyle w:val="H1G"/>
      </w:pPr>
      <w:r>
        <w:tab/>
      </w:r>
      <w:r w:rsidRPr="00CF64F3">
        <w:tab/>
        <w:t>Respuesta al párrafo 2 de la lista de cuestiones</w:t>
      </w:r>
    </w:p>
    <w:p w14:paraId="2378D083" w14:textId="23A814D2" w:rsidR="00CF64F3" w:rsidRPr="00CF64F3" w:rsidRDefault="00CF64F3" w:rsidP="00CF64F3">
      <w:pPr>
        <w:pStyle w:val="H23G"/>
      </w:pPr>
      <w:r>
        <w:tab/>
      </w:r>
      <w:r w:rsidRPr="00CF64F3">
        <w:tab/>
        <w:t>Consultas</w:t>
      </w:r>
    </w:p>
    <w:p w14:paraId="6CE3FFD1" w14:textId="444F9041" w:rsidR="00CF64F3" w:rsidRPr="00CF64F3" w:rsidRDefault="00CF64F3" w:rsidP="00CF64F3">
      <w:pPr>
        <w:pStyle w:val="SingleTxtG"/>
      </w:pPr>
      <w:r w:rsidRPr="00CF64F3">
        <w:t>12.</w:t>
      </w:r>
      <w:r w:rsidRPr="00CF64F3">
        <w:tab/>
        <w:t>Singapur está decidido a involucrar a su población, incluidas las personas con discapacidad, en el espíritu del movimiento Singapur en Unión</w:t>
      </w:r>
      <w:r w:rsidRPr="00CF64F3">
        <w:rPr>
          <w:rStyle w:val="FootnoteReference"/>
        </w:rPr>
        <w:footnoteReference w:id="7"/>
      </w:r>
      <w:r w:rsidRPr="00CF64F3">
        <w:t xml:space="preserve">, con miras a diseñar y aplicar </w:t>
      </w:r>
      <w:r w:rsidRPr="00CF64F3">
        <w:lastRenderedPageBreak/>
        <w:t>políticas. Se llevan a cabo ejercicios de consulta pública antes de poner en marcha políticas importantes. Los organismos públicos utilizan diversos métodos de consulta, como los jurados populares, los grupos de trabajo de ciudadanos y los grupos de trabajo intersectoriales</w:t>
      </w:r>
      <w:r w:rsidRPr="00CF64F3">
        <w:rPr>
          <w:rStyle w:val="FootnoteReference"/>
        </w:rPr>
        <w:footnoteReference w:id="8"/>
      </w:r>
      <w:r w:rsidRPr="00CF64F3">
        <w:t>. Los ciudadanos también expresan su opinión a través del portal de comentarios en línea del Gobierno, REACH, que es accesible para las personas con discapacidad.</w:t>
      </w:r>
    </w:p>
    <w:p w14:paraId="01D9D7AF" w14:textId="3B5DD578" w:rsidR="00CF64F3" w:rsidRPr="00CF64F3" w:rsidRDefault="00CF64F3" w:rsidP="00CF64F3">
      <w:pPr>
        <w:pStyle w:val="SingleTxtG"/>
      </w:pPr>
      <w:r w:rsidRPr="00CF64F3">
        <w:t>13.</w:t>
      </w:r>
      <w:r w:rsidRPr="00CF64F3">
        <w:tab/>
        <w:t>Los planes generales sobre la discapacidad son fruto asimismo de un esfuerzo colectivo de los organismos gubernamentales, el sector privado y la ciudadanía, incluidas las personas con discapacidad, las organizaciones que las representan y los organismos de servicios sociales. Las recomendaciones de estos planes se redactaron siguiendo un criterio de actuación desde la base y para ello se llevaron a cabo sesiones de colaboración. Periódicamente, se comparte información sobre los progresos de los Planes Generales sobre la Discapacidad</w:t>
      </w:r>
      <w:r w:rsidRPr="00CF64F3">
        <w:rPr>
          <w:rStyle w:val="FootnoteReference"/>
        </w:rPr>
        <w:footnoteReference w:id="9"/>
      </w:r>
      <w:r w:rsidRPr="00CF64F3">
        <w:t>, y las personas con discapacidad pueden aportar sus opiniones.</w:t>
      </w:r>
    </w:p>
    <w:p w14:paraId="1D3417A3" w14:textId="19D33DDA" w:rsidR="00CF64F3" w:rsidRPr="00CF64F3" w:rsidRDefault="00CF64F3" w:rsidP="00CF64F3">
      <w:pPr>
        <w:pStyle w:val="SingleTxtG"/>
      </w:pPr>
      <w:r w:rsidRPr="00CF64F3">
        <w:t>14.</w:t>
      </w:r>
      <w:r w:rsidRPr="00CF64F3">
        <w:tab/>
        <w:t>Como parte de los esfuerzos que constantemente se están realizando en el marco del tercer Plan General sobre la Discapacidad, el Ministerio para el Desarrollo Social y Familiar ha creado tres grupos de trabajo intersectoriales temáticos</w:t>
      </w:r>
      <w:r w:rsidRPr="00CF64F3">
        <w:rPr>
          <w:rStyle w:val="FootnoteReference"/>
        </w:rPr>
        <w:footnoteReference w:id="10"/>
      </w:r>
      <w:r w:rsidRPr="00CF64F3">
        <w:t>, en los que participan representantes de organizaciones de personas con discapacidad, organismos públicos y asociados del sector privado. En el marco de esos grupos de trabajo, el Ministerio está organizando sesiones de colaboración con las partes interesadas para concebir, diseñar y potencialmente aplicar soluciones, todo ello mediante una labor conjunta. En la primera fase de sesiones, que se celebró de septiembre a diciembre de 2019, participaron 210 partes interesadas, entre ellas personas con diferentes tipos de discapacidad</w:t>
      </w:r>
      <w:r w:rsidRPr="00CF64F3">
        <w:rPr>
          <w:rStyle w:val="FootnoteReference"/>
        </w:rPr>
        <w:footnoteReference w:id="11"/>
      </w:r>
      <w:r w:rsidRPr="00CF64F3">
        <w:t>. Se realizaron ajustes para satisfacer las necesidades de accesibilidad de los participantes</w:t>
      </w:r>
      <w:r w:rsidRPr="00CF64F3">
        <w:rPr>
          <w:rStyle w:val="FootnoteReference"/>
        </w:rPr>
        <w:footnoteReference w:id="12"/>
      </w:r>
      <w:r w:rsidRPr="00CF64F3">
        <w:t>. Se continuará con este enfoque colaborativo. Además, se han recogido comentarios de las sesiones a fin de elaborar una guía para organismos públicos sobre la participación pública inclusiva</w:t>
      </w:r>
      <w:r w:rsidRPr="00CF64F3">
        <w:rPr>
          <w:rStyle w:val="FootnoteReference"/>
        </w:rPr>
        <w:footnoteReference w:id="13"/>
      </w:r>
      <w:r w:rsidRPr="00CF64F3">
        <w:t>.</w:t>
      </w:r>
    </w:p>
    <w:p w14:paraId="727B917F" w14:textId="78E63033" w:rsidR="00CF64F3" w:rsidRPr="00CF64F3" w:rsidRDefault="00CF64F3" w:rsidP="00CF64F3">
      <w:pPr>
        <w:pStyle w:val="H23G"/>
      </w:pPr>
      <w:r>
        <w:lastRenderedPageBreak/>
        <w:tab/>
      </w:r>
      <w:r w:rsidRPr="00CF64F3">
        <w:tab/>
        <w:t>Formación de profesionales y personal</w:t>
      </w:r>
    </w:p>
    <w:p w14:paraId="09899858" w14:textId="2EEC151A" w:rsidR="00CF64F3" w:rsidRPr="00CF64F3" w:rsidRDefault="00CF64F3" w:rsidP="00CF64F3">
      <w:pPr>
        <w:pStyle w:val="SingleTxtG"/>
      </w:pPr>
      <w:bookmarkStart w:id="8" w:name="OLE_LINK6"/>
      <w:r w:rsidRPr="00CF64F3">
        <w:t>15.</w:t>
      </w:r>
      <w:r w:rsidRPr="00CF64F3">
        <w:tab/>
        <w:t xml:space="preserve">SG </w:t>
      </w:r>
      <w:proofErr w:type="spellStart"/>
      <w:r w:rsidRPr="00CF64F3">
        <w:t>Enable</w:t>
      </w:r>
      <w:proofErr w:type="spellEnd"/>
      <w:r w:rsidRPr="00CF64F3">
        <w:t>, un organismo que empodera a las personas con discapacidad, organiza un Taller sobre Inclusión del Consumidor en el que se forma a los funcionarios que trabajan en primera línea de la administración pública para atender a las personas con discapacidad</w:t>
      </w:r>
      <w:r w:rsidRPr="00CF64F3">
        <w:rPr>
          <w:rStyle w:val="FootnoteReference"/>
        </w:rPr>
        <w:footnoteReference w:id="14"/>
      </w:r>
      <w:r w:rsidRPr="00CF64F3">
        <w:t>. También existe una versión de este taller dirigida a empleadores del sector privado. Desde 2018, el Organismo de Atención Integrada imparte formación sobre concienciación en el ámbito de la salud mental para los funcionarios que trabajan en primera línea, como, por ejemplo, en la policía y en los puestos de control de inmigración</w:t>
      </w:r>
      <w:r w:rsidRPr="00CF64F3">
        <w:rPr>
          <w:rStyle w:val="FootnoteReference"/>
        </w:rPr>
        <w:footnoteReference w:id="15"/>
      </w:r>
      <w:r w:rsidRPr="00CF64F3">
        <w:t>.</w:t>
      </w:r>
      <w:bookmarkEnd w:id="8"/>
    </w:p>
    <w:p w14:paraId="7EA62E53" w14:textId="31F25D97" w:rsidR="00CF64F3" w:rsidRPr="00CF64F3" w:rsidRDefault="00CF64F3" w:rsidP="00CF64F3">
      <w:pPr>
        <w:pStyle w:val="H23G"/>
      </w:pPr>
      <w:r>
        <w:tab/>
      </w:r>
      <w:r w:rsidRPr="00CF64F3">
        <w:tab/>
        <w:t>Aplicación de la Estrategia de Incheon</w:t>
      </w:r>
    </w:p>
    <w:p w14:paraId="484C157F" w14:textId="3745361D" w:rsidR="00CF64F3" w:rsidRPr="00CF64F3" w:rsidRDefault="00CF64F3" w:rsidP="00CF64F3">
      <w:pPr>
        <w:pStyle w:val="SingleTxtG"/>
      </w:pPr>
      <w:r w:rsidRPr="00CF64F3">
        <w:t>16.</w:t>
      </w:r>
      <w:r w:rsidRPr="00CF64F3">
        <w:tab/>
        <w:t>Los esfuerzos de Singapur por construir una sociedad inclusiva y empoderar a las personas con discapacidad están en consonancia con la Estrategia de Incheon. El Ministerio para el Desarrollo Social y Familiar publica anualmente estadísticas relevantes a través del resumen de estadísticas sociales</w:t>
      </w:r>
      <w:r w:rsidRPr="00CF64F3">
        <w:rPr>
          <w:rStyle w:val="FootnoteReference"/>
        </w:rPr>
        <w:footnoteReference w:id="16"/>
      </w:r>
      <w:r w:rsidRPr="00CF64F3">
        <w:t>, en consonancia con los objetivos 8.A y 8.B</w:t>
      </w:r>
      <w:r w:rsidRPr="00CF64F3">
        <w:rPr>
          <w:rStyle w:val="FootnoteReference"/>
        </w:rPr>
        <w:footnoteReference w:id="17"/>
      </w:r>
      <w:r w:rsidRPr="00CF64F3">
        <w:t>. Por ejemplo:</w:t>
      </w:r>
      <w:bookmarkStart w:id="10" w:name="_Hlk48745530"/>
      <w:bookmarkEnd w:id="10"/>
    </w:p>
    <w:p w14:paraId="29E17FFB" w14:textId="55004193" w:rsidR="00CF64F3" w:rsidRPr="00CF64F3" w:rsidRDefault="00CF64F3" w:rsidP="00CF64F3">
      <w:pPr>
        <w:pStyle w:val="Bullet1G"/>
      </w:pPr>
      <w:r w:rsidRPr="00CF64F3">
        <w:tab/>
        <w:t>Meta 1.B</w:t>
      </w:r>
      <w:r w:rsidRPr="00CF64F3">
        <w:rPr>
          <w:rStyle w:val="FootnoteReference"/>
        </w:rPr>
        <w:footnoteReference w:id="18"/>
      </w:r>
      <w:r w:rsidRPr="00CF64F3">
        <w:t>: entre 2015 y 2018 se proporcionó empleo a un promedio de cerca de 580 personas con discapacidad</w:t>
      </w:r>
      <w:r>
        <w:t>.</w:t>
      </w:r>
    </w:p>
    <w:p w14:paraId="4AF787AA" w14:textId="25C49211" w:rsidR="00CF64F3" w:rsidRPr="00CF64F3" w:rsidRDefault="00CF64F3" w:rsidP="00CF64F3">
      <w:pPr>
        <w:pStyle w:val="Bullet1G"/>
      </w:pPr>
      <w:r w:rsidRPr="00CF64F3">
        <w:tab/>
        <w:t>Meta 1.C</w:t>
      </w:r>
      <w:r w:rsidRPr="00CF64F3">
        <w:rPr>
          <w:rStyle w:val="FootnoteReference"/>
        </w:rPr>
        <w:footnoteReference w:id="19"/>
      </w:r>
      <w:r w:rsidRPr="00CF64F3">
        <w:t>: entre 2015 y 2018 se formó a un promedio de 680 personas con discapacidad</w:t>
      </w:r>
      <w:r>
        <w:t>.</w:t>
      </w:r>
    </w:p>
    <w:p w14:paraId="151C698A" w14:textId="1ADFF453" w:rsidR="00CF64F3" w:rsidRPr="00CF64F3" w:rsidRDefault="00CF64F3" w:rsidP="00CF64F3">
      <w:pPr>
        <w:pStyle w:val="Bullet1G"/>
      </w:pPr>
      <w:r w:rsidRPr="00CF64F3">
        <w:tab/>
        <w:t>Meta 3.C</w:t>
      </w:r>
      <w:r w:rsidRPr="00CF64F3">
        <w:rPr>
          <w:rStyle w:val="FootnoteReference"/>
        </w:rPr>
        <w:footnoteReference w:id="20"/>
      </w:r>
      <w:r w:rsidRPr="00CF64F3">
        <w:t>: véase la respuesta al párrafo 21 de la lista de cuestiones</w:t>
      </w:r>
      <w:r>
        <w:t>.</w:t>
      </w:r>
    </w:p>
    <w:p w14:paraId="7E09925E" w14:textId="7C4B8746" w:rsidR="00CF64F3" w:rsidRPr="00CF64F3" w:rsidRDefault="00CF64F3" w:rsidP="00CF64F3">
      <w:pPr>
        <w:pStyle w:val="Bullet1G"/>
      </w:pPr>
      <w:r w:rsidRPr="00CF64F3">
        <w:tab/>
        <w:t>Meta 3.D</w:t>
      </w:r>
      <w:r w:rsidRPr="00CF64F3">
        <w:rPr>
          <w:rStyle w:val="FootnoteReference"/>
        </w:rPr>
        <w:footnoteReference w:id="21"/>
      </w:r>
      <w:r w:rsidRPr="00CF64F3">
        <w:t>: el número de personas con discapacidad que recibe apoyo del Fondo de Tecnologías de Apoyo se duplicó con creces, pasando de 790 a 2.037 entre 2015 y</w:t>
      </w:r>
      <w:r>
        <w:t> </w:t>
      </w:r>
      <w:r w:rsidRPr="00CF64F3">
        <w:t>2018</w:t>
      </w:r>
      <w:bookmarkStart w:id="13" w:name="_Hlk47697837"/>
      <w:r>
        <w:t>.</w:t>
      </w:r>
    </w:p>
    <w:p w14:paraId="50412C0A" w14:textId="2C7EB21B" w:rsidR="00CF64F3" w:rsidRPr="00CF64F3" w:rsidRDefault="00CF64F3" w:rsidP="00CF64F3">
      <w:pPr>
        <w:pStyle w:val="Bullet1G"/>
      </w:pPr>
      <w:r w:rsidRPr="00CF64F3">
        <w:tab/>
        <w:t>Meta 5.A</w:t>
      </w:r>
      <w:r w:rsidRPr="00CF64F3">
        <w:rPr>
          <w:rStyle w:val="FootnoteReference"/>
        </w:rPr>
        <w:footnoteReference w:id="22"/>
      </w:r>
      <w:r w:rsidRPr="00CF64F3">
        <w:t>: el número de niños que reciben apoyo del Programa de Intervención Temprana para Lactantes y Niños aumentó de 2.600 a 3.200 entre 2015 y 2018</w:t>
      </w:r>
      <w:r>
        <w:t>.</w:t>
      </w:r>
    </w:p>
    <w:p w14:paraId="6F435A44" w14:textId="7AE1FE3E" w:rsidR="00CF64F3" w:rsidRPr="00CF64F3" w:rsidRDefault="00CF64F3" w:rsidP="00CF64F3">
      <w:pPr>
        <w:pStyle w:val="Bullet1G"/>
      </w:pPr>
      <w:r w:rsidRPr="00CF64F3">
        <w:t>Meta 5.B</w:t>
      </w:r>
      <w:r w:rsidRPr="00CF64F3">
        <w:rPr>
          <w:rStyle w:val="FootnoteReference"/>
        </w:rPr>
        <w:footnoteReference w:id="23"/>
      </w:r>
      <w:r w:rsidRPr="00CF64F3">
        <w:t>: se estima que en 2016 el 0,1 % de cada grupo de alumnos de un mismo curso no recibió educación formal por tener necesidades educativas especiales de moderadas a graves</w:t>
      </w:r>
      <w:r w:rsidRPr="00CF64F3">
        <w:rPr>
          <w:rStyle w:val="FootnoteReference"/>
        </w:rPr>
        <w:footnoteReference w:id="24"/>
      </w:r>
      <w:r w:rsidRPr="00CF64F3">
        <w:t xml:space="preserve">. En 2019, tras la ampliación de la Ley de Enseñanza Obligatoria a los alumnos con necesidades educativas especiales de moderadas a graves, solo se </w:t>
      </w:r>
      <w:r w:rsidRPr="00CF64F3">
        <w:lastRenderedPageBreak/>
        <w:t>concedieron exenciones debido a necesidades educativas especiales complejas o graves a alrededor del 0,05 % del grupo de alumnos nacidos en 2012.</w:t>
      </w:r>
    </w:p>
    <w:bookmarkEnd w:id="13"/>
    <w:p w14:paraId="05EACC5B" w14:textId="16FD63B4" w:rsidR="00CF64F3" w:rsidRPr="00CF64F3" w:rsidRDefault="00CF64F3" w:rsidP="00CF64F3">
      <w:pPr>
        <w:pStyle w:val="H1G"/>
      </w:pPr>
      <w:r>
        <w:tab/>
      </w:r>
      <w:r w:rsidRPr="00CF64F3">
        <w:tab/>
        <w:t>Respuesta al párrafo 3 de la lista de cuestiones</w:t>
      </w:r>
    </w:p>
    <w:p w14:paraId="1BAE7708" w14:textId="11E6A4FE" w:rsidR="00CF64F3" w:rsidRPr="00CF64F3" w:rsidRDefault="00CF64F3" w:rsidP="00CF64F3">
      <w:pPr>
        <w:pStyle w:val="SingleTxtG"/>
      </w:pPr>
      <w:bookmarkStart w:id="14" w:name="_Hlk51592022"/>
      <w:r w:rsidRPr="00CF64F3">
        <w:t>17.</w:t>
      </w:r>
      <w:r w:rsidRPr="00CF64F3">
        <w:tab/>
        <w:t>Con respecto al artículo 25 e), Singapur respalda el principio de trato no discriminatorio hacia las personas con discapacidad y se propone incorporarlo en las directrices que deben cumplir las aseguradoras privadas antes de marzo de 2021. Singapur consultará a las partes interesadas sobre estas directrices. Cuando concluya su elaboración, Singapur tiene la intención de retirar la reserva al artículo 25 e).</w:t>
      </w:r>
      <w:bookmarkEnd w:id="14"/>
    </w:p>
    <w:p w14:paraId="0F193BAF" w14:textId="58546B61" w:rsidR="00CF64F3" w:rsidRPr="00CF64F3" w:rsidRDefault="00CF64F3" w:rsidP="00CF64F3">
      <w:pPr>
        <w:pStyle w:val="SingleTxtG"/>
      </w:pPr>
      <w:r w:rsidRPr="00CF64F3">
        <w:t>18.</w:t>
      </w:r>
      <w:r w:rsidRPr="00CF64F3">
        <w:tab/>
        <w:t xml:space="preserve">Aunque Singapur mantiene su reserva al artículo 29 a) </w:t>
      </w:r>
      <w:proofErr w:type="spellStart"/>
      <w:r w:rsidRPr="00CF64F3">
        <w:t>iii</w:t>
      </w:r>
      <w:proofErr w:type="spellEnd"/>
      <w:r w:rsidRPr="00CF64F3">
        <w:t>)</w:t>
      </w:r>
      <w:r w:rsidRPr="00CF64F3">
        <w:rPr>
          <w:rStyle w:val="FootnoteReference"/>
        </w:rPr>
        <w:footnoteReference w:id="25"/>
      </w:r>
      <w:r w:rsidRPr="00CF64F3">
        <w:t>, se está revisando cómo se puede mejorar el apoyo a los votantes con discapacidad en las elecciones</w:t>
      </w:r>
      <w:r w:rsidRPr="00CF64F3">
        <w:rPr>
          <w:rStyle w:val="FootnoteReference"/>
        </w:rPr>
        <w:footnoteReference w:id="26"/>
      </w:r>
      <w:r w:rsidRPr="00CF64F3">
        <w:t>.</w:t>
      </w:r>
    </w:p>
    <w:p w14:paraId="561370E1" w14:textId="39A8508A" w:rsidR="00CF64F3" w:rsidRPr="00CF64F3" w:rsidRDefault="00CF64F3" w:rsidP="00CF64F3">
      <w:pPr>
        <w:pStyle w:val="SingleTxtG"/>
      </w:pPr>
      <w:bookmarkStart w:id="15" w:name="_Hlk73610106"/>
      <w:r w:rsidRPr="00CF64F3">
        <w:t>19.</w:t>
      </w:r>
      <w:r w:rsidRPr="00CF64F3">
        <w:tab/>
        <w:t>Singapur mantendrá su reserva al artículo 12, párrafo 4</w:t>
      </w:r>
      <w:r w:rsidRPr="00CF64F3">
        <w:rPr>
          <w:rStyle w:val="FootnoteReference"/>
        </w:rPr>
        <w:footnoteReference w:id="27"/>
      </w:r>
      <w:r w:rsidRPr="00CF64F3">
        <w:t xml:space="preserve">. El marco legislativo actual del país es coherente con el espíritu de la Convención y con nuestro contexto nacional. La designación de tutores, en el marco de la concesión de un poder preventivo en caso de incapacidad, a fin de que tomen decisiones sobre el bienestar y los asuntos del tutelado, se basa en el vínculo social entre este y el tutor o los tutores de su elección. Se ha considerado que los exámenes periódicos de las decisiones tomadas en el marco de estos poderes pueden socavar la presunción de confianza y buena voluntad que subyace en esta relación. En cambio, se ha velado </w:t>
      </w:r>
      <w:proofErr w:type="spellStart"/>
      <w:r w:rsidRPr="00CF64F3">
        <w:t>por que</w:t>
      </w:r>
      <w:proofErr w:type="spellEnd"/>
      <w:r w:rsidRPr="00CF64F3">
        <w:t xml:space="preserve"> la Ley de Capacidad Mental contenga salvaguardias efectivas para proteger a las personas vulnerables, </w:t>
      </w:r>
      <w:bookmarkStart w:id="16" w:name="_Hlk73610888"/>
      <w:r w:rsidRPr="00CF64F3">
        <w:t>limitando los actos o las decisiones de los tutores y de los representantes designados por el tribunal y facultando al Defensor de las Personas Incapacitadas para investigar las quejas</w:t>
      </w:r>
      <w:bookmarkEnd w:id="16"/>
      <w:r w:rsidRPr="00CF64F3">
        <w:t>, así como para aplicar medidas a fin de proteger a los denunciantes de irregularidades. En el instrumento de poder preventivo se debe incluir un certificado emitido por un profesional capacitado para ello, en el que este haga constar que, a su juicio, el tutelado entiende el propósito y el alcance del instrumento y que no se ha empleado ningún fraude o presión indebida con objeto de inducirlo a otorgar el poder</w:t>
      </w:r>
      <w:r w:rsidRPr="00CF64F3">
        <w:rPr>
          <w:rStyle w:val="FootnoteReference"/>
        </w:rPr>
        <w:footnoteReference w:id="28"/>
      </w:r>
      <w:r w:rsidRPr="00CF64F3">
        <w:t>. Además, se prepara a los tutores y los representantes designados por el tribunal para asistir a sus tutelados en la toma de decisiones a través de talleres y orientación a cargo de la Oficina del Defensor de las Personas con Discapacidad</w:t>
      </w:r>
      <w:r w:rsidRPr="00CF64F3">
        <w:rPr>
          <w:rStyle w:val="FootnoteReference"/>
        </w:rPr>
        <w:footnoteReference w:id="29"/>
      </w:r>
      <w:r w:rsidRPr="00CF64F3">
        <w:t>.</w:t>
      </w:r>
      <w:bookmarkStart w:id="17" w:name="_Hlk48569403"/>
      <w:bookmarkEnd w:id="17"/>
    </w:p>
    <w:bookmarkEnd w:id="15"/>
    <w:p w14:paraId="42DE4C71" w14:textId="77777777" w:rsidR="00CF64F3" w:rsidRPr="00CF64F3" w:rsidRDefault="00CF64F3" w:rsidP="00CF64F3">
      <w:pPr>
        <w:pStyle w:val="SingleTxtG"/>
      </w:pPr>
      <w:r w:rsidRPr="00CF64F3">
        <w:t>20.</w:t>
      </w:r>
      <w:r w:rsidRPr="00CF64F3">
        <w:tab/>
        <w:t xml:space="preserve">Por el momento no se ratificará el Protocolo Facultativo. En Singapur existen mecanismos para atender las reclamaciones individuales de las personas con discapacidad, por ejemplo mediante acciones legales ante los tribunales, y mecanismos en el marco de los organismos gubernamentales, el Parlamento y los medios de comunicación. Estos mecanismos se someten a un examen continuo a fin de garantizar que sean eficaces y se </w:t>
      </w:r>
      <w:r w:rsidRPr="00CF64F3">
        <w:lastRenderedPageBreak/>
        <w:t>ajusten a la Convención. Hasta la fecha no se ha recibido información que indique que las vías de reclamación son insuficientes.</w:t>
      </w:r>
    </w:p>
    <w:p w14:paraId="652769AF" w14:textId="77777777" w:rsidR="00CF64F3" w:rsidRPr="00CF64F3" w:rsidRDefault="00CF64F3" w:rsidP="00CF64F3">
      <w:pPr>
        <w:pStyle w:val="H1G"/>
      </w:pPr>
      <w:r w:rsidRPr="00CF64F3">
        <w:tab/>
      </w:r>
      <w:r w:rsidRPr="00CF64F3">
        <w:tab/>
        <w:t xml:space="preserve">Respuesta al párrafo 4 de la lista de cuestiones </w:t>
      </w:r>
    </w:p>
    <w:p w14:paraId="340E4839" w14:textId="06C235F3" w:rsidR="00CF64F3" w:rsidRPr="00CF64F3" w:rsidRDefault="00CF64F3" w:rsidP="00CF64F3">
      <w:pPr>
        <w:pStyle w:val="SingleTxtG"/>
      </w:pPr>
      <w:r w:rsidRPr="00CF64F3">
        <w:t>21.</w:t>
      </w:r>
      <w:r w:rsidRPr="00CF64F3">
        <w:tab/>
        <w:t>En virtud del artículo 12 de la Constitución de Singapur</w:t>
      </w:r>
      <w:r w:rsidRPr="00CF64F3">
        <w:rPr>
          <w:rStyle w:val="FootnoteReference"/>
        </w:rPr>
        <w:footnoteReference w:id="30"/>
      </w:r>
      <w:r w:rsidRPr="00CF64F3">
        <w:t>, toda persona que considere que es objeto de un trato desigual en la legislación o en las decisiones ejecutivas por razón de su discapacidad puede recurrir a los tribunales. Toda persona con discapacidad que se sienta perjudicada por una ley supuestamente discriminatoria puede acudir a los tribunales para solicitar una revisión judicial de esa ley concreta, alegando que es inconstitucional e incompatible con el artículo 12 de la Constitución. Singapur ha puesto en marcha medidas para garantizar que las personas con discapacidad puedan acceder a estos recursos legales</w:t>
      </w:r>
      <w:r w:rsidRPr="00CF64F3">
        <w:rPr>
          <w:rStyle w:val="FootnoteReference"/>
        </w:rPr>
        <w:footnoteReference w:id="31"/>
      </w:r>
      <w:r w:rsidRPr="00CF64F3">
        <w:t>.</w:t>
      </w:r>
    </w:p>
    <w:p w14:paraId="22F590E5" w14:textId="639C67F8" w:rsidR="00CF64F3" w:rsidRPr="00CF64F3" w:rsidRDefault="00CF64F3" w:rsidP="00CF64F3">
      <w:pPr>
        <w:pStyle w:val="SingleTxtG"/>
      </w:pPr>
      <w:r w:rsidRPr="00CF64F3">
        <w:t>22.</w:t>
      </w:r>
      <w:r w:rsidRPr="00CF64F3">
        <w:tab/>
        <w:t>Existen medidas adicionales a fin de ofrecer a las personas con discapacidad la igualdad de oportunidades para participar en la sociedad. El sistema educativo de Singapur desempeña un papel fundamental a la hora de sentar las bases de una cultura nacional de atención e inclusión</w:t>
      </w:r>
      <w:r w:rsidRPr="00CF64F3">
        <w:rPr>
          <w:rStyle w:val="FootnoteReference"/>
        </w:rPr>
        <w:footnoteReference w:id="32"/>
      </w:r>
      <w:r w:rsidRPr="00CF64F3">
        <w:t>. Singapur también dispone de medidas dirigidas a evitar la discriminación en el empleo</w:t>
      </w:r>
      <w:r w:rsidRPr="00CF64F3">
        <w:rPr>
          <w:rStyle w:val="FootnoteReference"/>
        </w:rPr>
        <w:footnoteReference w:id="33"/>
      </w:r>
      <w:r w:rsidRPr="00CF64F3">
        <w:t>.</w:t>
      </w:r>
    </w:p>
    <w:p w14:paraId="41C46108" w14:textId="70634FF5" w:rsidR="00CF64F3" w:rsidRPr="00CF64F3" w:rsidRDefault="00CF64F3" w:rsidP="00CF64F3">
      <w:pPr>
        <w:pStyle w:val="H1G"/>
      </w:pPr>
      <w:r>
        <w:tab/>
      </w:r>
      <w:r w:rsidRPr="00CF64F3">
        <w:tab/>
        <w:t>Respuesta al párrafo 5 de la lista de cuestiones</w:t>
      </w:r>
    </w:p>
    <w:p w14:paraId="25CB4075" w14:textId="2CFF6650" w:rsidR="00CF64F3" w:rsidRPr="00CF64F3" w:rsidRDefault="00CF64F3" w:rsidP="00CF64F3">
      <w:pPr>
        <w:pStyle w:val="SingleTxtG"/>
      </w:pPr>
      <w:r w:rsidRPr="00CF64F3">
        <w:t>23.</w:t>
      </w:r>
      <w:r w:rsidRPr="00CF64F3">
        <w:tab/>
        <w:t>Las mujeres y niñas con discapacidad disfrutan de los mismos derechos y de igual reconocimiento ante la ley que las que no tienen discapacidad. La Carta de la Mujer contiene una amplia gama de disposiciones que protegen y promueven estos derechos. Las políticas y los programas que existen en Singapur para proteger a las personas con discapacidad son neutros en cuanto al género y pretenden apoyar y empoderar a las mujeres y niñas con discapacidad en condiciones de igualdad con los hombres y niños con discapacidad.</w:t>
      </w:r>
    </w:p>
    <w:p w14:paraId="5AC36886" w14:textId="77777777" w:rsidR="00CF64F3" w:rsidRDefault="00CF64F3" w:rsidP="00CF64F3">
      <w:pPr>
        <w:pStyle w:val="SingleTxtG"/>
      </w:pPr>
      <w:r w:rsidRPr="00CF64F3">
        <w:t>24.</w:t>
      </w:r>
      <w:r w:rsidRPr="00CF64F3">
        <w:tab/>
        <w:t>Se reconoce que las mujeres y niñas con discapacidad pueden encontrarse con dificultades adicionales. En este sentido, la Carta de la Mujer otorga protección a las mujeres y niñas que sufren maltrato, necesitan protección o están en peligro moral. Por ejemplo, la Carta de la Mujer permite a la Dirección General de Bienestar Social autorizar el ingreso de mujeres menores de 21 años en un lugar seguro si ello redunda en su interés superior. Un Comité de Evaluación independiente examina estos casos al menos cada seis meses para garantizar que no permanezcan allí innecesariamente.</w:t>
      </w:r>
    </w:p>
    <w:p w14:paraId="01748619" w14:textId="158DC608" w:rsidR="00CF64F3" w:rsidRPr="00CF64F3" w:rsidRDefault="00CF64F3" w:rsidP="00CF64F3">
      <w:pPr>
        <w:pStyle w:val="SingleTxtG"/>
      </w:pPr>
      <w:r w:rsidRPr="00CF64F3">
        <w:t>25.</w:t>
      </w:r>
      <w:r w:rsidRPr="00CF64F3">
        <w:tab/>
        <w:t>La educación sexual tanto en las escuelas ordinarias como en las de educación especial está diseñada para atender las necesidades de todos los estudiantes. En las escuelas de educación especial, el personal está capacitado para diseñar programas educación sexual que respondan a las necesidades específicas de su alumnado y se separa a alumnos y alumnas en clases distintas cuando resulta apropiado. Los estudiantes aprenden sobre los cambios fisiológicos, sociales y emocionales que se producen durante la pubertad, sobre el modo de afirmarse y protegerse y respetar a los demás y sobre la forma de tomar decisiones informadas y responsables en materia de sexualidad.</w:t>
      </w:r>
    </w:p>
    <w:p w14:paraId="6E492C65" w14:textId="7AF2E337" w:rsidR="00CF64F3" w:rsidRPr="00CF64F3" w:rsidRDefault="00CF64F3" w:rsidP="00CF64F3">
      <w:pPr>
        <w:pStyle w:val="H1G"/>
      </w:pPr>
      <w:r>
        <w:tab/>
      </w:r>
      <w:r w:rsidRPr="00CF64F3">
        <w:tab/>
        <w:t>Respuesta al párrafo 6 de la lista de cuestiones</w:t>
      </w:r>
    </w:p>
    <w:p w14:paraId="08390B31" w14:textId="5303ABAB" w:rsidR="00CF64F3" w:rsidRPr="00CF64F3" w:rsidRDefault="00CF64F3" w:rsidP="00CF64F3">
      <w:pPr>
        <w:pStyle w:val="H23G"/>
      </w:pPr>
      <w:r>
        <w:tab/>
      </w:r>
      <w:r w:rsidRPr="00CF64F3">
        <w:tab/>
        <w:t>Programas de intervención temprana</w:t>
      </w:r>
    </w:p>
    <w:p w14:paraId="0F6F166B" w14:textId="77777777" w:rsidR="00CF64F3" w:rsidRPr="00CF64F3" w:rsidRDefault="00CF64F3" w:rsidP="00CF64F3">
      <w:pPr>
        <w:pStyle w:val="SingleTxtG"/>
      </w:pPr>
      <w:r w:rsidRPr="00CF64F3">
        <w:t>26.</w:t>
      </w:r>
      <w:r w:rsidRPr="00CF64F3">
        <w:tab/>
        <w:t xml:space="preserve">Desde su informe inicial, Singapur ha aumentado sustancialmente su inversión en intervención temprana. Entre 2018 y julio de 2019, el Gobierno aumentó en un 30 % el gasto </w:t>
      </w:r>
      <w:r w:rsidRPr="00CF64F3">
        <w:lastRenderedPageBreak/>
        <w:t>en servicios y prestaciones en este ámbito, hasta alcanzar unos 60 millones de dólares singapurenses (43,9 millones de dólares de los Estados Unidos) al año. Los niños menores de 7 años con necesidades de desarrollo reciben apoyo de un conjunto de programas de intervención temprana financiados por la administración pública.</w:t>
      </w:r>
    </w:p>
    <w:p w14:paraId="33BBC284" w14:textId="4EDD8E2B" w:rsidR="00CF64F3" w:rsidRPr="00CF64F3" w:rsidRDefault="00CF64F3" w:rsidP="00CF64F3">
      <w:pPr>
        <w:pStyle w:val="SingleTxtG"/>
      </w:pPr>
      <w:r w:rsidRPr="00CF64F3">
        <w:t>27.</w:t>
      </w:r>
      <w:r w:rsidRPr="00CF64F3">
        <w:tab/>
        <w:t>En 2019, el Ministerio para el Desarrollo Social y Familiar reforzó el apoyo ofreciendo dos nuevos programas de intervención temprana. Con arreglo al nuevo Programa Plus de Apoyo al Desarrollo, los niños con necesidades leves o moderadas que hayan hecho suficientes progresos en el marco del actual Programa de Intervención Temprana para Lactantes y Niños pueden pasar a recibir la intervención en sus centros de educación preescolar en lugar de en los centros del Programa, lo que fomenta la inclusión en los centros de educación preescolar. El nuevo Programa de Intervención Temprana para Lactantes y Niños destinado a menores de 2 años permite que los niños en esta franja de edad que estén inscritos en el Programa reciban una intervención más específica y dota a sus familiares de las competencias necesarias para continuar la intervención en el hogar y obtener así resultados más duraderos.</w:t>
      </w:r>
    </w:p>
    <w:p w14:paraId="45220BE8" w14:textId="24AD800D" w:rsidR="00CF64F3" w:rsidRPr="00CF64F3" w:rsidRDefault="00CF64F3" w:rsidP="00CF64F3">
      <w:pPr>
        <w:pStyle w:val="SingleTxtG"/>
      </w:pPr>
      <w:r w:rsidRPr="00CF64F3">
        <w:t>28.</w:t>
      </w:r>
      <w:r w:rsidRPr="00CF64F3">
        <w:tab/>
        <w:t>Se están realizando esfuerzos para contribuir a que haya más centros de educación preescolar que puedan atender a niños con necesidades de desarrollo moderadas o graves. En 2019, el Ministerio para el Desarrollo Social y Familiar estableció un Grupo de Trabajo sobre Centros de Educación Preescolar Inclusivos, con carácter intersectorial, con miras a que estudiara el modo de prestar un mejor apoyo a los niños con necesidades de desarrollo en los centros de educación preescolar. Este grupo de trabajo tiene intención de publicar sus recomendaciones a principios de 2021.</w:t>
      </w:r>
      <w:bookmarkStart w:id="18" w:name="_Hlk51082143"/>
      <w:bookmarkEnd w:id="18"/>
    </w:p>
    <w:p w14:paraId="462FA7D6" w14:textId="02E91FFE" w:rsidR="00CF64F3" w:rsidRPr="00CF64F3" w:rsidRDefault="00CF64F3" w:rsidP="00CF64F3">
      <w:pPr>
        <w:pStyle w:val="H23G"/>
      </w:pPr>
      <w:bookmarkStart w:id="19" w:name="_Hlk48301877"/>
      <w:r>
        <w:tab/>
      </w:r>
      <w:r w:rsidRPr="00CF64F3">
        <w:tab/>
        <w:t>Salud mental en la juventud y la infancia</w:t>
      </w:r>
    </w:p>
    <w:p w14:paraId="2D468D71" w14:textId="77777777" w:rsidR="00CF64F3" w:rsidRPr="00CF64F3" w:rsidRDefault="00CF64F3" w:rsidP="00CF64F3">
      <w:pPr>
        <w:pStyle w:val="SingleTxtG"/>
      </w:pPr>
      <w:r w:rsidRPr="00CF64F3">
        <w:t>29.</w:t>
      </w:r>
      <w:r w:rsidRPr="00CF64F3">
        <w:tab/>
        <w:t>El Gobierno adopta un enfoque multidimensional para abordar las causas complejas que subyacen a los problemas de salud mental</w:t>
      </w:r>
      <w:r w:rsidRPr="00CF64F3">
        <w:rPr>
          <w:rStyle w:val="FootnoteReference"/>
        </w:rPr>
        <w:footnoteReference w:id="34"/>
      </w:r>
      <w:r w:rsidRPr="00CF64F3">
        <w:t>. El Ministerio de Educación y el Consejo de Promoción de la Salud ofrecen programas psicoemocionales</w:t>
      </w:r>
      <w:r w:rsidRPr="00CF64F3">
        <w:rPr>
          <w:rStyle w:val="FootnoteReference"/>
        </w:rPr>
        <w:footnoteReference w:id="35"/>
      </w:r>
      <w:r w:rsidRPr="00CF64F3">
        <w:t xml:space="preserve"> y apoyo entre compañeros en las escuelas</w:t>
      </w:r>
      <w:r w:rsidRPr="00CF64F3">
        <w:rPr>
          <w:rStyle w:val="FootnoteReference"/>
        </w:rPr>
        <w:footnoteReference w:id="36"/>
      </w:r>
      <w:r w:rsidRPr="00CF64F3">
        <w:t>. Se prevé que exista una estructura y una cultura de apoyo entre pares en todas las escuelas para 2022. Todos los centros e institutos de enseñanza superior convencionales disponen de orientadores que proporcionan apoyo social y emocional individualizado</w:t>
      </w:r>
      <w:r w:rsidRPr="00CF64F3">
        <w:rPr>
          <w:rStyle w:val="FootnoteReference"/>
        </w:rPr>
        <w:footnoteReference w:id="37"/>
      </w:r>
      <w:r w:rsidRPr="00CF64F3">
        <w:t>. El Ministerio de Salud también puso en marcha equipos de respuesta, intervención temprana y evaluación en materia de salud mental comunitaria</w:t>
      </w:r>
      <w:r w:rsidRPr="00CF64F3">
        <w:rPr>
          <w:rStyle w:val="FootnoteReference"/>
        </w:rPr>
        <w:footnoteReference w:id="38"/>
      </w:r>
      <w:r w:rsidRPr="00CF64F3">
        <w:t xml:space="preserve"> con miras a ofrecer intervenciones en las escuelas a los alumnos con problemas psicológicos, emocionales y de comportamiento. En el caso de los alumnos con problemas más graves, estos equipos tramitan la derivación a especialistas.</w:t>
      </w:r>
    </w:p>
    <w:p w14:paraId="06ACF395" w14:textId="447D034D" w:rsidR="00CF64F3" w:rsidRPr="00CF64F3" w:rsidRDefault="00CF64F3" w:rsidP="00CF64F3">
      <w:pPr>
        <w:pStyle w:val="SingleTxtG"/>
      </w:pPr>
      <w:r w:rsidRPr="00CF64F3">
        <w:lastRenderedPageBreak/>
        <w:t>30.</w:t>
      </w:r>
      <w:r w:rsidRPr="00CF64F3">
        <w:tab/>
        <w:t>Más allá de las escuelas, el Instituto de Salud Mental creó el Equipo de Evaluación de la Salud Comunitaria para crear conciencia sobre la salud mental y proporcionar a los jóvenes información relativa a las evaluaciones y los tratamientos de salud mental. En 2019, el Consejo Nacional de Servicios Sociales puso en marcha la Alianza de la Juventud</w:t>
      </w:r>
      <w:r w:rsidRPr="00CF64F3">
        <w:rPr>
          <w:rStyle w:val="FootnoteReference"/>
        </w:rPr>
        <w:footnoteReference w:id="39"/>
      </w:r>
      <w:r w:rsidRPr="00CF64F3">
        <w:t xml:space="preserve"> con el propósito de promover el bienestar mental entre los jóvenes y reducir el estigma de los problemas de salud mental. En 2020 se formó, con el apoyo del Gobierno, la Red de Bienestar Mental de la Juventud, que reunió a más de 1.000 personas, entre ellas jóvenes, profesionales del sector social y de la salud mental, padres y cuidadores, para debatir, diseñar y poner en marcha iniciativas orientadas a mejorar el bienestar mental de los jóvenes</w:t>
      </w:r>
      <w:r w:rsidRPr="00CF64F3">
        <w:rPr>
          <w:rStyle w:val="FootnoteReference"/>
        </w:rPr>
        <w:footnoteReference w:id="40"/>
      </w:r>
      <w:r w:rsidRPr="00CF64F3">
        <w:t>.</w:t>
      </w:r>
    </w:p>
    <w:p w14:paraId="34095234" w14:textId="0AF48B60" w:rsidR="00CF64F3" w:rsidRPr="00CF64F3" w:rsidRDefault="00CF64F3" w:rsidP="00CF64F3">
      <w:pPr>
        <w:pStyle w:val="SingleTxtG"/>
      </w:pPr>
      <w:r w:rsidRPr="00CF64F3">
        <w:t>31.</w:t>
      </w:r>
      <w:r w:rsidRPr="00CF64F3">
        <w:tab/>
        <w:t>Con objeto de brindar apoyo a los niños bajo tutela del Estado que sufren problemas de salud mental causados por traumas, el Ministerio para el Desarrollo Social y Familiar lleva a cabo diversas intervenciones terapéuticas</w:t>
      </w:r>
      <w:r w:rsidRPr="00CF64F3">
        <w:rPr>
          <w:rStyle w:val="FootnoteReference"/>
        </w:rPr>
        <w:footnoteReference w:id="41"/>
      </w:r>
      <w:r w:rsidRPr="00CF64F3">
        <w:t xml:space="preserve"> que promueven su reintegración en la comunidad</w:t>
      </w:r>
      <w:r w:rsidRPr="00CF64F3">
        <w:rPr>
          <w:rStyle w:val="FootnoteReference"/>
        </w:rPr>
        <w:footnoteReference w:id="42"/>
      </w:r>
      <w:r w:rsidRPr="00CF64F3">
        <w:t>. El Organismo de Atención Integrada y el Consejo Nacional del Servicio Social también financian programas comunitarios de apoyo y atención a las personas que han sufrido un trauma dirigidos a los organismos de servicios sociales.</w:t>
      </w:r>
    </w:p>
    <w:bookmarkEnd w:id="19"/>
    <w:p w14:paraId="64A35BC5" w14:textId="6293A9A8" w:rsidR="00CF64F3" w:rsidRPr="00CF64F3" w:rsidRDefault="00CF64F3" w:rsidP="00CF64F3">
      <w:pPr>
        <w:pStyle w:val="H23G"/>
      </w:pPr>
      <w:r>
        <w:tab/>
      </w:r>
      <w:r w:rsidRPr="00CF64F3">
        <w:tab/>
        <w:t>Libertad de expresión de los niños</w:t>
      </w:r>
    </w:p>
    <w:p w14:paraId="6A048E53" w14:textId="77777777" w:rsidR="00CF64F3" w:rsidRPr="00CF64F3" w:rsidRDefault="00CF64F3" w:rsidP="00CF64F3">
      <w:pPr>
        <w:pStyle w:val="SingleTxtG"/>
      </w:pPr>
      <w:r w:rsidRPr="00CF64F3">
        <w:t>32.</w:t>
      </w:r>
      <w:r w:rsidRPr="00CF64F3">
        <w:tab/>
        <w:t>Singapur busca de manera proactiva la opinión de los niños por cauces como pueden ser los diálogos en las escuelas con los líderes políticos y los responsables de formular políticas, los foros juveniles y el Foro de la Infancia de Singapur, que se celebra cada dos años. En 2019, el Foro de la Infancia se centró en cuestiones relativas a la desigualdad y en él los niños expresaron sus opiniones sobre el tema de la inclusión, entre otros. El Consejo Nacional de la Juventud también organiza actos en colaboración con organizaciones de personas con discapacidad para que los jóvenes con y sin discapacidad puedan compartir sus puntos de vista sobre cuestiones relacionadas con la discapacidad.</w:t>
      </w:r>
    </w:p>
    <w:p w14:paraId="4BD4E65C" w14:textId="77777777" w:rsidR="00CF64F3" w:rsidRPr="00CF64F3" w:rsidRDefault="00CF64F3" w:rsidP="00CF64F3">
      <w:pPr>
        <w:pStyle w:val="SingleTxtG"/>
      </w:pPr>
      <w:r w:rsidRPr="00CF64F3">
        <w:t>33.</w:t>
      </w:r>
      <w:r w:rsidRPr="00CF64F3">
        <w:tab/>
        <w:t>En las escuelas de educación especial, se alienta a los alumnos a que participen en la planificación de su formación (por ejemplo, a través de los Planes Educativos Individuales) y de sus futuras trayectorias (a través de los Planes de Transición Individuales), y se les brinda apoyo en este sentido. El plan de estudios abarca competencias en materia de comunicación e interacción social, realización de elecciones y toma de decisiones. A los alumnos que tienen una menor capacidad de comunicación verbal o que carecen de ella se les facilitan dispositivos que les permiten emplear medios aumentativos y alternativos de comunicación.</w:t>
      </w:r>
    </w:p>
    <w:p w14:paraId="419639F4" w14:textId="55E06C52" w:rsidR="00CF64F3" w:rsidRPr="00CF64F3" w:rsidRDefault="00CF64F3" w:rsidP="00CF64F3">
      <w:pPr>
        <w:pStyle w:val="H1G"/>
      </w:pPr>
      <w:r>
        <w:tab/>
      </w:r>
      <w:r w:rsidRPr="00CF64F3">
        <w:tab/>
        <w:t>Respuesta al párrafo 7 de la lista de cuestiones</w:t>
      </w:r>
    </w:p>
    <w:p w14:paraId="3B3A1A03" w14:textId="6ABA1CB4" w:rsidR="00CF64F3" w:rsidRPr="00CF64F3" w:rsidRDefault="00CF64F3" w:rsidP="00CF64F3">
      <w:pPr>
        <w:pStyle w:val="SingleTxtG"/>
      </w:pPr>
      <w:r w:rsidRPr="00CF64F3">
        <w:t>34.</w:t>
      </w:r>
      <w:r w:rsidRPr="00CF64F3">
        <w:tab/>
        <w:t xml:space="preserve">Singapur entiende la inclusión como algo que engloba a toda la sociedad. En el ámbito de la sociedad en general, el Consejo Nacional del Servicio Social lleva a cabo una campaña anual de sensibilización de la población con el lema </w:t>
      </w:r>
      <w:r>
        <w:t>“</w:t>
      </w:r>
      <w:r w:rsidRPr="00CF64F3">
        <w:t>Mira mi auténtico yo</w:t>
      </w:r>
      <w:r>
        <w:t>”</w:t>
      </w:r>
      <w:r w:rsidRPr="00CF64F3">
        <w:t xml:space="preserve"> a fin de fomentar una percepción positiva de las personas con discapacidad y facilitar su participación social</w:t>
      </w:r>
      <w:r w:rsidRPr="00CF64F3">
        <w:rPr>
          <w:rStyle w:val="FootnoteReference"/>
        </w:rPr>
        <w:footnoteReference w:id="43"/>
      </w:r>
      <w:r w:rsidRPr="00CF64F3">
        <w:t>. Las personas con discapacidad y sus familiares participan como embajadores en la campaña y en los actos relacionados con ella</w:t>
      </w:r>
      <w:r w:rsidRPr="00CF64F3">
        <w:rPr>
          <w:rStyle w:val="FootnoteReference"/>
        </w:rPr>
        <w:footnoteReference w:id="44"/>
      </w:r>
      <w:r w:rsidRPr="00CF64F3">
        <w:t xml:space="preserve">. El Consejo también ha llevado a cabo iniciativas para </w:t>
      </w:r>
      <w:r w:rsidRPr="00CF64F3">
        <w:lastRenderedPageBreak/>
        <w:t>sensibilizar a la población en general y a las personas con discapacidad en particular, a través de las organizaciones que las representan, en lo relativo a la Convención sobre los Derechos de las Personas con Discapacidad y los derechos consagrados en ella</w:t>
      </w:r>
      <w:r w:rsidRPr="00CF64F3">
        <w:rPr>
          <w:rStyle w:val="FootnoteReference"/>
        </w:rPr>
        <w:footnoteReference w:id="45"/>
      </w:r>
      <w:r w:rsidRPr="00CF64F3">
        <w:t>. Singapur también cuenta con iniciativas en los ámbitos de la vida cultural, el ocio y el deporte</w:t>
      </w:r>
      <w:r w:rsidRPr="00CF64F3">
        <w:rPr>
          <w:rStyle w:val="FootnoteReference"/>
        </w:rPr>
        <w:footnoteReference w:id="46"/>
      </w:r>
      <w:r w:rsidRPr="00CF64F3">
        <w:t>, así como en las escuelas</w:t>
      </w:r>
      <w:r w:rsidRPr="00CF64F3">
        <w:rPr>
          <w:rStyle w:val="FootnoteReference"/>
        </w:rPr>
        <w:footnoteReference w:id="47"/>
      </w:r>
      <w:r w:rsidRPr="00CF64F3">
        <w:t>.</w:t>
      </w:r>
    </w:p>
    <w:p w14:paraId="3F04ACCC" w14:textId="325E3479" w:rsidR="00CF64F3" w:rsidRPr="00CF64F3" w:rsidRDefault="00CF64F3" w:rsidP="00CF64F3">
      <w:pPr>
        <w:pStyle w:val="SingleTxtG"/>
      </w:pPr>
      <w:r w:rsidRPr="00CF64F3">
        <w:t>35.</w:t>
      </w:r>
      <w:r w:rsidRPr="00CF64F3">
        <w:tab/>
        <w:t xml:space="preserve">En el ámbito de la concienciación en materia de salud mental, el Consejo Nacional del Servicio Social y el Instituto de Salud Mental pusieron en marcha en 2018 la campaña de sensibilización de la población </w:t>
      </w:r>
      <w:r>
        <w:t>“</w:t>
      </w:r>
      <w:r w:rsidRPr="00CF64F3">
        <w:t>Más allá de la etiqueta</w:t>
      </w:r>
      <w:r>
        <w:t>”</w:t>
      </w:r>
      <w:r w:rsidRPr="00CF64F3">
        <w:t xml:space="preserve">, que pretendía luchar contra los estigmas y promover una mayor inclusión social de las personas que están recuperándose de algún trastorno de salud mental. En 2019, el Consejo puso en marcha Belle, un </w:t>
      </w:r>
      <w:proofErr w:type="spellStart"/>
      <w:r w:rsidRPr="00CF64F3">
        <w:t>bot</w:t>
      </w:r>
      <w:proofErr w:type="spellEnd"/>
      <w:r w:rsidRPr="00CF64F3">
        <w:t xml:space="preserve"> asistente interactivo</w:t>
      </w:r>
      <w:r w:rsidRPr="00CF64F3">
        <w:rPr>
          <w:rStyle w:val="FootnoteReference"/>
        </w:rPr>
        <w:footnoteReference w:id="48"/>
      </w:r>
      <w:r w:rsidRPr="00CF64F3">
        <w:t xml:space="preserve"> que permite acceder en todo momento a información sobre teléfonos de asistencia y servicios de salud mental. Desde 2017, también lleva a cabo convocatorias de subvenciones para la Educación Pública en Salud Mental</w:t>
      </w:r>
      <w:r w:rsidRPr="00CF64F3">
        <w:rPr>
          <w:rStyle w:val="FootnoteReference"/>
        </w:rPr>
        <w:footnoteReference w:id="49"/>
      </w:r>
      <w:r w:rsidRPr="00CF64F3">
        <w:t>. El Organismo de Atención Integrada, por su parte, estableció equipos de divulgación en la comunidad a fin de poner en marcha programas de educación pública sobre los trastornos de salud mental y la demencia.</w:t>
      </w:r>
    </w:p>
    <w:p w14:paraId="3165E16E" w14:textId="630FD6CE" w:rsidR="00CF64F3" w:rsidRPr="00CF64F3" w:rsidRDefault="00CF64F3" w:rsidP="00CF64F3">
      <w:pPr>
        <w:pStyle w:val="SingleTxtG"/>
      </w:pPr>
      <w:r w:rsidRPr="00CF64F3">
        <w:t>36.</w:t>
      </w:r>
      <w:r w:rsidRPr="00CF64F3">
        <w:tab/>
        <w:t xml:space="preserve">Singapur promueve la contratación inclusiva y presta asistencia a los empresarios para que puedan hacer que sus lugares de trabajo sean inclusivos. Además de las formaciones, los talleres y los servicios de consultoría y asesoramiento, SG </w:t>
      </w:r>
      <w:proofErr w:type="spellStart"/>
      <w:r w:rsidRPr="00CF64F3">
        <w:t>Enable</w:t>
      </w:r>
      <w:proofErr w:type="spellEnd"/>
      <w:r w:rsidRPr="00CF64F3">
        <w:t xml:space="preserve"> ha colaborado con la Universidad de Cornell en la elaboración de un Índice de Inclusión de la Discapacidad en el Lugar de Trabajo. Cuando los empresarios están dispuestos a contratar, SG </w:t>
      </w:r>
      <w:proofErr w:type="spellStart"/>
      <w:r w:rsidRPr="00CF64F3">
        <w:t>Enable</w:t>
      </w:r>
      <w:proofErr w:type="spellEnd"/>
      <w:r w:rsidRPr="00CF64F3">
        <w:t xml:space="preserve"> y los organismos de servicios sociales asociados reciben financiación de la administración para colocar y brindar apoyo laboral a personas con discapacidad. En los casos en que la actuación de los empleadores ha sido la adecuada, el premio bienal a los empleadores de personas con discapacidad, otorgado por SG </w:t>
      </w:r>
      <w:proofErr w:type="spellStart"/>
      <w:r w:rsidRPr="00CF64F3">
        <w:t>Enable</w:t>
      </w:r>
      <w:proofErr w:type="spellEnd"/>
      <w:r w:rsidRPr="00CF64F3">
        <w:t>, reconoce su compromiso y sus logros.</w:t>
      </w:r>
    </w:p>
    <w:p w14:paraId="2C861234" w14:textId="19B73D2B" w:rsidR="00CF64F3" w:rsidRPr="00CF64F3" w:rsidRDefault="00CF64F3" w:rsidP="00CF64F3">
      <w:pPr>
        <w:pStyle w:val="H1G"/>
      </w:pPr>
      <w:r>
        <w:tab/>
      </w:r>
      <w:r w:rsidRPr="00CF64F3">
        <w:tab/>
        <w:t>Respuesta al párrafo 8 de la lista de cuestiones</w:t>
      </w:r>
    </w:p>
    <w:p w14:paraId="2E75152E" w14:textId="25B26254" w:rsidR="00CF64F3" w:rsidRPr="00CF64F3" w:rsidRDefault="00CF64F3" w:rsidP="00CF64F3">
      <w:pPr>
        <w:pStyle w:val="H23G"/>
      </w:pPr>
      <w:r>
        <w:tab/>
      </w:r>
      <w:r w:rsidRPr="00CF64F3">
        <w:tab/>
        <w:t>Accesibilidad del sistema de transporte</w:t>
      </w:r>
    </w:p>
    <w:p w14:paraId="5CBA59B4" w14:textId="77777777" w:rsidR="00CF64F3" w:rsidRPr="00CF64F3" w:rsidRDefault="00CF64F3" w:rsidP="00CF64F3">
      <w:pPr>
        <w:pStyle w:val="SingleTxtG"/>
      </w:pPr>
      <w:r w:rsidRPr="00CF64F3">
        <w:t>37.</w:t>
      </w:r>
      <w:r w:rsidRPr="00CF64F3">
        <w:tab/>
        <w:t>Desde su informe inicial, Singapur ha seguido mejorando su sistema de transporte público para hacerlo accesible a las personas con discapacidad. Todos los servicios de autobuses públicos son ahora accesibles para las sillas de ruedas. Hay al menos una ruta de acceso libre de obstáculos en todas las estaciones de transporte público rápido y de transporte ferroviario ligero, así como en los intercambiadores de la red de autobuses. Singapur también está implantando progresivamente el uso prioritario para personas con necesidades especiales en los nodos de transporte público</w:t>
      </w:r>
      <w:r w:rsidRPr="00CF64F3">
        <w:rPr>
          <w:rStyle w:val="FootnoteReference"/>
        </w:rPr>
        <w:footnoteReference w:id="50"/>
      </w:r>
      <w:r w:rsidRPr="00CF64F3">
        <w:t>.</w:t>
      </w:r>
    </w:p>
    <w:p w14:paraId="74103FFB" w14:textId="33995417" w:rsidR="00CF64F3" w:rsidRPr="00CF64F3" w:rsidRDefault="00CF64F3" w:rsidP="00CF64F3">
      <w:pPr>
        <w:pStyle w:val="SingleTxtG"/>
      </w:pPr>
      <w:r w:rsidRPr="00CF64F3">
        <w:t>38.</w:t>
      </w:r>
      <w:r w:rsidRPr="00CF64F3">
        <w:tab/>
        <w:t xml:space="preserve">Desde 2018, todos los autobuses públicos nuevos están equipados con un sistema digital de visualización de la información para pasajeros, que emite avisos visuales y sonoros a fin de anunciar a los pasajeros la siguiente parada que va a efectuar el autobús. Se está </w:t>
      </w:r>
      <w:r w:rsidRPr="00CF64F3">
        <w:lastRenderedPageBreak/>
        <w:t xml:space="preserve">probando una aplicación móvil, </w:t>
      </w:r>
      <w:r>
        <w:t>“</w:t>
      </w:r>
      <w:r w:rsidRPr="00CF64F3">
        <w:t>MAVIS</w:t>
      </w:r>
      <w:r>
        <w:t>”</w:t>
      </w:r>
      <w:r w:rsidRPr="00CF64F3">
        <w:t>, que ofrece a las personas con discapacidad visual y a los usuarios de sillas de ruedas orientación personalizada para los desplazamientos por la red de autobuses</w:t>
      </w:r>
      <w:r w:rsidRPr="00CF64F3">
        <w:rPr>
          <w:rStyle w:val="FootnoteReference"/>
        </w:rPr>
        <w:footnoteReference w:id="51"/>
      </w:r>
      <w:r w:rsidRPr="00CF64F3">
        <w:t>. Desde octubre de 2019, las personas con enfermedades invisibles pueden solicitar una pegatina identificativa que alerte a los demás viajeros de que necesitan un asiento, sin revelar la enfermedad de la persona. La Autoridad de Transporte Terrestre también llevará a cabo una prueba con miras a designar vagones prioritarios</w:t>
      </w:r>
      <w:r w:rsidRPr="00CF64F3">
        <w:rPr>
          <w:rStyle w:val="FootnoteReference"/>
        </w:rPr>
        <w:footnoteReference w:id="52"/>
      </w:r>
      <w:r w:rsidRPr="00CF64F3">
        <w:t xml:space="preserve"> para personas con discapacidad, entre otras</w:t>
      </w:r>
      <w:r w:rsidRPr="00CF64F3">
        <w:rPr>
          <w:rStyle w:val="FootnoteReference"/>
        </w:rPr>
        <w:footnoteReference w:id="53"/>
      </w:r>
      <w:r w:rsidRPr="00CF64F3">
        <w:t>.</w:t>
      </w:r>
    </w:p>
    <w:p w14:paraId="2E73681C" w14:textId="1C3BD66B" w:rsidR="00CF64F3" w:rsidRPr="00CF64F3" w:rsidRDefault="00CF64F3" w:rsidP="00CF64F3">
      <w:pPr>
        <w:pStyle w:val="SingleTxtG"/>
      </w:pPr>
      <w:r w:rsidRPr="00CF64F3">
        <w:t>39.</w:t>
      </w:r>
      <w:r w:rsidRPr="00CF64F3">
        <w:tab/>
        <w:t>Todas las paradas de taxi construidas después de 2008 están libres de obstáculos</w:t>
      </w:r>
      <w:r w:rsidRPr="00CF64F3">
        <w:rPr>
          <w:rStyle w:val="FootnoteReference"/>
        </w:rPr>
        <w:footnoteReference w:id="54"/>
      </w:r>
      <w:r w:rsidRPr="00CF64F3">
        <w:t>. Los operadores de taxi cuyos servicios se contratan en la calle deben disponer de espacio suficiente en el maletero para que quepan las sillas de ruedas. A partir de octubre de 2020, se exigirá que todos los operadores de taxi que funcionan con el sistema de despacho ofrezcan a los viajeros en la aplicación de reservas la opción de reservar un vehículo con capacidad para transportar una silla de ruedas plegable en el maletero.</w:t>
      </w:r>
    </w:p>
    <w:p w14:paraId="1C6DD19E" w14:textId="77777777" w:rsidR="00CF64F3" w:rsidRPr="00CF64F3" w:rsidRDefault="00CF64F3" w:rsidP="00CF64F3">
      <w:pPr>
        <w:pStyle w:val="SingleTxtG"/>
      </w:pPr>
      <w:r w:rsidRPr="00CF64F3">
        <w:t>40.</w:t>
      </w:r>
      <w:r w:rsidRPr="00CF64F3">
        <w:tab/>
        <w:t>En agosto de 2017 Singapur amplió el Plan de Prestaciones para el Transporte en Taxi para personas con discapacidad a fin de que pudieran beneficiarse de él más hogares</w:t>
      </w:r>
      <w:r w:rsidRPr="00CF64F3">
        <w:rPr>
          <w:rStyle w:val="FootnoteReference"/>
        </w:rPr>
        <w:footnoteReference w:id="55"/>
      </w:r>
      <w:r w:rsidRPr="00CF64F3">
        <w:t xml:space="preserve"> y aumentó la cuantía de la ayuda para que cubriera hasta el 80 % del gasto. También hay otros planes dirigidos a subvencionar los costes de transporte de las personas con discapacidad, como tarifas reducidas en el transporte público, prestaciones para el transporte organizadas por los servicios de discapacidad financiados por el Ministerio para el Desarrollo Social y Familiar y ayudas orientadas a apoyar a las personas con discapacidad que necesitan un vehículo para ganarse la vida.</w:t>
      </w:r>
    </w:p>
    <w:p w14:paraId="3C0F4CE7" w14:textId="39A2430F" w:rsidR="00CF64F3" w:rsidRPr="00CF64F3" w:rsidRDefault="00CF64F3" w:rsidP="00CF64F3">
      <w:pPr>
        <w:pStyle w:val="SingleTxtG"/>
      </w:pPr>
      <w:r w:rsidRPr="00CF64F3">
        <w:t>41.</w:t>
      </w:r>
      <w:r w:rsidRPr="00CF64F3">
        <w:tab/>
        <w:t>A fin de mejorar la accesibilidad en las carreteras, se han instalado ascensores en 47</w:t>
      </w:r>
      <w:r>
        <w:t> </w:t>
      </w:r>
      <w:r w:rsidRPr="00CF64F3">
        <w:t>puentes elevados para peatones y se irán mejorando progresivamente otros para ofrecer cruces sin obstáculos.</w:t>
      </w:r>
    </w:p>
    <w:p w14:paraId="3205FDBB" w14:textId="20F35D69" w:rsidR="00CF64F3" w:rsidRPr="00CF64F3" w:rsidRDefault="00CF64F3" w:rsidP="00CF64F3">
      <w:pPr>
        <w:pStyle w:val="SingleTxtG"/>
      </w:pPr>
      <w:r w:rsidRPr="00CF64F3">
        <w:t>42.</w:t>
      </w:r>
      <w:r w:rsidRPr="00CF64F3">
        <w:tab/>
        <w:t>Los profesionales del transporte están formados para prestar asistencia a los viajeros con necesidades especiales</w:t>
      </w:r>
      <w:r w:rsidRPr="00CF64F3">
        <w:rPr>
          <w:rStyle w:val="FootnoteReference"/>
        </w:rPr>
        <w:footnoteReference w:id="56"/>
      </w:r>
      <w:r w:rsidRPr="00CF64F3">
        <w:t>. La Autoridad de Transporte Terrestre colaborará con los operadores de transporte público con miras a mejorar la formación del personal de atención a los viajeros en las estaciones de la red de transporte público rápido, los intercambiadores de autobuses y los centros integrados de transporte. Los operadores de transporte público también han tomado la iniciativa de formar y mejorar las competencias de sus trabajadores, entre otros medios, colaborando con organizaciones de personas con discapacidad</w:t>
      </w:r>
      <w:r w:rsidRPr="00CF64F3">
        <w:rPr>
          <w:rStyle w:val="FootnoteReference"/>
        </w:rPr>
        <w:footnoteReference w:id="57"/>
      </w:r>
      <w:r w:rsidRPr="00CF64F3">
        <w:t>.</w:t>
      </w:r>
    </w:p>
    <w:p w14:paraId="2AE3B12C" w14:textId="33533925" w:rsidR="00CF64F3" w:rsidRPr="00CF64F3" w:rsidRDefault="00CF64F3" w:rsidP="00CF64F3">
      <w:pPr>
        <w:pStyle w:val="SingleTxtG"/>
      </w:pPr>
      <w:r w:rsidRPr="00CF64F3">
        <w:t>43.</w:t>
      </w:r>
      <w:r w:rsidRPr="00CF64F3">
        <w:tab/>
        <w:t>El Consejo de Transporte Público consulta periódicamente a los viajeros con necesidades especiales para introducir mejoras en el sistema de transporte</w:t>
      </w:r>
      <w:r w:rsidRPr="00CF64F3">
        <w:rPr>
          <w:rStyle w:val="FootnoteReference"/>
        </w:rPr>
        <w:footnoteReference w:id="58"/>
      </w:r>
      <w:r w:rsidRPr="00CF64F3">
        <w:t xml:space="preserve">. En 2018, la Autoridad de Transporte Terrestre recabó las opiniones de más de 7.400 singapurenses sobre el futuro sistema de transporte terrestre del país, lo que dio como resultado el Plan Maestro de Transporte Terrestre 2040, que incorpora recomendaciones para un sistema de transporte </w:t>
      </w:r>
      <w:r w:rsidRPr="00CF64F3">
        <w:lastRenderedPageBreak/>
        <w:t>terrestre más inclusivo, especialmente para satisfacer las necesidades de las personas mayores, las personas con discapacidad y las familias con niños pequeños.</w:t>
      </w:r>
    </w:p>
    <w:p w14:paraId="7C10AE56" w14:textId="1AC41C88" w:rsidR="00CF64F3" w:rsidRPr="00CF64F3" w:rsidRDefault="00CF64F3" w:rsidP="00CF64F3">
      <w:pPr>
        <w:pStyle w:val="H23G"/>
      </w:pPr>
      <w:r>
        <w:tab/>
      </w:r>
      <w:r w:rsidRPr="00CF64F3">
        <w:tab/>
        <w:t>Accesibilidad del entorno construido</w:t>
      </w:r>
    </w:p>
    <w:p w14:paraId="26FD12C7" w14:textId="708749F2" w:rsidR="00CF64F3" w:rsidRPr="00CF64F3" w:rsidRDefault="00CF64F3" w:rsidP="00CF64F3">
      <w:pPr>
        <w:pStyle w:val="SingleTxtG"/>
      </w:pPr>
      <w:r w:rsidRPr="00CF64F3">
        <w:t>44.</w:t>
      </w:r>
      <w:r w:rsidRPr="00CF64F3">
        <w:tab/>
        <w:t>Singapur revisa periódicamente el Código de Accesibilidad, que establece los requisitos esenciales para hacer accesible el entorno construido. Entre los miembros del Comité de Revisión del Código, de carácter tripartito, figuran organizaciones de personas con discapacidad.</w:t>
      </w:r>
    </w:p>
    <w:p w14:paraId="55C627BF" w14:textId="112CC021" w:rsidR="00CF64F3" w:rsidRPr="00CF64F3" w:rsidRDefault="00CF64F3" w:rsidP="00CF64F3">
      <w:pPr>
        <w:pStyle w:val="SingleTxtG"/>
      </w:pPr>
      <w:r w:rsidRPr="00CF64F3">
        <w:t>45.</w:t>
      </w:r>
      <w:r w:rsidRPr="00CF64F3">
        <w:tab/>
        <w:t>El último Código de Accesibilidad, de julio de 2019</w:t>
      </w:r>
      <w:r w:rsidRPr="00CF64F3">
        <w:rPr>
          <w:rStyle w:val="FootnoteReference"/>
        </w:rPr>
        <w:footnoteReference w:id="59"/>
      </w:r>
      <w:r w:rsidRPr="00CF64F3">
        <w:t>, contiene nuevos requisitos obligatorios que mejoran la accesibilidad de los inodoros y los aparcamientos, entre otros lugares</w:t>
      </w:r>
      <w:r w:rsidRPr="00CF64F3">
        <w:rPr>
          <w:rStyle w:val="FootnoteReference"/>
        </w:rPr>
        <w:footnoteReference w:id="60"/>
      </w:r>
      <w:r w:rsidRPr="00CF64F3">
        <w:t>. Hasta agosto de 2020, unos 150 propietarios de edificios privados han recurrido al Fondo de Accesibilidad de la Dirección de Construcción y Obras a fin de adaptar sus edificios con elementos que la fomenten.</w:t>
      </w:r>
    </w:p>
    <w:p w14:paraId="2DEFA0DB" w14:textId="7CD36529" w:rsidR="00CF64F3" w:rsidRPr="00CF64F3" w:rsidRDefault="00CF64F3" w:rsidP="00CF64F3">
      <w:pPr>
        <w:pStyle w:val="SingleTxtG"/>
      </w:pPr>
      <w:r w:rsidRPr="00CF64F3">
        <w:t>46.</w:t>
      </w:r>
      <w:r w:rsidRPr="00CF64F3">
        <w:tab/>
        <w:t>En respuesta a los comentarios sobre los problemas de accesibilidad en el Distrito Comercial Central, la Dirección de Construcción y Obras puso en marcha en febrero de 2020 un grupo de trabajo comunitario formado por representantes de organizaciones de personas con discapacidad, el sector privado y organismos públicos, con objeto de que estudiara las deficiencias en materia de accesibilidad y propusiera soluciones.</w:t>
      </w:r>
    </w:p>
    <w:p w14:paraId="5CFABC8F" w14:textId="37676AE5" w:rsidR="00CF64F3" w:rsidRPr="00CF64F3" w:rsidRDefault="00CF64F3" w:rsidP="00CF64F3">
      <w:pPr>
        <w:pStyle w:val="H1G"/>
      </w:pPr>
      <w:r>
        <w:tab/>
      </w:r>
      <w:r w:rsidRPr="00CF64F3">
        <w:tab/>
        <w:t>Respuesta al párrafo 9 de la lista de cuestiones</w:t>
      </w:r>
    </w:p>
    <w:p w14:paraId="1A20B356" w14:textId="157CADDC" w:rsidR="00CF64F3" w:rsidRPr="00CF64F3" w:rsidRDefault="00CF64F3" w:rsidP="00CF64F3">
      <w:pPr>
        <w:pStyle w:val="SingleTxtG"/>
      </w:pPr>
      <w:r w:rsidRPr="00CF64F3">
        <w:t>47.</w:t>
      </w:r>
      <w:r w:rsidRPr="00CF64F3">
        <w:tab/>
        <w:t>La Fuerza de Defensa Civil de Singapur forma al personal de emergencia que trabaja en primera línea para que sean capaces de rescatar o evacuar a personas con discapacidad. Periódicamente se realizan simulacros de evacuación en caso de incendio en hogares y hospitales para que los equipos de emergencia y el personal se familiaricen con los métodos y procedimientos de evacuación. Las instalaciones clasificadas como instalaciones de riesgo para la movilidad</w:t>
      </w:r>
      <w:r w:rsidRPr="00CF64F3">
        <w:rPr>
          <w:rStyle w:val="FootnoteReference"/>
        </w:rPr>
        <w:footnoteReference w:id="61"/>
      </w:r>
      <w:r w:rsidRPr="00CF64F3">
        <w:t xml:space="preserve"> están obligadas a establecer un Equipo de Respuesta ante Emergencias en la Empresa de Nivel 1 y a elaborar planes de contingencia.</w:t>
      </w:r>
    </w:p>
    <w:p w14:paraId="738CA79B" w14:textId="6B267C27" w:rsidR="00CF64F3" w:rsidRPr="00CF64F3" w:rsidRDefault="00CF64F3" w:rsidP="00CF64F3">
      <w:pPr>
        <w:pStyle w:val="SingleTxtG"/>
      </w:pPr>
      <w:r w:rsidRPr="00CF64F3">
        <w:t>48.</w:t>
      </w:r>
      <w:r w:rsidRPr="00CF64F3">
        <w:tab/>
        <w:t>El Código de Incendios, que se aplica a la mayoría de los edificios, exige que se preste especial atención a la evacuación de las personas con discapacidad. También requiere la existencia de rutas de salida y ascensores contra incendios fácilmente visibles y accesibles para los usuarios de sillas de ruedas, puntos de espera claramente designados en cada planta que sirvan como refugios temporales para que las personas con discapacidad puedan esperar ayuda y alarmas visuales en lugares designados que alerten a las personas sordas y con problemas de audición. Se establecieron estos requisitos tras consultar a las organizaciones de personas con discapacidad.</w:t>
      </w:r>
    </w:p>
    <w:p w14:paraId="7606DC71" w14:textId="3E75DCF4" w:rsidR="00CF64F3" w:rsidRPr="00CF64F3" w:rsidRDefault="00CF64F3" w:rsidP="00CF64F3">
      <w:pPr>
        <w:pStyle w:val="SingleTxtG"/>
      </w:pPr>
      <w:r w:rsidRPr="00CF64F3">
        <w:t>49.</w:t>
      </w:r>
      <w:r w:rsidRPr="00CF64F3">
        <w:tab/>
        <w:t xml:space="preserve">Si los evacuados se quedan sin hogar en situaciones de emergencia, el Ministerio para el Desarrollo Social y Familiar les proporciona un refugio temporal y coordina el </w:t>
      </w:r>
      <w:r w:rsidRPr="00CF64F3">
        <w:lastRenderedPageBreak/>
        <w:t>realojamiento</w:t>
      </w:r>
      <w:r w:rsidRPr="00CF64F3">
        <w:rPr>
          <w:rStyle w:val="FootnoteReference"/>
        </w:rPr>
        <w:footnoteReference w:id="62"/>
      </w:r>
      <w:r w:rsidRPr="00CF64F3">
        <w:t>. Los refugios temporales tendrán en cuenta las necesidades de las personas vulnerables siempre que sea posible; por ejemplo, dispondrán de zonas más amplias para las personas con problemas de movilidad o que utilizan ayudas para la movilidad. Se dan directrices al personal sobre cómo trabajar con personas con discapacidad.</w:t>
      </w:r>
    </w:p>
    <w:p w14:paraId="0043D410" w14:textId="4AAA4EFD" w:rsidR="00CF64F3" w:rsidRPr="00CF64F3" w:rsidRDefault="00CF64F3" w:rsidP="00CF64F3">
      <w:pPr>
        <w:pStyle w:val="SingleTxtG"/>
      </w:pPr>
      <w:r w:rsidRPr="00CF64F3">
        <w:t>50.</w:t>
      </w:r>
      <w:r w:rsidRPr="00CF64F3">
        <w:tab/>
        <w:t>El Gobierno creó el Grupo de Trabajo sobre la Calima, de carácter interinstitucional, con objeto de supervisar la labor para minimizar y gestionar los efectos de la calima en la población. Los planes de acción y los avisos que difunden los organismos del Grupo de Trabajo a fin de proteger la salud y el bienestar de la población toman en consideración a los grupos vulnerables, incluidos quienes tienen problemas de movilidad o se encuentran muy enfermos</w:t>
      </w:r>
      <w:r w:rsidRPr="00CF64F3">
        <w:rPr>
          <w:rStyle w:val="FootnoteReference"/>
        </w:rPr>
        <w:footnoteReference w:id="63"/>
      </w:r>
      <w:r w:rsidRPr="00CF64F3">
        <w:t>.</w:t>
      </w:r>
    </w:p>
    <w:p w14:paraId="452B2AC6" w14:textId="02A50B4B" w:rsidR="00CF64F3" w:rsidRPr="00CF64F3" w:rsidRDefault="00CF64F3" w:rsidP="00CF64F3">
      <w:pPr>
        <w:pStyle w:val="SingleTxtG"/>
      </w:pPr>
      <w:r w:rsidRPr="00CF64F3">
        <w:t>51.</w:t>
      </w:r>
      <w:r w:rsidRPr="00CF64F3">
        <w:tab/>
        <w:t>En su respuesta a la COVID-19, Singapur ha adoptado un enfoque centrado en el ser humano. A lo largo de los años se han reforzado las redes de seguridad social, y ahora se ha actuado con rapidez para poner en marcha planes de ayuda adicionales</w:t>
      </w:r>
      <w:r w:rsidRPr="00CF64F3">
        <w:rPr>
          <w:rStyle w:val="FootnoteReference"/>
        </w:rPr>
        <w:footnoteReference w:id="64"/>
      </w:r>
      <w:r w:rsidRPr="00CF64F3">
        <w:t xml:space="preserve"> con objeto de ayudar a los hogares de ingresos bajos y medios que se han visto afectados por la pandemia. Se han mantenido conversaciones activas con las principales partes interesadas en el ámbito de la discapacidad a fin de identificar las dificultades existentes y hacerles frente de manera conjunta. Esto incluye ponerse en contacto regularmente con los usuarios de los servicios para personas con discapacidad, prestar asistencia a las familias que se enfrentan a dificultades en el ámbito de los cuidados, hacer entregas de alimentos y brindar apoyo en efectivo a personas y familias vulnerables</w:t>
      </w:r>
      <w:r w:rsidRPr="00CF64F3">
        <w:rPr>
          <w:rStyle w:val="FootnoteReference"/>
        </w:rPr>
        <w:footnoteReference w:id="65"/>
      </w:r>
      <w:r w:rsidRPr="00CF64F3">
        <w:t>. En la primera línea, se ha sensibilizado a los agentes del orden en lo relativo a las dificultades que pueden tener las personas con discapacidad para cumplir las medidas de distanciamiento seguro, alentándolos a que sean flexibles si las circunstancias así lo requieren. También se ha trabajado con asociados para explorar formas de mejorar la accesibilidad de las comunicaciones públicas y se ha incluido a las personas con discapacidad en medidas de apoyo nacionales más amplias, como la creación de una línea de trabajo dedicada al empleo de las personas con discapacidad en el marco del Consejo Nacional del Empleo. Durante la pandemia de COVID-19, se ha puesto en marcha un teléfono nacional de asistencia, disponible las 24 horas, a fin de brindar apoyo emocional y psicológico a cualquier persona que experimente niveles crecientes de angustia, como complemento a las plataformas existentes de ayuda psicológica telefónica y en línea.</w:t>
      </w:r>
    </w:p>
    <w:p w14:paraId="2414DA48" w14:textId="20A2AFBB" w:rsidR="00CF64F3" w:rsidRPr="00CF64F3" w:rsidRDefault="00CF64F3" w:rsidP="00CF64F3">
      <w:pPr>
        <w:pStyle w:val="H1G"/>
      </w:pPr>
      <w:bookmarkStart w:id="21" w:name="_Hlk48646710"/>
      <w:r>
        <w:tab/>
      </w:r>
      <w:r w:rsidRPr="00CF64F3">
        <w:tab/>
        <w:t>Respuesta al párrafo 10 de la lista de cuestiones</w:t>
      </w:r>
    </w:p>
    <w:p w14:paraId="4F06B0AE" w14:textId="3274FDCD" w:rsidR="00CF64F3" w:rsidRPr="00CF64F3" w:rsidRDefault="00CF64F3" w:rsidP="00CF64F3">
      <w:pPr>
        <w:pStyle w:val="SingleTxtG"/>
      </w:pPr>
      <w:r w:rsidRPr="00CF64F3">
        <w:t>52.</w:t>
      </w:r>
      <w:r w:rsidRPr="00CF64F3">
        <w:tab/>
        <w:t>La Ley de Capacidad Mental aspira a preservar la capacidad legal de una persona a través de sus principios fundamentales, entre los que se incluye que se deben haber tomado todas las medidas posibles para ayudar a una persona a tomar una decisión, sin éxito, antes de considerarla incapaz de tomar esa decisión, y que cualquier acto realizado o decisión tomada para una persona, o en su nombre, debe redundar en su interés superior. Para determinar el interés superior, deben tenerse en cuenta los deseos y sentimientos que la persona tiene o ha tenido</w:t>
      </w:r>
      <w:r w:rsidRPr="00CF64F3">
        <w:rPr>
          <w:rStyle w:val="FootnoteReference"/>
        </w:rPr>
        <w:footnoteReference w:id="66"/>
      </w:r>
      <w:r w:rsidRPr="00CF64F3">
        <w:t xml:space="preserve">, en la medida en que sean razonablemente determinables. Aun en </w:t>
      </w:r>
      <w:r w:rsidRPr="00CF64F3">
        <w:lastRenderedPageBreak/>
        <w:t>los casos en que tome las decisiones un representante con poder de decisión en nombre de la persona que carece de capacidad, este debe, en la medida en que sea razonablemente posible, permitir y alentar la participación de esa persona, o mejorar su capacidad de participación, lo más plenamente posible en cualquier acto realizado para ella y en cualquier decisión que la afecte. A finales de junio de 2020, había 2.237 órdenes judiciales por las que se designaban 3.179 representantes en virtud de la Ley de Capacidad Mental.</w:t>
      </w:r>
    </w:p>
    <w:p w14:paraId="4EB4E9B6" w14:textId="1C3C5C39" w:rsidR="00CF64F3" w:rsidRPr="00CF64F3" w:rsidRDefault="00CF64F3" w:rsidP="00CF64F3">
      <w:pPr>
        <w:pStyle w:val="SingleTxtG"/>
      </w:pPr>
      <w:r w:rsidRPr="00CF64F3">
        <w:t>53.</w:t>
      </w:r>
      <w:r w:rsidRPr="00CF64F3">
        <w:tab/>
        <w:t>Singapur no tiene la intención de eliminar las disposiciones de la Ley de Capacidad Mental que permiten a los representantes designados por los tribunales tomar decisiones en nombre de una persona que carece de capacidad, ya que esto conduciría a una igualdad superficial y podría afectar considerablemente a la toma de decisiones.</w:t>
      </w:r>
    </w:p>
    <w:p w14:paraId="0D76D78B" w14:textId="52AAAE87" w:rsidR="00CF64F3" w:rsidRPr="00CF64F3" w:rsidRDefault="00CF64F3" w:rsidP="00CF64F3">
      <w:pPr>
        <w:pStyle w:val="SingleTxtG"/>
      </w:pPr>
      <w:r w:rsidRPr="00CF64F3">
        <w:t>54.</w:t>
      </w:r>
      <w:r w:rsidRPr="00CF64F3">
        <w:tab/>
        <w:t>El propósito de las leyes de procedimiento penal de Singapur relativas a las personas acusadas o condenadas que tienen enfermedades mentales graves es lograr un equilibrio entre los derechos e intereses de estas personas y la necesidad de proteger a la población de los delitos graves. Por ejemplo, con arreglo al Código de Procedimiento Penal, se podrá poner en libertad a una persona que se considere demente e incapaz de defenderse</w:t>
      </w:r>
      <w:r w:rsidRPr="00CF64F3">
        <w:rPr>
          <w:rStyle w:val="FootnoteReference"/>
        </w:rPr>
        <w:footnoteReference w:id="67"/>
      </w:r>
      <w:r w:rsidRPr="00CF64F3">
        <w:t xml:space="preserve"> y que esté acusada de un delito que permita la puesta en libertad bajo fianza, siempre y cuando se ofrezcan suficientes garantías de que no va a suponer un riesgo para la seguridad</w:t>
      </w:r>
      <w:r w:rsidRPr="00CF64F3">
        <w:rPr>
          <w:rStyle w:val="FootnoteReference"/>
        </w:rPr>
        <w:footnoteReference w:id="68"/>
      </w:r>
      <w:r w:rsidRPr="00CF64F3">
        <w:t>. Si no se aportan esas garantías, o si la persona está acusada de cometer un delito que no admite la puesta en libertad bajo fianza, puede ser recluida en una institución psiquiátrica por orden del Ministro de Justicia.</w:t>
      </w:r>
    </w:p>
    <w:p w14:paraId="23379C9B" w14:textId="78F6573E" w:rsidR="00CF64F3" w:rsidRPr="00CF64F3" w:rsidRDefault="00CF64F3" w:rsidP="00CF64F3">
      <w:pPr>
        <w:pStyle w:val="SingleTxtG"/>
      </w:pPr>
      <w:r w:rsidRPr="00CF64F3">
        <w:t>55.</w:t>
      </w:r>
      <w:r w:rsidRPr="00CF64F3">
        <w:tab/>
        <w:t xml:space="preserve">Existen salvaguardias contra los abusos. Se deberá visitar cada seis meses a todo acusado que se encuentre en estado mental de demencia y sea incapaz de defenderse y que haya sido internado en una institución psiquiátrica, a fin de comprobar su estado mental, y se enviará un informe al Ministro de Justicia. El Ministro podrá ordenar la puesta en libertad de esa persona si se considera que ello no plantea el riesgo de que </w:t>
      </w:r>
      <w:proofErr w:type="spellStart"/>
      <w:r w:rsidRPr="00CF64F3">
        <w:t>se</w:t>
      </w:r>
      <w:proofErr w:type="spellEnd"/>
      <w:r w:rsidRPr="00CF64F3">
        <w:t xml:space="preserve"> que se autolesione o lesione a otra persona. Las personas que consideren que han sido internadas injustificadamente en una institución psiquiátrica en aplicación del Código de Procedimiento Penal pueden impugnar su internamiento, por ejemplo solicitando la revisión judicial de las órdenes de internamiento del Ministro.</w:t>
      </w:r>
    </w:p>
    <w:p w14:paraId="277FA720" w14:textId="0F3A1F79" w:rsidR="00CF64F3" w:rsidRPr="00CF64F3" w:rsidRDefault="00CF64F3" w:rsidP="00CF64F3">
      <w:pPr>
        <w:pStyle w:val="SingleTxtG"/>
      </w:pPr>
      <w:r w:rsidRPr="00CF64F3">
        <w:t>56.</w:t>
      </w:r>
      <w:r w:rsidRPr="00CF64F3">
        <w:tab/>
        <w:t xml:space="preserve">La Ley de Prisiones permite al Comisario de Prisiones ordenar el traslado de los reclusos a un hospital psiquiátrico o a otro lugar de reclusión adecuado y seguro si un médico colegiado certifica que padecen </w:t>
      </w:r>
      <w:r>
        <w:t>“</w:t>
      </w:r>
      <w:r w:rsidRPr="00CF64F3">
        <w:t>trastornos mentales</w:t>
      </w:r>
      <w:r>
        <w:t>”</w:t>
      </w:r>
      <w:r w:rsidRPr="00CF64F3">
        <w:t>. En la práctica, se suele remitir a los reclusos que requieren tratamiento de salud mental al psiquiatra de la prisión. Posteriormente, si es necesario, pueden ser alojados en el pabellón psiquiátrico de la prisión para recibir un tratamiento más específico.</w:t>
      </w:r>
    </w:p>
    <w:bookmarkEnd w:id="21"/>
    <w:p w14:paraId="673B2EAB" w14:textId="085A21A7" w:rsidR="00CF64F3" w:rsidRPr="00CF64F3" w:rsidRDefault="00CF64F3" w:rsidP="00CF64F3">
      <w:pPr>
        <w:pStyle w:val="H1G"/>
      </w:pPr>
      <w:r>
        <w:tab/>
      </w:r>
      <w:r w:rsidRPr="00CF64F3">
        <w:tab/>
        <w:t>Respuesta al párrafo 11 de la lista de cuestiones</w:t>
      </w:r>
    </w:p>
    <w:p w14:paraId="647A513A" w14:textId="04C9C648" w:rsidR="00CF64F3" w:rsidRPr="00CF64F3" w:rsidRDefault="00CF64F3" w:rsidP="00CF64F3">
      <w:pPr>
        <w:pStyle w:val="H23G"/>
      </w:pPr>
      <w:bookmarkStart w:id="22" w:name="_Hlk50757056"/>
      <w:r>
        <w:tab/>
      </w:r>
      <w:r w:rsidRPr="00CF64F3">
        <w:tab/>
        <w:t>Acceso a la justicia y ajustes de procedimiento</w:t>
      </w:r>
    </w:p>
    <w:bookmarkEnd w:id="22"/>
    <w:p w14:paraId="438B089E" w14:textId="659637D6" w:rsidR="00CF64F3" w:rsidRPr="00CF64F3" w:rsidRDefault="00CF64F3" w:rsidP="00CF64F3">
      <w:pPr>
        <w:pStyle w:val="SingleTxtG"/>
      </w:pPr>
      <w:r w:rsidRPr="00CF64F3">
        <w:t>57.</w:t>
      </w:r>
      <w:r w:rsidRPr="00CF64F3">
        <w:tab/>
        <w:t xml:space="preserve">Existen ajustes de procedimiento que facilitan el acceso efectivo a la justicia de las personas con discapacidad en todas las fases de las actuaciones judiciales. Se forma a los </w:t>
      </w:r>
      <w:r w:rsidRPr="00CF64F3">
        <w:lastRenderedPageBreak/>
        <w:t>miembros de la policía para que sepan identificar a los sospechosos y testigos que tienen alguna discapacidad mental y para que tomen medidas encaminadas a reducir el trauma que experimentan a lo largo de las investigaciones. Los agentes entrevistan a estos delincuentes con objeto de evaluar su capacidad intelectual y hablan con sus familiares para conocer mejor sus antecedentes y su estado físico y mental.</w:t>
      </w:r>
    </w:p>
    <w:p w14:paraId="47D67A7A" w14:textId="516E1061" w:rsidR="00CF64F3" w:rsidRPr="00CF64F3" w:rsidRDefault="00CF64F3" w:rsidP="00CF64F3">
      <w:pPr>
        <w:pStyle w:val="SingleTxtG"/>
      </w:pPr>
      <w:r w:rsidRPr="00CF64F3">
        <w:t>58.</w:t>
      </w:r>
      <w:r w:rsidRPr="00CF64F3">
        <w:tab/>
        <w:t xml:space="preserve">En 2015 Singapur implantó el Plan de Adultos Capacitados para personas con discapacidad mental en el conjunto de los cuerpos de seguridad de todo el país. Con arreglo a este plan, las fuerzas del orden pueden designar un </w:t>
      </w:r>
      <w:r>
        <w:t>“</w:t>
      </w:r>
      <w:r w:rsidRPr="00CF64F3">
        <w:t>adulto capacitado</w:t>
      </w:r>
      <w:r>
        <w:t>”</w:t>
      </w:r>
      <w:r w:rsidRPr="00CF64F3">
        <w:t xml:space="preserve"> para que actúe de enlace entre el agente que lleva a</w:t>
      </w:r>
      <w:r w:rsidR="00DD3D2B">
        <w:t xml:space="preserve"> </w:t>
      </w:r>
      <w:r w:rsidRPr="00CF64F3">
        <w:t>cabo la investigación y una persona de la que se presume que tiene una discapacidad mental, independientemente de que esta sea sospechosa, víctima o testigo. Durante la entrevista, el adulto capacitado está atento a los signos de angustia, apoya el bienestar emocional de la persona y facilita la comunicación.</w:t>
      </w:r>
    </w:p>
    <w:p w14:paraId="0A257570" w14:textId="57CB9D7A" w:rsidR="00CF64F3" w:rsidRPr="00CF64F3" w:rsidRDefault="00CF64F3" w:rsidP="00CF64F3">
      <w:pPr>
        <w:pStyle w:val="SingleTxtG"/>
      </w:pPr>
      <w:r w:rsidRPr="00CF64F3">
        <w:t>59.</w:t>
      </w:r>
      <w:r w:rsidRPr="00CF64F3">
        <w:tab/>
        <w:t>Se ofrece asistencia jurídica a las personas con recursos limitados por diferentes cauces, como la asistencia jurídica financiada por la administración y las iniciativas de la Asociación de Juristas de Singapur y de varios organismos de servicios sociales. A la hora de evaluar a los solicitantes de asistencia jurídica, se puede prestar especial atención a las personas con discapacidad si tienen necesidades financieras adicionales. Los solicitantes de asistencia jurídica en asuntos civiles y penales utilizan las instalaciones del Centro de Servicios del Ministerio de Justicia y de los Tribunales del Estado, respectivamente, que en ambos casos tienen un acceso libre de obstáculos. Además, dos mostradores del Centro de Servicios del Ministerio de Justicia están equipados con tecnología de apoyo para personas sordas o con problemas de audición.</w:t>
      </w:r>
    </w:p>
    <w:p w14:paraId="5A16F85E" w14:textId="0508DC68" w:rsidR="00CF64F3" w:rsidRPr="00CF64F3" w:rsidRDefault="00CF64F3" w:rsidP="00CF64F3">
      <w:pPr>
        <w:pStyle w:val="SingleTxtG"/>
      </w:pPr>
      <w:bookmarkStart w:id="23" w:name="_Hlk51929165"/>
      <w:r w:rsidRPr="00CF64F3">
        <w:t>60.</w:t>
      </w:r>
      <w:r w:rsidRPr="00CF64F3">
        <w:tab/>
        <w:t>Para fomentar el acceso de los reclusos con discapacidad a los recursos jurídicos, las instituciones penitenciarias facilitan la provisión de ayudas técnicas, como andadores y audífonos, así como el acceso a intérpretes de lengua de señas</w:t>
      </w:r>
      <w:r w:rsidRPr="00CF64F3">
        <w:rPr>
          <w:rStyle w:val="FootnoteReference"/>
        </w:rPr>
        <w:footnoteReference w:id="69"/>
      </w:r>
      <w:r w:rsidRPr="00CF64F3">
        <w:t xml:space="preserve"> contratados por los abogados de los reclusos o, en el caso de personas de nacionalidad extranjera, por las embajadas.</w:t>
      </w:r>
      <w:bookmarkStart w:id="24" w:name="_Hlk50756133"/>
      <w:bookmarkEnd w:id="23"/>
    </w:p>
    <w:p w14:paraId="3E430E35" w14:textId="3FFC34E2" w:rsidR="00CF64F3" w:rsidRPr="00CF64F3" w:rsidRDefault="00CF64F3" w:rsidP="00CF64F3">
      <w:pPr>
        <w:pStyle w:val="SingleTxtG"/>
      </w:pPr>
      <w:bookmarkStart w:id="25" w:name="_Hlk51755141"/>
      <w:r w:rsidRPr="00CF64F3">
        <w:t>61.</w:t>
      </w:r>
      <w:r w:rsidRPr="00CF64F3">
        <w:tab/>
        <w:t>El Código de Procedimiento Penal contiene disposiciones que establecen que las personas que se encuentran en estado de demencia y son incapaces de defenderse ante un tribunal han de recibir un trato justo y tener acceso a tratamientos</w:t>
      </w:r>
      <w:r w:rsidRPr="00CF64F3">
        <w:rPr>
          <w:rStyle w:val="FootnoteReference"/>
        </w:rPr>
        <w:footnoteReference w:id="70"/>
      </w:r>
      <w:r w:rsidRPr="00CF64F3">
        <w:t>. Solo las personas aptas para declarar pueden ser juzgadas ante un tribunal.</w:t>
      </w:r>
    </w:p>
    <w:bookmarkEnd w:id="24"/>
    <w:bookmarkEnd w:id="25"/>
    <w:p w14:paraId="2D84DBD9" w14:textId="4985974B" w:rsidR="00CF64F3" w:rsidRPr="00CF64F3" w:rsidRDefault="00CF64F3" w:rsidP="00CF64F3">
      <w:pPr>
        <w:pStyle w:val="H23G"/>
      </w:pPr>
      <w:r>
        <w:tab/>
      </w:r>
      <w:r w:rsidRPr="00CF64F3">
        <w:tab/>
        <w:t>Acceso al sistema judicial como profesionales y testigos</w:t>
      </w:r>
    </w:p>
    <w:p w14:paraId="5CF2F071" w14:textId="250A063E" w:rsidR="00CF64F3" w:rsidRPr="00CF64F3" w:rsidRDefault="00CF64F3" w:rsidP="00CF64F3">
      <w:pPr>
        <w:pStyle w:val="SingleTxtG"/>
      </w:pPr>
      <w:r w:rsidRPr="00CF64F3">
        <w:t>62.</w:t>
      </w:r>
      <w:r w:rsidRPr="00CF64F3">
        <w:tab/>
        <w:t>Las personas con discapacidad pueden estudiar Derecho en la facultad, entrar en el Colegio de Abogados y ejercer la profesión en las mismas condiciones que cualquier otra persona. Las tres universidades autónomas que ofrecen titulaciones de derecho en Singapur</w:t>
      </w:r>
      <w:r w:rsidRPr="00CF64F3">
        <w:rPr>
          <w:rStyle w:val="FootnoteReference"/>
        </w:rPr>
        <w:footnoteReference w:id="71"/>
      </w:r>
      <w:r w:rsidRPr="00CF64F3">
        <w:t xml:space="preserve"> proporcionan servicios para personas con discapacidad a todos los estudiantes, como ajustes curriculares y para la realización de exámenes y acceso a las instalaciones del campus.</w:t>
      </w:r>
    </w:p>
    <w:p w14:paraId="6EFF0C5E" w14:textId="2EC522BD" w:rsidR="00CF64F3" w:rsidRPr="00CF64F3" w:rsidRDefault="00CF64F3" w:rsidP="00CF64F3">
      <w:pPr>
        <w:pStyle w:val="H1G"/>
      </w:pPr>
      <w:r>
        <w:tab/>
      </w:r>
      <w:r w:rsidRPr="00CF64F3">
        <w:tab/>
        <w:t>Respuesta al párrafo 12 de la lista de cuestiones</w:t>
      </w:r>
    </w:p>
    <w:p w14:paraId="498A72E0" w14:textId="5BD26C93" w:rsidR="00CF64F3" w:rsidRPr="00CF64F3" w:rsidRDefault="00CF64F3" w:rsidP="00CF64F3">
      <w:pPr>
        <w:pStyle w:val="H23G"/>
      </w:pPr>
      <w:r>
        <w:tab/>
      </w:r>
      <w:r w:rsidRPr="00CF64F3">
        <w:tab/>
        <w:t>Consentimiento para la administración de tratamientos médicos</w:t>
      </w:r>
    </w:p>
    <w:p w14:paraId="5F65D79C" w14:textId="29C18935" w:rsidR="00CF64F3" w:rsidRPr="00CF64F3" w:rsidRDefault="00CF64F3" w:rsidP="00CF64F3">
      <w:pPr>
        <w:pStyle w:val="SingleTxtG"/>
      </w:pPr>
      <w:r w:rsidRPr="00CF64F3">
        <w:t>63.</w:t>
      </w:r>
      <w:r w:rsidRPr="00CF64F3">
        <w:tab/>
        <w:t>Cuando un médico administra un tratamiento a un paciente que carece de capacidad mental, se aplican las disposiciones de la Ley de Capacidad Mental</w:t>
      </w:r>
      <w:r w:rsidRPr="00CF64F3">
        <w:rPr>
          <w:rStyle w:val="FootnoteReference"/>
        </w:rPr>
        <w:footnoteReference w:id="72"/>
      </w:r>
      <w:r w:rsidRPr="00CF64F3">
        <w:t xml:space="preserve">. En el caso concreto de la esterilización de personas con discapacidad, se aplica la Ley de Esterilización Voluntaria: un médico colegiado solo puede practicar la esterilización sexual a una persona si esta da su </w:t>
      </w:r>
      <w:r w:rsidRPr="00CF64F3">
        <w:lastRenderedPageBreak/>
        <w:t>consentimiento. Si la persona carece de capacidad para dar su consentimiento</w:t>
      </w:r>
      <w:r w:rsidRPr="00CF64F3">
        <w:rPr>
          <w:rStyle w:val="FootnoteReference"/>
        </w:rPr>
        <w:footnoteReference w:id="73"/>
      </w:r>
      <w:r w:rsidRPr="00CF64F3">
        <w:t>, la esterilización sexual solo se permite si previamente se emite una orden judicial en la que se declare que es necesaria para el interés superior de esa persona</w:t>
      </w:r>
      <w:r w:rsidRPr="00CF64F3">
        <w:rPr>
          <w:rStyle w:val="FootnoteReference"/>
        </w:rPr>
        <w:footnoteReference w:id="74"/>
      </w:r>
      <w:r w:rsidRPr="00CF64F3">
        <w:t>. Obligar o inducir a una persona mediante coacción o intimidación a que se someta a un tratamiento de esterilización sexual constituye delito con arreglo a la Ley de Capacidad Mental. Desde 2012, no se han emitido órdenes judiciales para la esterilización de personas que carecen de capacidad mental.</w:t>
      </w:r>
    </w:p>
    <w:p w14:paraId="610D6C83" w14:textId="00B975F2" w:rsidR="00CF64F3" w:rsidRPr="00CF64F3" w:rsidRDefault="00CF64F3" w:rsidP="00CF64F3">
      <w:pPr>
        <w:pStyle w:val="SingleTxtG"/>
      </w:pPr>
      <w:r w:rsidRPr="00CF64F3">
        <w:t>64.</w:t>
      </w:r>
      <w:r w:rsidRPr="00CF64F3">
        <w:tab/>
        <w:t>La reclusión de pacientes en el Instituto de Salud Mental en aplicación de la Ley de Atención y Tratamiento de Salud Mental solo se aplica en circunstancias muy limitadas, cuando existe el peligro de que un paciente con enfermedad mental se dañe a sí mismo o a otros. Existen salvaguardias para evitar el ingreso involuntario de los pacientes cuando no es necesario. Solo los médicos designados pueden recomendar el ingreso involuntario de una persona. Los pacientes recluidos también deben ser evaluados por otros médicos designados en caso de que se precise prolongar su ingreso involuntario. Cualquier reclusión que supere los seis meses requiere que el director de la institución psiquiátrica presente un informe a los inspectores</w:t>
      </w:r>
      <w:r w:rsidRPr="00CF64F3">
        <w:rPr>
          <w:rStyle w:val="FootnoteReference"/>
        </w:rPr>
        <w:footnoteReference w:id="75"/>
      </w:r>
      <w:r w:rsidRPr="00CF64F3">
        <w:t xml:space="preserve"> y una orden judicial. En caso de no ajustarse a la Ley de Atención y Tratamiento de Salud Mental, la reclusión de una persona en una institución psiquiátrica es un delito sancionable con una multa o una pena de prisión.</w:t>
      </w:r>
    </w:p>
    <w:p w14:paraId="5B08CC8F" w14:textId="65EE8786" w:rsidR="00CF64F3" w:rsidRPr="00CF64F3" w:rsidRDefault="00CF64F3" w:rsidP="00CF64F3">
      <w:pPr>
        <w:pStyle w:val="H23G"/>
      </w:pPr>
      <w:r>
        <w:tab/>
      </w:r>
      <w:r w:rsidRPr="00CF64F3">
        <w:tab/>
        <w:t>Esfuerzos para reducir la institucionalización y fomentar la vida independiente</w:t>
      </w:r>
    </w:p>
    <w:p w14:paraId="7B9C6429" w14:textId="0AD20BE2" w:rsidR="00CF64F3" w:rsidRPr="00CF64F3" w:rsidRDefault="00CF64F3" w:rsidP="00CF64F3">
      <w:pPr>
        <w:pStyle w:val="SingleTxtG"/>
      </w:pPr>
      <w:r w:rsidRPr="00CF64F3">
        <w:t>65.</w:t>
      </w:r>
      <w:r w:rsidRPr="00CF64F3">
        <w:tab/>
        <w:t>Singapur alienta enérgicamente la vida en comunidad para las personas con discapacidad y ofrece modalidades habitacionales financiadas por la administración, como los pisos comunitarios</w:t>
      </w:r>
      <w:r w:rsidRPr="00CF64F3">
        <w:rPr>
          <w:rStyle w:val="FootnoteReference"/>
        </w:rPr>
        <w:footnoteReference w:id="76"/>
      </w:r>
      <w:r w:rsidRPr="00CF64F3">
        <w:t xml:space="preserve"> y los albergues para personas adultas con discapacidad</w:t>
      </w:r>
      <w:r w:rsidRPr="00CF64F3">
        <w:rPr>
          <w:rStyle w:val="FootnoteReference"/>
        </w:rPr>
        <w:footnoteReference w:id="77"/>
      </w:r>
      <w:r w:rsidRPr="00CF64F3">
        <w:t>. También existen varias prestaciones para el transporte y las tecnologías de apoyo que fomentan la independencia de las personas con discapacidad y se brinda apoyo a los cuidadores</w:t>
      </w:r>
      <w:r w:rsidRPr="00CF64F3">
        <w:rPr>
          <w:rStyle w:val="FootnoteReference"/>
        </w:rPr>
        <w:footnoteReference w:id="78"/>
      </w:r>
      <w:r w:rsidRPr="00CF64F3">
        <w:t>. Como último recurso, las personas con discapacidad pueden ingresar voluntariamente en los hogares para personas adultas con discapacidad. También es posible ingresar a estas personas a instancias de sus cuidadores, si se considera que carecen de capacidad mental, o en virtud de una orden judicial de internamiento en un lugar de atención y protección temporal con arreglo a la Ley de Adultos Vulnerables</w:t>
      </w:r>
      <w:r w:rsidRPr="00CF64F3">
        <w:rPr>
          <w:rStyle w:val="FootnoteReference"/>
        </w:rPr>
        <w:footnoteReference w:id="79"/>
      </w:r>
      <w:r w:rsidRPr="00CF64F3">
        <w:t>. Desde 2019, más de 800 usuarios han ingresado voluntariamente en hogares para adultos con discapacidad, y solo en dos ocasiones se hizo en aplicación de una orden judicial con arreglo a la Ley de Adultos Vulnerables.</w:t>
      </w:r>
    </w:p>
    <w:p w14:paraId="39BB6D69" w14:textId="77777777" w:rsidR="00CF64F3" w:rsidRPr="00CF64F3" w:rsidRDefault="00CF64F3" w:rsidP="00CF64F3">
      <w:pPr>
        <w:pStyle w:val="SingleTxtG"/>
      </w:pPr>
      <w:r w:rsidRPr="00CF64F3">
        <w:t>66.</w:t>
      </w:r>
      <w:r w:rsidRPr="00CF64F3">
        <w:tab/>
        <w:t xml:space="preserve">Singapur ha incrementado los servicios comunitarios de salud mental y ha reforzado la atención posterior al alta de los pacientes con trastornos mentales en el marco del Plan Maestro de Salud Mental Comunitaria. Se han creado servicios de salud mental en más de la </w:t>
      </w:r>
      <w:r w:rsidRPr="00CF64F3">
        <w:lastRenderedPageBreak/>
        <w:t>mitad de los centros de salud del país, al tiempo que se han establecido equipos de intervención en la comunidad integrados por profesionales de la salud asociados a fin de proporcionar servicios de intervención terapéutica psicosocial, terapia psicológica y psicoeducación a la comunidad</w:t>
      </w:r>
      <w:r w:rsidRPr="00CF64F3">
        <w:rPr>
          <w:rStyle w:val="FootnoteReference"/>
        </w:rPr>
        <w:footnoteReference w:id="80"/>
      </w:r>
      <w:r w:rsidRPr="00CF64F3">
        <w:t>. Además, el Ministerio de Salud ha proporcionado recursos adicionales al Instituto de Salud Mental para ampliar su apoyo a la gestión asistencial, de modo que un mayor número de pacientes del Instituto reciban apoyo tras el alta y que la vuelta al hogar se desarrolle de manera satisfactoria. Estos esfuerzos se tradujeron en una reducción de la institucionalización de personas con problemas de salud mental.</w:t>
      </w:r>
    </w:p>
    <w:p w14:paraId="66611A00" w14:textId="283ECABA" w:rsidR="00CF64F3" w:rsidRPr="00CF64F3" w:rsidRDefault="00CF64F3" w:rsidP="00CF64F3">
      <w:pPr>
        <w:pStyle w:val="H1G"/>
      </w:pPr>
      <w:r>
        <w:tab/>
      </w:r>
      <w:r w:rsidRPr="00CF64F3">
        <w:tab/>
        <w:t>Respuesta al párrafo 13 de la lista de cuestiones</w:t>
      </w:r>
    </w:p>
    <w:p w14:paraId="362F6F6E" w14:textId="0BF40E27" w:rsidR="00CF64F3" w:rsidRPr="00CF64F3" w:rsidRDefault="00CF64F3" w:rsidP="00CF64F3">
      <w:pPr>
        <w:pStyle w:val="SingleTxtG"/>
      </w:pPr>
      <w:r w:rsidRPr="00CF64F3">
        <w:t>67.</w:t>
      </w:r>
      <w:r w:rsidRPr="00CF64F3">
        <w:tab/>
        <w:t>Los funcionarios del Servicio Penitenciario de Singapur están formados para trabajar con poblaciones vulnerables, incluidas las personas con discapacidad. El Servicio Penitenciario también ofrece oportunidades de rehabilitación a los delincuentes con discapacidad intelectual en los casos en que esto es posible, especialmente en el ámbito de las habilidades para la vida que mejoran su desempeño en las actividades cotidianas. Todos los reclusos están alojados en unidades con fácil acceso al personal médico. Cuando es necesario, los médicos de la prisión los trasladan a pabellones médicos para una vigilancia más estrecha. En la medida de lo posible, se instala a los reclusos con discapacidad física en las plantas inferiores para evitar las escaleras. También se pueden seleccionar compañeros de celda adecuados para que los asistan en sus actividades diarias.</w:t>
      </w:r>
    </w:p>
    <w:p w14:paraId="54D2AB59" w14:textId="2CCF93B5" w:rsidR="00CF64F3" w:rsidRPr="00CF64F3" w:rsidRDefault="00CF64F3" w:rsidP="00CF64F3">
      <w:pPr>
        <w:pStyle w:val="SingleTxtG"/>
      </w:pPr>
      <w:r w:rsidRPr="00CF64F3">
        <w:t>68.</w:t>
      </w:r>
      <w:r w:rsidRPr="00CF64F3">
        <w:tab/>
        <w:t>En la gran mayoría de los casos, no se somete a los reclusos a tratamientos involuntarios. Si se considera que un recluso es un peligro para su propia seguridad por motivos psiquiátricos, será remitido al psiquiatra de la prisión para que lo evalúe y pueda recibir la atención de la salud mental que precise.</w:t>
      </w:r>
    </w:p>
    <w:p w14:paraId="31044DC0" w14:textId="032358C4" w:rsidR="00CF64F3" w:rsidRPr="00CF64F3" w:rsidRDefault="00CF64F3" w:rsidP="00CF64F3">
      <w:pPr>
        <w:pStyle w:val="H1G"/>
      </w:pPr>
      <w:r>
        <w:tab/>
      </w:r>
      <w:r w:rsidRPr="00CF64F3">
        <w:tab/>
        <w:t>Respuesta al párrafo 14 de la lista de cuestiones</w:t>
      </w:r>
    </w:p>
    <w:p w14:paraId="0D277F1E" w14:textId="4D396163" w:rsidR="00CF64F3" w:rsidRPr="00CF64F3" w:rsidRDefault="00CF64F3" w:rsidP="00CF64F3">
      <w:pPr>
        <w:pStyle w:val="SingleTxtG"/>
      </w:pPr>
      <w:r w:rsidRPr="00CF64F3">
        <w:t>69.</w:t>
      </w:r>
      <w:r w:rsidRPr="00CF64F3">
        <w:tab/>
        <w:t>Singapur modificó recientemente el Código Penal para reforzar la legislación en materia penal a fin de prevenir y combatir la explotación, la violencia y el maltrato infligidos a personas con discapacidad. En primer lugar, en los casos en que se cometan determinados delitos contra personas vulnerables</w:t>
      </w:r>
      <w:r w:rsidRPr="00CF64F3">
        <w:rPr>
          <w:rStyle w:val="FootnoteReference"/>
        </w:rPr>
        <w:footnoteReference w:id="81"/>
      </w:r>
      <w:r w:rsidRPr="00CF64F3">
        <w:t>, el tribunal podrá imponerle al autor una pena ampliada, de hasta el doble de la pena máxima. En segundo lugar, los artículos 304B y 304C tipifican el hecho de causar la muerte de una persona vulnerable por maltrato continuado y el hecho de causar o permitir la muerte de una persona vulnerable en el mismo hogar</w:t>
      </w:r>
      <w:r w:rsidRPr="00CF64F3">
        <w:rPr>
          <w:rStyle w:val="FootnoteReference"/>
        </w:rPr>
        <w:footnoteReference w:id="82"/>
      </w:r>
      <w:r w:rsidRPr="00CF64F3">
        <w:t xml:space="preserve">. En tercer lugar, el artículo 376F tipifica </w:t>
      </w:r>
      <w:bookmarkStart w:id="26" w:name="_Hlk73951309"/>
      <w:r w:rsidRPr="00CF64F3">
        <w:t>la prostitución de personas con discapacidad mental.</w:t>
      </w:r>
    </w:p>
    <w:bookmarkEnd w:id="26"/>
    <w:p w14:paraId="3F445680" w14:textId="308E26F4" w:rsidR="00CF64F3" w:rsidRPr="00CF64F3" w:rsidRDefault="00CF64F3" w:rsidP="00CF64F3">
      <w:pPr>
        <w:pStyle w:val="SingleTxtG"/>
      </w:pPr>
      <w:r w:rsidRPr="00CF64F3">
        <w:t>70.</w:t>
      </w:r>
      <w:r w:rsidRPr="00CF64F3">
        <w:tab/>
        <w:t>Según la Ley de Atención y Tratamiento de Salud Mental, el maltrato</w:t>
      </w:r>
      <w:r w:rsidRPr="00CF64F3">
        <w:rPr>
          <w:rStyle w:val="FootnoteReference"/>
        </w:rPr>
        <w:footnoteReference w:id="83"/>
      </w:r>
      <w:r w:rsidRPr="00CF64F3">
        <w:t xml:space="preserve"> a pacientes de las instituciones psiquiátricas por parte del personal médico, de enfermería o auxiliar o de cualquier otro empleado de una institución psiquiátrica constituye delito. La Ley de Protección contra el Acoso, promulgada en 2014, establece penas más severas para los delitos de acoso y hostigamiento ilegal contra personas vulnerables.</w:t>
      </w:r>
    </w:p>
    <w:p w14:paraId="3BB7339C" w14:textId="2911097D" w:rsidR="00CF64F3" w:rsidRPr="00CF64F3" w:rsidRDefault="00CF64F3" w:rsidP="00CF64F3">
      <w:pPr>
        <w:pStyle w:val="SingleTxtG"/>
      </w:pPr>
      <w:r w:rsidRPr="00CF64F3">
        <w:t>71.</w:t>
      </w:r>
      <w:r w:rsidRPr="00CF64F3">
        <w:tab/>
        <w:t xml:space="preserve">Para garantizar la accesibilidad y celeridad de los servicios de asistencia, atención y recuperación destinados a las víctimas de la violencia doméstica, el Sistema Nacional de Redes contra la Violencia Doméstica actúa como nexo entre los organismos </w:t>
      </w:r>
      <w:r w:rsidRPr="00CF64F3">
        <w:lastRenderedPageBreak/>
        <w:t xml:space="preserve">gubernamentales, la policía, las escuelas, los hospitales y los organismos de servicios sociales a fin de ofrecer numerosos centros de contacto a los afectados. Singapur también ha intensificado la educación pública sobre los malos tratos y ha reforzado los canales de ayuda para las víctimas a través de la campaña </w:t>
      </w:r>
      <w:r>
        <w:t>“</w:t>
      </w:r>
      <w:r w:rsidRPr="00CF64F3">
        <w:t>Rompe el silencio Contra la violencia doméstica</w:t>
      </w:r>
      <w:r>
        <w:t>”</w:t>
      </w:r>
      <w:r w:rsidRPr="00CF64F3">
        <w:t>.</w:t>
      </w:r>
    </w:p>
    <w:p w14:paraId="7E43A99B" w14:textId="0DA5D4B5" w:rsidR="00CF64F3" w:rsidRPr="00CF64F3" w:rsidRDefault="00CF64F3" w:rsidP="00CF64F3">
      <w:pPr>
        <w:pStyle w:val="SingleTxtG"/>
      </w:pPr>
      <w:r w:rsidRPr="00CF64F3">
        <w:t>72.</w:t>
      </w:r>
      <w:r w:rsidRPr="00CF64F3">
        <w:tab/>
      </w:r>
      <w:bookmarkStart w:id="27" w:name="_Hlk73951004"/>
      <w:r w:rsidRPr="00CF64F3">
        <w:t>Los jueces y funcionarios judiciales del Tribunal Supremo, de los Tribunales del Estado y de los Tribunales de Familia reciben formación para ejercer la profesión judicial impartida por la Escuela Judicial de Singapur</w:t>
      </w:r>
      <w:r w:rsidRPr="00CF64F3">
        <w:rPr>
          <w:rStyle w:val="FootnoteReference"/>
        </w:rPr>
        <w:footnoteReference w:id="84"/>
      </w:r>
      <w:r w:rsidRPr="00CF64F3">
        <w:t>. El plan de estudios básico de la Escuela Judicial incluye formación sobre cómo lograr la participación efectiva de los litigantes que presentan trastornos de la personalidad</w:t>
      </w:r>
      <w:bookmarkEnd w:id="27"/>
      <w:r w:rsidRPr="00CF64F3">
        <w:t>. El Tribunal Supremo y los Tribunales del Estado también imparten una formación periódica para los funcionarios y secretarios judiciales, que incluye novedades en el plano jurídico y temas como el modo de tratar con personas que tienen problemas de salud mental. Los Tribunales de Familia imparten formación periódica a sus funcionarios judiciales y a su personal sobre el modo de tratar con los usuarios vulnerables de los tribunales, incluidas las personas con discapacidad.</w:t>
      </w:r>
    </w:p>
    <w:p w14:paraId="04CE9985" w14:textId="2DDDE47E" w:rsidR="00CF64F3" w:rsidRPr="00CF64F3" w:rsidRDefault="00CF64F3" w:rsidP="00CF64F3">
      <w:pPr>
        <w:pStyle w:val="SingleTxtG"/>
      </w:pPr>
      <w:r w:rsidRPr="00CF64F3">
        <w:t>73.</w:t>
      </w:r>
      <w:r w:rsidRPr="00CF64F3">
        <w:tab/>
        <w:t>El Servicio de Protección de la Infancia utiliza un sistema estructurado de toma de decisiones para identificar y tener en cuenta las necesidades de los niños en materia de desarrollo y discapacidad a la hora de elaborar un plan de intervención integral. El Servicio trabaja con proveedores de servicios comunitarios con experiencia en el apoyo a niños con discapacidad y consulta a expertos, como, por ejemplo, psicólogos, a fin de garantizar que su intervención se adapte a las necesidades del niño.</w:t>
      </w:r>
    </w:p>
    <w:p w14:paraId="04E440B0" w14:textId="77777777" w:rsidR="00CF64F3" w:rsidRPr="00CF64F3" w:rsidRDefault="00CF64F3" w:rsidP="00CF64F3">
      <w:pPr>
        <w:pStyle w:val="SingleTxtG"/>
      </w:pPr>
      <w:r w:rsidRPr="00CF64F3">
        <w:t>74.</w:t>
      </w:r>
      <w:r w:rsidRPr="00CF64F3">
        <w:tab/>
        <w:t>Para más información acerca de la legislación de Singapur sobre el ingreso de pacientes en instituciones psiquiátricas, véase el párrafo 64, relativo al párrafo 12 de la lista de cuestiones.</w:t>
      </w:r>
    </w:p>
    <w:p w14:paraId="43924A59" w14:textId="1B9D4FD9" w:rsidR="00CF64F3" w:rsidRPr="00CF64F3" w:rsidRDefault="00CF64F3" w:rsidP="00CF64F3">
      <w:pPr>
        <w:pStyle w:val="H1G"/>
      </w:pPr>
      <w:r>
        <w:tab/>
      </w:r>
      <w:r w:rsidRPr="00CF64F3">
        <w:tab/>
        <w:t>Respuesta al párrafo 15 de la lista de cuestiones</w:t>
      </w:r>
    </w:p>
    <w:p w14:paraId="5E3B0AD4" w14:textId="4E95F6B8" w:rsidR="00CF64F3" w:rsidRPr="00CF64F3" w:rsidRDefault="0099545C" w:rsidP="00CF64F3">
      <w:pPr>
        <w:pStyle w:val="SingleTxtG"/>
      </w:pPr>
      <w:r>
        <w:t>75.</w:t>
      </w:r>
      <w:r w:rsidR="00CF64F3" w:rsidRPr="00CF64F3">
        <w:tab/>
        <w:t>La legislación de Singapur relativa a la protección de las mujeres y niñas y las personas con discapacidad frente a la violencia, la explotación y el maltrato es lo suficientemente amplia como para ofrecer protección a las mujeres y las niñas con discapacidad. En general, los autores de actos de violencia contra la mujer pueden ser acusados en aplicación del Código Penal y la Carta de la Mujer</w:t>
      </w:r>
      <w:r w:rsidR="00CF64F3" w:rsidRPr="00CF64F3">
        <w:rPr>
          <w:rStyle w:val="FootnoteReference"/>
        </w:rPr>
        <w:footnoteReference w:id="85"/>
      </w:r>
      <w:r w:rsidR="00CF64F3" w:rsidRPr="00CF64F3">
        <w:t xml:space="preserve">. La Carta de la Mujer se modificó en febrero de 2016 a fin de mejorar la protección de las víctimas de la violencia doméstica y de los profesionales dedicados a la labor de protección, así como para reforzar la aplicación de la ley contra los delitos en línea. La Ley de Protección contra el Acoso se modificó en 2019 con miras a reforzar el abanico de medidas de autoayuda, recursos civiles y sanciones penales para proteger mejor a las mujeres del acoso y de comportamientos </w:t>
      </w:r>
      <w:r w:rsidR="00CF64F3" w:rsidRPr="00CF64F3">
        <w:lastRenderedPageBreak/>
        <w:t>antisociales relacionados</w:t>
      </w:r>
      <w:r w:rsidR="00CF64F3" w:rsidRPr="00CF64F3">
        <w:rPr>
          <w:rStyle w:val="FootnoteReference"/>
        </w:rPr>
        <w:footnoteReference w:id="86"/>
      </w:r>
      <w:r w:rsidR="00CF64F3" w:rsidRPr="00CF64F3">
        <w:t>. Las mujeres y las niñas que son vulnerables debido a una discapacidad física o mental están más protegidas por la Ley de Adultos Vulnerables, que se aprobó en 2018.</w:t>
      </w:r>
    </w:p>
    <w:p w14:paraId="1A1B4055" w14:textId="6FE96E56" w:rsidR="00CF64F3" w:rsidRPr="00CF64F3" w:rsidRDefault="0099545C" w:rsidP="0099545C">
      <w:pPr>
        <w:pStyle w:val="H1G"/>
      </w:pPr>
      <w:r>
        <w:tab/>
      </w:r>
      <w:r w:rsidR="00CF64F3" w:rsidRPr="00CF64F3">
        <w:tab/>
        <w:t>Respuesta al párrafo 16 de la lista de cuestiones</w:t>
      </w:r>
    </w:p>
    <w:p w14:paraId="227FC423" w14:textId="693ABF24" w:rsidR="00CF64F3" w:rsidRPr="00CF64F3" w:rsidRDefault="0099545C" w:rsidP="0099545C">
      <w:pPr>
        <w:pStyle w:val="H23G"/>
      </w:pPr>
      <w:r>
        <w:tab/>
      </w:r>
      <w:r w:rsidR="00CF64F3" w:rsidRPr="00CF64F3">
        <w:tab/>
        <w:t>Ley de Adultos Vulnerables</w:t>
      </w:r>
    </w:p>
    <w:p w14:paraId="1A944297" w14:textId="2A9A8CCB" w:rsidR="00CF64F3" w:rsidRPr="00CF64F3" w:rsidRDefault="0099545C" w:rsidP="0099545C">
      <w:pPr>
        <w:pStyle w:val="SingleTxtG"/>
      </w:pPr>
      <w:r>
        <w:t>76.</w:t>
      </w:r>
      <w:r>
        <w:tab/>
      </w:r>
      <w:r w:rsidR="00CF64F3" w:rsidRPr="00CF64F3">
        <w:t>La Ley de Adultos Vulnerables tiene como propósito proteger a los adultos vulnerables</w:t>
      </w:r>
      <w:r w:rsidR="00CF64F3" w:rsidRPr="00CF64F3">
        <w:rPr>
          <w:rStyle w:val="FootnoteReference"/>
        </w:rPr>
        <w:footnoteReference w:id="87"/>
      </w:r>
      <w:r w:rsidR="00CF64F3" w:rsidRPr="00CF64F3">
        <w:t xml:space="preserve"> del maltrato, el descuido o el </w:t>
      </w:r>
      <w:proofErr w:type="spellStart"/>
      <w:r w:rsidR="00CF64F3" w:rsidRPr="00CF64F3">
        <w:t>autodescuido</w:t>
      </w:r>
      <w:proofErr w:type="spellEnd"/>
      <w:r w:rsidR="00CF64F3" w:rsidRPr="00CF64F3">
        <w:t xml:space="preserve">. Permite que los propios adultos vulnerables, sus familiares o los servicios sociales públicos soliciten órdenes judiciales para su protección, cuando hayan sufrido, sufran o corran el riesgo de sufrir maltrato, descuido o </w:t>
      </w:r>
      <w:proofErr w:type="spellStart"/>
      <w:r w:rsidR="00CF64F3" w:rsidRPr="00CF64F3">
        <w:t>autodescuido</w:t>
      </w:r>
      <w:proofErr w:type="spellEnd"/>
      <w:r w:rsidR="00CF64F3" w:rsidRPr="00CF64F3">
        <w:t>. Entre ellas, cabe destacar las órdenes que impiden a los maltratadores seguir maltratando a un adulto vulnerable y las que les prohíben comunicarse con un adulto vulnerable o visitarlo.</w:t>
      </w:r>
    </w:p>
    <w:p w14:paraId="44CB6675" w14:textId="0617FE4C" w:rsidR="00CF64F3" w:rsidRPr="00CF64F3" w:rsidRDefault="0099545C" w:rsidP="0099545C">
      <w:pPr>
        <w:pStyle w:val="SingleTxtG"/>
      </w:pPr>
      <w:r>
        <w:t>77.</w:t>
      </w:r>
      <w:r w:rsidR="00CF64F3" w:rsidRPr="00CF64F3">
        <w:tab/>
        <w:t>La Ley establece salvaguardas en forma de principios clave que deben tenerse en cuenta cuando se solicita una orden de protección en relación con un adulto vulnerable que carece de capacidad mental</w:t>
      </w:r>
      <w:r w:rsidR="00CF64F3" w:rsidRPr="00CF64F3">
        <w:rPr>
          <w:rStyle w:val="FootnoteReference"/>
        </w:rPr>
        <w:footnoteReference w:id="88"/>
      </w:r>
      <w:r w:rsidR="00CF64F3" w:rsidRPr="00CF64F3">
        <w:t>.</w:t>
      </w:r>
    </w:p>
    <w:p w14:paraId="4A267AE8" w14:textId="028BAA42" w:rsidR="00CF64F3" w:rsidRPr="00CF64F3" w:rsidRDefault="0099545C" w:rsidP="0099545C">
      <w:pPr>
        <w:pStyle w:val="H23G"/>
      </w:pPr>
      <w:r>
        <w:tab/>
      </w:r>
      <w:r w:rsidR="00CF64F3" w:rsidRPr="00CF64F3">
        <w:tab/>
        <w:t>Hogares y albergues para personas adultas con discapacidad</w:t>
      </w:r>
    </w:p>
    <w:p w14:paraId="4145FF68" w14:textId="18D54FA7" w:rsidR="00CF64F3" w:rsidRPr="00CF64F3" w:rsidRDefault="0099545C" w:rsidP="0099545C">
      <w:pPr>
        <w:pStyle w:val="SingleTxtG"/>
      </w:pPr>
      <w:r>
        <w:t>78.</w:t>
      </w:r>
      <w:r w:rsidR="00CF64F3" w:rsidRPr="00CF64F3">
        <w:tab/>
        <w:t>El Gobierno hace un seguimiento de las normas de servicio en los hogares y albergues para personas adultas con discapacitad. Las Normas de Atención en los Hogares y Albergues establecen directrices sobre el bienestar de los internos y su protección contra el maltrato, lo que incluye el respeto a su intimidad y dignidad en todo momento y procedimientos sólidos para prevenir y reconocer el maltrato a los internos, como, por ejemplo, la sensibilización de estos y del personal sobre este tema y la protección de quienes lo denuncian</w:t>
      </w:r>
      <w:r w:rsidR="00CF64F3" w:rsidRPr="00CF64F3">
        <w:rPr>
          <w:rStyle w:val="FootnoteReference"/>
        </w:rPr>
        <w:footnoteReference w:id="89"/>
      </w:r>
      <w:r w:rsidR="00CF64F3" w:rsidRPr="00CF64F3">
        <w:t>.</w:t>
      </w:r>
    </w:p>
    <w:p w14:paraId="35640C8D" w14:textId="61836613" w:rsidR="00CF64F3" w:rsidRPr="00CF64F3" w:rsidRDefault="0099545C" w:rsidP="0099545C">
      <w:pPr>
        <w:pStyle w:val="SingleTxtG"/>
      </w:pPr>
      <w:r>
        <w:t>79.</w:t>
      </w:r>
      <w:r w:rsidR="00CF64F3" w:rsidRPr="00CF64F3">
        <w:tab/>
        <w:t>La Junta de Visitadores de los Hogares es un órgano de supervisión externo e independiente, que se encarga de vigilar el bienestar y las condiciones de vida de los internos y constituye una vía adicional para que los residentes planteen sus preocupaciones. La Junta observa un Código de Conducta</w:t>
      </w:r>
      <w:r w:rsidR="00CF64F3" w:rsidRPr="00CF64F3">
        <w:rPr>
          <w:rStyle w:val="FootnoteReference"/>
        </w:rPr>
        <w:footnoteReference w:id="90"/>
      </w:r>
      <w:r w:rsidR="00CF64F3" w:rsidRPr="00CF64F3">
        <w:t>, y entre sus miembros hay profesionales con formación médica o de gran prestigio</w:t>
      </w:r>
      <w:r w:rsidR="00CF64F3" w:rsidRPr="00CF64F3">
        <w:rPr>
          <w:rStyle w:val="FootnoteReference"/>
        </w:rPr>
        <w:footnoteReference w:id="91"/>
      </w:r>
      <w:r w:rsidR="00CF64F3" w:rsidRPr="00CF64F3">
        <w:t>.</w:t>
      </w:r>
    </w:p>
    <w:p w14:paraId="5A4259E8" w14:textId="448AF5D8" w:rsidR="00CF64F3" w:rsidRPr="00CF64F3" w:rsidRDefault="0099545C" w:rsidP="0099545C">
      <w:pPr>
        <w:pStyle w:val="SingleTxtG"/>
      </w:pPr>
      <w:r>
        <w:t>80.</w:t>
      </w:r>
      <w:r w:rsidR="00CF64F3" w:rsidRPr="00CF64F3">
        <w:tab/>
      </w:r>
      <w:bookmarkStart w:id="28" w:name="_Hlk73950893"/>
      <w:r w:rsidR="00CF64F3" w:rsidRPr="00CF64F3">
        <w:t xml:space="preserve">El Ministerio para el Desarrollo Social y Familiar ha reforzado el apoyo a los Hogares y Albergues en el contexto de la COVID-19. Entre estas acciones de apoyo figuran la financiación de mano de obra adicional con miras a aplicar medidas de gestión segura, la realización de pruebas de hisopado a los internos y el personal, el apoyo a fin de mantener la </w:t>
      </w:r>
      <w:r w:rsidR="00CF64F3" w:rsidRPr="00CF64F3">
        <w:lastRenderedPageBreak/>
        <w:t>prestación de servicios durante el “período de cortacircuitos”</w:t>
      </w:r>
      <w:bookmarkEnd w:id="28"/>
      <w:r w:rsidR="00CF64F3" w:rsidRPr="00CF64F3">
        <w:rPr>
          <w:rStyle w:val="FootnoteReference"/>
        </w:rPr>
        <w:footnoteReference w:id="92"/>
      </w:r>
      <w:r w:rsidR="00CF64F3" w:rsidRPr="00CF64F3">
        <w:t xml:space="preserve"> y proporcionar servicios limitados en entornos comunitarios para los usuarios con mayores necesidades y para permitir a los cuidadores tomarse un descanso.</w:t>
      </w:r>
    </w:p>
    <w:p w14:paraId="3E800D92" w14:textId="666C3F5E" w:rsidR="00CF64F3" w:rsidRPr="00CF64F3" w:rsidRDefault="0099545C" w:rsidP="0099545C">
      <w:pPr>
        <w:pStyle w:val="H1G"/>
      </w:pPr>
      <w:r>
        <w:tab/>
      </w:r>
      <w:r w:rsidR="00CF64F3" w:rsidRPr="00CF64F3">
        <w:tab/>
        <w:t>Respuesta al párrafo 17 de la lista de cuestiones</w:t>
      </w:r>
    </w:p>
    <w:p w14:paraId="51957048" w14:textId="0E93A970" w:rsidR="00CF64F3" w:rsidRPr="00CF64F3" w:rsidRDefault="0099545C" w:rsidP="0099545C">
      <w:pPr>
        <w:pStyle w:val="SingleTxtG"/>
      </w:pPr>
      <w:r>
        <w:t>81.</w:t>
      </w:r>
      <w:r w:rsidR="00CF64F3" w:rsidRPr="00CF64F3">
        <w:tab/>
        <w:t>Véase la respuesta al párrafo 12 de la lista de cuestiones.</w:t>
      </w:r>
    </w:p>
    <w:p w14:paraId="6D01569E" w14:textId="64D6F80B" w:rsidR="00CF64F3" w:rsidRPr="00CF64F3" w:rsidRDefault="0099545C" w:rsidP="0099545C">
      <w:pPr>
        <w:pStyle w:val="H1G"/>
      </w:pPr>
      <w:r>
        <w:tab/>
      </w:r>
      <w:r w:rsidR="00CF64F3" w:rsidRPr="00CF64F3">
        <w:tab/>
        <w:t>Respuesta al párrafo 18 de la lista de cuestiones</w:t>
      </w:r>
    </w:p>
    <w:p w14:paraId="6764CAC8" w14:textId="78C6BA5F" w:rsidR="00CF64F3" w:rsidRPr="00CF64F3" w:rsidRDefault="0099545C" w:rsidP="0099545C">
      <w:pPr>
        <w:pStyle w:val="SingleTxtG"/>
      </w:pPr>
      <w:r>
        <w:t>82.</w:t>
      </w:r>
      <w:r w:rsidR="00CF64F3" w:rsidRPr="00CF64F3">
        <w:tab/>
        <w:t>Cuando una persona de nacionalidad extranjera busca empleo en Singapur, no está obligada a declarar ninguna discapacidad en la solicitud que debe presentar para obtener un permiso de empleo profesional o un permiso de trabajo. No hay obstáculos legales ni administrativos que impidan a una persona entrar en Singapur o salir del país únicamente por motivos de discapacidad. Todos los empleados extranjeros y locales que trabajan con un contrato de servicio están cubiertos por la Ley de Empleo o la Ley de Empleo de Mano de Obra Extranjera. Con arreglo a esta ley, los trabajadores extranjeros con discapacidad tienen los mismos derechos que los demás para obtener, poseer y utilizar documentos de identificación y para usar las instalaciones de inmigración a fin de ejercer su derecho a la libertad de movimiento. Estas instalaciones cumplen con el Código de Accesibilidad, están libres de barreras y disponen de indicaciones en braille.</w:t>
      </w:r>
    </w:p>
    <w:p w14:paraId="20C43D57" w14:textId="502C95C7" w:rsidR="00CF64F3" w:rsidRPr="00CF64F3" w:rsidRDefault="0099545C" w:rsidP="0099545C">
      <w:pPr>
        <w:pStyle w:val="H1G"/>
      </w:pPr>
      <w:r>
        <w:tab/>
      </w:r>
      <w:r w:rsidR="00CF64F3" w:rsidRPr="00CF64F3">
        <w:tab/>
        <w:t>Respuesta al párrafo 19 de la lista de cuestiones</w:t>
      </w:r>
    </w:p>
    <w:p w14:paraId="2371EE8D" w14:textId="5FF9D868" w:rsidR="00CF64F3" w:rsidRPr="00CF64F3" w:rsidRDefault="0099545C" w:rsidP="0099545C">
      <w:pPr>
        <w:pStyle w:val="SingleTxtG"/>
      </w:pPr>
      <w:r>
        <w:t>83.</w:t>
      </w:r>
      <w:r w:rsidR="00CF64F3" w:rsidRPr="00CF64F3">
        <w:tab/>
        <w:t xml:space="preserve">Véanse las respuestas al </w:t>
      </w:r>
      <w:r w:rsidR="00CF64F3" w:rsidRPr="00F40ECB">
        <w:t>párrafo 12</w:t>
      </w:r>
      <w:r w:rsidR="00CF64F3" w:rsidRPr="00CF64F3">
        <w:t xml:space="preserve"> de la lista de cuestiones (párrafos 65 y 66, desinstitucionalización), al párrafo 20 de la lista de cuestiones (párrafos 84 a 86, fomento de la vida independiente), al párrafo 1 de la lista de cuestiones (párrafo 11, personas afectadas por la lepra) y al párrafo 21 de la lista de cuestiones (párrafos 89 a 91, acceso a la información).</w:t>
      </w:r>
    </w:p>
    <w:p w14:paraId="64D956AF" w14:textId="17A5008B" w:rsidR="00CF64F3" w:rsidRPr="00CF64F3" w:rsidRDefault="0099545C" w:rsidP="0099545C">
      <w:pPr>
        <w:pStyle w:val="H1G"/>
      </w:pPr>
      <w:r>
        <w:tab/>
      </w:r>
      <w:r w:rsidR="00CF64F3" w:rsidRPr="00CF64F3">
        <w:tab/>
        <w:t>Respuesta al párrafo 20 de la lista de cuestiones</w:t>
      </w:r>
    </w:p>
    <w:p w14:paraId="00DF7203" w14:textId="0EEFF569" w:rsidR="00CF64F3" w:rsidRPr="00CF64F3" w:rsidRDefault="0099545C" w:rsidP="0099545C">
      <w:pPr>
        <w:pStyle w:val="SingleTxtG"/>
      </w:pPr>
      <w:r>
        <w:t>84.</w:t>
      </w:r>
      <w:r>
        <w:tab/>
      </w:r>
      <w:r w:rsidR="00CF64F3" w:rsidRPr="00CF64F3">
        <w:t>Existen prestaciones, planes financieros y proyectos dirigidos a facilitar el desarrollo y la utilización de tecnologías de apoyo. Para las personas que no pueden costearse las ayudas técnicas, el Fondo de Tecnologías de Apoyo subvenciona hasta el 90 % de esas ayudas, que constituyen un apoyo para la vida independiente. No es el Fondo quien determina la ayuda técnica concreta, sino un profesional médico cualificado, teniendo en cuenta las necesidades de la persona en materia de accesibilidad. Singapur ha duplicado el importe de las prestaciones que recibe cada persona a lo largo de su vida, que ha pasado de 20.000 dólares singapurenses (14.535 dólares de los Estados Unidos) a 40.000 dólares singapurenses (28.571 dólares de los Estados Unidos). El Fondo de Movilidad y Habilitación para las Personas de Edad cubre hasta el 90 % de las prestaciones vinculadas al nivel de ingresos que se dedican a tecnologías de apoyo, artículos de atención sanitaria en el domicilio y transporte, con objeto de contribuir a que las personas mayores de 60 años no pierdan la movilidad y lleven una vida independiente.</w:t>
      </w:r>
      <w:bookmarkStart w:id="29" w:name="_Hlk51960024"/>
      <w:bookmarkEnd w:id="29"/>
    </w:p>
    <w:p w14:paraId="172588ED" w14:textId="55DC884C" w:rsidR="00CF64F3" w:rsidRPr="00CF64F3" w:rsidRDefault="0099545C" w:rsidP="0099545C">
      <w:pPr>
        <w:pStyle w:val="SingleTxtG"/>
      </w:pPr>
      <w:r>
        <w:t>85.</w:t>
      </w:r>
      <w:r w:rsidR="00CF64F3" w:rsidRPr="00CF64F3">
        <w:tab/>
        <w:t xml:space="preserve">El Fondo de Tecnologías de la Información y la Comunicación del Ministerio de Educación también financia dispositivos informáticos adecuados, servicios relacionados y recursos digitales en las escuelas de educación especial. El Ministerio de Educación </w:t>
      </w:r>
      <w:r w:rsidR="00CF64F3" w:rsidRPr="00CF64F3">
        <w:lastRenderedPageBreak/>
        <w:t>proporciona dispositivos de tecnología de apoyo en las escuelas ordinarias</w:t>
      </w:r>
      <w:r w:rsidR="00CF64F3" w:rsidRPr="00CF64F3">
        <w:rPr>
          <w:rStyle w:val="FootnoteReference"/>
        </w:rPr>
        <w:footnoteReference w:id="93"/>
      </w:r>
      <w:r w:rsidR="00CF64F3" w:rsidRPr="00CF64F3">
        <w:t xml:space="preserve"> y financia la compra de dispositivos de tecnología de apoyo relacionados con la educación y los servicios de apoyo en la enseñanza superior. Las universidades autónomas de Singapur ofrecen niveles similares o superiores de apoyo financiero a sus estudiantes en este ámbito.</w:t>
      </w:r>
    </w:p>
    <w:p w14:paraId="1602A98B" w14:textId="0865C239" w:rsidR="00CF64F3" w:rsidRPr="00CF64F3" w:rsidRDefault="0099545C" w:rsidP="0099545C">
      <w:pPr>
        <w:pStyle w:val="SingleTxtG"/>
      </w:pPr>
      <w:r>
        <w:t>86.</w:t>
      </w:r>
      <w:r w:rsidR="00CF64F3" w:rsidRPr="00CF64F3">
        <w:tab/>
        <w:t>Hay numerosos centros de contacto</w:t>
      </w:r>
      <w:r w:rsidR="00CF64F3" w:rsidRPr="00CF64F3">
        <w:rPr>
          <w:rStyle w:val="FootnoteReference"/>
        </w:rPr>
        <w:footnoteReference w:id="94"/>
      </w:r>
      <w:r w:rsidR="00CF64F3" w:rsidRPr="00CF64F3">
        <w:t xml:space="preserve"> que permiten a las personas informarse sobre las ayudas técnicas y la asistencia financiera pertinente. </w:t>
      </w:r>
      <w:proofErr w:type="spellStart"/>
      <w:r w:rsidR="00CF64F3" w:rsidRPr="00CF64F3">
        <w:t>Tech</w:t>
      </w:r>
      <w:proofErr w:type="spellEnd"/>
      <w:r w:rsidR="00CF64F3" w:rsidRPr="00CF64F3">
        <w:t xml:space="preserve"> </w:t>
      </w:r>
      <w:proofErr w:type="spellStart"/>
      <w:r w:rsidR="00CF64F3" w:rsidRPr="00CF64F3">
        <w:t>Able</w:t>
      </w:r>
      <w:proofErr w:type="spellEnd"/>
      <w:r w:rsidR="00CF64F3" w:rsidRPr="00CF64F3">
        <w:t>, un centro financiado por el Ministerio para el Desarrollo Social y Familiar, que proporciona información y recursos sobre ayudas técnicas y tecnologías de la información y las comunicaciones a personas con discapacidad, también ofrece servicios de consulta, evaluación y formación.</w:t>
      </w:r>
    </w:p>
    <w:p w14:paraId="7F2EF65F" w14:textId="1DAC9CB6" w:rsidR="00CF64F3" w:rsidRPr="00CF64F3" w:rsidRDefault="0099545C" w:rsidP="0099545C">
      <w:pPr>
        <w:pStyle w:val="SingleTxtG"/>
      </w:pPr>
      <w:r>
        <w:t>87.</w:t>
      </w:r>
      <w:r w:rsidR="00CF64F3" w:rsidRPr="00CF64F3">
        <w:tab/>
        <w:t>En 2019, el Ministerio para el Desarrollo Social y Familiar anunció la formación de un grupo de trabajo intersectorial del Plan General sobre la Discapacidad</w:t>
      </w:r>
      <w:r w:rsidR="00CF64F3" w:rsidRPr="00CF64F3">
        <w:rPr>
          <w:rStyle w:val="FootnoteReference"/>
        </w:rPr>
        <w:footnoteReference w:id="95"/>
      </w:r>
      <w:r w:rsidR="00CF64F3" w:rsidRPr="00CF64F3">
        <w:t xml:space="preserve"> con el objetivo de estudiar cómo promover la vida independiente a través del diseño y la tecnología. El grupo de trabajo está llevando a cabo consultas con las partes interesadas y tiene intención de publicar sus recomendaciones a principios de 2021.</w:t>
      </w:r>
    </w:p>
    <w:p w14:paraId="47AE9DE6" w14:textId="4C0CDBCA" w:rsidR="00CF64F3" w:rsidRPr="00CF64F3" w:rsidRDefault="0099545C" w:rsidP="0099545C">
      <w:pPr>
        <w:pStyle w:val="SingleTxtG"/>
      </w:pPr>
      <w:r>
        <w:t>88.</w:t>
      </w:r>
      <w:r w:rsidR="00CF64F3" w:rsidRPr="00CF64F3">
        <w:tab/>
        <w:t xml:space="preserve">Las normas subsidiarias de la Ley de Salud Pública Medioambiental, la Ley de Sistemas de Tránsito Rápido y la Ley de Tráfico por Carretera permiten que las personas con discapacidad visual entren en establecimientos de restauración y usen el transporte público acompañados por perros guía entrenados para asistirlos. El Gobierno está revisando estas disposiciones en consulta con la organización de personas con discapacidad </w:t>
      </w:r>
      <w:proofErr w:type="spellStart"/>
      <w:r w:rsidR="00CF64F3" w:rsidRPr="00CF64F3">
        <w:t>Guide</w:t>
      </w:r>
      <w:proofErr w:type="spellEnd"/>
      <w:r w:rsidR="00CF64F3" w:rsidRPr="00CF64F3">
        <w:t xml:space="preserve"> </w:t>
      </w:r>
      <w:proofErr w:type="spellStart"/>
      <w:r w:rsidR="00CF64F3" w:rsidRPr="00CF64F3">
        <w:t>Dog</w:t>
      </w:r>
      <w:proofErr w:type="spellEnd"/>
      <w:r w:rsidR="00CF64F3" w:rsidRPr="00CF64F3">
        <w:t xml:space="preserve"> </w:t>
      </w:r>
      <w:proofErr w:type="spellStart"/>
      <w:r w:rsidR="00CF64F3" w:rsidRPr="00CF64F3">
        <w:t>Singapore</w:t>
      </w:r>
      <w:proofErr w:type="spellEnd"/>
      <w:r w:rsidR="00CF64F3" w:rsidRPr="00CF64F3">
        <w:t>, con el objetivo de determinar cómo se podría prestar un mejor apoyo a las personas con discapacidad.</w:t>
      </w:r>
    </w:p>
    <w:p w14:paraId="10EC5AB2" w14:textId="7A56A866" w:rsidR="00CF64F3" w:rsidRPr="00CF64F3" w:rsidRDefault="0099545C" w:rsidP="0099545C">
      <w:pPr>
        <w:pStyle w:val="H1G"/>
      </w:pPr>
      <w:r>
        <w:tab/>
      </w:r>
      <w:r w:rsidR="00CF64F3" w:rsidRPr="00CF64F3">
        <w:tab/>
        <w:t>Respuesta al párrafo 21 de la lista de cuestiones</w:t>
      </w:r>
    </w:p>
    <w:p w14:paraId="566025D8" w14:textId="3506A66F" w:rsidR="00CF64F3" w:rsidRPr="00CF64F3" w:rsidRDefault="0099545C" w:rsidP="0099545C">
      <w:pPr>
        <w:pStyle w:val="SingleTxtG"/>
      </w:pPr>
      <w:r>
        <w:t>89.</w:t>
      </w:r>
      <w:r w:rsidR="00CF64F3" w:rsidRPr="00CF64F3">
        <w:tab/>
        <w:t>Singapur adopta un enfoque multiplataforma, multilingüe y multiformato con miras a garantizar que las comunicaciones del Gobierno se difundan eficazmente entre los diferentes segmentos de la sociedad, incluidas las personas con discapacidad. La información oficial se difunde a través de numerosas plataformas tanto en línea como fuera de línea</w:t>
      </w:r>
      <w:r w:rsidR="00CF64F3" w:rsidRPr="00CF64F3">
        <w:rPr>
          <w:rStyle w:val="FootnoteReference"/>
        </w:rPr>
        <w:footnoteReference w:id="96"/>
      </w:r>
      <w:r w:rsidR="00CF64F3" w:rsidRPr="00CF64F3">
        <w:t xml:space="preserve"> y se presenta en varios formatos y en diferentes idiomas. Los organismos públicos también deben aplicar las Normas de los Servicios Digitales al diseñar los servicios digitales de la Administración</w:t>
      </w:r>
      <w:r w:rsidR="00CF64F3" w:rsidRPr="00CF64F3">
        <w:rPr>
          <w:rStyle w:val="FootnoteReference"/>
        </w:rPr>
        <w:footnoteReference w:id="97"/>
      </w:r>
      <w:r w:rsidR="00CF64F3" w:rsidRPr="00CF64F3">
        <w:t>.</w:t>
      </w:r>
    </w:p>
    <w:p w14:paraId="4198BEBD" w14:textId="2B40F246" w:rsidR="00CF64F3" w:rsidRPr="00CF64F3" w:rsidRDefault="0099545C" w:rsidP="0099545C">
      <w:pPr>
        <w:pStyle w:val="SingleTxtG"/>
      </w:pPr>
      <w:r>
        <w:t>90.</w:t>
      </w:r>
      <w:r w:rsidR="00CF64F3" w:rsidRPr="00CF64F3">
        <w:tab/>
        <w:t>A fin de apoyar a las personas sordas o con problemas de audición, Singapur utiliza el subtitulado ordinario y el específico para personas sordas en los programas que se emiten en diferido y la interpretación a lengua de señas en las comunicaciones gubernamentales más importantes, como las relativas a la COVID-19, en la televisión abierta</w:t>
      </w:r>
      <w:r w:rsidR="00CF64F3" w:rsidRPr="00CF64F3">
        <w:rPr>
          <w:rStyle w:val="FootnoteReference"/>
        </w:rPr>
        <w:footnoteReference w:id="98"/>
      </w:r>
      <w:r w:rsidR="00CF64F3" w:rsidRPr="00CF64F3">
        <w:t>. El Gobierno también publica contenidos en plataformas digitales y de medios sociales utilizando infografías y funciones de subtitulado automático</w:t>
      </w:r>
      <w:r w:rsidR="00CF64F3" w:rsidRPr="00CF64F3">
        <w:rPr>
          <w:rStyle w:val="FootnoteReference"/>
        </w:rPr>
        <w:footnoteReference w:id="99"/>
      </w:r>
      <w:r w:rsidR="00CF64F3" w:rsidRPr="00CF64F3">
        <w:t>.</w:t>
      </w:r>
    </w:p>
    <w:p w14:paraId="1BDA2863" w14:textId="39176E43" w:rsidR="00CF64F3" w:rsidRPr="00CF64F3" w:rsidRDefault="0099545C" w:rsidP="0099545C">
      <w:pPr>
        <w:pStyle w:val="SingleTxtG"/>
      </w:pPr>
      <w:r>
        <w:lastRenderedPageBreak/>
        <w:t>91.</w:t>
      </w:r>
      <w:r w:rsidR="00CF64F3" w:rsidRPr="00CF64F3">
        <w:tab/>
        <w:t>Singapur está ayudando a las personas con discapacidad a adquirir las competencias necesarias para acceder al mundo digital, entre otras cosas, mediante planes de estudio y programas informáticos de aprendizaje sobre competencias digitales básicas para personas de edad y estudiantes con discapacidad</w:t>
      </w:r>
      <w:r w:rsidR="00CF64F3" w:rsidRPr="00CF64F3">
        <w:rPr>
          <w:rStyle w:val="FootnoteReference"/>
        </w:rPr>
        <w:footnoteReference w:id="100"/>
      </w:r>
      <w:r w:rsidR="00CF64F3" w:rsidRPr="00CF64F3">
        <w:t>, así como a través de la creación de bibliotecas de préstamo de tecnologías de apoyo y de la información y la organización de talleres específicos</w:t>
      </w:r>
      <w:r w:rsidR="00CF64F3" w:rsidRPr="00CF64F3">
        <w:rPr>
          <w:rStyle w:val="FootnoteReference"/>
        </w:rPr>
        <w:footnoteReference w:id="101"/>
      </w:r>
      <w:r w:rsidR="00CF64F3" w:rsidRPr="00CF64F3">
        <w:t xml:space="preserve">. En el futuro, los alumnos de las escuelas tanto ordinarias como de educación especial se beneficiarán de la iniciativa del Programa Nacional de Alfabetización Digital, que les permitirá entrar en contacto con las nuevas tecnologías y recibir formación sobre </w:t>
      </w:r>
      <w:proofErr w:type="spellStart"/>
      <w:r w:rsidR="00CF64F3" w:rsidRPr="00CF64F3">
        <w:t>cibersalud</w:t>
      </w:r>
      <w:proofErr w:type="spellEnd"/>
      <w:r w:rsidR="00CF64F3" w:rsidRPr="00CF64F3">
        <w:rPr>
          <w:rStyle w:val="FootnoteReference"/>
        </w:rPr>
        <w:footnoteReference w:id="102"/>
      </w:r>
      <w:r w:rsidR="00CF64F3" w:rsidRPr="00CF64F3">
        <w:t>.</w:t>
      </w:r>
    </w:p>
    <w:p w14:paraId="1B4C1BA2" w14:textId="52EDD0E3" w:rsidR="00CF64F3" w:rsidRPr="00CF64F3" w:rsidRDefault="0099545C" w:rsidP="0099545C">
      <w:pPr>
        <w:pStyle w:val="H1G"/>
      </w:pPr>
      <w:r>
        <w:tab/>
      </w:r>
      <w:r w:rsidR="00CF64F3" w:rsidRPr="00CF64F3">
        <w:tab/>
        <w:t>Respuesta al párrafo 22 de la lista de cuestiones</w:t>
      </w:r>
    </w:p>
    <w:p w14:paraId="51CCDC22" w14:textId="0873786C" w:rsidR="00CF64F3" w:rsidRPr="00CF64F3" w:rsidRDefault="0099545C" w:rsidP="0099545C">
      <w:pPr>
        <w:pStyle w:val="H23G"/>
      </w:pPr>
      <w:r>
        <w:tab/>
      </w:r>
      <w:r w:rsidR="00CF64F3" w:rsidRPr="00CF64F3">
        <w:tab/>
        <w:t>Consentimiento para contraer matrimonio</w:t>
      </w:r>
    </w:p>
    <w:p w14:paraId="3B25ECBA" w14:textId="7E239E7E" w:rsidR="00CF64F3" w:rsidRPr="00CF64F3" w:rsidRDefault="0099545C" w:rsidP="0099545C">
      <w:pPr>
        <w:pStyle w:val="SingleTxtG"/>
      </w:pPr>
      <w:r>
        <w:t>92.</w:t>
      </w:r>
      <w:r w:rsidR="00CF64F3" w:rsidRPr="00CF64F3">
        <w:tab/>
        <w:t>La persona que no pueda otorgar su consentimiento libre e informado en asuntos relacionados con el matrimonio estará protegida en virtud del artículo 26 de la Ley de Capacidad Mental, que impide que un representante con poder de decisión consienta el matrimonio en nombre de la persona.</w:t>
      </w:r>
    </w:p>
    <w:p w14:paraId="38F77662" w14:textId="37845131" w:rsidR="00CF64F3" w:rsidRPr="00CF64F3" w:rsidRDefault="0099545C" w:rsidP="0099545C">
      <w:pPr>
        <w:pStyle w:val="H23G"/>
      </w:pPr>
      <w:r>
        <w:tab/>
      </w:r>
      <w:r w:rsidR="00CF64F3" w:rsidRPr="00CF64F3">
        <w:tab/>
        <w:t>Separación de los niños de sus padres</w:t>
      </w:r>
    </w:p>
    <w:p w14:paraId="08856D24" w14:textId="4E68C297" w:rsidR="00CF64F3" w:rsidRPr="00CF64F3" w:rsidRDefault="0099545C" w:rsidP="0099545C">
      <w:pPr>
        <w:pStyle w:val="SingleTxtG"/>
      </w:pPr>
      <w:r>
        <w:t>93.</w:t>
      </w:r>
      <w:r w:rsidR="00CF64F3" w:rsidRPr="00CF64F3">
        <w:tab/>
        <w:t>Nunca se separa a los niños de sus padres solo por su discapacidad o la de estos. Únicamente se les separa cuando han sido maltratados o descuidados y ya no es seguro que permanezcan con ellos, siendo el bienestar del niño la consideración primordial. En la medida de lo posible, se procura ayudar a los niños a permanecer con sus familias al tiempo que se les presta apoyo en la comunidad.</w:t>
      </w:r>
    </w:p>
    <w:p w14:paraId="01B8A1E6" w14:textId="23FE03AF" w:rsidR="00CF64F3" w:rsidRPr="00CF64F3" w:rsidRDefault="0099545C" w:rsidP="0099545C">
      <w:pPr>
        <w:pStyle w:val="H23G"/>
      </w:pPr>
      <w:r>
        <w:tab/>
      </w:r>
      <w:r w:rsidR="00CF64F3" w:rsidRPr="00CF64F3">
        <w:tab/>
        <w:t>Apoyo a los padres</w:t>
      </w:r>
    </w:p>
    <w:p w14:paraId="2327A14A" w14:textId="0BA2BBA2" w:rsidR="00CF64F3" w:rsidRPr="00CF64F3" w:rsidRDefault="0099545C" w:rsidP="0099545C">
      <w:pPr>
        <w:pStyle w:val="SingleTxtG"/>
      </w:pPr>
      <w:bookmarkStart w:id="31" w:name="_Hlk51930211"/>
      <w:r>
        <w:t>94.</w:t>
      </w:r>
      <w:r w:rsidR="00CF64F3" w:rsidRPr="00CF64F3">
        <w:tab/>
        <w:t>Singapur cuenta con una amplia gama de planes de apoyo a las familias para que todos los niños tengan un buen comienzo, independientemente de que los niños o sus padres tengan discapacidad. Esto incluye una ayuda económica para todos los recién nacidos nacionales de Singapur</w:t>
      </w:r>
      <w:r w:rsidR="00CF64F3" w:rsidRPr="00CF64F3">
        <w:rPr>
          <w:rStyle w:val="FootnoteReference"/>
        </w:rPr>
        <w:footnoteReference w:id="103"/>
      </w:r>
      <w:r w:rsidR="00CF64F3" w:rsidRPr="00CF64F3">
        <w:t>, licencias parentales establecidas por ley</w:t>
      </w:r>
      <w:r w:rsidR="00CF64F3" w:rsidRPr="00CF64F3">
        <w:rPr>
          <w:rStyle w:val="FootnoteReference"/>
        </w:rPr>
        <w:footnoteReference w:id="104"/>
      </w:r>
      <w:r w:rsidR="00CF64F3" w:rsidRPr="00CF64F3">
        <w:t xml:space="preserve"> y el fomento de modalidades de </w:t>
      </w:r>
      <w:r w:rsidR="00CF64F3" w:rsidRPr="00CF64F3">
        <w:lastRenderedPageBreak/>
        <w:t>trabajo flexibles</w:t>
      </w:r>
      <w:r w:rsidR="00CF64F3" w:rsidRPr="00CF64F3">
        <w:rPr>
          <w:rStyle w:val="FootnoteReference"/>
        </w:rPr>
        <w:footnoteReference w:id="105"/>
      </w:r>
      <w:r w:rsidR="00CF64F3" w:rsidRPr="00CF64F3">
        <w:t xml:space="preserve">. Se presta apoyo adicional a las familias con bajos ingresos a través de asistencia financiera en las escuelas y del programa </w:t>
      </w:r>
      <w:proofErr w:type="spellStart"/>
      <w:r w:rsidR="00CF64F3" w:rsidRPr="00CF64F3">
        <w:t>KidSTART</w:t>
      </w:r>
      <w:proofErr w:type="spellEnd"/>
      <w:r w:rsidR="00CF64F3" w:rsidRPr="00CF64F3">
        <w:t>, que proporciona a los niños de familias con bajos ingresos apoyo temprano en materia de salud, aprendizaje y desarrollo y que ayuda a los padres a hacer un seguimiento de los progresos de sus hijos durante sus primeros años</w:t>
      </w:r>
      <w:r w:rsidR="00CF64F3" w:rsidRPr="00CF64F3">
        <w:rPr>
          <w:rStyle w:val="FootnoteReference"/>
        </w:rPr>
        <w:footnoteReference w:id="106"/>
      </w:r>
      <w:r w:rsidR="00CF64F3" w:rsidRPr="00CF64F3">
        <w:t>.</w:t>
      </w:r>
      <w:bookmarkEnd w:id="31"/>
    </w:p>
    <w:p w14:paraId="42635838" w14:textId="462B8E42" w:rsidR="00CF64F3" w:rsidRPr="00CF64F3" w:rsidRDefault="0099545C" w:rsidP="0099545C">
      <w:pPr>
        <w:pStyle w:val="SingleTxtG"/>
      </w:pPr>
      <w:r>
        <w:t>95.</w:t>
      </w:r>
      <w:r w:rsidR="00CF64F3" w:rsidRPr="00CF64F3">
        <w:tab/>
        <w:t>Los programas de intervención temprana proporcionan apoyo adicional a los padres de niños con discapacidad mediante la formación para padres y cuidadores</w:t>
      </w:r>
      <w:r w:rsidR="00CF64F3" w:rsidRPr="00CF64F3">
        <w:rPr>
          <w:rStyle w:val="FootnoteReference"/>
        </w:rPr>
        <w:footnoteReference w:id="107"/>
      </w:r>
      <w:r w:rsidR="00CF64F3" w:rsidRPr="00CF64F3">
        <w:t>, de modo que las estrategias de intervención puedan continuar en las rutinas diarias del niño dentro del hogar</w:t>
      </w:r>
      <w:r w:rsidR="00CF64F3" w:rsidRPr="00CF64F3">
        <w:rPr>
          <w:rStyle w:val="FootnoteReference"/>
        </w:rPr>
        <w:footnoteReference w:id="108"/>
      </w:r>
      <w:r w:rsidR="00CF64F3" w:rsidRPr="00CF64F3">
        <w:t>.</w:t>
      </w:r>
    </w:p>
    <w:p w14:paraId="783C3FFF" w14:textId="211669E9" w:rsidR="00CF64F3" w:rsidRPr="00CF64F3" w:rsidRDefault="0099545C" w:rsidP="0099545C">
      <w:pPr>
        <w:pStyle w:val="SingleTxtG"/>
      </w:pPr>
      <w:r>
        <w:t>96.</w:t>
      </w:r>
      <w:r w:rsidR="00CF64F3" w:rsidRPr="00CF64F3">
        <w:tab/>
        <w:t xml:space="preserve">Además, en 2018 el Ministerio para el Desarrollo Social y Familiar y SG </w:t>
      </w:r>
      <w:proofErr w:type="spellStart"/>
      <w:r w:rsidR="00CF64F3" w:rsidRPr="00CF64F3">
        <w:t>Enable</w:t>
      </w:r>
      <w:proofErr w:type="spellEnd"/>
      <w:r w:rsidR="00CF64F3" w:rsidRPr="00CF64F3">
        <w:t xml:space="preserve"> pusieron en marcha la Cápsula para Cuidadores, un espacio donde los cuidadores pueden encontrar apoyo entre personas en las mismas circunstancias, asistir a sesiones de formación, organizar sesiones de intercambio y acceder a recursos relativos a los cuidados.</w:t>
      </w:r>
    </w:p>
    <w:p w14:paraId="3A7009CE" w14:textId="6C539263" w:rsidR="00CF64F3" w:rsidRPr="00CF64F3" w:rsidRDefault="0099545C" w:rsidP="0099545C">
      <w:pPr>
        <w:pStyle w:val="H1G"/>
      </w:pPr>
      <w:r>
        <w:tab/>
      </w:r>
      <w:r w:rsidR="00CF64F3" w:rsidRPr="00CF64F3">
        <w:tab/>
        <w:t>Respuesta al párrafo 23 de la lista de cuestiones</w:t>
      </w:r>
    </w:p>
    <w:p w14:paraId="7734FA86" w14:textId="1D2A8F5E" w:rsidR="00CF64F3" w:rsidRPr="00CF64F3" w:rsidRDefault="0099545C" w:rsidP="0099545C">
      <w:pPr>
        <w:pStyle w:val="SingleTxtG"/>
      </w:pPr>
      <w:r>
        <w:t>97.</w:t>
      </w:r>
      <w:r w:rsidR="00CF64F3" w:rsidRPr="00CF64F3">
        <w:tab/>
        <w:t>Singapur está decidido a proporcionar una educación inclusiva a todos los niños y jóvenes, incluidos los que tienen discapacidad y necesidades especiales. Singapur ha ampliado la Ley de Enseñanza Obligatoria para abarcar a los niños con necesidades especiales de moderadas a graves</w:t>
      </w:r>
      <w:r w:rsidR="00CF64F3" w:rsidRPr="00CF64F3">
        <w:rPr>
          <w:rStyle w:val="FootnoteReference"/>
        </w:rPr>
        <w:footnoteReference w:id="109"/>
      </w:r>
      <w:r w:rsidR="00CF64F3" w:rsidRPr="00CF64F3">
        <w:t>, de modo que es obligatorio que todos los niños con discapacidad reciban educación al menos en el nivel de enseñanza primaria, a menos que se conceda una exención.</w:t>
      </w:r>
    </w:p>
    <w:p w14:paraId="467BECF3" w14:textId="26F08BD1" w:rsidR="00CF64F3" w:rsidRPr="00CF64F3" w:rsidRDefault="0099545C" w:rsidP="0099545C">
      <w:pPr>
        <w:pStyle w:val="SingleTxtG"/>
      </w:pPr>
      <w:r>
        <w:t>98.</w:t>
      </w:r>
      <w:r w:rsidR="00CF64F3" w:rsidRPr="00CF64F3">
        <w:tab/>
        <w:t xml:space="preserve">La política de educación inclusiva de Singapur promueve la educación de los niños con discapacidad y otras necesidades en materia de desarrollo y aprendizaje (denominadas colectivamente </w:t>
      </w:r>
      <w:r>
        <w:t>“</w:t>
      </w:r>
      <w:r w:rsidR="00CF64F3" w:rsidRPr="00CF64F3">
        <w:t>necesidades educativas especiales</w:t>
      </w:r>
      <w:r>
        <w:t>”</w:t>
      </w:r>
      <w:r w:rsidR="00CF64F3" w:rsidRPr="00CF64F3">
        <w:t>). Entre los niños escolarizados, alrededor del 80 % de los alumnos con necesidades educativas especiales están matriculados en escuelas ordinarias y tienen acceso a las mismas prestaciones</w:t>
      </w:r>
      <w:r w:rsidR="00CF64F3" w:rsidRPr="00CF64F3">
        <w:rPr>
          <w:rStyle w:val="FootnoteReference"/>
        </w:rPr>
        <w:footnoteReference w:id="110"/>
      </w:r>
      <w:r w:rsidR="00CF64F3" w:rsidRPr="00CF64F3">
        <w:t xml:space="preserve"> que sus compañeros. Los alumnos con necesidades educativas especiales a los que se presta una asistencia más intensiva y especializada, así como adaptaciones curriculares, se matriculan en escuelas de educación especial. Los padres son asesorados por médicos y profesionales de la salud asociados que han observado al niño o que ha trabajado con él a fin de que puedan valorar cuál es el entorno educativo más apropiado y que mejor atienda las necesidades educativas </w:t>
      </w:r>
      <w:r w:rsidR="00CF64F3" w:rsidRPr="00CF64F3">
        <w:lastRenderedPageBreak/>
        <w:t>de su hijo</w:t>
      </w:r>
      <w:r w:rsidR="00CF64F3" w:rsidRPr="00CF64F3">
        <w:rPr>
          <w:rStyle w:val="FootnoteReference"/>
        </w:rPr>
        <w:footnoteReference w:id="111"/>
      </w:r>
      <w:r w:rsidR="00CF64F3" w:rsidRPr="00CF64F3">
        <w:t>. Para facilitar oportunidades de interacción real entre los alumnos de escuelas ordinarias y de educación especial, se organizan actividades conjuntas a través de asociaciones satélite entre ambos tipos de centros educativos</w:t>
      </w:r>
      <w:r w:rsidR="00CF64F3" w:rsidRPr="00CF64F3">
        <w:rPr>
          <w:rStyle w:val="FootnoteReference"/>
        </w:rPr>
        <w:footnoteReference w:id="112"/>
      </w:r>
      <w:r w:rsidR="00CF64F3" w:rsidRPr="00CF64F3">
        <w:t>.</w:t>
      </w:r>
    </w:p>
    <w:p w14:paraId="1B3E134D" w14:textId="61D4968A" w:rsidR="00CF64F3" w:rsidRPr="00CF64F3" w:rsidRDefault="0099545C" w:rsidP="0099545C">
      <w:pPr>
        <w:pStyle w:val="SingleTxtG"/>
      </w:pPr>
      <w:r>
        <w:t>99.</w:t>
      </w:r>
      <w:r w:rsidR="00CF64F3" w:rsidRPr="00CF64F3">
        <w:tab/>
        <w:t>Los alumnos con necesidades educativas especiales de las escuelas ordinarias cuentan con personal especializado, como, por ejemplo, educadores asociados especialmente capacitados (en apoyo al aprendizaje y al comportamiento)</w:t>
      </w:r>
      <w:r w:rsidR="00CF64F3" w:rsidRPr="00CF64F3">
        <w:rPr>
          <w:rStyle w:val="FootnoteReference"/>
        </w:rPr>
        <w:footnoteReference w:id="113"/>
      </w:r>
      <w:r w:rsidR="00CF64F3" w:rsidRPr="00CF64F3">
        <w:t xml:space="preserve"> y psicopedagogos</w:t>
      </w:r>
      <w:r w:rsidR="00CF64F3" w:rsidRPr="00CF64F3">
        <w:rPr>
          <w:rStyle w:val="FootnoteReference"/>
        </w:rPr>
        <w:footnoteReference w:id="114"/>
      </w:r>
      <w:r w:rsidR="00CF64F3" w:rsidRPr="00CF64F3">
        <w:t>, además de disponer de programas de intervención y servicios de apoyo</w:t>
      </w:r>
      <w:r w:rsidR="00CF64F3" w:rsidRPr="00CF64F3">
        <w:rPr>
          <w:rStyle w:val="FootnoteReference"/>
        </w:rPr>
        <w:footnoteReference w:id="115"/>
      </w:r>
      <w:r w:rsidR="00CF64F3" w:rsidRPr="00CF64F3">
        <w:t>. Las escuelas ordinarias adoptan un enfoque coordinado para brindar apoyo a los alumnos con necesidades educativas especiales, que incluye estructuras como los equipos de coordinación asistencial, y las escuelas reciben subvenciones de apoyo a las necesidades especiales</w:t>
      </w:r>
      <w:r w:rsidR="00CF64F3" w:rsidRPr="00CF64F3">
        <w:rPr>
          <w:rStyle w:val="FootnoteReference"/>
        </w:rPr>
        <w:footnoteReference w:id="116"/>
      </w:r>
      <w:r w:rsidR="00CF64F3" w:rsidRPr="00CF64F3">
        <w:t>. El alumnado de las escuelas de educación especial dispone de docentes que han recibido una formación específica, así como de adaptaciones curriculares y pedagógicas, y recibe apoyo de muy diversas maneras por parte de los profesionales asociados</w:t>
      </w:r>
      <w:r w:rsidR="00CF64F3" w:rsidRPr="00CF64F3">
        <w:rPr>
          <w:rStyle w:val="FootnoteReference"/>
        </w:rPr>
        <w:footnoteReference w:id="117"/>
      </w:r>
      <w:r w:rsidR="00CF64F3" w:rsidRPr="00CF64F3">
        <w:t>. El personal docente de educación especial recibe una formación previa específica</w:t>
      </w:r>
      <w:r w:rsidR="00CF64F3" w:rsidRPr="00CF64F3">
        <w:rPr>
          <w:rStyle w:val="FootnoteReference"/>
        </w:rPr>
        <w:footnoteReference w:id="118"/>
      </w:r>
      <w:r w:rsidR="00CF64F3" w:rsidRPr="00CF64F3">
        <w:t>, el Diploma de Educación Especial, y puede asistir a cursos de formación continua personalizados, impartidos por instituciones de formación.</w:t>
      </w:r>
    </w:p>
    <w:p w14:paraId="37772F77" w14:textId="35C2C9F4" w:rsidR="00CF64F3" w:rsidRPr="00CF64F3" w:rsidRDefault="0099545C" w:rsidP="0099545C">
      <w:pPr>
        <w:pStyle w:val="SingleTxtG"/>
      </w:pPr>
      <w:r>
        <w:t>100.</w:t>
      </w:r>
      <w:r w:rsidR="00CF64F3" w:rsidRPr="00CF64F3">
        <w:tab/>
        <w:t>En el ámbito de la educación superior, cada instituto de enseñanza superior dispone de una oficina de apoyo a las necesidades educativas especiales que proporciona apoyo</w:t>
      </w:r>
      <w:r w:rsidR="00CF64F3" w:rsidRPr="00CF64F3">
        <w:rPr>
          <w:rStyle w:val="FootnoteReference"/>
        </w:rPr>
        <w:footnoteReference w:id="119"/>
      </w:r>
      <w:r w:rsidR="00CF64F3" w:rsidRPr="00CF64F3">
        <w:t xml:space="preserve"> y financiación</w:t>
      </w:r>
      <w:r w:rsidR="00CF64F3" w:rsidRPr="00CF64F3">
        <w:rPr>
          <w:rStyle w:val="FootnoteReference"/>
        </w:rPr>
        <w:footnoteReference w:id="120"/>
      </w:r>
      <w:r w:rsidR="00CF64F3" w:rsidRPr="00CF64F3">
        <w:t xml:space="preserve"> desde la preinscripción hasta la graduación, en colaboración con el departamento académico correspondiente. Los institutos de enseñanza superior también colaboran con los organismos de servicios sociales en la ejecución de programas que preparan a los estudiantes para el mercado laboral</w:t>
      </w:r>
      <w:r w:rsidR="00CF64F3" w:rsidRPr="00CF64F3">
        <w:rPr>
          <w:rStyle w:val="FootnoteReference"/>
        </w:rPr>
        <w:footnoteReference w:id="121"/>
      </w:r>
      <w:r w:rsidR="00CF64F3" w:rsidRPr="00CF64F3">
        <w:t>.</w:t>
      </w:r>
    </w:p>
    <w:p w14:paraId="7264AE6F" w14:textId="6C71DC94" w:rsidR="00CF64F3" w:rsidRPr="00CF64F3" w:rsidRDefault="0099545C" w:rsidP="0099545C">
      <w:pPr>
        <w:pStyle w:val="SingleTxtG"/>
      </w:pPr>
      <w:r>
        <w:t>101.</w:t>
      </w:r>
      <w:r w:rsidR="00CF64F3" w:rsidRPr="00CF64F3">
        <w:tab/>
        <w:t>Para promover una política educativa inclusiva, Singapur vela por que el personal escolar tenga una formación adecuada para brindar apoyo a los alumnos con necesidades educativas especiales. Esto incluye formación sobre necesidades educativas especiales y estrategias de apoyo para el personal docente de todas las escuelas ordinarias</w:t>
      </w:r>
      <w:r w:rsidR="00CF64F3" w:rsidRPr="00CF64F3">
        <w:rPr>
          <w:rStyle w:val="FootnoteReference"/>
        </w:rPr>
        <w:footnoteReference w:id="122"/>
      </w:r>
      <w:r w:rsidR="00CF64F3" w:rsidRPr="00CF64F3">
        <w:t xml:space="preserve">; sobre cómo educar a los alumnos en la inclusión y la no discriminación para el conjunto del personal docente; sobre la gestión del acoso y la sexualidad de los jóvenes para los orientadores escolares; sobre la promoción de una cultura de inclusividad en el campus para el personal y el alumnado de los institutos de enseñanza superior; y formación adicional para los </w:t>
      </w:r>
      <w:r w:rsidR="00CF64F3" w:rsidRPr="00CF64F3">
        <w:lastRenderedPageBreak/>
        <w:t>educadores asociados especialmente capacitados a fin de que adquieran un conocimiento profundo en lo relativo al apoyo a las necesidades educativas especiales.</w:t>
      </w:r>
    </w:p>
    <w:p w14:paraId="1B84E019" w14:textId="03DE501A" w:rsidR="00CF64F3" w:rsidRPr="00CF64F3" w:rsidRDefault="007E05B4" w:rsidP="007E05B4">
      <w:pPr>
        <w:pStyle w:val="SingleTxtG"/>
      </w:pPr>
      <w:r>
        <w:t>102.</w:t>
      </w:r>
      <w:r w:rsidR="00CF64F3" w:rsidRPr="00CF64F3">
        <w:tab/>
        <w:t>Singapur vela por que a ningún niño se le niegue el acceso a la educación. La educación recibe importantes subvenciones, tanto para las escuelas ordinarias como para las de educación especial. Los niños de familias con bajos ingresos, incluidos los que tienen discapacidad, reciben apoyo a través de una amplia gama de planes financieros para garantizar que puedan acceder a una educación de calidad en un entorno adecuado</w:t>
      </w:r>
      <w:r w:rsidR="00CF64F3" w:rsidRPr="00CF64F3">
        <w:rPr>
          <w:rStyle w:val="FootnoteReference"/>
        </w:rPr>
        <w:footnoteReference w:id="123"/>
      </w:r>
      <w:r w:rsidR="00CF64F3" w:rsidRPr="00CF64F3">
        <w:t>.</w:t>
      </w:r>
    </w:p>
    <w:p w14:paraId="5395D7A7" w14:textId="42BD27E3" w:rsidR="00CF64F3" w:rsidRPr="00CF64F3" w:rsidRDefault="007E05B4" w:rsidP="007E05B4">
      <w:pPr>
        <w:pStyle w:val="H1G"/>
      </w:pPr>
      <w:r>
        <w:tab/>
      </w:r>
      <w:r w:rsidR="00CF64F3" w:rsidRPr="00CF64F3">
        <w:tab/>
        <w:t>Respuesta al párrafo 24 de la lista de cuestiones</w:t>
      </w:r>
    </w:p>
    <w:p w14:paraId="367F00D4" w14:textId="6DB00D0D" w:rsidR="00CF64F3" w:rsidRPr="00CF64F3" w:rsidRDefault="007E05B4" w:rsidP="007E05B4">
      <w:pPr>
        <w:pStyle w:val="H23G"/>
      </w:pPr>
      <w:r>
        <w:tab/>
      </w:r>
      <w:r w:rsidR="00CF64F3" w:rsidRPr="00CF64F3">
        <w:tab/>
        <w:t>Accesibilidad de los servicios médicos y la información</w:t>
      </w:r>
    </w:p>
    <w:p w14:paraId="414F92B7" w14:textId="4FBEF21E" w:rsidR="00CF64F3" w:rsidRPr="00CF64F3" w:rsidRDefault="007E05B4" w:rsidP="007E05B4">
      <w:pPr>
        <w:pStyle w:val="SingleTxtG"/>
      </w:pPr>
      <w:r>
        <w:t>103.</w:t>
      </w:r>
      <w:r w:rsidR="00CF64F3" w:rsidRPr="00CF64F3">
        <w:tab/>
        <w:t>Todos los centros sanitarios públicos cuentan con personal de atención al paciente o guías voluntarios formados para ayudar de forma proactiva a los pacientes, por ejemplo, a orientarse en las instalaciones</w:t>
      </w:r>
      <w:r w:rsidR="00CF64F3" w:rsidRPr="00CF64F3">
        <w:rPr>
          <w:rStyle w:val="FootnoteReference"/>
        </w:rPr>
        <w:footnoteReference w:id="124"/>
      </w:r>
      <w:r w:rsidR="00CF64F3" w:rsidRPr="00CF64F3">
        <w:t>. En caso de que un paciente requiera asistencia adicional, esto se detecta durante la admisión y la consulta y queda registrado en las notas clínicas a fin de garantizar que recibe apoyo en los puntos de contacto del servicio.</w:t>
      </w:r>
    </w:p>
    <w:p w14:paraId="24BC5E2F" w14:textId="17EA8C69" w:rsidR="00CF64F3" w:rsidRPr="00CF64F3" w:rsidRDefault="007E05B4" w:rsidP="007E05B4">
      <w:pPr>
        <w:pStyle w:val="SingleTxtG"/>
      </w:pPr>
      <w:r>
        <w:t>104.</w:t>
      </w:r>
      <w:r w:rsidR="00CF64F3" w:rsidRPr="00CF64F3">
        <w:tab/>
        <w:t>Todos los centros de salud</w:t>
      </w:r>
      <w:r w:rsidR="00CF64F3" w:rsidRPr="00CF64F3">
        <w:rPr>
          <w:rStyle w:val="FootnoteReference"/>
        </w:rPr>
        <w:footnoteReference w:id="125"/>
      </w:r>
      <w:r w:rsidR="00CF64F3" w:rsidRPr="00CF64F3">
        <w:t xml:space="preserve"> están libres de obstáculos y han sido diseñados con elementos de accesibilidad, como rampas para sillas de ruedas, retretes amplios, puertas más anchas, pasamanos en escaleras y ascensores, botones de llamada con indicaciones en braille en los ascensores, adhesivos visuales, iluminación suficiente, suelos antideslizantes y baldosas </w:t>
      </w:r>
      <w:proofErr w:type="spellStart"/>
      <w:r w:rsidR="00CF64F3" w:rsidRPr="00CF64F3">
        <w:t>podotáctiles</w:t>
      </w:r>
      <w:proofErr w:type="spellEnd"/>
      <w:r w:rsidR="00CF64F3" w:rsidRPr="00CF64F3">
        <w:t xml:space="preserve"> para los usuarios de bastones y asientos prioritarios para personas con necesidades adicionales. Los servicios odontológicos de los centros de salud también están equipados con </w:t>
      </w:r>
      <w:r>
        <w:t>“</w:t>
      </w:r>
      <w:proofErr w:type="spellStart"/>
      <w:r w:rsidR="00CF64F3" w:rsidRPr="00CF64F3">
        <w:t>reclinadores</w:t>
      </w:r>
      <w:proofErr w:type="spellEnd"/>
      <w:r>
        <w:t>”</w:t>
      </w:r>
      <w:r w:rsidR="00CF64F3" w:rsidRPr="00CF64F3">
        <w:t xml:space="preserve"> para sillas de ruedas</w:t>
      </w:r>
      <w:r w:rsidR="00CF64F3" w:rsidRPr="00CF64F3">
        <w:rPr>
          <w:rStyle w:val="FootnoteReference"/>
        </w:rPr>
        <w:footnoteReference w:id="126"/>
      </w:r>
      <w:r w:rsidR="00CF64F3" w:rsidRPr="00CF64F3">
        <w:t>. En los centros de salud se puede recurrir a ayudas gráficas y etiquetas para explicar las instrucciones de la medicación a los pacientes y/o cuidadores. En función de las necesidades, se entrega a los pacientes, incluidos aquellos con discapacidad, folletos informativos y demás material educativo.</w:t>
      </w:r>
    </w:p>
    <w:p w14:paraId="6975F389" w14:textId="1C1946AD" w:rsidR="00CF64F3" w:rsidRPr="00CF64F3" w:rsidRDefault="007E05B4" w:rsidP="007E05B4">
      <w:pPr>
        <w:pStyle w:val="H23G"/>
      </w:pPr>
      <w:r>
        <w:lastRenderedPageBreak/>
        <w:tab/>
      </w:r>
      <w:r w:rsidR="00CF64F3" w:rsidRPr="00CF64F3">
        <w:tab/>
        <w:t>Formación del personal médico</w:t>
      </w:r>
    </w:p>
    <w:p w14:paraId="6D0CAD07" w14:textId="0F047B62" w:rsidR="00CF64F3" w:rsidRPr="00CF64F3" w:rsidRDefault="007E05B4" w:rsidP="007E05B4">
      <w:pPr>
        <w:pStyle w:val="SingleTxtG"/>
      </w:pPr>
      <w:r>
        <w:t>105.</w:t>
      </w:r>
      <w:r w:rsidR="00CF64F3" w:rsidRPr="00CF64F3">
        <w:tab/>
        <w:t>Se sensibiliza al personal médico sobre los derechos de las personas con discapacidad. En los hospitales, el personal recibe formación para prestar asistencia cuando sea posible y necesario. Los hospitales también pueden utilizar los servicios de intérpretes de lengua de señas o emplear ayudas escritas o gráficas según sea necesario para tratar con personas sordas o con problemas de audición o de habla. Los cuidadores o portavoces participan en la medida de lo posible.</w:t>
      </w:r>
    </w:p>
    <w:p w14:paraId="1A56D2B7" w14:textId="3EBD2B84" w:rsidR="00CF64F3" w:rsidRPr="00CF64F3" w:rsidRDefault="007E05B4" w:rsidP="007E05B4">
      <w:pPr>
        <w:pStyle w:val="SingleTxtG"/>
      </w:pPr>
      <w:r>
        <w:t>106.</w:t>
      </w:r>
      <w:r w:rsidR="00CF64F3" w:rsidRPr="00CF64F3">
        <w:tab/>
        <w:t>El Ministerio de Salud proporciona a todos los médicos generalistas una lista de recursos sobre discapacidad, para que puedan remitir a los pacientes con discapacidad a los programas y servicios adecuados. Los médicos generalistas también disponen de protocolos de derivación para niños con problemas de desarrollo. Además, el Ministerio de Salud está trabajando en 2020 en un curso de actualización para médicos generalistas sobre el cribado de problemas del desarrollo en la infancia, con el fin de promover la detección de casos de niños con riesgo de retraso en el desarrollo y su oportuna derivación para ser evaluados por especialistas y recibir intervención temprana. El Ministerio de Salud ha concedido becas de Odontología para Personas con Necesidades Especiales a fin de aumentar el número de profesionales formados</w:t>
      </w:r>
      <w:r w:rsidR="00CF64F3" w:rsidRPr="00CF64F3">
        <w:rPr>
          <w:rStyle w:val="FootnoteReference"/>
        </w:rPr>
        <w:footnoteReference w:id="127"/>
      </w:r>
      <w:r w:rsidR="00CF64F3" w:rsidRPr="00CF64F3">
        <w:t>.</w:t>
      </w:r>
      <w:bookmarkStart w:id="32" w:name="OLE_LINK3"/>
    </w:p>
    <w:p w14:paraId="0FDE82FC" w14:textId="786C0A36" w:rsidR="00CF64F3" w:rsidRPr="00CF64F3" w:rsidRDefault="007E05B4" w:rsidP="007E05B4">
      <w:pPr>
        <w:pStyle w:val="SingleTxtG"/>
      </w:pPr>
      <w:r>
        <w:t>107.</w:t>
      </w:r>
      <w:r w:rsidR="00CF64F3" w:rsidRPr="00CF64F3">
        <w:tab/>
        <w:t xml:space="preserve">Para prestar servicios médicos personalizados a las personas con discapacidad intelectual, una organización de personas con discapacidad, </w:t>
      </w:r>
      <w:proofErr w:type="spellStart"/>
      <w:r w:rsidR="00CF64F3" w:rsidRPr="00CF64F3">
        <w:t>Movement</w:t>
      </w:r>
      <w:proofErr w:type="spellEnd"/>
      <w:r w:rsidR="00CF64F3" w:rsidRPr="00CF64F3">
        <w:t xml:space="preserve"> </w:t>
      </w:r>
      <w:proofErr w:type="spellStart"/>
      <w:r w:rsidR="00CF64F3" w:rsidRPr="00CF64F3">
        <w:t>for</w:t>
      </w:r>
      <w:proofErr w:type="spellEnd"/>
      <w:r w:rsidR="00CF64F3" w:rsidRPr="00CF64F3">
        <w:t xml:space="preserve"> the </w:t>
      </w:r>
      <w:proofErr w:type="spellStart"/>
      <w:r w:rsidR="00CF64F3" w:rsidRPr="00CF64F3">
        <w:t>Intellectually</w:t>
      </w:r>
      <w:proofErr w:type="spellEnd"/>
      <w:r w:rsidR="00CF64F3" w:rsidRPr="00CF64F3">
        <w:t xml:space="preserve"> </w:t>
      </w:r>
      <w:proofErr w:type="spellStart"/>
      <w:r w:rsidR="00CF64F3" w:rsidRPr="00CF64F3">
        <w:t>Disabled</w:t>
      </w:r>
      <w:proofErr w:type="spellEnd"/>
      <w:r w:rsidR="00CF64F3" w:rsidRPr="00CF64F3">
        <w:t xml:space="preserve"> of </w:t>
      </w:r>
      <w:proofErr w:type="spellStart"/>
      <w:r w:rsidR="00CF64F3" w:rsidRPr="00CF64F3">
        <w:t>Singapore</w:t>
      </w:r>
      <w:proofErr w:type="spellEnd"/>
      <w:r w:rsidR="00CF64F3" w:rsidRPr="00CF64F3">
        <w:t xml:space="preserve"> (MINDS), recibió financiación pública para abrir en 2017 el Consultorio de Discapacidades del Desarrollo, que ofrece a las personas con discapacidad intelectual servicios gratuitos de atención primaria especializada y salud preventiva</w:t>
      </w:r>
      <w:r w:rsidR="00CF64F3" w:rsidRPr="00CF64F3">
        <w:rPr>
          <w:rStyle w:val="FootnoteReference"/>
        </w:rPr>
        <w:footnoteReference w:id="128"/>
      </w:r>
      <w:r w:rsidR="00CF64F3" w:rsidRPr="00CF64F3">
        <w:t>.</w:t>
      </w:r>
    </w:p>
    <w:p w14:paraId="6653C27B" w14:textId="582AEDD5" w:rsidR="00CF64F3" w:rsidRPr="00CF64F3" w:rsidRDefault="007E05B4" w:rsidP="007E05B4">
      <w:pPr>
        <w:pStyle w:val="H1G"/>
      </w:pPr>
      <w:r>
        <w:tab/>
      </w:r>
      <w:r w:rsidR="00CF64F3" w:rsidRPr="00CF64F3">
        <w:tab/>
        <w:t>Respuesta al párrafo 25 de la lista de cuestiones</w:t>
      </w:r>
    </w:p>
    <w:bookmarkEnd w:id="32"/>
    <w:p w14:paraId="3658C6B8" w14:textId="1D69F471" w:rsidR="00CF64F3" w:rsidRPr="00CF64F3" w:rsidRDefault="007E05B4" w:rsidP="007E05B4">
      <w:pPr>
        <w:pStyle w:val="SingleTxtG"/>
      </w:pPr>
      <w:r>
        <w:t>108.</w:t>
      </w:r>
      <w:r w:rsidR="00CF64F3" w:rsidRPr="00CF64F3">
        <w:tab/>
        <w:t>El apoyo a la discapacidad al que se hace referencia en el presente documento se aplica tanto a las personas con discapacidad adquirida como a las personas con discapacidad congénita. Singapur también ha adoptado medidas adicionales para promover la rehabilitación de las personas con discapacidad adquirida, por ejemplo en los ámbitos de la salud</w:t>
      </w:r>
      <w:r w:rsidR="00CF64F3" w:rsidRPr="00CF64F3">
        <w:rPr>
          <w:rStyle w:val="FootnoteReference"/>
        </w:rPr>
        <w:footnoteReference w:id="129"/>
      </w:r>
      <w:r w:rsidR="00CF64F3" w:rsidRPr="00CF64F3">
        <w:t>, el empleo</w:t>
      </w:r>
      <w:r w:rsidR="00CF64F3" w:rsidRPr="00CF64F3">
        <w:rPr>
          <w:rStyle w:val="FootnoteReference"/>
        </w:rPr>
        <w:footnoteReference w:id="130"/>
      </w:r>
      <w:r w:rsidR="00CF64F3" w:rsidRPr="00CF64F3">
        <w:t>, la educación</w:t>
      </w:r>
      <w:r w:rsidR="00CF64F3" w:rsidRPr="00CF64F3">
        <w:rPr>
          <w:rStyle w:val="FootnoteReference"/>
        </w:rPr>
        <w:footnoteReference w:id="131"/>
      </w:r>
      <w:r w:rsidR="00CF64F3" w:rsidRPr="00CF64F3">
        <w:t xml:space="preserve"> y los servicios sociales</w:t>
      </w:r>
      <w:r w:rsidR="00CF64F3" w:rsidRPr="00CF64F3">
        <w:rPr>
          <w:rStyle w:val="FootnoteReference"/>
        </w:rPr>
        <w:footnoteReference w:id="132"/>
      </w:r>
      <w:r w:rsidR="00CF64F3" w:rsidRPr="00CF64F3">
        <w:t>.</w:t>
      </w:r>
    </w:p>
    <w:p w14:paraId="06CC591D" w14:textId="387098C7" w:rsidR="00CF64F3" w:rsidRPr="00CF64F3" w:rsidRDefault="007E05B4" w:rsidP="007E05B4">
      <w:pPr>
        <w:pStyle w:val="H1G"/>
      </w:pPr>
      <w:r>
        <w:tab/>
      </w:r>
      <w:r w:rsidR="00CF64F3" w:rsidRPr="00CF64F3">
        <w:tab/>
        <w:t>Respuesta al párrafo 26 de la lista de cuestiones</w:t>
      </w:r>
    </w:p>
    <w:p w14:paraId="68835FF6" w14:textId="52A1CC3B" w:rsidR="00CF64F3" w:rsidRPr="00CF64F3" w:rsidRDefault="007E05B4" w:rsidP="007E05B4">
      <w:pPr>
        <w:pStyle w:val="H23G"/>
      </w:pPr>
      <w:r>
        <w:tab/>
      </w:r>
      <w:r w:rsidR="00CF64F3" w:rsidRPr="00CF64F3">
        <w:tab/>
        <w:t>Prevención de la discriminación en el lugar de trabajo</w:t>
      </w:r>
    </w:p>
    <w:p w14:paraId="13054393" w14:textId="3A73C154" w:rsidR="00CF64F3" w:rsidRPr="00CF64F3" w:rsidRDefault="007E05B4" w:rsidP="007E05B4">
      <w:pPr>
        <w:pStyle w:val="SingleTxtG"/>
      </w:pPr>
      <w:r>
        <w:t>109.</w:t>
      </w:r>
      <w:r w:rsidR="00CF64F3" w:rsidRPr="00CF64F3">
        <w:tab/>
        <w:t xml:space="preserve">Singapur concede una gran importancia a la lucha contra la discriminación laboral. Si bien en Singapur no existe ninguna ley que trate específicamente la discriminación en el lugar </w:t>
      </w:r>
      <w:r w:rsidR="00CF64F3" w:rsidRPr="00CF64F3">
        <w:lastRenderedPageBreak/>
        <w:t>de trabajo, el principio de igualdad está consagrado en la Constitución y se aplica ampliamente en el ámbito del empleo.</w:t>
      </w:r>
    </w:p>
    <w:p w14:paraId="4BFE24C2" w14:textId="360629C6" w:rsidR="00CF64F3" w:rsidRPr="00CF64F3" w:rsidRDefault="007E05B4" w:rsidP="007E05B4">
      <w:pPr>
        <w:pStyle w:val="SingleTxtG"/>
      </w:pPr>
      <w:r>
        <w:t>110.</w:t>
      </w:r>
      <w:r w:rsidR="00CF64F3" w:rsidRPr="00CF64F3">
        <w:tab/>
        <w:t>Singapur hace frente a la discriminación en el lugar de trabajo mediante una estrategia con dos vertientes: la educación y la aplicación de la ley. Para orientar a los empresarios, la Alianza Tripartita en Favor de las Prácticas de Empleo Justas y Progresistas elaboró el conjunto de Directrices de la Alianza Tripartita sobre Prácticas de Empleo Justas, con el apoyo del Ministerio de Trabajo, el Congreso Nacional de Sindicatos y la Federación Nacional de Empleadores de Singapur. En las Directrices se establecen prácticas de empleo justas para evitar la discriminación en el lugar de trabajo, en ámbitos como la contratación, la evaluación del desempeño y los ascensos. La Alianza Tripartita en Favor de las Prácticas de Empleo Justas y Progresistas colabora estrechamente con el Ministerio de Trabajo para investigar los casos de discriminación en el lugar de trabajo y vela por que se sancione debidamente a los empresarios que incumplen las Directrices.</w:t>
      </w:r>
    </w:p>
    <w:p w14:paraId="6FD515D1" w14:textId="48F7FCD9" w:rsidR="00CF64F3" w:rsidRPr="00CF64F3" w:rsidRDefault="007E05B4" w:rsidP="007E05B4">
      <w:pPr>
        <w:pStyle w:val="SingleTxtG"/>
      </w:pPr>
      <w:r>
        <w:t>111.</w:t>
      </w:r>
      <w:r w:rsidR="00CF64F3" w:rsidRPr="00CF64F3">
        <w:tab/>
        <w:t>En 2020 se endurecieron las sanciones por prácticas desleales a fin de incluir la denegación de las solicitudes de renovación o expedición de visados de trabajo por parte del empleador que haya cometido la infracción durante al menos 12 meses y el enjuiciamiento de los empleadores y el personal clave que declaren haber considerado a todos los candidatos de manera justa sin ser ello cierto. El Ministerio de Trabajo también identifica de forma proactiva a los empleadores de los que haya indicios de prácticas de contratación discriminatorias y los incluye en una lista de control para someterlos a una vigilancia más estrecha.</w:t>
      </w:r>
    </w:p>
    <w:p w14:paraId="5CB2EFFB" w14:textId="1BC0C9DD" w:rsidR="00CF64F3" w:rsidRPr="00CF64F3" w:rsidRDefault="007E05B4" w:rsidP="007E05B4">
      <w:pPr>
        <w:pStyle w:val="H23G"/>
      </w:pPr>
      <w:r>
        <w:tab/>
      </w:r>
      <w:r w:rsidR="00CF64F3" w:rsidRPr="00CF64F3">
        <w:tab/>
        <w:t>Fomento del empleo</w:t>
      </w:r>
    </w:p>
    <w:p w14:paraId="57AD502A" w14:textId="08177474" w:rsidR="00CF64F3" w:rsidRPr="00CF64F3" w:rsidRDefault="007E05B4" w:rsidP="007E05B4">
      <w:pPr>
        <w:pStyle w:val="SingleTxtG"/>
      </w:pPr>
      <w:r>
        <w:t>112.</w:t>
      </w:r>
      <w:r w:rsidR="00CF64F3" w:rsidRPr="00CF64F3">
        <w:tab/>
        <w:t>Según la Encuesta Integral de Población Activa del Ministerio de Trabajo, en 2018 la tasa de empleo de residentes fue del 28,6 % entre las personas con discapacidad en edad laboral de 15 a 64 años</w:t>
      </w:r>
      <w:r w:rsidR="00CF64F3" w:rsidRPr="00CF64F3">
        <w:rPr>
          <w:rStyle w:val="FootnoteReference"/>
        </w:rPr>
        <w:footnoteReference w:id="133"/>
      </w:r>
      <w:r w:rsidR="00CF64F3" w:rsidRPr="00CF64F3">
        <w:t>. Un 4,2 % adicional de las personas con discapacidad en esta franja de edad estaban desempleadas y buscando empleo activamente, lo que implica una tasa de desempleo de residentes del 12,9 %. La tasa de empleo de residentes fue del 27,6 % entre las personas con discapacidad de 15 a 39 años; del 37,8 % entre las de 40 a 49 años; del 26,1 % entre las de 50 a 64 años; y del 5,9 % entre las mayores de 65 años. Los sectores que emplean a un mayor número de residentes con discapacidad son los servicios comunitarios, sociales y personales, los de alimentación, los administrativos y de apoyo y la industria manufacturera, que en conjunto representaron más de la mitad del empleo entre las personas con discapacidad.</w:t>
      </w:r>
    </w:p>
    <w:p w14:paraId="2EE94F40" w14:textId="0611D300" w:rsidR="00CF64F3" w:rsidRPr="00CF64F3" w:rsidRDefault="007E05B4" w:rsidP="007E05B4">
      <w:pPr>
        <w:pStyle w:val="SingleTxtG"/>
      </w:pPr>
      <w:r>
        <w:t>113.</w:t>
      </w:r>
      <w:r w:rsidR="00CF64F3" w:rsidRPr="00CF64F3">
        <w:tab/>
        <w:t>Para alentar a los empleadores a contratar y mantener en sus plantillas a las personas con discapacidad, el Crédito Especial de Empleo ofrece compensaciones salariales a quienes contraten a personas con discapacidad que ganen menos de 4.000 dólares singapurenses (2.952 dólares de los Estados Unidos) al mes</w:t>
      </w:r>
      <w:r w:rsidR="00CF64F3" w:rsidRPr="00CF64F3">
        <w:rPr>
          <w:rStyle w:val="FootnoteReference"/>
        </w:rPr>
        <w:footnoteReference w:id="134"/>
      </w:r>
      <w:r w:rsidR="00CF64F3" w:rsidRPr="00CF64F3">
        <w:t>. En 2019, se beneficiaron del Crédito Especial de Empleo más de 5.900 empleadores, que contrataron a más de 9.000 personas con discapacidad de Singapur</w:t>
      </w:r>
      <w:r w:rsidR="00CF64F3" w:rsidRPr="00CF64F3">
        <w:rPr>
          <w:rStyle w:val="FootnoteReference"/>
        </w:rPr>
        <w:footnoteReference w:id="135"/>
      </w:r>
      <w:r w:rsidR="00CF64F3" w:rsidRPr="00CF64F3">
        <w:t>. En diciembre de 2020 el Crédito para el Empleo Habilitante sustituirá al Crédito Especial de Empleo. En el marco del Crédito para el Empleo Habilitante, los empleadores que contraten a personas con discapacidad que lleven desempleadas al menos seis meses recibirán una compensación salarial adicional de hasta el 10 %, durante un per</w:t>
      </w:r>
      <w:r w:rsidR="0040084E">
        <w:t>í</w:t>
      </w:r>
      <w:r w:rsidR="00CF64F3" w:rsidRPr="00CF64F3">
        <w:t>odo de seis meses</w:t>
      </w:r>
      <w:r w:rsidR="00CF64F3" w:rsidRPr="00CF64F3">
        <w:rPr>
          <w:rStyle w:val="FootnoteReference"/>
        </w:rPr>
        <w:footnoteReference w:id="136"/>
      </w:r>
      <w:r w:rsidR="00CF64F3" w:rsidRPr="00CF64F3">
        <w:t xml:space="preserve">. Recientemente, también se ha puesto en marcha el Reto Presidencial 2020, cuyo tema principal ha sido el empoderamiento de las personas con discapacidad. En </w:t>
      </w:r>
      <w:r w:rsidR="00CF64F3" w:rsidRPr="00CF64F3">
        <w:lastRenderedPageBreak/>
        <w:t>este contexto, 110 empleadores, incluida la administración pública, se han comprometido a fomentar una mano de obra más inclusiva.</w:t>
      </w:r>
    </w:p>
    <w:p w14:paraId="4792049E" w14:textId="67773E46" w:rsidR="00CF64F3" w:rsidRPr="00CF64F3" w:rsidRDefault="007E05B4" w:rsidP="007E05B4">
      <w:pPr>
        <w:pStyle w:val="SingleTxtG"/>
      </w:pPr>
      <w:r>
        <w:t>114.</w:t>
      </w:r>
      <w:r w:rsidR="00CF64F3" w:rsidRPr="00CF64F3">
        <w:tab/>
        <w:t>Los empresarios y las personas con discapacidad pueden beneficiarse de los servicios y programas de fomento del empleo en el marco de la iniciativa Adaptarse y Crecer. En esta iniciativa se enmarca el Programa Puerta Abierta</w:t>
      </w:r>
      <w:r w:rsidR="00CF64F3" w:rsidRPr="00CF64F3">
        <w:rPr>
          <w:rStyle w:val="FootnoteReference"/>
        </w:rPr>
        <w:footnoteReference w:id="137"/>
      </w:r>
      <w:r w:rsidR="00CF64F3" w:rsidRPr="00CF64F3">
        <w:t>, que prevé subvenciones destinadas a formación</w:t>
      </w:r>
      <w:r w:rsidR="00CF64F3" w:rsidRPr="00CF64F3">
        <w:rPr>
          <w:rStyle w:val="FootnoteReference"/>
        </w:rPr>
        <w:footnoteReference w:id="138"/>
      </w:r>
      <w:r w:rsidR="00CF64F3" w:rsidRPr="00CF64F3">
        <w:t xml:space="preserve"> y al rediseño de puestos de trabajo</w:t>
      </w:r>
      <w:r w:rsidR="00CF64F3" w:rsidRPr="00CF64F3">
        <w:rPr>
          <w:rStyle w:val="FootnoteReference"/>
        </w:rPr>
        <w:footnoteReference w:id="139"/>
      </w:r>
      <w:r w:rsidR="00CF64F3" w:rsidRPr="00CF64F3">
        <w:t>. Para dar respuesta a las preocupaciones de los empleadores y de las personas con discapacidad sobre la aptitud para el puesto de trabajo y la idoneidad del entorno laboral, el Programa de Empleo a Prueba ofrece la oportunidad de que tanto los demandantes de empleo como los empleadores evalúen la aptitud del candidato para el puesto de trabajo a través de un período de prueba</w:t>
      </w:r>
      <w:r w:rsidR="00CF64F3" w:rsidRPr="00CF64F3">
        <w:rPr>
          <w:rStyle w:val="FootnoteReference"/>
        </w:rPr>
        <w:footnoteReference w:id="140"/>
      </w:r>
      <w:r w:rsidR="00CF64F3" w:rsidRPr="00CF64F3">
        <w:t>, durante el cual los demandantes de empleo reciben de la administración un subsidio de formación de hasta 15 dólares singapurenses (10,90 dólares de los Estados Unidos) por hora.</w:t>
      </w:r>
      <w:bookmarkStart w:id="33" w:name="_Hlk52180302"/>
      <w:bookmarkEnd w:id="33"/>
    </w:p>
    <w:p w14:paraId="47C80E58" w14:textId="35A0975D" w:rsidR="00CF64F3" w:rsidRPr="00CF64F3" w:rsidRDefault="007E05B4" w:rsidP="007E05B4">
      <w:pPr>
        <w:pStyle w:val="SingleTxtG"/>
      </w:pPr>
      <w:r>
        <w:t>115.</w:t>
      </w:r>
      <w:r w:rsidR="00CF64F3" w:rsidRPr="00CF64F3">
        <w:tab/>
        <w:t xml:space="preserve">El Ministerio de Trabajo y SG </w:t>
      </w:r>
      <w:proofErr w:type="spellStart"/>
      <w:r w:rsidR="00CF64F3" w:rsidRPr="00CF64F3">
        <w:t>Enable</w:t>
      </w:r>
      <w:proofErr w:type="spellEnd"/>
      <w:r w:rsidR="00CF64F3" w:rsidRPr="00CF64F3">
        <w:t xml:space="preserve"> publicaron en 2019 la Guía de Rediseño de Puestos de Trabajo para Empleadores Inclusivos, que ofrece información paso a paso a las empresas sobre el rediseño de puestos de trabajo para adaptarlos a los trabajadores con discapacidad</w:t>
      </w:r>
      <w:r w:rsidR="00CF64F3" w:rsidRPr="00CF64F3">
        <w:rPr>
          <w:rStyle w:val="FootnoteReference"/>
        </w:rPr>
        <w:footnoteReference w:id="141"/>
      </w:r>
      <w:r w:rsidR="00CF64F3" w:rsidRPr="00CF64F3">
        <w:t xml:space="preserve">. SG </w:t>
      </w:r>
      <w:proofErr w:type="spellStart"/>
      <w:r w:rsidR="00CF64F3" w:rsidRPr="00CF64F3">
        <w:t>Enable</w:t>
      </w:r>
      <w:proofErr w:type="spellEnd"/>
      <w:r w:rsidR="00CF64F3" w:rsidRPr="00CF64F3">
        <w:t xml:space="preserve"> organiza talleres de gestión de la discapacidad y un Foro Empresarial Inclusivo bienal con objeto de dotar a los empresarios de conocimientos y competencias sobre cómo contratar a personas con discapacidad e integrarlas en la plantilla. SG </w:t>
      </w:r>
      <w:proofErr w:type="spellStart"/>
      <w:r w:rsidR="00CF64F3" w:rsidRPr="00CF64F3">
        <w:t>Enable</w:t>
      </w:r>
      <w:proofErr w:type="spellEnd"/>
      <w:r w:rsidR="00CF64F3" w:rsidRPr="00CF64F3">
        <w:t xml:space="preserve"> también ayuda a las personas con discapacidad a buscar empleo a través del Programa de Colocación y Fomento del Empleo, así como del programa Del Hospital al Trabajo para personas con discapacidad adquirida</w:t>
      </w:r>
      <w:r w:rsidR="00CF64F3" w:rsidRPr="00CF64F3">
        <w:rPr>
          <w:rStyle w:val="FootnoteReference"/>
        </w:rPr>
        <w:footnoteReference w:id="142"/>
      </w:r>
      <w:r w:rsidR="00CF64F3" w:rsidRPr="00CF64F3">
        <w:t>.</w:t>
      </w:r>
    </w:p>
    <w:p w14:paraId="60DB23DA" w14:textId="62671194" w:rsidR="00CF64F3" w:rsidRPr="00CF64F3" w:rsidRDefault="007E05B4" w:rsidP="007E05B4">
      <w:pPr>
        <w:pStyle w:val="SingleTxtG"/>
      </w:pPr>
      <w:r>
        <w:t>116.</w:t>
      </w:r>
      <w:r w:rsidR="00CF64F3" w:rsidRPr="00CF64F3">
        <w:tab/>
        <w:t>Los solicitantes de empleo con trastornos mentales pueden recurrir a servicios especializados de fomento del empleo ofrecidos por el Club del Empleo del Instituto de Salud Mental y prestados por un equipo multidisciplinar</w:t>
      </w:r>
      <w:r w:rsidR="00CF64F3" w:rsidRPr="00CF64F3">
        <w:rPr>
          <w:rStyle w:val="FootnoteReference"/>
        </w:rPr>
        <w:footnoteReference w:id="143"/>
      </w:r>
      <w:r w:rsidR="00CF64F3" w:rsidRPr="00CF64F3">
        <w:t xml:space="preserve"> o a través de proveedores comunitarios</w:t>
      </w:r>
      <w:r w:rsidR="00CF64F3" w:rsidRPr="00CF64F3">
        <w:rPr>
          <w:rStyle w:val="FootnoteReference"/>
        </w:rPr>
        <w:footnoteReference w:id="144"/>
      </w:r>
      <w:r w:rsidR="00CF64F3" w:rsidRPr="00CF64F3">
        <w:t>. A fin de preparar a las personas que están recuperándose para que compartan su experiencia y brinden apoyo a otras personas con problemas de salud mental, el Instituto de Salud Mental y el Consejo Nacional del Servicio Social llevan a cabo un programa que les ofrece formación y empleo como Especialistas en Apoyo entre Pares.</w:t>
      </w:r>
    </w:p>
    <w:p w14:paraId="51FB52E3" w14:textId="665DAB86" w:rsidR="00CF64F3" w:rsidRPr="00CF64F3" w:rsidRDefault="007E05B4" w:rsidP="007E05B4">
      <w:pPr>
        <w:pStyle w:val="SingleTxtG"/>
      </w:pPr>
      <w:r>
        <w:t>117.</w:t>
      </w:r>
      <w:r w:rsidR="00CF64F3" w:rsidRPr="00CF64F3">
        <w:tab/>
        <w:t>El empleo inclusivo requiere la colaboración de los sectores público y privado y de las personas. En 2019, el Ministerio para el Desarrollo Social y Familiar anunció la creación de un grupo de trabajo intersectorial</w:t>
      </w:r>
      <w:r w:rsidR="00CF64F3" w:rsidRPr="00CF64F3">
        <w:rPr>
          <w:rStyle w:val="FootnoteReference"/>
        </w:rPr>
        <w:footnoteReference w:id="145"/>
      </w:r>
      <w:r w:rsidR="00CF64F3" w:rsidRPr="00CF64F3">
        <w:t xml:space="preserve">, con el propósito de estudiar el modo de preparar a las </w:t>
      </w:r>
      <w:r w:rsidR="00CF64F3" w:rsidRPr="00CF64F3">
        <w:lastRenderedPageBreak/>
        <w:t>personas con discapacidad para la economía futura, mejorando el acceso a oportunidades de aprendizaje permanente y vías de empleo. El grupo de trabajo está llevando a cabo consultas y prevé publicar sus recomendaciones a principios de 2021.</w:t>
      </w:r>
    </w:p>
    <w:p w14:paraId="31A7AF80" w14:textId="16BAA4B3" w:rsidR="00CF64F3" w:rsidRPr="00CF64F3" w:rsidRDefault="007E05B4" w:rsidP="007E05B4">
      <w:pPr>
        <w:pStyle w:val="SingleTxtG"/>
      </w:pPr>
      <w:bookmarkStart w:id="34" w:name="OLE_LINK8"/>
      <w:r>
        <w:t>118.</w:t>
      </w:r>
      <w:r w:rsidR="00CF64F3" w:rsidRPr="00CF64F3">
        <w:tab/>
        <w:t xml:space="preserve">La administración pública de Singapur facilita el empleo de personas con discapacidad colaborando con SG </w:t>
      </w:r>
      <w:proofErr w:type="spellStart"/>
      <w:r w:rsidR="00CF64F3" w:rsidRPr="00CF64F3">
        <w:t>Enable</w:t>
      </w:r>
      <w:proofErr w:type="spellEnd"/>
      <w:r w:rsidR="00CF64F3" w:rsidRPr="00CF64F3">
        <w:t xml:space="preserve"> a través del programa de Colocación en la Administración Pública</w:t>
      </w:r>
      <w:r w:rsidR="00CF64F3" w:rsidRPr="00CF64F3">
        <w:rPr>
          <w:rStyle w:val="FootnoteReference"/>
        </w:rPr>
        <w:footnoteReference w:id="146"/>
      </w:r>
      <w:r w:rsidR="00CF64F3" w:rsidRPr="00CF64F3">
        <w:t>. En diciembre de 2019, aproximadamente 350 personas con discapacidad estaban empleadas en la administración pública y ocupaban puestos tanto en el ámbito de las políticas como en labores operativas y administrativas</w:t>
      </w:r>
      <w:r w:rsidR="00CF64F3" w:rsidRPr="00CF64F3">
        <w:rPr>
          <w:rStyle w:val="FootnoteReference"/>
        </w:rPr>
        <w:footnoteReference w:id="147"/>
      </w:r>
      <w:r w:rsidR="00CF64F3" w:rsidRPr="00CF64F3">
        <w:t>. Además de la contratación directa de personas con discapacidad, los organismos públicos también tienen contratos con organizaciones de personas con discapacidad para emplear a estas personas en labores como la digitalización de documentos, la introducción de datos, el procesamiento de nóminas y la tramitación de reclamaciones.</w:t>
      </w:r>
    </w:p>
    <w:bookmarkEnd w:id="34"/>
    <w:p w14:paraId="09047D99" w14:textId="5791066E" w:rsidR="00CF64F3" w:rsidRPr="00CF64F3" w:rsidRDefault="007E05B4" w:rsidP="007E05B4">
      <w:pPr>
        <w:pStyle w:val="H1G"/>
      </w:pPr>
      <w:r>
        <w:tab/>
      </w:r>
      <w:r w:rsidR="00CF64F3" w:rsidRPr="00CF64F3">
        <w:tab/>
        <w:t>Respuesta al párrafo 27 de la lista de cuestiones</w:t>
      </w:r>
    </w:p>
    <w:p w14:paraId="0C52FDA0" w14:textId="71B081D9" w:rsidR="00CF64F3" w:rsidRPr="00CF64F3" w:rsidRDefault="007E05B4" w:rsidP="007E05B4">
      <w:pPr>
        <w:pStyle w:val="H23G"/>
      </w:pPr>
      <w:r>
        <w:tab/>
      </w:r>
      <w:r w:rsidR="00CF64F3" w:rsidRPr="00CF64F3">
        <w:tab/>
        <w:t>Acceso a la protección social y a los servicios de apoyo</w:t>
      </w:r>
    </w:p>
    <w:p w14:paraId="66D88896" w14:textId="62418477" w:rsidR="00CF64F3" w:rsidRPr="00CF64F3" w:rsidRDefault="007E05B4" w:rsidP="007E05B4">
      <w:pPr>
        <w:pStyle w:val="SingleTxtG"/>
      </w:pPr>
      <w:r>
        <w:t>119.</w:t>
      </w:r>
      <w:r w:rsidR="00CF64F3" w:rsidRPr="00CF64F3">
        <w:tab/>
        <w:t xml:space="preserve">Las personas con discapacidad disponen de una amplia gama de ayudas económicas y prestaciones en las diferentes etapas de la vida. Los servicios en materia de discapacidad están vinculados al nivel de ingresos a fin de garantizar que las familias con bajos ingresos reciban más prestaciones. En función de su situación económica, también pueden optar a planes de ayuda financiera de ámbito nacional, como el Plan de Asistencia a Largo Plazo, el Plan de Asistencia a Corto y Medio Plazo y las Prestaciones por Cuidado de Estudiantes de </w:t>
      </w:r>
      <w:proofErr w:type="spellStart"/>
      <w:r w:rsidR="00CF64F3" w:rsidRPr="00CF64F3">
        <w:t>ComCare</w:t>
      </w:r>
      <w:proofErr w:type="spellEnd"/>
      <w:r w:rsidR="00CF64F3" w:rsidRPr="00CF64F3">
        <w:t xml:space="preserve">. SG </w:t>
      </w:r>
      <w:proofErr w:type="spellStart"/>
      <w:r w:rsidR="00CF64F3" w:rsidRPr="00CF64F3">
        <w:t>Enable</w:t>
      </w:r>
      <w:proofErr w:type="spellEnd"/>
      <w:r w:rsidR="00CF64F3" w:rsidRPr="00CF64F3">
        <w:t xml:space="preserve"> también administra varios planes de apoyo</w:t>
      </w:r>
      <w:r w:rsidR="00CF64F3" w:rsidRPr="00CF64F3">
        <w:rPr>
          <w:rStyle w:val="FootnoteReference"/>
        </w:rPr>
        <w:footnoteReference w:id="148"/>
      </w:r>
      <w:r w:rsidR="00CF64F3" w:rsidRPr="00CF64F3">
        <w:t>.</w:t>
      </w:r>
    </w:p>
    <w:p w14:paraId="1BFCDBCE" w14:textId="0918499C" w:rsidR="00CF64F3" w:rsidRPr="00CF64F3" w:rsidRDefault="007E05B4" w:rsidP="007E05B4">
      <w:pPr>
        <w:pStyle w:val="SingleTxtG"/>
      </w:pPr>
      <w:r>
        <w:t>120.</w:t>
      </w:r>
      <w:r w:rsidR="00CF64F3" w:rsidRPr="00CF64F3">
        <w:tab/>
        <w:t>En la etapa preescolar, todos los centros financiados por la administración que ofrecen el Programa de Intervención Temprana para Lactantes y Niños disponen de planes para ayudar a las familias a sufragar los costes del Programa. Los padres con hijos inscritos en determinados centros de intervención privados pueden recibir asistencia a través del Plan Piloto Mejorado para Proveedores de Intervención Privados. También existen ayudas financieras en la etapa escolar</w:t>
      </w:r>
      <w:r w:rsidR="00CF64F3" w:rsidRPr="00CF64F3">
        <w:rPr>
          <w:rStyle w:val="FootnoteReference"/>
        </w:rPr>
        <w:footnoteReference w:id="149"/>
      </w:r>
      <w:r w:rsidR="00CF64F3" w:rsidRPr="00CF64F3">
        <w:t>.</w:t>
      </w:r>
    </w:p>
    <w:p w14:paraId="4E89243C" w14:textId="06FAD520" w:rsidR="00CF64F3" w:rsidRPr="00CF64F3" w:rsidRDefault="007E05B4" w:rsidP="007E05B4">
      <w:pPr>
        <w:pStyle w:val="SingleTxtG"/>
      </w:pPr>
      <w:r>
        <w:t>121.</w:t>
      </w:r>
      <w:r w:rsidR="00CF64F3" w:rsidRPr="00CF64F3">
        <w:tab/>
        <w:t xml:space="preserve">Tras su graduación, las personas con discapacidad que no pueden trabajar tienen la posibilidad de inscribirse en servicios financiados por el Estado, como los Centros Diurnos de Actividades y los Talleres Protegidos. Los cuidadores pueden beneficiarse del Precio Reducido para la Contratación de Trabajadores Domésticos Extranjeros y la Ayuda para Contratar Trabajadores Domésticos Extranjeros para personas con discapacidad a fin de sufragar la contratación de un trabajador doméstico extranjero a fin de que se ocupe del cuidado de sus familiares con discapacidad. Los trabajadores que cuidan a personas con </w:t>
      </w:r>
      <w:r w:rsidR="00CF64F3" w:rsidRPr="00CF64F3">
        <w:lastRenderedPageBreak/>
        <w:t>discapacidad también pueden beneficiarse de desgravaciones fiscales</w:t>
      </w:r>
      <w:r w:rsidR="00CF64F3" w:rsidRPr="00CF64F3">
        <w:rPr>
          <w:rStyle w:val="FootnoteReference"/>
        </w:rPr>
        <w:footnoteReference w:id="150"/>
      </w:r>
      <w:r w:rsidR="00CF64F3" w:rsidRPr="00CF64F3">
        <w:t>. Los diez hogares para personas adultas con discapacidad y los tres hogares para niños con discapacidad ofrecen servicios de cuidados temporales a fin de brindar apoyo a los familiares de personas con discapacidad que puedan necesitar asistencia para los cuidados en el corto plazo.</w:t>
      </w:r>
    </w:p>
    <w:p w14:paraId="7E3FE6B0" w14:textId="1ECB735E" w:rsidR="00CF64F3" w:rsidRPr="00CF64F3" w:rsidRDefault="007E05B4" w:rsidP="007E05B4">
      <w:pPr>
        <w:pStyle w:val="H23G"/>
      </w:pPr>
      <w:r>
        <w:tab/>
      </w:r>
      <w:r w:rsidR="00CF64F3" w:rsidRPr="00CF64F3">
        <w:tab/>
        <w:t>Apoyo a los ingresos</w:t>
      </w:r>
    </w:p>
    <w:p w14:paraId="7481E66B" w14:textId="223E3928" w:rsidR="00CF64F3" w:rsidRPr="00CF64F3" w:rsidRDefault="007E05B4" w:rsidP="007E05B4">
      <w:pPr>
        <w:pStyle w:val="SingleTxtG"/>
      </w:pPr>
      <w:r>
        <w:t>122.</w:t>
      </w:r>
      <w:r w:rsidR="00CF64F3" w:rsidRPr="00CF64F3">
        <w:tab/>
        <w:t>Los trabajadores con discapacidad de Singapur que tienen salarios bajos se benefician automáticamente de dos planes de suplemento de los ingresos a fin de incrementar sus salarios, mejorar la adecuación a la jubilación y mejorar sus competencias. El Plan de Suplemento de los Ingresos</w:t>
      </w:r>
      <w:r w:rsidR="00CF64F3" w:rsidRPr="00CF64F3">
        <w:rPr>
          <w:rStyle w:val="FootnoteReference"/>
        </w:rPr>
        <w:footnoteReference w:id="151"/>
      </w:r>
      <w:r w:rsidR="00CF64F3" w:rsidRPr="00CF64F3">
        <w:t xml:space="preserve"> complementa los salarios y el Fondo Central de Previsión hace lo propio con los ahorros de los trabajadores con salarios bajos, incluidos los de las personas con discapacidad. El Plan de Apoyo a la Capacitación proporciona incentivos en efectivo, financiación de la nómina de los trabajadores que se ausenten de su puesto para asistir a cursos y subsidios de formación para alentar a los trabajadores con discapacidad con salarios bajos a mejorar sus competencias. Las personas con discapacidad de Singapur que tienen salarios bajos también pueden recurrir a los servicios y programas de fomento del empleo</w:t>
      </w:r>
      <w:r w:rsidR="00CF64F3" w:rsidRPr="00CF64F3">
        <w:rPr>
          <w:rStyle w:val="FootnoteReference"/>
        </w:rPr>
        <w:footnoteReference w:id="152"/>
      </w:r>
      <w:r w:rsidR="00CF64F3" w:rsidRPr="00CF64F3">
        <w:t>.</w:t>
      </w:r>
    </w:p>
    <w:p w14:paraId="36719A12" w14:textId="48237C83" w:rsidR="00CF64F3" w:rsidRPr="00CF64F3" w:rsidRDefault="007E05B4" w:rsidP="007E05B4">
      <w:pPr>
        <w:pStyle w:val="H23G"/>
      </w:pPr>
      <w:r>
        <w:tab/>
      </w:r>
      <w:r w:rsidR="00CF64F3" w:rsidRPr="00CF64F3">
        <w:tab/>
        <w:t>Acceso a la vivienda pública</w:t>
      </w:r>
    </w:p>
    <w:p w14:paraId="3F30807A" w14:textId="55C8CC01" w:rsidR="00CF64F3" w:rsidRPr="00CF64F3" w:rsidRDefault="007E05B4" w:rsidP="007E05B4">
      <w:pPr>
        <w:pStyle w:val="SingleTxtG"/>
      </w:pPr>
      <w:r>
        <w:t>123.</w:t>
      </w:r>
      <w:r w:rsidR="00CF64F3" w:rsidRPr="00CF64F3">
        <w:tab/>
        <w:t>Las personas con discapacidad pueden acceder a los programas de vivienda pública en igualdad de condiciones con el resto de las personas. También hay programas y planes dirigidos a promover la vida independiente de las personas con discapacidad en la comunidad</w:t>
      </w:r>
      <w:r w:rsidR="00CF64F3" w:rsidRPr="00CF64F3">
        <w:rPr>
          <w:rStyle w:val="FootnoteReference"/>
        </w:rPr>
        <w:footnoteReference w:id="153"/>
      </w:r>
      <w:r w:rsidR="00CF64F3" w:rsidRPr="00CF64F3">
        <w:t>.</w:t>
      </w:r>
    </w:p>
    <w:p w14:paraId="42BD9D4A" w14:textId="2B341B81" w:rsidR="00CF64F3" w:rsidRPr="00CF64F3" w:rsidRDefault="007E05B4" w:rsidP="007E05B4">
      <w:pPr>
        <w:pStyle w:val="H1G"/>
      </w:pPr>
      <w:r>
        <w:tab/>
      </w:r>
      <w:r w:rsidR="00CF64F3" w:rsidRPr="00CF64F3">
        <w:tab/>
        <w:t>Respuesta al párrafo 28 de la lista de cuestiones</w:t>
      </w:r>
    </w:p>
    <w:p w14:paraId="7F47F8F8" w14:textId="68083461" w:rsidR="00CF64F3" w:rsidRPr="00CF64F3" w:rsidRDefault="007E05B4" w:rsidP="007E05B4">
      <w:pPr>
        <w:pStyle w:val="SingleTxtG"/>
      </w:pPr>
      <w:r>
        <w:t>124.</w:t>
      </w:r>
      <w:r w:rsidR="00CF64F3" w:rsidRPr="00CF64F3">
        <w:tab/>
        <w:t>El bienestar de los trabajadores migrantes en Singapur queda salvaguardado por un marco jurídico amplio. En caso de que un trabajador migrante tenga un accidente laboral que resulte en una discapacidad, tiene derecho a una indemnización con arreglo a la Ley de Indemnización por Accidente de Trabajo</w:t>
      </w:r>
      <w:r w:rsidR="00CF64F3" w:rsidRPr="00CF64F3">
        <w:rPr>
          <w:rStyle w:val="FootnoteReference"/>
        </w:rPr>
        <w:footnoteReference w:id="154"/>
      </w:r>
      <w:r w:rsidR="00CF64F3" w:rsidRPr="00CF64F3">
        <w:t>. Por el momento, Singapur no ratificará la Convención Internacional sobre la Protección de los Derechos de Todos los Trabajadores Migratorios y de Sus Familiares.</w:t>
      </w:r>
      <w:bookmarkStart w:id="35" w:name="_Hlk52192104"/>
      <w:bookmarkEnd w:id="35"/>
    </w:p>
    <w:p w14:paraId="0727412D" w14:textId="0E4D1326" w:rsidR="00CF64F3" w:rsidRPr="00CF64F3" w:rsidRDefault="007E05B4" w:rsidP="007E05B4">
      <w:pPr>
        <w:pStyle w:val="H1G"/>
      </w:pPr>
      <w:r>
        <w:lastRenderedPageBreak/>
        <w:tab/>
      </w:r>
      <w:r w:rsidR="00CF64F3" w:rsidRPr="00CF64F3">
        <w:tab/>
        <w:t>Respuesta al párrafo 29 de la lista de cuestiones</w:t>
      </w:r>
    </w:p>
    <w:p w14:paraId="07FC113A" w14:textId="3DE44024" w:rsidR="00CF64F3" w:rsidRPr="00CF64F3" w:rsidRDefault="007E05B4" w:rsidP="007E05B4">
      <w:pPr>
        <w:pStyle w:val="H23G"/>
      </w:pPr>
      <w:r>
        <w:tab/>
      </w:r>
      <w:r w:rsidR="00CF64F3" w:rsidRPr="00CF64F3">
        <w:tab/>
        <w:t>Participación en la dirección de los asuntos públicos</w:t>
      </w:r>
    </w:p>
    <w:p w14:paraId="6C2D822F" w14:textId="4AB3D9E4" w:rsidR="00CF64F3" w:rsidRPr="00CF64F3" w:rsidRDefault="007E05B4" w:rsidP="007E05B4">
      <w:pPr>
        <w:pStyle w:val="SingleTxtG"/>
      </w:pPr>
      <w:r>
        <w:t>125.</w:t>
      </w:r>
      <w:r w:rsidR="00CF64F3" w:rsidRPr="00CF64F3">
        <w:tab/>
        <w:t>Las personas con discapacidad han hecho importantes contribuciones a los debates parlamentarios y políticos en Singapur. Por ejemplo, el sistema de diputados designados ha fomentado la participación de las personas con discapacidad en el ámbito legislativo, permitiéndoles representar las opiniones de su comunidad y contribuir a las políticas públicas. Los diputados designados, que son nombrados por el Presidente</w:t>
      </w:r>
      <w:r w:rsidR="00CF64F3" w:rsidRPr="00CF64F3">
        <w:rPr>
          <w:rStyle w:val="FootnoteReference"/>
        </w:rPr>
        <w:footnoteReference w:id="155"/>
      </w:r>
      <w:r w:rsidR="00CF64F3" w:rsidRPr="00CF64F3">
        <w:t xml:space="preserve"> para un mandato de dos años y medio, pueden plantear cuestiones, proponer leyes y votar sobre la mayoría de los asuntos presentados en el Parlamento, con ciertas excepciones</w:t>
      </w:r>
      <w:r w:rsidR="00CF64F3" w:rsidRPr="00CF64F3">
        <w:rPr>
          <w:rStyle w:val="FootnoteReference"/>
        </w:rPr>
        <w:footnoteReference w:id="156"/>
      </w:r>
      <w:r w:rsidR="00CF64F3" w:rsidRPr="00CF64F3">
        <w:t>. Entre 2014 y 2020, dos personas con discapacidad</w:t>
      </w:r>
      <w:r w:rsidR="00CF64F3" w:rsidRPr="00CF64F3">
        <w:rPr>
          <w:rStyle w:val="FootnoteReference"/>
        </w:rPr>
        <w:footnoteReference w:id="157"/>
      </w:r>
      <w:r w:rsidR="00CF64F3" w:rsidRPr="00CF64F3">
        <w:t xml:space="preserve"> han ejercido sus funciones como diputadas designadas. Las personas con discapacidad tienen igual derecho que los demás ciudadanos a formar organizaciones sociales y afiliarse a partidos políticos, y también han sido propuestas para presentarse a cargos políticos</w:t>
      </w:r>
      <w:r w:rsidR="00CF64F3" w:rsidRPr="00CF64F3">
        <w:rPr>
          <w:rStyle w:val="FootnoteReference"/>
        </w:rPr>
        <w:footnoteReference w:id="158"/>
      </w:r>
      <w:r w:rsidR="00CF64F3" w:rsidRPr="00CF64F3">
        <w:t>.</w:t>
      </w:r>
      <w:bookmarkStart w:id="36" w:name="OLE_LINK5"/>
    </w:p>
    <w:p w14:paraId="28E8340B" w14:textId="70BAE893" w:rsidR="00CF64F3" w:rsidRPr="00CF64F3" w:rsidRDefault="007E05B4" w:rsidP="007E05B4">
      <w:pPr>
        <w:pStyle w:val="H23G"/>
      </w:pPr>
      <w:r>
        <w:tab/>
      </w:r>
      <w:r w:rsidR="00CF64F3" w:rsidRPr="00CF64F3">
        <w:tab/>
        <w:t>Participación electoral</w:t>
      </w:r>
    </w:p>
    <w:p w14:paraId="6F216448" w14:textId="7C58EBA1" w:rsidR="00CF64F3" w:rsidRPr="00CF64F3" w:rsidRDefault="007E05B4" w:rsidP="007E05B4">
      <w:pPr>
        <w:pStyle w:val="SingleTxtG"/>
      </w:pPr>
      <w:r>
        <w:t>126.</w:t>
      </w:r>
      <w:r w:rsidR="00CF64F3" w:rsidRPr="00CF64F3">
        <w:tab/>
        <w:t>En Singapur, las personas con discapacidad pueden votar en igualdad de condiciones con el resto de las personas. Singapur adopta una serie de medidas para facilitar el proceso de votación a las personas con discapacidad. En los centros de votación, los puntos designados para apearse son accesibles. Las zonas de votación están libres de obstáculos, y se proporcionan sillas de ruedas a los votantes que las necesiten. Dentro de la zona de votación, se da prioridad a los votantes de edad y a los votantes con discapacidad. Se proporciona a los votantes con deficiencias visuales plantillas en braille para que puedan marcar la papeleta sin ayuda si así lo desean. Otra opción es que la persona con discapacidad física o visual solicite que un funcionario electoral marque su papeleta de votación según sus indicaciones</w:t>
      </w:r>
      <w:r w:rsidR="00CF64F3" w:rsidRPr="00CF64F3">
        <w:rPr>
          <w:rStyle w:val="FootnoteReference"/>
        </w:rPr>
        <w:footnoteReference w:id="159"/>
      </w:r>
      <w:r w:rsidR="00CF64F3" w:rsidRPr="00CF64F3">
        <w:t>. El funcionario electoral ha jurado mantener el voto secreto.</w:t>
      </w:r>
    </w:p>
    <w:p w14:paraId="6F1119A3" w14:textId="7A547FFD" w:rsidR="00CF64F3" w:rsidRPr="00CF64F3" w:rsidRDefault="007E05B4" w:rsidP="007E05B4">
      <w:pPr>
        <w:pStyle w:val="SingleTxtG"/>
      </w:pPr>
      <w:r>
        <w:t>127.</w:t>
      </w:r>
      <w:r w:rsidR="00CF64F3" w:rsidRPr="00CF64F3">
        <w:tab/>
        <w:t>Periódicamente se ponen en marcha nuevas iniciativas de accesibilidad, teniendo en cuenta las aportaciones de la población. Desde 2015, en las papeletas de votación figuran las fotografías de los candidatos, de modo que sea más fácil reconocerlos, y se ha modificado su diseño a fin de mejorar el contraste para las personas con discapacidad visual. Durante las elecciones generales de 2020, se pusieron a disposición de los usuarios de sillas de ruedas cabinas de votación portátiles y accesibles para que pudieran marcar sus papeletas de forma independiente y en privado. Se instalaron embudos en las urnas para facilitar la introducción de las papeletas y se sustituyeron los bolígrafos convencionales por otros con sellos, de modo que resultase más sencillo marcar las papeletas.</w:t>
      </w:r>
    </w:p>
    <w:p w14:paraId="7E11693D" w14:textId="7166DCC5" w:rsidR="00CF64F3" w:rsidRPr="00CF64F3" w:rsidRDefault="007E05B4" w:rsidP="007E05B4">
      <w:pPr>
        <w:pStyle w:val="SingleTxtG"/>
      </w:pPr>
      <w:r>
        <w:t>128.</w:t>
      </w:r>
      <w:r w:rsidR="00CF64F3" w:rsidRPr="00CF64F3">
        <w:tab/>
        <w:t xml:space="preserve">Los funcionarios electorales de los centros de votación están formados para prestar asistencia y explicar los procedimientos de votación a los votantes, incluidas las personas con </w:t>
      </w:r>
      <w:r w:rsidR="00CF64F3" w:rsidRPr="00CF64F3">
        <w:lastRenderedPageBreak/>
        <w:t>discapacidad</w:t>
      </w:r>
      <w:r w:rsidR="00CF64F3" w:rsidRPr="00CF64F3">
        <w:rPr>
          <w:rStyle w:val="FootnoteReference"/>
        </w:rPr>
        <w:footnoteReference w:id="160"/>
      </w:r>
      <w:r w:rsidR="00CF64F3" w:rsidRPr="00CF64F3">
        <w:t>. El Departamento de Elecciones mantiene informados a los votantes con necesidades especiales sobre las medidas de accesibilidad a través de diversas plataformas</w:t>
      </w:r>
      <w:r w:rsidR="00CF64F3" w:rsidRPr="00CF64F3">
        <w:rPr>
          <w:rStyle w:val="FootnoteReference"/>
        </w:rPr>
        <w:footnoteReference w:id="161"/>
      </w:r>
      <w:r w:rsidR="00CF64F3" w:rsidRPr="00CF64F3">
        <w:t>.</w:t>
      </w:r>
      <w:bookmarkEnd w:id="36"/>
    </w:p>
    <w:p w14:paraId="7CFF4011" w14:textId="64226B6C" w:rsidR="00CF64F3" w:rsidRPr="00CF64F3" w:rsidRDefault="007E05B4" w:rsidP="007E05B4">
      <w:pPr>
        <w:pStyle w:val="H1G"/>
      </w:pPr>
      <w:r>
        <w:tab/>
      </w:r>
      <w:r w:rsidR="00CF64F3" w:rsidRPr="00CF64F3">
        <w:tab/>
        <w:t>Respuesta al párrafo 30 de la lista de cuestiones</w:t>
      </w:r>
    </w:p>
    <w:p w14:paraId="6749D691" w14:textId="38C7C5AF" w:rsidR="00CF64F3" w:rsidRPr="00CF64F3" w:rsidRDefault="007E05B4" w:rsidP="007E05B4">
      <w:pPr>
        <w:pStyle w:val="SingleTxtG"/>
      </w:pPr>
      <w:r>
        <w:t>129.</w:t>
      </w:r>
      <w:r w:rsidR="00CF64F3" w:rsidRPr="00CF64F3">
        <w:tab/>
        <w:t>Singapur tiene la firme voluntad de crear espacios y oportunidades para que las personas con discapacidad de todas las edades participen en actividades sociales y recreativas y para que interactúen de manera significativa con otros miembros de la sociedad desde una edad temprana. A fin de fomentar el juego inclusivo entre niños con y sin discapacidad, hay 17 parques infantiles inclusivos</w:t>
      </w:r>
      <w:r w:rsidR="00CF64F3" w:rsidRPr="00CF64F3">
        <w:rPr>
          <w:rStyle w:val="FootnoteReference"/>
        </w:rPr>
        <w:footnoteReference w:id="162"/>
      </w:r>
      <w:r w:rsidR="00CF64F3" w:rsidRPr="00CF64F3">
        <w:t xml:space="preserve"> en Singapur y existen iniciativas como el programa Infancia en Acción, del Consejo Nacional del Servicio Social</w:t>
      </w:r>
      <w:r w:rsidR="00CF64F3" w:rsidRPr="00CF64F3">
        <w:rPr>
          <w:rStyle w:val="FootnoteReference"/>
        </w:rPr>
        <w:footnoteReference w:id="163"/>
      </w:r>
      <w:r w:rsidR="00CF64F3" w:rsidRPr="00CF64F3">
        <w:t>. A lo largo del año pasado, más de 1.000 niños tomaron parte en actividades lúdicas inclusivas, y el 78 % de los niños sin discapacidad que participaron indicaron en sus respuestas a una encuesta que su grado de concienciación sobre las personas con discapacidad había aumentado. Las bibliotecas y sus programas también son cada vez más inclusivos</w:t>
      </w:r>
      <w:r w:rsidR="00CF64F3" w:rsidRPr="00CF64F3">
        <w:rPr>
          <w:rStyle w:val="FootnoteReference"/>
        </w:rPr>
        <w:footnoteReference w:id="164"/>
      </w:r>
      <w:r w:rsidR="00CF64F3" w:rsidRPr="00CF64F3">
        <w:t>.</w:t>
      </w:r>
    </w:p>
    <w:p w14:paraId="16B96566" w14:textId="6DCD436D" w:rsidR="00CF64F3" w:rsidRPr="00CF64F3" w:rsidRDefault="007E05B4" w:rsidP="007E05B4">
      <w:pPr>
        <w:pStyle w:val="SingleTxtG"/>
      </w:pPr>
      <w:r>
        <w:t>130.</w:t>
      </w:r>
      <w:r w:rsidR="00CF64F3" w:rsidRPr="00CF64F3">
        <w:tab/>
        <w:t>En las escuelas, las clases de educación física se adaptan en función de las necesidades para que los alumnos con discapacidad puedan participar en ellas con los demás estudiantes</w:t>
      </w:r>
      <w:r w:rsidR="00CF64F3" w:rsidRPr="00CF64F3">
        <w:rPr>
          <w:rStyle w:val="FootnoteReference"/>
        </w:rPr>
        <w:footnoteReference w:id="165"/>
      </w:r>
      <w:r w:rsidR="00CF64F3" w:rsidRPr="00CF64F3">
        <w:t>. El Ministerio de Educación seguirá proporcionando a más profesores de educación física formación en el ámbito de la educación física inclusiva. Las escuelas de educación especial cuentan con profesores de educación física formados en educación física adaptada. Los actos deportivos inclusivos también promueven la concienciación y la inclusión entre los estudiantes</w:t>
      </w:r>
      <w:r w:rsidR="00CF64F3" w:rsidRPr="00CF64F3">
        <w:rPr>
          <w:rStyle w:val="FootnoteReference"/>
        </w:rPr>
        <w:footnoteReference w:id="166"/>
      </w:r>
      <w:r w:rsidR="00CF64F3" w:rsidRPr="00CF64F3">
        <w:t>.</w:t>
      </w:r>
    </w:p>
    <w:p w14:paraId="6173C308" w14:textId="31A4366D" w:rsidR="00CF64F3" w:rsidRPr="00CF64F3" w:rsidRDefault="007E05B4" w:rsidP="007E05B4">
      <w:pPr>
        <w:pStyle w:val="SingleTxtG"/>
      </w:pPr>
      <w:r>
        <w:t>131.</w:t>
      </w:r>
      <w:r w:rsidR="00CF64F3" w:rsidRPr="00CF64F3">
        <w:tab/>
        <w:t>Gracias al marco del Plan Maestro de Deportes para Personas con Discapacidad</w:t>
      </w:r>
      <w:r w:rsidR="00CF64F3" w:rsidRPr="00CF64F3">
        <w:rPr>
          <w:rStyle w:val="FootnoteReference"/>
        </w:rPr>
        <w:footnoteReference w:id="167"/>
      </w:r>
      <w:r w:rsidR="00CF64F3" w:rsidRPr="00CF64F3">
        <w:t>, puesto en marcha en 2016, los deportes son cada vez más accesibles en todo el país, y las tasas de práctica deportiva una vez a la semana entre las personas con discapacidad han aumentado del 28 % en 2015 al 51 % en 2018</w:t>
      </w:r>
      <w:r w:rsidR="00CF64F3" w:rsidRPr="00CF64F3">
        <w:rPr>
          <w:rStyle w:val="FootnoteReference"/>
        </w:rPr>
        <w:footnoteReference w:id="168"/>
      </w:r>
      <w:r w:rsidR="00CF64F3" w:rsidRPr="00CF64F3">
        <w:t>. Las infraestructuras deportivas son más inclusivas</w:t>
      </w:r>
      <w:r w:rsidR="00CF64F3" w:rsidRPr="00CF64F3">
        <w:rPr>
          <w:rStyle w:val="FootnoteReference"/>
        </w:rPr>
        <w:footnoteReference w:id="169"/>
      </w:r>
      <w:r w:rsidR="00CF64F3" w:rsidRPr="00CF64F3">
        <w:t xml:space="preserve">, y se pretende lograr que en 2026 todos los gimnasios de </w:t>
      </w:r>
      <w:proofErr w:type="spellStart"/>
      <w:r w:rsidR="00CF64F3" w:rsidRPr="00CF64F3">
        <w:t>ActiveSG</w:t>
      </w:r>
      <w:proofErr w:type="spellEnd"/>
      <w:r w:rsidR="00CF64F3" w:rsidRPr="00CF64F3">
        <w:t xml:space="preserve"> de Singapur </w:t>
      </w:r>
      <w:r w:rsidR="00CF64F3" w:rsidRPr="00CF64F3">
        <w:lastRenderedPageBreak/>
        <w:t>sean inclusivos. Deporte Singapur lleva a cabo programas para promover la participación de las personas con discapacidad en el deporte</w:t>
      </w:r>
      <w:r w:rsidR="00CF64F3" w:rsidRPr="00CF64F3">
        <w:rPr>
          <w:rStyle w:val="FootnoteReference"/>
        </w:rPr>
        <w:footnoteReference w:id="170"/>
      </w:r>
      <w:r w:rsidR="00CF64F3" w:rsidRPr="00CF64F3">
        <w:t>. Además, ha habido iniciativas para fomentar la capacidad y mejorar la concienciación sobre la discapacidad entre el personal deportivo, los voluntarios y los cuidadores, con miras a brindar un mejor apoyo a las personas con discapacidad en el deporte</w:t>
      </w:r>
      <w:r w:rsidR="00CF64F3" w:rsidRPr="00CF64F3">
        <w:rPr>
          <w:rStyle w:val="FootnoteReference"/>
        </w:rPr>
        <w:footnoteReference w:id="171"/>
      </w:r>
      <w:r w:rsidR="00CF64F3" w:rsidRPr="00CF64F3">
        <w:t>. El Festival de los Deportes Inclusivos, que se puso en marcha en 2017, contó en su edición de 2019 con la participación de unas 25.000 personas con y sin discapacidad, y en él se desarrollaron 30 actividades y talleres diferentes</w:t>
      </w:r>
      <w:r w:rsidR="00CF64F3" w:rsidRPr="00CF64F3">
        <w:rPr>
          <w:rStyle w:val="FootnoteReference"/>
        </w:rPr>
        <w:footnoteReference w:id="172"/>
      </w:r>
      <w:r w:rsidR="00CF64F3" w:rsidRPr="00CF64F3">
        <w:t xml:space="preserve">. Desde 2017, se han incluido </w:t>
      </w:r>
      <w:proofErr w:type="spellStart"/>
      <w:r w:rsidR="00CF64F3" w:rsidRPr="00CF64F3">
        <w:t>paradeportes</w:t>
      </w:r>
      <w:proofErr w:type="spellEnd"/>
      <w:r w:rsidR="00CF64F3" w:rsidRPr="00CF64F3">
        <w:t xml:space="preserve"> en los Juegos Nacionales de Singapur. En los Juegos Nacionales de Singapur de 2019 participaron equipos integrados por personas con y sin discapacidad.</w:t>
      </w:r>
    </w:p>
    <w:p w14:paraId="310E06F6" w14:textId="0DDFCF49" w:rsidR="00CF64F3" w:rsidRPr="00CF64F3" w:rsidRDefault="007E05B4" w:rsidP="007E05B4">
      <w:pPr>
        <w:pStyle w:val="SingleTxtG"/>
      </w:pPr>
      <w:r>
        <w:t>132.</w:t>
      </w:r>
      <w:r w:rsidR="00CF64F3" w:rsidRPr="00CF64F3">
        <w:tab/>
        <w:t xml:space="preserve">En el ámbito de las artes y la cultura, y en el marco del objetivo del plan </w:t>
      </w:r>
      <w:r>
        <w:t>“</w:t>
      </w:r>
      <w:r w:rsidR="00CF64F3" w:rsidRPr="00CF64F3">
        <w:t>Nuestro patrimonio singapurense</w:t>
      </w:r>
      <w:r>
        <w:t>”</w:t>
      </w:r>
      <w:r w:rsidR="00CF64F3" w:rsidRPr="00CF64F3">
        <w:t xml:space="preserve"> de la Junta del Patrimonio Nacional de crear museos más inclusivos y accesibles, varios museos nacionales e instituciones del patrimonio disponen ya de guías en formato grande, mapas sensoriales y entradas accesibles. Tras colaborar estrechamente con las personas con discapacidad y otras partes interesadas, el Museo Nacional de Singapur puso en marcha iniciativas para ofrecer apoyo a las personas con problemas de sensibilidad sensorial</w:t>
      </w:r>
      <w:r w:rsidR="00CF64F3" w:rsidRPr="00CF64F3">
        <w:rPr>
          <w:rStyle w:val="FootnoteReference"/>
        </w:rPr>
        <w:footnoteReference w:id="173"/>
      </w:r>
      <w:r w:rsidR="00CF64F3" w:rsidRPr="00CF64F3">
        <w:t>. Las instituciones del patrimonio están colaborando con entidades como, por ejemplo, hospitales y con el Instituto de Educación e Investigación en Geriatría para estudiar los efectos de las actividades de rememoración relacionadas con los museos en las personas mayores diagnosticadas con demencia leve. La Junta del Patrimonio Nacional también respaldó la formación de una comunidad de intercambio de prácticas sobre la accesibilidad, que se puso en marcha en 2019, con el objetivo de promover el intercambio de mejores prácticas sobre accesibilidad para los museos. El Consejo Nacional de las Artes organiza cada dos años un Foro de las Artes y la Discapacidad junto con una organización de personas con discapacidad, a fin de facilitar el intercambio de conocimientos y los debates sobre la innovación en la práctica artística, la implicación inclusiva de la comunidad y las asociaciones multisectoriales para fomentar la inclusión en las artes</w:t>
      </w:r>
      <w:r w:rsidR="00CF64F3" w:rsidRPr="00CF64F3">
        <w:rPr>
          <w:rStyle w:val="FootnoteReference"/>
        </w:rPr>
        <w:footnoteReference w:id="174"/>
      </w:r>
      <w:r w:rsidR="00CF64F3" w:rsidRPr="00CF64F3">
        <w:t>. Las instituciones culturales también disponen de espacios y programas inclusivos</w:t>
      </w:r>
      <w:r w:rsidR="00CF64F3" w:rsidRPr="00CF64F3">
        <w:rPr>
          <w:rStyle w:val="FootnoteReference"/>
        </w:rPr>
        <w:footnoteReference w:id="175"/>
      </w:r>
      <w:r w:rsidR="00CF64F3" w:rsidRPr="00CF64F3">
        <w:t>.</w:t>
      </w:r>
    </w:p>
    <w:p w14:paraId="022DEB48" w14:textId="084DF1E1" w:rsidR="00CF64F3" w:rsidRPr="00CF64F3" w:rsidRDefault="007E05B4" w:rsidP="007E05B4">
      <w:pPr>
        <w:pStyle w:val="H1G"/>
      </w:pPr>
      <w:r>
        <w:lastRenderedPageBreak/>
        <w:tab/>
      </w:r>
      <w:r w:rsidR="00CF64F3" w:rsidRPr="00CF64F3">
        <w:tab/>
        <w:t>Respuesta al párrafo 31 de la lista de cuestiones</w:t>
      </w:r>
    </w:p>
    <w:p w14:paraId="36A7C974" w14:textId="5F2B4CAF" w:rsidR="00CF64F3" w:rsidRPr="00CF64F3" w:rsidRDefault="007E05B4" w:rsidP="007E05B4">
      <w:pPr>
        <w:pStyle w:val="SingleTxtG"/>
      </w:pPr>
      <w:r>
        <w:t>133.</w:t>
      </w:r>
      <w:r w:rsidR="00CF64F3" w:rsidRPr="00CF64F3">
        <w:tab/>
        <w:t xml:space="preserve">El Ministerio para el Desarrollo Social y Familiar trabaja con los proveedores de servicios y con SG </w:t>
      </w:r>
      <w:proofErr w:type="spellStart"/>
      <w:r w:rsidR="00CF64F3" w:rsidRPr="00CF64F3">
        <w:t>Enable</w:t>
      </w:r>
      <w:proofErr w:type="spellEnd"/>
      <w:r w:rsidR="00CF64F3" w:rsidRPr="00CF64F3">
        <w:t xml:space="preserve"> para mantener una base de datos de personas con discapacidad que son usuarios de los servicios de discapacidad financiados por el Ministerio. El sistema recoge datos desglosados por edad, sexo, discapacidad, ubicación geográfica y cualquier otra información relevante para la participación de los usuarios en el servicio de discapacidad. La Ley de Gobernanza de los Servicios Públicos de 2018 permite que el Ministerio para el Desarrollo Social y Familiar intercambie datos con otros organismos públicos a fin de mejorar los servicios de discapacidad y los resultados de las políticas, aplicando las medidas de protección de datos necesarias.</w:t>
      </w:r>
    </w:p>
    <w:p w14:paraId="5DE825A2" w14:textId="34A9D8E9" w:rsidR="00CF64F3" w:rsidRPr="00CF64F3" w:rsidRDefault="007E05B4" w:rsidP="007E05B4">
      <w:pPr>
        <w:pStyle w:val="SingleTxtG"/>
      </w:pPr>
      <w:r>
        <w:t>134.</w:t>
      </w:r>
      <w:r w:rsidR="00CF64F3" w:rsidRPr="00CF64F3">
        <w:tab/>
        <w:t>El Gobierno vigila el número de niños con necesidades de desarrollo en los programas de intervención temprana, así como sus progresos, y hace un seguimiento de los estudiantes con discapacidad durante los años que pasan en el sistema educativo. El Ministerio para el Desarrollo Social y Familiar está estableciendo un conjunto de directrices estandarizadas con miras a identificar y supervisar los progresos de los niños en edad preescolar con necesidades de desarrollo en los distintos programas de intervención temprana. El Gobierno también ha elaborado un mapa preliminar de las trayectorias laborales que siguen los estudiantes de educación especial después de su graduación y está trabajando para obtener una imagen más completa de sus resultados al concluir la escolarización.</w:t>
      </w:r>
    </w:p>
    <w:p w14:paraId="2DF89510" w14:textId="741376CA" w:rsidR="00CF64F3" w:rsidRPr="00CF64F3" w:rsidRDefault="007E05B4" w:rsidP="007E05B4">
      <w:pPr>
        <w:pStyle w:val="SingleTxtG"/>
      </w:pPr>
      <w:r>
        <w:t>135.</w:t>
      </w:r>
      <w:r w:rsidR="00CF64F3" w:rsidRPr="00CF64F3">
        <w:tab/>
        <w:t>El Gobierno ha facilitado datos públicos sobre la proporción de personas con discapacidad, desglosadas por grupo de población y tipo de discapacidad</w:t>
      </w:r>
      <w:r w:rsidR="00CF64F3" w:rsidRPr="00CF64F3">
        <w:rPr>
          <w:rStyle w:val="FootnoteReference"/>
        </w:rPr>
        <w:footnoteReference w:id="176"/>
      </w:r>
      <w:r w:rsidR="00CF64F3" w:rsidRPr="00CF64F3">
        <w:t xml:space="preserve">. Para apoyar mejor a las personas con discapacidad, el Ministerio para el Desarrollo Social y Familiar trabajó con el Departamento de Estadística a fin de incluir preguntas relacionadas con la discapacidad en el Censo 2020, basándose en el </w:t>
      </w:r>
      <w:proofErr w:type="spellStart"/>
      <w:r w:rsidR="00CF64F3" w:rsidRPr="00CF64F3">
        <w:t>minicuestionario</w:t>
      </w:r>
      <w:proofErr w:type="spellEnd"/>
      <w:r w:rsidR="00CF64F3" w:rsidRPr="00CF64F3">
        <w:t xml:space="preserve"> sobre discapacidad del Grupo de Washington. El Ministerio para el Desarrollo Social y Familiar también está trabajando en un sistema para reunir datos relativos a las personas con discapacidad, más allá de los usuarios de los servicios para personas con discapacidad financiados por </w:t>
      </w:r>
      <w:r w:rsidR="0086751E">
        <w:t xml:space="preserve">el </w:t>
      </w:r>
      <w:r w:rsidR="00CF64F3" w:rsidRPr="00CF64F3">
        <w:t>Ministerio.</w:t>
      </w:r>
    </w:p>
    <w:p w14:paraId="347B5F27" w14:textId="0A725E46" w:rsidR="00CF64F3" w:rsidRPr="00CF64F3" w:rsidRDefault="007E05B4" w:rsidP="007E05B4">
      <w:pPr>
        <w:pStyle w:val="H1G"/>
      </w:pPr>
      <w:r>
        <w:tab/>
      </w:r>
      <w:r w:rsidR="00CF64F3" w:rsidRPr="00CF64F3">
        <w:tab/>
        <w:t>Respuesta al párrafo 32 de la lista de cuestiones</w:t>
      </w:r>
    </w:p>
    <w:p w14:paraId="7BFE3AEC" w14:textId="1D16A419" w:rsidR="00CF64F3" w:rsidRPr="00CF64F3" w:rsidRDefault="007E05B4" w:rsidP="007E05B4">
      <w:pPr>
        <w:pStyle w:val="SingleTxtG"/>
      </w:pPr>
      <w:r>
        <w:t>136.</w:t>
      </w:r>
      <w:r w:rsidR="00CF64F3" w:rsidRPr="00CF64F3">
        <w:tab/>
        <w:t>Singapur promueve la participación de las personas con discapacidad en la escena internacional. Más de 130.000 funcionarios gubernamentales de más de 170 países han participado en el Programa de Cooperación de Singapur, el más destacado programa de asistencia técnica del país, entre ellos personas con discapacidad o con necesidades especiales, para las que se realizaron ajustes especiales a fin de garantizar su plena participación en los programas</w:t>
      </w:r>
      <w:r w:rsidR="00CF64F3" w:rsidRPr="00CF64F3">
        <w:rPr>
          <w:rStyle w:val="FootnoteReference"/>
        </w:rPr>
        <w:footnoteReference w:id="177"/>
      </w:r>
      <w:r w:rsidR="00CF64F3" w:rsidRPr="00CF64F3">
        <w:t xml:space="preserve">. Desde 2018 se imparte un curso anual del Programa de Cooperación de Singapur sobre </w:t>
      </w:r>
      <w:r w:rsidR="0086751E">
        <w:t>“</w:t>
      </w:r>
      <w:r w:rsidR="00CF64F3" w:rsidRPr="00CF64F3">
        <w:t>Empoderamiento de las personas con discapacidad y necesidades especiales</w:t>
      </w:r>
      <w:r w:rsidR="0086751E">
        <w:t>”</w:t>
      </w:r>
      <w:r w:rsidR="00CF64F3" w:rsidRPr="00CF64F3">
        <w:rPr>
          <w:rStyle w:val="FootnoteReference"/>
        </w:rPr>
        <w:footnoteReference w:id="178"/>
      </w:r>
      <w:r w:rsidR="00CF64F3" w:rsidRPr="00CF64F3">
        <w:t xml:space="preserve"> y también se incluye esa información en otros cursos</w:t>
      </w:r>
      <w:r w:rsidR="00CF64F3" w:rsidRPr="00CF64F3">
        <w:rPr>
          <w:rStyle w:val="FootnoteReference"/>
        </w:rPr>
        <w:footnoteReference w:id="179"/>
      </w:r>
      <w:r w:rsidR="00CF64F3" w:rsidRPr="00CF64F3">
        <w:t>.</w:t>
      </w:r>
    </w:p>
    <w:p w14:paraId="6327752E" w14:textId="449DFE20" w:rsidR="00CF64F3" w:rsidRPr="00CF64F3" w:rsidRDefault="007E05B4" w:rsidP="007E05B4">
      <w:pPr>
        <w:pStyle w:val="SingleTxtG"/>
      </w:pPr>
      <w:r>
        <w:t>137.</w:t>
      </w:r>
      <w:r w:rsidR="00CF64F3" w:rsidRPr="00CF64F3">
        <w:tab/>
        <w:t>Singapur lleva a cabo una activa labor de concienciación sobre los derechos de las personas con discapacidad en plataformas internacionales. Ocupa la vicepresidencia de la 12ª</w:t>
      </w:r>
      <w:r>
        <w:t> </w:t>
      </w:r>
      <w:r w:rsidR="00CF64F3" w:rsidRPr="00CF64F3">
        <w:t>y 13ª Conferencias de Estados Partes en la Convención sobre los Derechos de las Personas con Discapacidad y ha organizado o apoyado actos paralelos relacionados con la discapacidad en la Conferencia, así como en el Consejo de Derechos Humanos</w:t>
      </w:r>
      <w:r w:rsidR="00CF64F3" w:rsidRPr="00CF64F3">
        <w:rPr>
          <w:rStyle w:val="FootnoteReference"/>
        </w:rPr>
        <w:footnoteReference w:id="180"/>
      </w:r>
      <w:r w:rsidR="00CF64F3" w:rsidRPr="00CF64F3">
        <w:t xml:space="preserve">. Singapur </w:t>
      </w:r>
      <w:r w:rsidR="00CF64F3" w:rsidRPr="00CF64F3">
        <w:lastRenderedPageBreak/>
        <w:t>también participa regularmente en los debates del Consejo de Derechos Humanos sobre cuestiones relacionadas con los derechos de las personas con discapacidad. En agosto de 2020, Singapur copatrocinó el Foro Mundial de las Naciones Unidas sobre la crisis de la COVID-19 y las personas con discapacidad, que se celebró virtualmente</w:t>
      </w:r>
      <w:r w:rsidR="00CF64F3" w:rsidRPr="00CF64F3">
        <w:rPr>
          <w:rStyle w:val="FootnoteReference"/>
        </w:rPr>
        <w:footnoteReference w:id="181"/>
      </w:r>
      <w:r w:rsidR="00CF64F3" w:rsidRPr="00CF64F3">
        <w:t>.</w:t>
      </w:r>
    </w:p>
    <w:p w14:paraId="7BC752E1" w14:textId="35E89F6A" w:rsidR="00CF64F3" w:rsidRPr="00CF64F3" w:rsidRDefault="007E05B4" w:rsidP="007E05B4">
      <w:pPr>
        <w:pStyle w:val="H1G"/>
      </w:pPr>
      <w:r>
        <w:tab/>
      </w:r>
      <w:r w:rsidR="00CF64F3" w:rsidRPr="00CF64F3">
        <w:tab/>
        <w:t>Respuesta al párrafo 33 de la lista de cuestiones</w:t>
      </w:r>
    </w:p>
    <w:p w14:paraId="28C37488" w14:textId="1377D75D" w:rsidR="00CF64F3" w:rsidRPr="00CF64F3" w:rsidRDefault="007E05B4" w:rsidP="007E05B4">
      <w:pPr>
        <w:pStyle w:val="SingleTxtG"/>
      </w:pPr>
      <w:r>
        <w:t>138.</w:t>
      </w:r>
      <w:r w:rsidR="00CF64F3" w:rsidRPr="00CF64F3">
        <w:tab/>
        <w:t xml:space="preserve">En 2017, con miras a impulsar los esfuerzos de Singapur para cumplir el tercer Plan General sobre la Discapacidad, el Comité Permanente sobre la Discapacidad identificó tres líneas de trabajo sobre </w:t>
      </w:r>
      <w:r>
        <w:t>“</w:t>
      </w:r>
      <w:r w:rsidR="00CF64F3" w:rsidRPr="00CF64F3">
        <w:t>aprovechamiento del potencial y las oportunidades</w:t>
      </w:r>
      <w:r>
        <w:t>”</w:t>
      </w:r>
      <w:r w:rsidR="00CF64F3" w:rsidRPr="00CF64F3">
        <w:t xml:space="preserve">, </w:t>
      </w:r>
      <w:r>
        <w:t>“</w:t>
      </w:r>
      <w:r w:rsidR="00CF64F3" w:rsidRPr="00CF64F3">
        <w:t>mejora del apoyo a las familias</w:t>
      </w:r>
      <w:r>
        <w:t>”</w:t>
      </w:r>
      <w:r w:rsidR="00CF64F3" w:rsidRPr="00CF64F3">
        <w:t xml:space="preserve"> y </w:t>
      </w:r>
      <w:r>
        <w:t>“</w:t>
      </w:r>
      <w:r w:rsidR="00CF64F3" w:rsidRPr="00CF64F3">
        <w:t>hogares y entorno inclusivos</w:t>
      </w:r>
      <w:r>
        <w:t>”</w:t>
      </w:r>
      <w:r w:rsidR="00CF64F3" w:rsidRPr="00CF64F3">
        <w:t>. Esto dio lugar a tres grupos de trabajo intersectoriales en el marco del tercer Plan General sobre la Discapacidad</w:t>
      </w:r>
      <w:r w:rsidR="00CF64F3" w:rsidRPr="00CF64F3">
        <w:rPr>
          <w:rStyle w:val="FootnoteReference"/>
        </w:rPr>
        <w:footnoteReference w:id="182"/>
      </w:r>
      <w:r w:rsidR="00CF64F3" w:rsidRPr="00CF64F3">
        <w:t>.</w:t>
      </w:r>
    </w:p>
    <w:p w14:paraId="6D5A435F" w14:textId="14C5D6A2" w:rsidR="00CF64F3" w:rsidRPr="00CF64F3" w:rsidRDefault="007E05B4" w:rsidP="007E05B4">
      <w:pPr>
        <w:pStyle w:val="H1G"/>
      </w:pPr>
      <w:r>
        <w:tab/>
      </w:r>
      <w:r w:rsidR="00CF64F3" w:rsidRPr="00CF64F3">
        <w:tab/>
        <w:t>Respuesta al párrafo 34 de la lista de cuestiones</w:t>
      </w:r>
    </w:p>
    <w:p w14:paraId="3AD775AB" w14:textId="6197ED34" w:rsidR="00CF64F3" w:rsidRPr="00CF64F3" w:rsidRDefault="007E05B4" w:rsidP="007E05B4">
      <w:pPr>
        <w:pStyle w:val="SingleTxtG"/>
      </w:pPr>
      <w:r>
        <w:t>139.</w:t>
      </w:r>
      <w:r w:rsidR="00CF64F3" w:rsidRPr="00CF64F3">
        <w:tab/>
        <w:t>Singapur acoge con agrado las aportaciones independientes para mejorar su apoyo a las personas con discapacidad en el país y colabora regularmente con representantes de las organizaciones de personas con discapacidad y los organismos de servicios sociales</w:t>
      </w:r>
      <w:r w:rsidR="00CF64F3" w:rsidRPr="00CF64F3">
        <w:rPr>
          <w:rStyle w:val="FootnoteReference"/>
        </w:rPr>
        <w:footnoteReference w:id="183"/>
      </w:r>
      <w:r w:rsidR="00CF64F3" w:rsidRPr="00CF64F3">
        <w:t>. Dispone de varios mecanismos de control que han funcionado bien. Además del Comité Permanente sobre la Discapacidad y de un Comité Interministerial sobre Derechos Humanos, el Comité Interministerial sobre la Convención sobre los Derechos de las Personas con Discapacidad supervisa y coordina la aplicación de políticas transversales en materia de discapacidad, como, por ejemplo, la mejor manera de atender las necesidades de las personas con discapacidad durante la pandemia de COVID-19. Si bien Singapur seguirá supervisando esos mecanismos en el contexto de las circunstancias nacionales, considera que en estos momentos no es necesario establecer la institución contemplada en los Principios de París para poder cumplir las obligaciones que le impone la Convención.</w:t>
      </w:r>
    </w:p>
    <w:p w14:paraId="1877ABAC" w14:textId="489D258E" w:rsidR="006F35EE" w:rsidRPr="007E05B4" w:rsidRDefault="007E05B4" w:rsidP="007E05B4">
      <w:pPr>
        <w:pStyle w:val="SingleTxtG"/>
        <w:suppressAutoHyphens/>
        <w:spacing w:before="240" w:after="0"/>
        <w:jc w:val="center"/>
        <w:rPr>
          <w:u w:val="single"/>
        </w:rPr>
      </w:pPr>
      <w:r>
        <w:rPr>
          <w:u w:val="single"/>
        </w:rPr>
        <w:tab/>
      </w:r>
      <w:r>
        <w:rPr>
          <w:u w:val="single"/>
        </w:rPr>
        <w:tab/>
      </w:r>
      <w:r>
        <w:rPr>
          <w:u w:val="single"/>
        </w:rPr>
        <w:tab/>
      </w:r>
    </w:p>
    <w:sectPr w:rsidR="006F35EE" w:rsidRPr="007E05B4" w:rsidSect="00CF64F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846BDD" w14:textId="77777777" w:rsidR="00A571E2" w:rsidRPr="0071316C" w:rsidRDefault="00A571E2" w:rsidP="0071316C">
      <w:pPr>
        <w:pStyle w:val="Footer"/>
      </w:pPr>
    </w:p>
  </w:endnote>
  <w:endnote w:type="continuationSeparator" w:id="0">
    <w:p w14:paraId="6BFFB82E" w14:textId="77777777" w:rsidR="00A571E2" w:rsidRPr="0071316C" w:rsidRDefault="00A571E2"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5A8E69" w14:textId="5D35AC1B" w:rsidR="00A571E2" w:rsidRPr="00CF64F3" w:rsidRDefault="00A571E2" w:rsidP="00CF64F3">
    <w:pPr>
      <w:pStyle w:val="Footer"/>
      <w:tabs>
        <w:tab w:val="right" w:pos="9638"/>
      </w:tabs>
    </w:pPr>
    <w:r w:rsidRPr="00CF64F3">
      <w:rPr>
        <w:b/>
        <w:sz w:val="18"/>
      </w:rPr>
      <w:fldChar w:fldCharType="begin"/>
    </w:r>
    <w:r w:rsidRPr="00CF64F3">
      <w:rPr>
        <w:b/>
        <w:sz w:val="18"/>
      </w:rPr>
      <w:instrText xml:space="preserve"> PAGE  \* MERGEFORMAT </w:instrText>
    </w:r>
    <w:r w:rsidRPr="00CF64F3">
      <w:rPr>
        <w:b/>
        <w:sz w:val="18"/>
      </w:rPr>
      <w:fldChar w:fldCharType="separate"/>
    </w:r>
    <w:r w:rsidRPr="00CF64F3">
      <w:rPr>
        <w:b/>
        <w:noProof/>
        <w:sz w:val="18"/>
      </w:rPr>
      <w:t>2</w:t>
    </w:r>
    <w:r w:rsidRPr="00CF64F3">
      <w:rPr>
        <w:b/>
        <w:sz w:val="18"/>
      </w:rPr>
      <w:fldChar w:fldCharType="end"/>
    </w:r>
    <w:r>
      <w:rPr>
        <w:b/>
        <w:sz w:val="18"/>
      </w:rPr>
      <w:tab/>
    </w:r>
    <w:r>
      <w:t>GE.21-05671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FA2812" w14:textId="316006F2" w:rsidR="00A571E2" w:rsidRPr="00CF64F3" w:rsidRDefault="00A571E2" w:rsidP="00CF64F3">
    <w:pPr>
      <w:pStyle w:val="Footer"/>
      <w:tabs>
        <w:tab w:val="right" w:pos="9638"/>
      </w:tabs>
      <w:rPr>
        <w:b/>
        <w:sz w:val="18"/>
      </w:rPr>
    </w:pPr>
    <w:r>
      <w:t>GE.21-05671</w:t>
    </w:r>
    <w:r>
      <w:tab/>
    </w:r>
    <w:r w:rsidRPr="00CF64F3">
      <w:rPr>
        <w:b/>
        <w:sz w:val="18"/>
      </w:rPr>
      <w:fldChar w:fldCharType="begin"/>
    </w:r>
    <w:r w:rsidRPr="00CF64F3">
      <w:rPr>
        <w:b/>
        <w:sz w:val="18"/>
      </w:rPr>
      <w:instrText xml:space="preserve"> PAGE  \* MERGEFORMAT </w:instrText>
    </w:r>
    <w:r w:rsidRPr="00CF64F3">
      <w:rPr>
        <w:b/>
        <w:sz w:val="18"/>
      </w:rPr>
      <w:fldChar w:fldCharType="separate"/>
    </w:r>
    <w:r w:rsidRPr="00CF64F3">
      <w:rPr>
        <w:b/>
        <w:noProof/>
        <w:sz w:val="18"/>
      </w:rPr>
      <w:t>3</w:t>
    </w:r>
    <w:r w:rsidRPr="00CF64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31AB22" w14:textId="4942854E" w:rsidR="00A571E2" w:rsidRPr="00CF64F3" w:rsidRDefault="00A571E2" w:rsidP="00CF64F3">
    <w:pPr>
      <w:pStyle w:val="Footer"/>
      <w:spacing w:before="120" w:line="240" w:lineRule="auto"/>
      <w:rPr>
        <w:sz w:val="20"/>
      </w:rPr>
    </w:pPr>
    <w:r>
      <w:rPr>
        <w:sz w:val="20"/>
      </w:rPr>
      <w:t>GE.</w:t>
    </w:r>
    <w:r>
      <w:rPr>
        <w:noProof/>
      </w:rPr>
      <w:drawing>
        <wp:anchor distT="0" distB="0" distL="114300" distR="114300" simplePos="0" relativeHeight="251657728" behindDoc="0" locked="1" layoutInCell="1" allowOverlap="1" wp14:anchorId="52AD8E45" wp14:editId="7B371360">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21-05671  (S)</w:t>
    </w:r>
    <w:r>
      <w:rPr>
        <w:noProof/>
        <w:sz w:val="20"/>
      </w:rPr>
      <w:drawing>
        <wp:anchor distT="0" distB="0" distL="114300" distR="114300" simplePos="0" relativeHeight="251658752" behindDoc="0" locked="0" layoutInCell="1" allowOverlap="1" wp14:anchorId="33CEFB13" wp14:editId="2768482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070621    090621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50DCE2" w14:textId="77777777" w:rsidR="00A571E2" w:rsidRPr="001075E9" w:rsidRDefault="00A571E2" w:rsidP="001075E9">
      <w:pPr>
        <w:tabs>
          <w:tab w:val="right" w:pos="2155"/>
        </w:tabs>
        <w:spacing w:after="80" w:line="240" w:lineRule="auto"/>
        <w:ind w:left="680"/>
        <w:rPr>
          <w:u w:val="single"/>
        </w:rPr>
      </w:pPr>
      <w:r>
        <w:rPr>
          <w:u w:val="single"/>
        </w:rPr>
        <w:tab/>
      </w:r>
    </w:p>
  </w:footnote>
  <w:footnote w:type="continuationSeparator" w:id="0">
    <w:p w14:paraId="1F2BC08D" w14:textId="77777777" w:rsidR="00A571E2" w:rsidRDefault="00A571E2" w:rsidP="0071316C">
      <w:pPr>
        <w:tabs>
          <w:tab w:val="right" w:pos="2155"/>
        </w:tabs>
        <w:spacing w:after="80" w:line="240" w:lineRule="auto"/>
        <w:ind w:left="680"/>
        <w:rPr>
          <w:u w:val="single"/>
        </w:rPr>
      </w:pPr>
      <w:r>
        <w:rPr>
          <w:u w:val="single"/>
        </w:rPr>
        <w:tab/>
      </w:r>
    </w:p>
  </w:footnote>
  <w:footnote w:id="1">
    <w:p w14:paraId="0F8A8007" w14:textId="4CF279D3" w:rsidR="00A571E2" w:rsidRPr="00CF64F3" w:rsidRDefault="00A571E2" w:rsidP="00CF64F3">
      <w:pPr>
        <w:pStyle w:val="FootnoteText"/>
        <w:rPr>
          <w:sz w:val="20"/>
        </w:rPr>
      </w:pPr>
      <w:r>
        <w:tab/>
      </w:r>
      <w:r w:rsidRPr="00CF64F3">
        <w:rPr>
          <w:rStyle w:val="FootnoteReference"/>
          <w:sz w:val="20"/>
          <w:vertAlign w:val="baseline"/>
        </w:rPr>
        <w:t>*</w:t>
      </w:r>
      <w:r w:rsidRPr="00CF64F3">
        <w:rPr>
          <w:rStyle w:val="FootnoteReference"/>
          <w:vertAlign w:val="baseline"/>
        </w:rPr>
        <w:tab/>
      </w:r>
      <w:r w:rsidRPr="00CF64F3">
        <w:t>La versión original del presente documento no fue objeto de revisión editorial oficial.</w:t>
      </w:r>
    </w:p>
  </w:footnote>
  <w:footnote w:id="2">
    <w:p w14:paraId="29D2A99B" w14:textId="0A9ED708" w:rsidR="00A571E2" w:rsidRDefault="00A571E2" w:rsidP="00CF64F3">
      <w:pPr>
        <w:pStyle w:val="FootnoteText"/>
      </w:pPr>
      <w:r>
        <w:tab/>
      </w:r>
      <w:r w:rsidRPr="00CF64F3">
        <w:rPr>
          <w:rStyle w:val="FootnoteReference"/>
        </w:rPr>
        <w:footnoteRef/>
      </w:r>
      <w:r>
        <w:tab/>
      </w:r>
      <w:r w:rsidRPr="00CF64F3">
        <w:t>Para más información, véanse los párrafos 9, 51, 80, 90, 137 y 139.</w:t>
      </w:r>
    </w:p>
  </w:footnote>
  <w:footnote w:id="3">
    <w:p w14:paraId="05CF8D49"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Estos planes se elaboraron a partir de los comentarios recogidos en una serie de grupos de debate y foros conjuntos, en los que participaron personas con problemas de salud mental y asociados de los sectores sanitario y social, como organismos de servicios sociales, proveedores de servicios de salud mental, hospitales públicos y proveedores de atención comunitaria. Para más información sobre el apoyo a las personas con problemas de salud mental, véanse los párrafos 15, 29 a 31, 35, 66 y 116.</w:t>
      </w:r>
      <w:bookmarkStart w:id="1" w:name="OLE_LINK2"/>
      <w:bookmarkEnd w:id="1"/>
    </w:p>
  </w:footnote>
  <w:footnote w:id="4">
    <w:p w14:paraId="066BCE9D" w14:textId="00C76601" w:rsidR="00A571E2" w:rsidRPr="00306614" w:rsidRDefault="00A571E2" w:rsidP="00CF64F3">
      <w:pPr>
        <w:pStyle w:val="FootnoteText"/>
      </w:pPr>
      <w:r w:rsidRPr="00306614">
        <w:tab/>
      </w:r>
      <w:r w:rsidRPr="00CF64F3">
        <w:rPr>
          <w:rStyle w:val="FootnoteReference"/>
        </w:rPr>
        <w:footnoteRef/>
      </w:r>
      <w:r w:rsidRPr="00306614">
        <w:tab/>
        <w:t xml:space="preserve">El reglamento permite que las personas abandonen su lugar de residencia para ayudar a las </w:t>
      </w:r>
      <w:r>
        <w:t>“</w:t>
      </w:r>
      <w:r w:rsidRPr="00306614">
        <w:t>personas con discapacidad</w:t>
      </w:r>
      <w:r>
        <w:t>”</w:t>
      </w:r>
      <w:r w:rsidRPr="00306614">
        <w:t xml:space="preserve"> en sus actividades cotidianas cuando no se disponga de otras modalidades de atención.</w:t>
      </w:r>
    </w:p>
  </w:footnote>
  <w:footnote w:id="5">
    <w:p w14:paraId="70E20D23"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Los casos notificados oscilaron entre 3 y 7 por año entre 2014 y2018.</w:t>
      </w:r>
    </w:p>
  </w:footnote>
  <w:footnote w:id="6">
    <w:p w14:paraId="2B1EE915" w14:textId="77777777" w:rsidR="00A571E2" w:rsidRPr="00306614" w:rsidRDefault="00A571E2" w:rsidP="00CF64F3">
      <w:pPr>
        <w:pStyle w:val="FootnoteText"/>
      </w:pPr>
      <w:r w:rsidRPr="00306614">
        <w:tab/>
      </w:r>
      <w:r w:rsidRPr="00CF64F3">
        <w:rPr>
          <w:rStyle w:val="FootnoteReference"/>
        </w:rPr>
        <w:footnoteRef/>
      </w:r>
      <w:r w:rsidRPr="00306614">
        <w:tab/>
        <w:t>Solo se hospitaliza a enfermos graves a fin de que reciban atención especializada.</w:t>
      </w:r>
    </w:p>
  </w:footnote>
  <w:footnote w:id="7">
    <w:p w14:paraId="5BE09DB9" w14:textId="7CA0EA75"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El movimiento Singapur en Unión tiene como punto central la idea de que los ciudadanos de Singapur colaboren con el Gobierno y entre sí con el objetivo de labrarse un futuro compartido, así como de moldearlo e influir en él. El movimiento, puesto en marcha por el viceprimer ministro </w:t>
      </w:r>
      <w:proofErr w:type="spellStart"/>
      <w:r w:rsidRPr="00306614">
        <w:t>Heng</w:t>
      </w:r>
      <w:proofErr w:type="spellEnd"/>
      <w:r w:rsidRPr="00306614">
        <w:t xml:space="preserve"> </w:t>
      </w:r>
      <w:proofErr w:type="spellStart"/>
      <w:r w:rsidRPr="00306614">
        <w:t>Swee</w:t>
      </w:r>
      <w:proofErr w:type="spellEnd"/>
      <w:r w:rsidRPr="00306614">
        <w:t xml:space="preserve"> </w:t>
      </w:r>
      <w:proofErr w:type="spellStart"/>
      <w:r w:rsidRPr="00306614">
        <w:t>Keat</w:t>
      </w:r>
      <w:proofErr w:type="spellEnd"/>
      <w:r w:rsidRPr="00306614">
        <w:t xml:space="preserve"> en junio de 2019, aspira a generar un gran número de oportunidades de asociación en las que puedan participar los singapurenses, además de brindar apoyo a nuevas iniciativas dirigidas por los ciudadanos.</w:t>
      </w:r>
    </w:p>
  </w:footnote>
  <w:footnote w:id="8">
    <w:p w14:paraId="530FACE7" w14:textId="10A54245"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Por ejemplo, el Ministerio de Salud creó un Jurado Popular para la Lucha contra la Diabetes, con el fin de implicar a los ciudadanos en la sensibilización sobre la diabetes y en la elaboración de recomendaciones desde la perspectiva de la comunidad sobre el modo de prevenir y gestionar mejor esta enfermedad como nación. El Ministerio de Educación estableció el grupo de trabajo interinstitucional UPLIFT para reforzar el apoyo a los estudiantes de familias desfavorecidas y trabajó durante dos años con la comunidad y las partes interesadas a fin de elaborar recomendaciones. El Gobierno también puso en marcha un Panel Popular sobre Conciliación de la Vida Laboral y Personal, que reúne a los ciudadanos utilizando ese método, gracias al cual los participantes disponen de recursos e información para examinar un tema en profundidad y trabajar en colaboración con miras a desarrollar soluciones que mejoren la conciliación de la vida laboral y personal.</w:t>
      </w:r>
    </w:p>
  </w:footnote>
  <w:footnote w:id="9">
    <w:p w14:paraId="1B690CEF" w14:textId="77777777" w:rsidR="00A571E2" w:rsidRPr="00306614" w:rsidRDefault="00A571E2" w:rsidP="00CF64F3">
      <w:pPr>
        <w:pStyle w:val="FootnoteText"/>
      </w:pPr>
      <w:r w:rsidRPr="00306614">
        <w:tab/>
      </w:r>
      <w:r w:rsidRPr="00CF64F3">
        <w:rPr>
          <w:rStyle w:val="FootnoteReference"/>
        </w:rPr>
        <w:footnoteRef/>
      </w:r>
      <w:r w:rsidRPr="00306614">
        <w:tab/>
        <w:t>Por ejemplo, en noviembre de 2018 el Ministro para el Desarrollo Social y Familiar celebró una reunión con objeto de proporcionar información actualizada al Comité Directivo intersectorial del tercer Plan General sobre la Discapacidad, que emitió recomendaciones sobre ese plan. El Comité Directivo está formado por representantes de organizaciones de personas con discapacidad, personas con discapacidad, organismos gubernamentales y asociados del sector privado. Los grupos de trabajo intersectoriales temáticos (véase el párrafo 10) también reciben información actualizada sobre los progresos realizados en el marco del tercer Plan General sobre la Discapacidad durante sus reuniones periódicas. En el caso del segundo Plan General sobre la Discapacidad, se publicó un informe de mitad de período sobre los progresos realizados.</w:t>
      </w:r>
    </w:p>
  </w:footnote>
  <w:footnote w:id="10">
    <w:p w14:paraId="2821FFB2" w14:textId="0FDF9D61"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Para más información sobre los tres grupos de trabajo, véanse el párrafo 28, relativo al párrafo 6 de la lista de cuestiones (Grupo de Trabajo sobre Centros de Educación Preescolar Inclusivos); el párrafo</w:t>
      </w:r>
      <w:r>
        <w:t> </w:t>
      </w:r>
      <w:r w:rsidRPr="00306614">
        <w:t>87, relativo al párrafo 20 de la lista de cuestiones (Grupo de Trabajo sobre la Vida Independiente); y el párrafo 117, relativo al párrafo 26 de la lista de cuestiones (Grupo de Trabajo sobre el Empleo).</w:t>
      </w:r>
    </w:p>
  </w:footnote>
  <w:footnote w:id="11">
    <w:p w14:paraId="3B5B2575" w14:textId="77777777" w:rsidR="00A571E2" w:rsidRPr="00306614" w:rsidRDefault="00A571E2" w:rsidP="00CF64F3">
      <w:pPr>
        <w:pStyle w:val="FootnoteText"/>
      </w:pPr>
      <w:r w:rsidRPr="00306614">
        <w:tab/>
      </w:r>
      <w:r w:rsidRPr="00CF64F3">
        <w:rPr>
          <w:rStyle w:val="FootnoteReference"/>
        </w:rPr>
        <w:footnoteRef/>
      </w:r>
      <w:r w:rsidRPr="00306614">
        <w:tab/>
        <w:t>Otras partes interesadas eran cuidadores y representantes de 37 organizaciones de personas con discapacidad y empresas sociales relevantes.</w:t>
      </w:r>
    </w:p>
  </w:footnote>
  <w:footnote w:id="12">
    <w:p w14:paraId="32B8D285"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Entre otras cosas, se proporcionó transporte de puerta a puerta cuando las circunstancias así lo requerían, se distribuyeron las preguntas con antelación, se utilizaron lugares amplios y totalmente accesibles, se proporcionaron modos de comunicación alternativos (verbales, táctiles y visuales), transcripción en directo e interpretación a lengua de señas y se dio la oportunidad a los participantes de comunicar antes de las sesiones si tenían alguna necesidad adicional de accesibilidad.</w:t>
      </w:r>
    </w:p>
  </w:footnote>
  <w:footnote w:id="13">
    <w:p w14:paraId="77710A0F" w14:textId="77777777" w:rsidR="00A571E2" w:rsidRPr="00306614" w:rsidRDefault="00A571E2" w:rsidP="00CF64F3">
      <w:pPr>
        <w:pStyle w:val="FootnoteText"/>
      </w:pPr>
      <w:r w:rsidRPr="00306614">
        <w:tab/>
      </w:r>
      <w:r w:rsidRPr="00CF64F3">
        <w:rPr>
          <w:rStyle w:val="FootnoteReference"/>
        </w:rPr>
        <w:footnoteRef/>
      </w:r>
      <w:r w:rsidRPr="00306614">
        <w:tab/>
        <w:t>La guía se difundirá a todos los organismos públicos y, con el tiempo, a las organizaciones no gubernamentales.</w:t>
      </w:r>
    </w:p>
  </w:footnote>
  <w:footnote w:id="14">
    <w:p w14:paraId="469BE82C"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En este taller se forma a los funcionarios para que se familiaricen con los diferentes tipos de discapacidad y con consideraciones relativas a la accesibilidad, para que comprendan las dificultades que se encuentran las personas con discapacidad y para que se comuniquen con ellas de forma eficaz.</w:t>
      </w:r>
    </w:p>
  </w:footnote>
  <w:footnote w:id="15">
    <w:p w14:paraId="6626AA3C"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La formación dota a los funcionarios que trabajan en primera línea de los conocimientos necesarios para identificar los síntomas de los distintos trastornos de salud mental, para interactuar con personas con problemas de salud mental y para ponerlas en contacto con los servicios y recursos.</w:t>
      </w:r>
    </w:p>
  </w:footnote>
  <w:footnote w:id="16">
    <w:p w14:paraId="745DC039" w14:textId="1AF29855" w:rsidR="00A571E2" w:rsidRPr="00306614" w:rsidRDefault="00A571E2" w:rsidP="00CF64F3">
      <w:pPr>
        <w:pStyle w:val="FootnoteText"/>
        <w:rPr>
          <w:szCs w:val="18"/>
        </w:rPr>
      </w:pPr>
      <w:bookmarkStart w:id="9" w:name="_Hlk52096464"/>
      <w:r w:rsidRPr="00306614">
        <w:rPr>
          <w:szCs w:val="18"/>
        </w:rPr>
        <w:tab/>
      </w:r>
      <w:r w:rsidRPr="00CF64F3">
        <w:rPr>
          <w:rStyle w:val="FootnoteReference"/>
        </w:rPr>
        <w:footnoteRef/>
      </w:r>
      <w:r w:rsidRPr="00306614">
        <w:tab/>
      </w:r>
      <w:r w:rsidRPr="00306614">
        <w:rPr>
          <w:i/>
          <w:iCs/>
        </w:rPr>
        <w:t xml:space="preserve">Social </w:t>
      </w:r>
      <w:proofErr w:type="spellStart"/>
      <w:r w:rsidRPr="00306614">
        <w:rPr>
          <w:i/>
          <w:iCs/>
        </w:rPr>
        <w:t>Statistics</w:t>
      </w:r>
      <w:proofErr w:type="spellEnd"/>
      <w:r w:rsidRPr="00306614">
        <w:rPr>
          <w:i/>
          <w:iCs/>
        </w:rPr>
        <w:t xml:space="preserve"> in </w:t>
      </w:r>
      <w:proofErr w:type="spellStart"/>
      <w:r w:rsidRPr="00306614">
        <w:rPr>
          <w:i/>
          <w:iCs/>
        </w:rPr>
        <w:t>Brief</w:t>
      </w:r>
      <w:proofErr w:type="spellEnd"/>
      <w:r w:rsidRPr="00306614">
        <w:t xml:space="preserve">, que puede consultarse en </w:t>
      </w:r>
      <w:hyperlink r:id="rId1" w:anchor="!/vizhome/SSIB-MSFStrategicThrusts/CoverPage" w:history="1">
        <w:r w:rsidRPr="00AF3AD1">
          <w:rPr>
            <w:rStyle w:val="Hyperlink"/>
          </w:rPr>
          <w:t>http://public.tableau.com/profile/ssib#!/vizhome/</w:t>
        </w:r>
        <w:r w:rsidRPr="00AF3AD1">
          <w:rPr>
            <w:rStyle w:val="Hyperlink"/>
          </w:rPr>
          <w:br/>
          <w:t>SSIB-</w:t>
        </w:r>
        <w:proofErr w:type="spellStart"/>
        <w:r w:rsidRPr="00AF3AD1">
          <w:rPr>
            <w:rStyle w:val="Hyperlink"/>
          </w:rPr>
          <w:t>MSFStrategicThrusts</w:t>
        </w:r>
        <w:proofErr w:type="spellEnd"/>
        <w:r w:rsidRPr="00AF3AD1">
          <w:rPr>
            <w:rStyle w:val="Hyperlink"/>
          </w:rPr>
          <w:t>/</w:t>
        </w:r>
        <w:proofErr w:type="spellStart"/>
        <w:r w:rsidRPr="00AF3AD1">
          <w:rPr>
            <w:rStyle w:val="Hyperlink"/>
          </w:rPr>
          <w:t>CoverPage</w:t>
        </w:r>
        <w:proofErr w:type="spellEnd"/>
      </w:hyperlink>
      <w:r w:rsidRPr="00306614">
        <w:t>.</w:t>
      </w:r>
      <w:bookmarkEnd w:id="9"/>
    </w:p>
  </w:footnote>
  <w:footnote w:id="17">
    <w:p w14:paraId="4BA43149" w14:textId="77777777" w:rsidR="00A571E2" w:rsidRPr="00306614" w:rsidRDefault="00A571E2" w:rsidP="00CF64F3">
      <w:pPr>
        <w:pStyle w:val="FootnoteText"/>
      </w:pPr>
      <w:r w:rsidRPr="00306614">
        <w:tab/>
      </w:r>
      <w:r w:rsidRPr="00CF64F3">
        <w:rPr>
          <w:rStyle w:val="FootnoteReference"/>
        </w:rPr>
        <w:footnoteRef/>
      </w:r>
      <w:r w:rsidRPr="00306614">
        <w:tab/>
        <w:t>La meta 8.A consiste en elaborar y difundir estadísticas sobre discapacidad fiables y comparables a nivel internacional en formatos accesibles para las personas con discapacidad. La meta 8.B consiste en establecer estadísticas fiables sobre la discapacidad antes de llegar al punto medio del decenio, en 2017, que sirvan para hacer un seguimiento de los progresos en la consecución de los objetivos y metas de la Estrategia de Incheon.</w:t>
      </w:r>
    </w:p>
  </w:footnote>
  <w:footnote w:id="18">
    <w:p w14:paraId="75038A9E"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Aumentar el trabajo y el empleo de las personas con discapacidad en edad laboral que pueden y quieren trabajar.</w:t>
      </w:r>
    </w:p>
  </w:footnote>
  <w:footnote w:id="19">
    <w:p w14:paraId="23E9CC15"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Aumentar la participación de las personas con discapacidad en la formación profesional y otros programas de apoyo al empleo financiados por los gobiernos.</w:t>
      </w:r>
    </w:p>
  </w:footnote>
  <w:footnote w:id="20">
    <w:p w14:paraId="5B46FEB2"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Mejorar la accesibilidad y facilidad de uso de los servicios de información y comunicación.</w:t>
      </w:r>
    </w:p>
  </w:footnote>
  <w:footnote w:id="21">
    <w:p w14:paraId="4DA5CDED"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r>
      <w:bookmarkStart w:id="11" w:name="_Hlk73607934"/>
      <w:r w:rsidRPr="00306614">
        <w:t>Reducir a la mitad el porcentaje de personas con discapacidad que necesitan ayudas técnicas y dispositivos de apoyo, pero no disponen de ellos.</w:t>
      </w:r>
      <w:bookmarkStart w:id="12" w:name="_Hlk50110472"/>
      <w:bookmarkEnd w:id="12"/>
    </w:p>
    <w:bookmarkEnd w:id="11"/>
  </w:footnote>
  <w:footnote w:id="22">
    <w:p w14:paraId="6CD9E013"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Mejorar las medidas para la detección precoz y la intervención temprana desde el nacimiento hasta la edad preescolar en los casos de niños con discapacidad.</w:t>
      </w:r>
    </w:p>
  </w:footnote>
  <w:footnote w:id="23">
    <w:p w14:paraId="7D763714"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Reducir a la mitad la brecha en las tasas de matriculación en la enseñanza primaria y secundaria entre los niños con y sin discapacidad.</w:t>
      </w:r>
    </w:p>
  </w:footnote>
  <w:footnote w:id="24">
    <w:p w14:paraId="3B2BF5F9"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Para más información sobre el sistema educativo y las necesidades educativas especiales, véanse los párrafos 97 a 102, relativos al párrafo 23 de la lista de cuestiones.</w:t>
      </w:r>
    </w:p>
  </w:footnote>
  <w:footnote w:id="25">
    <w:p w14:paraId="2088271A" w14:textId="77777777" w:rsidR="00A571E2" w:rsidRPr="00306614" w:rsidRDefault="00A571E2" w:rsidP="00CF64F3">
      <w:pPr>
        <w:pStyle w:val="FootnoteText"/>
      </w:pPr>
      <w:r w:rsidRPr="00306614">
        <w:tab/>
      </w:r>
      <w:r w:rsidRPr="00CF64F3">
        <w:rPr>
          <w:rStyle w:val="FootnoteReference"/>
        </w:rPr>
        <w:footnoteRef/>
      </w:r>
      <w:r w:rsidRPr="00306614">
        <w:tab/>
        <w:t>Tal y como se aclara en nuestra reserva, en Singapur, para garantizar el secreto de voto y salvaguardar su integridad, únicamente un funcionario electoral puede prestar asistencia a las personas con discapacidad. El funcionario electoral tiene la obligación de marcar en la papeleta lo que le indique el votante y jura mantener el secreto de voto. Se proporcionan plantillas en braille a los votantes con deficiencias visuales para que puedan marcar la papeleta sin ayuda.</w:t>
      </w:r>
    </w:p>
  </w:footnote>
  <w:footnote w:id="26">
    <w:p w14:paraId="2250DB87" w14:textId="77777777" w:rsidR="00A571E2" w:rsidRPr="00306614" w:rsidRDefault="00A571E2" w:rsidP="00CF64F3">
      <w:pPr>
        <w:pStyle w:val="FootnoteText"/>
      </w:pPr>
      <w:r w:rsidRPr="00306614">
        <w:tab/>
      </w:r>
      <w:r w:rsidRPr="00CF64F3">
        <w:rPr>
          <w:rStyle w:val="FootnoteReference"/>
        </w:rPr>
        <w:footnoteRef/>
      </w:r>
      <w:r w:rsidRPr="00306614">
        <w:tab/>
        <w:t>Véanse también los párrafos 126 a 128, relativos al párrafo 29 de la lista de cuestiones, sobre las medidas para mejorar la accesibilidad de las votaciones.</w:t>
      </w:r>
    </w:p>
  </w:footnote>
  <w:footnote w:id="27">
    <w:p w14:paraId="13027DAC"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El marco legislativo actual de la República de Singapur prevé, como salvaguarda adecuada y efectiva, la vigilancia y supervisión por parte de autoridades u órganos judiciales competentes, independientes e imparciales de las medidas relativas al ejercicio de la capacidad jurídica, a partir de las solicitudes que se les presenten o las actuaciones que inicien de oficio en los casos oportunos. La República de Singapur se reserva el derecho de seguir aplicando su marco legislativo actual en lugar de los exámenes periódicos a los que se hace referencia en artículo 12, párrafo 4, de la Convención.</w:t>
      </w:r>
    </w:p>
  </w:footnote>
  <w:footnote w:id="28">
    <w:p w14:paraId="619BE8BA" w14:textId="77777777" w:rsidR="00A571E2" w:rsidRPr="00306614" w:rsidRDefault="00A571E2" w:rsidP="00CF64F3">
      <w:pPr>
        <w:pStyle w:val="FootnoteText"/>
      </w:pPr>
      <w:r w:rsidRPr="00306614">
        <w:tab/>
      </w:r>
      <w:r w:rsidRPr="00CF64F3">
        <w:rPr>
          <w:rStyle w:val="FootnoteReference"/>
        </w:rPr>
        <w:footnoteRef/>
      </w:r>
      <w:r w:rsidRPr="00306614">
        <w:tab/>
        <w:t>Pueden expedir estos certificados abogados, psiquiatras y médicos acreditados. Las personas que deseen otorgar un poder preventivo deben acudir en persona al profesional que emite el certificado para obtenerlo.</w:t>
      </w:r>
    </w:p>
  </w:footnote>
  <w:footnote w:id="29">
    <w:p w14:paraId="353C1F15" w14:textId="1B78531B" w:rsidR="00A571E2" w:rsidRPr="00306614" w:rsidRDefault="00A571E2" w:rsidP="00CF64F3">
      <w:pPr>
        <w:pStyle w:val="FootnoteText"/>
      </w:pPr>
      <w:r w:rsidRPr="00306614">
        <w:tab/>
      </w:r>
      <w:r w:rsidRPr="00CF64F3">
        <w:rPr>
          <w:rStyle w:val="FootnoteReference"/>
        </w:rPr>
        <w:footnoteRef/>
      </w:r>
      <w:r w:rsidRPr="00306614">
        <w:rPr>
          <w:lang w:val="en-US"/>
        </w:rPr>
        <w:tab/>
        <w:t xml:space="preserve">Entre </w:t>
      </w:r>
      <w:proofErr w:type="spellStart"/>
      <w:r w:rsidRPr="00306614">
        <w:rPr>
          <w:lang w:val="en-US"/>
        </w:rPr>
        <w:t>otros</w:t>
      </w:r>
      <w:proofErr w:type="spellEnd"/>
      <w:r w:rsidRPr="00306614">
        <w:rPr>
          <w:lang w:val="en-US"/>
        </w:rPr>
        <w:t xml:space="preserve">, </w:t>
      </w:r>
      <w:r w:rsidRPr="00306614">
        <w:rPr>
          <w:i/>
          <w:iCs/>
          <w:lang w:val="en-US"/>
        </w:rPr>
        <w:t xml:space="preserve">Code of Practice </w:t>
      </w:r>
      <w:r w:rsidRPr="00306614">
        <w:rPr>
          <w:lang w:val="en-US"/>
        </w:rPr>
        <w:t>(</w:t>
      </w:r>
      <w:hyperlink r:id="rId2" w:history="1">
        <w:r w:rsidRPr="00AF3AD1">
          <w:rPr>
            <w:rStyle w:val="Hyperlink"/>
            <w:lang w:val="en-US"/>
          </w:rPr>
          <w:t>https://msf.gov.sg/opg/Documents/CSC.MSF.OPGWebsite/</w:t>
        </w:r>
        <w:r w:rsidRPr="00AF3AD1">
          <w:rPr>
            <w:rStyle w:val="Hyperlink"/>
            <w:lang w:val="en-US"/>
          </w:rPr>
          <w:br/>
          <w:t>Documents/Code_of_Practice_Oct16_final.pdf</w:t>
        </w:r>
      </w:hyperlink>
      <w:r w:rsidRPr="00306614">
        <w:rPr>
          <w:lang w:val="en-US"/>
        </w:rPr>
        <w:t xml:space="preserve">) y </w:t>
      </w:r>
      <w:r w:rsidRPr="00306614">
        <w:rPr>
          <w:i/>
          <w:iCs/>
          <w:lang w:val="en-US"/>
        </w:rPr>
        <w:t xml:space="preserve">The Mental Capacity Act: A </w:t>
      </w:r>
      <w:proofErr w:type="spellStart"/>
      <w:r w:rsidRPr="00306614">
        <w:rPr>
          <w:i/>
          <w:iCs/>
          <w:lang w:val="en-US"/>
        </w:rPr>
        <w:t>Donee</w:t>
      </w:r>
      <w:r>
        <w:rPr>
          <w:i/>
          <w:iCs/>
          <w:lang w:val="en-US"/>
        </w:rPr>
        <w:t>’</w:t>
      </w:r>
      <w:r w:rsidRPr="00306614">
        <w:rPr>
          <w:i/>
          <w:iCs/>
          <w:lang w:val="en-US"/>
        </w:rPr>
        <w:t>s</w:t>
      </w:r>
      <w:proofErr w:type="spellEnd"/>
      <w:r w:rsidRPr="00306614">
        <w:rPr>
          <w:i/>
          <w:iCs/>
          <w:lang w:val="en-US"/>
        </w:rPr>
        <w:t xml:space="preserve"> Guide</w:t>
      </w:r>
      <w:r w:rsidRPr="00306614">
        <w:rPr>
          <w:lang w:val="en-US"/>
        </w:rPr>
        <w:t xml:space="preserve"> (</w:t>
      </w:r>
      <w:hyperlink r:id="rId3" w:history="1">
        <w:r w:rsidRPr="00AF3AD1">
          <w:rPr>
            <w:rStyle w:val="Hyperlink"/>
            <w:lang w:val="en-US"/>
          </w:rPr>
          <w:t>https://www.msf.gov.sg/opg/Lists/Guides/Attachments/3/10813_LPA%20Donee%20Guidebooks</w:t>
        </w:r>
        <w:r w:rsidRPr="00AF3AD1">
          <w:rPr>
            <w:rStyle w:val="Hyperlink"/>
            <w:lang w:val="en-US"/>
          </w:rPr>
          <w:br/>
          <w:t>%20EL.pdf</w:t>
        </w:r>
      </w:hyperlink>
      <w:r w:rsidRPr="00306614">
        <w:rPr>
          <w:lang w:val="en-US"/>
        </w:rPr>
        <w:t xml:space="preserve">). </w:t>
      </w:r>
      <w:r w:rsidRPr="00306614">
        <w:t>Con estas publicaciones se pretende garantizar que los representantes designados por el tribunal comprendan su papel y sus responsabilidades, así como dotarlos de competencias para tomar decisiones teniendo en cuenta el interés superior de las personas a las que asisten y salvaguardando su bienestar.</w:t>
      </w:r>
    </w:p>
  </w:footnote>
  <w:footnote w:id="30">
    <w:p w14:paraId="5E81379A" w14:textId="77777777" w:rsidR="00A571E2" w:rsidRPr="00306614" w:rsidRDefault="00A571E2" w:rsidP="00CF64F3">
      <w:pPr>
        <w:pStyle w:val="FootnoteText"/>
      </w:pPr>
      <w:r w:rsidRPr="00306614">
        <w:tab/>
      </w:r>
      <w:r w:rsidRPr="00CF64F3">
        <w:rPr>
          <w:rStyle w:val="FootnoteReference"/>
        </w:rPr>
        <w:footnoteRef/>
      </w:r>
      <w:r w:rsidRPr="00306614">
        <w:tab/>
        <w:t>El artículo 12 de la Constitución de Singapur establece que “[t]odas las personas son iguales ante la ley y tienen derecho a igual protección de la ley”.</w:t>
      </w:r>
    </w:p>
  </w:footnote>
  <w:footnote w:id="31">
    <w:p w14:paraId="1E3EFA05"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Para más información sobre el acceso a recursos jurídicos, véanse los párrafos 59 a 61, relativos al párrafo 11 de la lista de cuestiones.</w:t>
      </w:r>
    </w:p>
  </w:footnote>
  <w:footnote w:id="32">
    <w:p w14:paraId="710A5AF2"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Para más información, véanse los párrafos 97 a 102, relativos al párrafo 23 de la lista de cuestiones.</w:t>
      </w:r>
    </w:p>
  </w:footnote>
  <w:footnote w:id="33">
    <w:p w14:paraId="354FDA8B"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Para más información, véanse los párrafos 109 a 111, relativos al párrafo 26 de la lista de cuestiones (prevención de la discriminación en el lugar de trabajo).</w:t>
      </w:r>
    </w:p>
  </w:footnote>
  <w:footnote w:id="34">
    <w:p w14:paraId="537FDE3C"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Este enfoque incluye: i) fomentar la resiliencia y apoyar el bienestar mental; </w:t>
      </w:r>
      <w:proofErr w:type="spellStart"/>
      <w:r w:rsidRPr="00306614">
        <w:t>ii</w:t>
      </w:r>
      <w:proofErr w:type="spellEnd"/>
      <w:r w:rsidRPr="00306614">
        <w:t xml:space="preserve">) crear conciencia sobre los problemas de salud mental; </w:t>
      </w:r>
      <w:proofErr w:type="spellStart"/>
      <w:r w:rsidRPr="00306614">
        <w:t>iii</w:t>
      </w:r>
      <w:proofErr w:type="spellEnd"/>
      <w:r w:rsidRPr="00306614">
        <w:t xml:space="preserve">) reducir el estigma y alentar a los jóvenes a que busquen ayuda si tienen problemas de salud mental; </w:t>
      </w:r>
      <w:proofErr w:type="spellStart"/>
      <w:r w:rsidRPr="00306614">
        <w:t>iv</w:t>
      </w:r>
      <w:proofErr w:type="spellEnd"/>
      <w:r w:rsidRPr="00306614">
        <w:t xml:space="preserve">) identificar y apoyar a aquellos que están en riesgo de suicidio; y v) intervenir en situaciones de crisis cuando se necesite ayuda urgente. </w:t>
      </w:r>
    </w:p>
  </w:footnote>
  <w:footnote w:id="35">
    <w:p w14:paraId="6B7D9888"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Para los niños más pequeños, la atención se centra en el aprendizaje de buenos hábitos de salud mental. En la escuela primaria se organizan representaciones, concursos y otras actividades educativas interactivas. También hay un programa interactivo de medio día de duración que ayuda a los estudiantes que pasan a la escuela secundaria a hacer frente a los nuevos factores de estrés que puedan encontrarse. En los centros de educación secundaria, hay dos programas para el alumnado: un teatro-foro interactivo que promueve el bienestar emocional positivo y ayuda a los alumnos a comprender y gestionar mejor las emociones complejas, y un programa musical sobre el manejo de los conflictos y el estrés, así como las consecuencias de utilizar estrategias de afrontamiento poco saludables.</w:t>
      </w:r>
    </w:p>
  </w:footnote>
  <w:footnote w:id="36">
    <w:p w14:paraId="4C519975"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El Programa de Apoyo entre Compañeros instruye a los estudiantes sobre los trastornos comunes de salud mental, el modo de identificar los signos y síntomas, las estrategias de autocuidado, la importancia de eliminar el estigma de los problemas de salud mental y el apoyo entre compañeros. </w:t>
      </w:r>
    </w:p>
  </w:footnote>
  <w:footnote w:id="37">
    <w:p w14:paraId="717907AD" w14:textId="77777777" w:rsidR="00A571E2" w:rsidRPr="00306614" w:rsidRDefault="00A571E2" w:rsidP="00CF64F3">
      <w:pPr>
        <w:pStyle w:val="FootnoteText"/>
      </w:pPr>
      <w:r w:rsidRPr="00306614">
        <w:tab/>
      </w:r>
      <w:r w:rsidRPr="00CF64F3">
        <w:rPr>
          <w:rStyle w:val="FootnoteReference"/>
        </w:rPr>
        <w:footnoteRef/>
      </w:r>
      <w:r w:rsidRPr="00306614">
        <w:tab/>
        <w:t xml:space="preserve">El Consejo de Promoción de la Salud también organiza talleres de capacitación para formar a los educadores en cuestiones de salud mental y temas emergentes relacionados con la juventud. </w:t>
      </w:r>
    </w:p>
  </w:footnote>
  <w:footnote w:id="38">
    <w:p w14:paraId="4B286072"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Los equipos están formados por psiquiatras, terapeutas ocupacionales y psicólogos, y colaboran estrechamente con los orientadores de las escuelas primarias y secundarias, incluidas las escuelas de educación especial.</w:t>
      </w:r>
    </w:p>
  </w:footnote>
  <w:footnote w:id="39">
    <w:p w14:paraId="6708E521" w14:textId="77777777" w:rsidR="00A571E2" w:rsidRPr="00306614" w:rsidRDefault="00A571E2" w:rsidP="00CF64F3">
      <w:pPr>
        <w:pStyle w:val="FootnoteText"/>
      </w:pPr>
      <w:r w:rsidRPr="00306614">
        <w:tab/>
      </w:r>
      <w:r w:rsidRPr="00CF64F3">
        <w:rPr>
          <w:rStyle w:val="FootnoteReference"/>
        </w:rPr>
        <w:footnoteRef/>
      </w:r>
      <w:r w:rsidRPr="00306614">
        <w:tab/>
        <w:t xml:space="preserve">La Alianza de la Juventud </w:t>
      </w:r>
      <w:r w:rsidRPr="00306614">
        <w:sym w:font="Symbol" w:char="F0BE"/>
      </w:r>
      <w:r w:rsidRPr="00306614">
        <w:t>una red de organismos con representantes de la administración, entidades de servicios sanitarios y sociales e institutos de enseñanza superior</w:t>
      </w:r>
      <w:r w:rsidRPr="00306614">
        <w:sym w:font="Symbol" w:char="F0BE"/>
      </w:r>
      <w:r w:rsidRPr="00306614">
        <w:t xml:space="preserve"> tiene como objetivo promover el bienestar mental entre los jóvenes alentándolos a buscar ayuda a tiempo, proporcionando apoyo entre compañeros y catalizando el cambio para reducir el estigma de los problemas de salud mental.</w:t>
      </w:r>
    </w:p>
  </w:footnote>
  <w:footnote w:id="40">
    <w:p w14:paraId="5B4B1C85"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Los objetivos específicos de la Red de Bienestar Mental de la Juventud son: i) evaluar el panorama actual e identificar los principales problemas y lagunas que repercuten en el bienestar mental de los jóvenes; </w:t>
      </w:r>
      <w:proofErr w:type="spellStart"/>
      <w:r w:rsidRPr="00306614">
        <w:t>ii</w:t>
      </w:r>
      <w:proofErr w:type="spellEnd"/>
      <w:r w:rsidRPr="00306614">
        <w:t xml:space="preserve">) definir los resultados deseados y desarrollar las correspondientes estrategias y planes de acción con miras a fortalecer el bienestar mental de los jóvenes; y </w:t>
      </w:r>
      <w:proofErr w:type="spellStart"/>
      <w:r w:rsidRPr="00306614">
        <w:t>iii</w:t>
      </w:r>
      <w:proofErr w:type="spellEnd"/>
      <w:r w:rsidRPr="00306614">
        <w:t>) construir y reforzar las redes de bienestar mental en todo Singapur.</w:t>
      </w:r>
    </w:p>
  </w:footnote>
  <w:footnote w:id="41">
    <w:p w14:paraId="6B920BFB"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Por ejemplo, la terapia familiar funcional, la terapia cognitiva conductual centrada en el trauma y la terapia de sistemas de trauma.</w:t>
      </w:r>
    </w:p>
  </w:footnote>
  <w:footnote w:id="42">
    <w:p w14:paraId="5CE28B13" w14:textId="77777777" w:rsidR="00A571E2" w:rsidRPr="00306614" w:rsidRDefault="00A571E2" w:rsidP="00CF64F3">
      <w:pPr>
        <w:pStyle w:val="FootnoteText"/>
      </w:pPr>
      <w:r w:rsidRPr="00306614">
        <w:tab/>
      </w:r>
      <w:r w:rsidRPr="00CF64F3">
        <w:rPr>
          <w:rStyle w:val="FootnoteReference"/>
        </w:rPr>
        <w:footnoteRef/>
      </w:r>
      <w:r w:rsidRPr="00306614">
        <w:tab/>
        <w:t>Estas intervenciones se llevan a cabo por lo general junto con los familiares o los cuidadores.</w:t>
      </w:r>
    </w:p>
  </w:footnote>
  <w:footnote w:id="43">
    <w:p w14:paraId="79FE5182" w14:textId="77777777" w:rsidR="00A571E2" w:rsidRPr="00306614" w:rsidRDefault="00A571E2" w:rsidP="00CF64F3">
      <w:pPr>
        <w:pStyle w:val="FootnoteText"/>
      </w:pPr>
      <w:r w:rsidRPr="00306614">
        <w:tab/>
      </w:r>
      <w:r w:rsidRPr="00CF64F3">
        <w:rPr>
          <w:rStyle w:val="FootnoteReference"/>
        </w:rPr>
        <w:footnoteRef/>
      </w:r>
      <w:r w:rsidRPr="00306614">
        <w:tab/>
        <w:t>La campaña pone de relieve los puntos fuertes de las personas con discapacidad a través de diversos medios de comunicación e instruye a la población sobre estrategias de comunicación y apoyo.</w:t>
      </w:r>
    </w:p>
  </w:footnote>
  <w:footnote w:id="44">
    <w:p w14:paraId="2C89E0DD" w14:textId="1B6E1F79"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Por ejemplo, los actos </w:t>
      </w:r>
      <w:r>
        <w:t>“</w:t>
      </w:r>
      <w:r w:rsidRPr="00306614">
        <w:t>¡Nosotros podemos!</w:t>
      </w:r>
      <w:r>
        <w:t>”</w:t>
      </w:r>
      <w:r w:rsidRPr="00306614">
        <w:t>,</w:t>
      </w:r>
      <w:r>
        <w:t xml:space="preserve"> “</w:t>
      </w:r>
      <w:r w:rsidRPr="00306614">
        <w:t>Conferencias</w:t>
      </w:r>
      <w:r>
        <w:t>”</w:t>
      </w:r>
      <w:r w:rsidRPr="00306614">
        <w:t xml:space="preserve"> y </w:t>
      </w:r>
      <w:r>
        <w:t>“</w:t>
      </w:r>
      <w:r w:rsidRPr="00306614">
        <w:t>Hablemos</w:t>
      </w:r>
      <w:r>
        <w:t>”</w:t>
      </w:r>
      <w:r w:rsidRPr="00306614">
        <w:t>.</w:t>
      </w:r>
    </w:p>
  </w:footnote>
  <w:footnote w:id="45">
    <w:p w14:paraId="408442D8" w14:textId="74C1376E"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El Consejo Nacional del Servicio Social colaboró con los organismos de servicios sociales y las organizaciones de personas con discapacidad para distribuir entre sus miembros y usuarios de servicios una publicación titulada </w:t>
      </w:r>
      <w:r>
        <w:t>“</w:t>
      </w:r>
      <w:proofErr w:type="spellStart"/>
      <w:r w:rsidRPr="00306614">
        <w:t>Understanding</w:t>
      </w:r>
      <w:proofErr w:type="spellEnd"/>
      <w:r w:rsidRPr="00306614">
        <w:t xml:space="preserve"> the </w:t>
      </w:r>
      <w:proofErr w:type="spellStart"/>
      <w:r w:rsidRPr="00306614">
        <w:t>United</w:t>
      </w:r>
      <w:proofErr w:type="spellEnd"/>
      <w:r w:rsidRPr="00306614">
        <w:t xml:space="preserve"> </w:t>
      </w:r>
      <w:proofErr w:type="spellStart"/>
      <w:r w:rsidRPr="00306614">
        <w:t>Nations</w:t>
      </w:r>
      <w:proofErr w:type="spellEnd"/>
      <w:r w:rsidRPr="00306614">
        <w:t xml:space="preserve"> </w:t>
      </w:r>
      <w:proofErr w:type="spellStart"/>
      <w:r w:rsidRPr="00306614">
        <w:t>Convention</w:t>
      </w:r>
      <w:proofErr w:type="spellEnd"/>
      <w:r w:rsidRPr="00306614">
        <w:t xml:space="preserve"> </w:t>
      </w:r>
      <w:proofErr w:type="spellStart"/>
      <w:r w:rsidRPr="00306614">
        <w:t>on</w:t>
      </w:r>
      <w:proofErr w:type="spellEnd"/>
      <w:r w:rsidRPr="00306614">
        <w:t xml:space="preserve"> The </w:t>
      </w:r>
      <w:proofErr w:type="spellStart"/>
      <w:r w:rsidRPr="00306614">
        <w:t>Rights</w:t>
      </w:r>
      <w:proofErr w:type="spellEnd"/>
      <w:r w:rsidRPr="00306614">
        <w:t xml:space="preserve"> of </w:t>
      </w:r>
      <w:proofErr w:type="spellStart"/>
      <w:r w:rsidRPr="00306614">
        <w:t>Persons</w:t>
      </w:r>
      <w:proofErr w:type="spellEnd"/>
      <w:r w:rsidRPr="00306614">
        <w:t xml:space="preserve"> </w:t>
      </w:r>
      <w:proofErr w:type="spellStart"/>
      <w:r w:rsidRPr="00306614">
        <w:t>with</w:t>
      </w:r>
      <w:proofErr w:type="spellEnd"/>
      <w:r w:rsidRPr="00306614">
        <w:t xml:space="preserve"> </w:t>
      </w:r>
      <w:proofErr w:type="spellStart"/>
      <w:r w:rsidRPr="00306614">
        <w:t>Disabilities</w:t>
      </w:r>
      <w:proofErr w:type="spellEnd"/>
      <w:r>
        <w:t>”</w:t>
      </w:r>
      <w:r w:rsidRPr="00306614">
        <w:t>. La publicación está disponible en formato impreso y digital y en lectura fácil.</w:t>
      </w:r>
    </w:p>
  </w:footnote>
  <w:footnote w:id="46">
    <w:p w14:paraId="2D053A07"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Para más información sobre las iniciativas de sensibilización, véanse los párrafos 129 a 132, relativos al párrafo 30 de la lista de cuestiones.</w:t>
      </w:r>
    </w:p>
  </w:footnote>
  <w:footnote w:id="47">
    <w:p w14:paraId="3C8FE50D"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Para más información sobre las iniciativas de sensibilización, véanse los párrafos 29 y 30, relativos al párrafo 6 de la lista de cuestiones; y los párrafos 99 y 101, relativos al párrafo 23 de la lista de cuestiones.</w:t>
      </w:r>
    </w:p>
  </w:footnote>
  <w:footnote w:id="48">
    <w:p w14:paraId="7752FAA3" w14:textId="77777777" w:rsidR="00A571E2" w:rsidRPr="00306614" w:rsidRDefault="00A571E2" w:rsidP="00CF64F3">
      <w:pPr>
        <w:pStyle w:val="FootnoteText"/>
      </w:pPr>
      <w:r w:rsidRPr="00306614">
        <w:tab/>
      </w:r>
      <w:r w:rsidRPr="00CF64F3">
        <w:rPr>
          <w:rStyle w:val="FootnoteReference"/>
        </w:rPr>
        <w:footnoteRef/>
      </w:r>
      <w:r w:rsidRPr="00306614">
        <w:tab/>
        <w:t>Se puede acceder a Belle en Facebook Messenger y en la aplicación iMessage.</w:t>
      </w:r>
    </w:p>
  </w:footnote>
  <w:footnote w:id="49">
    <w:p w14:paraId="45663407"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Hasta ahora, a través de estas subvenciones se ha brindado apoyo a 25 proyectos de organismos de servicios sociales, institutos de enseñanza superior y empresas sociales.</w:t>
      </w:r>
    </w:p>
  </w:footnote>
  <w:footnote w:id="50">
    <w:p w14:paraId="7CE6D146"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En 2020 se habrán instalado en las estaciones de transporte público rápido y de transporte ferroviario ligero señales de uso prioritario en los torniquetes de acceso anchos, los ascensores, las zonas para hacer cola y las mamparas de acceso a los trenes en los andenes, a fin de recordar a los viajeros que deben ceder el paso a las personas que tienen mayor necesidad de estos elementos de accesibilidad. También se instalarán progresivamente, a partir de 2021, zonas de cola prioritarias en todos los intercambiadores de la red de autobuses, siempre que sea posible.</w:t>
      </w:r>
    </w:p>
  </w:footnote>
  <w:footnote w:id="51">
    <w:p w14:paraId="3DF75760"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La aplicación también avisa al conductor del autobús de que en la siguiente parada van a subir o apearse usuarios de la aplicación y ofrece avisos sonoros externos en la parada para ayudar a los viajeros con deficiencia visual a orientarse hasta la puerta del vehículo.</w:t>
      </w:r>
    </w:p>
  </w:footnote>
  <w:footnote w:id="52">
    <w:p w14:paraId="54DFDBE9"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Siempre que sea posible, los vagones prioritarios se situarán cerca de los ascensores de las estaciones a fin de facilitar el acceso y la comodidad.</w:t>
      </w:r>
    </w:p>
  </w:footnote>
  <w:footnote w:id="53">
    <w:p w14:paraId="2B0451E9" w14:textId="77777777" w:rsidR="00A571E2" w:rsidRPr="00306614" w:rsidRDefault="00A571E2" w:rsidP="00CF64F3">
      <w:pPr>
        <w:pStyle w:val="FootnoteText"/>
      </w:pPr>
      <w:r w:rsidRPr="00306614">
        <w:tab/>
      </w:r>
      <w:r w:rsidRPr="00CF64F3">
        <w:rPr>
          <w:rStyle w:val="FootnoteReference"/>
        </w:rPr>
        <w:footnoteRef/>
      </w:r>
      <w:r w:rsidRPr="00306614">
        <w:tab/>
        <w:t>También podrán usar los vagones prioritarios las personas mayores y las familias con niños pequeños.</w:t>
      </w:r>
    </w:p>
  </w:footnote>
  <w:footnote w:id="54">
    <w:p w14:paraId="5FC7306F" w14:textId="77777777" w:rsidR="00A571E2" w:rsidRPr="00306614" w:rsidRDefault="00A571E2" w:rsidP="00CF64F3">
      <w:pPr>
        <w:pStyle w:val="FootnoteText"/>
      </w:pPr>
      <w:r w:rsidRPr="00306614">
        <w:tab/>
      </w:r>
      <w:r w:rsidRPr="00CF64F3">
        <w:rPr>
          <w:rStyle w:val="FootnoteReference"/>
        </w:rPr>
        <w:footnoteRef/>
      </w:r>
      <w:r w:rsidRPr="00306614">
        <w:tab/>
        <w:t>En la medida de lo posible, se están adaptando las paradas de taxi construidas antes de esa fecha para que tampoco tengan obstáculos.</w:t>
      </w:r>
    </w:p>
  </w:footnote>
  <w:footnote w:id="55">
    <w:p w14:paraId="7799F587" w14:textId="77777777" w:rsidR="00A571E2" w:rsidRPr="00306614" w:rsidRDefault="00A571E2" w:rsidP="00CF64F3">
      <w:pPr>
        <w:pStyle w:val="FootnoteText"/>
      </w:pPr>
      <w:r w:rsidRPr="00306614">
        <w:tab/>
      </w:r>
      <w:r w:rsidRPr="00CF64F3">
        <w:rPr>
          <w:rStyle w:val="FootnoteReference"/>
        </w:rPr>
        <w:footnoteRef/>
      </w:r>
      <w:r w:rsidRPr="00306614">
        <w:tab/>
        <w:t>El Plan de Prestaciones para el Transporte en Taxi ofrece prestaciones vinculadas al nivel de ingresos a las personas con discapacidad que dependen del taxi para desplazarse. Además, se ha ampliado el Plan para que puedan acogerse a él las personas que asisten a formaciones relacionadas con el empleo y para que queden incluidos los desplazamientos en vehículos de alquiler privados registrados.</w:t>
      </w:r>
    </w:p>
  </w:footnote>
  <w:footnote w:id="56">
    <w:p w14:paraId="686D28C3"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Por ejemplo, la Academia de Autobuses de Singapur lleva a cabo un Programa de Formación Ampliada para Licencias Profesionales gracias al cual todos los conductores de autobuses públicos recién contratados reciben una formación personalizada sobre cómo ayudar a las personas con necesidades especiales, incluidas las personas con discapacidad, a subir al autobús y apearse.</w:t>
      </w:r>
    </w:p>
  </w:footnote>
  <w:footnote w:id="57">
    <w:p w14:paraId="3EC1B042" w14:textId="77777777" w:rsidR="00A571E2" w:rsidRPr="00306614" w:rsidRDefault="00A571E2" w:rsidP="00CF64F3">
      <w:pPr>
        <w:pStyle w:val="FootnoteText"/>
      </w:pPr>
      <w:r w:rsidRPr="00306614">
        <w:tab/>
      </w:r>
      <w:r w:rsidRPr="00CF64F3">
        <w:rPr>
          <w:rStyle w:val="FootnoteReference"/>
        </w:rPr>
        <w:footnoteRef/>
      </w:r>
      <w:r w:rsidRPr="00306614">
        <w:tab/>
        <w:t>Por ejemplo, recientemente un operador de transporte público firmó un acuerdo con cinco organizaciones de servicios sociales y de personas con discapacidad para que impartan formación a los profesionales del transporte.</w:t>
      </w:r>
    </w:p>
  </w:footnote>
  <w:footnote w:id="58">
    <w:p w14:paraId="2793B1A4" w14:textId="77777777" w:rsidR="00A571E2" w:rsidRPr="00306614" w:rsidRDefault="00A571E2" w:rsidP="00CF64F3">
      <w:pPr>
        <w:pStyle w:val="FootnoteText"/>
      </w:pPr>
      <w:r w:rsidRPr="00306614">
        <w:tab/>
      </w:r>
      <w:r w:rsidRPr="00CF64F3">
        <w:rPr>
          <w:rStyle w:val="FootnoteReference"/>
        </w:rPr>
        <w:footnoteRef/>
      </w:r>
      <w:r w:rsidRPr="00306614">
        <w:tab/>
        <w:t>La Autoridad de Transporte Terrestre aceptó todas las recomendaciones derivadas de esas consultas entre 2016 y 2018, y la mayoría se han aplicado.</w:t>
      </w:r>
    </w:p>
  </w:footnote>
  <w:footnote w:id="59">
    <w:p w14:paraId="68129600"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El Código es de aplicación desde el 6 de enero de 2020. Todos los proyectos de nueva construcción y los edificios ya construidos en los que se realicen obras importantes de ampliación y reforma deben cumplir los requisitos del Código de Accesibilidad vigente.</w:t>
      </w:r>
    </w:p>
  </w:footnote>
  <w:footnote w:id="60">
    <w:p w14:paraId="2C116B66" w14:textId="77777777" w:rsidR="00A571E2" w:rsidRPr="00306614" w:rsidRDefault="00A571E2" w:rsidP="00CF64F3">
      <w:pPr>
        <w:pStyle w:val="FootnoteText"/>
      </w:pPr>
      <w:r w:rsidRPr="00306614">
        <w:tab/>
      </w:r>
      <w:r w:rsidRPr="00CF64F3">
        <w:rPr>
          <w:rStyle w:val="FootnoteReference"/>
        </w:rPr>
        <w:footnoteRef/>
      </w:r>
      <w:r w:rsidRPr="00306614">
        <w:tab/>
        <w:t xml:space="preserve">Entre los nuevos requisitos figuran los siguientes: i) vestuarios accesibles en determinados tipos de edificios, con el fin de brindar apoyo a los adultos con discapacidad y a las personas mayores que puedan necesitar la ayuda de cuidadores; </w:t>
      </w:r>
      <w:proofErr w:type="spellStart"/>
      <w:r w:rsidRPr="00306614">
        <w:t>ii</w:t>
      </w:r>
      <w:proofErr w:type="spellEnd"/>
      <w:r w:rsidRPr="00306614">
        <w:t xml:space="preserve">) inodoros accesibles y de mayor tamaño en determinados tipos de edificios, adaptados a los usuarios de sillas de ruedas motorizadas, que necesitan espacios más amplios para maniobrar; </w:t>
      </w:r>
      <w:proofErr w:type="spellStart"/>
      <w:r w:rsidRPr="00306614">
        <w:t>iii</w:t>
      </w:r>
      <w:proofErr w:type="spellEnd"/>
      <w:r w:rsidRPr="00306614">
        <w:t xml:space="preserve">) aparcamientos más accesibles en los hospitales; y </w:t>
      </w:r>
      <w:proofErr w:type="spellStart"/>
      <w:r w:rsidRPr="00306614">
        <w:t>iv</w:t>
      </w:r>
      <w:proofErr w:type="spellEnd"/>
      <w:r w:rsidRPr="00306614">
        <w:t>) limitar los tramos horizontales a una longitud máxima de 6 metros en rampas con una pendiente de 1:12, a fin de que los usuarios de sillas de ruedas puedan subirlas con menos dificultad.</w:t>
      </w:r>
    </w:p>
  </w:footnote>
  <w:footnote w:id="61">
    <w:p w14:paraId="3351E306"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Se trata de instalaciones con más de 200 ocupantes y destinadas a alojar a personas que padecen alguna enfermedad, dolencia, lesión o afección que dificulte su capacidad para evacuarse por sí mismas en caso de emergencia. La Fuerza de Defensa Civil de Singapur realiza anualmente encuestas operativas y controles de cumplimiento en estas instalaciones y lleva a cabo un ejercicio para validar los planes de respuesta al menos una vez cada tres años.</w:t>
      </w:r>
    </w:p>
  </w:footnote>
  <w:footnote w:id="62">
    <w:p w14:paraId="677F3525"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Esto implica trabajar con organismos como la Junta de Promoción de la Vivienda (para el realojamiento), la Asociación Popular (para el apoyo comunitario) y las Oficinas de Servicios Sociales del Ministerio para el Desarrollo Social y Familiar.</w:t>
      </w:r>
    </w:p>
  </w:footnote>
  <w:footnote w:id="63">
    <w:p w14:paraId="1626AFB9"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Por ejemplo, en el plan de distribución de mascarillas también se incluye a las personas de edad, las mujeres embarazadas, los niños y las personas con cardiopatías o neumopatías crónicas.</w:t>
      </w:r>
    </w:p>
  </w:footnote>
  <w:footnote w:id="64">
    <w:p w14:paraId="65301988" w14:textId="77777777" w:rsidR="00A571E2" w:rsidRPr="00306614" w:rsidRDefault="00A571E2" w:rsidP="00CF64F3">
      <w:pPr>
        <w:pStyle w:val="FootnoteText"/>
      </w:pPr>
      <w:r w:rsidRPr="00306614">
        <w:tab/>
      </w:r>
      <w:r w:rsidRPr="00CF64F3">
        <w:rPr>
          <w:rStyle w:val="FootnoteReference"/>
        </w:rPr>
        <w:footnoteRef/>
      </w:r>
      <w:r w:rsidRPr="00306614">
        <w:tab/>
        <w:t xml:space="preserve">Entre ellos, cabe destacar el Fondo de Ayuda Temporal, que proporcionó una ayuda puntual en el mes de abril de 2020; la Donación de Apoyo por COVID-19, a la que pudieron acceder los trabajadores afectados a partir de mayo de 2020; y el Programa de Ayuda a los Ingresos de los Autónomos, que brinda apoyo a los trabajadores por cuenta propia. El Gobierno también ha reforzado el apoyo a las personas y familias con bajos ingresos y vulnerables en el marco del plan </w:t>
      </w:r>
      <w:proofErr w:type="spellStart"/>
      <w:r w:rsidRPr="00306614">
        <w:t>ComCare</w:t>
      </w:r>
      <w:proofErr w:type="spellEnd"/>
      <w:r w:rsidRPr="00306614">
        <w:t>. En total, el Gobierno ha dedicado hasta la fecha 3.150 millones de dólares singapurenses (2.290 millones de dólares de los Estados Unidos) a proporcionar asistencia financiera a los singapurenses que necesitan ayuda.</w:t>
      </w:r>
    </w:p>
  </w:footnote>
  <w:footnote w:id="65">
    <w:p w14:paraId="015061A2" w14:textId="77777777" w:rsidR="00A571E2" w:rsidRPr="00306614" w:rsidRDefault="00A571E2" w:rsidP="00CF64F3">
      <w:pPr>
        <w:pStyle w:val="FootnoteText"/>
      </w:pPr>
      <w:r w:rsidRPr="00306614">
        <w:tab/>
      </w:r>
      <w:r w:rsidRPr="00CF64F3">
        <w:rPr>
          <w:rStyle w:val="FootnoteReference"/>
        </w:rPr>
        <w:footnoteRef/>
      </w:r>
      <w:r w:rsidRPr="00306614">
        <w:tab/>
      </w:r>
      <w:bookmarkStart w:id="20" w:name="_Hlk73700815"/>
      <w:r w:rsidRPr="00306614">
        <w:t xml:space="preserve">A través de la iniciativa C. A. R. E., del Fondo </w:t>
      </w:r>
      <w:proofErr w:type="spellStart"/>
      <w:r w:rsidRPr="00306614">
        <w:t>Enable</w:t>
      </w:r>
      <w:proofErr w:type="spellEnd"/>
      <w:r w:rsidRPr="00306614">
        <w:t xml:space="preserve"> de </w:t>
      </w:r>
      <w:proofErr w:type="spellStart"/>
      <w:r w:rsidRPr="00306614">
        <w:t>Mediacorp</w:t>
      </w:r>
      <w:proofErr w:type="spellEnd"/>
      <w:r w:rsidRPr="00306614">
        <w:t xml:space="preserve">, SG </w:t>
      </w:r>
      <w:proofErr w:type="spellStart"/>
      <w:r w:rsidRPr="00306614">
        <w:t>Enable</w:t>
      </w:r>
      <w:proofErr w:type="spellEnd"/>
      <w:r w:rsidRPr="00306614">
        <w:t xml:space="preserve"> suministró una ayuda puntual en efectivo a las familias que tienen varios miembros con discapacidad, para contribuir a sufragar una parte de sus gastos cotidianos y ayudarles a cumplir sus aspiraciones inmediatas.</w:t>
      </w:r>
      <w:bookmarkEnd w:id="20"/>
    </w:p>
  </w:footnote>
  <w:footnote w:id="66">
    <w:p w14:paraId="03BE348F"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En particular, cualquier declaración escrita relevante que formulara la persona cuando tenía capacidad. En la medida en que sea razonablemente determinable, también deben tenerse en cuenta las creencias y los valores que probablemente influirían en su decisión en caso de tener capacidad, así como otros factores que probablemente tomaría en consideración si pudiera hacerlo.</w:t>
      </w:r>
    </w:p>
  </w:footnote>
  <w:footnote w:id="67">
    <w:p w14:paraId="32F307FA"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En el Código de Procedimiento Penal se establecen los procedimientos para determinar si una persona es incapaz de defenderse. Si el Tribunal tiene razones para sospechar que el acusado se encuentra en estado de demencia y, por lo tanto, es incapaz de defenderse, el Tribunal está obligado a investigarlo. Si el Tribunal no tiene la certeza de que el acusado sea capaz de defenderse, debe aplazar las actuaciones y mantener a la persona en detención preventiva en una institución psiquiátrica para su observación durante un mes como máximo. Un médico designado debe mantener al acusado en observación, proporcionarle cualquier tratamiento necesario durante la detención preventiva y certificar por escrito al Tribunal su opinión sobre el estado mental del acusado, o solicitar un nuevo período de detención preventiva de hasta dos meses, si no puede formarse una conclusión dentro de ese período.</w:t>
      </w:r>
    </w:p>
  </w:footnote>
  <w:footnote w:id="68">
    <w:p w14:paraId="3085BF5F" w14:textId="4BC87DFD"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Las garantías exigidas consisten en lo siguiente: i) la persona será atendida de manera adecuada; </w:t>
      </w:r>
      <w:proofErr w:type="spellStart"/>
      <w:r w:rsidRPr="00306614">
        <w:t>ii</w:t>
      </w:r>
      <w:proofErr w:type="spellEnd"/>
      <w:r w:rsidRPr="00306614">
        <w:t xml:space="preserve">) se evitará que se dañe a sí misma o a cualquier otra persona; </w:t>
      </w:r>
      <w:proofErr w:type="spellStart"/>
      <w:r w:rsidRPr="00306614">
        <w:t>iii</w:t>
      </w:r>
      <w:proofErr w:type="spellEnd"/>
      <w:r w:rsidRPr="00306614">
        <w:t xml:space="preserve">) comparecerá ante el tribunal cuando le sea requerido; y </w:t>
      </w:r>
      <w:proofErr w:type="spellStart"/>
      <w:r w:rsidRPr="00306614">
        <w:t>iv</w:t>
      </w:r>
      <w:proofErr w:type="spellEnd"/>
      <w:r w:rsidRPr="00306614">
        <w:t>) cualquier otra condición que el tribunal determine que debe cumplirse.</w:t>
      </w:r>
    </w:p>
  </w:footnote>
  <w:footnote w:id="69">
    <w:p w14:paraId="160B66E2" w14:textId="77777777" w:rsidR="00A571E2" w:rsidRPr="00306614" w:rsidRDefault="00A571E2" w:rsidP="00CF64F3">
      <w:pPr>
        <w:pStyle w:val="FootnoteText"/>
      </w:pPr>
      <w:r w:rsidRPr="00306614">
        <w:tab/>
      </w:r>
      <w:r w:rsidRPr="00CF64F3">
        <w:rPr>
          <w:rStyle w:val="FootnoteReference"/>
        </w:rPr>
        <w:footnoteRef/>
      </w:r>
      <w:r w:rsidRPr="00306614">
        <w:tab/>
        <w:t>Esto sucede cuando el médico de la prisión determina que es necesario desde el punto de vista médico.</w:t>
      </w:r>
    </w:p>
  </w:footnote>
  <w:footnote w:id="70">
    <w:p w14:paraId="4E76B33F" w14:textId="77777777" w:rsidR="00A571E2" w:rsidRPr="00306614" w:rsidRDefault="00A571E2" w:rsidP="00CF64F3">
      <w:pPr>
        <w:pStyle w:val="FootnoteText"/>
      </w:pPr>
      <w:r w:rsidRPr="00306614">
        <w:tab/>
      </w:r>
      <w:r w:rsidRPr="00CF64F3">
        <w:rPr>
          <w:rStyle w:val="FootnoteReference"/>
        </w:rPr>
        <w:footnoteRef/>
      </w:r>
      <w:r w:rsidRPr="00306614">
        <w:tab/>
        <w:t>Véanse los párrafos 54 y 55, relativos al párrafo 10 de la lista de cuestiones (en relación con el Código de Procedimiento Penal).</w:t>
      </w:r>
    </w:p>
  </w:footnote>
  <w:footnote w:id="71">
    <w:p w14:paraId="3AC7507D"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La Universidad Nacional de Singapur, la Universidad de Administración de Empresas de Singapur y la Universidad de Ciencias Sociales de Singapur.</w:t>
      </w:r>
    </w:p>
  </w:footnote>
  <w:footnote w:id="72">
    <w:p w14:paraId="0B67B06B" w14:textId="329C1AEB" w:rsidR="00A571E2" w:rsidRPr="00306614" w:rsidRDefault="00A571E2" w:rsidP="00CF64F3">
      <w:pPr>
        <w:pStyle w:val="FootnoteText"/>
      </w:pPr>
      <w:r w:rsidRPr="00306614">
        <w:tab/>
      </w:r>
      <w:r w:rsidRPr="00CF64F3">
        <w:rPr>
          <w:rStyle w:val="FootnoteReference"/>
        </w:rPr>
        <w:footnoteRef/>
      </w:r>
      <w:r w:rsidRPr="00306614">
        <w:tab/>
        <w:t>Véanse los párrafos 52 y 53, relativos al párrafo 10 de la lista de cuestiones (en relación con la Ley de Capacidad Mental).</w:t>
      </w:r>
    </w:p>
  </w:footnote>
  <w:footnote w:id="73">
    <w:p w14:paraId="23E7A6A8"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Con arreglo a la Ley de Capacidad Mental, una persona carece de capacidad para dar su consentimiento a fin de que se le practique la esterilización sexual si no puede tomar una decisión por sí misma en relación con el tratamiento debido a una deficiencia o a una perturbación en el funcionamiento de la mente o el cerebro.</w:t>
      </w:r>
    </w:p>
  </w:footnote>
  <w:footnote w:id="74">
    <w:p w14:paraId="08F12DD6" w14:textId="371E80C5"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El interés superior de esa persona debe determinarse de acuerdo con las orientaciones establecidas en la Ley de Capacidad Mental. Véase el párrafo 52, relativo al párrafo 10 de la lista de cuestiones.</w:t>
      </w:r>
    </w:p>
  </w:footnote>
  <w:footnote w:id="75">
    <w:p w14:paraId="27782410"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El Ministro de Salud designa de forma independiente a los inspectores para que realicen visitas periódicas, revisen la situación de cualquier paciente recluido en aplicación de la Ley e inspeccionen cualquier parte de la institución psiquiátrica.</w:t>
      </w:r>
    </w:p>
  </w:footnote>
  <w:footnote w:id="76">
    <w:p w14:paraId="470C51EE"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Pisos de alquiler adaptados con elementos de accesibilidad para personas con discapacidad que pueden vivir de forma independiente.</w:t>
      </w:r>
    </w:p>
  </w:footnote>
  <w:footnote w:id="77">
    <w:p w14:paraId="3EAFE251"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El objetivo de los albergues es ayudar a las personas a reanudar una vida independiente en sus propios hogares o en entornos alternativos de vida comunitaria asistida. Están situados en la comunidad y ofrecen a los residentes la oportunidad de participar en programas y actividades </w:t>
      </w:r>
      <w:proofErr w:type="spellStart"/>
      <w:r w:rsidRPr="00306614">
        <w:t>sociorrecreativas</w:t>
      </w:r>
      <w:proofErr w:type="spellEnd"/>
      <w:r w:rsidRPr="00306614">
        <w:t xml:space="preserve"> que fomentan la integración en la comunidad, así como formación básica en habilidades para la vida independiente y capacitación impartida en los propios albergues para adquirir competencias laborales y para la vida.</w:t>
      </w:r>
    </w:p>
  </w:footnote>
  <w:footnote w:id="78">
    <w:p w14:paraId="7C8A0282"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Para más información, véanse los párrafos 84 a 86, relativos al párrafo 20 de la lista de cuestiones, sobre las ayudas a la tecnología de apoyo; el párrafo 40, relativo al párrafo 8 de la lista de cuestiones, sobre el apoyo al transporte; y los párrafos 119 a 121, relativos al párrafo 27 de la lista de cuestiones (acceso a la protección social y a los servicios de apoyo).</w:t>
      </w:r>
    </w:p>
  </w:footnote>
  <w:footnote w:id="79">
    <w:p w14:paraId="558F2132"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Para más información sobre la Ley de Adultos Vulnerables, véanse los párrafos 76 y 77, relativos al párrafo 16 de la lista de cuestiones.</w:t>
      </w:r>
    </w:p>
  </w:footnote>
  <w:footnote w:id="80">
    <w:p w14:paraId="6EF971A0"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Además de establecer estos equipos, que han brindado apoyo a más de 26.000 personas hasta 2019, el Organismo de Atención Integrada también ha creado 43 equipos de divulgación en la comunidad y ha formado a más de 24.000 empleados de primera línea de organismos gubernamentales y asociados comunitarios en Singapur, que han llegado a más de 300.000 personas y han prestado asistencia a más de 23.000 personas en riesgo de desarrollar trastornos de salud mental o demencia.</w:t>
      </w:r>
    </w:p>
  </w:footnote>
  <w:footnote w:id="81">
    <w:p w14:paraId="7288E7A1"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Por personas vulnerables se entiende aquellas que, debido a su discapacidad mental o física, son sustancialmente incapaces de protegerse del maltrato, el descuido o el </w:t>
      </w:r>
      <w:proofErr w:type="spellStart"/>
      <w:r w:rsidRPr="00306614">
        <w:t>autodescuido</w:t>
      </w:r>
      <w:proofErr w:type="spellEnd"/>
      <w:r w:rsidRPr="00306614">
        <w:t>.</w:t>
      </w:r>
    </w:p>
  </w:footnote>
  <w:footnote w:id="82">
    <w:p w14:paraId="092B09E5"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Estas disposiciones entraron en vigor el 1 de enero de 2020.</w:t>
      </w:r>
    </w:p>
  </w:footnote>
  <w:footnote w:id="83">
    <w:p w14:paraId="53275A27"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Tal como se define en la Ley de Atención y Tratamiento de Salud Mental, el maltrato incluye someter al paciente a abusos físicos o sexuales y descuidarlo de manera intencionada o injustificada en circunstancias que puedan poner en peligro su seguridad; y causar al paciente dolor físico innecesario, sufrimiento o lesiones; daños emocionales o perjuicios para la salud.</w:t>
      </w:r>
    </w:p>
  </w:footnote>
  <w:footnote w:id="84">
    <w:p w14:paraId="27BA5A58" w14:textId="6EFBEE21" w:rsidR="00A571E2" w:rsidRPr="00306614" w:rsidRDefault="00A571E2" w:rsidP="00CF64F3">
      <w:pPr>
        <w:pStyle w:val="FootnoteText"/>
      </w:pPr>
      <w:r w:rsidRPr="00306614">
        <w:tab/>
      </w:r>
      <w:r w:rsidRPr="00CF64F3">
        <w:rPr>
          <w:rStyle w:val="FootnoteReference"/>
        </w:rPr>
        <w:footnoteRef/>
      </w:r>
      <w:r w:rsidRPr="00306614">
        <w:tab/>
        <w:t xml:space="preserve">Por ejemplo, en 2017, el seminario de la Escuela Judicial de Singapur titulado </w:t>
      </w:r>
      <w:r>
        <w:t>“</w:t>
      </w:r>
      <w:r w:rsidRPr="00306614">
        <w:t>Aplicación de los tratados de derechos humanos en los Estados dualistas</w:t>
      </w:r>
      <w:r>
        <w:t>”</w:t>
      </w:r>
      <w:r w:rsidRPr="00306614">
        <w:t xml:space="preserve"> presentó a los jueces información sobre: i) la Convención sobre la Eliminación de Todas las Formas de Discriminación contra la Mujer; </w:t>
      </w:r>
      <w:proofErr w:type="spellStart"/>
      <w:r w:rsidRPr="00306614">
        <w:t>ii</w:t>
      </w:r>
      <w:proofErr w:type="spellEnd"/>
      <w:r w:rsidRPr="00306614">
        <w:t xml:space="preserve">) la Convención sobre los Derechos de las Personas con Discapacidad; y </w:t>
      </w:r>
      <w:proofErr w:type="spellStart"/>
      <w:r w:rsidRPr="00306614">
        <w:t>iii</w:t>
      </w:r>
      <w:proofErr w:type="spellEnd"/>
      <w:r w:rsidRPr="00306614">
        <w:t xml:space="preserve">) la Convención sobre los Derechos del Niño, y cómo se aplican estos tratados en Singapur. En 2018, el programa de la Escuela Judicial de Singapur titulado </w:t>
      </w:r>
      <w:r>
        <w:t>“</w:t>
      </w:r>
      <w:r w:rsidRPr="00306614">
        <w:t>Comprender la psicología de las víctimas de agresión sexual</w:t>
      </w:r>
      <w:r>
        <w:t>”</w:t>
      </w:r>
      <w:r w:rsidRPr="00306614">
        <w:t xml:space="preserve"> presentó a los jueces las investigaciones relevantes en ciencias sociales y los hallazgos empíricos en el ámbito de la psicología del trauma y de las víctimas, a fin de ayudarlos a comprender mejor los conceptos erróneos más comunes en relación con las agresiones sexuales. La Escuela Judicial también organizó un programa internacional sobre </w:t>
      </w:r>
      <w:r>
        <w:t>“</w:t>
      </w:r>
      <w:r w:rsidRPr="00306614">
        <w:t>La experiencia de Singapur: protección, derechos y obligaciones en virtud de la Carta de la Mujer</w:t>
      </w:r>
      <w:r>
        <w:t>”</w:t>
      </w:r>
      <w:r w:rsidRPr="00306614">
        <w:t>, bajo los auspicios del Programa de Cooperación de Singapur del Ministerio de Relaciones Exteriores.</w:t>
      </w:r>
    </w:p>
  </w:footnote>
  <w:footnote w:id="85">
    <w:p w14:paraId="3328A315" w14:textId="1E1FFA36"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La Carta de la Mujer también protege a las mujeres de la violencia doméstica, al permitir que el Tribunal de Familia dicte órdenes de protección a fin de impedir que los autores de actos de violencia doméstica sigan cometiendo este tipo de actos. El Tribunal de Familia también puede ordenar que las personas afectadas por la violencia (víctimas, maltratadores y otros familiares) se sometan a un programa obligatorio de terapia psicológica dirigido a abordar sus problemas y centrado en aspectos como la planificación de la seguridad y la comprensión del ciclo de la violencia (el Programa Obligatorio de Terapia Psicológica).</w:t>
      </w:r>
    </w:p>
  </w:footnote>
  <w:footnote w:id="86">
    <w:p w14:paraId="3905308D" w14:textId="77777777" w:rsidR="00A571E2" w:rsidRPr="00306614" w:rsidRDefault="00A571E2" w:rsidP="00CF64F3">
      <w:pPr>
        <w:pStyle w:val="FootnoteText"/>
      </w:pPr>
      <w:r w:rsidRPr="00306614">
        <w:tab/>
      </w:r>
      <w:r w:rsidRPr="00CF64F3">
        <w:rPr>
          <w:rStyle w:val="FootnoteReference"/>
        </w:rPr>
        <w:footnoteRef/>
      </w:r>
      <w:r w:rsidRPr="00306614">
        <w:tab/>
        <w:t>Esto incluye el ciberacoso, el acoso criminal y el acoso sexual. Las víctimas de la violencia de pareja que no estén casadas también pueden acceder a los recursos que contempla la Ley de Protección contra el Acoso.</w:t>
      </w:r>
    </w:p>
  </w:footnote>
  <w:footnote w:id="87">
    <w:p w14:paraId="1724557C"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Con arreglo a la Ley de Adultos Vulnerables, se entiende por adulto vulnerable cualquier persona de 18 años o más que, debido a su discapacidad mental o física, sea incapaz de protegerse del maltrato, el descuido o el </w:t>
      </w:r>
      <w:proofErr w:type="spellStart"/>
      <w:r w:rsidRPr="00306614">
        <w:t>autodescuido</w:t>
      </w:r>
      <w:proofErr w:type="spellEnd"/>
      <w:r w:rsidRPr="00306614">
        <w:t>.</w:t>
      </w:r>
    </w:p>
  </w:footnote>
  <w:footnote w:id="88">
    <w:p w14:paraId="67F03BBA" w14:textId="5A9C9848"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Entre ellas se encuentran los principios que se enumeran a continuación: i) el bienestar y el interés superior del adulto vulnerable deben ser la consideración primordial y más importante; </w:t>
      </w:r>
      <w:proofErr w:type="spellStart"/>
      <w:r w:rsidRPr="00306614">
        <w:t>ii</w:t>
      </w:r>
      <w:proofErr w:type="spellEnd"/>
      <w:r w:rsidRPr="00306614">
        <w:t xml:space="preserve">) cualquier deber realizado o facultad ejercida en virtud de la Ley debe tener como objetivo la protección del adulto vulnerable del maltrato, el descuido y el </w:t>
      </w:r>
      <w:proofErr w:type="spellStart"/>
      <w:r w:rsidRPr="00306614">
        <w:t>autodescuido</w:t>
      </w:r>
      <w:proofErr w:type="spellEnd"/>
      <w:r w:rsidRPr="00306614">
        <w:t xml:space="preserve">; </w:t>
      </w:r>
      <w:proofErr w:type="spellStart"/>
      <w:r w:rsidRPr="00306614">
        <w:t>iii</w:t>
      </w:r>
      <w:proofErr w:type="spellEnd"/>
      <w:r w:rsidRPr="00306614">
        <w:t xml:space="preserve">) debe valorarse si el objetivo que se pretende alcanzar al realizar el deber o ejercer la facultad puede lograrse de un modo que restrinja en menor grado los derechos y la libertad de acción del adulto vulnerable; y </w:t>
      </w:r>
      <w:proofErr w:type="spellStart"/>
      <w:r w:rsidRPr="00306614">
        <w:t>iv</w:t>
      </w:r>
      <w:proofErr w:type="spellEnd"/>
      <w:r w:rsidRPr="00306614">
        <w:t>) aun cuando el adulto vulnerable carezca de capacidad mental, deben tenerse en cuenta sus opiniones, deseos, sentimientos, valores y creencias, siempre que sean razonablemente determinables.</w:t>
      </w:r>
    </w:p>
  </w:footnote>
  <w:footnote w:id="89">
    <w:p w14:paraId="06304BEE" w14:textId="77777777" w:rsidR="00A571E2" w:rsidRPr="00306614" w:rsidRDefault="00A571E2" w:rsidP="00CF64F3">
      <w:pPr>
        <w:pStyle w:val="FootnoteText"/>
      </w:pPr>
      <w:r w:rsidRPr="00306614">
        <w:tab/>
      </w:r>
      <w:r w:rsidRPr="00CF64F3">
        <w:rPr>
          <w:rStyle w:val="FootnoteReference"/>
        </w:rPr>
        <w:footnoteRef/>
      </w:r>
      <w:r w:rsidRPr="00306614">
        <w:tab/>
        <w:t>Las Normas de Atención también abordan el apoyo a los internos para que mantengan los vínculos con sus familias, las redes sociales y comunitarias, los planes de atención individualizados y el apoyo a los internos para que mantengan o mejoren sus competencias para ser independientes.</w:t>
      </w:r>
    </w:p>
  </w:footnote>
  <w:footnote w:id="90">
    <w:p w14:paraId="05DD9885" w14:textId="08EFD726" w:rsidR="00A571E2" w:rsidRPr="00306614" w:rsidRDefault="00A571E2" w:rsidP="00CF64F3">
      <w:pPr>
        <w:pStyle w:val="FootnoteText"/>
      </w:pPr>
      <w:r w:rsidRPr="00306614">
        <w:tab/>
      </w:r>
      <w:r w:rsidRPr="00CF64F3">
        <w:rPr>
          <w:rStyle w:val="FootnoteReference"/>
        </w:rPr>
        <w:footnoteRef/>
      </w:r>
      <w:r w:rsidRPr="00306614">
        <w:tab/>
        <w:t>El Código de Conducta queda establecido en las Normas de Atención.</w:t>
      </w:r>
    </w:p>
  </w:footnote>
  <w:footnote w:id="91">
    <w:p w14:paraId="2130DC7E" w14:textId="77777777" w:rsidR="00A571E2" w:rsidRPr="00306614" w:rsidRDefault="00A571E2" w:rsidP="00CF64F3">
      <w:pPr>
        <w:pStyle w:val="FootnoteText"/>
      </w:pPr>
      <w:r w:rsidRPr="00306614">
        <w:tab/>
      </w:r>
      <w:r w:rsidRPr="00CF64F3">
        <w:rPr>
          <w:rStyle w:val="FootnoteReference"/>
        </w:rPr>
        <w:footnoteRef/>
      </w:r>
      <w:r w:rsidRPr="00306614">
        <w:tab/>
        <w:t>La Junta visita los hogares al menos dos veces al año, mientras que el Ministerio para el Desarrollo Social y Familiar realiza inspecciones voluntarias al menos una vez cada dos años a fin de evaluar el cumplimiento de las Normas de Atención.</w:t>
      </w:r>
    </w:p>
  </w:footnote>
  <w:footnote w:id="92">
    <w:p w14:paraId="6A878DC3" w14:textId="77777777" w:rsidR="00A571E2" w:rsidRPr="00306614" w:rsidRDefault="00A571E2" w:rsidP="00CF64F3">
      <w:pPr>
        <w:pStyle w:val="FootnoteText"/>
      </w:pPr>
      <w:r w:rsidRPr="00306614">
        <w:tab/>
      </w:r>
      <w:r w:rsidRPr="00CF64F3">
        <w:rPr>
          <w:rStyle w:val="FootnoteReference"/>
        </w:rPr>
        <w:footnoteRef/>
      </w:r>
      <w:r w:rsidRPr="00306614">
        <w:tab/>
        <w:t>En abril de 2020, Singapur inició el Período de Cortacircuitos, que consistió en la aplicación, durante aproximadamente dos meses, de medidas reforzadas de mantenimiento de la distancia de seguridad para frenar la transmisión local de la COVID-19. Se cerraron las escuelas y la enseñanza se realizó mediante el aprendizaje desde casa. Además, los lugares de trabajo de servicios no esenciales también permanecieron cerrados.</w:t>
      </w:r>
    </w:p>
  </w:footnote>
  <w:footnote w:id="93">
    <w:p w14:paraId="6D565052"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Entre estos dispositivos figuran equipos de modulación de frecuencias, miniportátiles en braille, sistemas informáticos con funciones especializadas, calculadoras con función de voz, sintetizadores de voz, mobiliario adaptado y </w:t>
      </w:r>
      <w:r w:rsidRPr="00306614">
        <w:rPr>
          <w:i/>
          <w:iCs/>
        </w:rPr>
        <w:t xml:space="preserve">software </w:t>
      </w:r>
      <w:r w:rsidRPr="00306614">
        <w:t>especializado de tecnologías de la información y la comunicación.</w:t>
      </w:r>
    </w:p>
  </w:footnote>
  <w:footnote w:id="94">
    <w:p w14:paraId="23545BDE"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Por ejemplo, escuelas, hospitales locales, proveedores de atención comunitaria, programas de detección de deficiencias funcionales y los hospitales de agudos y comunitarios.</w:t>
      </w:r>
    </w:p>
  </w:footnote>
  <w:footnote w:id="95">
    <w:p w14:paraId="765513B6" w14:textId="77777777" w:rsidR="00A571E2" w:rsidRPr="00306614" w:rsidRDefault="00A571E2" w:rsidP="00CF64F3">
      <w:pPr>
        <w:pStyle w:val="FootnoteText"/>
      </w:pPr>
      <w:r w:rsidRPr="00306614">
        <w:tab/>
      </w:r>
      <w:r w:rsidRPr="00CF64F3">
        <w:rPr>
          <w:rStyle w:val="FootnoteReference"/>
        </w:rPr>
        <w:footnoteRef/>
      </w:r>
      <w:r w:rsidRPr="00306614">
        <w:tab/>
      </w:r>
      <w:bookmarkStart w:id="30" w:name="_Hlk73950738"/>
      <w:r w:rsidRPr="00306614">
        <w:t xml:space="preserve">El Grupo de Trabajo está copresidido por el Ministro de Desarrollo Social y Familiar y la Sra. </w:t>
      </w:r>
      <w:proofErr w:type="spellStart"/>
      <w:r w:rsidRPr="00306614">
        <w:t>Chia</w:t>
      </w:r>
      <w:proofErr w:type="spellEnd"/>
      <w:r w:rsidRPr="00306614">
        <w:t xml:space="preserve"> Yong, presidenta de la Sociedad para Personas con Discapacidad (SPD).</w:t>
      </w:r>
      <w:bookmarkEnd w:id="30"/>
    </w:p>
  </w:footnote>
  <w:footnote w:id="96">
    <w:p w14:paraId="38E21292"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Por ejemplo, la televisión abierta, la radio, la prensa, los paneles digitales en los complejos de viviendas públicas, los medios sociales, los sitios web y las plataformas en línea como WhatsApp, </w:t>
      </w:r>
      <w:proofErr w:type="spellStart"/>
      <w:r w:rsidRPr="00306614">
        <w:t>Telegram</w:t>
      </w:r>
      <w:proofErr w:type="spellEnd"/>
      <w:r w:rsidRPr="00306614">
        <w:t xml:space="preserve"> y Twitter.</w:t>
      </w:r>
    </w:p>
  </w:footnote>
  <w:footnote w:id="97">
    <w:p w14:paraId="53EF42C7"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Estas normas se ajustan a las Pautas de Accesibilidad al Contenido en la Web 2.1 del Consorcio </w:t>
      </w:r>
      <w:proofErr w:type="spellStart"/>
      <w:r w:rsidRPr="00306614">
        <w:t>World</w:t>
      </w:r>
      <w:proofErr w:type="spellEnd"/>
      <w:r w:rsidRPr="00306614">
        <w:t xml:space="preserve"> Wide Web.</w:t>
      </w:r>
    </w:p>
  </w:footnote>
  <w:footnote w:id="98">
    <w:p w14:paraId="1CE1C109" w14:textId="66F16AC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Estos servicios de interpretación a lengua de señas se prestan en colaboración con la Asociación de Personas Sordas de Singapur, que es una de las diversas organizaciones de servicios para personas con discapacidad que ofrecen interpretación a lengua de señas y toma de notas en directo en sus plataformas de medios sociales para los principales acontecimientos locales.</w:t>
      </w:r>
    </w:p>
  </w:footnote>
  <w:footnote w:id="99">
    <w:p w14:paraId="1BB72999"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Por ejemplo, en el canal de YouTube del Gobierno se publican extractos en vídeo de los debates de la Comisión de Presupuestos y del Parlamento. Cuando se considera oportuno, también se divulgan las nuevas iniciativas en los canales de los medios sociales, a fin de que todas las personas puedan acceder a ellas.</w:t>
      </w:r>
    </w:p>
  </w:footnote>
  <w:footnote w:id="100">
    <w:p w14:paraId="5CC39651"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Varias escuelas de educación especial han adoptado e incorporado en sus planes de estudio el contenido del curso, que empezará a impartirse en 2020.</w:t>
      </w:r>
    </w:p>
  </w:footnote>
  <w:footnote w:id="101">
    <w:p w14:paraId="566A830E"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En estos talleres específicos se enseña a las personas con discapacidad importantes competencias digitales y cómo utilizar los dispositivos ordinarios.</w:t>
      </w:r>
    </w:p>
  </w:footnote>
  <w:footnote w:id="102">
    <w:p w14:paraId="4F32A3ED"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Los temas tratados incluirán la búsqueda de información en línea, la creación de productos digitales y el uso de herramientas de comunicación para chatear en línea.</w:t>
      </w:r>
    </w:p>
  </w:footnote>
  <w:footnote w:id="103">
    <w:p w14:paraId="64C78DE4" w14:textId="3FDEDF14"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En 2015, Singapur reforzó el programa de Bonos por Nacimiento para los nacionales de Singapur nacidos a partir del 1 de enero de 2015, inclusive, a través de las siguientes medidas: i) aumento de la cuantía de la donación en efectivo en 2.000 dólares singapurenses (1.476 dólares de los Estados Unidos) de modo que el primer y segundo hijo reciben 8.000 dólares singapurenses cada uno (5.906</w:t>
      </w:r>
      <w:r>
        <w:t> </w:t>
      </w:r>
      <w:r w:rsidRPr="00306614">
        <w:t xml:space="preserve">dólares de los Estados Unidos), mientras que el tercero y el cuarto reciben 10.000 dólares singapurenses cada uno (7.350 dólares de los Estados Unidos); y </w:t>
      </w:r>
      <w:proofErr w:type="spellStart"/>
      <w:r w:rsidRPr="00306614">
        <w:t>ii</w:t>
      </w:r>
      <w:proofErr w:type="spellEnd"/>
      <w:r w:rsidRPr="00306614">
        <w:t>) ampliación al quinto hijo y los siguientes, que recibirán 10.000 dólares singapurenses cada uno (7.350 dólares de los Estados Unidos). En 2016, Singapur introdujo la medida denominada Primer Paso, a través de la Cuenta de Desarrollo de los Niños, dirigida a los nacidos a partir del 24 de marzo de 2016. Se trata de un pago inicial de 3.000 dólares singapurenses (2.214 dólares de los Estados Unidos) que se ingresan en la Cuenta de Desarrollo de los Niños de cada niño. Además, el Gobierno iguala cada dólar depositado por los padres en estas cuentas, hasta cierto límite. El límite para el primer y segundo hijo es de 3.000</w:t>
      </w:r>
      <w:r>
        <w:t> </w:t>
      </w:r>
      <w:r w:rsidRPr="00306614">
        <w:t>dólares singapurenses (2.214 dólares de los Estados Unidos) cada uno; para el tercer y cuarto hijo, de 9.000 dólares singapurenses (6.644 dólares de los Estados Unidos) cada uno; y para el quinto hijo y los siguientes, de 15.000 dólares singapurenses (11.073 dólares de los Estados Unidos) cada</w:t>
      </w:r>
      <w:r>
        <w:t> </w:t>
      </w:r>
      <w:r w:rsidRPr="00306614">
        <w:t>uno.</w:t>
      </w:r>
    </w:p>
  </w:footnote>
  <w:footnote w:id="104">
    <w:p w14:paraId="569B5904"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En el caso de los padres de hijos nacionales de Singapur, incluyen 16 semanas de licencia de maternidad, 2 semanas de licencia de paternidad, 4 semanas de licencia parental compartida (una vez que concluye la licencia de maternidad), 6 días al año de licencia no remunerada para el cuidado de hijos menores de 1 año, 6 días al año de licencia para el cuidado de hijos (si alguno de ellos es menor de 7 años), 2 días al año de licencia ampliada para el cuidado de hijos (si alguno de ellos tiene entre 7 y 12 años y ninguno es menor de 7) y 12 semanas de licencia por adopción. Desde julio de 2020, la licencia por cuidado de hijos y la licencia ampliada por cuidado de hijos también se han extendido a las familias de acogida.</w:t>
      </w:r>
    </w:p>
  </w:footnote>
  <w:footnote w:id="105">
    <w:p w14:paraId="20B2CB97"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El Gobierno trabaja permanentemente con sus asociados a fin de sensibilizar a los empleadores y supervisores y alentar y fomentar su capacidad para introducir prácticas laborales flexibles. En 2019 se convocó un Panel Popular sobre Conciliación de la Vida Laboral y Personal, en el que singapurenses de diferentes sectores de la sociedad, incluidos los padres, formularon recomendaciones para reforzar el apoyo a la población de Singapur en la gestión de los compromisos laborales y familiares. Actualmente, el Gobierno, los sindicatos y las federaciones de empresarios están aplicando esas recomendaciones.</w:t>
      </w:r>
    </w:p>
  </w:footnote>
  <w:footnote w:id="106">
    <w:p w14:paraId="0639313B"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Se ofrecen recursos a los padres que se acogen al programa </w:t>
      </w:r>
      <w:proofErr w:type="spellStart"/>
      <w:r w:rsidRPr="00306614">
        <w:t>KidSTART</w:t>
      </w:r>
      <w:proofErr w:type="spellEnd"/>
      <w:r w:rsidRPr="00306614">
        <w:t xml:space="preserve"> mediante visitas domiciliarias, educación para padres y/o programas de apoyo a la familia.</w:t>
      </w:r>
    </w:p>
  </w:footnote>
  <w:footnote w:id="107">
    <w:p w14:paraId="5B2261F3" w14:textId="77777777" w:rsidR="00A571E2" w:rsidRPr="00306614" w:rsidRDefault="00A571E2" w:rsidP="00CF64F3">
      <w:pPr>
        <w:pStyle w:val="FootnoteText"/>
      </w:pPr>
      <w:r w:rsidRPr="00306614">
        <w:tab/>
      </w:r>
      <w:r w:rsidRPr="00CF64F3">
        <w:rPr>
          <w:rStyle w:val="FootnoteReference"/>
        </w:rPr>
        <w:footnoteRef/>
      </w:r>
      <w:r w:rsidRPr="00306614">
        <w:tab/>
        <w:t>Esto se hace a través de talleres periódicos, reuniones entre padres y docentes y visitas ocasionales a los hogares.</w:t>
      </w:r>
    </w:p>
  </w:footnote>
  <w:footnote w:id="108">
    <w:p w14:paraId="511485FC" w14:textId="58A0F00E"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Por ejemplo, se puede enseñar a los padres</w:t>
      </w:r>
      <w:r>
        <w:t xml:space="preserve"> </w:t>
      </w:r>
      <w:r w:rsidRPr="00306614">
        <w:t>/</w:t>
      </w:r>
      <w:r>
        <w:t xml:space="preserve"> </w:t>
      </w:r>
      <w:r w:rsidRPr="00306614">
        <w:t>cuidadores de un niño con parálisis cerebral infantil a integrar en las rutinas diarias del niño estrategias de intervención, como, por ejemplo, colocarlo en la posición adecuada para realizar actividades funcionales (por ejemplo, alimentarse</w:t>
      </w:r>
      <w:r>
        <w:t xml:space="preserve"> </w:t>
      </w:r>
      <w:r w:rsidRPr="00306614">
        <w:t>/</w:t>
      </w:r>
      <w:r>
        <w:t xml:space="preserve"> </w:t>
      </w:r>
      <w:r w:rsidRPr="00306614">
        <w:t>deglutir), realizar ejercicios de fortalecimiento adecuados e incorporar la estimulación sensorial y cognitiva en las actividades diarias del niño.</w:t>
      </w:r>
    </w:p>
  </w:footnote>
  <w:footnote w:id="109">
    <w:p w14:paraId="1B65052B"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Con efecto a partir del grupo de alumnos que cursaban 1º de Primaria en 2019.</w:t>
      </w:r>
    </w:p>
  </w:footnote>
  <w:footnote w:id="110">
    <w:p w14:paraId="0D83F653"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Por ejemplo, acceso a orientadores escolares, apoyo por parte del personal docente y planes de estudio.</w:t>
      </w:r>
    </w:p>
  </w:footnote>
  <w:footnote w:id="111">
    <w:p w14:paraId="1A8D8E5E" w14:textId="77777777" w:rsidR="00A571E2" w:rsidRPr="00306614" w:rsidRDefault="00A571E2" w:rsidP="00CF64F3">
      <w:pPr>
        <w:pStyle w:val="FootnoteText"/>
      </w:pPr>
      <w:r w:rsidRPr="00306614">
        <w:tab/>
      </w:r>
      <w:r w:rsidRPr="00CF64F3">
        <w:rPr>
          <w:rStyle w:val="FootnoteReference"/>
        </w:rPr>
        <w:footnoteRef/>
      </w:r>
      <w:r w:rsidRPr="00306614">
        <w:tab/>
        <w:t>Por ejemplo, si sus necesidades educativas lo permiten, los alumnos con discapacidad física que se hayan presentado a los exámenes nacionales pueden incorporarse a centros ordinarios de enseñanza secundaria o postsecundaria, con apoyo para que puedan realizar la transición sin problemas.</w:t>
      </w:r>
    </w:p>
  </w:footnote>
  <w:footnote w:id="112">
    <w:p w14:paraId="439B792D"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El enfoque planificado y gradual de las asociaciones satélite es una forma eficaz de desarrollar la confianza en sí mismos y las habilidades de comunicación social necesarias para fomentar interacciones satisfactorias entre los alumnos con necesidades especiales y sus compañeros. Estas interacciones sensibilizan a los alumnos ordinarios sobre las necesidades educativas especiales y fomentan su empatía, a la vez que permiten a los alumnos practicar habilidades sociales y para la vida cotidiana y adaptarse a un entorno social mixto a un ritmo gradual.</w:t>
      </w:r>
    </w:p>
  </w:footnote>
  <w:footnote w:id="113">
    <w:p w14:paraId="3E8482B2"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Estos educadores asociados prestan apoyo al aprendizaje y al comportamiento a los alumnos con necesidades educativas especiales tanto en el aula como fuera de ella.</w:t>
      </w:r>
    </w:p>
  </w:footnote>
  <w:footnote w:id="114">
    <w:p w14:paraId="7C96CE36"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Los psicopedagogos ofrecen asesoramiento en consulta y servicios de evaluación diagnóstica.</w:t>
      </w:r>
    </w:p>
  </w:footnote>
  <w:footnote w:id="115">
    <w:p w14:paraId="4071EEDE" w14:textId="77777777" w:rsidR="00A571E2" w:rsidRPr="00306614" w:rsidRDefault="00A571E2" w:rsidP="00CF64F3">
      <w:pPr>
        <w:pStyle w:val="FootnoteText"/>
      </w:pPr>
      <w:r w:rsidRPr="00306614">
        <w:tab/>
      </w:r>
      <w:r w:rsidRPr="00CF64F3">
        <w:rPr>
          <w:rStyle w:val="FootnoteReference"/>
        </w:rPr>
        <w:footnoteRef/>
      </w:r>
      <w:r w:rsidRPr="00306614">
        <w:tab/>
        <w:t>Entre otros, servicios itinerantes prestados por organizaciones de personas con discapacidad y tecnología de apoyo para mejorar el acceso al aprendizaje de los estudiantes con deficiencias físicas y sensoriales.</w:t>
      </w:r>
    </w:p>
  </w:footnote>
  <w:footnote w:id="116">
    <w:p w14:paraId="6DE5A139"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Los centros escolares pueden utilizar subvenciones de apoyo a las necesidades especiales para adquirir recursos y financiar actividades de aprendizaje que brinden apoyo a los alumnos con necesidades especiales, como, por ejemplo, nuevos materiales didácticos y suscripciones a recursos en línea.</w:t>
      </w:r>
    </w:p>
  </w:footnote>
  <w:footnote w:id="117">
    <w:p w14:paraId="1D66FB19"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Por ejemplo, psicólogos, terapeutas y trabajadores sociales.</w:t>
      </w:r>
    </w:p>
  </w:footnote>
  <w:footnote w:id="118">
    <w:p w14:paraId="12BBBD6F" w14:textId="77777777" w:rsidR="00A571E2" w:rsidRPr="00306614" w:rsidRDefault="00A571E2" w:rsidP="00CF64F3">
      <w:pPr>
        <w:pStyle w:val="FootnoteText"/>
      </w:pPr>
      <w:r w:rsidRPr="00306614">
        <w:tab/>
      </w:r>
      <w:r w:rsidRPr="00CF64F3">
        <w:rPr>
          <w:rStyle w:val="FootnoteReference"/>
        </w:rPr>
        <w:footnoteRef/>
      </w:r>
      <w:r w:rsidRPr="00306614">
        <w:tab/>
        <w:t>Se imparte en el Instituto Nacional de Educación.</w:t>
      </w:r>
    </w:p>
  </w:footnote>
  <w:footnote w:id="119">
    <w:p w14:paraId="475F0C83"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Algunos ejemplos de servicios de apoyo son el asesoramiento sobre cursos y ajustes de acceso a las clases, las evaluaciones y los exámenes.</w:t>
      </w:r>
    </w:p>
  </w:footnote>
  <w:footnote w:id="120">
    <w:p w14:paraId="246FD87B"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Las oficinas de apoyo a las necesidades educativas especiales gestionan la financiación de dispositivos tecnológicos y servicios de apoyo para los alumnos. Por ejemplo, </w:t>
      </w:r>
      <w:r w:rsidRPr="00306614">
        <w:rPr>
          <w:i/>
          <w:iCs/>
        </w:rPr>
        <w:t xml:space="preserve">software </w:t>
      </w:r>
      <w:r w:rsidRPr="00306614">
        <w:t>de ampliación de texto, sistemas de frecuencia modulada y servicios de toma de notas.</w:t>
      </w:r>
    </w:p>
  </w:footnote>
  <w:footnote w:id="121">
    <w:p w14:paraId="71D0A6D2" w14:textId="77777777" w:rsidR="00A571E2" w:rsidRPr="00306614" w:rsidRDefault="00A571E2" w:rsidP="00CF64F3">
      <w:pPr>
        <w:pStyle w:val="FootnoteText"/>
      </w:pPr>
      <w:r w:rsidRPr="00306614">
        <w:tab/>
      </w:r>
      <w:r w:rsidRPr="00CF64F3">
        <w:rPr>
          <w:rStyle w:val="FootnoteReference"/>
        </w:rPr>
        <w:footnoteRef/>
      </w:r>
      <w:r w:rsidRPr="00306614">
        <w:tab/>
        <w:t>Entre ellos, programas de mentoría, pasantías y programas de búsqueda de empleo.</w:t>
      </w:r>
    </w:p>
  </w:footnote>
  <w:footnote w:id="122">
    <w:p w14:paraId="6C9CB2B5"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El abanico de oportunidades de formación que se ofrecen varía en función del puesto que ocupa el educador, por ejemplo, director de la escuela, mando intermedio / coordinador docente o docente.</w:t>
      </w:r>
    </w:p>
  </w:footnote>
  <w:footnote w:id="123">
    <w:p w14:paraId="5280C3A9"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Si estos niños asisten a escuelas públicas o subvencionadas por el Estado, pueden recibir una prestación que cubre el importe total de las tasas de matrícula y demás tasas ordinarias, así como prestaciones para el transporte, en virtud del Plan de Asistencia Financiera del Ministerio de Educación. Los alumnos de enseñanza primaria y secundaria (incluidos los niños con discapacidad) que se acogen a este plan también reciben prestaciones para menús escolares, así como libros de texto y uniformes gratuitos. Los estudiantes preuniversitarios que se benefician de este plan, por su parte, reciben becas anuales en efectivo para cubrir sus gastos de escolarización. Las escuelas reciben asimismo una subvención para la asistencia financiera en los centros educativos, que pueden utilizar para prestar asistencia adicional a los alumnos acogidos al Plan de Asistencia Financiera del Ministerio de Educación que necesiten un apoyo financiero adicional. Si estos niños asisten a escuelas de educación especial, pueden solicitar una ayuda financiera similar en el marco del Plan de Asistencia Financiera para Escuelas de Educación Especial. Estos alumnos también reciben prestaciones para el transporte público (si procede) y pueden acogerse al Programa de Menús Escolares. En el caso de los alumnos de educación especial que necesiten ayudas para cubrir los gastos del autobús escolar, los alumnos que reúnan los requisitos necesarios pueden solicitar las prestaciones para el transporte de las organizaciones de asistencia social gestionadas por SG </w:t>
      </w:r>
      <w:proofErr w:type="spellStart"/>
      <w:r w:rsidRPr="00306614">
        <w:t>Enable</w:t>
      </w:r>
      <w:proofErr w:type="spellEnd"/>
      <w:r w:rsidRPr="00306614">
        <w:t>. Las escuelas de educación especial también reciben una subvención para la Ayuda Financiera Discrecional, a la que pueden recurrir a fin de obtener apoyo financiero adicional.</w:t>
      </w:r>
    </w:p>
  </w:footnote>
  <w:footnote w:id="124">
    <w:p w14:paraId="30DF189E" w14:textId="77777777" w:rsidR="00A571E2" w:rsidRPr="00306614" w:rsidRDefault="00A571E2" w:rsidP="00CF64F3">
      <w:pPr>
        <w:pStyle w:val="FootnoteText"/>
      </w:pPr>
      <w:r w:rsidRPr="00306614">
        <w:tab/>
      </w:r>
      <w:r w:rsidRPr="00CF64F3">
        <w:rPr>
          <w:rStyle w:val="FootnoteReference"/>
        </w:rPr>
        <w:footnoteRef/>
      </w:r>
      <w:r w:rsidRPr="00306614">
        <w:tab/>
        <w:t>Por ejemplo, esta ayuda podría consistir en guiar a los pacientes con discapacidad visual o intelectual a los lugares correspondientes y avisar al personal sanitario pertinente de las necesidades de los pacientes.</w:t>
      </w:r>
    </w:p>
  </w:footnote>
  <w:footnote w:id="125">
    <w:p w14:paraId="79C0204A"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En Singapur, la atención primaria se presta en 20 centros de salud públicos, además de en consultorios privados de medicina general. Los centros de salud ofrecen tratamiento médico subvencionado para afecciones graves, gestión de enfermedades crónicas, servicios de salud para mujeres y niños, servicios de salud asociados y servicios de radiología, laboratorio y farmacia. Algunos también ofrecen atención odontológica subvencionada.</w:t>
      </w:r>
    </w:p>
  </w:footnote>
  <w:footnote w:id="126">
    <w:p w14:paraId="5AA3AE3E" w14:textId="77777777" w:rsidR="00A571E2" w:rsidRPr="00306614" w:rsidRDefault="00A571E2" w:rsidP="00CF64F3">
      <w:pPr>
        <w:pStyle w:val="FootnoteText"/>
      </w:pPr>
      <w:r w:rsidRPr="00306614">
        <w:tab/>
      </w:r>
      <w:r w:rsidRPr="00CF64F3">
        <w:rPr>
          <w:rStyle w:val="FootnoteReference"/>
        </w:rPr>
        <w:footnoteRef/>
      </w:r>
      <w:r w:rsidRPr="00306614">
        <w:tab/>
        <w:t xml:space="preserve">Gracias a los </w:t>
      </w:r>
      <w:proofErr w:type="spellStart"/>
      <w:r w:rsidRPr="00306614">
        <w:t>reclinadores</w:t>
      </w:r>
      <w:proofErr w:type="spellEnd"/>
      <w:r w:rsidRPr="00306614">
        <w:t>, los usuarios de sillas de ruedas no necesitan trasladarse a un sillón de dentista para recibir el tratamiento.</w:t>
      </w:r>
    </w:p>
  </w:footnote>
  <w:footnote w:id="127">
    <w:p w14:paraId="54606800" w14:textId="42C49E64"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En los sitios web del Ministerio para el Desarrollo Social y Familiar y del Organismo de Atención Integrada también se publica información sobre los odontólogos generales que han recibido formación específica en Odontología para Personas con Necesidades Especiales. Estos recursos pueden encontrarse en: </w:t>
      </w:r>
      <w:hyperlink r:id="rId4" w:history="1">
        <w:r w:rsidRPr="007E05B4">
          <w:rPr>
            <w:rStyle w:val="Hyperlink"/>
          </w:rPr>
          <w:t>https://www.msf.gov.sg/opg/Pages/Dental-Services-for-Patients-with-Special-Needs-and-the-Elderly.aspx</w:t>
        </w:r>
      </w:hyperlink>
      <w:r w:rsidRPr="00306614">
        <w:t xml:space="preserve"> y </w:t>
      </w:r>
      <w:hyperlink r:id="rId5" w:history="1">
        <w:r w:rsidRPr="00AF3AD1">
          <w:rPr>
            <w:rStyle w:val="Hyperlink"/>
          </w:rPr>
          <w:t>https://www.aic.sg/sites/silverpagesassets/SilverPages%20Assets/</w:t>
        </w:r>
        <w:r w:rsidRPr="00AF3AD1">
          <w:rPr>
            <w:rStyle w:val="Hyperlink"/>
          </w:rPr>
          <w:br/>
          <w:t>Publications%20(</w:t>
        </w:r>
        <w:proofErr w:type="spellStart"/>
        <w:r w:rsidRPr="00AF3AD1">
          <w:rPr>
            <w:rStyle w:val="Hyperlink"/>
          </w:rPr>
          <w:t>NextStep</w:t>
        </w:r>
        <w:proofErr w:type="spellEnd"/>
        <w:r w:rsidRPr="00AF3AD1">
          <w:rPr>
            <w:rStyle w:val="Hyperlink"/>
          </w:rPr>
          <w:t>)/NEXTSTEP%202018%20Issue%2003.pdf</w:t>
        </w:r>
      </w:hyperlink>
      <w:r w:rsidRPr="00306614">
        <w:t>.</w:t>
      </w:r>
    </w:p>
  </w:footnote>
  <w:footnote w:id="128">
    <w:p w14:paraId="11829BEC"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El consultorio, junto con las iniciativas de MINDS orientadas a promover la aptitud física de las personas con discapacidad intelectual, recibió una financiación de 2,9 millones de dólares singapurenses (2,14 millones de dólares de los Estados Unidos) del </w:t>
      </w:r>
      <w:proofErr w:type="spellStart"/>
      <w:r w:rsidRPr="00306614">
        <w:t>Community</w:t>
      </w:r>
      <w:proofErr w:type="spellEnd"/>
      <w:r w:rsidRPr="00306614">
        <w:t xml:space="preserve"> Silver Trust, lo que constituye una subvención de contrapartida del Gobierno que iguala la cuantía de la donación y tiene por objeto mejorar los servicios de los organismos de servicios sociales. El consultorio también se beneficia de una tarifa de alquiler subvencionada en el marco del plan de instalaciones sociales comunitarias de la Junta de Promoción de la Vivienda, con el apoyo del Ministerio para el Desarrollo Social y Familiar y el Ministerio de Salud.</w:t>
      </w:r>
    </w:p>
  </w:footnote>
  <w:footnote w:id="129">
    <w:p w14:paraId="5AA470FE" w14:textId="77777777" w:rsidR="00A571E2" w:rsidRPr="00306614" w:rsidRDefault="00A571E2" w:rsidP="00CF64F3">
      <w:pPr>
        <w:pStyle w:val="FootnoteText"/>
      </w:pPr>
      <w:r w:rsidRPr="00306614">
        <w:tab/>
      </w:r>
      <w:r w:rsidRPr="00CF64F3">
        <w:rPr>
          <w:rStyle w:val="FootnoteReference"/>
        </w:rPr>
        <w:footnoteRef/>
      </w:r>
      <w:r w:rsidRPr="00306614">
        <w:tab/>
        <w:t>Para más información sobre el apoyo a la salud, véanse los párrafos 103 a 107, relativos al párrafo 24 de la lista de cuestiones.</w:t>
      </w:r>
    </w:p>
  </w:footnote>
  <w:footnote w:id="130">
    <w:p w14:paraId="718FAC51" w14:textId="77777777" w:rsidR="00A571E2" w:rsidRPr="00306614" w:rsidRDefault="00A571E2" w:rsidP="00CF64F3">
      <w:pPr>
        <w:pStyle w:val="FootnoteText"/>
      </w:pPr>
      <w:r w:rsidRPr="00306614">
        <w:tab/>
      </w:r>
      <w:r w:rsidRPr="00CF64F3">
        <w:rPr>
          <w:rStyle w:val="FootnoteReference"/>
        </w:rPr>
        <w:footnoteRef/>
      </w:r>
      <w:r w:rsidRPr="00306614">
        <w:tab/>
        <w:t>Para más información sobre el apoyo al empleo, véanse los párrafos 113 y 118, relativos al párrafo 26 de la lista de cuestiones.</w:t>
      </w:r>
    </w:p>
  </w:footnote>
  <w:footnote w:id="131">
    <w:p w14:paraId="2FD29CC8" w14:textId="77777777" w:rsidR="00A571E2" w:rsidRPr="00306614" w:rsidRDefault="00A571E2" w:rsidP="00CF64F3">
      <w:pPr>
        <w:pStyle w:val="FootnoteText"/>
      </w:pPr>
      <w:r w:rsidRPr="00306614">
        <w:tab/>
      </w:r>
      <w:r w:rsidRPr="00CF64F3">
        <w:rPr>
          <w:rStyle w:val="FootnoteReference"/>
        </w:rPr>
        <w:footnoteRef/>
      </w:r>
      <w:r w:rsidRPr="00306614">
        <w:tab/>
        <w:t>Para más información, véanse los párrafos 97 a 102, relativos al párrafo 23 de la lista de cuestiones.</w:t>
      </w:r>
    </w:p>
  </w:footnote>
  <w:footnote w:id="132">
    <w:p w14:paraId="3DD57A26" w14:textId="77777777" w:rsidR="00A571E2" w:rsidRPr="00306614" w:rsidRDefault="00A571E2" w:rsidP="00CF64F3">
      <w:pPr>
        <w:pStyle w:val="FootnoteText"/>
      </w:pPr>
      <w:r w:rsidRPr="00306614">
        <w:tab/>
      </w:r>
      <w:r w:rsidRPr="00CF64F3">
        <w:rPr>
          <w:rStyle w:val="FootnoteReference"/>
        </w:rPr>
        <w:footnoteRef/>
      </w:r>
      <w:r w:rsidRPr="00306614">
        <w:tab/>
        <w:t>Para más información, véanse los párrafos 119 y 121, relativos al párrafo 27 de la lista de cuestiones.</w:t>
      </w:r>
    </w:p>
  </w:footnote>
  <w:footnote w:id="133">
    <w:p w14:paraId="41BBE74F" w14:textId="77777777" w:rsidR="00A571E2" w:rsidRPr="00306614" w:rsidRDefault="00A571E2" w:rsidP="00CF64F3">
      <w:pPr>
        <w:pStyle w:val="FootnoteText"/>
      </w:pPr>
      <w:r w:rsidRPr="00306614">
        <w:tab/>
      </w:r>
      <w:r w:rsidRPr="00CF64F3">
        <w:rPr>
          <w:rStyle w:val="FootnoteReference"/>
        </w:rPr>
        <w:footnoteRef/>
      </w:r>
      <w:r w:rsidRPr="00306614">
        <w:tab/>
        <w:t>Los dos tercios restantes de las personas con discapacidad de entre 15 y 64 años quedaban fuera de la población activa y la mayoría de ellas aludían a problemas de salud o a la discapacidad como principal motivo.</w:t>
      </w:r>
    </w:p>
  </w:footnote>
  <w:footnote w:id="134">
    <w:p w14:paraId="60A5A3EE" w14:textId="77777777" w:rsidR="00A571E2" w:rsidRPr="00306614" w:rsidRDefault="00A571E2" w:rsidP="00CF64F3">
      <w:pPr>
        <w:pStyle w:val="FootnoteText"/>
      </w:pPr>
      <w:r w:rsidRPr="00306614">
        <w:tab/>
      </w:r>
      <w:r w:rsidRPr="00CF64F3">
        <w:rPr>
          <w:rStyle w:val="FootnoteReference"/>
        </w:rPr>
        <w:footnoteRef/>
      </w:r>
      <w:r w:rsidRPr="00306614">
        <w:tab/>
        <w:t>El Crédito Especial de Empleo prevé una compensación salarial automática de hasta el 16 % para las personas con discapacidad menores de 67 años y de hasta el 22 % para las personas con discapacidad mayores de 67 años.</w:t>
      </w:r>
    </w:p>
  </w:footnote>
  <w:footnote w:id="135">
    <w:p w14:paraId="4D8EC052"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Esta cifra ha aumentado con respecto a 2012, año en que lo percibieron unos 3.200 empleadores que contrataron a alrededor de 5.000 personas con discapacidad de Singapur.</w:t>
      </w:r>
    </w:p>
  </w:footnote>
  <w:footnote w:id="136">
    <w:p w14:paraId="7874E1FA" w14:textId="344D9E29"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El Crédito para el Empleo Habilitante también ofrece una compensación salarial de hasta el 20 % a los empleadores que contraten a personas con discapacidad de Singapur que ganen menos de 4.000 dólares singapurenses (2.952 dólares de los Estados Unidos) al mes.</w:t>
      </w:r>
    </w:p>
  </w:footnote>
  <w:footnote w:id="137">
    <w:p w14:paraId="370E2C02" w14:textId="77777777" w:rsidR="00A571E2" w:rsidRPr="00306614" w:rsidRDefault="00A571E2" w:rsidP="00CF64F3">
      <w:pPr>
        <w:pStyle w:val="FootnoteText"/>
      </w:pPr>
      <w:r w:rsidRPr="00306614">
        <w:tab/>
      </w:r>
      <w:r w:rsidRPr="00CF64F3">
        <w:rPr>
          <w:rStyle w:val="FootnoteReference"/>
        </w:rPr>
        <w:footnoteRef/>
      </w:r>
      <w:r w:rsidRPr="00306614">
        <w:tab/>
        <w:t>El Programa Puerta Abierta ofrece servicios de colocación y apoyo laboral a las personas con discapacidad y a sus empleadores, así como subvenciones para formación y para el rediseño de puestos de trabajo.</w:t>
      </w:r>
    </w:p>
  </w:footnote>
  <w:footnote w:id="138">
    <w:p w14:paraId="35BB09B1" w14:textId="77777777" w:rsidR="00A571E2" w:rsidRPr="00306614" w:rsidRDefault="00A571E2" w:rsidP="00CF64F3">
      <w:pPr>
        <w:pStyle w:val="FootnoteText"/>
      </w:pPr>
      <w:r w:rsidRPr="00306614">
        <w:tab/>
      </w:r>
      <w:r w:rsidRPr="00CF64F3">
        <w:rPr>
          <w:rStyle w:val="FootnoteReference"/>
        </w:rPr>
        <w:footnoteRef/>
      </w:r>
      <w:r w:rsidRPr="00306614">
        <w:tab/>
        <w:t>La subvención destinada a formación del Programa Puerta Abierta ofrece a las personas con discapacidad una prestación que cubre hasta el 95 % de los gastos de matrícula, un subsidio de formación de 6 dólares singapurenses (4,43 dólares de los Estados Unidos) por hora y un premio a la perseverancia en la formación de 100 dólares singapurenses (73,82 dólares de los Estados Unidos) por cada curso finalizado.</w:t>
      </w:r>
    </w:p>
  </w:footnote>
  <w:footnote w:id="139">
    <w:p w14:paraId="636F9148" w14:textId="77777777" w:rsidR="00A571E2" w:rsidRPr="00306614" w:rsidRDefault="00A571E2" w:rsidP="00CF64F3">
      <w:pPr>
        <w:pStyle w:val="FootnoteText"/>
      </w:pPr>
      <w:r w:rsidRPr="00306614">
        <w:tab/>
      </w:r>
      <w:r w:rsidRPr="00CF64F3">
        <w:rPr>
          <w:rStyle w:val="FootnoteReference"/>
        </w:rPr>
        <w:footnoteRef/>
      </w:r>
      <w:r w:rsidRPr="00306614">
        <w:tab/>
        <w:t>La subvención para el rediseño de puestos de trabajo del Programa Puerta Abierta ofrece a los empleadores una financiación de hasta el 90 % de los costes de rediseño del puesto de trabajo, con un límite de 20.000 dólares singapurenses (14.763 dólares de los Estados Unidos) por cada empleado con discapacidad, a fin de ayudar a integrar a las personas con discapacidad en el lugar de trabajo.</w:t>
      </w:r>
    </w:p>
  </w:footnote>
  <w:footnote w:id="140">
    <w:p w14:paraId="4A256A05" w14:textId="77777777" w:rsidR="00A571E2" w:rsidRPr="00306614" w:rsidRDefault="00A571E2" w:rsidP="00CF64F3">
      <w:pPr>
        <w:pStyle w:val="FootnoteText"/>
      </w:pPr>
      <w:r w:rsidRPr="00306614">
        <w:tab/>
      </w:r>
      <w:r w:rsidRPr="00CF64F3">
        <w:rPr>
          <w:rStyle w:val="FootnoteReference"/>
        </w:rPr>
        <w:footnoteRef/>
      </w:r>
      <w:r w:rsidRPr="00306614">
        <w:tab/>
        <w:t>Este período de prueba puede tener una duración de hasta tres meses.</w:t>
      </w:r>
    </w:p>
  </w:footnote>
  <w:footnote w:id="141">
    <w:p w14:paraId="18612D1E" w14:textId="6EA26084"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Este </w:t>
      </w:r>
      <w:r>
        <w:t>“</w:t>
      </w:r>
      <w:r w:rsidRPr="00306614">
        <w:t>rediseño</w:t>
      </w:r>
      <w:r>
        <w:t>”</w:t>
      </w:r>
      <w:r w:rsidRPr="00306614">
        <w:t xml:space="preserve"> puede incluir cambios en el entorno físico, en los procesos de trabajo o en las modalidades de trabajo.</w:t>
      </w:r>
    </w:p>
  </w:footnote>
  <w:footnote w:id="142">
    <w:p w14:paraId="630C8F91"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Los gestores de casos del programa Del Hospital al Trabajo se centran en apoyar la mejora de las competencias del paciente o en su recualificación, que se complementan con servicios de empleo como la colocación y el apoyo laboral. Este programa ayuda a los pacientes a identificar objetivos personales realizables, y cada objetivo se desglosa en pasos manejables que pueden sentirse seguros de alcanzar.</w:t>
      </w:r>
    </w:p>
  </w:footnote>
  <w:footnote w:id="143">
    <w:p w14:paraId="73ECAC4D"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En los equipos multidisciplinares hay terapeutas ocupacionales, trabajadores médico-sociales, gestores de casos y agentes de colocación.</w:t>
      </w:r>
    </w:p>
  </w:footnote>
  <w:footnote w:id="144">
    <w:p w14:paraId="599B0520"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Esta categoría comprende los Servicios Integrados de Empleo de los Servicios Comunitarios Anglicanos de Singapur y la Asociación de Salud Mental de Singapur.</w:t>
      </w:r>
    </w:p>
  </w:footnote>
  <w:footnote w:id="145">
    <w:p w14:paraId="2B207FE8" w14:textId="77777777" w:rsidR="00A571E2" w:rsidRPr="00306614" w:rsidRDefault="00A571E2" w:rsidP="00CF64F3">
      <w:pPr>
        <w:pStyle w:val="FootnoteText"/>
      </w:pPr>
      <w:r w:rsidRPr="00306614">
        <w:tab/>
      </w:r>
      <w:r w:rsidRPr="00CF64F3">
        <w:rPr>
          <w:rStyle w:val="FootnoteReference"/>
        </w:rPr>
        <w:footnoteRef/>
      </w:r>
      <w:r w:rsidRPr="00306614">
        <w:tab/>
        <w:t xml:space="preserve">El Grupo de Trabajo está copresidido por el Ministro de Desarrollo Social y Familiar y la Sra. Denise </w:t>
      </w:r>
      <w:proofErr w:type="spellStart"/>
      <w:r w:rsidRPr="00306614">
        <w:t>Phua</w:t>
      </w:r>
      <w:proofErr w:type="spellEnd"/>
      <w:r w:rsidRPr="00306614">
        <w:t>, presidenta del Centro de Recursos para el Autismo, una organización de personas con discapacidad.</w:t>
      </w:r>
    </w:p>
  </w:footnote>
  <w:footnote w:id="146">
    <w:p w14:paraId="18D7B49C"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SG </w:t>
      </w:r>
      <w:proofErr w:type="spellStart"/>
      <w:r w:rsidRPr="00306614">
        <w:t>Enable</w:t>
      </w:r>
      <w:proofErr w:type="spellEnd"/>
      <w:r w:rsidRPr="00306614">
        <w:t xml:space="preserve"> ayuda a los organismos públicos a desarrollar sus capacidades para formar y contratar a personas con discapacidad, mediante servicios de asesoramiento y consultoría, talleres de gestión de la discapacidad y recursos en línea. Entre otras iniciativas, cabe destacar la publicación de vacantes adecuadas en el portal de empleo de SG </w:t>
      </w:r>
      <w:proofErr w:type="spellStart"/>
      <w:r w:rsidRPr="00306614">
        <w:t>Enable</w:t>
      </w:r>
      <w:proofErr w:type="spellEnd"/>
      <w:r w:rsidRPr="00306614">
        <w:t xml:space="preserve"> y la participación en ferias y programas profesionales de SG </w:t>
      </w:r>
      <w:proofErr w:type="spellStart"/>
      <w:r w:rsidRPr="00306614">
        <w:t>Enable</w:t>
      </w:r>
      <w:proofErr w:type="spellEnd"/>
      <w:r w:rsidRPr="00306614">
        <w:t>. Entre estos programas se encuentran el Día de la Observación en el Trabajo y los programas de pasantías y mentorías de los institutos de enseñanza superior.</w:t>
      </w:r>
    </w:p>
  </w:footnote>
  <w:footnote w:id="147">
    <w:p w14:paraId="26388988"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Como ejemplo de iniciativas de inclusión en la administración pública, el organismo de servicios compartidos del Gobierno de Singapur, Vital.org, emplea a varias personas con necesidades especiales en el departamento de nóminas y reclamaciones y les ofrece oportunidades para desarrollar sus competencias. Entre las medidas que Vital.org ha puesto en marcha figuran la realización de ajustes en el lugar de trabajo a fin de facilitar la movilidad de los funcionarios (por ejemplo, puertas con sensores en los accesos) y la contratación de intérpretes de lengua de señas para las sesiones de orientación del personal, así como cursos de gestión de la discapacidad para sus supervisores y compañeros. Se puede encontrar otro ejemplo en la Junta Nacional de Bibliotecas, que organiza periódicamente talleres de sensibilización sobre la discapacidad para el personal, además de realizar ajustes en el lugar de trabajo para los empleados con discapacidad.</w:t>
      </w:r>
    </w:p>
  </w:footnote>
  <w:footnote w:id="148">
    <w:p w14:paraId="6200FD79" w14:textId="77777777" w:rsidR="00A571E2" w:rsidRPr="00F40ECB" w:rsidRDefault="00A571E2" w:rsidP="00CF64F3">
      <w:pPr>
        <w:pStyle w:val="FootnoteText"/>
        <w:rPr>
          <w:szCs w:val="18"/>
        </w:rPr>
      </w:pPr>
      <w:r w:rsidRPr="00306614">
        <w:rPr>
          <w:szCs w:val="18"/>
        </w:rPr>
        <w:tab/>
      </w:r>
      <w:r w:rsidRPr="00CF64F3">
        <w:rPr>
          <w:rStyle w:val="FootnoteReference"/>
        </w:rPr>
        <w:footnoteRef/>
      </w:r>
      <w:r w:rsidRPr="00306614">
        <w:tab/>
        <w:t xml:space="preserve">Para más información sobre las prestaciones para adquirir tecnología de apoyo, véanse los párrafos 84 a 86, relativos al </w:t>
      </w:r>
      <w:r w:rsidRPr="00F40ECB">
        <w:t>párrafo 20 de la lista de cuestiones; para más información sobre las prestaciones para el transporte, véase el párrafo 40, relativo al párrafo 8 de la lista de cuestiones.</w:t>
      </w:r>
    </w:p>
  </w:footnote>
  <w:footnote w:id="149">
    <w:p w14:paraId="5B08E758" w14:textId="77777777" w:rsidR="00A571E2" w:rsidRPr="00306614" w:rsidRDefault="00A571E2" w:rsidP="00CF64F3">
      <w:pPr>
        <w:pStyle w:val="FootnoteText"/>
        <w:rPr>
          <w:szCs w:val="18"/>
        </w:rPr>
      </w:pPr>
      <w:r w:rsidRPr="00F40ECB">
        <w:rPr>
          <w:szCs w:val="18"/>
        </w:rPr>
        <w:tab/>
      </w:r>
      <w:r w:rsidRPr="00F40ECB">
        <w:rPr>
          <w:rStyle w:val="FootnoteReference"/>
        </w:rPr>
        <w:footnoteRef/>
      </w:r>
      <w:r w:rsidRPr="00F40ECB">
        <w:tab/>
        <w:t>Para más información sobre la asistencia financiera</w:t>
      </w:r>
      <w:r w:rsidRPr="00306614">
        <w:t xml:space="preserve"> en las escuelas, véase el párrafo 102, relativo al párrafo 23 de la lista de cuestiones.</w:t>
      </w:r>
    </w:p>
  </w:footnote>
  <w:footnote w:id="150">
    <w:p w14:paraId="7F9FF361" w14:textId="77777777" w:rsidR="00A571E2" w:rsidRPr="00306614" w:rsidRDefault="00A571E2" w:rsidP="00CF64F3">
      <w:pPr>
        <w:pStyle w:val="FootnoteText"/>
      </w:pPr>
      <w:r w:rsidRPr="00306614">
        <w:tab/>
      </w:r>
      <w:r w:rsidRPr="00CF64F3">
        <w:rPr>
          <w:rStyle w:val="FootnoteReference"/>
        </w:rPr>
        <w:footnoteRef/>
      </w:r>
      <w:r w:rsidRPr="00306614">
        <w:tab/>
        <w:t>Los cuidadores que mantienen a cónyuges, hijos, padres o hermanos con discapacidad pueden solicitar estas desgravaciones fiscales.</w:t>
      </w:r>
    </w:p>
  </w:footnote>
  <w:footnote w:id="151">
    <w:p w14:paraId="3648DD54" w14:textId="2636CD54" w:rsidR="00A571E2" w:rsidRPr="00306614" w:rsidRDefault="00A571E2" w:rsidP="00CF64F3">
      <w:pPr>
        <w:pStyle w:val="FootnoteText"/>
      </w:pPr>
      <w:r w:rsidRPr="00306614">
        <w:tab/>
      </w:r>
      <w:r w:rsidRPr="00CF64F3">
        <w:rPr>
          <w:rStyle w:val="FootnoteReference"/>
        </w:rPr>
        <w:footnoteRef/>
      </w:r>
      <w:r w:rsidRPr="00306614">
        <w:tab/>
        <w:t>El Plan de Suplemento de los Ingresos alienta a los trabajadores con salarios bajos que reúnan los requisitos a que refuercen sus ahorros en el Fondo Central de Previsión proporcionando complementos mensuales en efectivo y aportaciones al Fondo. En enero de 2020 se mejoró el Plan de Suplemento de los Ingresos, elevando el límite de ingresos máximos admisible e incrementando los desembolsos. Los beneficiarios de este plan pueden percibir hasta 4.000 dólares singapurenses (2.953</w:t>
      </w:r>
      <w:r>
        <w:t> </w:t>
      </w:r>
      <w:r w:rsidRPr="00306614">
        <w:t>dólares de los Estados Unidos) al año, lo que incrementa sus ingresos hasta un 30 %.</w:t>
      </w:r>
    </w:p>
  </w:footnote>
  <w:footnote w:id="152">
    <w:p w14:paraId="245FBA8E"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Para más información sobre la asistencia para el empleo, véanse los párrafos 113 a 115, relativos al párrafo 26 de la lista de cuestiones.</w:t>
      </w:r>
    </w:p>
  </w:footnote>
  <w:footnote w:id="153">
    <w:p w14:paraId="0784A7AA" w14:textId="77777777" w:rsidR="00A571E2" w:rsidRPr="00306614" w:rsidRDefault="00A571E2" w:rsidP="00CF64F3">
      <w:pPr>
        <w:pStyle w:val="FootnoteText"/>
      </w:pPr>
      <w:r w:rsidRPr="00306614">
        <w:tab/>
      </w:r>
      <w:r w:rsidRPr="00CF64F3">
        <w:rPr>
          <w:rStyle w:val="FootnoteReference"/>
        </w:rPr>
        <w:footnoteRef/>
      </w:r>
      <w:r w:rsidRPr="00306614">
        <w:tab/>
        <w:t>Para más información sobre las ayudas a la tecnología de apoyo, véanse los párrafos 84 a 86, relativos al párrafo 20 de la lista de cuestiones; para más información sobre las prestaciones para el transporte, véase el párrafo 40, relativo al párrafo 8 de la lista de cuestiones; para más información sobre los esfuerzos orientados a reducir la institucionalización, véanse los párrafos 119 a 121, relativos al párrafo 27 de la lista de cuestiones (acceso a protección social y a los servicios de apoyo); y los párrafos 65 y 66, relativos al párrafo 12 de la lista de cuestiones.</w:t>
      </w:r>
    </w:p>
  </w:footnote>
  <w:footnote w:id="154">
    <w:p w14:paraId="0720E294" w14:textId="56C5383D" w:rsidR="00A571E2" w:rsidRPr="00306614" w:rsidRDefault="00A571E2" w:rsidP="00CF64F3">
      <w:pPr>
        <w:pStyle w:val="FootnoteText"/>
      </w:pPr>
      <w:r w:rsidRPr="00306614">
        <w:tab/>
      </w:r>
      <w:r w:rsidRPr="00CF64F3">
        <w:rPr>
          <w:rStyle w:val="FootnoteReference"/>
        </w:rPr>
        <w:footnoteRef/>
      </w:r>
      <w:r w:rsidRPr="00306614">
        <w:tab/>
        <w:t>El trabajador lesionado puede reclamar los gastos médicos en que haya incurrido durante un año a partir de la fecha del accidente o hasta alcanzar un máximo de 45.000 dólares singapurenses (33.216</w:t>
      </w:r>
      <w:r>
        <w:t> </w:t>
      </w:r>
      <w:r w:rsidRPr="00306614">
        <w:t>dólares de los Estados Unidos), lo que ocurra primero. El trabajador también puede reclamar el salario correspondiente al período en que haya estado de baja médica, durante hasta un año a partir de la fecha del accidente. Si el trabajador sufre una incapacidad permanente, puede reclamar una indemnización mediante el pago de una suma global de hasta 289.000 dólares singapurenses (213.321</w:t>
      </w:r>
      <w:r>
        <w:t> </w:t>
      </w:r>
      <w:r w:rsidRPr="00306614">
        <w:t>dólares de los Estados Unidos).</w:t>
      </w:r>
    </w:p>
  </w:footnote>
  <w:footnote w:id="155">
    <w:p w14:paraId="13A0F5A0" w14:textId="77777777" w:rsidR="00A571E2" w:rsidRPr="00306614" w:rsidRDefault="00A571E2" w:rsidP="00CF64F3">
      <w:pPr>
        <w:pStyle w:val="FootnoteText"/>
      </w:pPr>
      <w:r w:rsidRPr="00306614">
        <w:tab/>
      </w:r>
      <w:r w:rsidRPr="00CF64F3">
        <w:rPr>
          <w:rStyle w:val="FootnoteReference"/>
        </w:rPr>
        <w:footnoteRef/>
      </w:r>
      <w:r w:rsidRPr="00306614">
        <w:tab/>
        <w:t>El Presidente elige a los diputados designados siguiendo las recomendaciones de una Comisión Parlamentaria Especial de Selección. Al evaluar a los candidatos a diputados designados, la Comisión Especial de Selección toma en consideración si han prestado un servicio público notable, si han honrado a Singapur o si han destacado en ciertos campos, como las artes, las ciencias, los negocios, el servicio a la comunidad o el movimiento laboral, teniendo en cuenta la necesidad de que los candidatos reflejen una gama tan amplia de opiniones independientes y no partidistas como sea posible.</w:t>
      </w:r>
    </w:p>
  </w:footnote>
  <w:footnote w:id="156">
    <w:p w14:paraId="20FBB4E6" w14:textId="77777777" w:rsidR="00A571E2" w:rsidRPr="00306614" w:rsidRDefault="00A571E2" w:rsidP="00CF64F3">
      <w:pPr>
        <w:pStyle w:val="FootnoteText"/>
      </w:pPr>
      <w:r w:rsidRPr="00306614">
        <w:tab/>
      </w:r>
      <w:r w:rsidRPr="00CF64F3">
        <w:rPr>
          <w:rStyle w:val="FootnoteReference"/>
        </w:rPr>
        <w:footnoteRef/>
      </w:r>
      <w:r w:rsidRPr="00306614">
        <w:tab/>
        <w:t>Los diputados designados pueden votar todos los proyectos de ley y mociones, excepto los relativos a modificaciones de la Constitución y a los fondos públicos (por ejemplo, los proyectos de leyes presupuestarias y financieras del Estado), así como las mociones de censura al Gobierno o las mociones de destitución del Presidente.</w:t>
      </w:r>
    </w:p>
  </w:footnote>
  <w:footnote w:id="157">
    <w:p w14:paraId="735790C0" w14:textId="77777777" w:rsidR="00A571E2" w:rsidRPr="00306614" w:rsidRDefault="00A571E2" w:rsidP="00CF64F3">
      <w:pPr>
        <w:pStyle w:val="FootnoteText"/>
      </w:pPr>
      <w:r w:rsidRPr="00306614">
        <w:tab/>
      </w:r>
      <w:r w:rsidRPr="00CF64F3">
        <w:rPr>
          <w:rStyle w:val="FootnoteReference"/>
        </w:rPr>
        <w:footnoteRef/>
      </w:r>
      <w:r w:rsidRPr="00306614">
        <w:tab/>
        <w:t xml:space="preserve">Las dos personas con discapacidad que han ejercido funciones de diputadas designadas han sido la Sra. </w:t>
      </w:r>
      <w:proofErr w:type="spellStart"/>
      <w:r w:rsidRPr="00306614">
        <w:t>Chia</w:t>
      </w:r>
      <w:proofErr w:type="spellEnd"/>
      <w:r w:rsidRPr="00306614">
        <w:t xml:space="preserve"> Yong, abogada y defensora de los derechos de las personas con discapacidad, y la Sra. Yip Pin </w:t>
      </w:r>
      <w:proofErr w:type="spellStart"/>
      <w:r w:rsidRPr="00306614">
        <w:t>Xiu</w:t>
      </w:r>
      <w:proofErr w:type="spellEnd"/>
      <w:r w:rsidRPr="00306614">
        <w:t>, triple medallista de oro paralímpica.</w:t>
      </w:r>
    </w:p>
  </w:footnote>
  <w:footnote w:id="158">
    <w:p w14:paraId="0159149C" w14:textId="77777777" w:rsidR="00A571E2" w:rsidRPr="00306614" w:rsidRDefault="00A571E2" w:rsidP="00CF64F3">
      <w:pPr>
        <w:pStyle w:val="FootnoteText"/>
      </w:pPr>
      <w:r w:rsidRPr="00306614">
        <w:tab/>
      </w:r>
      <w:r w:rsidRPr="00CF64F3">
        <w:rPr>
          <w:rStyle w:val="FootnoteReference"/>
        </w:rPr>
        <w:footnoteRef/>
      </w:r>
      <w:r w:rsidRPr="00306614">
        <w:tab/>
        <w:t xml:space="preserve">Por ejemplo, el Sr. Muhammad </w:t>
      </w:r>
      <w:proofErr w:type="spellStart"/>
      <w:r w:rsidRPr="00306614">
        <w:t>Azhar</w:t>
      </w:r>
      <w:proofErr w:type="spellEnd"/>
      <w:r w:rsidRPr="00306614">
        <w:t xml:space="preserve"> Abdul </w:t>
      </w:r>
      <w:proofErr w:type="spellStart"/>
      <w:r w:rsidRPr="00306614">
        <w:t>Latip</w:t>
      </w:r>
      <w:proofErr w:type="spellEnd"/>
      <w:r w:rsidRPr="00306614">
        <w:t>, una persona con discapacidad que hizo campaña a través de una plataforma para crear más oportunidades para las personas con discapacidad, fue designado por su partido para presentarse como candidato a las elecciones generales de 2020.</w:t>
      </w:r>
    </w:p>
  </w:footnote>
  <w:footnote w:id="159">
    <w:p w14:paraId="517845B7" w14:textId="77777777" w:rsidR="00A571E2" w:rsidRPr="00306614" w:rsidRDefault="00A571E2" w:rsidP="00CF64F3">
      <w:pPr>
        <w:pStyle w:val="FootnoteText"/>
      </w:pPr>
      <w:r w:rsidRPr="00306614">
        <w:tab/>
      </w:r>
      <w:r w:rsidRPr="00CF64F3">
        <w:rPr>
          <w:rStyle w:val="FootnoteReference"/>
        </w:rPr>
        <w:footnoteRef/>
      </w:r>
      <w:r w:rsidRPr="00306614">
        <w:tab/>
        <w:t>El artículo 42, párrafo 5, de la Ley de Elecciones Parlamentarias prevé esta posibilidad.</w:t>
      </w:r>
    </w:p>
  </w:footnote>
  <w:footnote w:id="160">
    <w:p w14:paraId="0E175B4C" w14:textId="77777777" w:rsidR="00A571E2" w:rsidRPr="00306614" w:rsidRDefault="00A571E2" w:rsidP="00CF64F3">
      <w:pPr>
        <w:pStyle w:val="FootnoteText"/>
      </w:pPr>
      <w:r w:rsidRPr="00306614">
        <w:tab/>
      </w:r>
      <w:r w:rsidRPr="00CF64F3">
        <w:rPr>
          <w:rStyle w:val="FootnoteReference"/>
        </w:rPr>
        <w:footnoteRef/>
      </w:r>
      <w:r w:rsidRPr="00306614">
        <w:tab/>
        <w:t>El artículo 42, párrafo 4, de la Ley de Elecciones Parlamentarias prevé esta posibilidad.</w:t>
      </w:r>
    </w:p>
  </w:footnote>
  <w:footnote w:id="161">
    <w:p w14:paraId="31161B12"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Por ejemplo, información en el sitio web del Departamento de Elecciones y a través de contenidos educativos adicionales para los votantes.</w:t>
      </w:r>
    </w:p>
  </w:footnote>
  <w:footnote w:id="162">
    <w:p w14:paraId="38195EAD"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Estos parques disponen equipos de juego inclusivos, como columpios para sillas de ruedas y columpios y carruseles accesibles.</w:t>
      </w:r>
    </w:p>
  </w:footnote>
  <w:footnote w:id="163">
    <w:p w14:paraId="4051E438"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Este programa alienta a las escuelas, las guarderías y los centros de intervención precoz, así como a los proveedores de servicios sociales, a llevar a los niños a los parques infantiles inclusivos y a otros lugares adecuados para el juego y la interacción significativa.</w:t>
      </w:r>
    </w:p>
  </w:footnote>
  <w:footnote w:id="164">
    <w:p w14:paraId="20AD1C3A"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Por ejemplo, la Junta Nacional de Bibliotecas puso en marcha en 2018 la Hora del Cuento Sensorial, un programa piloto para que padres y niños con diferentes capacidades puedan disfrutar de los cuentos con un enfoque multisensorial. La futura Biblioteca Regional de </w:t>
      </w:r>
      <w:proofErr w:type="spellStart"/>
      <w:r w:rsidRPr="00306614">
        <w:t>Punggol</w:t>
      </w:r>
      <w:proofErr w:type="spellEnd"/>
      <w:r w:rsidRPr="00306614">
        <w:t xml:space="preserve"> ofrecerá servicios personalizados y zonas de calma para los usuarios con discapacidad y los niños con necesidades especiales. En el marco del programa Lectura Inclusiva del Consejo Nacional del Servicio Social, se celebraron actos en las bibliotecas públicas, como, por ejemplo, sesiones de cuentacuentos inclusivos, con objeto de fomentar una mayor interacción entre personas con y sin discapacidad a través de los cuentos y el intercambio de experiencias vividas.</w:t>
      </w:r>
    </w:p>
  </w:footnote>
  <w:footnote w:id="165">
    <w:p w14:paraId="2C20956B" w14:textId="77777777" w:rsidR="00A571E2" w:rsidRPr="00306614" w:rsidRDefault="00A571E2" w:rsidP="00CF64F3">
      <w:pPr>
        <w:pStyle w:val="FootnoteText"/>
      </w:pPr>
      <w:r w:rsidRPr="00306614">
        <w:tab/>
      </w:r>
      <w:r w:rsidRPr="00CF64F3">
        <w:rPr>
          <w:rStyle w:val="FootnoteReference"/>
        </w:rPr>
        <w:footnoteRef/>
      </w:r>
      <w:r w:rsidRPr="00306614">
        <w:tab/>
        <w:t>Todas las escuelas ordinarias tienen al menos un profesor de educación física formado en educación física inclusiva. Hasta marzo de 2020, cerca de 600 profesores de educación física de escuelas de enseñanza primaria y secundaria, colegios preuniversitarios e institutos centralizados han recibido formación sobre educación física inclusiva.</w:t>
      </w:r>
    </w:p>
  </w:footnote>
  <w:footnote w:id="166">
    <w:p w14:paraId="7910F41F" w14:textId="48E91A56"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Desde 2018, </w:t>
      </w:r>
      <w:proofErr w:type="spellStart"/>
      <w:r w:rsidRPr="00306614">
        <w:t>Special</w:t>
      </w:r>
      <w:proofErr w:type="spellEnd"/>
      <w:r w:rsidRPr="00306614">
        <w:t xml:space="preserve"> </w:t>
      </w:r>
      <w:proofErr w:type="spellStart"/>
      <w:r w:rsidRPr="00306614">
        <w:t>Olympics</w:t>
      </w:r>
      <w:proofErr w:type="spellEnd"/>
      <w:r w:rsidRPr="00306614">
        <w:t xml:space="preserve"> </w:t>
      </w:r>
      <w:proofErr w:type="spellStart"/>
      <w:r w:rsidRPr="00306614">
        <w:t>Singapore</w:t>
      </w:r>
      <w:proofErr w:type="spellEnd"/>
      <w:r w:rsidRPr="00306614">
        <w:t xml:space="preserve"> y Deporte Singapur, el organismo nacional del deporte, organizan conjuntamente el acto anual </w:t>
      </w:r>
      <w:r>
        <w:t>“</w:t>
      </w:r>
      <w:r w:rsidRPr="00306614">
        <w:t>Juega Inclusivo</w:t>
      </w:r>
      <w:r>
        <w:t>”</w:t>
      </w:r>
      <w:r w:rsidRPr="00306614">
        <w:t xml:space="preserve">, apoyado por el Ministerio de Educación. Los estudiantes de educación especial forman equipos con alumnos de colegios ordinarios para entrenar juntos durante aproximadamente seis meses en diversos deportes inclusivos y, al finalizar ese período, participan en el torneo final. Más de 800 personas participaron en la edición de 2019 de </w:t>
      </w:r>
      <w:r>
        <w:t>“</w:t>
      </w:r>
      <w:r w:rsidRPr="00306614">
        <w:t>Juega Inclusivo</w:t>
      </w:r>
      <w:r>
        <w:t>”</w:t>
      </w:r>
      <w:r w:rsidRPr="00306614">
        <w:t>.</w:t>
      </w:r>
    </w:p>
  </w:footnote>
  <w:footnote w:id="167">
    <w:p w14:paraId="1A7249B1" w14:textId="77777777" w:rsidR="00A571E2" w:rsidRPr="00306614" w:rsidRDefault="00A571E2" w:rsidP="00CF64F3">
      <w:pPr>
        <w:pStyle w:val="FootnoteText"/>
      </w:pPr>
      <w:r w:rsidRPr="00306614">
        <w:tab/>
      </w:r>
      <w:r w:rsidRPr="00CF64F3">
        <w:rPr>
          <w:rStyle w:val="FootnoteReference"/>
        </w:rPr>
        <w:footnoteRef/>
      </w:r>
      <w:r w:rsidRPr="00306614">
        <w:tab/>
        <w:t>Las recomendaciones del Plan Maestro de Deportes para Personas con Discapacidad se basaron en consultas con más de 500 niños y adultos con discapacidad, además de otras partes interesadas, como el Consejo de Deportes para las Personas con Discapacidad de Singapur.</w:t>
      </w:r>
    </w:p>
  </w:footnote>
  <w:footnote w:id="168">
    <w:p w14:paraId="2D81CBAA" w14:textId="77777777" w:rsidR="00A571E2" w:rsidRPr="00306614" w:rsidRDefault="00A571E2" w:rsidP="00CF64F3">
      <w:pPr>
        <w:pStyle w:val="FootnoteText"/>
      </w:pPr>
      <w:r w:rsidRPr="00306614">
        <w:tab/>
      </w:r>
      <w:r w:rsidRPr="00CF64F3">
        <w:rPr>
          <w:rStyle w:val="FootnoteReference"/>
        </w:rPr>
        <w:footnoteRef/>
      </w:r>
      <w:r w:rsidRPr="00306614">
        <w:tab/>
        <w:t>Todos los años se realiza una encuesta nacional de práctica deportiva.</w:t>
      </w:r>
    </w:p>
  </w:footnote>
  <w:footnote w:id="169">
    <w:p w14:paraId="676F13B8"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Hasta la fecha, cuatro centros deportivos de </w:t>
      </w:r>
      <w:proofErr w:type="spellStart"/>
      <w:r w:rsidRPr="00306614">
        <w:t>ActiveSG</w:t>
      </w:r>
      <w:proofErr w:type="spellEnd"/>
      <w:r w:rsidRPr="00306614">
        <w:t xml:space="preserve"> en todo el país han sido designados Centros Especializados y seis centros deportivos de </w:t>
      </w:r>
      <w:proofErr w:type="spellStart"/>
      <w:r w:rsidRPr="00306614">
        <w:t>ActiveSG</w:t>
      </w:r>
      <w:proofErr w:type="spellEnd"/>
      <w:r w:rsidRPr="00306614">
        <w:t xml:space="preserve"> disponen de piscinas con rampas de acceso, así como de sillas de ruedas acuáticas para uso de las personas con discapacidad. En ocho lugares de la isla se han instalado gimnasios inclusivos con máquinas de ejercicios adecuadas para personas con discapacidad, personas mayores y otros usuarios habituales del gimnasio.</w:t>
      </w:r>
    </w:p>
  </w:footnote>
  <w:footnote w:id="170">
    <w:p w14:paraId="2B546751" w14:textId="562BC599"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Por ejemplo, el programa </w:t>
      </w:r>
      <w:r>
        <w:t>“</w:t>
      </w:r>
      <w:r w:rsidRPr="00306614">
        <w:t>¡Sí! ¡Yo puedo!</w:t>
      </w:r>
      <w:r>
        <w:t>”</w:t>
      </w:r>
      <w:r w:rsidRPr="00306614">
        <w:t xml:space="preserve"> incluye clases de natación, bádminton, rugby en silla de ruedas y </w:t>
      </w:r>
      <w:proofErr w:type="spellStart"/>
      <w:r w:rsidRPr="00306614">
        <w:t>golbol</w:t>
      </w:r>
      <w:proofErr w:type="spellEnd"/>
      <w:r w:rsidRPr="00306614">
        <w:rPr>
          <w:i/>
          <w:iCs/>
        </w:rPr>
        <w:t xml:space="preserve"> </w:t>
      </w:r>
      <w:r w:rsidRPr="00306614">
        <w:t>para personas con discapacidad.</w:t>
      </w:r>
    </w:p>
  </w:footnote>
  <w:footnote w:id="171">
    <w:p w14:paraId="600C505C"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Por ejemplo, en 2016 se puso en marcha una asociación con el Comité Paralímpico Internacional con miras a mejorar los conocimientos especializados de los entrenadores locales, así como a formar a los entrenadores convencionales en el entrenamiento deportivo básico para personas con discapacidad. Además, el programa </w:t>
      </w:r>
      <w:proofErr w:type="spellStart"/>
      <w:r w:rsidRPr="00306614">
        <w:t>PlayAbility</w:t>
      </w:r>
      <w:proofErr w:type="spellEnd"/>
      <w:r w:rsidRPr="00306614">
        <w:t xml:space="preserve"> ofrece oportunidades para practicar semanalmente deportes recreativos en actividades acuáticas y de cancha para grupos de personas con discapacidad. En diciembre de 2019, más de 300 personas con discapacidad se habían beneficiado de este programa, que cuenta con el apoyo de más de 50 voluntarios.</w:t>
      </w:r>
    </w:p>
  </w:footnote>
  <w:footnote w:id="172">
    <w:p w14:paraId="5373D3A1" w14:textId="711EC1CB"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Todos los voluntarios y el personal del Festival de los Deportes Inclusivos reciben formación de sensibilización sobre la discapacidad. En 2020 no se celebró el festival debido a la pandemia de COVID-19. Muchas actividades se desarrollaron en línea. También se elaboró una versión inclusiva del vídeo de entrenamiento </w:t>
      </w:r>
      <w:r>
        <w:t>“</w:t>
      </w:r>
      <w:proofErr w:type="spellStart"/>
      <w:r w:rsidRPr="00306614">
        <w:t>GetActive</w:t>
      </w:r>
      <w:proofErr w:type="spellEnd"/>
      <w:r w:rsidRPr="00306614">
        <w:t xml:space="preserve">! </w:t>
      </w:r>
      <w:proofErr w:type="spellStart"/>
      <w:r w:rsidRPr="00306614">
        <w:t>Singapore</w:t>
      </w:r>
      <w:proofErr w:type="spellEnd"/>
      <w:r>
        <w:t>”</w:t>
      </w:r>
      <w:r w:rsidRPr="00306614">
        <w:t xml:space="preserve"> para que las personas con discapacidad pudieran participar (se puede acceder a él en: </w:t>
      </w:r>
      <w:hyperlink r:id="rId6" w:history="1">
        <w:r w:rsidRPr="0029296F">
          <w:rPr>
            <w:rStyle w:val="Hyperlink"/>
          </w:rPr>
          <w:t>https://youtu.be/n0WdkpvdyPs</w:t>
        </w:r>
      </w:hyperlink>
      <w:r w:rsidRPr="00306614">
        <w:t>).</w:t>
      </w:r>
    </w:p>
  </w:footnote>
  <w:footnote w:id="173">
    <w:p w14:paraId="1D8AAB25" w14:textId="148E2D32"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Por ejemplo, la iniciativa </w:t>
      </w:r>
      <w:r>
        <w:t>“</w:t>
      </w:r>
      <w:r w:rsidRPr="00306614">
        <w:t>Mañanas tranquilas</w:t>
      </w:r>
      <w:r>
        <w:t>”</w:t>
      </w:r>
      <w:r w:rsidRPr="00306614">
        <w:t>, puesta en marcha en diciembre de 2018, consistente en que el museo abre sus puertas tres veces al mes una hora antes y dedica esas mañanas a los visitantes con problemas de sensibilidad sensorial para que puedan disfrutar del museo en un entorno más tranquilo. Entre otras iniciativas, cabe destacar la existencia en sus galerías de cápsulas del silencio, actividades inclusivas para familias, recursos como bolsas sensoriales y una Sala del Silencio inaugurada en agosto de 2019 para apoyar a las personas con autismo que puedan necesitar un espacio de calma mientras visitan las galerías.</w:t>
      </w:r>
    </w:p>
  </w:footnote>
  <w:footnote w:id="174">
    <w:p w14:paraId="6BD4743E" w14:textId="77777777" w:rsidR="00A571E2" w:rsidRPr="00306614" w:rsidRDefault="00A571E2" w:rsidP="00CF64F3">
      <w:pPr>
        <w:pStyle w:val="FootnoteText"/>
      </w:pPr>
      <w:r w:rsidRPr="00306614">
        <w:tab/>
      </w:r>
      <w:r w:rsidRPr="00CF64F3">
        <w:rPr>
          <w:rStyle w:val="FootnoteReference"/>
        </w:rPr>
        <w:footnoteRef/>
      </w:r>
      <w:r w:rsidRPr="00306614">
        <w:tab/>
        <w:t>Toman parte en el Foro cada año participantes, artistas, ponentes y panelistas con discapacidad. Se atienden sus necesidades de acceso para garantizar la inclusión.</w:t>
      </w:r>
    </w:p>
  </w:footnote>
  <w:footnote w:id="175">
    <w:p w14:paraId="507C6B81" w14:textId="6A95D667" w:rsidR="00A571E2" w:rsidRPr="00306614" w:rsidRDefault="00A571E2" w:rsidP="00CF64F3">
      <w:pPr>
        <w:pStyle w:val="FootnoteText"/>
      </w:pPr>
      <w:r w:rsidRPr="00306614">
        <w:tab/>
      </w:r>
      <w:r w:rsidRPr="00CF64F3">
        <w:rPr>
          <w:rStyle w:val="FootnoteReference"/>
        </w:rPr>
        <w:footnoteRef/>
      </w:r>
      <w:r w:rsidRPr="00306614">
        <w:tab/>
        <w:t xml:space="preserve">Por ejemplo, el teatro </w:t>
      </w:r>
      <w:proofErr w:type="spellStart"/>
      <w:r w:rsidRPr="00306614">
        <w:t>Esplanade</w:t>
      </w:r>
      <w:proofErr w:type="spellEnd"/>
      <w:r w:rsidRPr="00306614">
        <w:t xml:space="preserve"> organiza la serie </w:t>
      </w:r>
      <w:r>
        <w:t>“</w:t>
      </w:r>
      <w:proofErr w:type="spellStart"/>
      <w:r w:rsidRPr="00306614">
        <w:t>PLAYtime</w:t>
      </w:r>
      <w:proofErr w:type="spellEnd"/>
      <w:r w:rsidRPr="00306614">
        <w:t>!</w:t>
      </w:r>
      <w:r>
        <w:t>”</w:t>
      </w:r>
      <w:r w:rsidRPr="00306614">
        <w:t>, un ciclo de teatro interactivo dirigido a familias y niños afectados por trastornos del espectro autista y otras discapacidades sensoriales, sociales o cognitivas. Este programa se puso en marcha virtualmente en 2020, en medio de la pandemia de COVID-19.</w:t>
      </w:r>
    </w:p>
  </w:footnote>
  <w:footnote w:id="176">
    <w:p w14:paraId="50350CCD"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Debates parlamentarios de Singapur, Informe Oficial de 19 de noviembre de 2018, vol. 94, col. 36, sprs.parl.gov.sg/</w:t>
      </w:r>
      <w:proofErr w:type="spellStart"/>
      <w:r w:rsidRPr="00306614">
        <w:t>search</w:t>
      </w:r>
      <w:proofErr w:type="spellEnd"/>
      <w:r w:rsidRPr="00306614">
        <w:t>/</w:t>
      </w:r>
      <w:proofErr w:type="spellStart"/>
      <w:r w:rsidRPr="00306614">
        <w:t>fullreport?sittingdate</w:t>
      </w:r>
      <w:proofErr w:type="spellEnd"/>
      <w:r w:rsidRPr="00306614">
        <w:t xml:space="preserve">=19-11-2018, núm. 85 (consultado el 16 de septiembre de 2020) (Sra. Yip Pin </w:t>
      </w:r>
      <w:proofErr w:type="spellStart"/>
      <w:r w:rsidRPr="00306614">
        <w:t>Xiu</w:t>
      </w:r>
      <w:proofErr w:type="spellEnd"/>
      <w:r w:rsidRPr="00306614">
        <w:t>, diputada designada).</w:t>
      </w:r>
    </w:p>
  </w:footnote>
  <w:footnote w:id="177">
    <w:p w14:paraId="1E39059E"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Entre otras cosas, se alojó a estos participantes en habitaciones de hotel accesibles, se envió con antelación el material del curso a los participantes con discapacidad visual y se asignó personal para ayudar a los participantes que necesitaban apoyo durante el curso.</w:t>
      </w:r>
    </w:p>
  </w:footnote>
  <w:footnote w:id="178">
    <w:p w14:paraId="0C993C84" w14:textId="77777777" w:rsidR="00A571E2" w:rsidRPr="00306614" w:rsidRDefault="00A571E2" w:rsidP="00CF64F3">
      <w:pPr>
        <w:pStyle w:val="FootnoteText"/>
      </w:pPr>
      <w:r w:rsidRPr="00306614">
        <w:tab/>
      </w:r>
      <w:r w:rsidRPr="00CF64F3">
        <w:rPr>
          <w:rStyle w:val="FootnoteReference"/>
        </w:rPr>
        <w:footnoteRef/>
      </w:r>
      <w:r w:rsidRPr="00306614">
        <w:tab/>
        <w:t>A finales de 2019, 52 funcionarios de 40 países habían asistido al curso.</w:t>
      </w:r>
    </w:p>
  </w:footnote>
  <w:footnote w:id="179">
    <w:p w14:paraId="6DB35DAE" w14:textId="2CCE59D1"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Por ejemplo, el curso sobre </w:t>
      </w:r>
      <w:r>
        <w:t>“</w:t>
      </w:r>
      <w:r w:rsidRPr="00306614">
        <w:t>Movilidad inteligente e innovaciones en el transporte inteligente</w:t>
      </w:r>
      <w:r>
        <w:t>”</w:t>
      </w:r>
      <w:r w:rsidRPr="00306614">
        <w:t>, impartido por la Academia de la Autoridad de Transporte Terrestre, presenta los diseños y servicios para personas con discapacidad y otras necesidades de accesibilidad en el sistema de transporte terrestre de Singapur.</w:t>
      </w:r>
    </w:p>
  </w:footnote>
  <w:footnote w:id="180">
    <w:p w14:paraId="151DD23A" w14:textId="484C65C2"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 xml:space="preserve">En la 12ª Conferencia de los Estados Partes en la Convención sobre los Derechos de las Personas con Discapacidad, celebrada en junio de 2019, Singapur organizó actos paralelos para debatir sobre las mejores prácticas en la aplicación de la Convención en dos esferas: i) aprovechar el poder de la tecnología y el diseño para fomentar la vida independiente; y </w:t>
      </w:r>
      <w:proofErr w:type="spellStart"/>
      <w:r w:rsidRPr="00306614">
        <w:t>ii</w:t>
      </w:r>
      <w:proofErr w:type="spellEnd"/>
      <w:r w:rsidRPr="00306614">
        <w:t xml:space="preserve">) sacar el máximo partido al potencial y las oportunidades de las personas con discapacidad mediante medidas de intervención temprana, aprendizaje continuo y facilitación del empleo. Estos actos se organizaron junto con los copresidentes de los tres grupos de trabajo sobre el Plan General sobre la Discapacidad, que son representantes de organizaciones de personas con discapacidad, entre los que hay una persona con discapacidad, y que compartieron las experiencias de sus respectivas organizaciones en la Conferencia de los Estados Partes en la Convención sobre los Derechos de las Personas con Discapacidad. En el Consejo de Derechos Humanos, Singapur ha copatrocinado varios actos paralelos en apoyo de los derechos de las personas con discapacidad, en los que también tomó la palabra. Ejemplos de ello son un acto paralelo sobre </w:t>
      </w:r>
      <w:r>
        <w:t>“</w:t>
      </w:r>
      <w:r w:rsidRPr="00306614">
        <w:t>El papel de la tecnología de apoyo en la educación inclusiva para los niños con discapacidad</w:t>
      </w:r>
      <w:r>
        <w:t>”</w:t>
      </w:r>
      <w:r w:rsidRPr="00306614">
        <w:t>, celebrado en marzo de 2019, y otro acto paralelo sobre el derecho a la educación para los niños vulnerables, incluidos los niños con discapacidad.</w:t>
      </w:r>
    </w:p>
  </w:footnote>
  <w:footnote w:id="181">
    <w:p w14:paraId="3416B1D8" w14:textId="77777777" w:rsidR="00A571E2" w:rsidRPr="00306614" w:rsidRDefault="00A571E2" w:rsidP="00CF64F3">
      <w:pPr>
        <w:pStyle w:val="FootnoteText"/>
      </w:pPr>
      <w:r w:rsidRPr="00306614">
        <w:tab/>
      </w:r>
      <w:r w:rsidRPr="00CF64F3">
        <w:rPr>
          <w:rStyle w:val="FootnoteReference"/>
        </w:rPr>
        <w:footnoteRef/>
      </w:r>
      <w:r w:rsidRPr="00306614">
        <w:tab/>
        <w:t>Otros coanfitriones fueron el Ecuador, Liberia y el Departamento de Asuntos Económicos y Sociales de las Naciones Unidas, entre otros.</w:t>
      </w:r>
    </w:p>
  </w:footnote>
  <w:footnote w:id="182">
    <w:p w14:paraId="65B17CD7" w14:textId="77777777" w:rsidR="00A571E2" w:rsidRPr="00306614" w:rsidRDefault="00A571E2" w:rsidP="00CF64F3">
      <w:pPr>
        <w:pStyle w:val="FootnoteText"/>
        <w:rPr>
          <w:szCs w:val="18"/>
        </w:rPr>
      </w:pPr>
      <w:r w:rsidRPr="00306614">
        <w:rPr>
          <w:szCs w:val="18"/>
        </w:rPr>
        <w:tab/>
      </w:r>
      <w:r w:rsidRPr="00CF64F3">
        <w:rPr>
          <w:rStyle w:val="FootnoteReference"/>
        </w:rPr>
        <w:footnoteRef/>
      </w:r>
      <w:r w:rsidRPr="00306614">
        <w:tab/>
        <w:t>Para más información sobre los grupos de trabajo intersectoriales, véase el párrafo 14, relativo al párrafo 2 de la lista de cuestiones.</w:t>
      </w:r>
    </w:p>
  </w:footnote>
  <w:footnote w:id="183">
    <w:p w14:paraId="650F27FC" w14:textId="77777777" w:rsidR="00A571E2" w:rsidRPr="00306614" w:rsidRDefault="00A571E2" w:rsidP="00CF64F3">
      <w:pPr>
        <w:pStyle w:val="FootnoteText"/>
      </w:pPr>
      <w:r w:rsidRPr="00306614">
        <w:tab/>
      </w:r>
      <w:r w:rsidRPr="00CF64F3">
        <w:rPr>
          <w:rStyle w:val="FootnoteReference"/>
        </w:rPr>
        <w:footnoteRef/>
      </w:r>
      <w:r w:rsidRPr="00306614">
        <w:tab/>
        <w:t>Para más información, véanse los párrafos 12 a 14, relativos al párrafo 2 de la lista de cuestiones. A lo largo de este documento también se pueden encontrar ejemplos de consultas celebradas con personas con discapacidad y otras partes interesadas.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E0401C" w14:textId="1EA2006F" w:rsidR="00A571E2" w:rsidRPr="00CF64F3" w:rsidRDefault="00A571E2">
    <w:pPr>
      <w:pStyle w:val="Header"/>
    </w:pPr>
    <w:fldSimple w:instr=" TITLE  \* MERGEFORMAT ">
      <w:r>
        <w:t>CRPD/C/SGP/RQ/1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273B11" w14:textId="7855779D" w:rsidR="00A571E2" w:rsidRPr="00CF64F3" w:rsidRDefault="00A571E2" w:rsidP="00CF64F3">
    <w:pPr>
      <w:pStyle w:val="Header"/>
      <w:jc w:val="right"/>
    </w:pPr>
    <w:fldSimple w:instr=" TITLE  \* MERGEFORMAT ">
      <w:r>
        <w:t>CRPD/C/SGP/RQ/1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6C4675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4"/>
  </w:num>
  <w:num w:numId="3">
    <w:abstractNumId w:val="23"/>
  </w:num>
  <w:num w:numId="4">
    <w:abstractNumId w:val="22"/>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1"/>
  </w:num>
  <w:num w:numId="18">
    <w:abstractNumId w:val="14"/>
  </w:num>
  <w:num w:numId="19">
    <w:abstractNumId w:val="11"/>
  </w:num>
  <w:num w:numId="20">
    <w:abstractNumId w:val="23"/>
  </w:num>
  <w:num w:numId="21">
    <w:abstractNumId w:val="22"/>
  </w:num>
  <w:num w:numId="22">
    <w:abstractNumId w:val="15"/>
  </w:num>
  <w:num w:numId="23">
    <w:abstractNumId w:val="15"/>
  </w:num>
  <w:num w:numId="24">
    <w:abstractNumId w:val="18"/>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21"/>
    <w:lvlOverride w:ilvl="0">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36">
    <w:abstractNumId w:val="13"/>
  </w:num>
  <w:num w:numId="37">
    <w:abstractNumId w:val="17"/>
  </w:num>
  <w:num w:numId="38">
    <w:abstractNumId w:val="16"/>
  </w:num>
  <w:num w:numId="39">
    <w:abstractNumId w:val="19"/>
  </w:num>
  <w:num w:numId="40">
    <w:abstractNumId w:val="12"/>
  </w:num>
  <w:num w:numId="41">
    <w:abstractNumId w:val="20"/>
  </w:num>
  <w:num w:numId="4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EC9"/>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9296F"/>
    <w:rsid w:val="002A061F"/>
    <w:rsid w:val="002A2EFC"/>
    <w:rsid w:val="002A6FA7"/>
    <w:rsid w:val="002B6737"/>
    <w:rsid w:val="002C0E18"/>
    <w:rsid w:val="002C33BB"/>
    <w:rsid w:val="002C79EC"/>
    <w:rsid w:val="002D5AAC"/>
    <w:rsid w:val="002F13FE"/>
    <w:rsid w:val="00301299"/>
    <w:rsid w:val="00322004"/>
    <w:rsid w:val="003402C2"/>
    <w:rsid w:val="00381C24"/>
    <w:rsid w:val="003958D0"/>
    <w:rsid w:val="003977DE"/>
    <w:rsid w:val="003B6D6D"/>
    <w:rsid w:val="003E1F6E"/>
    <w:rsid w:val="0040084E"/>
    <w:rsid w:val="00454E07"/>
    <w:rsid w:val="004875CF"/>
    <w:rsid w:val="00494F64"/>
    <w:rsid w:val="0049722C"/>
    <w:rsid w:val="004E4B46"/>
    <w:rsid w:val="0050108D"/>
    <w:rsid w:val="0056415C"/>
    <w:rsid w:val="00572E19"/>
    <w:rsid w:val="005C09D4"/>
    <w:rsid w:val="005D4E88"/>
    <w:rsid w:val="005D6145"/>
    <w:rsid w:val="005F0B42"/>
    <w:rsid w:val="00614642"/>
    <w:rsid w:val="00655A21"/>
    <w:rsid w:val="006808A9"/>
    <w:rsid w:val="006C2D34"/>
    <w:rsid w:val="006E1835"/>
    <w:rsid w:val="006E65F3"/>
    <w:rsid w:val="006F35EE"/>
    <w:rsid w:val="007021FF"/>
    <w:rsid w:val="007076CB"/>
    <w:rsid w:val="0071316C"/>
    <w:rsid w:val="00763AC2"/>
    <w:rsid w:val="007709CC"/>
    <w:rsid w:val="007967DF"/>
    <w:rsid w:val="007D242E"/>
    <w:rsid w:val="007D613D"/>
    <w:rsid w:val="007E05B4"/>
    <w:rsid w:val="00834B71"/>
    <w:rsid w:val="008626C7"/>
    <w:rsid w:val="0086445C"/>
    <w:rsid w:val="0086751E"/>
    <w:rsid w:val="00885453"/>
    <w:rsid w:val="008A08D7"/>
    <w:rsid w:val="008A13F9"/>
    <w:rsid w:val="008D5DB6"/>
    <w:rsid w:val="00906890"/>
    <w:rsid w:val="00911E66"/>
    <w:rsid w:val="00951972"/>
    <w:rsid w:val="00952284"/>
    <w:rsid w:val="00963777"/>
    <w:rsid w:val="00993207"/>
    <w:rsid w:val="0099545C"/>
    <w:rsid w:val="009B452A"/>
    <w:rsid w:val="009B4E5E"/>
    <w:rsid w:val="009D2588"/>
    <w:rsid w:val="00A01963"/>
    <w:rsid w:val="00A17DFD"/>
    <w:rsid w:val="00A571E2"/>
    <w:rsid w:val="00A764E4"/>
    <w:rsid w:val="00A86EC9"/>
    <w:rsid w:val="00A917B3"/>
    <w:rsid w:val="00AA704D"/>
    <w:rsid w:val="00AB4B51"/>
    <w:rsid w:val="00AE4CC4"/>
    <w:rsid w:val="00B10CC7"/>
    <w:rsid w:val="00B1521B"/>
    <w:rsid w:val="00B37C3B"/>
    <w:rsid w:val="00B516FE"/>
    <w:rsid w:val="00B5520E"/>
    <w:rsid w:val="00B62458"/>
    <w:rsid w:val="00BC5788"/>
    <w:rsid w:val="00BD33EE"/>
    <w:rsid w:val="00BF4F8C"/>
    <w:rsid w:val="00C53300"/>
    <w:rsid w:val="00C60F0C"/>
    <w:rsid w:val="00C6457C"/>
    <w:rsid w:val="00C76505"/>
    <w:rsid w:val="00C805C9"/>
    <w:rsid w:val="00C94626"/>
    <w:rsid w:val="00CA1679"/>
    <w:rsid w:val="00CF64F3"/>
    <w:rsid w:val="00D1753E"/>
    <w:rsid w:val="00D31070"/>
    <w:rsid w:val="00D34A77"/>
    <w:rsid w:val="00D5042C"/>
    <w:rsid w:val="00D80BBB"/>
    <w:rsid w:val="00D90138"/>
    <w:rsid w:val="00DB2215"/>
    <w:rsid w:val="00DD3D2B"/>
    <w:rsid w:val="00E50C33"/>
    <w:rsid w:val="00E73F76"/>
    <w:rsid w:val="00E973E2"/>
    <w:rsid w:val="00ED0DC1"/>
    <w:rsid w:val="00EF1360"/>
    <w:rsid w:val="00EF3220"/>
    <w:rsid w:val="00F40ECB"/>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D148C99"/>
  <w15:docId w15:val="{B2359AD5-878F-467A-BA50-3B22E45EC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Heading1">
    <w:name w:val="heading 1"/>
    <w:aliases w:val="Cuadro_G,Table_G"/>
    <w:basedOn w:val="SingleTxtG"/>
    <w:next w:val="SingleTxtG"/>
    <w:link w:val="Heading1Ch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494F64"/>
    <w:pPr>
      <w:keepNext/>
      <w:outlineLvl w:val="1"/>
    </w:pPr>
    <w:rPr>
      <w:rFonts w:cs="Arial"/>
      <w:bCs/>
      <w:iCs/>
      <w:szCs w:val="28"/>
    </w:rPr>
  </w:style>
  <w:style w:type="paragraph" w:styleId="Heading3">
    <w:name w:val="heading 3"/>
    <w:basedOn w:val="Normal"/>
    <w:next w:val="Normal"/>
    <w:link w:val="Heading3Char"/>
    <w:semiHidden/>
    <w:rsid w:val="00494F64"/>
    <w:pPr>
      <w:keepNext/>
      <w:spacing w:before="240" w:after="60"/>
      <w:outlineLvl w:val="2"/>
    </w:pPr>
    <w:rPr>
      <w:rFonts w:ascii="Arial" w:hAnsi="Arial" w:cs="Arial"/>
      <w:b/>
      <w:bCs/>
      <w:sz w:val="26"/>
      <w:szCs w:val="26"/>
    </w:rPr>
  </w:style>
  <w:style w:type="paragraph" w:styleId="Heading4">
    <w:name w:val="heading 4"/>
    <w:basedOn w:val="Normal"/>
    <w:next w:val="Normal"/>
    <w:semiHidden/>
    <w:rsid w:val="00494F64"/>
    <w:pPr>
      <w:keepNext/>
      <w:spacing w:before="240" w:after="60"/>
      <w:outlineLvl w:val="3"/>
    </w:pPr>
    <w:rPr>
      <w:b/>
      <w:bCs/>
      <w:sz w:val="28"/>
      <w:szCs w:val="28"/>
    </w:rPr>
  </w:style>
  <w:style w:type="paragraph" w:styleId="Heading5">
    <w:name w:val="heading 5"/>
    <w:basedOn w:val="Normal"/>
    <w:next w:val="Normal"/>
    <w:semiHidden/>
    <w:rsid w:val="00494F64"/>
    <w:pPr>
      <w:spacing w:before="240" w:after="60"/>
      <w:outlineLvl w:val="4"/>
    </w:pPr>
    <w:rPr>
      <w:b/>
      <w:bCs/>
      <w:i/>
      <w:iCs/>
      <w:sz w:val="26"/>
      <w:szCs w:val="26"/>
    </w:rPr>
  </w:style>
  <w:style w:type="paragraph" w:styleId="Heading6">
    <w:name w:val="heading 6"/>
    <w:basedOn w:val="Normal"/>
    <w:next w:val="Normal"/>
    <w:semiHidden/>
    <w:rsid w:val="00494F64"/>
    <w:pPr>
      <w:spacing w:before="240" w:after="60"/>
      <w:outlineLvl w:val="5"/>
    </w:pPr>
    <w:rPr>
      <w:b/>
      <w:bCs/>
      <w:sz w:val="22"/>
      <w:szCs w:val="22"/>
    </w:rPr>
  </w:style>
  <w:style w:type="paragraph" w:styleId="Heading7">
    <w:name w:val="heading 7"/>
    <w:basedOn w:val="Normal"/>
    <w:next w:val="Normal"/>
    <w:semiHidden/>
    <w:rsid w:val="00494F64"/>
    <w:pPr>
      <w:spacing w:before="240" w:after="60"/>
      <w:outlineLvl w:val="6"/>
    </w:pPr>
    <w:rPr>
      <w:sz w:val="24"/>
      <w:szCs w:val="24"/>
    </w:rPr>
  </w:style>
  <w:style w:type="paragraph" w:styleId="Heading8">
    <w:name w:val="heading 8"/>
    <w:basedOn w:val="Normal"/>
    <w:next w:val="Normal"/>
    <w:semiHidden/>
    <w:rsid w:val="00494F64"/>
    <w:pPr>
      <w:spacing w:before="240" w:after="60"/>
      <w:outlineLvl w:val="7"/>
    </w:pPr>
    <w:rPr>
      <w:i/>
      <w:iCs/>
      <w:sz w:val="24"/>
      <w:szCs w:val="24"/>
    </w:rPr>
  </w:style>
  <w:style w:type="paragraph" w:styleId="Heading9">
    <w:name w:val="heading 9"/>
    <w:basedOn w:val="Normal"/>
    <w:next w:val="Normal"/>
    <w:semiHidden/>
    <w:rsid w:val="00494F64"/>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494F64"/>
    <w:pPr>
      <w:tabs>
        <w:tab w:val="right" w:pos="1021"/>
      </w:tabs>
      <w:spacing w:line="220" w:lineRule="exact"/>
      <w:ind w:left="1134" w:right="1134" w:hanging="1134"/>
    </w:pPr>
    <w:rPr>
      <w:sz w:val="18"/>
    </w:rPr>
  </w:style>
  <w:style w:type="table" w:styleId="TableGrid">
    <w:name w:val="Table Grid"/>
    <w:basedOn w:val="Table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494F64"/>
    <w:pPr>
      <w:numPr>
        <w:numId w:val="3"/>
      </w:numPr>
    </w:pPr>
  </w:style>
  <w:style w:type="numbering" w:styleId="1ai">
    <w:name w:val="Outline List 1"/>
    <w:basedOn w:val="NoList"/>
    <w:rsid w:val="00494F64"/>
    <w:pPr>
      <w:numPr>
        <w:numId w:val="4"/>
      </w:numPr>
    </w:pPr>
  </w:style>
  <w:style w:type="character" w:styleId="HTMLAcronym">
    <w:name w:val="HTML Acronym"/>
    <w:basedOn w:val="DefaultParagraphFont"/>
    <w:semiHidden/>
    <w:rsid w:val="00494F64"/>
  </w:style>
  <w:style w:type="numbering" w:styleId="ArticleSection">
    <w:name w:val="Outline List 3"/>
    <w:basedOn w:val="NoList"/>
    <w:rsid w:val="00494F64"/>
    <w:pPr>
      <w:numPr>
        <w:numId w:val="5"/>
      </w:numPr>
    </w:pPr>
  </w:style>
  <w:style w:type="paragraph" w:styleId="Closing">
    <w:name w:val="Closing"/>
    <w:basedOn w:val="Normal"/>
    <w:link w:val="ClosingChar"/>
    <w:semiHidden/>
    <w:rsid w:val="00494F64"/>
    <w:pPr>
      <w:ind w:left="4252"/>
    </w:pPr>
  </w:style>
  <w:style w:type="character" w:styleId="HTMLCite">
    <w:name w:val="HTML Cite"/>
    <w:semiHidden/>
    <w:rsid w:val="00494F64"/>
    <w:rPr>
      <w:i/>
      <w:iCs/>
    </w:rPr>
  </w:style>
  <w:style w:type="character" w:styleId="HTMLCode">
    <w:name w:val="HTML Code"/>
    <w:semiHidden/>
    <w:rsid w:val="00494F64"/>
    <w:rPr>
      <w:rFonts w:ascii="Courier New" w:hAnsi="Courier New" w:cs="Courier New"/>
      <w:sz w:val="20"/>
      <w:szCs w:val="20"/>
    </w:rPr>
  </w:style>
  <w:style w:type="paragraph" w:styleId="ListContinue">
    <w:name w:val="List Continue"/>
    <w:basedOn w:val="Normal"/>
    <w:semiHidden/>
    <w:rsid w:val="00494F64"/>
    <w:pPr>
      <w:spacing w:after="120"/>
      <w:ind w:left="283"/>
    </w:pPr>
  </w:style>
  <w:style w:type="paragraph" w:styleId="ListContinue2">
    <w:name w:val="List Continue 2"/>
    <w:basedOn w:val="Normal"/>
    <w:semiHidden/>
    <w:rsid w:val="00494F64"/>
    <w:pPr>
      <w:spacing w:after="120"/>
      <w:ind w:left="566"/>
    </w:pPr>
  </w:style>
  <w:style w:type="paragraph" w:styleId="ListContinue3">
    <w:name w:val="List Continue 3"/>
    <w:basedOn w:val="Normal"/>
    <w:semiHidden/>
    <w:rsid w:val="00494F64"/>
    <w:pPr>
      <w:spacing w:after="120"/>
      <w:ind w:left="849"/>
    </w:pPr>
  </w:style>
  <w:style w:type="paragraph" w:styleId="ListContinue4">
    <w:name w:val="List Continue 4"/>
    <w:basedOn w:val="Normal"/>
    <w:semiHidden/>
    <w:rsid w:val="00494F64"/>
    <w:pPr>
      <w:spacing w:after="120"/>
      <w:ind w:left="1132"/>
    </w:pPr>
  </w:style>
  <w:style w:type="paragraph" w:styleId="ListContinue5">
    <w:name w:val="List Continue 5"/>
    <w:basedOn w:val="Normal"/>
    <w:semiHidden/>
    <w:rsid w:val="00494F64"/>
    <w:pPr>
      <w:spacing w:after="120"/>
      <w:ind w:left="1415"/>
    </w:pPr>
  </w:style>
  <w:style w:type="character" w:styleId="HTMLDefinition">
    <w:name w:val="HTML Definition"/>
    <w:semiHidden/>
    <w:rsid w:val="00494F64"/>
    <w:rPr>
      <w:i/>
      <w:iCs/>
    </w:rPr>
  </w:style>
  <w:style w:type="paragraph" w:styleId="HTMLAddress">
    <w:name w:val="HTML Address"/>
    <w:basedOn w:val="Normal"/>
    <w:link w:val="HTMLAddressChar"/>
    <w:semiHidden/>
    <w:rsid w:val="00494F64"/>
    <w:rPr>
      <w:i/>
      <w:iCs/>
    </w:rPr>
  </w:style>
  <w:style w:type="paragraph" w:styleId="EnvelopeAddress">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494F64"/>
    <w:rPr>
      <w:rFonts w:ascii="Courier New" w:hAnsi="Courier New" w:cs="Courier New"/>
    </w:rPr>
  </w:style>
  <w:style w:type="paragraph" w:styleId="MessageHeader">
    <w:name w:val="Message Header"/>
    <w:basedOn w:val="Normal"/>
    <w:link w:val="MessageHeaderCh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494F64"/>
  </w:style>
  <w:style w:type="character" w:styleId="Emphasis">
    <w:name w:val="Emphasis"/>
    <w:semiHidden/>
    <w:rsid w:val="00494F64"/>
    <w:rPr>
      <w:i/>
      <w:iCs/>
    </w:rPr>
  </w:style>
  <w:style w:type="paragraph" w:styleId="Date">
    <w:name w:val="Date"/>
    <w:basedOn w:val="Normal"/>
    <w:next w:val="Normal"/>
    <w:link w:val="DateChar"/>
    <w:semiHidden/>
    <w:rsid w:val="00494F64"/>
  </w:style>
  <w:style w:type="paragraph" w:styleId="Signature">
    <w:name w:val="Signature"/>
    <w:basedOn w:val="Normal"/>
    <w:link w:val="SignatureChar"/>
    <w:semiHidden/>
    <w:rsid w:val="00494F64"/>
    <w:pPr>
      <w:ind w:left="4252"/>
    </w:pPr>
  </w:style>
  <w:style w:type="paragraph" w:styleId="E-mailSignature">
    <w:name w:val="E-mail Signature"/>
    <w:basedOn w:val="Normal"/>
    <w:link w:val="E-mailSignatureChar"/>
    <w:semiHidden/>
    <w:rsid w:val="00494F64"/>
  </w:style>
  <w:style w:type="character" w:styleId="Hyperlink">
    <w:name w:val="Hyperlink"/>
    <w:uiPriority w:val="4"/>
    <w:rsid w:val="00494F64"/>
    <w:rPr>
      <w:color w:val="0000FF"/>
      <w:u w:val="none"/>
    </w:rPr>
  </w:style>
  <w:style w:type="character" w:styleId="FollowedHyperlink">
    <w:name w:val="FollowedHyperlink"/>
    <w:uiPriority w:val="4"/>
    <w:rsid w:val="00494F64"/>
    <w:rPr>
      <w:color w:val="0000FF"/>
      <w:u w:val="none"/>
    </w:rPr>
  </w:style>
  <w:style w:type="paragraph" w:styleId="HTMLPreformatted">
    <w:name w:val="HTML Preformatted"/>
    <w:basedOn w:val="Normal"/>
    <w:link w:val="HTMLPreformattedChar"/>
    <w:semiHidden/>
    <w:rsid w:val="00494F64"/>
    <w:rPr>
      <w:rFonts w:ascii="Courier New" w:hAnsi="Courier New" w:cs="Courier New"/>
    </w:rPr>
  </w:style>
  <w:style w:type="paragraph" w:styleId="List">
    <w:name w:val="List"/>
    <w:basedOn w:val="Normal"/>
    <w:semiHidden/>
    <w:rsid w:val="00494F64"/>
    <w:pPr>
      <w:ind w:left="283" w:hanging="283"/>
    </w:pPr>
  </w:style>
  <w:style w:type="paragraph" w:styleId="List2">
    <w:name w:val="List 2"/>
    <w:basedOn w:val="Normal"/>
    <w:semiHidden/>
    <w:rsid w:val="00494F64"/>
    <w:pPr>
      <w:ind w:left="566" w:hanging="283"/>
    </w:pPr>
  </w:style>
  <w:style w:type="paragraph" w:styleId="List3">
    <w:name w:val="List 3"/>
    <w:basedOn w:val="Normal"/>
    <w:semiHidden/>
    <w:rsid w:val="00494F64"/>
    <w:pPr>
      <w:ind w:left="849" w:hanging="283"/>
    </w:pPr>
  </w:style>
  <w:style w:type="paragraph" w:styleId="List4">
    <w:name w:val="List 4"/>
    <w:basedOn w:val="Normal"/>
    <w:semiHidden/>
    <w:rsid w:val="00494F64"/>
    <w:pPr>
      <w:ind w:left="1132" w:hanging="283"/>
    </w:pPr>
  </w:style>
  <w:style w:type="paragraph" w:styleId="List5">
    <w:name w:val="List 5"/>
    <w:basedOn w:val="Normal"/>
    <w:semiHidden/>
    <w:rsid w:val="00494F64"/>
    <w:pPr>
      <w:ind w:left="1415" w:hanging="283"/>
    </w:pPr>
  </w:style>
  <w:style w:type="paragraph" w:styleId="ListNumber">
    <w:name w:val="List Number"/>
    <w:basedOn w:val="Normal"/>
    <w:semiHidden/>
    <w:rsid w:val="00494F64"/>
    <w:pPr>
      <w:numPr>
        <w:numId w:val="30"/>
      </w:numPr>
    </w:pPr>
  </w:style>
  <w:style w:type="paragraph" w:styleId="ListNumber2">
    <w:name w:val="List Number 2"/>
    <w:basedOn w:val="Normal"/>
    <w:semiHidden/>
    <w:rsid w:val="00494F64"/>
    <w:pPr>
      <w:numPr>
        <w:numId w:val="31"/>
      </w:numPr>
    </w:pPr>
  </w:style>
  <w:style w:type="paragraph" w:styleId="ListNumber3">
    <w:name w:val="List Number 3"/>
    <w:basedOn w:val="Normal"/>
    <w:semiHidden/>
    <w:rsid w:val="00494F64"/>
    <w:pPr>
      <w:numPr>
        <w:numId w:val="32"/>
      </w:numPr>
    </w:pPr>
  </w:style>
  <w:style w:type="paragraph" w:styleId="ListNumber4">
    <w:name w:val="List Number 4"/>
    <w:basedOn w:val="Normal"/>
    <w:semiHidden/>
    <w:rsid w:val="00494F64"/>
    <w:pPr>
      <w:numPr>
        <w:numId w:val="33"/>
      </w:numPr>
    </w:pPr>
  </w:style>
  <w:style w:type="paragraph" w:styleId="ListNumber5">
    <w:name w:val="List Number 5"/>
    <w:basedOn w:val="Normal"/>
    <w:semiHidden/>
    <w:rsid w:val="00494F64"/>
    <w:pPr>
      <w:numPr>
        <w:numId w:val="34"/>
      </w:numPr>
    </w:pPr>
  </w:style>
  <w:style w:type="paragraph" w:styleId="ListBullet">
    <w:name w:val="List Bullet"/>
    <w:basedOn w:val="Normal"/>
    <w:semiHidden/>
    <w:rsid w:val="00494F64"/>
    <w:pPr>
      <w:numPr>
        <w:numId w:val="25"/>
      </w:numPr>
    </w:pPr>
  </w:style>
  <w:style w:type="paragraph" w:styleId="ListBullet2">
    <w:name w:val="List Bullet 2"/>
    <w:basedOn w:val="Normal"/>
    <w:semiHidden/>
    <w:rsid w:val="00494F64"/>
    <w:pPr>
      <w:numPr>
        <w:numId w:val="26"/>
      </w:numPr>
    </w:pPr>
  </w:style>
  <w:style w:type="paragraph" w:styleId="ListBullet3">
    <w:name w:val="List Bullet 3"/>
    <w:basedOn w:val="Normal"/>
    <w:semiHidden/>
    <w:rsid w:val="00494F64"/>
    <w:pPr>
      <w:numPr>
        <w:numId w:val="27"/>
      </w:numPr>
    </w:pPr>
  </w:style>
  <w:style w:type="paragraph" w:styleId="ListBullet4">
    <w:name w:val="List Bullet 4"/>
    <w:basedOn w:val="Normal"/>
    <w:semiHidden/>
    <w:rsid w:val="00494F64"/>
    <w:pPr>
      <w:numPr>
        <w:numId w:val="28"/>
      </w:numPr>
    </w:pPr>
  </w:style>
  <w:style w:type="paragraph" w:styleId="ListBullet5">
    <w:name w:val="List Bullet 5"/>
    <w:basedOn w:val="Normal"/>
    <w:semiHidden/>
    <w:rsid w:val="00494F64"/>
    <w:pPr>
      <w:numPr>
        <w:numId w:val="29"/>
      </w:numPr>
    </w:pPr>
  </w:style>
  <w:style w:type="character" w:styleId="HTMLTypewriter">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LineNumber">
    <w:name w:val="line number"/>
    <w:basedOn w:val="DefaultParagraphFont"/>
    <w:semiHidden/>
    <w:rsid w:val="00494F64"/>
  </w:style>
  <w:style w:type="character" w:styleId="PageNumber">
    <w:name w:val="page number"/>
    <w:aliases w:val="7_G"/>
    <w:uiPriority w:val="3"/>
    <w:qFormat/>
    <w:rsid w:val="00494F64"/>
    <w:rPr>
      <w:b/>
      <w:sz w:val="18"/>
    </w:rPr>
  </w:style>
  <w:style w:type="character" w:styleId="EndnoteReference">
    <w:name w:val="endnote reference"/>
    <w:aliases w:val="1_G"/>
    <w:uiPriority w:val="3"/>
    <w:qFormat/>
    <w:rsid w:val="00494F64"/>
    <w:rPr>
      <w:rFonts w:ascii="Times New Roman" w:hAnsi="Times New Roman"/>
      <w:sz w:val="18"/>
      <w:vertAlign w:val="superscript"/>
    </w:rPr>
  </w:style>
  <w:style w:type="paragraph" w:styleId="EnvelopeReturn">
    <w:name w:val="envelope return"/>
    <w:basedOn w:val="Normal"/>
    <w:semiHidden/>
    <w:rsid w:val="00494F64"/>
    <w:rPr>
      <w:rFonts w:ascii="Arial" w:hAnsi="Arial" w:cs="Arial"/>
    </w:rPr>
  </w:style>
  <w:style w:type="paragraph" w:styleId="Salutation">
    <w:name w:val="Salutation"/>
    <w:basedOn w:val="Normal"/>
    <w:next w:val="Normal"/>
    <w:link w:val="SalutationChar"/>
    <w:semiHidden/>
    <w:rsid w:val="00494F64"/>
  </w:style>
  <w:style w:type="paragraph" w:styleId="BodyTextIndent2">
    <w:name w:val="Body Text Indent 2"/>
    <w:basedOn w:val="Normal"/>
    <w:link w:val="BodyTextIndent2Char"/>
    <w:semiHidden/>
    <w:rsid w:val="00494F64"/>
    <w:pPr>
      <w:spacing w:after="120" w:line="480" w:lineRule="auto"/>
      <w:ind w:left="283"/>
    </w:pPr>
  </w:style>
  <w:style w:type="paragraph" w:styleId="BodyTextIndent3">
    <w:name w:val="Body Text Indent 3"/>
    <w:basedOn w:val="Normal"/>
    <w:link w:val="BodyTextIndent3Char"/>
    <w:semiHidden/>
    <w:rsid w:val="00494F64"/>
    <w:pPr>
      <w:spacing w:after="120"/>
      <w:ind w:left="283"/>
    </w:pPr>
    <w:rPr>
      <w:sz w:val="16"/>
      <w:szCs w:val="16"/>
    </w:rPr>
  </w:style>
  <w:style w:type="paragraph" w:styleId="BodyTextIndent">
    <w:name w:val="Body Text Indent"/>
    <w:basedOn w:val="Normal"/>
    <w:link w:val="BodyTextIndentChar"/>
    <w:semiHidden/>
    <w:rsid w:val="00494F64"/>
    <w:pPr>
      <w:spacing w:after="120"/>
      <w:ind w:left="283"/>
    </w:pPr>
  </w:style>
  <w:style w:type="paragraph" w:styleId="NormalIndent">
    <w:name w:val="Normal Indent"/>
    <w:basedOn w:val="Normal"/>
    <w:semiHidden/>
    <w:rsid w:val="00494F64"/>
    <w:pPr>
      <w:ind w:left="567"/>
    </w:pPr>
  </w:style>
  <w:style w:type="paragraph" w:styleId="Subtitle">
    <w:name w:val="Subtitle"/>
    <w:basedOn w:val="Normal"/>
    <w:link w:val="SubtitleChar"/>
    <w:rsid w:val="00494F64"/>
    <w:pPr>
      <w:spacing w:after="60"/>
      <w:jc w:val="center"/>
      <w:outlineLvl w:val="1"/>
    </w:pPr>
    <w:rPr>
      <w:rFonts w:ascii="Arial" w:hAnsi="Arial" w:cs="Arial"/>
      <w:sz w:val="24"/>
      <w:szCs w:val="24"/>
    </w:rPr>
  </w:style>
  <w:style w:type="table" w:styleId="TableSimple1">
    <w:name w:val="Table Simple 1"/>
    <w:basedOn w:val="Table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494F64"/>
    <w:rPr>
      <w:rFonts w:ascii="Courier New" w:hAnsi="Courier New" w:cs="Courier New"/>
      <w:sz w:val="20"/>
      <w:szCs w:val="20"/>
    </w:rPr>
  </w:style>
  <w:style w:type="paragraph" w:styleId="BlockText">
    <w:name w:val="Block Text"/>
    <w:basedOn w:val="Normal"/>
    <w:semiHidden/>
    <w:rsid w:val="00494F64"/>
    <w:pPr>
      <w:spacing w:after="120"/>
      <w:ind w:left="1440" w:right="1440"/>
    </w:pPr>
  </w:style>
  <w:style w:type="character" w:styleId="Strong">
    <w:name w:val="Strong"/>
    <w:semiHidden/>
    <w:rsid w:val="00494F64"/>
    <w:rPr>
      <w:b/>
      <w:bCs/>
    </w:rPr>
  </w:style>
  <w:style w:type="paragraph" w:styleId="BodyText">
    <w:name w:val="Body Text"/>
    <w:basedOn w:val="Normal"/>
    <w:link w:val="BodyTextChar"/>
    <w:semiHidden/>
    <w:rsid w:val="00494F64"/>
    <w:pPr>
      <w:spacing w:after="120"/>
    </w:pPr>
  </w:style>
  <w:style w:type="paragraph" w:styleId="BodyText2">
    <w:name w:val="Body Text 2"/>
    <w:basedOn w:val="Normal"/>
    <w:link w:val="BodyText2Char"/>
    <w:semiHidden/>
    <w:rsid w:val="00494F64"/>
    <w:pPr>
      <w:spacing w:after="120" w:line="480" w:lineRule="auto"/>
    </w:pPr>
  </w:style>
  <w:style w:type="paragraph" w:styleId="BodyText3">
    <w:name w:val="Body Text 3"/>
    <w:basedOn w:val="Normal"/>
    <w:link w:val="BodyText3Char"/>
    <w:semiHidden/>
    <w:rsid w:val="00494F64"/>
    <w:pPr>
      <w:spacing w:after="120"/>
    </w:pPr>
    <w:rPr>
      <w:sz w:val="16"/>
      <w:szCs w:val="16"/>
    </w:rPr>
  </w:style>
  <w:style w:type="paragraph" w:styleId="BodyTextFirstIndent">
    <w:name w:val="Body Text First Indent"/>
    <w:basedOn w:val="BodyText"/>
    <w:link w:val="BodyTextFirstIndentChar"/>
    <w:semiHidden/>
    <w:rsid w:val="00494F64"/>
    <w:pPr>
      <w:ind w:firstLine="210"/>
    </w:pPr>
  </w:style>
  <w:style w:type="paragraph" w:styleId="BodyTextFirstIndent2">
    <w:name w:val="Body Text First Indent 2"/>
    <w:basedOn w:val="BodyTextIndent"/>
    <w:link w:val="BodyTextFirstIndent2Char"/>
    <w:semiHidden/>
    <w:rsid w:val="00494F64"/>
    <w:pPr>
      <w:ind w:firstLine="210"/>
    </w:pPr>
  </w:style>
  <w:style w:type="paragraph" w:styleId="EndnoteText">
    <w:name w:val="endnote text"/>
    <w:aliases w:val="2_G"/>
    <w:basedOn w:val="FootnoteText"/>
    <w:link w:val="EndnoteTextChar"/>
    <w:uiPriority w:val="3"/>
    <w:qFormat/>
    <w:rsid w:val="00494F64"/>
  </w:style>
  <w:style w:type="paragraph" w:styleId="PlainText">
    <w:name w:val="Plain Text"/>
    <w:basedOn w:val="Normal"/>
    <w:link w:val="PlainTextChar"/>
    <w:semiHidden/>
    <w:rsid w:val="00494F64"/>
    <w:rPr>
      <w:rFonts w:ascii="Courier New" w:hAnsi="Courier New" w:cs="Courier New"/>
    </w:rPr>
  </w:style>
  <w:style w:type="paragraph" w:styleId="Title">
    <w:name w:val="Title"/>
    <w:basedOn w:val="Normal"/>
    <w:link w:val="TitleChar"/>
    <w:semiHidden/>
    <w:rsid w:val="00494F64"/>
    <w:pPr>
      <w:spacing w:before="240" w:after="60"/>
      <w:jc w:val="center"/>
      <w:outlineLvl w:val="0"/>
    </w:pPr>
    <w:rPr>
      <w:rFonts w:ascii="Arial" w:hAnsi="Arial" w:cs="Arial"/>
      <w:b/>
      <w:bCs/>
      <w:kern w:val="28"/>
      <w:sz w:val="32"/>
      <w:szCs w:val="32"/>
    </w:rPr>
  </w:style>
  <w:style w:type="character" w:styleId="HTMLVariable">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unhideWhenUsed/>
    <w:rsid w:val="00494F6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494F64"/>
    <w:rPr>
      <w:lang w:val="es-ES" w:eastAsia="es-ES"/>
    </w:rPr>
  </w:style>
  <w:style w:type="character" w:customStyle="1" w:styleId="BodyText2Char">
    <w:name w:val="Body Text 2 Char"/>
    <w:basedOn w:val="DefaultParagraphFont"/>
    <w:link w:val="BodyText2"/>
    <w:semiHidden/>
    <w:rsid w:val="00494F64"/>
    <w:rPr>
      <w:lang w:val="es-ES" w:eastAsia="es-ES"/>
    </w:rPr>
  </w:style>
  <w:style w:type="character" w:customStyle="1" w:styleId="BodyText3Char">
    <w:name w:val="Body Text 3 Char"/>
    <w:basedOn w:val="DefaultParagraphFont"/>
    <w:link w:val="BodyText3"/>
    <w:semiHidden/>
    <w:rsid w:val="00494F64"/>
    <w:rPr>
      <w:sz w:val="16"/>
      <w:szCs w:val="16"/>
      <w:lang w:val="es-ES" w:eastAsia="es-ES"/>
    </w:rPr>
  </w:style>
  <w:style w:type="character" w:customStyle="1" w:styleId="BodyTextFirstIndentChar">
    <w:name w:val="Body Text First Indent Char"/>
    <w:basedOn w:val="BodyTextChar"/>
    <w:link w:val="BodyTextFirstIndent"/>
    <w:semiHidden/>
    <w:rsid w:val="00494F64"/>
    <w:rPr>
      <w:lang w:val="es-ES" w:eastAsia="es-ES"/>
    </w:rPr>
  </w:style>
  <w:style w:type="character" w:customStyle="1" w:styleId="BodyTextIndentChar">
    <w:name w:val="Body Text Indent Char"/>
    <w:basedOn w:val="DefaultParagraphFont"/>
    <w:link w:val="BodyTextIndent"/>
    <w:semiHidden/>
    <w:rsid w:val="00494F64"/>
    <w:rPr>
      <w:lang w:val="es-ES" w:eastAsia="es-ES"/>
    </w:rPr>
  </w:style>
  <w:style w:type="character" w:customStyle="1" w:styleId="BodyTextFirstIndent2Char">
    <w:name w:val="Body Text First Indent 2 Char"/>
    <w:basedOn w:val="BodyTextIndentChar"/>
    <w:link w:val="BodyTextFirstIndent2"/>
    <w:semiHidden/>
    <w:rsid w:val="00494F64"/>
    <w:rPr>
      <w:lang w:val="es-ES" w:eastAsia="es-ES"/>
    </w:rPr>
  </w:style>
  <w:style w:type="character" w:customStyle="1" w:styleId="BodyTextIndent2Char">
    <w:name w:val="Body Text Indent 2 Char"/>
    <w:basedOn w:val="DefaultParagraphFont"/>
    <w:link w:val="BodyTextIndent2"/>
    <w:semiHidden/>
    <w:rsid w:val="00494F64"/>
    <w:rPr>
      <w:lang w:val="es-ES" w:eastAsia="es-ES"/>
    </w:rPr>
  </w:style>
  <w:style w:type="character" w:customStyle="1" w:styleId="BodyTextIndent3Char">
    <w:name w:val="Body Text Indent 3 Char"/>
    <w:basedOn w:val="DefaultParagraphFont"/>
    <w:link w:val="BodyTextIndent3"/>
    <w:semiHidden/>
    <w:rsid w:val="00494F64"/>
    <w:rPr>
      <w:sz w:val="16"/>
      <w:szCs w:val="16"/>
      <w:lang w:val="es-ES" w:eastAsia="es-ES"/>
    </w:rPr>
  </w:style>
  <w:style w:type="character" w:customStyle="1" w:styleId="ClosingChar">
    <w:name w:val="Closing Char"/>
    <w:basedOn w:val="DefaultParagraphFont"/>
    <w:link w:val="Closing"/>
    <w:semiHidden/>
    <w:rsid w:val="00494F64"/>
    <w:rPr>
      <w:lang w:val="es-ES" w:eastAsia="es-ES"/>
    </w:rPr>
  </w:style>
  <w:style w:type="character" w:customStyle="1" w:styleId="DateChar">
    <w:name w:val="Date Char"/>
    <w:basedOn w:val="DefaultParagraphFont"/>
    <w:link w:val="Date"/>
    <w:semiHidden/>
    <w:rsid w:val="00494F64"/>
    <w:rPr>
      <w:lang w:val="es-ES" w:eastAsia="es-ES"/>
    </w:rPr>
  </w:style>
  <w:style w:type="character" w:customStyle="1" w:styleId="E-mailSignatureChar">
    <w:name w:val="E-mail Signature Char"/>
    <w:basedOn w:val="DefaultParagraphFont"/>
    <w:link w:val="E-mailSignature"/>
    <w:semiHidden/>
    <w:rsid w:val="00494F64"/>
    <w:rPr>
      <w:lang w:val="es-ES" w:eastAsia="es-ES"/>
    </w:rPr>
  </w:style>
  <w:style w:type="character" w:customStyle="1" w:styleId="FootnoteTextChar">
    <w:name w:val="Footnote Text Char"/>
    <w:aliases w:val="5_G Char"/>
    <w:basedOn w:val="DefaultParagraphFont"/>
    <w:link w:val="FootnoteText"/>
    <w:uiPriority w:val="3"/>
    <w:rsid w:val="00494F64"/>
    <w:rPr>
      <w:sz w:val="18"/>
      <w:lang w:val="es-ES" w:eastAsia="es-ES"/>
    </w:rPr>
  </w:style>
  <w:style w:type="character" w:customStyle="1" w:styleId="EndnoteTextChar">
    <w:name w:val="Endnote Text Char"/>
    <w:aliases w:val="2_G Char"/>
    <w:basedOn w:val="DefaultParagraphFont"/>
    <w:link w:val="EndnoteText"/>
    <w:uiPriority w:val="3"/>
    <w:rsid w:val="00494F64"/>
    <w:rPr>
      <w:sz w:val="18"/>
      <w:lang w:val="es-ES" w:eastAsia="es-ES"/>
    </w:rPr>
  </w:style>
  <w:style w:type="character" w:customStyle="1" w:styleId="FooterChar">
    <w:name w:val="Footer Char"/>
    <w:aliases w:val="3_G Char"/>
    <w:basedOn w:val="DefaultParagraphFont"/>
    <w:link w:val="Footer"/>
    <w:uiPriority w:val="3"/>
    <w:rsid w:val="00494F64"/>
    <w:rPr>
      <w:sz w:val="16"/>
      <w:lang w:val="es-ES" w:eastAsia="es-ES"/>
    </w:rPr>
  </w:style>
  <w:style w:type="character" w:customStyle="1" w:styleId="HeaderChar">
    <w:name w:val="Header Char"/>
    <w:aliases w:val="6_G Char"/>
    <w:basedOn w:val="DefaultParagraphFont"/>
    <w:link w:val="Header"/>
    <w:uiPriority w:val="3"/>
    <w:rsid w:val="00494F64"/>
    <w:rPr>
      <w:b/>
      <w:sz w:val="18"/>
      <w:lang w:val="es-ES" w:eastAsia="es-ES"/>
    </w:rPr>
  </w:style>
  <w:style w:type="character" w:customStyle="1" w:styleId="Heading1Char">
    <w:name w:val="Heading 1 Char"/>
    <w:aliases w:val="Cuadro_G Char,Table_G Char"/>
    <w:basedOn w:val="DefaultParagraphFont"/>
    <w:link w:val="Heading1"/>
    <w:uiPriority w:val="9"/>
    <w:rsid w:val="00494F64"/>
    <w:rPr>
      <w:lang w:val="fr-CH" w:eastAsia="en-US"/>
    </w:rPr>
  </w:style>
  <w:style w:type="character" w:customStyle="1" w:styleId="HTMLAddressChar">
    <w:name w:val="HTML Address Char"/>
    <w:basedOn w:val="DefaultParagraphFont"/>
    <w:link w:val="HTMLAddress"/>
    <w:semiHidden/>
    <w:rsid w:val="00494F64"/>
    <w:rPr>
      <w:i/>
      <w:iCs/>
      <w:lang w:val="es-ES" w:eastAsia="es-ES"/>
    </w:rPr>
  </w:style>
  <w:style w:type="character" w:customStyle="1" w:styleId="HTMLPreformattedChar">
    <w:name w:val="HTML Preformatted Char"/>
    <w:basedOn w:val="DefaultParagraphFont"/>
    <w:link w:val="HTMLPreformatted"/>
    <w:semiHidden/>
    <w:rsid w:val="00494F64"/>
    <w:rPr>
      <w:rFonts w:ascii="Courier New" w:hAnsi="Courier New" w:cs="Courier New"/>
      <w:lang w:val="es-ES" w:eastAsia="es-ES"/>
    </w:rPr>
  </w:style>
  <w:style w:type="character" w:styleId="IntenseEmphasis">
    <w:name w:val="Intense Emphasis"/>
    <w:uiPriority w:val="21"/>
    <w:semiHidden/>
    <w:rsid w:val="00494F64"/>
    <w:rPr>
      <w:b/>
      <w:bCs/>
      <w:i/>
      <w:iCs/>
      <w:color w:val="4F81BD"/>
    </w:rPr>
  </w:style>
  <w:style w:type="paragraph" w:styleId="IntenseQuote">
    <w:name w:val="Intense Quote"/>
    <w:basedOn w:val="Normal"/>
    <w:next w:val="Normal"/>
    <w:link w:val="IntenseQuoteChar"/>
    <w:uiPriority w:val="30"/>
    <w:semiHidden/>
    <w:rsid w:val="00494F64"/>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494F64"/>
    <w:rPr>
      <w:b/>
      <w:bCs/>
      <w:i/>
      <w:iCs/>
      <w:color w:val="4F81BD"/>
      <w:lang w:val="es-ES" w:eastAsia="es-ES"/>
    </w:rPr>
  </w:style>
  <w:style w:type="character" w:customStyle="1" w:styleId="MessageHeaderChar">
    <w:name w:val="Message Header Char"/>
    <w:basedOn w:val="DefaultParagraphFont"/>
    <w:link w:val="MessageHeader"/>
    <w:semiHidden/>
    <w:rsid w:val="00494F64"/>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494F64"/>
    <w:rPr>
      <w:lang w:val="es-ES" w:eastAsia="es-ES"/>
    </w:rPr>
  </w:style>
  <w:style w:type="character" w:customStyle="1" w:styleId="PlainTextChar">
    <w:name w:val="Plain Text Char"/>
    <w:basedOn w:val="DefaultParagraphFont"/>
    <w:link w:val="PlainText"/>
    <w:semiHidden/>
    <w:rsid w:val="00494F64"/>
    <w:rPr>
      <w:rFonts w:ascii="Courier New" w:hAnsi="Courier New" w:cs="Courier New"/>
      <w:lang w:val="es-ES" w:eastAsia="es-ES"/>
    </w:rPr>
  </w:style>
  <w:style w:type="character" w:customStyle="1" w:styleId="SalutationChar">
    <w:name w:val="Salutation Char"/>
    <w:basedOn w:val="DefaultParagraphFont"/>
    <w:link w:val="Salutation"/>
    <w:semiHidden/>
    <w:rsid w:val="00494F64"/>
    <w:rPr>
      <w:lang w:val="es-ES" w:eastAsia="es-ES"/>
    </w:rPr>
  </w:style>
  <w:style w:type="character" w:customStyle="1" w:styleId="SignatureChar">
    <w:name w:val="Signature Char"/>
    <w:basedOn w:val="DefaultParagraphFont"/>
    <w:link w:val="Signature"/>
    <w:semiHidden/>
    <w:rsid w:val="00494F64"/>
    <w:rPr>
      <w:lang w:val="es-ES" w:eastAsia="es-ES"/>
    </w:rPr>
  </w:style>
  <w:style w:type="character" w:customStyle="1" w:styleId="SubtitleChar">
    <w:name w:val="Subtitle Char"/>
    <w:basedOn w:val="DefaultParagraphFont"/>
    <w:link w:val="Subtitle"/>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494F64"/>
    <w:rPr>
      <w:rFonts w:ascii="Arial" w:hAnsi="Arial" w:cs="Arial"/>
      <w:b/>
      <w:bCs/>
      <w:kern w:val="28"/>
      <w:sz w:val="32"/>
      <w:szCs w:val="32"/>
      <w:lang w:val="es-ES" w:eastAsia="es-ES"/>
    </w:rPr>
  </w:style>
  <w:style w:type="paragraph" w:styleId="TO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494F64"/>
    <w:pPr>
      <w:tabs>
        <w:tab w:val="clear" w:pos="851"/>
      </w:tabs>
      <w:ind w:left="1559" w:hanging="425"/>
    </w:pPr>
  </w:style>
  <w:style w:type="paragraph" w:styleId="TOC3">
    <w:name w:val="toc 3"/>
    <w:basedOn w:val="TOC2"/>
    <w:next w:val="Normal"/>
    <w:uiPriority w:val="5"/>
    <w:unhideWhenUsed/>
    <w:rsid w:val="00494F64"/>
    <w:pPr>
      <w:tabs>
        <w:tab w:val="left" w:pos="1985"/>
      </w:tabs>
      <w:ind w:left="1984"/>
    </w:pPr>
  </w:style>
  <w:style w:type="paragraph" w:styleId="TOC4">
    <w:name w:val="toc 4"/>
    <w:basedOn w:val="TOC1"/>
    <w:next w:val="Normal"/>
    <w:uiPriority w:val="5"/>
    <w:unhideWhenUsed/>
    <w:rsid w:val="00494F64"/>
    <w:pPr>
      <w:tabs>
        <w:tab w:val="clear" w:pos="9072"/>
        <w:tab w:val="left" w:leader="dot" w:pos="7938"/>
        <w:tab w:val="right" w:pos="8930"/>
      </w:tabs>
      <w:ind w:right="1701"/>
    </w:pPr>
  </w:style>
  <w:style w:type="paragraph" w:styleId="TOC5">
    <w:name w:val="toc 5"/>
    <w:basedOn w:val="TOC4"/>
    <w:next w:val="Normal"/>
    <w:uiPriority w:val="5"/>
    <w:unhideWhenUsed/>
    <w:rsid w:val="00494F64"/>
    <w:pPr>
      <w:tabs>
        <w:tab w:val="clear" w:pos="851"/>
      </w:tabs>
      <w:ind w:left="1559" w:hanging="425"/>
    </w:pPr>
  </w:style>
  <w:style w:type="paragraph" w:styleId="TOC6">
    <w:name w:val="toc 6"/>
    <w:basedOn w:val="TOC5"/>
    <w:next w:val="Normal"/>
    <w:uiPriority w:val="5"/>
    <w:unhideWhenUsed/>
    <w:rsid w:val="00494F64"/>
    <w:pPr>
      <w:tabs>
        <w:tab w:val="left" w:pos="1985"/>
      </w:tabs>
      <w:ind w:left="1984"/>
    </w:pPr>
  </w:style>
  <w:style w:type="character" w:customStyle="1" w:styleId="Heading3Char">
    <w:name w:val="Heading 3 Char"/>
    <w:basedOn w:val="DefaultParagraphFont"/>
    <w:link w:val="Heading3"/>
    <w:semiHidden/>
    <w:rsid w:val="00CF64F3"/>
    <w:rPr>
      <w:rFonts w:ascii="Arial" w:hAnsi="Arial" w:cs="Arial"/>
      <w:b/>
      <w:bCs/>
      <w:sz w:val="26"/>
      <w:szCs w:val="26"/>
      <w:lang w:val="es-ES" w:eastAsia="es-ES"/>
    </w:rPr>
  </w:style>
  <w:style w:type="paragraph" w:styleId="CommentText">
    <w:name w:val="annotation text"/>
    <w:basedOn w:val="Normal"/>
    <w:link w:val="CommentTextChar"/>
    <w:semiHidden/>
    <w:unhideWhenUsed/>
    <w:rsid w:val="00CF64F3"/>
    <w:pPr>
      <w:suppressAutoHyphens/>
      <w:spacing w:line="240" w:lineRule="auto"/>
    </w:pPr>
    <w:rPr>
      <w:rFonts w:eastAsia="SimSun"/>
      <w:lang w:val="en-GB" w:eastAsia="en-US"/>
    </w:rPr>
  </w:style>
  <w:style w:type="character" w:customStyle="1" w:styleId="CommentTextChar">
    <w:name w:val="Comment Text Char"/>
    <w:basedOn w:val="DefaultParagraphFont"/>
    <w:link w:val="CommentText"/>
    <w:semiHidden/>
    <w:rsid w:val="00CF64F3"/>
    <w:rPr>
      <w:rFonts w:eastAsia="SimSun"/>
      <w:lang w:val="en-GB" w:eastAsia="en-US"/>
    </w:rPr>
  </w:style>
  <w:style w:type="character" w:styleId="CommentReference">
    <w:name w:val="annotation reference"/>
    <w:basedOn w:val="DefaultParagraphFont"/>
    <w:semiHidden/>
    <w:unhideWhenUsed/>
    <w:rsid w:val="00CF64F3"/>
    <w:rPr>
      <w:sz w:val="16"/>
      <w:szCs w:val="16"/>
    </w:rPr>
  </w:style>
  <w:style w:type="character" w:styleId="UnresolvedMention">
    <w:name w:val="Unresolved Mention"/>
    <w:basedOn w:val="DefaultParagraphFont"/>
    <w:uiPriority w:val="99"/>
    <w:semiHidden/>
    <w:unhideWhenUsed/>
    <w:rsid w:val="00CF64F3"/>
    <w:rPr>
      <w:color w:val="605E5C"/>
      <w:shd w:val="clear" w:color="auto" w:fill="E1DFDD"/>
    </w:rPr>
  </w:style>
  <w:style w:type="paragraph" w:styleId="CommentSubject">
    <w:name w:val="annotation subject"/>
    <w:basedOn w:val="CommentText"/>
    <w:next w:val="CommentText"/>
    <w:link w:val="CommentSubjectChar"/>
    <w:semiHidden/>
    <w:unhideWhenUsed/>
    <w:rsid w:val="00CF64F3"/>
    <w:rPr>
      <w:b/>
      <w:bCs/>
    </w:rPr>
  </w:style>
  <w:style w:type="character" w:customStyle="1" w:styleId="CommentSubjectChar">
    <w:name w:val="Comment Subject Char"/>
    <w:basedOn w:val="CommentTextChar"/>
    <w:link w:val="CommentSubject"/>
    <w:semiHidden/>
    <w:rsid w:val="00CF64F3"/>
    <w:rPr>
      <w:rFonts w:eastAsia="SimSu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msf.gov.sg/opg/Lists/Guides/Attachments/3/10813_LPA%20Donee%20Guidebooks%20EL.pdf" TargetMode="External"/><Relationship Id="rId2" Type="http://schemas.openxmlformats.org/officeDocument/2006/relationships/hyperlink" Target="https://msf.gov.sg/opg/Documents/CSC.MSF.OPGWebsite/Documents/Code_of_Practice_Oct16_final.pdf" TargetMode="External"/><Relationship Id="rId1" Type="http://schemas.openxmlformats.org/officeDocument/2006/relationships/hyperlink" Target="http://public.tableau.com/profile/ssib" TargetMode="External"/><Relationship Id="rId6" Type="http://schemas.openxmlformats.org/officeDocument/2006/relationships/hyperlink" Target="https://youtu.be/n0WdkpvdyPs" TargetMode="External"/><Relationship Id="rId5" Type="http://schemas.openxmlformats.org/officeDocument/2006/relationships/hyperlink" Target="https://www.aic.sg/sites/silverpagesassets/SilverPages%20Assets/Publications%20(NextStep)/NEXTSTEP%202018%20Issue%2003.pdf" TargetMode="External"/><Relationship Id="rId4" Type="http://schemas.openxmlformats.org/officeDocument/2006/relationships/hyperlink" Target="https://www.msf.gov.sg/opg/Pages/Dental-Services-for-Patients-with-Special-Needs-and-the-Elderly.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19</TotalTime>
  <Pages>35</Pages>
  <Words>14209</Words>
  <Characters>80997</Characters>
  <Application>Microsoft Office Word</Application>
  <DocSecurity>0</DocSecurity>
  <Lines>674</Lines>
  <Paragraphs>190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CRPD/C/SGP/RQ/1</vt:lpstr>
      <vt:lpstr>CRPD/C/SGP/RQ/1</vt:lpstr>
    </vt:vector>
  </TitlesOfParts>
  <Company/>
  <LinksUpToDate>false</LinksUpToDate>
  <CharactersWithSpaces>95016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CRPD/C/SGP/RQ/1</dc:title>
  <dc:subject/>
  <dc:creator>Luz Maria URQUIZU MARROQUIN</dc:creator>
  <cp:keywords/>
  <cp:lastModifiedBy>Maria Luisa Zeballos Moreno</cp:lastModifiedBy>
  <cp:revision>3</cp:revision>
  <cp:lastPrinted>2021-06-09T10:33:00Z</cp:lastPrinted>
  <dcterms:created xsi:type="dcterms:W3CDTF">2021-06-09T10:32:00Z</dcterms:created>
  <dcterms:modified xsi:type="dcterms:W3CDTF">2021-06-09T10:49:00Z</dcterms:modified>
</cp:coreProperties>
</file>