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398"/>
        <w:gridCol w:w="2142"/>
        <w:gridCol w:w="2819"/>
      </w:tblGrid>
      <w:tr w:rsidR="002D5AAC" w14:paraId="749D40FF" w14:textId="77777777" w:rsidTr="00865660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14:paraId="3C0D1E0C" w14:textId="77777777" w:rsidR="002D5AAC" w:rsidRDefault="002D5AAC" w:rsidP="00291BA7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14:paraId="5E467844" w14:textId="77777777" w:rsidR="002D5AAC" w:rsidRPr="00BD33EE" w:rsidRDefault="00DF71B9" w:rsidP="00782C09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61" w:type="dxa"/>
            <w:gridSpan w:val="2"/>
            <w:tcBorders>
              <w:bottom w:val="single" w:sz="4" w:space="0" w:color="auto"/>
            </w:tcBorders>
            <w:vAlign w:val="bottom"/>
          </w:tcPr>
          <w:p w14:paraId="5080B499" w14:textId="77777777" w:rsidR="002D5AAC" w:rsidRDefault="00291BA7" w:rsidP="00291BA7">
            <w:pPr>
              <w:jc w:val="right"/>
            </w:pPr>
            <w:r w:rsidRPr="00291BA7">
              <w:rPr>
                <w:sz w:val="40"/>
              </w:rPr>
              <w:t>A</w:t>
            </w:r>
            <w:r>
              <w:t>/HRC/RES/45/17</w:t>
            </w:r>
          </w:p>
        </w:tc>
      </w:tr>
      <w:tr w:rsidR="002D5AAC" w:rsidRPr="00621F42" w14:paraId="64892B3A" w14:textId="77777777" w:rsidTr="00782C09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4FD37AA9" w14:textId="77777777" w:rsidR="002D5AAC" w:rsidRDefault="002E5067" w:rsidP="00782C09">
            <w:pPr>
              <w:spacing w:before="120"/>
              <w:jc w:val="center"/>
            </w:pPr>
            <w:r>
              <w:rPr>
                <w:noProof/>
                <w:lang w:val="fr-CH" w:eastAsia="fr-CH"/>
              </w:rPr>
              <w:drawing>
                <wp:inline distT="0" distB="0" distL="0" distR="0" wp14:anchorId="57C30276" wp14:editId="6F424DB8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7F158154" w14:textId="77777777" w:rsidR="002D5AAC" w:rsidRPr="00033EE1" w:rsidRDefault="00DF71B9" w:rsidP="00782C09">
            <w:pPr>
              <w:spacing w:before="120" w:line="360" w:lineRule="exact"/>
              <w:rPr>
                <w:b/>
                <w:sz w:val="34"/>
                <w:szCs w:val="34"/>
              </w:rPr>
            </w:pPr>
            <w:r w:rsidRPr="006F285F">
              <w:rPr>
                <w:b/>
                <w:spacing w:val="-4"/>
                <w:sz w:val="40"/>
                <w:szCs w:val="40"/>
              </w:rPr>
              <w:t>Генеральная Ассамблея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14:paraId="770F6ED8" w14:textId="77777777" w:rsidR="002D5AAC" w:rsidRDefault="00291BA7" w:rsidP="00782C09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Distr.: General</w:t>
            </w:r>
          </w:p>
          <w:p w14:paraId="261C5413" w14:textId="77777777" w:rsidR="00291BA7" w:rsidRDefault="00291BA7" w:rsidP="00291BA7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9 October 2020</w:t>
            </w:r>
          </w:p>
          <w:p w14:paraId="27D21D44" w14:textId="77777777" w:rsidR="00291BA7" w:rsidRDefault="00291BA7" w:rsidP="00291BA7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14:paraId="42B994AB" w14:textId="77777777" w:rsidR="00291BA7" w:rsidRPr="00E71476" w:rsidRDefault="00291BA7" w:rsidP="00291BA7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Original: English</w:t>
            </w:r>
          </w:p>
        </w:tc>
      </w:tr>
    </w:tbl>
    <w:p w14:paraId="7D4C385E" w14:textId="77777777" w:rsidR="00291BA7" w:rsidRPr="00291BA7" w:rsidRDefault="00DF71B9" w:rsidP="006F0B59">
      <w:pPr>
        <w:spacing w:before="120"/>
        <w:rPr>
          <w:b/>
          <w:sz w:val="24"/>
          <w:szCs w:val="24"/>
        </w:rPr>
      </w:pPr>
      <w:r w:rsidRPr="001313C8">
        <w:rPr>
          <w:b/>
          <w:sz w:val="24"/>
          <w:szCs w:val="24"/>
        </w:rPr>
        <w:t>Совет по правам человека</w:t>
      </w:r>
    </w:p>
    <w:p w14:paraId="701B685B" w14:textId="77777777" w:rsidR="00291BA7" w:rsidRPr="00961A6E" w:rsidRDefault="00291BA7" w:rsidP="00291BA7">
      <w:pPr>
        <w:rPr>
          <w:b/>
        </w:rPr>
      </w:pPr>
      <w:r>
        <w:rPr>
          <w:b/>
          <w:bCs/>
        </w:rPr>
        <w:t>Сорок пятая сессия</w:t>
      </w:r>
    </w:p>
    <w:p w14:paraId="667F4EC9" w14:textId="77777777" w:rsidR="00291BA7" w:rsidRPr="00961A6E" w:rsidRDefault="00291BA7" w:rsidP="00291BA7">
      <w:r>
        <w:t>14 сентября — 7 октября 2020 года</w:t>
      </w:r>
    </w:p>
    <w:p w14:paraId="3CFE6C3B" w14:textId="77777777" w:rsidR="00291BA7" w:rsidRPr="00961A6E" w:rsidRDefault="00291BA7" w:rsidP="00291BA7">
      <w:r>
        <w:t>Пункт 3 повестки дня</w:t>
      </w:r>
    </w:p>
    <w:p w14:paraId="078AECE7" w14:textId="77777777" w:rsidR="00291BA7" w:rsidRPr="00961A6E" w:rsidRDefault="00291BA7" w:rsidP="00291BA7">
      <w:pPr>
        <w:rPr>
          <w:b/>
        </w:rPr>
      </w:pPr>
      <w:r>
        <w:rPr>
          <w:b/>
          <w:bCs/>
        </w:rPr>
        <w:t xml:space="preserve">Поощрение и защита всех прав человека, </w:t>
      </w:r>
      <w:r>
        <w:rPr>
          <w:b/>
          <w:bCs/>
        </w:rPr>
        <w:br/>
        <w:t xml:space="preserve">гражданских, политических, экономических, </w:t>
      </w:r>
      <w:r>
        <w:rPr>
          <w:b/>
          <w:bCs/>
        </w:rPr>
        <w:br/>
        <w:t xml:space="preserve">социальных и культурных прав, </w:t>
      </w:r>
      <w:r>
        <w:rPr>
          <w:b/>
          <w:bCs/>
        </w:rPr>
        <w:br/>
        <w:t>включая право на развитие</w:t>
      </w:r>
    </w:p>
    <w:p w14:paraId="77AF08BF" w14:textId="77777777" w:rsidR="00291BA7" w:rsidRPr="00961A6E" w:rsidRDefault="00291BA7" w:rsidP="00291BA7">
      <w:pPr>
        <w:pStyle w:val="HChG"/>
      </w:pPr>
      <w:r>
        <w:tab/>
      </w:r>
      <w:r>
        <w:tab/>
      </w:r>
      <w:r w:rsidRPr="00291BA7">
        <w:t>Резолюция</w:t>
      </w:r>
      <w:r>
        <w:t>, принятая Советом по правам человека 6</w:t>
      </w:r>
      <w:r>
        <w:rPr>
          <w:lang w:val="en-US"/>
        </w:rPr>
        <w:t> </w:t>
      </w:r>
      <w:r>
        <w:t>октября 2020 года</w:t>
      </w:r>
    </w:p>
    <w:p w14:paraId="10EF7562" w14:textId="77777777" w:rsidR="00291BA7" w:rsidRPr="00961A6E" w:rsidRDefault="00291BA7" w:rsidP="00291BA7">
      <w:pPr>
        <w:pStyle w:val="H1G"/>
      </w:pPr>
      <w:r>
        <w:tab/>
        <w:t>45/17.</w:t>
      </w:r>
      <w:r>
        <w:tab/>
        <w:t>Мандат Специального докладчика по вопросу о последствиях для</w:t>
      </w:r>
      <w:r>
        <w:rPr>
          <w:lang w:val="en-US"/>
        </w:rPr>
        <w:t> </w:t>
      </w:r>
      <w:r>
        <w:t>прав человека экологически обоснованного регулирования и</w:t>
      </w:r>
      <w:r>
        <w:rPr>
          <w:lang w:val="en-US"/>
        </w:rPr>
        <w:t> </w:t>
      </w:r>
      <w:r>
        <w:t>удаления опасных веществ и отходов</w:t>
      </w:r>
    </w:p>
    <w:p w14:paraId="4D76FCF4" w14:textId="77777777" w:rsidR="00291BA7" w:rsidRPr="00291BA7" w:rsidRDefault="00291BA7" w:rsidP="00291BA7">
      <w:pPr>
        <w:pStyle w:val="SingleTxtG"/>
        <w:rPr>
          <w:i/>
          <w:iCs/>
        </w:rPr>
      </w:pPr>
      <w:r>
        <w:tab/>
      </w:r>
      <w:r>
        <w:tab/>
      </w:r>
      <w:r w:rsidRPr="00291BA7">
        <w:rPr>
          <w:i/>
          <w:iCs/>
        </w:rPr>
        <w:t>Совет по правам человека,</w:t>
      </w:r>
    </w:p>
    <w:p w14:paraId="68D2FA00" w14:textId="77777777" w:rsidR="00291BA7" w:rsidRPr="00961A6E" w:rsidRDefault="00291BA7" w:rsidP="00291BA7">
      <w:pPr>
        <w:pStyle w:val="SingleTxtG"/>
      </w:pPr>
      <w:r>
        <w:rPr>
          <w:i/>
          <w:iCs/>
        </w:rPr>
        <w:tab/>
      </w:r>
      <w:r>
        <w:rPr>
          <w:i/>
          <w:iCs/>
        </w:rPr>
        <w:tab/>
        <w:t>руководствуясь</w:t>
      </w:r>
      <w:r>
        <w:t xml:space="preserve"> Уставом Организации Объединенных Наций, Всеобщей декларацией прав человека, Международным пактом об экономических, социальных и культурных правах, Международным пактом о гражданских и политических правах, Венской декларацией и Программой действий и Декларацией о праве на развитие,</w:t>
      </w:r>
    </w:p>
    <w:p w14:paraId="00CDB848" w14:textId="77777777" w:rsidR="00291BA7" w:rsidRPr="00961A6E" w:rsidRDefault="00291BA7" w:rsidP="00291BA7">
      <w:pPr>
        <w:pStyle w:val="SingleTxtG"/>
        <w:ind w:firstLine="567"/>
      </w:pPr>
      <w:r>
        <w:rPr>
          <w:i/>
          <w:iCs/>
        </w:rPr>
        <w:t xml:space="preserve">принимая во внимание </w:t>
      </w:r>
      <w:r>
        <w:t>пункт 6 резолюции 60/251 Генеральной Ассамблеи от 15</w:t>
      </w:r>
      <w:r>
        <w:rPr>
          <w:lang w:val="en-US"/>
        </w:rPr>
        <w:t> </w:t>
      </w:r>
      <w:r>
        <w:t>марта 2006 года,</w:t>
      </w:r>
    </w:p>
    <w:p w14:paraId="6F23534F" w14:textId="77777777" w:rsidR="00291BA7" w:rsidRPr="00961A6E" w:rsidRDefault="00291BA7" w:rsidP="00291BA7">
      <w:pPr>
        <w:pStyle w:val="SingleTxtG"/>
        <w:ind w:firstLine="567"/>
      </w:pPr>
      <w:r>
        <w:rPr>
          <w:i/>
          <w:iCs/>
        </w:rPr>
        <w:t xml:space="preserve">ссылаясь </w:t>
      </w:r>
      <w:r>
        <w:t>на свою резолюцию 5/1 об институциональном строительстве Совета по правам человека от 18 июня 2007 года и резолюцию 5/2 о Кодексе поведения мандатариев специальных процедур Совета от 18 июня 2007 года и подчеркивая, что мандатарий исполняет свои обязанности в соответствии с этими резолюциями и приложениями к ним,</w:t>
      </w:r>
    </w:p>
    <w:p w14:paraId="393FDD89" w14:textId="77777777" w:rsidR="00291BA7" w:rsidRPr="00961A6E" w:rsidRDefault="00291BA7" w:rsidP="00291BA7">
      <w:pPr>
        <w:pStyle w:val="SingleTxtG"/>
        <w:ind w:firstLine="567"/>
      </w:pPr>
      <w:r>
        <w:rPr>
          <w:i/>
          <w:iCs/>
        </w:rPr>
        <w:t>ссылаясь также</w:t>
      </w:r>
      <w:r>
        <w:t xml:space="preserve"> на свои резолюции 9/1 от 24 сентября 2008 года, </w:t>
      </w:r>
      <w:r>
        <w:br/>
        <w:t>18/11 от 29</w:t>
      </w:r>
      <w:r w:rsidRPr="00291BA7">
        <w:t xml:space="preserve"> </w:t>
      </w:r>
      <w:r>
        <w:t>сентября 2011 года, 21/17 от 27 сентября 2012 года, 27/23 от 26 сентября 2014 года и 36/15 от 28 сентября 2017 года и все резолюции Комиссии по правам человека по этому вопросу,</w:t>
      </w:r>
    </w:p>
    <w:p w14:paraId="62229C12" w14:textId="77777777" w:rsidR="00291BA7" w:rsidRPr="00961A6E" w:rsidRDefault="00291BA7" w:rsidP="00291BA7">
      <w:pPr>
        <w:pStyle w:val="SingleTxtG"/>
        <w:ind w:firstLine="567"/>
      </w:pPr>
      <w:r>
        <w:rPr>
          <w:i/>
          <w:iCs/>
        </w:rPr>
        <w:t>ссылаясь далее</w:t>
      </w:r>
      <w:r>
        <w:t xml:space="preserve"> на резолюцию 70/1 Генеральной Ассамблеи от 25 сентября 2015</w:t>
      </w:r>
      <w:r>
        <w:rPr>
          <w:lang w:val="en-US"/>
        </w:rPr>
        <w:t> </w:t>
      </w:r>
      <w:r>
        <w:t>года, в которой Ассамблея приняла Повестку дня в области устойчивого развития на период до 2030 года, включая задачу 12.4 Целей в области устойчивого развития относительно достижения к 2020 году экологически рационального использования опасных химических веществ и отходов на протяжении всего их жизненного цикла в соответствии с международными стандартами, и подтверждая взаимосвязи и комплексный характер всех Целей в области устойчивого развития,</w:t>
      </w:r>
    </w:p>
    <w:p w14:paraId="64CA4D6E" w14:textId="77777777" w:rsidR="00291BA7" w:rsidRPr="00961A6E" w:rsidRDefault="00291BA7" w:rsidP="00291BA7">
      <w:pPr>
        <w:pStyle w:val="SingleTxtG"/>
        <w:pageBreakBefore/>
        <w:ind w:firstLine="567"/>
      </w:pPr>
      <w:r>
        <w:rPr>
          <w:i/>
          <w:iCs/>
        </w:rPr>
        <w:lastRenderedPageBreak/>
        <w:t xml:space="preserve">выражая озабоченность </w:t>
      </w:r>
      <w:r>
        <w:t xml:space="preserve">по поводу ключевого вывода Программы Организации Объединенных Наций по окружающей среде, содержащегося в подготовленном для директивных органов резюме </w:t>
      </w:r>
      <w:r>
        <w:rPr>
          <w:i/>
          <w:iCs/>
        </w:rPr>
        <w:t>Глобальной перспективы в области химических веществ II</w:t>
      </w:r>
      <w:r>
        <w:t>, о том, что глобальная цель сведения к минимуму неблагоприятного воздействия химических веществ и отходов не будет достигнута к 2020 году</w:t>
      </w:r>
      <w:r>
        <w:rPr>
          <w:rStyle w:val="aa"/>
        </w:rPr>
        <w:footnoteReference w:id="1"/>
      </w:r>
      <w:r>
        <w:t>,</w:t>
      </w:r>
    </w:p>
    <w:p w14:paraId="40096E92" w14:textId="77777777" w:rsidR="00291BA7" w:rsidRPr="00961A6E" w:rsidRDefault="00291BA7" w:rsidP="00291BA7">
      <w:pPr>
        <w:pStyle w:val="SingleTxtG"/>
        <w:ind w:firstLine="567"/>
      </w:pPr>
      <w:r>
        <w:rPr>
          <w:i/>
          <w:iCs/>
        </w:rPr>
        <w:t xml:space="preserve">ссылаясь </w:t>
      </w:r>
      <w:r>
        <w:t>на свою резолюцию 42/21 от 26 сентября 2019 года о защите прав работников, подвергающихся воздействию опасных веществ и отходов, в которой она призвала государства, предприятия и други</w:t>
      </w:r>
      <w:r w:rsidR="001903C5">
        <w:t>е</w:t>
      </w:r>
      <w:r>
        <w:t xml:space="preserve"> субъект</w:t>
      </w:r>
      <w:r w:rsidR="001903C5">
        <w:t>ы</w:t>
      </w:r>
      <w:r>
        <w:t xml:space="preserve"> осуществлять 15 принципов, касающихся прав человека и защиты работников от воздействия токсичных веществ</w:t>
      </w:r>
      <w:r>
        <w:rPr>
          <w:rStyle w:val="aa"/>
        </w:rPr>
        <w:footnoteReference w:id="2"/>
      </w:r>
      <w:r>
        <w:t>, с тем чтобы помочь им в деле обеспечения защиты работников от небезопасного воздействия опасных веществ и предоставления средств правовой защиты в случае нарушений прав работников и злоупотреблений ими,</w:t>
      </w:r>
    </w:p>
    <w:p w14:paraId="44E3A94F" w14:textId="77777777" w:rsidR="00291BA7" w:rsidRPr="00961A6E" w:rsidRDefault="00291BA7" w:rsidP="00291BA7">
      <w:pPr>
        <w:pStyle w:val="SingleTxtG"/>
        <w:ind w:firstLine="567"/>
      </w:pPr>
      <w:r>
        <w:rPr>
          <w:i/>
          <w:iCs/>
        </w:rPr>
        <w:t>вновь подтверждая</w:t>
      </w:r>
      <w:r>
        <w:t>, что способ обращения с опасными веществами и отходами на протяжении всего их жизненного цикла, включая производство, распределение, использование и окончательное удаление, может негативно сказываться на полном осуществлении прав человека,</w:t>
      </w:r>
    </w:p>
    <w:p w14:paraId="6CE32678" w14:textId="77777777" w:rsidR="00291BA7" w:rsidRPr="00961A6E" w:rsidRDefault="00291BA7" w:rsidP="00291BA7">
      <w:pPr>
        <w:pStyle w:val="SingleTxtG"/>
        <w:ind w:firstLine="567"/>
      </w:pPr>
      <w:r>
        <w:rPr>
          <w:i/>
          <w:iCs/>
        </w:rPr>
        <w:t>приветствуя</w:t>
      </w:r>
      <w:r>
        <w:t xml:space="preserve"> работу, проделанную в соответствии с его мандатом Специальным докладчиком по вопросу о последствиях для прав человека экологически обоснованного регулирования и удаления опасных веществ и отходов, в том числе в отношении руководящих принципов, касающихся надлежащей практики в области прав человека и опасных веществ и отходов; положения лиц, подвергающихся повышенному риску воздействия, в том числе в детском возрасте, токсичных химических веществ и загрязнения, а также воздействия опасных веществ на работников; права на информацию об опасных веществах и отходах; пестицидов и права на питание; и вопросов прав человека, касающихся всех предприятий, как транснациональных, так и других, в связи с экологически обоснованным регулированием и удалением опасных веществ и отходов,</w:t>
      </w:r>
    </w:p>
    <w:p w14:paraId="6147C393" w14:textId="77777777" w:rsidR="00291BA7" w:rsidRPr="00961A6E" w:rsidRDefault="00291BA7" w:rsidP="00291BA7">
      <w:pPr>
        <w:pStyle w:val="SingleTxtG"/>
        <w:ind w:firstLine="567"/>
      </w:pPr>
      <w:r>
        <w:t>1.</w:t>
      </w:r>
      <w:r>
        <w:tab/>
      </w:r>
      <w:r>
        <w:rPr>
          <w:i/>
          <w:iCs/>
        </w:rPr>
        <w:t>принимает к сведению</w:t>
      </w:r>
      <w:r>
        <w:t xml:space="preserve"> доклад, представленный Специальным докладчиком по вопросу о последствиях для прав человека экологически обоснованного регулирования и удаления опасных веществ и отходов Совету по правам человека на его сорок пятой сессии</w:t>
      </w:r>
      <w:r>
        <w:rPr>
          <w:rStyle w:val="aa"/>
        </w:rPr>
        <w:footnoteReference w:id="3"/>
      </w:r>
      <w:r>
        <w:t>, и просит Специального докладчика в соответствии с его мандатом продолжать представлять подробную актуальную информацию о неблагоприятных последствиях незаконного регулирования и удаления опасных веществ и отходов для полного осуществления прав человека, которая может включать данные о:</w:t>
      </w:r>
    </w:p>
    <w:p w14:paraId="1926D385" w14:textId="77777777" w:rsidR="00291BA7" w:rsidRPr="00961A6E" w:rsidRDefault="00291BA7" w:rsidP="00291BA7">
      <w:pPr>
        <w:pStyle w:val="SingleTxtG"/>
        <w:ind w:firstLine="567"/>
      </w:pPr>
      <w:r>
        <w:t>a)</w:t>
      </w:r>
      <w:r>
        <w:tab/>
        <w:t>негативных последствиях для лиц и групп в уязвимом положении, включая коренные народы;</w:t>
      </w:r>
    </w:p>
    <w:p w14:paraId="018D4520" w14:textId="77777777" w:rsidR="00291BA7" w:rsidRPr="00961A6E" w:rsidRDefault="00291BA7" w:rsidP="00291BA7">
      <w:pPr>
        <w:pStyle w:val="SingleTxtG"/>
        <w:ind w:firstLine="567"/>
      </w:pPr>
      <w:r>
        <w:t>b)</w:t>
      </w:r>
      <w:r>
        <w:tab/>
        <w:t>увязке науки с политикой в отношении рисков, связанных с жизненным циклом опасных веществ и отходов, включая риски для права на свободу выражения мнений, которое включает свободу искать, получать и распространять информацию, а</w:t>
      </w:r>
      <w:r w:rsidR="001903C5">
        <w:t> </w:t>
      </w:r>
      <w:r>
        <w:t>также право пользоваться благами научного прогресса;</w:t>
      </w:r>
    </w:p>
    <w:p w14:paraId="23A18BC2" w14:textId="77777777" w:rsidR="00291BA7" w:rsidRPr="00961A6E" w:rsidRDefault="00291BA7" w:rsidP="00291BA7">
      <w:pPr>
        <w:pStyle w:val="SingleTxtG"/>
        <w:ind w:firstLine="567"/>
      </w:pPr>
      <w:r>
        <w:t>с)</w:t>
      </w:r>
      <w:r>
        <w:tab/>
        <w:t xml:space="preserve">изменениях, пробелах и недостатках в эффективности международных механизмов, регулирующих обращение с опасными веществами и отходами, и их воздействии на осуществление прав человека, в том числе в отношении новых проблем, связанных с регулированием и удалением химических веществ и отходов; </w:t>
      </w:r>
    </w:p>
    <w:p w14:paraId="077B4E9F" w14:textId="77777777" w:rsidR="00291BA7" w:rsidRPr="00961A6E" w:rsidRDefault="00291BA7" w:rsidP="00291BA7">
      <w:pPr>
        <w:pStyle w:val="SingleTxtG"/>
        <w:ind w:firstLine="567"/>
      </w:pPr>
      <w:r>
        <w:t>d)</w:t>
      </w:r>
      <w:r>
        <w:tab/>
        <w:t>вопрос</w:t>
      </w:r>
      <w:r w:rsidR="001903C5">
        <w:t>ах</w:t>
      </w:r>
      <w:r>
        <w:t xml:space="preserve"> прав человека, касающихся всех предприятий, как транснациональных, так и других, в связи с экологически обоснованным регулированием и удалением опасных веществ и отходов</w:t>
      </w:r>
      <w:r w:rsidR="001903C5">
        <w:t>;</w:t>
      </w:r>
    </w:p>
    <w:p w14:paraId="2083F122" w14:textId="77777777" w:rsidR="00291BA7" w:rsidRPr="00961A6E" w:rsidRDefault="00291BA7" w:rsidP="00291BA7">
      <w:pPr>
        <w:pStyle w:val="SingleTxtG"/>
        <w:ind w:firstLine="567"/>
      </w:pPr>
      <w:r>
        <w:lastRenderedPageBreak/>
        <w:t>2.</w:t>
      </w:r>
      <w:r>
        <w:tab/>
      </w:r>
      <w:r>
        <w:rPr>
          <w:i/>
          <w:iCs/>
        </w:rPr>
        <w:t>постановляет</w:t>
      </w:r>
      <w:r>
        <w:t xml:space="preserve"> продлить на три года мандат Специального докладчика по вопросу о последствиях для прав человека экологически обоснованного регулирования и удаления опасных веществ и отходов и предлагает ему представлять доклады Совету по правам человека в соответствии с его программой работы и ежегодный доклад — Генеральной Ассамблее;</w:t>
      </w:r>
    </w:p>
    <w:p w14:paraId="00C66C80" w14:textId="77777777" w:rsidR="00291BA7" w:rsidRPr="00961A6E" w:rsidRDefault="00291BA7" w:rsidP="00291BA7">
      <w:pPr>
        <w:pStyle w:val="SingleTxtG"/>
        <w:ind w:firstLine="567"/>
      </w:pPr>
      <w:r>
        <w:t>3.</w:t>
      </w:r>
      <w:r>
        <w:tab/>
      </w:r>
      <w:r>
        <w:rPr>
          <w:i/>
          <w:iCs/>
        </w:rPr>
        <w:t xml:space="preserve">рекомендует </w:t>
      </w:r>
      <w:r>
        <w:t>Специальному докладчику продолжать его тесное сотрудничество с Программой Организации Объединенных Наций по окружающей среде, Ассамблеей Организации Объединенных Наций по окружающей среде, такими соответствующими специализированными учреждениями Организации Объединенных Наций, как Всемирная организация здравоохранения и Международная организация труда, и секретариатами международных природоохранных конвенций в целях обеспечения всестороннего учета прав человека в их работе и предупреждения дублирования;</w:t>
      </w:r>
    </w:p>
    <w:p w14:paraId="573D1CBD" w14:textId="77777777" w:rsidR="00291BA7" w:rsidRPr="00961A6E" w:rsidRDefault="00291BA7" w:rsidP="00291BA7">
      <w:pPr>
        <w:pStyle w:val="SingleTxtG"/>
        <w:ind w:firstLine="567"/>
      </w:pPr>
      <w:r>
        <w:t>4.</w:t>
      </w:r>
      <w:r>
        <w:tab/>
      </w:r>
      <w:r>
        <w:rPr>
          <w:i/>
          <w:iCs/>
        </w:rPr>
        <w:t>настоятельно призывает</w:t>
      </w:r>
      <w:r>
        <w:t xml:space="preserve"> Специального докладчика продолжать его консультации с компетентными учреждениями и органами Организации Объединенных Наций и с секретариатами соответствующих международных конвенций в рамках междисциплинарного, углубленного подхода к решению существующих проблем с целью поиска долгосрочных решений проблемы регулирования таких веществ и отходов, с тем чтобы он мог представлять Совету по правам человека в соответствии с его программой работы ежегодные доклады об осуществлении принятых им резолюций, а также выносить конкретные рекомендации и предложения, касающиеся мер, которые должны быть незамедлительно приняты с целью устранения неблагоприятных последствий для прав человека, связанных с опасными веществами и отходами;</w:t>
      </w:r>
    </w:p>
    <w:p w14:paraId="5E8463A0" w14:textId="77777777" w:rsidR="00291BA7" w:rsidRPr="00961A6E" w:rsidRDefault="00291BA7" w:rsidP="00291BA7">
      <w:pPr>
        <w:pStyle w:val="SingleTxtG"/>
        <w:ind w:firstLine="567"/>
      </w:pPr>
      <w:r>
        <w:t>5.</w:t>
      </w:r>
      <w:r>
        <w:tab/>
      </w:r>
      <w:r>
        <w:rPr>
          <w:i/>
          <w:iCs/>
        </w:rPr>
        <w:t>рекомендует</w:t>
      </w:r>
      <w:r>
        <w:t xml:space="preserve"> государствам, учреждениям Организации Объединенных Наций и другим соответствующим международным организациям, субъектам гражданского общества, включая неправительственные организации, а также государственному и частному секторам и всем другим заинтересованным сторонам участвовать в процессе консультаций, диалога и сотрудничества со Специальным докладчиком, с тем чтобы он мог давать руководящие указания в соответствии со своим мандатом;</w:t>
      </w:r>
    </w:p>
    <w:p w14:paraId="17EEE079" w14:textId="77777777" w:rsidR="00291BA7" w:rsidRPr="00961A6E" w:rsidRDefault="00291BA7" w:rsidP="00291BA7">
      <w:pPr>
        <w:pStyle w:val="SingleTxtG"/>
        <w:ind w:firstLine="567"/>
      </w:pPr>
      <w:r>
        <w:t>6.</w:t>
      </w:r>
      <w:r>
        <w:tab/>
      </w:r>
      <w:r>
        <w:rPr>
          <w:i/>
          <w:iCs/>
        </w:rPr>
        <w:t>рекомендует</w:t>
      </w:r>
      <w:r>
        <w:t xml:space="preserve"> Специальному докладчику в соответствии с его мандатом и при поддержке и содействии со стороны Управления Верховного комиссара Организации Объединенных Наций по правам человека продолжать предоставлять правительствам соответствующие возможности для представления ответа на утверждения, которые препровождаются ему и упоминаются в его докладе, и отражать их замечания в своем докладе Совету по правам человека;</w:t>
      </w:r>
    </w:p>
    <w:p w14:paraId="42263249" w14:textId="77777777" w:rsidR="00291BA7" w:rsidRPr="00961A6E" w:rsidRDefault="00291BA7" w:rsidP="00291BA7">
      <w:pPr>
        <w:pStyle w:val="SingleTxtG"/>
        <w:ind w:firstLine="567"/>
      </w:pPr>
      <w:r>
        <w:t>7.</w:t>
      </w:r>
      <w:r>
        <w:tab/>
      </w:r>
      <w:r>
        <w:rPr>
          <w:i/>
          <w:iCs/>
        </w:rPr>
        <w:t>вновь обращается</w:t>
      </w:r>
      <w:r>
        <w:t xml:space="preserve"> с призывом к государствам и другим заинтересованным сторонам содействовать работе Специального докладчика, предоставляя ему информацию и направляя ему приглашения посетить их страны;</w:t>
      </w:r>
    </w:p>
    <w:p w14:paraId="4E63FA6D" w14:textId="77777777" w:rsidR="00291BA7" w:rsidRPr="00961A6E" w:rsidRDefault="00291BA7" w:rsidP="00291BA7">
      <w:pPr>
        <w:pStyle w:val="SingleTxtG"/>
        <w:ind w:firstLine="567"/>
      </w:pPr>
      <w:r>
        <w:t>8.</w:t>
      </w:r>
      <w:r>
        <w:tab/>
      </w:r>
      <w:r>
        <w:rPr>
          <w:i/>
          <w:iCs/>
        </w:rPr>
        <w:t>просит</w:t>
      </w:r>
      <w:r>
        <w:t xml:space="preserve"> Специального докладчика информировать государства, учреждения Организации Объединенных Наций и другие соответствующие международные организации, гражданское общество и другие заинтересованные стороны о воздействии на права человека экологически обоснованного регулирования и удаления опасных веществ и отходов, в том числе при осуществлении Повестки дня в области устойчивого развития на период до 2030 года, запрашивать мнения и материалы у правительств, учреждений Организации Объединенных Наций и других соответствующих международных организаций, гражданского общества и других заинтересованных сторон в соответствии с его мандатом, изучать национальные, региональные и международные усилия по достижению целей устойчивого развития и проводить тематические исследования по вопросу об эффективном осуществлении Повестки в области устойчивого развития на период до 2030 года;</w:t>
      </w:r>
    </w:p>
    <w:p w14:paraId="6C8B149E" w14:textId="77777777" w:rsidR="00291BA7" w:rsidRPr="00961A6E" w:rsidRDefault="00291BA7" w:rsidP="00291BA7">
      <w:pPr>
        <w:pStyle w:val="SingleTxtG"/>
        <w:pageBreakBefore/>
        <w:ind w:firstLine="567"/>
      </w:pPr>
      <w:r>
        <w:lastRenderedPageBreak/>
        <w:t>9.</w:t>
      </w:r>
      <w:r>
        <w:tab/>
      </w:r>
      <w:r>
        <w:rPr>
          <w:i/>
          <w:iCs/>
        </w:rPr>
        <w:t>вновь обращается</w:t>
      </w:r>
      <w:r>
        <w:t xml:space="preserve"> с призывом к Генеральному секретарю и Верховному комиссару Организации Объединенных Наций по правам человека оказывать Специальному докладчику всяческое содействие, необходимое для эффективного выполнения его мандата;</w:t>
      </w:r>
    </w:p>
    <w:p w14:paraId="2EA2D641" w14:textId="77777777" w:rsidR="00291BA7" w:rsidRPr="00961A6E" w:rsidRDefault="00291BA7" w:rsidP="00291BA7">
      <w:pPr>
        <w:pStyle w:val="SingleTxtG"/>
        <w:ind w:firstLine="567"/>
      </w:pPr>
      <w:r>
        <w:t>10.</w:t>
      </w:r>
      <w:r>
        <w:tab/>
      </w:r>
      <w:r>
        <w:rPr>
          <w:i/>
          <w:iCs/>
        </w:rPr>
        <w:t>постановляет</w:t>
      </w:r>
      <w:r>
        <w:t xml:space="preserve"> продолжить рассмотрение этого вопроса в рамках этого же пункта повестки дня в соответствии со своей программой работы.</w:t>
      </w:r>
    </w:p>
    <w:p w14:paraId="380241F9" w14:textId="64194CFA" w:rsidR="00291BA7" w:rsidRPr="00961A6E" w:rsidRDefault="00291BA7" w:rsidP="00291BA7">
      <w:pPr>
        <w:pStyle w:val="SingleTxtG"/>
        <w:jc w:val="right"/>
        <w:rPr>
          <w:i/>
          <w:iCs/>
        </w:rPr>
      </w:pPr>
      <w:r>
        <w:rPr>
          <w:i/>
          <w:iCs/>
        </w:rPr>
        <w:t>37</w:t>
      </w:r>
      <w:r w:rsidR="00621F42">
        <w:rPr>
          <w:i/>
          <w:iCs/>
        </w:rPr>
        <w:t>-е</w:t>
      </w:r>
      <w:bookmarkStart w:id="0" w:name="_GoBack"/>
      <w:bookmarkEnd w:id="0"/>
      <w:r>
        <w:rPr>
          <w:i/>
          <w:iCs/>
        </w:rPr>
        <w:t xml:space="preserve"> заседание </w:t>
      </w:r>
      <w:r>
        <w:rPr>
          <w:i/>
          <w:iCs/>
        </w:rPr>
        <w:br/>
        <w:t>6 октября 2020 года</w:t>
      </w:r>
    </w:p>
    <w:p w14:paraId="49A9B670" w14:textId="77777777" w:rsidR="00291BA7" w:rsidRPr="00961A6E" w:rsidRDefault="00291BA7" w:rsidP="00291BA7">
      <w:pPr>
        <w:pStyle w:val="SingleTxtG"/>
      </w:pPr>
      <w:r>
        <w:t>[Принята без голосования.]</w:t>
      </w:r>
    </w:p>
    <w:p w14:paraId="0EC8BD62" w14:textId="77777777" w:rsidR="00291BA7" w:rsidRPr="00961A6E" w:rsidRDefault="00291BA7" w:rsidP="00291BA7">
      <w:pPr>
        <w:spacing w:before="240"/>
        <w:ind w:left="1134" w:right="1134"/>
        <w:jc w:val="center"/>
        <w:rPr>
          <w:u w:val="single"/>
        </w:rPr>
      </w:pPr>
      <w:r w:rsidRPr="00961A6E">
        <w:rPr>
          <w:u w:val="single"/>
        </w:rPr>
        <w:tab/>
      </w:r>
      <w:r w:rsidRPr="00961A6E">
        <w:rPr>
          <w:u w:val="single"/>
        </w:rPr>
        <w:tab/>
      </w:r>
      <w:r w:rsidRPr="00961A6E">
        <w:rPr>
          <w:u w:val="single"/>
        </w:rPr>
        <w:tab/>
      </w:r>
      <w:r>
        <w:rPr>
          <w:u w:val="single"/>
        </w:rPr>
        <w:tab/>
      </w:r>
    </w:p>
    <w:p w14:paraId="46161225" w14:textId="77777777" w:rsidR="00CB0692" w:rsidRPr="00291BA7" w:rsidRDefault="00CB0692" w:rsidP="002E5067"/>
    <w:sectPr w:rsidR="00CB0692" w:rsidRPr="00291BA7" w:rsidSect="00291BA7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EFBADC5" w14:textId="77777777" w:rsidR="00C87179" w:rsidRPr="00A312BC" w:rsidRDefault="00C87179" w:rsidP="00A312BC"/>
  </w:endnote>
  <w:endnote w:type="continuationSeparator" w:id="0">
    <w:p w14:paraId="5F1038EA" w14:textId="77777777" w:rsidR="00C87179" w:rsidRPr="00A312BC" w:rsidRDefault="00C87179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3C65D46" w14:textId="77777777" w:rsidR="00291BA7" w:rsidRPr="00291BA7" w:rsidRDefault="00291BA7">
    <w:pPr>
      <w:pStyle w:val="a8"/>
    </w:pPr>
    <w:r w:rsidRPr="00291BA7">
      <w:rPr>
        <w:b/>
        <w:sz w:val="18"/>
      </w:rPr>
      <w:fldChar w:fldCharType="begin"/>
    </w:r>
    <w:r w:rsidRPr="00291BA7">
      <w:rPr>
        <w:b/>
        <w:sz w:val="18"/>
      </w:rPr>
      <w:instrText xml:space="preserve"> PAGE  \* MERGEFORMAT </w:instrText>
    </w:r>
    <w:r w:rsidRPr="00291BA7">
      <w:rPr>
        <w:b/>
        <w:sz w:val="18"/>
      </w:rPr>
      <w:fldChar w:fldCharType="separate"/>
    </w:r>
    <w:r w:rsidRPr="00291BA7">
      <w:rPr>
        <w:b/>
        <w:noProof/>
        <w:sz w:val="18"/>
      </w:rPr>
      <w:t>2</w:t>
    </w:r>
    <w:r w:rsidRPr="00291BA7">
      <w:rPr>
        <w:b/>
        <w:sz w:val="18"/>
      </w:rPr>
      <w:fldChar w:fldCharType="end"/>
    </w:r>
    <w:r>
      <w:rPr>
        <w:b/>
        <w:sz w:val="18"/>
      </w:rPr>
      <w:tab/>
    </w:r>
    <w:r>
      <w:t>GE.20-13331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8C0C7E9" w14:textId="77777777" w:rsidR="00291BA7" w:rsidRPr="00291BA7" w:rsidRDefault="00291BA7" w:rsidP="00291BA7">
    <w:pPr>
      <w:pStyle w:val="a8"/>
      <w:tabs>
        <w:tab w:val="clear" w:pos="9639"/>
        <w:tab w:val="right" w:pos="9638"/>
      </w:tabs>
      <w:rPr>
        <w:b/>
        <w:sz w:val="18"/>
      </w:rPr>
    </w:pPr>
    <w:r>
      <w:t>GE.20-13331</w:t>
    </w:r>
    <w:r>
      <w:tab/>
    </w:r>
    <w:r w:rsidRPr="00291BA7">
      <w:rPr>
        <w:b/>
        <w:sz w:val="18"/>
      </w:rPr>
      <w:fldChar w:fldCharType="begin"/>
    </w:r>
    <w:r w:rsidRPr="00291BA7">
      <w:rPr>
        <w:b/>
        <w:sz w:val="18"/>
      </w:rPr>
      <w:instrText xml:space="preserve"> PAGE  \* MERGEFORMAT </w:instrText>
    </w:r>
    <w:r w:rsidRPr="00291BA7">
      <w:rPr>
        <w:b/>
        <w:sz w:val="18"/>
      </w:rPr>
      <w:fldChar w:fldCharType="separate"/>
    </w:r>
    <w:r w:rsidRPr="00291BA7">
      <w:rPr>
        <w:b/>
        <w:noProof/>
        <w:sz w:val="18"/>
      </w:rPr>
      <w:t>3</w:t>
    </w:r>
    <w:r w:rsidRPr="00291BA7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D9C7C6F" w14:textId="77777777" w:rsidR="00042B72" w:rsidRPr="00291BA7" w:rsidRDefault="00291BA7" w:rsidP="00291BA7">
    <w:pPr>
      <w:spacing w:before="120" w:line="240" w:lineRule="auto"/>
    </w:pPr>
    <w:r>
      <w:t>GE.</w:t>
    </w:r>
    <w:r w:rsidR="00DF71B9">
      <w:rPr>
        <w:b/>
        <w:noProof/>
        <w:lang w:val="fr-CH" w:eastAsia="fr-CH"/>
      </w:rPr>
      <w:drawing>
        <wp:anchor distT="0" distB="0" distL="114300" distR="114300" simplePos="0" relativeHeight="251658240" behindDoc="0" locked="0" layoutInCell="1" allowOverlap="1" wp14:anchorId="6BAE67B8" wp14:editId="1CCE004C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20-13331  (R)</w:t>
    </w:r>
    <w:r>
      <w:rPr>
        <w:lang w:val="en-US"/>
      </w:rPr>
      <w:t xml:space="preserve">  121020  131020</w:t>
    </w:r>
    <w:r>
      <w:br/>
    </w:r>
    <w:r w:rsidRPr="00291BA7">
      <w:rPr>
        <w:rFonts w:ascii="C39T30Lfz" w:hAnsi="C39T30Lfz"/>
        <w:kern w:val="14"/>
        <w:sz w:val="56"/>
      </w:rPr>
      <w:t>*2013331*</w:t>
    </w:r>
    <w:r>
      <w:rPr>
        <w:noProof/>
      </w:rPr>
      <w:drawing>
        <wp:anchor distT="0" distB="0" distL="114300" distR="114300" simplePos="0" relativeHeight="251659264" behindDoc="0" locked="0" layoutInCell="1" allowOverlap="1" wp14:anchorId="44138830" wp14:editId="3C5C6710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561975" cy="561975"/>
          <wp:effectExtent l="0" t="0" r="9525" b="9525"/>
          <wp:wrapNone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47F05F0" w14:textId="77777777" w:rsidR="00C87179" w:rsidRPr="001075E9" w:rsidRDefault="00C87179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28AE0501" w14:textId="77777777" w:rsidR="00C87179" w:rsidRDefault="00C87179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14:paraId="3FEAB18C" w14:textId="77777777" w:rsidR="00291BA7" w:rsidRPr="00291BA7" w:rsidRDefault="00291BA7" w:rsidP="00291BA7">
      <w:pPr>
        <w:pStyle w:val="ad"/>
        <w:widowControl w:val="0"/>
        <w:tabs>
          <w:tab w:val="clear" w:pos="1021"/>
          <w:tab w:val="right" w:pos="1020"/>
        </w:tabs>
        <w:rPr>
          <w:lang w:val="en-US"/>
        </w:rPr>
      </w:pPr>
      <w:r>
        <w:tab/>
      </w:r>
      <w:r>
        <w:rPr>
          <w:rStyle w:val="aa"/>
        </w:rPr>
        <w:footnoteRef/>
      </w:r>
      <w:r w:rsidRPr="00961A6E">
        <w:rPr>
          <w:lang w:val="en-US"/>
        </w:rPr>
        <w:tab/>
        <w:t xml:space="preserve">UNEP/EA.4/21, </w:t>
      </w:r>
      <w:r>
        <w:t>с</w:t>
      </w:r>
      <w:r w:rsidRPr="00961A6E">
        <w:rPr>
          <w:lang w:val="en-US"/>
        </w:rPr>
        <w:t>. 2.</w:t>
      </w:r>
    </w:p>
  </w:footnote>
  <w:footnote w:id="2">
    <w:p w14:paraId="29AA0E72" w14:textId="77777777" w:rsidR="00291BA7" w:rsidRPr="00291BA7" w:rsidRDefault="00291BA7" w:rsidP="00291BA7">
      <w:pPr>
        <w:pStyle w:val="ad"/>
        <w:rPr>
          <w:lang w:val="en-US"/>
        </w:rPr>
      </w:pPr>
      <w:r w:rsidRPr="00961A6E">
        <w:rPr>
          <w:lang w:val="en-US"/>
        </w:rPr>
        <w:tab/>
      </w:r>
      <w:r>
        <w:rPr>
          <w:rStyle w:val="aa"/>
        </w:rPr>
        <w:footnoteRef/>
      </w:r>
      <w:r w:rsidRPr="00961A6E">
        <w:rPr>
          <w:lang w:val="en-US"/>
        </w:rPr>
        <w:t xml:space="preserve"> </w:t>
      </w:r>
      <w:r w:rsidRPr="00961A6E">
        <w:rPr>
          <w:lang w:val="en-US"/>
        </w:rPr>
        <w:tab/>
      </w:r>
      <w:r>
        <w:t>См</w:t>
      </w:r>
      <w:r w:rsidRPr="00961A6E">
        <w:rPr>
          <w:lang w:val="en-US"/>
        </w:rPr>
        <w:t>. A/HRC/42/41.</w:t>
      </w:r>
    </w:p>
  </w:footnote>
  <w:footnote w:id="3">
    <w:p w14:paraId="7BF8E2EF" w14:textId="77777777" w:rsidR="00291BA7" w:rsidRPr="003161A4" w:rsidRDefault="00291BA7" w:rsidP="00291BA7">
      <w:pPr>
        <w:pStyle w:val="ad"/>
      </w:pPr>
      <w:r w:rsidRPr="00961A6E">
        <w:rPr>
          <w:lang w:val="en-US"/>
        </w:rPr>
        <w:tab/>
      </w:r>
      <w:r>
        <w:rPr>
          <w:rStyle w:val="aa"/>
        </w:rPr>
        <w:footnoteRef/>
      </w:r>
      <w:r>
        <w:tab/>
        <w:t>A/HRC/45/12.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05F0E3D" w14:textId="346F3BBA" w:rsidR="00291BA7" w:rsidRPr="00291BA7" w:rsidRDefault="001A6D55">
    <w:pPr>
      <w:pStyle w:val="a5"/>
    </w:pPr>
    <w:r>
      <w:fldChar w:fldCharType="begin"/>
    </w:r>
    <w:r>
      <w:instrText xml:space="preserve"> TITLE  \* MERGEFORMAT </w:instrText>
    </w:r>
    <w:r>
      <w:fldChar w:fldCharType="separate"/>
    </w:r>
    <w:r>
      <w:t>A/HRC/RES/45/17</w:t>
    </w:r>
    <w: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7361793" w14:textId="524DC0CF" w:rsidR="00291BA7" w:rsidRPr="00291BA7" w:rsidRDefault="001A6D55" w:rsidP="00291BA7">
    <w:pPr>
      <w:pStyle w:val="a5"/>
      <w:jc w:val="right"/>
    </w:pPr>
    <w:r>
      <w:fldChar w:fldCharType="begin"/>
    </w:r>
    <w:r>
      <w:instrText xml:space="preserve"> TITLE  \* MERGEFORMAT </w:instrText>
    </w:r>
    <w:r>
      <w:fldChar w:fldCharType="separate"/>
    </w:r>
    <w:r>
      <w:t>A/HRC/RES/45/17</w:t>
    </w:r>
    <w: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16"/>
  </w:num>
  <w:num w:numId="2">
    <w:abstractNumId w:val="11"/>
  </w:num>
  <w:num w:numId="3">
    <w:abstractNumId w:val="10"/>
  </w:num>
  <w:num w:numId="4">
    <w:abstractNumId w:val="17"/>
  </w:num>
  <w:num w:numId="5">
    <w:abstractNumId w:val="13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15"/>
  </w:num>
  <w:num w:numId="17">
    <w:abstractNumId w:val="12"/>
  </w:num>
  <w:num w:numId="18">
    <w:abstractNumId w:val="14"/>
  </w:num>
  <w:num w:numId="19">
    <w:abstractNumId w:val="15"/>
  </w:num>
  <w:num w:numId="20">
    <w:abstractNumId w:val="12"/>
  </w:num>
  <w:num w:numId="21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70"/>
  <w:displayBackgroundShape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7179"/>
    <w:rsid w:val="00033EE1"/>
    <w:rsid w:val="00040272"/>
    <w:rsid w:val="00041EA6"/>
    <w:rsid w:val="00042B72"/>
    <w:rsid w:val="000558BD"/>
    <w:rsid w:val="000842B4"/>
    <w:rsid w:val="000B57E7"/>
    <w:rsid w:val="000B6373"/>
    <w:rsid w:val="000F09DF"/>
    <w:rsid w:val="000F61B2"/>
    <w:rsid w:val="001075E9"/>
    <w:rsid w:val="00180183"/>
    <w:rsid w:val="0018024D"/>
    <w:rsid w:val="0018649F"/>
    <w:rsid w:val="001903C5"/>
    <w:rsid w:val="00196389"/>
    <w:rsid w:val="001A6D55"/>
    <w:rsid w:val="001B3EF6"/>
    <w:rsid w:val="001C7A89"/>
    <w:rsid w:val="002501D7"/>
    <w:rsid w:val="0026460F"/>
    <w:rsid w:val="00291BA7"/>
    <w:rsid w:val="002A2EFC"/>
    <w:rsid w:val="002C0E18"/>
    <w:rsid w:val="002D5AAC"/>
    <w:rsid w:val="002E5067"/>
    <w:rsid w:val="002F405F"/>
    <w:rsid w:val="002F7EEC"/>
    <w:rsid w:val="00301299"/>
    <w:rsid w:val="00305C08"/>
    <w:rsid w:val="00307FB6"/>
    <w:rsid w:val="00312B45"/>
    <w:rsid w:val="00317339"/>
    <w:rsid w:val="00322004"/>
    <w:rsid w:val="003334ED"/>
    <w:rsid w:val="003402C2"/>
    <w:rsid w:val="00381C24"/>
    <w:rsid w:val="003958D0"/>
    <w:rsid w:val="003B00E5"/>
    <w:rsid w:val="003B3FBC"/>
    <w:rsid w:val="00407B78"/>
    <w:rsid w:val="00424203"/>
    <w:rsid w:val="00452493"/>
    <w:rsid w:val="00454E07"/>
    <w:rsid w:val="00472C5C"/>
    <w:rsid w:val="00484B62"/>
    <w:rsid w:val="00486F28"/>
    <w:rsid w:val="0050108D"/>
    <w:rsid w:val="00513081"/>
    <w:rsid w:val="00517901"/>
    <w:rsid w:val="00526683"/>
    <w:rsid w:val="00541726"/>
    <w:rsid w:val="005709E0"/>
    <w:rsid w:val="00572E19"/>
    <w:rsid w:val="005961C8"/>
    <w:rsid w:val="005D7914"/>
    <w:rsid w:val="005E2B41"/>
    <w:rsid w:val="005F0B42"/>
    <w:rsid w:val="00621F42"/>
    <w:rsid w:val="00681A10"/>
    <w:rsid w:val="006A1ED8"/>
    <w:rsid w:val="006C2031"/>
    <w:rsid w:val="006C6883"/>
    <w:rsid w:val="006D461A"/>
    <w:rsid w:val="006F0B59"/>
    <w:rsid w:val="006F35EE"/>
    <w:rsid w:val="007021FF"/>
    <w:rsid w:val="00707123"/>
    <w:rsid w:val="00712895"/>
    <w:rsid w:val="00757357"/>
    <w:rsid w:val="00782C09"/>
    <w:rsid w:val="007D3BD5"/>
    <w:rsid w:val="007D5A02"/>
    <w:rsid w:val="00825F8D"/>
    <w:rsid w:val="00834B71"/>
    <w:rsid w:val="0086445C"/>
    <w:rsid w:val="00865660"/>
    <w:rsid w:val="00894693"/>
    <w:rsid w:val="008A08D7"/>
    <w:rsid w:val="008B6909"/>
    <w:rsid w:val="008D261C"/>
    <w:rsid w:val="00906890"/>
    <w:rsid w:val="00911BE4"/>
    <w:rsid w:val="009275CF"/>
    <w:rsid w:val="00936A21"/>
    <w:rsid w:val="00951972"/>
    <w:rsid w:val="009604DF"/>
    <w:rsid w:val="009608F3"/>
    <w:rsid w:val="009675B6"/>
    <w:rsid w:val="009A24AC"/>
    <w:rsid w:val="009B433A"/>
    <w:rsid w:val="00A01942"/>
    <w:rsid w:val="00A10122"/>
    <w:rsid w:val="00A312BC"/>
    <w:rsid w:val="00A84021"/>
    <w:rsid w:val="00A84D35"/>
    <w:rsid w:val="00A917B3"/>
    <w:rsid w:val="00AB4B51"/>
    <w:rsid w:val="00B10CC7"/>
    <w:rsid w:val="00B25BD7"/>
    <w:rsid w:val="00B3744E"/>
    <w:rsid w:val="00B539E7"/>
    <w:rsid w:val="00B62458"/>
    <w:rsid w:val="00BC18B2"/>
    <w:rsid w:val="00BD33EE"/>
    <w:rsid w:val="00BE0674"/>
    <w:rsid w:val="00C106D6"/>
    <w:rsid w:val="00C60F0C"/>
    <w:rsid w:val="00C805C9"/>
    <w:rsid w:val="00C87179"/>
    <w:rsid w:val="00C92939"/>
    <w:rsid w:val="00CA1679"/>
    <w:rsid w:val="00CB0692"/>
    <w:rsid w:val="00CB151C"/>
    <w:rsid w:val="00CE5A1A"/>
    <w:rsid w:val="00CF55F6"/>
    <w:rsid w:val="00D33D63"/>
    <w:rsid w:val="00D90028"/>
    <w:rsid w:val="00D90138"/>
    <w:rsid w:val="00DC2121"/>
    <w:rsid w:val="00DD78D1"/>
    <w:rsid w:val="00DF71B9"/>
    <w:rsid w:val="00E71476"/>
    <w:rsid w:val="00E73F76"/>
    <w:rsid w:val="00EA2AAD"/>
    <w:rsid w:val="00EA2C9F"/>
    <w:rsid w:val="00EA420E"/>
    <w:rsid w:val="00EC27E8"/>
    <w:rsid w:val="00EC3F0F"/>
    <w:rsid w:val="00ED0BDA"/>
    <w:rsid w:val="00EF1360"/>
    <w:rsid w:val="00EF3220"/>
    <w:rsid w:val="00F43903"/>
    <w:rsid w:val="00F94155"/>
    <w:rsid w:val="00F9783F"/>
    <w:rsid w:val="00FD057A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1B6B5EF6"/>
  <w15:docId w15:val="{71151617-4D52-4C7E-8AF5-700442DA4B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EC27E8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"/>
    <w:basedOn w:val="a"/>
    <w:next w:val="a"/>
    <w:link w:val="10"/>
    <w:qFormat/>
    <w:rsid w:val="00BE0674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9604DF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9604DF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9604DF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9604DF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9604DF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9604DF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9604DF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9604DF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1"/>
    <w:semiHidden/>
    <w:rsid w:val="009604D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1"/>
    <w:semiHidden/>
    <w:rsid w:val="00DC2121"/>
    <w:rPr>
      <w:rFonts w:ascii="Tahoma" w:eastAsiaTheme="minorHAnsi" w:hAnsi="Tahoma" w:cs="Tahoma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BE0674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qFormat/>
    <w:rsid w:val="00BE0674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qFormat/>
    <w:rsid w:val="00BE0674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qFormat/>
    <w:rsid w:val="00BE0674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BE0674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BE0674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link w:val="SingleTxtGChar"/>
    <w:qFormat/>
    <w:rsid w:val="00DC2121"/>
    <w:pPr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BE0674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BE0674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BE0674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BE0674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BE0674"/>
    <w:pPr>
      <w:numPr>
        <w:numId w:val="19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BE0674"/>
    <w:pPr>
      <w:numPr>
        <w:numId w:val="20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DC2121"/>
    <w:pPr>
      <w:numPr>
        <w:numId w:val="21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BE0674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BE0674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"/>
    <w:basedOn w:val="a"/>
    <w:next w:val="a"/>
    <w:link w:val="a6"/>
    <w:qFormat/>
    <w:rsid w:val="00BE0674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 Знак"/>
    <w:basedOn w:val="a0"/>
    <w:link w:val="a5"/>
    <w:rsid w:val="00BE0674"/>
    <w:rPr>
      <w:b/>
      <w:sz w:val="18"/>
      <w:lang w:val="en-GB" w:eastAsia="ru-RU"/>
    </w:rPr>
  </w:style>
  <w:style w:type="character" w:styleId="a7">
    <w:name w:val="page number"/>
    <w:aliases w:val="7_G"/>
    <w:basedOn w:val="a0"/>
    <w:qFormat/>
    <w:rsid w:val="00BE0674"/>
    <w:rPr>
      <w:rFonts w:ascii="Times New Roman" w:hAnsi="Times New Roman"/>
      <w:b/>
      <w:sz w:val="18"/>
    </w:rPr>
  </w:style>
  <w:style w:type="paragraph" w:styleId="a8">
    <w:name w:val="footer"/>
    <w:aliases w:val="3_G"/>
    <w:basedOn w:val="a"/>
    <w:link w:val="a9"/>
    <w:qFormat/>
    <w:rsid w:val="00BE0674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 Знак"/>
    <w:basedOn w:val="a0"/>
    <w:link w:val="a8"/>
    <w:rsid w:val="00BE0674"/>
    <w:rPr>
      <w:sz w:val="16"/>
      <w:lang w:val="en-GB" w:eastAsia="ru-RU"/>
    </w:rPr>
  </w:style>
  <w:style w:type="character" w:styleId="aa">
    <w:name w:val="footnote reference"/>
    <w:aliases w:val="4_G"/>
    <w:basedOn w:val="a0"/>
    <w:qFormat/>
    <w:rsid w:val="00BE0674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"/>
    <w:basedOn w:val="aa"/>
    <w:qFormat/>
    <w:rsid w:val="00BE0674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EC27E8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d">
    <w:name w:val="footnote text"/>
    <w:aliases w:val="5_G"/>
    <w:basedOn w:val="a"/>
    <w:link w:val="ae"/>
    <w:qFormat/>
    <w:rsid w:val="00BE0674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e">
    <w:name w:val="Текст сноски Знак"/>
    <w:aliases w:val="5_G Знак"/>
    <w:basedOn w:val="a0"/>
    <w:link w:val="ad"/>
    <w:rsid w:val="00BE0674"/>
    <w:rPr>
      <w:sz w:val="18"/>
      <w:lang w:val="ru-RU" w:eastAsia="ru-RU"/>
    </w:rPr>
  </w:style>
  <w:style w:type="paragraph" w:styleId="af">
    <w:name w:val="endnote text"/>
    <w:aliases w:val="2_G"/>
    <w:basedOn w:val="ad"/>
    <w:link w:val="af0"/>
    <w:qFormat/>
    <w:rsid w:val="00BE0674"/>
  </w:style>
  <w:style w:type="character" w:customStyle="1" w:styleId="af0">
    <w:name w:val="Текст концевой сноски Знак"/>
    <w:aliases w:val="2_G Знак"/>
    <w:basedOn w:val="a0"/>
    <w:link w:val="af"/>
    <w:rsid w:val="00BE0674"/>
    <w:rPr>
      <w:sz w:val="18"/>
      <w:lang w:val="ru-RU" w:eastAsia="ru-RU"/>
    </w:rPr>
  </w:style>
  <w:style w:type="character" w:customStyle="1" w:styleId="10">
    <w:name w:val="Заголовок 1 Знак"/>
    <w:aliases w:val="Table_G Знак"/>
    <w:basedOn w:val="a0"/>
    <w:link w:val="1"/>
    <w:rsid w:val="00BE0674"/>
    <w:rPr>
      <w:rFonts w:cs="Arial"/>
      <w:b/>
      <w:bCs/>
      <w:szCs w:val="32"/>
      <w:lang w:val="ru-RU" w:eastAsia="ru-RU"/>
    </w:rPr>
  </w:style>
  <w:style w:type="character" w:styleId="af1">
    <w:name w:val="Hyperlink"/>
    <w:basedOn w:val="a0"/>
    <w:rsid w:val="00BE0674"/>
    <w:rPr>
      <w:color w:val="0000FF" w:themeColor="hyperlink"/>
      <w:u w:val="none"/>
    </w:rPr>
  </w:style>
  <w:style w:type="character" w:styleId="af2">
    <w:name w:val="FollowedHyperlink"/>
    <w:basedOn w:val="a0"/>
    <w:rsid w:val="00BE0674"/>
    <w:rPr>
      <w:color w:val="800080" w:themeColor="followedHyperlink"/>
      <w:u w:val="none"/>
    </w:rPr>
  </w:style>
  <w:style w:type="character" w:customStyle="1" w:styleId="SingleTxtGChar">
    <w:name w:val="_ Single Txt_G Char"/>
    <w:link w:val="SingleTxtG"/>
    <w:locked/>
    <w:rsid w:val="00291BA7"/>
    <w:rPr>
      <w:lang w:val="ru-RU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B\A_HRC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A_HRC.dotm</Template>
  <TotalTime>0</TotalTime>
  <Pages>4</Pages>
  <Words>1224</Words>
  <Characters>8242</Characters>
  <Application>Microsoft Office Word</Application>
  <DocSecurity>0</DocSecurity>
  <Lines>915</Lines>
  <Paragraphs>394</Paragraphs>
  <ScaleCrop>false</ScaleCrop>
  <HeadingPairs>
    <vt:vector size="8" baseType="variant">
      <vt:variant>
        <vt:lpstr>Название</vt:lpstr>
      </vt:variant>
      <vt:variant>
        <vt:i4>1</vt:i4>
      </vt:variant>
      <vt:variant>
        <vt:lpstr>Titre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4" baseType="lpstr">
      <vt:lpstr>A/HRC/RES/45/17</vt:lpstr>
      <vt:lpstr>A/</vt:lpstr>
      <vt:lpstr>A/</vt:lpstr>
      <vt:lpstr>A/</vt:lpstr>
    </vt:vector>
  </TitlesOfParts>
  <Company>DCM</Company>
  <LinksUpToDate>false</LinksUpToDate>
  <CharactersWithSpaces>9072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A/HRC/RES/45/17</dc:title>
  <dc:subject/>
  <dc:creator>Elena IZOTOVA</dc:creator>
  <cp:keywords/>
  <cp:lastModifiedBy>Elena IZOTOVA</cp:lastModifiedBy>
  <cp:revision>3</cp:revision>
  <cp:lastPrinted>2020-10-13T06:52:00Z</cp:lastPrinted>
  <dcterms:created xsi:type="dcterms:W3CDTF">2020-10-13T06:52:00Z</dcterms:created>
  <dcterms:modified xsi:type="dcterms:W3CDTF">2020-10-13T06:52:00Z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