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60CE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Pr="007A0D9C" w:rsidRDefault="002D5AAC" w:rsidP="00772A0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FollowedHyperlink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660CE8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72A0F" w:rsidP="00B71662">
            <w:pPr>
              <w:jc w:val="right"/>
            </w:pPr>
            <w:r w:rsidRPr="00772A0F">
              <w:rPr>
                <w:sz w:val="40"/>
              </w:rPr>
              <w:t>CCPR</w:t>
            </w:r>
            <w:r>
              <w:t>/C/VCT/Q/</w:t>
            </w:r>
            <w:r w:rsidR="00B71662">
              <w:t>2</w:t>
            </w:r>
          </w:p>
        </w:tc>
      </w:tr>
      <w:tr w:rsidR="002D5AAC" w:rsidTr="00660CE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11A36" w:rsidP="00660CE8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963777" w:rsidP="00660CE8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Pacto Internacional de Derechos</w:t>
            </w:r>
            <w:r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72A0F" w:rsidP="00660CE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772A0F" w:rsidRDefault="00772A0F" w:rsidP="00772A0F">
            <w:pPr>
              <w:spacing w:line="240" w:lineRule="exact"/>
            </w:pPr>
            <w:r>
              <w:t>14 de diciembre de 2017</w:t>
            </w:r>
          </w:p>
          <w:p w:rsidR="00772A0F" w:rsidRDefault="00772A0F" w:rsidP="00772A0F">
            <w:pPr>
              <w:spacing w:line="240" w:lineRule="exact"/>
            </w:pPr>
            <w:r>
              <w:t>Español</w:t>
            </w:r>
          </w:p>
          <w:p w:rsidR="00772A0F" w:rsidRDefault="00772A0F" w:rsidP="00772A0F">
            <w:pPr>
              <w:spacing w:line="240" w:lineRule="exact"/>
            </w:pPr>
            <w:r>
              <w:t>Original: inglés</w:t>
            </w:r>
          </w:p>
          <w:p w:rsidR="00B71662" w:rsidRDefault="00B71662" w:rsidP="00772A0F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6F35EE" w:rsidRPr="00411A36" w:rsidRDefault="00411A36" w:rsidP="0036261E">
      <w:pPr>
        <w:spacing w:before="120"/>
        <w:rPr>
          <w:b/>
          <w:sz w:val="24"/>
          <w:szCs w:val="24"/>
        </w:rPr>
      </w:pPr>
      <w:r w:rsidRPr="00411A36">
        <w:rPr>
          <w:b/>
          <w:sz w:val="24"/>
          <w:szCs w:val="24"/>
        </w:rPr>
        <w:t>Comité de Derechos Humanos</w:t>
      </w:r>
    </w:p>
    <w:p w:rsidR="00772A0F" w:rsidRPr="00772A0F" w:rsidRDefault="00772A0F" w:rsidP="00772A0F">
      <w:pPr>
        <w:pStyle w:val="HChG"/>
      </w:pPr>
      <w:bookmarkStart w:id="1" w:name="bookmark_10"/>
      <w:r>
        <w:tab/>
      </w:r>
      <w:r w:rsidRPr="00772A0F">
        <w:tab/>
        <w:t xml:space="preserve">Lista de cuestiones en ausencia del segundo informe periódico de San Vicente y las </w:t>
      </w:r>
      <w:proofErr w:type="gramStart"/>
      <w:r w:rsidRPr="00772A0F">
        <w:t>Granadinas</w:t>
      </w:r>
      <w:proofErr w:type="gramEnd"/>
      <w:r w:rsidRPr="00772A0F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bookmarkEnd w:id="1"/>
      <w:r w:rsidR="00B71662" w:rsidRPr="00C02513">
        <w:rPr>
          <w:b w:val="0"/>
          <w:bCs/>
          <w:position w:val="6"/>
          <w:sz w:val="18"/>
          <w:szCs w:val="18"/>
        </w:rPr>
        <w:t>,</w:t>
      </w:r>
      <w:r w:rsidR="00C02513">
        <w:rPr>
          <w:b w:val="0"/>
          <w:bCs/>
          <w:sz w:val="20"/>
        </w:rPr>
        <w:t xml:space="preserve"> </w:t>
      </w:r>
      <w:r w:rsidR="00B71662" w:rsidRPr="00C02513">
        <w:rPr>
          <w:rStyle w:val="FootnoteReference"/>
          <w:b w:val="0"/>
          <w:bCs/>
          <w:sz w:val="20"/>
          <w:vertAlign w:val="baseline"/>
        </w:rPr>
        <w:footnoteReference w:customMarkFollows="1" w:id="2"/>
        <w:t>**</w:t>
      </w:r>
    </w:p>
    <w:p w:rsidR="00772A0F" w:rsidRPr="00772A0F" w:rsidRDefault="00772A0F" w:rsidP="009A3E57">
      <w:pPr>
        <w:pStyle w:val="H1G"/>
      </w:pPr>
      <w:bookmarkStart w:id="3" w:name="bookmark_12"/>
      <w:r>
        <w:tab/>
      </w:r>
      <w:r w:rsidRPr="00772A0F">
        <w:tab/>
        <w:t>Marco constitucional y jurídico de la aplicación del Pacto (art. 2)</w:t>
      </w:r>
      <w:bookmarkEnd w:id="3"/>
    </w:p>
    <w:p w:rsidR="00772A0F" w:rsidRPr="00772A0F" w:rsidRDefault="00772A0F" w:rsidP="00772A0F">
      <w:pPr>
        <w:pStyle w:val="SingleTxtG"/>
      </w:pPr>
      <w:bookmarkStart w:id="4" w:name="bookmark_13"/>
      <w:r w:rsidRPr="00772A0F">
        <w:t>1.</w:t>
      </w:r>
      <w:r w:rsidRPr="00772A0F">
        <w:tab/>
        <w:t xml:space="preserve">Sírvanse proporcionar información sobre las medidas adoptadas para aplicar las recomendaciones formuladas en las anteriores observaciones finales del Comité (CCPR/C/VCT/CO/2), incluidos los datos estadísticos pertinentes. Sírvanse informar de cualquier novedad significativa que se haya producido en el marco jurídico e institucional de promoción y protección de los derechos humanos desde la aprobación de las anteriores observaciones finales, citando ejemplos de casos en que las disposiciones del Pacto han sido invocadas por los tribunales nacionales. </w:t>
      </w:r>
      <w:bookmarkEnd w:id="4"/>
    </w:p>
    <w:p w:rsidR="00772A0F" w:rsidRPr="00772A0F" w:rsidRDefault="00772A0F" w:rsidP="009A3E57">
      <w:pPr>
        <w:pStyle w:val="SingleTxtG"/>
      </w:pPr>
      <w:bookmarkStart w:id="5" w:name="bookmark_14"/>
      <w:r w:rsidRPr="00772A0F">
        <w:t>2.</w:t>
      </w:r>
      <w:r w:rsidRPr="00772A0F">
        <w:tab/>
      </w:r>
      <w:r w:rsidR="009A3E57">
        <w:t>Se ruega</w:t>
      </w:r>
      <w:r w:rsidRPr="00772A0F">
        <w:t xml:space="preserve"> inform</w:t>
      </w:r>
      <w:r w:rsidR="009A3E57">
        <w:t>e</w:t>
      </w:r>
      <w:r w:rsidRPr="00772A0F">
        <w:t xml:space="preserve">n sobre la existencia o el establecimiento de una institución nacional de derechos humanos de conformidad con los principios relativos al estatuto de las instituciones nacionales de promoción y protección de los derechos humanos (Principios de París). </w:t>
      </w:r>
      <w:r w:rsidR="009A3E57">
        <w:t>Indíquense</w:t>
      </w:r>
      <w:r w:rsidRPr="00772A0F">
        <w:t xml:space="preserve"> </w:t>
      </w:r>
      <w:r w:rsidR="009A3E57">
        <w:t>las</w:t>
      </w:r>
      <w:r w:rsidRPr="00772A0F">
        <w:t xml:space="preserve"> medidas </w:t>
      </w:r>
      <w:r w:rsidR="009A3E57">
        <w:t xml:space="preserve">que </w:t>
      </w:r>
      <w:r w:rsidRPr="00772A0F">
        <w:t xml:space="preserve">se han adoptado para aplicar el dictamen del Comité sobre la comunicación núm. 806/1998 </w:t>
      </w:r>
      <w:r w:rsidRPr="00772A0F">
        <w:rPr>
          <w:i/>
          <w:iCs/>
        </w:rPr>
        <w:t>(Thompson c. San Vicente y las Granadinas)</w:t>
      </w:r>
      <w:r w:rsidRPr="00772A0F">
        <w:t>, aprobado el 18 de octubre de 2000, y para promover el conocimiento del Pacto. Sírvanse indicar los avances alcanzados en el establecimiento de un mecanismo nacional de presentación de informes y seguimiento.</w:t>
      </w:r>
      <w:bookmarkEnd w:id="5"/>
    </w:p>
    <w:p w:rsidR="00772A0F" w:rsidRPr="00772A0F" w:rsidRDefault="00772A0F" w:rsidP="00772A0F">
      <w:pPr>
        <w:pStyle w:val="H1G"/>
      </w:pPr>
      <w:bookmarkStart w:id="6" w:name="bookmark_15"/>
      <w:r w:rsidRPr="00772A0F">
        <w:tab/>
      </w:r>
      <w:r>
        <w:tab/>
      </w:r>
      <w:r w:rsidRPr="00772A0F">
        <w:t>Prohibición del encarcelamiento por el solo hecho de no poder cumplir</w:t>
      </w:r>
      <w:r>
        <w:t> </w:t>
      </w:r>
      <w:r w:rsidRPr="00772A0F">
        <w:t xml:space="preserve">una obligación contractual (art. 11) </w:t>
      </w:r>
      <w:bookmarkEnd w:id="6"/>
    </w:p>
    <w:p w:rsidR="00772A0F" w:rsidRPr="00772A0F" w:rsidRDefault="00772A0F" w:rsidP="00772A0F">
      <w:pPr>
        <w:pStyle w:val="SingleTxtG"/>
      </w:pPr>
      <w:bookmarkStart w:id="7" w:name="bookmark_16"/>
      <w:r w:rsidRPr="00772A0F">
        <w:t>3.</w:t>
      </w:r>
      <w:r w:rsidRPr="00772A0F">
        <w:tab/>
        <w:t>En relación con las anteriores observaciones finales (párr. 7), sírvanse aclarar si la Ley de Deudores continúa permitiendo el encarcelamiento por deudas en determinadas causas civiles.</w:t>
      </w:r>
      <w:bookmarkEnd w:id="7"/>
    </w:p>
    <w:p w:rsidR="00772A0F" w:rsidRPr="00772A0F" w:rsidRDefault="00772A0F" w:rsidP="00772A0F">
      <w:pPr>
        <w:pStyle w:val="H1G"/>
      </w:pPr>
      <w:bookmarkStart w:id="8" w:name="bookmark_17"/>
      <w:r>
        <w:tab/>
      </w:r>
      <w:r w:rsidRPr="00772A0F">
        <w:tab/>
        <w:t xml:space="preserve">No discriminación e igualdad entre hombres y mujeres </w:t>
      </w:r>
      <w:r>
        <w:br/>
      </w:r>
      <w:r w:rsidRPr="00772A0F">
        <w:t xml:space="preserve">(arts. 2, 3 y 26) </w:t>
      </w:r>
      <w:bookmarkEnd w:id="8"/>
    </w:p>
    <w:p w:rsidR="00772A0F" w:rsidRPr="00772A0F" w:rsidRDefault="00772A0F" w:rsidP="00772A0F">
      <w:pPr>
        <w:pStyle w:val="SingleTxtG"/>
      </w:pPr>
      <w:bookmarkStart w:id="9" w:name="bookmark_18"/>
      <w:r w:rsidRPr="00772A0F">
        <w:t>4.</w:t>
      </w:r>
      <w:r w:rsidRPr="00772A0F">
        <w:tab/>
        <w:t>Sírvanse proporcionar información sobre las medidas legislativas y prácticas adoptadas para garantizar la protección contra todas las formas de discriminación en los sectores público y privado, ya sea discriminación directa, indirecta o múltiple, y por todos los motivos, incluido el género, en virtud del Pacto.</w:t>
      </w:r>
      <w:bookmarkEnd w:id="9"/>
    </w:p>
    <w:p w:rsidR="00772A0F" w:rsidRPr="00772A0F" w:rsidRDefault="00772A0F" w:rsidP="00E1770C">
      <w:pPr>
        <w:pStyle w:val="SingleTxtG"/>
      </w:pPr>
      <w:bookmarkStart w:id="10" w:name="bookmark_19"/>
      <w:r w:rsidRPr="00772A0F">
        <w:lastRenderedPageBreak/>
        <w:t>5.</w:t>
      </w:r>
      <w:r w:rsidRPr="00772A0F">
        <w:tab/>
      </w:r>
      <w:r w:rsidR="00E1770C">
        <w:t>Infórmese</w:t>
      </w:r>
      <w:r w:rsidRPr="00772A0F">
        <w:t xml:space="preserve"> sobre los niveles de empleo y la proporción de mujeres en los puestos de toma de decisiones en los sectores público y privado. </w:t>
      </w:r>
      <w:r w:rsidR="00E1770C">
        <w:t>E</w:t>
      </w:r>
      <w:r w:rsidRPr="00772A0F">
        <w:t>specifi</w:t>
      </w:r>
      <w:r w:rsidR="00E1770C">
        <w:t>quen</w:t>
      </w:r>
      <w:r w:rsidRPr="00772A0F">
        <w:t xml:space="preserve"> qué medidas se han adoptado para promover la igualdad de representación de las mujeres en los puestos de toma de decisiones en </w:t>
      </w:r>
      <w:r w:rsidR="00E1770C">
        <w:t>ambos</w:t>
      </w:r>
      <w:r w:rsidRPr="00772A0F">
        <w:t xml:space="preserve"> sectores.</w:t>
      </w:r>
      <w:bookmarkEnd w:id="10"/>
    </w:p>
    <w:p w:rsidR="00772A0F" w:rsidRPr="00772A0F" w:rsidRDefault="00772A0F" w:rsidP="004709F5">
      <w:pPr>
        <w:pStyle w:val="SingleTxtG"/>
      </w:pPr>
      <w:bookmarkStart w:id="11" w:name="bookmark_20"/>
      <w:r w:rsidRPr="00772A0F">
        <w:t>6.</w:t>
      </w:r>
      <w:r w:rsidRPr="00772A0F">
        <w:tab/>
        <w:t>Sírvanse proporcionar información sobre las medidas legislativas y prácticas adoptadas para proteger a las personas contra la discriminación y la violencia por motivos de orientación sexual e identidad de género, en los ámbitos de la vivienda y el empleo</w:t>
      </w:r>
      <w:r w:rsidR="00E1770C">
        <w:t xml:space="preserve"> entre otros</w:t>
      </w:r>
      <w:r w:rsidRPr="00772A0F">
        <w:t xml:space="preserve">. </w:t>
      </w:r>
      <w:r w:rsidR="00E1770C">
        <w:t>Apórtese</w:t>
      </w:r>
      <w:r w:rsidRPr="00772A0F">
        <w:t xml:space="preserve"> también información sobre las previsiones para eliminar las disposiciones que tipifican como delito las relaciones sexuales dentro de parejas de adultos del mismo</w:t>
      </w:r>
      <w:r w:rsidR="004709F5">
        <w:t> </w:t>
      </w:r>
      <w:r w:rsidRPr="00772A0F">
        <w:t>sexo.</w:t>
      </w:r>
      <w:bookmarkEnd w:id="11"/>
    </w:p>
    <w:p w:rsidR="00772A0F" w:rsidRPr="00772A0F" w:rsidRDefault="00772A0F" w:rsidP="00E1770C">
      <w:pPr>
        <w:pStyle w:val="SingleTxtG"/>
      </w:pPr>
      <w:bookmarkStart w:id="12" w:name="bookmark_21"/>
      <w:r w:rsidRPr="00772A0F">
        <w:t>7.</w:t>
      </w:r>
      <w:r w:rsidRPr="00772A0F">
        <w:tab/>
        <w:t xml:space="preserve">Sírvanse </w:t>
      </w:r>
      <w:r w:rsidR="00E1770C">
        <w:t>facilitar</w:t>
      </w:r>
      <w:r w:rsidRPr="00772A0F">
        <w:t xml:space="preserve"> información sobre las iniciativas emprendidas para potenciar la educación y la sensibilización en todos los sectores de la población con el fin de combatir la estigmatización social y la discriminación de las personas que viven con el VIH/SIDA, </w:t>
      </w:r>
      <w:r w:rsidR="00E1770C">
        <w:t>también</w:t>
      </w:r>
      <w:r w:rsidRPr="00772A0F">
        <w:t xml:space="preserve"> en el ámbito del empleo. </w:t>
      </w:r>
      <w:r w:rsidR="00E1770C" w:rsidRPr="00772A0F">
        <w:t>Proporci</w:t>
      </w:r>
      <w:r w:rsidR="00E1770C">
        <w:t>ónese</w:t>
      </w:r>
      <w:r w:rsidR="00E1770C" w:rsidRPr="00772A0F">
        <w:t xml:space="preserve"> </w:t>
      </w:r>
      <w:r w:rsidRPr="00772A0F">
        <w:t>información sobre el acceso no discriminatorio de las personas infectadas por el VIH/SIDA a los servicios de salud.</w:t>
      </w:r>
      <w:bookmarkEnd w:id="12"/>
    </w:p>
    <w:p w:rsidR="00772A0F" w:rsidRPr="00772A0F" w:rsidRDefault="00772A0F" w:rsidP="00772A0F">
      <w:pPr>
        <w:pStyle w:val="H1G"/>
      </w:pPr>
      <w:bookmarkStart w:id="13" w:name="bookmark_22"/>
      <w:r>
        <w:tab/>
      </w:r>
      <w:r w:rsidRPr="00772A0F">
        <w:tab/>
        <w:t xml:space="preserve">Violencia contra la mujer, incluida la violencia doméstica </w:t>
      </w:r>
      <w:r>
        <w:br/>
      </w:r>
      <w:r w:rsidRPr="00772A0F">
        <w:t>(arts. 2, 3, 6, 7 y 26)</w:t>
      </w:r>
      <w:bookmarkEnd w:id="13"/>
    </w:p>
    <w:p w:rsidR="00772A0F" w:rsidRPr="00772A0F" w:rsidRDefault="00772A0F" w:rsidP="00E1770C">
      <w:pPr>
        <w:pStyle w:val="SingleTxtG"/>
      </w:pPr>
      <w:bookmarkStart w:id="14" w:name="bookmark_23"/>
      <w:r w:rsidRPr="00772A0F">
        <w:t>8.</w:t>
      </w:r>
      <w:r w:rsidRPr="00772A0F">
        <w:tab/>
      </w:r>
      <w:r w:rsidR="00E1770C">
        <w:t>Se ruega</w:t>
      </w:r>
      <w:r w:rsidRPr="00772A0F">
        <w:t xml:space="preserve"> inform</w:t>
      </w:r>
      <w:r w:rsidR="00E1770C">
        <w:t>e</w:t>
      </w:r>
      <w:r w:rsidRPr="00772A0F">
        <w:t xml:space="preserve">n sobre los efectos de la Ley contra la Violencia Doméstica (2015), el plan de acción nacional contra la violencia de género (2015), la campaña de lucha contra la violencia (2014) y el programa de apoyo a las víctimas, destinado a proporcionar apoyo psicosocial y socioeconómico a las víctimas. Sírvanse aclarar si la legislación prohíbe el acoso sexual y la violación conyugal. </w:t>
      </w:r>
      <w:r w:rsidR="00E1770C">
        <w:t>P</w:t>
      </w:r>
      <w:r w:rsidRPr="00772A0F">
        <w:t>roporcion</w:t>
      </w:r>
      <w:r w:rsidR="00E1770C">
        <w:t>en</w:t>
      </w:r>
      <w:r w:rsidRPr="00772A0F">
        <w:t xml:space="preserve"> datos sobre violencia doméstica desglosados por sexo y edad, así como información sobre la investigación y el enjuiciamiento de los casos de violencia doméstica, la capacitación de los profesionales pertinentes y la existencia de </w:t>
      </w:r>
      <w:r w:rsidR="00E1770C">
        <w:t>alojamientos</w:t>
      </w:r>
      <w:r w:rsidRPr="00772A0F">
        <w:t xml:space="preserve"> y otros servicios para las víctimas de esta violencia.</w:t>
      </w:r>
      <w:bookmarkEnd w:id="14"/>
    </w:p>
    <w:p w:rsidR="00772A0F" w:rsidRPr="00772A0F" w:rsidRDefault="00772A0F" w:rsidP="00772A0F">
      <w:pPr>
        <w:pStyle w:val="H1G"/>
      </w:pPr>
      <w:bookmarkStart w:id="15" w:name="bookmark_24"/>
      <w:r>
        <w:tab/>
      </w:r>
      <w:r w:rsidRPr="00772A0F">
        <w:tab/>
        <w:t xml:space="preserve">Derechos sexuales y reproductivos, mortalidad materna y aborto </w:t>
      </w:r>
      <w:r>
        <w:br/>
      </w:r>
      <w:r w:rsidRPr="00772A0F">
        <w:t>(arts. 6 y 17)</w:t>
      </w:r>
      <w:bookmarkEnd w:id="15"/>
    </w:p>
    <w:p w:rsidR="00772A0F" w:rsidRPr="00772A0F" w:rsidRDefault="00772A0F" w:rsidP="00E1770C">
      <w:pPr>
        <w:pStyle w:val="SingleTxtG"/>
      </w:pPr>
      <w:bookmarkStart w:id="16" w:name="bookmark_25"/>
      <w:r w:rsidRPr="00772A0F">
        <w:t>9.</w:t>
      </w:r>
      <w:r w:rsidRPr="00772A0F">
        <w:tab/>
        <w:t xml:space="preserve">Sírvanse responder a la información de que, incluso cuando el aborto es legal, como en los casos de violación, incesto, riesgo para la vida o la salud física o mental de la mujer embarazada o malformación grave del feto, el aborto no está disponible en la práctica o es extremadamente costoso. </w:t>
      </w:r>
      <w:r w:rsidR="00E1770C">
        <w:t>P</w:t>
      </w:r>
      <w:r w:rsidRPr="00772A0F">
        <w:t>roporcion</w:t>
      </w:r>
      <w:r w:rsidR="00E1770C">
        <w:t>en</w:t>
      </w:r>
      <w:r w:rsidRPr="00772A0F">
        <w:t xml:space="preserve"> datos sobre la tasa de mortalidad materna.</w:t>
      </w:r>
      <w:bookmarkEnd w:id="16"/>
    </w:p>
    <w:p w:rsidR="00772A0F" w:rsidRPr="00772A0F" w:rsidRDefault="00772A0F" w:rsidP="004709F5">
      <w:pPr>
        <w:pStyle w:val="H1G"/>
      </w:pPr>
      <w:bookmarkStart w:id="17" w:name="bookmark_26"/>
      <w:r>
        <w:tab/>
      </w:r>
      <w:r w:rsidRPr="00772A0F">
        <w:tab/>
        <w:t>Derecho a la vida, prohibición de la tortura y otros tratos o penas crueles, inhumanos o degradantes y detención o prisión arbitrarias</w:t>
      </w:r>
      <w:r w:rsidR="004709F5">
        <w:t> </w:t>
      </w:r>
      <w:r w:rsidRPr="00772A0F">
        <w:t xml:space="preserve">(arts. 6, 7, 9 y 10) </w:t>
      </w:r>
      <w:bookmarkEnd w:id="17"/>
    </w:p>
    <w:p w:rsidR="00772A0F" w:rsidRPr="00772A0F" w:rsidRDefault="00772A0F" w:rsidP="00772A0F">
      <w:pPr>
        <w:pStyle w:val="H23G"/>
      </w:pPr>
      <w:bookmarkStart w:id="18" w:name="bookmark_27"/>
      <w:r>
        <w:tab/>
      </w:r>
      <w:r w:rsidRPr="00772A0F">
        <w:tab/>
        <w:t>Derecho a la vida</w:t>
      </w:r>
      <w:bookmarkEnd w:id="18"/>
    </w:p>
    <w:p w:rsidR="00772A0F" w:rsidRPr="00772A0F" w:rsidRDefault="00772A0F" w:rsidP="004A056A">
      <w:pPr>
        <w:pStyle w:val="SingleTxtG"/>
      </w:pPr>
      <w:bookmarkStart w:id="19" w:name="bookmark_28"/>
      <w:r w:rsidRPr="00772A0F">
        <w:t>10.</w:t>
      </w:r>
      <w:r w:rsidRPr="00772A0F">
        <w:tab/>
        <w:t xml:space="preserve">Sírvanse aportar información sobre las condiciones jurídicas para la imposición de la pena de muerte, </w:t>
      </w:r>
      <w:r w:rsidR="00E1770C">
        <w:t>entre otros</w:t>
      </w:r>
      <w:r w:rsidRPr="00772A0F">
        <w:t xml:space="preserve"> a los menores de edad, durante los últimos </w:t>
      </w:r>
      <w:r w:rsidR="004A056A">
        <w:t>diez</w:t>
      </w:r>
      <w:r w:rsidRPr="00772A0F">
        <w:t xml:space="preserve"> años, el número de personas condenadas a muerte que se encuentran actualmente en espera de ejecución y </w:t>
      </w:r>
      <w:r w:rsidR="00E1770C">
        <w:t>detalles sobre el contenido de las sentencias</w:t>
      </w:r>
      <w:r w:rsidRPr="00772A0F">
        <w:t xml:space="preserve">. </w:t>
      </w:r>
      <w:r w:rsidR="00E1770C">
        <w:t>I</w:t>
      </w:r>
      <w:r w:rsidRPr="00772A0F">
        <w:t>nf</w:t>
      </w:r>
      <w:r w:rsidR="00E1770C">
        <w:t>órmese</w:t>
      </w:r>
      <w:r w:rsidRPr="00772A0F">
        <w:t xml:space="preserve"> sobre la existencia de procedimientos para conmutar las penas de muerte por penas de prisión perpetua. </w:t>
      </w:r>
      <w:r w:rsidR="00E1770C">
        <w:t>I</w:t>
      </w:r>
      <w:r w:rsidRPr="00772A0F">
        <w:t>nform</w:t>
      </w:r>
      <w:r w:rsidR="00E1770C">
        <w:t>en</w:t>
      </w:r>
      <w:r w:rsidRPr="00772A0F">
        <w:t xml:space="preserve"> asimismo de todas las disposiciones que se hayan adoptado para ratificar el Segundo Protocolo Facultativo del Pacto, destinado a abolir la pena de muerte.</w:t>
      </w:r>
      <w:bookmarkEnd w:id="19"/>
    </w:p>
    <w:p w:rsidR="00772A0F" w:rsidRPr="00772A0F" w:rsidRDefault="00772A0F" w:rsidP="00E1770C">
      <w:pPr>
        <w:pStyle w:val="SingleTxtG"/>
      </w:pPr>
      <w:bookmarkStart w:id="20" w:name="bookmark_29"/>
      <w:r w:rsidRPr="00772A0F">
        <w:t>11.</w:t>
      </w:r>
      <w:r w:rsidRPr="00772A0F">
        <w:tab/>
        <w:t xml:space="preserve">Sírvanse proporcionar información detallada sobre la protección del derecho a la vida, consagrado en el artículo 2 de la Constitución del Estado parte. En particular, </w:t>
      </w:r>
      <w:r w:rsidR="00E1770C">
        <w:t>facilítese</w:t>
      </w:r>
      <w:r w:rsidRPr="00772A0F">
        <w:t xml:space="preserve"> información sobre la interpretación y la aplicación del artículo 2, párrafo 2, </w:t>
      </w:r>
      <w:r w:rsidR="00E1770C">
        <w:t>que hacen</w:t>
      </w:r>
      <w:r w:rsidRPr="00772A0F">
        <w:t xml:space="preserve"> los tribunales y sobre las circunstancias en las que se considera que el derecho a la vida no ha sido vulnerado si es el resultado de aplicar una fuerza razonablemente justificada.</w:t>
      </w:r>
      <w:bookmarkEnd w:id="20"/>
    </w:p>
    <w:p w:rsidR="00772A0F" w:rsidRPr="00772A0F" w:rsidRDefault="00772A0F" w:rsidP="00772A0F">
      <w:pPr>
        <w:pStyle w:val="H23G"/>
      </w:pPr>
      <w:bookmarkStart w:id="21" w:name="bookmark_30"/>
      <w:r>
        <w:lastRenderedPageBreak/>
        <w:tab/>
      </w:r>
      <w:r w:rsidRPr="00772A0F">
        <w:tab/>
        <w:t xml:space="preserve">Prohibición de la tortura </w:t>
      </w:r>
      <w:bookmarkEnd w:id="21"/>
    </w:p>
    <w:p w:rsidR="00772A0F" w:rsidRPr="00772A0F" w:rsidRDefault="00772A0F" w:rsidP="00E1770C">
      <w:pPr>
        <w:pStyle w:val="SingleTxtG"/>
      </w:pPr>
      <w:bookmarkStart w:id="22" w:name="bookmark_31"/>
      <w:r w:rsidRPr="00772A0F">
        <w:t>12.</w:t>
      </w:r>
      <w:r w:rsidRPr="00772A0F">
        <w:tab/>
      </w:r>
      <w:r w:rsidR="00E1770C">
        <w:t>Se ruega</w:t>
      </w:r>
      <w:r w:rsidRPr="00772A0F">
        <w:t xml:space="preserve"> indi</w:t>
      </w:r>
      <w:r w:rsidR="00E1770C">
        <w:t>quen</w:t>
      </w:r>
      <w:r w:rsidRPr="00772A0F">
        <w:t xml:space="preserve"> si en el Estado parte la tortura está específicamente tipificada como delito y sancionada con penas adecuadas, y proporcionen información sobre si existe algún órgano independiente que se encargue de investigar las denuncias y de prevenir los abusos y malos tratos por parte de los agentes del orden. </w:t>
      </w:r>
      <w:r w:rsidR="00E1770C">
        <w:t>Apórtense</w:t>
      </w:r>
      <w:r w:rsidRPr="00772A0F">
        <w:t xml:space="preserve"> también datos sobre el número de agentes del orden que hayan sido investigados, enjuiciados, condenados y castigados, así como sobre el tipo de sanciones impuestas.</w:t>
      </w:r>
      <w:bookmarkEnd w:id="22"/>
    </w:p>
    <w:p w:rsidR="00772A0F" w:rsidRPr="00772A0F" w:rsidRDefault="00772A0F" w:rsidP="00772A0F">
      <w:pPr>
        <w:pStyle w:val="H23G"/>
      </w:pPr>
      <w:bookmarkStart w:id="23" w:name="bookmark_32"/>
      <w:r>
        <w:tab/>
      </w:r>
      <w:r w:rsidRPr="00772A0F">
        <w:tab/>
        <w:t>Detención y prisión arbitrarias</w:t>
      </w:r>
      <w:bookmarkEnd w:id="23"/>
    </w:p>
    <w:p w:rsidR="00772A0F" w:rsidRPr="00772A0F" w:rsidRDefault="00772A0F" w:rsidP="00E1770C">
      <w:pPr>
        <w:pStyle w:val="SingleTxtG"/>
      </w:pPr>
      <w:bookmarkStart w:id="24" w:name="bookmark_33"/>
      <w:r w:rsidRPr="00772A0F">
        <w:t>13.</w:t>
      </w:r>
      <w:r w:rsidRPr="00772A0F">
        <w:tab/>
        <w:t xml:space="preserve">Sírvanse proporcionar información sobre los motivos para la privación de libertad y sobre la existencia de un mecanismo de reparación para los casos de detención o privación de libertad ilegales. </w:t>
      </w:r>
      <w:r w:rsidR="00E1770C">
        <w:t>Infórmese</w:t>
      </w:r>
      <w:r w:rsidRPr="00772A0F">
        <w:t xml:space="preserve"> </w:t>
      </w:r>
      <w:r w:rsidR="00E1770C">
        <w:t xml:space="preserve">también </w:t>
      </w:r>
      <w:r w:rsidRPr="00772A0F">
        <w:t xml:space="preserve">sobre los derechos de las personas que son objeto de detención policial, </w:t>
      </w:r>
      <w:r w:rsidR="00E1770C">
        <w:t>entre otras cosas sobre</w:t>
      </w:r>
      <w:r w:rsidRPr="00772A0F">
        <w:t xml:space="preserve"> su derecho a disponer de un abogado, el momento en que se permite a un sospechoso ejercer ese derecho y el plazo máximo de detención antes de su comparecencia ante un juez.</w:t>
      </w:r>
      <w:bookmarkEnd w:id="24"/>
    </w:p>
    <w:p w:rsidR="00772A0F" w:rsidRPr="00772A0F" w:rsidRDefault="00772A0F" w:rsidP="00E1770C">
      <w:pPr>
        <w:pStyle w:val="H23G"/>
      </w:pPr>
      <w:bookmarkStart w:id="25" w:name="bookmark_34"/>
      <w:r>
        <w:tab/>
      </w:r>
      <w:r w:rsidRPr="00772A0F">
        <w:tab/>
        <w:t xml:space="preserve">Condiciones de </w:t>
      </w:r>
      <w:bookmarkEnd w:id="25"/>
      <w:r w:rsidR="00E1770C">
        <w:t>reclusión</w:t>
      </w:r>
    </w:p>
    <w:p w:rsidR="00772A0F" w:rsidRPr="00772A0F" w:rsidRDefault="00772A0F" w:rsidP="00E1770C">
      <w:pPr>
        <w:pStyle w:val="SingleTxtG"/>
      </w:pPr>
      <w:bookmarkStart w:id="26" w:name="bookmark_35"/>
      <w:r w:rsidRPr="00772A0F">
        <w:t>14.</w:t>
      </w:r>
      <w:r w:rsidRPr="00772A0F">
        <w:tab/>
        <w:t xml:space="preserve">Sírvanse </w:t>
      </w:r>
      <w:r w:rsidR="00E1770C">
        <w:t>facilitar</w:t>
      </w:r>
      <w:r w:rsidRPr="00772A0F">
        <w:t xml:space="preserve"> información detallada sobre el número de centros penitenciarios existentes, su capacidad y el número de reclusos, desglosada por centro, e indiquen si los centros penitenciarios disponen de secciones independientes para los menores de edad y las mujeres. </w:t>
      </w:r>
      <w:r w:rsidR="00E1770C">
        <w:t>P</w:t>
      </w:r>
      <w:r w:rsidRPr="00772A0F">
        <w:t>roporcion</w:t>
      </w:r>
      <w:r w:rsidR="00E1770C">
        <w:t>en</w:t>
      </w:r>
      <w:r w:rsidRPr="00772A0F">
        <w:t xml:space="preserve"> también información sobre las medidas adoptadas para mejorar las condiciones de los centros penitenciarios, particularmente la vieja prisión de Kingstown. </w:t>
      </w:r>
      <w:r w:rsidR="00E1770C">
        <w:t>I</w:t>
      </w:r>
      <w:r w:rsidRPr="00772A0F">
        <w:t>nf</w:t>
      </w:r>
      <w:r w:rsidR="00E1770C">
        <w:t>órmese igualmente</w:t>
      </w:r>
      <w:r w:rsidRPr="00772A0F">
        <w:t xml:space="preserve"> sobre el grado en que los grupos de supervisión independientes tienen acceso a las cárceles y centros de detención, y sobre si el Estado parte tiene previsto ratificar el Protocolo Facultativo de la Convención contra la Tortura y Otros Tratos o Penas Crueles, Inhumanos o Degradantes. </w:t>
      </w:r>
      <w:bookmarkEnd w:id="26"/>
    </w:p>
    <w:p w:rsidR="00772A0F" w:rsidRPr="00772A0F" w:rsidRDefault="00772A0F" w:rsidP="00772A0F">
      <w:pPr>
        <w:pStyle w:val="H1G"/>
      </w:pPr>
      <w:bookmarkStart w:id="27" w:name="bookmark_36"/>
      <w:r>
        <w:tab/>
      </w:r>
      <w:r w:rsidRPr="00772A0F">
        <w:tab/>
        <w:t>Derechos del niño (arts. 2, 7, 9, 10, 24 y 26)</w:t>
      </w:r>
      <w:bookmarkEnd w:id="27"/>
    </w:p>
    <w:p w:rsidR="00772A0F" w:rsidRPr="00772A0F" w:rsidRDefault="00772A0F" w:rsidP="00932BBA">
      <w:pPr>
        <w:pStyle w:val="SingleTxtG"/>
      </w:pPr>
      <w:bookmarkStart w:id="28" w:name="bookmark_37"/>
      <w:r w:rsidRPr="00772A0F">
        <w:t>15.</w:t>
      </w:r>
      <w:r w:rsidRPr="00772A0F">
        <w:tab/>
        <w:t xml:space="preserve">Sírvanse proporcionar información sobre si está jurídicamente permitido infligir castigos corporales a los niños y cómo se aplican en todos los entornos, </w:t>
      </w:r>
      <w:r w:rsidR="00932BBA">
        <w:t>incluidos</w:t>
      </w:r>
      <w:r w:rsidRPr="00772A0F">
        <w:t xml:space="preserve"> los centros educativos y el hogar, y sobre las medidas adoptadas para fomentar la sensibilización entre los profesionales y los padres acerca de los efectos negativos que tienen los castigos corporales en los niños y para promover formas no violentas de disciplina.</w:t>
      </w:r>
      <w:bookmarkEnd w:id="28"/>
    </w:p>
    <w:p w:rsidR="00772A0F" w:rsidRPr="00772A0F" w:rsidRDefault="00772A0F" w:rsidP="00932BBA">
      <w:pPr>
        <w:pStyle w:val="SingleTxtG"/>
      </w:pPr>
      <w:bookmarkStart w:id="29" w:name="bookmark_38"/>
      <w:r w:rsidRPr="00772A0F">
        <w:t>16.</w:t>
      </w:r>
      <w:r w:rsidRPr="00772A0F">
        <w:tab/>
      </w:r>
      <w:r w:rsidR="00932BBA">
        <w:t>Rogamos</w:t>
      </w:r>
      <w:r w:rsidRPr="00772A0F">
        <w:t xml:space="preserve"> inform</w:t>
      </w:r>
      <w:r w:rsidR="00932BBA">
        <w:t>en</w:t>
      </w:r>
      <w:r w:rsidRPr="00772A0F">
        <w:t xml:space="preserve"> sobre el estado actual de la revisión de la legislación sobre la administración de la justicia juvenil. </w:t>
      </w:r>
      <w:r w:rsidR="00932BBA">
        <w:t>A</w:t>
      </w:r>
      <w:r w:rsidRPr="00772A0F">
        <w:t>clar</w:t>
      </w:r>
      <w:r w:rsidR="00932BBA">
        <w:t>en</w:t>
      </w:r>
      <w:r w:rsidRPr="00772A0F">
        <w:t xml:space="preserve"> la edad de responsabilidad penal</w:t>
      </w:r>
      <w:r w:rsidR="00932BBA">
        <w:t>,</w:t>
      </w:r>
      <w:r w:rsidRPr="00772A0F">
        <w:t xml:space="preserve"> si los niños que han sido declarados culpables de un delito pueden ser azotados</w:t>
      </w:r>
      <w:r w:rsidR="00932BBA">
        <w:t>,</w:t>
      </w:r>
      <w:r w:rsidRPr="00772A0F">
        <w:t xml:space="preserve"> y si existen disposiciones jurídicas que garanticen que la privación de libertad de los niños se utiliza exclusivamente como medida de último recurso y durante el período más breve posible, y si los niños detenidos se mantienen separados de los adultos.</w:t>
      </w:r>
      <w:bookmarkEnd w:id="29"/>
    </w:p>
    <w:p w:rsidR="00772A0F" w:rsidRPr="00772A0F" w:rsidRDefault="00772A0F" w:rsidP="00932BBA">
      <w:pPr>
        <w:pStyle w:val="SingleTxtG"/>
      </w:pPr>
      <w:bookmarkStart w:id="30" w:name="bookmark_39"/>
      <w:r w:rsidRPr="00772A0F">
        <w:t>17.</w:t>
      </w:r>
      <w:r w:rsidRPr="00772A0F">
        <w:tab/>
        <w:t xml:space="preserve">Sírvanse proporcionar información sobre las medidas adoptadas para combatir el abuso sexual de niños, incluido el incesto. </w:t>
      </w:r>
      <w:r w:rsidR="00932BBA">
        <w:t>Indiquen</w:t>
      </w:r>
      <w:r w:rsidRPr="00772A0F">
        <w:t xml:space="preserve"> también qué iniciativas se han tomado para reducir la explotación sexual de niños, en particular los que ejercen la prostitución.</w:t>
      </w:r>
      <w:bookmarkEnd w:id="30"/>
    </w:p>
    <w:p w:rsidR="00772A0F" w:rsidRPr="00772A0F" w:rsidRDefault="00772A0F" w:rsidP="00932BBA">
      <w:pPr>
        <w:pStyle w:val="SingleTxtG"/>
      </w:pPr>
      <w:bookmarkStart w:id="31" w:name="bookmark_40"/>
      <w:r w:rsidRPr="00772A0F">
        <w:t>18.</w:t>
      </w:r>
      <w:r w:rsidRPr="00772A0F">
        <w:tab/>
      </w:r>
      <w:r w:rsidR="00932BBA">
        <w:t>Facilítese</w:t>
      </w:r>
      <w:r w:rsidRPr="00772A0F">
        <w:t xml:space="preserve"> información sobre si existe alguna previsión de modificar la Ley de Matrimonio con el fin de elevar la edad mínima para contraer matrimonio e igualarla para hombres y mujeres.</w:t>
      </w:r>
      <w:bookmarkEnd w:id="31"/>
    </w:p>
    <w:p w:rsidR="00772A0F" w:rsidRPr="00772A0F" w:rsidRDefault="00772A0F" w:rsidP="00772A0F">
      <w:pPr>
        <w:pStyle w:val="H1G"/>
      </w:pPr>
      <w:bookmarkStart w:id="32" w:name="bookmark_41"/>
      <w:r>
        <w:tab/>
      </w:r>
      <w:r w:rsidRPr="00772A0F">
        <w:tab/>
        <w:t>No discriminación y derechos de los refugiados y las personas con</w:t>
      </w:r>
      <w:r>
        <w:t> </w:t>
      </w:r>
      <w:r w:rsidRPr="00772A0F">
        <w:t>discapacidad (arts. 2 y 26)</w:t>
      </w:r>
      <w:bookmarkEnd w:id="32"/>
    </w:p>
    <w:p w:rsidR="00772A0F" w:rsidRPr="00772A0F" w:rsidRDefault="00772A0F" w:rsidP="00772A0F">
      <w:pPr>
        <w:pStyle w:val="SingleTxtG"/>
      </w:pPr>
      <w:bookmarkStart w:id="33" w:name="bookmark_42"/>
      <w:r w:rsidRPr="00772A0F">
        <w:t>19.</w:t>
      </w:r>
      <w:r w:rsidRPr="00772A0F">
        <w:tab/>
        <w:t>Sírvanse proporcionar información sobre si se han promulgado leyes de ámbito nacional para la protección de los refugiados, aclaren los procedimientos para la determinación de la condición de refugiado y faciliten datos sobre el número de solicitudes de asilo aceptadas y rechazadas en los últimos cinco años.</w:t>
      </w:r>
      <w:bookmarkEnd w:id="33"/>
    </w:p>
    <w:p w:rsidR="00772A0F" w:rsidRPr="00772A0F" w:rsidRDefault="00772A0F" w:rsidP="00932BBA">
      <w:pPr>
        <w:pStyle w:val="SingleTxtG"/>
      </w:pPr>
      <w:bookmarkStart w:id="34" w:name="bookmark_43"/>
      <w:r w:rsidRPr="00772A0F">
        <w:lastRenderedPageBreak/>
        <w:t>20.</w:t>
      </w:r>
      <w:r w:rsidRPr="00772A0F">
        <w:tab/>
      </w:r>
      <w:r w:rsidR="00932BBA">
        <w:t>Se ruega</w:t>
      </w:r>
      <w:r w:rsidRPr="00772A0F">
        <w:t xml:space="preserve"> inform</w:t>
      </w:r>
      <w:r w:rsidR="00932BBA">
        <w:t>en</w:t>
      </w:r>
      <w:r w:rsidRPr="00772A0F">
        <w:t xml:space="preserve"> al Comité de las medidas que se han establecido para promover la inclusión social de las personas con discapacidad, </w:t>
      </w:r>
      <w:r w:rsidR="00932BBA">
        <w:t>incluido</w:t>
      </w:r>
      <w:r w:rsidRPr="00772A0F">
        <w:t xml:space="preserve"> el acceso a servicios de salud y servicios sociales adecuados, así como al empleo y la educación.</w:t>
      </w:r>
      <w:bookmarkEnd w:id="34"/>
    </w:p>
    <w:p w:rsidR="00772A0F" w:rsidRPr="00772A0F" w:rsidRDefault="00772A0F" w:rsidP="00772A0F">
      <w:pPr>
        <w:pStyle w:val="H1G"/>
      </w:pPr>
      <w:bookmarkStart w:id="35" w:name="bookmark_44"/>
      <w:r>
        <w:tab/>
      </w:r>
      <w:r w:rsidRPr="00772A0F">
        <w:tab/>
        <w:t xml:space="preserve">Protección contra la trata de personas (art. 8) </w:t>
      </w:r>
      <w:bookmarkEnd w:id="35"/>
    </w:p>
    <w:p w:rsidR="00772A0F" w:rsidRPr="00772A0F" w:rsidRDefault="00772A0F" w:rsidP="00932BBA">
      <w:pPr>
        <w:pStyle w:val="SingleTxtG"/>
      </w:pPr>
      <w:bookmarkStart w:id="36" w:name="bookmark_45"/>
      <w:r w:rsidRPr="00772A0F">
        <w:t>21.</w:t>
      </w:r>
      <w:r w:rsidRPr="00772A0F">
        <w:tab/>
        <w:t xml:space="preserve">Sírvanse </w:t>
      </w:r>
      <w:r w:rsidR="00932BBA">
        <w:t>aportar</w:t>
      </w:r>
      <w:r w:rsidRPr="00772A0F">
        <w:t xml:space="preserve"> información sobre la Ley de Prevención de la Trata de Personas (2011) y el número de personas que han sido investigadas, enjuiciadas y condenadas por trata en virtud de esta ley. </w:t>
      </w:r>
      <w:r w:rsidR="00932BBA">
        <w:t>P</w:t>
      </w:r>
      <w:r w:rsidRPr="00772A0F">
        <w:t>roporci</w:t>
      </w:r>
      <w:r w:rsidR="00932BBA">
        <w:t>ónese</w:t>
      </w:r>
      <w:r w:rsidRPr="00772A0F">
        <w:t xml:space="preserve"> también información sobre el número de víctimas identificadas, las directrices para su derivación y los servicios especializados de que disponen. </w:t>
      </w:r>
      <w:r w:rsidR="00932BBA">
        <w:t>Incluyan</w:t>
      </w:r>
      <w:r w:rsidRPr="00772A0F">
        <w:t xml:space="preserve"> </w:t>
      </w:r>
      <w:r w:rsidR="00932BBA">
        <w:t>igualmente</w:t>
      </w:r>
      <w:r w:rsidRPr="00772A0F">
        <w:t xml:space="preserve"> información sobre el plan de acción nacional para la prohibición de la trata de personas, en que se especifiquen las funciones de los funcionarios públicos y las organizaciones no gubernamentales, así como los plazos para la adopción de medidas, la capacitación de los funcionarios competentes y el efecto de las campañas de sensibilización contra la trata que se hayan llevado a cabo.</w:t>
      </w:r>
      <w:bookmarkEnd w:id="36"/>
    </w:p>
    <w:p w:rsidR="00772A0F" w:rsidRPr="00772A0F" w:rsidRDefault="00772A0F" w:rsidP="00772A0F">
      <w:pPr>
        <w:pStyle w:val="H1G"/>
      </w:pPr>
      <w:bookmarkStart w:id="37" w:name="bookmark_46"/>
      <w:r>
        <w:tab/>
      </w:r>
      <w:r w:rsidRPr="00772A0F">
        <w:tab/>
        <w:t xml:space="preserve">Libertad de reunión y participación en la vida pública </w:t>
      </w:r>
      <w:r>
        <w:br/>
      </w:r>
      <w:r w:rsidRPr="00772A0F">
        <w:t>(arts. 21 y 25)</w:t>
      </w:r>
      <w:bookmarkEnd w:id="37"/>
    </w:p>
    <w:p w:rsidR="00772A0F" w:rsidRPr="00772A0F" w:rsidRDefault="00772A0F" w:rsidP="00932BBA">
      <w:pPr>
        <w:pStyle w:val="SingleTxtG"/>
      </w:pPr>
      <w:bookmarkStart w:id="38" w:name="bookmark_47"/>
      <w:r w:rsidRPr="00772A0F">
        <w:t>22.</w:t>
      </w:r>
      <w:r w:rsidRPr="00772A0F">
        <w:tab/>
        <w:t xml:space="preserve">Sírvanse responder a las acusaciones de injerencia policial, en varias ocasiones, en un grupo de personas que se manifestaban frente a la oficina electoral durante las elecciones de 2015, que incluyen el presunto hostigamiento de los manifestantes, la incautación de sus bienes, detenciones y acusaciones por infracciones leves. </w:t>
      </w:r>
      <w:r w:rsidR="00932BBA">
        <w:t>I</w:t>
      </w:r>
      <w:r w:rsidRPr="00772A0F">
        <w:t>nf</w:t>
      </w:r>
      <w:r w:rsidR="00932BBA">
        <w:t>órmese</w:t>
      </w:r>
      <w:r w:rsidRPr="00772A0F">
        <w:t xml:space="preserve"> sobre las disposiciones jurídicas que garantizan el derecho de reunión pacífica.</w:t>
      </w:r>
      <w:bookmarkEnd w:id="38"/>
    </w:p>
    <w:p w:rsidR="00772A0F" w:rsidRPr="00772A0F" w:rsidRDefault="00772A0F" w:rsidP="004709F5">
      <w:pPr>
        <w:pStyle w:val="SingleTxtG"/>
      </w:pPr>
      <w:bookmarkStart w:id="39" w:name="bookmark_48"/>
      <w:r w:rsidRPr="00772A0F">
        <w:t>23.</w:t>
      </w:r>
      <w:r w:rsidRPr="00772A0F">
        <w:tab/>
      </w:r>
      <w:r w:rsidR="00932BBA">
        <w:t>Se ruega</w:t>
      </w:r>
      <w:r w:rsidRPr="00772A0F">
        <w:t xml:space="preserve"> respond</w:t>
      </w:r>
      <w:r w:rsidR="00932BBA">
        <w:t>an</w:t>
      </w:r>
      <w:r w:rsidRPr="00772A0F">
        <w:t xml:space="preserve"> a las denuncias de corrupción en el contexto de las elecciones de</w:t>
      </w:r>
      <w:r w:rsidR="004709F5">
        <w:t> </w:t>
      </w:r>
      <w:r w:rsidRPr="00772A0F">
        <w:t xml:space="preserve">2015. </w:t>
      </w:r>
      <w:r w:rsidR="00932BBA" w:rsidRPr="00772A0F">
        <w:t>Proporci</w:t>
      </w:r>
      <w:r w:rsidR="00932BBA">
        <w:t>ónese</w:t>
      </w:r>
      <w:r w:rsidR="00932BBA" w:rsidRPr="00772A0F">
        <w:t xml:space="preserve"> </w:t>
      </w:r>
      <w:r w:rsidRPr="00772A0F">
        <w:t>información sobre las disposiciones jurídicas relativas a los delitos de corrupción política, las investigaciones y las sanciones en los casos de corrupción, y sobre si se prevé aplicar leyes de declaración de la información financiera para los funcionarios públicos.</w:t>
      </w:r>
      <w:bookmarkEnd w:id="39"/>
    </w:p>
    <w:p w:rsidR="00772A0F" w:rsidRPr="00772A0F" w:rsidRDefault="00772A0F" w:rsidP="00772A0F">
      <w:pPr>
        <w:pStyle w:val="H1G"/>
      </w:pPr>
      <w:bookmarkStart w:id="40" w:name="bookmark_49"/>
      <w:r>
        <w:tab/>
      </w:r>
      <w:r w:rsidRPr="00772A0F">
        <w:tab/>
        <w:t>Difusión de información relativa al Pacto (art. 2)</w:t>
      </w:r>
      <w:bookmarkEnd w:id="40"/>
    </w:p>
    <w:p w:rsidR="00772A0F" w:rsidRPr="00772A0F" w:rsidRDefault="00772A0F" w:rsidP="00932BBA">
      <w:pPr>
        <w:pStyle w:val="SingleTxtG"/>
      </w:pPr>
      <w:bookmarkStart w:id="41" w:name="bookmark_50"/>
      <w:r w:rsidRPr="00772A0F">
        <w:t>24.</w:t>
      </w:r>
      <w:r w:rsidRPr="00772A0F">
        <w:tab/>
        <w:t xml:space="preserve">Sírvanse proporcionar información sobre las medidas adoptadas para dar a conocer el Pacto y las observaciones finales con el fin de fomentar su conocimiento entre las autoridades judiciales, legislativas y administrativas, así como entre los agentes del orden, los abogados y los profesores universitarios. </w:t>
      </w:r>
      <w:r w:rsidR="00932BBA">
        <w:t>Apórtese</w:t>
      </w:r>
      <w:r w:rsidRPr="00772A0F">
        <w:t xml:space="preserve"> más información sobre la participación de la sociedad civil y las organizaciones no gubernamentales en este proceso.</w:t>
      </w:r>
      <w:bookmarkEnd w:id="41"/>
    </w:p>
    <w:p w:rsidR="00411A36" w:rsidRPr="00772A0F" w:rsidRDefault="00772A0F" w:rsidP="00772A0F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11A36" w:rsidRPr="00772A0F" w:rsidSect="00772A0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75B" w:rsidRDefault="006F775B"/>
  </w:endnote>
  <w:endnote w:type="continuationSeparator" w:id="0">
    <w:p w:rsidR="006F775B" w:rsidRDefault="006F77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A0F" w:rsidRPr="00772A0F" w:rsidRDefault="00772A0F" w:rsidP="00772A0F">
    <w:pPr>
      <w:pStyle w:val="Footer"/>
      <w:tabs>
        <w:tab w:val="right" w:pos="9638"/>
      </w:tabs>
    </w:pPr>
    <w:r w:rsidRPr="00772A0F">
      <w:rPr>
        <w:b/>
        <w:sz w:val="18"/>
      </w:rPr>
      <w:fldChar w:fldCharType="begin"/>
    </w:r>
    <w:r w:rsidRPr="00772A0F">
      <w:rPr>
        <w:b/>
        <w:sz w:val="18"/>
      </w:rPr>
      <w:instrText xml:space="preserve"> PAGE  \* MERGEFORMAT </w:instrText>
    </w:r>
    <w:r w:rsidRPr="00772A0F">
      <w:rPr>
        <w:b/>
        <w:sz w:val="18"/>
      </w:rPr>
      <w:fldChar w:fldCharType="separate"/>
    </w:r>
    <w:r w:rsidR="00695C19">
      <w:rPr>
        <w:b/>
        <w:noProof/>
        <w:sz w:val="18"/>
      </w:rPr>
      <w:t>4</w:t>
    </w:r>
    <w:r w:rsidRPr="00772A0F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A0F" w:rsidRPr="00772A0F" w:rsidRDefault="00772A0F" w:rsidP="00772A0F">
    <w:pPr>
      <w:pStyle w:val="Footer"/>
      <w:tabs>
        <w:tab w:val="right" w:pos="9638"/>
      </w:tabs>
      <w:rPr>
        <w:b/>
        <w:sz w:val="18"/>
      </w:rPr>
    </w:pPr>
    <w:r>
      <w:tab/>
    </w:r>
    <w:r w:rsidRPr="00772A0F">
      <w:rPr>
        <w:b/>
        <w:sz w:val="18"/>
      </w:rPr>
      <w:fldChar w:fldCharType="begin"/>
    </w:r>
    <w:r w:rsidRPr="00772A0F">
      <w:rPr>
        <w:b/>
        <w:sz w:val="18"/>
      </w:rPr>
      <w:instrText xml:space="preserve"> PAGE  \* MERGEFORMAT </w:instrText>
    </w:r>
    <w:r w:rsidRPr="00772A0F">
      <w:rPr>
        <w:b/>
        <w:sz w:val="18"/>
      </w:rPr>
      <w:fldChar w:fldCharType="separate"/>
    </w:r>
    <w:r w:rsidR="00695C19">
      <w:rPr>
        <w:b/>
        <w:noProof/>
        <w:sz w:val="18"/>
      </w:rPr>
      <w:t>3</w:t>
    </w:r>
    <w:r w:rsidRPr="00772A0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4AD" w:rsidRPr="00B827FD" w:rsidRDefault="00B827FD" w:rsidP="00B827FD">
    <w:pPr>
      <w:pStyle w:val="Footer"/>
      <w:spacing w:before="120" w:line="240" w:lineRule="auto"/>
      <w:rPr>
        <w:sz w:val="20"/>
      </w:rPr>
    </w:pPr>
    <w:r>
      <w:rPr>
        <w:sz w:val="20"/>
      </w:rPr>
      <w:t>GE.17-</w:t>
    </w:r>
    <w:proofErr w:type="gramStart"/>
    <w:r>
      <w:rPr>
        <w:sz w:val="20"/>
      </w:rPr>
      <w:t>22507  (</w:t>
    </w:r>
    <w:proofErr w:type="gramEnd"/>
    <w:r>
      <w:rPr>
        <w:sz w:val="20"/>
      </w:rPr>
      <w:t>S)</w:t>
    </w:r>
    <w:r>
      <w:rPr>
        <w:sz w:val="20"/>
      </w:rPr>
      <w:br/>
    </w:r>
    <w:r w:rsidRPr="00B827FD">
      <w:rPr>
        <w:rFonts w:ascii="C39T30Lfz" w:hAnsi="C39T30Lfz"/>
        <w:sz w:val="56"/>
      </w:rPr>
      <w:t></w:t>
    </w:r>
    <w:r w:rsidRPr="00B827FD">
      <w:rPr>
        <w:rFonts w:ascii="C39T30Lfz" w:hAnsi="C39T30Lfz"/>
        <w:sz w:val="56"/>
      </w:rPr>
      <w:t></w:t>
    </w:r>
    <w:r w:rsidRPr="00B827FD">
      <w:rPr>
        <w:rFonts w:ascii="C39T30Lfz" w:hAnsi="C39T30Lfz"/>
        <w:sz w:val="56"/>
      </w:rPr>
      <w:t></w:t>
    </w:r>
    <w:r w:rsidRPr="00B827FD">
      <w:rPr>
        <w:rFonts w:ascii="C39T30Lfz" w:hAnsi="C39T30Lfz"/>
        <w:sz w:val="56"/>
      </w:rPr>
      <w:t></w:t>
    </w:r>
    <w:r w:rsidRPr="00B827FD">
      <w:rPr>
        <w:rFonts w:ascii="C39T30Lfz" w:hAnsi="C39T30Lfz"/>
        <w:sz w:val="56"/>
      </w:rPr>
      <w:t></w:t>
    </w:r>
    <w:r w:rsidRPr="00B827FD">
      <w:rPr>
        <w:rFonts w:ascii="C39T30Lfz" w:hAnsi="C39T30Lfz"/>
        <w:sz w:val="56"/>
      </w:rPr>
      <w:t></w:t>
    </w:r>
    <w:r w:rsidRPr="00B827FD">
      <w:rPr>
        <w:rFonts w:ascii="C39T30Lfz" w:hAnsi="C39T30Lfz"/>
        <w:sz w:val="56"/>
      </w:rPr>
      <w:t></w:t>
    </w:r>
    <w:r w:rsidRPr="00B827FD">
      <w:rPr>
        <w:rFonts w:ascii="C39T30Lfz" w:hAnsi="C39T30Lfz"/>
        <w:sz w:val="56"/>
      </w:rPr>
      <w:t></w:t>
    </w:r>
    <w:r w:rsidRPr="00B827FD">
      <w:rPr>
        <w:rFonts w:ascii="C39T30Lfz" w:hAnsi="C39T30Lfz"/>
        <w:sz w:val="56"/>
      </w:rPr>
      <w:t></w:t>
    </w:r>
    <w:r w:rsidRPr="00B827FD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3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1" name="Picture 1" descr="https://undocs.org/m2/QRCode.ashx?DS=CCPR/C/VCT/Q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VCT/Q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75B" w:rsidRPr="001075E9" w:rsidRDefault="006F775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F775B" w:rsidRDefault="006F775B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72A0F" w:rsidRPr="00C02513" w:rsidRDefault="00772A0F" w:rsidP="00B71662">
      <w:pPr>
        <w:pStyle w:val="FootnoteText"/>
        <w:rPr>
          <w:sz w:val="22"/>
          <w:lang w:val="fr-FR"/>
        </w:rPr>
      </w:pPr>
      <w:bookmarkStart w:id="2" w:name="footnoteBookmark_11"/>
      <w:r>
        <w:tab/>
      </w:r>
      <w:r w:rsidRPr="00C02513">
        <w:rPr>
          <w:rStyle w:val="FootnoteReference"/>
          <w:szCs w:val="18"/>
          <w:vertAlign w:val="baseline"/>
        </w:rPr>
        <w:t>*</w:t>
      </w:r>
      <w:r w:rsidRPr="00772A0F">
        <w:rPr>
          <w:rStyle w:val="FootnoteReference"/>
          <w:vertAlign w:val="baseline"/>
        </w:rPr>
        <w:tab/>
      </w:r>
      <w:r w:rsidR="00B71662">
        <w:t xml:space="preserve">Publicado nuevamente por razones técnicas el </w:t>
      </w:r>
      <w:r w:rsidR="00C02513">
        <w:t>5</w:t>
      </w:r>
      <w:r w:rsidR="00B71662">
        <w:t xml:space="preserve"> de diciembre de 2018; anteriormente publicado con la signatura CCPR/C/VCT/Q/4.</w:t>
      </w:r>
      <w:r w:rsidR="00B71662">
        <w:rPr>
          <w:sz w:val="17"/>
          <w:szCs w:val="17"/>
        </w:rPr>
        <w:t xml:space="preserve"> </w:t>
      </w:r>
      <w:r w:rsidR="00B71662">
        <w:t> </w:t>
      </w:r>
      <w:bookmarkEnd w:id="2"/>
    </w:p>
  </w:footnote>
  <w:footnote w:id="2">
    <w:p w:rsidR="00B71662" w:rsidRPr="00C02513" w:rsidRDefault="00B71662">
      <w:pPr>
        <w:pStyle w:val="FootnoteText"/>
        <w:rPr>
          <w:lang w:val="fr-FR"/>
        </w:rPr>
      </w:pPr>
      <w:r>
        <w:tab/>
      </w:r>
      <w:r w:rsidRPr="00C02513">
        <w:rPr>
          <w:rStyle w:val="FootnoteReference"/>
          <w:vertAlign w:val="baseline"/>
        </w:rPr>
        <w:t>**</w:t>
      </w:r>
      <w:r>
        <w:tab/>
      </w:r>
      <w:r w:rsidRPr="00772A0F">
        <w:t>Aprobada por el Comité en su 121</w:t>
      </w:r>
      <w:r w:rsidRPr="00772A0F">
        <w:rPr>
          <w:vertAlign w:val="superscript"/>
        </w:rPr>
        <w:t>er</w:t>
      </w:r>
      <w:r w:rsidRPr="00772A0F">
        <w:t xml:space="preserve"> período de sesiones (16 de octubre a 10 de noviembre de 2017).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A0F" w:rsidRPr="00772A0F" w:rsidRDefault="00C02513">
    <w:pPr>
      <w:pStyle w:val="Header"/>
    </w:pPr>
    <w:fldSimple w:instr=" TITLE  \* MERGEFORMAT ">
      <w:r w:rsidR="00695C19">
        <w:t>CCPR/C/VCT/Q/2</w:t>
      </w:r>
    </w:fldSimple>
    <w:r w:rsidR="00B71662"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A0F" w:rsidRPr="00772A0F" w:rsidRDefault="00C02513" w:rsidP="00772A0F">
    <w:pPr>
      <w:pStyle w:val="Header"/>
      <w:jc w:val="right"/>
    </w:pPr>
    <w:fldSimple w:instr=" TITLE  \* MERGEFORMAT ">
      <w:r w:rsidR="00695C19">
        <w:t>CCPR/C/VCT/Q/2</w:t>
      </w:r>
    </w:fldSimple>
    <w:r w:rsidR="00B71662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75B"/>
    <w:rsid w:val="00006BB9"/>
    <w:rsid w:val="0005274F"/>
    <w:rsid w:val="000A36A2"/>
    <w:rsid w:val="000B57E7"/>
    <w:rsid w:val="000F09DF"/>
    <w:rsid w:val="000F61B2"/>
    <w:rsid w:val="001075E9"/>
    <w:rsid w:val="00160FF7"/>
    <w:rsid w:val="00180183"/>
    <w:rsid w:val="00196389"/>
    <w:rsid w:val="001A1F00"/>
    <w:rsid w:val="001C7A89"/>
    <w:rsid w:val="0022765D"/>
    <w:rsid w:val="002A061F"/>
    <w:rsid w:val="002A2EFC"/>
    <w:rsid w:val="002A6FA7"/>
    <w:rsid w:val="002C0E18"/>
    <w:rsid w:val="002C33BB"/>
    <w:rsid w:val="002D5AAC"/>
    <w:rsid w:val="002D7C8D"/>
    <w:rsid w:val="002E092A"/>
    <w:rsid w:val="002F13FE"/>
    <w:rsid w:val="00301299"/>
    <w:rsid w:val="00322004"/>
    <w:rsid w:val="003402C2"/>
    <w:rsid w:val="0036261E"/>
    <w:rsid w:val="00381C24"/>
    <w:rsid w:val="003958D0"/>
    <w:rsid w:val="003E1F6E"/>
    <w:rsid w:val="004039A7"/>
    <w:rsid w:val="00411A36"/>
    <w:rsid w:val="00454E07"/>
    <w:rsid w:val="004709F5"/>
    <w:rsid w:val="004744DF"/>
    <w:rsid w:val="004875CF"/>
    <w:rsid w:val="004A056A"/>
    <w:rsid w:val="004E4B46"/>
    <w:rsid w:val="0050108D"/>
    <w:rsid w:val="00565353"/>
    <w:rsid w:val="0056787C"/>
    <w:rsid w:val="00572E19"/>
    <w:rsid w:val="005B3E01"/>
    <w:rsid w:val="005F0B42"/>
    <w:rsid w:val="00614642"/>
    <w:rsid w:val="00655A21"/>
    <w:rsid w:val="00660CE8"/>
    <w:rsid w:val="006808A9"/>
    <w:rsid w:val="00695C19"/>
    <w:rsid w:val="006F35EE"/>
    <w:rsid w:val="006F775B"/>
    <w:rsid w:val="007021FF"/>
    <w:rsid w:val="007076CB"/>
    <w:rsid w:val="00721764"/>
    <w:rsid w:val="00725988"/>
    <w:rsid w:val="00772A0F"/>
    <w:rsid w:val="007967DF"/>
    <w:rsid w:val="007A0D9C"/>
    <w:rsid w:val="00834B71"/>
    <w:rsid w:val="0086445C"/>
    <w:rsid w:val="00887BA6"/>
    <w:rsid w:val="008A08D7"/>
    <w:rsid w:val="008A13F9"/>
    <w:rsid w:val="008D5DB6"/>
    <w:rsid w:val="008E3AB9"/>
    <w:rsid w:val="00906890"/>
    <w:rsid w:val="00916396"/>
    <w:rsid w:val="00932BBA"/>
    <w:rsid w:val="0094301A"/>
    <w:rsid w:val="00951972"/>
    <w:rsid w:val="00963777"/>
    <w:rsid w:val="009946B1"/>
    <w:rsid w:val="009A3E57"/>
    <w:rsid w:val="009B452A"/>
    <w:rsid w:val="009B4E5E"/>
    <w:rsid w:val="009C693C"/>
    <w:rsid w:val="00A17DFD"/>
    <w:rsid w:val="00A81257"/>
    <w:rsid w:val="00A917B3"/>
    <w:rsid w:val="00AB4B51"/>
    <w:rsid w:val="00AE0E02"/>
    <w:rsid w:val="00AE4CC4"/>
    <w:rsid w:val="00B10CC7"/>
    <w:rsid w:val="00B511D3"/>
    <w:rsid w:val="00B62458"/>
    <w:rsid w:val="00B634F5"/>
    <w:rsid w:val="00B70472"/>
    <w:rsid w:val="00B71662"/>
    <w:rsid w:val="00B827FD"/>
    <w:rsid w:val="00BA2E9C"/>
    <w:rsid w:val="00BD33EE"/>
    <w:rsid w:val="00C02513"/>
    <w:rsid w:val="00C2215B"/>
    <w:rsid w:val="00C27ECE"/>
    <w:rsid w:val="00C33381"/>
    <w:rsid w:val="00C56FC7"/>
    <w:rsid w:val="00C60F0C"/>
    <w:rsid w:val="00C76505"/>
    <w:rsid w:val="00C805C9"/>
    <w:rsid w:val="00CA1679"/>
    <w:rsid w:val="00CD5E58"/>
    <w:rsid w:val="00D47E16"/>
    <w:rsid w:val="00D5042C"/>
    <w:rsid w:val="00D809C0"/>
    <w:rsid w:val="00D80BBB"/>
    <w:rsid w:val="00D90138"/>
    <w:rsid w:val="00DE44AD"/>
    <w:rsid w:val="00E1770C"/>
    <w:rsid w:val="00E34B50"/>
    <w:rsid w:val="00E465FD"/>
    <w:rsid w:val="00E73F76"/>
    <w:rsid w:val="00EA164F"/>
    <w:rsid w:val="00EF1360"/>
    <w:rsid w:val="00EF3220"/>
    <w:rsid w:val="00F37024"/>
    <w:rsid w:val="00F44B33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64199DAB-BCED-48C9-A5FE-2232946BE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87BA6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basedOn w:val="DefaultParagraphFont"/>
    <w:semiHidden/>
    <w:rsid w:val="00C76505"/>
    <w:rPr>
      <w:i/>
      <w:iCs/>
    </w:rPr>
  </w:style>
  <w:style w:type="character" w:styleId="HTMLCode">
    <w:name w:val="HTML Code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basedOn w:val="DefaultParagraphFont"/>
    <w:semiHidden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basedOn w:val="DefaultParagraphFont"/>
    <w:rsid w:val="007A0D9C"/>
    <w:rPr>
      <w:color w:val="0000FF"/>
      <w:u w:val="none"/>
    </w:rPr>
  </w:style>
  <w:style w:type="character" w:styleId="FollowedHyperlink">
    <w:name w:val="FollowedHyperlink"/>
    <w:basedOn w:val="DefaultParagraphFont"/>
    <w:rsid w:val="007A0D9C"/>
    <w:rPr>
      <w:color w:val="0000FF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basedOn w:val="DefaultParagraphFont"/>
    <w:rsid w:val="00C76505"/>
    <w:rPr>
      <w:b/>
      <w:sz w:val="18"/>
    </w:rPr>
  </w:style>
  <w:style w:type="character" w:styleId="EndnoteReference">
    <w:name w:val="endnote reference"/>
    <w:aliases w:val="1_G"/>
    <w:basedOn w:val="FootnoteReference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semiHidden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semiHidden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411A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11A36"/>
    <w:rPr>
      <w:rFonts w:ascii="Tahoma" w:hAnsi="Tahoma" w:cs="Tahoma"/>
      <w:sz w:val="16"/>
      <w:szCs w:val="16"/>
      <w:lang w:val="es-ES" w:eastAsia="es-ES"/>
    </w:rPr>
  </w:style>
  <w:style w:type="paragraph" w:customStyle="1" w:styleId="xmsonormal">
    <w:name w:val="x_msonormal"/>
    <w:basedOn w:val="Normal"/>
    <w:uiPriority w:val="99"/>
    <w:rsid w:val="00B71662"/>
    <w:pPr>
      <w:spacing w:line="240" w:lineRule="auto"/>
    </w:pPr>
    <w:rPr>
      <w:rFonts w:ascii="Calibri" w:eastAsiaTheme="minorHAnsi" w:hAnsi="Calibri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06CFF-B43F-450B-9ED3-6BB4ED83B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4</Pages>
  <Words>1793</Words>
  <Characters>10222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CCPR/C/VCT/Q/2</vt:lpstr>
      <vt:lpstr>CCPR/C/VCT/Q/4</vt:lpstr>
    </vt:vector>
  </TitlesOfParts>
  <Company/>
  <LinksUpToDate>false</LinksUpToDate>
  <CharactersWithSpaces>11992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CCPR/C/VCT/Q/2</dc:title>
  <dc:subject/>
  <dc:creator>Maria Luisa Zeballos Moreno</dc:creator>
  <cp:keywords/>
  <dc:description/>
  <cp:lastModifiedBy>Emmanuelle Favre</cp:lastModifiedBy>
  <cp:revision>2</cp:revision>
  <cp:lastPrinted>2018-12-05T10:18:00Z</cp:lastPrinted>
  <dcterms:created xsi:type="dcterms:W3CDTF">2019-01-22T13:38:00Z</dcterms:created>
  <dcterms:modified xsi:type="dcterms:W3CDTF">2019-01-22T13:38:00Z</dcterms:modified>
</cp:coreProperties>
</file>