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619-м заседании,</w:t>
      </w:r>
    </w:p>
    <w:p w:rsidR="00000000" w:rsidRDefault="00000000">
      <w:r>
        <w:t>состоявшемся в Центральных учреждениях, Нью-Йорк, в среду, 9 июля 2003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Феррер Гомес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о ликвидации всех форм </w:t>
      </w:r>
      <w:r>
        <w:br/>
        <w:t>дискриминации в о</w:t>
      </w:r>
      <w:r>
        <w:t>т</w:t>
      </w:r>
      <w:r>
        <w:t>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rPr>
          <w:i/>
        </w:rPr>
        <w:t xml:space="preserve">Сводный первоначальный, второй и третий периодический </w:t>
      </w:r>
      <w:r>
        <w:rPr>
          <w:i/>
        </w:rPr>
        <w:br/>
        <w:t>доклад и четвертый периодический доклад Коста-Рики</w:t>
      </w:r>
    </w:p>
    <w:p w:rsidR="00000000" w:rsidRDefault="00000000">
      <w:pPr>
        <w:pStyle w:val="SingleTxt"/>
        <w:spacing w:after="0" w:line="240" w:lineRule="auto"/>
        <w:ind w:left="1742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В отсутствие Председателя г</w:t>
      </w:r>
      <w:r>
        <w:rPr>
          <w:i/>
        </w:rPr>
        <w:noBreakHyphen/>
        <w:t>жа Феррер Гомес, заместитель Председателя, занимает место Председат</w:t>
      </w:r>
      <w:r>
        <w:rPr>
          <w:i/>
        </w:rPr>
        <w:t>е</w:t>
      </w:r>
      <w:r>
        <w:rPr>
          <w:i/>
        </w:rPr>
        <w:t>ля.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о ликвидации всех форм 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</w:pPr>
      <w:r>
        <w:tab/>
      </w:r>
      <w:r>
        <w:rPr>
          <w:i/>
        </w:rPr>
        <w:t>Сводный первоначальный, второй и третий периодический доклад и четвертый период</w:t>
      </w:r>
      <w:r>
        <w:rPr>
          <w:i/>
        </w:rPr>
        <w:t>и</w:t>
      </w:r>
      <w:r>
        <w:rPr>
          <w:i/>
        </w:rPr>
        <w:t xml:space="preserve">ческий доклад Коста-Рики </w:t>
      </w:r>
      <w:r>
        <w:t>(CEDAW/C/CRI/1–3 и CEDAW/C/CRI/4)</w:t>
      </w: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Бриттон (Коста-Рика) занимает место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Бриттон</w:t>
      </w:r>
      <w:r>
        <w:t xml:space="preserve"> (Коста-Рика) говорит, что з</w:t>
      </w:r>
      <w:r>
        <w:t>а</w:t>
      </w:r>
      <w:r>
        <w:t>держка с представлением докладов, требуемых в соответствии с Конвенцией, обусловлена главным образом политическими и социальными условиями Коста-Рики в 90</w:t>
      </w:r>
      <w:r>
        <w:noBreakHyphen/>
        <w:t>е годы, которые не способствовали осуществлению государственной политики с учетом гендерных аспектов. Однако на основании обяз</w:t>
      </w:r>
      <w:r>
        <w:t>а</w:t>
      </w:r>
      <w:r>
        <w:t>тельств, взятых в рамках Пекинской платформы действий в 1995 году, были осуществлены знач</w:t>
      </w:r>
      <w:r>
        <w:t>и</w:t>
      </w:r>
      <w:r>
        <w:t>тельные изменения с целью укрепления национал</w:t>
      </w:r>
      <w:r>
        <w:t>ь</w:t>
      </w:r>
      <w:r>
        <w:t>ного механизма улучшения положения женщин. Первый доклад Коста-Рики был подготовлен в 1998 году, однако задержки с его представлением и большое число пересмотренных докладов, пре</w:t>
      </w:r>
      <w:r>
        <w:t>д</w:t>
      </w:r>
      <w:r>
        <w:t>ставленных Комитету, не позволили своевременно рассмотреть его. В настоящее время проблемы, к</w:t>
      </w:r>
      <w:r>
        <w:t>о</w:t>
      </w:r>
      <w:r>
        <w:t>торые помешали своевременному представлению докладов, преодолены и задержек с представлением в будущем докладов не предвиди</w:t>
      </w:r>
      <w:r>
        <w:t>т</w:t>
      </w:r>
      <w:r>
        <w:t>ся.</w:t>
      </w:r>
    </w:p>
    <w:p w:rsidR="00000000" w:rsidRDefault="00000000">
      <w:pPr>
        <w:pStyle w:val="DualTxt"/>
      </w:pPr>
      <w:r>
        <w:t>3.</w:t>
      </w:r>
      <w:r>
        <w:tab/>
        <w:t>Национальная стратегия ликвидации нищеты предусматривает две программы, конкретно н</w:t>
      </w:r>
      <w:r>
        <w:t>а</w:t>
      </w:r>
      <w:r>
        <w:t>правленные на женщин, возглавляющих домашние хозяйства, и матерей-подростков. Первая программа включает компонент образования и профессионал</w:t>
      </w:r>
      <w:r>
        <w:t>ь</w:t>
      </w:r>
      <w:r>
        <w:t>ной подготовки. К 2002 году ею воспользовались 19 094 женщины, при этом в ней участвовали 467 женщин из числа коренных народов. Женщины получают ежемесячные стипендии в ходе своей профессионально-технической подготовки, которая продолжается до девяти месяцев. Усилия прав</w:t>
      </w:r>
      <w:r>
        <w:t>и</w:t>
      </w:r>
      <w:r>
        <w:t>тельства по применению Конвенции в интересах женщин из числа коренных народов сконцентрир</w:t>
      </w:r>
      <w:r>
        <w:t>о</w:t>
      </w:r>
      <w:r>
        <w:t>ваны главным образом в сферах образования и м</w:t>
      </w:r>
      <w:r>
        <w:t>е</w:t>
      </w:r>
      <w:r>
        <w:t>дицинского обслуживания. Национальная комиссия по делам коренных народов (НККН) разработала план развития коренных народов, который пока еще полностью не осуществлен. К сожалению, он не включает каких-либо мероприятий, специально рассчитанных на женщин из числа коренных нар</w:t>
      </w:r>
      <w:r>
        <w:t>о</w:t>
      </w:r>
      <w:r>
        <w:t>дов.</w:t>
      </w:r>
    </w:p>
    <w:p w:rsidR="00000000" w:rsidRDefault="00000000">
      <w:pPr>
        <w:pStyle w:val="DualTxt"/>
      </w:pPr>
      <w:r>
        <w:t>4.</w:t>
      </w:r>
      <w:r>
        <w:tab/>
        <w:t>Закон о поощрении социального равенства женщин, принятый в 1990 году, гласит, что госуда</w:t>
      </w:r>
      <w:r>
        <w:t>р</w:t>
      </w:r>
      <w:r>
        <w:t>ство и его учреждения несут обязанность по обе</w:t>
      </w:r>
      <w:r>
        <w:t>с</w:t>
      </w:r>
      <w:r>
        <w:t>печению того, чтобы женщины не страдали от к</w:t>
      </w:r>
      <w:r>
        <w:t>а</w:t>
      </w:r>
      <w:r>
        <w:t>кой-либо формы дискриминации по признаку пола. Был достигнут прогресс в деле включения опред</w:t>
      </w:r>
      <w:r>
        <w:t>е</w:t>
      </w:r>
      <w:r>
        <w:t>ления дискриминации в Политическую констит</w:t>
      </w:r>
      <w:r>
        <w:t>у</w:t>
      </w:r>
      <w:r>
        <w:t>цию и национальное законодательство, однако еще предстоит сделать это со всей ясностью. Конвенция не изучается подробно на юридическом факультете Университета Коста-Рики и в частных университ</w:t>
      </w:r>
      <w:r>
        <w:t>е</w:t>
      </w:r>
      <w:r>
        <w:t>тах. Однако в 2002 году Национальный институт по делам женщин (ИНАМУ) подписал соглашение с Университетом Коста-Рики о разработке на кафедре по правам человека курса о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5.</w:t>
      </w:r>
      <w:r>
        <w:tab/>
        <w:t>Касаясь положения женщин-беженцев, она г</w:t>
      </w:r>
      <w:r>
        <w:t>о</w:t>
      </w:r>
      <w:r>
        <w:t>ворит, что в Коста-Рике сложилась традиция откр</w:t>
      </w:r>
      <w:r>
        <w:t>ы</w:t>
      </w:r>
      <w:r>
        <w:t>тости в отношении беженцев и предоставления п</w:t>
      </w:r>
      <w:r>
        <w:t>о</w:t>
      </w:r>
      <w:r>
        <w:t>литического убежища в соответствии с междун</w:t>
      </w:r>
      <w:r>
        <w:t>а</w:t>
      </w:r>
      <w:r>
        <w:t>родными договорами, участником которых она я</w:t>
      </w:r>
      <w:r>
        <w:t>в</w:t>
      </w:r>
      <w:r>
        <w:t>ляется. Беженцам предоставляется временный вид на жительство без каких-либо условий. Им разр</w:t>
      </w:r>
      <w:r>
        <w:t>е</w:t>
      </w:r>
      <w:r>
        <w:t>шается работать без ограничений, однако они ста</w:t>
      </w:r>
      <w:r>
        <w:t>л</w:t>
      </w:r>
      <w:r>
        <w:t>киваются с проблемами поиска работы. В исполн</w:t>
      </w:r>
      <w:r>
        <w:t>и</w:t>
      </w:r>
      <w:r>
        <w:t>тельном декрете от 6 июня 2003 года говорится, что лица, имеющие статус беженцев, не имеют возмо</w:t>
      </w:r>
      <w:r>
        <w:t>ж</w:t>
      </w:r>
      <w:r>
        <w:t>ности вернуться в свои страны происхождения, что заставило многих из них искать возможности пол</w:t>
      </w:r>
      <w:r>
        <w:t>у</w:t>
      </w:r>
      <w:r>
        <w:t>чения постоянного вида на жительс</w:t>
      </w:r>
      <w:r>
        <w:t>т</w:t>
      </w:r>
      <w:r>
        <w:t>во.</w:t>
      </w:r>
    </w:p>
    <w:p w:rsidR="00000000" w:rsidRDefault="00000000">
      <w:pPr>
        <w:pStyle w:val="DualTxt"/>
      </w:pPr>
      <w:r>
        <w:t>6.</w:t>
      </w:r>
      <w:r>
        <w:tab/>
        <w:t>Что касается взаимоотношений между гос</w:t>
      </w:r>
      <w:r>
        <w:t>у</w:t>
      </w:r>
      <w:r>
        <w:t>дарством и католической церковью, то в соответс</w:t>
      </w:r>
      <w:r>
        <w:t>т</w:t>
      </w:r>
      <w:r>
        <w:t>вии со статьей 75 Конституции Коста-Рика является «конфессиональным государством»: государстве</w:t>
      </w:r>
      <w:r>
        <w:t>н</w:t>
      </w:r>
      <w:r>
        <w:t>ные средства переводятся в церковь для покрытия материально-технических затрат и в качестве экв</w:t>
      </w:r>
      <w:r>
        <w:t>и</w:t>
      </w:r>
      <w:r>
        <w:t>валента окладов священнослужителей. В 2003 году большинство членов Палаты депутатов поставили под сомнение эти ассигнования, поэтому в ныне</w:t>
      </w:r>
      <w:r>
        <w:t>ш</w:t>
      </w:r>
      <w:r>
        <w:t>нем бюджете они были резко сокращены. Этот шаг свидетельствует о продолжении процесса отделения государства от католической церкви, по крайней мере, с точки зрения финансовой поддержки, кот</w:t>
      </w:r>
      <w:r>
        <w:t>о</w:t>
      </w:r>
      <w:r>
        <w:t>рый был начат в 1993 году, когда было отменено о</w:t>
      </w:r>
      <w:r>
        <w:t>с</w:t>
      </w:r>
      <w:r>
        <w:t>вобождение церкви от уплаты налогов. ИНАМУ сталкивался с прямым сопротивлением некоторым из его программ в области половой жизни людей со стороны ряда консервативных религиозных групп, включая орган</w:t>
      </w:r>
      <w:r>
        <w:t>и</w:t>
      </w:r>
      <w:r>
        <w:t>зацию «Опус деи».</w:t>
      </w:r>
    </w:p>
    <w:p w:rsidR="00000000" w:rsidRDefault="00000000">
      <w:pPr>
        <w:pStyle w:val="DualTxt"/>
      </w:pPr>
      <w:r>
        <w:t>7.</w:t>
      </w:r>
      <w:r>
        <w:tab/>
        <w:t>Что касается мероприятий, рассчитанных на распространение Конвенции, то ИНАМУ пересмо</w:t>
      </w:r>
      <w:r>
        <w:t>т</w:t>
      </w:r>
      <w:r>
        <w:t>рел курс, разработанный для юридического факул</w:t>
      </w:r>
      <w:r>
        <w:t>ь</w:t>
      </w:r>
      <w:r>
        <w:t>тета, и планирует предложить его снова. Он также может быть адаптирован с учетом потребностей других государственных юридических учреждений, Законодательного собрания, Ассоциации юристов, журналистов и педагогических факультетов, Школы социал</w:t>
      </w:r>
      <w:r>
        <w:t>ь</w:t>
      </w:r>
      <w:r>
        <w:t>ной работы и т.д.</w:t>
      </w:r>
    </w:p>
    <w:p w:rsidR="00000000" w:rsidRDefault="00000000">
      <w:pPr>
        <w:pStyle w:val="DualTxt"/>
      </w:pPr>
      <w:r>
        <w:t>8.</w:t>
      </w:r>
      <w:r>
        <w:tab/>
        <w:t>Касаясь места международных договоров во внутреннем законодательстве, она говорит, что и</w:t>
      </w:r>
      <w:r>
        <w:t>с</w:t>
      </w:r>
      <w:r>
        <w:t>полнительная власть может представлять междун</w:t>
      </w:r>
      <w:r>
        <w:t>а</w:t>
      </w:r>
      <w:r>
        <w:t>родные договоры на рассмотрение Законодательн</w:t>
      </w:r>
      <w:r>
        <w:t>о</w:t>
      </w:r>
      <w:r>
        <w:t>го собрания, которое обладает полномочиями их у</w:t>
      </w:r>
      <w:r>
        <w:t>т</w:t>
      </w:r>
      <w:r>
        <w:t>верждения. Собрание также имеет полномочия принимать законы и включать такие договоры во внутреннее законодательство. Нежелание включить Конвенцию непосредственно во внутреннее закон</w:t>
      </w:r>
      <w:r>
        <w:t>о</w:t>
      </w:r>
      <w:r>
        <w:t>дательство обусловлено отсутствием знаний о ее существе, сексуальными предрассудками и патр</w:t>
      </w:r>
      <w:r>
        <w:t>и</w:t>
      </w:r>
      <w:r>
        <w:t>архальной структурой юридической системы. О</w:t>
      </w:r>
      <w:r>
        <w:t>д</w:t>
      </w:r>
      <w:r>
        <w:t>нако Конвенция повлияла на внутреннее законод</w:t>
      </w:r>
      <w:r>
        <w:t>а</w:t>
      </w:r>
      <w:r>
        <w:t>тельство и часто упоминалась при рассмотрении случаев дискриминации. Что касается сексуальных домогательств, то судебная практика в этой области является недостаточной, хотя Верховный суд и п</w:t>
      </w:r>
      <w:r>
        <w:t>о</w:t>
      </w:r>
      <w:r>
        <w:t>становил, что они представляют собой дискрим</w:t>
      </w:r>
      <w:r>
        <w:t>и</w:t>
      </w:r>
      <w:r>
        <w:t>национное обращение. Закон о сексуальных дом</w:t>
      </w:r>
      <w:r>
        <w:t>о</w:t>
      </w:r>
      <w:r>
        <w:t>гательствах на рабочем месте и в сфере образов</w:t>
      </w:r>
      <w:r>
        <w:t>а</w:t>
      </w:r>
      <w:r>
        <w:t>ния требует от работодателей устанавливать эффе</w:t>
      </w:r>
      <w:r>
        <w:t>к</w:t>
      </w:r>
      <w:r>
        <w:t>тивные и адекватные внутренние процедуры ра</w:t>
      </w:r>
      <w:r>
        <w:t>с</w:t>
      </w:r>
      <w:r>
        <w:t>смотрения таких случаев, которые обеспечивают конфиденциальность для заявителей и устанавл</w:t>
      </w:r>
      <w:r>
        <w:t>и</w:t>
      </w:r>
      <w:r>
        <w:t>вают штрафы для нарушителей. Информация о т</w:t>
      </w:r>
      <w:r>
        <w:t>а</w:t>
      </w:r>
      <w:r>
        <w:t>ких случаях также должна сообщаться национал</w:t>
      </w:r>
      <w:r>
        <w:t>ь</w:t>
      </w:r>
      <w:r>
        <w:t>ным трудовым властям.</w:t>
      </w:r>
    </w:p>
    <w:p w:rsidR="00000000" w:rsidRDefault="00000000">
      <w:pPr>
        <w:pStyle w:val="DualTxt"/>
      </w:pPr>
      <w:r>
        <w:t>9.</w:t>
      </w:r>
      <w:r>
        <w:tab/>
        <w:t>Говоря о доступе к системе правосудия же</w:t>
      </w:r>
      <w:r>
        <w:t>н</w:t>
      </w:r>
      <w:r>
        <w:t>щин из числа коренных народов, она указывает, что Первый окружной суд Лимона, расположенный в Брибри и охватывающий провинции с высокой чи</w:t>
      </w:r>
      <w:r>
        <w:t>с</w:t>
      </w:r>
      <w:r>
        <w:t>ленностью коренного населения, включает суд по делам с небольшой суммой иска, нижестоящий суд, канцелярию государственного защитника, отдел с</w:t>
      </w:r>
      <w:r>
        <w:t>у</w:t>
      </w:r>
      <w:r>
        <w:t>дебно-медицинского эксперта и административный полицейский участок. Более серьезные вопросы рассматриваются в Лимоне, находящемся неподал</w:t>
      </w:r>
      <w:r>
        <w:t>е</w:t>
      </w:r>
      <w:r>
        <w:t>ку, однако апелляции и вопросы по юрисдикции Конституционного суда могут рассматриваться в столице Сан-Хосе. Суды ведут реестр аккредит</w:t>
      </w:r>
      <w:r>
        <w:t>о</w:t>
      </w:r>
      <w:r>
        <w:t>ванных устных переводчиков коренных языков, о</w:t>
      </w:r>
      <w:r>
        <w:t>д</w:t>
      </w:r>
      <w:r>
        <w:t>нако их услугами пользуются лишь три или четыре раза в год.</w:t>
      </w:r>
    </w:p>
    <w:p w:rsidR="00000000" w:rsidRDefault="00000000">
      <w:pPr>
        <w:pStyle w:val="DualTxt"/>
      </w:pPr>
      <w:r>
        <w:t>10.</w:t>
      </w:r>
      <w:r>
        <w:tab/>
        <w:t>В 2003 году под стражей содержались 430 женщин, которые составляют 7 процентов от общего числа заключенных. Никаких положений о специальных потребностях заключенных женщин не существует, хотя министерство юстиции создало недавно ясли для детей в возрасте до двух лет, м</w:t>
      </w:r>
      <w:r>
        <w:t>а</w:t>
      </w:r>
      <w:r>
        <w:t>тери которых находятся в заключении. Большинс</w:t>
      </w:r>
      <w:r>
        <w:t>т</w:t>
      </w:r>
      <w:r>
        <w:t>во содержащихся под стражей женщин отбывают сроки за преступления, связанные с наркотиками. Переполненность тюрем является одной из пр</w:t>
      </w:r>
      <w:r>
        <w:t>о</w:t>
      </w:r>
      <w:r>
        <w:t>блем; тюремное население превышает имеющиеся возможности на 45 процентов. Заключенные могут подавать жалобы по поводу обращения с ними ч</w:t>
      </w:r>
      <w:r>
        <w:t>е</w:t>
      </w:r>
      <w:r>
        <w:t>рез Государственного з</w:t>
      </w:r>
      <w:r>
        <w:t>а</w:t>
      </w:r>
      <w:r>
        <w:t>щитника.</w:t>
      </w:r>
    </w:p>
    <w:p w:rsidR="00000000" w:rsidRDefault="00000000">
      <w:pPr>
        <w:pStyle w:val="DualTxt"/>
      </w:pPr>
      <w:r>
        <w:t>11.</w:t>
      </w:r>
      <w:r>
        <w:tab/>
        <w:t>Начиная с 1994 года Национальная система по вопросам ухода и предотвращения бытового нас</w:t>
      </w:r>
      <w:r>
        <w:t>и</w:t>
      </w:r>
      <w:r>
        <w:t>лия отражает применение комплексного подхода, который включает социальные, психологические, юридические, образовательные и медицинские а</w:t>
      </w:r>
      <w:r>
        <w:t>с</w:t>
      </w:r>
      <w:r>
        <w:t>пекты насилия. На первоначальных этапах бытовое насилие рассматривалось в рамках политической повестки дня в качестве проблемы общественного здравоохранения, однако в настоящее время оно считается нарушением прав человека женщин, к</w:t>
      </w:r>
      <w:r>
        <w:t>о</w:t>
      </w:r>
      <w:r>
        <w:t>торое имеет соответствующие последствия с точки зрения охраны общественного здоровья. Однако ощущается недостаток политического консенсуса по вопросу о криминализации бытового насилия, особенно в отношении женщин, поскольку оно ра</w:t>
      </w:r>
      <w:r>
        <w:t>с</w:t>
      </w:r>
      <w:r>
        <w:t>сматривается в качестве дискриминации в отнош</w:t>
      </w:r>
      <w:r>
        <w:t>е</w:t>
      </w:r>
      <w:r>
        <w:t>нии мужчин. Судебная власть создала специальные подразделения с целью расследования случаев б</w:t>
      </w:r>
      <w:r>
        <w:t>ы</w:t>
      </w:r>
      <w:r>
        <w:t>тового насилия и нападений на сексуальной почве и создала бюро по оказанию услуг жертвам. Спец</w:t>
      </w:r>
      <w:r>
        <w:t>и</w:t>
      </w:r>
      <w:r>
        <w:t>альный уголовный суд по рассмотрению таких дел отсутствует; большинство из них передаются в Суд по семейным делам, который включает междисци</w:t>
      </w:r>
      <w:r>
        <w:t>п</w:t>
      </w:r>
      <w:r>
        <w:t>линарные группы судей, психологов и социальных работников, социально подготовленных в рамках действия Закона о бытовом насилии. Меры по з</w:t>
      </w:r>
      <w:r>
        <w:t>а</w:t>
      </w:r>
      <w:r>
        <w:t>щите жертв предусматривают выдачу распоряжений о защите от лиц, совершающих т</w:t>
      </w:r>
      <w:r>
        <w:t>а</w:t>
      </w:r>
      <w:r>
        <w:t>кие преступления.</w:t>
      </w:r>
    </w:p>
    <w:p w:rsidR="00000000" w:rsidRDefault="00000000">
      <w:pPr>
        <w:pStyle w:val="DualTxt"/>
      </w:pPr>
      <w:r>
        <w:t>12.</w:t>
      </w:r>
      <w:r>
        <w:tab/>
        <w:t>Что касается обеспокоенности, выраженной по поводу использования делегацией термина «спр</w:t>
      </w:r>
      <w:r>
        <w:t>а</w:t>
      </w:r>
      <w:r>
        <w:t>ведливость», то она указывает, что, хотя он и не я</w:t>
      </w:r>
      <w:r>
        <w:t>в</w:t>
      </w:r>
      <w:r>
        <w:t>ляется обязательно синонимом слова «равенство», опыт показал, что фактически равенства между мужчинами и женщинами не может быть достигн</w:t>
      </w:r>
      <w:r>
        <w:t>у</w:t>
      </w:r>
      <w:r>
        <w:t>то без учета различий между разными людьми и группами. В отношении Коста-Рики «несправедл</w:t>
      </w:r>
      <w:r>
        <w:t>и</w:t>
      </w:r>
      <w:r>
        <w:t>вость» определяется в качестве любого неравенс</w:t>
      </w:r>
      <w:r>
        <w:t>т</w:t>
      </w:r>
      <w:r>
        <w:t>ва, которое приводит к различию в условиях жизни, особенно женщин, и, следовательно, является н</w:t>
      </w:r>
      <w:r>
        <w:t>е</w:t>
      </w:r>
      <w:r>
        <w:t>обязательным и несправедливым и его следует не допускать. Временные специальные меры, упом</w:t>
      </w:r>
      <w:r>
        <w:t>я</w:t>
      </w:r>
      <w:r>
        <w:t>нутые в статье 4 Конвенции, — это один из прим</w:t>
      </w:r>
      <w:r>
        <w:t>е</w:t>
      </w:r>
      <w:r>
        <w:t>ров мер, принимаемых в интересах справедливости с целью достижения необходимых условий раве</w:t>
      </w:r>
      <w:r>
        <w:t>н</w:t>
      </w:r>
      <w:r>
        <w:t>ства. Следует помнить, что Конвенция является продуктом конкретного периода в истории; и нек</w:t>
      </w:r>
      <w:r>
        <w:t>о</w:t>
      </w:r>
      <w:r>
        <w:t>торые зафиксированные в ней принципы приобрели со временем более глубокое значение в результате, в частности, женского движ</w:t>
      </w:r>
      <w:r>
        <w:t>е</w:t>
      </w:r>
      <w:r>
        <w:t>ния.</w:t>
      </w:r>
    </w:p>
    <w:p w:rsidR="00000000" w:rsidRDefault="00000000">
      <w:pPr>
        <w:pStyle w:val="DualTxt"/>
      </w:pPr>
      <w:r>
        <w:t>13.</w:t>
      </w:r>
      <w:r>
        <w:tab/>
        <w:t>Сокращение валового внутреннего продукта (ВВП) в Коста-Рике на 5,9 процента вынудило пр</w:t>
      </w:r>
      <w:r>
        <w:t>е</w:t>
      </w:r>
      <w:r>
        <w:t>зидента и министерство финансов, несущих отве</w:t>
      </w:r>
      <w:r>
        <w:t>т</w:t>
      </w:r>
      <w:r>
        <w:t>ственность за государственный бюджет, выпустить директиву о 40-процентном комплексном сокращ</w:t>
      </w:r>
      <w:r>
        <w:t>е</w:t>
      </w:r>
      <w:r>
        <w:t>нии бюджета всех государственных учреждений, хотя покрытие постоянных затрат останется без и</w:t>
      </w:r>
      <w:r>
        <w:t>з</w:t>
      </w:r>
      <w:r>
        <w:t>менений. Национальному институту по делам же</w:t>
      </w:r>
      <w:r>
        <w:t>н</w:t>
      </w:r>
      <w:r>
        <w:t>щин (ИНАМУ) удалось договориться о значительно более меньшем бюджетном сокращении (16 пр</w:t>
      </w:r>
      <w:r>
        <w:t>о</w:t>
      </w:r>
      <w:r>
        <w:t>центов), которое затрагивает лишь периодические расходы, например его бюджет на поездки. Однако следует отметить, что, хотя ИНАМУ официально получает значительное финансирование в размере 2 процентов из Фонда семейных льгот и социальн</w:t>
      </w:r>
      <w:r>
        <w:t>о</w:t>
      </w:r>
      <w:r>
        <w:t>го развития, к настоящему времени он получил лишь половину этой суммы и, следовательно, исп</w:t>
      </w:r>
      <w:r>
        <w:t>ы</w:t>
      </w:r>
      <w:r>
        <w:t>тывает затруднения в рамках своих усилий по обе</w:t>
      </w:r>
      <w:r>
        <w:t>с</w:t>
      </w:r>
      <w:r>
        <w:t>печению равных возможностей для женщин.</w:t>
      </w:r>
    </w:p>
    <w:p w:rsidR="00000000" w:rsidRDefault="00000000">
      <w:pPr>
        <w:pStyle w:val="DualTxt"/>
      </w:pPr>
      <w:r>
        <w:t>14.</w:t>
      </w:r>
      <w:r>
        <w:tab/>
        <w:t>На протяжении всей своей истории существ</w:t>
      </w:r>
      <w:r>
        <w:t>о</w:t>
      </w:r>
      <w:r>
        <w:t>вания ИНАМУ принимал меры в целях создания групп по обеспечению гендерной справедливости во всех государственных учреждениях. Предыд</w:t>
      </w:r>
      <w:r>
        <w:t>у</w:t>
      </w:r>
      <w:r>
        <w:t>щее правительство (1998–2002 годы) подписало и</w:t>
      </w:r>
      <w:r>
        <w:t>с</w:t>
      </w:r>
      <w:r>
        <w:t>полнительный декрет, призывающий к созданию таких групп. Однако некоторые государственные учреждения, в том числе министерство финансов, министерство экономического планирования и п</w:t>
      </w:r>
      <w:r>
        <w:t>о</w:t>
      </w:r>
      <w:r>
        <w:t>литики и Управление Генерального контролера Ре</w:t>
      </w:r>
      <w:r>
        <w:t>с</w:t>
      </w:r>
      <w:r>
        <w:t>публики, пока что не имеют в своей структуре группы по обеспечению гендерного равенства, а н</w:t>
      </w:r>
      <w:r>
        <w:t>е</w:t>
      </w:r>
      <w:r>
        <w:t>которые из ранее созданных групп не располагают своим собственным бюджетом или не получили достаточно высокого статуса для гарантирования эффективности их работы. Предпринимаются также усилия с тем, чтобы в Плане национального разв</w:t>
      </w:r>
      <w:r>
        <w:t>и</w:t>
      </w:r>
      <w:r>
        <w:t>тия всех государственных учреждений и мин</w:t>
      </w:r>
      <w:r>
        <w:t>и</w:t>
      </w:r>
      <w:r>
        <w:t>стерств при создании таких групп всегда учитыв</w:t>
      </w:r>
      <w:r>
        <w:t>а</w:t>
      </w:r>
      <w:r>
        <w:t>лась гендерная перспектива. Осуществление этого Плана является обязательным и анализируется ка</w:t>
      </w:r>
      <w:r>
        <w:t>ж</w:t>
      </w:r>
      <w:r>
        <w:t>дые шесть месяцев, что обеспечивает эффективный способ решения вопросов неравенства и дискрим</w:t>
      </w:r>
      <w:r>
        <w:t>и</w:t>
      </w:r>
      <w:r>
        <w:t>нации в ра</w:t>
      </w:r>
      <w:r>
        <w:t>м</w:t>
      </w:r>
      <w:r>
        <w:t>ках государственного управления.</w:t>
      </w:r>
    </w:p>
    <w:p w:rsidR="00000000" w:rsidRDefault="00000000">
      <w:pPr>
        <w:pStyle w:val="DualTxt"/>
      </w:pPr>
      <w:r>
        <w:t>15.</w:t>
      </w:r>
      <w:r>
        <w:tab/>
        <w:t>Закон 1995 года, регулирующий гражданские браки, определяет гражданский брак в качестве о</w:t>
      </w:r>
      <w:r>
        <w:t>б</w:t>
      </w:r>
      <w:r>
        <w:t>щественного, общепризнанного, моногамного и стабильного сожительства на протяжении более чем трех лет мужчины и женщины, обладающих де</w:t>
      </w:r>
      <w:r>
        <w:t>е</w:t>
      </w:r>
      <w:r>
        <w:t>способностью вступать в брак. При прекращении гражданского брака по любой причине партнеры имеют право на раздел всего имущества, приобр</w:t>
      </w:r>
      <w:r>
        <w:t>е</w:t>
      </w:r>
      <w:r>
        <w:t>тенного совместно во время периода сожительства, независимо от регистрации имущества на имя му</w:t>
      </w:r>
      <w:r>
        <w:t>ж</w:t>
      </w:r>
      <w:r>
        <w:t>чины или женщины. Если один из партнеров ум</w:t>
      </w:r>
      <w:r>
        <w:t>и</w:t>
      </w:r>
      <w:r>
        <w:t>рает, оставшийся в живых сохраняет за собой право на наследование более чем 50 процентов имущес</w:t>
      </w:r>
      <w:r>
        <w:t>т</w:t>
      </w:r>
      <w:r>
        <w:t>ва, приобретенного в течение брака. Каждый пар</w:t>
      </w:r>
      <w:r>
        <w:t>т</w:t>
      </w:r>
      <w:r>
        <w:t>нер в таком браке имеет право на медицинскую страховку другого партнера; женщина может также обращаться с просьбой о выдаче распоряжений о защите от мужчины, с которым она проживает с</w:t>
      </w:r>
      <w:r>
        <w:t>о</w:t>
      </w:r>
      <w:r>
        <w:t>вместно. Рассматриваемый в настоящее время пр</w:t>
      </w:r>
      <w:r>
        <w:t>о</w:t>
      </w:r>
      <w:r>
        <w:t>ект закона содержит дополнительные положения о защите прав женщин в гражданских браках.</w:t>
      </w:r>
    </w:p>
    <w:p w:rsidR="00000000" w:rsidRDefault="00000000">
      <w:pPr>
        <w:pStyle w:val="DualTxt"/>
      </w:pPr>
      <w:r>
        <w:t>16.</w:t>
      </w:r>
      <w:r>
        <w:tab/>
        <w:t>Первоначальный проект Закона о поощрении социального равенства женщин, содержал призыв к определению минимальных квот участия женщин в руководящих органах политических партий и изб</w:t>
      </w:r>
      <w:r>
        <w:t>и</w:t>
      </w:r>
      <w:r>
        <w:t>рательных списках. Однако это положение было вычеркнуто до принятия Закона. Органы управл</w:t>
      </w:r>
      <w:r>
        <w:t>е</w:t>
      </w:r>
      <w:r>
        <w:t>ния просто обязаны включать в свои статуты э</w:t>
      </w:r>
      <w:r>
        <w:t>ф</w:t>
      </w:r>
      <w:r>
        <w:t>фективные механизмы обеспечения участия же</w:t>
      </w:r>
      <w:r>
        <w:t>н</w:t>
      </w:r>
      <w:r>
        <w:t>щин в выборах и включения их в списки избират</w:t>
      </w:r>
      <w:r>
        <w:t>е</w:t>
      </w:r>
      <w:r>
        <w:t>лей, а также гарантировать значительную долю женщин в различных государственных органах. И</w:t>
      </w:r>
      <w:r>
        <w:t>с</w:t>
      </w:r>
      <w:r>
        <w:t>пользование расплывчатых формулировок типа «эффективные механизмы», «эффективное участие» и «значительная доля» означает, что на практике были достигнуты незначительные улучшения. Была установлена 40</w:t>
      </w:r>
      <w:r>
        <w:noBreakHyphen/>
        <w:t>процентная минимальная квота участия женщин в качестве формы позитивных де</w:t>
      </w:r>
      <w:r>
        <w:t>й</w:t>
      </w:r>
      <w:r>
        <w:t>ствий, направленных на уменьшение гендерного разрыва в структурах политических партий и на выборах. Однако Верховный избирательный триб</w:t>
      </w:r>
      <w:r>
        <w:t>у</w:t>
      </w:r>
      <w:r>
        <w:t>нал был вынужден издать ряд положений, прежде чем стало возможным практическое осуществление этой меры.</w:t>
      </w:r>
    </w:p>
    <w:p w:rsidR="00000000" w:rsidRDefault="00000000">
      <w:pPr>
        <w:pStyle w:val="DualTxt"/>
      </w:pPr>
      <w:r>
        <w:t>17.</w:t>
      </w:r>
      <w:r>
        <w:tab/>
        <w:t>Национальный совет по делам детей и подр</w:t>
      </w:r>
      <w:r>
        <w:t>о</w:t>
      </w:r>
      <w:r>
        <w:t>стков несет ответственность за разработку и осущ</w:t>
      </w:r>
      <w:r>
        <w:t>е</w:t>
      </w:r>
      <w:r>
        <w:t>ствление государственной политики и кампаний в целях поощрения выполнения родителями совмес</w:t>
      </w:r>
      <w:r>
        <w:t>т</w:t>
      </w:r>
      <w:r>
        <w:t>ных обязанностей по воспитанию и образованию своих детей; в сентябре 2001 года была созвана Межучрежденческая комиссия по ответственному выполнению отцовских обязанностей для контроля за государственной политикой в этой сфере. Техн</w:t>
      </w:r>
      <w:r>
        <w:t>и</w:t>
      </w:r>
      <w:r>
        <w:t>ческий секретариат Комиссии действует в рамках ИНАМУ и к настоящему времени издал руковод</w:t>
      </w:r>
      <w:r>
        <w:t>я</w:t>
      </w:r>
      <w:r>
        <w:t>щие принципы в отношении государственной пол</w:t>
      </w:r>
      <w:r>
        <w:t>и</w:t>
      </w:r>
      <w:r>
        <w:t>тики и институциональных обязательств, включая стратегический план осуществления кампаний пр</w:t>
      </w:r>
      <w:r>
        <w:t>о</w:t>
      </w:r>
      <w:r>
        <w:t>паганды совместного выполнения родительских обязанностей. Важно изменить культурные стере</w:t>
      </w:r>
      <w:r>
        <w:t>о</w:t>
      </w:r>
      <w:r>
        <w:t>типы в рамках просвещения по правам человека, включая поощрение сексуальных и репродуктивных прав. Необходимо обеспечить половое воспитание для детей и подростков, однако этому сопротивл</w:t>
      </w:r>
      <w:r>
        <w:t>я</w:t>
      </w:r>
      <w:r>
        <w:t>ются неоконсервати</w:t>
      </w:r>
      <w:r>
        <w:t>в</w:t>
      </w:r>
      <w:r>
        <w:t>ные группы Коста-Рики.</w:t>
      </w:r>
    </w:p>
    <w:p w:rsidR="00000000" w:rsidRDefault="00000000">
      <w:pPr>
        <w:pStyle w:val="DualTxt"/>
      </w:pPr>
      <w:r>
        <w:t>18.</w:t>
      </w:r>
      <w:r>
        <w:tab/>
        <w:t>В соответствии с соглашением Кабинета м</w:t>
      </w:r>
      <w:r>
        <w:t>и</w:t>
      </w:r>
      <w:r>
        <w:t>нистров о насилии в Рождество и праздничные дни в министерстве общественной безопасности и Управлении по делам женщин круглосуточно де</w:t>
      </w:r>
      <w:r>
        <w:t>й</w:t>
      </w:r>
      <w:r>
        <w:t>ствуют специальные группы, которые готовы о</w:t>
      </w:r>
      <w:r>
        <w:t>т</w:t>
      </w:r>
      <w:r>
        <w:t>кликнуться на звонки о помощи жертвам бытового насилия в эти дни. Хотя судебная система не охв</w:t>
      </w:r>
      <w:r>
        <w:t>а</w:t>
      </w:r>
      <w:r>
        <w:t>чена этим Соглашением, в ней созданы аналоги</w:t>
      </w:r>
      <w:r>
        <w:t>ч</w:t>
      </w:r>
      <w:r>
        <w:t>ные группы. После праздников жертвы получают последующие услуги со стороны своих местных служб.</w:t>
      </w:r>
    </w:p>
    <w:p w:rsidR="00000000" w:rsidRDefault="00000000">
      <w:pPr>
        <w:pStyle w:val="DualTxt"/>
      </w:pPr>
      <w:r>
        <w:t>19.</w:t>
      </w:r>
      <w:r>
        <w:tab/>
        <w:t>Хотя изнасилование супруга супругом ко</w:t>
      </w:r>
      <w:r>
        <w:t>н</w:t>
      </w:r>
      <w:r>
        <w:t>кретно не упоминается в Уголовном кодексе, оно включено в законопроект о криминализации нас</w:t>
      </w:r>
      <w:r>
        <w:t>и</w:t>
      </w:r>
      <w:r>
        <w:t>лия в отношении женщин. В настоящее время пр</w:t>
      </w:r>
      <w:r>
        <w:t>а</w:t>
      </w:r>
      <w:r>
        <w:t>вонарушители могут привлекаться к правосудию за изнасилование, но не тяжкое изнасилование; только шесть мужей были осуждены за изнасилование своих жен.</w:t>
      </w:r>
    </w:p>
    <w:p w:rsidR="00000000" w:rsidRDefault="00000000">
      <w:pPr>
        <w:pStyle w:val="DualTxt"/>
      </w:pPr>
      <w:r>
        <w:t>20.</w:t>
      </w:r>
      <w:r>
        <w:tab/>
        <w:t>В большинстве случаев возраст отцов детей, родившихся от девочек в возрасте до 15 лет, не р</w:t>
      </w:r>
      <w:r>
        <w:t>е</w:t>
      </w:r>
      <w:r>
        <w:t>гистрируется, поскольку имя отца не оглашается. Большинству указанных о</w:t>
      </w:r>
      <w:r>
        <w:t>т</w:t>
      </w:r>
      <w:r>
        <w:t>цов было от 20 до 39 лет.</w:t>
      </w:r>
    </w:p>
    <w:p w:rsidR="00000000" w:rsidRDefault="00000000">
      <w:pPr>
        <w:pStyle w:val="DualTxt"/>
      </w:pPr>
      <w:r>
        <w:t>21.</w:t>
      </w:r>
      <w:r>
        <w:tab/>
        <w:t>Торговля и проституция среди девочек до 12 лет является преступлением, связанным с изн</w:t>
      </w:r>
      <w:r>
        <w:t>а</w:t>
      </w:r>
      <w:r>
        <w:t>силованием. В возрасте от 12 до 15 лет такое пр</w:t>
      </w:r>
      <w:r>
        <w:t>е</w:t>
      </w:r>
      <w:r>
        <w:t>ступление ранее считалось развратом и требовало, чтобы жертва была «честной женщиной». Новое выражение касается «сексуальных отношений с м</w:t>
      </w:r>
      <w:r>
        <w:t>а</w:t>
      </w:r>
      <w:r>
        <w:t>лолетним лицом» и применимо как к мальчикам, так и к девочкам, независимо от их морального х</w:t>
      </w:r>
      <w:r>
        <w:t>а</w:t>
      </w:r>
      <w:r>
        <w:t>рактера. Государственные чиновники обязаны с</w:t>
      </w:r>
      <w:r>
        <w:t>о</w:t>
      </w:r>
      <w:r>
        <w:t>общать о всех подобных случ</w:t>
      </w:r>
      <w:r>
        <w:t>а</w:t>
      </w:r>
      <w:r>
        <w:t>ях.</w:t>
      </w:r>
    </w:p>
    <w:p w:rsidR="00000000" w:rsidRDefault="00000000">
      <w:pPr>
        <w:pStyle w:val="DualTxt"/>
      </w:pPr>
      <w:r>
        <w:t>22.</w:t>
      </w:r>
      <w:r>
        <w:tab/>
        <w:t>Уголовный кодекс с внесенными в него п</w:t>
      </w:r>
      <w:r>
        <w:t>о</w:t>
      </w:r>
      <w:r>
        <w:t>правками определяет преступление, связанное с торговлей людьми, в качестве пособничества, с</w:t>
      </w:r>
      <w:r>
        <w:t>о</w:t>
      </w:r>
      <w:r>
        <w:t>действия или поощрения того или иного лица л</w:t>
      </w:r>
      <w:r>
        <w:t>ю</w:t>
      </w:r>
      <w:r>
        <w:t>бого пола к въезду в страну или выезду из нее с ц</w:t>
      </w:r>
      <w:r>
        <w:t>е</w:t>
      </w:r>
      <w:r>
        <w:t>лью занятия проституцией или обращения другого лица в сексуальное или другое рабство. В случае детей сутенеры и клиенты несут ответственность за преступление, связанное с сексуальными отнош</w:t>
      </w:r>
      <w:r>
        <w:t>е</w:t>
      </w:r>
      <w:r>
        <w:t>ниями с малолетним лицом. В 2001 году за прест</w:t>
      </w:r>
      <w:r>
        <w:t>у</w:t>
      </w:r>
      <w:r>
        <w:t>пление приобретения сексуальных услуг, которое является отдельным правонарушением, был осу</w:t>
      </w:r>
      <w:r>
        <w:t>ж</w:t>
      </w:r>
      <w:r>
        <w:t>ден 1 человек; 35 лиц были наказаны за преступл</w:t>
      </w:r>
      <w:r>
        <w:t>е</w:t>
      </w:r>
      <w:r>
        <w:t>ние совращения, которое рассматривается в качес</w:t>
      </w:r>
      <w:r>
        <w:t>т</w:t>
      </w:r>
      <w:r>
        <w:t>ве деяния, связанного с принуждением или заста</w:t>
      </w:r>
      <w:r>
        <w:t>в</w:t>
      </w:r>
      <w:r>
        <w:t>лением другого лица совершать половой или эрот</w:t>
      </w:r>
      <w:r>
        <w:t>и</w:t>
      </w:r>
      <w:r>
        <w:t>ческий акт в присутствии малолетнего лица или принуждением малолетнего лица участвовать в се</w:t>
      </w:r>
      <w:r>
        <w:t>к</w:t>
      </w:r>
      <w:r>
        <w:t>суальном или эротическом акте в присутствии др</w:t>
      </w:r>
      <w:r>
        <w:t>у</w:t>
      </w:r>
      <w:r>
        <w:t>гих; и 1 человек был осужден за порнографию с и</w:t>
      </w:r>
      <w:r>
        <w:t>с</w:t>
      </w:r>
      <w:r>
        <w:t>пользованием малолетних лиц или фотографий м</w:t>
      </w:r>
      <w:r>
        <w:t>а</w:t>
      </w:r>
      <w:r>
        <w:t>лолетних лиц. Информация о воздействии нового законодательства на сексуальную эксплуатацию м</w:t>
      </w:r>
      <w:r>
        <w:t>а</w:t>
      </w:r>
      <w:r>
        <w:t>лолетних лиц или число бездомных детей отсутс</w:t>
      </w:r>
      <w:r>
        <w:t>т</w:t>
      </w:r>
      <w:r>
        <w:t>вует. Торговля женщинами в коммерческих секс</w:t>
      </w:r>
      <w:r>
        <w:t>у</w:t>
      </w:r>
      <w:r>
        <w:t>альных целях наказуема по закону.</w:t>
      </w:r>
    </w:p>
    <w:p w:rsidR="00000000" w:rsidRDefault="00000000">
      <w:pPr>
        <w:pStyle w:val="DualTxt"/>
      </w:pPr>
      <w:r>
        <w:t>23.</w:t>
      </w:r>
      <w:r>
        <w:tab/>
        <w:t>С декабря 2002 года должность мэра стала в</w:t>
      </w:r>
      <w:r>
        <w:t>ы</w:t>
      </w:r>
      <w:r>
        <w:t>борной; ранее она заполнялась путем назначения мэра городскими советами. Статья 60 Избирател</w:t>
      </w:r>
      <w:r>
        <w:t>ь</w:t>
      </w:r>
      <w:r>
        <w:t>ного кодекса определяет квоты для женщин в изб</w:t>
      </w:r>
      <w:r>
        <w:t>и</w:t>
      </w:r>
      <w:r>
        <w:t>рательных списках, при этом были избраны ряд женщин. Однако чем выше государственная дол</w:t>
      </w:r>
      <w:r>
        <w:t>ж</w:t>
      </w:r>
      <w:r>
        <w:t>ность, тем меньшее число женщин, которые зан</w:t>
      </w:r>
      <w:r>
        <w:t>и</w:t>
      </w:r>
      <w:r>
        <w:t>мают такие должности. Женщинам также намного сложнее быть избранными на должности, на кот</w:t>
      </w:r>
      <w:r>
        <w:t>о</w:t>
      </w:r>
      <w:r>
        <w:t>рые объявлена лишь одна вакансия. Возможное р</w:t>
      </w:r>
      <w:r>
        <w:t>е</w:t>
      </w:r>
      <w:r>
        <w:t>шение этой проблемы заключается в требовании к политическим партиям обеспечивать равное пре</w:t>
      </w:r>
      <w:r>
        <w:t>д</w:t>
      </w:r>
      <w:r>
        <w:t>ставительство женщин, предоставлении Верховн</w:t>
      </w:r>
      <w:r>
        <w:t>о</w:t>
      </w:r>
      <w:r>
        <w:t>му избирательному трибуналу полномочий по ко</w:t>
      </w:r>
      <w:r>
        <w:t>н</w:t>
      </w:r>
      <w:r>
        <w:t>тролю за соблюдением и установлением санкций в отношении партий, которые не с</w:t>
      </w:r>
      <w:r>
        <w:t>о</w:t>
      </w:r>
      <w:r>
        <w:t>блюдают квот.</w:t>
      </w:r>
    </w:p>
    <w:p w:rsidR="00000000" w:rsidRDefault="00000000">
      <w:pPr>
        <w:pStyle w:val="DualTxt"/>
      </w:pPr>
      <w:r>
        <w:t>24.</w:t>
      </w:r>
      <w:r>
        <w:tab/>
        <w:t>Важно обеспечить подготовку мужчин с уч</w:t>
      </w:r>
      <w:r>
        <w:t>е</w:t>
      </w:r>
      <w:r>
        <w:t>том гендерного фактора по таким вопросам, как р</w:t>
      </w:r>
      <w:r>
        <w:t>у</w:t>
      </w:r>
      <w:r>
        <w:t>ководство в политических партиях, избирательный процесс, назначения на руководящие должности и выгоды от равенства мужчин и женщин для общ</w:t>
      </w:r>
      <w:r>
        <w:t>е</w:t>
      </w:r>
      <w:r>
        <w:t>ства в целом. Однако имеющиеся ресурсы дост</w:t>
      </w:r>
      <w:r>
        <w:t>а</w:t>
      </w:r>
      <w:r>
        <w:t>точны лишь для удовлетворения наиболее неотло</w:t>
      </w:r>
      <w:r>
        <w:t>ж</w:t>
      </w:r>
      <w:r>
        <w:t>ных потребностей. Верховный избирательный тр</w:t>
      </w:r>
      <w:r>
        <w:t>и</w:t>
      </w:r>
      <w:r>
        <w:t>бунал должен провести с политическими партиями переговоры в целях обеспечения осуществления подготовки по политическим вопросам с точки зр</w:t>
      </w:r>
      <w:r>
        <w:t>е</w:t>
      </w:r>
      <w:r>
        <w:t>ния гендерной перспективы, а также по вопросу о том, что женщины зачастую не могут баллотир</w:t>
      </w:r>
      <w:r>
        <w:t>о</w:t>
      </w:r>
      <w:r>
        <w:t>ваться на должности из</w:t>
      </w:r>
      <w:r>
        <w:noBreakHyphen/>
        <w:t>за отсутствия необходимых средств или залога, под который они могли бы з</w:t>
      </w:r>
      <w:r>
        <w:t>а</w:t>
      </w:r>
      <w:r>
        <w:t>нять деньги. Поэтому Трибунал должен выделить средства на политические кампании женщин и со</w:t>
      </w:r>
      <w:r>
        <w:t>з</w:t>
      </w:r>
      <w:r>
        <w:t>дать механизм, с помощью которого банки будут предоставлять женщинам на льготных условиях займы для этих целей; в настоящее время данный вопрос находится на обсу</w:t>
      </w:r>
      <w:r>
        <w:t>ж</w:t>
      </w:r>
      <w:r>
        <w:t>дении.</w:t>
      </w:r>
    </w:p>
    <w:p w:rsidR="00000000" w:rsidRDefault="00000000">
      <w:pPr>
        <w:pStyle w:val="DualTxt"/>
      </w:pPr>
      <w:r>
        <w:t>25.</w:t>
      </w:r>
      <w:r>
        <w:tab/>
        <w:t>Политика иммиграции не включает гендерные аспекты, поскольку гендерная проблема стала ра</w:t>
      </w:r>
      <w:r>
        <w:t>с</w:t>
      </w:r>
      <w:r>
        <w:t>сматриваться лишь в последние десять лет в кач</w:t>
      </w:r>
      <w:r>
        <w:t>е</w:t>
      </w:r>
      <w:r>
        <w:t>стве элемента государственной политики. Однако даже предлагаемая новая комплексная политика по вопросам иммиграции не учитывает гендерных факторов: необходимо повысить осведомленность об этом вопросе, в связи с чем было бы желательно получить техническую помощь от стран, которые добились б</w:t>
      </w:r>
      <w:r>
        <w:sym w:font="WP CyrillicA" w:char="F0CB"/>
      </w:r>
      <w:r>
        <w:t>льшего прогресса. Организации гра</w:t>
      </w:r>
      <w:r>
        <w:t>ж</w:t>
      </w:r>
      <w:r>
        <w:t>данского общества и ассоциации женщин-иммигрантов указали на то, что потребности же</w:t>
      </w:r>
      <w:r>
        <w:t>н</w:t>
      </w:r>
      <w:r>
        <w:t>щин-иммигрантов и мужчин-иммигрантов не со</w:t>
      </w:r>
      <w:r>
        <w:t>в</w:t>
      </w:r>
      <w:r>
        <w:t>падают, поэтому правительство должно обеспечить, чтобы комплексная политика по вопросам имм</w:t>
      </w:r>
      <w:r>
        <w:t>и</w:t>
      </w:r>
      <w:r>
        <w:t>грации касалась трудовых отношений, социальной защищенности и прав человека, а также иммигр</w:t>
      </w:r>
      <w:r>
        <w:t>а</w:t>
      </w:r>
      <w:r>
        <w:t>ционных вопросов. Нынешний проект этого пре</w:t>
      </w:r>
      <w:r>
        <w:t>д</w:t>
      </w:r>
      <w:r>
        <w:t>ложения, который был представлен правительством в Законодательное собрание в 1998–2002 годах, гл</w:t>
      </w:r>
      <w:r>
        <w:t>а</w:t>
      </w:r>
      <w:r>
        <w:t>сит, что данная политика должна применяться в равной мере к мужчинам и женщинам, однако она не содержит конкретных положений по гендерным вопросам. Министр по делам женщин является чл</w:t>
      </w:r>
      <w:r>
        <w:t>е</w:t>
      </w:r>
      <w:r>
        <w:t>ном Совета по всеобъемлющему социальному обеспечению и вопросам участия граждан. Совет играет важную роль и может влиять на будущую иммиграционную политику с учетом гендерных факторов.</w:t>
      </w:r>
    </w:p>
    <w:p w:rsidR="00000000" w:rsidRDefault="00000000">
      <w:pPr>
        <w:pStyle w:val="DualTxt"/>
      </w:pPr>
      <w:r>
        <w:t>26.</w:t>
      </w:r>
      <w:r>
        <w:tab/>
        <w:t>Коста-Рика традиционно является страной, к</w:t>
      </w:r>
      <w:r>
        <w:t>о</w:t>
      </w:r>
      <w:r>
        <w:t>торая принимает беженцев и лиц, ищущих полит</w:t>
      </w:r>
      <w:r>
        <w:t>и</w:t>
      </w:r>
      <w:r>
        <w:t>ческое убежище, и придерживается соответству</w:t>
      </w:r>
      <w:r>
        <w:t>ю</w:t>
      </w:r>
      <w:r>
        <w:t>щих международных договоров и соглашений. Б</w:t>
      </w:r>
      <w:r>
        <w:t>е</w:t>
      </w:r>
      <w:r>
        <w:t>женцы классифицируются в качестве временных жителей. Им не запрещают работать, однако они сталкиваются с практическими трудностями, п</w:t>
      </w:r>
      <w:r>
        <w:t>о</w:t>
      </w:r>
      <w:r>
        <w:t>скольку их документы о статусе беженцев не пр</w:t>
      </w:r>
      <w:r>
        <w:t>и</w:t>
      </w:r>
      <w:r>
        <w:t>равниваются к разрешению на жительство. Легал</w:t>
      </w:r>
      <w:r>
        <w:t>и</w:t>
      </w:r>
      <w:r>
        <w:t>зация документов также стоит им в два раза дор</w:t>
      </w:r>
      <w:r>
        <w:t>о</w:t>
      </w:r>
      <w:r>
        <w:t>же, чем гражданам. С другой стороны, действу</w:t>
      </w:r>
      <w:r>
        <w:t>ю</w:t>
      </w:r>
      <w:r>
        <w:t>щий с 6 июня 2003 года исполнительный декрет з</w:t>
      </w:r>
      <w:r>
        <w:t>а</w:t>
      </w:r>
      <w:r>
        <w:t>прещает возвращать беженцев в страны их прои</w:t>
      </w:r>
      <w:r>
        <w:t>с</w:t>
      </w:r>
      <w:r>
        <w:t>хождения, поэтому многие становятся полнопра</w:t>
      </w:r>
      <w:r>
        <w:t>в</w:t>
      </w:r>
      <w:r>
        <w:t>ными рез</w:t>
      </w:r>
      <w:r>
        <w:t>и</w:t>
      </w:r>
      <w:r>
        <w:t>дентами.</w:t>
      </w:r>
    </w:p>
    <w:p w:rsidR="00000000" w:rsidRDefault="00000000">
      <w:pPr>
        <w:pStyle w:val="DualTxt"/>
      </w:pPr>
      <w:r>
        <w:t>27.</w:t>
      </w:r>
      <w:r>
        <w:tab/>
        <w:t>Учебный план подготовки преподавателей в Университете Коста-Рики сделал гендерную пр</w:t>
      </w:r>
      <w:r>
        <w:t>о</w:t>
      </w:r>
      <w:r>
        <w:t>блематику одной из трех главных тем обучения. То же самое справедливо и в отношении учебных пл</w:t>
      </w:r>
      <w:r>
        <w:t>а</w:t>
      </w:r>
      <w:r>
        <w:t>нов в начальной и средней школе. Попытки ИНАМУ организовать обучение по гендерным в</w:t>
      </w:r>
      <w:r>
        <w:t>о</w:t>
      </w:r>
      <w:r>
        <w:t>просам в Университете были сорваны сопротивл</w:t>
      </w:r>
      <w:r>
        <w:t>е</w:t>
      </w:r>
      <w:r>
        <w:t>нием преподавательского состава обоих полов, к</w:t>
      </w:r>
      <w:r>
        <w:t>о</w:t>
      </w:r>
      <w:r>
        <w:t>торые выступали против изменения традиционных патриархальных методов обучения. Однако совсем недавно министерство образования разработало план действий, который предусматривает стратегии предупреждения скрытых гендерных стереотипов в школьных учебных планах и обеспечение гендерн</w:t>
      </w:r>
      <w:r>
        <w:t>о</w:t>
      </w:r>
      <w:r>
        <w:t>го характ</w:t>
      </w:r>
      <w:r>
        <w:t>е</w:t>
      </w:r>
      <w:r>
        <w:t>ра образования.</w:t>
      </w:r>
    </w:p>
    <w:p w:rsidR="00000000" w:rsidRDefault="00000000">
      <w:pPr>
        <w:pStyle w:val="DualTxt"/>
      </w:pPr>
      <w:r>
        <w:t>28.</w:t>
      </w:r>
      <w:r>
        <w:tab/>
        <w:t>Базовый учебный курс Национальной пол</w:t>
      </w:r>
      <w:r>
        <w:t>и</w:t>
      </w:r>
      <w:r>
        <w:t>цейской академии предусматривает 40 часов на и</w:t>
      </w:r>
      <w:r>
        <w:t>н</w:t>
      </w:r>
      <w:r>
        <w:t>структаж по проблемам бытового насилия при о</w:t>
      </w:r>
      <w:r>
        <w:t>б</w:t>
      </w:r>
      <w:r>
        <w:t>суждении определенных гендерных вопросов. С</w:t>
      </w:r>
      <w:r>
        <w:t>о</w:t>
      </w:r>
      <w:r>
        <w:t>трудники министерства общественной безопасн</w:t>
      </w:r>
      <w:r>
        <w:t>о</w:t>
      </w:r>
      <w:r>
        <w:t>сти, оказывающие помощь женщинам и детям, та</w:t>
      </w:r>
      <w:r>
        <w:t>к</w:t>
      </w:r>
      <w:r>
        <w:t>же проходят подготовку по вопросам бытового н</w:t>
      </w:r>
      <w:r>
        <w:t>а</w:t>
      </w:r>
      <w:r>
        <w:t>силия, которая охватывает психологические и юр</w:t>
      </w:r>
      <w:r>
        <w:t>и</w:t>
      </w:r>
      <w:r>
        <w:t>дические аспекты данного вопроса, а также изуч</w:t>
      </w:r>
      <w:r>
        <w:t>а</w:t>
      </w:r>
      <w:r>
        <w:t>ют проблемы коммерческой и сексуальной эксплу</w:t>
      </w:r>
      <w:r>
        <w:t>а</w:t>
      </w:r>
      <w:r>
        <w:t>тации детей и подрос</w:t>
      </w:r>
      <w:r>
        <w:t>т</w:t>
      </w:r>
      <w:r>
        <w:t>ков в возрасте от 13 до 19 лет.</w:t>
      </w:r>
    </w:p>
    <w:p w:rsidR="00000000" w:rsidRDefault="00000000">
      <w:pPr>
        <w:pStyle w:val="DualTxt"/>
      </w:pPr>
      <w:r>
        <w:t>29.</w:t>
      </w:r>
      <w:r>
        <w:tab/>
        <w:t>Министерство образования разработало уче</w:t>
      </w:r>
      <w:r>
        <w:t>б</w:t>
      </w:r>
      <w:r>
        <w:t>ный план по половому воспитанию, и преподават</w:t>
      </w:r>
      <w:r>
        <w:t>е</w:t>
      </w:r>
      <w:r>
        <w:t>ли по всей стране проходят соответствующую по</w:t>
      </w:r>
      <w:r>
        <w:t>д</w:t>
      </w:r>
      <w:r>
        <w:t>готовку. В целом система просвещения используе</w:t>
      </w:r>
      <w:r>
        <w:t>т</w:t>
      </w:r>
      <w:r>
        <w:t>ся в качестве средства расширения участия в пр</w:t>
      </w:r>
      <w:r>
        <w:t>о</w:t>
      </w:r>
      <w:r>
        <w:t>цессе выработки решений на основе обеспечения гендерного равенства и справедл</w:t>
      </w:r>
      <w:r>
        <w:t>и</w:t>
      </w:r>
      <w:r>
        <w:t>вости.</w:t>
      </w:r>
    </w:p>
    <w:p w:rsidR="00000000" w:rsidRDefault="00000000">
      <w:pPr>
        <w:pStyle w:val="DualTxt"/>
      </w:pPr>
      <w:r>
        <w:t>30.</w:t>
      </w:r>
      <w:r>
        <w:tab/>
        <w:t>Подготовка, касающаяся содержания, сферы охвата и осуществления Конвенции, стала частью усилий ИНАМУ по расширению возможностей гражданских служащих решать гендерные вопросы. Обеспечивается также подготовка по методам и</w:t>
      </w:r>
      <w:r>
        <w:t>с</w:t>
      </w:r>
      <w:r>
        <w:t>пользования Конвенции в рамках закона и споров в защиту прав женщин.</w:t>
      </w:r>
    </w:p>
    <w:p w:rsidR="00000000" w:rsidRDefault="00000000">
      <w:pPr>
        <w:pStyle w:val="DualTxt"/>
      </w:pPr>
      <w:r>
        <w:t>31.</w:t>
      </w:r>
      <w:r>
        <w:tab/>
        <w:t>Оплата труда женщин-надомных рабочих н</w:t>
      </w:r>
      <w:r>
        <w:t>и</w:t>
      </w:r>
      <w:r>
        <w:t>же, чем минимальная заработная плата неквалиф</w:t>
      </w:r>
      <w:r>
        <w:t>и</w:t>
      </w:r>
      <w:r>
        <w:t>цированных работников; этот аргумент постоянно используется для оправдания разницы в зарплате, поскольку предполагается, что надомный труд не мотивирован стремлением к получению прибыли, причем если бы минимальная заработная плата б</w:t>
      </w:r>
      <w:r>
        <w:t>ы</w:t>
      </w:r>
      <w:r>
        <w:t>ла аналогичной зарплате других работников, более бедные лица не смогли бы пользоваться домашней помощью. Хотя Политическая конституция огран</w:t>
      </w:r>
      <w:r>
        <w:t>и</w:t>
      </w:r>
      <w:r>
        <w:t>чивает рабочий день 8 часами, в виде исключения для надомных работников допускается рабочий день продолжительностью в 12 часов с правом на выходные дни, количество которых меньше по сравнению с другими работниками. Ощущается н</w:t>
      </w:r>
      <w:r>
        <w:t>е</w:t>
      </w:r>
      <w:r>
        <w:t>достаток политической воли использовать закон</w:t>
      </w:r>
      <w:r>
        <w:t>о</w:t>
      </w:r>
      <w:r>
        <w:t>дательство для устранения разрыва между надо</w:t>
      </w:r>
      <w:r>
        <w:t>м</w:t>
      </w:r>
      <w:r>
        <w:t>ными и др</w:t>
      </w:r>
      <w:r>
        <w:t>у</w:t>
      </w:r>
      <w:r>
        <w:t>гими работниками.</w:t>
      </w:r>
    </w:p>
    <w:p w:rsidR="00000000" w:rsidRDefault="00000000">
      <w:pPr>
        <w:pStyle w:val="DualTxt"/>
      </w:pPr>
      <w:r>
        <w:t>32.</w:t>
      </w:r>
      <w:r>
        <w:tab/>
        <w:t>Женщины Коста-Рики в целом лишены во</w:t>
      </w:r>
      <w:r>
        <w:t>з</w:t>
      </w:r>
      <w:r>
        <w:t>можности осуществлять свои права в результате о</w:t>
      </w:r>
      <w:r>
        <w:t>т</w:t>
      </w:r>
      <w:r>
        <w:t>сутствия механизмов практического осуществл</w:t>
      </w:r>
      <w:r>
        <w:t>е</w:t>
      </w:r>
      <w:r>
        <w:t>ния. Пр</w:t>
      </w:r>
      <w:r>
        <w:t>о</w:t>
      </w:r>
      <w:r>
        <w:t>блема обстоит еще хуже для женщин-иммигрантов, особенно из Никарагуа, из</w:t>
      </w:r>
      <w:r>
        <w:noBreakHyphen/>
        <w:t>за более низкого уровня образования, более сильных кул</w:t>
      </w:r>
      <w:r>
        <w:t>ь</w:t>
      </w:r>
      <w:r>
        <w:t>турных предрассудков и частого отсутствия имм</w:t>
      </w:r>
      <w:r>
        <w:t>и</w:t>
      </w:r>
      <w:r>
        <w:t>грационных док</w:t>
      </w:r>
      <w:r>
        <w:t>у</w:t>
      </w:r>
      <w:r>
        <w:t>ментов.</w:t>
      </w:r>
    </w:p>
    <w:p w:rsidR="00000000" w:rsidRDefault="00000000">
      <w:pPr>
        <w:pStyle w:val="DualTxt"/>
      </w:pPr>
      <w:r>
        <w:t>33.</w:t>
      </w:r>
      <w:r>
        <w:tab/>
        <w:t>Школа минимальной заработной платы уст</w:t>
      </w:r>
      <w:r>
        <w:t>а</w:t>
      </w:r>
      <w:r>
        <w:t>навливает минимальную заработную плату для сельскохозяйственных работников — как мужчин, так и женщин. Работодатели обязаны обеспечивать социальное страхование, независимо от продолж</w:t>
      </w:r>
      <w:r>
        <w:t>и</w:t>
      </w:r>
      <w:r>
        <w:t>тельности контракта, однако большинство женщин, работающих в сельском хозяйстве, являются сам</w:t>
      </w:r>
      <w:r>
        <w:t>о</w:t>
      </w:r>
      <w:r>
        <w:t>занятыми в неформальном секторе и не имеют ни заработной платы, ни страховки в рамках системы соц</w:t>
      </w:r>
      <w:r>
        <w:t>и</w:t>
      </w:r>
      <w:r>
        <w:t>ального обеспечения.</w:t>
      </w:r>
    </w:p>
    <w:p w:rsidR="00000000" w:rsidRDefault="00000000">
      <w:pPr>
        <w:pStyle w:val="DualTxt"/>
      </w:pPr>
      <w:r>
        <w:t>34.</w:t>
      </w:r>
      <w:r>
        <w:tab/>
        <w:t>Работающие женщины могут использовать г</w:t>
      </w:r>
      <w:r>
        <w:t>о</w:t>
      </w:r>
      <w:r>
        <w:t>сударственные, государственные/частные и полн</w:t>
      </w:r>
      <w:r>
        <w:t>о</w:t>
      </w:r>
      <w:r>
        <w:t>стью частные детские центры для детей в возрасте до 12 лет. Новый закон, принятый благодаря Ко</w:t>
      </w:r>
      <w:r>
        <w:t>н</w:t>
      </w:r>
      <w:r>
        <w:t>венции о правах ребенка и Кодексу о детях и подр</w:t>
      </w:r>
      <w:r>
        <w:t>о</w:t>
      </w:r>
      <w:r>
        <w:t>стках, поощряет создание б</w:t>
      </w:r>
      <w:r>
        <w:sym w:font="WP CyrillicA" w:char="F0CB"/>
      </w:r>
      <w:r>
        <w:t>льшего числа детских учр</w:t>
      </w:r>
      <w:r>
        <w:t>е</w:t>
      </w:r>
      <w:r>
        <w:t>ждений.</w:t>
      </w:r>
    </w:p>
    <w:p w:rsidR="00000000" w:rsidRDefault="00000000">
      <w:pPr>
        <w:pStyle w:val="DualTxt"/>
      </w:pPr>
      <w:r>
        <w:t>35.</w:t>
      </w:r>
      <w:r>
        <w:tab/>
        <w:t>На рынке труда женщины по</w:t>
      </w:r>
      <w:r>
        <w:noBreakHyphen/>
        <w:t>прежнему в о</w:t>
      </w:r>
      <w:r>
        <w:t>с</w:t>
      </w:r>
      <w:r>
        <w:t>новном представлены в неформальном секторе, п</w:t>
      </w:r>
      <w:r>
        <w:t>о</w:t>
      </w:r>
      <w:r>
        <w:t>этому они располагают меньшей гарантией занят</w:t>
      </w:r>
      <w:r>
        <w:t>о</w:t>
      </w:r>
      <w:r>
        <w:t>сти. Согласно проекту доклада о положении стр</w:t>
      </w:r>
      <w:r>
        <w:t>а</w:t>
      </w:r>
      <w:r>
        <w:t>ны, на долю женщин приходится 40,8 процента р</w:t>
      </w:r>
      <w:r>
        <w:t>а</w:t>
      </w:r>
      <w:r>
        <w:t>бочей силы. Б</w:t>
      </w:r>
      <w:r>
        <w:sym w:font="WP CyrillicA" w:char="F0CB"/>
      </w:r>
      <w:r>
        <w:t>льшее число женщин, чем мужчин являются самозанятыми, при этом их количество увеличивается. Большинство из них выполняет ни</w:t>
      </w:r>
      <w:r>
        <w:t>з</w:t>
      </w:r>
      <w:r>
        <w:t>копроизводительную работу на уровне самовыж</w:t>
      </w:r>
      <w:r>
        <w:t>и</w:t>
      </w:r>
      <w:r>
        <w:t>вания.</w:t>
      </w:r>
    </w:p>
    <w:p w:rsidR="00000000" w:rsidRDefault="00000000">
      <w:pPr>
        <w:pStyle w:val="DualTxt"/>
      </w:pPr>
      <w:r>
        <w:t>36.</w:t>
      </w:r>
      <w:r>
        <w:tab/>
        <w:t>Международные договоры и конвенции, дол</w:t>
      </w:r>
      <w:r>
        <w:t>ж</w:t>
      </w:r>
      <w:r>
        <w:t>ным образом утвержденные Законодательным со</w:t>
      </w:r>
      <w:r>
        <w:t>б</w:t>
      </w:r>
      <w:r>
        <w:t>ранием, имеют примат над внутренним законод</w:t>
      </w:r>
      <w:r>
        <w:t>а</w:t>
      </w:r>
      <w:r>
        <w:t>тельством. Хотя Коста-Рика не ратифицировала конвенции Международной организации труда (МОТ) о защите материнства, права беременных или кормящих работающих женщин были расшир</w:t>
      </w:r>
      <w:r>
        <w:t>е</w:t>
      </w:r>
      <w:r>
        <w:t>ны после ратификации Конвенции о ликвидации всех форм дискриминации в отношении женщин. В повестке дня законодательного органа находится законопроект об утверждении Конвенции № 183 МОТ, касающийся пересмотра Конвенции о защите материнства. Однако Коста-Рика указала, что ее собственное законодательство обеспечивает больше защиты, чем Конвенция и что его рамки уменьшены не будут.</w:t>
      </w:r>
    </w:p>
    <w:p w:rsidR="00000000" w:rsidRDefault="00000000">
      <w:pPr>
        <w:pStyle w:val="DualTxt"/>
      </w:pPr>
      <w:r>
        <w:t>37.</w:t>
      </w:r>
      <w:r>
        <w:tab/>
        <w:t>На основе Закона о поощрении социального равенства женщин Коста-Рика получила право и обязанность принимать позитивные меры. Закон</w:t>
      </w:r>
      <w:r>
        <w:t>о</w:t>
      </w:r>
      <w:r>
        <w:t>дательные власти поддержали такие меры. Наиб</w:t>
      </w:r>
      <w:r>
        <w:t>о</w:t>
      </w:r>
      <w:r>
        <w:t>лее важной и эффективной из этих мер является 40</w:t>
      </w:r>
      <w:r>
        <w:noBreakHyphen/>
        <w:t>процентная квота для женщин, выдвигаемых кандидат</w:t>
      </w:r>
      <w:r>
        <w:t>а</w:t>
      </w:r>
      <w:r>
        <w:t>ми на выборные должности.</w:t>
      </w:r>
    </w:p>
    <w:p w:rsidR="00000000" w:rsidRDefault="00000000">
      <w:pPr>
        <w:pStyle w:val="DualTxt"/>
      </w:pPr>
      <w:r>
        <w:t>38.</w:t>
      </w:r>
      <w:r>
        <w:tab/>
        <w:t>Хотя соглашение о свободной торговле расш</w:t>
      </w:r>
      <w:r>
        <w:t>и</w:t>
      </w:r>
      <w:r>
        <w:t>рит занятость в сфере туризма и обрабатывающих отраслях, в которых женщины представлены дост</w:t>
      </w:r>
      <w:r>
        <w:t>а</w:t>
      </w:r>
      <w:r>
        <w:t>точно широко, оно таит в себе опасность сохран</w:t>
      </w:r>
      <w:r>
        <w:t>е</w:t>
      </w:r>
      <w:r>
        <w:t>ния или увеличения разрыва в заработной плате между мужчинами и женщинами, дальнейшей се</w:t>
      </w:r>
      <w:r>
        <w:t>г</w:t>
      </w:r>
      <w:r>
        <w:t>ментации рынка труда в соответствии с гендерными принципами и подрыва трудовых прав некоторых женщин ввиду давления отменить ограничения на продолжительность рабочего дня и сокращение с</w:t>
      </w:r>
      <w:r>
        <w:t>о</w:t>
      </w:r>
      <w:r>
        <w:t>циальных выплат со стороны работодателей (н</w:t>
      </w:r>
      <w:r>
        <w:t>а</w:t>
      </w:r>
      <w:r>
        <w:t>пример, на уход за детьми, стипендии и пособия) на основании того, что они создают барьеры на пути свободной торговли. Правительство учредило ф</w:t>
      </w:r>
      <w:r>
        <w:t>о</w:t>
      </w:r>
      <w:r>
        <w:t>рум для обсуждения последствий соглашения о свободной торговле для женщин, расширило во</w:t>
      </w:r>
      <w:r>
        <w:t>з</w:t>
      </w:r>
      <w:r>
        <w:t>можности министерства труда и социального обе</w:t>
      </w:r>
      <w:r>
        <w:t>с</w:t>
      </w:r>
      <w:r>
        <w:t>печения по контролю за условиями труда женщин, разработало процедуру «сертификации с точки зр</w:t>
      </w:r>
      <w:r>
        <w:t>е</w:t>
      </w:r>
      <w:r>
        <w:t>ния гендерного равенства» государственных и час</w:t>
      </w:r>
      <w:r>
        <w:t>т</w:t>
      </w:r>
      <w:r>
        <w:t>ных предприятий, заявило о поддержке женщин-предпринимателей, обратилось в министерство внешней торговли с просьбой изучить последствия соглашения о свободной торговле для женщин, н</w:t>
      </w:r>
      <w:r>
        <w:t>а</w:t>
      </w:r>
      <w:r>
        <w:t>правляло государственные инвестиции на стро</w:t>
      </w:r>
      <w:r>
        <w:t>и</w:t>
      </w:r>
      <w:r>
        <w:t>тельство дорог, развитие общественного транспо</w:t>
      </w:r>
      <w:r>
        <w:t>р</w:t>
      </w:r>
      <w:r>
        <w:t>та, охрану здоровья, образование и уход за детьми и пожилыми людьми в интересах районов, характер</w:t>
      </w:r>
      <w:r>
        <w:t>и</w:t>
      </w:r>
      <w:r>
        <w:t>зующихся небольшими возможностями в сфере з</w:t>
      </w:r>
      <w:r>
        <w:t>а</w:t>
      </w:r>
      <w:r>
        <w:t>нятости женщин, и создало систему контроля за гендерными различиями и исключениями во всех отраслях промышленности, связанных с соглаш</w:t>
      </w:r>
      <w:r>
        <w:t>е</w:t>
      </w:r>
      <w:r>
        <w:t>ниями о свободной то</w:t>
      </w:r>
      <w:r>
        <w:t>р</w:t>
      </w:r>
      <w:r>
        <w:t>говле.</w:t>
      </w:r>
    </w:p>
    <w:p w:rsidR="00000000" w:rsidRDefault="00000000">
      <w:pPr>
        <w:pStyle w:val="DualTxt"/>
      </w:pPr>
      <w:r>
        <w:t>39.</w:t>
      </w:r>
      <w:r>
        <w:tab/>
        <w:t>Коста-Рика не проводит национальной пол</w:t>
      </w:r>
      <w:r>
        <w:t>и</w:t>
      </w:r>
      <w:r>
        <w:t>тики в сфере занятости, однако высокий совет тр</w:t>
      </w:r>
      <w:r>
        <w:t>у</w:t>
      </w:r>
      <w:r>
        <w:t>дящихся, который включает представителей дел</w:t>
      </w:r>
      <w:r>
        <w:t>о</w:t>
      </w:r>
      <w:r>
        <w:t>вых кругов и кооперативных секторов, учредил к</w:t>
      </w:r>
      <w:r>
        <w:t>о</w:t>
      </w:r>
      <w:r>
        <w:t>митет с целью разработки такой политики. Часть этой политики, посвященная реализации возможн</w:t>
      </w:r>
      <w:r>
        <w:t>о</w:t>
      </w:r>
      <w:r>
        <w:t>стей в сфере занятости, будет направлена на мол</w:t>
      </w:r>
      <w:r>
        <w:t>о</w:t>
      </w:r>
      <w:r>
        <w:t>дых людей, женщин, пожилых лиц и инвалидов и будет учитывать рекомендации ИНАМУ. Основная функция Женской группы министерства труда и с</w:t>
      </w:r>
      <w:r>
        <w:t>о</w:t>
      </w:r>
      <w:r>
        <w:t>циального обеспечения заключается в расширении трудовых прав женщин и направлении деятельн</w:t>
      </w:r>
      <w:r>
        <w:t>о</w:t>
      </w:r>
      <w:r>
        <w:t>сти министерства, связанной с ге</w:t>
      </w:r>
      <w:r>
        <w:t>н</w:t>
      </w:r>
      <w:r>
        <w:t>дерной политикой.</w:t>
      </w:r>
    </w:p>
    <w:p w:rsidR="00000000" w:rsidRDefault="00000000">
      <w:pPr>
        <w:pStyle w:val="DualTxt"/>
      </w:pPr>
      <w:r>
        <w:t>40.</w:t>
      </w:r>
      <w:r>
        <w:tab/>
        <w:t>Коста-риканский фонд социального обеспеч</w:t>
      </w:r>
      <w:r>
        <w:t>е</w:t>
      </w:r>
      <w:r>
        <w:t>ния (КФСО) провел гендерное обследование, из</w:t>
      </w:r>
      <w:r>
        <w:t>у</w:t>
      </w:r>
      <w:r>
        <w:t>чив потребности женщин среднего и пожилого во</w:t>
      </w:r>
      <w:r>
        <w:t>з</w:t>
      </w:r>
      <w:r>
        <w:t>раста в области охраны здоровья, поскольку они живут дольше, чем мужчины, при этом была созд</w:t>
      </w:r>
      <w:r>
        <w:t>а</w:t>
      </w:r>
      <w:r>
        <w:t>на рабочая группа с целью обсуждения национал</w:t>
      </w:r>
      <w:r>
        <w:t>ь</w:t>
      </w:r>
      <w:r>
        <w:t>ного плана, касающегося бытового насилия в отн</w:t>
      </w:r>
      <w:r>
        <w:t>о</w:t>
      </w:r>
      <w:r>
        <w:t>шении пожилых лиц. Однако общей политики, ра</w:t>
      </w:r>
      <w:r>
        <w:t>с</w:t>
      </w:r>
      <w:r>
        <w:t>считанной на пожилых женщин, не с</w:t>
      </w:r>
      <w:r>
        <w:t>у</w:t>
      </w:r>
      <w:r>
        <w:t>ществует.</w:t>
      </w:r>
    </w:p>
    <w:p w:rsidR="00000000" w:rsidRDefault="00000000">
      <w:pPr>
        <w:pStyle w:val="DualTxt"/>
      </w:pPr>
      <w:r>
        <w:t>41.</w:t>
      </w:r>
      <w:r>
        <w:tab/>
        <w:t>Незаконное употребление наркотиков является в Коста-Рике одной из серьезных проблем здрав</w:t>
      </w:r>
      <w:r>
        <w:t>о</w:t>
      </w:r>
      <w:r>
        <w:t>охранения. Предварительные результаты обслед</w:t>
      </w:r>
      <w:r>
        <w:t>о</w:t>
      </w:r>
      <w:r>
        <w:t>вания показали, что наркомания среди женщин св</w:t>
      </w:r>
      <w:r>
        <w:t>я</w:t>
      </w:r>
      <w:r>
        <w:t>зана со стрессом и беспокойством, что дало очень важную информацию при разработке профилакт</w:t>
      </w:r>
      <w:r>
        <w:t>и</w:t>
      </w:r>
      <w:r>
        <w:t>ческих программ. Считается, что эта проблема ус</w:t>
      </w:r>
      <w:r>
        <w:t>у</w:t>
      </w:r>
      <w:r>
        <w:t>губляется такими факторами, как домогательства на сексуальной почве, грубое обращение и бытовое насилие, чрезмерная работа, безработица и низкий уровень сам</w:t>
      </w:r>
      <w:r>
        <w:t>о</w:t>
      </w:r>
      <w:r>
        <w:t>уважения.</w:t>
      </w:r>
    </w:p>
    <w:p w:rsidR="00000000" w:rsidRDefault="00000000">
      <w:pPr>
        <w:pStyle w:val="DualTxt"/>
      </w:pPr>
      <w:r>
        <w:t>42.</w:t>
      </w:r>
      <w:r>
        <w:tab/>
        <w:t>Соотношение мужчин и женщин, больных ВИЧ/СПИДом, составляло 12:1 в 1998 году и сокр</w:t>
      </w:r>
      <w:r>
        <w:t>а</w:t>
      </w:r>
      <w:r>
        <w:t>тилось до 7:1 в 2001 году. В 1997 году от СПИДа умерли 20 женщин, в 1998 и 1999 годах — 14, в 2000 году — 21 и в 2001 году  — 19. Общее число инфицированных ВИЧ/СПИДом составляло в 2002 году 2340 человек; данные, дезагрегированные по признаку пола, отсутствуют. Пациенты, больные ВИЧ/СПИДом, имеют право на 100</w:t>
      </w:r>
      <w:r>
        <w:noBreakHyphen/>
        <w:t>процентное м</w:t>
      </w:r>
      <w:r>
        <w:t>е</w:t>
      </w:r>
      <w:r>
        <w:t>дицинское страхование, независимо от их наци</w:t>
      </w:r>
      <w:r>
        <w:t>о</w:t>
      </w:r>
      <w:r>
        <w:t>нальности, при этом 77 процентов расходов на это страхование покрывается Коста-риканским фондом социального обеспечения (КФСО). Ежегодные з</w:t>
      </w:r>
      <w:r>
        <w:t>а</w:t>
      </w:r>
      <w:r>
        <w:t>траты на противоретровирусное лечение сократ</w:t>
      </w:r>
      <w:r>
        <w:t>и</w:t>
      </w:r>
      <w:r>
        <w:t>лись с 7260  долл. США в 1998 году до 2375 в 2002 году благодаря снижению фармацевтическими компаниями цен и появлению непатентованных л</w:t>
      </w:r>
      <w:r>
        <w:t>е</w:t>
      </w:r>
      <w:r>
        <w:t>карств.</w:t>
      </w:r>
    </w:p>
    <w:p w:rsidR="00000000" w:rsidRDefault="00000000">
      <w:pPr>
        <w:pStyle w:val="DualTxt"/>
      </w:pPr>
      <w:r>
        <w:t>43.</w:t>
      </w:r>
      <w:r>
        <w:tab/>
        <w:t>Комиссия по охране сексуального и репроду</w:t>
      </w:r>
      <w:r>
        <w:t>к</w:t>
      </w:r>
      <w:r>
        <w:t>тивного здоровья отобрала три комплексных темы в рамках государственной политики в области здр</w:t>
      </w:r>
      <w:r>
        <w:t>а</w:t>
      </w:r>
      <w:r>
        <w:t>воохранения на 2002–2006 годы: гендерная темат</w:t>
      </w:r>
      <w:r>
        <w:t>и</w:t>
      </w:r>
      <w:r>
        <w:t>ка, участие и основанный на правах подход. При этом в настоящее время реализуется также конкре</w:t>
      </w:r>
      <w:r>
        <w:t>т</w:t>
      </w:r>
      <w:r>
        <w:t>ная политика по обеспечению сексуальных и р</w:t>
      </w:r>
      <w:r>
        <w:t>е</w:t>
      </w:r>
      <w:r>
        <w:t>продуктивных прав. К числу сфер, выявленных в качестве требующих повышенного внимания, отн</w:t>
      </w:r>
      <w:r>
        <w:t>о</w:t>
      </w:r>
      <w:r>
        <w:t>сятся комплексная охрана сексуального и репроду</w:t>
      </w:r>
      <w:r>
        <w:t>к</w:t>
      </w:r>
      <w:r>
        <w:t>тивного здоровья подростков, комплексная пр</w:t>
      </w:r>
      <w:r>
        <w:t>о</w:t>
      </w:r>
      <w:r>
        <w:t>грамма профилактики и охраны здоровья с точки зрения распространения ВИЧ/СПИДа, оказание специальных медицинских услуг больным, стр</w:t>
      </w:r>
      <w:r>
        <w:t>а</w:t>
      </w:r>
      <w:r>
        <w:t>дающим раком шейки матки и груди, распростран</w:t>
      </w:r>
      <w:r>
        <w:t>е</w:t>
      </w:r>
      <w:r>
        <w:t>ние информации о юридических нормах и механи</w:t>
      </w:r>
      <w:r>
        <w:t>з</w:t>
      </w:r>
      <w:r>
        <w:t>мах подачи исков и расширение участия мужчин, а также соблюдение и осуществление сексуальных и репр</w:t>
      </w:r>
      <w:r>
        <w:t>о</w:t>
      </w:r>
      <w:r>
        <w:t>дуктивных прав.</w:t>
      </w:r>
    </w:p>
    <w:p w:rsidR="00000000" w:rsidRDefault="00000000">
      <w:pPr>
        <w:pStyle w:val="DualTxt"/>
      </w:pPr>
      <w:r>
        <w:t>44.</w:t>
      </w:r>
      <w:r>
        <w:tab/>
        <w:t>В провинции Гуанакаста проводится обслед</w:t>
      </w:r>
      <w:r>
        <w:t>о</w:t>
      </w:r>
      <w:r>
        <w:t>вание на предмет выявления рака шейки матки с участием 10 000 женщин. Пока что наиболее ва</w:t>
      </w:r>
      <w:r>
        <w:t>ж</w:t>
      </w:r>
      <w:r>
        <w:t>ным результатом стало подтверждение пр</w:t>
      </w:r>
      <w:r>
        <w:t>и</w:t>
      </w:r>
      <w:r>
        <w:t>чинно-следственных взаимосвязей между вирусом папи</w:t>
      </w:r>
      <w:r>
        <w:t>л</w:t>
      </w:r>
      <w:r>
        <w:t>ломы человека и раком шейки матки. Те женщины, которые были охвачены выборкой и у которых были выявлены патологические изменения, подверглись последующему обследованию. Обследования р</w:t>
      </w:r>
      <w:r>
        <w:t>а</w:t>
      </w:r>
      <w:r>
        <w:t>ботников секс-индустрии проводятся по просьбе всех мужчин и женщин, занятых проституцией, о</w:t>
      </w:r>
      <w:r>
        <w:t>д</w:t>
      </w:r>
      <w:r>
        <w:t>нако медицинский персонал не прошел соответс</w:t>
      </w:r>
      <w:r>
        <w:t>т</w:t>
      </w:r>
      <w:r>
        <w:t>вующей подготовки по этому вопросу с целью пр</w:t>
      </w:r>
      <w:r>
        <w:t>е</w:t>
      </w:r>
      <w:r>
        <w:t>доставления ему необходимых возможностей для решения проблем этих пациентов. Недавно был разработан проект для оказания помощи группам, предоставляющим поддержку проституткам. Среди работников секс-индустрии обоих полов было о</w:t>
      </w:r>
      <w:r>
        <w:t>т</w:t>
      </w:r>
      <w:r>
        <w:t>мечено большое увеличение распространения сл</w:t>
      </w:r>
      <w:r>
        <w:t>у</w:t>
      </w:r>
      <w:r>
        <w:t>чаев сифил</w:t>
      </w:r>
      <w:r>
        <w:t>и</w:t>
      </w:r>
      <w:r>
        <w:t>са.</w:t>
      </w:r>
    </w:p>
    <w:p w:rsidR="00000000" w:rsidRDefault="00000000">
      <w:pPr>
        <w:pStyle w:val="DualTxt"/>
      </w:pPr>
      <w:r>
        <w:t>45.</w:t>
      </w:r>
      <w:r>
        <w:tab/>
        <w:t>Занимающиеся проституцией лица подверж</w:t>
      </w:r>
      <w:r>
        <w:t>е</w:t>
      </w:r>
      <w:r>
        <w:t>ны большому риску заражения ВИЧ, причем низкое самоуважение и отсутствие контроля за собстве</w:t>
      </w:r>
      <w:r>
        <w:t>н</w:t>
      </w:r>
      <w:r>
        <w:t>ной жизнью делают менее вероятным использов</w:t>
      </w:r>
      <w:r>
        <w:t>а</w:t>
      </w:r>
      <w:r>
        <w:t>ние ими на регулярной основе презервативов. П</w:t>
      </w:r>
      <w:r>
        <w:t>о</w:t>
      </w:r>
      <w:r>
        <w:t>следние распределяются в центрах социального обеспечения и тюрьмах. Четкая государственная политика их распределения отсутствует, однако они широко рекламируются и имеются во всех аптеках, универсамах и других магазинах. Что касается до</w:t>
      </w:r>
      <w:r>
        <w:t>с</w:t>
      </w:r>
      <w:r>
        <w:t>тупа к контрацептивным средствам, то проведенное секцией охраны здоровья женщин Департамента профилактической медицины КФСО обследование показало, что, хотя доступ к контрацептивным средствам свободно обеспечивается в теории для обеих полов при условии, что пациент не является малолетним лицом, существуют большие трудности ввиду социальных отношений и отсутствия соо</w:t>
      </w:r>
      <w:r>
        <w:t>т</w:t>
      </w:r>
      <w:r>
        <w:t>ветствующего консультирования и просвещения, причем этот доступ особенно затруднен для незар</w:t>
      </w:r>
      <w:r>
        <w:t>е</w:t>
      </w:r>
      <w:r>
        <w:t>гистрированных мигра</w:t>
      </w:r>
      <w:r>
        <w:t>н</w:t>
      </w:r>
      <w:r>
        <w:t>тов.</w:t>
      </w:r>
    </w:p>
    <w:p w:rsidR="00000000" w:rsidRDefault="00000000">
      <w:pPr>
        <w:pStyle w:val="DualTxt"/>
      </w:pPr>
      <w:r>
        <w:t>46.</w:t>
      </w:r>
      <w:r>
        <w:tab/>
        <w:t>В теории в соответствии с руководящими принципами КФСО ни одному человеку не может быть отказано в праве на вазэктомию. Однако неи</w:t>
      </w:r>
      <w:r>
        <w:t>з</w:t>
      </w:r>
      <w:r>
        <w:t>вестно, соблюдаются ли эти руководящие принц</w:t>
      </w:r>
      <w:r>
        <w:t>и</w:t>
      </w:r>
      <w:r>
        <w:t>пы. Что касается абортов, то действующие правила позволяют делать его лишь в случае опасности для здоровья или жизни матери. Заблаговременное о</w:t>
      </w:r>
      <w:r>
        <w:t>б</w:t>
      </w:r>
      <w:r>
        <w:t>суждение этого вопроса осложнено сложной атм</w:t>
      </w:r>
      <w:r>
        <w:t>о</w:t>
      </w:r>
      <w:r>
        <w:t>сферой, обусловленной сильным влиян</w:t>
      </w:r>
      <w:r>
        <w:t>и</w:t>
      </w:r>
      <w:r>
        <w:t>ем романо-католической церкви на умы и представления мн</w:t>
      </w:r>
      <w:r>
        <w:t>о</w:t>
      </w:r>
      <w:r>
        <w:t>гих о медицинских работниках, опыт которых мог бы, в противном случае, позволить им делать або</w:t>
      </w:r>
      <w:r>
        <w:t>р</w:t>
      </w:r>
      <w:r>
        <w:t>ты в случаях изнасилования или сексуального на</w:t>
      </w:r>
      <w:r>
        <w:t>д</w:t>
      </w:r>
      <w:r>
        <w:t>руг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47.</w:t>
      </w:r>
      <w:r>
        <w:tab/>
        <w:t>В ответ на вопрос о доступе к источникам кредитования она говорит, что директива президе</w:t>
      </w:r>
      <w:r>
        <w:t>н</w:t>
      </w:r>
      <w:r>
        <w:t>та, изданная в 2000 году, требовала обеспечения благоприятных условий для кредитования микр</w:t>
      </w:r>
      <w:r>
        <w:t>о</w:t>
      </w:r>
      <w:r>
        <w:t>предприятий и санкционировала специальную пр</w:t>
      </w:r>
      <w:r>
        <w:t>о</w:t>
      </w:r>
      <w:r>
        <w:t>грамму в интересах женщин в самом большом г</w:t>
      </w:r>
      <w:r>
        <w:t>о</w:t>
      </w:r>
      <w:r>
        <w:t>сударственном банке страны. В результате этого получение сельскими женщинами-предпринимате-лями кредитов увеличилось с 0,25 процента в 1995 году до устойчивого трехгодичного среднего уровня в размере 34 процентов. Отвечая на вопрос о доступе к земельным ресурсам, она напоминает, что пункт 583 четвертого периодического доклада содержит информацию о том, что из общего кол</w:t>
      </w:r>
      <w:r>
        <w:t>и</w:t>
      </w:r>
      <w:r>
        <w:t>чества документов, оформленных с  мая 1998 года по май 2001 года, 26 процентов были зарегистрир</w:t>
      </w:r>
      <w:r>
        <w:t>о</w:t>
      </w:r>
      <w:r>
        <w:t>ваны на имя мужчин, 25,4 процента — на имя же</w:t>
      </w:r>
      <w:r>
        <w:t>н</w:t>
      </w:r>
      <w:r>
        <w:t>щин и 48,6 процента — на имя супружеских пар. Что касается доступа к непахотным землям, то, по оценкам, большое число наделов принадлежит женщинам благодаря социальным программам обеспечения жильем. Объем финансирования и других услуг, предоставлявшихся сельским женщ</w:t>
      </w:r>
      <w:r>
        <w:t>и</w:t>
      </w:r>
      <w:r>
        <w:t>нам в указанный в докладе период, оставались на низком уровне, однако была зафиксирована тенде</w:t>
      </w:r>
      <w:r>
        <w:t>н</w:t>
      </w:r>
      <w:r>
        <w:t>ция роста. Институт сельскохозяйственного разв</w:t>
      </w:r>
      <w:r>
        <w:t>и</w:t>
      </w:r>
      <w:r>
        <w:t>тия (ИСР) осуществляет смешанную программу кредитования в сельских районах. Ее положения пересматриваются с учетом предоставляемой Н</w:t>
      </w:r>
      <w:r>
        <w:t>а</w:t>
      </w:r>
      <w:r>
        <w:t>циональным институтом женщин (ИНАМУ) и</w:t>
      </w:r>
      <w:r>
        <w:t>н</w:t>
      </w:r>
      <w:r>
        <w:t>формации о необходимости обеспечения бóльшей гибкости в деле кр</w:t>
      </w:r>
      <w:r>
        <w:t>е</w:t>
      </w:r>
      <w:r>
        <w:t>дитования женщин.</w:t>
      </w:r>
    </w:p>
    <w:p w:rsidR="00000000" w:rsidRDefault="00000000">
      <w:pPr>
        <w:pStyle w:val="DualTxt"/>
      </w:pPr>
      <w:r>
        <w:t>48.</w:t>
      </w:r>
      <w:r>
        <w:tab/>
        <w:t>Отвечая на вопрос о санкциях, которые нал</w:t>
      </w:r>
      <w:r>
        <w:t>а</w:t>
      </w:r>
      <w:r>
        <w:t>гаются в случаях отказа женщинам в правах, пред</w:t>
      </w:r>
      <w:r>
        <w:t>у</w:t>
      </w:r>
      <w:r>
        <w:t>смотренных по закону, она напоминает, что в пун</w:t>
      </w:r>
      <w:r>
        <w:t>к</w:t>
      </w:r>
      <w:r>
        <w:t>те 653 четвертого доклада говорится о реальном разрыве между словом и делом с точки зрения р</w:t>
      </w:r>
      <w:r>
        <w:t>а</w:t>
      </w:r>
      <w:r>
        <w:t>венства между мужчинами и женщинами и что ко</w:t>
      </w:r>
      <w:r>
        <w:t>с</w:t>
      </w:r>
      <w:r>
        <w:t>та-риканское государство по</w:t>
      </w:r>
      <w:r>
        <w:noBreakHyphen/>
        <w:t>прежнему проявляет ограниченную приверженность делу принятия мер по пресечению дискриминации в отношении же</w:t>
      </w:r>
      <w:r>
        <w:t>н</w:t>
      </w:r>
      <w:r>
        <w:t>щин. Некоторые из законов, упомянутых в докл</w:t>
      </w:r>
      <w:r>
        <w:t>а</w:t>
      </w:r>
      <w:r>
        <w:t>дах, предусматривают уголовные, гражданские и административные санкции за несоблюдение, одн</w:t>
      </w:r>
      <w:r>
        <w:t>а</w:t>
      </w:r>
      <w:r>
        <w:t>ко в срочном порядке необходимы более решител</w:t>
      </w:r>
      <w:r>
        <w:t>ь</w:t>
      </w:r>
      <w:r>
        <w:t>ные меры, в том числе законодательство в таких сферах, как занятость, избирательное право и быт</w:t>
      </w:r>
      <w:r>
        <w:t>о</w:t>
      </w:r>
      <w:r>
        <w:t>вое насилие, в целях обеспечения на практике во</w:t>
      </w:r>
      <w:r>
        <w:t>з</w:t>
      </w:r>
      <w:r>
        <w:t>можности осуществления женщинами прав, закре</w:t>
      </w:r>
      <w:r>
        <w:t>п</w:t>
      </w:r>
      <w:r>
        <w:t>ленных в Конституции, национальном законод</w:t>
      </w:r>
      <w:r>
        <w:t>а</w:t>
      </w:r>
      <w:r>
        <w:t>тельстве и международных документах.</w:t>
      </w:r>
    </w:p>
    <w:p w:rsidR="00000000" w:rsidRDefault="00000000">
      <w:pPr>
        <w:pStyle w:val="DualTxt"/>
      </w:pPr>
      <w:r>
        <w:t>49.</w:t>
      </w:r>
      <w:r>
        <w:tab/>
        <w:t>Малолетние лица в возрасте 15 лет и старше могут вступать в брак с согласия родителей, после чего супруги становятся равными перед законом. Отсутствие данных о количестве таких браков об</w:t>
      </w:r>
      <w:r>
        <w:t>у</w:t>
      </w:r>
      <w:r>
        <w:t>словлено методами сбора и составления статист</w:t>
      </w:r>
      <w:r>
        <w:t>и</w:t>
      </w:r>
      <w:r>
        <w:t>ческих данных и типами используемых показат</w:t>
      </w:r>
      <w:r>
        <w:t>е</w:t>
      </w:r>
      <w:r>
        <w:t>лей. ИНАМУ стремится исправить это положение. Проявляется тенденция более сурового наказания женщин, чем мужчин, за супружескую неверность, которая признается в качестве основания для разв</w:t>
      </w:r>
      <w:r>
        <w:t>о</w:t>
      </w:r>
      <w:r>
        <w:t>да, однако супруг, обвиняемый в неверности, не может более лишать другого супруга его или ее д</w:t>
      </w:r>
      <w:r>
        <w:t>о</w:t>
      </w:r>
      <w:r>
        <w:t>ли в совместном имуществе, приобретенном во время брака. Супруги по общегражданскому браку после совместного проживания в течение трех лет приобретают права и обязанности, аналогичные правам и обязанностям супружеских пар, особенно в отношении любых детей, которых они могли иметь.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Председатель</w:t>
      </w:r>
      <w:r>
        <w:t xml:space="preserve"> благодарит делегацию Коста-Рики за представленную информацию и поздравл</w:t>
      </w:r>
      <w:r>
        <w:t>я</w:t>
      </w:r>
      <w:r>
        <w:t>ет правительство за предпринимаемые усилия, ос</w:t>
      </w:r>
      <w:r>
        <w:t>о</w:t>
      </w:r>
      <w:r>
        <w:t>бенно ратификацию Факультативного протокола, и широкие консультации, проведенные во время по</w:t>
      </w:r>
      <w:r>
        <w:t>д</w:t>
      </w:r>
      <w:r>
        <w:t>готовки четвертого периодического доклада. Она надеется, что в будущем правительство будет стр</w:t>
      </w:r>
      <w:r>
        <w:t>о</w:t>
      </w:r>
      <w:r>
        <w:t>го придерживаться положений статьи 18 Конве</w:t>
      </w:r>
      <w:r>
        <w:t>н</w:t>
      </w:r>
      <w:r>
        <w:t>ции. Необходимо разработать дальнейшее законод</w:t>
      </w:r>
      <w:r>
        <w:t>а</w:t>
      </w:r>
      <w:r>
        <w:t>тельство, однако самая важная проблема заключае</w:t>
      </w:r>
      <w:r>
        <w:t>т</w:t>
      </w:r>
      <w:r>
        <w:t>ся в его принятии и практическом осуществлении. Те лица, которые несут ответственность за обесп</w:t>
      </w:r>
      <w:r>
        <w:t>е</w:t>
      </w:r>
      <w:r>
        <w:t>чение осуществления на практике женщинами св</w:t>
      </w:r>
      <w:r>
        <w:t>о</w:t>
      </w:r>
      <w:r>
        <w:t>их прав, должны проходить необходимую подгото</w:t>
      </w:r>
      <w:r>
        <w:t>в</w:t>
      </w:r>
      <w:r>
        <w:t>ку и располагать соответствующими ресурсами. Требуется устранить негативные социал</w:t>
      </w:r>
      <w:r>
        <w:t>ь</w:t>
      </w:r>
      <w:r>
        <w:t>но-культурные предрассудки и стереотипное предста</w:t>
      </w:r>
      <w:r>
        <w:t>в</w:t>
      </w:r>
      <w:r>
        <w:t>ление о роли женщин, особенно на основе просв</w:t>
      </w:r>
      <w:r>
        <w:t>е</w:t>
      </w:r>
      <w:r>
        <w:t>щения. Целесообразно поощрять повышение осв</w:t>
      </w:r>
      <w:r>
        <w:t>е</w:t>
      </w:r>
      <w:r>
        <w:t>домленности и информированности по гендерным вопросам, особенно в связи с охраной сексуального и репродуктивного здоровья, участием в политич</w:t>
      </w:r>
      <w:r>
        <w:t>е</w:t>
      </w:r>
      <w:r>
        <w:t>ской жизни, обеспечением занятости и сокращен</w:t>
      </w:r>
      <w:r>
        <w:t>и</w:t>
      </w:r>
      <w:r>
        <w:t>ем нищеты, а также проблемами бытового насилия, торговли и различных форм эксплуат</w:t>
      </w:r>
      <w:r>
        <w:t>а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12 ч. 20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NO&gt;&gt;N0342439R&lt;&lt;ODS JOB NO&gt;&gt;</w:t>
      </w:r>
    </w:p>
    <w:p w:rsidR="00000000" w:rsidRDefault="00000000">
      <w:pPr>
        <w:pStyle w:val="CommentText"/>
      </w:pPr>
      <w:r>
        <w:t>&lt;&lt;ODS DOC SYMBOL1&gt;&gt;CEDAW/C/SR.619&lt;&lt;ODS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WP CyrillicA"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03-42439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*0342439*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/C/SR.619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4/02/2006 10:42:32"/>
    <w:docVar w:name="DocCategory" w:val="SROthers"/>
    <w:docVar w:name="DocType" w:val="Final"/>
    <w:docVar w:name="JobNo" w:val="0342439R"/>
    <w:docVar w:name="OandT" w:val=" "/>
    <w:docVar w:name="Symbol1" w:val="CEDAW/C/SR.61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5499</Words>
  <Characters>31345</Characters>
  <Application>Microsoft Office Word</Application>
  <DocSecurity>4</DocSecurity>
  <Lines>261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38493</CharactersWithSpaces>
  <SharedDoc>false</SharedDoc>
  <HLinks>
    <vt:vector size="6" baseType="variant">
      <vt:variant>
        <vt:i4>4522087</vt:i4>
      </vt:variant>
      <vt:variant>
        <vt:i4>77288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Irina.Zinovieva</dc:creator>
  <cp:keywords/>
  <dc:description/>
  <cp:lastModifiedBy>Taissia.Mitrofanova</cp:lastModifiedBy>
  <cp:revision>7</cp:revision>
  <cp:lastPrinted>2006-02-04T13:41:00Z</cp:lastPrinted>
  <dcterms:created xsi:type="dcterms:W3CDTF">2006-02-04T13:41:00Z</dcterms:created>
  <dcterms:modified xsi:type="dcterms:W3CDTF">2006-02-04T13:49:00Z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0342439</vt:lpwstr>
  </property>
  <property fmtid="{D5CDD505-2E9C-101B-9397-08002B2CF9AE}" pid="3" name="Symbol1">
    <vt:lpwstr>CEDAW/C/SR.619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Mitrofanova</vt:lpwstr>
  </property>
</Properties>
</file>