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D6BF2" w14:textId="77777777" w:rsidR="00F91A55" w:rsidRPr="00EA061F" w:rsidRDefault="00F91A55" w:rsidP="00F91A55">
      <w:pPr>
        <w:spacing w:line="240" w:lineRule="auto"/>
        <w:rPr>
          <w:sz w:val="2"/>
        </w:rPr>
        <w:sectPr w:rsidR="00F91A55" w:rsidRPr="00EA061F" w:rsidSect="00D84F5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A061F">
        <w:rPr>
          <w:rStyle w:val="CommentReference"/>
          <w:szCs w:val="20"/>
        </w:rPr>
        <w:commentReference w:id="0"/>
      </w:r>
    </w:p>
    <w:p w14:paraId="5C78272B" w14:textId="5164ABDA" w:rsidR="00D84F5A" w:rsidRPr="00EA061F" w:rsidRDefault="00D84F5A" w:rsidP="00D84F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EA061F">
        <w:t>Comité para la Eliminación de la Discriminación contra la Mujer</w:t>
      </w:r>
    </w:p>
    <w:p w14:paraId="0883715E" w14:textId="77777777" w:rsidR="00D84F5A" w:rsidRPr="00EA061F" w:rsidRDefault="00D84F5A" w:rsidP="00D84F5A">
      <w:pPr>
        <w:pStyle w:val="Session"/>
      </w:pPr>
      <w:r w:rsidRPr="00EA061F">
        <w:t>87º período de sesiones</w:t>
      </w:r>
    </w:p>
    <w:p w14:paraId="35A0E756" w14:textId="2F6DE11F" w:rsidR="00D84F5A" w:rsidRPr="00EA061F" w:rsidRDefault="00D66A00" w:rsidP="00D84F5A">
      <w:r w:rsidRPr="003D6096">
        <w:t xml:space="preserve">Ginebra, </w:t>
      </w:r>
      <w:r w:rsidR="00D84F5A" w:rsidRPr="005E0A6A">
        <w:t xml:space="preserve">29 </w:t>
      </w:r>
      <w:r w:rsidR="00D84F5A" w:rsidRPr="00EA061F">
        <w:t>de enero a 16 de febrero de 2024</w:t>
      </w:r>
    </w:p>
    <w:p w14:paraId="78D78CF4" w14:textId="77777777" w:rsidR="00D84F5A" w:rsidRPr="00EA061F" w:rsidRDefault="00D84F5A" w:rsidP="00D84F5A">
      <w:pPr>
        <w:pStyle w:val="AgendaItemNormal"/>
        <w:rPr>
          <w:lang w:val="es-ES_tradnl"/>
        </w:rPr>
      </w:pPr>
      <w:r w:rsidRPr="00EA061F">
        <w:rPr>
          <w:lang w:val="es-ES_tradnl"/>
        </w:rPr>
        <w:t>Tema 2 del programa provisional</w:t>
      </w:r>
    </w:p>
    <w:p w14:paraId="00476E1F" w14:textId="2DCD334A" w:rsidR="00D84F5A" w:rsidRPr="00EA061F" w:rsidRDefault="00D84F5A" w:rsidP="00D84F5A">
      <w:pPr>
        <w:pStyle w:val="AgendaTitleH2"/>
      </w:pPr>
      <w:r w:rsidRPr="00EA061F">
        <w:t>Aprobación del programa y organización de los trabajos</w:t>
      </w:r>
    </w:p>
    <w:p w14:paraId="343578EC" w14:textId="026CC3D0" w:rsidR="00D84F5A" w:rsidRPr="00EA061F" w:rsidRDefault="00D84F5A" w:rsidP="00D84F5A">
      <w:pPr>
        <w:pStyle w:val="SingleTxt"/>
        <w:spacing w:after="0" w:line="120" w:lineRule="exact"/>
        <w:rPr>
          <w:sz w:val="10"/>
        </w:rPr>
      </w:pPr>
    </w:p>
    <w:p w14:paraId="21A0C061" w14:textId="595C4E13" w:rsidR="00D84F5A" w:rsidRPr="00EA061F" w:rsidRDefault="00D84F5A" w:rsidP="00D84F5A">
      <w:pPr>
        <w:pStyle w:val="SingleTxt"/>
        <w:spacing w:after="0" w:line="120" w:lineRule="exact"/>
        <w:rPr>
          <w:sz w:val="10"/>
        </w:rPr>
      </w:pPr>
    </w:p>
    <w:p w14:paraId="452C0838" w14:textId="4544139A" w:rsidR="00D84F5A" w:rsidRPr="00EA061F" w:rsidRDefault="00D84F5A" w:rsidP="00D84F5A">
      <w:pPr>
        <w:pStyle w:val="SingleTxt"/>
        <w:spacing w:after="0" w:line="120" w:lineRule="exact"/>
        <w:rPr>
          <w:sz w:val="10"/>
        </w:rPr>
      </w:pPr>
    </w:p>
    <w:p w14:paraId="5145477C" w14:textId="77777777" w:rsidR="00D84F5A" w:rsidRPr="00EA061F" w:rsidRDefault="00D84F5A" w:rsidP="00D84F5A">
      <w:pPr>
        <w:pStyle w:val="TitleHCH"/>
        <w:ind w:right="1260"/>
      </w:pPr>
      <w:r w:rsidRPr="00EA061F">
        <w:tab/>
      </w:r>
      <w:r w:rsidRPr="00EA061F">
        <w:tab/>
        <w:t>Programa provisional anotado</w:t>
      </w:r>
    </w:p>
    <w:p w14:paraId="69D43563" w14:textId="7D90205E" w:rsidR="00D84F5A" w:rsidRPr="00EA061F" w:rsidRDefault="00D84F5A" w:rsidP="00D84F5A">
      <w:pPr>
        <w:pStyle w:val="SingleTxt"/>
        <w:spacing w:after="0" w:line="120" w:lineRule="exact"/>
        <w:rPr>
          <w:sz w:val="10"/>
        </w:rPr>
      </w:pPr>
    </w:p>
    <w:p w14:paraId="1D36BE85" w14:textId="5837BE45" w:rsidR="00D84F5A" w:rsidRPr="00EA061F" w:rsidRDefault="00D84F5A" w:rsidP="00D84F5A">
      <w:pPr>
        <w:pStyle w:val="SingleTxt"/>
        <w:spacing w:after="0" w:line="120" w:lineRule="exact"/>
        <w:rPr>
          <w:sz w:val="10"/>
        </w:rPr>
      </w:pPr>
    </w:p>
    <w:p w14:paraId="630EC5AA" w14:textId="77777777" w:rsidR="00D84F5A" w:rsidRPr="00EA061F" w:rsidRDefault="00D84F5A" w:rsidP="00D84F5A">
      <w:pPr>
        <w:pStyle w:val="TitleH1"/>
      </w:pPr>
      <w:r w:rsidRPr="00EA061F">
        <w:tab/>
      </w:r>
      <w:r w:rsidRPr="00EA061F">
        <w:tab/>
        <w:t>Programa provisional</w:t>
      </w:r>
    </w:p>
    <w:p w14:paraId="48C1E8DE" w14:textId="12614176" w:rsidR="00D84F5A" w:rsidRPr="00EA061F" w:rsidRDefault="00D84F5A" w:rsidP="00D84F5A">
      <w:pPr>
        <w:pStyle w:val="SingleTxt"/>
        <w:spacing w:after="0" w:line="120" w:lineRule="exact"/>
        <w:rPr>
          <w:sz w:val="10"/>
        </w:rPr>
      </w:pPr>
    </w:p>
    <w:p w14:paraId="38191778" w14:textId="35A63B00" w:rsidR="00D84F5A" w:rsidRPr="00EA061F" w:rsidRDefault="00D84F5A" w:rsidP="00D84F5A">
      <w:pPr>
        <w:pStyle w:val="SingleTxt"/>
        <w:spacing w:after="0" w:line="120" w:lineRule="exact"/>
        <w:rPr>
          <w:sz w:val="10"/>
        </w:rPr>
      </w:pPr>
    </w:p>
    <w:p w14:paraId="34AA91C6" w14:textId="2A4956A8" w:rsidR="00D84F5A" w:rsidRPr="00EA061F" w:rsidRDefault="00D84F5A" w:rsidP="009A4BC2">
      <w:pPr>
        <w:pStyle w:val="SingleTxt"/>
        <w:numPr>
          <w:ilvl w:val="0"/>
          <w:numId w:val="40"/>
        </w:numPr>
        <w:ind w:left="1267"/>
      </w:pPr>
      <w:r w:rsidRPr="00EA061F">
        <w:t>Apertura del período de sesiones.</w:t>
      </w:r>
    </w:p>
    <w:p w14:paraId="0EA71626" w14:textId="5EC104AC" w:rsidR="00D84F5A" w:rsidRPr="00EA061F" w:rsidRDefault="00D84F5A" w:rsidP="009A4BC2">
      <w:pPr>
        <w:pStyle w:val="SingleTxt"/>
        <w:numPr>
          <w:ilvl w:val="0"/>
          <w:numId w:val="40"/>
        </w:numPr>
        <w:ind w:left="1267"/>
      </w:pPr>
      <w:r w:rsidRPr="00EA061F">
        <w:t>Aprobación del programa y organización de los trabajos.</w:t>
      </w:r>
    </w:p>
    <w:p w14:paraId="3B0972A4" w14:textId="2DDD1393" w:rsidR="00D84F5A" w:rsidRPr="00EA061F" w:rsidRDefault="00D84F5A" w:rsidP="009A4BC2">
      <w:pPr>
        <w:pStyle w:val="SingleTxt"/>
        <w:numPr>
          <w:ilvl w:val="0"/>
          <w:numId w:val="42"/>
        </w:numPr>
        <w:ind w:left="1742" w:hanging="475"/>
      </w:pPr>
      <w:r w:rsidRPr="00EA061F">
        <w:t>Informe de la Presidencia sobre las actividades realizadas entre los períodos de sesiones 86º y 87º del Comité.</w:t>
      </w:r>
    </w:p>
    <w:p w14:paraId="747FD850" w14:textId="1544C71F" w:rsidR="00D84F5A" w:rsidRPr="00EA061F" w:rsidRDefault="00D84F5A" w:rsidP="009A4BC2">
      <w:pPr>
        <w:pStyle w:val="SingleTxt"/>
        <w:numPr>
          <w:ilvl w:val="0"/>
          <w:numId w:val="43"/>
        </w:numPr>
        <w:ind w:left="1742" w:hanging="475"/>
      </w:pPr>
      <w:r w:rsidRPr="00EA061F">
        <w:t xml:space="preserve">Examen de los informes presentados por los </w:t>
      </w:r>
      <w:proofErr w:type="gramStart"/>
      <w:r w:rsidRPr="00EA061F">
        <w:t>Estados partes</w:t>
      </w:r>
      <w:proofErr w:type="gramEnd"/>
      <w:r w:rsidRPr="00EA061F">
        <w:t xml:space="preserve"> en virtud del artículo 18 de la Convención sobre la Eliminación de Todas las Formas de Discriminación contra la Mujer.</w:t>
      </w:r>
    </w:p>
    <w:p w14:paraId="679A73FD" w14:textId="0A97A624" w:rsidR="00D84F5A" w:rsidRPr="00EA061F" w:rsidRDefault="00D84F5A" w:rsidP="009A4BC2">
      <w:pPr>
        <w:pStyle w:val="SingleTxt"/>
        <w:numPr>
          <w:ilvl w:val="0"/>
          <w:numId w:val="44"/>
        </w:numPr>
        <w:ind w:left="1742" w:hanging="475"/>
      </w:pPr>
      <w:r w:rsidRPr="00EA061F">
        <w:t xml:space="preserve">Seguimiento del examen de los informes presentados por los </w:t>
      </w:r>
      <w:proofErr w:type="gramStart"/>
      <w:r w:rsidRPr="00EA061F">
        <w:t>Estados partes</w:t>
      </w:r>
      <w:proofErr w:type="gramEnd"/>
      <w:r w:rsidRPr="00EA061F">
        <w:t xml:space="preserve"> en virtud del artículo 18 de la Convención.</w:t>
      </w:r>
    </w:p>
    <w:p w14:paraId="2B60A5BA" w14:textId="76CD5731" w:rsidR="00D84F5A" w:rsidRPr="00EA061F" w:rsidRDefault="00D84F5A" w:rsidP="009A4BC2">
      <w:pPr>
        <w:pStyle w:val="SingleTxt"/>
        <w:numPr>
          <w:ilvl w:val="0"/>
          <w:numId w:val="45"/>
        </w:numPr>
        <w:ind w:left="1267"/>
      </w:pPr>
      <w:r w:rsidRPr="00EA061F">
        <w:t>Aplicación de los artículos 21 y 22 de la Convención.</w:t>
      </w:r>
    </w:p>
    <w:p w14:paraId="35C28ADE" w14:textId="3E96E1C5" w:rsidR="00D84F5A" w:rsidRPr="00EA061F" w:rsidRDefault="00D84F5A" w:rsidP="009A4BC2">
      <w:pPr>
        <w:pStyle w:val="SingleTxt"/>
        <w:numPr>
          <w:ilvl w:val="0"/>
          <w:numId w:val="46"/>
        </w:numPr>
        <w:ind w:left="1267"/>
      </w:pPr>
      <w:r w:rsidRPr="00EA061F">
        <w:t>Medios de agilizar los trabajos del Comité.</w:t>
      </w:r>
    </w:p>
    <w:p w14:paraId="03562644" w14:textId="3D601CDB" w:rsidR="00D84F5A" w:rsidRPr="00EA061F" w:rsidRDefault="00D84F5A" w:rsidP="009A4BC2">
      <w:pPr>
        <w:pStyle w:val="SingleTxt"/>
        <w:numPr>
          <w:ilvl w:val="0"/>
          <w:numId w:val="47"/>
        </w:numPr>
        <w:ind w:left="1742" w:hanging="475"/>
      </w:pPr>
      <w:r w:rsidRPr="00EA061F">
        <w:t>Actividades del Comité en relación con el Protocolo Facultativo de la Convención.</w:t>
      </w:r>
    </w:p>
    <w:p w14:paraId="1B06BA59" w14:textId="2B3FD2AE" w:rsidR="00D84F5A" w:rsidRPr="00EA061F" w:rsidRDefault="00D84F5A" w:rsidP="009A4BC2">
      <w:pPr>
        <w:pStyle w:val="SingleTxt"/>
        <w:numPr>
          <w:ilvl w:val="0"/>
          <w:numId w:val="48"/>
        </w:numPr>
        <w:ind w:left="1267"/>
      </w:pPr>
      <w:r w:rsidRPr="00EA061F">
        <w:t>Programa provisional del 88º período de sesiones del Comité.</w:t>
      </w:r>
    </w:p>
    <w:p w14:paraId="6C27B249" w14:textId="4A821DE0" w:rsidR="00D84F5A" w:rsidRPr="00EA061F" w:rsidRDefault="00D84F5A" w:rsidP="009A4BC2">
      <w:pPr>
        <w:pStyle w:val="SingleTxt"/>
        <w:numPr>
          <w:ilvl w:val="0"/>
          <w:numId w:val="49"/>
        </w:numPr>
        <w:ind w:left="1267"/>
      </w:pPr>
      <w:r w:rsidRPr="00EA061F">
        <w:t>Aprobación del informe del Comité sobre su 87º período de sesiones.</w:t>
      </w:r>
    </w:p>
    <w:p w14:paraId="49EF7F13" w14:textId="31ABD99C" w:rsidR="00D84F5A" w:rsidRPr="00EA061F" w:rsidRDefault="00D84F5A" w:rsidP="00D84F5A">
      <w:pPr>
        <w:pStyle w:val="SingleTxt"/>
        <w:spacing w:after="0" w:line="120" w:lineRule="exact"/>
        <w:rPr>
          <w:sz w:val="10"/>
        </w:rPr>
      </w:pPr>
    </w:p>
    <w:p w14:paraId="28C8125C" w14:textId="1E75215A" w:rsidR="00D84F5A" w:rsidRPr="00EA061F" w:rsidRDefault="00D84F5A" w:rsidP="00D84F5A">
      <w:pPr>
        <w:pStyle w:val="SingleTxt"/>
        <w:spacing w:after="0" w:line="120" w:lineRule="exact"/>
        <w:rPr>
          <w:sz w:val="10"/>
        </w:rPr>
      </w:pPr>
    </w:p>
    <w:p w14:paraId="61BDBB36" w14:textId="77777777" w:rsidR="00D84F5A" w:rsidRPr="00EA061F" w:rsidRDefault="00D84F5A" w:rsidP="00D84F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Anotaciones</w:t>
      </w:r>
    </w:p>
    <w:p w14:paraId="46C4022D" w14:textId="68712113" w:rsidR="00D84F5A" w:rsidRPr="00EA061F" w:rsidRDefault="00D84F5A" w:rsidP="00D84F5A">
      <w:pPr>
        <w:pStyle w:val="SingleTxt"/>
        <w:spacing w:after="0" w:line="120" w:lineRule="exact"/>
        <w:rPr>
          <w:sz w:val="10"/>
        </w:rPr>
      </w:pPr>
    </w:p>
    <w:p w14:paraId="570EC4CC" w14:textId="6CA0995A" w:rsidR="00D84F5A" w:rsidRPr="00EA061F" w:rsidRDefault="00D84F5A" w:rsidP="00D84F5A">
      <w:pPr>
        <w:pStyle w:val="SingleTxt"/>
        <w:spacing w:after="0" w:line="120" w:lineRule="exact"/>
        <w:rPr>
          <w:sz w:val="10"/>
        </w:rPr>
      </w:pPr>
    </w:p>
    <w:p w14:paraId="1A674C8A" w14:textId="77777777" w:rsidR="00D84F5A" w:rsidRPr="00EA061F" w:rsidRDefault="00D84F5A" w:rsidP="00D84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t>1.</w:t>
      </w:r>
      <w:r w:rsidRPr="00EA061F">
        <w:tab/>
        <w:t>Apertura del período de sesiones</w:t>
      </w:r>
    </w:p>
    <w:p w14:paraId="07F00122" w14:textId="73F8C7E0" w:rsidR="00D84F5A" w:rsidRPr="00EA061F" w:rsidRDefault="00D84F5A" w:rsidP="00D84F5A">
      <w:pPr>
        <w:pStyle w:val="SingleTxt"/>
        <w:spacing w:after="0" w:line="120" w:lineRule="exact"/>
        <w:rPr>
          <w:sz w:val="10"/>
        </w:rPr>
      </w:pPr>
    </w:p>
    <w:p w14:paraId="1D683545" w14:textId="6BE9C099" w:rsidR="00D84F5A" w:rsidRPr="00EA061F" w:rsidRDefault="00D84F5A" w:rsidP="00D84F5A">
      <w:pPr>
        <w:pStyle w:val="SingleTxt"/>
      </w:pPr>
      <w:r w:rsidRPr="00EA061F">
        <w:t>El 87º período de sesiones del Comité para la Eliminación de la Discriminación contra la Mujer será inaugurado por la Presidencia del Comité el 29 de enero de 2024.</w:t>
      </w:r>
    </w:p>
    <w:p w14:paraId="0353A967" w14:textId="0036A4CC" w:rsidR="00D84F5A" w:rsidRPr="00EA061F" w:rsidRDefault="00D84F5A" w:rsidP="00D84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lastRenderedPageBreak/>
        <w:tab/>
        <w:t>2.</w:t>
      </w:r>
      <w:r w:rsidRPr="00EA061F">
        <w:tab/>
        <w:t>Aprobación del programa y organización de los trabajos</w:t>
      </w:r>
    </w:p>
    <w:p w14:paraId="4B5CE32D" w14:textId="4584109D" w:rsidR="00D84F5A" w:rsidRPr="00EA061F" w:rsidRDefault="00D84F5A" w:rsidP="00D84F5A">
      <w:pPr>
        <w:pStyle w:val="SingleTxt"/>
        <w:spacing w:after="0" w:line="120" w:lineRule="exact"/>
        <w:rPr>
          <w:sz w:val="10"/>
        </w:rPr>
      </w:pPr>
    </w:p>
    <w:p w14:paraId="1B32937C" w14:textId="77777777" w:rsidR="00D84F5A" w:rsidRPr="00EA061F" w:rsidRDefault="00D84F5A" w:rsidP="00D84F5A">
      <w:pPr>
        <w:pStyle w:val="SingleTxt"/>
      </w:pPr>
      <w:r w:rsidRPr="00EA061F">
        <w:t xml:space="preserve">El artículo 9 del Reglamento dispone que el primer tema sustantivo del programa provisional de cada período de sesiones será la aprobación del programa. En el artículo 7 se establece que el </w:t>
      </w:r>
      <w:proofErr w:type="gramStart"/>
      <w:r w:rsidRPr="00EA061F">
        <w:t>Secretario General</w:t>
      </w:r>
      <w:proofErr w:type="gramEnd"/>
      <w:r w:rsidRPr="00EA061F">
        <w:t>, en consulta con la Presidencia, preparará el programa provisional de cada período de sesiones, de conformidad con las disposiciones pertinentes de los artículos 17 a 22 de la Convención.</w:t>
      </w:r>
    </w:p>
    <w:p w14:paraId="7E50C95F" w14:textId="018EB163" w:rsidR="00D84F5A" w:rsidRPr="00EA061F" w:rsidRDefault="00D84F5A" w:rsidP="00D84F5A">
      <w:pPr>
        <w:pStyle w:val="SingleTxt"/>
      </w:pPr>
      <w:r w:rsidRPr="00EA061F">
        <w:t>En su 86º período de sesiones, el Comité aprobó el programa provisional de su 87º</w:t>
      </w:r>
      <w:r w:rsidR="00BA6E1A" w:rsidRPr="00EA061F">
        <w:t> </w:t>
      </w:r>
      <w:r w:rsidRPr="00EA061F">
        <w:t>período de sesiones.</w:t>
      </w:r>
    </w:p>
    <w:p w14:paraId="7C4A2CBB" w14:textId="5FECACA7" w:rsidR="00D84F5A" w:rsidRPr="00EA061F" w:rsidRDefault="00D84F5A" w:rsidP="00D84F5A">
      <w:pPr>
        <w:pStyle w:val="SingleTxt"/>
        <w:spacing w:after="0" w:line="120" w:lineRule="exact"/>
        <w:rPr>
          <w:sz w:val="10"/>
        </w:rPr>
      </w:pPr>
    </w:p>
    <w:p w14:paraId="44A2FF70" w14:textId="5904CCCD" w:rsidR="00D84F5A" w:rsidRPr="00EA061F" w:rsidRDefault="00D84F5A" w:rsidP="00D84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EA061F">
        <w:tab/>
        <w:t>3.</w:t>
      </w:r>
      <w:r w:rsidRPr="00EA061F">
        <w:tab/>
        <w:t>Informe de la Presidencia sobre las actividades realizadas entre los períodos de sesiones 86º y 87º del Comité</w:t>
      </w:r>
    </w:p>
    <w:p w14:paraId="2831BD73" w14:textId="173DAA9D" w:rsidR="00D84F5A" w:rsidRPr="00EA061F" w:rsidRDefault="00D84F5A" w:rsidP="00D84F5A">
      <w:pPr>
        <w:pStyle w:val="SingleTxt"/>
        <w:spacing w:after="0" w:line="120" w:lineRule="exact"/>
        <w:rPr>
          <w:sz w:val="10"/>
        </w:rPr>
      </w:pPr>
    </w:p>
    <w:p w14:paraId="579E0D29" w14:textId="77777777" w:rsidR="00D84F5A" w:rsidRPr="00EA061F" w:rsidRDefault="00D84F5A" w:rsidP="00D84F5A">
      <w:pPr>
        <w:pStyle w:val="SingleTxt"/>
      </w:pPr>
      <w:r w:rsidRPr="00EA061F">
        <w:t xml:space="preserve">La </w:t>
      </w:r>
      <w:proofErr w:type="gramStart"/>
      <w:r w:rsidRPr="00EA061F">
        <w:t>Presidenta</w:t>
      </w:r>
      <w:proofErr w:type="gramEnd"/>
      <w:r w:rsidRPr="00EA061F">
        <w:t xml:space="preserve"> informará al Comité sobre su participación en las actividades y los acontecimientos relacionados con la labor del Comité que hayan ocurrido desde el período de sesiones anterior.</w:t>
      </w:r>
    </w:p>
    <w:p w14:paraId="656BC0DF" w14:textId="59676A75" w:rsidR="00D84F5A" w:rsidRPr="00EA061F" w:rsidRDefault="00D84F5A" w:rsidP="00D84F5A">
      <w:pPr>
        <w:pStyle w:val="SingleTxt"/>
        <w:spacing w:after="0" w:line="120" w:lineRule="exact"/>
        <w:rPr>
          <w:sz w:val="10"/>
        </w:rPr>
      </w:pPr>
    </w:p>
    <w:p w14:paraId="71D32930" w14:textId="77777777" w:rsidR="00D84F5A" w:rsidRPr="00EA061F" w:rsidRDefault="00D84F5A" w:rsidP="00D84F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Documentación</w:t>
      </w:r>
    </w:p>
    <w:p w14:paraId="4CE01225" w14:textId="573EEC72" w:rsidR="00D84F5A" w:rsidRPr="00EA061F" w:rsidRDefault="00D84F5A" w:rsidP="00D84F5A">
      <w:pPr>
        <w:pStyle w:val="SingleTxt"/>
        <w:spacing w:after="0" w:line="120" w:lineRule="exact"/>
        <w:rPr>
          <w:sz w:val="10"/>
        </w:rPr>
      </w:pPr>
    </w:p>
    <w:p w14:paraId="4B24EB16" w14:textId="3BF482D8" w:rsidR="00D84F5A" w:rsidRPr="00EA061F" w:rsidRDefault="00D84F5A" w:rsidP="00D84F5A">
      <w:pPr>
        <w:pStyle w:val="SingleTxt"/>
      </w:pPr>
      <w:r w:rsidRPr="00EA061F">
        <w:t>Programa provisional anotado (</w:t>
      </w:r>
      <w:hyperlink r:id="rId17" w:history="1">
        <w:r w:rsidRPr="00EA061F">
          <w:rPr>
            <w:rStyle w:val="Hyperlink"/>
          </w:rPr>
          <w:t>CEDAW/C/87/1</w:t>
        </w:r>
      </w:hyperlink>
      <w:r w:rsidRPr="00EA061F">
        <w:t>)</w:t>
      </w:r>
    </w:p>
    <w:p w14:paraId="625B7612" w14:textId="72BCC41F" w:rsidR="00D84F5A" w:rsidRPr="00EA061F" w:rsidRDefault="00D84F5A" w:rsidP="00D84F5A">
      <w:pPr>
        <w:pStyle w:val="SingleTxt"/>
        <w:spacing w:after="0" w:line="120" w:lineRule="exact"/>
        <w:rPr>
          <w:sz w:val="10"/>
        </w:rPr>
      </w:pPr>
    </w:p>
    <w:p w14:paraId="69CD6A87" w14:textId="75E10926" w:rsidR="00D84F5A" w:rsidRPr="00EA061F" w:rsidRDefault="00D84F5A" w:rsidP="001F2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EA061F">
        <w:tab/>
        <w:t>4.</w:t>
      </w:r>
      <w:r w:rsidRPr="00EA061F">
        <w:tab/>
        <w:t xml:space="preserve">Examen de los informes presentados por los </w:t>
      </w:r>
      <w:proofErr w:type="gramStart"/>
      <w:r w:rsidRPr="00EA061F">
        <w:t>Estados partes</w:t>
      </w:r>
      <w:proofErr w:type="gramEnd"/>
      <w:r w:rsidRPr="00EA061F">
        <w:t xml:space="preserve"> en virtud del</w:t>
      </w:r>
      <w:r w:rsidR="00412E03">
        <w:t> </w:t>
      </w:r>
      <w:r w:rsidRPr="00EA061F">
        <w:t>artículo 18 de la Convención sobre la Eliminación de Todas las Formas de Discriminación contra la Mujer</w:t>
      </w:r>
    </w:p>
    <w:p w14:paraId="575F6017" w14:textId="00F62B99" w:rsidR="00D84F5A" w:rsidRPr="00EA061F" w:rsidRDefault="00D84F5A" w:rsidP="00D84F5A">
      <w:pPr>
        <w:pStyle w:val="SingleTxt"/>
        <w:spacing w:after="0" w:line="120" w:lineRule="exact"/>
        <w:rPr>
          <w:sz w:val="10"/>
        </w:rPr>
      </w:pPr>
    </w:p>
    <w:p w14:paraId="2F9283D1" w14:textId="77777777" w:rsidR="00D84F5A" w:rsidRPr="00EA061F" w:rsidRDefault="00D84F5A" w:rsidP="00D84F5A">
      <w:pPr>
        <w:pStyle w:val="SingleTxt"/>
      </w:pPr>
      <w:r w:rsidRPr="00EA061F">
        <w:t xml:space="preserve">El artículo 18 de la Convención dispone que los </w:t>
      </w:r>
      <w:proofErr w:type="gramStart"/>
      <w:r w:rsidRPr="00EA061F">
        <w:t>Estados partes</w:t>
      </w:r>
      <w:proofErr w:type="gramEnd"/>
      <w:r w:rsidRPr="00EA061F">
        <w:t xml:space="preserve">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22D7B7E7" w14:textId="77777777" w:rsidR="00D84F5A" w:rsidRPr="00EA061F" w:rsidRDefault="00D84F5A" w:rsidP="00D84F5A">
      <w:pPr>
        <w:pStyle w:val="SingleTxt"/>
      </w:pPr>
      <w:r w:rsidRPr="00EA061F">
        <w:t xml:space="preserve">Está previsto que en el 87º período de sesiones del Comité se examinen los informes de los siguientes </w:t>
      </w:r>
      <w:proofErr w:type="gramStart"/>
      <w:r w:rsidRPr="00EA061F">
        <w:t>Estados partes</w:t>
      </w:r>
      <w:proofErr w:type="gramEnd"/>
      <w:r w:rsidRPr="00EA061F">
        <w:t xml:space="preserve">: </w:t>
      </w:r>
      <w:proofErr w:type="spellStart"/>
      <w:r w:rsidRPr="00EA061F">
        <w:t>Djibouti</w:t>
      </w:r>
      <w:proofErr w:type="spellEnd"/>
      <w:r w:rsidRPr="00EA061F">
        <w:t>, Grecia, Italia, Níger, Omán, República Centroafricana, Tayikistán y Turkmenistán.</w:t>
      </w:r>
    </w:p>
    <w:p w14:paraId="48B6DDA1" w14:textId="77777777" w:rsidR="00D84F5A" w:rsidRPr="00EA061F" w:rsidRDefault="00D84F5A" w:rsidP="00D84F5A">
      <w:pPr>
        <w:pStyle w:val="SingleTxt"/>
      </w:pPr>
      <w:r w:rsidRPr="00EA061F">
        <w:t xml:space="preserve">El artículo 51 del Reglamento dispone que las delegaciones de los </w:t>
      </w:r>
      <w:proofErr w:type="gramStart"/>
      <w:r w:rsidRPr="00EA061F">
        <w:t>Estados partes</w:t>
      </w:r>
      <w:proofErr w:type="gramEnd"/>
      <w:r w:rsidRPr="00EA061F">
        <w:t xml:space="preserve"> podrán asistir a las sesiones del Comité en las que se vayan a examinar sus respectivos informes para participar en las deliberaciones y responder a las preguntas relativas a dichos informes. </w:t>
      </w:r>
    </w:p>
    <w:p w14:paraId="2A61329F" w14:textId="77777777" w:rsidR="00D84F5A" w:rsidRPr="00EA061F" w:rsidRDefault="00D84F5A" w:rsidP="00D84F5A">
      <w:pPr>
        <w:pStyle w:val="SingleTxt"/>
      </w:pPr>
      <w:r w:rsidRPr="00EA061F">
        <w:t xml:space="preserve">El artículo 49 del Reglamento dispone que, en cada período de sesiones, el </w:t>
      </w:r>
      <w:proofErr w:type="gramStart"/>
      <w:r w:rsidRPr="00EA061F">
        <w:t>Secretario General</w:t>
      </w:r>
      <w:proofErr w:type="gramEnd"/>
      <w:r w:rsidRPr="00EA061F">
        <w:t xml:space="preserve"> notificará al Comité los casos en que no se haya recibido el informe solicitado a un Estado parte en virtud del artículo 18 de la Convención. El </w:t>
      </w:r>
      <w:proofErr w:type="gramStart"/>
      <w:r w:rsidRPr="00EA061F">
        <w:t>Secretario General</w:t>
      </w:r>
      <w:proofErr w:type="gramEnd"/>
      <w:r w:rsidRPr="00EA061F">
        <w:t xml:space="preserve"> facilitará también periódicamente al Comité una lista de los informes presentados por los Estados partes en la Convención, así como una lista de los informes que todavía no hayan sido examinados por el Comité.</w:t>
      </w:r>
    </w:p>
    <w:p w14:paraId="6DDFBC06" w14:textId="427738A7" w:rsidR="00D84F5A" w:rsidRPr="00EA061F" w:rsidRDefault="00D84F5A" w:rsidP="00D84F5A">
      <w:pPr>
        <w:pStyle w:val="SingleTxt"/>
      </w:pPr>
      <w:r w:rsidRPr="00EA061F">
        <w:t xml:space="preserve">Antes de cada período de sesiones se reúne un grupo de trabajo del Comité con el fin de preparar listas de las cuestiones y preguntas relativas a los informes que hay que transmitir a los </w:t>
      </w:r>
      <w:proofErr w:type="gramStart"/>
      <w:r w:rsidRPr="00EA061F">
        <w:t>Estados partes</w:t>
      </w:r>
      <w:proofErr w:type="gramEnd"/>
      <w:r w:rsidRPr="00EA061F">
        <w:t xml:space="preserve"> antes de las sesiones en las que se vayan a examinar sus informes. La reunión del grupo de trabajo anterior al 87º período de sesiones se celebró del 30 de mayo al 2 de junio de 2023. El Comité tendrá ante sí el informe del grupo de trabajo anterior al período de sesiones (</w:t>
      </w:r>
      <w:hyperlink r:id="rId18" w:history="1">
        <w:r w:rsidRPr="00EA061F">
          <w:rPr>
            <w:rStyle w:val="Hyperlink"/>
          </w:rPr>
          <w:t>CEDAW/C/PSWG/87/1</w:t>
        </w:r>
      </w:hyperlink>
      <w:r w:rsidRPr="00EA061F">
        <w:t>).</w:t>
      </w:r>
    </w:p>
    <w:p w14:paraId="3B3D3036" w14:textId="56D8DB02" w:rsidR="00D84F5A" w:rsidRPr="00EA061F" w:rsidRDefault="00D84F5A" w:rsidP="00D84F5A">
      <w:pPr>
        <w:pStyle w:val="SingleTxt"/>
        <w:spacing w:after="0" w:line="120" w:lineRule="exact"/>
        <w:rPr>
          <w:sz w:val="10"/>
        </w:rPr>
      </w:pPr>
    </w:p>
    <w:p w14:paraId="356F4F2D" w14:textId="77777777" w:rsidR="00D84F5A" w:rsidRPr="00EA061F" w:rsidRDefault="00D84F5A" w:rsidP="00D84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lastRenderedPageBreak/>
        <w:tab/>
      </w:r>
      <w:r w:rsidRPr="00EA061F">
        <w:tab/>
        <w:t>Documentación</w:t>
      </w:r>
    </w:p>
    <w:p w14:paraId="0A3D36BC" w14:textId="1EECDC5E" w:rsidR="00D84F5A" w:rsidRPr="00EA061F" w:rsidRDefault="00D84F5A" w:rsidP="00D84F5A">
      <w:pPr>
        <w:pStyle w:val="SingleTxt"/>
        <w:spacing w:after="0" w:line="120" w:lineRule="exact"/>
        <w:rPr>
          <w:sz w:val="10"/>
        </w:rPr>
      </w:pPr>
    </w:p>
    <w:p w14:paraId="6969856A" w14:textId="54904BD4" w:rsidR="00D84F5A" w:rsidRPr="00EA061F" w:rsidRDefault="00D84F5A" w:rsidP="00D84F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Informes</w:t>
      </w:r>
    </w:p>
    <w:p w14:paraId="3EB9DCF5" w14:textId="7B5E6DC7" w:rsidR="00D84F5A" w:rsidRPr="00EA061F" w:rsidRDefault="00D84F5A" w:rsidP="00D84F5A">
      <w:pPr>
        <w:pStyle w:val="SingleTxt"/>
        <w:spacing w:after="0" w:line="120" w:lineRule="exact"/>
        <w:rPr>
          <w:sz w:val="10"/>
        </w:rPr>
      </w:pPr>
    </w:p>
    <w:p w14:paraId="204BAC2F" w14:textId="11D97321" w:rsidR="00D84F5A" w:rsidRPr="00EA061F" w:rsidRDefault="00D84F5A" w:rsidP="00D84F5A">
      <w:pPr>
        <w:pStyle w:val="SingleTxt"/>
      </w:pPr>
      <w:r w:rsidRPr="00EA061F">
        <w:t>Sexto informe periódico de la República Centroafricana (</w:t>
      </w:r>
      <w:hyperlink r:id="rId19" w:history="1">
        <w:r w:rsidRPr="00EA061F">
          <w:rPr>
            <w:rStyle w:val="Hyperlink"/>
          </w:rPr>
          <w:t>CEDAW/C/CAF/6</w:t>
        </w:r>
      </w:hyperlink>
      <w:r w:rsidRPr="00EA061F">
        <w:t>)</w:t>
      </w:r>
    </w:p>
    <w:p w14:paraId="12195527" w14:textId="68886FD5" w:rsidR="00D84F5A" w:rsidRPr="00EA061F" w:rsidRDefault="00D84F5A" w:rsidP="00D84F5A">
      <w:pPr>
        <w:pStyle w:val="SingleTxt"/>
      </w:pPr>
      <w:r w:rsidRPr="00EA061F">
        <w:t xml:space="preserve">Informes periódicos cuarto y quinto combinados de </w:t>
      </w:r>
      <w:proofErr w:type="spellStart"/>
      <w:r w:rsidRPr="00EA061F">
        <w:t>Djibouti</w:t>
      </w:r>
      <w:proofErr w:type="spellEnd"/>
      <w:r w:rsidR="00882FD2" w:rsidRPr="00EA061F">
        <w:t xml:space="preserve"> (</w:t>
      </w:r>
      <w:hyperlink r:id="rId20" w:history="1">
        <w:r w:rsidRPr="00EA061F">
          <w:rPr>
            <w:rStyle w:val="Hyperlink"/>
          </w:rPr>
          <w:t>CEDAW/C/DJI/4-5</w:t>
        </w:r>
      </w:hyperlink>
      <w:r w:rsidR="00882FD2" w:rsidRPr="00EA061F">
        <w:rPr>
          <w:rStyle w:val="Hyperlink"/>
        </w:rPr>
        <w:t>)</w:t>
      </w:r>
    </w:p>
    <w:p w14:paraId="70E476FB" w14:textId="41DBFDA6" w:rsidR="00D84F5A" w:rsidRPr="00EA061F" w:rsidRDefault="00D84F5A" w:rsidP="00D84F5A">
      <w:pPr>
        <w:pStyle w:val="SingleTxt"/>
      </w:pPr>
      <w:r w:rsidRPr="00EA061F">
        <w:t xml:space="preserve">Informes periódicos octavo y </w:t>
      </w:r>
      <w:proofErr w:type="gramStart"/>
      <w:r w:rsidRPr="00EA061F">
        <w:t>noveno combinados</w:t>
      </w:r>
      <w:proofErr w:type="gramEnd"/>
      <w:r w:rsidRPr="00EA061F">
        <w:t xml:space="preserve"> de Grecia, presentados conforme al procedimiento simplificado (</w:t>
      </w:r>
      <w:hyperlink r:id="rId21" w:history="1">
        <w:r w:rsidRPr="00EA061F">
          <w:rPr>
            <w:rStyle w:val="Hyperlink"/>
          </w:rPr>
          <w:t>CEDAW/C/GRC/8-9</w:t>
        </w:r>
      </w:hyperlink>
      <w:r w:rsidRPr="00EA061F">
        <w:t>)</w:t>
      </w:r>
    </w:p>
    <w:p w14:paraId="07B575C5" w14:textId="72D1A087" w:rsidR="00D84F5A" w:rsidRPr="00EA061F" w:rsidRDefault="00D84F5A" w:rsidP="00D84F5A">
      <w:pPr>
        <w:pStyle w:val="SingleTxt"/>
      </w:pPr>
      <w:r w:rsidRPr="00EA061F">
        <w:t>Octavo informe periódico de Italia, presentado conforme al procedimiento simplificado (</w:t>
      </w:r>
      <w:hyperlink r:id="rId22" w:history="1">
        <w:r w:rsidRPr="00EA061F">
          <w:rPr>
            <w:rStyle w:val="Hyperlink"/>
          </w:rPr>
          <w:t>CEDAW/C/ITA/8</w:t>
        </w:r>
      </w:hyperlink>
      <w:r w:rsidRPr="00EA061F">
        <w:t>)</w:t>
      </w:r>
    </w:p>
    <w:p w14:paraId="5773C056" w14:textId="2A9C3FEF" w:rsidR="00D84F5A" w:rsidRPr="00EA061F" w:rsidRDefault="00D84F5A" w:rsidP="00D84F5A">
      <w:pPr>
        <w:pStyle w:val="SingleTxt"/>
      </w:pPr>
      <w:r w:rsidRPr="00EA061F">
        <w:t>Quinto informe periódico del Níger, presentado conforme al procedimiento simplificado (</w:t>
      </w:r>
      <w:hyperlink r:id="rId23" w:history="1">
        <w:r w:rsidRPr="00EA061F">
          <w:rPr>
            <w:rStyle w:val="Hyperlink"/>
          </w:rPr>
          <w:t>CEDAW/C/NER/5</w:t>
        </w:r>
      </w:hyperlink>
      <w:r w:rsidRPr="00EA061F">
        <w:t>)</w:t>
      </w:r>
    </w:p>
    <w:p w14:paraId="0EA67ECF" w14:textId="031E5D01" w:rsidR="00D84F5A" w:rsidRPr="00EA061F" w:rsidRDefault="00D84F5A" w:rsidP="00D84F5A">
      <w:pPr>
        <w:pStyle w:val="SingleTxt"/>
      </w:pPr>
      <w:r w:rsidRPr="00EA061F">
        <w:t>Cuarto informe periódico de Omán (</w:t>
      </w:r>
      <w:hyperlink r:id="rId24" w:history="1">
        <w:r w:rsidRPr="00EA061F">
          <w:rPr>
            <w:rStyle w:val="Hyperlink"/>
          </w:rPr>
          <w:t>CEDAW/C/OMN/4</w:t>
        </w:r>
      </w:hyperlink>
      <w:r w:rsidRPr="00EA061F">
        <w:t>)</w:t>
      </w:r>
    </w:p>
    <w:p w14:paraId="245B7D54" w14:textId="19D84966" w:rsidR="00D84F5A" w:rsidRPr="00EA061F" w:rsidRDefault="00D84F5A" w:rsidP="00D84F5A">
      <w:pPr>
        <w:pStyle w:val="SingleTxt"/>
      </w:pPr>
      <w:r w:rsidRPr="00EA061F">
        <w:t>Séptimo informe periódico de Tayikistán (</w:t>
      </w:r>
      <w:hyperlink r:id="rId25" w:history="1">
        <w:r w:rsidRPr="00EA061F">
          <w:rPr>
            <w:rStyle w:val="Hyperlink"/>
          </w:rPr>
          <w:t>CEDAW/C/TJK/7</w:t>
        </w:r>
      </w:hyperlink>
      <w:r w:rsidRPr="00EA061F">
        <w:t>)</w:t>
      </w:r>
    </w:p>
    <w:p w14:paraId="64E3C6D8" w14:textId="0F49C377" w:rsidR="00D84F5A" w:rsidRPr="00EA061F" w:rsidRDefault="00D84F5A" w:rsidP="00D84F5A">
      <w:pPr>
        <w:pStyle w:val="SingleTxt"/>
      </w:pPr>
      <w:r w:rsidRPr="00EA061F">
        <w:t>Sexto informe periódico de Turkmenistán (</w:t>
      </w:r>
      <w:hyperlink r:id="rId26" w:history="1">
        <w:r w:rsidRPr="00EA061F">
          <w:rPr>
            <w:rStyle w:val="Hyperlink"/>
          </w:rPr>
          <w:t>CEDAW/C/TKM/6</w:t>
        </w:r>
      </w:hyperlink>
      <w:r w:rsidRPr="00EA061F">
        <w:t>)</w:t>
      </w:r>
    </w:p>
    <w:p w14:paraId="115049AD" w14:textId="27651173" w:rsidR="00D84F5A" w:rsidRPr="00EA061F" w:rsidRDefault="00D84F5A" w:rsidP="00AD3764">
      <w:pPr>
        <w:pStyle w:val="SingleTxt"/>
        <w:spacing w:after="0" w:line="120" w:lineRule="exact"/>
        <w:rPr>
          <w:sz w:val="10"/>
        </w:rPr>
      </w:pPr>
    </w:p>
    <w:p w14:paraId="50273954" w14:textId="555A6D70" w:rsidR="00D84F5A" w:rsidRPr="00EA061F" w:rsidRDefault="00D84F5A" w:rsidP="00AD37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Listas de cuestiones y preguntas</w:t>
      </w:r>
    </w:p>
    <w:p w14:paraId="092548B8" w14:textId="766364F3" w:rsidR="00AD3764" w:rsidRPr="00EA061F" w:rsidRDefault="00AD3764" w:rsidP="00AD3764">
      <w:pPr>
        <w:pStyle w:val="SingleTxt"/>
        <w:spacing w:after="0" w:line="120" w:lineRule="exact"/>
        <w:rPr>
          <w:sz w:val="10"/>
        </w:rPr>
      </w:pPr>
    </w:p>
    <w:p w14:paraId="0BCF304C" w14:textId="6FE61935" w:rsidR="00D84F5A" w:rsidRPr="00EA061F" w:rsidRDefault="00D84F5A" w:rsidP="00D84F5A">
      <w:pPr>
        <w:pStyle w:val="SingleTxt"/>
      </w:pPr>
      <w:r w:rsidRPr="00EA061F">
        <w:t>República Centroafricana (</w:t>
      </w:r>
      <w:hyperlink r:id="rId27" w:history="1">
        <w:r w:rsidRPr="00EA061F">
          <w:rPr>
            <w:rStyle w:val="Hyperlink"/>
          </w:rPr>
          <w:t>CEDAW/C/CAF/Q/6</w:t>
        </w:r>
      </w:hyperlink>
      <w:r w:rsidRPr="00EA061F">
        <w:t>)</w:t>
      </w:r>
    </w:p>
    <w:p w14:paraId="267C92DA" w14:textId="7067EAA1" w:rsidR="00D84F5A" w:rsidRPr="00EA061F" w:rsidRDefault="00D84F5A" w:rsidP="00D84F5A">
      <w:pPr>
        <w:pStyle w:val="SingleTxt"/>
      </w:pPr>
      <w:proofErr w:type="spellStart"/>
      <w:r w:rsidRPr="00EA061F">
        <w:t>Djibouti</w:t>
      </w:r>
      <w:proofErr w:type="spellEnd"/>
      <w:r w:rsidRPr="00EA061F">
        <w:t xml:space="preserve"> (</w:t>
      </w:r>
      <w:hyperlink r:id="rId28" w:history="1">
        <w:r w:rsidRPr="00EA061F">
          <w:rPr>
            <w:rStyle w:val="Hyperlink"/>
          </w:rPr>
          <w:t>CEDAW/C/DJI/Q/4-5</w:t>
        </w:r>
      </w:hyperlink>
      <w:r w:rsidRPr="00EA061F">
        <w:t>)</w:t>
      </w:r>
    </w:p>
    <w:p w14:paraId="141A745D" w14:textId="09E7D030" w:rsidR="00D84F5A" w:rsidRPr="00EA061F" w:rsidRDefault="00D84F5A" w:rsidP="00D84F5A">
      <w:pPr>
        <w:pStyle w:val="SingleTxt"/>
      </w:pPr>
      <w:r w:rsidRPr="00EA061F">
        <w:t>Grecia (</w:t>
      </w:r>
      <w:hyperlink r:id="rId29" w:history="1">
        <w:r w:rsidRPr="00EA061F">
          <w:rPr>
            <w:rStyle w:val="Hyperlink"/>
          </w:rPr>
          <w:t>CEDAW/C/GRC/QPR/8</w:t>
        </w:r>
      </w:hyperlink>
      <w:r w:rsidRPr="00EA061F">
        <w:t>)</w:t>
      </w:r>
    </w:p>
    <w:p w14:paraId="55EECBFB" w14:textId="7F55B7E0" w:rsidR="00D84F5A" w:rsidRPr="00EA061F" w:rsidRDefault="00D84F5A" w:rsidP="00D84F5A">
      <w:pPr>
        <w:pStyle w:val="SingleTxt"/>
      </w:pPr>
      <w:r w:rsidRPr="00EA061F">
        <w:t>Italia (</w:t>
      </w:r>
      <w:hyperlink r:id="rId30" w:history="1">
        <w:r w:rsidRPr="00EA061F">
          <w:rPr>
            <w:rStyle w:val="Hyperlink"/>
          </w:rPr>
          <w:t>CEDAW/C/ITA/QPR/8</w:t>
        </w:r>
      </w:hyperlink>
      <w:r w:rsidRPr="00EA061F">
        <w:t>)</w:t>
      </w:r>
    </w:p>
    <w:p w14:paraId="45143EDD" w14:textId="3190A934" w:rsidR="00D84F5A" w:rsidRPr="00EA061F" w:rsidRDefault="00D84F5A" w:rsidP="00D84F5A">
      <w:pPr>
        <w:pStyle w:val="SingleTxt"/>
      </w:pPr>
      <w:r w:rsidRPr="00EA061F">
        <w:t>Níger (</w:t>
      </w:r>
      <w:hyperlink r:id="rId31" w:history="1">
        <w:r w:rsidRPr="00EA061F">
          <w:rPr>
            <w:rStyle w:val="Hyperlink"/>
          </w:rPr>
          <w:t>CEDAW/C/NER/QPR/5</w:t>
        </w:r>
      </w:hyperlink>
      <w:r w:rsidRPr="00EA061F">
        <w:t>)</w:t>
      </w:r>
    </w:p>
    <w:p w14:paraId="34BC8698" w14:textId="4F714715" w:rsidR="00D84F5A" w:rsidRPr="00EA061F" w:rsidRDefault="00D84F5A" w:rsidP="00D84F5A">
      <w:pPr>
        <w:pStyle w:val="SingleTxt"/>
      </w:pPr>
      <w:r w:rsidRPr="00EA061F">
        <w:t>Omán (</w:t>
      </w:r>
      <w:hyperlink r:id="rId32" w:history="1">
        <w:r w:rsidRPr="00EA061F">
          <w:rPr>
            <w:rStyle w:val="Hyperlink"/>
          </w:rPr>
          <w:t>CEDAW/C/OMN/Q/4</w:t>
        </w:r>
      </w:hyperlink>
      <w:r w:rsidRPr="00EA061F">
        <w:t>)</w:t>
      </w:r>
    </w:p>
    <w:p w14:paraId="3F8434AF" w14:textId="485B23D4" w:rsidR="00D84F5A" w:rsidRPr="00EA061F" w:rsidRDefault="00D84F5A" w:rsidP="00D84F5A">
      <w:pPr>
        <w:pStyle w:val="SingleTxt"/>
      </w:pPr>
      <w:r w:rsidRPr="00EA061F">
        <w:t>Tayikistán (</w:t>
      </w:r>
      <w:hyperlink r:id="rId33" w:history="1">
        <w:r w:rsidRPr="00EA061F">
          <w:rPr>
            <w:rStyle w:val="Hyperlink"/>
          </w:rPr>
          <w:t>CEDAW/C/TJK/Q/7</w:t>
        </w:r>
      </w:hyperlink>
      <w:r w:rsidRPr="00EA061F">
        <w:t>)</w:t>
      </w:r>
    </w:p>
    <w:p w14:paraId="4DE5F1A5" w14:textId="4FA11FB4" w:rsidR="00D84F5A" w:rsidRPr="00EA061F" w:rsidRDefault="00D84F5A" w:rsidP="00D84F5A">
      <w:pPr>
        <w:pStyle w:val="SingleTxt"/>
      </w:pPr>
      <w:r w:rsidRPr="00EA061F">
        <w:t>Turkmenistán (</w:t>
      </w:r>
      <w:hyperlink r:id="rId34" w:history="1">
        <w:r w:rsidRPr="00EA061F">
          <w:rPr>
            <w:rStyle w:val="Hyperlink"/>
          </w:rPr>
          <w:t>CEDAW/C/TKM/Q/6</w:t>
        </w:r>
      </w:hyperlink>
      <w:r w:rsidRPr="00EA061F">
        <w:t>)</w:t>
      </w:r>
    </w:p>
    <w:p w14:paraId="09741924" w14:textId="43250100" w:rsidR="00D84F5A" w:rsidRPr="00EA061F" w:rsidRDefault="00D84F5A" w:rsidP="00AD3764">
      <w:pPr>
        <w:pStyle w:val="SingleTxt"/>
        <w:spacing w:after="0" w:line="120" w:lineRule="exact"/>
        <w:rPr>
          <w:sz w:val="10"/>
        </w:rPr>
      </w:pPr>
    </w:p>
    <w:p w14:paraId="45F53785" w14:textId="77777777" w:rsidR="00D84F5A" w:rsidRPr="00EA061F" w:rsidRDefault="00D84F5A" w:rsidP="00AD37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Respuestas a las listas de cuestiones y preguntas</w:t>
      </w:r>
    </w:p>
    <w:p w14:paraId="6B5FC10E" w14:textId="6BDA12B2" w:rsidR="00D84F5A" w:rsidRPr="00EA061F" w:rsidRDefault="00D84F5A" w:rsidP="00AD3764">
      <w:pPr>
        <w:pStyle w:val="SingleTxt"/>
        <w:spacing w:after="0" w:line="120" w:lineRule="exact"/>
        <w:rPr>
          <w:sz w:val="10"/>
        </w:rPr>
      </w:pPr>
    </w:p>
    <w:p w14:paraId="537E2AD3" w14:textId="7D96D7D7" w:rsidR="00D84F5A" w:rsidRPr="00EA061F" w:rsidRDefault="00D84F5A" w:rsidP="00D84F5A">
      <w:pPr>
        <w:pStyle w:val="SingleTxt"/>
      </w:pPr>
      <w:r w:rsidRPr="00EA061F">
        <w:t>República Centroafricana (</w:t>
      </w:r>
      <w:hyperlink r:id="rId35" w:history="1">
        <w:r w:rsidRPr="00EA061F">
          <w:rPr>
            <w:rStyle w:val="Hyperlink"/>
          </w:rPr>
          <w:t>CEDAW/C/CAF/</w:t>
        </w:r>
        <w:r w:rsidR="002C15F2" w:rsidRPr="00EA061F">
          <w:rPr>
            <w:rStyle w:val="Hyperlink"/>
          </w:rPr>
          <w:t>R</w:t>
        </w:r>
        <w:r w:rsidRPr="00EA061F">
          <w:rPr>
            <w:rStyle w:val="Hyperlink"/>
          </w:rPr>
          <w:t>Q/6</w:t>
        </w:r>
      </w:hyperlink>
      <w:r w:rsidRPr="00EA061F">
        <w:t>)</w:t>
      </w:r>
      <w:r w:rsidR="00E51B63" w:rsidRPr="00EA061F">
        <w:t>*</w:t>
      </w:r>
    </w:p>
    <w:p w14:paraId="7DD2CFC4" w14:textId="22E7C62B" w:rsidR="00AD3764" w:rsidRPr="00EA061F" w:rsidRDefault="00AD3764" w:rsidP="003E48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00" w:line="240" w:lineRule="auto"/>
        <w:ind w:left="1267" w:right="1260" w:hanging="576"/>
        <w:rPr>
          <w:spacing w:val="5"/>
          <w:w w:val="104"/>
          <w:kern w:val="14"/>
          <w:sz w:val="17"/>
          <w:szCs w:val="20"/>
        </w:rPr>
      </w:pPr>
      <w:r w:rsidRPr="003E488E">
        <w:rPr>
          <w:noProof/>
          <w:w w:val="100"/>
        </w:rPr>
        <mc:AlternateContent>
          <mc:Choice Requires="wps">
            <w:drawing>
              <wp:anchor distT="0" distB="0" distL="114300" distR="114300" simplePos="0" relativeHeight="251662336" behindDoc="0" locked="0" layoutInCell="1" allowOverlap="1" wp14:anchorId="57E5636E" wp14:editId="0ACB38D4">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956631"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A061F">
        <w:rPr>
          <w:spacing w:val="5"/>
          <w:w w:val="104"/>
          <w:kern w:val="14"/>
          <w:sz w:val="17"/>
          <w:szCs w:val="20"/>
        </w:rPr>
        <w:tab/>
        <w:t>*</w:t>
      </w:r>
      <w:r w:rsidRPr="00EA061F">
        <w:rPr>
          <w:spacing w:val="5"/>
          <w:w w:val="104"/>
          <w:kern w:val="14"/>
          <w:sz w:val="17"/>
          <w:szCs w:val="20"/>
        </w:rPr>
        <w:tab/>
        <w:t>Respuestas no recibidas al 8 de noviembre de 2023.</w:t>
      </w:r>
    </w:p>
    <w:p w14:paraId="2A3DBA7E" w14:textId="13CBBAC2" w:rsidR="00D84F5A" w:rsidRPr="00EA061F" w:rsidRDefault="00D84F5A" w:rsidP="00D84F5A">
      <w:pPr>
        <w:pStyle w:val="SingleTxt"/>
      </w:pPr>
      <w:proofErr w:type="spellStart"/>
      <w:r w:rsidRPr="00EA061F">
        <w:t>Djibouti</w:t>
      </w:r>
      <w:proofErr w:type="spellEnd"/>
      <w:r w:rsidRPr="00EA061F">
        <w:t xml:space="preserve"> (</w:t>
      </w:r>
      <w:hyperlink r:id="rId36" w:history="1">
        <w:r w:rsidRPr="00EA061F">
          <w:rPr>
            <w:rStyle w:val="Hyperlink"/>
          </w:rPr>
          <w:t>CEDAW/C/DJI/</w:t>
        </w:r>
        <w:r w:rsidR="00676EB5" w:rsidRPr="00EA061F">
          <w:rPr>
            <w:rStyle w:val="Hyperlink"/>
          </w:rPr>
          <w:t>R</w:t>
        </w:r>
        <w:r w:rsidRPr="00EA061F">
          <w:rPr>
            <w:rStyle w:val="Hyperlink"/>
          </w:rPr>
          <w:t>Q/4-5</w:t>
        </w:r>
      </w:hyperlink>
      <w:r w:rsidRPr="00EA061F">
        <w:t>)</w:t>
      </w:r>
      <w:r w:rsidR="00AD3764" w:rsidRPr="00EA061F">
        <w:t>*</w:t>
      </w:r>
    </w:p>
    <w:p w14:paraId="51824190" w14:textId="65C91E79" w:rsidR="00D84F5A" w:rsidRPr="00EA061F" w:rsidRDefault="00D84F5A" w:rsidP="00D84F5A">
      <w:pPr>
        <w:pStyle w:val="SingleTxt"/>
      </w:pPr>
      <w:r w:rsidRPr="00EA061F">
        <w:t>Omán (</w:t>
      </w:r>
      <w:hyperlink r:id="rId37" w:history="1">
        <w:r w:rsidRPr="00EA061F">
          <w:rPr>
            <w:rStyle w:val="Hyperlink"/>
          </w:rPr>
          <w:t>CEDAW/C/OMN/</w:t>
        </w:r>
        <w:r w:rsidR="00676EB5" w:rsidRPr="00EA061F">
          <w:rPr>
            <w:rStyle w:val="Hyperlink"/>
          </w:rPr>
          <w:t>R</w:t>
        </w:r>
        <w:r w:rsidRPr="00EA061F">
          <w:rPr>
            <w:rStyle w:val="Hyperlink"/>
          </w:rPr>
          <w:t>Q/4</w:t>
        </w:r>
      </w:hyperlink>
      <w:r w:rsidRPr="00EA061F">
        <w:t>)</w:t>
      </w:r>
    </w:p>
    <w:p w14:paraId="0D1A23A8" w14:textId="5C3AC18A" w:rsidR="00D84F5A" w:rsidRPr="00EA061F" w:rsidRDefault="00D84F5A" w:rsidP="00D84F5A">
      <w:pPr>
        <w:pStyle w:val="SingleTxt"/>
      </w:pPr>
      <w:r w:rsidRPr="00EA061F">
        <w:t>Tayikistán (</w:t>
      </w:r>
      <w:hyperlink r:id="rId38" w:history="1">
        <w:r w:rsidRPr="00EA061F">
          <w:rPr>
            <w:rStyle w:val="Hyperlink"/>
          </w:rPr>
          <w:t>CEDAW/C/TJK/</w:t>
        </w:r>
        <w:r w:rsidR="00676EB5" w:rsidRPr="00EA061F">
          <w:rPr>
            <w:rStyle w:val="Hyperlink"/>
          </w:rPr>
          <w:t>R</w:t>
        </w:r>
        <w:r w:rsidRPr="00EA061F">
          <w:rPr>
            <w:rStyle w:val="Hyperlink"/>
          </w:rPr>
          <w:t>Q/7</w:t>
        </w:r>
      </w:hyperlink>
      <w:r w:rsidRPr="00EA061F">
        <w:t>)</w:t>
      </w:r>
    </w:p>
    <w:p w14:paraId="3ED6AA04" w14:textId="3CAF179C" w:rsidR="00D84F5A" w:rsidRPr="00EA061F" w:rsidRDefault="00D84F5A" w:rsidP="00D84F5A">
      <w:pPr>
        <w:pStyle w:val="SingleTxt"/>
      </w:pPr>
      <w:r w:rsidRPr="00EA061F">
        <w:t>Turkmenistán (</w:t>
      </w:r>
      <w:hyperlink r:id="rId39" w:history="1">
        <w:r w:rsidRPr="00EA061F">
          <w:rPr>
            <w:rStyle w:val="Hyperlink"/>
          </w:rPr>
          <w:t>CEDAW/C/TKM/</w:t>
        </w:r>
        <w:r w:rsidR="00676EB5" w:rsidRPr="00EA061F">
          <w:rPr>
            <w:rStyle w:val="Hyperlink"/>
          </w:rPr>
          <w:t>R</w:t>
        </w:r>
        <w:r w:rsidRPr="00EA061F">
          <w:rPr>
            <w:rStyle w:val="Hyperlink"/>
          </w:rPr>
          <w:t>Q/6</w:t>
        </w:r>
      </w:hyperlink>
      <w:r w:rsidRPr="00EA061F">
        <w:t>)</w:t>
      </w:r>
    </w:p>
    <w:p w14:paraId="5D832339" w14:textId="3DFAF318" w:rsidR="00D84F5A" w:rsidRPr="00EA061F" w:rsidRDefault="00D84F5A" w:rsidP="00AD3764">
      <w:pPr>
        <w:pStyle w:val="SingleTxt"/>
        <w:spacing w:after="0" w:line="120" w:lineRule="exact"/>
        <w:rPr>
          <w:sz w:val="10"/>
        </w:rPr>
      </w:pPr>
    </w:p>
    <w:p w14:paraId="0AEB19FA" w14:textId="045F4E21" w:rsidR="00D84F5A" w:rsidRPr="00EA061F" w:rsidRDefault="00D84F5A" w:rsidP="003E4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EA061F">
        <w:tab/>
        <w:t>5.</w:t>
      </w:r>
      <w:r w:rsidRPr="00EA061F">
        <w:tab/>
        <w:t xml:space="preserve">Seguimiento del examen de los informes presentados por los </w:t>
      </w:r>
      <w:proofErr w:type="gramStart"/>
      <w:r w:rsidRPr="00EA061F">
        <w:t>Estados partes</w:t>
      </w:r>
      <w:proofErr w:type="gramEnd"/>
      <w:r w:rsidRPr="00EA061F">
        <w:t xml:space="preserve"> en virtud del artículo 18 de la Convención</w:t>
      </w:r>
    </w:p>
    <w:p w14:paraId="5745043B" w14:textId="0DC026C6" w:rsidR="00AD3764" w:rsidRPr="00EA061F" w:rsidRDefault="00AD3764" w:rsidP="00AD3764">
      <w:pPr>
        <w:pStyle w:val="SingleTxt"/>
        <w:spacing w:after="0" w:line="120" w:lineRule="exact"/>
        <w:rPr>
          <w:sz w:val="10"/>
        </w:rPr>
      </w:pPr>
    </w:p>
    <w:p w14:paraId="3970DA18" w14:textId="77777777" w:rsidR="00D84F5A" w:rsidRPr="00EA061F" w:rsidRDefault="00D84F5A" w:rsidP="00D84F5A">
      <w:pPr>
        <w:pStyle w:val="SingleTxt"/>
      </w:pPr>
      <w:r w:rsidRPr="00EA061F">
        <w:t>El Comité examinará cuestiones relacionadas con el seguimiento de las observaciones finales.</w:t>
      </w:r>
    </w:p>
    <w:p w14:paraId="396B9114" w14:textId="47F0C4A6" w:rsidR="00D84F5A" w:rsidRPr="00EA061F" w:rsidRDefault="00D84F5A" w:rsidP="00AD3764">
      <w:pPr>
        <w:pStyle w:val="SingleTxt"/>
        <w:spacing w:after="0" w:line="120" w:lineRule="exact"/>
        <w:rPr>
          <w:sz w:val="10"/>
        </w:rPr>
      </w:pPr>
    </w:p>
    <w:p w14:paraId="6EA9753E" w14:textId="77777777" w:rsidR="00D84F5A" w:rsidRPr="00EA061F" w:rsidRDefault="00D84F5A" w:rsidP="00AD37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t>6.</w:t>
      </w:r>
      <w:r w:rsidRPr="00EA061F">
        <w:tab/>
        <w:t>Aplicación de los artículos 21 y 22 de la Convención</w:t>
      </w:r>
    </w:p>
    <w:p w14:paraId="7603C893" w14:textId="0CD27CE4" w:rsidR="00D84F5A" w:rsidRPr="00EA061F" w:rsidRDefault="00D84F5A" w:rsidP="00AD3764">
      <w:pPr>
        <w:pStyle w:val="SingleTxt"/>
        <w:spacing w:after="0" w:line="120" w:lineRule="exact"/>
        <w:rPr>
          <w:sz w:val="10"/>
        </w:rPr>
      </w:pPr>
    </w:p>
    <w:p w14:paraId="0A32B5C1" w14:textId="77777777" w:rsidR="00D84F5A" w:rsidRPr="00EA061F" w:rsidRDefault="00D84F5A" w:rsidP="00D84F5A">
      <w:pPr>
        <w:pStyle w:val="SingleTxt"/>
      </w:pPr>
      <w:r w:rsidRPr="00EA061F">
        <w:t xml:space="preserve">El artículo 21 de la Convención dispone que el Comité podrá hacer sugerencias y recomendaciones de carácter general basadas en el examen de los informes y de los datos transmitidos por los </w:t>
      </w:r>
      <w:proofErr w:type="gramStart"/>
      <w:r w:rsidRPr="00EA061F">
        <w:t>Estados partes</w:t>
      </w:r>
      <w:proofErr w:type="gramEnd"/>
      <w:r w:rsidRPr="00EA061F">
        <w:t xml:space="preserve">, y dispone también que esas sugerencias y </w:t>
      </w:r>
      <w:r w:rsidRPr="00EA061F">
        <w:lastRenderedPageBreak/>
        <w:t>recomendaciones de carácter general se incluirán en el informe del Comité a la Asamblea General junto con las observaciones, si las hubiere, de los Estados partes.</w:t>
      </w:r>
    </w:p>
    <w:p w14:paraId="56735473" w14:textId="77777777" w:rsidR="00D84F5A" w:rsidRPr="00EA061F" w:rsidRDefault="00D84F5A" w:rsidP="00D84F5A">
      <w:pPr>
        <w:pStyle w:val="SingleTxt"/>
        <w:rPr>
          <w:spacing w:val="6"/>
        </w:rPr>
      </w:pPr>
      <w:r w:rsidRPr="00EA061F">
        <w:t xml:space="preserve">El artículo 22 de la Convención dispone que los organismos especializados tendrán </w:t>
      </w:r>
      <w:r w:rsidRPr="00EA061F">
        <w:rPr>
          <w:spacing w:val="6"/>
        </w:rPr>
        <w:t>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217BA77B" w14:textId="6A24CC8B" w:rsidR="00D84F5A" w:rsidRPr="00EA061F" w:rsidRDefault="00D84F5A" w:rsidP="00AD3764">
      <w:pPr>
        <w:pStyle w:val="SingleTxt"/>
        <w:spacing w:after="0" w:line="120" w:lineRule="exact"/>
        <w:rPr>
          <w:sz w:val="10"/>
        </w:rPr>
      </w:pPr>
    </w:p>
    <w:p w14:paraId="1FD4DC26" w14:textId="77777777" w:rsidR="00D84F5A" w:rsidRPr="00EA061F" w:rsidRDefault="00D84F5A" w:rsidP="00AD37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Documentación</w:t>
      </w:r>
    </w:p>
    <w:p w14:paraId="440E55B4" w14:textId="76DF4323" w:rsidR="00D84F5A" w:rsidRPr="00EA061F" w:rsidRDefault="00D84F5A" w:rsidP="00AD3764">
      <w:pPr>
        <w:pStyle w:val="SingleTxt"/>
        <w:spacing w:after="0" w:line="120" w:lineRule="exact"/>
        <w:rPr>
          <w:sz w:val="10"/>
        </w:rPr>
      </w:pPr>
    </w:p>
    <w:p w14:paraId="74FAA132" w14:textId="5C7B79CA" w:rsidR="00D84F5A" w:rsidRPr="00EA061F" w:rsidRDefault="00D84F5A" w:rsidP="00D84F5A">
      <w:pPr>
        <w:pStyle w:val="SingleTxt"/>
      </w:pPr>
      <w:r w:rsidRPr="00EA061F">
        <w:t>Informes presentados por los organismos especializados del sistema de las Naciones</w:t>
      </w:r>
      <w:r w:rsidR="00A0312F" w:rsidRPr="00EA061F">
        <w:t> </w:t>
      </w:r>
      <w:r w:rsidRPr="00EA061F">
        <w:t>Unidas sobre la aplicación de la Convención en la esfera de sus actividades.</w:t>
      </w:r>
    </w:p>
    <w:p w14:paraId="4E06EDF4" w14:textId="4D70C290" w:rsidR="00D84F5A" w:rsidRPr="00EA061F" w:rsidRDefault="00D84F5A" w:rsidP="00AD3764">
      <w:pPr>
        <w:pStyle w:val="SingleTxt"/>
        <w:spacing w:after="0" w:line="120" w:lineRule="exact"/>
        <w:rPr>
          <w:sz w:val="10"/>
        </w:rPr>
      </w:pPr>
    </w:p>
    <w:p w14:paraId="7AE38DF7" w14:textId="77777777" w:rsidR="00D84F5A" w:rsidRPr="00EA061F" w:rsidRDefault="00D84F5A" w:rsidP="00AD37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t>7.</w:t>
      </w:r>
      <w:r w:rsidRPr="00EA061F">
        <w:tab/>
        <w:t>Medios de agilizar los trabajos del Comité</w:t>
      </w:r>
    </w:p>
    <w:p w14:paraId="06CA4541" w14:textId="26A93A54" w:rsidR="00D84F5A" w:rsidRPr="00EA061F" w:rsidRDefault="00D84F5A" w:rsidP="00AD3764">
      <w:pPr>
        <w:pStyle w:val="SingleTxt"/>
        <w:spacing w:after="0" w:line="120" w:lineRule="exact"/>
        <w:rPr>
          <w:sz w:val="10"/>
        </w:rPr>
      </w:pPr>
    </w:p>
    <w:p w14:paraId="18CF804B" w14:textId="77777777" w:rsidR="00D84F5A" w:rsidRPr="00EA061F" w:rsidRDefault="00D84F5A" w:rsidP="00D84F5A">
      <w:pPr>
        <w:pStyle w:val="SingleTxt"/>
      </w:pPr>
      <w:r w:rsidRPr="00EA061F">
        <w:t>El Comité examinará cuestiones relacionadas con sus métodos de trabajo.</w:t>
      </w:r>
    </w:p>
    <w:p w14:paraId="6B798121" w14:textId="49B73998" w:rsidR="00D84F5A" w:rsidRPr="00EA061F" w:rsidRDefault="00D84F5A" w:rsidP="00AD3764">
      <w:pPr>
        <w:pStyle w:val="SingleTxt"/>
        <w:spacing w:after="0" w:line="120" w:lineRule="exact"/>
        <w:rPr>
          <w:sz w:val="10"/>
        </w:rPr>
      </w:pPr>
    </w:p>
    <w:p w14:paraId="2F5BBE8F" w14:textId="77777777" w:rsidR="00D84F5A" w:rsidRPr="00EA061F" w:rsidRDefault="00D84F5A" w:rsidP="003E4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EA061F">
        <w:tab/>
        <w:t>8.</w:t>
      </w:r>
      <w:r w:rsidRPr="00EA061F">
        <w:tab/>
        <w:t>Actividades del Comité en relación con el Protocolo Facultativo de la Convención</w:t>
      </w:r>
    </w:p>
    <w:p w14:paraId="6DAA3941" w14:textId="22144CED" w:rsidR="00D84F5A" w:rsidRPr="00EA061F" w:rsidRDefault="00D84F5A" w:rsidP="00AD3764">
      <w:pPr>
        <w:pStyle w:val="SingleTxt"/>
        <w:spacing w:after="0" w:line="120" w:lineRule="exact"/>
        <w:rPr>
          <w:sz w:val="10"/>
        </w:rPr>
      </w:pPr>
    </w:p>
    <w:p w14:paraId="3663737E" w14:textId="77777777" w:rsidR="00D84F5A" w:rsidRPr="00EA061F" w:rsidRDefault="00D84F5A" w:rsidP="00D84F5A">
      <w:pPr>
        <w:pStyle w:val="SingleTxt"/>
      </w:pPr>
      <w:r w:rsidRPr="00EA061F">
        <w:t>El 58º período de sesiones del Grupo de Trabajo sobre las Comunicaciones presentadas en virtud del Protocolo Facultativo se celebrará del 23 al 26 de enero de 2024 en Ginebra.</w:t>
      </w:r>
    </w:p>
    <w:p w14:paraId="20526C70" w14:textId="77777777" w:rsidR="00D84F5A" w:rsidRPr="00EA061F" w:rsidRDefault="00D84F5A" w:rsidP="00D84F5A">
      <w:pPr>
        <w:pStyle w:val="SingleTxt"/>
      </w:pPr>
      <w:r w:rsidRPr="00EA061F">
        <w:t>El 27º período de sesiones del Grupo de Trabajo sobre Investigaciones con arreglo al Protocolo Facultativo se celebrará los días 25 y 26 de enero de 2024 en Ginebra.</w:t>
      </w:r>
    </w:p>
    <w:p w14:paraId="1516B8FE" w14:textId="77777777" w:rsidR="00D84F5A" w:rsidRPr="00EA061F" w:rsidRDefault="00D84F5A" w:rsidP="00D84F5A">
      <w:pPr>
        <w:pStyle w:val="SingleTxt"/>
      </w:pPr>
      <w:r w:rsidRPr="00EA061F">
        <w:t>En su 87º período de sesiones, el Comité continuará cumpliendo su mandato en virtud de los artículos 2 y 8 del Protocolo Facultativo de la Convención.</w:t>
      </w:r>
      <w:bookmarkStart w:id="1" w:name="BeginPage"/>
      <w:bookmarkEnd w:id="1"/>
    </w:p>
    <w:p w14:paraId="3A6FCEFF" w14:textId="77777777" w:rsidR="00AD3764" w:rsidRPr="00EA061F" w:rsidRDefault="00AD3764" w:rsidP="00AD3764">
      <w:pPr>
        <w:pStyle w:val="SingleTxt"/>
        <w:spacing w:after="0" w:line="120" w:lineRule="exact"/>
        <w:rPr>
          <w:sz w:val="10"/>
        </w:rPr>
      </w:pPr>
    </w:p>
    <w:p w14:paraId="20FEB4A6" w14:textId="77777777" w:rsidR="00D84F5A" w:rsidRPr="00EA061F" w:rsidRDefault="00D84F5A" w:rsidP="00AD37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t>9.</w:t>
      </w:r>
      <w:r w:rsidRPr="00EA061F">
        <w:tab/>
        <w:t>Programa provisional del 88º período de sesiones del Comité</w:t>
      </w:r>
    </w:p>
    <w:p w14:paraId="666516A6" w14:textId="5F59193D" w:rsidR="00D84F5A" w:rsidRPr="00EA061F" w:rsidRDefault="00D84F5A" w:rsidP="00AD3764">
      <w:pPr>
        <w:pStyle w:val="SingleTxt"/>
        <w:spacing w:after="0" w:line="120" w:lineRule="exact"/>
        <w:rPr>
          <w:sz w:val="10"/>
        </w:rPr>
      </w:pPr>
    </w:p>
    <w:p w14:paraId="4F22D00C" w14:textId="77777777" w:rsidR="00D84F5A" w:rsidRPr="00EA061F" w:rsidRDefault="00D84F5A" w:rsidP="00AD37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r>
      <w:r w:rsidRPr="00EA061F">
        <w:tab/>
        <w:t>Documentación</w:t>
      </w:r>
    </w:p>
    <w:p w14:paraId="05942BDD" w14:textId="365B480F" w:rsidR="00D84F5A" w:rsidRPr="00EA061F" w:rsidRDefault="00D84F5A" w:rsidP="00AD3764">
      <w:pPr>
        <w:pStyle w:val="SingleTxt"/>
        <w:spacing w:after="0" w:line="120" w:lineRule="exact"/>
        <w:rPr>
          <w:sz w:val="10"/>
        </w:rPr>
      </w:pPr>
    </w:p>
    <w:p w14:paraId="2063660C" w14:textId="6842EC50" w:rsidR="00D84F5A" w:rsidRPr="00EA061F" w:rsidRDefault="00D84F5A" w:rsidP="00D84F5A">
      <w:pPr>
        <w:pStyle w:val="SingleTxt"/>
      </w:pPr>
      <w:r w:rsidRPr="00EA061F">
        <w:t>Programa provisional anotado del 88º período de sesiones (</w:t>
      </w:r>
      <w:hyperlink r:id="rId40" w:history="1">
        <w:r w:rsidRPr="00EA061F">
          <w:rPr>
            <w:rStyle w:val="Hyperlink"/>
          </w:rPr>
          <w:t>CEDAW/C/88/1</w:t>
        </w:r>
      </w:hyperlink>
      <w:r w:rsidRPr="00EA061F">
        <w:t>)</w:t>
      </w:r>
    </w:p>
    <w:p w14:paraId="204EAD02" w14:textId="74B0A17C" w:rsidR="00D84F5A" w:rsidRPr="00EA061F" w:rsidRDefault="00D84F5A" w:rsidP="00AD3764">
      <w:pPr>
        <w:pStyle w:val="SingleTxt"/>
        <w:spacing w:after="0" w:line="120" w:lineRule="exact"/>
        <w:rPr>
          <w:sz w:val="10"/>
        </w:rPr>
      </w:pPr>
    </w:p>
    <w:p w14:paraId="1C7F9C34" w14:textId="361EE159" w:rsidR="00F91A55" w:rsidRPr="00EA061F" w:rsidRDefault="00D84F5A" w:rsidP="00AD37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061F">
        <w:tab/>
        <w:t>10.</w:t>
      </w:r>
      <w:r w:rsidRPr="00EA061F">
        <w:tab/>
        <w:t>Aprobación del informe del Comité sobre su 87º período de sesiones</w:t>
      </w:r>
    </w:p>
    <w:p w14:paraId="789AEF68" w14:textId="77777777" w:rsidR="00AD3764" w:rsidRPr="00EA061F" w:rsidRDefault="00AD3764" w:rsidP="00AD3764">
      <w:pPr>
        <w:pStyle w:val="SingleTxt"/>
        <w:spacing w:after="0" w:line="120" w:lineRule="exact"/>
        <w:rPr>
          <w:sz w:val="10"/>
        </w:rPr>
      </w:pPr>
    </w:p>
    <w:p w14:paraId="59B7F09E" w14:textId="7170347F" w:rsidR="00D84F5A" w:rsidRPr="00EA061F" w:rsidRDefault="00D84F5A" w:rsidP="00AD3764">
      <w:pPr>
        <w:pStyle w:val="SingleTxt"/>
      </w:pPr>
      <w:r w:rsidRPr="003E488E">
        <w:rPr>
          <w:noProof/>
          <w:w w:val="100"/>
        </w:rPr>
        <mc:AlternateContent>
          <mc:Choice Requires="wps">
            <w:drawing>
              <wp:anchor distT="0" distB="0" distL="114300" distR="114300" simplePos="0" relativeHeight="251660288" behindDoc="0" locked="0" layoutInCell="1" allowOverlap="1" wp14:anchorId="297AA339" wp14:editId="616BED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C18C0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84F5A" w:rsidRPr="00EA061F" w:rsidSect="00D84F5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1T12:03:00Z" w:initials="Start">
    <w:p w14:paraId="5E9772DC" w14:textId="77777777" w:rsidR="00F91A55" w:rsidRDefault="00F91A55">
      <w:pPr>
        <w:pStyle w:val="CommentText"/>
      </w:pPr>
      <w:r>
        <w:rPr>
          <w:rStyle w:val="CommentReference"/>
        </w:rPr>
        <w:annotationRef/>
      </w:r>
      <w:r>
        <w:t>&lt;&lt;ODS JOB NO&gt;&gt;N2335968S&lt;&lt;ODS JOB NO&gt;&gt;</w:t>
      </w:r>
    </w:p>
    <w:p w14:paraId="6E31881B" w14:textId="77777777" w:rsidR="00F91A55" w:rsidRDefault="00F91A55">
      <w:pPr>
        <w:pStyle w:val="CommentText"/>
      </w:pPr>
      <w:r>
        <w:t>&lt;&lt;ODS DOC SYMBOL1&gt;&gt;CEDAW/C/87/1&lt;&lt;ODS DOC SYMBOL1&gt;&gt;</w:t>
      </w:r>
    </w:p>
    <w:p w14:paraId="3353FFF2" w14:textId="7D3F7236" w:rsidR="00F91A55" w:rsidRDefault="00F91A5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53FF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44A2F" w16cex:dateUtc="2023-12-01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53FFF2" w16cid:durableId="29144A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F5873" w14:textId="77777777" w:rsidR="00A82AE8" w:rsidRDefault="00A82AE8" w:rsidP="00331D20">
      <w:r>
        <w:separator/>
      </w:r>
    </w:p>
  </w:endnote>
  <w:endnote w:type="continuationSeparator" w:id="0">
    <w:p w14:paraId="56A1A4D1" w14:textId="77777777" w:rsidR="00A82AE8" w:rsidRDefault="00A82AE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91A55" w14:paraId="12FDD259" w14:textId="77777777" w:rsidTr="00F91A55">
      <w:tc>
        <w:tcPr>
          <w:tcW w:w="4920" w:type="dxa"/>
          <w:shd w:val="clear" w:color="auto" w:fill="auto"/>
          <w:vAlign w:val="bottom"/>
        </w:tcPr>
        <w:p w14:paraId="6A587AC3" w14:textId="77777777" w:rsidR="00F91A55" w:rsidRPr="00F91A55" w:rsidRDefault="00F91A55" w:rsidP="00F91A5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F6A7B02" w14:textId="2FE077FB" w:rsidR="00F91A55" w:rsidRPr="00F91A55" w:rsidRDefault="00F91A55" w:rsidP="00F91A5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E4330">
            <w:rPr>
              <w:b w:val="0"/>
              <w:color w:val="000000"/>
              <w:sz w:val="14"/>
            </w:rPr>
            <w:t>23-22497</w:t>
          </w:r>
          <w:r>
            <w:rPr>
              <w:b w:val="0"/>
              <w:color w:val="000000"/>
              <w:sz w:val="14"/>
            </w:rPr>
            <w:fldChar w:fldCharType="end"/>
          </w:r>
        </w:p>
      </w:tc>
    </w:tr>
  </w:tbl>
  <w:p w14:paraId="2E7B52E9" w14:textId="77777777" w:rsidR="00F91A55" w:rsidRPr="00F91A55" w:rsidRDefault="00F91A55" w:rsidP="00F91A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91A55" w14:paraId="2B91EB44" w14:textId="77777777" w:rsidTr="00F91A55">
      <w:tc>
        <w:tcPr>
          <w:tcW w:w="4920" w:type="dxa"/>
          <w:shd w:val="clear" w:color="auto" w:fill="auto"/>
          <w:vAlign w:val="bottom"/>
        </w:tcPr>
        <w:p w14:paraId="48AD36B7" w14:textId="1036F819" w:rsidR="00F91A55" w:rsidRPr="00F91A55" w:rsidRDefault="00F91A55" w:rsidP="00F91A5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E4330">
            <w:rPr>
              <w:b w:val="0"/>
              <w:color w:val="000000"/>
              <w:sz w:val="14"/>
            </w:rPr>
            <w:t>23-22497</w:t>
          </w:r>
          <w:r>
            <w:rPr>
              <w:b w:val="0"/>
              <w:color w:val="000000"/>
              <w:sz w:val="14"/>
            </w:rPr>
            <w:fldChar w:fldCharType="end"/>
          </w:r>
        </w:p>
      </w:tc>
      <w:tc>
        <w:tcPr>
          <w:tcW w:w="4920" w:type="dxa"/>
          <w:shd w:val="clear" w:color="auto" w:fill="auto"/>
          <w:vAlign w:val="bottom"/>
        </w:tcPr>
        <w:p w14:paraId="3818D436" w14:textId="77777777" w:rsidR="00F91A55" w:rsidRPr="00F91A55" w:rsidRDefault="00F91A55" w:rsidP="00F91A5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7FB6CC4" w14:textId="77777777" w:rsidR="00F91A55" w:rsidRPr="00F91A55" w:rsidRDefault="00F91A55" w:rsidP="00F91A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1EDD" w14:textId="77777777" w:rsidR="00F91A55" w:rsidRPr="00F91A55" w:rsidRDefault="00F91A55" w:rsidP="00F91A55">
    <w:pPr>
      <w:pStyle w:val="Footer"/>
      <w:spacing w:line="120" w:lineRule="exact"/>
      <w:rPr>
        <w:b w:val="0"/>
        <w:sz w:val="10"/>
      </w:rPr>
    </w:pPr>
    <w:r>
      <w:rPr>
        <w:b w:val="0"/>
        <w:sz w:val="10"/>
      </w:rPr>
      <w:drawing>
        <wp:anchor distT="0" distB="0" distL="114300" distR="114300" simplePos="0" relativeHeight="251658240" behindDoc="0" locked="0" layoutInCell="1" allowOverlap="1" wp14:anchorId="3FAB73FF" wp14:editId="2F8DC2F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91A55" w14:paraId="2683E42E" w14:textId="77777777" w:rsidTr="00F91A55">
      <w:tc>
        <w:tcPr>
          <w:tcW w:w="3830" w:type="dxa"/>
          <w:shd w:val="clear" w:color="auto" w:fill="auto"/>
        </w:tcPr>
        <w:p w14:paraId="7481AF97" w14:textId="3F990A18" w:rsidR="00F91A55" w:rsidRDefault="00F91A55" w:rsidP="00F91A55">
          <w:pPr>
            <w:pStyle w:val="ReleaseDate"/>
          </w:pPr>
          <w:r>
            <w:t>23-22497 (</w:t>
          </w:r>
          <w:proofErr w:type="gramStart"/>
          <w:r>
            <w:t xml:space="preserve">S)   </w:t>
          </w:r>
          <w:proofErr w:type="gramEnd"/>
          <w:r>
            <w:t xml:space="preserve"> </w:t>
          </w:r>
          <w:r w:rsidR="00D84F5A">
            <w:t>241</w:t>
          </w:r>
          <w:r>
            <w:t>123    11</w:t>
          </w:r>
          <w:r w:rsidR="00D84F5A">
            <w:t>1</w:t>
          </w:r>
          <w:r>
            <w:t>223</w:t>
          </w:r>
        </w:p>
        <w:p w14:paraId="2E3A339C" w14:textId="77777777" w:rsidR="00F91A55" w:rsidRPr="00F91A55" w:rsidRDefault="00F91A55" w:rsidP="00F91A5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*2322497*</w:t>
          </w:r>
        </w:p>
      </w:tc>
      <w:tc>
        <w:tcPr>
          <w:tcW w:w="4920" w:type="dxa"/>
          <w:shd w:val="clear" w:color="auto" w:fill="auto"/>
        </w:tcPr>
        <w:p w14:paraId="09DAB5FA" w14:textId="77777777" w:rsidR="00F91A55" w:rsidRDefault="00F91A55" w:rsidP="00F91A55">
          <w:pPr>
            <w:pStyle w:val="Footer"/>
            <w:ind w:right="86"/>
            <w:jc w:val="right"/>
            <w:rPr>
              <w:b w:val="0"/>
              <w:sz w:val="20"/>
            </w:rPr>
          </w:pPr>
          <w:r>
            <w:rPr>
              <w:b w:val="0"/>
              <w:sz w:val="20"/>
            </w:rPr>
            <w:drawing>
              <wp:inline distT="0" distB="0" distL="0" distR="0" wp14:anchorId="6C7C986D" wp14:editId="02F077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CD58092" w14:textId="77777777" w:rsidR="00F91A55" w:rsidRPr="00F91A55" w:rsidRDefault="00F91A55" w:rsidP="00F91A5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112B8" w14:textId="77777777" w:rsidR="00A82AE8" w:rsidRDefault="00A82AE8" w:rsidP="00331D20">
      <w:r>
        <w:separator/>
      </w:r>
    </w:p>
  </w:footnote>
  <w:footnote w:type="continuationSeparator" w:id="0">
    <w:p w14:paraId="4E6D3144" w14:textId="77777777" w:rsidR="00A82AE8" w:rsidRDefault="00A82AE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91A55" w14:paraId="23B97E51" w14:textId="77777777" w:rsidTr="00F91A55">
      <w:trPr>
        <w:trHeight w:hRule="exact" w:val="864"/>
      </w:trPr>
      <w:tc>
        <w:tcPr>
          <w:tcW w:w="4920" w:type="dxa"/>
          <w:shd w:val="clear" w:color="auto" w:fill="auto"/>
          <w:vAlign w:val="bottom"/>
        </w:tcPr>
        <w:p w14:paraId="6B8D355B" w14:textId="2CC1C2AF" w:rsidR="00F91A55" w:rsidRPr="00F91A55" w:rsidRDefault="00F91A55" w:rsidP="00F91A55">
          <w:pPr>
            <w:pStyle w:val="Header"/>
            <w:spacing w:after="80"/>
            <w:rPr>
              <w:b/>
            </w:rPr>
          </w:pPr>
          <w:r>
            <w:rPr>
              <w:b/>
            </w:rPr>
            <w:fldChar w:fldCharType="begin"/>
          </w:r>
          <w:r>
            <w:rPr>
              <w:b/>
            </w:rPr>
            <w:instrText xml:space="preserve"> DOCVARIABLE "Symbol1" \* MERGEFORMAT </w:instrText>
          </w:r>
          <w:r>
            <w:rPr>
              <w:b/>
            </w:rPr>
            <w:fldChar w:fldCharType="separate"/>
          </w:r>
          <w:r w:rsidR="00DE4330">
            <w:rPr>
              <w:b/>
            </w:rPr>
            <w:t>CEDAW/C/87/1</w:t>
          </w:r>
          <w:r>
            <w:rPr>
              <w:b/>
            </w:rPr>
            <w:fldChar w:fldCharType="end"/>
          </w:r>
        </w:p>
      </w:tc>
      <w:tc>
        <w:tcPr>
          <w:tcW w:w="4920" w:type="dxa"/>
          <w:shd w:val="clear" w:color="auto" w:fill="auto"/>
          <w:vAlign w:val="bottom"/>
        </w:tcPr>
        <w:p w14:paraId="2344DC05" w14:textId="77777777" w:rsidR="00F91A55" w:rsidRDefault="00F91A55" w:rsidP="00F91A55">
          <w:pPr>
            <w:pStyle w:val="Header"/>
          </w:pPr>
        </w:p>
      </w:tc>
    </w:tr>
  </w:tbl>
  <w:p w14:paraId="1E2F9C61" w14:textId="77777777" w:rsidR="00F91A55" w:rsidRPr="00F91A55" w:rsidRDefault="00F91A55" w:rsidP="00F91A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91A55" w14:paraId="774E74B4" w14:textId="77777777" w:rsidTr="00F91A55">
      <w:trPr>
        <w:trHeight w:hRule="exact" w:val="864"/>
      </w:trPr>
      <w:tc>
        <w:tcPr>
          <w:tcW w:w="4920" w:type="dxa"/>
          <w:shd w:val="clear" w:color="auto" w:fill="auto"/>
          <w:vAlign w:val="bottom"/>
        </w:tcPr>
        <w:p w14:paraId="3F796403" w14:textId="77777777" w:rsidR="00F91A55" w:rsidRDefault="00F91A55" w:rsidP="00F91A55">
          <w:pPr>
            <w:pStyle w:val="Header"/>
          </w:pPr>
        </w:p>
      </w:tc>
      <w:tc>
        <w:tcPr>
          <w:tcW w:w="4920" w:type="dxa"/>
          <w:shd w:val="clear" w:color="auto" w:fill="auto"/>
          <w:vAlign w:val="bottom"/>
        </w:tcPr>
        <w:p w14:paraId="2EFE92B2" w14:textId="331D1173" w:rsidR="00F91A55" w:rsidRPr="00F91A55" w:rsidRDefault="00F91A55" w:rsidP="00F91A55">
          <w:pPr>
            <w:pStyle w:val="Header"/>
            <w:spacing w:after="80"/>
            <w:jc w:val="right"/>
            <w:rPr>
              <w:b/>
            </w:rPr>
          </w:pPr>
          <w:r>
            <w:rPr>
              <w:b/>
            </w:rPr>
            <w:fldChar w:fldCharType="begin"/>
          </w:r>
          <w:r>
            <w:rPr>
              <w:b/>
            </w:rPr>
            <w:instrText xml:space="preserve"> DOCVARIABLE "Symbol1" \* MERGEFORMAT </w:instrText>
          </w:r>
          <w:r>
            <w:rPr>
              <w:b/>
            </w:rPr>
            <w:fldChar w:fldCharType="separate"/>
          </w:r>
          <w:r w:rsidR="00DE4330">
            <w:rPr>
              <w:b/>
            </w:rPr>
            <w:t>CEDAW/C/87/1</w:t>
          </w:r>
          <w:r>
            <w:rPr>
              <w:b/>
            </w:rPr>
            <w:fldChar w:fldCharType="end"/>
          </w:r>
        </w:p>
      </w:tc>
    </w:tr>
  </w:tbl>
  <w:p w14:paraId="17E00685" w14:textId="77777777" w:rsidR="00F91A55" w:rsidRPr="00F91A55" w:rsidRDefault="00F91A55" w:rsidP="00F91A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91A55" w14:paraId="0ED48D8A" w14:textId="77777777" w:rsidTr="00F91A55">
      <w:trPr>
        <w:gridAfter w:val="1"/>
        <w:wAfter w:w="15" w:type="dxa"/>
        <w:trHeight w:hRule="exact" w:val="864"/>
      </w:trPr>
      <w:tc>
        <w:tcPr>
          <w:tcW w:w="1267" w:type="dxa"/>
          <w:tcBorders>
            <w:bottom w:val="single" w:sz="4" w:space="0" w:color="auto"/>
          </w:tcBorders>
          <w:shd w:val="clear" w:color="auto" w:fill="auto"/>
          <w:vAlign w:val="bottom"/>
        </w:tcPr>
        <w:p w14:paraId="42AED34F" w14:textId="77777777" w:rsidR="00F91A55" w:rsidRDefault="00F91A55" w:rsidP="00F91A55">
          <w:pPr>
            <w:pStyle w:val="Header"/>
            <w:spacing w:after="120"/>
          </w:pPr>
        </w:p>
      </w:tc>
      <w:tc>
        <w:tcPr>
          <w:tcW w:w="2059" w:type="dxa"/>
          <w:tcBorders>
            <w:bottom w:val="single" w:sz="4" w:space="0" w:color="auto"/>
          </w:tcBorders>
          <w:shd w:val="clear" w:color="auto" w:fill="auto"/>
          <w:vAlign w:val="bottom"/>
        </w:tcPr>
        <w:p w14:paraId="47ED5C09" w14:textId="77777777" w:rsidR="00F91A55" w:rsidRPr="00F91A55" w:rsidRDefault="00F91A55" w:rsidP="00F91A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7F0930B" w14:textId="77777777" w:rsidR="00F91A55" w:rsidRDefault="00F91A55" w:rsidP="00F91A55">
          <w:pPr>
            <w:pStyle w:val="Header"/>
            <w:spacing w:after="120"/>
          </w:pPr>
        </w:p>
      </w:tc>
      <w:tc>
        <w:tcPr>
          <w:tcW w:w="6480" w:type="dxa"/>
          <w:gridSpan w:val="3"/>
          <w:tcBorders>
            <w:bottom w:val="single" w:sz="4" w:space="0" w:color="auto"/>
          </w:tcBorders>
          <w:shd w:val="clear" w:color="auto" w:fill="auto"/>
          <w:vAlign w:val="bottom"/>
        </w:tcPr>
        <w:p w14:paraId="6345FBAA" w14:textId="77777777" w:rsidR="00F91A55" w:rsidRPr="00F91A55" w:rsidRDefault="00F91A55" w:rsidP="00F91A55">
          <w:pPr>
            <w:spacing w:after="80" w:line="240" w:lineRule="auto"/>
            <w:jc w:val="right"/>
            <w:rPr>
              <w:position w:val="-4"/>
            </w:rPr>
          </w:pPr>
          <w:r>
            <w:rPr>
              <w:position w:val="-4"/>
              <w:sz w:val="40"/>
            </w:rPr>
            <w:t>CEDAW</w:t>
          </w:r>
          <w:r>
            <w:rPr>
              <w:position w:val="-4"/>
            </w:rPr>
            <w:t>/C/87/1</w:t>
          </w:r>
        </w:p>
      </w:tc>
    </w:tr>
    <w:tr w:rsidR="00F91A55" w:rsidRPr="00F91A55" w14:paraId="2D1A8ECB" w14:textId="77777777" w:rsidTr="00F91A55">
      <w:trPr>
        <w:trHeight w:hRule="exact" w:val="2880"/>
      </w:trPr>
      <w:tc>
        <w:tcPr>
          <w:tcW w:w="1267" w:type="dxa"/>
          <w:tcBorders>
            <w:top w:val="single" w:sz="4" w:space="0" w:color="auto"/>
            <w:bottom w:val="single" w:sz="12" w:space="0" w:color="auto"/>
          </w:tcBorders>
          <w:shd w:val="clear" w:color="auto" w:fill="auto"/>
        </w:tcPr>
        <w:p w14:paraId="0B46A660" w14:textId="77777777" w:rsidR="00F91A55" w:rsidRPr="00F91A55" w:rsidRDefault="00F91A55" w:rsidP="00F91A55">
          <w:pPr>
            <w:pStyle w:val="Header"/>
            <w:spacing w:before="120"/>
            <w:jc w:val="center"/>
          </w:pPr>
          <w:r>
            <w:t xml:space="preserve"> </w:t>
          </w:r>
          <w:r>
            <w:drawing>
              <wp:inline distT="0" distB="0" distL="0" distR="0" wp14:anchorId="5F830FB0" wp14:editId="41FDC6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69700A" w14:textId="77777777" w:rsidR="00F91A55" w:rsidRPr="00F91A55" w:rsidRDefault="00F91A55" w:rsidP="00F91A5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7FC0E31" w14:textId="77777777" w:rsidR="00F91A55" w:rsidRPr="00D84F5A" w:rsidRDefault="00F91A55" w:rsidP="00F91A55">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7BB9507A" w14:textId="77777777" w:rsidR="00F91A55" w:rsidRDefault="00F91A55" w:rsidP="00F91A55">
          <w:pPr>
            <w:pStyle w:val="Distribution"/>
            <w:spacing w:before="240"/>
          </w:pPr>
          <w:proofErr w:type="spellStart"/>
          <w:r>
            <w:t>Distr</w:t>
          </w:r>
          <w:proofErr w:type="spellEnd"/>
          <w:r>
            <w:t>. general</w:t>
          </w:r>
        </w:p>
        <w:p w14:paraId="0F5160FE" w14:textId="152AED5F" w:rsidR="00F91A55" w:rsidRDefault="00BA6E1A" w:rsidP="00BA6E1A">
          <w:pPr>
            <w:pStyle w:val="Publication"/>
          </w:pPr>
          <w:r>
            <w:t>17</w:t>
          </w:r>
          <w:r w:rsidR="00F91A55">
            <w:t xml:space="preserve"> de </w:t>
          </w:r>
          <w:r>
            <w:t xml:space="preserve">noviembre </w:t>
          </w:r>
          <w:r w:rsidR="00F91A55">
            <w:t>de 2023</w:t>
          </w:r>
        </w:p>
        <w:p w14:paraId="4002AFBD" w14:textId="77777777" w:rsidR="00F91A55" w:rsidRDefault="00F91A55" w:rsidP="00F91A55">
          <w:r>
            <w:t>Español</w:t>
          </w:r>
        </w:p>
        <w:p w14:paraId="421CB9BB" w14:textId="77777777" w:rsidR="00F91A55" w:rsidRDefault="00F91A55" w:rsidP="00F91A55">
          <w:pPr>
            <w:pStyle w:val="Original"/>
          </w:pPr>
          <w:r>
            <w:t>Original: inglés</w:t>
          </w:r>
        </w:p>
        <w:p w14:paraId="630E0D21" w14:textId="41CC26E4" w:rsidR="00F91A55" w:rsidRPr="00F91A55" w:rsidRDefault="00D84F5A" w:rsidP="00D84F5A">
          <w:r w:rsidRPr="00D84F5A">
            <w:t>Español, francés e inglés únicamente</w:t>
          </w:r>
        </w:p>
      </w:tc>
    </w:tr>
  </w:tbl>
  <w:p w14:paraId="6EE4D97C" w14:textId="77777777" w:rsidR="00F91A55" w:rsidRPr="00D84F5A" w:rsidRDefault="00F91A55" w:rsidP="00F91A55">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D1179F"/>
    <w:multiLevelType w:val="hybridMultilevel"/>
    <w:tmpl w:val="59D6FD52"/>
    <w:lvl w:ilvl="0" w:tplc="654A370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1770548"/>
    <w:multiLevelType w:val="singleLevel"/>
    <w:tmpl w:val="7D56F3A2"/>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148745214">
    <w:abstractNumId w:val="12"/>
  </w:num>
  <w:num w:numId="27" w16cid:durableId="1681273086">
    <w:abstractNumId w:val="6"/>
  </w:num>
  <w:num w:numId="28" w16cid:durableId="711925006">
    <w:abstractNumId w:val="11"/>
  </w:num>
  <w:num w:numId="29" w16cid:durableId="1510021099">
    <w:abstractNumId w:val="9"/>
  </w:num>
  <w:num w:numId="30" w16cid:durableId="2067800088">
    <w:abstractNumId w:val="9"/>
  </w:num>
  <w:num w:numId="31" w16cid:durableId="1818569675">
    <w:abstractNumId w:val="9"/>
  </w:num>
  <w:num w:numId="32" w16cid:durableId="237522669">
    <w:abstractNumId w:val="9"/>
  </w:num>
  <w:num w:numId="33" w16cid:durableId="1200700648">
    <w:abstractNumId w:val="9"/>
  </w:num>
  <w:num w:numId="34" w16cid:durableId="527721060">
    <w:abstractNumId w:val="9"/>
  </w:num>
  <w:num w:numId="35" w16cid:durableId="380715716">
    <w:abstractNumId w:val="9"/>
  </w:num>
  <w:num w:numId="36" w16cid:durableId="1912277281">
    <w:abstractNumId w:val="9"/>
  </w:num>
  <w:num w:numId="37" w16cid:durableId="1980963314">
    <w:abstractNumId w:val="9"/>
  </w:num>
  <w:num w:numId="38" w16cid:durableId="1784567587">
    <w:abstractNumId w:val="10"/>
  </w:num>
  <w:num w:numId="39" w16cid:durableId="603536800">
    <w:abstractNumId w:val="9"/>
  </w:num>
  <w:num w:numId="40" w16cid:durableId="1566452425">
    <w:abstractNumId w:val="7"/>
  </w:num>
  <w:num w:numId="41" w16cid:durableId="267009666">
    <w:abstractNumId w:val="5"/>
  </w:num>
  <w:num w:numId="42" w16cid:durableId="769929138">
    <w:abstractNumId w:val="7"/>
    <w:lvlOverride w:ilvl="0">
      <w:lvl w:ilvl="0">
        <w:start w:val="1"/>
        <w:numFmt w:val="decimal"/>
        <w:lvlRestart w:val="0"/>
        <w:lvlText w:val="%1."/>
        <w:lvlJc w:val="left"/>
        <w:pPr>
          <w:tabs>
            <w:tab w:val="num" w:pos="475"/>
          </w:tabs>
          <w:ind w:left="0" w:firstLine="0"/>
        </w:pPr>
        <w:rPr>
          <w:spacing w:val="0"/>
          <w:w w:val="100"/>
        </w:rPr>
      </w:lvl>
    </w:lvlOverride>
  </w:num>
  <w:num w:numId="43" w16cid:durableId="677266877">
    <w:abstractNumId w:val="7"/>
    <w:lvlOverride w:ilvl="0">
      <w:lvl w:ilvl="0">
        <w:start w:val="1"/>
        <w:numFmt w:val="decimal"/>
        <w:lvlRestart w:val="0"/>
        <w:lvlText w:val="%1."/>
        <w:lvlJc w:val="left"/>
        <w:pPr>
          <w:tabs>
            <w:tab w:val="num" w:pos="475"/>
          </w:tabs>
          <w:ind w:left="0" w:firstLine="0"/>
        </w:pPr>
        <w:rPr>
          <w:spacing w:val="0"/>
          <w:w w:val="100"/>
        </w:rPr>
      </w:lvl>
    </w:lvlOverride>
  </w:num>
  <w:num w:numId="44" w16cid:durableId="1878349923">
    <w:abstractNumId w:val="7"/>
    <w:lvlOverride w:ilvl="0">
      <w:lvl w:ilvl="0">
        <w:start w:val="1"/>
        <w:numFmt w:val="decimal"/>
        <w:lvlRestart w:val="0"/>
        <w:lvlText w:val="%1."/>
        <w:lvlJc w:val="left"/>
        <w:pPr>
          <w:tabs>
            <w:tab w:val="num" w:pos="475"/>
          </w:tabs>
          <w:ind w:left="0" w:firstLine="0"/>
        </w:pPr>
        <w:rPr>
          <w:spacing w:val="0"/>
          <w:w w:val="100"/>
        </w:rPr>
      </w:lvl>
    </w:lvlOverride>
  </w:num>
  <w:num w:numId="45" w16cid:durableId="1200166269">
    <w:abstractNumId w:val="7"/>
    <w:lvlOverride w:ilvl="0">
      <w:lvl w:ilvl="0">
        <w:start w:val="1"/>
        <w:numFmt w:val="decimal"/>
        <w:lvlRestart w:val="0"/>
        <w:lvlText w:val="%1."/>
        <w:lvlJc w:val="left"/>
        <w:pPr>
          <w:tabs>
            <w:tab w:val="num" w:pos="475"/>
          </w:tabs>
          <w:ind w:left="0" w:firstLine="0"/>
        </w:pPr>
        <w:rPr>
          <w:spacing w:val="0"/>
          <w:w w:val="100"/>
        </w:rPr>
      </w:lvl>
    </w:lvlOverride>
  </w:num>
  <w:num w:numId="46" w16cid:durableId="414136755">
    <w:abstractNumId w:val="7"/>
    <w:lvlOverride w:ilvl="0">
      <w:lvl w:ilvl="0">
        <w:start w:val="1"/>
        <w:numFmt w:val="decimal"/>
        <w:lvlRestart w:val="0"/>
        <w:lvlText w:val="%1."/>
        <w:lvlJc w:val="left"/>
        <w:pPr>
          <w:tabs>
            <w:tab w:val="num" w:pos="475"/>
          </w:tabs>
          <w:ind w:left="0" w:firstLine="0"/>
        </w:pPr>
        <w:rPr>
          <w:spacing w:val="0"/>
          <w:w w:val="100"/>
        </w:rPr>
      </w:lvl>
    </w:lvlOverride>
  </w:num>
  <w:num w:numId="47" w16cid:durableId="680164082">
    <w:abstractNumId w:val="7"/>
    <w:lvlOverride w:ilvl="0">
      <w:lvl w:ilvl="0">
        <w:start w:val="1"/>
        <w:numFmt w:val="decimal"/>
        <w:lvlRestart w:val="0"/>
        <w:lvlText w:val="%1."/>
        <w:lvlJc w:val="left"/>
        <w:pPr>
          <w:tabs>
            <w:tab w:val="num" w:pos="475"/>
          </w:tabs>
          <w:ind w:left="0" w:firstLine="0"/>
        </w:pPr>
        <w:rPr>
          <w:spacing w:val="0"/>
          <w:w w:val="100"/>
        </w:rPr>
      </w:lvl>
    </w:lvlOverride>
  </w:num>
  <w:num w:numId="48" w16cid:durableId="1532567755">
    <w:abstractNumId w:val="7"/>
    <w:lvlOverride w:ilvl="0">
      <w:lvl w:ilvl="0">
        <w:start w:val="1"/>
        <w:numFmt w:val="decimal"/>
        <w:lvlRestart w:val="0"/>
        <w:lvlText w:val="%1."/>
        <w:lvlJc w:val="left"/>
        <w:pPr>
          <w:tabs>
            <w:tab w:val="num" w:pos="475"/>
          </w:tabs>
          <w:ind w:left="0" w:firstLine="0"/>
        </w:pPr>
        <w:rPr>
          <w:spacing w:val="0"/>
          <w:w w:val="100"/>
        </w:rPr>
      </w:lvl>
    </w:lvlOverride>
  </w:num>
  <w:num w:numId="49" w16cid:durableId="1587303153">
    <w:abstractNumId w:val="7"/>
    <w:lvlOverride w:ilvl="0">
      <w:lvl w:ilvl="0">
        <w:start w:val="1"/>
        <w:numFmt w:val="decimal"/>
        <w:lvlRestart w:val="0"/>
        <w:lvlText w:val="%1."/>
        <w:lvlJc w:val="left"/>
        <w:pPr>
          <w:tabs>
            <w:tab w:val="num" w:pos="475"/>
          </w:tabs>
          <w:ind w:left="0" w:firstLine="0"/>
        </w:pPr>
        <w:rPr>
          <w:spacing w:val="0"/>
          <w:w w:val="100"/>
        </w:rPr>
      </w:lvl>
    </w:lvlOverride>
  </w:num>
  <w:num w:numId="50" w16cid:durableId="1882938687">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322497*"/>
    <w:docVar w:name="CreationDt" w:val="01/12/2023 12:03 PM"/>
    <w:docVar w:name="DocCategory" w:val="Doc"/>
    <w:docVar w:name="DocType" w:val="Final"/>
    <w:docVar w:name="DutyStation" w:val="New York"/>
    <w:docVar w:name="FooterJN" w:val="23-22497"/>
    <w:docVar w:name="jobn" w:val="23-22497 (S)"/>
    <w:docVar w:name="jobnDT" w:val="23-22497 (S)   011223"/>
    <w:docVar w:name="jobnDTDT" w:val="23-22497 (S)   011223   011223"/>
    <w:docVar w:name="JobNo" w:val="2322497S"/>
    <w:docVar w:name="JobNo2" w:val="233596812:03 PM"/>
    <w:docVar w:name="LocalDrive" w:val="0"/>
    <w:docVar w:name="OandT" w:val="AngelaPlefka/Sabela Avion"/>
    <w:docVar w:name="Session1" w:val="87º período de sesiones_x000d_"/>
    <w:docVar w:name="sss1" w:val="CEDAW/C/87/1"/>
    <w:docVar w:name="sss2" w:val="-"/>
    <w:docVar w:name="Symbol1" w:val="CEDAW/C/87/1"/>
    <w:docVar w:name="Symbol2" w:val="-"/>
    <w:docVar w:name="Title1" w:val="_x0009__x0009_Programa provisional anotado_x000d_"/>
    <w:docVar w:name="Title2" w:val="_x0009__x0009_Programa provisional_x000d_"/>
  </w:docVars>
  <w:rsids>
    <w:rsidRoot w:val="00FB76AB"/>
    <w:rsid w:val="00001169"/>
    <w:rsid w:val="0009577F"/>
    <w:rsid w:val="00105618"/>
    <w:rsid w:val="00151F81"/>
    <w:rsid w:val="0015213C"/>
    <w:rsid w:val="00166E96"/>
    <w:rsid w:val="00171CDD"/>
    <w:rsid w:val="001F2693"/>
    <w:rsid w:val="00206BB0"/>
    <w:rsid w:val="002172BC"/>
    <w:rsid w:val="00247400"/>
    <w:rsid w:val="00267A01"/>
    <w:rsid w:val="0027492E"/>
    <w:rsid w:val="002C15F2"/>
    <w:rsid w:val="00331D20"/>
    <w:rsid w:val="00365FD7"/>
    <w:rsid w:val="003D6096"/>
    <w:rsid w:val="003E488E"/>
    <w:rsid w:val="003F75F8"/>
    <w:rsid w:val="00412E03"/>
    <w:rsid w:val="004659EF"/>
    <w:rsid w:val="004702F1"/>
    <w:rsid w:val="00490895"/>
    <w:rsid w:val="00495E7B"/>
    <w:rsid w:val="0049669D"/>
    <w:rsid w:val="004A6E85"/>
    <w:rsid w:val="004C118F"/>
    <w:rsid w:val="004D6252"/>
    <w:rsid w:val="004F5722"/>
    <w:rsid w:val="0050548B"/>
    <w:rsid w:val="0052672E"/>
    <w:rsid w:val="0054211F"/>
    <w:rsid w:val="005610B1"/>
    <w:rsid w:val="005817FF"/>
    <w:rsid w:val="005B3FED"/>
    <w:rsid w:val="005D4F00"/>
    <w:rsid w:val="005E0A6A"/>
    <w:rsid w:val="00614E07"/>
    <w:rsid w:val="00625E3E"/>
    <w:rsid w:val="00676EB5"/>
    <w:rsid w:val="006C62F7"/>
    <w:rsid w:val="006C7738"/>
    <w:rsid w:val="006D0F2A"/>
    <w:rsid w:val="00727155"/>
    <w:rsid w:val="007633C9"/>
    <w:rsid w:val="00784256"/>
    <w:rsid w:val="008138CB"/>
    <w:rsid w:val="0085454E"/>
    <w:rsid w:val="00863195"/>
    <w:rsid w:val="00871053"/>
    <w:rsid w:val="00877270"/>
    <w:rsid w:val="0088056D"/>
    <w:rsid w:val="00882FD2"/>
    <w:rsid w:val="0089050C"/>
    <w:rsid w:val="0089629A"/>
    <w:rsid w:val="008A2590"/>
    <w:rsid w:val="008C1577"/>
    <w:rsid w:val="008D4F2B"/>
    <w:rsid w:val="008F11CA"/>
    <w:rsid w:val="00905744"/>
    <w:rsid w:val="00905DB2"/>
    <w:rsid w:val="009129D3"/>
    <w:rsid w:val="009503D9"/>
    <w:rsid w:val="009A4BC2"/>
    <w:rsid w:val="009B00E9"/>
    <w:rsid w:val="009D541F"/>
    <w:rsid w:val="009D56BA"/>
    <w:rsid w:val="00A0289F"/>
    <w:rsid w:val="00A0312F"/>
    <w:rsid w:val="00A14B23"/>
    <w:rsid w:val="00A82AE8"/>
    <w:rsid w:val="00AA29EE"/>
    <w:rsid w:val="00AC25DE"/>
    <w:rsid w:val="00AD3764"/>
    <w:rsid w:val="00B125A0"/>
    <w:rsid w:val="00B174F9"/>
    <w:rsid w:val="00B272FA"/>
    <w:rsid w:val="00B27698"/>
    <w:rsid w:val="00B43769"/>
    <w:rsid w:val="00B80CB6"/>
    <w:rsid w:val="00B901FD"/>
    <w:rsid w:val="00BA6E1A"/>
    <w:rsid w:val="00BC2C8A"/>
    <w:rsid w:val="00BC622B"/>
    <w:rsid w:val="00BE0783"/>
    <w:rsid w:val="00C16A02"/>
    <w:rsid w:val="00C16D72"/>
    <w:rsid w:val="00C174A0"/>
    <w:rsid w:val="00C23BDD"/>
    <w:rsid w:val="00C24AB8"/>
    <w:rsid w:val="00C34F17"/>
    <w:rsid w:val="00C47C92"/>
    <w:rsid w:val="00C50C88"/>
    <w:rsid w:val="00C60123"/>
    <w:rsid w:val="00C6119A"/>
    <w:rsid w:val="00CC2D86"/>
    <w:rsid w:val="00CE35F9"/>
    <w:rsid w:val="00D23FFB"/>
    <w:rsid w:val="00D409D0"/>
    <w:rsid w:val="00D66A00"/>
    <w:rsid w:val="00D7711B"/>
    <w:rsid w:val="00D84F5A"/>
    <w:rsid w:val="00DB0712"/>
    <w:rsid w:val="00DB652C"/>
    <w:rsid w:val="00DE254A"/>
    <w:rsid w:val="00DE4330"/>
    <w:rsid w:val="00DF19D6"/>
    <w:rsid w:val="00DF224B"/>
    <w:rsid w:val="00E4669E"/>
    <w:rsid w:val="00E51B63"/>
    <w:rsid w:val="00E548DF"/>
    <w:rsid w:val="00E8036E"/>
    <w:rsid w:val="00E85FE0"/>
    <w:rsid w:val="00E94185"/>
    <w:rsid w:val="00EA061F"/>
    <w:rsid w:val="00EA1709"/>
    <w:rsid w:val="00EE1CA8"/>
    <w:rsid w:val="00F05AC4"/>
    <w:rsid w:val="00F34C37"/>
    <w:rsid w:val="00F4477A"/>
    <w:rsid w:val="00F91A55"/>
    <w:rsid w:val="00F95E56"/>
    <w:rsid w:val="00FB600B"/>
    <w:rsid w:val="00FB651B"/>
    <w:rsid w:val="00FB76A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47478"/>
  <w15:chartTrackingRefBased/>
  <w15:docId w15:val="{9A56FF2E-3E49-4A37-BF67-8196763E3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69E"/>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E4669E"/>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4669E"/>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4669E"/>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4669E"/>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4669E"/>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4669E"/>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4669E"/>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4669E"/>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4669E"/>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E4669E"/>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E4669E"/>
    <w:rPr>
      <w:rFonts w:ascii="Times New Roman" w:eastAsiaTheme="minorHAnsi" w:hAnsi="Times New Roman" w:cs="Times New Roman"/>
      <w:noProof/>
      <w:sz w:val="17"/>
      <w:lang w:eastAsia="en-US"/>
    </w:rPr>
  </w:style>
  <w:style w:type="paragraph" w:styleId="Footer">
    <w:name w:val="footer"/>
    <w:link w:val="FooterChar"/>
    <w:qFormat/>
    <w:rsid w:val="00E4669E"/>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E4669E"/>
    <w:rPr>
      <w:rFonts w:ascii="Times New Roman" w:eastAsiaTheme="minorHAnsi" w:hAnsi="Times New Roman" w:cs="Times New Roman"/>
      <w:b/>
      <w:noProof/>
      <w:sz w:val="17"/>
      <w:lang w:eastAsia="en-US"/>
    </w:rPr>
  </w:style>
  <w:style w:type="paragraph" w:customStyle="1" w:styleId="HM">
    <w:name w:val="_ H __M"/>
    <w:basedOn w:val="HCh"/>
    <w:next w:val="Normal"/>
    <w:qFormat/>
    <w:rsid w:val="00E4669E"/>
    <w:pPr>
      <w:spacing w:line="360" w:lineRule="exact"/>
    </w:pPr>
    <w:rPr>
      <w:spacing w:val="-3"/>
      <w:w w:val="99"/>
      <w:sz w:val="34"/>
    </w:rPr>
  </w:style>
  <w:style w:type="paragraph" w:customStyle="1" w:styleId="H1">
    <w:name w:val="_ H_1"/>
    <w:basedOn w:val="Normal"/>
    <w:next w:val="SingleTxt"/>
    <w:qFormat/>
    <w:rsid w:val="00E4669E"/>
    <w:pPr>
      <w:keepNext/>
      <w:keepLines/>
      <w:spacing w:line="270" w:lineRule="exact"/>
      <w:outlineLvl w:val="0"/>
    </w:pPr>
    <w:rPr>
      <w:b/>
      <w:kern w:val="14"/>
      <w:sz w:val="24"/>
    </w:rPr>
  </w:style>
  <w:style w:type="paragraph" w:customStyle="1" w:styleId="HCh">
    <w:name w:val="_ H _Ch"/>
    <w:basedOn w:val="H1"/>
    <w:next w:val="Normal"/>
    <w:qFormat/>
    <w:rsid w:val="00E4669E"/>
    <w:pPr>
      <w:spacing w:line="300" w:lineRule="exact"/>
    </w:pPr>
    <w:rPr>
      <w:spacing w:val="-2"/>
      <w:sz w:val="28"/>
    </w:rPr>
  </w:style>
  <w:style w:type="paragraph" w:customStyle="1" w:styleId="H23">
    <w:name w:val="_ H_2/3"/>
    <w:basedOn w:val="H1"/>
    <w:next w:val="Normal"/>
    <w:qFormat/>
    <w:rsid w:val="00E4669E"/>
    <w:pPr>
      <w:spacing w:line="240" w:lineRule="exact"/>
      <w:outlineLvl w:val="1"/>
    </w:pPr>
    <w:rPr>
      <w:spacing w:val="2"/>
      <w:sz w:val="20"/>
    </w:rPr>
  </w:style>
  <w:style w:type="paragraph" w:customStyle="1" w:styleId="H4">
    <w:name w:val="_ H_4"/>
    <w:basedOn w:val="Normal"/>
    <w:next w:val="SingleTxt"/>
    <w:qFormat/>
    <w:rsid w:val="00E4669E"/>
    <w:pPr>
      <w:keepNext/>
      <w:keepLines/>
      <w:tabs>
        <w:tab w:val="right" w:pos="360"/>
      </w:tabs>
      <w:outlineLvl w:val="3"/>
    </w:pPr>
    <w:rPr>
      <w:i/>
      <w:spacing w:val="3"/>
      <w:kern w:val="14"/>
    </w:rPr>
  </w:style>
  <w:style w:type="paragraph" w:customStyle="1" w:styleId="H56">
    <w:name w:val="_ H_5/6"/>
    <w:basedOn w:val="Normal"/>
    <w:next w:val="Normal"/>
    <w:qFormat/>
    <w:rsid w:val="00E4669E"/>
    <w:pPr>
      <w:keepNext/>
      <w:keepLines/>
      <w:tabs>
        <w:tab w:val="right" w:pos="360"/>
      </w:tabs>
      <w:outlineLvl w:val="4"/>
    </w:pPr>
    <w:rPr>
      <w:kern w:val="14"/>
    </w:rPr>
  </w:style>
  <w:style w:type="paragraph" w:customStyle="1" w:styleId="DualTxt">
    <w:name w:val="__Dual Txt"/>
    <w:basedOn w:val="Normal"/>
    <w:qFormat/>
    <w:rsid w:val="00E466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466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4669E"/>
    <w:pPr>
      <w:spacing w:line="540" w:lineRule="exact"/>
    </w:pPr>
    <w:rPr>
      <w:spacing w:val="-8"/>
      <w:w w:val="96"/>
      <w:sz w:val="57"/>
    </w:rPr>
  </w:style>
  <w:style w:type="paragraph" w:customStyle="1" w:styleId="SS">
    <w:name w:val="__S_S"/>
    <w:basedOn w:val="HCh"/>
    <w:next w:val="Normal"/>
    <w:qFormat/>
    <w:rsid w:val="00E4669E"/>
    <w:pPr>
      <w:ind w:left="1267" w:right="1267"/>
    </w:pPr>
  </w:style>
  <w:style w:type="paragraph" w:customStyle="1" w:styleId="SingleTxt">
    <w:name w:val="__Single Txt"/>
    <w:basedOn w:val="Normal"/>
    <w:link w:val="SingleTxtChar"/>
    <w:qFormat/>
    <w:rsid w:val="00E466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4669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466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84F5A"/>
    <w:pPr>
      <w:keepNext/>
      <w:keepLines/>
      <w:spacing w:line="240" w:lineRule="exact"/>
      <w:ind w:left="0" w:right="5970" w:firstLine="0"/>
      <w:outlineLvl w:val="1"/>
    </w:pPr>
    <w:rPr>
      <w:sz w:val="20"/>
    </w:rPr>
  </w:style>
  <w:style w:type="paragraph" w:customStyle="1" w:styleId="Bullet1">
    <w:name w:val="Bullet 1"/>
    <w:basedOn w:val="Normal"/>
    <w:qFormat/>
    <w:rsid w:val="00E4669E"/>
    <w:pPr>
      <w:numPr>
        <w:numId w:val="26"/>
      </w:numPr>
      <w:spacing w:after="120"/>
      <w:ind w:right="1264"/>
      <w:jc w:val="both"/>
    </w:pPr>
  </w:style>
  <w:style w:type="paragraph" w:customStyle="1" w:styleId="Bullet2">
    <w:name w:val="Bullet 2"/>
    <w:basedOn w:val="Normal"/>
    <w:qFormat/>
    <w:rsid w:val="00E4669E"/>
    <w:pPr>
      <w:numPr>
        <w:numId w:val="27"/>
      </w:numPr>
      <w:spacing w:after="120"/>
      <w:ind w:right="1264"/>
      <w:jc w:val="both"/>
    </w:pPr>
  </w:style>
  <w:style w:type="paragraph" w:customStyle="1" w:styleId="Bullet3">
    <w:name w:val="Bullet 3"/>
    <w:basedOn w:val="SingleTxt"/>
    <w:qFormat/>
    <w:rsid w:val="00E4669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4669E"/>
    <w:pPr>
      <w:spacing w:after="80"/>
    </w:pPr>
  </w:style>
  <w:style w:type="character" w:customStyle="1" w:styleId="EndnoteTextChar">
    <w:name w:val="Endnote Text Char"/>
    <w:basedOn w:val="DefaultParagraphFont"/>
    <w:link w:val="EndnoteText"/>
    <w:semiHidden/>
    <w:rsid w:val="00E4669E"/>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69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4669E"/>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E4669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4669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4669E"/>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E4669E"/>
    <w:pPr>
      <w:spacing w:line="240" w:lineRule="auto"/>
    </w:pPr>
  </w:style>
  <w:style w:type="paragraph" w:customStyle="1" w:styleId="Original">
    <w:name w:val="Original"/>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A6E1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E4669E"/>
    <w:pPr>
      <w:tabs>
        <w:tab w:val="right" w:pos="9965"/>
      </w:tabs>
      <w:spacing w:line="210" w:lineRule="exact"/>
    </w:pPr>
    <w:rPr>
      <w:spacing w:val="5"/>
      <w:w w:val="104"/>
      <w:kern w:val="14"/>
      <w:sz w:val="17"/>
    </w:rPr>
  </w:style>
  <w:style w:type="paragraph" w:customStyle="1" w:styleId="SmallX">
    <w:name w:val="SmallX"/>
    <w:basedOn w:val="Small"/>
    <w:next w:val="Normal"/>
    <w:qFormat/>
    <w:rsid w:val="00E4669E"/>
    <w:pPr>
      <w:spacing w:line="180" w:lineRule="exact"/>
      <w:jc w:val="right"/>
    </w:pPr>
    <w:rPr>
      <w:spacing w:val="6"/>
      <w:w w:val="106"/>
      <w:sz w:val="14"/>
    </w:rPr>
  </w:style>
  <w:style w:type="paragraph" w:customStyle="1" w:styleId="TitleHCH">
    <w:name w:val="Title_H_CH"/>
    <w:basedOn w:val="HCh"/>
    <w:next w:val="SingleTxt"/>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4669E"/>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E4669E"/>
    <w:rPr>
      <w:rFonts w:ascii="Tahoma" w:hAnsi="Tahoma" w:cs="Tahoma"/>
      <w:sz w:val="16"/>
      <w:szCs w:val="16"/>
    </w:rPr>
  </w:style>
  <w:style w:type="character" w:customStyle="1" w:styleId="BalloonTextChar">
    <w:name w:val="Balloon Text Char"/>
    <w:basedOn w:val="DefaultParagraphFont"/>
    <w:link w:val="BalloonText"/>
    <w:semiHidden/>
    <w:rsid w:val="00E4669E"/>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qFormat/>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E466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E4669E"/>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E4669E"/>
    <w:pPr>
      <w:spacing w:line="240" w:lineRule="auto"/>
    </w:pPr>
    <w:rPr>
      <w:b/>
      <w:bCs/>
      <w:color w:val="4F81BD"/>
      <w:sz w:val="18"/>
      <w:szCs w:val="18"/>
    </w:rPr>
  </w:style>
  <w:style w:type="character" w:styleId="CommentReference">
    <w:name w:val="annotation reference"/>
    <w:semiHidden/>
    <w:rsid w:val="00E4669E"/>
    <w:rPr>
      <w:sz w:val="6"/>
    </w:rPr>
  </w:style>
  <w:style w:type="paragraph" w:customStyle="1" w:styleId="HdBanner">
    <w:name w:val="Hd Banner"/>
    <w:basedOn w:val="Normal"/>
    <w:next w:val="Normal"/>
    <w:qFormat/>
    <w:rsid w:val="00E466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466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4669E"/>
    <w:pPr>
      <w:spacing w:before="240"/>
    </w:pPr>
    <w:rPr>
      <w:b/>
      <w:spacing w:val="-2"/>
      <w:w w:val="100"/>
    </w:rPr>
  </w:style>
  <w:style w:type="paragraph" w:customStyle="1" w:styleId="HdChapterBdLg">
    <w:name w:val="Hd Chapter Bd Lg"/>
    <w:basedOn w:val="HdChapterBD"/>
    <w:next w:val="Normal"/>
    <w:qFormat/>
    <w:rsid w:val="00E4669E"/>
    <w:rPr>
      <w:spacing w:val="-3"/>
      <w:w w:val="99"/>
      <w:kern w:val="14"/>
      <w:sz w:val="34"/>
      <w:szCs w:val="34"/>
    </w:rPr>
  </w:style>
  <w:style w:type="character" w:customStyle="1" w:styleId="Heading4Char">
    <w:name w:val="Heading 4 Char"/>
    <w:link w:val="Heading4"/>
    <w:uiPriority w:val="9"/>
    <w:rsid w:val="00E4669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4669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4669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4669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4669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4669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4669E"/>
    <w:pPr>
      <w:keepNext/>
      <w:spacing w:before="190" w:line="270" w:lineRule="exact"/>
    </w:pPr>
    <w:rPr>
      <w:b/>
      <w:kern w:val="14"/>
      <w:sz w:val="24"/>
    </w:rPr>
  </w:style>
  <w:style w:type="paragraph" w:customStyle="1" w:styleId="JournalHeading2">
    <w:name w:val="Journal_Heading2"/>
    <w:basedOn w:val="Normal"/>
    <w:next w:val="Normal"/>
    <w:qFormat/>
    <w:rsid w:val="00E4669E"/>
    <w:pPr>
      <w:keepNext/>
      <w:keepLines/>
      <w:spacing w:before="240"/>
      <w:outlineLvl w:val="1"/>
    </w:pPr>
    <w:rPr>
      <w:b/>
      <w:spacing w:val="2"/>
      <w:kern w:val="14"/>
    </w:rPr>
  </w:style>
  <w:style w:type="paragraph" w:customStyle="1" w:styleId="JournalHeading4">
    <w:name w:val="Journal_Heading4"/>
    <w:basedOn w:val="Normal"/>
    <w:next w:val="Normal"/>
    <w:qFormat/>
    <w:rsid w:val="00E4669E"/>
    <w:pPr>
      <w:keepNext/>
      <w:keepLines/>
      <w:spacing w:before="240"/>
      <w:outlineLvl w:val="3"/>
    </w:pPr>
    <w:rPr>
      <w:i/>
      <w:kern w:val="14"/>
    </w:rPr>
  </w:style>
  <w:style w:type="character" w:styleId="LineNumber">
    <w:name w:val="line number"/>
    <w:qFormat/>
    <w:rsid w:val="00E4669E"/>
    <w:rPr>
      <w:sz w:val="14"/>
    </w:rPr>
  </w:style>
  <w:style w:type="paragraph" w:customStyle="1" w:styleId="NormalBullet">
    <w:name w:val="Normal Bullet"/>
    <w:basedOn w:val="Normal"/>
    <w:next w:val="Normal"/>
    <w:qFormat/>
    <w:rsid w:val="00E4669E"/>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E4669E"/>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E4669E"/>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F91A55"/>
    <w:pPr>
      <w:spacing w:line="240" w:lineRule="auto"/>
    </w:pPr>
    <w:rPr>
      <w:szCs w:val="20"/>
    </w:rPr>
  </w:style>
  <w:style w:type="character" w:customStyle="1" w:styleId="CommentTextChar">
    <w:name w:val="Comment Text Char"/>
    <w:basedOn w:val="DefaultParagraphFont"/>
    <w:link w:val="CommentText"/>
    <w:uiPriority w:val="99"/>
    <w:rsid w:val="00F91A5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91A55"/>
    <w:rPr>
      <w:b/>
      <w:bCs/>
    </w:rPr>
  </w:style>
  <w:style w:type="character" w:customStyle="1" w:styleId="CommentSubjectChar">
    <w:name w:val="Comment Subject Char"/>
    <w:basedOn w:val="CommentTextChar"/>
    <w:link w:val="CommentSubject"/>
    <w:uiPriority w:val="99"/>
    <w:semiHidden/>
    <w:rsid w:val="00F91A55"/>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BA6E1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PSWG/87/1" TargetMode="External"/><Relationship Id="rId26" Type="http://schemas.openxmlformats.org/officeDocument/2006/relationships/hyperlink" Target="https://undocs.org/es/CEDAW/C/TKM/6" TargetMode="External"/><Relationship Id="rId39" Type="http://schemas.openxmlformats.org/officeDocument/2006/relationships/hyperlink" Target="https://undocs.org/es/CEDAW/C/TKM/RQ/6" TargetMode="External"/><Relationship Id="rId21" Type="http://schemas.openxmlformats.org/officeDocument/2006/relationships/hyperlink" Target="https://undocs.org/es/CEDAW/C/GRC/8-9" TargetMode="External"/><Relationship Id="rId34" Type="http://schemas.openxmlformats.org/officeDocument/2006/relationships/hyperlink" Target="https://undocs.org/es/CEDAW/C/TKM/Q/6"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DJI/4-5" TargetMode="External"/><Relationship Id="rId29" Type="http://schemas.openxmlformats.org/officeDocument/2006/relationships/hyperlink" Target="https://undocs.org/es/CEDAW/C/GRC/QPR/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OMN/4" TargetMode="External"/><Relationship Id="rId32" Type="http://schemas.openxmlformats.org/officeDocument/2006/relationships/hyperlink" Target="https://undocs.org/es/CEDAW/C/OMN/Q/4" TargetMode="External"/><Relationship Id="rId37" Type="http://schemas.openxmlformats.org/officeDocument/2006/relationships/hyperlink" Target="https://undocs.org/es/CEDAW/C/OMN/RQ/4" TargetMode="External"/><Relationship Id="rId40" Type="http://schemas.openxmlformats.org/officeDocument/2006/relationships/hyperlink" Target="https://undocs.org/es/CEDAW/C/88/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NER/5" TargetMode="External"/><Relationship Id="rId28" Type="http://schemas.openxmlformats.org/officeDocument/2006/relationships/hyperlink" Target="https://undocs.org/es/CEDAW/C/DJI/Q/4-5" TargetMode="External"/><Relationship Id="rId36" Type="http://schemas.openxmlformats.org/officeDocument/2006/relationships/hyperlink" Target="https://undocs.org/es/CEDAW/C/DJI/RQ/4-5" TargetMode="External"/><Relationship Id="rId10" Type="http://schemas.openxmlformats.org/officeDocument/2006/relationships/footer" Target="footer2.xml"/><Relationship Id="rId19" Type="http://schemas.openxmlformats.org/officeDocument/2006/relationships/hyperlink" Target="https://undocs.org/es/CEDAW/C/CAF/6" TargetMode="External"/><Relationship Id="rId31" Type="http://schemas.openxmlformats.org/officeDocument/2006/relationships/hyperlink" Target="https://undocs.org/es/CEDAW/C/NER/QPR/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ITA/8" TargetMode="External"/><Relationship Id="rId27" Type="http://schemas.openxmlformats.org/officeDocument/2006/relationships/hyperlink" Target="https://undocs.org/es/CEDAW/C/CAF/Q/6" TargetMode="External"/><Relationship Id="rId30" Type="http://schemas.openxmlformats.org/officeDocument/2006/relationships/hyperlink" Target="https://undocs.org/es/CEDAW/C/ITA/QPR/8" TargetMode="External"/><Relationship Id="rId35" Type="http://schemas.openxmlformats.org/officeDocument/2006/relationships/hyperlink" Target="https://undocs.org/es/CEDAW/C/CAF/RQ/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87/1" TargetMode="External"/><Relationship Id="rId25" Type="http://schemas.openxmlformats.org/officeDocument/2006/relationships/hyperlink" Target="https://undocs.org/es/CEDAW/C/TJK/7" TargetMode="External"/><Relationship Id="rId33" Type="http://schemas.openxmlformats.org/officeDocument/2006/relationships/hyperlink" Target="https://undocs.org/es/CEDAW/C/TJK/Q/7" TargetMode="External"/><Relationship Id="rId38" Type="http://schemas.openxmlformats.org/officeDocument/2006/relationships/hyperlink" Target="https://undocs.org/es/CEDAW/C/TJK/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1355</Words>
  <Characters>7725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Eduardo Alfaro</cp:lastModifiedBy>
  <cp:revision>8</cp:revision>
  <cp:lastPrinted>2023-12-11T17:57:00Z</cp:lastPrinted>
  <dcterms:created xsi:type="dcterms:W3CDTF">2023-12-11T17:56:00Z</dcterms:created>
  <dcterms:modified xsi:type="dcterms:W3CDTF">2023-12-11T17:57:00Z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2322497</vt:lpwstr>
  </property>
  <property fmtid="{D5CDD505-2E9C-101B-9397-08002B2CF9AE}" pid="3" name="ODSRefJobNo">
    <vt:lpwstr>2335968</vt:lpwstr>
  </property>
  <property fmtid="{D5CDD505-2E9C-101B-9397-08002B2CF9AE}" pid="4" name="Symbol1">
    <vt:lpwstr>CEDAW/C/87/1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4</vt:lpwstr>
  </property>
  <property fmtid="{D5CDD505-2E9C-101B-9397-08002B2CF9AE}" pid="10" name="Operator">
    <vt:lpwstr>AngelaPlefka / Claudia.</vt:lpwstr>
  </property>
  <property fmtid="{D5CDD505-2E9C-101B-9397-08002B2CF9AE}" pid="11" name="Translator">
    <vt:lpwstr>Sabela Avion</vt:lpwstr>
  </property>
  <property fmtid="{D5CDD505-2E9C-101B-9397-08002B2CF9AE}" pid="12" name="Session1">
    <vt:lpwstr>87º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ies>
</file>