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第411次会议简要记录</w:t>
      </w:r>
    </w:p>
    <w:p w:rsidR="00000000" w:rsidRDefault="00000000">
      <w:pPr>
        <w:spacing w:line="120" w:lineRule="exact"/>
        <w:rPr>
          <w:rFonts w:hint="eastAsia"/>
          <w:sz w:val="10"/>
        </w:rPr>
      </w:pPr>
    </w:p>
    <w:p w:rsidR="00000000" w:rsidRDefault="00000000">
      <w:pPr>
        <w:rPr>
          <w:rFonts w:hint="eastAsia"/>
        </w:rPr>
      </w:pPr>
      <w:r>
        <w:rPr>
          <w:rFonts w:hint="eastAsia"/>
        </w:rPr>
        <w:t>1999年1月25日，星期一，下午3时在纽约总部举行</w:t>
      </w:r>
    </w:p>
    <w:p w:rsidR="00000000" w:rsidRDefault="00000000">
      <w:pPr>
        <w:spacing w:line="120" w:lineRule="exact"/>
        <w:rPr>
          <w:rFonts w:hint="eastAsia"/>
          <w:sz w:val="10"/>
        </w:rPr>
      </w:pPr>
    </w:p>
    <w:p w:rsidR="00000000" w:rsidRDefault="00000000">
      <w:pPr>
        <w:tabs>
          <w:tab w:val="right" w:pos="1066"/>
          <w:tab w:val="left" w:pos="1267"/>
          <w:tab w:val="right" w:leader="dot" w:pos="8568"/>
        </w:tabs>
        <w:spacing w:line="120" w:lineRule="exact"/>
        <w:ind w:right="1264"/>
        <w:rPr>
          <w:color w:val="000000"/>
          <w:sz w:val="10"/>
        </w:rPr>
      </w:pPr>
    </w:p>
    <w:p w:rsidR="00000000" w:rsidRDefault="00000000">
      <w:pPr>
        <w:tabs>
          <w:tab w:val="right" w:pos="1066"/>
          <w:tab w:val="left" w:pos="1267"/>
          <w:tab w:val="right" w:leader="dot" w:pos="8568"/>
        </w:tabs>
        <w:ind w:right="1264"/>
        <w:rPr>
          <w:color w:val="000000"/>
        </w:rPr>
      </w:pPr>
      <w:r>
        <w:rPr>
          <w:color w:val="000000"/>
        </w:rPr>
        <w:tab/>
      </w:r>
      <w:r>
        <w:rPr>
          <w:rFonts w:eastAsia="KaiTi_GB2312" w:hint="eastAsia"/>
          <w:color w:val="0000FF"/>
        </w:rPr>
        <w:t>主席：</w:t>
      </w:r>
      <w:r>
        <w:rPr>
          <w:color w:val="000000"/>
        </w:rPr>
        <w:tab/>
      </w:r>
      <w:r>
        <w:rPr>
          <w:rFonts w:hint="eastAsia"/>
        </w:rPr>
        <w:t>G</w:t>
      </w:r>
      <w:r>
        <w:t>onz</w:t>
      </w:r>
      <w:r>
        <w:rPr>
          <w:rFonts w:ascii="Times New Roman"/>
        </w:rPr>
        <w:t>á</w:t>
      </w:r>
      <w:r>
        <w:t>lez</w:t>
      </w:r>
      <w:r>
        <w:rPr>
          <w:rFonts w:hint="eastAsia"/>
        </w:rPr>
        <w:t>女士</w:t>
      </w:r>
    </w:p>
    <w:p w:rsidR="00000000" w:rsidRDefault="00000000">
      <w:pPr>
        <w:tabs>
          <w:tab w:val="right" w:pos="1066"/>
          <w:tab w:val="left" w:pos="1267"/>
          <w:tab w:val="right" w:leader="dot" w:pos="8568"/>
        </w:tabs>
        <w:ind w:right="1264"/>
        <w:rPr>
          <w:color w:val="000000"/>
          <w:lang w:val="nl-BE"/>
        </w:rPr>
      </w:pPr>
      <w:r>
        <w:rPr>
          <w:color w:val="000000"/>
        </w:rPr>
        <w:tab/>
      </w:r>
      <w:r>
        <w:rPr>
          <w:rFonts w:ascii="KaiTi_GB2312" w:eastAsia="KaiTi_GB2312" w:hint="eastAsia"/>
          <w:color w:val="0000FF"/>
        </w:rPr>
        <w:t>嗣后</w:t>
      </w:r>
      <w:r>
        <w:rPr>
          <w:rFonts w:hint="eastAsia"/>
          <w:lang w:val="nl-BE"/>
        </w:rPr>
        <w:t>：</w:t>
      </w:r>
      <w:r>
        <w:rPr>
          <w:lang w:val="nl-BE"/>
        </w:rPr>
        <w:tab/>
        <w:t>Sch</w:t>
      </w:r>
      <w:r>
        <w:rPr>
          <w:rFonts w:ascii="Times New Roman"/>
          <w:lang w:val="nl-BE"/>
        </w:rPr>
        <w:t>ö</w:t>
      </w:r>
      <w:r>
        <w:rPr>
          <w:lang w:val="nl-BE"/>
        </w:rPr>
        <w:t>pp-Schilling</w:t>
      </w:r>
      <w:r>
        <w:rPr>
          <w:rFonts w:hint="eastAsia"/>
        </w:rPr>
        <w:t>女士</w:t>
      </w:r>
      <w:r>
        <w:rPr>
          <w:rFonts w:hint="eastAsia"/>
          <w:lang w:val="nl-BE"/>
        </w:rPr>
        <w:t>（</w:t>
      </w:r>
      <w:r>
        <w:rPr>
          <w:rFonts w:hint="eastAsia"/>
        </w:rPr>
        <w:t>副主席</w:t>
      </w:r>
      <w:r>
        <w:rPr>
          <w:rFonts w:hint="eastAsia"/>
          <w:lang w:val="nl-BE"/>
        </w:rPr>
        <w:t>）</w:t>
      </w:r>
    </w:p>
    <w:p w:rsidR="00000000" w:rsidRDefault="00000000">
      <w:pPr>
        <w:tabs>
          <w:tab w:val="right" w:pos="1066"/>
          <w:tab w:val="left" w:pos="1267"/>
          <w:tab w:val="right" w:leader="dot" w:pos="8568"/>
        </w:tabs>
        <w:ind w:right="1267"/>
        <w:rPr>
          <w:color w:val="000000"/>
          <w:lang w:val="nl-BE"/>
        </w:rPr>
      </w:pPr>
      <w:r>
        <w:rPr>
          <w:lang w:val="nl-BE"/>
        </w:rPr>
        <w:tab/>
      </w:r>
      <w:r>
        <w:rPr>
          <w:rFonts w:ascii="KaiTi_GB2312" w:eastAsia="KaiTi_GB2312" w:hint="eastAsia"/>
          <w:color w:val="0000FF"/>
        </w:rPr>
        <w:t>嗣后</w:t>
      </w:r>
      <w:r>
        <w:rPr>
          <w:rFonts w:hint="eastAsia"/>
          <w:lang w:val="nl-BE"/>
        </w:rPr>
        <w:t>：</w:t>
      </w:r>
      <w:r>
        <w:rPr>
          <w:lang w:val="nl-BE"/>
        </w:rPr>
        <w:tab/>
      </w:r>
      <w:r>
        <w:rPr>
          <w:rFonts w:hint="eastAsia"/>
          <w:lang w:val="nl-BE"/>
        </w:rPr>
        <w:t>G</w:t>
      </w:r>
      <w:r>
        <w:rPr>
          <w:lang w:val="nl-BE"/>
        </w:rPr>
        <w:t>onz</w:t>
      </w:r>
      <w:r>
        <w:rPr>
          <w:rFonts w:ascii="Times New Roman"/>
          <w:lang w:val="nl-BE"/>
        </w:rPr>
        <w:t>á</w:t>
      </w:r>
      <w:r>
        <w:rPr>
          <w:lang w:val="nl-BE"/>
        </w:rPr>
        <w:t>lez</w:t>
      </w:r>
      <w:r>
        <w:rPr>
          <w:rFonts w:hint="eastAsia"/>
        </w:rPr>
        <w:t>女士</w:t>
      </w:r>
      <w:r>
        <w:rPr>
          <w:rFonts w:hint="eastAsia"/>
          <w:lang w:val="nl-BE"/>
        </w:rPr>
        <w:t>（</w:t>
      </w:r>
      <w:r>
        <w:rPr>
          <w:rFonts w:hint="eastAsia"/>
        </w:rPr>
        <w:t>主席</w:t>
      </w:r>
      <w:r>
        <w:rPr>
          <w:rFonts w:hint="eastAsia"/>
          <w:lang w:val="nl-BE"/>
        </w:rPr>
        <w:t>）</w:t>
      </w:r>
    </w:p>
    <w:p w:rsidR="00000000" w:rsidRDefault="00000000">
      <w:pPr>
        <w:tabs>
          <w:tab w:val="right" w:pos="1066"/>
          <w:tab w:val="left" w:pos="1267"/>
          <w:tab w:val="right" w:leader="dot" w:pos="8568"/>
        </w:tabs>
        <w:ind w:right="1267"/>
        <w:rPr>
          <w:color w:val="000000"/>
          <w:lang w:val="nl-BE"/>
        </w:rPr>
      </w:pPr>
      <w:r>
        <w:rPr>
          <w:color w:val="000000"/>
          <w:lang w:val="nl-BE"/>
        </w:rPr>
        <w:tab/>
      </w:r>
    </w:p>
    <w:p w:rsidR="00000000" w:rsidRDefault="00000000">
      <w:pPr>
        <w:tabs>
          <w:tab w:val="right" w:pos="1066"/>
          <w:tab w:val="left" w:pos="1267"/>
          <w:tab w:val="right" w:leader="dot" w:pos="8568"/>
        </w:tabs>
        <w:spacing w:line="120" w:lineRule="exact"/>
        <w:ind w:right="1267"/>
        <w:rPr>
          <w:color w:val="000000"/>
          <w:sz w:val="10"/>
          <w:lang w:val="nl-BE"/>
        </w:rPr>
      </w:pPr>
    </w:p>
    <w:p w:rsidR="00000000" w:rsidRDefault="00000000">
      <w:pPr>
        <w:tabs>
          <w:tab w:val="right" w:pos="1066"/>
          <w:tab w:val="left" w:pos="1267"/>
          <w:tab w:val="right" w:leader="dot" w:pos="8568"/>
        </w:tabs>
        <w:spacing w:line="120" w:lineRule="exact"/>
        <w:ind w:right="1267"/>
        <w:rPr>
          <w:color w:val="000000"/>
          <w:sz w:val="10"/>
          <w:lang w:val="nl-BE"/>
        </w:rPr>
      </w:pPr>
    </w:p>
    <w:p w:rsidR="00000000" w:rsidRDefault="00000000">
      <w:pPr>
        <w:tabs>
          <w:tab w:val="right" w:pos="1066"/>
          <w:tab w:val="left" w:pos="1267"/>
          <w:tab w:val="right" w:leader="dot" w:pos="8568"/>
        </w:tabs>
        <w:spacing w:line="120" w:lineRule="exact"/>
        <w:ind w:right="1267"/>
        <w:rPr>
          <w:color w:val="000000"/>
          <w:sz w:val="10"/>
          <w:lang w:val="nl-BE"/>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审议缔约国按照《公约》第18条规定提交的报告（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tab/>
      </w:r>
      <w:r>
        <w:rPr>
          <w:rFonts w:ascii="KaiTi_GB2312" w:eastAsia="KaiTi_GB2312" w:hint="eastAsia"/>
          <w:color w:val="0000FF"/>
        </w:rPr>
        <w:t>列支敦士登的初次报告</w:t>
      </w:r>
    </w:p>
    <w:p w:rsidR="00000000" w:rsidRDefault="00000000">
      <w:pPr>
        <w:pStyle w:val="SingleTxt"/>
        <w:rPr>
          <w:rFonts w:hint="eastAsia"/>
        </w:rPr>
      </w:pPr>
    </w:p>
    <w:p w:rsidR="00000000" w:rsidRDefault="00000000">
      <w:pPr>
        <w:pStyle w:val="SingleTxt"/>
        <w:spacing w:after="0" w:line="6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spacing w:after="120"/>
        <w:rPr>
          <w:rFonts w:hint="eastAsia"/>
        </w:rPr>
      </w:pPr>
      <w:r>
        <w:rPr>
          <w:rFonts w:hint="eastAsia"/>
        </w:rPr>
        <w:tab/>
      </w:r>
      <w:r>
        <w:rPr>
          <w:rFonts w:ascii="KaiTi_GB2312" w:eastAsia="KaiTi_GB2312" w:hint="eastAsia"/>
          <w:color w:val="0000FF"/>
        </w:rPr>
        <w:t>下午3时10分宣布开会</w:t>
      </w:r>
      <w:r>
        <w:rPr>
          <w:rFonts w:hint="eastAsia"/>
        </w:rPr>
        <w:t>。</w:t>
      </w:r>
    </w:p>
    <w:p w:rsidR="00000000" w:rsidRDefault="00000000">
      <w:pPr>
        <w:pStyle w:val="DualTxt"/>
        <w:spacing w:after="120"/>
        <w:rPr>
          <w:rFonts w:hint="eastAsia"/>
        </w:rPr>
      </w:pPr>
      <w:r>
        <w:rPr>
          <w:rFonts w:ascii="SimHei" w:eastAsia="SimHei" w:hint="eastAsia"/>
          <w:color w:val="FF0000"/>
        </w:rPr>
        <w:t>审议缔约国按照《公约》第18条规定提交的报告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120"/>
        <w:rPr>
          <w:rFonts w:hint="eastAsia"/>
        </w:rPr>
      </w:pPr>
      <w:r>
        <w:rPr>
          <w:rFonts w:ascii="KaiTi_GB2312" w:eastAsia="KaiTi_GB2312" w:hint="eastAsia"/>
          <w:color w:val="0000FF"/>
        </w:rPr>
        <w:t>列支敦士登的初次报告（CEDAW/C/LIE/1）</w:t>
      </w:r>
    </w:p>
    <w:p w:rsidR="00000000" w:rsidRDefault="00000000">
      <w:pPr>
        <w:pStyle w:val="DualTxt"/>
        <w:spacing w:after="120"/>
        <w:rPr>
          <w:rFonts w:hint="eastAsia"/>
        </w:rPr>
      </w:pPr>
      <w:r>
        <w:rPr>
          <w:rFonts w:hint="eastAsia"/>
        </w:rPr>
        <w:t>1.</w:t>
      </w:r>
      <w:r>
        <w:rPr>
          <w:rFonts w:hint="eastAsia"/>
        </w:rPr>
        <w:tab/>
        <w:t>应主席邀请，W</w:t>
      </w:r>
      <w:r>
        <w:t>illi</w:t>
      </w:r>
      <w:r>
        <w:rPr>
          <w:rFonts w:hint="eastAsia"/>
        </w:rPr>
        <w:t>女士（列支敦士登）在委员会议席就座。</w:t>
      </w:r>
    </w:p>
    <w:p w:rsidR="00000000" w:rsidRDefault="00000000">
      <w:pPr>
        <w:pStyle w:val="DualTxt"/>
        <w:spacing w:after="120"/>
        <w:rPr>
          <w:rFonts w:ascii="KaiTi_GB2312" w:eastAsia="KaiTi_GB2312" w:hint="eastAsia"/>
          <w:color w:val="0000FF"/>
        </w:rPr>
      </w:pPr>
      <w:r>
        <w:rPr>
          <w:rFonts w:ascii="KaiTi_GB2312" w:eastAsia="KaiTi_GB2312" w:hint="eastAsia"/>
          <w:color w:val="0000FF"/>
        </w:rPr>
        <w:t>第4条</w:t>
      </w:r>
    </w:p>
    <w:p w:rsidR="00000000" w:rsidRDefault="00000000">
      <w:pPr>
        <w:pStyle w:val="DualTxt"/>
        <w:spacing w:after="120"/>
        <w:rPr>
          <w:rFonts w:hint="eastAsia"/>
        </w:rPr>
      </w:pPr>
      <w:r>
        <w:rPr>
          <w:rFonts w:hint="eastAsia"/>
        </w:rPr>
        <w:t>2.</w:t>
      </w:r>
      <w:r>
        <w:rPr>
          <w:rFonts w:hint="eastAsia"/>
        </w:rPr>
        <w:tab/>
      </w:r>
      <w:r>
        <w:rPr>
          <w:rFonts w:ascii="SimHei" w:eastAsia="SimHei" w:hint="eastAsia"/>
          <w:color w:val="FF0000"/>
        </w:rPr>
        <w:t>R</w:t>
      </w:r>
      <w:r>
        <w:rPr>
          <w:rFonts w:ascii="SimHei" w:eastAsia="SimHei"/>
          <w:color w:val="FF0000"/>
        </w:rPr>
        <w:t>yel</w:t>
      </w:r>
      <w:r>
        <w:rPr>
          <w:rFonts w:ascii="SimHei" w:eastAsia="SimHei" w:hint="eastAsia"/>
          <w:color w:val="FF0000"/>
        </w:rPr>
        <w:t>女士</w:t>
      </w:r>
      <w:r>
        <w:rPr>
          <w:rFonts w:hint="eastAsia"/>
        </w:rPr>
        <w:t>说，只有根本改变态度，才能使男子分担育儿和家务责任。为此，政府应采取临时特别措施，例如规定男子具有1个月的陪产假、为改善妇女参政制定配额制度以及开展提高公众认识运动，从而鼓励妇女为妇女候选人投票。</w:t>
      </w:r>
    </w:p>
    <w:p w:rsidR="00000000" w:rsidRDefault="00000000">
      <w:pPr>
        <w:pStyle w:val="DualTxt"/>
        <w:spacing w:after="120"/>
        <w:rPr>
          <w:rFonts w:hint="eastAsia"/>
        </w:rPr>
      </w:pPr>
      <w:r>
        <w:rPr>
          <w:rFonts w:hint="eastAsia"/>
        </w:rPr>
        <w:t>3.</w:t>
      </w:r>
      <w:r>
        <w:rPr>
          <w:rFonts w:hint="eastAsia"/>
        </w:rPr>
        <w:tab/>
      </w:r>
      <w:r>
        <w:rPr>
          <w:rFonts w:ascii="SimHei" w:eastAsia="SimHei" w:hint="eastAsia"/>
          <w:color w:val="FF0000"/>
        </w:rPr>
        <w:t>A</w:t>
      </w:r>
      <w:r>
        <w:rPr>
          <w:rFonts w:ascii="SimHei" w:eastAsia="SimHei"/>
          <w:color w:val="FF0000"/>
        </w:rPr>
        <w:t>baka</w:t>
      </w:r>
      <w:r>
        <w:rPr>
          <w:rFonts w:ascii="SimHei" w:eastAsia="SimHei" w:hint="eastAsia"/>
          <w:color w:val="FF0000"/>
        </w:rPr>
        <w:t>女士</w:t>
      </w:r>
      <w:r>
        <w:rPr>
          <w:rFonts w:hint="eastAsia"/>
        </w:rPr>
        <w:t>指出，禁止优待妇女的做法反映了对第4条的严重误解。鉴于列支敦士登妇女参政几乎是微不足道的，因此，必须鼓励各政党采行配额制度。妇女候选人往往被安排在注定败选的选区。还需要采取特别措施，消除在教育领域的性别陈规定型观念，鼓励女孩和妇女进入男子为主导的专业。</w:t>
      </w:r>
    </w:p>
    <w:p w:rsidR="00000000" w:rsidRDefault="00000000">
      <w:pPr>
        <w:pStyle w:val="DualTxt"/>
        <w:spacing w:after="120"/>
        <w:rPr>
          <w:rFonts w:ascii="KaiTi_GB2312" w:eastAsia="KaiTi_GB2312" w:hint="eastAsia"/>
          <w:color w:val="0000FF"/>
        </w:rPr>
      </w:pPr>
      <w:r>
        <w:rPr>
          <w:rFonts w:ascii="KaiTi_GB2312" w:eastAsia="KaiTi_GB2312" w:hint="eastAsia"/>
          <w:color w:val="0000FF"/>
        </w:rPr>
        <w:t>第5条</w:t>
      </w:r>
    </w:p>
    <w:p w:rsidR="00000000" w:rsidRDefault="00000000">
      <w:pPr>
        <w:pStyle w:val="DualTxt"/>
        <w:spacing w:after="120"/>
        <w:rPr>
          <w:rFonts w:hint="eastAsia"/>
        </w:rPr>
      </w:pPr>
      <w:r>
        <w:rPr>
          <w:rFonts w:hint="eastAsia"/>
        </w:rPr>
        <w:t>4.</w:t>
      </w:r>
      <w:r>
        <w:rPr>
          <w:rFonts w:hint="eastAsia"/>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说，列支敦士登政府的一项主要关切是克服根深蒂固的陈规定型观念，委员会欢迎提供有关政府组织的提高公众认识活动的资料，包括为记者和教师进行培训的情况。令人关切的是，男子仍获得较大份额的继承权，政府应通过宣传由法院审理的有关案例，使公众了解这种做法是不合法的也是不公平的。</w:t>
      </w:r>
    </w:p>
    <w:p w:rsidR="00000000" w:rsidRDefault="00000000">
      <w:pPr>
        <w:pStyle w:val="DualTxt"/>
        <w:spacing w:after="120"/>
        <w:rPr>
          <w:rFonts w:hint="eastAsia"/>
        </w:rPr>
      </w:pPr>
      <w:r>
        <w:rPr>
          <w:rFonts w:hint="eastAsia"/>
        </w:rPr>
        <w:t>5.</w:t>
      </w:r>
      <w:r>
        <w:rPr>
          <w:rFonts w:hint="eastAsia"/>
        </w:rPr>
        <w:tab/>
      </w:r>
      <w:r>
        <w:rPr>
          <w:rFonts w:ascii="SimHei" w:eastAsia="SimHei" w:hint="eastAsia"/>
          <w:color w:val="FF0000"/>
        </w:rPr>
        <w:t>R</w:t>
      </w:r>
      <w:r>
        <w:rPr>
          <w:rFonts w:ascii="SimHei" w:eastAsia="SimHei"/>
          <w:color w:val="FF0000"/>
        </w:rPr>
        <w:t>egazzoli</w:t>
      </w:r>
      <w:r>
        <w:rPr>
          <w:rFonts w:ascii="SimHei" w:eastAsia="SimHei" w:hint="eastAsia"/>
          <w:color w:val="FF0000"/>
        </w:rPr>
        <w:t>女士</w:t>
      </w:r>
      <w:r>
        <w:rPr>
          <w:rFonts w:hint="eastAsia"/>
        </w:rPr>
        <w:t>请该代表团提供资料说明为消除取消学校教学大纲中的性别主义采取了哪些具体措施。应向儿童灌输适当的文化模式，因为很难说服成人放弃根深蒂固的陈规定型观念和偏见。</w:t>
      </w:r>
    </w:p>
    <w:p w:rsidR="00000000" w:rsidRDefault="00000000">
      <w:pPr>
        <w:pStyle w:val="DualTxt"/>
        <w:rPr>
          <w:rFonts w:hint="eastAsia"/>
        </w:rPr>
      </w:pPr>
      <w:r>
        <w:rPr>
          <w:rFonts w:hint="eastAsia"/>
        </w:rPr>
        <w:t>6.</w:t>
      </w:r>
      <w:r>
        <w:rPr>
          <w:rFonts w:hint="eastAsia"/>
        </w:rPr>
        <w:tab/>
      </w:r>
      <w:r>
        <w:rPr>
          <w:rFonts w:ascii="SimHei" w:eastAsia="SimHei"/>
          <w:color w:val="FF0000"/>
        </w:rPr>
        <w:t>Ryel</w:t>
      </w:r>
      <w:r>
        <w:rPr>
          <w:rFonts w:ascii="SimHei" w:eastAsia="SimHei" w:hint="eastAsia"/>
          <w:color w:val="FF0000"/>
        </w:rPr>
        <w:t>女士</w:t>
      </w:r>
      <w:r>
        <w:rPr>
          <w:rFonts w:hint="eastAsia"/>
        </w:rPr>
        <w:t>强调必须对影视广告中出现的恶劣陈规定型观念提高认识，并必须去除不敢揭露家庭暴力的禁忌。如果澄清有关“妇女之家”的使用情况和活动数据将有助于委员会确定家庭暴力在列支敦士登发生的情况。</w:t>
      </w:r>
    </w:p>
    <w:p w:rsidR="00000000" w:rsidRDefault="00000000">
      <w:pPr>
        <w:pStyle w:val="DualTxt"/>
        <w:rPr>
          <w:rFonts w:hint="eastAsia"/>
          <w:spacing w:val="4"/>
        </w:rPr>
      </w:pPr>
      <w:r>
        <w:rPr>
          <w:rFonts w:hint="eastAsia"/>
        </w:rPr>
        <w:t>7.</w:t>
      </w:r>
      <w:r>
        <w:rPr>
          <w:rFonts w:hint="eastAsia"/>
        </w:rPr>
        <w:tab/>
      </w:r>
      <w:r>
        <w:rPr>
          <w:rFonts w:ascii="SimHei" w:eastAsia="SimHei"/>
          <w:color w:val="FF0000"/>
        </w:rPr>
        <w:t>Ferrer</w:t>
      </w:r>
      <w:r>
        <w:rPr>
          <w:rFonts w:ascii="SimHei" w:eastAsia="SimHei" w:hint="eastAsia"/>
          <w:color w:val="FF0000"/>
        </w:rPr>
        <w:t>女士</w:t>
      </w:r>
      <w:r>
        <w:rPr>
          <w:rFonts w:hint="eastAsia"/>
          <w:spacing w:val="4"/>
        </w:rPr>
        <w:t>强调说，在执行《公约》方面能否取得进展取决于态度的根本改变。在这方面，她要求获得资料说明在学校基础教育领域成功开展的活动以及为从事各级教育的教师执行方案的情况。公众必须了解家务劳动和育儿是男子和妇女的共同责任。</w:t>
      </w:r>
    </w:p>
    <w:p w:rsidR="00000000" w:rsidRDefault="00000000">
      <w:pPr>
        <w:pStyle w:val="DualTxt"/>
        <w:rPr>
          <w:rFonts w:hint="eastAsia"/>
        </w:rPr>
      </w:pPr>
      <w:r>
        <w:rPr>
          <w:rFonts w:hint="eastAsia"/>
        </w:rPr>
        <w:t>8.</w:t>
      </w:r>
      <w:r>
        <w:rPr>
          <w:rFonts w:hint="eastAsia"/>
        </w:rPr>
        <w:tab/>
      </w:r>
      <w:r>
        <w:rPr>
          <w:rFonts w:ascii="SimHei" w:eastAsia="SimHei" w:hint="eastAsia"/>
          <w:color w:val="FF0000"/>
        </w:rPr>
        <w:t>K</w:t>
      </w:r>
      <w:r>
        <w:rPr>
          <w:rFonts w:ascii="SimHei" w:eastAsia="SimHei"/>
          <w:color w:val="FF0000"/>
        </w:rPr>
        <w:t>im Yung-chung</w:t>
      </w:r>
      <w:r>
        <w:rPr>
          <w:rFonts w:ascii="SimHei" w:eastAsia="SimHei" w:hint="eastAsia"/>
          <w:color w:val="FF0000"/>
        </w:rPr>
        <w:t>女士</w:t>
      </w:r>
      <w:r>
        <w:rPr>
          <w:rFonts w:hint="eastAsia"/>
        </w:rPr>
        <w:t>强调说，教师和父母在形成文化模式和行为操守方面起着重要作用。</w:t>
      </w:r>
    </w:p>
    <w:p w:rsidR="00000000" w:rsidRDefault="00000000">
      <w:pPr>
        <w:pStyle w:val="DualTxt"/>
        <w:rPr>
          <w:rFonts w:ascii="KaiTi_GB2312" w:eastAsia="KaiTi_GB2312" w:hint="eastAsia"/>
          <w:color w:val="0000FF"/>
        </w:rPr>
      </w:pPr>
      <w:r>
        <w:rPr>
          <w:rFonts w:ascii="KaiTi_GB2312" w:eastAsia="KaiTi_GB2312" w:hint="eastAsia"/>
          <w:color w:val="0000FF"/>
        </w:rPr>
        <w:t>第6条</w:t>
      </w:r>
    </w:p>
    <w:p w:rsidR="00000000" w:rsidRDefault="00000000">
      <w:pPr>
        <w:pStyle w:val="DualTxt"/>
        <w:rPr>
          <w:rFonts w:hint="eastAsia"/>
        </w:rPr>
      </w:pPr>
      <w:r>
        <w:rPr>
          <w:rFonts w:hint="eastAsia"/>
        </w:rPr>
        <w:t>9.</w:t>
      </w:r>
      <w:r>
        <w:rPr>
          <w:rFonts w:hint="eastAsia"/>
        </w:rPr>
        <w:tab/>
      </w:r>
      <w:r>
        <w:rPr>
          <w:rFonts w:ascii="SimHei" w:eastAsia="SimHei"/>
          <w:color w:val="FF0000"/>
        </w:rPr>
        <w:t>Hazelle</w:t>
      </w:r>
      <w:r>
        <w:rPr>
          <w:rFonts w:ascii="SimHei" w:eastAsia="SimHei" w:hint="eastAsia"/>
          <w:color w:val="FF0000"/>
        </w:rPr>
        <w:t>女士</w:t>
      </w:r>
      <w:r>
        <w:rPr>
          <w:rFonts w:hint="eastAsia"/>
        </w:rPr>
        <w:t>赞扬列支敦士登确认婚内强奸和工作单位的性骚扰是应受惩处的法定罪行。她询问在起诉家庭暴力和其他基于性别的暴力行为时，使用的是哪部立法。她还想知道是否把对妇女的暴力行为一事纳入国家执行《北京行动纲要》的计划。</w:t>
      </w:r>
    </w:p>
    <w:p w:rsidR="00000000" w:rsidRDefault="00000000">
      <w:pPr>
        <w:pStyle w:val="DualTxt"/>
        <w:spacing w:after="160"/>
        <w:rPr>
          <w:rFonts w:hint="eastAsia"/>
        </w:rPr>
      </w:pPr>
      <w:r>
        <w:rPr>
          <w:rFonts w:hint="eastAsia"/>
        </w:rPr>
        <w:t>10.</w:t>
      </w:r>
      <w:r>
        <w:rPr>
          <w:rFonts w:hint="eastAsia"/>
        </w:rPr>
        <w:tab/>
      </w:r>
      <w:r>
        <w:t>Sch</w:t>
      </w:r>
      <w:r>
        <w:rPr>
          <w:rFonts w:ascii="Times New Roman"/>
        </w:rPr>
        <w:t>ö</w:t>
      </w:r>
      <w:r>
        <w:t>pp-Schilling</w:t>
      </w:r>
      <w:r>
        <w:rPr>
          <w:rFonts w:hint="eastAsia"/>
        </w:rPr>
        <w:t>女士主持会议。</w:t>
      </w:r>
    </w:p>
    <w:p w:rsidR="00000000" w:rsidRDefault="00000000">
      <w:pPr>
        <w:pStyle w:val="DualTxt"/>
        <w:spacing w:after="160"/>
        <w:rPr>
          <w:rFonts w:hint="eastAsia"/>
        </w:rPr>
      </w:pPr>
      <w:r>
        <w:rPr>
          <w:rFonts w:hint="eastAsia"/>
        </w:rPr>
        <w:t>11.</w:t>
      </w:r>
      <w:r>
        <w:rPr>
          <w:rFonts w:hint="eastAsia"/>
        </w:rPr>
        <w:tab/>
      </w:r>
      <w:r>
        <w:rPr>
          <w:rFonts w:ascii="SimHei" w:eastAsia="SimHei" w:hint="eastAsia"/>
          <w:color w:val="FF0000"/>
        </w:rPr>
        <w:t>M</w:t>
      </w:r>
      <w:r>
        <w:rPr>
          <w:rFonts w:ascii="SimHei" w:eastAsia="SimHei"/>
          <w:color w:val="FF0000"/>
        </w:rPr>
        <w:t>analo</w:t>
      </w:r>
      <w:r>
        <w:rPr>
          <w:rFonts w:ascii="SimHei" w:eastAsia="SimHei" w:hint="eastAsia"/>
          <w:color w:val="FF0000"/>
        </w:rPr>
        <w:t>女士</w:t>
      </w:r>
      <w:r>
        <w:rPr>
          <w:rFonts w:hint="eastAsia"/>
        </w:rPr>
        <w:t>提到非婚生子女的处境问题，如果母亲依法负有唯一抚养权，父亲是否以某种负责的方式支助该名子女并承认为其生父。该国代表团应提供资料，说明《公民通用法典》在继承权、搬迁自由和开业等领域歧视妇女的任何规定；该国代表团还应说明政府是否设想制定综合性法律，以去除《法典》中的歧视性条款。委员会也有兴趣了解是否考虑过让一名女性皇室老年成员分享王位。</w:t>
      </w:r>
    </w:p>
    <w:p w:rsidR="00000000" w:rsidRDefault="00000000">
      <w:pPr>
        <w:pStyle w:val="DualTxt"/>
        <w:spacing w:after="160"/>
        <w:rPr>
          <w:rFonts w:ascii="KaiTi_GB2312" w:eastAsia="KaiTi_GB2312" w:hint="eastAsia"/>
          <w:color w:val="0000FF"/>
        </w:rPr>
      </w:pPr>
      <w:r>
        <w:rPr>
          <w:rFonts w:ascii="KaiTi_GB2312" w:eastAsia="KaiTi_GB2312" w:hint="eastAsia"/>
          <w:color w:val="0000FF"/>
        </w:rPr>
        <w:t>第7条</w:t>
      </w:r>
    </w:p>
    <w:p w:rsidR="00000000" w:rsidRDefault="00000000">
      <w:pPr>
        <w:pStyle w:val="DualTxt"/>
        <w:spacing w:after="160"/>
        <w:rPr>
          <w:rFonts w:hint="eastAsia"/>
        </w:rPr>
      </w:pPr>
      <w:r>
        <w:rPr>
          <w:rFonts w:hint="eastAsia"/>
        </w:rPr>
        <w:t>12.</w:t>
      </w:r>
      <w:r>
        <w:rPr>
          <w:rFonts w:hint="eastAsia"/>
        </w:rPr>
        <w:tab/>
      </w:r>
      <w:r>
        <w:rPr>
          <w:rFonts w:ascii="SimHei" w:eastAsia="SimHei" w:hint="eastAsia"/>
          <w:color w:val="FF0000"/>
        </w:rPr>
        <w:t>冯淬女士</w:t>
      </w:r>
      <w:r>
        <w:rPr>
          <w:rFonts w:hint="eastAsia"/>
        </w:rPr>
        <w:t>说，列支敦士登妇女直到1984年才拥有选举权一事说明了社会上普遍存在着对妇女的歧视。提供更多的数据说明妇女参加选举的情况将是有助益的。该代表团应提供细节说明平等局的活动，说明政府对1997年妇女候选人未能入选郎塔格（由25名议员所组成的一院制国会）有何反应。</w:t>
      </w:r>
    </w:p>
    <w:p w:rsidR="00000000" w:rsidRDefault="00000000">
      <w:pPr>
        <w:pStyle w:val="DualTxt"/>
        <w:rPr>
          <w:rFonts w:hint="eastAsia"/>
        </w:rPr>
      </w:pPr>
      <w:r>
        <w:rPr>
          <w:rFonts w:hint="eastAsia"/>
        </w:rPr>
        <w:t>13.</w:t>
      </w:r>
      <w:r>
        <w:rPr>
          <w:rFonts w:ascii="SimHei" w:eastAsia="SimHei" w:hint="eastAsia"/>
          <w:color w:val="FF0000"/>
        </w:rPr>
        <w:tab/>
      </w:r>
      <w:r>
        <w:rPr>
          <w:rFonts w:ascii="SimHei" w:eastAsia="SimHei"/>
          <w:color w:val="FF0000"/>
        </w:rPr>
        <w:t>Manalo</w:t>
      </w:r>
      <w:r>
        <w:rPr>
          <w:rFonts w:ascii="SimHei" w:eastAsia="SimHei" w:hint="eastAsia"/>
          <w:color w:val="FF0000"/>
        </w:rPr>
        <w:t>女士</w:t>
      </w:r>
      <w:r>
        <w:rPr>
          <w:rFonts w:hint="eastAsia"/>
        </w:rPr>
        <w:t>说，遗憾的是，列支敦士登的政体没有对妇女配额作出硬性规定。该国代表团应提供一项评估，说明为进一步推动妇女参政而采取的具体措施的效果，包括评估女性投票影响力的调查细节。</w:t>
      </w:r>
    </w:p>
    <w:p w:rsidR="00000000" w:rsidRDefault="00000000">
      <w:pPr>
        <w:pStyle w:val="DualTxt"/>
        <w:spacing w:after="160"/>
        <w:rPr>
          <w:rFonts w:hint="eastAsia"/>
        </w:rPr>
      </w:pPr>
      <w:r>
        <w:rPr>
          <w:rFonts w:hint="eastAsia"/>
        </w:rPr>
        <w:t>14.</w:t>
      </w:r>
      <w:r>
        <w:rPr>
          <w:rFonts w:hint="eastAsia"/>
        </w:rPr>
        <w:tab/>
      </w:r>
      <w:r>
        <w:rPr>
          <w:rFonts w:ascii="SimHei" w:eastAsia="SimHei" w:hint="eastAsia"/>
          <w:color w:val="FF0000"/>
        </w:rPr>
        <w:t>主席</w:t>
      </w:r>
      <w:r>
        <w:rPr>
          <w:rFonts w:hint="eastAsia"/>
        </w:rPr>
        <w:t>以个人名义发言，她问是否有专门负责对妇女进行公民教育的妇女组织，并问政府是否在这方面提供了鼓励措施。该国政府也应说明各政党的妇女成员人数，并提供有关选举方式、即性别和选举者所需年代的信息。</w:t>
      </w:r>
    </w:p>
    <w:p w:rsidR="00000000" w:rsidRDefault="00000000">
      <w:pPr>
        <w:pStyle w:val="DualTxt"/>
        <w:spacing w:after="160"/>
        <w:rPr>
          <w:rFonts w:ascii="KaiTi_GB2312" w:eastAsia="KaiTi_GB2312" w:hint="eastAsia"/>
          <w:color w:val="0000FF"/>
        </w:rPr>
      </w:pPr>
      <w:r>
        <w:rPr>
          <w:rFonts w:ascii="KaiTi_GB2312" w:eastAsia="KaiTi_GB2312" w:hint="eastAsia"/>
          <w:color w:val="0000FF"/>
        </w:rPr>
        <w:t>第10条</w:t>
      </w:r>
    </w:p>
    <w:p w:rsidR="00000000" w:rsidRDefault="00000000">
      <w:pPr>
        <w:pStyle w:val="DualTxt"/>
        <w:spacing w:after="160"/>
        <w:rPr>
          <w:rFonts w:hint="eastAsia"/>
        </w:rPr>
      </w:pPr>
      <w:r>
        <w:rPr>
          <w:rFonts w:hint="eastAsia"/>
        </w:rPr>
        <w:t>15.</w:t>
      </w:r>
      <w:r>
        <w:rPr>
          <w:rFonts w:hint="eastAsia"/>
        </w:rPr>
        <w:tab/>
      </w:r>
      <w:r>
        <w:rPr>
          <w:rFonts w:ascii="SimHei" w:eastAsia="SimHei" w:hint="eastAsia"/>
          <w:color w:val="FF0000"/>
        </w:rPr>
        <w:t>F</w:t>
      </w:r>
      <w:r>
        <w:rPr>
          <w:rFonts w:ascii="SimHei" w:eastAsia="SimHei"/>
          <w:color w:val="FF0000"/>
        </w:rPr>
        <w:t>errer</w:t>
      </w:r>
      <w:r>
        <w:rPr>
          <w:rFonts w:ascii="SimHei" w:eastAsia="SimHei" w:hint="eastAsia"/>
          <w:color w:val="FF0000"/>
        </w:rPr>
        <w:t>女士</w:t>
      </w:r>
      <w:r>
        <w:rPr>
          <w:rFonts w:hint="eastAsia"/>
        </w:rPr>
        <w:t>说，该报告第143段说，“在学校基础教育中女孩和男孩之间简直没有什么差别”，她希望知道“简直”一词的意思。她想知道为鼓励女孩接受高等教育，尤其是非传统领域的高等教育，是否执行了职业指导方案或采取了其他措施。</w:t>
      </w:r>
    </w:p>
    <w:p w:rsidR="00000000" w:rsidRDefault="00000000">
      <w:pPr>
        <w:pStyle w:val="DualTxt"/>
        <w:spacing w:after="160"/>
        <w:rPr>
          <w:rFonts w:hint="eastAsia"/>
        </w:rPr>
      </w:pPr>
      <w:r>
        <w:rPr>
          <w:rFonts w:hint="eastAsia"/>
        </w:rPr>
        <w:t>16.</w:t>
      </w:r>
      <w:r>
        <w:rPr>
          <w:rFonts w:ascii="SimHei" w:eastAsia="SimHei" w:hint="eastAsia"/>
          <w:color w:val="FF0000"/>
        </w:rPr>
        <w:tab/>
      </w:r>
      <w:r>
        <w:rPr>
          <w:rFonts w:ascii="SimHei" w:eastAsia="SimHei"/>
          <w:color w:val="FF0000"/>
        </w:rPr>
        <w:t>Manalo</w:t>
      </w:r>
      <w:r>
        <w:rPr>
          <w:rFonts w:ascii="SimHei" w:eastAsia="SimHei" w:hint="eastAsia"/>
          <w:color w:val="FF0000"/>
        </w:rPr>
        <w:t>女士</w:t>
      </w:r>
      <w:r>
        <w:rPr>
          <w:rFonts w:hint="eastAsia"/>
        </w:rPr>
        <w:t>问当前的课程审查包括采取措施改变男孩和女孩传统的性别角色形象。该国代表团曾说，选择当学徒或参与其他形式的职业培训的女孩比男孩少得多。在这方面，她想知道是否为鼓励实科中学或高中女生选择学徒制并促使雇主招收女生为学徒执行了具体方案。</w:t>
      </w:r>
    </w:p>
    <w:p w:rsidR="00000000" w:rsidRDefault="00000000">
      <w:pPr>
        <w:pStyle w:val="DualTxt"/>
        <w:spacing w:after="160"/>
        <w:rPr>
          <w:rFonts w:hint="eastAsia"/>
        </w:rPr>
      </w:pPr>
      <w:r>
        <w:rPr>
          <w:rFonts w:hint="eastAsia"/>
        </w:rPr>
        <w:t>17.</w:t>
      </w:r>
      <w:r>
        <w:rPr>
          <w:rFonts w:ascii="SimHei" w:eastAsia="SimHei" w:hint="eastAsia"/>
          <w:color w:val="FF0000"/>
        </w:rPr>
        <w:tab/>
      </w:r>
      <w:r>
        <w:rPr>
          <w:rFonts w:ascii="SimHei" w:eastAsia="SimHei"/>
          <w:color w:val="FF0000"/>
        </w:rPr>
        <w:t>Kim Yung-chung</w:t>
      </w:r>
      <w:r>
        <w:rPr>
          <w:rFonts w:ascii="SimHei" w:eastAsia="SimHei" w:hint="eastAsia"/>
          <w:color w:val="FF0000"/>
        </w:rPr>
        <w:t>女士</w:t>
      </w:r>
      <w:r>
        <w:rPr>
          <w:rFonts w:hint="eastAsia"/>
        </w:rPr>
        <w:t>问职业辅导员和公共部门是否接受对性别问题有敏感认识的培训，如果没有接受过这类培训，他们将无助于促进女孩从事非传统事业。她还问采取了何种其他措施鼓励女孩接受高等教育，并增加在高级别职位任职妇女的人数。</w:t>
      </w:r>
    </w:p>
    <w:p w:rsidR="00000000" w:rsidRDefault="00000000">
      <w:pPr>
        <w:pStyle w:val="DualTxt"/>
        <w:spacing w:after="160"/>
        <w:rPr>
          <w:rFonts w:hint="eastAsia"/>
        </w:rPr>
      </w:pPr>
      <w:r>
        <w:rPr>
          <w:rFonts w:hint="eastAsia"/>
        </w:rPr>
        <w:t>18.</w:t>
      </w:r>
      <w:r>
        <w:rPr>
          <w:rFonts w:ascii="SimHei" w:eastAsia="SimHei" w:hint="eastAsia"/>
          <w:color w:val="FF0000"/>
        </w:rPr>
        <w:tab/>
      </w:r>
      <w:r>
        <w:rPr>
          <w:rFonts w:ascii="SimHei" w:eastAsia="SimHei"/>
          <w:color w:val="FF0000"/>
        </w:rPr>
        <w:t>Myakayaka-Manzini</w:t>
      </w:r>
      <w:r>
        <w:rPr>
          <w:rFonts w:ascii="SimHei" w:eastAsia="SimHei" w:hint="eastAsia"/>
          <w:color w:val="FF0000"/>
        </w:rPr>
        <w:t>女士</w:t>
      </w:r>
      <w:r>
        <w:rPr>
          <w:rFonts w:hint="eastAsia"/>
        </w:rPr>
        <w:t>说，参加技术培训课程和大学学生在性别上的差距表明职业指导服务是不够的。列支敦士登代表团应就此作出评论。</w:t>
      </w:r>
    </w:p>
    <w:p w:rsidR="00000000" w:rsidRDefault="00000000">
      <w:pPr>
        <w:pStyle w:val="DualTxt"/>
        <w:spacing w:after="160"/>
        <w:rPr>
          <w:rFonts w:hint="eastAsia"/>
          <w:spacing w:val="-4"/>
        </w:rPr>
      </w:pPr>
      <w:r>
        <w:rPr>
          <w:rFonts w:hint="eastAsia"/>
        </w:rPr>
        <w:t>19.</w:t>
      </w:r>
      <w:r>
        <w:rPr>
          <w:rFonts w:hint="eastAsia"/>
        </w:rPr>
        <w:tab/>
      </w:r>
      <w:r>
        <w:rPr>
          <w:rFonts w:ascii="SimHei" w:eastAsia="SimHei"/>
          <w:color w:val="FF0000"/>
        </w:rPr>
        <w:t>Ouedraogo</w:t>
      </w:r>
      <w:r>
        <w:rPr>
          <w:rFonts w:ascii="SimHei" w:eastAsia="SimHei" w:hint="eastAsia"/>
          <w:color w:val="FF0000"/>
        </w:rPr>
        <w:t>女士</w:t>
      </w:r>
      <w:r>
        <w:rPr>
          <w:rFonts w:hint="eastAsia"/>
          <w:spacing w:val="-4"/>
        </w:rPr>
        <w:t>问很少有妇女愿意接受高等教育的部分原因是否是列支敦士登没有大学，父母不愿意让他们的女儿出国学习。她支持A</w:t>
      </w:r>
      <w:r>
        <w:rPr>
          <w:spacing w:val="-4"/>
        </w:rPr>
        <w:t>baka</w:t>
      </w:r>
      <w:r>
        <w:rPr>
          <w:rFonts w:hint="eastAsia"/>
          <w:spacing w:val="-4"/>
        </w:rPr>
        <w:t>女士的提议，即应提供函授课程。该国政府也应考虑为希望到外国大学读书的妇女提供丰厚的奖学金。在民间社会一级应进行研究，并展开对话，以便促进妇女接受高等教育。</w:t>
      </w:r>
    </w:p>
    <w:p w:rsidR="00000000" w:rsidRDefault="00000000">
      <w:pPr>
        <w:pStyle w:val="DualTxt"/>
        <w:rPr>
          <w:rFonts w:hint="eastAsia"/>
        </w:rPr>
      </w:pPr>
      <w:r>
        <w:t>20.</w:t>
      </w:r>
      <w:r>
        <w:tab/>
      </w:r>
      <w:r>
        <w:rPr>
          <w:rFonts w:hint="eastAsia"/>
        </w:rPr>
        <w:t>她问占列支敦士登人口39.9％的外国人的子女是否和本国儿童一样享有同样的教育福利。最后，她问是否在学校广泛宣传和教授《公约》的内容。</w:t>
      </w:r>
    </w:p>
    <w:p w:rsidR="00000000" w:rsidRDefault="00000000">
      <w:pPr>
        <w:pStyle w:val="DualTxt"/>
        <w:rPr>
          <w:rFonts w:ascii="KaiTi_GB2312" w:eastAsia="KaiTi_GB2312" w:hint="eastAsia"/>
          <w:color w:val="0000FF"/>
        </w:rPr>
      </w:pPr>
      <w:r>
        <w:rPr>
          <w:rFonts w:ascii="KaiTi_GB2312" w:eastAsia="KaiTi_GB2312" w:hint="eastAsia"/>
          <w:color w:val="0000FF"/>
        </w:rPr>
        <w:t>第11条</w:t>
      </w:r>
    </w:p>
    <w:p w:rsidR="00000000" w:rsidRDefault="00000000">
      <w:pPr>
        <w:pStyle w:val="DualTxt"/>
        <w:rPr>
          <w:rFonts w:hint="eastAsia"/>
        </w:rPr>
      </w:pPr>
      <w:r>
        <w:t>21</w:t>
      </w:r>
      <w:r>
        <w:rPr>
          <w:rFonts w:hint="eastAsia"/>
        </w:rPr>
        <w:t>.</w:t>
      </w:r>
      <w:r>
        <w:rPr>
          <w:rFonts w:ascii="SimHei" w:eastAsia="SimHei"/>
          <w:color w:val="FF0000"/>
        </w:rPr>
        <w:tab/>
        <w:t>Ryel</w:t>
      </w:r>
      <w:r>
        <w:rPr>
          <w:rFonts w:ascii="SimHei" w:eastAsia="SimHei" w:hint="eastAsia"/>
          <w:color w:val="FF0000"/>
        </w:rPr>
        <w:t>女士</w:t>
      </w:r>
      <w:r>
        <w:rPr>
          <w:rFonts w:hint="eastAsia"/>
        </w:rPr>
        <w:t>要求该国代表团提供进一步的资料说明灵活的工作时间安排，并强调如果不为男子和妇女提供这种选择，这只能使现有的性别陈规定型观念永久化。她还要求解释关于有36.9％的男子在不可能有非全时工的公司工作。如果只允许妇女从事非全时工作，而不让男子从事非全时工作的情况是真实的，这种做法就构成性别歧视，应予以废止。《就业法》第33条禁止给女性雇员安排某种工作；除非这个规定只适用于孕妇，否则由于这一规定限制了妇女在劳务市场的选择，即构成歧视。</w:t>
      </w:r>
    </w:p>
    <w:p w:rsidR="00000000" w:rsidRDefault="00000000">
      <w:pPr>
        <w:pStyle w:val="DualTxt"/>
        <w:spacing w:after="130"/>
        <w:rPr>
          <w:rFonts w:hint="eastAsia"/>
        </w:rPr>
      </w:pPr>
      <w:r>
        <w:rPr>
          <w:rFonts w:hint="eastAsia"/>
        </w:rPr>
        <w:t>22.</w:t>
      </w:r>
      <w:r>
        <w:rPr>
          <w:rFonts w:hint="eastAsia"/>
        </w:rPr>
        <w:tab/>
      </w:r>
      <w:r>
        <w:rPr>
          <w:rFonts w:ascii="SimHei" w:eastAsia="SimHei" w:hint="eastAsia"/>
          <w:color w:val="FF0000"/>
        </w:rPr>
        <w:t>C</w:t>
      </w:r>
      <w:r>
        <w:rPr>
          <w:rFonts w:ascii="SimHei" w:eastAsia="SimHei"/>
          <w:color w:val="FF0000"/>
        </w:rPr>
        <w:t>orti</w:t>
      </w:r>
      <w:r>
        <w:rPr>
          <w:rFonts w:ascii="SimHei" w:eastAsia="SimHei" w:hint="eastAsia"/>
          <w:color w:val="FF0000"/>
        </w:rPr>
        <w:t>女士</w:t>
      </w:r>
      <w:r>
        <w:rPr>
          <w:rFonts w:hint="eastAsia"/>
        </w:rPr>
        <w:t>说妇女大量集中在服务行业，以及妇女在工业界任职不足的情况令人不安。她赞扬列支敦士登举办了一次展览，鼓励女孩扩大职业选择，但有必要采取更多的行动。她提请该国代表团注意《公约》第4条，其中规定为加速实现男女之间的事实平等，应采取临时性特别措施。</w:t>
      </w:r>
    </w:p>
    <w:p w:rsidR="00000000" w:rsidRDefault="00000000">
      <w:pPr>
        <w:pStyle w:val="DualTxt"/>
        <w:spacing w:after="130"/>
        <w:rPr>
          <w:rFonts w:hint="eastAsia"/>
        </w:rPr>
      </w:pPr>
      <w:r>
        <w:rPr>
          <w:rFonts w:hint="eastAsia"/>
        </w:rPr>
        <w:t>23.</w:t>
      </w:r>
      <w:r>
        <w:rPr>
          <w:rFonts w:hint="eastAsia"/>
        </w:rPr>
        <w:tab/>
        <w:t>尽管《劳工合同法》规定同工同酬，但列支敦士登妇女賺取的收入仍比男子少。她强调必须不仅确保同工同酬，而且要确保妇女担任高薪职位。该国代表团应就这一问题提供进一步资料。</w:t>
      </w:r>
    </w:p>
    <w:p w:rsidR="00000000" w:rsidRDefault="00000000">
      <w:pPr>
        <w:pStyle w:val="DualTxt"/>
        <w:spacing w:after="130"/>
        <w:rPr>
          <w:rFonts w:hint="eastAsia"/>
        </w:rPr>
      </w:pPr>
      <w:r>
        <w:rPr>
          <w:rFonts w:hint="eastAsia"/>
        </w:rPr>
        <w:t>24.</w:t>
      </w:r>
      <w:r>
        <w:rPr>
          <w:rFonts w:hint="eastAsia"/>
        </w:rPr>
        <w:tab/>
        <w:t>她欢迎列支敦士登提供慷慨的产假补助金，但与此同时，她想知道单亲母亲是否和已婚母亲一样得到良好的保护。似乎有种普遍倾向是以女性的生殖能力而不是作为个人来评价妇女。最后，她问政府计划采取哪些进一步措施劝阻女孩辍学，鼓励她们接受高等教育以及特别是在非传统领域的职业培训。</w:t>
      </w:r>
    </w:p>
    <w:p w:rsidR="00000000" w:rsidRDefault="00000000">
      <w:pPr>
        <w:pStyle w:val="DualTxt"/>
        <w:spacing w:after="130"/>
        <w:rPr>
          <w:rFonts w:hint="eastAsia"/>
        </w:rPr>
      </w:pPr>
      <w:r>
        <w:rPr>
          <w:rFonts w:hint="eastAsia"/>
        </w:rPr>
        <w:t>25.</w:t>
      </w:r>
      <w:r>
        <w:rPr>
          <w:rFonts w:hint="eastAsia"/>
        </w:rPr>
        <w:tab/>
      </w:r>
      <w:r>
        <w:rPr>
          <w:rFonts w:ascii="SimHei" w:eastAsia="SimHei" w:hint="eastAsia"/>
          <w:color w:val="FF0000"/>
        </w:rPr>
        <w:t>M</w:t>
      </w:r>
      <w:r>
        <w:rPr>
          <w:rFonts w:ascii="SimHei" w:eastAsia="SimHei"/>
          <w:color w:val="FF0000"/>
        </w:rPr>
        <w:t>analo</w:t>
      </w:r>
      <w:r>
        <w:rPr>
          <w:rFonts w:ascii="SimHei" w:eastAsia="SimHei" w:hint="eastAsia"/>
          <w:color w:val="FF0000"/>
        </w:rPr>
        <w:t>女士</w:t>
      </w:r>
      <w:r>
        <w:rPr>
          <w:rFonts w:hint="eastAsia"/>
        </w:rPr>
        <w:t>指出，该国代表团说政府将考虑起草关于育儿假的立法，包括保障父母能返回原职的权利，她想知道如果没有这项保障，在通常情况下，妇女是否在结束产假后被解职，而只发给一次性的免税产妇津贴。</w:t>
      </w:r>
    </w:p>
    <w:p w:rsidR="00000000" w:rsidRDefault="00000000">
      <w:pPr>
        <w:pStyle w:val="DualTxt"/>
        <w:rPr>
          <w:rFonts w:hint="eastAsia"/>
        </w:rPr>
      </w:pPr>
      <w:r>
        <w:rPr>
          <w:rFonts w:hint="eastAsia"/>
        </w:rPr>
        <w:t>26.</w:t>
      </w:r>
      <w:r>
        <w:rPr>
          <w:rFonts w:hint="eastAsia"/>
        </w:rPr>
        <w:tab/>
      </w:r>
      <w:r>
        <w:rPr>
          <w:rFonts w:ascii="SimHei" w:eastAsia="SimHei" w:hint="eastAsia"/>
          <w:color w:val="FF0000"/>
        </w:rPr>
        <w:t>R</w:t>
      </w:r>
      <w:r>
        <w:rPr>
          <w:rFonts w:ascii="SimHei" w:eastAsia="SimHei"/>
          <w:color w:val="FF0000"/>
        </w:rPr>
        <w:t>egazzoli</w:t>
      </w:r>
      <w:r>
        <w:rPr>
          <w:rFonts w:ascii="SimHei" w:eastAsia="SimHei" w:hint="eastAsia"/>
          <w:color w:val="FF0000"/>
        </w:rPr>
        <w:t>女士</w:t>
      </w:r>
      <w:r>
        <w:rPr>
          <w:rFonts w:hint="eastAsia"/>
        </w:rPr>
        <w:t>问投票是一项义务的，还是仅仅是一种选择，在全国选举中，实际投票的妇女的百分比是多少。只有当妇女了解了她们通过投票和担任公职而体现出来的力量之时，社会变革才是可能的。她询问男子和妇女是否真的同工同酬，并问为什么接受高等教育或接受专业培训的妇女人数那么少。</w:t>
      </w:r>
    </w:p>
    <w:p w:rsidR="00000000" w:rsidRDefault="00000000">
      <w:pPr>
        <w:pStyle w:val="DualTxt"/>
        <w:rPr>
          <w:rFonts w:hint="eastAsia"/>
        </w:rPr>
      </w:pPr>
      <w:r>
        <w:rPr>
          <w:rFonts w:hint="eastAsia"/>
        </w:rPr>
        <w:t>27.</w:t>
      </w:r>
      <w:r>
        <w:rPr>
          <w:rFonts w:hint="eastAsia"/>
        </w:rPr>
        <w:tab/>
        <w:t>G</w:t>
      </w:r>
      <w:r>
        <w:t>onz</w:t>
      </w:r>
      <w:r>
        <w:t>á</w:t>
      </w:r>
      <w:r>
        <w:t>lez</w:t>
      </w:r>
      <w:r>
        <w:rPr>
          <w:rFonts w:hint="eastAsia"/>
        </w:rPr>
        <w:t>女士（主席）继续担任主席。</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K</w:t>
      </w:r>
      <w:r>
        <w:rPr>
          <w:rFonts w:ascii="SimHei" w:eastAsia="SimHei"/>
          <w:color w:val="FF0000"/>
        </w:rPr>
        <w:t>im Yung-chung</w:t>
      </w:r>
      <w:r>
        <w:rPr>
          <w:rFonts w:ascii="SimHei" w:eastAsia="SimHei" w:hint="eastAsia"/>
          <w:color w:val="FF0000"/>
        </w:rPr>
        <w:t>女士</w:t>
      </w:r>
      <w:r>
        <w:rPr>
          <w:rFonts w:hint="eastAsia"/>
        </w:rPr>
        <w:t>问非全时工作者是否有权获得养恤金和其它福利，包括产假。</w:t>
      </w:r>
    </w:p>
    <w:p w:rsidR="00000000" w:rsidRDefault="00000000">
      <w:pPr>
        <w:pStyle w:val="DualTxt"/>
        <w:rPr>
          <w:rFonts w:ascii="Times New Roman" w:hint="eastAsia"/>
        </w:rPr>
      </w:pPr>
      <w:r>
        <w:rPr>
          <w:rFonts w:hint="eastAsia"/>
        </w:rPr>
        <w:t>29.</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eastAsia="SimHei" w:hint="eastAsia"/>
          <w:color w:val="FF0000"/>
        </w:rPr>
        <w:t>女士</w:t>
      </w:r>
      <w:r>
        <w:rPr>
          <w:rFonts w:ascii="Times New Roman" w:hint="eastAsia"/>
        </w:rPr>
        <w:t>欢迎该国政府努力消除在立法上的性别歧视，其中包括可能禁止在工作单位的性骚扰。她问《平等权利法》草案是否仅包括与就业有关的事项，还是也保证在其它领域、例如在家庭的平等。该国代表团应解释在就业、征聘以及合同等领域有哪些保障平等的立法，对这方面的侵权行为制订了哪些惩处措施。十分重要的是，不应要求自称是歧视受害者的人承担举证责任。</w:t>
      </w:r>
    </w:p>
    <w:p w:rsidR="00000000" w:rsidRDefault="00000000">
      <w:pPr>
        <w:pStyle w:val="DualTxt"/>
        <w:rPr>
          <w:rFonts w:hint="eastAsia"/>
        </w:rPr>
      </w:pPr>
      <w:r>
        <w:rPr>
          <w:rFonts w:hint="eastAsia"/>
        </w:rPr>
        <w:t>30.</w:t>
      </w:r>
      <w:r>
        <w:rPr>
          <w:rFonts w:hint="eastAsia"/>
        </w:rPr>
        <w:tab/>
        <w:t>她问对于非全时工人是否有任何具体的立法，并对新的社会安全立法可能无意中歧视这些工人、尤其是在妇女占大多数的就业领域的工人的情况感到关切。她建议，该立法草案应要求工会和雇主为实现性别均等制订计划，甚至可以不必确定配额。</w:t>
      </w:r>
    </w:p>
    <w:p w:rsidR="00000000" w:rsidRDefault="00000000">
      <w:pPr>
        <w:pStyle w:val="DualTxt"/>
        <w:rPr>
          <w:rFonts w:hint="eastAsia"/>
        </w:rPr>
      </w:pPr>
      <w:r>
        <w:rPr>
          <w:rFonts w:hint="eastAsia"/>
        </w:rPr>
        <w:t>31.</w:t>
      </w:r>
      <w:r>
        <w:rPr>
          <w:rFonts w:hint="eastAsia"/>
        </w:rPr>
        <w:tab/>
        <w:t>许多工业化国家已经从同工同酬的概念发展到比较价值的概念，这样做更好地反映出男子和妇女并不总是从事同一种类的工作。她问在列支敦士登讨论和拟订有关歧视法草案时是否反映了这些发展。</w:t>
      </w:r>
    </w:p>
    <w:p w:rsidR="00000000" w:rsidRDefault="00000000">
      <w:pPr>
        <w:pStyle w:val="DualTxt"/>
        <w:rPr>
          <w:rFonts w:hint="eastAsia"/>
        </w:rPr>
      </w:pPr>
      <w:r>
        <w:rPr>
          <w:rFonts w:hint="eastAsia"/>
        </w:rPr>
        <w:t>32.</w:t>
      </w:r>
      <w:r>
        <w:rPr>
          <w:rFonts w:hint="eastAsia"/>
        </w:rPr>
        <w:tab/>
        <w:t>她想知道是否向法院提出了任何有关工资歧视的索赔要求。如果能了解国家当局或平等局是否鼓励妇女在受到工资歧视时提出投诉以及非政府组织是否能就此事提出集体诉讼，这将是有助益的。</w:t>
      </w:r>
    </w:p>
    <w:p w:rsidR="00000000" w:rsidRDefault="00000000">
      <w:pPr>
        <w:pStyle w:val="DualTxt"/>
        <w:rPr>
          <w:rFonts w:hint="eastAsia"/>
        </w:rPr>
      </w:pPr>
      <w:r>
        <w:rPr>
          <w:rFonts w:hint="eastAsia"/>
        </w:rPr>
        <w:t>33.</w:t>
      </w:r>
      <w:r>
        <w:rPr>
          <w:rFonts w:hint="eastAsia"/>
        </w:rPr>
        <w:tab/>
        <w:t>国际劳工组织的各项公约所载的大多数保障措施均已纳入1993年颁布的《劳工合同法》。该国政府应考虑批准劳工组织关于工人家庭责任的第156号公约，或将其条款纳入国内立法。</w:t>
      </w:r>
    </w:p>
    <w:p w:rsidR="00000000" w:rsidRDefault="00000000">
      <w:pPr>
        <w:pStyle w:val="DualTxt"/>
        <w:spacing w:after="160"/>
        <w:rPr>
          <w:rFonts w:hint="eastAsia"/>
        </w:rPr>
      </w:pPr>
      <w:r>
        <w:rPr>
          <w:rFonts w:hint="eastAsia"/>
        </w:rPr>
        <w:t>34.</w:t>
      </w:r>
      <w:r>
        <w:rPr>
          <w:rFonts w:hint="eastAsia"/>
        </w:rPr>
        <w:tab/>
        <w:t>她问列支敦士登的税务制度是否有利于只有一个养家之人的家庭。她欢迎新的社会安全立法，尤其是建立个人养恤金。她询问新的立法如何处理大量失业妇女的问题、离婚率上升以及老年妇女没有从新制度获益的问题。她想知道那些选择留在家里几年以照顾幼儿的妇女是否能得到某种津贴。她问养恤金福利是按照一对夫妇共同收入的平均数计算的还是仅根据妻子收入计算的。该国代表团还应说明是否废除了寡妇养恤金，如果没有，请解释这些养恤金是如何计算的。最后，她想知道离婚夫妇的福利是如何确定的，以及关于这一主题的新立法何时生效。</w:t>
      </w:r>
    </w:p>
    <w:p w:rsidR="00000000" w:rsidRDefault="00000000">
      <w:pPr>
        <w:pStyle w:val="DualTxt"/>
        <w:spacing w:after="160"/>
        <w:rPr>
          <w:rFonts w:hint="eastAsia"/>
          <w:spacing w:val="-2"/>
        </w:rPr>
      </w:pPr>
      <w:r>
        <w:rPr>
          <w:rFonts w:hint="eastAsia"/>
        </w:rPr>
        <w:t>35.</w:t>
      </w:r>
      <w:r>
        <w:rPr>
          <w:rFonts w:hint="eastAsia"/>
        </w:rPr>
        <w:tab/>
      </w:r>
      <w:r>
        <w:rPr>
          <w:rFonts w:ascii="SimHei" w:eastAsia="SimHei" w:hint="eastAsia"/>
          <w:color w:val="FF0000"/>
        </w:rPr>
        <w:t>M</w:t>
      </w:r>
      <w:r>
        <w:rPr>
          <w:rFonts w:ascii="SimHei" w:eastAsia="SimHei"/>
          <w:color w:val="FF0000"/>
        </w:rPr>
        <w:t>analo</w:t>
      </w:r>
      <w:r>
        <w:rPr>
          <w:rFonts w:ascii="SimHei" w:eastAsia="SimHei" w:hint="eastAsia"/>
          <w:color w:val="FF0000"/>
        </w:rPr>
        <w:t>女士</w:t>
      </w:r>
      <w:r>
        <w:rPr>
          <w:rFonts w:hint="eastAsia"/>
        </w:rPr>
        <w:t>说由于服务业构成所有国家中小型企业的支柱，十分有助益的是了解贸易部或就业部</w:t>
      </w:r>
      <w:r>
        <w:rPr>
          <w:rFonts w:hint="eastAsia"/>
          <w:spacing w:val="-2"/>
        </w:rPr>
        <w:t>是否为加强妇女参与服务业执行了哪些人力资源开发方案。还应提供资料说明政府在联网和用户联系领域的妇女提供援助的情况、对在科技界的妇女进行培训的方案以及政府为向妇女提供市场机会而提供的协助。</w:t>
      </w:r>
    </w:p>
    <w:p w:rsidR="00000000" w:rsidRDefault="00000000">
      <w:pPr>
        <w:pStyle w:val="DualTxt"/>
        <w:spacing w:after="160"/>
        <w:rPr>
          <w:rFonts w:ascii="KaiTi_GB2312" w:eastAsia="KaiTi_GB2312" w:hint="eastAsia"/>
          <w:color w:val="0000FF"/>
        </w:rPr>
      </w:pPr>
      <w:r>
        <w:rPr>
          <w:rFonts w:ascii="KaiTi_GB2312" w:eastAsia="KaiTi_GB2312" w:hint="eastAsia"/>
          <w:color w:val="0000FF"/>
        </w:rPr>
        <w:t>第12条</w:t>
      </w:r>
    </w:p>
    <w:p w:rsidR="00000000" w:rsidRDefault="00000000">
      <w:pPr>
        <w:pStyle w:val="DualTxt"/>
        <w:spacing w:after="160"/>
        <w:rPr>
          <w:rFonts w:hint="eastAsia"/>
        </w:rPr>
      </w:pPr>
      <w:r>
        <w:rPr>
          <w:rFonts w:hint="eastAsia"/>
        </w:rPr>
        <w:t>36.</w:t>
      </w:r>
      <w:r>
        <w:rPr>
          <w:rFonts w:hint="eastAsia"/>
        </w:rPr>
        <w:tab/>
      </w:r>
      <w:r>
        <w:rPr>
          <w:rFonts w:ascii="SimHei" w:eastAsia="SimHei" w:hint="eastAsia"/>
          <w:color w:val="FF0000"/>
        </w:rPr>
        <w:t>A</w:t>
      </w:r>
      <w:r>
        <w:rPr>
          <w:rFonts w:ascii="SimHei" w:eastAsia="SimHei"/>
          <w:color w:val="FF0000"/>
        </w:rPr>
        <w:t>baka</w:t>
      </w:r>
      <w:r>
        <w:rPr>
          <w:rFonts w:ascii="SimHei" w:eastAsia="SimHei" w:hint="eastAsia"/>
          <w:color w:val="FF0000"/>
        </w:rPr>
        <w:t>女士</w:t>
      </w:r>
      <w:r>
        <w:rPr>
          <w:rFonts w:hint="eastAsia"/>
        </w:rPr>
        <w:t>说，至关重要的是各缔约国应采取步骤改善妇女的身心健康。因此，她感到关切的是，报告仅用四分之一页的篇幅说明第12条的执行情况，在口头报告时也没有就此提供任何资料。</w:t>
      </w:r>
    </w:p>
    <w:p w:rsidR="00000000" w:rsidRDefault="00000000">
      <w:pPr>
        <w:pStyle w:val="DualTxt"/>
        <w:spacing w:after="160"/>
        <w:rPr>
          <w:rFonts w:hint="eastAsia"/>
        </w:rPr>
      </w:pPr>
      <w:r>
        <w:rPr>
          <w:rFonts w:hint="eastAsia"/>
        </w:rPr>
        <w:t>37.</w:t>
      </w:r>
      <w:r>
        <w:rPr>
          <w:rFonts w:hint="eastAsia"/>
        </w:rPr>
        <w:tab/>
        <w:t>报告的表9令人感到困惑：在“高级别职位（共计）”一栏中报告说没有关于在保健业就业的妇女比例的资料；然而，在“技术熟练雇员”一栏，该比例列为50％。对表12也需要作出澄清，因为担任非全时雇员的妇女比例被列为81.3％，而接下来的一段却说非全时雇工中近20％是妇女。</w:t>
      </w:r>
    </w:p>
    <w:p w:rsidR="00000000" w:rsidRDefault="00000000">
      <w:pPr>
        <w:pStyle w:val="DualTxt"/>
        <w:spacing w:after="160"/>
        <w:rPr>
          <w:rFonts w:hint="eastAsia"/>
        </w:rPr>
      </w:pPr>
      <w:r>
        <w:rPr>
          <w:rFonts w:hint="eastAsia"/>
        </w:rPr>
        <w:t>38.</w:t>
      </w:r>
      <w:r>
        <w:rPr>
          <w:rFonts w:hint="eastAsia"/>
        </w:rPr>
        <w:tab/>
        <w:t>根据《公约》第12条，各缔约国必须向委员会通报它们采取了何种措施以确保妇女获得保健服务，包括计划生育以及说明妨碍获得这些服务的任何法律或医疗方面的情况；然而，列支敦士登的报告中并未提供这方面的资料。委员会希望得到有关数据说明中止妊娠是否是合法的，如果合法，手术费用是由医疗保险支付还由社会安全计划支付。如果堕胎是非法的，该国代表团应说明堕胎是否是秘密进行，那些接受了不完全堕胎的妇女是否有权获得医疗服务。如果有资料的话，还应提供细节说明选择性绝育的情况。</w:t>
      </w:r>
    </w:p>
    <w:p w:rsidR="00000000" w:rsidRDefault="00000000">
      <w:pPr>
        <w:pStyle w:val="DualTxt"/>
        <w:rPr>
          <w:rFonts w:hint="eastAsia"/>
        </w:rPr>
      </w:pPr>
      <w:r>
        <w:rPr>
          <w:rFonts w:hint="eastAsia"/>
        </w:rPr>
        <w:t>39.</w:t>
      </w:r>
      <w:r>
        <w:rPr>
          <w:rFonts w:hint="eastAsia"/>
        </w:rPr>
        <w:tab/>
        <w:t>报告国应更为具体地说明在提高公众对包括艾滋病毒/艾滋病在内的性传播疾病的风险的认识方面执行哪些方案，这些方案是否具体针对了妇女和女孩。在这方面，她提请注意委员会一般性建议14，其中敦促各缔约国加强努力，提高公众对性传播疾病风险的认识。她还欢迎提供更多的资料说明药物滥用的情况以及戒毒和戒酒方案的情况。</w:t>
      </w:r>
    </w:p>
    <w:p w:rsidR="00000000" w:rsidRDefault="00000000">
      <w:pPr>
        <w:pStyle w:val="DualTxt"/>
        <w:rPr>
          <w:rFonts w:hint="eastAsia"/>
          <w:spacing w:val="-4"/>
        </w:rPr>
      </w:pPr>
      <w:r>
        <w:rPr>
          <w:rFonts w:hint="eastAsia"/>
        </w:rPr>
        <w:t>40.</w:t>
      </w:r>
      <w:r>
        <w:rPr>
          <w:rFonts w:hint="eastAsia"/>
        </w:rPr>
        <w:tab/>
      </w:r>
      <w:r>
        <w:rPr>
          <w:rFonts w:hint="eastAsia"/>
          <w:spacing w:val="-4"/>
        </w:rPr>
        <w:t>如能全面说明以下方案将是有帮助的，即为让妇女做好对老龄化、包括更年期造成的身心影响的准备制订了哪些方案，以确保妇女能够获得充分的和可负担得起的初级保健服务。令人感兴趣的是了解是否建立了任何税收鼓励措施以帮助照顾年迈父母的年轻妇女。</w:t>
      </w:r>
    </w:p>
    <w:p w:rsidR="00000000" w:rsidRDefault="00000000">
      <w:pPr>
        <w:pStyle w:val="DualTxt"/>
        <w:rPr>
          <w:rFonts w:ascii="KaiTi_GB2312" w:eastAsia="KaiTi_GB2312" w:hint="eastAsia"/>
          <w:color w:val="0000FF"/>
        </w:rPr>
      </w:pPr>
      <w:r>
        <w:rPr>
          <w:rFonts w:ascii="KaiTi_GB2312" w:eastAsia="KaiTi_GB2312" w:hint="eastAsia"/>
          <w:color w:val="0000FF"/>
        </w:rPr>
        <w:t>第13段</w:t>
      </w:r>
    </w:p>
    <w:p w:rsidR="00000000" w:rsidRDefault="00000000">
      <w:pPr>
        <w:pStyle w:val="DualTxt"/>
        <w:rPr>
          <w:rFonts w:hint="eastAsia"/>
        </w:rPr>
      </w:pPr>
      <w:r>
        <w:rPr>
          <w:rFonts w:hint="eastAsia"/>
        </w:rPr>
        <w:t>41.</w:t>
      </w:r>
      <w:r>
        <w:rPr>
          <w:rFonts w:hint="eastAsia"/>
        </w:rPr>
        <w:tab/>
      </w:r>
      <w:r>
        <w:rPr>
          <w:rFonts w:ascii="SimHei" w:eastAsia="SimHei" w:hint="eastAsia"/>
          <w:color w:val="FF0000"/>
        </w:rPr>
        <w:t>R</w:t>
      </w:r>
      <w:r>
        <w:rPr>
          <w:rFonts w:ascii="SimHei" w:eastAsia="SimHei"/>
          <w:color w:val="FF0000"/>
        </w:rPr>
        <w:t>egazzoli</w:t>
      </w:r>
      <w:r>
        <w:rPr>
          <w:rFonts w:ascii="SimHei" w:eastAsia="SimHei" w:hint="eastAsia"/>
          <w:color w:val="FF0000"/>
        </w:rPr>
        <w:t>女士</w:t>
      </w:r>
      <w:r>
        <w:rPr>
          <w:rFonts w:hint="eastAsia"/>
        </w:rPr>
        <w:t>问是否有鼓励成年妇女参加体育活动的方案。如能全面说明在文化领域取得突出成就的列支敦士登妇女的情况也是令人感兴趣的。鉴于列支敦士登银行业实力雄厚，她希望获得更多的资料，说明妇女是否能够获得住房贷款和抵押贷款。</w:t>
      </w:r>
    </w:p>
    <w:p w:rsidR="00000000" w:rsidRDefault="00000000">
      <w:pPr>
        <w:pStyle w:val="DualTxt"/>
        <w:rPr>
          <w:rFonts w:hint="eastAsia"/>
        </w:rPr>
      </w:pPr>
      <w:r>
        <w:rPr>
          <w:rFonts w:hint="eastAsia"/>
        </w:rPr>
        <w:t>42.</w:t>
      </w:r>
      <w:r>
        <w:rPr>
          <w:rFonts w:hint="eastAsia"/>
        </w:rPr>
        <w:tab/>
      </w:r>
      <w:r>
        <w:rPr>
          <w:rFonts w:ascii="SimHei" w:eastAsia="SimHei" w:hint="eastAsia"/>
          <w:color w:val="FF0000"/>
        </w:rPr>
        <w:t>H</w:t>
      </w:r>
      <w:r>
        <w:rPr>
          <w:rFonts w:ascii="SimHei" w:eastAsia="SimHei"/>
          <w:color w:val="FF0000"/>
        </w:rPr>
        <w:t>azelle</w:t>
      </w:r>
      <w:r>
        <w:rPr>
          <w:rFonts w:ascii="SimHei" w:eastAsia="SimHei" w:hint="eastAsia"/>
          <w:color w:val="FF0000"/>
        </w:rPr>
        <w:t>女士</w:t>
      </w:r>
      <w:r>
        <w:rPr>
          <w:rFonts w:hint="eastAsia"/>
        </w:rPr>
        <w:t>问向单亲家庭提供了哪些服务，因为单亲母亲面临更大的贫穷风险。她要求澄清那些选择养育非婚生子女的妇女是否对子女的经济福祉承担全部责任，因为报告并没有具体说明是否存在现有立法协助单亲母亲获得来自生身父亲的财政支助。</w:t>
      </w:r>
    </w:p>
    <w:p w:rsidR="00000000" w:rsidRDefault="00000000">
      <w:pPr>
        <w:pStyle w:val="DualTxt"/>
        <w:spacing w:after="130"/>
        <w:rPr>
          <w:rFonts w:hint="eastAsia"/>
        </w:rPr>
      </w:pPr>
      <w:r>
        <w:rPr>
          <w:rFonts w:hint="eastAsia"/>
        </w:rPr>
        <w:t>43.</w:t>
      </w:r>
      <w:r>
        <w:rPr>
          <w:rFonts w:hint="eastAsia"/>
        </w:rPr>
        <w:tab/>
        <w:t>报告国应指出领取家庭津贴是否应接受经济情况调查，所拨数额是按每名子女还是按每个家庭计算。她想知道的是什么促使该国政府考虑向单亲父母核发儿童特别津贴。</w:t>
      </w:r>
    </w:p>
    <w:p w:rsidR="00000000" w:rsidRDefault="00000000">
      <w:pPr>
        <w:pStyle w:val="DualTxt"/>
        <w:spacing w:after="130"/>
        <w:rPr>
          <w:rFonts w:ascii="KaiTi_GB2312" w:eastAsia="KaiTi_GB2312" w:hint="eastAsia"/>
          <w:color w:val="0000FF"/>
        </w:rPr>
      </w:pPr>
      <w:r>
        <w:rPr>
          <w:rFonts w:ascii="KaiTi_GB2312" w:eastAsia="KaiTi_GB2312" w:hint="eastAsia"/>
          <w:color w:val="0000FF"/>
        </w:rPr>
        <w:t>第14条</w:t>
      </w:r>
    </w:p>
    <w:p w:rsidR="00000000" w:rsidRDefault="00000000">
      <w:pPr>
        <w:pStyle w:val="DualTxt"/>
        <w:spacing w:after="160"/>
        <w:rPr>
          <w:rFonts w:hint="eastAsia"/>
        </w:rPr>
      </w:pPr>
      <w:r>
        <w:rPr>
          <w:rFonts w:hint="eastAsia"/>
        </w:rPr>
        <w:t>44.</w:t>
      </w:r>
      <w:r>
        <w:rPr>
          <w:rFonts w:hint="eastAsia"/>
        </w:rPr>
        <w:tab/>
      </w:r>
      <w:r>
        <w:rPr>
          <w:rFonts w:ascii="SimHei" w:eastAsia="SimHei"/>
          <w:color w:val="FF0000"/>
        </w:rPr>
        <w:t>Ouedraogo</w:t>
      </w:r>
      <w:r>
        <w:rPr>
          <w:rFonts w:ascii="SimHei" w:eastAsia="SimHei" w:hint="eastAsia"/>
          <w:color w:val="FF0000"/>
        </w:rPr>
        <w:t>女士</w:t>
      </w:r>
      <w:r>
        <w:rPr>
          <w:rFonts w:hint="eastAsia"/>
        </w:rPr>
        <w:t>说，她不知道列支登士敦是否恰当理解了《公约》第14条的精神，其中不仅提到了农村地区妇女获得服务的质量，而且提到所有妇女获得服务的质量问题。也许列支登士敦11个社区在经济发展、教育、保健、计划、社会安全和信贷等领域并无差别。然而，如果存在差异，那么一些社区就应视为处于经济上不利地位。由于该国政府是第一次提出报告，向委员会提供有关学校入学率、妇女识字率等方面的统计数字是十分有助益的，从而可证实该国政府关于列支登士敦不存在对妇女歧视的说词。</w:t>
      </w:r>
    </w:p>
    <w:p w:rsidR="00000000" w:rsidRDefault="00000000">
      <w:pPr>
        <w:pStyle w:val="DualTxt"/>
        <w:spacing w:after="160"/>
        <w:rPr>
          <w:rFonts w:ascii="KaiTi_GB2312" w:eastAsia="KaiTi_GB2312" w:hint="eastAsia"/>
          <w:color w:val="0000FF"/>
        </w:rPr>
      </w:pPr>
      <w:r>
        <w:rPr>
          <w:rFonts w:ascii="KaiTi_GB2312" w:eastAsia="KaiTi_GB2312" w:hint="eastAsia"/>
          <w:color w:val="0000FF"/>
        </w:rPr>
        <w:t>第16条</w:t>
      </w:r>
    </w:p>
    <w:p w:rsidR="00000000" w:rsidRDefault="00000000">
      <w:pPr>
        <w:pStyle w:val="DualTxt"/>
        <w:spacing w:after="160"/>
        <w:rPr>
          <w:rFonts w:hint="eastAsia"/>
          <w:spacing w:val="-4"/>
        </w:rPr>
      </w:pPr>
      <w:r>
        <w:rPr>
          <w:rFonts w:hint="eastAsia"/>
        </w:rPr>
        <w:t>45.</w:t>
      </w:r>
      <w:r>
        <w:rPr>
          <w:rFonts w:hint="eastAsia"/>
        </w:rPr>
        <w:tab/>
      </w:r>
      <w:r>
        <w:rPr>
          <w:rFonts w:ascii="SimHei" w:eastAsia="SimHei"/>
          <w:color w:val="FF0000"/>
          <w:spacing w:val="-4"/>
        </w:rPr>
        <w:t>Ryel</w:t>
      </w:r>
      <w:r>
        <w:rPr>
          <w:rFonts w:ascii="SimHei" w:eastAsia="SimHei" w:hint="eastAsia"/>
          <w:color w:val="FF0000"/>
          <w:spacing w:val="-4"/>
        </w:rPr>
        <w:t>女士</w:t>
      </w:r>
      <w:r>
        <w:rPr>
          <w:rFonts w:hint="eastAsia"/>
          <w:spacing w:val="-4"/>
        </w:rPr>
        <w:t>提到不久将出台一部立法修正案，规定18岁为男子和妇女的结婚年龄，她说她不理解为什么没有订出计划使收养子女的父母的最低年龄与此相同。</w:t>
      </w:r>
    </w:p>
    <w:p w:rsidR="00000000" w:rsidRDefault="00000000">
      <w:pPr>
        <w:pStyle w:val="DualTxt"/>
        <w:spacing w:after="160"/>
        <w:rPr>
          <w:rFonts w:hint="eastAsia"/>
        </w:rPr>
      </w:pPr>
      <w:r>
        <w:rPr>
          <w:rFonts w:hint="eastAsia"/>
        </w:rPr>
        <w:t>46.</w:t>
      </w:r>
      <w:r>
        <w:rPr>
          <w:rFonts w:hint="eastAsia"/>
        </w:rPr>
        <w:tab/>
      </w:r>
      <w:r>
        <w:rPr>
          <w:rFonts w:ascii="SimHei" w:eastAsia="SimHei"/>
          <w:color w:val="FF0000"/>
        </w:rPr>
        <w:t>Aouij</w:t>
      </w:r>
      <w:r>
        <w:rPr>
          <w:rFonts w:ascii="SimHei" w:eastAsia="SimHei" w:hint="eastAsia"/>
          <w:color w:val="FF0000"/>
        </w:rPr>
        <w:t>女士</w:t>
      </w:r>
      <w:r>
        <w:rPr>
          <w:rFonts w:hint="eastAsia"/>
        </w:rPr>
        <w:t>说，1992年的宪法修正案确立了妇女和男子在法律上的平等，从此作为事实上的平等和采取其他措施的先决条件。为了确保从重男轻女的制度顺利过渡到建立在两性伙伴关系基础之上的制度，对妇女和男子开展教育并开展提高认识的运动是至关重要的。如果要接受妇女的新的平等地位，特别是在家庭中的平等地位，就必须在态度上发生根本变化。</w:t>
      </w:r>
    </w:p>
    <w:p w:rsidR="00000000" w:rsidRDefault="00000000">
      <w:pPr>
        <w:pStyle w:val="DualTxt"/>
        <w:spacing w:after="160"/>
        <w:rPr>
          <w:rFonts w:hint="eastAsia"/>
        </w:rPr>
      </w:pPr>
      <w:r>
        <w:rPr>
          <w:rFonts w:hint="eastAsia"/>
        </w:rPr>
        <w:t>47.</w:t>
      </w:r>
      <w:r>
        <w:rPr>
          <w:rFonts w:hint="eastAsia"/>
        </w:rPr>
        <w:tab/>
        <w:t>人们有兴趣了解妇女选择独自与子女生活的明显趋势是否由于家庭内没有真正分担责任。证实这一推论的事实是已婚妇女大量从事非全时工作，这证明家庭责任仍然是妇女由专门承担。家庭事务和男女平等事务部、平等局以及各妇女组织在教育妇女了解其法律权利方面可发挥非常重要的作用。</w:t>
      </w:r>
    </w:p>
    <w:p w:rsidR="00000000" w:rsidRDefault="00000000">
      <w:pPr>
        <w:pStyle w:val="DualTxt"/>
        <w:spacing w:after="160"/>
        <w:rPr>
          <w:rFonts w:hint="eastAsia"/>
        </w:rPr>
      </w:pPr>
      <w:r>
        <w:rPr>
          <w:rFonts w:hint="eastAsia"/>
        </w:rPr>
        <w:t>48.</w:t>
      </w:r>
      <w:r>
        <w:rPr>
          <w:rFonts w:hint="eastAsia"/>
        </w:rPr>
        <w:tab/>
        <w:t>如果能就妇女在司法制度中的作用提供进一步资料，委员会将深表感谢。还应提供细节说明妇女就</w:t>
      </w:r>
      <w:r>
        <w:rPr>
          <w:rFonts w:hint="eastAsia"/>
          <w:spacing w:val="-4"/>
        </w:rPr>
        <w:t>侵犯其权利向欧洲人权法庭提出的任何诉讼案。关于离婚，十分有帮助的是了解是否法律保护抚养子女的离婚妇女，以及确保父母双方公平分担监护责任的法律。报告国应指出法律是否要求父亲支付子女的抚养费。</w:t>
      </w:r>
    </w:p>
    <w:p w:rsidR="00000000" w:rsidRDefault="00000000">
      <w:pPr>
        <w:pStyle w:val="DualTxt"/>
        <w:rPr>
          <w:rFonts w:hint="eastAsia"/>
        </w:rPr>
      </w:pPr>
      <w:r>
        <w:rPr>
          <w:rFonts w:hint="eastAsia"/>
        </w:rPr>
        <w:t>49.</w:t>
      </w:r>
      <w:r>
        <w:rPr>
          <w:rFonts w:hint="eastAsia"/>
        </w:rPr>
        <w:tab/>
        <w:t>该国代表团曾指出，在离婚时，配偶双方在婚姻期间获得的财产将予以平分，她想知道在实践上是否这样做。尤其是，她想知道妇女是否真的要求获得自己应得的财产份额，并想知道妇女是自动获得这一份额还是必须为获得这一份额进行法律诉讼。最后，该报告第185段指出，由于“合理的担心”可宣布婚姻无效，这一点需要澄清，尤其是婚姻无效对子女造成的影响。报告国应更为具体说明《婚姻法》把婚姻说成是一种伙伴关系的措词。</w:t>
      </w:r>
    </w:p>
    <w:p w:rsidR="00000000" w:rsidRDefault="00000000">
      <w:pPr>
        <w:pStyle w:val="DualTxt"/>
        <w:spacing w:after="120"/>
        <w:rPr>
          <w:rFonts w:hint="eastAsia"/>
        </w:rPr>
      </w:pPr>
      <w:r>
        <w:rPr>
          <w:rFonts w:hint="eastAsia"/>
        </w:rPr>
        <w:t>50.</w:t>
      </w:r>
      <w:r>
        <w:rPr>
          <w:rFonts w:hint="eastAsia"/>
        </w:rPr>
        <w:tab/>
      </w:r>
      <w:r>
        <w:rPr>
          <w:rFonts w:ascii="SimHei" w:eastAsia="SimHei"/>
          <w:color w:val="FF0000"/>
        </w:rPr>
        <w:t>Regazzoli</w:t>
      </w:r>
      <w:r>
        <w:rPr>
          <w:rFonts w:ascii="SimHei" w:eastAsia="SimHei" w:hint="eastAsia"/>
          <w:color w:val="FF0000"/>
        </w:rPr>
        <w:t>女士</w:t>
      </w:r>
      <w:r>
        <w:rPr>
          <w:rFonts w:hint="eastAsia"/>
        </w:rPr>
        <w:t>说，她同意前两位发言者表达的观点。她想知道有关妇女向欧洲人权法院或向监察员提出上诉的资料。</w:t>
      </w:r>
    </w:p>
    <w:p w:rsidR="00000000" w:rsidRDefault="00000000">
      <w:pPr>
        <w:pStyle w:val="DualTxt"/>
        <w:spacing w:after="120"/>
        <w:rPr>
          <w:rFonts w:hint="eastAsia"/>
        </w:rPr>
      </w:pPr>
      <w:r>
        <w:rPr>
          <w:rFonts w:hint="eastAsia"/>
        </w:rPr>
        <w:t>51.</w:t>
      </w:r>
      <w:r>
        <w:rPr>
          <w:rFonts w:hint="eastAsia"/>
        </w:rPr>
        <w:tab/>
      </w:r>
      <w:r>
        <w:rPr>
          <w:rFonts w:ascii="SimHei" w:eastAsia="SimHei"/>
          <w:color w:val="FF0000"/>
        </w:rPr>
        <w:t>Willi</w:t>
      </w:r>
      <w:r>
        <w:rPr>
          <w:rFonts w:ascii="SimHei" w:eastAsia="SimHei" w:hint="eastAsia"/>
          <w:color w:val="FF0000"/>
        </w:rPr>
        <w:t>女士（</w:t>
      </w:r>
      <w:r>
        <w:rPr>
          <w:rFonts w:hint="eastAsia"/>
        </w:rPr>
        <w:t>列支登士敦）说，在晚些时候将对提出的问题作出详细答复。然而，她想就上次会议提出的评论再说几句话。</w:t>
      </w:r>
    </w:p>
    <w:p w:rsidR="00000000" w:rsidRDefault="00000000">
      <w:pPr>
        <w:pStyle w:val="DualTxt"/>
        <w:spacing w:after="120"/>
        <w:rPr>
          <w:rFonts w:hint="eastAsia"/>
        </w:rPr>
      </w:pPr>
      <w:r>
        <w:rPr>
          <w:rFonts w:hint="eastAsia"/>
        </w:rPr>
        <w:t>52.</w:t>
      </w:r>
      <w:r>
        <w:rPr>
          <w:rFonts w:hint="eastAsia"/>
        </w:rPr>
        <w:tab/>
        <w:t>联合国各项人权文书的报告义务构成一个沉重负担，尤其是对小国而言。在最近几年，列支登士敦政府批准了《儿童权利公约》和各项国际人权盟约，所有这些公约都要求尽报告义务。然而，列支登士敦仍将致力于成为所有六个核心人权文书的缔约国，并有兴趣参加现有的减化报告程序的努力。她对那些提出改进今后提交报告的办法建议的委员会成员表示感谢，并向他们保证，将考虑这些建议。</w:t>
      </w:r>
    </w:p>
    <w:p w:rsidR="00000000" w:rsidRDefault="00000000">
      <w:pPr>
        <w:pStyle w:val="DualTxt"/>
        <w:rPr>
          <w:rFonts w:hint="eastAsia"/>
        </w:rPr>
      </w:pPr>
      <w:r>
        <w:rPr>
          <w:rFonts w:hint="eastAsia"/>
        </w:rPr>
        <w:t>53.</w:t>
      </w:r>
      <w:r>
        <w:rPr>
          <w:rFonts w:hint="eastAsia"/>
        </w:rPr>
        <w:tab/>
        <w:t>尽管她无法全面解释为什么在1980年代列支登士敦才通过了选举法，但她重申长期以来列支登士敦社会的特点是传统观念盛行。尽管与其他欧洲国家相比，该国的经济发展异乎寻常地迅速，但与这一发展相关的社会变革却被拖延，这不仅表现在妇女权利领域。她希望纠正一种误解，即在妇女权利领域的进展完全是由于政府的政策而没有得到民间社会的大量参与。相反，非政府组织在确立妇女投票权和妇女获选担任公职方面发挥了推动作用；这些组织现在仍然活动积极。</w:t>
      </w:r>
    </w:p>
    <w:p w:rsidR="00000000" w:rsidRDefault="00000000">
      <w:pPr>
        <w:pStyle w:val="DualTxt"/>
        <w:spacing w:after="180"/>
        <w:rPr>
          <w:rFonts w:hint="eastAsia"/>
        </w:rPr>
      </w:pPr>
      <w:r>
        <w:rPr>
          <w:rFonts w:hint="eastAsia"/>
        </w:rPr>
        <w:t>54.</w:t>
      </w:r>
      <w:r>
        <w:rPr>
          <w:rFonts w:hint="eastAsia"/>
        </w:rPr>
        <w:tab/>
        <w:t>她同意</w:t>
      </w:r>
      <w:r>
        <w:t>Ryel</w:t>
      </w:r>
      <w:r>
        <w:rPr>
          <w:rFonts w:hint="eastAsia"/>
        </w:rPr>
        <w:t>女士的观点，即《欧洲经济地区经济协定》和欧洲联盟关于妇女权益的政策对列支登士敦妇女的状况大致产生了积极的影响。鉴于妇女权益和各项国际条约之间的历史联系，外交部与家庭事务部和男女平等部合并是一项有利的发展。</w:t>
      </w:r>
    </w:p>
    <w:p w:rsidR="00000000" w:rsidRDefault="00000000">
      <w:pPr>
        <w:pStyle w:val="DualTxt"/>
        <w:spacing w:after="180"/>
        <w:rPr>
          <w:rFonts w:hint="eastAsia"/>
        </w:rPr>
      </w:pPr>
      <w:r>
        <w:rPr>
          <w:rFonts w:hint="eastAsia"/>
        </w:rPr>
        <w:t>55.</w:t>
      </w:r>
      <w:r>
        <w:rPr>
          <w:rFonts w:hint="eastAsia"/>
        </w:rPr>
        <w:tab/>
        <w:t>关于单亲母亲的处境，每年出生的3</w:t>
      </w:r>
      <w:r>
        <w:t xml:space="preserve"> </w:t>
      </w:r>
      <w:r>
        <w:rPr>
          <w:rFonts w:hint="eastAsia"/>
        </w:rPr>
        <w:t>400儿童中有38人是非婚生子女，这一比例在欧洲是闻所未闻的，该国代表团对在这方面表达的关切感到惊讶。尽管列支登士敦在传统上、而且仍然是一个以天主教主导的国家，但也是一个现代的民主国家，其政策并不是基于特定的宗教信仰。</w:t>
      </w:r>
    </w:p>
    <w:p w:rsidR="00000000" w:rsidRDefault="00000000">
      <w:pPr>
        <w:pStyle w:val="DualTxt"/>
        <w:spacing w:after="180"/>
        <w:rPr>
          <w:rFonts w:hint="eastAsia"/>
        </w:rPr>
      </w:pPr>
      <w:r>
        <w:rPr>
          <w:rFonts w:hint="eastAsia"/>
        </w:rPr>
        <w:t>56.</w:t>
      </w:r>
      <w:r>
        <w:rPr>
          <w:rFonts w:hint="eastAsia"/>
        </w:rPr>
        <w:tab/>
        <w:t>关于修订《宪法》的必要性，她说朗塔格的一个委员会正在审议宪法的若干条款。然而，并未计划开展全面的修订进程，其他国家的经验表明，试图进行全面审查可能导致成果非常有限或甚至陷入僵局。</w:t>
      </w:r>
    </w:p>
    <w:p w:rsidR="00000000" w:rsidRDefault="00000000">
      <w:pPr>
        <w:pStyle w:val="DualTxt"/>
        <w:spacing w:after="180"/>
        <w:rPr>
          <w:rFonts w:hint="eastAsia"/>
        </w:rPr>
      </w:pPr>
      <w:r>
        <w:rPr>
          <w:rFonts w:hint="eastAsia"/>
        </w:rPr>
        <w:t>57.</w:t>
      </w:r>
      <w:r>
        <w:rPr>
          <w:rFonts w:hint="eastAsia"/>
        </w:rPr>
        <w:tab/>
        <w:t>汉斯</w:t>
      </w:r>
      <w:r>
        <w:t>-</w:t>
      </w:r>
      <w:r>
        <w:rPr>
          <w:rFonts w:hint="eastAsia"/>
        </w:rPr>
        <w:t>亚当二世公爵从未撤销过正在进行中的刑事诉讼案，司法独立是有保障的。</w:t>
      </w:r>
    </w:p>
    <w:p w:rsidR="00000000" w:rsidRDefault="00000000">
      <w:pPr>
        <w:pStyle w:val="DualTxt"/>
        <w:spacing w:after="180"/>
        <w:rPr>
          <w:rFonts w:hint="eastAsia"/>
        </w:rPr>
      </w:pPr>
      <w:r>
        <w:rPr>
          <w:rFonts w:hint="eastAsia"/>
        </w:rPr>
        <w:t>58.</w:t>
      </w:r>
      <w:r>
        <w:rPr>
          <w:rFonts w:hint="eastAsia"/>
        </w:rPr>
        <w:tab/>
        <w:t>正如报告第34段所指出的，该国政府有五名成员组成。包括她自己在内的四名成员负责三个组合部门，另一名成员负责一个部。没有计划更改目前的政府组成构架。</w:t>
      </w:r>
    </w:p>
    <w:p w:rsidR="00000000" w:rsidRDefault="00000000">
      <w:pPr>
        <w:pStyle w:val="DualTxt"/>
        <w:spacing w:after="0" w:line="120" w:lineRule="exact"/>
        <w:rPr>
          <w:sz w:val="10"/>
        </w:rPr>
      </w:pPr>
    </w:p>
    <w:p w:rsidR="00000000" w:rsidRDefault="00000000">
      <w:pPr>
        <w:pStyle w:val="DualTxt"/>
        <w:rPr>
          <w:rFonts w:ascii="KaiTi_GB2312" w:eastAsia="KaiTi_GB2312" w:hint="eastAsia"/>
          <w:color w:val="0000FF"/>
        </w:rPr>
      </w:pPr>
      <w:r>
        <w:tab/>
      </w:r>
      <w:r>
        <w:rPr>
          <w:rFonts w:ascii="KaiTi_GB2312" w:eastAsia="KaiTi_GB2312" w:hint="eastAsia"/>
          <w:color w:val="0000FF"/>
        </w:rPr>
        <w:t>下午5时15分散会。</w:t>
      </w:r>
    </w:p>
    <w:p w:rsidR="00000000" w:rsidRDefault="00000000">
      <w:pPr>
        <w:pStyle w:val="SingleTxt"/>
        <w:sectPr w:rsidR="00000000">
          <w:type w:val="continuous"/>
          <w:pgSz w:w="12242" w:h="15842" w:code="1"/>
          <w:pgMar w:top="1742" w:right="1195" w:bottom="1898" w:left="1195" w:header="576" w:footer="1030" w:gutter="0"/>
          <w:cols w:num="2" w:space="240"/>
          <w:noEndnote/>
          <w:docGrid w:type="lines" w:linePitch="312"/>
        </w:sectPr>
      </w:pPr>
    </w:p>
    <w:p w:rsidR="00000000" w:rsidRDefault="00000000">
      <w:pPr>
        <w:pStyle w:val="DualTxt"/>
        <w:sectPr w:rsidR="00000000">
          <w:type w:val="continuous"/>
          <w:pgSz w:w="12242" w:h="15842" w:code="1"/>
          <w:pgMar w:top="1742" w:right="1195" w:bottom="1898" w:left="1195" w:header="576" w:footer="1030" w:gutter="0"/>
          <w:cols w:space="240"/>
          <w:noEndnote/>
          <w:docGrid w:type="lines" w:linePitch="312"/>
        </w:sectPr>
      </w:pPr>
    </w:p>
    <w:p w:rsidR="00000000" w:rsidRDefault="00000000">
      <w:pPr>
        <w:pStyle w:val="DualTxt"/>
        <w:rPr>
          <w:rFonts w:hint="eastAsia"/>
        </w:rPr>
      </w:pP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NO&gt;&gt;N0224189C&lt;&lt;ODS JOB NO&gt;&gt;</w:t>
      </w:r>
    </w:p>
    <w:p w:rsidR="00000000" w:rsidRDefault="00000000">
      <w:pPr>
        <w:pStyle w:val="CommentText"/>
      </w:pPr>
      <w:r>
        <w:t>&lt;&lt;ODS DOC SYMBOL1&gt;&gt;CEDAW/C/SR.411&lt;&lt;ODS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02-24189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*0224189*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CEDAW/C/SR.411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CEDAW/C/SR.411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11 January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1/2005 10:49:16"/>
    <w:docVar w:name="DocCategory" w:val="SROthers"/>
    <w:docVar w:name="DocType" w:val="Final"/>
    <w:docVar w:name="JobNo" w:val="0224189C"/>
    <w:docVar w:name="OandT" w:val=" "/>
    <w:docVar w:name="Symbol1" w:val="CEDAW/C/SR.4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1049</Words>
  <Characters>5983</Characters>
  <Application>Microsoft Office Word</Application>
  <DocSecurity>4</DocSecurity>
  <Lines>49</Lines>
  <Paragraphs>11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7347</CharactersWithSpaces>
  <SharedDoc>false</SharedDoc>
  <HLinks>
    <vt:vector size="6" baseType="variant">
      <vt:variant>
        <vt:i4>4522087</vt:i4>
      </vt:variant>
      <vt:variant>
        <vt:i4>15718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Qiping.Jia</dc:creator>
  <cp:keywords/>
  <dc:description/>
  <cp:lastModifiedBy>Qiping.Jia</cp:lastModifiedBy>
  <cp:revision>13</cp:revision>
  <cp:lastPrinted>2005-01-11T10:42:00Z</cp:lastPrinted>
  <dcterms:created xsi:type="dcterms:W3CDTF">2005-01-11T09:49:00Z</dcterms:created>
  <dcterms:modified xsi:type="dcterms:W3CDTF">2005-01-11T10:43:00Z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0224189</vt:lpwstr>
  </property>
  <property fmtid="{D5CDD505-2E9C-101B-9397-08002B2CF9AE}" pid="3" name="Symbol1">
    <vt:lpwstr>CEDAW/C/SR.411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