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7"/>
            </w:pPr>
            <w:r>
              <w:rPr>
                <w:noProof/>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relative:page"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44798</w:t>
                        </w:r>
                        <w:r>
                          <w:rPr>
                            <w:lang w:val="en-US"/>
                          </w:rPr>
                          <w:fldChar w:fldCharType="end"/>
                        </w:r>
                        <w:r>
                          <w:rPr>
                            <w:lang w:val="en-US"/>
                          </w:rPr>
                          <w:t xml:space="preserve">   (R)</w:t>
                        </w:r>
                      </w:p>
                    </w:txbxContent>
                  </v:textbox>
                  <w10:wrap anchorx="page"/>
                  <w10:anchorlock/>
                </v:shape>
              </w:pict>
            </w:r>
            <w: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CERD/C/357/Add.1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4 October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9 КОНВЕНЦИИ</w:t>
      </w:r>
    </w:p>
    <w:p w:rsidR="00000000" w:rsidRDefault="00000000">
      <w:pPr>
        <w:pStyle w:val="16"/>
      </w:pPr>
    </w:p>
    <w:p w:rsidR="00000000" w:rsidRDefault="00000000">
      <w:pPr>
        <w:pStyle w:val="11"/>
      </w:pPr>
      <w:r>
        <w:t>Девятые периодические доклады государств-участников, подлежавшие</w:t>
      </w:r>
    </w:p>
    <w:p w:rsidR="00000000" w:rsidRDefault="00000000">
      <w:pPr>
        <w:pStyle w:val="11"/>
      </w:pPr>
      <w:r>
        <w:t>представлению в 1999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rPr>
          <w:u w:val="single"/>
        </w:rPr>
        <w:t>Португалия</w:t>
      </w:r>
      <w:r>
        <w:t>*</w:t>
      </w:r>
    </w:p>
    <w:p w:rsidR="00000000" w:rsidRDefault="00000000">
      <w:pPr>
        <w:jc w:val="center"/>
      </w:pPr>
    </w:p>
    <w:p w:rsidR="00000000" w:rsidRDefault="00000000">
      <w:pPr>
        <w:jc w:val="right"/>
        <w:rPr>
          <w:lang w:val="en-US"/>
        </w:rPr>
      </w:pPr>
      <w:r>
        <w:rPr>
          <w:lang w:val="en-US"/>
        </w:rPr>
        <w:t>[</w:t>
      </w:r>
      <w:r>
        <w:t>6 января 2000 года</w:t>
      </w:r>
      <w:r>
        <w:rPr>
          <w:lang w:val="en-US"/>
        </w:rPr>
        <w:t>]</w:t>
      </w:r>
    </w:p>
    <w:p w:rsidR="00000000" w:rsidRDefault="00000000">
      <w:pPr>
        <w:jc w:val="right"/>
        <w:rPr>
          <w:lang w:val="en-US"/>
        </w:rPr>
      </w:pPr>
    </w:p>
    <w:p w:rsidR="00000000" w:rsidRDefault="00000000">
      <w:pPr>
        <w:pStyle w:val="FootnoteText"/>
        <w:rPr>
          <w:u w:val="single"/>
        </w:rPr>
      </w:pPr>
    </w:p>
    <w:p w:rsidR="00000000" w:rsidRDefault="00000000">
      <w:pPr>
        <w:pStyle w:val="FootnoteText"/>
        <w:rPr>
          <w:u w:val="single"/>
        </w:rPr>
      </w:pPr>
      <w:r>
        <w:rPr>
          <w:u w:val="single"/>
        </w:rPr>
        <w:tab/>
      </w:r>
      <w:r>
        <w:rPr>
          <w:u w:val="single"/>
        </w:rPr>
        <w:tab/>
      </w:r>
      <w:r>
        <w:rPr>
          <w:u w:val="single"/>
        </w:rPr>
        <w:tab/>
      </w:r>
      <w:r>
        <w:rPr>
          <w:u w:val="single"/>
        </w:rPr>
        <w:tab/>
      </w:r>
    </w:p>
    <w:p w:rsidR="00000000" w:rsidRDefault="00000000">
      <w:pPr>
        <w:spacing w:line="240" w:lineRule="auto"/>
      </w:pPr>
    </w:p>
    <w:p w:rsidR="00000000" w:rsidRDefault="00000000">
      <w:pPr>
        <w:spacing w:line="240" w:lineRule="auto"/>
        <w:rPr>
          <w:lang w:val="en-US"/>
        </w:rPr>
      </w:pPr>
      <w:r>
        <w:t>*</w:t>
      </w:r>
      <w:r>
        <w:tab/>
        <w:t xml:space="preserve">В настоящем документе содержится девятый периодический доклад Португалии, подлежавший представлению 23 сентября 1999 года.  Пятый, шестой, седьмой и восьмой периодические доклады Португалии, представленные в одном документе, и краткие отчеты о заседаниях Комитета, на которых они рассматривались, см. в документах </w:t>
      </w:r>
      <w:r>
        <w:rPr>
          <w:lang w:val="en-US"/>
        </w:rPr>
        <w:t>CERD/C/314/Add.1</w:t>
      </w:r>
      <w:r>
        <w:t xml:space="preserve"> и</w:t>
      </w:r>
      <w:r>
        <w:rPr>
          <w:lang w:val="en-US"/>
        </w:rPr>
        <w:t xml:space="preserve"> </w:t>
      </w:r>
      <w:proofErr w:type="spellStart"/>
      <w:r>
        <w:rPr>
          <w:lang w:val="en-US"/>
        </w:rPr>
        <w:t>CERD/C/SR.1311</w:t>
      </w:r>
      <w:proofErr w:type="spellEnd"/>
      <w:r>
        <w:t xml:space="preserve"> и</w:t>
      </w:r>
      <w:r>
        <w:rPr>
          <w:lang w:val="en-US"/>
        </w:rPr>
        <w:t xml:space="preserve"> SR.1312.</w:t>
      </w:r>
    </w:p>
    <w:p w:rsidR="00000000" w:rsidRDefault="00000000">
      <w:pPr>
        <w:spacing w:line="240" w:lineRule="auto"/>
        <w:rPr>
          <w:lang w:val="en-US"/>
        </w:rPr>
      </w:pPr>
    </w:p>
    <w:p w:rsidR="00000000" w:rsidRDefault="00000000">
      <w:pPr>
        <w:spacing w:line="240" w:lineRule="auto"/>
      </w:pPr>
      <w:r>
        <w:rPr>
          <w:lang w:val="en-US"/>
        </w:rPr>
        <w:tab/>
      </w:r>
      <w:r>
        <w:t>С представленными Португалией приложениями можно ознакомиться в секретариате.</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FootnoteText"/>
        <w:tabs>
          <w:tab w:val="clear" w:pos="1134"/>
          <w:tab w:val="clear" w:pos="1701"/>
          <w:tab w:val="clear" w:pos="2268"/>
          <w:tab w:val="clear" w:pos="6237"/>
          <w:tab w:val="right" w:leader="dot" w:pos="7172"/>
          <w:tab w:val="center" w:pos="8039"/>
          <w:tab w:val="center" w:pos="9122"/>
        </w:tabs>
        <w:spacing w:line="288" w:lineRule="auto"/>
        <w:rPr>
          <w:lang w:val="en-US"/>
        </w:rPr>
      </w:pPr>
      <w:r>
        <w:t>Введение</w:t>
      </w:r>
      <w:r>
        <w:tab/>
      </w:r>
      <w:r>
        <w:tab/>
        <w:t>1 - 2</w:t>
      </w:r>
      <w:r>
        <w:tab/>
      </w:r>
      <w:r>
        <w:rPr>
          <w:lang w:val="en-US"/>
        </w:rPr>
        <w:t>4</w:t>
      </w:r>
    </w:p>
    <w:p w:rsidR="00000000" w:rsidRDefault="00000000">
      <w:pPr>
        <w:pStyle w:val="FootnoteText"/>
        <w:tabs>
          <w:tab w:val="clear" w:pos="1134"/>
          <w:tab w:val="clear" w:pos="1701"/>
          <w:tab w:val="clear" w:pos="2268"/>
          <w:tab w:val="clear" w:pos="6237"/>
          <w:tab w:val="right" w:leader="dot" w:pos="7172"/>
          <w:tab w:val="center" w:pos="8039"/>
          <w:tab w:val="center" w:pos="9122"/>
        </w:tabs>
        <w:spacing w:line="288" w:lineRule="auto"/>
      </w:pPr>
    </w:p>
    <w:p w:rsidR="00000000" w:rsidRDefault="00000000">
      <w:pPr>
        <w:tabs>
          <w:tab w:val="clear" w:pos="1134"/>
          <w:tab w:val="clear" w:pos="1701"/>
          <w:tab w:val="clear" w:pos="2268"/>
          <w:tab w:val="clear" w:pos="6237"/>
          <w:tab w:val="right" w:leader="dot" w:pos="7172"/>
          <w:tab w:val="center" w:pos="8039"/>
          <w:tab w:val="center" w:pos="9122"/>
        </w:tabs>
      </w:pPr>
      <w:r>
        <w:t>I.</w:t>
      </w:r>
      <w:r>
        <w:tab/>
        <w:t>Демографический состав населения Португалии</w:t>
      </w:r>
      <w:r>
        <w:tab/>
      </w:r>
      <w:r>
        <w:tab/>
        <w:t>3 - 20</w:t>
      </w:r>
      <w:r>
        <w:tab/>
        <w:t>4</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pStyle w:val="FootnoteText"/>
        <w:tabs>
          <w:tab w:val="clear" w:pos="1701"/>
          <w:tab w:val="clear" w:pos="2268"/>
          <w:tab w:val="clear" w:pos="6237"/>
          <w:tab w:val="left" w:pos="1134"/>
          <w:tab w:val="right" w:leader="dot" w:pos="7172"/>
          <w:tab w:val="center" w:pos="8039"/>
          <w:tab w:val="center" w:pos="9122"/>
        </w:tabs>
        <w:spacing w:line="288" w:lineRule="auto"/>
      </w:pPr>
      <w:r>
        <w:tab/>
        <w:t>А.</w:t>
      </w:r>
      <w:r>
        <w:tab/>
        <w:t>Общие сведения</w:t>
      </w:r>
      <w:r>
        <w:tab/>
      </w:r>
      <w:r>
        <w:tab/>
        <w:t>3 - 4</w:t>
      </w:r>
      <w:r>
        <w:tab/>
        <w:t>4</w:t>
      </w:r>
    </w:p>
    <w:p w:rsidR="00000000" w:rsidRDefault="00000000">
      <w:pPr>
        <w:pStyle w:val="FootnoteText"/>
        <w:tabs>
          <w:tab w:val="clear" w:pos="1701"/>
          <w:tab w:val="clear" w:pos="2268"/>
          <w:tab w:val="clear" w:pos="6237"/>
          <w:tab w:val="left" w:pos="1134"/>
          <w:tab w:val="right" w:leader="dot" w:pos="7172"/>
          <w:tab w:val="center" w:pos="8039"/>
          <w:tab w:val="center" w:pos="9122"/>
        </w:tabs>
        <w:spacing w:line="288" w:lineRule="auto"/>
      </w:pPr>
    </w:p>
    <w:p w:rsidR="00000000" w:rsidRDefault="00000000">
      <w:pPr>
        <w:tabs>
          <w:tab w:val="clear" w:pos="1701"/>
          <w:tab w:val="clear" w:pos="2268"/>
          <w:tab w:val="clear" w:pos="6237"/>
          <w:tab w:val="left" w:pos="1134"/>
          <w:tab w:val="right" w:leader="dot" w:pos="7172"/>
          <w:tab w:val="center" w:pos="8039"/>
          <w:tab w:val="center" w:pos="9122"/>
        </w:tabs>
      </w:pPr>
      <w:r>
        <w:tab/>
        <w:t>В.</w:t>
      </w:r>
      <w:r>
        <w:tab/>
        <w:t>Цыгане</w:t>
      </w:r>
      <w:r>
        <w:tab/>
      </w:r>
      <w:r>
        <w:tab/>
        <w:t>5</w:t>
      </w:r>
      <w:r>
        <w:tab/>
        <w:t>5</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ab/>
        <w:t>С.</w:t>
      </w:r>
      <w:r>
        <w:tab/>
        <w:t>Гвинейцы и косовцы</w:t>
      </w:r>
      <w:r>
        <w:tab/>
      </w:r>
      <w:r>
        <w:tab/>
        <w:t>6 - 8</w:t>
      </w:r>
      <w:r>
        <w:tab/>
        <w:t>5</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ab/>
      </w:r>
      <w:r>
        <w:rPr>
          <w:lang w:val="en-US"/>
        </w:rPr>
        <w:t>D</w:t>
      </w:r>
      <w:r>
        <w:t>.</w:t>
      </w:r>
      <w:r>
        <w:tab/>
        <w:t>Иностранцы</w:t>
      </w:r>
      <w:r>
        <w:tab/>
      </w:r>
      <w:r>
        <w:tab/>
        <w:t>9 - 20</w:t>
      </w:r>
      <w:r>
        <w:tab/>
        <w:t>6</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II.</w:t>
      </w:r>
      <w:r>
        <w:tab/>
        <w:t>Меры по надлежащему осуществлению Конвенции</w:t>
      </w:r>
    </w:p>
    <w:p w:rsidR="00000000" w:rsidRDefault="00000000">
      <w:pPr>
        <w:tabs>
          <w:tab w:val="clear" w:pos="1701"/>
          <w:tab w:val="clear" w:pos="2268"/>
          <w:tab w:val="clear" w:pos="6237"/>
          <w:tab w:val="left" w:pos="1134"/>
          <w:tab w:val="right" w:leader="dot" w:pos="7172"/>
          <w:tab w:val="center" w:pos="8039"/>
          <w:tab w:val="center" w:pos="9122"/>
        </w:tabs>
      </w:pPr>
      <w:r>
        <w:tab/>
        <w:t>о ликвидации всех форм расовой дискриминации</w:t>
      </w:r>
      <w:r>
        <w:tab/>
      </w:r>
      <w:r>
        <w:tab/>
        <w:t>21 - 22</w:t>
      </w:r>
      <w:r>
        <w:tab/>
        <w:t>9</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III.</w:t>
      </w:r>
      <w:r>
        <w:tab/>
        <w:t>Эволюция судебной практики по делам о расизме и расовой</w:t>
      </w:r>
    </w:p>
    <w:p w:rsidR="00000000" w:rsidRDefault="00000000">
      <w:pPr>
        <w:tabs>
          <w:tab w:val="clear" w:pos="1701"/>
          <w:tab w:val="clear" w:pos="2268"/>
          <w:tab w:val="clear" w:pos="6237"/>
          <w:tab w:val="left" w:pos="1134"/>
          <w:tab w:val="right" w:leader="dot" w:pos="7172"/>
          <w:tab w:val="center" w:pos="8039"/>
          <w:tab w:val="center" w:pos="9122"/>
        </w:tabs>
        <w:rPr>
          <w:lang w:val="en-US"/>
        </w:rPr>
      </w:pPr>
      <w:r>
        <w:tab/>
        <w:t>дискриминации</w:t>
      </w:r>
      <w:r>
        <w:tab/>
      </w:r>
      <w:r>
        <w:tab/>
        <w:t>23 - 27</w:t>
      </w:r>
      <w:r>
        <w:tab/>
      </w:r>
      <w:r>
        <w:rPr>
          <w:lang w:val="en-US"/>
        </w:rPr>
        <w:t>10</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IV.</w:t>
      </w:r>
      <w:r>
        <w:tab/>
        <w:t>Принятое в последнее время законодательство о борьбе</w:t>
      </w:r>
    </w:p>
    <w:p w:rsidR="00000000" w:rsidRDefault="00000000">
      <w:pPr>
        <w:tabs>
          <w:tab w:val="clear" w:pos="1701"/>
          <w:tab w:val="clear" w:pos="2268"/>
          <w:tab w:val="clear" w:pos="6237"/>
          <w:tab w:val="left" w:pos="1134"/>
          <w:tab w:val="right" w:leader="dot" w:pos="7172"/>
          <w:tab w:val="center" w:pos="8039"/>
          <w:tab w:val="center" w:pos="9122"/>
        </w:tabs>
      </w:pPr>
      <w:r>
        <w:tab/>
        <w:t>с расизмом и расовой дискриминацией</w:t>
      </w:r>
      <w:r>
        <w:tab/>
      </w:r>
      <w:r>
        <w:tab/>
        <w:t>28 - 44</w:t>
      </w:r>
      <w:r>
        <w:tab/>
        <w:t>11</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ab/>
        <w:t>А.</w:t>
      </w:r>
      <w:r>
        <w:tab/>
        <w:t>Закон 15/98 от 26 марта об убежище и беженцах</w:t>
      </w:r>
      <w:r>
        <w:tab/>
      </w:r>
      <w:r>
        <w:tab/>
        <w:t>28 - 31</w:t>
      </w:r>
      <w:r>
        <w:tab/>
        <w:t>11</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ab/>
        <w:t>В.</w:t>
      </w:r>
      <w:r>
        <w:tab/>
        <w:t>Закон 20/98 от 12 мая о порядке трудовой деятельности</w:t>
      </w:r>
    </w:p>
    <w:p w:rsidR="00000000" w:rsidRDefault="00000000">
      <w:pPr>
        <w:tabs>
          <w:tab w:val="clear" w:pos="1701"/>
          <w:tab w:val="clear" w:pos="2268"/>
          <w:tab w:val="clear" w:pos="6237"/>
          <w:tab w:val="left" w:pos="1134"/>
          <w:tab w:val="right" w:leader="dot" w:pos="7172"/>
          <w:tab w:val="center" w:pos="8039"/>
          <w:tab w:val="center" w:pos="9122"/>
        </w:tabs>
      </w:pPr>
      <w:r>
        <w:tab/>
      </w:r>
      <w:r>
        <w:tab/>
        <w:t>иностранцев</w:t>
      </w:r>
      <w:r>
        <w:tab/>
      </w:r>
      <w:r>
        <w:tab/>
        <w:t>32 - 37</w:t>
      </w:r>
      <w:r>
        <w:tab/>
        <w:t>13</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ab/>
        <w:t>С.</w:t>
      </w:r>
      <w:r>
        <w:tab/>
        <w:t>Декрет-закон 244/98 от 8 августа о порядке въезда,</w:t>
      </w:r>
    </w:p>
    <w:p w:rsidR="00000000" w:rsidRDefault="00000000">
      <w:pPr>
        <w:tabs>
          <w:tab w:val="clear" w:pos="1701"/>
          <w:tab w:val="clear" w:pos="2268"/>
          <w:tab w:val="clear" w:pos="6237"/>
          <w:tab w:val="left" w:pos="1134"/>
          <w:tab w:val="right" w:leader="dot" w:pos="7172"/>
          <w:tab w:val="center" w:pos="8039"/>
          <w:tab w:val="center" w:pos="9122"/>
        </w:tabs>
      </w:pPr>
      <w:r>
        <w:tab/>
      </w:r>
      <w:r>
        <w:tab/>
        <w:t>пребывания и выезда иностранцев</w:t>
      </w:r>
      <w:r>
        <w:tab/>
      </w:r>
      <w:r>
        <w:tab/>
        <w:t>38 - 39</w:t>
      </w:r>
      <w:r>
        <w:tab/>
        <w:t>14</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tabs>
          <w:tab w:val="clear" w:pos="1701"/>
          <w:tab w:val="clear" w:pos="2268"/>
          <w:tab w:val="clear" w:pos="6237"/>
          <w:tab w:val="left" w:pos="1134"/>
          <w:tab w:val="right" w:leader="dot" w:pos="7172"/>
          <w:tab w:val="center" w:pos="8039"/>
          <w:tab w:val="center" w:pos="9122"/>
        </w:tabs>
      </w:pPr>
      <w:r>
        <w:tab/>
      </w:r>
      <w:r>
        <w:rPr>
          <w:lang w:val="en-US"/>
        </w:rPr>
        <w:t>D</w:t>
      </w:r>
      <w:r>
        <w:t>.</w:t>
      </w:r>
      <w:r>
        <w:tab/>
        <w:t>Закон 134/98 от 28 августа о запрещении дискриминации</w:t>
      </w:r>
    </w:p>
    <w:p w:rsidR="00000000" w:rsidRDefault="00000000">
      <w:pPr>
        <w:tabs>
          <w:tab w:val="clear" w:pos="1701"/>
          <w:tab w:val="clear" w:pos="2268"/>
          <w:tab w:val="clear" w:pos="6237"/>
          <w:tab w:val="left" w:pos="1134"/>
          <w:tab w:val="right" w:leader="dot" w:pos="7172"/>
          <w:tab w:val="center" w:pos="8039"/>
          <w:tab w:val="center" w:pos="9122"/>
        </w:tabs>
      </w:pPr>
      <w:r>
        <w:tab/>
      </w:r>
      <w:r>
        <w:tab/>
        <w:t>в области осуществления прав по признакам расы, цвета</w:t>
      </w:r>
    </w:p>
    <w:p w:rsidR="00000000" w:rsidRDefault="00000000">
      <w:pPr>
        <w:tabs>
          <w:tab w:val="clear" w:pos="1701"/>
          <w:tab w:val="clear" w:pos="2268"/>
          <w:tab w:val="clear" w:pos="6237"/>
          <w:tab w:val="left" w:pos="1134"/>
          <w:tab w:val="right" w:leader="dot" w:pos="7172"/>
          <w:tab w:val="center" w:pos="8039"/>
          <w:tab w:val="center" w:pos="9122"/>
        </w:tabs>
      </w:pPr>
      <w:r>
        <w:tab/>
      </w:r>
      <w:r>
        <w:tab/>
        <w:t>кожи, национальности или этнического происхождения</w:t>
      </w:r>
      <w:r>
        <w:tab/>
      </w:r>
      <w:r>
        <w:tab/>
        <w:t>40 - 44</w:t>
      </w:r>
      <w:r>
        <w:tab/>
        <w:t>14</w:t>
      </w:r>
    </w:p>
    <w:p w:rsidR="00000000" w:rsidRDefault="00000000">
      <w:pPr>
        <w:tabs>
          <w:tab w:val="clear" w:pos="1701"/>
          <w:tab w:val="clear" w:pos="2268"/>
          <w:tab w:val="clear" w:pos="6237"/>
          <w:tab w:val="left" w:pos="1134"/>
          <w:tab w:val="right" w:leader="dot" w:pos="7172"/>
          <w:tab w:val="center" w:pos="8039"/>
          <w:tab w:val="center" w:pos="9122"/>
        </w:tabs>
      </w:pPr>
    </w:p>
    <w:p w:rsidR="00000000" w:rsidRDefault="00000000">
      <w:pPr>
        <w:pStyle w:val="FootnoteText"/>
        <w:tabs>
          <w:tab w:val="clear" w:pos="1134"/>
          <w:tab w:val="clear" w:pos="1701"/>
          <w:tab w:val="clear" w:pos="2268"/>
          <w:tab w:val="clear" w:pos="6237"/>
          <w:tab w:val="right" w:leader="dot" w:pos="7172"/>
          <w:tab w:val="center" w:pos="8039"/>
          <w:tab w:val="center" w:pos="9122"/>
        </w:tabs>
        <w:spacing w:line="288" w:lineRule="auto"/>
      </w:pPr>
      <w:r>
        <w:t>Выводы</w:t>
      </w:r>
      <w:r>
        <w:tab/>
      </w:r>
      <w:r>
        <w:tab/>
        <w:t>45 - 48</w:t>
      </w:r>
      <w:r>
        <w:tab/>
        <w:t>17</w:t>
      </w:r>
    </w:p>
    <w:p w:rsidR="00000000" w:rsidRDefault="00000000">
      <w:pPr>
        <w:pStyle w:val="FootnoteText"/>
        <w:tabs>
          <w:tab w:val="clear" w:pos="1134"/>
          <w:tab w:val="clear" w:pos="1701"/>
          <w:tab w:val="clear" w:pos="2268"/>
          <w:tab w:val="clear" w:pos="6237"/>
          <w:tab w:val="right" w:leader="dot" w:pos="7172"/>
          <w:tab w:val="center" w:pos="8039"/>
          <w:tab w:val="center" w:pos="9122"/>
        </w:tabs>
        <w:spacing w:line="288" w:lineRule="auto"/>
      </w:pPr>
    </w:p>
    <w:p w:rsidR="00000000" w:rsidRDefault="00000000">
      <w:pPr>
        <w:tabs>
          <w:tab w:val="clear" w:pos="1134"/>
          <w:tab w:val="clear" w:pos="1701"/>
          <w:tab w:val="clear" w:pos="2268"/>
          <w:tab w:val="clear" w:pos="6237"/>
          <w:tab w:val="right" w:leader="dot" w:pos="7172"/>
          <w:tab w:val="center" w:pos="8039"/>
          <w:tab w:val="center" w:pos="9122"/>
        </w:tabs>
        <w:jc w:val="center"/>
      </w:pPr>
      <w:r>
        <w:rPr>
          <w:u w:val="single"/>
        </w:rPr>
        <w:t>Приложения</w:t>
      </w:r>
      <w:r>
        <w:rPr>
          <w:rStyle w:val="FootnoteReference"/>
        </w:rPr>
        <w:footnoteReference w:id="1"/>
      </w:r>
    </w:p>
    <w:p w:rsidR="00000000" w:rsidRDefault="00000000">
      <w:pPr>
        <w:tabs>
          <w:tab w:val="clear" w:pos="1134"/>
          <w:tab w:val="clear" w:pos="1701"/>
          <w:tab w:val="clear" w:pos="2268"/>
          <w:tab w:val="clear" w:pos="6237"/>
          <w:tab w:val="right" w:leader="dot" w:pos="7172"/>
          <w:tab w:val="center" w:pos="8039"/>
          <w:tab w:val="center" w:pos="9122"/>
        </w:tabs>
        <w:jc w:val="center"/>
      </w:pPr>
    </w:p>
    <w:p w:rsidR="00000000" w:rsidRDefault="00000000">
      <w:pPr>
        <w:pStyle w:val="FootnoteText"/>
        <w:tabs>
          <w:tab w:val="clear" w:pos="1134"/>
          <w:tab w:val="clear" w:pos="1701"/>
          <w:tab w:val="clear" w:pos="2268"/>
          <w:tab w:val="clear" w:pos="6237"/>
          <w:tab w:val="right" w:leader="dot" w:pos="7172"/>
          <w:tab w:val="center" w:pos="8039"/>
          <w:tab w:val="center" w:pos="9122"/>
        </w:tabs>
        <w:spacing w:line="288" w:lineRule="auto"/>
      </w:pPr>
      <w:r>
        <w:t>I.</w:t>
      </w:r>
      <w:r>
        <w:tab/>
        <w:t>Статистический отчет службы по делам иностранцев и охране границ за 1998 год</w:t>
      </w:r>
    </w:p>
    <w:p w:rsidR="00000000" w:rsidRDefault="00000000">
      <w:pPr>
        <w:pStyle w:val="FootnoteText"/>
        <w:tabs>
          <w:tab w:val="clear" w:pos="1134"/>
          <w:tab w:val="clear" w:pos="1701"/>
          <w:tab w:val="clear" w:pos="2268"/>
          <w:tab w:val="clear" w:pos="6237"/>
          <w:tab w:val="right" w:leader="dot" w:pos="7172"/>
          <w:tab w:val="center" w:pos="8039"/>
          <w:tab w:val="center" w:pos="9122"/>
        </w:tabs>
        <w:spacing w:line="288" w:lineRule="auto"/>
      </w:pPr>
    </w:p>
    <w:p w:rsidR="00000000" w:rsidRDefault="00000000">
      <w:pPr>
        <w:tabs>
          <w:tab w:val="clear" w:pos="1134"/>
          <w:tab w:val="clear" w:pos="1701"/>
          <w:tab w:val="clear" w:pos="2268"/>
          <w:tab w:val="clear" w:pos="6237"/>
          <w:tab w:val="right" w:leader="dot" w:pos="7172"/>
          <w:tab w:val="center" w:pos="8039"/>
          <w:tab w:val="center" w:pos="9122"/>
        </w:tabs>
        <w:ind w:left="567" w:hanging="567"/>
      </w:pPr>
      <w:r>
        <w:t>II.</w:t>
      </w:r>
      <w:r>
        <w:tab/>
        <w:t>Перевод текста закона 15/98 от 26 марта о новом правовом режиме в области убежища и беженцев</w:t>
      </w:r>
    </w:p>
    <w:p w:rsidR="00000000" w:rsidRDefault="00000000">
      <w:pPr>
        <w:tabs>
          <w:tab w:val="clear" w:pos="1134"/>
          <w:tab w:val="clear" w:pos="1701"/>
          <w:tab w:val="clear" w:pos="2268"/>
          <w:tab w:val="clear" w:pos="6237"/>
          <w:tab w:val="right" w:leader="dot" w:pos="7172"/>
          <w:tab w:val="center" w:pos="8039"/>
          <w:tab w:val="center" w:pos="9122"/>
        </w:tabs>
        <w:ind w:left="567" w:hanging="567"/>
      </w:pPr>
    </w:p>
    <w:p w:rsidR="00000000" w:rsidRDefault="00000000">
      <w:pPr>
        <w:tabs>
          <w:tab w:val="clear" w:pos="1134"/>
          <w:tab w:val="clear" w:pos="1701"/>
          <w:tab w:val="clear" w:pos="2268"/>
          <w:tab w:val="clear" w:pos="6237"/>
          <w:tab w:val="right" w:leader="dot" w:pos="7172"/>
          <w:tab w:val="center" w:pos="8039"/>
          <w:tab w:val="center" w:pos="9122"/>
        </w:tabs>
        <w:ind w:left="567" w:hanging="567"/>
      </w:pPr>
      <w:r>
        <w:t>III.</w:t>
      </w:r>
      <w:r>
        <w:tab/>
        <w:t>Ответ на вопросник, подготовленный во исполнение резолюции 1999/78 Комиссии по правам человека</w:t>
      </w:r>
    </w:p>
    <w:p w:rsidR="00000000" w:rsidRDefault="00000000">
      <w:pPr>
        <w:tabs>
          <w:tab w:val="clear" w:pos="1134"/>
          <w:tab w:val="clear" w:pos="1701"/>
          <w:tab w:val="clear" w:pos="2268"/>
          <w:tab w:val="clear" w:pos="6237"/>
          <w:tab w:val="right" w:leader="dot" w:pos="7172"/>
          <w:tab w:val="center" w:pos="8039"/>
          <w:tab w:val="center" w:pos="9122"/>
        </w:tabs>
        <w:ind w:left="567" w:hanging="567"/>
      </w:pPr>
    </w:p>
    <w:p w:rsidR="00000000" w:rsidRDefault="00000000">
      <w:pPr>
        <w:tabs>
          <w:tab w:val="clear" w:pos="1134"/>
          <w:tab w:val="clear" w:pos="1701"/>
          <w:tab w:val="clear" w:pos="2268"/>
          <w:tab w:val="clear" w:pos="6237"/>
          <w:tab w:val="right" w:leader="dot" w:pos="7172"/>
          <w:tab w:val="center" w:pos="8039"/>
          <w:tab w:val="center" w:pos="9122"/>
        </w:tabs>
        <w:ind w:left="567" w:hanging="567"/>
        <w:jc w:val="center"/>
      </w:pPr>
      <w:r>
        <w:br w:type="page"/>
      </w:r>
      <w:r>
        <w:rPr>
          <w:u w:val="single"/>
        </w:rPr>
        <w:t>Введение</w:t>
      </w:r>
    </w:p>
    <w:p w:rsidR="00000000" w:rsidRDefault="00000000">
      <w:pPr>
        <w:tabs>
          <w:tab w:val="clear" w:pos="1134"/>
          <w:tab w:val="clear" w:pos="1701"/>
          <w:tab w:val="clear" w:pos="2268"/>
          <w:tab w:val="clear" w:pos="6237"/>
          <w:tab w:val="right" w:leader="dot" w:pos="7172"/>
          <w:tab w:val="center" w:pos="8039"/>
          <w:tab w:val="center" w:pos="9122"/>
        </w:tabs>
        <w:ind w:left="567" w:hanging="567"/>
        <w:jc w:val="center"/>
      </w:pPr>
    </w:p>
    <w:p w:rsidR="00000000" w:rsidRDefault="00000000">
      <w:pPr>
        <w:tabs>
          <w:tab w:val="clear" w:pos="1134"/>
          <w:tab w:val="clear" w:pos="1701"/>
          <w:tab w:val="clear" w:pos="2268"/>
          <w:tab w:val="clear" w:pos="6237"/>
          <w:tab w:val="right" w:leader="dot" w:pos="7172"/>
          <w:tab w:val="center" w:pos="8039"/>
          <w:tab w:val="center" w:pos="9122"/>
        </w:tabs>
      </w:pPr>
      <w:r>
        <w:t>1.</w:t>
      </w:r>
      <w:r>
        <w:tab/>
        <w:t>Основная цель настоящего доклада - ответить на предложения и рекомендации Комитета по ликвидации расовой дискриминации, изложенные после представления в марте 1998 года пятого, шестого, седьмого и восьмого периодических докладов Португалии, содержащихся в одном документе (</w:t>
      </w:r>
      <w:r>
        <w:rPr>
          <w:lang w:val="en-US"/>
        </w:rPr>
        <w:t>CERD/C/314/Add.</w:t>
      </w:r>
      <w:r>
        <w:t>1).  Учитывая краткость периода, истекшего между рассмотрением Комитетом восьмого доклада и настоящего документа, мы прежде всего стремимся в рамках этого девятого доклада обновить данные, приведенные в предыдущем докладе.</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2.</w:t>
      </w:r>
      <w:r>
        <w:tab/>
        <w:t>С учетом предложений и рекомендаций Комитета по ликвидации расовой дискриминации (</w:t>
      </w:r>
      <w:r>
        <w:rPr>
          <w:lang w:val="en-US"/>
        </w:rPr>
        <w:t>CERD/C/304/Add.</w:t>
      </w:r>
      <w:r>
        <w:t>67 от 8 апреля 1999 года) в настоящем докладе будут рассмотрены демографические данные о населении Португалии, принятые страной меры с целью надлежащего осуществления Международной конвенции о ликвидации всех форм расовой дискриминации, эволюция судебной практики и принятое в последнее время законодательство в области борьбы с расизмом и расовой дискриминацией.</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pStyle w:val="16"/>
        <w:tabs>
          <w:tab w:val="clear" w:pos="1134"/>
          <w:tab w:val="clear" w:pos="1701"/>
          <w:tab w:val="clear" w:pos="2268"/>
          <w:tab w:val="clear" w:pos="6237"/>
          <w:tab w:val="right" w:leader="dot" w:pos="7172"/>
          <w:tab w:val="center" w:pos="8039"/>
          <w:tab w:val="center" w:pos="9122"/>
        </w:tabs>
      </w:pPr>
      <w:r>
        <w:t>I.</w:t>
      </w:r>
      <w:r>
        <w:tab/>
        <w:t>ДЕМОГРАФИЧЕСКИЙ СОСТАВ НАСЕЛЕНИЯ ПОРТУГАЛИИ</w:t>
      </w:r>
    </w:p>
    <w:p w:rsidR="00000000" w:rsidRDefault="00000000">
      <w:pPr>
        <w:pStyle w:val="16"/>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jc w:val="center"/>
      </w:pPr>
      <w:r>
        <w:t>А.</w:t>
      </w:r>
      <w:r>
        <w:tab/>
      </w:r>
      <w:r>
        <w:rPr>
          <w:u w:val="single"/>
        </w:rPr>
        <w:t>Общие сведения</w:t>
      </w:r>
    </w:p>
    <w:p w:rsidR="00000000" w:rsidRDefault="00000000">
      <w:pPr>
        <w:tabs>
          <w:tab w:val="clear" w:pos="1134"/>
          <w:tab w:val="clear" w:pos="1701"/>
          <w:tab w:val="clear" w:pos="2268"/>
          <w:tab w:val="clear" w:pos="6237"/>
          <w:tab w:val="right" w:leader="dot" w:pos="7172"/>
          <w:tab w:val="center" w:pos="8039"/>
          <w:tab w:val="center" w:pos="9122"/>
        </w:tabs>
        <w:jc w:val="center"/>
      </w:pPr>
    </w:p>
    <w:p w:rsidR="00000000" w:rsidRDefault="00000000">
      <w:pPr>
        <w:tabs>
          <w:tab w:val="clear" w:pos="2268"/>
          <w:tab w:val="clear" w:pos="6237"/>
          <w:tab w:val="left" w:pos="1134"/>
          <w:tab w:val="left" w:pos="1701"/>
        </w:tabs>
      </w:pPr>
      <w:r>
        <w:t>3.</w:t>
      </w:r>
      <w:r>
        <w:tab/>
        <w:t>Для ознакомления с общими сведениями о демографическом составе см. последний доклад Португалии (</w:t>
      </w:r>
      <w:r>
        <w:rPr>
          <w:lang w:val="en-US"/>
        </w:rPr>
        <w:t>CERD/C/314/Add.</w:t>
      </w:r>
      <w:r>
        <w:t>1, пункты 6-22).  После представления этого доклада в Конституцию не вносилось никаких поправок.  Однако, учитывая конституционный принцип, согласно которому нельзя проводить различие по признаку происхождения, религиозных верований, политических убеждений и расовой принадлежности граждан, довольно затруднительно охарактеризовать демографический состав населения Португалии с указанием численности лиц того или иного этнического происхождения.  Имеется лишь ряд неуточненных данных, в частности о цыганах - единственной этнической группе, которая отличается от основной части португальских граждан.  К этому следует прибавить и тот факт, что необходимости в сборе данных о демографическом составе населения страны никогда не возникало.</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pPr>
      <w:r>
        <w:t>4.</w:t>
      </w:r>
      <w:r>
        <w:tab/>
        <w:t>Население Португалии однородно по своему составу в смысле отсутствия различий между расами, поскольку в нем в течение нескольких веков происходило расовое смешение.  В самом деле, в разные исторические эпохи на территории Португалии, в частности, проживали кельты, иберы, римляне, карфагеняне, вестготы и арабы, а также многочисленные общины евреев-сефардов, которые растворились во всем населении, а позднее - со времен развития мореплавания (ХIV-ХVI века) и колонизации заморских территорий - многочисленные этнические группы различного происхождения, которые также смешались между собой (это передвижение происходило в двух направлениях:  во</w:t>
      </w:r>
      <w:r>
        <w:noBreakHyphen/>
        <w:t>первых, в Португалию прибывали новые народности, которые закреплялись в ней и смешивались с ее населением, а во</w:t>
      </w:r>
      <w:r>
        <w:noBreakHyphen/>
        <w:t xml:space="preserve">вторых, португальцы выезжали во все районы мира).  Проявления расизма и ксенофобии, отмечавшиеся в последнее время, не влияют на эту общую структуру, поскольку являются делом рук маргинальных движений экстремистского толка. </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jc w:val="center"/>
      </w:pPr>
      <w:r>
        <w:t>В.</w:t>
      </w:r>
      <w:r>
        <w:tab/>
      </w:r>
      <w:r>
        <w:rPr>
          <w:u w:val="single"/>
        </w:rPr>
        <w:t>Цыгане</w:t>
      </w:r>
    </w:p>
    <w:p w:rsidR="00000000" w:rsidRDefault="00000000">
      <w:pPr>
        <w:tabs>
          <w:tab w:val="clear" w:pos="2268"/>
          <w:tab w:val="clear" w:pos="6237"/>
          <w:tab w:val="left" w:pos="1134"/>
          <w:tab w:val="left" w:pos="1701"/>
        </w:tabs>
        <w:jc w:val="center"/>
      </w:pPr>
    </w:p>
    <w:p w:rsidR="00000000" w:rsidRDefault="00000000">
      <w:pPr>
        <w:tabs>
          <w:tab w:val="clear" w:pos="2268"/>
          <w:tab w:val="clear" w:pos="6237"/>
          <w:tab w:val="left" w:pos="1134"/>
          <w:tab w:val="left" w:pos="1701"/>
        </w:tabs>
      </w:pPr>
      <w:r>
        <w:t>5.</w:t>
      </w:r>
      <w:r>
        <w:tab/>
        <w:t>В связи с демографическим составом населения можно лишь повторить сказанное в пункте 16 восьмого доклада (</w:t>
      </w:r>
      <w:r>
        <w:rPr>
          <w:lang w:val="en-US"/>
        </w:rPr>
        <w:t>CERD/C/314/Add.</w:t>
      </w:r>
      <w:r>
        <w:t>1), т.е. "что в стране насчитывается около 40 000 португальских граждан, которые могут быть отнесены к цыганам".  Безусловно, эта цифра неточна, но она представляет собой демографическое данное, указывающее вероятное количество граждан, относящихся к цыганской этнической группе, так как цыгане - это единственные граждане Португалии, которые образуют отдельную от населения группу и, таким образом, поддаются подсчету.</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jc w:val="center"/>
      </w:pPr>
      <w:r>
        <w:t>С.</w:t>
      </w:r>
      <w:r>
        <w:tab/>
      </w:r>
      <w:r>
        <w:rPr>
          <w:u w:val="single"/>
        </w:rPr>
        <w:t>Гвинейцы и косовцы</w:t>
      </w:r>
    </w:p>
    <w:p w:rsidR="00000000" w:rsidRDefault="00000000">
      <w:pPr>
        <w:tabs>
          <w:tab w:val="clear" w:pos="2268"/>
          <w:tab w:val="clear" w:pos="6237"/>
          <w:tab w:val="left" w:pos="1134"/>
          <w:tab w:val="left" w:pos="1701"/>
        </w:tabs>
        <w:jc w:val="center"/>
      </w:pPr>
    </w:p>
    <w:p w:rsidR="00000000" w:rsidRDefault="00000000">
      <w:pPr>
        <w:tabs>
          <w:tab w:val="clear" w:pos="2268"/>
          <w:tab w:val="clear" w:pos="6237"/>
          <w:tab w:val="left" w:pos="1134"/>
          <w:tab w:val="left" w:pos="1701"/>
        </w:tabs>
      </w:pPr>
      <w:r>
        <w:t>6.</w:t>
      </w:r>
      <w:r>
        <w:tab/>
        <w:t>После событий, происшедших в Гвинее-Бисау в 1998 году и в Косово в 1999 году, правительство Португалии постановило предоставить временную защиту гвинейским гражданам (резолюции Совета министров 94/98 от 14 июля и 90/99 от 12 августа, соответственно о приеме и выезде гвинейских граждан) и косовцам, прибывающим из своей страны происхождения, физическая неприкосновенность которых находилась под непосредственной угрозой и которые не могли получить никакой другой защиты в своем районе происхождения;  эта защита будет предоставляться до тех пор, пока вооруженные конфликты и нарушения прав человека будут препятствовать их возвращению в свою страну.  В этих специфических ситуациях проявляется активная политика Португалии в сфере гуманитарной деятельности по приему беженцев из двух регионов, охваченных конфликтами.</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pPr>
      <w:r>
        <w:t>7.</w:t>
      </w:r>
      <w:r>
        <w:tab/>
        <w:t>Что касается положения гвинейских граждан, то в соответствии с резолюцией Совета министров 94/98 было подано 5 210 ходатайств о выдаче разрешений на проживание, в том числе 5 046 были зарегистрированы в Лиссабоне, 32 - в Коимбре, 81 - в Порту и 51 - в Фару.  За период с 14 июля 1998 года по 15 июля 1999 года было предоставлено 2 163 разрешения, из которых 2 013 - в Лиссабоне, 32 - в Коимбре, 81 - в Порту и 37 - в Фару.  Из числа этих граждан 201 человек возвратился в свою страну в соответствии с резолюцией Совета министров 90/99 от 12 августа (из этих 201 человека лишь 97 пользовались временной защитой).</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pPr>
      <w:r>
        <w:t>8.</w:t>
      </w:r>
      <w:r>
        <w:tab/>
        <w:t>Что касается выходцев из Косово, то с 6 мая 1999 года по 9 июня 1999 года Португалия приняла 1 272 человека.  Девять человек родились в Португалии, 988  - возвратились в Косово, 117 - по</w:t>
      </w:r>
      <w:r>
        <w:noBreakHyphen/>
        <w:t>прежнему проживают в Португалии, местонахождение 167 человек неизвестно.</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jc w:val="center"/>
      </w:pPr>
      <w:r>
        <w:rPr>
          <w:lang w:val="en-US"/>
        </w:rPr>
        <w:t>D</w:t>
      </w:r>
      <w:r>
        <w:t>.</w:t>
      </w:r>
      <w:r>
        <w:tab/>
      </w:r>
      <w:r>
        <w:rPr>
          <w:u w:val="single"/>
        </w:rPr>
        <w:t>Иностранцы</w:t>
      </w:r>
    </w:p>
    <w:p w:rsidR="00000000" w:rsidRDefault="00000000">
      <w:pPr>
        <w:tabs>
          <w:tab w:val="clear" w:pos="2268"/>
          <w:tab w:val="clear" w:pos="6237"/>
          <w:tab w:val="left" w:pos="1134"/>
          <w:tab w:val="left" w:pos="1701"/>
        </w:tabs>
        <w:jc w:val="center"/>
      </w:pPr>
    </w:p>
    <w:p w:rsidR="00000000" w:rsidRDefault="00000000">
      <w:pPr>
        <w:tabs>
          <w:tab w:val="clear" w:pos="2268"/>
          <w:tab w:val="clear" w:pos="6237"/>
          <w:tab w:val="left" w:pos="1134"/>
          <w:tab w:val="left" w:pos="1701"/>
        </w:tabs>
      </w:pPr>
      <w:r>
        <w:t>9.</w:t>
      </w:r>
      <w:r>
        <w:tab/>
        <w:t>В приложении</w:t>
      </w:r>
      <w:r>
        <w:rPr>
          <w:b/>
          <w:bCs/>
        </w:rPr>
        <w:t>*</w:t>
      </w:r>
      <w:r>
        <w:t xml:space="preserve"> содержится статистический отчет за 1998 год, подготовленный Погранично-иммиграционной службой, которая занимается вопросами въезда, пребывания и выезда иностранцев.  По состоянию на 31 декабря 1998 года в Португалии постоянно проживали 177 774 иностранца, т.е. на 1,4% больше по сравнению с 1997 годом.  Хотя тенденция к увеличению численности иностранцев сохраняется, можно констатировать, что показатели прироста иностранного населения в 1996 году (2,7%), 1997 году (1,3%) и 1998 году (1,4%) были наименьшими с 1981 года.  Динамика численности обеих основных групп иностранного населения, т.е. выходцев из стран Европейского союза и Сообщества португалоязычных стран (СПЯС), следовала той же тенденции, и в среднем на их долю приходится порядка 82,2% общей численности иностранных граждан.</w:t>
      </w:r>
    </w:p>
    <w:p w:rsidR="00000000" w:rsidRDefault="00000000">
      <w:pPr>
        <w:tabs>
          <w:tab w:val="clear" w:pos="2268"/>
          <w:tab w:val="clear" w:pos="6237"/>
          <w:tab w:val="left" w:pos="1134"/>
          <w:tab w:val="left" w:pos="1701"/>
        </w:tabs>
      </w:pPr>
    </w:p>
    <w:p w:rsidR="00000000" w:rsidRDefault="00000000">
      <w:r>
        <w:t>10.</w:t>
      </w:r>
      <w:r>
        <w:tab/>
        <w:t>С 1998 года структура распределения проживающих в Португалии иностранцев не претерпела существенных изменений.  По</w:t>
      </w:r>
      <w:r>
        <w:noBreakHyphen/>
        <w:t>прежнему наблюдается тенденция к их концентрации в округе Лиссабон, где сосредоточено более 55,2% их общей численности.  Далее следует округ Фару, где их доля ниже (около 13%), но где по сравнению с 1997 годом их стало больше на 0,3%.  Затем следует Сетубал </w:t>
      </w:r>
      <w:r>
        <w:noBreakHyphen/>
        <w:t> 9,2%, Порту </w:t>
      </w:r>
      <w:r>
        <w:noBreakHyphen/>
        <w:t> 6,1% и Авейру </w:t>
      </w:r>
      <w:r>
        <w:noBreakHyphen/>
        <w:t> 3,9%.  Наиболее низка доля иностранцев </w:t>
      </w:r>
      <w:r>
        <w:noBreakHyphen/>
        <w:t> 0,15% </w:t>
      </w:r>
      <w:r>
        <w:noBreakHyphen/>
        <w:t xml:space="preserve"> в округе Браганса.</w:t>
      </w:r>
    </w:p>
    <w:p w:rsidR="00000000" w:rsidRDefault="00000000"/>
    <w:p w:rsidR="00000000" w:rsidRDefault="00000000">
      <w:r>
        <w:t>11.</w:t>
      </w:r>
      <w:r>
        <w:tab/>
        <w:t>Выходцы из стран африканского континента по</w:t>
      </w:r>
      <w:r>
        <w:noBreakHyphen/>
        <w:t>прежнему составляют 46,4% от общего числа иностранцев, хотя их доля снизилась по сравнению с 1996 годом (47%) и 1997 годом (46,6%).  Отмечен явный прирост выходцев из Европейского союза, доля которых составляет 27,1% (по сравнению с 25,3% в 1996 году и 26,3% в 1997 году).  Наименьшее число составляют представители Азиатского континента </w:t>
      </w:r>
      <w:r>
        <w:noBreakHyphen/>
        <w:t xml:space="preserve"> всего 4,2% (в 1997 году </w:t>
      </w:r>
      <w:r>
        <w:noBreakHyphen/>
        <w:t> 3,6%).</w:t>
      </w:r>
    </w:p>
    <w:p w:rsidR="00000000" w:rsidRDefault="00000000">
      <w:pPr>
        <w:tabs>
          <w:tab w:val="clear" w:pos="2268"/>
          <w:tab w:val="clear" w:pos="6237"/>
          <w:tab w:val="left" w:pos="1134"/>
          <w:tab w:val="left" w:pos="1701"/>
        </w:tabs>
      </w:pPr>
    </w:p>
    <w:p w:rsidR="00000000" w:rsidRDefault="00000000">
      <w:pPr>
        <w:tabs>
          <w:tab w:val="clear" w:pos="2268"/>
          <w:tab w:val="clear" w:pos="6237"/>
          <w:tab w:val="left" w:pos="1134"/>
          <w:tab w:val="left" w:pos="1701"/>
        </w:tabs>
        <w:spacing w:line="240" w:lineRule="auto"/>
        <w:rPr>
          <w:u w:val="single"/>
        </w:rPr>
      </w:pPr>
      <w:r>
        <w:rPr>
          <w:u w:val="single"/>
        </w:rPr>
        <w:tab/>
      </w:r>
      <w:r>
        <w:rPr>
          <w:u w:val="single"/>
        </w:rPr>
        <w:tab/>
      </w:r>
      <w:r>
        <w:rPr>
          <w:u w:val="single"/>
        </w:rPr>
        <w:tab/>
      </w:r>
      <w:r>
        <w:rPr>
          <w:u w:val="single"/>
        </w:rPr>
        <w:tab/>
      </w:r>
    </w:p>
    <w:p w:rsidR="00000000" w:rsidRDefault="00000000">
      <w:pPr>
        <w:tabs>
          <w:tab w:val="clear" w:pos="2268"/>
          <w:tab w:val="clear" w:pos="6237"/>
          <w:tab w:val="left" w:pos="1134"/>
          <w:tab w:val="left" w:pos="1701"/>
        </w:tabs>
        <w:spacing w:line="240" w:lineRule="auto"/>
        <w:rPr>
          <w:b/>
          <w:bCs/>
        </w:rPr>
      </w:pPr>
    </w:p>
    <w:p w:rsidR="00000000" w:rsidRDefault="00000000">
      <w:pPr>
        <w:tabs>
          <w:tab w:val="clear" w:pos="2268"/>
          <w:tab w:val="clear" w:pos="6237"/>
          <w:tab w:val="left" w:pos="1134"/>
          <w:tab w:val="left" w:pos="1701"/>
        </w:tabs>
        <w:spacing w:line="240" w:lineRule="auto"/>
      </w:pPr>
      <w:r>
        <w:rPr>
          <w:b/>
          <w:bCs/>
        </w:rPr>
        <w:t>*</w:t>
      </w:r>
      <w:r>
        <w:tab/>
        <w:t>С этим приложением можно ознакомиться в секретариате.</w:t>
      </w:r>
    </w:p>
    <w:p w:rsidR="00000000" w:rsidRDefault="00000000"/>
    <w:p w:rsidR="00000000" w:rsidRDefault="00000000">
      <w:r>
        <w:t>12.</w:t>
      </w:r>
      <w:r>
        <w:tab/>
        <w:t>Что касается распределения иностранцев по признаку пола, то большинство из них </w:t>
      </w:r>
      <w:r>
        <w:noBreakHyphen/>
        <w:t xml:space="preserve"> мужчины, хотя в 1998 году наблюдалась тенденция к увеличению числа женщин.  В 1996 году мужчины составляли 58,4%,  женщины </w:t>
      </w:r>
      <w:r>
        <w:noBreakHyphen/>
        <w:t> 41,6%;  в 1997 году на их долю приходилось соответственно 58,3% и 41,7%, а в 1998 году </w:t>
      </w:r>
      <w:r>
        <w:noBreakHyphen/>
        <w:t> 58,1% и 41,%.  Разбивка иностранцев по континентам показывает, что на долю Европы приходится 15,8% мужчин и 13,5% женщин, Африки </w:t>
      </w:r>
      <w:r>
        <w:noBreakHyphen/>
        <w:t> 28,5% и 17,8%, Америки </w:t>
      </w:r>
      <w:r>
        <w:noBreakHyphen/>
        <w:t> 11,1% и 8,6%, Азии </w:t>
      </w:r>
      <w:r>
        <w:noBreakHyphen/>
        <w:t> 2,4% и 1,7%, соответственно.</w:t>
      </w:r>
    </w:p>
    <w:p w:rsidR="00000000" w:rsidRDefault="00000000"/>
    <w:p w:rsidR="00000000" w:rsidRDefault="00000000">
      <w:r>
        <w:t>13.</w:t>
      </w:r>
      <w:r>
        <w:tab/>
        <w:t>Что касается профессиональной структуры, то, как и в 1997 году, среди вновь прибывших иностранцев отмечалась избирательность в пользу, с одной стороны, "научных, технических, артистических и других профессий", по которым в 1998 году был зарегистрирован прирост в 0,2% (1996 год </w:t>
      </w:r>
      <w:r>
        <w:noBreakHyphen/>
        <w:t> 20 571 человек, или 23,7%;  в 1997 году </w:t>
      </w:r>
      <w:r>
        <w:noBreakHyphen/>
        <w:t> 21 311 человек, или 24,3%;  в 1998 году </w:t>
      </w:r>
      <w:r>
        <w:noBreakHyphen/>
        <w:t xml:space="preserve"> 21 656 человек, или 24,5%), а с другой </w:t>
      </w:r>
      <w:r>
        <w:noBreakHyphen/>
        <w:t xml:space="preserve"> "производственных специальностей в добывающих и перерабатывающих отраслях и операторов станков и транспортных средств", по которых в 1998 году было отмечено сокращение на 0,5% (1996 год </w:t>
      </w:r>
      <w:r>
        <w:noBreakHyphen/>
        <w:t> 42 428 человек, или 48,9%;  1997 год </w:t>
      </w:r>
      <w:r>
        <w:noBreakHyphen/>
        <w:t> 42 370, или 48,2%;  1998 год - 42 241 человек, или 47,7%).</w:t>
      </w:r>
    </w:p>
    <w:p w:rsidR="00000000" w:rsidRDefault="00000000"/>
    <w:p w:rsidR="00000000" w:rsidRDefault="00000000">
      <w:r>
        <w:t>14.</w:t>
      </w:r>
      <w:r>
        <w:tab/>
        <w:t>Если рассмотреть суммарные показатели по сектору "профессии/экономически активное население" (1996 год </w:t>
      </w:r>
      <w:r>
        <w:noBreakHyphen/>
        <w:t> 86 810, или 53,5%;  1997 год </w:t>
      </w:r>
      <w:r>
        <w:noBreakHyphen/>
        <w:t> 87 893, или 53,4%;  1998 год </w:t>
      </w:r>
      <w:r>
        <w:noBreakHyphen/>
        <w:t> 88 606, или </w:t>
      </w:r>
      <w:proofErr w:type="spellStart"/>
      <w:r>
        <w:t>53,0%</w:t>
      </w:r>
      <w:proofErr w:type="spellEnd"/>
      <w:r>
        <w:t>) и по сектору "виды занятости/</w:t>
      </w:r>
      <w:proofErr w:type="spellStart"/>
      <w:r>
        <w:t>экономиче</w:t>
      </w:r>
      <w:proofErr w:type="spellEnd"/>
      <w:r>
        <w:t xml:space="preserve"> </w:t>
      </w:r>
      <w:proofErr w:type="spellStart"/>
      <w:r>
        <w:t>ски</w:t>
      </w:r>
      <w:proofErr w:type="spellEnd"/>
      <w:r>
        <w:t xml:space="preserve"> неактивное население (1996 год </w:t>
      </w:r>
      <w:r>
        <w:noBreakHyphen/>
        <w:t> 75 399, или 46,5%;  1997 год </w:t>
      </w:r>
      <w:r>
        <w:noBreakHyphen/>
        <w:t xml:space="preserve"> 76 661, или 46,6%;  1998 год </w:t>
      </w:r>
      <w:r>
        <w:noBreakHyphen/>
        <w:t> 78 457, или 47,0%), то в них не наблюдается значительных изменений.  Среди экономически активного населения насчитывается 17 130 "предпринимателей" и "самостоятельно занятых работников", т.е. 19,3%, в то время как 71 473 человека (80,7%) являются "лицами наемного труда".  Среди экономически неактивного населения 44,1% (34 601) резидентов составляют студенты, а 43,3% (33 986) - домохозяйки, покрывая тем самым почти весь указанный сектор.  Пенсионеров среди постоянного населения насчитывается 5 609 человек, т.е. 7,1%.</w:t>
      </w:r>
    </w:p>
    <w:p w:rsidR="00000000" w:rsidRDefault="00000000"/>
    <w:p w:rsidR="00000000" w:rsidRDefault="00000000">
      <w:r>
        <w:t>15.</w:t>
      </w:r>
      <w:r>
        <w:tab/>
        <w:t>При анализе перемещений, зарегистрированных в течение 1998 года, также можно констатировать некоторые изменения по сравнению с 1997 годом:  в страну въехали 6 485 резидентов (в 1997 году </w:t>
      </w:r>
      <w:r>
        <w:noBreakHyphen/>
        <w:t xml:space="preserve"> 5 776), в том числе 3 304 мужчины (51,0%) (в 1997 году </w:t>
      </w:r>
      <w:r>
        <w:noBreakHyphen/>
        <w:t> 3 070, или </w:t>
      </w:r>
      <w:proofErr w:type="spellStart"/>
      <w:r>
        <w:t>53,2%</w:t>
      </w:r>
      <w:proofErr w:type="spellEnd"/>
      <w:r>
        <w:t>) и 3 181 женщина (49,0%) (в 1997 году </w:t>
      </w:r>
      <w:r>
        <w:noBreakHyphen/>
        <w:t> 2 706, или </w:t>
      </w:r>
      <w:proofErr w:type="spellStart"/>
      <w:r>
        <w:t>46,8%</w:t>
      </w:r>
      <w:proofErr w:type="spellEnd"/>
      <w:r>
        <w:t>).  Они прибыли главным образом из Европейского Союза </w:t>
      </w:r>
      <w:r>
        <w:noBreakHyphen/>
        <w:t> 2 889 человек (44,0% от общего числа) (в 1997 году </w:t>
      </w:r>
      <w:r>
        <w:noBreakHyphen/>
        <w:t> 2 763, или </w:t>
      </w:r>
      <w:proofErr w:type="spellStart"/>
      <w:r>
        <w:t>47,8%</w:t>
      </w:r>
      <w:proofErr w:type="spellEnd"/>
      <w:r>
        <w:t>) и Африки </w:t>
      </w:r>
      <w:r>
        <w:noBreakHyphen/>
        <w:t> 1 692 вновь прибывших (29,3% от общего числа) (в 1997 году </w:t>
      </w:r>
      <w:r>
        <w:noBreakHyphen/>
        <w:t xml:space="preserve"> 1 231, или </w:t>
      </w:r>
      <w:proofErr w:type="spellStart"/>
      <w:r>
        <w:t>21,3%</w:t>
      </w:r>
      <w:proofErr w:type="spellEnd"/>
      <w:r>
        <w:t>).  Нужно также указать, что основной приток представителей Африканского континента наблюдался из португалоязычных стран Африки </w:t>
      </w:r>
      <w:r>
        <w:noBreakHyphen/>
        <w:t xml:space="preserve"> 1 544 человека (91,6%);  73,3% вновь прибывших из стран Центральной и Южной Америки приходились на долю Бразилии - 670 человек.  Основную массу этого миграционного потока составляли представители возрастной группы 25</w:t>
      </w:r>
      <w:r>
        <w:noBreakHyphen/>
        <w:t>29 лет </w:t>
      </w:r>
      <w:r>
        <w:noBreakHyphen/>
        <w:t> 13,5% от всех вновь прибывших.</w:t>
      </w:r>
    </w:p>
    <w:p w:rsidR="00000000" w:rsidRDefault="00000000"/>
    <w:p w:rsidR="00000000" w:rsidRDefault="00000000">
      <w:r>
        <w:t>16.</w:t>
      </w:r>
      <w:r>
        <w:tab/>
        <w:t>В области прекращения пребывания (выезды) значительных процентных колебаний по сравнению с 1997 годом не отмечалось.  Так, из страны выехали 3 974 человека (в 1997 году </w:t>
      </w:r>
      <w:r>
        <w:noBreakHyphen/>
        <w:t> 3 426), в том числе 2 156 мужчин (54,3%) (в 1997 году </w:t>
      </w:r>
      <w:r>
        <w:noBreakHyphen/>
        <w:t> 1 917, или </w:t>
      </w:r>
      <w:proofErr w:type="spellStart"/>
      <w:r>
        <w:t>56,0%</w:t>
      </w:r>
      <w:proofErr w:type="spellEnd"/>
      <w:r>
        <w:t>) и 1 818 женщин (45,7%) (в 1997 году </w:t>
      </w:r>
      <w:r>
        <w:noBreakHyphen/>
        <w:t xml:space="preserve"> 1 509, или </w:t>
      </w:r>
      <w:proofErr w:type="spellStart"/>
      <w:r>
        <w:t>44,0%</w:t>
      </w:r>
      <w:proofErr w:type="spellEnd"/>
      <w:r>
        <w:t>).  Кроме того, из страны в основном выезжали представители Американского континента, в частности Северной и Южной Америки, число которых составило 1 298 человек (32,7%).  Наиболее многочисленными из них были представители Бразилии </w:t>
      </w:r>
      <w:r>
        <w:noBreakHyphen/>
        <w:t xml:space="preserve"> 800 человек (20,1%) и Соединенных Штатов </w:t>
      </w:r>
      <w:r>
        <w:noBreakHyphen/>
        <w:t xml:space="preserve"> 630 человек (15,9%).  Что касается граждан Венесуэлы, то среди них число выездов по</w:t>
      </w:r>
      <w:r>
        <w:noBreakHyphen/>
        <w:t xml:space="preserve">прежнему больше числа въездов (445, или </w:t>
      </w:r>
      <w:proofErr w:type="spellStart"/>
      <w:r>
        <w:t>11,2%</w:t>
      </w:r>
      <w:proofErr w:type="spellEnd"/>
      <w:r>
        <w:t>, по сравнению с 141, или 2,8%), т.е. тенденция предыдущих лет продолжает сохраняться.</w:t>
      </w:r>
    </w:p>
    <w:p w:rsidR="00000000" w:rsidRDefault="00000000"/>
    <w:p w:rsidR="00000000" w:rsidRDefault="00000000">
      <w:r>
        <w:t>17.</w:t>
      </w:r>
      <w:r>
        <w:tab/>
        <w:t>Как уже было указано в последнем докладе (</w:t>
      </w:r>
      <w:r>
        <w:rPr>
          <w:lang w:val="en-US"/>
        </w:rPr>
        <w:t>CERD</w:t>
      </w:r>
      <w:r>
        <w:t>/</w:t>
      </w:r>
      <w:r>
        <w:rPr>
          <w:lang w:val="en-US"/>
        </w:rPr>
        <w:t>C</w:t>
      </w:r>
      <w:r>
        <w:t>/314/</w:t>
      </w:r>
      <w:r>
        <w:rPr>
          <w:lang w:val="en-US"/>
        </w:rPr>
        <w:t>Add</w:t>
      </w:r>
      <w:r>
        <w:t>.1, пункты 20</w:t>
      </w:r>
      <w:r>
        <w:noBreakHyphen/>
        <w:t>22 и 59), следует добавить, что с июня по декабрь 1996 года проводилась кампания по чрезвычайной легализации незаконных иммигрантов.  Она началась с опубликования закона 17/96 и продолжалась созданием согласно декрету</w:t>
      </w:r>
      <w:r>
        <w:noBreakHyphen/>
        <w:t>закону 150/96 вспомогательной административной структуры </w:t>
      </w:r>
      <w:r>
        <w:noBreakHyphen/>
        <w:t xml:space="preserve"> Управления по оперативной легализации иммигрантов (УОЛИ).  Этой кампанией, которая координировалась Погранично-иммиграционной службой в сотрудничестве с другими учреждениями, в частности профсоюзными организациями, ассоциациями иммигрантов, муниципалитетами и посольствами, было охвачено примерно 35 000 человек.  </w:t>
      </w:r>
    </w:p>
    <w:p w:rsidR="00000000" w:rsidRDefault="00000000"/>
    <w:p w:rsidR="00000000" w:rsidRDefault="00000000">
      <w:r>
        <w:t>18.</w:t>
      </w:r>
      <w:r>
        <w:tab/>
        <w:t>В рамках этой кампании Погранично-иммиграционной службе были поручены прием кандидатов, регистрация и рассмотрение ходатайств, подготовка предложений по принятию решения, а на заключительном этапе </w:t>
      </w:r>
      <w:r>
        <w:noBreakHyphen/>
        <w:t xml:space="preserve"> выдача разрешений на проживание.  Заключительное решение, на основании которого выдается разрешение на проживание, выносится независимым органом </w:t>
      </w:r>
      <w:r>
        <w:noBreakHyphen/>
        <w:t xml:space="preserve"> Национальной комиссией по оперативной легализации (НКОЛ), в состав которой входят по одному представителю от министерства внутренних дел, министерства юстиции, министерства занятости и социального обеспечения, представитель Верховного комиссара по делам иммиграции и этнических меньшинств и представитель иммигрантских ассоциаций.</w:t>
      </w:r>
    </w:p>
    <w:p w:rsidR="00000000" w:rsidRDefault="00000000"/>
    <w:p w:rsidR="00000000" w:rsidRDefault="00000000">
      <w:r>
        <w:t>19.</w:t>
      </w:r>
      <w:r>
        <w:tab/>
        <w:t>В период проведения кампании по легализации было открыто 45 центров приема, большинство из которых расположены в кварталах, где проживает большое число незаконных иммигрантов, а также был создан ряд мобильных групп.  Этими центрами и мобильными группами были получены 35 082 ходатайства о легализации, из которых 31 117 были приняты к рассмотрению, а 3 965 </w:t>
      </w:r>
      <w:r>
        <w:noBreakHyphen/>
        <w:t> отклонены.  Среди ходатайств, принятых к рассмотрению, 29 809 были удовлетворены, 687 </w:t>
      </w:r>
      <w:r>
        <w:noBreakHyphen/>
        <w:t xml:space="preserve"> отклонены, а 547 </w:t>
      </w:r>
      <w:r>
        <w:noBreakHyphen/>
        <w:t xml:space="preserve"> прекращены рассмотрением.  К последней категории относятся случаи, когда представленная документация была неполной, а заявителей с целью внесения необходимых исправлений обнаружить не удалось.  Хотя ряд ситуаций за это время удалось урегулировать, 74 дела пока остаются в рассмотрении:  это обусловлено отсутствием ответа европейских служб, соответствующих Погранично</w:t>
      </w:r>
      <w:r>
        <w:noBreakHyphen/>
        <w:t>иммиграционной службе, поскольку лица, которых касаются эти ситуации, занесены в информационную базу данных Шенгенского соглашения.</w:t>
      </w:r>
    </w:p>
    <w:p w:rsidR="00000000" w:rsidRDefault="00000000"/>
    <w:p w:rsidR="00000000" w:rsidRDefault="00000000">
      <w:r>
        <w:t>20.</w:t>
      </w:r>
      <w:r>
        <w:tab/>
        <w:t xml:space="preserve">Основная часть ходатайств о легализации поступила от представителей Африки, главным образом от граждан португалоязычных стран.  Так, гражданами Анголы было подано 9 255 ходатайств, Кабо-Верде - 6 872, Гвинеи - 5 508 и, наконец, Сан-Томе и Принсипи - 1 549 ходатайств о легализации.  Граждане Бразилии представили 2 330 таких ходатайств.  Следует также упомянуть, что 89% ходатайств, т.е. 30 829, были получены и рассмотрены Региональным управлением Лиссабона. </w:t>
      </w:r>
    </w:p>
    <w:p w:rsidR="00000000" w:rsidRDefault="00000000"/>
    <w:p w:rsidR="00000000" w:rsidRDefault="00000000">
      <w:pPr>
        <w:pStyle w:val="16"/>
        <w:ind w:left="567" w:hanging="567"/>
      </w:pPr>
      <w:r>
        <w:t>II.</w:t>
      </w:r>
      <w:r>
        <w:tab/>
        <w:t>МЕРЫ ПО НАДЛЕЖАЩЕМУ ОСУЩЕСТВЛЕНИЮ КОНВЕНЦИИ О ЛИКВИДАЦИИ ВСЕХ ФОРМ РАСОВОЙ ДИСКРИМИНАЦИИ</w:t>
      </w:r>
    </w:p>
    <w:p w:rsidR="00000000" w:rsidRDefault="00000000">
      <w:pPr>
        <w:pStyle w:val="16"/>
      </w:pPr>
    </w:p>
    <w:p w:rsidR="00000000" w:rsidRDefault="00000000">
      <w:r>
        <w:t>21.</w:t>
      </w:r>
      <w:r>
        <w:tab/>
        <w:t>В соответствии с рекомендациями Комитета по ликвидации расовой дискриминации Португалия начала процесс присоединения к механизму статьи 14 и процедуру ратификации поправки к статье 8 Международной конвенции о ликвидации всех форм расовой дискриминации.  Эти процедуры пока не завершены, но есть все основания полагать, что Португалия представит Комитету удовлетворительную информацию по этим аспектам.</w:t>
      </w:r>
    </w:p>
    <w:p w:rsidR="00000000" w:rsidRDefault="00000000"/>
    <w:p w:rsidR="00000000" w:rsidRDefault="00000000">
      <w:r>
        <w:t>22.</w:t>
      </w:r>
      <w:r>
        <w:tab/>
        <w:t xml:space="preserve">Что касается распространения информации о положении в области расовой дискриминации в Португалии, то Управление Верховного комиссара по делам иммиграции и этнических меньшинств имеет свой </w:t>
      </w:r>
      <w:r>
        <w:rPr>
          <w:lang w:val="en-US"/>
        </w:rPr>
        <w:t>Web-</w:t>
      </w:r>
      <w:r>
        <w:t xml:space="preserve">сайт, с которым можно ознакомиться по адресу: </w:t>
      </w:r>
      <w:r>
        <w:rPr>
          <w:lang w:val="en-US"/>
        </w:rPr>
        <w:t>http://acime.gov.pt.</w:t>
      </w:r>
      <w:r>
        <w:t xml:space="preserve">  Кроме того, Управление по вопросам документации и сравнительного права при Генеральной прокуратуре Республики поместило сводный текст предыдущих докладов на своем </w:t>
      </w:r>
      <w:r>
        <w:rPr>
          <w:lang w:val="en-US"/>
        </w:rPr>
        <w:t>Web-</w:t>
      </w:r>
      <w:r>
        <w:t xml:space="preserve">сайте, где, кроме того, содержится целый ряд материалов по правам человека;  с этим сайтом можно ознакомиться по адресу:  </w:t>
      </w:r>
      <w:r>
        <w:rPr>
          <w:lang w:val="en-US"/>
        </w:rPr>
        <w:t>http://www.gddc.pt.</w:t>
      </w:r>
      <w:r>
        <w:t xml:space="preserve">  Кроме того, Управление разместило на своем сайте доклад Португалии об осуществлении Венской декларации ("Эволюция положения в области прав человека в Португалии за последние годы"), а также последний доклад об осуществлении Международного пакта об экономических, социальных и культурных правах, который еще не обсуждался.  Это управление также отвечает за выпуск рассчитанного на всю юридическую аудиторию, в частности судей и адвокатов, бюллетеня </w:t>
      </w:r>
      <w:r>
        <w:rPr>
          <w:lang w:val="en-US"/>
        </w:rPr>
        <w:t>"Documentação e Direito Comparado"</w:t>
      </w:r>
      <w:r>
        <w:t xml:space="preserve"> ("Документация и  сравнительное право"), в котором содержится целый ряд текстов (доктрина, законодательство, международные инструменты, судебная практика) по правам человека.</w:t>
      </w:r>
    </w:p>
    <w:p w:rsidR="00000000" w:rsidRDefault="00000000"/>
    <w:p w:rsidR="00000000" w:rsidRDefault="00000000">
      <w:pPr>
        <w:pStyle w:val="16"/>
      </w:pPr>
      <w:proofErr w:type="spellStart"/>
      <w:r>
        <w:t>III</w:t>
      </w:r>
      <w:proofErr w:type="spellEnd"/>
      <w:r>
        <w:t>.</w:t>
      </w:r>
      <w:r>
        <w:rPr>
          <w:lang w:val="en-US"/>
        </w:rPr>
        <w:tab/>
      </w:r>
      <w:r>
        <w:t>ЭВОЛЮЦИЯ СУДЕБНОЙ ПРАКТИКИ ПО ДЕЛАМ О РАСИЗМЕ И РАСОВОЙ ДИСКРИМИНАЦИИ</w:t>
      </w:r>
    </w:p>
    <w:p w:rsidR="00000000" w:rsidRDefault="00000000">
      <w:pPr>
        <w:pStyle w:val="16"/>
      </w:pPr>
    </w:p>
    <w:p w:rsidR="00000000" w:rsidRDefault="00000000">
      <w:pPr>
        <w:pStyle w:val="16"/>
        <w:jc w:val="left"/>
      </w:pPr>
      <w:r>
        <w:t>23.</w:t>
      </w:r>
      <w:r>
        <w:tab/>
        <w:t xml:space="preserve">Единственным рассматриваемым в судебном порядке делом из числа упомянутых в восьмом докладе </w:t>
      </w:r>
      <w:r>
        <w:rPr>
          <w:lang w:val="en-US"/>
        </w:rPr>
        <w:t>(CERD/C/314/Add.1)</w:t>
      </w:r>
      <w:r>
        <w:t>, в связи с которым омбудсмен подготовил рекомендацию 72/А/96, является дело о цыганских жилищах в Вила-Верде (см. пункты 51, 104 и 105 восьмого доклада).</w:t>
      </w:r>
    </w:p>
    <w:p w:rsidR="00000000" w:rsidRDefault="00000000">
      <w:pPr>
        <w:pStyle w:val="16"/>
        <w:jc w:val="left"/>
      </w:pPr>
    </w:p>
    <w:p w:rsidR="00000000" w:rsidRDefault="00000000">
      <w:pPr>
        <w:pStyle w:val="16"/>
        <w:jc w:val="left"/>
      </w:pPr>
      <w:r>
        <w:t>24.</w:t>
      </w:r>
      <w:r>
        <w:tab/>
        <w:t>Группы населения, оказавшие давление на мэра, который вслед за этим издал распоряжение о сносе цыганских жилищ, были привлечены к уголовной ответственности префектом округом Брага и Верховным комиссаром по делам об иммиграции с главным обвинением в создании террористической ассоциации.  Действительно, с распространением подозрений о том, что цыганское население занимается распространением наркотиков, эти жители сформировали "отряды милиции", которые взяли на себя контроль за входом и выходом любого лица из домов, принадлежащих цыганам.  Уступив этому давлению, мэр Вила-Верде распорядился снести эти жилища, в результате чего омбудсменом была подготовлена рекомендация, упомянутая в последнем докладе.</w:t>
      </w:r>
    </w:p>
    <w:p w:rsidR="00000000" w:rsidRDefault="00000000">
      <w:pPr>
        <w:pStyle w:val="16"/>
        <w:jc w:val="left"/>
      </w:pPr>
    </w:p>
    <w:p w:rsidR="00000000" w:rsidRDefault="00000000">
      <w:pPr>
        <w:pStyle w:val="16"/>
        <w:jc w:val="left"/>
      </w:pPr>
      <w:r>
        <w:t>25.</w:t>
      </w:r>
      <w:r>
        <w:tab/>
        <w:t>Затем префект Браги, активно выступивший в защиту цыган совместно с Верховным комиссаром по делам иммиграции и этнических меньшинств, подал жалобу на террористическую ассоциацию за эти деяния, совершенные в 1996 году.  Целый ряд членов этих отрядов были осуждены судом первой инстанции за создание террористической ассоциации;  назначенные им меры наказания составляли от трех до четырех лет тюремного заключения.</w:t>
      </w:r>
    </w:p>
    <w:p w:rsidR="00000000" w:rsidRDefault="00000000">
      <w:pPr>
        <w:pStyle w:val="16"/>
        <w:jc w:val="left"/>
      </w:pPr>
    </w:p>
    <w:p w:rsidR="00000000" w:rsidRDefault="00000000">
      <w:pPr>
        <w:pStyle w:val="16"/>
        <w:jc w:val="left"/>
      </w:pPr>
      <w:r>
        <w:t>26.</w:t>
      </w:r>
      <w:r>
        <w:tab/>
        <w:t>Тем временем в ходе указанных событий префект Браги принял меры к переселению цыганской общины.  При перевозке имущества этой общины префект был освистан населением двух соседних коммун - Серваеш и Франселош, которые принимали участие в "народной милиции", вследствие чего префект подал жалобу на нападение и оскорбления.  Указанные жители поселка Серваеш, в отличие от жителей поселка Франселош, публично принесли префекту свои извинения.</w:t>
      </w:r>
    </w:p>
    <w:p w:rsidR="00000000" w:rsidRDefault="00000000">
      <w:pPr>
        <w:pStyle w:val="16"/>
        <w:jc w:val="left"/>
      </w:pPr>
    </w:p>
    <w:p w:rsidR="00000000" w:rsidRDefault="00000000">
      <w:pPr>
        <w:pStyle w:val="16"/>
        <w:jc w:val="left"/>
      </w:pPr>
      <w:r>
        <w:t>27.</w:t>
      </w:r>
      <w:r>
        <w:tab/>
        <w:t>Учитывая публичное принесение извинений жителями поселка Серваеш, прокуратура потребовала для них более мягких наказаний.  В связи с вынесением обвинительного приговора за создание террористической ассоциации, согласно которому 20 жителей поселка Франселош были осуждены к уже упомянутым срокам тюремного заключения от трех до четырех лет, были поданы апелляционные жалобы.  Таким образом, рассмотрение этого сложного дела по</w:t>
      </w:r>
      <w:r>
        <w:noBreakHyphen/>
        <w:t>прежнему продолжается.  Следует отметить позитивный вклад префекта Браги и судебных и полицейских властей, участвовавших в этих событиях.</w:t>
      </w:r>
    </w:p>
    <w:p w:rsidR="00000000" w:rsidRDefault="00000000">
      <w:pPr>
        <w:pStyle w:val="16"/>
        <w:jc w:val="left"/>
      </w:pPr>
    </w:p>
    <w:p w:rsidR="00000000" w:rsidRDefault="00000000">
      <w:pPr>
        <w:pStyle w:val="16"/>
      </w:pPr>
      <w:r>
        <w:rPr>
          <w:lang w:val="en-US"/>
        </w:rPr>
        <w:t>IV.</w:t>
      </w:r>
      <w:r>
        <w:rPr>
          <w:lang w:val="en-US"/>
        </w:rPr>
        <w:tab/>
      </w:r>
      <w:r>
        <w:t>ПРИНЯТОЕ В ПОСЛЕДНЕЕ ВРЕМЯ ЗАКОНОДАТЕЛЬСТВО О БОРЬБЕ С РАСИЗМОМ И РАСОВОЙ ДИСКРИМИНАЦИЕЙ</w:t>
      </w:r>
    </w:p>
    <w:p w:rsidR="00000000" w:rsidRDefault="00000000">
      <w:pPr>
        <w:pStyle w:val="16"/>
      </w:pPr>
    </w:p>
    <w:p w:rsidR="00000000" w:rsidRDefault="00000000">
      <w:pPr>
        <w:pStyle w:val="16"/>
        <w:rPr>
          <w:u w:val="single"/>
        </w:rPr>
      </w:pPr>
      <w:r>
        <w:rPr>
          <w:lang w:val="en-US"/>
        </w:rPr>
        <w:t>A.</w:t>
      </w:r>
      <w:r>
        <w:rPr>
          <w:lang w:val="en-US"/>
        </w:rPr>
        <w:tab/>
      </w:r>
      <w:r>
        <w:rPr>
          <w:u w:val="single"/>
        </w:rPr>
        <w:t>Закон 15/98 от 26 марта об убежище и беженцах</w:t>
      </w:r>
    </w:p>
    <w:p w:rsidR="00000000" w:rsidRDefault="00000000">
      <w:pPr>
        <w:pStyle w:val="16"/>
        <w:rPr>
          <w:u w:val="single"/>
        </w:rPr>
      </w:pPr>
    </w:p>
    <w:p w:rsidR="00000000" w:rsidRDefault="00000000">
      <w:pPr>
        <w:pStyle w:val="16"/>
        <w:jc w:val="left"/>
      </w:pPr>
      <w:r>
        <w:t>28.</w:t>
      </w:r>
      <w:r>
        <w:tab/>
        <w:t>Закон 15/98 от 26 марта (его перевод содержится в приложении</w:t>
      </w:r>
      <w:r>
        <w:rPr>
          <w:rStyle w:val="FootnoteReference"/>
        </w:rPr>
        <w:footnoteReference w:customMarkFollows="1" w:id="2"/>
        <w:t>*</w:t>
      </w:r>
      <w:r>
        <w:t>) регламентирует процедуру предоставления убежища в Португалии.  Он в определенной степени важен для борьбы с расизмом и расовой дискриминацией, поскольку речь идет о приеме иностранцев, которые могут подвергнуться дискриминационному обращению, что для Португалии недопустимо.  Этот закон предусматривает три возможности его применения:</w:t>
      </w:r>
    </w:p>
    <w:p w:rsidR="00000000" w:rsidRDefault="00000000">
      <w:pPr>
        <w:pStyle w:val="16"/>
        <w:jc w:val="left"/>
      </w:pPr>
    </w:p>
    <w:p w:rsidR="00000000" w:rsidRDefault="00000000">
      <w:r>
        <w:tab/>
        <w:t>a)</w:t>
      </w:r>
      <w:r>
        <w:tab/>
        <w:t>действие закона распространяется непосредственно на ситуации, связанные с предоставлением убежища;  статья 1 этого закона гласит:</w:t>
      </w:r>
    </w:p>
    <w:p w:rsidR="00000000" w:rsidRDefault="00000000"/>
    <w:p w:rsidR="00000000" w:rsidRDefault="00000000">
      <w:pPr>
        <w:ind w:left="567" w:hanging="567"/>
      </w:pPr>
      <w:r>
        <w:tab/>
        <w:t>"Право убежища гарантируется иностранцам и апатридам, преследуемым за деятельность, которую они осуществляют в государстве своего гражданства или постоянного проживания в интересах демократии, социального и национального освобождения, мира между народами, свободы и прав человеческой личности".</w:t>
      </w:r>
    </w:p>
    <w:p w:rsidR="00000000" w:rsidRDefault="00000000">
      <w:pPr>
        <w:ind w:left="567" w:hanging="567"/>
      </w:pPr>
    </w:p>
    <w:p w:rsidR="00000000" w:rsidRDefault="00000000">
      <w:r>
        <w:tab/>
      </w:r>
      <w:r>
        <w:rPr>
          <w:lang w:val="en-US"/>
        </w:rPr>
        <w:t>b)</w:t>
      </w:r>
      <w:r>
        <w:rPr>
          <w:lang w:val="en-US"/>
        </w:rPr>
        <w:tab/>
      </w:r>
      <w:r>
        <w:t>Закон предусматривает предоставление разрешения на проживание по гуманитарным соображениям;  его статья 8 гласит:</w:t>
      </w:r>
    </w:p>
    <w:p w:rsidR="00000000" w:rsidRDefault="00000000"/>
    <w:p w:rsidR="00000000" w:rsidRDefault="00000000">
      <w:pPr>
        <w:ind w:left="567" w:hanging="567"/>
      </w:pPr>
      <w:r>
        <w:tab/>
        <w:t xml:space="preserve">"Разрешение на проживание предоставляется по гуманитарным соображениям иностранцам и апатридам, на которых не распространяются положения статьи 1 и возвращение которых в страну их гражданства или постоянного проживания затруднено или невозможно из-за серьезной опасности, обусловленной </w:t>
      </w:r>
    </w:p>
    <w:p w:rsidR="00000000" w:rsidRDefault="00000000">
      <w:pPr>
        <w:ind w:left="1134"/>
      </w:pPr>
      <w:r>
        <w:br w:type="page"/>
        <w:t>происходящими там вооруженными конфликтами или систематическими нарушениями прав человека".</w:t>
      </w:r>
    </w:p>
    <w:p w:rsidR="00000000" w:rsidRDefault="00000000">
      <w:pPr>
        <w:ind w:left="567" w:hanging="567"/>
      </w:pPr>
    </w:p>
    <w:p w:rsidR="00000000" w:rsidRDefault="00000000">
      <w:r>
        <w:rPr>
          <w:lang w:val="en-US"/>
        </w:rPr>
        <w:tab/>
        <w:t>c)</w:t>
      </w:r>
      <w:r>
        <w:rPr>
          <w:lang w:val="en-US"/>
        </w:rPr>
        <w:tab/>
      </w:r>
      <w:r>
        <w:t>Наконец, в нем предусмотрено предоставление временной защиты;  его статья 9 гласит:</w:t>
      </w:r>
    </w:p>
    <w:p w:rsidR="00000000" w:rsidRDefault="00000000"/>
    <w:p w:rsidR="00000000" w:rsidRDefault="00000000">
      <w:pPr>
        <w:ind w:left="567" w:hanging="567"/>
      </w:pPr>
      <w:r>
        <w:tab/>
        <w:t>"Португальское государство может предоставлять временную защиту на период не более двух лет лицам, перемещенным из своей страны по причине серьезных вооруженных конфликтов, обусловивших появление многочисленных потоков беженцев".</w:t>
      </w:r>
    </w:p>
    <w:p w:rsidR="00000000" w:rsidRDefault="00000000">
      <w:pPr>
        <w:ind w:left="567" w:hanging="567"/>
      </w:pPr>
    </w:p>
    <w:p w:rsidR="00000000" w:rsidRDefault="00000000">
      <w:pPr>
        <w:tabs>
          <w:tab w:val="clear" w:pos="567"/>
          <w:tab w:val="left" w:pos="0"/>
        </w:tabs>
      </w:pPr>
      <w:r>
        <w:t xml:space="preserve">Именно положение о временной защите и явилось юридической основой для приема граждан Гвинеи и Косово, о котором шла речь в части </w:t>
      </w:r>
      <w:r>
        <w:rPr>
          <w:lang w:val="en-US"/>
        </w:rPr>
        <w:t>I</w:t>
      </w:r>
      <w:r>
        <w:t>.</w:t>
      </w:r>
    </w:p>
    <w:p w:rsidR="00000000" w:rsidRDefault="00000000">
      <w:pPr>
        <w:tabs>
          <w:tab w:val="clear" w:pos="567"/>
          <w:tab w:val="left" w:pos="0"/>
        </w:tabs>
      </w:pPr>
    </w:p>
    <w:p w:rsidR="00000000" w:rsidRDefault="00000000">
      <w:r>
        <w:t>29.</w:t>
      </w:r>
      <w:r>
        <w:tab/>
        <w:t>Закон 15/98 основан на принципе воссоединения семей;  в пункте 1 его статьи 4 предусмотрено:</w:t>
      </w:r>
    </w:p>
    <w:p w:rsidR="00000000" w:rsidRDefault="00000000"/>
    <w:p w:rsidR="00000000" w:rsidRDefault="00000000">
      <w:pPr>
        <w:ind w:left="567" w:hanging="567"/>
      </w:pPr>
      <w:r>
        <w:tab/>
        <w:t>"По ходатайству заявителя режим убежища распространяется на его супруга и несовершеннолетних, приемных или недееспособных детей…"</w:t>
      </w:r>
    </w:p>
    <w:p w:rsidR="00000000" w:rsidRDefault="00000000">
      <w:pPr>
        <w:ind w:left="567" w:hanging="567"/>
      </w:pPr>
    </w:p>
    <w:p w:rsidR="00000000" w:rsidRDefault="00000000">
      <w:pPr>
        <w:ind w:left="567" w:hanging="567"/>
      </w:pPr>
      <w:r>
        <w:t>Кроме того, пункт 2 этой же статьи гласит:</w:t>
      </w:r>
    </w:p>
    <w:p w:rsidR="00000000" w:rsidRDefault="00000000">
      <w:pPr>
        <w:ind w:left="567" w:hanging="567"/>
      </w:pPr>
    </w:p>
    <w:p w:rsidR="00000000" w:rsidRDefault="00000000">
      <w:pPr>
        <w:ind w:left="567" w:hanging="567"/>
      </w:pPr>
      <w:r>
        <w:tab/>
        <w:t>"Если заявитель младше 18 лет, то по его просьбе режим убежища на тех же условиях  распространяется на его отца, мать и несовершеннолетних братьев, для которых он является единственным кормильцем".</w:t>
      </w:r>
    </w:p>
    <w:p w:rsidR="00000000" w:rsidRDefault="00000000">
      <w:pPr>
        <w:ind w:left="567" w:hanging="567"/>
      </w:pPr>
    </w:p>
    <w:p w:rsidR="00000000" w:rsidRDefault="00000000">
      <w:r>
        <w:t>30.</w:t>
      </w:r>
      <w:r>
        <w:tab/>
        <w:t>Предоставление убежища осуществляется в два этапа.  На первом, административном этапе происходит рассмотрение ходатайства об убежище;  решение по нему выносится директором Погранично-иммиграционной службы, которое может быть обжаловано с отсрочкой исполнения в Национальном комиссариате по делам беженцев.  Решение Комиссариата также может быть обжаловано в восьмидневный срок в административном суде первой инстанции.  После удовлетворения ходатайства на административном этапе окончательное решение принимается министром внутренних дел, после чего Погранично-иммиграционной службой выдается временное разрешение на проживание, действительное в течение 60 дней.  Возможное отрицательное решение министра внутренних дел подлежит обжалованию в Верховном административном суде.</w:t>
      </w:r>
    </w:p>
    <w:p w:rsidR="00000000" w:rsidRDefault="00000000"/>
    <w:p w:rsidR="00000000" w:rsidRDefault="00000000">
      <w:r>
        <w:t>31.</w:t>
      </w:r>
      <w:r>
        <w:tab/>
        <w:t>Кроме того, Закон предусматривает обеспечение заявителю социальной поддержки в течение всей процедуры, связанной с предоставлением убежища.</w:t>
      </w:r>
    </w:p>
    <w:p w:rsidR="00000000" w:rsidRDefault="00000000"/>
    <w:p w:rsidR="00000000" w:rsidRDefault="00000000">
      <w:pPr>
        <w:jc w:val="center"/>
        <w:rPr>
          <w:u w:val="single"/>
        </w:rPr>
      </w:pPr>
      <w:r>
        <w:rPr>
          <w:lang w:val="en-US"/>
        </w:rPr>
        <w:t>B.</w:t>
      </w:r>
      <w:r>
        <w:rPr>
          <w:lang w:val="en-US"/>
        </w:rPr>
        <w:tab/>
      </w:r>
      <w:r>
        <w:rPr>
          <w:u w:val="single"/>
        </w:rPr>
        <w:t>Закон 20/98 от 12 мая о порядке трудовой деятельности иностранцев</w:t>
      </w:r>
    </w:p>
    <w:p w:rsidR="00000000" w:rsidRDefault="00000000">
      <w:pPr>
        <w:jc w:val="center"/>
        <w:rPr>
          <w:u w:val="single"/>
        </w:rPr>
      </w:pPr>
    </w:p>
    <w:p w:rsidR="00000000" w:rsidRDefault="00000000">
      <w:r>
        <w:t>32.</w:t>
      </w:r>
      <w:r>
        <w:tab/>
        <w:t>Иностранные работники в Португалии не подвергаются дискриминации.  Однако парламент счел необходимым упорядочить трудовую деятельность иностранцев, усовершенствовав положения предыдущего законодательного акта - Декрета-закона 97/77 от 17 марта, согласно которому на предприятиях с числом работников более пяти 90% должны были составлять португальцы.  На основании нового законодательства о трудовой деятельности иностранцев - Закона 20/98 от 12 мая - работодатель свободно нанимает любого работника, проживающего в Португалии на законных основаниях, независимо от его гражданства.</w:t>
      </w:r>
    </w:p>
    <w:p w:rsidR="00000000" w:rsidRDefault="00000000"/>
    <w:p w:rsidR="00000000" w:rsidRDefault="00000000">
      <w:r>
        <w:t>33.</w:t>
      </w:r>
      <w:r>
        <w:tab/>
        <w:t>Иностранные граждане, постоянно проживающие в Португалии на законном основании, в рамках своей трудовой деятельности пользуются теми же условиями труда, что и работники-португальцы.  При этом все же имеются различия в сфере процедуры оформления трудового договора, которые зависят от того, обеспечивает ли страна происхождения работника равенство обращения для португальских работников.</w:t>
      </w:r>
    </w:p>
    <w:p w:rsidR="00000000" w:rsidRDefault="00000000"/>
    <w:p w:rsidR="00000000" w:rsidRDefault="00000000">
      <w:r>
        <w:t>34.</w:t>
      </w:r>
      <w:r>
        <w:tab/>
        <w:t>Для работников из числа граждан стран - членов европейского экономического пространства (включая, естественно, выходцев из стран Европейского союза) предусмотрен режим, полностью идентичный режиму для граждан Португалии.  Большинство работников-иммигрантов в Португалии являются выходцами из стран, которые обеспечивают португальским работникам равный режим обращения.  При трудоустройстве работодатель лишь направляет в Управление по вопросам развития и инспекции условий труда (УРИУТ) письменное уведомление о заключении трудового договора с указанием гражданства, профессиональной категории или служебных обязанностей и даты начала трудовой деятельности (статья 5.1).  Кроме того, работодатель также обязан в 15-дневный срок представить письменное уведомление о прекращении трудового договора (статья 5.2).</w:t>
      </w:r>
    </w:p>
    <w:p w:rsidR="00000000" w:rsidRDefault="00000000"/>
    <w:p w:rsidR="00000000" w:rsidRDefault="00000000">
      <w:r>
        <w:t>35.</w:t>
      </w:r>
      <w:r>
        <w:tab/>
        <w:t>В соответствии с инструкцией о трудовой деятельности иностранцев на территории Португалии, опубликованной в Бюллетене по вопросам труда и занятости № 17 от 18 мая 1999 года, 1-я серия, большинство работников-иностранцев освобождено от требования в отношении составления письменного трудового договора.</w:t>
      </w:r>
    </w:p>
    <w:p w:rsidR="00000000" w:rsidRDefault="00000000"/>
    <w:p w:rsidR="00000000" w:rsidRDefault="00000000">
      <w:r>
        <w:t>36.</w:t>
      </w:r>
      <w:r>
        <w:tab/>
        <w:t>В случае с выходцами из других стран и апатридов требуются письменный трудовой договор и документ, подтверждающий соблюдение законоположений о въезде и пребывании иностранцев в Португалии, а также передача этого договора в УРИУТ.  При прекращении трудового договора работодатель должен в 15-дневный срок направить соответствующее письменное уведомление в филиал УРИУТ, куда ранее был направлен этот договор (статья 4.4).</w:t>
      </w:r>
    </w:p>
    <w:p w:rsidR="00000000" w:rsidRDefault="00000000"/>
    <w:p w:rsidR="00000000" w:rsidRDefault="00000000">
      <w:r>
        <w:t>37.</w:t>
      </w:r>
      <w:r>
        <w:tab/>
        <w:t>Эта процедура ни в коей мере не ставит под сомнение ни принцип свободного заключения трудового договора с любым работником, проживающим в стране на законном основании, независимо от его гражданства, ни равенство обращения в сфере профессиональной деятельности.</w:t>
      </w:r>
    </w:p>
    <w:p w:rsidR="00000000" w:rsidRDefault="00000000"/>
    <w:p w:rsidR="00000000" w:rsidRDefault="00000000">
      <w:pPr>
        <w:jc w:val="center"/>
      </w:pPr>
      <w:r>
        <w:t>С.</w:t>
      </w:r>
      <w:r>
        <w:tab/>
      </w:r>
      <w:r>
        <w:rPr>
          <w:u w:val="single"/>
        </w:rPr>
        <w:t>Декрет-закон 244/98 от 8 августа о порядке въезда, пребывания и выезда иностранцев</w:t>
      </w:r>
    </w:p>
    <w:p w:rsidR="00000000" w:rsidRDefault="00000000">
      <w:pPr>
        <w:jc w:val="center"/>
      </w:pPr>
    </w:p>
    <w:p w:rsidR="00000000" w:rsidRDefault="00000000">
      <w:r>
        <w:t>38.</w:t>
      </w:r>
      <w:r>
        <w:tab/>
        <w:t>Новый режим въезда, пребывания и выезда иностранцев призван в полной мере обеспечить компромисс между оптимальным приемом иностранцев и обязательствами Португалии перед Европейским союзом.  Что касается пребывания иностранцев в Португалии, то ходатайство о разрешении на пребывание может составляться заинтересованным лицом или его законным представителем и должно направляться в Погранично-иммиграционную службу.  Решение вопроса о выдаче разрешения на проживание зависит от наличия действительной въездной визы, отсутствия со стороны заявителя каких-либо деяний, которые, став известны португальским властям, послужили бы препятствием для получения визы, и от его присутствия на территории Португалии.  Разрешение на проживание может быть временным или постоянным (статья 82).  Разрешение на временное проживание действительно в течение двух лет с возможным возобновлением на аналогичный срок.  Разрешение на постоянное проживание является бессрочным, но обновляется каждые пять лет.</w:t>
      </w:r>
    </w:p>
    <w:p w:rsidR="00000000" w:rsidRDefault="00000000"/>
    <w:p w:rsidR="00000000" w:rsidRDefault="00000000">
      <w:r>
        <w:t>39.</w:t>
      </w:r>
      <w:r>
        <w:tab/>
        <w:t>Разрешение на проживание возобновляется для тех иностранцев, которые проживают в Португалии на законных основаниях в течение десяти лет подряд и которые не были осуждены к мере или мерам наказания, единовременно или суммарно, превышающим один год тюремного заключения.  При этом потребуется предоставление справки о местожительстве, которая позволяет осуществлять контроль за иностранцами на территории страны.</w:t>
      </w:r>
    </w:p>
    <w:p w:rsidR="00000000" w:rsidRDefault="00000000">
      <w:pPr>
        <w:spacing w:line="240" w:lineRule="auto"/>
      </w:pPr>
    </w:p>
    <w:p w:rsidR="00000000" w:rsidRDefault="00000000">
      <w:pPr>
        <w:spacing w:line="240" w:lineRule="auto"/>
        <w:jc w:val="center"/>
        <w:rPr>
          <w:u w:val="single"/>
        </w:rPr>
      </w:pPr>
      <w:r>
        <w:t>D.</w:t>
      </w:r>
      <w:r>
        <w:tab/>
      </w:r>
      <w:r>
        <w:rPr>
          <w:u w:val="single"/>
        </w:rPr>
        <w:t>Закон 134/99 от 28 августа о запрещении дискриминации в области</w:t>
      </w:r>
    </w:p>
    <w:p w:rsidR="00000000" w:rsidRDefault="00000000">
      <w:pPr>
        <w:spacing w:line="240" w:lineRule="auto"/>
        <w:jc w:val="center"/>
        <w:rPr>
          <w:u w:val="single"/>
        </w:rPr>
      </w:pPr>
      <w:r>
        <w:rPr>
          <w:u w:val="single"/>
        </w:rPr>
        <w:t>осуществления прав по признакам расы, цвета кожи</w:t>
      </w:r>
      <w:r>
        <w:t>,</w:t>
      </w:r>
    </w:p>
    <w:p w:rsidR="00000000" w:rsidRDefault="00000000">
      <w:pPr>
        <w:pStyle w:val="11"/>
        <w:spacing w:line="240" w:lineRule="auto"/>
      </w:pPr>
      <w:r>
        <w:t>национальности или этнического происхождения</w:t>
      </w:r>
    </w:p>
    <w:p w:rsidR="00000000" w:rsidRDefault="00000000">
      <w:pPr>
        <w:jc w:val="center"/>
      </w:pPr>
    </w:p>
    <w:p w:rsidR="00000000" w:rsidRDefault="00000000">
      <w:r>
        <w:t>40.</w:t>
      </w:r>
      <w:r>
        <w:tab/>
        <w:t xml:space="preserve">Закон 134/99 от 28 августа (неоднократно упоминающийся в прилагаемом ответе на вопросник, составленный Организацией Объединенных Наций во исполнение резолюции 1999/78 Комиссии по правам человека, озаглавленной "Расизм, расовая </w:t>
      </w:r>
    </w:p>
    <w:p w:rsidR="00000000" w:rsidRDefault="00000000">
      <w:r>
        <w:br w:type="page"/>
        <w:t xml:space="preserve">дискриминация, ксенофобия и связанная с ними </w:t>
      </w:r>
      <w:proofErr w:type="spellStart"/>
      <w:r>
        <w:t>нетерпимость*</w:t>
      </w:r>
      <w:proofErr w:type="spellEnd"/>
      <w:r>
        <w:t>", запрещает проявление дискриминации в области осуществления прав по признакам расы, цвета кожи, национальности или этнического происхождения.  В соответствии со статьей 2 этого закона его действие распространяется на всех физических, юридических, государственных и частных лиц.</w:t>
      </w:r>
    </w:p>
    <w:p w:rsidR="00000000" w:rsidRDefault="00000000"/>
    <w:p w:rsidR="00000000" w:rsidRDefault="00000000">
      <w:r>
        <w:t>41.</w:t>
      </w:r>
      <w:r>
        <w:tab/>
        <w:t>Согласно статье 2 закона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свобод и гарантий или экономических, социальных и культурных прав.</w:t>
      </w:r>
    </w:p>
    <w:p w:rsidR="00000000" w:rsidRDefault="00000000"/>
    <w:p w:rsidR="00000000" w:rsidRDefault="00000000">
      <w:r>
        <w:t>42.</w:t>
      </w:r>
      <w:r>
        <w:tab/>
        <w:t>В его статье 4 содержится следующий перечень проявлений дискриминации, который не носит исчерпывающего характера:</w:t>
      </w:r>
    </w:p>
    <w:p w:rsidR="00000000" w:rsidRDefault="00000000"/>
    <w:p w:rsidR="00000000" w:rsidRDefault="00000000">
      <w:r>
        <w:tab/>
        <w:t>а)</w:t>
      </w:r>
      <w:r>
        <w:tab/>
        <w:t>введение какой-либо процедуры, меры или критерия самим работодателем или посредством инструкций, даваемых его работникам или агентству по найму, которые обусловливают расовыми мотивами предложение вакансий, прекращение трудовых отношений или отказ в трудоустройстве;</w:t>
      </w:r>
    </w:p>
    <w:p w:rsidR="00000000" w:rsidRDefault="00000000"/>
    <w:p w:rsidR="00000000" w:rsidRDefault="00000000">
      <w:r>
        <w:tab/>
        <w:t>b)</w:t>
      </w:r>
      <w:r>
        <w:tab/>
        <w:t>составление или распространение информации о вакансиях или других видов рекламы, связанной с отбором кандидатур или наймом на работу, в которых прямо или косвенно содержится уточнение или предпочтение, основанное на факторах расовой дискриминации;</w:t>
      </w:r>
    </w:p>
    <w:p w:rsidR="00000000" w:rsidRDefault="00000000"/>
    <w:p w:rsidR="00000000" w:rsidRDefault="00000000">
      <w:r>
        <w:tab/>
        <w:t>с)</w:t>
      </w:r>
      <w:r>
        <w:tab/>
        <w:t>отказ со стороны любого физического или юридического лица в предоставлении или воспрепятствование в использовании имущества или услуг;</w:t>
      </w:r>
    </w:p>
    <w:p w:rsidR="00000000" w:rsidRDefault="00000000"/>
    <w:p w:rsidR="00000000" w:rsidRDefault="00000000">
      <w:r>
        <w:tab/>
        <w:t>d)</w:t>
      </w:r>
      <w:r>
        <w:tab/>
        <w:t>воспрепятствование или ограничение доступа или нормального осуществления какого-либо вида экономической деятельности со стороны любого физического или юридического лица;</w:t>
      </w: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r>
        <w:rPr>
          <w:u w:val="single"/>
        </w:rPr>
        <w:tab/>
      </w:r>
      <w:r>
        <w:rPr>
          <w:u w:val="single"/>
        </w:rPr>
        <w:tab/>
      </w:r>
      <w:r>
        <w:rPr>
          <w:u w:val="single"/>
        </w:rPr>
        <w:tab/>
      </w:r>
      <w:r>
        <w:rPr>
          <w:u w:val="single"/>
        </w:rPr>
        <w:tab/>
      </w:r>
    </w:p>
    <w:p w:rsidR="00000000" w:rsidRDefault="00000000">
      <w:pPr>
        <w:spacing w:line="240" w:lineRule="auto"/>
        <w:rPr>
          <w:u w:val="single"/>
        </w:rPr>
      </w:pPr>
    </w:p>
    <w:p w:rsidR="00000000" w:rsidRDefault="00000000">
      <w:pPr>
        <w:spacing w:line="240" w:lineRule="auto"/>
      </w:pPr>
      <w:r>
        <w:t>*</w:t>
      </w:r>
      <w:r>
        <w:tab/>
        <w:t>С этим приложением можно ознакомиться в секретариате.</w:t>
      </w:r>
    </w:p>
    <w:p w:rsidR="00000000" w:rsidRDefault="00000000"/>
    <w:p w:rsidR="00000000" w:rsidRDefault="00000000">
      <w:r>
        <w:br w:type="page"/>
      </w:r>
    </w:p>
    <w:p w:rsidR="00000000" w:rsidRDefault="00000000">
      <w:r>
        <w:tab/>
      </w:r>
      <w:proofErr w:type="spellStart"/>
      <w:r>
        <w:t>е</w:t>
      </w:r>
      <w:proofErr w:type="spellEnd"/>
      <w:r>
        <w:t>)</w:t>
      </w:r>
      <w:r>
        <w:tab/>
        <w:t>отказ в продаже, аренде или субаренде зданий либо требование соблюдения каких-либо условий в этой связи;</w:t>
      </w:r>
    </w:p>
    <w:p w:rsidR="00000000" w:rsidRDefault="00000000"/>
    <w:p w:rsidR="00000000" w:rsidRDefault="00000000">
      <w:r>
        <w:tab/>
        <w:t>f)</w:t>
      </w:r>
      <w:r>
        <w:tab/>
        <w:t>отказ в доступе к общественным или открытым для посещения местам;</w:t>
      </w:r>
    </w:p>
    <w:p w:rsidR="00000000" w:rsidRDefault="00000000"/>
    <w:p w:rsidR="00000000" w:rsidRDefault="00000000">
      <w:r>
        <w:tab/>
        <w:t>g)</w:t>
      </w:r>
      <w:r>
        <w:tab/>
        <w:t>отказ и ограничение в доступе в государственные учебные заведения;</w:t>
      </w:r>
    </w:p>
    <w:p w:rsidR="00000000" w:rsidRDefault="00000000"/>
    <w:p w:rsidR="00000000" w:rsidRDefault="00000000">
      <w:r>
        <w:tab/>
        <w:t>h)</w:t>
      </w:r>
      <w:r>
        <w:tab/>
        <w:t>формирование классов или принятие других внутренних организационных мер в государственных или частных учебных заведениях на основе критериев расовой дискриминации, за исключением случаев, когда эти критерии оправданы целями, упомянутыми в пункте 2 статьи 3 ("Положения настоящего закона не препятствуют эффективности и применению законодательных, регламентирующих или административных положений, направленных на защиту интересов отдельных обездоленных групп, с тем чтобы гарантировать на основе равенства осуществление предусмотренных в них прав");</w:t>
      </w:r>
    </w:p>
    <w:p w:rsidR="00000000" w:rsidRDefault="00000000"/>
    <w:p w:rsidR="00000000" w:rsidRDefault="00000000">
      <w:r>
        <w:tab/>
      </w:r>
      <w:proofErr w:type="spellStart"/>
      <w:r>
        <w:rPr>
          <w:lang w:val="en-US"/>
        </w:rPr>
        <w:t>i</w:t>
      </w:r>
      <w:proofErr w:type="spellEnd"/>
      <w:r>
        <w:rPr>
          <w:lang w:val="en-US"/>
        </w:rPr>
        <w:t>)</w:t>
      </w:r>
      <w:r>
        <w:rPr>
          <w:lang w:val="en-US"/>
        </w:rPr>
        <w:tab/>
      </w:r>
      <w:r>
        <w:t>осуществление каким-либо органом, служащим или сотрудником учреждений, прямо или косвенно входящими в структуру государственного управления органов управления автономных областей или местных органов управления, какой-либо практики или меры, налагающей условия на осуществление любого права или ограничения на такое осуществление;</w:t>
      </w:r>
    </w:p>
    <w:p w:rsidR="00000000" w:rsidRDefault="00000000"/>
    <w:p w:rsidR="00000000" w:rsidRDefault="00000000">
      <w:r>
        <w:rPr>
          <w:lang w:val="en-US"/>
        </w:rPr>
        <w:tab/>
        <w:t>j)</w:t>
      </w:r>
      <w:r>
        <w:rPr>
          <w:lang w:val="en-US"/>
        </w:rPr>
        <w:tab/>
      </w:r>
      <w:r>
        <w:t>введение работодателем какой-либо практики, которая в рамках трудовых отношений равнозначна дискриминации в отношении работника при исполнении им служебных обязанностей;</w:t>
      </w:r>
    </w:p>
    <w:p w:rsidR="00000000" w:rsidRDefault="00000000"/>
    <w:p w:rsidR="00000000" w:rsidRDefault="00000000">
      <w:r>
        <w:rPr>
          <w:lang w:val="en-US"/>
        </w:rPr>
        <w:tab/>
        <w:t>k)</w:t>
      </w:r>
      <w:r>
        <w:rPr>
          <w:lang w:val="en-US"/>
        </w:rPr>
        <w:tab/>
      </w:r>
      <w:r>
        <w:t>принятие какого-либо акта, посредством которого физическое или юридическое лицо публично или с намерением широкого распространения выступает с заявлением, содержащим угрозу, оскорбления или унизительные высказывания в адрес какой-либо группы лиц.</w:t>
      </w:r>
    </w:p>
    <w:p w:rsidR="00000000" w:rsidRDefault="00000000"/>
    <w:p w:rsidR="00000000" w:rsidRDefault="00000000">
      <w:r>
        <w:t>43.</w:t>
      </w:r>
      <w:r>
        <w:tab/>
        <w:t>На основании пункта 2 статьи 3 "запрещается увольнять работника, применять к нему меры взыскания или наносить ему ущерб каким-либо другим способом по причине того, что он осуществляет в судебном порядке какое-либо право или действие против проявления дискриминации".</w:t>
      </w:r>
    </w:p>
    <w:p w:rsidR="00000000" w:rsidRDefault="00000000">
      <w:r>
        <w:br w:type="page"/>
      </w:r>
    </w:p>
    <w:p w:rsidR="00000000" w:rsidRDefault="00000000">
      <w:r>
        <w:t>44.</w:t>
      </w:r>
      <w:r>
        <w:tab/>
        <w:t>В соответствии с этим законом учреждается комиссия по вопросам равенства и борьбы с расовой дискриминацией под председательством Верховного комиссара по делам иммиграции и этнических меньшинств, а также предусматриваются административные санкции, не наносящие ущерба возможной внедоговорной гражданской ответственности.  Этот закон должен толковаться и применяться в соответствии со Всеобщей декларацией прав человека, Европейской конвенцией о правах человека и Международной конвенцией о ликвидации всех форм расовой дискриминации.</w:t>
      </w:r>
    </w:p>
    <w:p w:rsidR="00000000" w:rsidRDefault="00000000"/>
    <w:p w:rsidR="00000000" w:rsidRDefault="00000000">
      <w:pPr>
        <w:pStyle w:val="11"/>
      </w:pPr>
      <w:r>
        <w:t>Выводы</w:t>
      </w:r>
    </w:p>
    <w:p w:rsidR="00000000" w:rsidRDefault="00000000">
      <w:pPr>
        <w:pStyle w:val="11"/>
      </w:pPr>
    </w:p>
    <w:p w:rsidR="00000000" w:rsidRDefault="00000000">
      <w:r>
        <w:t>45.</w:t>
      </w:r>
      <w:r>
        <w:tab/>
        <w:t>Португалия прилагает неустанные усилия по обеспечению благосостояния лиц, проживающих на ее территории.  Что касается расовой дискриминации, то она борется с этим явлением всеми имеющимися в ее распоряжении средствами.</w:t>
      </w:r>
    </w:p>
    <w:p w:rsidR="00000000" w:rsidRDefault="00000000"/>
    <w:p w:rsidR="00000000" w:rsidRDefault="00000000">
      <w:r>
        <w:t>46.</w:t>
      </w:r>
      <w:r>
        <w:tab/>
        <w:t>Португалия не считает себя страной, для которой характерны расизм или ксенофобия.  Отдельные действия населения в ряде районов страны, которые, впрочем, преследуются по закону, должны восприниматься не как свидетельство практики расизма или ксенофобии, а как исключительные явления, даже если они вызывают взрыв возмущения.</w:t>
      </w:r>
    </w:p>
    <w:p w:rsidR="00000000" w:rsidRDefault="00000000"/>
    <w:p w:rsidR="00000000" w:rsidRDefault="00000000">
      <w:r>
        <w:t>47.</w:t>
      </w:r>
      <w:r>
        <w:tab/>
        <w:t>Население Португалии характеризуется постоянным смешением рас, которое обусловлено прибытием все новых этнических групп, оставивших ей в наследство особую терпимость и определенное уважение к различиям.  Сегодня население страны после многовекового расового смешения стало однородным.  Единственной его обособленной частью является цыганское население численностью около 40 000 человек - единственный имеющийся показатель демографического состава населения в плане межэтнического различия, поскольку он характеризует лишь одну нацию, выделяющуюся из общего состава населения.</w:t>
      </w:r>
    </w:p>
    <w:p w:rsidR="00000000" w:rsidRDefault="00000000"/>
    <w:p w:rsidR="00000000" w:rsidRDefault="00000000">
      <w:r>
        <w:t>48.</w:t>
      </w:r>
      <w:r>
        <w:tab/>
        <w:t>Португалия надеется, что в своем девятом докладе она ответила на предложения и рекомендации Комитета по ликвидации расовой дискриминации;  она хотела бы поддерживать с Комитетом плодотворный диалог, который будет способствовать улучшению положения в Португалии в области борьбы с расизмом и расовой дискриминацией.</w:t>
      </w:r>
    </w:p>
    <w:p w:rsidR="00000000" w:rsidRDefault="00000000"/>
    <w:p w:rsidR="00000000" w:rsidRDefault="00000000"/>
    <w:p w:rsidR="00000000" w:rsidRDefault="00000000">
      <w:pPr>
        <w:pStyle w:val="16"/>
        <w:rPr>
          <w:lang w:val="en-US"/>
        </w:rPr>
      </w:pPr>
      <w:r>
        <w:rPr>
          <w:lang w:val="en-US"/>
        </w:rPr>
        <w:t>------</w:t>
      </w:r>
    </w:p>
    <w:p w:rsidR="00000000" w:rsidRDefault="00000000"/>
    <w:sectPr w:rsidR="00000000">
      <w:headerReference w:type="even" r:id="rId8"/>
      <w:headerReference w:type="default" r:id="rId9"/>
      <w:footerReference w:type="even" r:id="rId10"/>
      <w:footnotePr>
        <w:numFmt w:val="chicago"/>
      </w:foot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p w:rsidR="00000000" w:rsidRDefault="00000000">
      <w:pPr>
        <w:pStyle w:val="FootnoteText"/>
      </w:pPr>
      <w:r>
        <w:rPr>
          <w:rStyle w:val="FootnoteReference"/>
        </w:rPr>
        <w:footnoteRef/>
      </w:r>
      <w:r>
        <w:t xml:space="preserve"> </w:t>
      </w:r>
      <w:r>
        <w:tab/>
        <w:t>С этими приложениями можно ознакомиться в секретариате.</w:t>
      </w:r>
    </w:p>
  </w:footnote>
  <w:footnote w:id="2">
    <w:p w:rsidR="00000000" w:rsidRDefault="00000000">
      <w:pPr>
        <w:pStyle w:val="FootnoteText"/>
      </w:pPr>
      <w:r>
        <w:rPr>
          <w:rStyle w:val="FootnoteReference"/>
        </w:rPr>
        <w:t>*</w:t>
      </w:r>
      <w:r>
        <w:t xml:space="preserve"> </w:t>
      </w:r>
      <w:r>
        <w:rPr>
          <w:lang w:val="en-US"/>
        </w:rPr>
        <w:tab/>
      </w:r>
      <w:r>
        <w:t>С этим приложением можно ознакомиться в секретариате.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CERD/C/357/Add.1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rPr>
        <w:lang w:val="en-US"/>
      </w:rPr>
    </w:pPr>
    <w:r>
      <w:rPr>
        <w:lang w:val="en-US"/>
      </w:rPr>
      <w:tab/>
    </w:r>
    <w:r>
      <w:rPr>
        <w:lang w:val="en-US"/>
      </w:rPr>
      <w:tab/>
    </w:r>
    <w:r>
      <w:rPr>
        <w:lang w:val="en-US"/>
      </w:rPr>
      <w:tab/>
      <w:t>CERD/C/357/Add.1</w:t>
    </w:r>
  </w:p>
  <w:p w:rsidR="00000000" w:rsidRDefault="00000000">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7086"/>
      </w:tabs>
      <w:suppressAutoHyphens/>
      <w:spacing w:line="216" w:lineRule="auto"/>
      <w:outlineLvl w:val="6"/>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4890</Words>
  <Characters>27875</Characters>
  <Application>Microsoft Office Word</Application>
  <DocSecurity>4</DocSecurity>
  <Lines>232</Lines>
  <Paragraphs>55</Paragraphs>
  <ScaleCrop>false</ScaleCrop>
  <HeadingPairs>
    <vt:vector size="2" baseType="variant">
      <vt:variant>
        <vt:lpstr>Название</vt:lpstr>
      </vt:variant>
      <vt:variant>
        <vt:i4>1</vt:i4>
      </vt:variant>
    </vt:vector>
  </HeadingPairs>
  <TitlesOfParts>
    <vt:vector size="1" baseType="lpstr">
      <vt:lpstr>44798.01.doc</vt:lpstr>
    </vt:vector>
  </TitlesOfParts>
  <Company> </Company>
  <LinksUpToDate>false</LinksUpToDate>
  <CharactersWithSpaces>34232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0044798.doc</dc:title>
  <dc:subject>Piatin</dc:subject>
  <dc:creator>Kataeva</dc:creator>
  <cp:keywords/>
  <dc:description/>
  <cp:lastModifiedBy>Любовь Катаева</cp:lastModifiedBy>
  <cp:revision>3</cp:revision>
  <cp:lastPrinted>2000-12-20T08:44:00Z</cp:lastPrinted>
  <dcterms:created xsi:type="dcterms:W3CDTF">2000-12-20T08:43:00Z</dcterms:created>
  <dcterms:modified xsi:type="dcterms:W3CDTF">2000-12-20T08:46:00Z</dcterms:modified>
</cp:coreProperties>
</file>