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5"/>
        <w:gridCol w:w="1437"/>
        <w:gridCol w:w="2700"/>
      </w:tblGrid>
      <w:tr w:rsidR="005C3FE0">
        <w:trPr>
          <w:trHeight w:val="900"/>
        </w:trPr>
        <w:tc>
          <w:tcPr>
            <w:tcW w:w="5223" w:type="dxa"/>
            <w:gridSpan w:val="2"/>
            <w:tcBorders>
              <w:bottom w:val="single" w:sz="4" w:space="0" w:color="000000"/>
            </w:tcBorders>
          </w:tcPr>
          <w:p w:rsidR="005C3FE0" w:rsidRDefault="005C3FE0">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7" w:type="dxa"/>
            <w:tcBorders>
              <w:bottom w:val="single" w:sz="4" w:space="0" w:color="000000"/>
            </w:tcBorders>
          </w:tcPr>
          <w:p w:rsidR="005C3FE0" w:rsidRDefault="005C3FE0">
            <w:pPr>
              <w:snapToGrid w:val="0"/>
              <w:rPr>
                <w:lang w:val="ru-RU"/>
              </w:rPr>
            </w:pPr>
          </w:p>
        </w:tc>
        <w:tc>
          <w:tcPr>
            <w:tcW w:w="2700" w:type="dxa"/>
            <w:tcBorders>
              <w:bottom w:val="single" w:sz="4" w:space="0" w:color="000000"/>
            </w:tcBorders>
          </w:tcPr>
          <w:p w:rsidR="005C3FE0" w:rsidRDefault="005C3FE0">
            <w:pPr>
              <w:snapToGrid w:val="0"/>
              <w:jc w:val="right"/>
              <w:rPr>
                <w:rFonts w:ascii="Arial" w:hAnsi="Arial" w:cs="Arial"/>
                <w:b/>
                <w:iCs/>
                <w:sz w:val="72"/>
                <w:lang w:val="ru-RU"/>
              </w:rPr>
            </w:pPr>
            <w:r>
              <w:rPr>
                <w:rFonts w:ascii="Arial" w:hAnsi="Arial" w:cs="Arial"/>
                <w:b/>
                <w:iCs/>
                <w:sz w:val="72"/>
                <w:lang w:val="ru-RU"/>
              </w:rPr>
              <w:t>CERD</w:t>
            </w:r>
          </w:p>
        </w:tc>
      </w:tr>
      <w:tr w:rsidR="005C3FE0">
        <w:trPr>
          <w:trHeight w:val="2708"/>
        </w:trPr>
        <w:tc>
          <w:tcPr>
            <w:tcW w:w="1808" w:type="dxa"/>
            <w:tcBorders>
              <w:top w:val="single" w:sz="4" w:space="0" w:color="000000"/>
              <w:bottom w:val="single" w:sz="4" w:space="0" w:color="000000"/>
            </w:tcBorders>
          </w:tcPr>
          <w:p w:rsidR="005C3FE0" w:rsidRDefault="005C3FE0">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2908" r:id="rId8"/>
              </w:object>
            </w:r>
          </w:p>
        </w:tc>
        <w:tc>
          <w:tcPr>
            <w:tcW w:w="4852" w:type="dxa"/>
            <w:gridSpan w:val="2"/>
            <w:tcBorders>
              <w:top w:val="single" w:sz="4" w:space="0" w:color="000000"/>
              <w:bottom w:val="single" w:sz="4" w:space="0" w:color="000000"/>
            </w:tcBorders>
          </w:tcPr>
          <w:p w:rsidR="005C3FE0" w:rsidRDefault="005C3FE0">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5C3FE0" w:rsidRDefault="005C3FE0">
            <w:pPr>
              <w:snapToGrid w:val="0"/>
              <w:rPr>
                <w:lang w:val="ru-RU"/>
              </w:rPr>
            </w:pPr>
          </w:p>
          <w:p w:rsidR="005C3FE0" w:rsidRDefault="005C3FE0">
            <w:pPr>
              <w:spacing w:after="0"/>
              <w:rPr>
                <w:lang w:val="ru-RU"/>
              </w:rPr>
            </w:pPr>
            <w:r>
              <w:rPr>
                <w:lang w:val="ru-RU"/>
              </w:rPr>
              <w:t>Distr.</w:t>
            </w:r>
            <w:r>
              <w:rPr>
                <w:lang w:val="ru-RU"/>
              </w:rPr>
              <w:br/>
              <w:t>GENERAL</w:t>
            </w:r>
          </w:p>
          <w:p w:rsidR="005C3FE0" w:rsidRDefault="005C3FE0">
            <w:pPr>
              <w:pStyle w:val="a"/>
              <w:widowControl/>
              <w:tabs>
                <w:tab w:val="left" w:pos="567"/>
                <w:tab w:val="left" w:pos="1134"/>
                <w:tab w:val="left" w:pos="1701"/>
                <w:tab w:val="left" w:pos="2268"/>
                <w:tab w:val="left" w:pos="6237"/>
              </w:tabs>
              <w:spacing w:line="216" w:lineRule="auto"/>
              <w:rPr>
                <w:rFonts w:ascii="Times New Roman" w:hAnsi="Times New Roman"/>
              </w:rPr>
            </w:pPr>
          </w:p>
          <w:p w:rsidR="005C3FE0" w:rsidRDefault="005C3FE0">
            <w:pPr>
              <w:spacing w:after="0"/>
              <w:rPr>
                <w:lang w:val="ru-RU"/>
              </w:rPr>
            </w:pPr>
            <w:r>
              <w:rPr>
                <w:lang w:val="ru-RU"/>
              </w:rPr>
              <w:t>CERD/C/SR.1832</w:t>
            </w:r>
          </w:p>
          <w:p w:rsidR="005C3FE0" w:rsidRDefault="005C3FE0">
            <w:pPr>
              <w:spacing w:line="216" w:lineRule="auto"/>
              <w:rPr>
                <w:lang w:val="ru-RU"/>
              </w:rPr>
            </w:pPr>
            <w:r>
              <w:rPr>
                <w:lang w:val="ru-RU"/>
              </w:rPr>
              <w:t>19 August 2009</w:t>
            </w:r>
          </w:p>
          <w:p w:rsidR="005C3FE0" w:rsidRDefault="005C3FE0">
            <w:pPr>
              <w:spacing w:after="0"/>
              <w:rPr>
                <w:lang w:val="ru-RU"/>
              </w:rPr>
            </w:pPr>
            <w:r>
              <w:rPr>
                <w:lang w:val="ru-RU"/>
              </w:rPr>
              <w:t>RUSSIAN</w:t>
            </w:r>
          </w:p>
          <w:p w:rsidR="005C3FE0" w:rsidRDefault="005C3FE0">
            <w:pPr>
              <w:spacing w:line="216" w:lineRule="auto"/>
              <w:rPr>
                <w:szCs w:val="24"/>
                <w:lang w:val="ru-RU"/>
              </w:rPr>
            </w:pPr>
            <w:r>
              <w:rPr>
                <w:lang w:val="ru-RU"/>
              </w:rPr>
              <w:t xml:space="preserve">Original:  </w:t>
            </w:r>
            <w:r>
              <w:rPr>
                <w:lang w:val="ru-RU"/>
              </w:rPr>
              <w:fldChar w:fldCharType="begin"/>
            </w:r>
            <w:r>
              <w:rPr>
                <w:lang w:val="ru-RU"/>
              </w:rPr>
              <w:instrText>"Orig. Lang."</w:instrText>
            </w:r>
            <w:r>
              <w:rPr>
                <w:lang w:val="ru-RU"/>
              </w:rPr>
              <w:fldChar w:fldCharType="separate"/>
            </w:r>
            <w:r>
              <w:rPr>
                <w:lang w:val="ru-RU"/>
              </w:rPr>
              <w:t>ENGLISH</w:t>
            </w:r>
            <w:r>
              <w:rPr>
                <w:lang w:val="ru-RU"/>
              </w:rPr>
              <w:fldChar w:fldCharType="end"/>
            </w:r>
          </w:p>
        </w:tc>
      </w:tr>
    </w:tbl>
    <w:p w:rsidR="005C3FE0" w:rsidRDefault="005C3FE0">
      <w:pPr>
        <w:spacing w:before="120"/>
        <w:jc w:val="center"/>
        <w:rPr>
          <w:szCs w:val="24"/>
          <w:lang w:val="ru-RU"/>
        </w:rPr>
      </w:pPr>
      <w:r>
        <w:rPr>
          <w:szCs w:val="24"/>
          <w:lang w:val="ru-RU"/>
        </w:rPr>
        <w:t>КОМИТЕТ ПО ЛИКВИДАЦИИ РАСОВОЙ ДИСКРИМИНАЦИИ</w:t>
      </w:r>
    </w:p>
    <w:p w:rsidR="005C3FE0" w:rsidRDefault="005C3FE0">
      <w:pPr>
        <w:jc w:val="center"/>
        <w:rPr>
          <w:szCs w:val="24"/>
          <w:lang w:val="ru-RU"/>
        </w:rPr>
      </w:pPr>
      <w:r>
        <w:rPr>
          <w:szCs w:val="24"/>
          <w:lang w:val="ru-RU"/>
        </w:rPr>
        <w:t xml:space="preserve">Семьдесят первая сессия </w:t>
      </w:r>
    </w:p>
    <w:p w:rsidR="005C3FE0" w:rsidRDefault="005C3FE0">
      <w:pPr>
        <w:jc w:val="center"/>
        <w:rPr>
          <w:szCs w:val="24"/>
          <w:lang w:val="ru-RU"/>
        </w:rPr>
      </w:pPr>
      <w:r>
        <w:rPr>
          <w:szCs w:val="24"/>
          <w:lang w:val="ru-RU"/>
        </w:rPr>
        <w:t>КРАТКИЙ ОТЧЕТ О 1832-м ЗАСЕДАНИИ,</w:t>
      </w:r>
    </w:p>
    <w:p w:rsidR="005C3FE0" w:rsidRDefault="005C3FE0">
      <w:pPr>
        <w:spacing w:after="0"/>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5C3FE0" w:rsidRDefault="005C3FE0">
      <w:pPr>
        <w:jc w:val="center"/>
        <w:rPr>
          <w:szCs w:val="24"/>
          <w:lang w:val="ru-RU"/>
        </w:rPr>
      </w:pPr>
      <w:r>
        <w:rPr>
          <w:szCs w:val="24"/>
          <w:lang w:val="ru-RU"/>
        </w:rPr>
        <w:t>в четверг, 9 августа 2007 года, в 10 час. 00 мин.</w:t>
      </w:r>
    </w:p>
    <w:p w:rsidR="005C3FE0" w:rsidRDefault="005C3FE0">
      <w:pPr>
        <w:jc w:val="center"/>
        <w:rPr>
          <w:lang w:val="ru-RU"/>
        </w:rPr>
      </w:pPr>
      <w:r>
        <w:rPr>
          <w:u w:val="single"/>
          <w:lang w:val="ru-RU"/>
        </w:rPr>
        <w:t>Председатель</w:t>
      </w:r>
      <w:r>
        <w:rPr>
          <w:lang w:val="ru-RU"/>
        </w:rPr>
        <w:t>: г-н де ГУТТ</w:t>
      </w:r>
    </w:p>
    <w:p w:rsidR="005C3FE0" w:rsidRDefault="005C3FE0">
      <w:pPr>
        <w:jc w:val="center"/>
        <w:rPr>
          <w:szCs w:val="24"/>
          <w:lang w:val="ru-RU"/>
        </w:rPr>
      </w:pPr>
      <w:r>
        <w:rPr>
          <w:szCs w:val="24"/>
          <w:lang w:val="ru-RU"/>
        </w:rPr>
        <w:t>СОДЕРЖАНИЕ</w:t>
      </w:r>
    </w:p>
    <w:p w:rsidR="005C3FE0" w:rsidRDefault="005C3FE0">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5C3FE0" w:rsidRDefault="005C3FE0">
      <w:pPr>
        <w:ind w:left="540"/>
        <w:rPr>
          <w:lang w:val="ru-RU"/>
        </w:rPr>
      </w:pPr>
      <w:r>
        <w:rPr>
          <w:u w:val="single"/>
          <w:lang w:val="ru-RU"/>
        </w:rPr>
        <w:t>Первоначальный – третий периодические доклады Индонезии</w:t>
      </w:r>
      <w:r>
        <w:rPr>
          <w:lang w:val="ru-RU"/>
        </w:rPr>
        <w:t xml:space="preserve"> (</w:t>
      </w:r>
      <w:r>
        <w:rPr>
          <w:u w:val="single"/>
          <w:lang w:val="ru-RU"/>
        </w:rPr>
        <w:t>продолжение</w:t>
      </w:r>
      <w:r>
        <w:rPr>
          <w:lang w:val="ru-RU"/>
        </w:rPr>
        <w:t>)</w:t>
      </w:r>
    </w:p>
    <w:p w:rsidR="005C3FE0" w:rsidRDefault="005C3FE0">
      <w:pPr>
        <w:ind w:left="540"/>
        <w:rPr>
          <w:u w:val="single"/>
          <w:lang w:val="ru-RU"/>
        </w:rPr>
      </w:pPr>
    </w:p>
    <w:p w:rsidR="005C3FE0" w:rsidRDefault="005C3FE0">
      <w:pPr>
        <w:ind w:left="540"/>
        <w:rPr>
          <w:u w:val="single"/>
          <w:lang w:val="ru-RU"/>
        </w:rPr>
      </w:pPr>
    </w:p>
    <w:p w:rsidR="005C3FE0" w:rsidRDefault="005C3FE0">
      <w:pPr>
        <w:spacing w:after="120"/>
        <w:rPr>
          <w:u w:val="single"/>
          <w:lang w:val="ru-RU"/>
        </w:rPr>
      </w:pP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p>
    <w:p w:rsidR="005C3FE0" w:rsidRDefault="005C3FE0">
      <w:pPr>
        <w:spacing w:after="120"/>
        <w:ind w:firstLine="576"/>
        <w:rPr>
          <w:color w:val="000000"/>
          <w:szCs w:val="24"/>
          <w:lang w:val="ru-RU"/>
        </w:rPr>
      </w:pPr>
      <w:r>
        <w:rPr>
          <w:color w:val="000000"/>
          <w:szCs w:val="24"/>
          <w:lang w:val="ru-RU"/>
        </w:rPr>
        <w:t>В настоящий отчет могут вноситься поправки.</w:t>
      </w:r>
    </w:p>
    <w:p w:rsidR="005C3FE0" w:rsidRDefault="005C3FE0">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5C3FE0" w:rsidRDefault="005C3FE0">
      <w:pPr>
        <w:spacing w:after="120"/>
        <w:ind w:firstLine="562"/>
        <w:rPr>
          <w:color w:val="000000"/>
          <w:szCs w:val="24"/>
          <w:lang w:val="fr-CH"/>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C3996" w:rsidRPr="000C3996" w:rsidRDefault="000C3996">
      <w:pPr>
        <w:spacing w:after="120"/>
        <w:ind w:firstLine="562"/>
        <w:rPr>
          <w:color w:val="000000"/>
          <w:szCs w:val="24"/>
          <w:lang w:val="fr-CH"/>
        </w:rPr>
      </w:pPr>
    </w:p>
    <w:p w:rsidR="005C3FE0" w:rsidRDefault="005C3FE0">
      <w:pPr>
        <w:rPr>
          <w:lang w:val="ru-RU"/>
        </w:rPr>
      </w:pPr>
      <w:r>
        <w:rPr>
          <w:lang w:val="ru-RU"/>
        </w:rPr>
        <w:t>GE.07-43494 (EXT)</w:t>
      </w:r>
    </w:p>
    <w:p w:rsidR="005C3FE0" w:rsidRDefault="005C3FE0">
      <w:pPr>
        <w:pageBreakBefore/>
        <w:jc w:val="center"/>
        <w:rPr>
          <w:lang w:val="ru-RU"/>
        </w:rPr>
      </w:pPr>
      <w:r>
        <w:rPr>
          <w:u w:val="single"/>
          <w:lang w:val="ru-RU"/>
        </w:rPr>
        <w:t>Заседание открывается в 10 час. 10 мин</w:t>
      </w:r>
      <w:r>
        <w:rPr>
          <w:lang w:val="ru-RU"/>
        </w:rPr>
        <w:t>.</w:t>
      </w:r>
    </w:p>
    <w:p w:rsidR="005C3FE0" w:rsidRDefault="005C3FE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5C3FE0" w:rsidRDefault="005C3FE0">
      <w:pPr>
        <w:rPr>
          <w:lang w:val="ru-RU"/>
        </w:rPr>
      </w:pPr>
      <w:r>
        <w:rPr>
          <w:lang w:val="ru-RU"/>
        </w:rPr>
        <w:tab/>
      </w:r>
      <w:r>
        <w:rPr>
          <w:u w:val="single"/>
          <w:lang w:val="ru-RU"/>
        </w:rPr>
        <w:t>Первоначальный – третий периодические доклады Индонезии</w:t>
      </w:r>
      <w:r>
        <w:rPr>
          <w:lang w:val="ru-RU"/>
        </w:rPr>
        <w:t xml:space="preserve"> (</w:t>
      </w:r>
      <w:r>
        <w:rPr>
          <w:u w:val="single"/>
          <w:lang w:val="ru-RU"/>
        </w:rPr>
        <w:t>продолжение</w:t>
      </w:r>
      <w:r>
        <w:rPr>
          <w:lang w:val="ru-RU"/>
        </w:rPr>
        <w:t>) (CERD/C/IDN/3)</w:t>
      </w:r>
    </w:p>
    <w:p w:rsidR="005C3FE0" w:rsidRDefault="005C3FE0">
      <w:pPr>
        <w:pStyle w:val="ParaNo"/>
        <w:tabs>
          <w:tab w:val="clear" w:pos="737"/>
          <w:tab w:val="left" w:pos="1"/>
        </w:tabs>
        <w:ind w:left="1" w:firstLine="1"/>
        <w:rPr>
          <w:lang w:val="ru-RU"/>
        </w:rPr>
      </w:pPr>
      <w:r>
        <w:rPr>
          <w:u w:val="single"/>
          <w:lang w:val="ru-RU"/>
        </w:rPr>
        <w:t>По приглашению Председателя делегация Индонезии занимает места за столом Комитета</w:t>
      </w:r>
      <w:r>
        <w:rPr>
          <w:lang w:val="ru-RU"/>
        </w:rPr>
        <w:t>.</w:t>
      </w:r>
    </w:p>
    <w:p w:rsidR="005C3FE0" w:rsidRDefault="005C3FE0">
      <w:pPr>
        <w:pStyle w:val="ParaNo"/>
        <w:tabs>
          <w:tab w:val="clear" w:pos="737"/>
          <w:tab w:val="left" w:pos="1"/>
        </w:tabs>
        <w:ind w:left="1" w:firstLine="1"/>
        <w:rPr>
          <w:lang w:val="ru-RU"/>
        </w:rPr>
      </w:pPr>
      <w:r>
        <w:rPr>
          <w:u w:val="single"/>
          <w:lang w:val="ru-RU"/>
        </w:rPr>
        <w:t>Г-н ЯНА</w:t>
      </w:r>
      <w:r>
        <w:rPr>
          <w:lang w:val="ru-RU"/>
        </w:rPr>
        <w:t xml:space="preserve"> (индонезийская Национальная комиссия по правам человека), выступая по приглашению Председателя, сообщает, что индонезийская Национальная комиссия по правам человека (Комнас-ХАМ) является независимым органом, который ведет свою деятельность в таких областях, как исследования и аналитика, информационно-пропагандистская деятельность, мониторинг и посредничество. Комнас</w:t>
      </w:r>
      <w:r>
        <w:rPr>
          <w:lang w:val="ru-RU"/>
        </w:rPr>
        <w:noBreakHyphen/>
        <w:t>ХАМ положительно оценивает усилия правительства по поощрению и защите прав человека, особенно по линии принятия соответствующего законодательства.  Дискриминация в Индонезии определяется не только по признаку расы, но и по другим признакам, таким, как инвалидность, социальное положение, политические взгляды, вероисповедание и убеждения.  Рассмотрев законопроект о ликвидации всех форм расовой дискриминации, Комнас</w:t>
      </w:r>
      <w:r>
        <w:rPr>
          <w:lang w:val="ru-RU"/>
        </w:rPr>
        <w:noBreakHyphen/>
        <w:t>ХАМ отказалась поддержать его, поскольку все формы дискриминации уже покрываются законом № 29/1999.  Касаясь законопроекта о регистрации актов гражданского состояния, о котором упоминается в пункте 84 доклада государства-участника, он высказывает мнение, что принятие этого закона не станет шагом вперед, поскольку существенные положения законопроекта уже отражены в действующем законодательстве.</w:t>
      </w:r>
    </w:p>
    <w:p w:rsidR="005C3FE0" w:rsidRDefault="005C3FE0">
      <w:pPr>
        <w:pStyle w:val="ParaNo"/>
        <w:tabs>
          <w:tab w:val="clear" w:pos="737"/>
          <w:tab w:val="left" w:pos="1"/>
        </w:tabs>
        <w:ind w:left="1" w:firstLine="1"/>
        <w:rPr>
          <w:lang w:val="ru-RU"/>
        </w:rPr>
      </w:pPr>
      <w:r>
        <w:rPr>
          <w:lang w:val="ru-RU"/>
        </w:rPr>
        <w:t>Хотя в законодательстве Индонезии нет положений о том, что только шесть религий (мусульманство, протестантство, католичество, индуизм, буддизм и конфуцианство) пользуются в стране официальным признанием, для целей проставления в национальном удостоверении личности признаются только эти шесть религий.  Касаясь пункта 150 доклада государства-участника, оратор сообщает, что при расследовании комиссией Комнас</w:t>
      </w:r>
      <w:r>
        <w:rPr>
          <w:lang w:val="ru-RU"/>
        </w:rPr>
        <w:noBreakHyphen/>
        <w:t>ХАМ майских массовых беспорядков 1998 года ею было обнаружено множество свидетельств того, что в ходе происшедших событий имели место серьезные нарушения прав человека и преступления против человечности.  В сентябре 2003 года материалы по итогам расследования были переданы Генеральному прокурору для принятия соответствующих мер и привлечения виновных к ответственности.  На встрече с председателем Совета народных представителей члены Комнас</w:t>
      </w:r>
      <w:r>
        <w:rPr>
          <w:lang w:val="ru-RU"/>
        </w:rPr>
        <w:noBreakHyphen/>
        <w:t>ХАМ просили об учреждении специального суда по правам человека в связи с майскими беспорядками.  В приложении 2 к докладу государства-участника должна содержаться ссылка на создание Комнас</w:t>
      </w:r>
      <w:r>
        <w:rPr>
          <w:lang w:val="ru-RU"/>
        </w:rPr>
        <w:noBreakHyphen/>
        <w:t>ХАМ.</w:t>
      </w:r>
    </w:p>
    <w:p w:rsidR="005C3FE0" w:rsidRDefault="005C3FE0">
      <w:pPr>
        <w:pStyle w:val="ParaNo"/>
        <w:tabs>
          <w:tab w:val="clear" w:pos="737"/>
          <w:tab w:val="left" w:pos="1"/>
        </w:tabs>
        <w:ind w:left="1" w:firstLine="1"/>
        <w:rPr>
          <w:lang w:val="ru-RU"/>
        </w:rPr>
      </w:pPr>
      <w:r>
        <w:rPr>
          <w:u w:val="single"/>
          <w:lang w:val="ru-RU"/>
        </w:rPr>
        <w:t>Г-н ВИБИСОНО</w:t>
      </w:r>
      <w:r>
        <w:rPr>
          <w:lang w:val="ru-RU"/>
        </w:rPr>
        <w:t xml:space="preserve"> (Индонезия) говорит, что за то время, которое было отведено его делегации, она приложила максимум усилий к тому, чтобы подготовить ответы на вопросы членов Комитета.  Дополнительная информация будет представлена Комитету в письменном виде в надлежащем порядке.  Хотя организации гражданского общества и были вовлечены в работу по составлению доклада государства-участника, ответственность за его окончательное содержание лежит на правительстве Индонезии.  Правительство было не в состоянии ранее выполнить свои обязательства по представлению докладов по причине политических преобразований и процессов демократизации в стране и потому представило сводный доклад, включающий первоначальный, второй и третий периодические доклады.  Национальная комиссия по правам человека играет видную роль в поощрении и защите прав человека в Индонезии.</w:t>
      </w:r>
    </w:p>
    <w:p w:rsidR="005C3FE0" w:rsidRDefault="005C3FE0">
      <w:pPr>
        <w:pStyle w:val="ParaNo"/>
        <w:tabs>
          <w:tab w:val="clear" w:pos="737"/>
          <w:tab w:val="left" w:pos="1"/>
        </w:tabs>
        <w:ind w:left="1" w:firstLine="1"/>
        <w:rPr>
          <w:lang w:val="ru-RU"/>
        </w:rPr>
      </w:pPr>
      <w:r>
        <w:rPr>
          <w:u w:val="single"/>
          <w:lang w:val="ru-RU"/>
        </w:rPr>
        <w:t>Г-н НАТАБАЯ</w:t>
      </w:r>
      <w:r>
        <w:rPr>
          <w:lang w:val="ru-RU"/>
        </w:rPr>
        <w:t xml:space="preserve"> (Индонезия) говорит, что принципы равноправия и недискриминации провозглашены в законе № 29/1999 о ратификации Международной конвенции о ликвидации всех форм расовой дискриминации и в уголовно-процессуальном кодексе.  Принятие законопроекта о ликвидации расовой и этнической дискриминации позволит обеспечить более надежную правовую защиту принципа недопущения дискриминации и расширит возможности для получения возмещения жертвами дискриминации по признаку расы или этнического происхождения.  В контексте дел о преступлениях на почве ненависти можно ссылаться на статью 156 уголовного кодекса;  дела по фактам дискриминации, которая является следствием программ или политики правительства, рассматриваются Административным судом.  Частные лица наделены правом требовать рассмотрения Конституционным судом в порядке судебного надзора вопроса о конституционности любого закона, в том числе касающегося дискриминации.  По решению Конституционного суда бывшие члены Коммунистической партии получили право баллотироваться в Совет народных представителей.  В Национальном плане действий в области прав человека на 2004</w:t>
      </w:r>
      <w:r>
        <w:rPr>
          <w:rFonts w:ascii="Symbol" w:hAnsi="Symbol"/>
          <w:lang w:val="ru-RU"/>
        </w:rPr>
        <w:t></w:t>
      </w:r>
      <w:r>
        <w:rPr>
          <w:lang w:val="ru-RU"/>
        </w:rPr>
        <w:t>2009 годы предусмотрена программа, в которой правительству поручено предпринять анализ действующего законодательства, его пересмотр и подготовить такие новые законодательные акты, которые оно сочтет необходимыми для приведения законодательства в соответствие с нормами, касающимися прав человека.  Приведение законодательства в соответствие должно производиться с учетом динамики социально-политического развития и потребностей индонезийского народа.  Решающее значение в этой работе принадлежит партнерским связям и сотрудничеству с неправительственными организациями (НПО) и Национальной комиссией по правам человека.</w:t>
      </w:r>
    </w:p>
    <w:p w:rsidR="005C3FE0" w:rsidRDefault="005C3FE0">
      <w:pPr>
        <w:pStyle w:val="ParaNo"/>
        <w:tabs>
          <w:tab w:val="clear" w:pos="737"/>
          <w:tab w:val="left" w:pos="1"/>
        </w:tabs>
        <w:ind w:left="1" w:firstLine="1"/>
        <w:rPr>
          <w:lang w:val="ru-RU"/>
        </w:rPr>
      </w:pPr>
      <w:r>
        <w:rPr>
          <w:lang w:val="ru-RU"/>
        </w:rPr>
        <w:t>Верховный суд правомочен проводить анализ подзаконных нормативных актов, а Конституционный суд – законов, принимаемых парламентом, в том числе касающихся дискриминации.  Полномочия Верховного и Конституционного судов прописаны в Конституции.  Конституция с внесенными в нее поправками гарантирует всем гражданам защиту от любых форм дискриминации.  Согласно уголовному кодексу любое лицо, которое публично выражает чувства вражды, ненависти или презрения в отношении любой группы индонезийского населения, может быть подвергнуто наказанию в виде лишения свободы на срок до четырех лет.  Закон № 29/1999 о ратификации Международной конвенции о ликвидации всех форм расовой дискриминации обеспечивает более надежную защиту всех лиц от расовой дискриминации.</w:t>
      </w:r>
    </w:p>
    <w:p w:rsidR="005C3FE0" w:rsidRDefault="005C3FE0">
      <w:pPr>
        <w:pStyle w:val="ParaNo"/>
        <w:tabs>
          <w:tab w:val="left" w:pos="1"/>
        </w:tabs>
        <w:ind w:left="1" w:firstLine="1"/>
        <w:rPr>
          <w:lang w:val="ru-RU"/>
        </w:rPr>
      </w:pPr>
      <w:r>
        <w:rPr>
          <w:lang w:val="ru-RU"/>
        </w:rPr>
        <w:t>Переходя к вопросу о судебных и иных средствах правовой защиты, имеющихся в распоряжении жертв дискриминации, оратор указывает, что по случаям расовой дискриминации имеется возможность обратиться в суд, в том числе в Суд по правам человека.  Комнас</w:t>
      </w:r>
      <w:r>
        <w:rPr>
          <w:lang w:val="ru-RU"/>
        </w:rPr>
        <w:noBreakHyphen/>
        <w:t>ХАМ наделена полномочиями принимать жалобы в связи с предполагаемыми случаями нарушения прав человека, включая расовую дискриминацию, и вправе проводить по ним разбирательство, создавая для этого специальные группы, которым поручается проведение предварительного расследования.  При обнаружении серьезных нарушений прав человека дела затем передаются в Генеральную прокуратуру на предмет проведения дальнейшего расследования.</w:t>
      </w:r>
    </w:p>
    <w:p w:rsidR="005C3FE0" w:rsidRDefault="005C3FE0">
      <w:pPr>
        <w:pStyle w:val="ParaNo"/>
        <w:tabs>
          <w:tab w:val="clear" w:pos="737"/>
          <w:tab w:val="left" w:pos="1"/>
        </w:tabs>
        <w:ind w:left="1" w:firstLine="1"/>
        <w:rPr>
          <w:lang w:val="ru-RU"/>
        </w:rPr>
      </w:pPr>
      <w:r>
        <w:rPr>
          <w:lang w:val="ru-RU"/>
        </w:rPr>
        <w:t>Отмена требования о подтверждении индонезийского гражданства (СБКРИ) лицами китайского происхождения свидетельствует об усилиях правительства по устранению любых препятствий на пути к выполнению Конвенции.  Разумеется, на деле случаи нарушения закона об отмене СБКРИ все еще могут иметь место, но предпринимаются усилия по выполнению этого требования в полном объеме.  В трех провинциях изданы свои собственные постановления об отмене СБКРИ для граждан китайского происхождения.  Это объясняется тем, что в условиях региональной автономии провинции компетентны вести свои дела самостоятельно во всех сферах, кроме, например, обороны, безопасности, финансов, права, религии и внешних связей.  СБКРИ отменено на национальном уровне президентским указом, и принятия постановлений на местном уровне по существу не требуется.</w:t>
      </w:r>
    </w:p>
    <w:p w:rsidR="005C3FE0" w:rsidRDefault="005C3FE0">
      <w:pPr>
        <w:pStyle w:val="ParaNo"/>
        <w:tabs>
          <w:tab w:val="clear" w:pos="737"/>
          <w:tab w:val="left" w:pos="1"/>
        </w:tabs>
        <w:ind w:left="1" w:firstLine="1"/>
        <w:rPr>
          <w:lang w:val="ru-RU"/>
        </w:rPr>
      </w:pPr>
      <w:r>
        <w:rPr>
          <w:u w:val="single"/>
          <w:lang w:val="ru-RU"/>
        </w:rPr>
        <w:t>Г-жа ХАРТОНО</w:t>
      </w:r>
      <w:r>
        <w:rPr>
          <w:lang w:val="ru-RU"/>
        </w:rPr>
        <w:t xml:space="preserve"> (Индонезия) отмечает, что в своем словарном значении термин "indigenous" применяется к людям или предметам, по своему происхождению относящимся к стране, в которой они находятся.  В Индонезии таким коренным населением являются люди, жившие в стране с незапамятных времен, тогда как "туземным населением" Индонезии являются жители архипелага, которые, в отличие от других азиатских и европейских поселенцев, могут утверждать, что их предки всегда жили здесь.  С другой стороны, в Конвенции Международной организации труда № 169 о коренных народах и народах, ведущих племенной образ жизни, в независимых странах коренные народы определяются как потомки тех, кто населял страну или географическую область, частью которой данная страна является, в период ее завоевания или колонизации либо в период установления государственных границ, и которые, независимо от их правового положения, сохраняют некоторые или все свои социальные, экономические, культурные и политические институты.  Применительно к Индонезии понятие "этнические группы" является более ограничительным, поскольку оно основано на расовой или культурной самобытности, тогда как выражение "традиционные общины" означает группы, относящиеся к коренному населению, которые не желают отказываться от своей традиционной философии, культуры и обычаев.  Различные народности Индонезии проявляют разную степень готовности адаптироваться к современному образу жизни, но большинство из них сохраняет традиционные обычаи, в основном относящиеся к обрядам посвящения. </w:t>
      </w:r>
    </w:p>
    <w:p w:rsidR="005C3FE0" w:rsidRDefault="005C3FE0">
      <w:pPr>
        <w:pStyle w:val="ParaNo"/>
        <w:tabs>
          <w:tab w:val="clear" w:pos="737"/>
          <w:tab w:val="left" w:pos="1"/>
        </w:tabs>
        <w:ind w:left="1" w:firstLine="1"/>
        <w:rPr>
          <w:lang w:val="ru-RU"/>
        </w:rPr>
      </w:pPr>
      <w:r>
        <w:rPr>
          <w:lang w:val="ru-RU"/>
        </w:rPr>
        <w:t>Как указано в третьем периодическом докладе (п. 64), существование коренных народов зависит от природных факторов, а не от социального договора, но они наделены всеми правами.  Другими словами, государство признает, что не для всех современная жизнь отождествляется со счастьем, но оно не упускает из виду необходимость обеспечить каждому принятые в современном обществе минимальные стандарты в области состояния здоровья и материального благополучия.  Оратор напоминает, что в Индонезии преобразование общества из крайне традиционного в весьма современное произошло за шесть десятилетий, в то время как во многих промышленно развитых странах этот процесс занял более трех столетий.  Индонезийцы, которые живут в деревнях, но работают в городах, повседневно сталкиваются как с традиционными обычаями, так и с современными технологиями.  Тогда как выдвинутая Жан-Жаком Руссо идея социального договора была умозрительной, социальный договор, упомянутый в докладе, – "Клятва молодых" 1928 года </w:t>
      </w:r>
      <w:r>
        <w:rPr>
          <w:rFonts w:ascii="Symbol" w:hAnsi="Symbol"/>
          <w:lang w:val="ru-RU"/>
        </w:rPr>
        <w:t></w:t>
      </w:r>
      <w:r>
        <w:rPr>
          <w:lang w:val="ru-RU"/>
        </w:rPr>
        <w:t xml:space="preserve"> отразил приверженность националистических лидеров Индонезии идее "одна кровь (индонезийская нация), один народ (индонезийский народ) и один объединяющий язык (индонезийский)".  Соответственно, в Конституции 1945 года нет упоминания о различных этнических группах.</w:t>
      </w:r>
    </w:p>
    <w:p w:rsidR="005C3FE0" w:rsidRDefault="005C3FE0">
      <w:pPr>
        <w:pStyle w:val="ParaNo"/>
        <w:tabs>
          <w:tab w:val="clear" w:pos="737"/>
          <w:tab w:val="left" w:pos="1"/>
        </w:tabs>
        <w:ind w:left="1" w:firstLine="1"/>
        <w:rPr>
          <w:lang w:val="ru-RU"/>
        </w:rPr>
      </w:pPr>
      <w:r>
        <w:rPr>
          <w:lang w:val="ru-RU"/>
        </w:rPr>
        <w:t>Касаясь вопроса о языке, она поясняет, что демократически настроенные отцы-основатели Индонезии не ввели яванский язык, на котором говорит самая крупная этническая группа в Индонезии, в качестве национального, поскольку по своей структуре он основывался на понятиях социальных классов.  Вместо этого в качестве национального индонезийского языка был принят адаптированный малайский, который уже был смешанным языком общения в регионе.  Во время японской оккупации он заменил голландский в качестве официального языка, а после провозглашения независимости стал официальным языком в государственных органах и судебной системе.  В начальных школах по желанию соответствующей общины может вестись преподавание местных и региональных языков и диалектов, но первым языком для всех граждан является индонезийский.</w:t>
      </w:r>
    </w:p>
    <w:p w:rsidR="005C3FE0" w:rsidRDefault="005C3FE0">
      <w:pPr>
        <w:pStyle w:val="ParaNo"/>
        <w:tabs>
          <w:tab w:val="clear" w:pos="737"/>
          <w:tab w:val="left" w:pos="1"/>
        </w:tabs>
        <w:ind w:left="1" w:firstLine="1"/>
        <w:rPr>
          <w:lang w:val="ru-RU"/>
        </w:rPr>
      </w:pPr>
      <w:r>
        <w:rPr>
          <w:u w:val="single"/>
          <w:lang w:val="ru-RU"/>
        </w:rPr>
        <w:t>Г-н СИТУМЕАНГ</w:t>
      </w:r>
      <w:r>
        <w:rPr>
          <w:lang w:val="ru-RU"/>
        </w:rPr>
        <w:t xml:space="preserve"> (Индонезия) отмечает, что, хотя ни одна религия не провозглашена в Индонезии в качестве официальной, в национальном законодательстве упоминаются всего пять конфессий:  мусульманство, протестантство, католичество, индуизм и буддизм.  В своем большинстве индонезийцы являются мусульманами, но Индонезия не является исламским государством.  Государство признает все другие религии, которые исповедуются с отправлением соответствующих культов многими жителями Индонезии, включая этнические меньшинства, и не устанавливает никаких правовых санкций в отношении их последователей. Поскольку кое-где местные власти не признают других религий, их последователи порою подвергаются социальной маргинализации:  они лишаются права на приобретение удостоверения личности, сталкиваются с трудностями в официальном оформлении брака и даже не имеют возможности зарегистрировать факт рождения у них детей.  Правительство принимает меры по исправлению положения.</w:t>
      </w:r>
    </w:p>
    <w:p w:rsidR="005C3FE0" w:rsidRDefault="005C3FE0">
      <w:pPr>
        <w:pStyle w:val="ParaNo"/>
        <w:tabs>
          <w:tab w:val="clear" w:pos="737"/>
          <w:tab w:val="left" w:pos="1"/>
        </w:tabs>
        <w:ind w:left="1" w:firstLine="1"/>
        <w:rPr>
          <w:lang w:val="ru-RU"/>
        </w:rPr>
      </w:pPr>
      <w:r>
        <w:rPr>
          <w:u w:val="single"/>
          <w:lang w:val="ru-RU"/>
        </w:rPr>
        <w:t>Г-н ВИБИСОНО</w:t>
      </w:r>
      <w:r>
        <w:rPr>
          <w:lang w:val="ru-RU"/>
        </w:rPr>
        <w:t xml:space="preserve"> (Индонезия) добавляет, что кое-кто из отцов-основателей Индонезии призывал к упоминанию в Конституции шариата, но усилиями других, в том числе Мухаммада Хатты, первого вице-президента страны, Индонезия была провозглашена светским государством.</w:t>
      </w:r>
    </w:p>
    <w:p w:rsidR="005C3FE0" w:rsidRDefault="005C3FE0">
      <w:pPr>
        <w:pStyle w:val="ParaNo"/>
        <w:tabs>
          <w:tab w:val="clear" w:pos="737"/>
          <w:tab w:val="left" w:pos="1"/>
        </w:tabs>
        <w:ind w:left="1" w:firstLine="1"/>
        <w:rPr>
          <w:lang w:val="ru-RU"/>
        </w:rPr>
      </w:pPr>
      <w:r>
        <w:rPr>
          <w:u w:val="single"/>
          <w:lang w:val="ru-RU"/>
        </w:rPr>
        <w:t>Г-н СУДАРСОНО</w:t>
      </w:r>
      <w:r>
        <w:rPr>
          <w:lang w:val="ru-RU"/>
        </w:rPr>
        <w:t xml:space="preserve"> (Индонезия) подчеркивает, что Индонезия является унитарной республикой, состоящей из 33 провинций, административные органы которых, избираемые прямым голосованием, обладают некоторой автономией от центрального правительства.  Помимо этого особый автономный статус имеют еще четыре провинции – Ачех, особый район Джокьякарта, Папуа и особый столичный район Джакарта.  Администрация этих районов самостоятельно определяет политику во всех сферах, кроме обороны, безопасности, финансов, внешних сношений и религии, которые относятся к компетенции центрального правительства.</w:t>
      </w:r>
    </w:p>
    <w:p w:rsidR="005C3FE0" w:rsidRDefault="005C3FE0">
      <w:pPr>
        <w:pStyle w:val="ParaNo"/>
        <w:tabs>
          <w:tab w:val="clear" w:pos="737"/>
          <w:tab w:val="left" w:pos="1"/>
        </w:tabs>
        <w:ind w:left="1" w:firstLine="1"/>
        <w:rPr>
          <w:lang w:val="ru-RU"/>
        </w:rPr>
      </w:pPr>
      <w:r>
        <w:rPr>
          <w:u w:val="single"/>
          <w:lang w:val="ru-RU"/>
        </w:rPr>
        <w:t>Г-н ЛИНДГРЕН АЛВИС</w:t>
      </w:r>
      <w:r>
        <w:rPr>
          <w:lang w:val="ru-RU"/>
        </w:rPr>
        <w:t xml:space="preserve"> интересуется тем, существует ли в Индонезии институт гражданского брака.  Если нет, то, возможно, стоило бы рассмотреть вопрос о его введении, поскольку в противном случае Индонезия, по его мнению, не может претендовать на статус светского государства.</w:t>
      </w:r>
    </w:p>
    <w:p w:rsidR="005C3FE0" w:rsidRDefault="005C3FE0">
      <w:pPr>
        <w:pStyle w:val="ParaNo"/>
        <w:tabs>
          <w:tab w:val="clear" w:pos="737"/>
          <w:tab w:val="left" w:pos="1"/>
        </w:tabs>
        <w:ind w:left="1" w:firstLine="1"/>
        <w:rPr>
          <w:lang w:val="ru-RU"/>
        </w:rPr>
      </w:pPr>
      <w:r>
        <w:rPr>
          <w:u w:val="single"/>
          <w:lang w:val="ru-RU"/>
        </w:rPr>
        <w:t>Г-н ТОРНБЕРРИ</w:t>
      </w:r>
      <w:r>
        <w:rPr>
          <w:lang w:val="ru-RU"/>
        </w:rPr>
        <w:t>, напомнив, что сегодня отмечается Международный день коренных народов мира, спрашивает, выступает ли Индонезия за принятие Декларации о правах коренных народов и намерена ли она ратифицировать Конвенцию Международной организации труда № 169 о коренных народах и народах, ведущих племенной образ жизни, в независимых странах.  Он далее высказывает мнение о том, что определение коренных народов, приведенное в Конвенции МОТ, предпочтительнее любого словарного определения, поскольку оно является опорным понятием, которое пользуется международным признанием.  Во внимание может быть принята и духовная привязанность людей к земле, на которой они живут.  Что касается расовой дискриминации, то, как о том свидетельствует девиз государства "Единство в многообразии", государствам допустимо признавать различия, при условии что это не подразумевает превосходства или неполноценности.  Он интересуется тем, какая религия преподается в школах, а также является ли религиозное образование обязательным и для кого.</w:t>
      </w:r>
    </w:p>
    <w:p w:rsidR="005C3FE0" w:rsidRDefault="005C3FE0">
      <w:pPr>
        <w:pStyle w:val="ParaNo"/>
        <w:tabs>
          <w:tab w:val="clear" w:pos="737"/>
          <w:tab w:val="left" w:pos="1"/>
        </w:tabs>
        <w:ind w:left="1" w:firstLine="1"/>
        <w:rPr>
          <w:lang w:val="ru-RU"/>
        </w:rPr>
      </w:pPr>
      <w:r>
        <w:rPr>
          <w:u w:val="single"/>
          <w:lang w:val="ru-RU"/>
        </w:rPr>
        <w:t>Г-н КЬЕРУМ</w:t>
      </w:r>
      <w:r>
        <w:rPr>
          <w:lang w:val="ru-RU"/>
        </w:rPr>
        <w:t xml:space="preserve"> отмечает, что своими действиями транснациональные корпорации зачастую нарушают права местных общин и коренных народов.  Поскольку на государстве-участнике лежит ответственность за защиту прав этих народов, он интересуется тем, что делается индонезийскими властями для обеспечения соблюдения такими отечественными и международными компаниями прав человека и выполнения своей корпоративной социальной ответственности.  Ссылаясь на состоявшийся в июле 2007 года в Женеве Саммит лидеров Глобального договора, он просит сообщить, что делает или намерено сделать индонезийское правительство для реализации принципов Глобального договора Организации Объединенных Наций.  Проводится ли специальная подготовка сотрудников правоохранительных органов по сложным вопросам, связанным с нарушением прав человека транснациональными корпорациями?  Его интересует также, каким образом производится ознакомление местных общин с их правами и по каким каналам они имеют возможность возбудить иск против корпораций, нарушающих их права.</w:t>
      </w:r>
    </w:p>
    <w:p w:rsidR="005C3FE0" w:rsidRDefault="005C3FE0">
      <w:pPr>
        <w:pStyle w:val="ParaNo"/>
        <w:tabs>
          <w:tab w:val="clear" w:pos="737"/>
          <w:tab w:val="left" w:pos="1"/>
        </w:tabs>
        <w:ind w:left="1" w:firstLine="1"/>
        <w:rPr>
          <w:lang w:val="ru-RU"/>
        </w:rPr>
      </w:pPr>
      <w:r>
        <w:rPr>
          <w:u w:val="single"/>
          <w:lang w:val="ru-RU"/>
        </w:rPr>
        <w:t>Г-н АБУЛ-НАСР</w:t>
      </w:r>
      <w:r>
        <w:rPr>
          <w:lang w:val="ru-RU"/>
        </w:rPr>
        <w:t xml:space="preserve"> выражает сочувствие индонезийскому народу, который переживает последствия еще одного мощного землетрясения.  Он просит уточнить, существуют ли различия в правах между теми индонезийцами, которые не исповедуют какой-либо из официально признанных в стране религий, и последователями той или иной из них.</w:t>
      </w:r>
    </w:p>
    <w:p w:rsidR="005C3FE0" w:rsidRDefault="005C3FE0">
      <w:pPr>
        <w:pStyle w:val="ParaNo"/>
        <w:tabs>
          <w:tab w:val="clear" w:pos="737"/>
          <w:tab w:val="left" w:pos="1"/>
        </w:tabs>
        <w:ind w:left="1" w:firstLine="1"/>
        <w:rPr>
          <w:lang w:val="ru-RU"/>
        </w:rPr>
      </w:pPr>
      <w:r>
        <w:rPr>
          <w:u w:val="single"/>
          <w:lang w:val="ru-RU"/>
        </w:rPr>
        <w:t>Г-н ЮТСИС</w:t>
      </w:r>
      <w:r>
        <w:rPr>
          <w:lang w:val="ru-RU"/>
        </w:rPr>
        <w:t xml:space="preserve"> обращает внимание на признание делегацией факта возможного существования дискриминации в Индонезии, несмотря на наличие в государстве социального договора.  Группы, которые держатся своих традиций, зачастую подвергаются дискриминации в силу жесткого воздействия капиталистических отношений.  Как бы то ни было, прежде чем принимать те или иные меры, государственным органам необходимо проводить консультации со всеми заинтересованными сторонами и добиваться согласия.</w:t>
      </w:r>
    </w:p>
    <w:p w:rsidR="005C3FE0" w:rsidRDefault="005C3FE0">
      <w:pPr>
        <w:pStyle w:val="ParaNo"/>
        <w:tabs>
          <w:tab w:val="clear" w:pos="737"/>
          <w:tab w:val="left" w:pos="1"/>
        </w:tabs>
        <w:ind w:left="1" w:firstLine="1"/>
        <w:rPr>
          <w:lang w:val="ru-RU"/>
        </w:rPr>
      </w:pPr>
      <w:r>
        <w:rPr>
          <w:u w:val="single"/>
          <w:lang w:val="ru-RU"/>
        </w:rPr>
        <w:t>Г-н ВИБИСОНО</w:t>
      </w:r>
      <w:r>
        <w:rPr>
          <w:lang w:val="ru-RU"/>
        </w:rPr>
        <w:t xml:space="preserve"> (Индонезия) благодарит г</w:t>
      </w:r>
      <w:r>
        <w:rPr>
          <w:lang w:val="ru-RU"/>
        </w:rPr>
        <w:noBreakHyphen/>
        <w:t>на Абул-Насра за выражение сочувствия в связи с землетрясением, случившимся в Индонезии накануне.  Отвечая на вопрос г</w:t>
      </w:r>
      <w:r>
        <w:rPr>
          <w:lang w:val="ru-RU"/>
        </w:rPr>
        <w:noBreakHyphen/>
        <w:t xml:space="preserve">на Кьерума, он отмечает, что проблемы, связанные с деятельностью многонациональных компаний, затрагивают все общественные группы, в связи с чем требуется единство действий всех заинтересованных сторон.  Ощущается потребность в прочной правовой базе:  недавно принятые в Индонезии новые законодательные нормы, касающиеся инвестиций, включают положения о корпоративной социальной ответственности.  Теперь на повестке дня их претворение в жизнь:  министр-координатор по делам народного благосостояния отвечает за их практическое выполнение, а координационная комиссия по инвестициям следит за выполнением корпорациями положений о социальной ответственности.  При содействии со стороны международных организаций, включая Международный комитет Красного Креста, НПО, включая организацию "Международная амнистия", и двусторонних партнеров, включая Канаду, Норвегию и Японию, для работников полиции и таможенной службы, а также для военнослужащих проводится профессиональная и учебная подготовка, а также мероприятия по повышению квалификации. </w:t>
      </w:r>
    </w:p>
    <w:p w:rsidR="005C3FE0" w:rsidRDefault="005C3FE0">
      <w:pPr>
        <w:pStyle w:val="ParaNo"/>
        <w:tabs>
          <w:tab w:val="clear" w:pos="1"/>
          <w:tab w:val="clear" w:pos="737"/>
          <w:tab w:val="left" w:pos="-1"/>
        </w:tabs>
        <w:ind w:left="-1" w:firstLine="1"/>
        <w:rPr>
          <w:lang w:val="ru-RU"/>
        </w:rPr>
      </w:pPr>
      <w:r>
        <w:rPr>
          <w:u w:val="single"/>
          <w:lang w:val="ru-RU"/>
        </w:rPr>
        <w:t>Г-жа ХАРТОНО</w:t>
      </w:r>
      <w:r>
        <w:rPr>
          <w:lang w:val="ru-RU"/>
        </w:rPr>
        <w:t xml:space="preserve"> (Индонезия) отмечает, что первым из пяти основных принципов ("панчашила"), которые составляют политическую философию страны, является "вера в единого Бога".  В народе распространено убеждение, что достижения страны ниспосланы Богом, а не являются результатом усилий самих людей.  Указанные пять принципов – это цели, которых страна стремится достичь в перспективе, а не сразу.</w:t>
      </w:r>
    </w:p>
    <w:p w:rsidR="005C3FE0" w:rsidRDefault="005C3FE0">
      <w:pPr>
        <w:pStyle w:val="ParaNo"/>
        <w:tabs>
          <w:tab w:val="clear" w:pos="1"/>
          <w:tab w:val="clear" w:pos="737"/>
          <w:tab w:val="left" w:pos="-1"/>
        </w:tabs>
        <w:ind w:left="-1" w:firstLine="1"/>
        <w:rPr>
          <w:lang w:val="ru-RU"/>
        </w:rPr>
      </w:pPr>
      <w:r>
        <w:rPr>
          <w:lang w:val="ru-RU"/>
        </w:rPr>
        <w:t>Членами Комитета был задан вопрос о положении лиц, которые исповедуют ту или иную религию, не относящуюся к числу официально зарегистрированных.  Правительство стремилось провести регистрацию возможно большего числа религий, но многие люди с подозрением относятся к процедуре регистрации, которая ассоциируется у них с предпочтением, отдававшимся христианству в колониальную эпоху.  В законе о браке (закон № 1 от 1974 года) не предусмотрена возможность гражданского брака, то есть брака, который не освящен по обрядам той или иной религии.  В законе была предпринята попытка объединить бесчисленные сложные положения действующих законов о браке, в силу чего он представляет собой тонкий компромисс.  Многие пары по</w:t>
      </w:r>
      <w:r>
        <w:rPr>
          <w:lang w:val="ru-RU"/>
        </w:rPr>
        <w:noBreakHyphen/>
        <w:t xml:space="preserve">прежнему вступают в брак по тем обычаям, которым они подчиняются.  Мусульманкам стало легче вступать в брак с немусульманами, тогда как в прошлом в подобных случаях одни пары, которые могли себе это позволить в финансовом отношении, вступали в брак за рубежом, а другие просто жили совместно. </w:t>
      </w:r>
    </w:p>
    <w:p w:rsidR="005C3FE0" w:rsidRDefault="005C3FE0">
      <w:pPr>
        <w:pStyle w:val="ParaNo"/>
        <w:tabs>
          <w:tab w:val="clear" w:pos="1"/>
          <w:tab w:val="clear" w:pos="737"/>
          <w:tab w:val="left" w:pos="-1"/>
        </w:tabs>
        <w:ind w:left="-1" w:firstLine="1"/>
        <w:rPr>
          <w:lang w:val="ru-RU"/>
        </w:rPr>
      </w:pPr>
      <w:r>
        <w:rPr>
          <w:lang w:val="ru-RU"/>
        </w:rPr>
        <w:t>Члены Комитета интересовались источниками обычного права.  Во многих случаях за ним стоят традиции или заявления вождя того или иного племени.  Некоторые правовые прецеденты используются с колониальных времен.  В настоящее время решения по таким вопросам, как землевладение, которое в основном является общинным, принимаются лидерами общин и самими людьми, причем решения, касающиеся, например, границ участков или порядка использования земли, подлежат утверждению общиной в целом.  Решение по другим вопросам, например по предложениям об инвестиционных проектах, принимаются соответствующей общиной, а в случае возникновения неразрешимых разногласий </w:t>
      </w:r>
      <w:r>
        <w:rPr>
          <w:rFonts w:ascii="Symbol" w:hAnsi="Symbol"/>
          <w:lang w:val="ru-RU"/>
        </w:rPr>
        <w:t></w:t>
      </w:r>
      <w:r>
        <w:rPr>
          <w:lang w:val="ru-RU"/>
        </w:rPr>
        <w:t xml:space="preserve"> судом. </w:t>
      </w:r>
    </w:p>
    <w:p w:rsidR="005C3FE0" w:rsidRDefault="005C3FE0">
      <w:pPr>
        <w:pStyle w:val="ParaNo"/>
        <w:tabs>
          <w:tab w:val="clear" w:pos="1"/>
          <w:tab w:val="clear" w:pos="737"/>
          <w:tab w:val="left" w:pos="-1"/>
        </w:tabs>
        <w:ind w:left="-1" w:firstLine="1"/>
        <w:rPr>
          <w:lang w:val="ru-RU"/>
        </w:rPr>
      </w:pPr>
      <w:r>
        <w:rPr>
          <w:u w:val="single"/>
          <w:lang w:val="ru-RU"/>
        </w:rPr>
        <w:t>Г-жа АБДУЛЛА</w:t>
      </w:r>
      <w:r>
        <w:rPr>
          <w:lang w:val="ru-RU"/>
        </w:rPr>
        <w:t xml:space="preserve"> (Индонезия) подчеркивает, что межэтнический конфликт на Западном Калимантане возник на почве имущественных споров и дискриминационного отношения к некоторым группам.  Правительством был принят ряд мер по содействию примирению, среди которых – учреждение форума для диалога, укрепление потенциала в социально-экономической сфере, более широкое ознакомление с местными ценностями и знаниями и программы социальной интеграции. </w:t>
      </w:r>
    </w:p>
    <w:p w:rsidR="005C3FE0" w:rsidRDefault="005C3FE0">
      <w:pPr>
        <w:pStyle w:val="ParaNo"/>
        <w:tabs>
          <w:tab w:val="clear" w:pos="1"/>
          <w:tab w:val="clear" w:pos="737"/>
          <w:tab w:val="left" w:pos="-1"/>
        </w:tabs>
        <w:ind w:left="-1" w:firstLine="1"/>
        <w:rPr>
          <w:lang w:val="ru-RU"/>
        </w:rPr>
      </w:pPr>
      <w:r>
        <w:rPr>
          <w:lang w:val="ru-RU"/>
        </w:rPr>
        <w:t xml:space="preserve">В 1999 году Президентом было принято постановление № 111, направленное на защиту и расширение прав и возможностей ведущих традиционный образ жизни общин, проживающих в отдаленных районах.  Многим тысячам семей уже была оказана помощь.  В настоящее время ведется подготовка законопроекта, призванного обеспечить реализацию основных прав традиционных общин, проживающих в отдаленных районах, и учет их социальных, культурных и экологических знаний. </w:t>
      </w:r>
    </w:p>
    <w:p w:rsidR="005C3FE0" w:rsidRDefault="005C3FE0">
      <w:pPr>
        <w:pStyle w:val="ParaNo"/>
        <w:tabs>
          <w:tab w:val="clear" w:pos="1"/>
          <w:tab w:val="clear" w:pos="737"/>
          <w:tab w:val="left" w:pos="-1"/>
        </w:tabs>
        <w:ind w:left="-1" w:firstLine="1"/>
        <w:rPr>
          <w:lang w:val="ru-RU"/>
        </w:rPr>
      </w:pPr>
      <w:r>
        <w:rPr>
          <w:u w:val="single"/>
          <w:lang w:val="ru-RU"/>
        </w:rPr>
        <w:t>Г-н ЯНСЕН</w:t>
      </w:r>
      <w:r>
        <w:rPr>
          <w:lang w:val="ru-RU"/>
        </w:rPr>
        <w:t xml:space="preserve"> (Индонезия), касаясь намеченного правительством создания на Калимантане плантации масличных пальм на площади свыше 850 кв. км, подчеркивает, что согласно Конституции государство управляет земельными и водными ресурсами и средствами производства в интересах народа.  Он приводит многочисленные цитаты из закона № 18 2004 года о плантациях, который содержит положения, касающиеся управления с прицелом на устойчивое развитие, "основанного на широком участии, комплексного, открытого и подотчетного" планирования, консультаций с коренными народами соответствующего района и проведения оценки воздействия на окружающую среду.  Правительством взят твердый курс на защиту достояния и образа жизни местного населения и на обеспечение его всесторонней информированности.  В указанном районе предполагается провести всесторонние исследования, с тем чтобы люди смогли получить реальную отдачу от эксплуатации данной плантации.  Жалобы по поводу этого проекта являются необоснованными.</w:t>
      </w:r>
    </w:p>
    <w:p w:rsidR="005C3FE0" w:rsidRDefault="005C3FE0">
      <w:pPr>
        <w:pStyle w:val="ParaNo"/>
        <w:tabs>
          <w:tab w:val="clear" w:pos="1"/>
          <w:tab w:val="clear" w:pos="737"/>
          <w:tab w:val="left" w:pos="-1"/>
        </w:tabs>
        <w:ind w:left="-1" w:firstLine="1"/>
        <w:rPr>
          <w:lang w:val="ru-RU"/>
        </w:rPr>
      </w:pPr>
      <w:r>
        <w:rPr>
          <w:u w:val="single"/>
          <w:lang w:val="ru-RU"/>
        </w:rPr>
        <w:t>Г-жа ХИДАЯТИ</w:t>
      </w:r>
      <w:r>
        <w:rPr>
          <w:lang w:val="ru-RU"/>
        </w:rPr>
        <w:t xml:space="preserve"> (Индонезия), подчеркнув большое число природных бедствий и антропогенных катастроф в ее стране, заостряет внимание на цунами, которое вызвало значительные разрушения в провинции Ачех в декабре 2004 года, и делится своими впечатлениями от участия в работе группы, которая была направлена в эту провинцию сразу после катастрофы. Заботы по преодолению последствий цунами легли на плечи центрального правительства и местной администрации, которые действовали совместно с международным сообществом.  Работы велись в соответствии с предписанным президентом трехэтапным подходом, который предусматривал:  принятие чрезвычайных мер в течение первых шести месяцев;  последующее восстановление с воссозданием инфраструктуры, оказанием психологической помощи пострадавшим, оказанием консультационной помощи и учреждением приютов для детей, включая организацию обучения;  и наконец – на третьем этапе – реконструкцию.  Кроме того, были приняты масштабные меры по набору государственных служащих, включая преподавателей.  Более половины мер, предусмотренных принятым в 2005 году планом, уже реализовано во взаимодействии с местным населением, НПО и международным сообществом.  Важная роль принадлежала и частному сектору.</w:t>
      </w:r>
    </w:p>
    <w:p w:rsidR="005C3FE0" w:rsidRDefault="005C3FE0">
      <w:pPr>
        <w:pStyle w:val="ParaNo"/>
        <w:tabs>
          <w:tab w:val="clear" w:pos="1"/>
          <w:tab w:val="clear" w:pos="737"/>
          <w:tab w:val="left" w:pos="-1"/>
        </w:tabs>
        <w:ind w:left="-1" w:firstLine="1"/>
        <w:rPr>
          <w:lang w:val="ru-RU"/>
        </w:rPr>
      </w:pPr>
      <w:r>
        <w:rPr>
          <w:u w:val="single"/>
          <w:lang w:val="ru-RU"/>
        </w:rPr>
        <w:t>Г-жа ПУДИАСТУТИ</w:t>
      </w:r>
      <w:r>
        <w:rPr>
          <w:lang w:val="ru-RU"/>
        </w:rPr>
        <w:t xml:space="preserve"> (Индонезия) представила дополнительную информацию о созданных приютах для детей.  В сотрудничестве с Детским фондом Организации Объединенных Наций (ЮНИСЕФ) была произведена подготовка полицейских-женщин и создана бесплатная телефонная "горячая линия" в интересах детей.  Во всех районах, пострадавших от цунами, были также учреждены комплексные центры по расширению возможностей для женщин и детей.  В политику восстановления и в процесс реконструкции на всех этапах был вписан гендерный элемент.  Для работы в приютах было привлечено около 500 добровольцев сроком на два года;  работа этих приютов была организована с учетом наилучших интересов их питомцев, в соответствии с принципами недискриминации и ставила целью их защиту от насилия, сексуальных домогательств и торговли людьми.  Кроме того, приюты, опираясь на помощь со стороны организации "План интернэшнл" и других НПО, участвовали в работе по регистрации и воссоединению семей, применяя методику, разработанную организацией "Спасти детей". </w:t>
      </w:r>
    </w:p>
    <w:p w:rsidR="005C3FE0" w:rsidRDefault="005C3FE0">
      <w:pPr>
        <w:pStyle w:val="ParaNo"/>
        <w:tabs>
          <w:tab w:val="clear" w:pos="1"/>
          <w:tab w:val="clear" w:pos="737"/>
          <w:tab w:val="left" w:pos="-1"/>
        </w:tabs>
        <w:ind w:left="-1" w:firstLine="1"/>
        <w:rPr>
          <w:lang w:val="ru-RU"/>
        </w:rPr>
      </w:pPr>
      <w:r>
        <w:rPr>
          <w:lang w:val="ru-RU"/>
        </w:rPr>
        <w:t>Осуществляется правительственная программа по пресечению сексуальной эксплуатации детей в коммерческих целях, основное внимание в которой уделяется о. Бали и другим крупным туристическим центрам.  Законом № 23/2002 за такие преступления установлено наказание в виде тюремного заключения на срок до 15 лет, т. е. наказание, более строгое, чем предусмотрено положениями уголовного кодекса.  Завершена реализация генерального плана по пресечению сексуальной эксплуатации детей в коммерческих целях на 2003–2007 годы;  этот план, в основу которого был положен межсекторальный подход, предусматривал правоохранительные меры и мониторинг, а также создание ориентированных на женщин кризисных центров, центров расширения возможностей и межобщинных сетей.  Президентским указом на уровне провинций и районов были учреждены целевые группы, а Программа австралийского правительства по оказанию помощи зарубежным странам (АусАИД) оказывает сектору туризма помощь в поиске путей решения проблем, связанных с секс-туризмом.</w:t>
      </w:r>
    </w:p>
    <w:p w:rsidR="005C3FE0" w:rsidRDefault="005C3FE0">
      <w:pPr>
        <w:pStyle w:val="ParaNo"/>
        <w:tabs>
          <w:tab w:val="clear" w:pos="1"/>
          <w:tab w:val="clear" w:pos="737"/>
          <w:tab w:val="left" w:pos="-1"/>
        </w:tabs>
        <w:ind w:left="-1" w:firstLine="1"/>
        <w:rPr>
          <w:lang w:val="ru-RU"/>
        </w:rPr>
      </w:pPr>
      <w:r>
        <w:rPr>
          <w:u w:val="single"/>
          <w:lang w:val="ru-RU"/>
        </w:rPr>
        <w:t>Г-н СУДАРСОНО</w:t>
      </w:r>
      <w:r>
        <w:rPr>
          <w:lang w:val="ru-RU"/>
        </w:rPr>
        <w:t xml:space="preserve"> (Индонезия) говорит, что принятие на службу в полицию и вооруженные силы производится по определенным критериям с учетом личных качеств кандидатов.  С целью обеспечить местному населению доступ к рабочим местам на местном уровне введены региональные и провинциальные квоты.  Начиная с 1999 года в программу подготовки полицейских, которая прежде походила на систему военной подготовки, были включены модули по правам человека и борьбе с дискриминацией;  это было сделано с целью воспитания полицейских, способных обеспечивать верховенство права при одновременном соблюдении прав человека.  Взят курс на перевод полицейской службы на гражданские рельсы, и прилагаются всяческие усилия к сведению к минимуму военизированных методов ведения полицейской деятельности.  Упор в оперативной полицейской работе делается на взаимодействие с населением и на введение новых механизмов разрешения споров.  Любая помощь в достижении этих целей будет приветствоваться. </w:t>
      </w:r>
    </w:p>
    <w:p w:rsidR="005C3FE0" w:rsidRDefault="005C3FE0">
      <w:pPr>
        <w:pStyle w:val="ParaNo"/>
        <w:tabs>
          <w:tab w:val="clear" w:pos="1"/>
          <w:tab w:val="clear" w:pos="737"/>
          <w:tab w:val="left" w:pos="-1"/>
        </w:tabs>
        <w:ind w:left="-1" w:firstLine="1"/>
        <w:rPr>
          <w:lang w:val="ru-RU"/>
        </w:rPr>
      </w:pPr>
      <w:r>
        <w:rPr>
          <w:lang w:val="ru-RU"/>
        </w:rPr>
        <w:t>Все еще отмечаются случаи изнасилования людей сотрудниками полиции во время массовых беспорядков.  Подчеркнув, что беспорядки во многих случаях приводили к кровопролитию и анархии и отличались высокой степенью насилия, оратор указывает на наличие внутренних и внешних механизмов, предназначенных для наказания полицейских, признанных виновными в подобных деяниях.</w:t>
      </w:r>
    </w:p>
    <w:p w:rsidR="005C3FE0" w:rsidRDefault="005C3FE0">
      <w:pPr>
        <w:pStyle w:val="ParaNo"/>
        <w:tabs>
          <w:tab w:val="clear" w:pos="1"/>
          <w:tab w:val="clear" w:pos="737"/>
          <w:tab w:val="left" w:pos="-1"/>
        </w:tabs>
        <w:ind w:left="-1" w:firstLine="1"/>
        <w:rPr>
          <w:lang w:val="ru-RU"/>
        </w:rPr>
      </w:pPr>
      <w:r>
        <w:rPr>
          <w:u w:val="single"/>
          <w:lang w:val="ru-RU"/>
        </w:rPr>
        <w:t>Г-н СИТУМЕАНГ</w:t>
      </w:r>
      <w:r>
        <w:rPr>
          <w:lang w:val="ru-RU"/>
        </w:rPr>
        <w:t xml:space="preserve"> (Индонезия) описывает порядок расследования и уголовного преследования по делам о нарушении прав человека.  Тогда как в Римском статуте Международного уголовного суда к грубым нарушениям прав человека отнесены четыре вида деяний, индонезийское законодательство включает в эту категорию лишь геноцид и преступления против человечности.  Если по итогам проведенного расследования Национальная комиссия по правам человека приходит к выводу о наличии достаточных предварительных свидетельств того, что имело место нарушение, соответствующие материалы передаются в Генеральную прокуратуру.  При наличии достаточных оснований для судебного преследования, в период до принятия закона № 26/2000 о суде по правам человека дела о серьезных нарушениях рассматривались специальным судом по правам человека, учрежденным по рекомендации парламента и распоряжению президента в соответствии с законом № 39/1999;  серьезные нарушения, совершенные после принятия закона № 26/2000, рассматриваются Судом по правам человека;  а дела об обычных нарушениях рассматривались обычными судами на основе уголовного кодекса.  В каждом отдельном случае налагаемые наказания могут быть разными.  Если представленные свидетельства являются недостаточными, дело возвращается в Национальную комиссию по правам человека для доследования и вынесения рекомендаций.  Обычные нарушения расследуются полицией и передаются в Генеральную прокуратуру;  в случае серьезных нарушений Генеральная прокуратура выполняет функции как следствия, так и обвинения. </w:t>
      </w:r>
    </w:p>
    <w:p w:rsidR="005C3FE0" w:rsidRDefault="005C3FE0">
      <w:pPr>
        <w:pStyle w:val="ParaNo"/>
        <w:tabs>
          <w:tab w:val="clear" w:pos="1"/>
          <w:tab w:val="clear" w:pos="737"/>
          <w:tab w:val="left" w:pos="-1"/>
        </w:tabs>
        <w:ind w:left="-1" w:firstLine="1"/>
        <w:rPr>
          <w:lang w:val="ru-RU"/>
        </w:rPr>
      </w:pPr>
      <w:r>
        <w:rPr>
          <w:lang w:val="ru-RU"/>
        </w:rPr>
        <w:t>Майские массовые беспорядки 1998 года были связаны с общим политическим недовольством в тот период и не были направлены против той или иной этнической или расовой группы.  Потенциальными жертвами возникшего массового беззакония и насилия были не только граждане китайского происхождения, но и все индонезийцы.  В июле 1998 года правительством была создана объединенная группа по установлению фактов, которая пришла к выводу, что массовые беспорядки не были изолированным инцидентом, и обнаружила свидетельства грубых нарушений прав человека, и в частности преступлений против человечности.  Проведя расследование, Национальная комиссия по правам человека подтвердила тот факт, что имели место нарушения прав человека, но позднее Генеральная прокуратура пришла к выводу о том, что выводы Комиссии отвечают не всем требованиям формально-юридического порядка и относящимся к содержательной стороне дела.  Кроме того, поскольку беспорядки имели место до принятия закона № 26/2000, для создания специального суда по правам человека требовалось решение парламента о том, имели ли место при этом грубые нарушения.</w:t>
      </w:r>
    </w:p>
    <w:p w:rsidR="005C3FE0" w:rsidRDefault="005C3FE0">
      <w:pPr>
        <w:pStyle w:val="ParaNo"/>
        <w:tabs>
          <w:tab w:val="clear" w:pos="1"/>
          <w:tab w:val="clear" w:pos="737"/>
          <w:tab w:val="left" w:pos="-1"/>
        </w:tabs>
        <w:ind w:left="-1" w:firstLine="1"/>
        <w:rPr>
          <w:lang w:val="ru-RU"/>
        </w:rPr>
      </w:pPr>
      <w:r>
        <w:rPr>
          <w:u w:val="single"/>
          <w:lang w:val="ru-RU"/>
        </w:rPr>
        <w:t>Г-н СИАХААН</w:t>
      </w:r>
      <w:r>
        <w:rPr>
          <w:lang w:val="ru-RU"/>
        </w:rPr>
        <w:t xml:space="preserve"> (Индонезия) отмечает, что Индонезия традиционно являлась для беженцев и лиц, ищущих убежище, страной не назначения, а транзита, что отчасти и объясняет, почему ею не была ратифицирована Конвенция о статусе беженцев.  Обязательства, которые влечет за собой ратификация, и в частности запрет на возвращение или высылку, легли бы чрезмерным бременем на островное государство, расположенное на обширной акватории, в котором вследствие природных бедствий и конфликта имеется большое число внутренне перемещенных лиц.  Однако оно сохраняет приверженность цели защиты беженцев и лиц, ищущих убежище, в пределах своей территории, ратифицировало другие международные договоры, приняло внутренние законодательные акты по данному вопросу и накопило положительный опыт сотрудничества с такими организациями, как Международная организация по вопросам миграции и Управление Верховного комиссара Организации Объединенных Наций по делам беженцев.  В конце 70</w:t>
      </w:r>
      <w:r>
        <w:rPr>
          <w:lang w:val="ru-RU"/>
        </w:rPr>
        <w:noBreakHyphen/>
        <w:t>х – начале 80</w:t>
      </w:r>
      <w:r>
        <w:rPr>
          <w:lang w:val="ru-RU"/>
        </w:rPr>
        <w:noBreakHyphen/>
        <w:t xml:space="preserve">х годов целый остров был превращен в перевалочный пункт для беженцев из Вьетнама.  Многим беженцам из стран Ближнего Востока, Центральной Азии и из других регионов в период их пребывания в Индонезии оказывается содействие в выправке удостоверений личности и регистрации и предоставляется гуманитарная помощь, а разработка национальной политики и иммиграционных правил ведется с учетом международных договоров по правам человека. </w:t>
      </w:r>
    </w:p>
    <w:p w:rsidR="005C3FE0" w:rsidRDefault="005C3FE0">
      <w:pPr>
        <w:pStyle w:val="ParaNo"/>
        <w:tabs>
          <w:tab w:val="clear" w:pos="1"/>
          <w:tab w:val="clear" w:pos="737"/>
          <w:tab w:val="left" w:pos="-1"/>
        </w:tabs>
        <w:ind w:left="-1" w:firstLine="1"/>
        <w:rPr>
          <w:lang w:val="ru-RU"/>
        </w:rPr>
      </w:pPr>
      <w:r>
        <w:rPr>
          <w:lang w:val="ru-RU"/>
        </w:rPr>
        <w:t>Круг прав, которыми пользуются в Индонезии неграждане, уже, чем у граждан:  так, например, они не вправе владеть землей;  однако эти ограничения являются соразмерными и вписываются в рамки и цели международных конвенций.</w:t>
      </w:r>
    </w:p>
    <w:p w:rsidR="005C3FE0" w:rsidRDefault="005C3FE0">
      <w:pPr>
        <w:pStyle w:val="ParaNo"/>
        <w:tabs>
          <w:tab w:val="clear" w:pos="1"/>
          <w:tab w:val="clear" w:pos="737"/>
          <w:tab w:val="left" w:pos="-1"/>
        </w:tabs>
        <w:ind w:left="-1" w:firstLine="1"/>
        <w:rPr>
          <w:lang w:val="ru-RU"/>
        </w:rPr>
      </w:pPr>
      <w:r>
        <w:rPr>
          <w:u w:val="single"/>
          <w:lang w:val="ru-RU"/>
        </w:rPr>
        <w:t>Г-н ВИБИСОНО</w:t>
      </w:r>
      <w:r>
        <w:rPr>
          <w:lang w:val="ru-RU"/>
        </w:rPr>
        <w:t xml:space="preserve"> (Индонезия) напоминает, что Индонезия проголосовала в Совете по правам человека за проект декларации о правах коренных народов, и выражает надежду, что декларация будет применяться ко всем без исключения. </w:t>
      </w:r>
    </w:p>
    <w:p w:rsidR="005C3FE0" w:rsidRDefault="005C3FE0">
      <w:pPr>
        <w:pStyle w:val="ParaNo"/>
        <w:tabs>
          <w:tab w:val="clear" w:pos="1"/>
          <w:tab w:val="clear" w:pos="737"/>
          <w:tab w:val="left" w:pos="-1"/>
        </w:tabs>
        <w:ind w:left="-1" w:firstLine="1"/>
        <w:rPr>
          <w:lang w:val="ru-RU"/>
        </w:rPr>
      </w:pPr>
      <w:r>
        <w:rPr>
          <w:u w:val="single"/>
          <w:lang w:val="ru-RU"/>
        </w:rPr>
        <w:t>ПРЕДСЕДАТЕЛЬ</w:t>
      </w:r>
      <w:r>
        <w:rPr>
          <w:lang w:val="ru-RU"/>
        </w:rPr>
        <w:t xml:space="preserve"> предлагает делегации представить в письменном виде ответы, которые, возможно, не были приведены из</w:t>
      </w:r>
      <w:r>
        <w:rPr>
          <w:lang w:val="ru-RU"/>
        </w:rPr>
        <w:noBreakHyphen/>
        <w:t>за нехватки времени.</w:t>
      </w:r>
    </w:p>
    <w:p w:rsidR="005C3FE0" w:rsidRDefault="005C3FE0">
      <w:pPr>
        <w:pStyle w:val="ParaNo"/>
        <w:tabs>
          <w:tab w:val="clear" w:pos="1"/>
          <w:tab w:val="clear" w:pos="737"/>
          <w:tab w:val="left" w:pos="-1"/>
        </w:tabs>
        <w:ind w:left="-1" w:firstLine="1"/>
        <w:rPr>
          <w:lang w:val="ru-RU"/>
        </w:rPr>
      </w:pPr>
      <w:r>
        <w:rPr>
          <w:u w:val="single"/>
          <w:lang w:val="ru-RU"/>
        </w:rPr>
        <w:t>Г-н ПИЛЛАИ</w:t>
      </w:r>
      <w:r>
        <w:rPr>
          <w:lang w:val="ru-RU"/>
        </w:rPr>
        <w:t xml:space="preserve"> (докладчик по стране) выражает удовлетворение позитивным подходом, проявленным делегацией, ее твердым намерением повысить качество своих будущих докладов и тем, что Индонезия ратифицировала Конвенцию без оговорок, подав тем самым пример другим странам.  Он положительно оценивает принятые в стране планы действий в области прав человека и будет заинтересованно следить за их реализацией.  Помимо этого он приветствует участие Национальной комиссии по правам человека в работе Комитета и призывает Индонезию к дальнейшим усилиям по укреплению этого органа и превращению его в подлинно независимый и эффективный институт. </w:t>
      </w:r>
    </w:p>
    <w:p w:rsidR="005C3FE0" w:rsidRDefault="005C3FE0">
      <w:pPr>
        <w:pStyle w:val="ParaNo"/>
        <w:tabs>
          <w:tab w:val="clear" w:pos="1"/>
          <w:tab w:val="clear" w:pos="737"/>
          <w:tab w:val="left" w:pos="-1"/>
        </w:tabs>
        <w:ind w:left="-1" w:firstLine="1"/>
        <w:rPr>
          <w:lang w:val="ru-RU"/>
        </w:rPr>
      </w:pPr>
      <w:r>
        <w:rPr>
          <w:lang w:val="ru-RU"/>
        </w:rPr>
        <w:t>Он подчеркивает обеспокоенность Комитета по вопросу о правах коренных народов, особенно в связи с намеченным созданием крупной плантации масличных пальм, а также необходимость принятия мер по раннему предупреждению.  Он отмечает продвижение в вопросе о признании государством религий и высказывается в поддержку предложения г</w:t>
      </w:r>
      <w:r>
        <w:rPr>
          <w:lang w:val="ru-RU"/>
        </w:rPr>
        <w:noBreakHyphen/>
        <w:t>на Линдгрена Алвиса о целесообразности введения закона о гражданском браке.  Он побуждает правительство привлекать организации гражданского общества к составлению докладов и осуществлению программ, касающихся расовой дискриминации.</w:t>
      </w:r>
    </w:p>
    <w:p w:rsidR="005C3FE0" w:rsidRDefault="005C3FE0">
      <w:pPr>
        <w:pStyle w:val="ParaNo"/>
        <w:tabs>
          <w:tab w:val="clear" w:pos="1"/>
          <w:tab w:val="clear" w:pos="737"/>
          <w:tab w:val="left" w:pos="-1"/>
        </w:tabs>
        <w:ind w:left="-1" w:firstLine="1"/>
        <w:rPr>
          <w:lang w:val="ru-RU"/>
        </w:rPr>
      </w:pPr>
      <w:r>
        <w:rPr>
          <w:u w:val="single"/>
          <w:lang w:val="ru-RU"/>
        </w:rPr>
        <w:t>ПРЕДСЕДАТЕЛЬ</w:t>
      </w:r>
      <w:r>
        <w:rPr>
          <w:lang w:val="ru-RU"/>
        </w:rPr>
        <w:t xml:space="preserve"> выражает надежду, что диалог между Комитетом и Индонезией, завязавшийся в связи с первым представлением ею своих периодических докладов, будет продолжен.</w:t>
      </w:r>
    </w:p>
    <w:p w:rsidR="005C3FE0" w:rsidRDefault="005C3FE0">
      <w:pPr>
        <w:jc w:val="center"/>
        <w:rPr>
          <w:u w:val="single"/>
          <w:lang w:val="ru-RU"/>
        </w:rPr>
      </w:pPr>
      <w:r>
        <w:rPr>
          <w:u w:val="single"/>
          <w:lang w:val="ru-RU"/>
        </w:rPr>
        <w:t>Заседание закрывается в 13 час. 00 мин.</w:t>
      </w:r>
    </w:p>
    <w:p w:rsidR="005C3FE0" w:rsidRDefault="005C3FE0">
      <w:pPr>
        <w:jc w:val="center"/>
      </w:pPr>
      <w:r>
        <w:rPr>
          <w:lang w:val="ru-RU"/>
        </w:rPr>
        <w:t>-----</w:t>
      </w:r>
    </w:p>
    <w:sectPr w:rsidR="005C3FE0" w:rsidSect="000C3996">
      <w:headerReference w:type="even" r:id="rId9"/>
      <w:headerReference w:type="default" r:id="rId10"/>
      <w:headerReference w:type="first" r:id="rId11"/>
      <w:footnotePr>
        <w:pos w:val="beneathText"/>
      </w:footnotePr>
      <w:pgSz w:w="11905" w:h="16837"/>
      <w:pgMar w:top="1134" w:right="851" w:bottom="1843"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FE0" w:rsidRDefault="005C3FE0">
      <w:r>
        <w:separator/>
      </w:r>
    </w:p>
  </w:endnote>
  <w:endnote w:type="continuationSeparator" w:id="0">
    <w:p w:rsidR="005C3FE0" w:rsidRDefault="005C3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FE0" w:rsidRDefault="005C3FE0">
      <w:r>
        <w:separator/>
      </w:r>
    </w:p>
  </w:footnote>
  <w:footnote w:type="continuationSeparator" w:id="0">
    <w:p w:rsidR="005C3FE0" w:rsidRDefault="005C3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E0" w:rsidRDefault="005C3FE0">
    <w:pPr>
      <w:pStyle w:val="Header"/>
      <w:spacing w:after="0"/>
    </w:pPr>
    <w:r>
      <w:t>CERD/C/SR.1832</w:t>
    </w:r>
  </w:p>
  <w:p w:rsidR="005C3FE0" w:rsidRDefault="005C3FE0">
    <w:pPr>
      <w:pStyle w:val="Header"/>
      <w:spacing w:after="0"/>
    </w:pPr>
    <w:r>
      <w:t xml:space="preserve">page </w:t>
    </w:r>
    <w:r>
      <w:fldChar w:fldCharType="begin"/>
    </w:r>
    <w:r>
      <w:instrText xml:space="preserve"> PAGE </w:instrText>
    </w:r>
    <w:r>
      <w:fldChar w:fldCharType="separate"/>
    </w:r>
    <w:r w:rsidR="000C3996">
      <w:rPr>
        <w:noProof/>
      </w:rPr>
      <w:t>10</w:t>
    </w:r>
    <w:r>
      <w:fldChar w:fldCharType="end"/>
    </w:r>
  </w:p>
  <w:p w:rsidR="005C3FE0" w:rsidRDefault="005C3FE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E0" w:rsidRDefault="005C3FE0">
    <w:pPr>
      <w:pStyle w:val="Header"/>
      <w:tabs>
        <w:tab w:val="clear" w:pos="4320"/>
        <w:tab w:val="clear" w:pos="8640"/>
        <w:tab w:val="left" w:pos="5953"/>
        <w:tab w:val="left" w:pos="6803"/>
      </w:tabs>
      <w:spacing w:after="0"/>
    </w:pPr>
    <w:r>
      <w:tab/>
    </w:r>
    <w:r>
      <w:tab/>
      <w:t>CERD/C/SR.1832</w:t>
    </w:r>
  </w:p>
  <w:p w:rsidR="005C3FE0" w:rsidRDefault="005C3FE0">
    <w:pPr>
      <w:pStyle w:val="Header"/>
      <w:tabs>
        <w:tab w:val="clear" w:pos="4320"/>
        <w:tab w:val="clear" w:pos="8640"/>
        <w:tab w:val="left" w:pos="5953"/>
        <w:tab w:val="left" w:pos="6803"/>
      </w:tabs>
      <w:spacing w:after="0"/>
    </w:pPr>
    <w:r>
      <w:tab/>
    </w:r>
    <w:r>
      <w:tab/>
      <w:t xml:space="preserve">page </w:t>
    </w:r>
    <w:r>
      <w:fldChar w:fldCharType="begin"/>
    </w:r>
    <w:r>
      <w:instrText xml:space="preserve"> PAGE </w:instrText>
    </w:r>
    <w:r>
      <w:fldChar w:fldCharType="separate"/>
    </w:r>
    <w:r w:rsidR="000C3996">
      <w:rPr>
        <w:noProof/>
      </w:rPr>
      <w:t>11</w:t>
    </w:r>
    <w:r>
      <w:fldChar w:fldCharType="end"/>
    </w:r>
  </w:p>
  <w:p w:rsidR="005C3FE0" w:rsidRDefault="005C3FE0">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FE0" w:rsidRDefault="005C3F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4"/>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996"/>
    <w:rsid w:val="000C3996"/>
    <w:rsid w:val="005C3F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240"/>
    </w:pPr>
    <w:rPr>
      <w:sz w:val="24"/>
      <w:lang w:val="en-GB" w:eastAsia="ar-SA"/>
    </w:rPr>
  </w:style>
  <w:style w:type="paragraph" w:styleId="Heading1">
    <w:name w:val="heading 1"/>
    <w:basedOn w:val="Normal"/>
    <w:next w:val="Normal"/>
    <w:qFormat/>
    <w:pPr>
      <w:keepNext/>
      <w:numPr>
        <w:numId w:val="2"/>
      </w:numPr>
      <w:jc w:val="center"/>
      <w:outlineLvl w:val="0"/>
    </w:pPr>
    <w:rPr>
      <w:b/>
      <w:caps/>
    </w:rPr>
  </w:style>
  <w:style w:type="paragraph" w:styleId="Heading2">
    <w:name w:val="heading 2"/>
    <w:basedOn w:val="Normal"/>
    <w:next w:val="Normal"/>
    <w:qFormat/>
    <w:pPr>
      <w:keepNext/>
      <w:numPr>
        <w:ilvl w:val="1"/>
        <w:numId w:val="2"/>
      </w:numPr>
      <w:jc w:val="center"/>
      <w:outlineLvl w:val="1"/>
    </w:pPr>
    <w:rPr>
      <w:b/>
    </w:rPr>
  </w:style>
  <w:style w:type="paragraph" w:styleId="Heading3">
    <w:name w:val="heading 3"/>
    <w:basedOn w:val="Normal"/>
    <w:next w:val="Normal"/>
    <w:qFormat/>
    <w:pPr>
      <w:keepNext/>
      <w:numPr>
        <w:ilvl w:val="2"/>
        <w:numId w:val="2"/>
      </w:numPr>
      <w:outlineLvl w:val="2"/>
    </w:pPr>
    <w:rPr>
      <w:b/>
    </w:rPr>
  </w:style>
  <w:style w:type="paragraph" w:styleId="Heading4">
    <w:name w:val="heading 4"/>
    <w:basedOn w:val="Normal"/>
    <w:next w:val="Normal"/>
    <w:qFormat/>
    <w:pPr>
      <w:keepNext/>
      <w:numPr>
        <w:ilvl w:val="3"/>
        <w:numId w:val="2"/>
      </w:numPr>
      <w:outlineLvl w:val="3"/>
    </w:pPr>
    <w:rPr>
      <w:i/>
    </w:rPr>
  </w:style>
  <w:style w:type="paragraph" w:styleId="Heading5">
    <w:name w:val="heading 5"/>
    <w:basedOn w:val="Normal"/>
    <w:next w:val="Normal"/>
    <w:qFormat/>
    <w:pPr>
      <w:keepNext/>
      <w:numPr>
        <w:ilvl w:val="4"/>
        <w:numId w:val="2"/>
      </w:numPr>
      <w:outlineLvl w:val="4"/>
    </w:pPr>
    <w:rPr>
      <w:b/>
      <w:i/>
    </w:rPr>
  </w:style>
  <w:style w:type="paragraph" w:styleId="Heading6">
    <w:name w:val="heading 6"/>
    <w:basedOn w:val="Normal"/>
    <w:next w:val="Normal"/>
    <w:qFormat/>
    <w:pPr>
      <w:keepNext/>
      <w:numPr>
        <w:ilvl w:val="5"/>
        <w:numId w:val="2"/>
      </w:numPr>
      <w:outlineLvl w:val="5"/>
    </w:pPr>
    <w:rPr>
      <w:b/>
      <w:caps/>
    </w:rPr>
  </w:style>
  <w:style w:type="paragraph" w:styleId="Heading7">
    <w:name w:val="heading 7"/>
    <w:basedOn w:val="Normal"/>
    <w:next w:val="Normal"/>
    <w:qFormat/>
    <w:pPr>
      <w:numPr>
        <w:ilvl w:val="6"/>
        <w:numId w:val="2"/>
      </w:numPr>
      <w:jc w:val="center"/>
      <w:outlineLvl w:val="6"/>
    </w:pPr>
    <w:rPr>
      <w:caps/>
    </w:rPr>
  </w:style>
  <w:style w:type="paragraph" w:styleId="Heading8">
    <w:name w:val="heading 8"/>
    <w:basedOn w:val="Normal"/>
    <w:next w:val="Normal"/>
    <w:qFormat/>
    <w:pPr>
      <w:keepNext/>
      <w:numPr>
        <w:ilvl w:val="7"/>
        <w:numId w:val="2"/>
      </w:numPr>
      <w:outlineLvl w:val="7"/>
    </w:pPr>
  </w:style>
  <w:style w:type="paragraph" w:styleId="Heading9">
    <w:name w:val="heading 9"/>
    <w:basedOn w:val="Normal"/>
    <w:next w:val="Normal"/>
    <w:qFormat/>
    <w:pPr>
      <w:keepNext/>
      <w:numPr>
        <w:ilvl w:val="8"/>
        <w:numId w:val="2"/>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styleId="DefaultParagraphFont0">
    <w:name w:val="Default Paragraph Font"/>
  </w:style>
  <w:style w:type="character" w:customStyle="1" w:styleId="Caractredenotedebasdepage">
    <w:name w:val="Caractère de note de bas de page"/>
    <w:rPr>
      <w:b/>
      <w:sz w:val="24"/>
      <w:vertAlign w:val="superscript"/>
    </w:rPr>
  </w:style>
  <w:style w:type="character" w:styleId="PageNumber">
    <w:name w:val="page number"/>
    <w:basedOn w:val="DefaultParagraphFont0"/>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style>
  <w:style w:type="paragraph" w:customStyle="1" w:styleId="Rom2">
    <w:name w:val="Rom2"/>
    <w:basedOn w:val="Normal"/>
    <w:pPr>
      <w:ind w:left="-226"/>
    </w:pPr>
  </w:style>
  <w:style w:type="paragraph" w:customStyle="1" w:styleId="ParaNo">
    <w:name w:val="ParaNo."/>
    <w:basedOn w:val="Normal"/>
    <w:pPr>
      <w:numPr>
        <w:numId w:val="1"/>
      </w:numPr>
      <w:tabs>
        <w:tab w:val="left" w:pos="737"/>
      </w:tabs>
      <w:ind w:left="0" w:firstLine="0"/>
    </w:pPr>
    <w:rPr>
      <w:lang w:val="fr-CH"/>
    </w:rPr>
  </w:style>
  <w:style w:type="paragraph" w:styleId="FootnoteText">
    <w:name w:val="footnote text"/>
    <w:basedOn w:val="Normal"/>
    <w:semiHidden/>
  </w:style>
  <w:style w:type="paragraph" w:styleId="BodyTextIndent">
    <w:name w:val="Body Text Indent"/>
    <w:basedOn w:val="Normal"/>
    <w:next w:val="Normal"/>
    <w:pPr>
      <w:ind w:left="567"/>
    </w:pPr>
  </w:style>
  <w:style w:type="paragraph" w:styleId="EndnoteText">
    <w:name w:val="endnote text"/>
    <w:basedOn w:val="Normal"/>
    <w:semiHidden/>
  </w:style>
  <w:style w:type="paragraph" w:customStyle="1" w:styleId="Bullet">
    <w:name w:val="Bullet"/>
    <w:basedOn w:val="Normal"/>
  </w:style>
  <w:style w:type="paragraph" w:customStyle="1" w:styleId="Dash">
    <w:name w:val="Dash"/>
    <w:basedOn w:val="Normal"/>
    <w:pPr>
      <w:snapToGrid w:val="0"/>
    </w:pPr>
  </w:style>
  <w:style w:type="paragraph" w:customStyle="1" w:styleId="a">
    <w:name w:val="название"/>
    <w:basedOn w:val="Normal"/>
    <w:pPr>
      <w:widowControl w:val="0"/>
      <w:spacing w:after="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4913</Words>
  <Characters>28009</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0743492</vt:lpstr>
    </vt:vector>
  </TitlesOfParts>
  <Company>ONU</Company>
  <LinksUpToDate>false</LinksUpToDate>
  <CharactersWithSpaces>32857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0743492</dc:title>
  <dc:subject/>
  <dc:creator>BEST FRUTIGER - scoper mbk</dc:creator>
  <cp:keywords>CERD/C/SR.1832</cp:keywords>
  <dc:description>final</dc:description>
  <cp:lastModifiedBy>CSD</cp:lastModifiedBy>
  <cp:revision>2</cp:revision>
  <cp:lastPrinted>2007-08-14T12:32:00Z</cp:lastPrinted>
  <dcterms:created xsi:type="dcterms:W3CDTF">2009-05-30T17:41:00Z</dcterms:created>
  <dcterms:modified xsi:type="dcterms:W3CDTF">2009-08-17T12:26:00Z</dcterms:modified>
</cp:coreProperties>
</file>