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F12" w:rsidRDefault="008F0F12" w:rsidP="008F0F12">
      <w:pPr>
        <w:spacing w:line="60" w:lineRule="exact"/>
        <w:rPr>
          <w:rStyle w:val="a4"/>
          <w:color w:val="auto"/>
          <w:w w:val="100"/>
          <w:sz w:val="6"/>
          <w:vertAlign w:val="baseline"/>
        </w:rPr>
        <w:sectPr w:rsidR="008F0F12" w:rsidSect="008F0F12">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B31E9D" w:rsidRDefault="00B31E9D" w:rsidP="008F0F12">
      <w:pPr>
        <w:spacing w:line="60" w:lineRule="exact"/>
        <w:rPr>
          <w:sz w:val="6"/>
        </w:rPr>
      </w:pPr>
    </w:p>
    <w:p w:rsidR="00E861B6" w:rsidRPr="00452D74" w:rsidRDefault="00E861B6" w:rsidP="00E861B6">
      <w:pPr>
        <w:pStyle w:val="SingleTxt"/>
        <w:spacing w:after="60"/>
        <w:ind w:left="0"/>
        <w:rPr>
          <w:rFonts w:ascii="黑体" w:eastAsia="黑体" w:hAnsi="黑体"/>
          <w:sz w:val="24"/>
          <w:szCs w:val="24"/>
        </w:rPr>
      </w:pPr>
      <w:r w:rsidRPr="00452D74">
        <w:rPr>
          <w:rFonts w:ascii="黑体" w:eastAsia="黑体" w:hAnsi="黑体" w:hint="eastAsia"/>
          <w:sz w:val="24"/>
          <w:szCs w:val="24"/>
        </w:rPr>
        <w:t>消除对妇女歧视委员会</w:t>
      </w:r>
    </w:p>
    <w:p w:rsidR="00E861B6" w:rsidRPr="00E861B6" w:rsidRDefault="00E861B6" w:rsidP="00E861B6">
      <w:pPr>
        <w:pStyle w:val="SingleTxt"/>
        <w:spacing w:after="0" w:line="120" w:lineRule="exact"/>
        <w:ind w:left="0"/>
        <w:rPr>
          <w:rFonts w:ascii="黑体" w:eastAsia="黑体" w:hAnsi="黑体"/>
          <w:sz w:val="10"/>
        </w:rPr>
      </w:pPr>
    </w:p>
    <w:p w:rsidR="00E861B6" w:rsidRPr="00E861B6" w:rsidRDefault="00E861B6" w:rsidP="00E861B6">
      <w:pPr>
        <w:pStyle w:val="SingleTxt"/>
        <w:spacing w:after="0" w:line="120" w:lineRule="exact"/>
        <w:ind w:left="0"/>
        <w:rPr>
          <w:rFonts w:ascii="黑体" w:eastAsia="黑体" w:hAnsi="黑体"/>
          <w:sz w:val="10"/>
        </w:rPr>
      </w:pPr>
    </w:p>
    <w:p w:rsidR="00E861B6" w:rsidRPr="00E861B6" w:rsidRDefault="00E861B6" w:rsidP="00E861B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861B6" w:rsidRDefault="00E861B6" w:rsidP="00E861B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Pr="00E861B6">
        <w:rPr>
          <w:rFonts w:hint="eastAsia"/>
        </w:rPr>
        <w:t>关于妇女获得司法救助的第33号一般性建议</w:t>
      </w:r>
    </w:p>
    <w:p w:rsidR="00A84A3D" w:rsidRPr="00A84A3D" w:rsidRDefault="00A84A3D" w:rsidP="00A84A3D">
      <w:pPr>
        <w:pStyle w:val="HCh6"/>
        <w:spacing w:after="0" w:line="120" w:lineRule="exact"/>
        <w:rPr>
          <w:sz w:val="10"/>
        </w:rPr>
      </w:pPr>
    </w:p>
    <w:p w:rsidR="00A84A3D" w:rsidRPr="00A84A3D" w:rsidRDefault="00A84A3D" w:rsidP="00A84A3D">
      <w:pPr>
        <w:pStyle w:val="HCh6"/>
        <w:spacing w:after="0" w:line="120" w:lineRule="exact"/>
        <w:rPr>
          <w:sz w:val="10"/>
        </w:rPr>
      </w:pPr>
    </w:p>
    <w:p w:rsidR="00E861B6" w:rsidRDefault="00E861B6" w:rsidP="00744E4E">
      <w:pPr>
        <w:pStyle w:val="HCh6"/>
      </w:pPr>
      <w:r>
        <w:rPr>
          <w:rFonts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861B6" w:rsidRPr="00E53517">
        <w:tc>
          <w:tcPr>
            <w:tcW w:w="1060" w:type="dxa"/>
          </w:tcPr>
          <w:p w:rsidR="00E861B6" w:rsidRPr="00E53517" w:rsidRDefault="00E861B6" w:rsidP="00A84A3D">
            <w:pPr>
              <w:pStyle w:val="GB23126"/>
              <w:spacing w:after="0" w:line="260" w:lineRule="exact"/>
            </w:pPr>
          </w:p>
        </w:tc>
        <w:tc>
          <w:tcPr>
            <w:tcW w:w="7315" w:type="dxa"/>
          </w:tcPr>
          <w:p w:rsidR="00E861B6" w:rsidRPr="00E53517" w:rsidRDefault="00E861B6" w:rsidP="00A84A3D">
            <w:pPr>
              <w:spacing w:after="60"/>
              <w:rPr>
                <w:rFonts w:eastAsia="楷体_GB2312"/>
                <w:color w:val="0000FF"/>
                <w:sz w:val="15"/>
                <w:szCs w:val="15"/>
              </w:rPr>
            </w:pPr>
          </w:p>
        </w:tc>
        <w:tc>
          <w:tcPr>
            <w:tcW w:w="994" w:type="dxa"/>
          </w:tcPr>
          <w:p w:rsidR="00E861B6" w:rsidRPr="00E53517" w:rsidRDefault="00E861B6" w:rsidP="00A84A3D">
            <w:pPr>
              <w:pStyle w:val="GB23126"/>
              <w:spacing w:after="60" w:line="320" w:lineRule="exact"/>
            </w:pPr>
          </w:p>
        </w:tc>
        <w:tc>
          <w:tcPr>
            <w:tcW w:w="533" w:type="dxa"/>
          </w:tcPr>
          <w:p w:rsidR="00E861B6" w:rsidRPr="00E53517" w:rsidRDefault="00E861B6" w:rsidP="00A84A3D">
            <w:pPr>
              <w:pStyle w:val="GB23126"/>
              <w:spacing w:after="60" w:line="320" w:lineRule="exact"/>
            </w:pPr>
            <w:r w:rsidRPr="00E53517">
              <w:rPr>
                <w:rFonts w:hint="eastAsia"/>
              </w:rPr>
              <w:t>页次</w:t>
            </w:r>
          </w:p>
        </w:tc>
      </w:tr>
      <w:tr w:rsidR="00E861B6">
        <w:trPr>
          <w:cantSplit/>
        </w:trPr>
        <w:tc>
          <w:tcPr>
            <w:tcW w:w="9369" w:type="dxa"/>
            <w:gridSpan w:val="3"/>
          </w:tcPr>
          <w:p w:rsidR="00E861B6" w:rsidRDefault="00E861B6" w:rsidP="00F70549">
            <w:pPr>
              <w:numPr>
                <w:ilvl w:val="0"/>
                <w:numId w:val="7"/>
              </w:numPr>
              <w:tabs>
                <w:tab w:val="right" w:pos="1080"/>
                <w:tab w:val="right" w:leader="dot" w:pos="9371"/>
              </w:tabs>
              <w:spacing w:after="120" w:line="314" w:lineRule="exact"/>
            </w:pPr>
            <w:r>
              <w:tab/>
            </w:r>
            <w:r w:rsidR="00077354">
              <w:rPr>
                <w:rFonts w:hint="eastAsia"/>
              </w:rPr>
              <w:t>导言和范围</w:t>
            </w:r>
            <w:r>
              <w:tab/>
            </w:r>
          </w:p>
        </w:tc>
        <w:tc>
          <w:tcPr>
            <w:tcW w:w="533" w:type="dxa"/>
            <w:vAlign w:val="bottom"/>
          </w:tcPr>
          <w:p w:rsidR="00E861B6" w:rsidRDefault="00F70549" w:rsidP="00F70549">
            <w:pPr>
              <w:spacing w:after="120" w:line="314" w:lineRule="exact"/>
              <w:ind w:right="28"/>
              <w:jc w:val="right"/>
            </w:pPr>
            <w:r>
              <w:t>3</w:t>
            </w:r>
          </w:p>
        </w:tc>
      </w:tr>
      <w:tr w:rsidR="00E861B6">
        <w:trPr>
          <w:cantSplit/>
        </w:trPr>
        <w:tc>
          <w:tcPr>
            <w:tcW w:w="9369" w:type="dxa"/>
            <w:gridSpan w:val="3"/>
          </w:tcPr>
          <w:p w:rsidR="00E861B6" w:rsidRDefault="00E861B6" w:rsidP="00F70549">
            <w:pPr>
              <w:numPr>
                <w:ilvl w:val="0"/>
                <w:numId w:val="7"/>
              </w:numPr>
              <w:tabs>
                <w:tab w:val="right" w:pos="1080"/>
                <w:tab w:val="right" w:leader="dot" w:pos="9371"/>
              </w:tabs>
              <w:spacing w:after="120" w:line="314" w:lineRule="exact"/>
            </w:pPr>
            <w:r>
              <w:rPr>
                <w:rFonts w:hint="eastAsia"/>
              </w:rPr>
              <w:tab/>
            </w:r>
            <w:r w:rsidR="00077354" w:rsidRPr="00077354">
              <w:rPr>
                <w:rFonts w:hint="eastAsia"/>
              </w:rPr>
              <w:t>关于妇女司法救助的一般性问题和建议</w:t>
            </w:r>
            <w:r>
              <w:tab/>
            </w:r>
          </w:p>
        </w:tc>
        <w:tc>
          <w:tcPr>
            <w:tcW w:w="533" w:type="dxa"/>
            <w:vAlign w:val="bottom"/>
          </w:tcPr>
          <w:p w:rsidR="00E861B6" w:rsidRDefault="00F70549" w:rsidP="00F70549">
            <w:pPr>
              <w:spacing w:after="120" w:line="314" w:lineRule="exact"/>
              <w:ind w:right="28"/>
              <w:jc w:val="right"/>
            </w:pPr>
            <w:r>
              <w:t>5</w:t>
            </w:r>
          </w:p>
        </w:tc>
      </w:tr>
      <w:tr w:rsidR="00A84A3D">
        <w:trPr>
          <w:cantSplit/>
        </w:trPr>
        <w:tc>
          <w:tcPr>
            <w:tcW w:w="9369" w:type="dxa"/>
            <w:gridSpan w:val="3"/>
          </w:tcPr>
          <w:p w:rsidR="00A84A3D" w:rsidRDefault="00077354" w:rsidP="00F70549">
            <w:pPr>
              <w:numPr>
                <w:ilvl w:val="1"/>
                <w:numId w:val="7"/>
              </w:numPr>
              <w:tabs>
                <w:tab w:val="right" w:pos="1080"/>
                <w:tab w:val="right" w:leader="dot" w:pos="9371"/>
              </w:tabs>
              <w:spacing w:after="120" w:line="314" w:lineRule="exact"/>
            </w:pPr>
            <w:r w:rsidRPr="00077354">
              <w:rPr>
                <w:rFonts w:hint="eastAsia"/>
              </w:rPr>
              <w:t>可诉性、可得性、可及性、优良素质、提供补救措施和司法系统的问责制</w:t>
            </w:r>
            <w:r w:rsidR="00B2654A">
              <w:tab/>
            </w:r>
          </w:p>
        </w:tc>
        <w:tc>
          <w:tcPr>
            <w:tcW w:w="533" w:type="dxa"/>
            <w:vAlign w:val="bottom"/>
          </w:tcPr>
          <w:p w:rsidR="00A84A3D" w:rsidRDefault="00F70549" w:rsidP="00F70549">
            <w:pPr>
              <w:spacing w:after="120" w:line="314" w:lineRule="exact"/>
              <w:ind w:right="28"/>
              <w:jc w:val="right"/>
            </w:pPr>
            <w:r>
              <w:t>5</w:t>
            </w:r>
          </w:p>
        </w:tc>
      </w:tr>
      <w:tr w:rsidR="00A84A3D">
        <w:trPr>
          <w:cantSplit/>
        </w:trPr>
        <w:tc>
          <w:tcPr>
            <w:tcW w:w="9369" w:type="dxa"/>
            <w:gridSpan w:val="3"/>
          </w:tcPr>
          <w:p w:rsidR="00A84A3D" w:rsidRDefault="006C6AA6" w:rsidP="00F70549">
            <w:pPr>
              <w:numPr>
                <w:ilvl w:val="1"/>
                <w:numId w:val="7"/>
              </w:numPr>
              <w:tabs>
                <w:tab w:val="right" w:pos="1080"/>
                <w:tab w:val="right" w:leader="dot" w:pos="9371"/>
              </w:tabs>
              <w:spacing w:after="120" w:line="314" w:lineRule="exact"/>
            </w:pPr>
            <w:r>
              <w:rPr>
                <w:rFonts w:hint="eastAsia"/>
              </w:rPr>
              <w:t>歧视性法律、程序和做法</w:t>
            </w:r>
            <w:r w:rsidR="00B2654A">
              <w:tab/>
            </w:r>
          </w:p>
        </w:tc>
        <w:tc>
          <w:tcPr>
            <w:tcW w:w="533" w:type="dxa"/>
            <w:vAlign w:val="bottom"/>
          </w:tcPr>
          <w:p w:rsidR="00A84A3D" w:rsidRDefault="00F70549" w:rsidP="00F70549">
            <w:pPr>
              <w:spacing w:after="120" w:line="314" w:lineRule="exact"/>
              <w:ind w:right="28"/>
              <w:jc w:val="right"/>
            </w:pPr>
            <w:r>
              <w:t>10</w:t>
            </w:r>
          </w:p>
        </w:tc>
      </w:tr>
      <w:tr w:rsidR="00A84A3D">
        <w:trPr>
          <w:cantSplit/>
        </w:trPr>
        <w:tc>
          <w:tcPr>
            <w:tcW w:w="9369" w:type="dxa"/>
            <w:gridSpan w:val="3"/>
          </w:tcPr>
          <w:p w:rsidR="00A84A3D" w:rsidRDefault="006C6AA6" w:rsidP="00F70549">
            <w:pPr>
              <w:numPr>
                <w:ilvl w:val="1"/>
                <w:numId w:val="7"/>
              </w:numPr>
              <w:tabs>
                <w:tab w:val="right" w:pos="1080"/>
                <w:tab w:val="right" w:leader="dot" w:pos="9371"/>
              </w:tabs>
              <w:spacing w:after="120" w:line="314" w:lineRule="exact"/>
            </w:pPr>
            <w:r>
              <w:rPr>
                <w:rFonts w:hint="eastAsia"/>
              </w:rPr>
              <w:t>司法系统内的陈规定型观念和性别偏见与能力建设的重要性</w:t>
            </w:r>
            <w:r w:rsidR="00B2654A">
              <w:tab/>
            </w:r>
          </w:p>
        </w:tc>
        <w:tc>
          <w:tcPr>
            <w:tcW w:w="533" w:type="dxa"/>
            <w:vAlign w:val="bottom"/>
          </w:tcPr>
          <w:p w:rsidR="00A84A3D" w:rsidRDefault="00F219C6" w:rsidP="00F70549">
            <w:pPr>
              <w:spacing w:after="120" w:line="314" w:lineRule="exact"/>
              <w:ind w:right="28"/>
              <w:jc w:val="right"/>
            </w:pPr>
            <w:r>
              <w:t>1</w:t>
            </w:r>
            <w:r w:rsidR="00F70549">
              <w:t>1</w:t>
            </w:r>
          </w:p>
        </w:tc>
      </w:tr>
      <w:tr w:rsidR="00A84A3D">
        <w:trPr>
          <w:cantSplit/>
        </w:trPr>
        <w:tc>
          <w:tcPr>
            <w:tcW w:w="9369" w:type="dxa"/>
            <w:gridSpan w:val="3"/>
          </w:tcPr>
          <w:p w:rsidR="00A84A3D" w:rsidRDefault="00990D1D" w:rsidP="00F70549">
            <w:pPr>
              <w:numPr>
                <w:ilvl w:val="1"/>
                <w:numId w:val="7"/>
              </w:numPr>
              <w:tabs>
                <w:tab w:val="right" w:pos="1080"/>
                <w:tab w:val="right" w:leader="dot" w:pos="9371"/>
              </w:tabs>
              <w:spacing w:after="120" w:line="314" w:lineRule="exact"/>
            </w:pPr>
            <w:r>
              <w:rPr>
                <w:rFonts w:hint="eastAsia"/>
              </w:rPr>
              <w:t>针对陈规定型观念的影响开展教育和提高认识活动</w:t>
            </w:r>
            <w:r w:rsidR="00B2654A">
              <w:tab/>
            </w:r>
          </w:p>
        </w:tc>
        <w:tc>
          <w:tcPr>
            <w:tcW w:w="533" w:type="dxa"/>
            <w:vAlign w:val="bottom"/>
          </w:tcPr>
          <w:p w:rsidR="00A84A3D" w:rsidRDefault="00F219C6" w:rsidP="00F70549">
            <w:pPr>
              <w:spacing w:after="120" w:line="314" w:lineRule="exact"/>
              <w:ind w:right="28"/>
              <w:jc w:val="right"/>
            </w:pPr>
            <w:r>
              <w:t>1</w:t>
            </w:r>
            <w:r w:rsidR="00F70549">
              <w:t>2</w:t>
            </w:r>
          </w:p>
        </w:tc>
      </w:tr>
      <w:tr w:rsidR="00A84A3D">
        <w:trPr>
          <w:cantSplit/>
        </w:trPr>
        <w:tc>
          <w:tcPr>
            <w:tcW w:w="9369" w:type="dxa"/>
            <w:gridSpan w:val="3"/>
          </w:tcPr>
          <w:p w:rsidR="00A84A3D" w:rsidRDefault="00990D1D" w:rsidP="00F70549">
            <w:pPr>
              <w:numPr>
                <w:ilvl w:val="1"/>
                <w:numId w:val="7"/>
              </w:numPr>
              <w:tabs>
                <w:tab w:val="right" w:pos="1080"/>
                <w:tab w:val="right" w:leader="dot" w:pos="9371"/>
              </w:tabs>
              <w:spacing w:after="120" w:line="314" w:lineRule="exact"/>
            </w:pPr>
            <w:r>
              <w:rPr>
                <w:rFonts w:hint="eastAsia"/>
              </w:rPr>
              <w:t>法律援助和公设辩护</w:t>
            </w:r>
            <w:r w:rsidR="00B2654A">
              <w:tab/>
            </w:r>
          </w:p>
        </w:tc>
        <w:tc>
          <w:tcPr>
            <w:tcW w:w="533" w:type="dxa"/>
            <w:vAlign w:val="bottom"/>
          </w:tcPr>
          <w:p w:rsidR="00A84A3D" w:rsidRDefault="00F219C6" w:rsidP="00F70549">
            <w:pPr>
              <w:spacing w:after="120" w:line="314" w:lineRule="exact"/>
              <w:ind w:right="28"/>
              <w:jc w:val="right"/>
            </w:pPr>
            <w:r>
              <w:t>1</w:t>
            </w:r>
            <w:r w:rsidR="00F70549">
              <w:t>4</w:t>
            </w:r>
          </w:p>
        </w:tc>
      </w:tr>
      <w:tr w:rsidR="00A84A3D">
        <w:trPr>
          <w:cantSplit/>
        </w:trPr>
        <w:tc>
          <w:tcPr>
            <w:tcW w:w="9369" w:type="dxa"/>
            <w:gridSpan w:val="3"/>
          </w:tcPr>
          <w:p w:rsidR="00A84A3D" w:rsidRDefault="00990D1D" w:rsidP="00F70549">
            <w:pPr>
              <w:numPr>
                <w:ilvl w:val="1"/>
                <w:numId w:val="7"/>
              </w:numPr>
              <w:tabs>
                <w:tab w:val="right" w:pos="1080"/>
                <w:tab w:val="right" w:leader="dot" w:pos="9371"/>
              </w:tabs>
              <w:spacing w:after="120" w:line="314" w:lineRule="exact"/>
            </w:pPr>
            <w:r>
              <w:rPr>
                <w:rFonts w:hint="eastAsia"/>
              </w:rPr>
              <w:t>资源</w:t>
            </w:r>
            <w:r w:rsidR="00B2654A">
              <w:tab/>
            </w:r>
          </w:p>
        </w:tc>
        <w:tc>
          <w:tcPr>
            <w:tcW w:w="533" w:type="dxa"/>
            <w:vAlign w:val="bottom"/>
          </w:tcPr>
          <w:p w:rsidR="00A84A3D" w:rsidRDefault="00F219C6" w:rsidP="00F70549">
            <w:pPr>
              <w:spacing w:after="120" w:line="314" w:lineRule="exact"/>
              <w:ind w:right="28"/>
              <w:jc w:val="right"/>
            </w:pPr>
            <w:r>
              <w:t>1</w:t>
            </w:r>
            <w:r w:rsidR="00F70549">
              <w:t>4</w:t>
            </w:r>
          </w:p>
        </w:tc>
      </w:tr>
      <w:tr w:rsidR="00A84A3D">
        <w:trPr>
          <w:cantSplit/>
        </w:trPr>
        <w:tc>
          <w:tcPr>
            <w:tcW w:w="9369" w:type="dxa"/>
            <w:gridSpan w:val="3"/>
          </w:tcPr>
          <w:p w:rsidR="00A84A3D" w:rsidRDefault="00A84A3D" w:rsidP="00F70549">
            <w:pPr>
              <w:numPr>
                <w:ilvl w:val="0"/>
                <w:numId w:val="7"/>
              </w:numPr>
              <w:tabs>
                <w:tab w:val="right" w:pos="1080"/>
                <w:tab w:val="right" w:leader="dot" w:pos="9371"/>
              </w:tabs>
              <w:spacing w:after="120" w:line="314" w:lineRule="exact"/>
            </w:pPr>
            <w:r>
              <w:tab/>
            </w:r>
            <w:r w:rsidR="00990D1D">
              <w:rPr>
                <w:rFonts w:hint="eastAsia"/>
              </w:rPr>
              <w:t>关于具体法律领域的建议</w:t>
            </w:r>
            <w:r w:rsidR="00B2654A">
              <w:tab/>
            </w:r>
          </w:p>
        </w:tc>
        <w:tc>
          <w:tcPr>
            <w:tcW w:w="533" w:type="dxa"/>
            <w:vAlign w:val="bottom"/>
          </w:tcPr>
          <w:p w:rsidR="00A84A3D" w:rsidRDefault="00F219C6" w:rsidP="00F70549">
            <w:pPr>
              <w:spacing w:after="120" w:line="314" w:lineRule="exact"/>
              <w:ind w:right="28"/>
              <w:jc w:val="right"/>
            </w:pPr>
            <w:r>
              <w:t>1</w:t>
            </w:r>
            <w:r w:rsidR="00F70549">
              <w:t>5</w:t>
            </w:r>
          </w:p>
        </w:tc>
      </w:tr>
      <w:tr w:rsidR="00A84A3D">
        <w:trPr>
          <w:cantSplit/>
        </w:trPr>
        <w:tc>
          <w:tcPr>
            <w:tcW w:w="9369" w:type="dxa"/>
            <w:gridSpan w:val="3"/>
          </w:tcPr>
          <w:p w:rsidR="00A84A3D" w:rsidRDefault="00990D1D" w:rsidP="00F70549">
            <w:pPr>
              <w:numPr>
                <w:ilvl w:val="1"/>
                <w:numId w:val="7"/>
              </w:numPr>
              <w:tabs>
                <w:tab w:val="right" w:pos="1080"/>
                <w:tab w:val="right" w:leader="dot" w:pos="9371"/>
              </w:tabs>
              <w:spacing w:after="120" w:line="314" w:lineRule="exact"/>
            </w:pPr>
            <w:r>
              <w:rPr>
                <w:rFonts w:hint="eastAsia"/>
              </w:rPr>
              <w:t>宪法</w:t>
            </w:r>
            <w:r w:rsidR="00B2654A">
              <w:tab/>
            </w:r>
          </w:p>
        </w:tc>
        <w:tc>
          <w:tcPr>
            <w:tcW w:w="533" w:type="dxa"/>
            <w:vAlign w:val="bottom"/>
          </w:tcPr>
          <w:p w:rsidR="00A84A3D" w:rsidRDefault="00F219C6" w:rsidP="00F70549">
            <w:pPr>
              <w:spacing w:after="120" w:line="314" w:lineRule="exact"/>
              <w:ind w:right="28"/>
              <w:jc w:val="right"/>
            </w:pPr>
            <w:r>
              <w:t>1</w:t>
            </w:r>
            <w:r w:rsidR="00F70549">
              <w:t>5</w:t>
            </w:r>
          </w:p>
        </w:tc>
      </w:tr>
      <w:tr w:rsidR="00A84A3D">
        <w:trPr>
          <w:cantSplit/>
        </w:trPr>
        <w:tc>
          <w:tcPr>
            <w:tcW w:w="9369" w:type="dxa"/>
            <w:gridSpan w:val="3"/>
          </w:tcPr>
          <w:p w:rsidR="00A84A3D" w:rsidRDefault="00990D1D" w:rsidP="00F70549">
            <w:pPr>
              <w:numPr>
                <w:ilvl w:val="1"/>
                <w:numId w:val="7"/>
              </w:numPr>
              <w:tabs>
                <w:tab w:val="right" w:pos="1080"/>
                <w:tab w:val="right" w:leader="dot" w:pos="9371"/>
              </w:tabs>
              <w:spacing w:after="120" w:line="314" w:lineRule="exact"/>
            </w:pPr>
            <w:r>
              <w:rPr>
                <w:rFonts w:hint="eastAsia"/>
              </w:rPr>
              <w:t>民法</w:t>
            </w:r>
            <w:r w:rsidR="00B2654A">
              <w:tab/>
            </w:r>
          </w:p>
        </w:tc>
        <w:tc>
          <w:tcPr>
            <w:tcW w:w="533" w:type="dxa"/>
            <w:vAlign w:val="bottom"/>
          </w:tcPr>
          <w:p w:rsidR="00A84A3D" w:rsidRDefault="00F219C6" w:rsidP="00F70549">
            <w:pPr>
              <w:spacing w:after="120" w:line="314" w:lineRule="exact"/>
              <w:ind w:right="28"/>
              <w:jc w:val="right"/>
            </w:pPr>
            <w:r>
              <w:t>1</w:t>
            </w:r>
            <w:r w:rsidR="00F70549">
              <w:t>5</w:t>
            </w:r>
          </w:p>
        </w:tc>
      </w:tr>
      <w:tr w:rsidR="00A84A3D">
        <w:trPr>
          <w:cantSplit/>
        </w:trPr>
        <w:tc>
          <w:tcPr>
            <w:tcW w:w="9369" w:type="dxa"/>
            <w:gridSpan w:val="3"/>
          </w:tcPr>
          <w:p w:rsidR="00A84A3D" w:rsidRDefault="00990D1D" w:rsidP="00F70549">
            <w:pPr>
              <w:numPr>
                <w:ilvl w:val="1"/>
                <w:numId w:val="7"/>
              </w:numPr>
              <w:tabs>
                <w:tab w:val="right" w:pos="1080"/>
                <w:tab w:val="right" w:leader="dot" w:pos="9371"/>
              </w:tabs>
              <w:spacing w:after="120" w:line="314" w:lineRule="exact"/>
            </w:pPr>
            <w:r>
              <w:rPr>
                <w:rFonts w:hint="eastAsia"/>
              </w:rPr>
              <w:t>家事法</w:t>
            </w:r>
            <w:r w:rsidR="00B2654A">
              <w:tab/>
            </w:r>
          </w:p>
        </w:tc>
        <w:tc>
          <w:tcPr>
            <w:tcW w:w="533" w:type="dxa"/>
            <w:vAlign w:val="bottom"/>
          </w:tcPr>
          <w:p w:rsidR="00A84A3D" w:rsidRDefault="00F219C6" w:rsidP="00F70549">
            <w:pPr>
              <w:spacing w:after="120" w:line="314" w:lineRule="exact"/>
              <w:ind w:right="28"/>
              <w:jc w:val="right"/>
            </w:pPr>
            <w:r>
              <w:t>1</w:t>
            </w:r>
            <w:r w:rsidR="00F70549">
              <w:t>6</w:t>
            </w:r>
          </w:p>
        </w:tc>
      </w:tr>
      <w:tr w:rsidR="00A84A3D">
        <w:trPr>
          <w:cantSplit/>
        </w:trPr>
        <w:tc>
          <w:tcPr>
            <w:tcW w:w="9369" w:type="dxa"/>
            <w:gridSpan w:val="3"/>
          </w:tcPr>
          <w:p w:rsidR="00A84A3D" w:rsidRDefault="00990D1D" w:rsidP="00F70549">
            <w:pPr>
              <w:numPr>
                <w:ilvl w:val="1"/>
                <w:numId w:val="7"/>
              </w:numPr>
              <w:tabs>
                <w:tab w:val="right" w:pos="1080"/>
                <w:tab w:val="right" w:leader="dot" w:pos="9371"/>
              </w:tabs>
              <w:spacing w:after="120" w:line="314" w:lineRule="exact"/>
            </w:pPr>
            <w:r>
              <w:rPr>
                <w:rFonts w:hint="eastAsia"/>
              </w:rPr>
              <w:t>刑法</w:t>
            </w:r>
            <w:r w:rsidR="00B2654A">
              <w:tab/>
            </w:r>
          </w:p>
        </w:tc>
        <w:tc>
          <w:tcPr>
            <w:tcW w:w="533" w:type="dxa"/>
            <w:vAlign w:val="bottom"/>
          </w:tcPr>
          <w:p w:rsidR="00A84A3D" w:rsidRDefault="00F219C6" w:rsidP="00F70549">
            <w:pPr>
              <w:spacing w:after="120" w:line="314" w:lineRule="exact"/>
              <w:ind w:right="28"/>
              <w:jc w:val="right"/>
            </w:pPr>
            <w:r>
              <w:t>1</w:t>
            </w:r>
            <w:r w:rsidR="00F70549">
              <w:t>6</w:t>
            </w:r>
          </w:p>
        </w:tc>
      </w:tr>
      <w:tr w:rsidR="00A84A3D">
        <w:trPr>
          <w:cantSplit/>
        </w:trPr>
        <w:tc>
          <w:tcPr>
            <w:tcW w:w="9369" w:type="dxa"/>
            <w:gridSpan w:val="3"/>
          </w:tcPr>
          <w:p w:rsidR="00A84A3D" w:rsidRDefault="00990D1D" w:rsidP="00F70549">
            <w:pPr>
              <w:numPr>
                <w:ilvl w:val="1"/>
                <w:numId w:val="7"/>
              </w:numPr>
              <w:tabs>
                <w:tab w:val="right" w:pos="1080"/>
                <w:tab w:val="right" w:leader="dot" w:pos="9371"/>
              </w:tabs>
              <w:spacing w:after="120" w:line="314" w:lineRule="exact"/>
            </w:pPr>
            <w:r>
              <w:rPr>
                <w:rFonts w:hint="eastAsia"/>
              </w:rPr>
              <w:t>行政法、社会法和劳动法</w:t>
            </w:r>
            <w:r w:rsidR="00B2654A">
              <w:tab/>
            </w:r>
          </w:p>
        </w:tc>
        <w:tc>
          <w:tcPr>
            <w:tcW w:w="533" w:type="dxa"/>
            <w:vAlign w:val="bottom"/>
          </w:tcPr>
          <w:p w:rsidR="00A84A3D" w:rsidRDefault="00F219C6" w:rsidP="00F70549">
            <w:pPr>
              <w:spacing w:after="120" w:line="314" w:lineRule="exact"/>
              <w:ind w:right="28"/>
              <w:jc w:val="right"/>
            </w:pPr>
            <w:r>
              <w:t>1</w:t>
            </w:r>
            <w:r w:rsidR="00F70549">
              <w:t>8</w:t>
            </w:r>
          </w:p>
        </w:tc>
      </w:tr>
      <w:tr w:rsidR="00A84A3D">
        <w:trPr>
          <w:cantSplit/>
        </w:trPr>
        <w:tc>
          <w:tcPr>
            <w:tcW w:w="9369" w:type="dxa"/>
            <w:gridSpan w:val="3"/>
          </w:tcPr>
          <w:p w:rsidR="00A84A3D" w:rsidRDefault="00A84A3D" w:rsidP="00F70549">
            <w:pPr>
              <w:numPr>
                <w:ilvl w:val="0"/>
                <w:numId w:val="7"/>
              </w:numPr>
              <w:tabs>
                <w:tab w:val="right" w:pos="1080"/>
                <w:tab w:val="right" w:leader="dot" w:pos="9371"/>
              </w:tabs>
              <w:spacing w:after="120" w:line="314" w:lineRule="exact"/>
            </w:pPr>
            <w:r>
              <w:rPr>
                <w:rFonts w:hint="eastAsia"/>
              </w:rPr>
              <w:tab/>
            </w:r>
            <w:r w:rsidR="00990D1D">
              <w:rPr>
                <w:rFonts w:hint="eastAsia"/>
              </w:rPr>
              <w:t>关于具体机制的建议</w:t>
            </w:r>
            <w:r w:rsidR="00B2654A">
              <w:tab/>
            </w:r>
          </w:p>
        </w:tc>
        <w:tc>
          <w:tcPr>
            <w:tcW w:w="533" w:type="dxa"/>
            <w:vAlign w:val="bottom"/>
          </w:tcPr>
          <w:p w:rsidR="00A84A3D" w:rsidRDefault="00F219C6" w:rsidP="00F70549">
            <w:pPr>
              <w:spacing w:after="120" w:line="314" w:lineRule="exact"/>
              <w:ind w:right="28"/>
              <w:jc w:val="right"/>
            </w:pPr>
            <w:r>
              <w:t>1</w:t>
            </w:r>
            <w:r w:rsidR="00F70549">
              <w:t>9</w:t>
            </w:r>
          </w:p>
        </w:tc>
      </w:tr>
      <w:tr w:rsidR="00A84A3D">
        <w:trPr>
          <w:cantSplit/>
        </w:trPr>
        <w:tc>
          <w:tcPr>
            <w:tcW w:w="9369" w:type="dxa"/>
            <w:gridSpan w:val="3"/>
          </w:tcPr>
          <w:p w:rsidR="00A84A3D" w:rsidRDefault="00990D1D" w:rsidP="00F70549">
            <w:pPr>
              <w:numPr>
                <w:ilvl w:val="1"/>
                <w:numId w:val="7"/>
              </w:numPr>
              <w:tabs>
                <w:tab w:val="right" w:pos="1080"/>
                <w:tab w:val="right" w:leader="dot" w:pos="9371"/>
              </w:tabs>
              <w:spacing w:after="120" w:line="314" w:lineRule="exact"/>
            </w:pPr>
            <w:r>
              <w:rPr>
                <w:rFonts w:hint="eastAsia"/>
              </w:rPr>
              <w:t>专门司法</w:t>
            </w:r>
            <w:r>
              <w:t>/</w:t>
            </w:r>
            <w:r>
              <w:rPr>
                <w:rFonts w:hint="eastAsia"/>
              </w:rPr>
              <w:t>准司法系统与国际</w:t>
            </w:r>
            <w:r>
              <w:t>/</w:t>
            </w:r>
            <w:r>
              <w:rPr>
                <w:rFonts w:hint="eastAsia"/>
              </w:rPr>
              <w:t>区域司法系统</w:t>
            </w:r>
            <w:r w:rsidR="00B2654A">
              <w:tab/>
            </w:r>
          </w:p>
        </w:tc>
        <w:tc>
          <w:tcPr>
            <w:tcW w:w="533" w:type="dxa"/>
            <w:vAlign w:val="bottom"/>
          </w:tcPr>
          <w:p w:rsidR="00A84A3D" w:rsidRDefault="00F219C6" w:rsidP="00F70549">
            <w:pPr>
              <w:spacing w:after="120" w:line="314" w:lineRule="exact"/>
              <w:ind w:right="28"/>
              <w:jc w:val="right"/>
            </w:pPr>
            <w:r>
              <w:t>1</w:t>
            </w:r>
            <w:r w:rsidR="00F70549">
              <w:t>9</w:t>
            </w:r>
          </w:p>
        </w:tc>
      </w:tr>
      <w:tr w:rsidR="00A84A3D">
        <w:trPr>
          <w:cantSplit/>
        </w:trPr>
        <w:tc>
          <w:tcPr>
            <w:tcW w:w="9369" w:type="dxa"/>
            <w:gridSpan w:val="3"/>
          </w:tcPr>
          <w:p w:rsidR="00A84A3D" w:rsidRDefault="00990D1D" w:rsidP="00B1692D">
            <w:pPr>
              <w:numPr>
                <w:ilvl w:val="1"/>
                <w:numId w:val="7"/>
              </w:numPr>
              <w:tabs>
                <w:tab w:val="right" w:pos="1080"/>
                <w:tab w:val="right" w:leader="dot" w:pos="9371"/>
              </w:tabs>
              <w:spacing w:after="120"/>
            </w:pPr>
            <w:r>
              <w:rPr>
                <w:rFonts w:hint="eastAsia"/>
              </w:rPr>
              <w:lastRenderedPageBreak/>
              <w:t>替代性争端解决程序</w:t>
            </w:r>
            <w:r w:rsidR="00B2654A">
              <w:tab/>
            </w:r>
          </w:p>
        </w:tc>
        <w:tc>
          <w:tcPr>
            <w:tcW w:w="533" w:type="dxa"/>
            <w:vAlign w:val="bottom"/>
          </w:tcPr>
          <w:p w:rsidR="00A84A3D" w:rsidRDefault="00F219C6" w:rsidP="00F70549">
            <w:pPr>
              <w:spacing w:after="120"/>
              <w:ind w:right="28"/>
              <w:jc w:val="right"/>
            </w:pPr>
            <w:r>
              <w:t>1</w:t>
            </w:r>
            <w:r w:rsidR="00F70549">
              <w:t>9</w:t>
            </w:r>
          </w:p>
        </w:tc>
      </w:tr>
      <w:tr w:rsidR="00A84A3D">
        <w:trPr>
          <w:cantSplit/>
        </w:trPr>
        <w:tc>
          <w:tcPr>
            <w:tcW w:w="9369" w:type="dxa"/>
            <w:gridSpan w:val="3"/>
          </w:tcPr>
          <w:p w:rsidR="00A84A3D" w:rsidRDefault="00990D1D" w:rsidP="00B1692D">
            <w:pPr>
              <w:numPr>
                <w:ilvl w:val="1"/>
                <w:numId w:val="7"/>
              </w:numPr>
              <w:tabs>
                <w:tab w:val="right" w:pos="1080"/>
                <w:tab w:val="right" w:leader="dot" w:pos="9371"/>
              </w:tabs>
              <w:spacing w:after="120"/>
            </w:pPr>
            <w:r>
              <w:rPr>
                <w:rFonts w:hint="eastAsia"/>
              </w:rPr>
              <w:t>国家人权机构和监察员办公室</w:t>
            </w:r>
            <w:r w:rsidR="00B2654A">
              <w:tab/>
            </w:r>
          </w:p>
        </w:tc>
        <w:tc>
          <w:tcPr>
            <w:tcW w:w="533" w:type="dxa"/>
            <w:vAlign w:val="bottom"/>
          </w:tcPr>
          <w:p w:rsidR="00A84A3D" w:rsidRDefault="00F70549" w:rsidP="00B1692D">
            <w:pPr>
              <w:spacing w:after="120"/>
              <w:ind w:right="28"/>
              <w:jc w:val="right"/>
            </w:pPr>
            <w:r>
              <w:t>20</w:t>
            </w:r>
          </w:p>
        </w:tc>
      </w:tr>
      <w:tr w:rsidR="00A84A3D">
        <w:trPr>
          <w:cantSplit/>
        </w:trPr>
        <w:tc>
          <w:tcPr>
            <w:tcW w:w="9369" w:type="dxa"/>
            <w:gridSpan w:val="3"/>
          </w:tcPr>
          <w:p w:rsidR="00A84A3D" w:rsidRDefault="00990D1D" w:rsidP="00B1692D">
            <w:pPr>
              <w:numPr>
                <w:ilvl w:val="1"/>
                <w:numId w:val="7"/>
              </w:numPr>
              <w:tabs>
                <w:tab w:val="right" w:pos="1080"/>
                <w:tab w:val="right" w:leader="dot" w:pos="9371"/>
              </w:tabs>
              <w:spacing w:after="120"/>
            </w:pPr>
            <w:r>
              <w:rPr>
                <w:rFonts w:hint="eastAsia"/>
              </w:rPr>
              <w:t>多元司法系统</w:t>
            </w:r>
            <w:r w:rsidR="00B2654A">
              <w:tab/>
            </w:r>
          </w:p>
        </w:tc>
        <w:tc>
          <w:tcPr>
            <w:tcW w:w="533" w:type="dxa"/>
            <w:vAlign w:val="bottom"/>
          </w:tcPr>
          <w:p w:rsidR="00A84A3D" w:rsidRDefault="00F70549" w:rsidP="00B1692D">
            <w:pPr>
              <w:spacing w:after="120"/>
              <w:ind w:right="28"/>
              <w:jc w:val="right"/>
            </w:pPr>
            <w:r>
              <w:t>20</w:t>
            </w:r>
          </w:p>
        </w:tc>
      </w:tr>
      <w:tr w:rsidR="00A84A3D">
        <w:trPr>
          <w:cantSplit/>
        </w:trPr>
        <w:tc>
          <w:tcPr>
            <w:tcW w:w="9369" w:type="dxa"/>
            <w:gridSpan w:val="3"/>
          </w:tcPr>
          <w:p w:rsidR="00A84A3D" w:rsidRDefault="00A84A3D" w:rsidP="00B1692D">
            <w:pPr>
              <w:numPr>
                <w:ilvl w:val="0"/>
                <w:numId w:val="7"/>
              </w:numPr>
              <w:tabs>
                <w:tab w:val="right" w:pos="1080"/>
                <w:tab w:val="right" w:leader="dot" w:pos="9371"/>
              </w:tabs>
              <w:spacing w:after="120"/>
            </w:pPr>
            <w:r>
              <w:tab/>
            </w:r>
            <w:r w:rsidR="00990D1D">
              <w:rPr>
                <w:rFonts w:hint="eastAsia"/>
              </w:rPr>
              <w:t>撤回对《公约》的保留</w:t>
            </w:r>
            <w:r w:rsidR="00B2654A">
              <w:tab/>
            </w:r>
          </w:p>
        </w:tc>
        <w:tc>
          <w:tcPr>
            <w:tcW w:w="533" w:type="dxa"/>
            <w:vAlign w:val="bottom"/>
          </w:tcPr>
          <w:p w:rsidR="00A84A3D" w:rsidRDefault="00F219C6" w:rsidP="00F70549">
            <w:pPr>
              <w:spacing w:after="120"/>
              <w:ind w:right="28"/>
              <w:jc w:val="right"/>
            </w:pPr>
            <w:r>
              <w:t>2</w:t>
            </w:r>
            <w:r w:rsidR="00F70549">
              <w:t>1</w:t>
            </w:r>
          </w:p>
        </w:tc>
      </w:tr>
      <w:tr w:rsidR="00A84A3D">
        <w:trPr>
          <w:cantSplit/>
        </w:trPr>
        <w:tc>
          <w:tcPr>
            <w:tcW w:w="9369" w:type="dxa"/>
            <w:gridSpan w:val="3"/>
          </w:tcPr>
          <w:p w:rsidR="00A84A3D" w:rsidRDefault="00A84A3D" w:rsidP="00B1692D">
            <w:pPr>
              <w:numPr>
                <w:ilvl w:val="0"/>
                <w:numId w:val="7"/>
              </w:numPr>
              <w:tabs>
                <w:tab w:val="right" w:pos="1080"/>
                <w:tab w:val="right" w:leader="dot" w:pos="9371"/>
              </w:tabs>
              <w:spacing w:after="120"/>
            </w:pPr>
            <w:r>
              <w:rPr>
                <w:rFonts w:hint="eastAsia"/>
              </w:rPr>
              <w:tab/>
            </w:r>
            <w:r w:rsidR="00990D1D">
              <w:rPr>
                <w:rFonts w:hint="eastAsia"/>
              </w:rPr>
              <w:t>《公约任择议定书》的批准</w:t>
            </w:r>
            <w:r w:rsidR="00B2654A">
              <w:tab/>
            </w:r>
          </w:p>
        </w:tc>
        <w:tc>
          <w:tcPr>
            <w:tcW w:w="533" w:type="dxa"/>
            <w:vAlign w:val="bottom"/>
          </w:tcPr>
          <w:p w:rsidR="00A84A3D" w:rsidRDefault="00F219C6" w:rsidP="00F70549">
            <w:pPr>
              <w:spacing w:after="120"/>
              <w:ind w:right="28"/>
              <w:jc w:val="right"/>
            </w:pPr>
            <w:r>
              <w:t>2</w:t>
            </w:r>
            <w:r w:rsidR="00F70549">
              <w:t>2</w:t>
            </w:r>
          </w:p>
        </w:tc>
      </w:tr>
    </w:tbl>
    <w:p w:rsidR="00B1692D" w:rsidRDefault="00B1692D" w:rsidP="00A84A3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br w:type="page"/>
      </w:r>
    </w:p>
    <w:p w:rsidR="00A84A3D" w:rsidRDefault="00A84A3D" w:rsidP="00A84A3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rPr>
          <w:rFonts w:hint="eastAsia"/>
        </w:rPr>
        <w:t>一．</w:t>
      </w:r>
      <w:r>
        <w:rPr>
          <w:rFonts w:hint="eastAsia"/>
        </w:rPr>
        <w:tab/>
        <w:t>导言和范围</w:t>
      </w:r>
    </w:p>
    <w:p w:rsidR="00A84A3D" w:rsidRPr="00A84A3D" w:rsidRDefault="00A84A3D" w:rsidP="00A84A3D">
      <w:pPr>
        <w:pStyle w:val="SingleTxt"/>
        <w:spacing w:after="0" w:line="120" w:lineRule="exact"/>
        <w:rPr>
          <w:sz w:val="10"/>
        </w:rPr>
      </w:pPr>
    </w:p>
    <w:p w:rsidR="00A84A3D" w:rsidRPr="00A84A3D" w:rsidRDefault="00A84A3D" w:rsidP="00A84A3D">
      <w:pPr>
        <w:pStyle w:val="SingleTxt"/>
        <w:spacing w:after="0" w:line="120" w:lineRule="exact"/>
        <w:rPr>
          <w:sz w:val="10"/>
        </w:rPr>
      </w:pPr>
    </w:p>
    <w:p w:rsidR="00A84A3D" w:rsidRDefault="00A84A3D" w:rsidP="00A84A3D">
      <w:pPr>
        <w:pStyle w:val="SingleTxt"/>
      </w:pPr>
      <w:r>
        <w:rPr>
          <w:rFonts w:hint="eastAsia"/>
        </w:rPr>
        <w:t>1.</w:t>
      </w:r>
      <w:r>
        <w:rPr>
          <w:rFonts w:hint="eastAsia"/>
        </w:rPr>
        <w:tab/>
      </w:r>
      <w:r>
        <w:rPr>
          <w:rFonts w:hint="eastAsia"/>
        </w:rPr>
        <w:t>妇女的司法救助权对实现《消除对妇女一切形式歧视公约》所保护的一切权利至关重要。司法救助权及下列各项元素是法治和善治的基本要素：司法机关的独立性、公正性、完整性和公信力；打击有罪不罚和贪腐的行动；以及妇女平等参与司法和其他法律执行机制。司法救助权有多个维度。其中包括可诉性、可得性、可及性、优良素质、向受害人提供补救措施和司法系统的问责制。为本一般性建议的目的，除非另有具体说明，“妇女”一词应理解为包括妇女和女童。</w:t>
      </w:r>
    </w:p>
    <w:p w:rsidR="00A84A3D" w:rsidRDefault="00A84A3D" w:rsidP="00A84A3D">
      <w:pPr>
        <w:pStyle w:val="SingleTxt"/>
      </w:pPr>
      <w:r>
        <w:rPr>
          <w:rFonts w:hint="eastAsia"/>
        </w:rPr>
        <w:t>2.</w:t>
      </w:r>
      <w:r>
        <w:rPr>
          <w:rFonts w:hint="eastAsia"/>
        </w:rPr>
        <w:tab/>
      </w:r>
      <w:r>
        <w:rPr>
          <w:rFonts w:hint="eastAsia"/>
        </w:rPr>
        <w:t>委员会在本一般性建议中审查缔约国确保妇女获得司法救助的义务。这些义务包括保护妇女不受任何形式歧视的权利，目的是增强妇女作为个人和作为权利持有人的权能。有效的司法救助可充分发挥法律的潜力，解放思想，推动变革。</w:t>
      </w:r>
    </w:p>
    <w:p w:rsidR="00A84A3D" w:rsidRDefault="00A84A3D" w:rsidP="00A84A3D">
      <w:pPr>
        <w:pStyle w:val="SingleTxt"/>
      </w:pPr>
      <w:r>
        <w:rPr>
          <w:rFonts w:hint="eastAsia"/>
        </w:rPr>
        <w:t>3.</w:t>
      </w:r>
      <w:r>
        <w:rPr>
          <w:rFonts w:hint="eastAsia"/>
        </w:rPr>
        <w:tab/>
      </w:r>
      <w:r>
        <w:rPr>
          <w:rFonts w:hint="eastAsia"/>
        </w:rPr>
        <w:t>在实践中，委员会注意到一些妨碍妇女在平等基础上实现其司法救助权的障碍和限制，包括缔约国未能在司法救助的各个方面提供有效的管辖权保护。这些障碍是在歧视和不平等的结构性背景下出现的，成因包括性别陈规定型观念、歧视性法律、交叉或复合歧视、程序和举证的规定和实践，以及无法在物质、经济、社会和文化方面有系统地确保所有妇女能够利用各种司法机制。所有这些障碍构成对妇女人权的持续侵犯。</w:t>
      </w:r>
    </w:p>
    <w:p w:rsidR="00A84A3D" w:rsidRDefault="00A84A3D" w:rsidP="00A84A3D">
      <w:pPr>
        <w:pStyle w:val="SingleTxt"/>
      </w:pPr>
      <w:r>
        <w:rPr>
          <w:rFonts w:hint="eastAsia"/>
        </w:rPr>
        <w:t>4.</w:t>
      </w:r>
      <w:r>
        <w:rPr>
          <w:rFonts w:hint="eastAsia"/>
        </w:rPr>
        <w:tab/>
      </w:r>
      <w:r>
        <w:rPr>
          <w:rFonts w:hint="eastAsia"/>
        </w:rPr>
        <w:t>本一般性建议的范围涵盖各级司法系统</w:t>
      </w:r>
      <w:r>
        <w:rPr>
          <w:rFonts w:hint="eastAsia"/>
        </w:rPr>
        <w:t>(</w:t>
      </w:r>
      <w:r>
        <w:rPr>
          <w:rFonts w:hint="eastAsia"/>
        </w:rPr>
        <w:t>包括专门和准司法机制</w:t>
      </w:r>
      <w:r>
        <w:rPr>
          <w:rFonts w:hint="eastAsia"/>
        </w:rPr>
        <w:t>)</w:t>
      </w:r>
      <w:r>
        <w:rPr>
          <w:rFonts w:hint="eastAsia"/>
        </w:rPr>
        <w:t>内妇女司法的程序和质量。准司法机制包括公共行政机构或机关采取的一切类似司法机关所采取的行动；这些行动具有法律效力，并可能影响法律权利、责任和特权。</w:t>
      </w:r>
    </w:p>
    <w:p w:rsidR="00A84A3D" w:rsidRDefault="00A84A3D" w:rsidP="00A84A3D">
      <w:pPr>
        <w:pStyle w:val="SingleTxt"/>
      </w:pPr>
      <w:r>
        <w:rPr>
          <w:rFonts w:hint="eastAsia"/>
        </w:rPr>
        <w:t>5.</w:t>
      </w:r>
      <w:r>
        <w:rPr>
          <w:rFonts w:hint="eastAsia"/>
        </w:rPr>
        <w:tab/>
      </w:r>
      <w:r>
        <w:rPr>
          <w:rFonts w:hint="eastAsia"/>
        </w:rPr>
        <w:t>司法救助权的范围也涵盖多元司法系统。“多元司法系统”一词系指在一缔约国内，国家法律、法规、程序和决定与宗教、习惯、土著或社群法律和实践并存。因此，多元司法系统有多个法律渊源，不论其为正式或非正式法源，还是国家、非国家或混合法源，妇女在寻求行使其司法救助权时都可能遇到。宗教、习惯、土著和社群司法系统在本一般性建议中称为传统司法系统，可能得到国家的正式认可，在国家默许下以明确地位或以不具任何明确地位的方式运作，或在国家监管框架之外运作。</w:t>
      </w:r>
    </w:p>
    <w:p w:rsidR="00A84A3D" w:rsidRDefault="00A84A3D" w:rsidP="00A84A3D">
      <w:pPr>
        <w:pStyle w:val="SingleTxt"/>
      </w:pPr>
      <w:r>
        <w:rPr>
          <w:rFonts w:hint="eastAsia"/>
        </w:rPr>
        <w:t>6.</w:t>
      </w:r>
      <w:r>
        <w:rPr>
          <w:rFonts w:hint="eastAsia"/>
        </w:rPr>
        <w:tab/>
      </w:r>
      <w:r>
        <w:rPr>
          <w:rFonts w:hint="eastAsia"/>
        </w:rPr>
        <w:t>国际和区域人权条约与宣言和多数国家宪法均载有关于保证法律面前性和</w:t>
      </w:r>
      <w:r>
        <w:rPr>
          <w:rFonts w:hint="eastAsia"/>
        </w:rPr>
        <w:t>/</w:t>
      </w:r>
      <w:r>
        <w:rPr>
          <w:rFonts w:hint="eastAsia"/>
        </w:rPr>
        <w:t>或性别平等的规定及确保人人都享有法律平等保护的义务。</w:t>
      </w:r>
      <w:r>
        <w:rPr>
          <w:rStyle w:val="a3"/>
        </w:rPr>
        <w:footnoteReference w:id="1"/>
      </w:r>
      <w:r>
        <w:rPr>
          <w:rFonts w:hint="eastAsia"/>
        </w:rPr>
        <w:t xml:space="preserve"> </w:t>
      </w:r>
      <w:r>
        <w:rPr>
          <w:rFonts w:hint="eastAsia"/>
        </w:rPr>
        <w:t>《公约》第十五条规定，男女在法律面前应享有平等地位，同样享有法律的平等保护。第二条规定，缔约国必须采取一切适当措施，以保证男女在生活的各个领域享有实质平等，包括通过建立国家主管法庭及其他公共机构，以确保切实保护妇女不受任何歧视。委员会关于缔约国在《公约》第二条之下的核心义务的第</w:t>
      </w:r>
      <w:r>
        <w:rPr>
          <w:rFonts w:hint="eastAsia"/>
        </w:rPr>
        <w:t>28</w:t>
      </w:r>
      <w:r>
        <w:rPr>
          <w:rFonts w:hint="eastAsia"/>
        </w:rPr>
        <w:t>号一般性建议进一步阐明了该项规定的内容和范围。第三条提到应当采取适当措施，确保妇女能够在与男子平等的基础上，行使和享有自己的人权和基本自由。</w:t>
      </w:r>
    </w:p>
    <w:p w:rsidR="00A84A3D" w:rsidRDefault="00A84A3D" w:rsidP="00A84A3D">
      <w:pPr>
        <w:pStyle w:val="SingleTxt"/>
      </w:pPr>
      <w:r>
        <w:rPr>
          <w:rFonts w:hint="eastAsia"/>
        </w:rPr>
        <w:t>7.</w:t>
      </w:r>
      <w:r>
        <w:rPr>
          <w:rFonts w:hint="eastAsia"/>
        </w:rPr>
        <w:tab/>
      </w:r>
      <w:r>
        <w:rPr>
          <w:rFonts w:hint="eastAsia"/>
        </w:rPr>
        <w:t>妇女可能因其性别而受到歧视。性别一词是指社会构建的男女身份、属性和角色及社会对男女生理差异赋予的文化含义，常见于司法系统及其机构。《公约》第五条</w:t>
      </w:r>
      <w:r>
        <w:rPr>
          <w:rFonts w:hint="eastAsia"/>
        </w:rPr>
        <w:t>(a)</w:t>
      </w:r>
      <w:r>
        <w:rPr>
          <w:rFonts w:hint="eastAsia"/>
        </w:rPr>
        <w:t>项规定，缔约国有义务查明并扫除使妇女无法行使和主张自己的权利及妨碍她们获得有效补救措施的基本社会和文化障碍，其中包括性别陈规定型观念。</w:t>
      </w:r>
    </w:p>
    <w:p w:rsidR="00A84A3D" w:rsidRDefault="00A84A3D" w:rsidP="00A84A3D">
      <w:pPr>
        <w:pStyle w:val="SingleTxt"/>
      </w:pPr>
      <w:r>
        <w:rPr>
          <w:rFonts w:hint="eastAsia"/>
        </w:rPr>
        <w:t>8.</w:t>
      </w:r>
      <w:r>
        <w:rPr>
          <w:rFonts w:hint="eastAsia"/>
        </w:rPr>
        <w:tab/>
      </w:r>
      <w:r>
        <w:rPr>
          <w:rFonts w:hint="eastAsia"/>
        </w:rPr>
        <w:t>基于性别陈规定型观念、污蔑、有害和重男轻女的文化规范而对妇女实行的歧视，以及妇女受害尤深的性别暴力，都对妇女在与男子平等的基础上获得司法救助的能力产生不利的影响。此外，针对妇女的歧视因若干交叉因素而更为严重；这些因素对某些妇女产生的影响在程度或形式上不同于男子和其他妇女所受的影响。交叉或复合歧视的理据可能包括族裔</w:t>
      </w:r>
      <w:r>
        <w:rPr>
          <w:rFonts w:hint="eastAsia"/>
        </w:rPr>
        <w:t>/</w:t>
      </w:r>
      <w:r>
        <w:rPr>
          <w:rFonts w:hint="eastAsia"/>
        </w:rPr>
        <w:t>种族、土著或少数人身份、肤色、社会经济地位和</w:t>
      </w:r>
      <w:r>
        <w:rPr>
          <w:rFonts w:hint="eastAsia"/>
        </w:rPr>
        <w:t>/</w:t>
      </w:r>
      <w:r>
        <w:rPr>
          <w:rFonts w:hint="eastAsia"/>
        </w:rPr>
        <w:t>或种姓、语言、宗教或信仰、政治见解、民族本源、婚姻和</w:t>
      </w:r>
      <w:r>
        <w:rPr>
          <w:rFonts w:hint="eastAsia"/>
        </w:rPr>
        <w:t>/</w:t>
      </w:r>
      <w:r>
        <w:rPr>
          <w:rFonts w:hint="eastAsia"/>
        </w:rPr>
        <w:t>或生育状况、年龄、城乡位置、健康状况、残疾、财产业权，以及女同性恋者、女双性恋者、变性妇女或两性人的身份。这些交叉因素使这些群体的妇女更难以获得司法救助。</w:t>
      </w:r>
      <w:r>
        <w:rPr>
          <w:rStyle w:val="a3"/>
        </w:rPr>
        <w:footnoteReference w:id="2"/>
      </w:r>
      <w:r>
        <w:rPr>
          <w:rFonts w:hint="eastAsia"/>
        </w:rPr>
        <w:t xml:space="preserve"> </w:t>
      </w:r>
    </w:p>
    <w:p w:rsidR="00A84A3D" w:rsidRDefault="00A84A3D" w:rsidP="00A84A3D">
      <w:pPr>
        <w:pStyle w:val="SingleTxt"/>
      </w:pPr>
      <w:r>
        <w:rPr>
          <w:rFonts w:hint="eastAsia"/>
        </w:rPr>
        <w:t>9.</w:t>
      </w:r>
      <w:r>
        <w:rPr>
          <w:rFonts w:hint="eastAsia"/>
        </w:rPr>
        <w:tab/>
      </w:r>
      <w:r>
        <w:rPr>
          <w:rFonts w:hint="eastAsia"/>
        </w:rPr>
        <w:t>使妇女特别难以获得司法救助的其他因素还包括：文盲、人口贩运、武装冲突、寻求庇护者身份、境内流离失所、无国籍、移徙、女户主、丧偶、艾滋病毒感染、自由被剥夺、卖淫刑罪化、地理位置偏远，争取自身权利的妇女被污蔑。必须强调的是，人权维护者和组织经常因其维权工作而受到打击，他们自己获得司法救助的权利应当受到保护。</w:t>
      </w:r>
    </w:p>
    <w:p w:rsidR="00A84A3D" w:rsidRDefault="00A84A3D" w:rsidP="00A84A3D">
      <w:pPr>
        <w:pStyle w:val="SingleTxt"/>
      </w:pPr>
      <w:r>
        <w:rPr>
          <w:rFonts w:hint="eastAsia"/>
        </w:rPr>
        <w:t>10.</w:t>
      </w:r>
      <w:r>
        <w:rPr>
          <w:rFonts w:hint="eastAsia"/>
        </w:rPr>
        <w:tab/>
      </w:r>
      <w:r>
        <w:rPr>
          <w:rFonts w:hint="eastAsia"/>
        </w:rPr>
        <w:t>委员会掌握大量实例，说明交叉歧视对某些妇女群体获得司法救助造成的负面影响，包括无法获得有效补救。由于恐怕被羞辱、污蔑、逮捕、驱逐出境，遭受酷刑或其他形式的暴力行为，包括执法人员的所作所为，属于这些群体的妇女往往不会向当局举报侵犯其权利的行为。委员会还注意到，在这些群体的妇女提出申诉时，当局经常不尽职尽责采取行动，调查、起诉和惩处行为人和</w:t>
      </w:r>
      <w:r>
        <w:rPr>
          <w:rFonts w:hint="eastAsia"/>
        </w:rPr>
        <w:t>/</w:t>
      </w:r>
      <w:r>
        <w:rPr>
          <w:rFonts w:hint="eastAsia"/>
        </w:rPr>
        <w:t>或提供补救措施。</w:t>
      </w:r>
      <w:r w:rsidR="000F4B74">
        <w:rPr>
          <w:rStyle w:val="a3"/>
        </w:rPr>
        <w:footnoteReference w:id="3"/>
      </w:r>
      <w:r>
        <w:rPr>
          <w:rFonts w:hint="eastAsia"/>
        </w:rPr>
        <w:t xml:space="preserve"> </w:t>
      </w:r>
    </w:p>
    <w:p w:rsidR="00A84A3D" w:rsidRDefault="00A84A3D" w:rsidP="00A84A3D">
      <w:pPr>
        <w:pStyle w:val="SingleTxt"/>
      </w:pPr>
      <w:r>
        <w:rPr>
          <w:rFonts w:hint="eastAsia"/>
        </w:rPr>
        <w:t>11.</w:t>
      </w:r>
      <w:r>
        <w:rPr>
          <w:rFonts w:hint="eastAsia"/>
        </w:rPr>
        <w:tab/>
      </w:r>
      <w:r>
        <w:rPr>
          <w:rFonts w:hint="eastAsia"/>
        </w:rPr>
        <w:t>除了《公约》第二条</w:t>
      </w:r>
      <w:r>
        <w:rPr>
          <w:rFonts w:hint="eastAsia"/>
        </w:rPr>
        <w:t>(c)</w:t>
      </w:r>
      <w:r>
        <w:rPr>
          <w:rFonts w:hint="eastAsia"/>
        </w:rPr>
        <w:t>项、第三条、第五条</w:t>
      </w:r>
      <w:r>
        <w:rPr>
          <w:rFonts w:hint="eastAsia"/>
        </w:rPr>
        <w:t>(a)</w:t>
      </w:r>
      <w:r>
        <w:rPr>
          <w:rFonts w:hint="eastAsia"/>
        </w:rPr>
        <w:t>项和第十五条，缔约国还负有条约规定的其他义务，必须确保所有妇女都有机会获得教育和信息，了解其权利和可用的补救措施及如何利用这些措施，有机会利用对性别敏感的主管争端解决机制，以及有平等机会获得有效和及时的补救。</w:t>
      </w:r>
      <w:r w:rsidR="000F4B74">
        <w:rPr>
          <w:rStyle w:val="a3"/>
        </w:rPr>
        <w:footnoteReference w:id="4"/>
      </w:r>
      <w:r>
        <w:rPr>
          <w:rFonts w:hint="eastAsia"/>
        </w:rPr>
        <w:t xml:space="preserve"> </w:t>
      </w:r>
    </w:p>
    <w:p w:rsidR="00A84A3D" w:rsidRDefault="00A84A3D" w:rsidP="00A84A3D">
      <w:pPr>
        <w:pStyle w:val="SingleTxt"/>
      </w:pPr>
      <w:r>
        <w:rPr>
          <w:rFonts w:hint="eastAsia"/>
        </w:rPr>
        <w:t>12.</w:t>
      </w:r>
      <w:r>
        <w:rPr>
          <w:rFonts w:hint="eastAsia"/>
        </w:rPr>
        <w:tab/>
      </w:r>
      <w:r>
        <w:rPr>
          <w:rFonts w:hint="eastAsia"/>
        </w:rPr>
        <w:t>关于为克服妇女在获得司法救助方面遇到的障碍而需采取的步骤，委员会根据其审议缔约国报告时所汲取的经验、对个人来文的分析及按照《公约任择议定书》规定进行的调查提出了意见和建议。此外，委员会还参考了其他联合国人权机制、国家人权机构、包括社群妇女协会在内的民间社会组织和学术研究人员有关司法救助的工作。</w:t>
      </w:r>
    </w:p>
    <w:p w:rsidR="00452D74" w:rsidRPr="00452D74" w:rsidRDefault="00452D74" w:rsidP="00452D7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84A3D" w:rsidRDefault="00077354" w:rsidP="000773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二.</w:t>
      </w:r>
      <w:r w:rsidR="00A84A3D">
        <w:rPr>
          <w:rFonts w:hint="eastAsia"/>
        </w:rPr>
        <w:tab/>
        <w:t>关于妇女司法救助的一般性问题和建议</w:t>
      </w:r>
    </w:p>
    <w:p w:rsidR="00077354" w:rsidRPr="00077354" w:rsidRDefault="00077354" w:rsidP="00077354">
      <w:pPr>
        <w:pStyle w:val="SingleTxt"/>
        <w:spacing w:after="0" w:line="120" w:lineRule="exact"/>
        <w:rPr>
          <w:sz w:val="10"/>
        </w:rPr>
      </w:pPr>
    </w:p>
    <w:p w:rsidR="00077354" w:rsidRPr="00077354" w:rsidRDefault="00077354" w:rsidP="00077354">
      <w:pPr>
        <w:pStyle w:val="SingleTxt"/>
        <w:spacing w:after="0" w:line="120" w:lineRule="exact"/>
        <w:rPr>
          <w:sz w:val="10"/>
        </w:rPr>
      </w:pPr>
    </w:p>
    <w:p w:rsidR="00A84A3D" w:rsidRDefault="00077354" w:rsidP="000773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A.</w:t>
      </w:r>
      <w:r w:rsidR="00A84A3D">
        <w:rPr>
          <w:rFonts w:hint="eastAsia"/>
        </w:rPr>
        <w:tab/>
        <w:t>可诉性、可得性、可及性、优良素质、提供补救措施和司法系统的问责制</w:t>
      </w:r>
    </w:p>
    <w:p w:rsidR="00077354" w:rsidRPr="00077354" w:rsidRDefault="00077354" w:rsidP="00077354">
      <w:pPr>
        <w:pStyle w:val="SingleTxt"/>
        <w:spacing w:after="0" w:line="120" w:lineRule="exact"/>
        <w:rPr>
          <w:sz w:val="10"/>
        </w:rPr>
      </w:pPr>
    </w:p>
    <w:p w:rsidR="00A84A3D" w:rsidRDefault="00A84A3D" w:rsidP="00A84A3D">
      <w:pPr>
        <w:pStyle w:val="SingleTxt"/>
      </w:pPr>
      <w:r>
        <w:rPr>
          <w:rFonts w:hint="eastAsia"/>
        </w:rPr>
        <w:t>13.</w:t>
      </w:r>
      <w:r>
        <w:rPr>
          <w:rFonts w:hint="eastAsia"/>
        </w:rPr>
        <w:tab/>
      </w:r>
      <w:r>
        <w:rPr>
          <w:rFonts w:hint="eastAsia"/>
        </w:rPr>
        <w:t>委员会注意到，妨碍妇女获得司法救助的因素众多，其中包括：法院和准司法机构集中在主要城市而农村和偏远地区则付之阙如、提起诉讼所需的时间和金钱、程序复杂、残疾妇女面对的物质障碍、无法获得了解性别问题的优质法律咨询服务和法律援助，以及常见的司法系统质量欠佳问题</w:t>
      </w:r>
      <w:r>
        <w:rPr>
          <w:rFonts w:hint="eastAsia"/>
        </w:rPr>
        <w:t>(</w:t>
      </w:r>
      <w:r>
        <w:rPr>
          <w:rFonts w:hint="eastAsia"/>
        </w:rPr>
        <w:t>如缺乏培训导致对性别问题不敏感的判决或裁判、诉讼旷日持久、贪腐问题</w:t>
      </w:r>
      <w:r>
        <w:rPr>
          <w:rFonts w:hint="eastAsia"/>
        </w:rPr>
        <w:t>)</w:t>
      </w:r>
      <w:r>
        <w:rPr>
          <w:rFonts w:hint="eastAsia"/>
        </w:rPr>
        <w:t>。</w:t>
      </w:r>
    </w:p>
    <w:p w:rsidR="00A84A3D" w:rsidRDefault="00A84A3D" w:rsidP="00A84A3D">
      <w:pPr>
        <w:pStyle w:val="SingleTxt"/>
      </w:pPr>
      <w:r>
        <w:rPr>
          <w:rFonts w:hint="eastAsia"/>
        </w:rPr>
        <w:t>14.</w:t>
      </w:r>
      <w:r>
        <w:rPr>
          <w:rFonts w:hint="eastAsia"/>
        </w:rPr>
        <w:tab/>
      </w:r>
      <w:r>
        <w:rPr>
          <w:rFonts w:hint="eastAsia"/>
        </w:rPr>
        <w:t>因此，要确保可以获得司法救助，就必须具备六个相互关联的重要元素——可诉性、可得性、可及性、优良素质、向受害人提供补救措施和司法系统的问责制。尽管各国当前法律、社会、文化、政治和经济情况各异，每一个缔约国必须以不同方式在本国内落实上述元素，但这种做法的各项基本要素都具有普遍意义，可以直接适用。故此：</w:t>
      </w:r>
    </w:p>
    <w:p w:rsidR="00A84A3D" w:rsidRDefault="000F4B74" w:rsidP="00A84A3D">
      <w:pPr>
        <w:pStyle w:val="SingleTxt"/>
      </w:pPr>
      <w:r>
        <w:rPr>
          <w:rFonts w:hint="eastAsia"/>
        </w:rPr>
        <w:tab/>
      </w:r>
      <w:r w:rsidR="00A84A3D">
        <w:rPr>
          <w:rFonts w:hint="eastAsia"/>
        </w:rPr>
        <w:t>(a)</w:t>
      </w:r>
      <w:r>
        <w:rPr>
          <w:rFonts w:hint="eastAsia"/>
        </w:rPr>
        <w:tab/>
      </w:r>
      <w:r w:rsidR="00A84A3D">
        <w:rPr>
          <w:rFonts w:hint="eastAsia"/>
        </w:rPr>
        <w:t>可诉性的要求是，妇女可无阻地获得司法救助，有能力并获得赋权，能够根据《公约》主张其权利为应享法定权利；</w:t>
      </w:r>
    </w:p>
    <w:p w:rsidR="00A84A3D" w:rsidRDefault="000F4B74" w:rsidP="00A84A3D">
      <w:pPr>
        <w:pStyle w:val="SingleTxt"/>
      </w:pPr>
      <w:r>
        <w:rPr>
          <w:rFonts w:hint="eastAsia"/>
        </w:rPr>
        <w:tab/>
      </w:r>
      <w:r w:rsidR="00A84A3D">
        <w:rPr>
          <w:rFonts w:hint="eastAsia"/>
        </w:rPr>
        <w:t>(b)</w:t>
      </w:r>
      <w:r>
        <w:rPr>
          <w:rFonts w:hint="eastAsia"/>
        </w:rPr>
        <w:tab/>
      </w:r>
      <w:r w:rsidR="00A84A3D">
        <w:rPr>
          <w:rFonts w:hint="eastAsia"/>
        </w:rPr>
        <w:t>可得性的要求是，缔约国在全国各地的城市、农村和偏远地区建立和维持法院、准司法机构或其他机构，并提供所需资金；</w:t>
      </w:r>
    </w:p>
    <w:p w:rsidR="00A84A3D" w:rsidRDefault="000F4B74" w:rsidP="00A84A3D">
      <w:pPr>
        <w:pStyle w:val="SingleTxt"/>
      </w:pPr>
      <w:r>
        <w:rPr>
          <w:rFonts w:hint="eastAsia"/>
        </w:rPr>
        <w:tab/>
      </w:r>
      <w:r w:rsidR="00A84A3D">
        <w:rPr>
          <w:rFonts w:hint="eastAsia"/>
        </w:rPr>
        <w:t>(c)</w:t>
      </w:r>
      <w:r>
        <w:rPr>
          <w:rFonts w:hint="eastAsia"/>
        </w:rPr>
        <w:tab/>
      </w:r>
      <w:r w:rsidR="00A84A3D">
        <w:rPr>
          <w:rFonts w:hint="eastAsia"/>
        </w:rPr>
        <w:t>可及性的要求是，所有司法系统，包括正式和准司法系统，应具备下列条件：安全；负担得起；妇女可无障碍进出；适应和适合妇女的需要，包括面临交叉或复合形式歧视的妇女的需要；</w:t>
      </w:r>
    </w:p>
    <w:p w:rsidR="00A84A3D" w:rsidRDefault="000F4B74" w:rsidP="00A84A3D">
      <w:pPr>
        <w:pStyle w:val="SingleTxt"/>
      </w:pPr>
      <w:r>
        <w:rPr>
          <w:rFonts w:hint="eastAsia"/>
        </w:rPr>
        <w:tab/>
      </w:r>
      <w:r w:rsidR="00A84A3D">
        <w:rPr>
          <w:rFonts w:hint="eastAsia"/>
        </w:rPr>
        <w:t>(d)</w:t>
      </w:r>
      <w:r>
        <w:rPr>
          <w:rFonts w:hint="eastAsia"/>
        </w:rPr>
        <w:tab/>
      </w:r>
      <w:r w:rsidR="00A84A3D">
        <w:rPr>
          <w:rFonts w:hint="eastAsia"/>
        </w:rPr>
        <w:t>优质司法系统的要求是，系统所有组成部分遵行关于能力、效率、独立性和公正性的国际标准，</w:t>
      </w:r>
      <w:r>
        <w:rPr>
          <w:rStyle w:val="a3"/>
        </w:rPr>
        <w:footnoteReference w:id="5"/>
      </w:r>
      <w:r w:rsidR="00A84A3D">
        <w:rPr>
          <w:rFonts w:hint="eastAsia"/>
        </w:rPr>
        <w:t xml:space="preserve"> </w:t>
      </w:r>
      <w:r w:rsidR="00A84A3D">
        <w:rPr>
          <w:rFonts w:hint="eastAsia"/>
        </w:rPr>
        <w:t>并及时提供和执行适当、有效补救措施，为所有妇女提供可持续的性别敏感争端解决办法。此外，司法系统还必须考虑到具体情况、充满活力、采用参与性办法、愿意采取切实可行的创新措施、对性别问题敏感，并考虑到越来越多妇女诉诸司法的情况；</w:t>
      </w:r>
    </w:p>
    <w:p w:rsidR="00A84A3D" w:rsidRDefault="000F4B74" w:rsidP="00A84A3D">
      <w:pPr>
        <w:pStyle w:val="SingleTxt"/>
      </w:pPr>
      <w:r>
        <w:rPr>
          <w:rFonts w:hint="eastAsia"/>
        </w:rPr>
        <w:tab/>
      </w:r>
      <w:r w:rsidR="00A84A3D">
        <w:rPr>
          <w:rFonts w:hint="eastAsia"/>
        </w:rPr>
        <w:t>(e)</w:t>
      </w:r>
      <w:r>
        <w:rPr>
          <w:rFonts w:hint="eastAsia"/>
        </w:rPr>
        <w:tab/>
      </w:r>
      <w:r w:rsidR="00A84A3D">
        <w:rPr>
          <w:rFonts w:hint="eastAsia"/>
        </w:rPr>
        <w:t>提供补救措施的要求是，司法系统向妇女提供切实的保护并对妇女可能遭受的任何伤害提供有意义的补救</w:t>
      </w:r>
      <w:r w:rsidR="00A84A3D">
        <w:rPr>
          <w:rFonts w:hint="eastAsia"/>
        </w:rPr>
        <w:t>(</w:t>
      </w:r>
      <w:r w:rsidR="00A84A3D">
        <w:rPr>
          <w:rFonts w:hint="eastAsia"/>
        </w:rPr>
        <w:t>见第二条</w:t>
      </w:r>
      <w:r w:rsidR="00A84A3D">
        <w:rPr>
          <w:rFonts w:hint="eastAsia"/>
        </w:rPr>
        <w:t>)</w:t>
      </w:r>
      <w:r w:rsidR="00A84A3D">
        <w:rPr>
          <w:rFonts w:hint="eastAsia"/>
        </w:rPr>
        <w:t>；</w:t>
      </w:r>
    </w:p>
    <w:p w:rsidR="00A84A3D" w:rsidRDefault="000F4B74" w:rsidP="00A84A3D">
      <w:pPr>
        <w:pStyle w:val="SingleTxt"/>
      </w:pPr>
      <w:r>
        <w:rPr>
          <w:rFonts w:hint="eastAsia"/>
        </w:rPr>
        <w:tab/>
      </w:r>
      <w:r w:rsidR="00A84A3D">
        <w:rPr>
          <w:rFonts w:hint="eastAsia"/>
        </w:rPr>
        <w:t>(f)</w:t>
      </w:r>
      <w:r>
        <w:rPr>
          <w:rFonts w:hint="eastAsia"/>
        </w:rPr>
        <w:tab/>
      </w:r>
      <w:r w:rsidR="00A84A3D">
        <w:rPr>
          <w:rFonts w:hint="eastAsia"/>
        </w:rPr>
        <w:t>司法系统的问责制要求进行监测，保证司法系统的运作符合可诉性、可得性、可及性、优良素质和提供补救措施原则。司法系统的问责制度也指监测司法系统专业人员的行动及其应对本人违法行为承担的法律责任。</w:t>
      </w:r>
    </w:p>
    <w:p w:rsidR="00A84A3D" w:rsidRPr="00452D74" w:rsidRDefault="00A84A3D" w:rsidP="00A84A3D">
      <w:pPr>
        <w:pStyle w:val="SingleTxt"/>
        <w:rPr>
          <w:rFonts w:ascii="黑体" w:eastAsia="黑体" w:hAnsi="黑体"/>
        </w:rPr>
      </w:pPr>
      <w:r w:rsidRPr="00452D74">
        <w:rPr>
          <w:rFonts w:ascii="黑体" w:eastAsia="黑体" w:hAnsi="黑体" w:hint="eastAsia"/>
        </w:rPr>
        <w:t>15.</w:t>
      </w:r>
      <w:r w:rsidRPr="00452D74">
        <w:rPr>
          <w:rFonts w:ascii="黑体" w:eastAsia="黑体" w:hAnsi="黑体" w:hint="eastAsia"/>
        </w:rPr>
        <w:tab/>
        <w:t>关于可诉性，委员会建议缔约国：</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确保法律承认并纳入权利和相关法律保护，提高司法系统对性别平等问题的敏感度；</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改善妇女无阻地获得司法救助的机会，从而使妇女能够实现法律上和事实上的平等；</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确保司法系统专业人员以性别敏感的方式办案；</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确保司法机关的独立性、公正性、完整性和公信力及打击有罪不罚现象；</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(e)</w:t>
      </w:r>
      <w:r w:rsidRPr="00452D74">
        <w:rPr>
          <w:rFonts w:ascii="黑体" w:eastAsia="黑体" w:hAnsi="黑体" w:hint="eastAsia"/>
        </w:rPr>
        <w:tab/>
      </w:r>
      <w:r w:rsidR="00A84A3D" w:rsidRPr="00452D74">
        <w:rPr>
          <w:rFonts w:ascii="黑体" w:eastAsia="黑体" w:hAnsi="黑体" w:hint="eastAsia"/>
        </w:rPr>
        <w:t>解决司法系统的贪腐问题，以之作为消除妇女在获得司法救助方面所受歧视的一个要素；</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(f)</w:t>
      </w:r>
      <w:r w:rsidRPr="00452D74">
        <w:rPr>
          <w:rFonts w:ascii="黑体" w:eastAsia="黑体" w:hAnsi="黑体" w:hint="eastAsia"/>
        </w:rPr>
        <w:tab/>
      </w:r>
      <w:r w:rsidR="00A84A3D" w:rsidRPr="00452D74">
        <w:rPr>
          <w:rFonts w:ascii="黑体" w:eastAsia="黑体" w:hAnsi="黑体" w:hint="eastAsia"/>
        </w:rPr>
        <w:t>正视和扫除障碍，使妇女能以专业人员身份参与司法和准司法系统所有机构各级工作和提供各种相关法律服务；并采取步骤，包括暂行特别措施，以确保在司法机关和其他法律执行机制中，担任裁判官、法官、检察官、公设辩护人、律师、行政人员、调解员、执法人员、司法和惩教人员、执业专家，以及其他专业职务的男女人数相当；</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(g)</w:t>
      </w:r>
      <w:r w:rsidRPr="00452D74">
        <w:rPr>
          <w:rFonts w:ascii="黑体" w:eastAsia="黑体" w:hAnsi="黑体" w:hint="eastAsia"/>
        </w:rPr>
        <w:tab/>
      </w:r>
      <w:r w:rsidR="00A84A3D" w:rsidRPr="00452D74">
        <w:rPr>
          <w:rFonts w:ascii="黑体" w:eastAsia="黑体" w:hAnsi="黑体" w:hint="eastAsia"/>
        </w:rPr>
        <w:t>为确保当事方之间的平等，在妇女因权力关系而致使其所涉案件无法获得司法机关公平审理的所有领域，修改举证责任规则；</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(h)</w:t>
      </w:r>
      <w:r w:rsidRPr="00452D74">
        <w:rPr>
          <w:rFonts w:ascii="黑体" w:eastAsia="黑体" w:hAnsi="黑体" w:hint="eastAsia"/>
        </w:rPr>
        <w:tab/>
      </w:r>
      <w:r w:rsidR="00A84A3D" w:rsidRPr="00452D74">
        <w:rPr>
          <w:rFonts w:ascii="黑体" w:eastAsia="黑体" w:hAnsi="黑体" w:hint="eastAsia"/>
        </w:rPr>
        <w:t>与民间社会和社群组织合作，以设立可持续的机制支持妇女获得司法救助；并鼓励非政府组织和民间社会实体参与有关妇女权利的诉讼；</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w:t>
      </w:r>
      <w:proofErr w:type="spellStart"/>
      <w:r w:rsidR="00A84A3D" w:rsidRPr="00452D74">
        <w:rPr>
          <w:rFonts w:ascii="黑体" w:eastAsia="黑体" w:hAnsi="黑体" w:hint="eastAsia"/>
        </w:rPr>
        <w:t>i</w:t>
      </w:r>
      <w:proofErr w:type="spellEnd"/>
      <w:r w:rsidR="00A84A3D" w:rsidRPr="00452D74">
        <w:rPr>
          <w:rFonts w:ascii="黑体" w:eastAsia="黑体" w:hAnsi="黑体" w:hint="eastAsia"/>
        </w:rPr>
        <w:t>)</w:t>
      </w:r>
      <w:r w:rsidRPr="00452D74">
        <w:rPr>
          <w:rFonts w:ascii="黑体" w:eastAsia="黑体" w:hAnsi="黑体" w:hint="eastAsia"/>
        </w:rPr>
        <w:tab/>
      </w:r>
      <w:r w:rsidR="00A84A3D" w:rsidRPr="00452D74">
        <w:rPr>
          <w:rFonts w:ascii="黑体" w:eastAsia="黑体" w:hAnsi="黑体" w:hint="eastAsia"/>
        </w:rPr>
        <w:t>确保妇女人权维护者能够获得司法救助，并得到保护以免遭受骚扰、威胁、报复和暴力。</w:t>
      </w:r>
    </w:p>
    <w:p w:rsidR="00A84A3D" w:rsidRPr="00452D74" w:rsidRDefault="00A84A3D" w:rsidP="00A84A3D">
      <w:pPr>
        <w:pStyle w:val="SingleTxt"/>
        <w:rPr>
          <w:rFonts w:ascii="黑体" w:eastAsia="黑体" w:hAnsi="黑体"/>
        </w:rPr>
      </w:pPr>
      <w:r w:rsidRPr="00452D74">
        <w:rPr>
          <w:rFonts w:ascii="黑体" w:eastAsia="黑体" w:hAnsi="黑体" w:hint="eastAsia"/>
        </w:rPr>
        <w:t>16.</w:t>
      </w:r>
      <w:r w:rsidRPr="00452D74">
        <w:rPr>
          <w:rFonts w:ascii="黑体" w:eastAsia="黑体" w:hAnsi="黑体" w:hint="eastAsia"/>
        </w:rPr>
        <w:tab/>
        <w:t>关于司法系统的可得性，委员会建议缔约国：</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确保在缔约国全国各地，包括在偏远、农村和偏僻地区根据需要设立、维持和发展法院、法庭和其他实体，保证妇女不受歧视地获得司法救助的权利；考虑特别为居住在偏远、农村和偏僻地区的妇女建立流动法院，及在可行情况下灵巧地运用现代信息技术解决办法；</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在暴力侵害妇女的案件中，确保妇女能够获得经济援助，使用危机中心、收容所、热线，以及获得医疗、心理社会和辅导服务；</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确保资格规则允许特定案件的利益相关团体和民间社会组织提出诉状和参加诉讼；</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建立由独立检查员组成的监督机制，以确保司法系统正常运作，以及处理司法系统专业人员歧视妇女的行为。</w:t>
      </w:r>
    </w:p>
    <w:p w:rsidR="00A84A3D" w:rsidRPr="00452D74" w:rsidRDefault="00A84A3D" w:rsidP="00A84A3D">
      <w:pPr>
        <w:pStyle w:val="SingleTxt"/>
        <w:rPr>
          <w:rFonts w:ascii="黑体" w:eastAsia="黑体" w:hAnsi="黑体"/>
        </w:rPr>
      </w:pPr>
      <w:r w:rsidRPr="00452D74">
        <w:rPr>
          <w:rFonts w:ascii="黑体" w:eastAsia="黑体" w:hAnsi="黑体" w:hint="eastAsia"/>
        </w:rPr>
        <w:t>17.</w:t>
      </w:r>
      <w:r w:rsidRPr="00452D74">
        <w:rPr>
          <w:rFonts w:ascii="黑体" w:eastAsia="黑体" w:hAnsi="黑体" w:hint="eastAsia"/>
        </w:rPr>
        <w:tab/>
        <w:t>关于司法系统的可及性，委员会建议缔约国：</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移除诉诸司法的经济障碍，向妇女提供法律援助，并确保减少低收入妇女和免除贫困妇女的文书申领和递交费用以及法院诉讼费用；</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消除语言障碍，酌情提供独立的专业笔译和口译服务，并向文盲妇女提供个性化协助，以保证她们充分了解司法和准司法程序；</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筹划定向外联活动，并通过专设妇女单位或事务处等渠道以各种形式及社群语文分发有关可利用的司法机制、程序和补救措施的信息。这些活动和信息应适合国内人口所有族裔和少数群体，并应与这些群体，特别是与妇女组织和其他相关组织的妇女密切合作设计；</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确保能够上网和利用其他信息通信技术以提高妇女利用各级司法系统的机会，并考虑开发因特网基础设施，包括视频会议，以便利法院进行审讯及促进各利益攸关方共享、收集和支持数据和信息；</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(e)</w:t>
      </w:r>
      <w:r w:rsidRPr="00452D74">
        <w:rPr>
          <w:rFonts w:ascii="黑体" w:eastAsia="黑体" w:hAnsi="黑体" w:hint="eastAsia"/>
        </w:rPr>
        <w:tab/>
      </w:r>
      <w:r w:rsidR="00A84A3D" w:rsidRPr="00452D74">
        <w:rPr>
          <w:rFonts w:ascii="黑体" w:eastAsia="黑体" w:hAnsi="黑体" w:hint="eastAsia"/>
        </w:rPr>
        <w:t>确保司法和准司法机构和其他服务的物质环境和地点对所有妇女友善、安全和方便；考虑在司法机构内设立性别事务单位，并特别注意为财力不足的妇女支付前往司法和准司法机构的交通费和其他服务费；</w:t>
      </w:r>
    </w:p>
    <w:p w:rsidR="00A84A3D" w:rsidRPr="00452D74" w:rsidRDefault="00A84A3D" w:rsidP="00A84A3D">
      <w:pPr>
        <w:pStyle w:val="SingleTxt"/>
        <w:rPr>
          <w:rFonts w:ascii="黑体" w:eastAsia="黑体" w:hAnsi="黑体"/>
        </w:rPr>
      </w:pPr>
      <w:r w:rsidRPr="00452D74">
        <w:rPr>
          <w:rFonts w:ascii="黑体" w:eastAsia="黑体" w:hAnsi="黑体" w:hint="eastAsia"/>
        </w:rPr>
        <w:tab/>
        <w:t>(f)</w:t>
      </w:r>
      <w:r w:rsidR="000F4B74" w:rsidRPr="00452D74">
        <w:rPr>
          <w:rFonts w:ascii="黑体" w:eastAsia="黑体" w:hAnsi="黑体" w:hint="eastAsia"/>
        </w:rPr>
        <w:tab/>
      </w:r>
      <w:r w:rsidRPr="00452D74">
        <w:rPr>
          <w:rFonts w:ascii="黑体" w:eastAsia="黑体" w:hAnsi="黑体" w:hint="eastAsia"/>
        </w:rPr>
        <w:t>建立司法救助中心，如包括各种法律和社会服务的“一站式服务中心”，以减少妇女为获得司法救助而必须采取的步骤。这类中心可以在暴力侵害妇女行为、家庭问题、医疗卫生、社会保障、就业、财产和移民等领域为妇女提供法律咨询和援助、提起法律程序和协调支助服务。所有妇女，包括贫困妇女和/或农村和偏远地区妇女必须能够利用这些中心；</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(g)</w:t>
      </w:r>
      <w:r w:rsidRPr="00452D74">
        <w:rPr>
          <w:rFonts w:ascii="黑体" w:eastAsia="黑体" w:hAnsi="黑体" w:hint="eastAsia"/>
        </w:rPr>
        <w:tab/>
      </w:r>
      <w:r w:rsidR="00A84A3D" w:rsidRPr="00452D74">
        <w:rPr>
          <w:rFonts w:ascii="黑体" w:eastAsia="黑体" w:hAnsi="黑体" w:hint="eastAsia"/>
        </w:rPr>
        <w:t>特别注意残疾妇女无障碍利用司法系统的问题。</w:t>
      </w:r>
    </w:p>
    <w:p w:rsidR="00A84A3D" w:rsidRPr="00452D74" w:rsidRDefault="00A84A3D" w:rsidP="00A84A3D">
      <w:pPr>
        <w:pStyle w:val="SingleTxt"/>
        <w:rPr>
          <w:rFonts w:ascii="黑体" w:eastAsia="黑体" w:hAnsi="黑体"/>
        </w:rPr>
      </w:pPr>
      <w:r w:rsidRPr="00452D74">
        <w:rPr>
          <w:rFonts w:ascii="黑体" w:eastAsia="黑体" w:hAnsi="黑体" w:hint="eastAsia"/>
        </w:rPr>
        <w:t>18.</w:t>
      </w:r>
      <w:r w:rsidRPr="00452D74">
        <w:rPr>
          <w:rFonts w:ascii="黑体" w:eastAsia="黑体" w:hAnsi="黑体" w:hint="eastAsia"/>
        </w:rPr>
        <w:tab/>
        <w:t>关于司法系统的优良素质，委员会建议缔约国：</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确保司法系统素质优良，遵循关于能力、效率、独立性和公正性的国际标准以及国际判例；</w:t>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制定衡量妇女司法救助的指标；</w:t>
      </w:r>
      <w:r w:rsidRPr="00452D74">
        <w:rPr>
          <w:rStyle w:val="a3"/>
          <w:rFonts w:ascii="黑体" w:eastAsia="黑体" w:hAnsi="黑体"/>
        </w:rPr>
        <w:footnoteReference w:id="6"/>
      </w:r>
    </w:p>
    <w:p w:rsidR="00A84A3D" w:rsidRPr="00452D74" w:rsidRDefault="000F4B74"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确保实施创新和变革性的司法工作方针和框架，包括酌情投资于更广泛的机构改革；</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及时提供及执行适当和有效的补救措施，使所有妇女能够以可持续的性别敏感方式解决争端；</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(e)</w:t>
      </w:r>
      <w:r w:rsidRPr="00452D74">
        <w:rPr>
          <w:rFonts w:ascii="黑体" w:eastAsia="黑体" w:hAnsi="黑体" w:hint="eastAsia"/>
        </w:rPr>
        <w:tab/>
      </w:r>
      <w:r w:rsidR="00A84A3D" w:rsidRPr="00452D74">
        <w:rPr>
          <w:rFonts w:ascii="黑体" w:eastAsia="黑体" w:hAnsi="黑体" w:hint="eastAsia"/>
        </w:rPr>
        <w:t>实施机制以确保证据规则、调查和其他法律和准司法程序公正，不受性别陈规定型观念或偏见的影响；</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(f)</w:t>
      </w:r>
      <w:r w:rsidRPr="00452D74">
        <w:rPr>
          <w:rFonts w:ascii="黑体" w:eastAsia="黑体" w:hAnsi="黑体" w:hint="eastAsia"/>
        </w:rPr>
        <w:tab/>
      </w:r>
      <w:r w:rsidR="00A84A3D" w:rsidRPr="00452D74">
        <w:rPr>
          <w:rFonts w:ascii="黑体" w:eastAsia="黑体" w:hAnsi="黑体" w:hint="eastAsia"/>
        </w:rPr>
        <w:t>为保护妇女的隐私、安全和其他人权起见，确保必要时能以符合正当程序和公正审讯原则的方式，不公开地进行全部或部分法律程序，或远程提供证言或利用通信设备作证，保证只有有关当事方才能够得知其中的内容。应当允许在司法程序各个阶段采用假名或其他措施以保护涉案妇女的身份。缔约国应保证，在女童和妇女的尊严、情绪状态和安全可能受到侵犯的情况下，可以采取措施，禁止拍摄和广播肖像，以保护受害人的隐私和形象；</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(g)</w:t>
      </w:r>
      <w:r w:rsidRPr="00452D74">
        <w:rPr>
          <w:rFonts w:ascii="黑体" w:eastAsia="黑体" w:hAnsi="黑体" w:hint="eastAsia"/>
        </w:rPr>
        <w:tab/>
      </w:r>
      <w:r w:rsidR="00A84A3D" w:rsidRPr="00452D74">
        <w:rPr>
          <w:rFonts w:ascii="黑体" w:eastAsia="黑体" w:hAnsi="黑体" w:hint="eastAsia"/>
        </w:rPr>
        <w:t>保护妇女原告人、证人、被告人和囚犯，确保她们在法律程序之前、期间和之后不受威胁、骚扰和其他形式的伤害，并提供必要的预算、资源、导则、监测与立法框架，以确保切实执行保护措施。</w:t>
      </w:r>
      <w:r w:rsidRPr="00452D74">
        <w:rPr>
          <w:rStyle w:val="a3"/>
          <w:rFonts w:ascii="黑体" w:eastAsia="黑体" w:hAnsi="黑体"/>
        </w:rPr>
        <w:footnoteReference w:id="7"/>
      </w:r>
      <w:r w:rsidR="00A84A3D" w:rsidRPr="00452D74">
        <w:rPr>
          <w:rFonts w:ascii="黑体" w:eastAsia="黑体" w:hAnsi="黑体" w:hint="eastAsia"/>
        </w:rPr>
        <w:t xml:space="preserve"> </w:t>
      </w:r>
    </w:p>
    <w:p w:rsidR="00A84A3D" w:rsidRPr="00452D74" w:rsidRDefault="00A84A3D" w:rsidP="00A84A3D">
      <w:pPr>
        <w:pStyle w:val="SingleTxt"/>
        <w:rPr>
          <w:rFonts w:ascii="黑体" w:eastAsia="黑体" w:hAnsi="黑体"/>
        </w:rPr>
      </w:pPr>
      <w:r w:rsidRPr="00452D74">
        <w:rPr>
          <w:rFonts w:ascii="黑体" w:eastAsia="黑体" w:hAnsi="黑体" w:hint="eastAsia"/>
        </w:rPr>
        <w:t>19.</w:t>
      </w:r>
      <w:r w:rsidRPr="00452D74">
        <w:rPr>
          <w:rFonts w:ascii="黑体" w:eastAsia="黑体" w:hAnsi="黑体" w:hint="eastAsia"/>
        </w:rPr>
        <w:tab/>
        <w:t>关于提供补救措施，委员会建议缔约国：</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针对歧视妇女行为制定和执行适当和及时的补救措施，并确保妇女有机会利用一切现有的司法和非司法补救措施；</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确保补救措施适足、有效、从速归责、全面、与所受伤害严重程度相称。补救措施应酌情包括恢复原状(恢复原职)、补偿(以金钱、货物或服务的形式提供)及康复(医疗与心理治疗和其他社会服务)。</w:t>
      </w:r>
      <w:r w:rsidR="006746C7" w:rsidRPr="00452D74">
        <w:rPr>
          <w:rStyle w:val="a3"/>
          <w:rFonts w:ascii="黑体" w:eastAsia="黑体" w:hAnsi="黑体"/>
        </w:rPr>
        <w:footnoteReference w:id="8"/>
      </w:r>
      <w:r w:rsidR="00A84A3D" w:rsidRPr="00452D74">
        <w:rPr>
          <w:rFonts w:ascii="黑体" w:eastAsia="黑体" w:hAnsi="黑体" w:hint="eastAsia"/>
        </w:rPr>
        <w:t xml:space="preserve"> 民事赔偿补救措施和刑事制裁不应为互斥措施；</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在所有民事、刑事、行政或其他诉讼程序中，为了确定适当的损害补偿，评估损害赔偿额时应充分考虑妇女的无偿家务和照料活动；</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为妇女设立专项基金，以确保在侵犯妇女人权的责任人或实体不能或不愿作出赔偿的情况下，妇女获得适足的赔偿；</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(e)</w:t>
      </w:r>
      <w:r w:rsidRPr="00452D74">
        <w:rPr>
          <w:rFonts w:ascii="黑体" w:eastAsia="黑体" w:hAnsi="黑体" w:hint="eastAsia"/>
        </w:rPr>
        <w:tab/>
      </w:r>
      <w:r w:rsidR="00A84A3D" w:rsidRPr="00452D74">
        <w:rPr>
          <w:rFonts w:ascii="黑体" w:eastAsia="黑体" w:hAnsi="黑体" w:hint="eastAsia"/>
        </w:rPr>
        <w:t>针对在冲突中和冲突后情况发生性暴力的问题，按照国际人权标准规定进行机构改革、废除歧视性立法和制定立法规定适当的制裁，并与妇女组织和民间社会密切合作，确定赔偿措施，以帮助消弭冲突前存在的歧视；</w:t>
      </w:r>
      <w:r w:rsidR="006746C7" w:rsidRPr="00452D74">
        <w:rPr>
          <w:rStyle w:val="a3"/>
          <w:rFonts w:ascii="黑体" w:eastAsia="黑体" w:hAnsi="黑体"/>
        </w:rPr>
        <w:footnoteReference w:id="9"/>
      </w:r>
      <w:r w:rsidR="00A84A3D" w:rsidRPr="00452D74">
        <w:rPr>
          <w:rFonts w:ascii="黑体" w:eastAsia="黑体" w:hAnsi="黑体" w:hint="eastAsia"/>
        </w:rPr>
        <w:t xml:space="preserve"> </w:t>
      </w:r>
    </w:p>
    <w:p w:rsidR="00A84A3D" w:rsidRPr="00452D74" w:rsidRDefault="00744E4E"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(f)</w:t>
      </w:r>
      <w:r w:rsidRPr="00452D74">
        <w:rPr>
          <w:rFonts w:ascii="黑体" w:eastAsia="黑体" w:hAnsi="黑体" w:hint="eastAsia"/>
        </w:rPr>
        <w:tab/>
      </w:r>
      <w:r w:rsidR="00A84A3D" w:rsidRPr="00452D74">
        <w:rPr>
          <w:rFonts w:ascii="黑体" w:eastAsia="黑体" w:hAnsi="黑体" w:hint="eastAsia"/>
        </w:rPr>
        <w:t>确保有关在冲突中或冲突后背景下发生的侵犯人权行为的非司法补救措施，如公开道歉、建立公共纪念碑和真相、正义与和解委员会核可的保证杜绝重复措施，不能用以取代对行为人进行调查和起诉；不赦免基于性别的侵犯人权行为，如性暴力侵害妇女行为，并且不对侵犯人权行为的起诉适用法定时效规定(见关于妇女在预防冲突、冲突及冲突后局势中的作用的第30号一般性建议)；</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(g)</w:t>
      </w:r>
      <w:r w:rsidRPr="00452D74">
        <w:rPr>
          <w:rFonts w:ascii="黑体" w:eastAsia="黑体" w:hAnsi="黑体" w:hint="eastAsia"/>
        </w:rPr>
        <w:tab/>
      </w:r>
      <w:r w:rsidR="00A84A3D" w:rsidRPr="00452D74">
        <w:rPr>
          <w:rFonts w:ascii="黑体" w:eastAsia="黑体" w:hAnsi="黑体" w:hint="eastAsia"/>
        </w:rPr>
        <w:t>提供有效和及时的补救措施以及适当的赔偿，确保补救措施考虑到妇女受到的各类不同侵害，并按照第30号一般性建议的指示，确保妇女参与拟订所有赔偿方案。</w:t>
      </w:r>
      <w:r w:rsidRPr="00452D74">
        <w:rPr>
          <w:rStyle w:val="a3"/>
          <w:rFonts w:ascii="黑体" w:eastAsia="黑体" w:hAnsi="黑体"/>
        </w:rPr>
        <w:footnoteReference w:id="10"/>
      </w:r>
      <w:r w:rsidR="00A84A3D" w:rsidRPr="00452D74">
        <w:rPr>
          <w:rFonts w:ascii="黑体" w:eastAsia="黑体" w:hAnsi="黑体" w:hint="eastAsia"/>
        </w:rPr>
        <w:t xml:space="preserve"> </w:t>
      </w:r>
    </w:p>
    <w:p w:rsidR="00A84A3D" w:rsidRPr="00452D74" w:rsidRDefault="00A84A3D" w:rsidP="00A84A3D">
      <w:pPr>
        <w:pStyle w:val="SingleTxt"/>
        <w:rPr>
          <w:rFonts w:ascii="黑体" w:eastAsia="黑体" w:hAnsi="黑体"/>
        </w:rPr>
      </w:pPr>
      <w:r w:rsidRPr="00452D74">
        <w:rPr>
          <w:rFonts w:ascii="黑体" w:eastAsia="黑体" w:hAnsi="黑体" w:hint="eastAsia"/>
        </w:rPr>
        <w:t>20.</w:t>
      </w:r>
      <w:r w:rsidRPr="00452D74">
        <w:rPr>
          <w:rFonts w:ascii="黑体" w:eastAsia="黑体" w:hAnsi="黑体" w:hint="eastAsia"/>
        </w:rPr>
        <w:tab/>
        <w:t>关于司法系统的问责制，委员会建议缔约国：</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建立有效和独立的机制，观察和监测妇女获得司法救助的情况，以确保司法系统符合可诉性、可得性、可及性、优良素质和有效补救措施的原则，包括对所作裁判影响妇女权利的司法、准司法和行政机构的自主性、效率和透明度进行定期审计/审查；</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确保采取纪律和其他措施，有效处理经查明的司法专业人员歧视性做法和行为；</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专设一个实体接受对司法系统所有支助事务人员，包括社会、福利和医务人员以及技术专家的申诉、投诉和建议；</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数据起码应包括：</w:t>
      </w:r>
    </w:p>
    <w:p w:rsidR="00A84A3D" w:rsidRPr="00452D74" w:rsidRDefault="006F416B" w:rsidP="00A84A3D">
      <w:pPr>
        <w:pStyle w:val="SingleTxt"/>
        <w:rPr>
          <w:rFonts w:ascii="黑体" w:eastAsia="黑体" w:hAnsi="黑体"/>
        </w:rPr>
      </w:pPr>
      <w:r w:rsidRPr="00452D74">
        <w:rPr>
          <w:rFonts w:ascii="黑体" w:eastAsia="黑体" w:hAnsi="黑体" w:hint="eastAsia"/>
        </w:rPr>
        <w:tab/>
        <w:t>㈠</w:t>
      </w:r>
      <w:r w:rsidRPr="00452D74">
        <w:rPr>
          <w:rFonts w:ascii="黑体" w:eastAsia="黑体" w:hAnsi="黑体" w:hint="eastAsia"/>
        </w:rPr>
        <w:tab/>
      </w:r>
      <w:r w:rsidR="00A84A3D" w:rsidRPr="00452D74">
        <w:rPr>
          <w:rFonts w:ascii="黑体" w:eastAsia="黑体" w:hAnsi="黑体" w:hint="eastAsia"/>
        </w:rPr>
        <w:t>司法和准司法机构的数量和地域分布情况；</w:t>
      </w:r>
    </w:p>
    <w:p w:rsidR="00A84A3D" w:rsidRPr="00452D74" w:rsidRDefault="006F416B" w:rsidP="00A84A3D">
      <w:pPr>
        <w:pStyle w:val="SingleTxt"/>
        <w:rPr>
          <w:rFonts w:ascii="黑体" w:eastAsia="黑体" w:hAnsi="黑体"/>
        </w:rPr>
      </w:pPr>
      <w:r w:rsidRPr="00452D74">
        <w:rPr>
          <w:rFonts w:ascii="黑体" w:eastAsia="黑体" w:hAnsi="黑体" w:hint="eastAsia"/>
        </w:rPr>
        <w:tab/>
        <w:t>㈡</w:t>
      </w:r>
      <w:r w:rsidRPr="00452D74">
        <w:rPr>
          <w:rFonts w:ascii="黑体" w:eastAsia="黑体" w:hAnsi="黑体" w:hint="eastAsia"/>
        </w:rPr>
        <w:tab/>
      </w:r>
      <w:r w:rsidR="00A84A3D" w:rsidRPr="00452D74">
        <w:rPr>
          <w:rFonts w:ascii="黑体" w:eastAsia="黑体" w:hAnsi="黑体" w:hint="eastAsia"/>
        </w:rPr>
        <w:t>各级执法机构及司法和准司法机构的男女工作人员人数；</w:t>
      </w:r>
    </w:p>
    <w:p w:rsidR="00A84A3D" w:rsidRPr="00452D74" w:rsidRDefault="006F416B" w:rsidP="00A84A3D">
      <w:pPr>
        <w:pStyle w:val="SingleTxt"/>
        <w:rPr>
          <w:rFonts w:ascii="黑体" w:eastAsia="黑体" w:hAnsi="黑体"/>
        </w:rPr>
      </w:pPr>
      <w:r w:rsidRPr="00452D74">
        <w:rPr>
          <w:rFonts w:ascii="黑体" w:eastAsia="黑体" w:hAnsi="黑体" w:hint="eastAsia"/>
        </w:rPr>
        <w:tab/>
        <w:t>㈢</w:t>
      </w:r>
      <w:r w:rsidRPr="00452D74">
        <w:rPr>
          <w:rFonts w:ascii="黑体" w:eastAsia="黑体" w:hAnsi="黑体" w:hint="eastAsia"/>
        </w:rPr>
        <w:tab/>
      </w:r>
      <w:r w:rsidR="00A84A3D" w:rsidRPr="00452D74">
        <w:rPr>
          <w:rFonts w:ascii="黑体" w:eastAsia="黑体" w:hAnsi="黑体" w:hint="eastAsia"/>
        </w:rPr>
        <w:t>男女律师，包括法律援助律师的人数和地域分布情况；</w:t>
      </w:r>
    </w:p>
    <w:p w:rsidR="00A84A3D" w:rsidRPr="00452D74" w:rsidRDefault="006F416B" w:rsidP="00CE72A1">
      <w:pPr>
        <w:pStyle w:val="SingleTxt"/>
        <w:ind w:left="1695"/>
        <w:rPr>
          <w:rFonts w:ascii="黑体" w:eastAsia="黑体" w:hAnsi="黑体"/>
        </w:rPr>
      </w:pPr>
      <w:r w:rsidRPr="00452D74">
        <w:rPr>
          <w:rFonts w:ascii="黑体" w:eastAsia="黑体" w:hAnsi="黑体" w:hint="eastAsia"/>
        </w:rPr>
        <w:t>㈣</w:t>
      </w:r>
      <w:r w:rsidRPr="00452D74">
        <w:rPr>
          <w:rFonts w:ascii="黑体" w:eastAsia="黑体" w:hAnsi="黑体" w:hint="eastAsia"/>
        </w:rPr>
        <w:tab/>
      </w:r>
      <w:r w:rsidR="00A84A3D" w:rsidRPr="00452D74">
        <w:rPr>
          <w:rFonts w:ascii="黑体" w:eastAsia="黑体" w:hAnsi="黑体" w:hint="eastAsia"/>
        </w:rPr>
        <w:t>司法、准司法和行政机构收到的案件和申诉的性质和数量，并按申诉人性别分列；</w:t>
      </w:r>
    </w:p>
    <w:p w:rsidR="00A84A3D" w:rsidRPr="00452D74" w:rsidRDefault="006F416B" w:rsidP="00A84A3D">
      <w:pPr>
        <w:pStyle w:val="SingleTxt"/>
        <w:rPr>
          <w:rFonts w:ascii="黑体" w:eastAsia="黑体" w:hAnsi="黑体"/>
        </w:rPr>
      </w:pPr>
      <w:r w:rsidRPr="00452D74">
        <w:rPr>
          <w:rFonts w:ascii="黑体" w:eastAsia="黑体" w:hAnsi="黑体" w:hint="eastAsia"/>
        </w:rPr>
        <w:tab/>
        <w:t>㈤</w:t>
      </w:r>
      <w:r w:rsidRPr="00452D74">
        <w:rPr>
          <w:rFonts w:ascii="黑体" w:eastAsia="黑体" w:hAnsi="黑体" w:hint="eastAsia"/>
        </w:rPr>
        <w:tab/>
      </w:r>
      <w:r w:rsidR="00A84A3D" w:rsidRPr="00452D74">
        <w:rPr>
          <w:rFonts w:ascii="黑体" w:eastAsia="黑体" w:hAnsi="黑体" w:hint="eastAsia"/>
        </w:rPr>
        <w:t>正式和非正式司法系统处理的案件的性质和数量，并按申诉人性别分列；</w:t>
      </w:r>
    </w:p>
    <w:p w:rsidR="00A84A3D" w:rsidRPr="00452D74" w:rsidRDefault="006F416B" w:rsidP="00CE72A1">
      <w:pPr>
        <w:pStyle w:val="SingleTxt"/>
        <w:ind w:left="1695"/>
        <w:rPr>
          <w:rFonts w:ascii="黑体" w:eastAsia="黑体" w:hAnsi="黑体"/>
        </w:rPr>
      </w:pPr>
      <w:r w:rsidRPr="00452D74">
        <w:rPr>
          <w:rFonts w:ascii="黑体" w:eastAsia="黑体" w:hAnsi="黑体" w:hint="eastAsia"/>
        </w:rPr>
        <w:t>㈥</w:t>
      </w:r>
      <w:r w:rsidRPr="00452D74">
        <w:rPr>
          <w:rFonts w:ascii="黑体" w:eastAsia="黑体" w:hAnsi="黑体" w:hint="eastAsia"/>
        </w:rPr>
        <w:tab/>
      </w:r>
      <w:r w:rsidR="00A84A3D" w:rsidRPr="00452D74">
        <w:rPr>
          <w:rFonts w:ascii="黑体" w:eastAsia="黑体" w:hAnsi="黑体" w:hint="eastAsia"/>
        </w:rPr>
        <w:t>需要、接受并提供了法律援助和／或公设辩护的案件的性质和数量，并按申诉人性别分列；</w:t>
      </w:r>
    </w:p>
    <w:p w:rsidR="00A84A3D" w:rsidRPr="00452D74" w:rsidRDefault="006F416B" w:rsidP="00A84A3D">
      <w:pPr>
        <w:pStyle w:val="SingleTxt"/>
        <w:rPr>
          <w:rFonts w:ascii="黑体" w:eastAsia="黑体" w:hAnsi="黑体"/>
        </w:rPr>
      </w:pPr>
      <w:r w:rsidRPr="00452D74">
        <w:rPr>
          <w:rFonts w:ascii="黑体" w:eastAsia="黑体" w:hAnsi="黑体" w:hint="eastAsia"/>
        </w:rPr>
        <w:tab/>
        <w:t>㈦</w:t>
      </w:r>
      <w:r w:rsidRPr="00452D74">
        <w:rPr>
          <w:rFonts w:ascii="黑体" w:eastAsia="黑体" w:hAnsi="黑体" w:hint="eastAsia"/>
        </w:rPr>
        <w:tab/>
      </w:r>
      <w:r w:rsidR="00A84A3D" w:rsidRPr="00452D74">
        <w:rPr>
          <w:rFonts w:ascii="黑体" w:eastAsia="黑体" w:hAnsi="黑体" w:hint="eastAsia"/>
        </w:rPr>
        <w:t>程序长短及其结果，并按申诉人性别分列；</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(e)</w:t>
      </w:r>
      <w:r w:rsidRPr="00452D74">
        <w:rPr>
          <w:rFonts w:ascii="黑体" w:eastAsia="黑体" w:hAnsi="黑体" w:hint="eastAsia"/>
        </w:rPr>
        <w:tab/>
      </w:r>
      <w:r w:rsidR="00A84A3D" w:rsidRPr="00452D74">
        <w:rPr>
          <w:rFonts w:ascii="黑体" w:eastAsia="黑体" w:hAnsi="黑体" w:hint="eastAsia"/>
        </w:rPr>
        <w:t>与民间社会组织和学术机构协作，对所有司法系统进行定性研究和性别批判分析及促进这些研究与分析，以查明促进或限制妇女充分获得司法救助的做法、程序和判例；</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(f)</w:t>
      </w:r>
      <w:r w:rsidRPr="00452D74">
        <w:rPr>
          <w:rFonts w:ascii="黑体" w:eastAsia="黑体" w:hAnsi="黑体" w:hint="eastAsia"/>
        </w:rPr>
        <w:tab/>
      </w:r>
      <w:r w:rsidR="00A84A3D" w:rsidRPr="00452D74">
        <w:rPr>
          <w:rFonts w:ascii="黑体" w:eastAsia="黑体" w:hAnsi="黑体" w:hint="eastAsia"/>
        </w:rPr>
        <w:t>系统地应用上述分析结果制定优先事项、政策、立法和程序，以确保司法系统各个组成部分对性别敏感、方便用户和实行问责。</w:t>
      </w:r>
    </w:p>
    <w:p w:rsidR="00A84A3D" w:rsidRDefault="006F416B" w:rsidP="006F416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B.</w:t>
      </w:r>
      <w:r w:rsidR="00A84A3D">
        <w:rPr>
          <w:rFonts w:hint="eastAsia"/>
        </w:rPr>
        <w:tab/>
        <w:t>歧视性法律、程序和做法</w:t>
      </w:r>
    </w:p>
    <w:p w:rsidR="006F416B" w:rsidRPr="006F416B" w:rsidRDefault="006F416B" w:rsidP="006F416B">
      <w:pPr>
        <w:pStyle w:val="SingleTxt"/>
        <w:spacing w:after="0" w:line="120" w:lineRule="exact"/>
        <w:rPr>
          <w:sz w:val="10"/>
        </w:rPr>
      </w:pPr>
    </w:p>
    <w:p w:rsidR="00A84A3D" w:rsidRDefault="00A84A3D" w:rsidP="00A84A3D">
      <w:pPr>
        <w:pStyle w:val="SingleTxt"/>
      </w:pPr>
      <w:r>
        <w:rPr>
          <w:rFonts w:hint="eastAsia"/>
        </w:rPr>
        <w:t>21.</w:t>
      </w:r>
      <w:r>
        <w:rPr>
          <w:rFonts w:hint="eastAsia"/>
        </w:rPr>
        <w:tab/>
      </w:r>
      <w:r>
        <w:rPr>
          <w:rFonts w:hint="eastAsia"/>
        </w:rPr>
        <w:t>缔约国的一些宪法规定、法律、法规、程序、习俗和做法往往源于传统性别陈规定型观念和规范，故此具有歧视性质，剥夺了妇女根据《公约》充分享有的权利。因此，委员会一贯在其结论意见中呼吁缔约国审查其立法框架，修正和</w:t>
      </w:r>
      <w:r>
        <w:rPr>
          <w:rFonts w:hint="eastAsia"/>
        </w:rPr>
        <w:t>/</w:t>
      </w:r>
      <w:r>
        <w:rPr>
          <w:rFonts w:hint="eastAsia"/>
        </w:rPr>
        <w:t>或废除歧视妇女的规定。此举符合《公约》第二条的规定，即缔约国有义务采取适当法律和其他措施，消除公共当局和属于非国家行为体的个人、组织或企业对妇女实施的一切形式歧视。</w:t>
      </w:r>
    </w:p>
    <w:p w:rsidR="00A84A3D" w:rsidRDefault="00A84A3D" w:rsidP="00A84A3D">
      <w:pPr>
        <w:pStyle w:val="SingleTxt"/>
      </w:pPr>
      <w:r>
        <w:rPr>
          <w:rFonts w:hint="eastAsia"/>
        </w:rPr>
        <w:t>22.</w:t>
      </w:r>
      <w:r>
        <w:rPr>
          <w:rFonts w:hint="eastAsia"/>
        </w:rPr>
        <w:tab/>
      </w:r>
      <w:r>
        <w:rPr>
          <w:rFonts w:hint="eastAsia"/>
        </w:rPr>
        <w:t>但是，由于第</w:t>
      </w:r>
      <w:r>
        <w:rPr>
          <w:rFonts w:hint="eastAsia"/>
        </w:rPr>
        <w:t>28</w:t>
      </w:r>
      <w:r>
        <w:rPr>
          <w:rFonts w:hint="eastAsia"/>
        </w:rPr>
        <w:t>号一般性建议第</w:t>
      </w:r>
      <w:r>
        <w:rPr>
          <w:rFonts w:hint="eastAsia"/>
        </w:rPr>
        <w:t>16</w:t>
      </w:r>
      <w:r>
        <w:rPr>
          <w:rFonts w:hint="eastAsia"/>
        </w:rPr>
        <w:t>段所界定的直接和间接歧视，妇女在获得司法救助方面面对重重困难。这种不平等不仅见诸法律、法规、程序，习俗和做法的歧视性内容和</w:t>
      </w:r>
      <w:r>
        <w:rPr>
          <w:rFonts w:hint="eastAsia"/>
        </w:rPr>
        <w:t>/</w:t>
      </w:r>
      <w:r>
        <w:rPr>
          <w:rFonts w:hint="eastAsia"/>
        </w:rPr>
        <w:t>或影响，而且反映于司法和准司法机构的能力和认识不足，无法充分解决侵犯妇女人权行为。因此，委员会在第</w:t>
      </w:r>
      <w:r>
        <w:rPr>
          <w:rFonts w:hint="eastAsia"/>
        </w:rPr>
        <w:t>28</w:t>
      </w:r>
      <w:r>
        <w:rPr>
          <w:rFonts w:hint="eastAsia"/>
        </w:rPr>
        <w:t>号一般性建议中指出，司法机构必须适用体现于《公约》的实质或事实平等原则，并按照该项义务解释法律，包括国家、宗教和习惯法律。第十五条规定缔约国有义务确保妇女在法律各个领域享有与男子相同的实质平等。</w:t>
      </w:r>
    </w:p>
    <w:p w:rsidR="00A84A3D" w:rsidRDefault="00A84A3D" w:rsidP="00A84A3D">
      <w:pPr>
        <w:pStyle w:val="SingleTxt"/>
      </w:pPr>
      <w:r>
        <w:rPr>
          <w:rFonts w:hint="eastAsia"/>
        </w:rPr>
        <w:t>23.</w:t>
      </w:r>
      <w:r>
        <w:rPr>
          <w:rFonts w:hint="eastAsia"/>
        </w:rPr>
        <w:tab/>
      </w:r>
      <w:r>
        <w:rPr>
          <w:rFonts w:hint="eastAsia"/>
        </w:rPr>
        <w:t>然而，委员会根据《任择议定书》提出的许多结论意见和看法显示，由于歧视性程序和证据规则以及未能尽职预防、调查、起诉、惩罚侵犯妇女权利行为和提供补救措施，结果使确保妇女可平等获得司法救助的义务没有得到履行。</w:t>
      </w:r>
      <w:r>
        <w:rPr>
          <w:rFonts w:hint="eastAsia"/>
        </w:rPr>
        <w:t xml:space="preserve">  </w:t>
      </w:r>
    </w:p>
    <w:p w:rsidR="00A84A3D" w:rsidRDefault="00A84A3D" w:rsidP="00A84A3D">
      <w:pPr>
        <w:pStyle w:val="SingleTxt"/>
      </w:pPr>
      <w:r>
        <w:rPr>
          <w:rFonts w:hint="eastAsia"/>
        </w:rPr>
        <w:t>24.</w:t>
      </w:r>
      <w:r>
        <w:rPr>
          <w:rFonts w:hint="eastAsia"/>
        </w:rPr>
        <w:tab/>
      </w:r>
      <w:r>
        <w:rPr>
          <w:rFonts w:hint="eastAsia"/>
        </w:rPr>
        <w:t>应特别考虑女童</w:t>
      </w:r>
      <w:r>
        <w:rPr>
          <w:rFonts w:hint="eastAsia"/>
        </w:rPr>
        <w:t>(</w:t>
      </w:r>
      <w:r>
        <w:rPr>
          <w:rFonts w:hint="eastAsia"/>
        </w:rPr>
        <w:t>酌情包括幼女和少女</w:t>
      </w:r>
      <w:r>
        <w:rPr>
          <w:rFonts w:hint="eastAsia"/>
        </w:rPr>
        <w:t>)</w:t>
      </w:r>
      <w:r>
        <w:rPr>
          <w:rFonts w:hint="eastAsia"/>
        </w:rPr>
        <w:t>的情况，因为她们在获得司法救助方面面对具体障碍。她们往往缺乏社会或法律行为能力，无法在教育、健康、性与生殖权利方面作出生活上的重大决定。她们可能被强迫结婚，或遭受其他有害做法和各种形式的暴力之害。</w:t>
      </w:r>
    </w:p>
    <w:p w:rsidR="00A84A3D" w:rsidRPr="00452D74" w:rsidRDefault="00A84A3D" w:rsidP="00A84A3D">
      <w:pPr>
        <w:pStyle w:val="SingleTxt"/>
        <w:rPr>
          <w:rFonts w:ascii="黑体" w:eastAsia="黑体" w:hAnsi="黑体"/>
        </w:rPr>
      </w:pPr>
      <w:r w:rsidRPr="00452D74">
        <w:rPr>
          <w:rFonts w:ascii="黑体" w:eastAsia="黑体" w:hAnsi="黑体" w:hint="eastAsia"/>
        </w:rPr>
        <w:t>25.</w:t>
      </w:r>
      <w:r w:rsidRPr="00452D74">
        <w:rPr>
          <w:rFonts w:ascii="黑体" w:eastAsia="黑体" w:hAnsi="黑体" w:hint="eastAsia"/>
        </w:rPr>
        <w:tab/>
        <w:t>委员会建议缔约国：</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确保实施法律面前地位平等的原则，包括采取措施，废除直接或间接歧视妇女，尤其是在司法救助方面歧视妇女的任何现行法律、程序、法规、判例、习俗和做法，并移除妨碍获得司法救助的歧视性障碍，包括：</w:t>
      </w:r>
    </w:p>
    <w:p w:rsidR="00A84A3D" w:rsidRPr="00452D74" w:rsidRDefault="006F416B" w:rsidP="006C6AA6">
      <w:pPr>
        <w:pStyle w:val="SingleTxt"/>
        <w:ind w:left="1695"/>
        <w:rPr>
          <w:rFonts w:ascii="黑体" w:eastAsia="黑体" w:hAnsi="黑体"/>
        </w:rPr>
      </w:pPr>
      <w:r w:rsidRPr="00452D74">
        <w:rPr>
          <w:rFonts w:ascii="黑体" w:eastAsia="黑体" w:hAnsi="黑体" w:hint="eastAsia"/>
        </w:rPr>
        <w:t>㈠</w:t>
      </w:r>
      <w:r w:rsidRPr="00452D74">
        <w:rPr>
          <w:rFonts w:ascii="黑体" w:eastAsia="黑体" w:hAnsi="黑体" w:hint="eastAsia"/>
        </w:rPr>
        <w:tab/>
      </w:r>
      <w:r w:rsidR="00A84A3D" w:rsidRPr="00452D74">
        <w:rPr>
          <w:rFonts w:ascii="黑体" w:eastAsia="黑体" w:hAnsi="黑体" w:hint="eastAsia"/>
        </w:rPr>
        <w:t>妇女在开始采取法律行动前有义务和/或必要征求家庭或社群成员的许可；</w:t>
      </w:r>
    </w:p>
    <w:p w:rsidR="00A84A3D" w:rsidRPr="00452D74" w:rsidRDefault="006F416B" w:rsidP="006C6AA6">
      <w:pPr>
        <w:pStyle w:val="SingleTxt"/>
        <w:ind w:left="1695"/>
        <w:rPr>
          <w:rFonts w:ascii="黑体" w:eastAsia="黑体" w:hAnsi="黑体"/>
        </w:rPr>
      </w:pPr>
      <w:r w:rsidRPr="00452D74">
        <w:rPr>
          <w:rFonts w:ascii="黑体" w:eastAsia="黑体" w:hAnsi="黑体" w:hint="eastAsia"/>
        </w:rPr>
        <w:t>㈡</w:t>
      </w:r>
      <w:r w:rsidRPr="00452D74">
        <w:rPr>
          <w:rFonts w:ascii="黑体" w:eastAsia="黑体" w:hAnsi="黑体" w:hint="eastAsia"/>
        </w:rPr>
        <w:tab/>
      </w:r>
      <w:r w:rsidR="00A84A3D" w:rsidRPr="00452D74">
        <w:rPr>
          <w:rFonts w:ascii="黑体" w:eastAsia="黑体" w:hAnsi="黑体" w:hint="eastAsia"/>
        </w:rPr>
        <w:t>司法系统中的积极参与者污蔑争取自身权利的妇女；</w:t>
      </w:r>
    </w:p>
    <w:p w:rsidR="00A84A3D" w:rsidRPr="00452D74" w:rsidRDefault="006F416B" w:rsidP="006C6AA6">
      <w:pPr>
        <w:pStyle w:val="SingleTxt"/>
        <w:ind w:left="1695"/>
        <w:rPr>
          <w:rFonts w:ascii="黑体" w:eastAsia="黑体" w:hAnsi="黑体"/>
        </w:rPr>
      </w:pPr>
      <w:r w:rsidRPr="00452D74">
        <w:rPr>
          <w:rFonts w:ascii="黑体" w:eastAsia="黑体" w:hAnsi="黑体" w:hint="eastAsia"/>
        </w:rPr>
        <w:t>㈢</w:t>
      </w:r>
      <w:r w:rsidRPr="00452D74">
        <w:rPr>
          <w:rFonts w:ascii="黑体" w:eastAsia="黑体" w:hAnsi="黑体" w:hint="eastAsia"/>
        </w:rPr>
        <w:tab/>
      </w:r>
      <w:r w:rsidR="00A84A3D" w:rsidRPr="00452D74">
        <w:rPr>
          <w:rFonts w:ascii="黑体" w:eastAsia="黑体" w:hAnsi="黑体" w:hint="eastAsia"/>
        </w:rPr>
        <w:t>歧视妇女证人、原告人和被告人的佐证规则，要求她们在指证犯罪行为或寻求补救时承担高于男子的举证责任；</w:t>
      </w:r>
    </w:p>
    <w:p w:rsidR="00A84A3D" w:rsidRPr="00452D74" w:rsidRDefault="006F416B" w:rsidP="006C6AA6">
      <w:pPr>
        <w:pStyle w:val="SingleTxt"/>
        <w:ind w:left="1695"/>
        <w:rPr>
          <w:rFonts w:ascii="黑体" w:eastAsia="黑体" w:hAnsi="黑体"/>
        </w:rPr>
      </w:pPr>
      <w:r w:rsidRPr="00452D74">
        <w:rPr>
          <w:rFonts w:ascii="黑体" w:eastAsia="黑体" w:hAnsi="黑体" w:hint="eastAsia"/>
        </w:rPr>
        <w:t>㈣</w:t>
      </w:r>
      <w:r w:rsidRPr="00452D74">
        <w:rPr>
          <w:rFonts w:ascii="黑体" w:eastAsia="黑体" w:hAnsi="黑体" w:hint="eastAsia"/>
        </w:rPr>
        <w:tab/>
      </w:r>
      <w:r w:rsidR="00A84A3D" w:rsidRPr="00452D74">
        <w:rPr>
          <w:rFonts w:ascii="黑体" w:eastAsia="黑体" w:hAnsi="黑体" w:hint="eastAsia"/>
        </w:rPr>
        <w:t>排除或置后妇女证言的程序；</w:t>
      </w:r>
    </w:p>
    <w:p w:rsidR="00A84A3D" w:rsidRPr="00452D74" w:rsidRDefault="006F416B" w:rsidP="006C6AA6">
      <w:pPr>
        <w:pStyle w:val="SingleTxt"/>
        <w:ind w:left="1695"/>
        <w:rPr>
          <w:rFonts w:ascii="黑体" w:eastAsia="黑体" w:hAnsi="黑体"/>
        </w:rPr>
      </w:pPr>
      <w:r w:rsidRPr="00452D74">
        <w:rPr>
          <w:rFonts w:ascii="黑体" w:eastAsia="黑体" w:hAnsi="黑体" w:hint="eastAsia"/>
        </w:rPr>
        <w:t>㈤</w:t>
      </w:r>
      <w:r w:rsidRPr="00452D74">
        <w:rPr>
          <w:rFonts w:ascii="黑体" w:eastAsia="黑体" w:hAnsi="黑体" w:hint="eastAsia"/>
        </w:rPr>
        <w:tab/>
      </w:r>
      <w:r w:rsidR="00A84A3D" w:rsidRPr="00452D74">
        <w:rPr>
          <w:rFonts w:ascii="黑体" w:eastAsia="黑体" w:hAnsi="黑体" w:hint="eastAsia"/>
        </w:rPr>
        <w:t>缺少确保在案件的准备、进行过程中和在结案后男子和妇女享有同等条件的措施；</w:t>
      </w:r>
    </w:p>
    <w:p w:rsidR="00A84A3D" w:rsidRPr="00452D74" w:rsidRDefault="006F416B" w:rsidP="006C6AA6">
      <w:pPr>
        <w:pStyle w:val="SingleTxt"/>
        <w:ind w:left="1695"/>
        <w:rPr>
          <w:rFonts w:ascii="黑体" w:eastAsia="黑体" w:hAnsi="黑体"/>
        </w:rPr>
      </w:pPr>
      <w:r w:rsidRPr="00452D74">
        <w:rPr>
          <w:rFonts w:ascii="黑体" w:eastAsia="黑体" w:hAnsi="黑体" w:hint="eastAsia"/>
        </w:rPr>
        <w:t>㈥</w:t>
      </w:r>
      <w:r w:rsidRPr="00452D74">
        <w:rPr>
          <w:rFonts w:ascii="黑体" w:eastAsia="黑体" w:hAnsi="黑体" w:hint="eastAsia"/>
        </w:rPr>
        <w:tab/>
      </w:r>
      <w:r w:rsidR="00A84A3D" w:rsidRPr="00452D74">
        <w:rPr>
          <w:rFonts w:ascii="黑体" w:eastAsia="黑体" w:hAnsi="黑体" w:hint="eastAsia"/>
        </w:rPr>
        <w:t>未能对妇女举报案件进行适当的案件管理和证据收集工作，导致案件调查工作出现系统性失误；</w:t>
      </w:r>
    </w:p>
    <w:p w:rsidR="00A84A3D" w:rsidRPr="00452D74" w:rsidRDefault="006F416B" w:rsidP="006C6AA6">
      <w:pPr>
        <w:pStyle w:val="SingleTxt"/>
        <w:ind w:left="1695"/>
        <w:rPr>
          <w:rFonts w:ascii="黑体" w:eastAsia="黑体" w:hAnsi="黑体"/>
        </w:rPr>
      </w:pPr>
      <w:r w:rsidRPr="00452D74">
        <w:rPr>
          <w:rFonts w:ascii="黑体" w:eastAsia="黑体" w:hAnsi="黑体" w:hint="eastAsia"/>
        </w:rPr>
        <w:t>㈦</w:t>
      </w:r>
      <w:r w:rsidRPr="00452D74">
        <w:rPr>
          <w:rFonts w:ascii="黑体" w:eastAsia="黑体" w:hAnsi="黑体" w:hint="eastAsia"/>
        </w:rPr>
        <w:tab/>
      </w:r>
      <w:r w:rsidR="00A84A3D" w:rsidRPr="00452D74">
        <w:rPr>
          <w:rFonts w:ascii="黑体" w:eastAsia="黑体" w:hAnsi="黑体" w:hint="eastAsia"/>
        </w:rPr>
        <w:t>对于在网上新出现或通过使用信息通信技术和新的社交媒体实施的侵犯妇女权利行为，证据收集工作面对重重障碍；</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确保女童可利用独立、安全、有效、方便和对儿童问题敏感的申诉和举报机制。此类机制应按照国际规范，特别是《儿童权利公约》的规定建立，任用受过适当培训的人员，按照儿童权利委员会第14号一般性意见的规定以有效和性别敏感的方式开展工作，确保相关女童的最佳利益为首要考虑；</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采取措施，避免女童因冲突和在家中无权而被边缘化，以及其权利因此而得不到支持的情况；在获得教育、健康(包括性和生殖健康)等服务以及在获得法律服务和利用司法系统等方面，废止必须征得父母或配偶许可的规则和做法；</w:t>
      </w:r>
    </w:p>
    <w:p w:rsidR="00A84A3D" w:rsidRPr="00452D74" w:rsidRDefault="006F416B"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保护妇女和女童不致因对宗教经文的解释和传统规范妨碍她们寻求司法救助而受到歧视。</w:t>
      </w:r>
    </w:p>
    <w:p w:rsidR="00A84A3D" w:rsidRDefault="006F416B" w:rsidP="006F416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C.</w:t>
      </w:r>
      <w:r w:rsidR="00A84A3D">
        <w:rPr>
          <w:rFonts w:hint="eastAsia"/>
        </w:rPr>
        <w:tab/>
        <w:t>司法系统内的陈规定型观念和性别偏见与能力建设的重要性</w:t>
      </w:r>
    </w:p>
    <w:p w:rsidR="006F416B" w:rsidRPr="006F416B" w:rsidRDefault="006F416B" w:rsidP="006F416B">
      <w:pPr>
        <w:pStyle w:val="SingleTxt"/>
        <w:spacing w:after="0" w:line="120" w:lineRule="exact"/>
        <w:rPr>
          <w:sz w:val="10"/>
        </w:rPr>
      </w:pPr>
    </w:p>
    <w:p w:rsidR="00A84A3D" w:rsidRDefault="00A84A3D" w:rsidP="00A84A3D">
      <w:pPr>
        <w:pStyle w:val="SingleTxt"/>
      </w:pPr>
      <w:r>
        <w:rPr>
          <w:rFonts w:hint="eastAsia"/>
        </w:rPr>
        <w:t>26.</w:t>
      </w:r>
      <w:r>
        <w:rPr>
          <w:rFonts w:hint="eastAsia"/>
        </w:rPr>
        <w:tab/>
      </w:r>
      <w:r>
        <w:rPr>
          <w:rFonts w:hint="eastAsia"/>
        </w:rPr>
        <w:t>司法系统中的陈规定型观念和性别偏见对妇女充分享有其人权造成影响深远的后果。它们妨碍妇女在法律的各个领域获得司法救助，并可能对受暴力之害的妇女和幸存者产生特别消极的影响。陈规定型观念扭曲对妇女的看法，导致以先入为主的观念和错误看法而不是根据相关事实作出裁判。法官往往采用刻板标准来判断妇女行为举止是否适当，并惩罚行为不符合这些陈规定型观念的人。陈规定型观念也影响妇女作为当事人和证人所提供的陈述、论据和证言的可信度。使用陈规定型观念可致使法官错误解释或不当适用法律。这种情况造成影响深远的后果，例如，在刑法方面导致不追究行为人侵犯妇女权利的法律责任，从而助长了有罪不罚的风气。在法律的各个领域，陈规定型观念损害了司法系统的公正性和完整性，而且可能导致审判不公，包括使申诉人再次受到伤害。</w:t>
      </w:r>
    </w:p>
    <w:p w:rsidR="00A84A3D" w:rsidRDefault="00A84A3D" w:rsidP="00A84A3D">
      <w:pPr>
        <w:pStyle w:val="SingleTxt"/>
      </w:pPr>
      <w:r>
        <w:rPr>
          <w:rFonts w:hint="eastAsia"/>
        </w:rPr>
        <w:t>27.</w:t>
      </w:r>
      <w:r>
        <w:rPr>
          <w:rFonts w:hint="eastAsia"/>
        </w:rPr>
        <w:tab/>
      </w:r>
      <w:r>
        <w:rPr>
          <w:rFonts w:hint="eastAsia"/>
        </w:rPr>
        <w:t>在司法系统中，法官、裁判官和评审员并不是唯一使用、助长和延续陈规定型观念的行为者。检察官、执法人员和其他行为者往往让陈规定型观念影响调查和审判，尤其是在性别暴力案件中，陈规定型观念削弱了受害人</w:t>
      </w:r>
      <w:r>
        <w:rPr>
          <w:rFonts w:hint="eastAsia"/>
        </w:rPr>
        <w:t>/</w:t>
      </w:r>
      <w:r>
        <w:rPr>
          <w:rFonts w:hint="eastAsia"/>
        </w:rPr>
        <w:t>幸存者的指控，同时加强了被指控行为人的辩护力度。因此，陈规定型观念可能普遍存在于调查和审判阶段，影响最终判决。</w:t>
      </w:r>
    </w:p>
    <w:p w:rsidR="00A84A3D" w:rsidRDefault="00A84A3D" w:rsidP="00A84A3D">
      <w:pPr>
        <w:pStyle w:val="SingleTxt"/>
      </w:pPr>
      <w:r>
        <w:rPr>
          <w:rFonts w:hint="eastAsia"/>
        </w:rPr>
        <w:t>28.</w:t>
      </w:r>
      <w:r>
        <w:rPr>
          <w:rFonts w:hint="eastAsia"/>
        </w:rPr>
        <w:tab/>
      </w:r>
      <w:r>
        <w:rPr>
          <w:rFonts w:hint="eastAsia"/>
        </w:rPr>
        <w:t>妇女应能信赖一个不受错误看法和陈规定型观念影响的司法系统，信赖公正性不受这些偏颇之见左右的司法机关。消除司法系统中的陈规定型观念是确保受害人和幸存者获得平等对待和正义的关键一步。</w:t>
      </w:r>
    </w:p>
    <w:p w:rsidR="00A84A3D" w:rsidRPr="00452D74" w:rsidRDefault="00A84A3D" w:rsidP="00A84A3D">
      <w:pPr>
        <w:pStyle w:val="SingleTxt"/>
        <w:rPr>
          <w:rFonts w:ascii="黑体" w:eastAsia="黑体" w:hAnsi="黑体"/>
        </w:rPr>
      </w:pPr>
      <w:r w:rsidRPr="00452D74">
        <w:rPr>
          <w:rFonts w:ascii="黑体" w:eastAsia="黑体" w:hAnsi="黑体" w:hint="eastAsia"/>
        </w:rPr>
        <w:t>29.</w:t>
      </w:r>
      <w:r w:rsidRPr="00452D74">
        <w:rPr>
          <w:rFonts w:ascii="黑体" w:eastAsia="黑体" w:hAnsi="黑体" w:hint="eastAsia"/>
        </w:rPr>
        <w:tab/>
        <w:t>委员会建议缔约国：</w:t>
      </w:r>
    </w:p>
    <w:p w:rsidR="00A84A3D" w:rsidRPr="00452D74" w:rsidRDefault="006C6AA6"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采取措施，包括为司法系统所有人员和法学系学生开展提高认识和能力建设方案，以消除性别定型观念和在司法系统的各个方面纳入性别视角；</w:t>
      </w:r>
    </w:p>
    <w:p w:rsidR="00A84A3D" w:rsidRPr="00452D74" w:rsidRDefault="006C6AA6"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提高认识和能力建设方案应纳入其他专业人员，特别是医疗保健提供者和社会工作者，因为他们在暴力侵害妇女案件和在家庭问题中能够发挥重要作用；</w:t>
      </w:r>
    </w:p>
    <w:p w:rsidR="006C6AA6" w:rsidRPr="00452D74" w:rsidRDefault="006C6AA6" w:rsidP="006C6AA6">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确保能力建设方案强调下列问题</w:t>
      </w:r>
      <w:r w:rsidR="00452D74">
        <w:rPr>
          <w:rFonts w:ascii="黑体" w:eastAsia="黑体" w:hAnsi="黑体" w:hint="eastAsia"/>
        </w:rPr>
        <w:t>：</w:t>
      </w:r>
    </w:p>
    <w:p w:rsidR="00A84A3D" w:rsidRPr="00452D74" w:rsidRDefault="006C6AA6" w:rsidP="006C6AA6">
      <w:pPr>
        <w:pStyle w:val="SingleTxt"/>
        <w:ind w:left="1695"/>
        <w:rPr>
          <w:rFonts w:ascii="黑体" w:eastAsia="黑体" w:hAnsi="黑体"/>
        </w:rPr>
      </w:pPr>
      <w:r w:rsidRPr="00452D74">
        <w:rPr>
          <w:rFonts w:ascii="黑体" w:eastAsia="黑体" w:hAnsi="黑体" w:hint="eastAsia"/>
        </w:rPr>
        <w:t>㈠</w:t>
      </w:r>
      <w:r w:rsidRPr="00452D74">
        <w:rPr>
          <w:rFonts w:ascii="黑体" w:eastAsia="黑体" w:hAnsi="黑体" w:hint="eastAsia"/>
        </w:rPr>
        <w:tab/>
      </w:r>
      <w:r w:rsidR="00A84A3D" w:rsidRPr="00452D74">
        <w:rPr>
          <w:rFonts w:ascii="黑体" w:eastAsia="黑体" w:hAnsi="黑体" w:hint="eastAsia"/>
        </w:rPr>
        <w:t>妇女作为当事人和证人所提供的陈述、论据和证言的可信度和分量问题；</w:t>
      </w:r>
    </w:p>
    <w:p w:rsidR="00A84A3D" w:rsidRPr="00452D74" w:rsidRDefault="006C6AA6" w:rsidP="006C6AA6">
      <w:pPr>
        <w:pStyle w:val="SingleTxt"/>
        <w:ind w:left="1695"/>
        <w:rPr>
          <w:rFonts w:ascii="黑体" w:eastAsia="黑体" w:hAnsi="黑体"/>
        </w:rPr>
      </w:pPr>
      <w:r w:rsidRPr="00452D74">
        <w:rPr>
          <w:rFonts w:ascii="黑体" w:eastAsia="黑体" w:hAnsi="黑体" w:hint="eastAsia"/>
        </w:rPr>
        <w:t>㈡</w:t>
      </w:r>
      <w:r w:rsidRPr="00452D74">
        <w:rPr>
          <w:rFonts w:ascii="黑体" w:eastAsia="黑体" w:hAnsi="黑体" w:hint="eastAsia"/>
        </w:rPr>
        <w:tab/>
      </w:r>
      <w:r w:rsidR="00A84A3D" w:rsidRPr="00452D74">
        <w:rPr>
          <w:rFonts w:ascii="黑体" w:eastAsia="黑体" w:hAnsi="黑体" w:hint="eastAsia"/>
        </w:rPr>
        <w:t>法官和检察官经常对妇女得当行为所持的僵化标准；</w:t>
      </w:r>
    </w:p>
    <w:p w:rsidR="00A84A3D" w:rsidRPr="00452D74" w:rsidRDefault="006C6AA6"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考虑促进对话，讨论陈规定型观念和性别偏见对司法系统的负面影响，以及改善妇女暴力受害人和幸存者所得司法结果的必要性；</w:t>
      </w:r>
    </w:p>
    <w:p w:rsidR="00A84A3D" w:rsidRPr="00452D74" w:rsidRDefault="006C6AA6"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(e)</w:t>
      </w:r>
      <w:r w:rsidRPr="00452D74">
        <w:rPr>
          <w:rFonts w:ascii="黑体" w:eastAsia="黑体" w:hAnsi="黑体" w:hint="eastAsia"/>
        </w:rPr>
        <w:tab/>
      </w:r>
      <w:r w:rsidR="00A84A3D" w:rsidRPr="00452D74">
        <w:rPr>
          <w:rFonts w:ascii="黑体" w:eastAsia="黑体" w:hAnsi="黑体" w:hint="eastAsia"/>
        </w:rPr>
        <w:t>提高对陈规定型观念和性别偏见的负面影响的认识，并鼓励采取倡导行动，消除司法系统中，特别是性别暴力案件中的陈规定型观念和性别偏见；</w:t>
      </w:r>
    </w:p>
    <w:p w:rsidR="00A84A3D" w:rsidRPr="00452D74" w:rsidRDefault="006C6AA6"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(f)</w:t>
      </w:r>
      <w:r w:rsidRPr="00452D74">
        <w:rPr>
          <w:rFonts w:ascii="黑体" w:eastAsia="黑体" w:hAnsi="黑体" w:hint="eastAsia"/>
        </w:rPr>
        <w:tab/>
      </w:r>
      <w:r w:rsidR="00A84A3D" w:rsidRPr="00452D74">
        <w:rPr>
          <w:rFonts w:ascii="黑体" w:eastAsia="黑体" w:hAnsi="黑体" w:hint="eastAsia"/>
        </w:rPr>
        <w:t>向法官、检察官、律师和执法人员提供能力建设方案，促进适用有关人权的国际法律文书，包括《公约》和委员会的判例，及促进适用禁止歧视妇女的立法。</w:t>
      </w:r>
    </w:p>
    <w:p w:rsidR="00A84A3D" w:rsidRDefault="006C6AA6" w:rsidP="006C6A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D.</w:t>
      </w:r>
      <w:r w:rsidR="00A84A3D">
        <w:rPr>
          <w:rFonts w:hint="eastAsia"/>
        </w:rPr>
        <w:tab/>
        <w:t>针对陈规定型观念的影响开展教育和提高认识活动</w:t>
      </w:r>
    </w:p>
    <w:p w:rsidR="006C6AA6" w:rsidRPr="006C6AA6" w:rsidRDefault="006C6AA6" w:rsidP="006C6AA6">
      <w:pPr>
        <w:pStyle w:val="SingleTxt"/>
        <w:spacing w:after="0" w:line="120" w:lineRule="exact"/>
        <w:rPr>
          <w:sz w:val="10"/>
        </w:rPr>
      </w:pPr>
    </w:p>
    <w:p w:rsidR="00A84A3D" w:rsidRDefault="00A84A3D" w:rsidP="00A84A3D">
      <w:pPr>
        <w:pStyle w:val="SingleTxt"/>
      </w:pPr>
      <w:r>
        <w:rPr>
          <w:rFonts w:hint="eastAsia"/>
        </w:rPr>
        <w:t>30.</w:t>
      </w:r>
      <w:r>
        <w:rPr>
          <w:rFonts w:hint="eastAsia"/>
        </w:rPr>
        <w:tab/>
      </w:r>
      <w:r>
        <w:rPr>
          <w:rFonts w:hint="eastAsia"/>
        </w:rPr>
        <w:t>为了消除影响司法救助的多重形式歧视和陈规定型观念，确保所有妇女可以有效和高效地诉诸司法，必须提供反映性别视角的教育并通过民间社会、媒体和利用信息通信技术提高公众的认识。</w:t>
      </w:r>
    </w:p>
    <w:p w:rsidR="00A84A3D" w:rsidRDefault="00A84A3D" w:rsidP="00A84A3D">
      <w:pPr>
        <w:pStyle w:val="SingleTxt"/>
      </w:pPr>
      <w:r>
        <w:rPr>
          <w:rFonts w:hint="eastAsia"/>
        </w:rPr>
        <w:t>31.</w:t>
      </w:r>
      <w:r>
        <w:rPr>
          <w:rFonts w:hint="eastAsia"/>
        </w:rPr>
        <w:tab/>
      </w:r>
      <w:r>
        <w:rPr>
          <w:rFonts w:hint="eastAsia"/>
        </w:rPr>
        <w:t>《公约》第五条</w:t>
      </w:r>
      <w:r>
        <w:rPr>
          <w:rFonts w:hint="eastAsia"/>
        </w:rPr>
        <w:t>(a)</w:t>
      </w:r>
      <w:r>
        <w:rPr>
          <w:rFonts w:hint="eastAsia"/>
        </w:rPr>
        <w:t>项规定，缔约国必须采取一切适当措施，改变社会和文化行为模式，以消除基于性别而分尊卑观念的偏见、习俗和一切其他做法。委员会在其第</w:t>
      </w:r>
      <w:r>
        <w:rPr>
          <w:rFonts w:hint="eastAsia"/>
        </w:rPr>
        <w:t>28</w:t>
      </w:r>
      <w:r>
        <w:rPr>
          <w:rFonts w:hint="eastAsia"/>
        </w:rPr>
        <w:t>号一般性建议强调，《公约》各项规定必须一并解读，以确保谴责和消除一切形式的性别歧视。</w:t>
      </w:r>
      <w:r w:rsidR="006F416B">
        <w:rPr>
          <w:rStyle w:val="a3"/>
        </w:rPr>
        <w:footnoteReference w:id="11"/>
      </w:r>
      <w:r>
        <w:rPr>
          <w:rFonts w:hint="eastAsia"/>
        </w:rPr>
        <w:t xml:space="preserve"> </w:t>
      </w:r>
    </w:p>
    <w:p w:rsidR="00A84A3D" w:rsidRDefault="006F416B" w:rsidP="006F416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rsidR="00A84A3D">
        <w:rPr>
          <w:rFonts w:hint="eastAsia"/>
        </w:rPr>
        <w:t>1</w:t>
      </w:r>
      <w:r>
        <w:t>.</w:t>
      </w:r>
      <w:r>
        <w:tab/>
      </w:r>
      <w:r w:rsidR="00A84A3D">
        <w:rPr>
          <w:rFonts w:hint="eastAsia"/>
        </w:rPr>
        <w:t>反映性别视角的教育</w:t>
      </w:r>
    </w:p>
    <w:p w:rsidR="00E04F57" w:rsidRPr="00E04F57" w:rsidRDefault="00E04F57" w:rsidP="00E04F57">
      <w:pPr>
        <w:pStyle w:val="SingleTxt"/>
        <w:spacing w:after="0" w:line="120" w:lineRule="exact"/>
        <w:rPr>
          <w:sz w:val="10"/>
        </w:rPr>
      </w:pPr>
    </w:p>
    <w:p w:rsidR="00A84A3D" w:rsidRDefault="00A84A3D" w:rsidP="00A84A3D">
      <w:pPr>
        <w:pStyle w:val="SingleTxt"/>
      </w:pPr>
      <w:r>
        <w:rPr>
          <w:rFonts w:hint="eastAsia"/>
        </w:rPr>
        <w:t>32.</w:t>
      </w:r>
      <w:r>
        <w:rPr>
          <w:rFonts w:hint="eastAsia"/>
        </w:rPr>
        <w:tab/>
      </w:r>
      <w:r>
        <w:rPr>
          <w:rFonts w:hint="eastAsia"/>
        </w:rPr>
        <w:t>不知晓自身人权的妇女无法就实现这些权利提出主张。委员会注意到，特别是在审议缔约国提交的定期报告时注意到，缔约国往往没有保证妇女利用教育、信息和法律扫盲方案的平等机会。此外，男子对妇女人权的认识也是保证不歧视和平等，特别是保证妇女可获得司法救助，所必不可少的。</w:t>
      </w:r>
    </w:p>
    <w:p w:rsidR="00A84A3D" w:rsidRPr="00452D74" w:rsidRDefault="00A84A3D" w:rsidP="00A84A3D">
      <w:pPr>
        <w:pStyle w:val="SingleTxt"/>
        <w:rPr>
          <w:rFonts w:ascii="黑体" w:eastAsia="黑体" w:hAnsi="黑体"/>
        </w:rPr>
      </w:pPr>
      <w:r w:rsidRPr="00452D74">
        <w:rPr>
          <w:rFonts w:ascii="黑体" w:eastAsia="黑体" w:hAnsi="黑体" w:hint="eastAsia"/>
        </w:rPr>
        <w:t>33.</w:t>
      </w:r>
      <w:r w:rsidRPr="00452D74">
        <w:rPr>
          <w:rFonts w:ascii="黑体" w:eastAsia="黑体" w:hAnsi="黑体" w:hint="eastAsia"/>
        </w:rPr>
        <w:tab/>
        <w:t>委员会建议缔约国：</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(a)</w:t>
      </w:r>
      <w:r w:rsidRPr="00452D74">
        <w:rPr>
          <w:rFonts w:ascii="黑体" w:eastAsia="黑体" w:hAnsi="黑体"/>
        </w:rPr>
        <w:tab/>
      </w:r>
      <w:r w:rsidR="00A84A3D" w:rsidRPr="00452D74">
        <w:rPr>
          <w:rFonts w:ascii="黑体" w:eastAsia="黑体" w:hAnsi="黑体" w:hint="eastAsia"/>
        </w:rPr>
        <w:t>在民间社会组织、学术机构和媒体的参与下发展性别问题专门知识，包括增加性别问题顾问人数；</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(b)</w:t>
      </w:r>
      <w:r w:rsidRPr="00452D74">
        <w:rPr>
          <w:rFonts w:ascii="黑体" w:eastAsia="黑体" w:hAnsi="黑体"/>
        </w:rPr>
        <w:tab/>
      </w:r>
      <w:r w:rsidR="00A84A3D" w:rsidRPr="00452D74">
        <w:rPr>
          <w:rFonts w:ascii="黑体" w:eastAsia="黑体" w:hAnsi="黑体" w:hint="eastAsia"/>
        </w:rPr>
        <w:t>以多种形式散发材料，使妇女了解其人权和可利用的司法救助机制，并使妇女了解她们是否有资格获得支助、法律援助及与司法系统接口的社会服务；</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(c)</w:t>
      </w:r>
      <w:r w:rsidRPr="00452D74">
        <w:rPr>
          <w:rFonts w:ascii="黑体" w:eastAsia="黑体" w:hAnsi="黑体"/>
        </w:rPr>
        <w:tab/>
      </w:r>
      <w:r w:rsidR="00A84A3D" w:rsidRPr="00452D74">
        <w:rPr>
          <w:rFonts w:ascii="黑体" w:eastAsia="黑体" w:hAnsi="黑体" w:hint="eastAsia"/>
        </w:rPr>
        <w:t>将有关妇女权利和性别平等的教育方案，包括法律扫盲方案，列入各级教育课程，强调妇女获得司法救助的重要性和男子与男童作为倡导者和利益攸关方应发挥的作用。</w:t>
      </w:r>
    </w:p>
    <w:p w:rsidR="00A84A3D" w:rsidRDefault="00007728" w:rsidP="000077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rsidR="00A84A3D">
        <w:rPr>
          <w:rFonts w:hint="eastAsia"/>
        </w:rPr>
        <w:t>2．</w:t>
      </w:r>
      <w:r w:rsidR="00A84A3D">
        <w:rPr>
          <w:rFonts w:hint="eastAsia"/>
        </w:rPr>
        <w:tab/>
        <w:t>通过民间社会、媒体和信息通信技术提高认识</w:t>
      </w:r>
    </w:p>
    <w:p w:rsidR="00007728" w:rsidRPr="00007728" w:rsidRDefault="00007728" w:rsidP="00007728">
      <w:pPr>
        <w:pStyle w:val="SingleTxt"/>
        <w:spacing w:after="0" w:line="120" w:lineRule="exact"/>
        <w:rPr>
          <w:sz w:val="10"/>
        </w:rPr>
      </w:pPr>
    </w:p>
    <w:p w:rsidR="00A84A3D" w:rsidRDefault="00A84A3D" w:rsidP="00A84A3D">
      <w:pPr>
        <w:pStyle w:val="SingleTxt"/>
      </w:pPr>
      <w:r>
        <w:rPr>
          <w:rFonts w:hint="eastAsia"/>
        </w:rPr>
        <w:t>34.</w:t>
      </w:r>
      <w:r>
        <w:rPr>
          <w:rFonts w:hint="eastAsia"/>
        </w:rPr>
        <w:tab/>
      </w:r>
      <w:r>
        <w:rPr>
          <w:rFonts w:hint="eastAsia"/>
        </w:rPr>
        <w:t>民间社会、媒体和信息通信技术在助长和散播性别陈规定型观念以及消除这些观念方面发挥着重要的作用。</w:t>
      </w:r>
    </w:p>
    <w:p w:rsidR="00A84A3D" w:rsidRPr="00452D74" w:rsidRDefault="00A84A3D" w:rsidP="00A84A3D">
      <w:pPr>
        <w:pStyle w:val="SingleTxt"/>
        <w:rPr>
          <w:rFonts w:ascii="黑体" w:eastAsia="黑体" w:hAnsi="黑体"/>
        </w:rPr>
      </w:pPr>
      <w:r w:rsidRPr="00452D74">
        <w:rPr>
          <w:rFonts w:ascii="黑体" w:eastAsia="黑体" w:hAnsi="黑体" w:hint="eastAsia"/>
        </w:rPr>
        <w:t>35.</w:t>
      </w:r>
      <w:r w:rsidRPr="00452D74">
        <w:rPr>
          <w:rFonts w:ascii="黑体" w:eastAsia="黑体" w:hAnsi="黑体" w:hint="eastAsia"/>
        </w:rPr>
        <w:tab/>
        <w:t>委员会建议缔约国：</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(a)</w:t>
      </w:r>
      <w:r w:rsidRPr="00452D74">
        <w:rPr>
          <w:rFonts w:ascii="黑体" w:eastAsia="黑体" w:hAnsi="黑体"/>
        </w:rPr>
        <w:tab/>
      </w:r>
      <w:r w:rsidR="00A84A3D" w:rsidRPr="00452D74">
        <w:rPr>
          <w:rFonts w:ascii="黑体" w:eastAsia="黑体" w:hAnsi="黑体" w:hint="eastAsia"/>
        </w:rPr>
        <w:t>强调在妇女的司法救助权问题上，媒体和信息通信技术可以发挥作用，消除有关妇女的文化陈规定型观念；特别注意驳斥有关性别歧视和性别暴力，包括家庭暴力、强奸和其他形式性暴力的文化陈规定型观念；</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(b)</w:t>
      </w:r>
      <w:r w:rsidRPr="00452D74">
        <w:rPr>
          <w:rFonts w:ascii="黑体" w:eastAsia="黑体" w:hAnsi="黑体"/>
        </w:rPr>
        <w:tab/>
      </w:r>
      <w:r w:rsidR="00A84A3D" w:rsidRPr="00452D74">
        <w:rPr>
          <w:rFonts w:ascii="黑体" w:eastAsia="黑体" w:hAnsi="黑体" w:hint="eastAsia"/>
        </w:rPr>
        <w:t>与社群和民间社会组织密切合作，拟订和落实措施，提高媒体和公众对妇女司法救助权的认识。这些措施应当是多维度的，针对女童和妇女以及男童和男子，并应考虑到信息通信技术改变文化和社会陈规定型观念的作用和潜力；</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(c)</w:t>
      </w:r>
      <w:r w:rsidRPr="00452D74">
        <w:rPr>
          <w:rFonts w:ascii="黑体" w:eastAsia="黑体" w:hAnsi="黑体"/>
        </w:rPr>
        <w:tab/>
      </w:r>
      <w:r w:rsidR="00A84A3D" w:rsidRPr="00452D74">
        <w:rPr>
          <w:rFonts w:ascii="黑体" w:eastAsia="黑体" w:hAnsi="黑体" w:hint="eastAsia"/>
        </w:rPr>
        <w:t>支持和促进媒体机构和信息通信技术从业人员参与有关妇女人权，特别是司法救助权的持续公开对话；</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(d)</w:t>
      </w:r>
      <w:r w:rsidRPr="00452D74">
        <w:rPr>
          <w:rFonts w:ascii="黑体" w:eastAsia="黑体" w:hAnsi="黑体"/>
        </w:rPr>
        <w:tab/>
      </w:r>
      <w:r w:rsidR="00A84A3D" w:rsidRPr="00452D74">
        <w:rPr>
          <w:rFonts w:ascii="黑体" w:eastAsia="黑体" w:hAnsi="黑体" w:hint="eastAsia"/>
        </w:rPr>
        <w:t>采取步骤营造一种文化和社会环境，在这种氛围中，妇女寻求正义被认为是合情合理的、可以接受的，不会因此遭受更多的歧视和/或污蔑。</w:t>
      </w:r>
    </w:p>
    <w:p w:rsidR="00A84A3D" w:rsidRDefault="00007728" w:rsidP="0000772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rsidR="00A84A3D">
        <w:rPr>
          <w:rFonts w:hint="eastAsia"/>
        </w:rPr>
        <w:t>E.</w:t>
      </w:r>
      <w:r w:rsidR="00A84A3D">
        <w:rPr>
          <w:rFonts w:hint="eastAsia"/>
        </w:rPr>
        <w:tab/>
        <w:t>法律援助和公设辩护</w:t>
      </w:r>
    </w:p>
    <w:p w:rsidR="00007728" w:rsidRPr="00007728" w:rsidRDefault="00007728" w:rsidP="00007728">
      <w:pPr>
        <w:pStyle w:val="SingleTxt"/>
        <w:spacing w:after="0" w:line="120" w:lineRule="exact"/>
        <w:rPr>
          <w:sz w:val="10"/>
        </w:rPr>
      </w:pPr>
    </w:p>
    <w:p w:rsidR="00A84A3D" w:rsidRDefault="00A84A3D" w:rsidP="00A84A3D">
      <w:pPr>
        <w:pStyle w:val="SingleTxt"/>
      </w:pPr>
      <w:r>
        <w:rPr>
          <w:rFonts w:hint="eastAsia"/>
        </w:rPr>
        <w:t>36.</w:t>
      </w:r>
      <w:r>
        <w:rPr>
          <w:rFonts w:hint="eastAsia"/>
        </w:rPr>
        <w:tab/>
      </w:r>
      <w:r>
        <w:rPr>
          <w:rFonts w:hint="eastAsia"/>
        </w:rPr>
        <w:t>关于保证妇女不会因经济能力而无法利用司法系统的问题，一个关键因素是在所有法律领域的司法和准司法程序方面，提供免费或低收费的法律援助、咨询和代理服务。</w:t>
      </w:r>
    </w:p>
    <w:p w:rsidR="00A84A3D" w:rsidRPr="00452D74" w:rsidRDefault="00A84A3D" w:rsidP="00A84A3D">
      <w:pPr>
        <w:pStyle w:val="SingleTxt"/>
        <w:rPr>
          <w:rFonts w:ascii="黑体" w:eastAsia="黑体" w:hAnsi="黑体"/>
        </w:rPr>
      </w:pPr>
      <w:r w:rsidRPr="00452D74">
        <w:rPr>
          <w:rFonts w:ascii="黑体" w:eastAsia="黑体" w:hAnsi="黑体" w:hint="eastAsia"/>
        </w:rPr>
        <w:t>37.</w:t>
      </w:r>
      <w:r w:rsidRPr="00452D74">
        <w:rPr>
          <w:rFonts w:ascii="黑体" w:eastAsia="黑体" w:hAnsi="黑体" w:hint="eastAsia"/>
        </w:rPr>
        <w:tab/>
        <w:t>委员会建议缔约国：</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(a)</w:t>
      </w:r>
      <w:r w:rsidRPr="00452D74">
        <w:rPr>
          <w:rFonts w:ascii="黑体" w:eastAsia="黑体" w:hAnsi="黑体"/>
        </w:rPr>
        <w:tab/>
      </w:r>
      <w:r w:rsidR="00A84A3D" w:rsidRPr="00452D74">
        <w:rPr>
          <w:rFonts w:ascii="黑体" w:eastAsia="黑体" w:hAnsi="黑体" w:hint="eastAsia"/>
        </w:rPr>
        <w:t>建立可及的、可持续的和迎合妇女需要的法律援助和公设辩护制度，确保在司法或准司法程序，包括替代性争端解决机制和恢复性司法程序的各个阶段以及时、持续、有效的方式提供这些服务，并确保法律援助人和公设辩护人可无阻地获得所有相关文件和其他信息，包括证人陈述；</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(b)</w:t>
      </w:r>
      <w:r w:rsidRPr="00452D74">
        <w:rPr>
          <w:rFonts w:ascii="黑体" w:eastAsia="黑体" w:hAnsi="黑体"/>
        </w:rPr>
        <w:tab/>
      </w:r>
      <w:r w:rsidR="00A84A3D" w:rsidRPr="00452D74">
        <w:rPr>
          <w:rFonts w:ascii="黑体" w:eastAsia="黑体" w:hAnsi="黑体" w:hint="eastAsia"/>
        </w:rPr>
        <w:t>确保法律援助人和公设辩护人称职和性别敏感、尊重保密规定，并且有足够时间为委托人辩护；</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(c)</w:t>
      </w:r>
      <w:r w:rsidRPr="00452D74">
        <w:rPr>
          <w:rFonts w:ascii="黑体" w:eastAsia="黑体" w:hAnsi="黑体"/>
        </w:rPr>
        <w:tab/>
      </w:r>
      <w:r w:rsidR="00A84A3D" w:rsidRPr="00452D74">
        <w:rPr>
          <w:rFonts w:ascii="黑体" w:eastAsia="黑体" w:hAnsi="黑体" w:hint="eastAsia"/>
        </w:rPr>
        <w:t>开展信息和提高认识方案，使妇女知道法律援助和公设辩护服务的存在和获得这些服务的条件，并有效利用信息通信技术促进这些方案；</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(d)</w:t>
      </w:r>
      <w:r w:rsidRPr="00452D74">
        <w:rPr>
          <w:rFonts w:ascii="黑体" w:eastAsia="黑体" w:hAnsi="黑体"/>
        </w:rPr>
        <w:tab/>
      </w:r>
      <w:r w:rsidR="00A84A3D" w:rsidRPr="00452D74">
        <w:rPr>
          <w:rFonts w:ascii="黑体" w:eastAsia="黑体" w:hAnsi="黑体" w:hint="eastAsia"/>
        </w:rPr>
        <w:t>与适格的非政府法律援助人发展伙伴关系和/或培训律师助理，向妇女提供信息和协助她们应付司法和准司法程序及传统司法系统的要求；</w:t>
      </w:r>
    </w:p>
    <w:p w:rsidR="00A84A3D" w:rsidRPr="00452D74" w:rsidRDefault="00007728" w:rsidP="00A84A3D">
      <w:pPr>
        <w:pStyle w:val="SingleTxt"/>
        <w:rPr>
          <w:rFonts w:ascii="黑体" w:eastAsia="黑体" w:hAnsi="黑体"/>
        </w:rPr>
      </w:pPr>
      <w:r w:rsidRPr="00452D74">
        <w:rPr>
          <w:rFonts w:ascii="黑体" w:eastAsia="黑体" w:hAnsi="黑体"/>
        </w:rPr>
        <w:tab/>
      </w:r>
      <w:r w:rsidR="00A84A3D" w:rsidRPr="00452D74">
        <w:rPr>
          <w:rFonts w:ascii="黑体" w:eastAsia="黑体" w:hAnsi="黑体" w:hint="eastAsia"/>
        </w:rPr>
        <w:t>(e)</w:t>
      </w:r>
      <w:r w:rsidRPr="00452D74">
        <w:rPr>
          <w:rFonts w:ascii="黑体" w:eastAsia="黑体" w:hAnsi="黑体"/>
        </w:rPr>
        <w:tab/>
      </w:r>
      <w:r w:rsidR="00A84A3D" w:rsidRPr="00452D74">
        <w:rPr>
          <w:rFonts w:ascii="黑体" w:eastAsia="黑体" w:hAnsi="黑体" w:hint="eastAsia"/>
        </w:rPr>
        <w:t>在家庭发生矛盾或妇女无法平等使用家庭收入的情况下，应根据妇女的实际收入和可动用资产计算经济能力以审查获得法律援助和公设辩护服务的资格。</w:t>
      </w:r>
      <w:r w:rsidRPr="00452D74">
        <w:rPr>
          <w:rStyle w:val="a3"/>
          <w:rFonts w:ascii="黑体" w:eastAsia="黑体" w:hAnsi="黑体"/>
        </w:rPr>
        <w:footnoteReference w:id="12"/>
      </w:r>
      <w:r w:rsidR="00A84A3D" w:rsidRPr="00452D74">
        <w:rPr>
          <w:rFonts w:ascii="黑体" w:eastAsia="黑体" w:hAnsi="黑体" w:hint="eastAsia"/>
        </w:rPr>
        <w:t xml:space="preserve">  </w:t>
      </w:r>
    </w:p>
    <w:p w:rsidR="00A84A3D" w:rsidRDefault="00007728" w:rsidP="0000772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rsidR="00A84A3D">
        <w:rPr>
          <w:rFonts w:hint="eastAsia"/>
        </w:rPr>
        <w:t>F．</w:t>
      </w:r>
      <w:r w:rsidR="00A84A3D">
        <w:rPr>
          <w:rFonts w:hint="eastAsia"/>
        </w:rPr>
        <w:tab/>
        <w:t>资源</w:t>
      </w:r>
    </w:p>
    <w:p w:rsidR="00007728" w:rsidRPr="00007728" w:rsidRDefault="00007728" w:rsidP="00007728">
      <w:pPr>
        <w:pStyle w:val="SingleTxt"/>
        <w:spacing w:after="0" w:line="120" w:lineRule="exact"/>
        <w:rPr>
          <w:sz w:val="10"/>
        </w:rPr>
      </w:pPr>
    </w:p>
    <w:p w:rsidR="00A84A3D" w:rsidRDefault="00A84A3D" w:rsidP="00A84A3D">
      <w:pPr>
        <w:pStyle w:val="SingleTxt"/>
      </w:pPr>
      <w:r>
        <w:rPr>
          <w:rFonts w:hint="eastAsia"/>
        </w:rPr>
        <w:t>38.</w:t>
      </w:r>
      <w:r>
        <w:rPr>
          <w:rFonts w:hint="eastAsia"/>
        </w:rPr>
        <w:tab/>
      </w:r>
      <w:r>
        <w:rPr>
          <w:rFonts w:hint="eastAsia"/>
        </w:rPr>
        <w:t>高素质人力资源与充分的技术和财政资源，是确保可诉性、可得性、可及性、优良素质、向受害人提供补救措施和司法系统的问责制所必不可少的。</w:t>
      </w:r>
    </w:p>
    <w:p w:rsidR="00A84A3D" w:rsidRPr="00452D74" w:rsidRDefault="00A84A3D" w:rsidP="00A84A3D">
      <w:pPr>
        <w:pStyle w:val="SingleTxt"/>
        <w:rPr>
          <w:rFonts w:ascii="黑体" w:eastAsia="黑体" w:hAnsi="黑体"/>
        </w:rPr>
      </w:pPr>
      <w:r w:rsidRPr="00452D74">
        <w:rPr>
          <w:rFonts w:ascii="黑体" w:eastAsia="黑体" w:hAnsi="黑体" w:hint="eastAsia"/>
        </w:rPr>
        <w:t>39.</w:t>
      </w:r>
      <w:r w:rsidRPr="00452D74">
        <w:rPr>
          <w:rFonts w:ascii="黑体" w:eastAsia="黑体" w:hAnsi="黑体" w:hint="eastAsia"/>
        </w:rPr>
        <w:tab/>
        <w:t>委员会建议缔约国：</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为司法系统各个部分，包括专设司法机构、准司法和行政机构、替代性争端解决机制、国家人权机构和监察员办公室，提供充分的预算和技术援助，分配高素质人力资源；</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在国家资源有限的情况下，向联合国系统专门机构、国际社会和民间社会等外部来源寻求支助，但同时应确保国家向司法系统提供充分的中、长期资源，以确保系统的可持续性。</w:t>
      </w:r>
    </w:p>
    <w:p w:rsidR="00A84A3D" w:rsidRDefault="005611F2" w:rsidP="005611F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三．</w:t>
      </w:r>
      <w:r w:rsidR="00A84A3D">
        <w:rPr>
          <w:rFonts w:hint="eastAsia"/>
        </w:rPr>
        <w:tab/>
        <w:t>关于具体法律领域的建议</w:t>
      </w:r>
    </w:p>
    <w:p w:rsidR="005611F2" w:rsidRPr="005611F2" w:rsidRDefault="005611F2" w:rsidP="005611F2">
      <w:pPr>
        <w:pStyle w:val="SingleTxt"/>
        <w:spacing w:after="0" w:line="120" w:lineRule="exact"/>
        <w:rPr>
          <w:sz w:val="10"/>
        </w:rPr>
      </w:pPr>
    </w:p>
    <w:p w:rsidR="005611F2" w:rsidRPr="005611F2" w:rsidRDefault="005611F2" w:rsidP="005611F2">
      <w:pPr>
        <w:pStyle w:val="SingleTxt"/>
        <w:spacing w:after="0" w:line="120" w:lineRule="exact"/>
        <w:rPr>
          <w:sz w:val="10"/>
        </w:rPr>
      </w:pPr>
    </w:p>
    <w:p w:rsidR="00A84A3D" w:rsidRDefault="00A84A3D" w:rsidP="00A84A3D">
      <w:pPr>
        <w:pStyle w:val="SingleTxt"/>
      </w:pPr>
      <w:r>
        <w:rPr>
          <w:rFonts w:hint="eastAsia"/>
        </w:rPr>
        <w:t>40.</w:t>
      </w:r>
      <w:r>
        <w:rPr>
          <w:rFonts w:hint="eastAsia"/>
        </w:rPr>
        <w:tab/>
      </w:r>
      <w:r>
        <w:rPr>
          <w:rFonts w:hint="eastAsia"/>
        </w:rPr>
        <w:t>由于世界各地的机构和司法安排多种多样，在一国内被归类为某个法律领域的一些元素在另一国内可能归入另一个领域。例如，歧视的定义未必一定列入宪法内；保护令可能见诸家事法和</w:t>
      </w:r>
      <w:r>
        <w:rPr>
          <w:rFonts w:hint="eastAsia"/>
        </w:rPr>
        <w:t>/</w:t>
      </w:r>
      <w:r>
        <w:rPr>
          <w:rFonts w:hint="eastAsia"/>
        </w:rPr>
        <w:t>或刑法；庇护和难民问题也许交由行政法庭或准司法机构处理。缔约国应据此审议以下各段。</w:t>
      </w:r>
    </w:p>
    <w:p w:rsidR="00A84A3D" w:rsidRDefault="00990D1D" w:rsidP="00990D1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A.</w:t>
      </w:r>
      <w:r w:rsidR="00A84A3D">
        <w:rPr>
          <w:rFonts w:hint="eastAsia"/>
        </w:rPr>
        <w:tab/>
        <w:t>宪法</w:t>
      </w:r>
    </w:p>
    <w:p w:rsidR="00990D1D" w:rsidRPr="00990D1D" w:rsidRDefault="00990D1D" w:rsidP="00990D1D">
      <w:pPr>
        <w:pStyle w:val="SingleTxt"/>
        <w:spacing w:after="0" w:line="120" w:lineRule="exact"/>
        <w:rPr>
          <w:sz w:val="10"/>
        </w:rPr>
      </w:pPr>
    </w:p>
    <w:p w:rsidR="00A84A3D" w:rsidRDefault="00A84A3D" w:rsidP="00A84A3D">
      <w:pPr>
        <w:pStyle w:val="SingleTxt"/>
      </w:pPr>
      <w:r>
        <w:rPr>
          <w:rFonts w:hint="eastAsia"/>
        </w:rPr>
        <w:t>41.</w:t>
      </w:r>
      <w:r>
        <w:rPr>
          <w:rFonts w:hint="eastAsia"/>
        </w:rPr>
        <w:tab/>
      </w:r>
      <w:r>
        <w:rPr>
          <w:rFonts w:hint="eastAsia"/>
        </w:rPr>
        <w:t>委员会注意到，在实践中，本国宪法保障男女实质平等和国内法律制度纳入国际人权法</w:t>
      </w:r>
      <w:r>
        <w:rPr>
          <w:rFonts w:hint="eastAsia"/>
        </w:rPr>
        <w:t>(</w:t>
      </w:r>
      <w:r>
        <w:rPr>
          <w:rFonts w:hint="eastAsia"/>
        </w:rPr>
        <w:t>包括《公约》</w:t>
      </w:r>
      <w:r>
        <w:rPr>
          <w:rFonts w:hint="eastAsia"/>
        </w:rPr>
        <w:t>)</w:t>
      </w:r>
      <w:r>
        <w:rPr>
          <w:rFonts w:hint="eastAsia"/>
        </w:rPr>
        <w:t>的缔约国较有能力在司法救助领域实现性别平等。《公约》第二条</w:t>
      </w:r>
      <w:r>
        <w:rPr>
          <w:rFonts w:hint="eastAsia"/>
        </w:rPr>
        <w:t>(a)</w:t>
      </w:r>
      <w:r>
        <w:rPr>
          <w:rFonts w:hint="eastAsia"/>
        </w:rPr>
        <w:t>项和第十五条规定，缔约国应当在本国宪法或其他适当法律列入男女平等原则，包括为此建立国家主管法庭和其他公共机构，并采取措施确保在公共和私人生活的各个领域以及在法律的各个领域实现此项原则。</w:t>
      </w:r>
    </w:p>
    <w:p w:rsidR="00A84A3D" w:rsidRPr="00452D74" w:rsidRDefault="00A84A3D" w:rsidP="00A84A3D">
      <w:pPr>
        <w:pStyle w:val="SingleTxt"/>
        <w:rPr>
          <w:rFonts w:ascii="黑体" w:eastAsia="黑体" w:hAnsi="黑体"/>
        </w:rPr>
      </w:pPr>
      <w:r w:rsidRPr="00452D74">
        <w:rPr>
          <w:rFonts w:ascii="黑体" w:eastAsia="黑体" w:hAnsi="黑体" w:hint="eastAsia"/>
        </w:rPr>
        <w:t>42.</w:t>
      </w:r>
      <w:r w:rsidRPr="00452D74">
        <w:rPr>
          <w:rFonts w:ascii="黑体" w:eastAsia="黑体" w:hAnsi="黑体" w:hint="eastAsia"/>
        </w:rPr>
        <w:tab/>
        <w:t xml:space="preserve">委员会建议缔约国： </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提供宪法保护，明确规定在公共和私人领域，包括关于人身法、家事法、婚姻法和继承法的所有事项，以及在各个法律领域实行形式平等、实质平等和不歧视；</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在国际法规定不直接适用的情况下，为有效保障妇女的司法救助权，将国际人权法全面纳入本国宪法和立法框架；</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建立确保司法复核和监测机制可得性和可及性所需的结构，以监督各项基本权利，包括性别实质平等权利的落实情况。</w:t>
      </w:r>
    </w:p>
    <w:p w:rsidR="00A84A3D" w:rsidRDefault="005611F2" w:rsidP="005611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B.</w:t>
      </w:r>
      <w:r w:rsidR="00A84A3D">
        <w:rPr>
          <w:rFonts w:hint="eastAsia"/>
        </w:rPr>
        <w:tab/>
        <w:t>民法</w:t>
      </w:r>
    </w:p>
    <w:p w:rsidR="005611F2" w:rsidRPr="005611F2" w:rsidRDefault="005611F2" w:rsidP="005611F2">
      <w:pPr>
        <w:pStyle w:val="SingleTxt"/>
        <w:spacing w:after="0" w:line="120" w:lineRule="exact"/>
        <w:rPr>
          <w:sz w:val="10"/>
        </w:rPr>
      </w:pPr>
    </w:p>
    <w:p w:rsidR="00A84A3D" w:rsidRDefault="00A84A3D" w:rsidP="00A84A3D">
      <w:pPr>
        <w:pStyle w:val="SingleTxt"/>
      </w:pPr>
      <w:r>
        <w:rPr>
          <w:rFonts w:hint="eastAsia"/>
        </w:rPr>
        <w:t>43.</w:t>
      </w:r>
      <w:r>
        <w:rPr>
          <w:rFonts w:hint="eastAsia"/>
        </w:rPr>
        <w:tab/>
      </w:r>
      <w:r>
        <w:rPr>
          <w:rFonts w:hint="eastAsia"/>
        </w:rPr>
        <w:t>在一些社群，妇女如无男亲属协助就无法求助于司法系统，社会规范也影响妇女在家庭以外行使自主权的能力。《公约》第十五条规定男女在法律面前地位平等，缔约国必须在民事事项方面给予妇女与男子相同的法律行为能力，以及行使这种能力的同样机会。妇女应可利用民法程序和补救措施的领域包括：合同、私营部门就业、人身伤害、消费者保护、继承、土地和财产权。</w:t>
      </w:r>
    </w:p>
    <w:p w:rsidR="00A84A3D" w:rsidRPr="00452D74" w:rsidRDefault="00A84A3D" w:rsidP="00A84A3D">
      <w:pPr>
        <w:pStyle w:val="SingleTxt"/>
        <w:rPr>
          <w:rFonts w:ascii="黑体" w:eastAsia="黑体" w:hAnsi="黑体"/>
        </w:rPr>
      </w:pPr>
      <w:r w:rsidRPr="00452D74">
        <w:rPr>
          <w:rFonts w:ascii="黑体" w:eastAsia="黑体" w:hAnsi="黑体" w:hint="eastAsia"/>
        </w:rPr>
        <w:t>44.</w:t>
      </w:r>
      <w:r w:rsidRPr="00452D74">
        <w:rPr>
          <w:rFonts w:ascii="黑体" w:eastAsia="黑体" w:hAnsi="黑体" w:hint="eastAsia"/>
        </w:rPr>
        <w:tab/>
        <w:t>委员会建议缔约国：</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消除利用民法程序的所有性别障碍，如规定妇女在采取法律行动前必须先行取得司法或行政当局或家人许可，或规定妇女必须出具身份证件或产权契据；</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执行《公约》第十五条第3款的规定，即旨在限制妇女法律行为能力的所有合同和其他任何具有法律效力的私人文书，应一律视为无效；</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采取积极措施，确保执行妇女签订合同和其他私人法律协议的自由。</w:t>
      </w:r>
    </w:p>
    <w:p w:rsidR="00A84A3D" w:rsidRDefault="005611F2" w:rsidP="005611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C.</w:t>
      </w:r>
      <w:r w:rsidR="00A84A3D">
        <w:rPr>
          <w:rFonts w:hint="eastAsia"/>
        </w:rPr>
        <w:tab/>
        <w:t>家事法</w:t>
      </w:r>
    </w:p>
    <w:p w:rsidR="005611F2" w:rsidRPr="005611F2" w:rsidRDefault="005611F2" w:rsidP="005611F2">
      <w:pPr>
        <w:pStyle w:val="SingleTxt"/>
        <w:spacing w:after="0" w:line="120" w:lineRule="exact"/>
        <w:rPr>
          <w:sz w:val="10"/>
        </w:rPr>
      </w:pPr>
    </w:p>
    <w:p w:rsidR="00A84A3D" w:rsidRDefault="00A84A3D" w:rsidP="00A84A3D">
      <w:pPr>
        <w:pStyle w:val="SingleTxt"/>
      </w:pPr>
      <w:r>
        <w:rPr>
          <w:rFonts w:hint="eastAsia"/>
        </w:rPr>
        <w:t>45.</w:t>
      </w:r>
      <w:r>
        <w:rPr>
          <w:rFonts w:hint="eastAsia"/>
        </w:rPr>
        <w:tab/>
      </w:r>
      <w:r>
        <w:rPr>
          <w:rFonts w:hint="eastAsia"/>
        </w:rPr>
        <w:t>家庭内的不平等是歧视妇女问题所有其他方面的根本原因，而且往往是借意识形态、传统和文化之名而行。委员会一再强调，家事法及其实施机制必须符合《公约》第二条、第十五条和第十六条所载的平等原则。</w:t>
      </w:r>
      <w:r w:rsidR="005611F2">
        <w:rPr>
          <w:rStyle w:val="a3"/>
        </w:rPr>
        <w:footnoteReference w:id="13"/>
      </w:r>
      <w:r>
        <w:rPr>
          <w:rFonts w:hint="eastAsia"/>
        </w:rPr>
        <w:t xml:space="preserve"> </w:t>
      </w:r>
    </w:p>
    <w:p w:rsidR="00A84A3D" w:rsidRPr="00452D74" w:rsidRDefault="00A84A3D" w:rsidP="00A84A3D">
      <w:pPr>
        <w:pStyle w:val="SingleTxt"/>
        <w:rPr>
          <w:rFonts w:ascii="黑体" w:eastAsia="黑体" w:hAnsi="黑体"/>
        </w:rPr>
      </w:pPr>
      <w:r w:rsidRPr="00452D74">
        <w:rPr>
          <w:rFonts w:ascii="黑体" w:eastAsia="黑体" w:hAnsi="黑体" w:hint="eastAsia"/>
        </w:rPr>
        <w:t>46.</w:t>
      </w:r>
      <w:r w:rsidRPr="00452D74">
        <w:rPr>
          <w:rFonts w:ascii="黑体" w:eastAsia="黑体" w:hAnsi="黑体" w:hint="eastAsia"/>
        </w:rPr>
        <w:tab/>
        <w:t>委员会建议缔约国：</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按照《公约》和委员会一般性建议制定成文家事法或人身法，规定配偶或伴侣可平等获得司法救助，不论其宗教或族裔身份或社群为何；</w:t>
      </w:r>
      <w:r w:rsidR="00A84A3D" w:rsidRPr="00452D74">
        <w:rPr>
          <w:rFonts w:ascii="黑体" w:eastAsia="黑体" w:hAnsi="黑体" w:hint="eastAsia"/>
          <w:vertAlign w:val="superscript"/>
        </w:rPr>
        <w:t>13</w:t>
      </w:r>
      <w:r w:rsidR="005278B6" w:rsidRPr="00452D74">
        <w:rPr>
          <w:rFonts w:ascii="黑体" w:eastAsia="黑体" w:hAnsi="黑体" w:hint="eastAsia"/>
        </w:rPr>
        <w:t xml:space="preserve"> </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考虑在同一体制框架内建立性别敏感的家事司法或准司法机制，处理财产分割协议、土地权、继承权、解散婚姻和子女监护权等问题；</w:t>
      </w:r>
    </w:p>
    <w:p w:rsidR="00A84A3D" w:rsidRPr="00452D74" w:rsidRDefault="005611F2"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在没有统一的家事法和存在多个家事法系统(如民法、土著法、宗教法和习惯法系统)的情况下，确保人身法规定个人可选择在关系任何阶段适用的家事法。国家法院应复核所有其他机构在这方面作出的决定。</w:t>
      </w:r>
    </w:p>
    <w:p w:rsidR="00A84A3D" w:rsidRDefault="005611F2" w:rsidP="005611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D.</w:t>
      </w:r>
      <w:r w:rsidR="00A84A3D">
        <w:rPr>
          <w:rFonts w:hint="eastAsia"/>
        </w:rPr>
        <w:tab/>
        <w:t>刑法</w:t>
      </w:r>
    </w:p>
    <w:p w:rsidR="005611F2" w:rsidRPr="005611F2" w:rsidRDefault="005611F2" w:rsidP="005611F2">
      <w:pPr>
        <w:pStyle w:val="SingleTxt"/>
        <w:spacing w:after="0" w:line="120" w:lineRule="exact"/>
        <w:rPr>
          <w:sz w:val="10"/>
        </w:rPr>
      </w:pPr>
    </w:p>
    <w:p w:rsidR="00A84A3D" w:rsidRDefault="00A84A3D" w:rsidP="00A84A3D">
      <w:pPr>
        <w:pStyle w:val="SingleTxt"/>
      </w:pPr>
      <w:r>
        <w:rPr>
          <w:rFonts w:hint="eastAsia"/>
        </w:rPr>
        <w:t>47.</w:t>
      </w:r>
      <w:r>
        <w:rPr>
          <w:rFonts w:hint="eastAsia"/>
        </w:rPr>
        <w:tab/>
      </w:r>
      <w:r>
        <w:rPr>
          <w:rFonts w:hint="eastAsia"/>
        </w:rPr>
        <w:t>在确保妇女能够行使其人权，包括在平等基础上获得司法救助的权利方面，刑法尤为重要。根据《公约》第二条和第十五条，缔约国有义务确保妇女获得刑法提供的保护和补救，并确保妇女无论是作为犯罪受害人还是行为人在这些机制的范围内都不受到歧视。一些刑法典或刑法和</w:t>
      </w:r>
      <w:r>
        <w:rPr>
          <w:rFonts w:hint="eastAsia"/>
        </w:rPr>
        <w:t>/</w:t>
      </w:r>
      <w:r>
        <w:rPr>
          <w:rFonts w:hint="eastAsia"/>
        </w:rPr>
        <w:t>或刑事诉讼法以下列方式歧视妇女：</w:t>
      </w:r>
    </w:p>
    <w:p w:rsidR="00A84A3D" w:rsidRDefault="005611F2" w:rsidP="00A84A3D">
      <w:pPr>
        <w:pStyle w:val="SingleTxt"/>
      </w:pPr>
      <w:r>
        <w:rPr>
          <w:rFonts w:hint="eastAsia"/>
        </w:rPr>
        <w:tab/>
      </w:r>
      <w:r w:rsidR="00A84A3D">
        <w:rPr>
          <w:rFonts w:hint="eastAsia"/>
        </w:rPr>
        <w:t>(a)</w:t>
      </w:r>
      <w:r>
        <w:rPr>
          <w:rFonts w:hint="eastAsia"/>
        </w:rPr>
        <w:tab/>
      </w:r>
      <w:r w:rsidR="00A84A3D">
        <w:rPr>
          <w:rFonts w:hint="eastAsia"/>
        </w:rPr>
        <w:t>对于某种行为，妇女行为人按刑事罪论处，男性行为人则不按刑事罪论处或从轻发落；</w:t>
      </w:r>
    </w:p>
    <w:p w:rsidR="00A84A3D" w:rsidRDefault="005611F2" w:rsidP="00A84A3D">
      <w:pPr>
        <w:pStyle w:val="SingleTxt"/>
      </w:pPr>
      <w:r>
        <w:rPr>
          <w:rFonts w:hint="eastAsia"/>
        </w:rPr>
        <w:tab/>
      </w:r>
      <w:r w:rsidR="00A84A3D">
        <w:rPr>
          <w:rFonts w:hint="eastAsia"/>
        </w:rPr>
        <w:t>(b)</w:t>
      </w:r>
      <w:r>
        <w:rPr>
          <w:rFonts w:hint="eastAsia"/>
        </w:rPr>
        <w:tab/>
      </w:r>
      <w:r w:rsidR="00A84A3D">
        <w:rPr>
          <w:rFonts w:hint="eastAsia"/>
        </w:rPr>
        <w:t>对于只能由妇女实施的某种行为，如人工流产，按刑事罪论处；</w:t>
      </w:r>
    </w:p>
    <w:p w:rsidR="00A84A3D" w:rsidRDefault="005611F2" w:rsidP="00A84A3D">
      <w:pPr>
        <w:pStyle w:val="SingleTxt"/>
      </w:pPr>
      <w:r>
        <w:rPr>
          <w:rFonts w:hint="eastAsia"/>
        </w:rPr>
        <w:tab/>
      </w:r>
      <w:r w:rsidR="00A84A3D">
        <w:rPr>
          <w:rFonts w:hint="eastAsia"/>
        </w:rPr>
        <w:t>(c)</w:t>
      </w:r>
      <w:r>
        <w:rPr>
          <w:rFonts w:hint="eastAsia"/>
        </w:rPr>
        <w:tab/>
      </w:r>
      <w:r w:rsidR="00A84A3D">
        <w:rPr>
          <w:rFonts w:hint="eastAsia"/>
        </w:rPr>
        <w:t>对于特别影响或仅仅影响妇女的犯罪行为，不按刑事罪论处或不尽职尽责防止这些行为和提供补救措施；</w:t>
      </w:r>
    </w:p>
    <w:p w:rsidR="00A84A3D" w:rsidRDefault="004B3B2F" w:rsidP="00A84A3D">
      <w:pPr>
        <w:pStyle w:val="SingleTxt"/>
      </w:pPr>
      <w:r>
        <w:rPr>
          <w:rFonts w:hint="eastAsia"/>
        </w:rPr>
        <w:tab/>
      </w:r>
      <w:r w:rsidR="00A84A3D">
        <w:rPr>
          <w:rFonts w:hint="eastAsia"/>
        </w:rPr>
        <w:t>(d)</w:t>
      </w:r>
      <w:r>
        <w:rPr>
          <w:rFonts w:hint="eastAsia"/>
        </w:rPr>
        <w:tab/>
      </w:r>
      <w:r w:rsidR="00A84A3D">
        <w:rPr>
          <w:rFonts w:hint="eastAsia"/>
        </w:rPr>
        <w:t>关押犯轻罪和</w:t>
      </w:r>
      <w:r w:rsidR="00A84A3D">
        <w:rPr>
          <w:rFonts w:hint="eastAsia"/>
        </w:rPr>
        <w:t>/</w:t>
      </w:r>
      <w:r w:rsidR="00A84A3D">
        <w:rPr>
          <w:rFonts w:hint="eastAsia"/>
        </w:rPr>
        <w:t>或无力缴交轻罪保释金的妇女。</w:t>
      </w:r>
    </w:p>
    <w:p w:rsidR="00A84A3D" w:rsidRDefault="00A84A3D" w:rsidP="00A84A3D">
      <w:pPr>
        <w:pStyle w:val="SingleTxt"/>
      </w:pPr>
      <w:r>
        <w:rPr>
          <w:rFonts w:hint="eastAsia"/>
        </w:rPr>
        <w:t>48.</w:t>
      </w:r>
      <w:r>
        <w:rPr>
          <w:rFonts w:hint="eastAsia"/>
        </w:rPr>
        <w:tab/>
      </w:r>
      <w:r>
        <w:rPr>
          <w:rFonts w:hint="eastAsia"/>
        </w:rPr>
        <w:t>委员会还着重指出，由于下列原因，妇女在刑事案件中受到歧视：缺乏替代拘留的性别敏感非羁押措施；未能满足在押妇女的具体需求；及缺乏性别敏感的监测和独立审查机制。</w:t>
      </w:r>
      <w:r w:rsidR="004B3B2F">
        <w:rPr>
          <w:rStyle w:val="a3"/>
        </w:rPr>
        <w:footnoteReference w:id="14"/>
      </w:r>
      <w:r>
        <w:rPr>
          <w:rFonts w:hint="eastAsia"/>
        </w:rPr>
        <w:t xml:space="preserve"> </w:t>
      </w:r>
      <w:r>
        <w:rPr>
          <w:rFonts w:hint="eastAsia"/>
        </w:rPr>
        <w:t>刑事司法系统二次伤害妇女影响到妇女的司法救助权，因为在逮捕、问讯和拘留过程中，妇女特别有可能受到精神和肢体虐待和威胁。</w:t>
      </w:r>
    </w:p>
    <w:p w:rsidR="00A84A3D" w:rsidRDefault="00A84A3D" w:rsidP="00A84A3D">
      <w:pPr>
        <w:pStyle w:val="SingleTxt"/>
      </w:pPr>
      <w:r>
        <w:rPr>
          <w:rFonts w:hint="eastAsia"/>
        </w:rPr>
        <w:t>49.</w:t>
      </w:r>
      <w:r>
        <w:rPr>
          <w:rFonts w:hint="eastAsia"/>
        </w:rPr>
        <w:tab/>
      </w:r>
      <w:r>
        <w:rPr>
          <w:rFonts w:hint="eastAsia"/>
        </w:rPr>
        <w:t>妇女因处境或身份犯罪的情况也特别多，如从事卖淫，移徙者的身份，被指控通奸，女同性恋者、女双性恋者、变性妇女和两性人的身份，曾接受人工流产或属于其他受歧视群体的成员。</w:t>
      </w:r>
    </w:p>
    <w:p w:rsidR="00A84A3D" w:rsidRDefault="00A84A3D" w:rsidP="00A84A3D">
      <w:pPr>
        <w:pStyle w:val="SingleTxt"/>
      </w:pPr>
      <w:r>
        <w:rPr>
          <w:rFonts w:hint="eastAsia"/>
        </w:rPr>
        <w:t>50.</w:t>
      </w:r>
      <w:r>
        <w:rPr>
          <w:rFonts w:hint="eastAsia"/>
        </w:rPr>
        <w:tab/>
      </w:r>
      <w:r>
        <w:rPr>
          <w:rFonts w:hint="eastAsia"/>
        </w:rPr>
        <w:t>委员会注意到，许多国家严重缺乏训练有素、能够按规定进行刑事调查的警察、法务和法医人员。</w:t>
      </w:r>
    </w:p>
    <w:p w:rsidR="00A84A3D" w:rsidRPr="00452D74" w:rsidRDefault="00A84A3D" w:rsidP="00A84A3D">
      <w:pPr>
        <w:pStyle w:val="SingleTxt"/>
        <w:rPr>
          <w:rFonts w:ascii="黑体" w:eastAsia="黑体" w:hAnsi="黑体"/>
        </w:rPr>
      </w:pPr>
      <w:r w:rsidRPr="00452D74">
        <w:rPr>
          <w:rFonts w:ascii="黑体" w:eastAsia="黑体" w:hAnsi="黑体" w:hint="eastAsia"/>
        </w:rPr>
        <w:t>51.</w:t>
      </w:r>
      <w:r w:rsidRPr="00452D74">
        <w:rPr>
          <w:rFonts w:ascii="黑体" w:eastAsia="黑体" w:hAnsi="黑体" w:hint="eastAsia"/>
        </w:rPr>
        <w:tab/>
        <w:t>委员会建议缔约国：</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作出应尽努力，防止、调查和惩处所有侵犯妇女的犯罪行为和提供赔偿，不论行为人是国家行为体还是非国家行为体；</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确保法定时效规定符合受害人的利益；</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采取有效措施保护妇女，使其在与执法和司法当局互动过程中免受二次伤害，并考虑在执法、惩教和检察系统中专设性别单位；</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采取适当措施，创造扶持环境以鼓励妇女主张自身权利，举报其所遭受的犯罪行为和积极参与刑事司法程序，并采取措施防止求助于司法系统的妇女遭受打击报复。应设法征询妇女团体和民间社会组织的意见，拟订这方面的立法、政策和方案；</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(e)</w:t>
      </w:r>
      <w:r w:rsidRPr="00452D74">
        <w:rPr>
          <w:rFonts w:ascii="黑体" w:eastAsia="黑体" w:hAnsi="黑体" w:hint="eastAsia"/>
        </w:rPr>
        <w:tab/>
      </w:r>
      <w:r w:rsidR="00A84A3D" w:rsidRPr="00452D74">
        <w:rPr>
          <w:rFonts w:ascii="黑体" w:eastAsia="黑体" w:hAnsi="黑体" w:hint="eastAsia"/>
        </w:rPr>
        <w:t>采取措施，包括制定立法，以保护妇女不受各种网络犯罪之害；</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(f)</w:t>
      </w:r>
      <w:r w:rsidRPr="00452D74">
        <w:rPr>
          <w:rFonts w:ascii="黑体" w:eastAsia="黑体" w:hAnsi="黑体" w:hint="eastAsia"/>
        </w:rPr>
        <w:tab/>
      </w:r>
      <w:r w:rsidR="00A84A3D" w:rsidRPr="00452D74">
        <w:rPr>
          <w:rFonts w:ascii="黑体" w:eastAsia="黑体" w:hAnsi="黑体" w:hint="eastAsia"/>
        </w:rPr>
        <w:t>在案件涉及贩运人口和有组织犯罪时，如果涉案妇女与司法当局合作，向她们提供的支助和援助，包括居留证的签发，不附带任何条件；</w:t>
      </w:r>
      <w:r w:rsidRPr="00452D74">
        <w:rPr>
          <w:rStyle w:val="a3"/>
          <w:rFonts w:ascii="黑体" w:eastAsia="黑体" w:hAnsi="黑体"/>
        </w:rPr>
        <w:footnoteReference w:id="15"/>
      </w:r>
      <w:r w:rsidR="005278B6" w:rsidRPr="00452D74">
        <w:rPr>
          <w:rFonts w:ascii="黑体" w:eastAsia="黑体" w:hAnsi="黑体" w:hint="eastAsia"/>
        </w:rPr>
        <w:t xml:space="preserve"> </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(g)</w:t>
      </w:r>
      <w:r w:rsidRPr="00452D74">
        <w:rPr>
          <w:rFonts w:ascii="黑体" w:eastAsia="黑体" w:hAnsi="黑体" w:hint="eastAsia"/>
        </w:rPr>
        <w:tab/>
      </w:r>
      <w:r w:rsidR="00A84A3D" w:rsidRPr="00452D74">
        <w:rPr>
          <w:rFonts w:ascii="黑体" w:eastAsia="黑体" w:hAnsi="黑体" w:hint="eastAsia"/>
        </w:rPr>
        <w:t>采用保密和性别敏感的方式，以避免在任何法律程序中，包括在问讯、取证和其他相关调查程序中使妇女蒙羞，包括二次伤害暴力受害人；</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(h)</w:t>
      </w:r>
      <w:r w:rsidRPr="00452D74">
        <w:rPr>
          <w:rFonts w:ascii="黑体" w:eastAsia="黑体" w:hAnsi="黑体" w:hint="eastAsia"/>
        </w:rPr>
        <w:tab/>
      </w:r>
      <w:r w:rsidR="00A84A3D" w:rsidRPr="00452D74">
        <w:rPr>
          <w:rFonts w:ascii="黑体" w:eastAsia="黑体" w:hAnsi="黑体" w:hint="eastAsia"/>
        </w:rPr>
        <w:t>审查证据规则及其实施，特别是在暴力侵害妇女案件中实施规则的情况，并采取措施，适当考虑到在刑事诉讼中受害人和被告人的公平审判权，确保举证要求不致造成诸多限制、缺乏灵活性或受到性别陈规定型观念影响；</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w:t>
      </w:r>
      <w:proofErr w:type="spellStart"/>
      <w:r w:rsidR="00A84A3D" w:rsidRPr="00452D74">
        <w:rPr>
          <w:rFonts w:ascii="黑体" w:eastAsia="黑体" w:hAnsi="黑体" w:hint="eastAsia"/>
        </w:rPr>
        <w:t>i</w:t>
      </w:r>
      <w:proofErr w:type="spellEnd"/>
      <w:r w:rsidR="00A84A3D" w:rsidRPr="00452D74">
        <w:rPr>
          <w:rFonts w:ascii="黑体" w:eastAsia="黑体" w:hAnsi="黑体" w:hint="eastAsia"/>
        </w:rPr>
        <w:t>)</w:t>
      </w:r>
      <w:r w:rsidRPr="00452D74">
        <w:rPr>
          <w:rFonts w:ascii="黑体" w:eastAsia="黑体" w:hAnsi="黑体" w:hint="eastAsia"/>
        </w:rPr>
        <w:tab/>
      </w:r>
      <w:r w:rsidR="00A84A3D" w:rsidRPr="00452D74">
        <w:rPr>
          <w:rFonts w:ascii="黑体" w:eastAsia="黑体" w:hAnsi="黑体" w:hint="eastAsia"/>
        </w:rPr>
        <w:t>改进本国刑事司法机关应对家庭暴力的能力，包括对紧急求援电话进行录音，拍摄破坏财物和暴力迹象的图片证据及考虑医生和社会工作者的报告；即使没有目击证人，这些报告也可以显示出暴力对受害人身心健康和社会福祉造成的严重影响；</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(j)</w:t>
      </w:r>
      <w:r w:rsidRPr="00452D74">
        <w:rPr>
          <w:rFonts w:ascii="黑体" w:eastAsia="黑体" w:hAnsi="黑体" w:hint="eastAsia"/>
        </w:rPr>
        <w:tab/>
      </w:r>
      <w:r w:rsidR="00A84A3D" w:rsidRPr="00452D74">
        <w:rPr>
          <w:rFonts w:ascii="黑体" w:eastAsia="黑体" w:hAnsi="黑体" w:hint="eastAsia"/>
        </w:rPr>
        <w:t>采取措施保证妇女在申请保护令时不受不当延误，并保证及时公正地审讯所有触犯刑法的性别歧视案件，包括涉及暴力的案件；</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(k)</w:t>
      </w:r>
      <w:r w:rsidRPr="00452D74">
        <w:rPr>
          <w:rFonts w:ascii="黑体" w:eastAsia="黑体" w:hAnsi="黑体" w:hint="eastAsia"/>
        </w:rPr>
        <w:tab/>
      </w:r>
      <w:r w:rsidR="00A84A3D" w:rsidRPr="00452D74">
        <w:rPr>
          <w:rFonts w:ascii="黑体" w:eastAsia="黑体" w:hAnsi="黑体" w:hint="eastAsia"/>
        </w:rPr>
        <w:t>为警察和医务人员制定收集和保全暴力侵害妇女案件的法医证据的程序，并培训足够的警察和法务、法医人员进行周密的刑事调查；</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(l)</w:t>
      </w:r>
      <w:r w:rsidRPr="00452D74">
        <w:rPr>
          <w:rFonts w:ascii="黑体" w:eastAsia="黑体" w:hAnsi="黑体" w:hint="eastAsia"/>
        </w:rPr>
        <w:tab/>
      </w:r>
      <w:r w:rsidR="00A84A3D" w:rsidRPr="00452D74">
        <w:rPr>
          <w:rFonts w:ascii="黑体" w:eastAsia="黑体" w:hAnsi="黑体" w:hint="eastAsia"/>
        </w:rPr>
        <w:t xml:space="preserve">废除歧视性的刑事罪论处规定，并审查和监测所有刑事程序，以确保不直接或间接歧视妇女；将男性行为人不按刑事罪论处或从轻发落的某种行为非刑罪化；将只能由妇女实施的某种行为非刑罪化, 如人工流产；及作出应尽努力，防止特别影响或仅仅影响妇女的犯罪并提供补救，不论行为人是国家行为体还是非国家行为体； </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(m)</w:t>
      </w:r>
      <w:r w:rsidRPr="00452D74">
        <w:rPr>
          <w:rFonts w:ascii="黑体" w:eastAsia="黑体" w:hAnsi="黑体" w:hint="eastAsia"/>
        </w:rPr>
        <w:tab/>
      </w:r>
      <w:r w:rsidR="00A84A3D" w:rsidRPr="00452D74">
        <w:rPr>
          <w:rFonts w:ascii="黑体" w:eastAsia="黑体" w:hAnsi="黑体" w:hint="eastAsia"/>
        </w:rPr>
        <w:t>密切监测量刑程序，在某些犯罪和轻罪的刑罚规定及确定有关假释或提前解除羁押的资格方面，消除对妇女的任何歧视；</w:t>
      </w:r>
    </w:p>
    <w:p w:rsidR="00A84A3D" w:rsidRPr="00452D74" w:rsidRDefault="00A84A3D" w:rsidP="00A84A3D">
      <w:pPr>
        <w:pStyle w:val="SingleTxt"/>
        <w:rPr>
          <w:rFonts w:ascii="黑体" w:eastAsia="黑体" w:hAnsi="黑体"/>
        </w:rPr>
      </w:pPr>
      <w:r w:rsidRPr="00452D74">
        <w:rPr>
          <w:rFonts w:ascii="黑体" w:eastAsia="黑体" w:hAnsi="黑体" w:hint="eastAsia"/>
        </w:rPr>
        <w:t xml:space="preserve"> </w:t>
      </w:r>
      <w:r w:rsidRPr="00452D74">
        <w:rPr>
          <w:rFonts w:ascii="黑体" w:eastAsia="黑体" w:hAnsi="黑体" w:hint="eastAsia"/>
        </w:rPr>
        <w:tab/>
        <w:t>(n)</w:t>
      </w:r>
      <w:r w:rsidR="004B3B2F" w:rsidRPr="00452D74">
        <w:rPr>
          <w:rFonts w:ascii="黑体" w:eastAsia="黑体" w:hAnsi="黑体" w:hint="eastAsia"/>
        </w:rPr>
        <w:tab/>
      </w:r>
      <w:r w:rsidRPr="00452D74">
        <w:rPr>
          <w:rFonts w:ascii="黑体" w:eastAsia="黑体" w:hAnsi="黑体" w:hint="eastAsia"/>
        </w:rPr>
        <w:t>确保设立机制监测羁押场所，特别注意女囚犯的情况，并适用关于在押妇女处遇的国际导则和标准；</w:t>
      </w:r>
      <w:r w:rsidR="004B3B2F" w:rsidRPr="00452D74">
        <w:rPr>
          <w:rStyle w:val="a3"/>
          <w:rFonts w:ascii="黑体" w:eastAsia="黑体" w:hAnsi="黑体"/>
        </w:rPr>
        <w:footnoteReference w:id="16"/>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(o)</w:t>
      </w:r>
      <w:r w:rsidRPr="00452D74">
        <w:rPr>
          <w:rFonts w:ascii="黑体" w:eastAsia="黑体" w:hAnsi="黑体" w:hint="eastAsia"/>
        </w:rPr>
        <w:tab/>
      </w:r>
      <w:r w:rsidR="00A84A3D" w:rsidRPr="00452D74">
        <w:rPr>
          <w:rFonts w:ascii="黑体" w:eastAsia="黑体" w:hAnsi="黑体" w:hint="eastAsia"/>
        </w:rPr>
        <w:t>准确编制下列数据和统计：每个拘留所关押的妇女人数；关押理由和时间；是否怀孕或带有婴儿或儿童；是否使用了法律、医疗卫生和社会服务；及利用现有的案件复核程序、非羁押替代措施和培训机会的资格和情况；</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(p)</w:t>
      </w:r>
      <w:r w:rsidRPr="00452D74">
        <w:rPr>
          <w:rFonts w:ascii="黑体" w:eastAsia="黑体" w:hAnsi="黑体" w:hint="eastAsia"/>
        </w:rPr>
        <w:tab/>
      </w:r>
      <w:r w:rsidR="00A84A3D" w:rsidRPr="00452D74">
        <w:rPr>
          <w:rFonts w:ascii="黑体" w:eastAsia="黑体" w:hAnsi="黑体" w:hint="eastAsia"/>
        </w:rPr>
        <w:t>预防性拘留应作为最后手段使用，拘留时间应尽可能短，并应避免对犯轻罪和无力缴交轻罪保释金的人采取预防性或审后拘留措施。</w:t>
      </w:r>
    </w:p>
    <w:p w:rsidR="00A84A3D" w:rsidRDefault="004B3B2F" w:rsidP="004B3B2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E.</w:t>
      </w:r>
      <w:r w:rsidR="00A84A3D">
        <w:rPr>
          <w:rFonts w:hint="eastAsia"/>
        </w:rPr>
        <w:tab/>
        <w:t>行政法、社会法和劳动法</w:t>
      </w:r>
    </w:p>
    <w:p w:rsidR="004B3B2F" w:rsidRPr="004B3B2F" w:rsidRDefault="004B3B2F" w:rsidP="004B3B2F">
      <w:pPr>
        <w:pStyle w:val="SingleTxt"/>
        <w:spacing w:after="0" w:line="120" w:lineRule="exact"/>
        <w:rPr>
          <w:sz w:val="10"/>
        </w:rPr>
      </w:pPr>
    </w:p>
    <w:p w:rsidR="00A84A3D" w:rsidRDefault="00A84A3D" w:rsidP="00A84A3D">
      <w:pPr>
        <w:pStyle w:val="SingleTxt"/>
      </w:pPr>
      <w:r>
        <w:rPr>
          <w:rFonts w:hint="eastAsia"/>
        </w:rPr>
        <w:t>52.</w:t>
      </w:r>
      <w:r>
        <w:rPr>
          <w:rFonts w:hint="eastAsia"/>
        </w:rPr>
        <w:tab/>
      </w:r>
      <w:r>
        <w:rPr>
          <w:rFonts w:hint="eastAsia"/>
        </w:rPr>
        <w:t>《公约》第二条和第十五条规定，应保证妇女可以在平等基础上获得和使用行政、社会和劳动法规定的司法和准司法机制及补救措施。下列事项多属于行政、社会和劳动法范围内的问题，对妇女尤为重要：医疗卫生服务；社会保障福利；劳工关系，包括同工同酬；雇用和晋升机会平等；公务员同工同酬；住房和土地使用规划；补助金、补贴和奖学金；补偿基金；因特网资源的治理和政策；及移徙和庇护。</w:t>
      </w:r>
      <w:r w:rsidR="00D731ED">
        <w:rPr>
          <w:rStyle w:val="a3"/>
        </w:rPr>
        <w:footnoteReference w:id="17"/>
      </w:r>
      <w:r>
        <w:rPr>
          <w:rFonts w:hint="eastAsia"/>
        </w:rPr>
        <w:t xml:space="preserve"> </w:t>
      </w:r>
    </w:p>
    <w:p w:rsidR="00A84A3D" w:rsidRPr="00452D74" w:rsidRDefault="00A84A3D" w:rsidP="00A84A3D">
      <w:pPr>
        <w:pStyle w:val="SingleTxt"/>
        <w:rPr>
          <w:rFonts w:ascii="黑体" w:eastAsia="黑体" w:hAnsi="黑体"/>
        </w:rPr>
      </w:pPr>
      <w:r w:rsidRPr="00452D74">
        <w:rPr>
          <w:rFonts w:ascii="黑体" w:eastAsia="黑体" w:hAnsi="黑体" w:hint="eastAsia"/>
        </w:rPr>
        <w:t>53.</w:t>
      </w:r>
      <w:r w:rsidRPr="00452D74">
        <w:rPr>
          <w:rFonts w:ascii="黑体" w:eastAsia="黑体" w:hAnsi="黑体" w:hint="eastAsia"/>
        </w:rPr>
        <w:tab/>
        <w:t>委员会建议缔约国：</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确保可以要求按照国际标准对行政机关所有决定进行独立复核；</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确保驳回申请的决定说明理由，申诉人能够就该决定向一主管机构提出上诉，在作出进一步司法复核之前中止执行任何先前行政决定。在庇护和移徙法方面这一点尤为重要，因为上诉人可能在其案件获审理之前被驱逐出境；</w:t>
      </w:r>
    </w:p>
    <w:p w:rsidR="00A84A3D" w:rsidRPr="00452D74" w:rsidRDefault="004B3B2F"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只在根据案情确有必要和合理的特殊情况下，作为最后手段，按照国家法律和国际标准的规定，为合法目的相称地短暂使用行政拘留；确保向妇女提供所有适当措施，包括有效的法律援助和程序，使其能够对拘留的合法性提出异议；确保在被拘留者在场的情况下定期复核行政拘留；并确保行政拘留的条件符合保护被剥夺自由妇女权利的相关国际标准。</w:t>
      </w:r>
    </w:p>
    <w:p w:rsidR="00452D74" w:rsidRPr="00452D74" w:rsidRDefault="00452D74" w:rsidP="00452D7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84A3D" w:rsidRDefault="004B3B2F" w:rsidP="004B3B2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四．</w:t>
      </w:r>
      <w:r w:rsidR="00A84A3D">
        <w:rPr>
          <w:rFonts w:hint="eastAsia"/>
        </w:rPr>
        <w:tab/>
        <w:t>关于具体机制的建议</w:t>
      </w:r>
    </w:p>
    <w:p w:rsidR="004B3B2F" w:rsidRPr="004B3B2F" w:rsidRDefault="004B3B2F" w:rsidP="004B3B2F">
      <w:pPr>
        <w:pStyle w:val="SingleTxt"/>
        <w:spacing w:after="0" w:line="120" w:lineRule="exact"/>
        <w:rPr>
          <w:sz w:val="10"/>
        </w:rPr>
      </w:pPr>
    </w:p>
    <w:p w:rsidR="004B3B2F" w:rsidRPr="004B3B2F" w:rsidRDefault="004B3B2F" w:rsidP="004B3B2F">
      <w:pPr>
        <w:pStyle w:val="SingleTxt"/>
        <w:spacing w:after="0" w:line="120" w:lineRule="exact"/>
        <w:rPr>
          <w:sz w:val="10"/>
        </w:rPr>
      </w:pPr>
    </w:p>
    <w:p w:rsidR="00A84A3D" w:rsidRDefault="004B3B2F" w:rsidP="004B3B2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A.</w:t>
      </w:r>
      <w:r w:rsidR="00A84A3D">
        <w:rPr>
          <w:rFonts w:hint="eastAsia"/>
        </w:rPr>
        <w:tab/>
        <w:t>专门司法</w:t>
      </w:r>
      <w:r w:rsidR="00990D1D">
        <w:t>/</w:t>
      </w:r>
      <w:r w:rsidR="00A84A3D">
        <w:rPr>
          <w:rFonts w:hint="eastAsia"/>
        </w:rPr>
        <w:t>准司法系统与国际</w:t>
      </w:r>
      <w:r w:rsidR="00990D1D">
        <w:t>/</w:t>
      </w:r>
      <w:r w:rsidR="00A84A3D">
        <w:rPr>
          <w:rFonts w:hint="eastAsia"/>
        </w:rPr>
        <w:t>区域司法系统</w:t>
      </w:r>
    </w:p>
    <w:p w:rsidR="004B3B2F" w:rsidRPr="004B3B2F" w:rsidRDefault="004B3B2F" w:rsidP="004B3B2F">
      <w:pPr>
        <w:pStyle w:val="SingleTxt"/>
        <w:spacing w:after="0" w:line="120" w:lineRule="exact"/>
        <w:rPr>
          <w:sz w:val="10"/>
        </w:rPr>
      </w:pPr>
    </w:p>
    <w:p w:rsidR="00A84A3D" w:rsidRDefault="00A84A3D" w:rsidP="00A84A3D">
      <w:pPr>
        <w:pStyle w:val="SingleTxt"/>
      </w:pPr>
      <w:r>
        <w:rPr>
          <w:rFonts w:hint="eastAsia"/>
        </w:rPr>
        <w:t>54.</w:t>
      </w:r>
      <w:r>
        <w:rPr>
          <w:rFonts w:hint="eastAsia"/>
        </w:rPr>
        <w:tab/>
      </w:r>
      <w:r>
        <w:rPr>
          <w:rFonts w:hint="eastAsia"/>
        </w:rPr>
        <w:t>其他专门司法和准司法机制，</w:t>
      </w:r>
      <w:r w:rsidR="00D731ED">
        <w:rPr>
          <w:rStyle w:val="a3"/>
        </w:rPr>
        <w:footnoteReference w:id="18"/>
      </w:r>
      <w:r>
        <w:rPr>
          <w:rFonts w:hint="eastAsia"/>
        </w:rPr>
        <w:t xml:space="preserve"> </w:t>
      </w:r>
      <w:r>
        <w:rPr>
          <w:rFonts w:hint="eastAsia"/>
        </w:rPr>
        <w:t>包括劳动法庭、</w:t>
      </w:r>
      <w:r w:rsidR="00D731ED">
        <w:rPr>
          <w:rStyle w:val="a3"/>
        </w:rPr>
        <w:footnoteReference w:id="19"/>
      </w:r>
      <w:r w:rsidR="00D731ED">
        <w:rPr>
          <w:rFonts w:hint="eastAsia"/>
        </w:rPr>
        <w:t xml:space="preserve"> </w:t>
      </w:r>
      <w:r>
        <w:rPr>
          <w:rFonts w:hint="eastAsia"/>
        </w:rPr>
        <w:t>土地所有权法庭、选举和军事法庭、检查机构和行政机构，</w:t>
      </w:r>
      <w:r w:rsidR="00D731ED">
        <w:rPr>
          <w:rStyle w:val="a3"/>
        </w:rPr>
        <w:footnoteReference w:id="20"/>
      </w:r>
      <w:r>
        <w:rPr>
          <w:rFonts w:hint="eastAsia"/>
        </w:rPr>
        <w:t xml:space="preserve"> </w:t>
      </w:r>
      <w:r>
        <w:rPr>
          <w:rFonts w:hint="eastAsia"/>
        </w:rPr>
        <w:t>也有义务遵守关于独立性、公正性和效率的国际标准及国际人权法的规定，包括《公约》第二条、第五条</w:t>
      </w:r>
      <w:r>
        <w:rPr>
          <w:rFonts w:hint="eastAsia"/>
        </w:rPr>
        <w:t>(a)</w:t>
      </w:r>
      <w:r>
        <w:rPr>
          <w:rFonts w:hint="eastAsia"/>
        </w:rPr>
        <w:t>项和第十五条的规定。</w:t>
      </w:r>
    </w:p>
    <w:p w:rsidR="00A84A3D" w:rsidRDefault="00A84A3D" w:rsidP="00A84A3D">
      <w:pPr>
        <w:pStyle w:val="SingleTxt"/>
      </w:pPr>
      <w:r>
        <w:rPr>
          <w:rFonts w:hint="eastAsia"/>
        </w:rPr>
        <w:t>55.</w:t>
      </w:r>
      <w:r>
        <w:rPr>
          <w:rFonts w:hint="eastAsia"/>
        </w:rPr>
        <w:tab/>
      </w:r>
      <w:r>
        <w:rPr>
          <w:rFonts w:hint="eastAsia"/>
        </w:rPr>
        <w:t>过渡和冲突后局势可能使寻求行使司法救助权的妇女面对更多的挑战。委员会第</w:t>
      </w:r>
      <w:r>
        <w:rPr>
          <w:rFonts w:hint="eastAsia"/>
        </w:rPr>
        <w:t>30</w:t>
      </w:r>
      <w:r>
        <w:rPr>
          <w:rFonts w:hint="eastAsia"/>
        </w:rPr>
        <w:t>号一般性建议强调缔约国在这种局势中向妇女提供司法救助的具体义务。</w:t>
      </w:r>
    </w:p>
    <w:p w:rsidR="00A84A3D" w:rsidRPr="00452D74" w:rsidRDefault="00A84A3D" w:rsidP="00A84A3D">
      <w:pPr>
        <w:pStyle w:val="SingleTxt"/>
        <w:rPr>
          <w:rFonts w:ascii="黑体" w:eastAsia="黑体" w:hAnsi="黑体"/>
        </w:rPr>
      </w:pPr>
      <w:r w:rsidRPr="00452D74">
        <w:rPr>
          <w:rFonts w:ascii="黑体" w:eastAsia="黑体" w:hAnsi="黑体" w:hint="eastAsia"/>
        </w:rPr>
        <w:t>56.</w:t>
      </w:r>
      <w:r w:rsidRPr="00452D74">
        <w:rPr>
          <w:rFonts w:ascii="黑体" w:eastAsia="黑体" w:hAnsi="黑体" w:hint="eastAsia"/>
        </w:rPr>
        <w:tab/>
        <w:t>委员会建议缔约国：</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采取一切适当步骤，确保妇女可以和有机会使用所有专门司法和准司法机制，并确保这些机制按照与普通法院相同的规定履行任务；</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规定对专门司法和准司法机制的裁判进行独立监测和复核；</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实施方案、政策和战略以促使和保证妇女得以在各级平等参与这些专门司法和准司法机制；</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落实第30号一般性建议第81段所载，关于妇女在过渡和冲突后局势中获得司法救助的建议，并对过渡司法机制采取综合、包容和参与性办法；</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(e)</w:t>
      </w:r>
      <w:r w:rsidRPr="00452D74">
        <w:rPr>
          <w:rFonts w:ascii="黑体" w:eastAsia="黑体" w:hAnsi="黑体" w:hint="eastAsia"/>
        </w:rPr>
        <w:tab/>
      </w:r>
      <w:r w:rsidR="00A84A3D" w:rsidRPr="00452D74">
        <w:rPr>
          <w:rFonts w:ascii="黑体" w:eastAsia="黑体" w:hAnsi="黑体" w:hint="eastAsia"/>
        </w:rPr>
        <w:t>确保本国执行有关妇女权利的际文书及国际和区域司法系统决定，并建立监测国际法实施情况的机制。</w:t>
      </w:r>
    </w:p>
    <w:p w:rsidR="00A84A3D" w:rsidRDefault="00D731ED" w:rsidP="00D731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B.</w:t>
      </w:r>
      <w:r w:rsidR="00A84A3D">
        <w:rPr>
          <w:rFonts w:hint="eastAsia"/>
        </w:rPr>
        <w:tab/>
        <w:t>替代性争端解决程序</w:t>
      </w:r>
    </w:p>
    <w:p w:rsidR="00D731ED" w:rsidRPr="00D731ED" w:rsidRDefault="00D731ED" w:rsidP="00D731ED">
      <w:pPr>
        <w:pStyle w:val="SingleTxt"/>
        <w:spacing w:after="0" w:line="120" w:lineRule="exact"/>
        <w:rPr>
          <w:sz w:val="10"/>
        </w:rPr>
      </w:pPr>
    </w:p>
    <w:p w:rsidR="00A84A3D" w:rsidRDefault="00A84A3D" w:rsidP="00A84A3D">
      <w:pPr>
        <w:pStyle w:val="SingleTxt"/>
      </w:pPr>
      <w:r>
        <w:rPr>
          <w:rFonts w:hint="eastAsia"/>
        </w:rPr>
        <w:t>57.</w:t>
      </w:r>
      <w:r>
        <w:rPr>
          <w:rFonts w:hint="eastAsia"/>
        </w:rPr>
        <w:tab/>
      </w:r>
      <w:r>
        <w:rPr>
          <w:rFonts w:hint="eastAsia"/>
        </w:rPr>
        <w:t>许多司法辖区采用下列强制或任择制度：调解、和解、仲裁、合作解决争端、调停和利益本位谈判。家事法、家庭暴力、少年司法和劳动法等领域尤其多采用这类办法。替代性争端解决程序有时被称为非正式司法，与法院正式诉讼程序相关联，但在其范围外运作。非正式替代性争端解决程序还包括非正规土著法庭和基于酋长制度的替代性争端解决办法，由酋长和其他社群领袖解决离婚、子女抚养权和土地争端等人际纠纷。对于寻求正义的妇女来说，这种程序虽然可以提供更大的灵活性、减少费用和延缓，但其运作往以重男轻女的价值观为指导思想，可能因此导致进一步侵犯妇女的权利和行为人不受惩罚，从而不利地影响妇女寻求司法复核和补救措施的机会。</w:t>
      </w:r>
    </w:p>
    <w:p w:rsidR="00A84A3D" w:rsidRPr="00452D74" w:rsidRDefault="00A84A3D" w:rsidP="00A84A3D">
      <w:pPr>
        <w:pStyle w:val="SingleTxt"/>
        <w:rPr>
          <w:rFonts w:ascii="黑体" w:eastAsia="黑体" w:hAnsi="黑体"/>
        </w:rPr>
      </w:pPr>
      <w:r w:rsidRPr="00452D74">
        <w:rPr>
          <w:rFonts w:ascii="黑体" w:eastAsia="黑体" w:hAnsi="黑体" w:hint="eastAsia"/>
        </w:rPr>
        <w:t>58.</w:t>
      </w:r>
      <w:r w:rsidRPr="00452D74">
        <w:rPr>
          <w:rFonts w:ascii="黑体" w:eastAsia="黑体" w:hAnsi="黑体" w:hint="eastAsia"/>
        </w:rPr>
        <w:tab/>
        <w:t>委员会建议缔约国：</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告知妇女其使用调解、和解、仲裁和合作解决争端办法的权利；</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保证替代性争端解决程序不限制妇女在任何法律领域寻求司法或其他补救措施，并且不会导致进一步侵犯其权利</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确保在任何情况下不得将暴力侵害妇女案件，包括家庭暴力案件，移送任何替代性争端解决程序处理。</w:t>
      </w:r>
    </w:p>
    <w:p w:rsidR="00A84A3D" w:rsidRDefault="00D731ED" w:rsidP="00D731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C.</w:t>
      </w:r>
      <w:r w:rsidR="00A84A3D">
        <w:rPr>
          <w:rFonts w:hint="eastAsia"/>
        </w:rPr>
        <w:tab/>
        <w:t>国家人权机构和监察员办公室</w:t>
      </w:r>
    </w:p>
    <w:p w:rsidR="00D731ED" w:rsidRPr="00D731ED" w:rsidRDefault="00D731ED" w:rsidP="00D731ED">
      <w:pPr>
        <w:pStyle w:val="SingleTxt"/>
        <w:spacing w:after="0" w:line="120" w:lineRule="exact"/>
        <w:rPr>
          <w:sz w:val="10"/>
        </w:rPr>
      </w:pPr>
    </w:p>
    <w:p w:rsidR="00A84A3D" w:rsidRDefault="00A84A3D" w:rsidP="00A84A3D">
      <w:pPr>
        <w:pStyle w:val="SingleTxt"/>
      </w:pPr>
      <w:r>
        <w:rPr>
          <w:rFonts w:hint="eastAsia"/>
        </w:rPr>
        <w:t>59.</w:t>
      </w:r>
      <w:r>
        <w:rPr>
          <w:rFonts w:hint="eastAsia"/>
        </w:rPr>
        <w:tab/>
      </w:r>
      <w:r>
        <w:rPr>
          <w:rFonts w:hint="eastAsia"/>
        </w:rPr>
        <w:t>建立国家人权机构和监察员办公室可能增加妇女获得司法救助的机会。</w:t>
      </w:r>
    </w:p>
    <w:p w:rsidR="00A84A3D" w:rsidRPr="00452D74" w:rsidRDefault="00A84A3D" w:rsidP="00A84A3D">
      <w:pPr>
        <w:pStyle w:val="SingleTxt"/>
        <w:rPr>
          <w:rFonts w:ascii="黑体" w:eastAsia="黑体" w:hAnsi="黑体"/>
        </w:rPr>
      </w:pPr>
      <w:r w:rsidRPr="00452D74">
        <w:rPr>
          <w:rFonts w:ascii="黑体" w:eastAsia="黑体" w:hAnsi="黑体" w:hint="eastAsia"/>
        </w:rPr>
        <w:t>60.</w:t>
      </w:r>
      <w:r w:rsidRPr="00452D74">
        <w:rPr>
          <w:rFonts w:ascii="黑体" w:eastAsia="黑体" w:hAnsi="黑体" w:hint="eastAsia"/>
        </w:rPr>
        <w:tab/>
        <w:t>委员会建议缔约国：</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(a)</w:t>
      </w:r>
      <w:r w:rsidRPr="00452D74">
        <w:rPr>
          <w:rFonts w:ascii="黑体" w:eastAsia="黑体" w:hAnsi="黑体" w:hint="eastAsia"/>
        </w:rPr>
        <w:tab/>
      </w:r>
      <w:r w:rsidR="00A84A3D" w:rsidRPr="00452D74">
        <w:rPr>
          <w:rFonts w:ascii="黑体" w:eastAsia="黑体" w:hAnsi="黑体" w:hint="eastAsia"/>
        </w:rPr>
        <w:t>采取步骤：</w:t>
      </w:r>
    </w:p>
    <w:p w:rsidR="00A84A3D" w:rsidRPr="00452D74" w:rsidRDefault="00D731ED" w:rsidP="00D731ED">
      <w:pPr>
        <w:pStyle w:val="SingleTxt"/>
        <w:ind w:left="1695"/>
        <w:rPr>
          <w:rFonts w:ascii="黑体" w:eastAsia="黑体" w:hAnsi="黑体"/>
        </w:rPr>
      </w:pPr>
      <w:r w:rsidRPr="00452D74">
        <w:rPr>
          <w:rFonts w:ascii="黑体" w:eastAsia="黑体" w:hAnsi="黑体" w:hint="eastAsia"/>
        </w:rPr>
        <w:t>㈠</w:t>
      </w:r>
      <w:r w:rsidRPr="00452D74">
        <w:rPr>
          <w:rFonts w:ascii="黑体" w:eastAsia="黑体" w:hAnsi="黑体" w:hint="eastAsia"/>
        </w:rPr>
        <w:tab/>
      </w:r>
      <w:r w:rsidR="00A84A3D" w:rsidRPr="00452D74">
        <w:rPr>
          <w:rFonts w:ascii="黑体" w:eastAsia="黑体" w:hAnsi="黑体" w:hint="eastAsia"/>
        </w:rPr>
        <w:t xml:space="preserve">提供充分资源，按照促进和保护人权国家机构地位原则(《巴黎原则》)设立可持续运作的独立国家人权机构； </w:t>
      </w:r>
    </w:p>
    <w:p w:rsidR="00A84A3D" w:rsidRPr="00452D74" w:rsidRDefault="00D731ED" w:rsidP="00D731ED">
      <w:pPr>
        <w:pStyle w:val="SingleTxt"/>
        <w:ind w:left="1695"/>
        <w:rPr>
          <w:rFonts w:ascii="黑体" w:eastAsia="黑体" w:hAnsi="黑体"/>
        </w:rPr>
      </w:pPr>
      <w:r w:rsidRPr="00452D74">
        <w:rPr>
          <w:rFonts w:ascii="黑体" w:eastAsia="黑体" w:hAnsi="黑体" w:hint="eastAsia"/>
        </w:rPr>
        <w:t>㈡</w:t>
      </w:r>
      <w:r w:rsidRPr="00452D74">
        <w:rPr>
          <w:rFonts w:ascii="黑体" w:eastAsia="黑体" w:hAnsi="黑体" w:hint="eastAsia"/>
        </w:rPr>
        <w:tab/>
      </w:r>
      <w:r w:rsidR="00A84A3D" w:rsidRPr="00452D74">
        <w:rPr>
          <w:rFonts w:ascii="黑体" w:eastAsia="黑体" w:hAnsi="黑体" w:hint="eastAsia"/>
        </w:rPr>
        <w:t>确保这些机构的组成和活动对性别问题敏感；</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(b)</w:t>
      </w:r>
      <w:r w:rsidRPr="00452D74">
        <w:rPr>
          <w:rFonts w:ascii="黑体" w:eastAsia="黑体" w:hAnsi="黑体" w:hint="eastAsia"/>
        </w:rPr>
        <w:tab/>
      </w:r>
      <w:r w:rsidR="00A84A3D" w:rsidRPr="00452D74">
        <w:rPr>
          <w:rFonts w:ascii="黑体" w:eastAsia="黑体" w:hAnsi="黑体" w:hint="eastAsia"/>
        </w:rPr>
        <w:t>给予国家人权机构广泛的任务规定并授权处理关于妇女人权的申诉；</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(c)</w:t>
      </w:r>
      <w:r w:rsidRPr="00452D74">
        <w:rPr>
          <w:rFonts w:ascii="黑体" w:eastAsia="黑体" w:hAnsi="黑体" w:hint="eastAsia"/>
        </w:rPr>
        <w:tab/>
      </w:r>
      <w:r w:rsidR="00A84A3D" w:rsidRPr="00452D74">
        <w:rPr>
          <w:rFonts w:ascii="黑体" w:eastAsia="黑体" w:hAnsi="黑体" w:hint="eastAsia"/>
        </w:rPr>
        <w:t>便利妇女平等地利用监察员办公室和国家人权机构的个人申诉程序，并提供办法使妇女能够就多重和交叉形式歧视提出主张；</w:t>
      </w:r>
    </w:p>
    <w:p w:rsidR="00A84A3D" w:rsidRPr="00452D74" w:rsidRDefault="00D731ED" w:rsidP="00A84A3D">
      <w:pPr>
        <w:pStyle w:val="SingleTxt"/>
        <w:rPr>
          <w:rFonts w:ascii="黑体" w:eastAsia="黑体" w:hAnsi="黑体"/>
        </w:rPr>
      </w:pPr>
      <w:r w:rsidRPr="00452D74">
        <w:rPr>
          <w:rFonts w:ascii="黑体" w:eastAsia="黑体" w:hAnsi="黑体" w:hint="eastAsia"/>
        </w:rPr>
        <w:tab/>
      </w:r>
      <w:r w:rsidR="00A84A3D" w:rsidRPr="00452D74">
        <w:rPr>
          <w:rFonts w:ascii="黑体" w:eastAsia="黑体" w:hAnsi="黑体" w:hint="eastAsia"/>
        </w:rPr>
        <w:t>(d)</w:t>
      </w:r>
      <w:r w:rsidRPr="00452D74">
        <w:rPr>
          <w:rFonts w:ascii="黑体" w:eastAsia="黑体" w:hAnsi="黑体" w:hint="eastAsia"/>
        </w:rPr>
        <w:tab/>
      </w:r>
      <w:r w:rsidR="00A84A3D" w:rsidRPr="00452D74">
        <w:rPr>
          <w:rFonts w:ascii="黑体" w:eastAsia="黑体" w:hAnsi="黑体" w:hint="eastAsia"/>
        </w:rPr>
        <w:t>向国家人权机构和监察员办公室提供充分资源和支持以开展研究活动。</w:t>
      </w:r>
    </w:p>
    <w:p w:rsidR="00A84A3D" w:rsidRDefault="00D731ED" w:rsidP="00D731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D.</w:t>
      </w:r>
      <w:r w:rsidR="00A84A3D">
        <w:rPr>
          <w:rFonts w:hint="eastAsia"/>
        </w:rPr>
        <w:tab/>
        <w:t>多元司法系统</w:t>
      </w:r>
    </w:p>
    <w:p w:rsidR="00D731ED" w:rsidRPr="00D731ED" w:rsidRDefault="00D731ED" w:rsidP="00D731ED">
      <w:pPr>
        <w:pStyle w:val="SingleTxt"/>
        <w:spacing w:after="0" w:line="120" w:lineRule="exact"/>
        <w:rPr>
          <w:sz w:val="10"/>
        </w:rPr>
      </w:pPr>
    </w:p>
    <w:p w:rsidR="00A84A3D" w:rsidRDefault="00A84A3D" w:rsidP="00A84A3D">
      <w:pPr>
        <w:pStyle w:val="SingleTxt"/>
      </w:pPr>
      <w:r>
        <w:rPr>
          <w:rFonts w:hint="eastAsia"/>
        </w:rPr>
        <w:t>61.</w:t>
      </w:r>
      <w:r>
        <w:rPr>
          <w:rFonts w:hint="eastAsia"/>
        </w:rPr>
        <w:tab/>
      </w:r>
      <w:r>
        <w:rPr>
          <w:rFonts w:hint="eastAsia"/>
        </w:rPr>
        <w:t>委员会指出，在某一缔约国内，国家法律、法规、程序和决定与宗教、习惯、土著或社群法律和实践并存。多元司法系统由此而生。因此，国内有多个法律渊源，有的可能被正式承认为国家法律秩序的一部分，有的可能在没有明确法律依据的情况下运作。缔约国有义务依照《公约》第二条、第五条</w:t>
      </w:r>
      <w:r>
        <w:rPr>
          <w:rFonts w:hint="eastAsia"/>
        </w:rPr>
        <w:t>(a)</w:t>
      </w:r>
      <w:r>
        <w:rPr>
          <w:rFonts w:hint="eastAsia"/>
        </w:rPr>
        <w:t>项和第十五条和其他国际人权文书的规定，确保多元司法系统所有组成部分同样尊重妇女权利和保护妇女使其人权不受侵犯。</w:t>
      </w:r>
      <w:r w:rsidR="00D731ED">
        <w:rPr>
          <w:rStyle w:val="a3"/>
        </w:rPr>
        <w:footnoteReference w:id="21"/>
      </w:r>
      <w:r>
        <w:rPr>
          <w:rFonts w:hint="eastAsia"/>
        </w:rPr>
        <w:t xml:space="preserve"> </w:t>
      </w:r>
    </w:p>
    <w:p w:rsidR="00A84A3D" w:rsidRDefault="00A84A3D" w:rsidP="00A84A3D">
      <w:pPr>
        <w:pStyle w:val="SingleTxt"/>
      </w:pPr>
      <w:r>
        <w:rPr>
          <w:rFonts w:hint="eastAsia"/>
        </w:rPr>
        <w:t>62.</w:t>
      </w:r>
      <w:r>
        <w:rPr>
          <w:rFonts w:hint="eastAsia"/>
        </w:rPr>
        <w:tab/>
      </w:r>
      <w:r>
        <w:rPr>
          <w:rFonts w:hint="eastAsia"/>
        </w:rPr>
        <w:t>多元司法系统的存在本身可能对妇女获得司法救助造成限制，因为它延续和助长了歧视性社会规范。在许多情况下，尽管多元司法系统提供多个寻求司法救助的渠道，但妇女还是无法有效地择地行诉。委员会注意到，在一些基于习俗、宗教或社群规范的家事法和／或人身法系统与民法系统并存的缔约国中，个别妇女对两个系统的认识可能不一，也可能无权自行决定适用的制度。</w:t>
      </w:r>
    </w:p>
    <w:p w:rsidR="00A84A3D" w:rsidRDefault="00A84A3D" w:rsidP="00A84A3D">
      <w:pPr>
        <w:pStyle w:val="SingleTxt"/>
      </w:pPr>
      <w:r>
        <w:rPr>
          <w:rFonts w:hint="eastAsia"/>
        </w:rPr>
        <w:t>63.</w:t>
      </w:r>
      <w:r>
        <w:rPr>
          <w:rFonts w:hint="eastAsia"/>
        </w:rPr>
        <w:tab/>
      </w:r>
      <w:r>
        <w:rPr>
          <w:rFonts w:hint="eastAsia"/>
        </w:rPr>
        <w:t>委员会注意到，有许多模式可用以使多元司法系统内的做法与《公约》相协调，以期尽可能减少法律冲突和保障妇女司法救助权。这些模式包括立法明确界定现有多元司法系统之间的关系，设立国家复核机制，正式承认和编纂宗教、习惯、土著、社群和其他系统的法律。缔约国和非国家行为体必须共同努力，研究多元司法系统如何能够齐心协力加强对妇女权利的保护。</w:t>
      </w:r>
      <w:r w:rsidR="00D731ED">
        <w:rPr>
          <w:rStyle w:val="a3"/>
        </w:rPr>
        <w:footnoteReference w:id="22"/>
      </w:r>
      <w:r>
        <w:rPr>
          <w:rFonts w:hint="eastAsia"/>
        </w:rPr>
        <w:t xml:space="preserve"> </w:t>
      </w:r>
    </w:p>
    <w:p w:rsidR="00A84A3D" w:rsidRPr="00452D74" w:rsidRDefault="00A84A3D" w:rsidP="00A84A3D">
      <w:pPr>
        <w:pStyle w:val="SingleTxt"/>
        <w:rPr>
          <w:rFonts w:ascii="黑体" w:eastAsia="黑体" w:hAnsi="黑体"/>
        </w:rPr>
      </w:pPr>
      <w:r w:rsidRPr="00452D74">
        <w:rPr>
          <w:rFonts w:ascii="黑体" w:eastAsia="黑体" w:hAnsi="黑体" w:hint="eastAsia"/>
        </w:rPr>
        <w:t>64.</w:t>
      </w:r>
      <w:r w:rsidRPr="00452D74">
        <w:rPr>
          <w:rFonts w:ascii="黑体" w:eastAsia="黑体" w:hAnsi="黑体" w:hint="eastAsia"/>
        </w:rPr>
        <w:tab/>
        <w:t>委员会建议缔约国与非国家行为体合作：</w:t>
      </w:r>
    </w:p>
    <w:p w:rsidR="00A84A3D" w:rsidRPr="00452D74" w:rsidRDefault="00A84A3D" w:rsidP="00A84A3D">
      <w:pPr>
        <w:pStyle w:val="SingleTxt"/>
        <w:rPr>
          <w:rFonts w:ascii="黑体" w:eastAsia="黑体" w:hAnsi="黑体"/>
        </w:rPr>
      </w:pPr>
      <w:r w:rsidRPr="00452D74">
        <w:rPr>
          <w:rFonts w:ascii="黑体" w:eastAsia="黑体" w:hAnsi="黑体"/>
        </w:rPr>
        <w:tab/>
      </w:r>
      <w:r w:rsidRPr="00452D74">
        <w:rPr>
          <w:rFonts w:ascii="黑体" w:eastAsia="黑体" w:hAnsi="黑体" w:hint="eastAsia"/>
        </w:rPr>
        <w:t>(a)</w:t>
      </w:r>
      <w:r w:rsidRPr="00452D74">
        <w:rPr>
          <w:rFonts w:ascii="黑体" w:eastAsia="黑体" w:hAnsi="黑体"/>
        </w:rPr>
        <w:tab/>
      </w:r>
      <w:r w:rsidRPr="00452D74">
        <w:rPr>
          <w:rFonts w:ascii="黑体" w:eastAsia="黑体" w:hAnsi="黑体" w:hint="eastAsia"/>
        </w:rPr>
        <w:t>立即采取措施，包括为司法系统人员制定关于《公约》和妇女权利的能力建设和培训方案，确保宗教、习惯、土著和社群司法系统的规范、程序和实践与《公约》和其他国际人权文书所载的人权标准相协调；</w:t>
      </w:r>
    </w:p>
    <w:p w:rsidR="00A84A3D" w:rsidRPr="00452D74" w:rsidRDefault="00A84A3D" w:rsidP="00A84A3D">
      <w:pPr>
        <w:pStyle w:val="SingleTxt"/>
        <w:rPr>
          <w:rFonts w:ascii="黑体" w:eastAsia="黑体" w:hAnsi="黑体"/>
        </w:rPr>
      </w:pPr>
      <w:r w:rsidRPr="00452D74">
        <w:rPr>
          <w:rFonts w:ascii="黑体" w:eastAsia="黑体" w:hAnsi="黑体"/>
        </w:rPr>
        <w:tab/>
      </w:r>
      <w:r w:rsidRPr="00452D74">
        <w:rPr>
          <w:rFonts w:ascii="黑体" w:eastAsia="黑体" w:hAnsi="黑体" w:hint="eastAsia"/>
        </w:rPr>
        <w:t>(b)</w:t>
      </w:r>
      <w:r w:rsidRPr="00452D74">
        <w:rPr>
          <w:rFonts w:ascii="黑体" w:eastAsia="黑体" w:hAnsi="黑体"/>
        </w:rPr>
        <w:tab/>
      </w:r>
      <w:r w:rsidRPr="00452D74">
        <w:rPr>
          <w:rFonts w:ascii="黑体" w:eastAsia="黑体" w:hAnsi="黑体" w:hint="eastAsia"/>
        </w:rPr>
        <w:t>立法调整多元司法制度内各机制之间的关系以减少潜在冲突；</w:t>
      </w:r>
    </w:p>
    <w:p w:rsidR="00A84A3D" w:rsidRPr="00452D74" w:rsidRDefault="00A84A3D" w:rsidP="00A84A3D">
      <w:pPr>
        <w:pStyle w:val="SingleTxt"/>
        <w:rPr>
          <w:rFonts w:ascii="黑体" w:eastAsia="黑体" w:hAnsi="黑体"/>
        </w:rPr>
      </w:pPr>
      <w:r w:rsidRPr="00452D74">
        <w:rPr>
          <w:rFonts w:ascii="黑体" w:eastAsia="黑体" w:hAnsi="黑体"/>
        </w:rPr>
        <w:tab/>
      </w:r>
      <w:r w:rsidRPr="00452D74">
        <w:rPr>
          <w:rFonts w:ascii="黑体" w:eastAsia="黑体" w:hAnsi="黑体" w:hint="eastAsia"/>
        </w:rPr>
        <w:t>(c)</w:t>
      </w:r>
      <w:r w:rsidRPr="00452D74">
        <w:rPr>
          <w:rFonts w:ascii="黑体" w:eastAsia="黑体" w:hAnsi="黑体"/>
        </w:rPr>
        <w:tab/>
      </w:r>
      <w:r w:rsidRPr="00452D74">
        <w:rPr>
          <w:rFonts w:ascii="黑体" w:eastAsia="黑体" w:hAnsi="黑体" w:hint="eastAsia"/>
        </w:rPr>
        <w:t>为防止侵犯妇女人权制定保障措施，规定国家法院或行政机构有权审查多元司法系统各个组成部分的活动，特别是农村法庭和传统法庭的活动；</w:t>
      </w:r>
    </w:p>
    <w:p w:rsidR="00A84A3D" w:rsidRPr="00452D74" w:rsidRDefault="00A84A3D" w:rsidP="00A84A3D">
      <w:pPr>
        <w:pStyle w:val="SingleTxt"/>
        <w:rPr>
          <w:rFonts w:ascii="黑体" w:eastAsia="黑体" w:hAnsi="黑体"/>
        </w:rPr>
      </w:pPr>
      <w:r w:rsidRPr="00452D74">
        <w:rPr>
          <w:rFonts w:ascii="黑体" w:eastAsia="黑体" w:hAnsi="黑体"/>
        </w:rPr>
        <w:tab/>
      </w:r>
      <w:r w:rsidRPr="00452D74">
        <w:rPr>
          <w:rFonts w:ascii="黑体" w:eastAsia="黑体" w:hAnsi="黑体" w:hint="eastAsia"/>
        </w:rPr>
        <w:t>(d)</w:t>
      </w:r>
      <w:r w:rsidRPr="00452D74">
        <w:rPr>
          <w:rFonts w:ascii="黑体" w:eastAsia="黑体" w:hAnsi="黑体"/>
        </w:rPr>
        <w:tab/>
      </w:r>
      <w:r w:rsidRPr="00452D74">
        <w:rPr>
          <w:rFonts w:ascii="黑体" w:eastAsia="黑体" w:hAnsi="黑体" w:hint="eastAsia"/>
        </w:rPr>
        <w:t>确保妇女可以作出真正和明智的选择，决定适用的法律和自行选定审理其主张的法庭；</w:t>
      </w:r>
    </w:p>
    <w:p w:rsidR="00A84A3D" w:rsidRPr="00452D74" w:rsidRDefault="00A84A3D" w:rsidP="00A84A3D">
      <w:pPr>
        <w:pStyle w:val="SingleTxt"/>
        <w:rPr>
          <w:rFonts w:ascii="黑体" w:eastAsia="黑体" w:hAnsi="黑体"/>
        </w:rPr>
      </w:pPr>
      <w:r w:rsidRPr="00452D74">
        <w:rPr>
          <w:rFonts w:ascii="黑体" w:eastAsia="黑体" w:hAnsi="黑体"/>
        </w:rPr>
        <w:tab/>
      </w:r>
      <w:r w:rsidRPr="00452D74">
        <w:rPr>
          <w:rFonts w:ascii="黑体" w:eastAsia="黑体" w:hAnsi="黑体" w:hint="eastAsia"/>
        </w:rPr>
        <w:t>(e)</w:t>
      </w:r>
      <w:r w:rsidRPr="00452D74">
        <w:rPr>
          <w:rFonts w:ascii="黑体" w:eastAsia="黑体" w:hAnsi="黑体"/>
        </w:rPr>
        <w:tab/>
      </w:r>
      <w:r w:rsidRPr="00452D74">
        <w:rPr>
          <w:rFonts w:ascii="黑体" w:eastAsia="黑体" w:hAnsi="黑体" w:hint="eastAsia"/>
        </w:rPr>
        <w:t>确保妇女可利用法律援助服务，使她们能够通过聘请合格的本地支助人员提供法律援助，在各多元司法系统内主张自己的权利；</w:t>
      </w:r>
    </w:p>
    <w:p w:rsidR="00A84A3D" w:rsidRPr="00452D74" w:rsidRDefault="00A84A3D" w:rsidP="00A84A3D">
      <w:pPr>
        <w:pStyle w:val="SingleTxt"/>
        <w:rPr>
          <w:rFonts w:ascii="黑体" w:eastAsia="黑体" w:hAnsi="黑体"/>
        </w:rPr>
      </w:pPr>
      <w:r w:rsidRPr="00452D74">
        <w:rPr>
          <w:rFonts w:ascii="黑体" w:eastAsia="黑体" w:hAnsi="黑体"/>
        </w:rPr>
        <w:tab/>
      </w:r>
      <w:r w:rsidRPr="00452D74">
        <w:rPr>
          <w:rFonts w:ascii="黑体" w:eastAsia="黑体" w:hAnsi="黑体" w:hint="eastAsia"/>
        </w:rPr>
        <w:t>(f)</w:t>
      </w:r>
      <w:r w:rsidRPr="00452D74">
        <w:rPr>
          <w:rFonts w:ascii="黑体" w:eastAsia="黑体" w:hAnsi="黑体"/>
        </w:rPr>
        <w:tab/>
      </w:r>
      <w:r w:rsidRPr="00452D74">
        <w:rPr>
          <w:rFonts w:ascii="黑体" w:eastAsia="黑体" w:hAnsi="黑体" w:hint="eastAsia"/>
        </w:rPr>
        <w:t>确保妇女在各级平等参与为监测、评价和报告多元司法系统运作情况而设的机构；</w:t>
      </w:r>
    </w:p>
    <w:p w:rsidR="00A84A3D" w:rsidRPr="00452D74" w:rsidRDefault="00A84A3D" w:rsidP="00A84A3D">
      <w:pPr>
        <w:pStyle w:val="SingleTxt"/>
        <w:rPr>
          <w:rFonts w:ascii="黑体" w:eastAsia="黑体" w:hAnsi="黑体"/>
          <w:spacing w:val="-4"/>
        </w:rPr>
      </w:pPr>
      <w:r w:rsidRPr="00452D74">
        <w:rPr>
          <w:rFonts w:ascii="黑体" w:eastAsia="黑体" w:hAnsi="黑体"/>
        </w:rPr>
        <w:tab/>
      </w:r>
      <w:r w:rsidRPr="00452D74">
        <w:rPr>
          <w:rFonts w:ascii="黑体" w:eastAsia="黑体" w:hAnsi="黑体" w:hint="eastAsia"/>
          <w:spacing w:val="-4"/>
        </w:rPr>
        <w:t>(g)</w:t>
      </w:r>
      <w:r w:rsidRPr="00452D74">
        <w:rPr>
          <w:rFonts w:ascii="黑体" w:eastAsia="黑体" w:hAnsi="黑体"/>
          <w:spacing w:val="-4"/>
        </w:rPr>
        <w:tab/>
      </w:r>
      <w:r w:rsidRPr="00452D74">
        <w:rPr>
          <w:rFonts w:ascii="黑体" w:eastAsia="黑体" w:hAnsi="黑体" w:hint="eastAsia"/>
          <w:spacing w:val="-4"/>
        </w:rPr>
        <w:t>促进多元司法系统之间的建设性对话和正式联系，包括制定信息共享程序。</w:t>
      </w:r>
    </w:p>
    <w:p w:rsidR="00452D74" w:rsidRPr="00452D74" w:rsidRDefault="00452D74" w:rsidP="00452D7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84A3D" w:rsidRDefault="00D731ED" w:rsidP="00D731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sidR="00A84A3D">
        <w:rPr>
          <w:rFonts w:hint="eastAsia"/>
        </w:rPr>
        <w:t>五.</w:t>
      </w:r>
      <w:r w:rsidR="00A84A3D">
        <w:rPr>
          <w:rFonts w:hint="eastAsia"/>
        </w:rPr>
        <w:tab/>
        <w:t>撤回对《公约》的保留</w:t>
      </w:r>
    </w:p>
    <w:p w:rsidR="00D731ED" w:rsidRPr="00D731ED" w:rsidRDefault="00D731ED" w:rsidP="00D731ED">
      <w:pPr>
        <w:pStyle w:val="SingleTxt"/>
        <w:spacing w:after="0" w:line="120" w:lineRule="exact"/>
        <w:rPr>
          <w:sz w:val="10"/>
        </w:rPr>
      </w:pPr>
    </w:p>
    <w:p w:rsidR="00D731ED" w:rsidRPr="00D731ED" w:rsidRDefault="00D731ED" w:rsidP="00D731ED">
      <w:pPr>
        <w:pStyle w:val="SingleTxt"/>
        <w:spacing w:after="0" w:line="120" w:lineRule="exact"/>
        <w:rPr>
          <w:sz w:val="10"/>
        </w:rPr>
      </w:pPr>
    </w:p>
    <w:p w:rsidR="00A84A3D" w:rsidRDefault="00A84A3D" w:rsidP="00A84A3D">
      <w:pPr>
        <w:pStyle w:val="SingleTxt"/>
      </w:pPr>
      <w:r>
        <w:rPr>
          <w:rFonts w:hint="eastAsia"/>
        </w:rPr>
        <w:t>65.</w:t>
      </w:r>
      <w:r>
        <w:rPr>
          <w:rFonts w:hint="eastAsia"/>
        </w:rPr>
        <w:tab/>
      </w:r>
      <w:r>
        <w:rPr>
          <w:rFonts w:hint="eastAsia"/>
        </w:rPr>
        <w:t>许多国家对下列条款作出保留：</w:t>
      </w:r>
    </w:p>
    <w:p w:rsidR="00A84A3D" w:rsidRDefault="00A84A3D" w:rsidP="00A84A3D">
      <w:pPr>
        <w:pStyle w:val="SingleTxt"/>
      </w:pPr>
      <w:r>
        <w:tab/>
      </w:r>
      <w:r>
        <w:rPr>
          <w:rFonts w:hint="eastAsia"/>
        </w:rPr>
        <w:t>(a)</w:t>
      </w:r>
      <w:r>
        <w:tab/>
      </w:r>
      <w:r>
        <w:rPr>
          <w:rFonts w:hint="eastAsia"/>
        </w:rPr>
        <w:t>第二条</w:t>
      </w:r>
      <w:r>
        <w:rPr>
          <w:rFonts w:hint="eastAsia"/>
        </w:rPr>
        <w:t>(c)</w:t>
      </w:r>
      <w:r>
        <w:rPr>
          <w:rFonts w:hint="eastAsia"/>
        </w:rPr>
        <w:t>项：缔约国承担为妇女与男子平等的权利确立法律保护，通过各国的主管法庭及其他公共机构，保证切实保护妇女不受任何歧视；</w:t>
      </w:r>
      <w:r>
        <w:rPr>
          <w:rFonts w:hint="eastAsia"/>
        </w:rPr>
        <w:t xml:space="preserve"> </w:t>
      </w:r>
    </w:p>
    <w:p w:rsidR="00A84A3D" w:rsidRDefault="00A84A3D" w:rsidP="00A84A3D">
      <w:pPr>
        <w:pStyle w:val="SingleTxt"/>
      </w:pPr>
      <w:r>
        <w:tab/>
      </w:r>
      <w:r>
        <w:rPr>
          <w:rFonts w:hint="eastAsia"/>
        </w:rPr>
        <w:t>(b)</w:t>
      </w:r>
      <w:r>
        <w:tab/>
      </w:r>
      <w:r>
        <w:rPr>
          <w:rFonts w:hint="eastAsia"/>
        </w:rPr>
        <w:t>第五条</w:t>
      </w:r>
      <w:r>
        <w:rPr>
          <w:rFonts w:hint="eastAsia"/>
        </w:rPr>
        <w:t>(a)</w:t>
      </w:r>
      <w:r>
        <w:rPr>
          <w:rFonts w:hint="eastAsia"/>
        </w:rPr>
        <w:t>项：缔约国应采取一切适当措施改变男女的社会和文化行为模式，以消除基于性别而分尊卑观念或基于男女定型任务的偏见、习俗和一切其他做法；</w:t>
      </w:r>
    </w:p>
    <w:p w:rsidR="00A84A3D" w:rsidRDefault="00A84A3D" w:rsidP="00A84A3D">
      <w:pPr>
        <w:pStyle w:val="SingleTxt"/>
      </w:pPr>
      <w:r>
        <w:tab/>
      </w:r>
      <w:r>
        <w:rPr>
          <w:rFonts w:hint="eastAsia"/>
        </w:rPr>
        <w:t>(c)</w:t>
      </w:r>
      <w:r>
        <w:tab/>
      </w:r>
      <w:r>
        <w:rPr>
          <w:rFonts w:hint="eastAsia"/>
        </w:rPr>
        <w:t>第十五条第</w:t>
      </w:r>
      <w:r>
        <w:rPr>
          <w:rFonts w:hint="eastAsia"/>
        </w:rPr>
        <w:t>2</w:t>
      </w:r>
      <w:r>
        <w:rPr>
          <w:rFonts w:hint="eastAsia"/>
        </w:rPr>
        <w:t>款：缔约国应在公民事务上，给予妇女与男子同等的法律行为能力，以及行使这种行为能力的相同机会；并应给予妇女签订合同和管理财产的平等权利，及在法院和法庭诉讼的各个阶段给予平等待遇；</w:t>
      </w:r>
    </w:p>
    <w:p w:rsidR="00A84A3D" w:rsidRDefault="00A84A3D" w:rsidP="00A84A3D">
      <w:pPr>
        <w:pStyle w:val="SingleTxt"/>
      </w:pPr>
      <w:r>
        <w:tab/>
      </w:r>
      <w:r>
        <w:rPr>
          <w:rFonts w:hint="eastAsia"/>
        </w:rPr>
        <w:t>(d)</w:t>
      </w:r>
      <w:r>
        <w:tab/>
      </w:r>
      <w:r>
        <w:rPr>
          <w:rFonts w:hint="eastAsia"/>
        </w:rPr>
        <w:t>第十六条：缔约各国应采取一切适当措施，消除在有关婚姻和家庭关系的一切事项上对妇女的歧视。</w:t>
      </w:r>
    </w:p>
    <w:p w:rsidR="00A84A3D" w:rsidRPr="00452D74" w:rsidRDefault="00A84A3D" w:rsidP="00A84A3D">
      <w:pPr>
        <w:pStyle w:val="SingleTxt"/>
        <w:rPr>
          <w:rFonts w:ascii="黑体" w:eastAsia="黑体" w:hAnsi="黑体"/>
        </w:rPr>
      </w:pPr>
      <w:r w:rsidRPr="00452D74">
        <w:rPr>
          <w:rFonts w:ascii="黑体" w:eastAsia="黑体" w:hAnsi="黑体" w:hint="eastAsia"/>
        </w:rPr>
        <w:t>66.</w:t>
      </w:r>
      <w:r w:rsidRPr="00452D74">
        <w:rPr>
          <w:rFonts w:ascii="黑体" w:eastAsia="黑体" w:hAnsi="黑体" w:hint="eastAsia"/>
        </w:rPr>
        <w:tab/>
        <w:t>鉴于妇女获得司法救助的根本重要性，委员会建议缔约国撤回其对《公约》的保留，特别是对第二条(c)项、第五条(a)项、第十五条和第十六条的保留。</w:t>
      </w:r>
    </w:p>
    <w:p w:rsidR="00452D74" w:rsidRPr="00452D74" w:rsidRDefault="00452D74" w:rsidP="00452D7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84A3D" w:rsidRDefault="00A84A3D" w:rsidP="00A84A3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rPr>
          <w:rFonts w:hint="eastAsia"/>
        </w:rPr>
        <w:t>六.</w:t>
      </w:r>
      <w:r>
        <w:rPr>
          <w:rFonts w:hint="eastAsia"/>
        </w:rPr>
        <w:tab/>
        <w:t>《公约任择议定书》的批准</w:t>
      </w:r>
    </w:p>
    <w:p w:rsidR="00A84A3D" w:rsidRPr="00A84A3D" w:rsidRDefault="00A84A3D" w:rsidP="00A84A3D">
      <w:pPr>
        <w:pStyle w:val="SingleTxt"/>
        <w:spacing w:after="0" w:line="120" w:lineRule="exact"/>
        <w:rPr>
          <w:sz w:val="10"/>
        </w:rPr>
      </w:pPr>
    </w:p>
    <w:p w:rsidR="00A84A3D" w:rsidRPr="00A84A3D" w:rsidRDefault="00A84A3D" w:rsidP="00A84A3D">
      <w:pPr>
        <w:pStyle w:val="SingleTxt"/>
        <w:spacing w:after="0" w:line="120" w:lineRule="exact"/>
        <w:rPr>
          <w:sz w:val="10"/>
        </w:rPr>
      </w:pPr>
    </w:p>
    <w:p w:rsidR="00A84A3D" w:rsidRDefault="00A84A3D" w:rsidP="00A84A3D">
      <w:pPr>
        <w:pStyle w:val="SingleTxt"/>
      </w:pPr>
      <w:r>
        <w:rPr>
          <w:rFonts w:hint="eastAsia"/>
        </w:rPr>
        <w:t>67.</w:t>
      </w:r>
      <w:r>
        <w:rPr>
          <w:rFonts w:hint="eastAsia"/>
        </w:rPr>
        <w:tab/>
      </w:r>
      <w:r>
        <w:rPr>
          <w:rFonts w:hint="eastAsia"/>
        </w:rPr>
        <w:t>《公约任择议定书》增设了一个国际法律机制，使妇女能够就指称的侵犯《公约》规定权利行为提出申诉，并使委员会能够对指称的严重或系统侵犯《公约》规定权利行为进行调查，从而加强妇女的司法救助权。通过根据《任择议定书》对个人来文作出的决定，委员会树立了一些关于妇女获得司法救助，包括有关暴力侵害妇女、</w:t>
      </w:r>
      <w:r w:rsidR="00D731ED">
        <w:rPr>
          <w:rStyle w:val="a3"/>
        </w:rPr>
        <w:footnoteReference w:id="23"/>
      </w:r>
      <w:r>
        <w:rPr>
          <w:rFonts w:hint="eastAsia"/>
        </w:rPr>
        <w:t xml:space="preserve"> </w:t>
      </w:r>
      <w:r>
        <w:rPr>
          <w:rFonts w:hint="eastAsia"/>
        </w:rPr>
        <w:t>在押妇女、</w:t>
      </w:r>
      <w:r w:rsidR="00D731ED">
        <w:rPr>
          <w:rStyle w:val="a3"/>
        </w:rPr>
        <w:footnoteReference w:id="24"/>
      </w:r>
      <w:r>
        <w:rPr>
          <w:rFonts w:hint="eastAsia"/>
        </w:rPr>
        <w:t xml:space="preserve"> </w:t>
      </w:r>
      <w:r>
        <w:rPr>
          <w:rFonts w:hint="eastAsia"/>
        </w:rPr>
        <w:t>健康</w:t>
      </w:r>
      <w:r w:rsidR="00D731ED">
        <w:rPr>
          <w:rStyle w:val="a3"/>
        </w:rPr>
        <w:footnoteReference w:id="25"/>
      </w:r>
      <w:r>
        <w:rPr>
          <w:rFonts w:hint="eastAsia"/>
        </w:rPr>
        <w:t xml:space="preserve"> </w:t>
      </w:r>
      <w:r>
        <w:rPr>
          <w:rFonts w:hint="eastAsia"/>
        </w:rPr>
        <w:t>和就业</w:t>
      </w:r>
      <w:r w:rsidR="00D731ED">
        <w:rPr>
          <w:rStyle w:val="a3"/>
        </w:rPr>
        <w:footnoteReference w:id="26"/>
      </w:r>
      <w:r>
        <w:rPr>
          <w:rFonts w:hint="eastAsia"/>
        </w:rPr>
        <w:t xml:space="preserve"> </w:t>
      </w:r>
      <w:r>
        <w:rPr>
          <w:rFonts w:hint="eastAsia"/>
        </w:rPr>
        <w:t>的显著判例。</w:t>
      </w:r>
    </w:p>
    <w:p w:rsidR="00A84A3D" w:rsidRPr="00452D74" w:rsidRDefault="00A84A3D" w:rsidP="00A84A3D">
      <w:pPr>
        <w:pStyle w:val="SingleTxt"/>
        <w:rPr>
          <w:rFonts w:ascii="黑体" w:eastAsia="黑体" w:hAnsi="黑体"/>
        </w:rPr>
      </w:pPr>
      <w:r w:rsidRPr="00452D74">
        <w:rPr>
          <w:rFonts w:ascii="黑体" w:eastAsia="黑体" w:hAnsi="黑体" w:hint="eastAsia"/>
        </w:rPr>
        <w:t>68.</w:t>
      </w:r>
      <w:r w:rsidRPr="00452D74">
        <w:rPr>
          <w:rFonts w:ascii="黑体" w:eastAsia="黑体" w:hAnsi="黑体" w:hint="eastAsia"/>
        </w:rPr>
        <w:tab/>
        <w:t>委员会建议缔约国：</w:t>
      </w:r>
    </w:p>
    <w:p w:rsidR="00A84A3D" w:rsidRPr="00452D74" w:rsidRDefault="00A84A3D" w:rsidP="00A84A3D">
      <w:pPr>
        <w:pStyle w:val="SingleTxt"/>
        <w:rPr>
          <w:rFonts w:ascii="黑体" w:eastAsia="黑体" w:hAnsi="黑体"/>
        </w:rPr>
      </w:pPr>
      <w:r w:rsidRPr="00452D74">
        <w:rPr>
          <w:rFonts w:ascii="黑体" w:eastAsia="黑体" w:hAnsi="黑体"/>
        </w:rPr>
        <w:tab/>
      </w:r>
      <w:r w:rsidRPr="00452D74">
        <w:rPr>
          <w:rFonts w:ascii="黑体" w:eastAsia="黑体" w:hAnsi="黑体" w:hint="eastAsia"/>
        </w:rPr>
        <w:t>(a)</w:t>
      </w:r>
      <w:r w:rsidRPr="00452D74">
        <w:rPr>
          <w:rFonts w:ascii="黑体" w:eastAsia="黑体" w:hAnsi="黑体"/>
        </w:rPr>
        <w:tab/>
      </w:r>
      <w:r w:rsidRPr="00452D74">
        <w:rPr>
          <w:rFonts w:ascii="黑体" w:eastAsia="黑体" w:hAnsi="黑体" w:hint="eastAsia"/>
        </w:rPr>
        <w:t>批准《任择议定书》；</w:t>
      </w:r>
    </w:p>
    <w:p w:rsidR="008F0F12" w:rsidRPr="00452D74" w:rsidRDefault="00A84A3D" w:rsidP="00A84A3D">
      <w:pPr>
        <w:pStyle w:val="SingleTxt"/>
        <w:rPr>
          <w:rFonts w:ascii="黑体" w:eastAsia="黑体" w:hAnsi="黑体"/>
        </w:rPr>
      </w:pPr>
      <w:r w:rsidRPr="00452D74">
        <w:rPr>
          <w:rFonts w:ascii="黑体" w:eastAsia="黑体" w:hAnsi="黑体"/>
        </w:rPr>
        <w:tab/>
      </w:r>
      <w:r w:rsidRPr="00452D74">
        <w:rPr>
          <w:rFonts w:ascii="黑体" w:eastAsia="黑体" w:hAnsi="黑体" w:hint="eastAsia"/>
        </w:rPr>
        <w:t>(b)</w:t>
      </w:r>
      <w:r w:rsidRPr="00452D74">
        <w:rPr>
          <w:rFonts w:ascii="黑体" w:eastAsia="黑体" w:hAnsi="黑体"/>
        </w:rPr>
        <w:tab/>
      </w:r>
      <w:r w:rsidRPr="00452D74">
        <w:rPr>
          <w:rFonts w:ascii="黑体" w:eastAsia="黑体" w:hAnsi="黑体" w:hint="eastAsia"/>
        </w:rPr>
        <w:t>采取行动并鼓励以各种语文和形式制作和传播外联和教育方案、资源和活动，向妇女、民间社会组织和机构宣传可通过《任择议定书》促进妇女司法救助的程序。</w:t>
      </w:r>
    </w:p>
    <w:p w:rsidR="00A84A3D" w:rsidRPr="00A84A3D" w:rsidRDefault="004F4652" w:rsidP="00A84A3D">
      <w:pPr>
        <w:pStyle w:val="SingleTxt"/>
        <w:spacing w:after="0" w:line="240" w:lineRule="auto"/>
        <w:rPr>
          <w:rStyle w:val="a4"/>
          <w:color w:val="auto"/>
          <w:w w:val="100"/>
          <w:sz w:val="20"/>
          <w:vertAlign w:val="baseline"/>
        </w:rPr>
      </w:pPr>
      <w:r>
        <w:rPr>
          <w:noProof/>
          <w:sz w:val="20"/>
        </w:rPr>
        <mc:AlternateContent>
          <mc:Choice Requires="wps">
            <w:drawing>
              <wp:anchor distT="0" distB="0" distL="114300" distR="114300" simplePos="0" relativeHeight="251659264" behindDoc="0" locked="0" layoutInCell="1" allowOverlap="1" wp14:anchorId="242BE6A3" wp14:editId="433BC35F">
                <wp:simplePos x="0" y="0"/>
                <wp:positionH relativeFrom="column">
                  <wp:posOffset>2628265</wp:posOffset>
                </wp:positionH>
                <wp:positionV relativeFrom="paragraph">
                  <wp:posOffset>165100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95pt,13pt" to="278.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" strokecolor="#010000" strokeweight=".25pt"/>
            </w:pict>
          </mc:Fallback>
        </mc:AlternateContent>
      </w:r>
    </w:p>
    <w:sectPr w:rsidR="00A84A3D" w:rsidRPr="00A84A3D" w:rsidSect="008F0F12">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2T18:29:00Z" w:initials="Start">
    <w:p w:rsidR="00744E4E" w:rsidRDefault="00744E4E">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F04C12">
        <w:rPr>
          <w:rFonts w:hint="eastAsia"/>
          <w:noProof/>
        </w:rPr>
        <w:t>页</w:t>
      </w:r>
      <w:r w:rsidR="00F04C12">
        <w:rPr>
          <w:rFonts w:hint="eastAsia"/>
          <w:noProof/>
        </w:rPr>
        <w:t xml:space="preserve">: </w:t>
      </w:r>
      <w:r w:rsidR="00F04C12">
        <w:rPr>
          <w:noProof/>
        </w:rPr>
        <w:t>1</w:t>
      </w:r>
      <w:r w:rsidR="00F04C12">
        <w:rPr>
          <w:rFonts w:hint="eastAsia"/>
          <w:noProof/>
        </w:rPr>
        <w:br/>
      </w:r>
      <w:r>
        <w:fldChar w:fldCharType="end"/>
      </w:r>
      <w:r>
        <w:rPr>
          <w:rStyle w:val="a9"/>
        </w:rPr>
        <w:annotationRef/>
      </w:r>
      <w:r>
        <w:t>&lt;&lt;ODS JOB NO&gt;&gt;N1524189C&lt;&lt;ODS JOB NO&gt;&gt;</w:t>
      </w:r>
    </w:p>
    <w:p w:rsidR="00744E4E" w:rsidRDefault="00744E4E">
      <w:pPr>
        <w:pStyle w:val="a7"/>
      </w:pPr>
      <w:r>
        <w:t>&lt;&lt;ODS DOC SYMBOL1&gt;&gt;CEDAW/C/GC/33&lt;&lt;ODS DOC SYMBOL1&gt;&gt;</w:t>
      </w:r>
    </w:p>
    <w:p w:rsidR="00744E4E" w:rsidRDefault="00744E4E">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E4E" w:rsidRDefault="00744E4E">
      <w:r>
        <w:separator/>
      </w:r>
    </w:p>
  </w:endnote>
  <w:endnote w:type="continuationSeparator" w:id="0">
    <w:p w:rsidR="00744E4E" w:rsidRDefault="00744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44E4E" w:rsidTr="008F0F12">
      <w:tc>
        <w:tcPr>
          <w:tcW w:w="5028" w:type="dxa"/>
          <w:shd w:val="clear" w:color="auto" w:fill="auto"/>
        </w:tcPr>
        <w:p w:rsidR="00744E4E" w:rsidRPr="008F0F12" w:rsidRDefault="00744E4E" w:rsidP="008F0F12">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4C12">
            <w:rPr>
              <w:b w:val="0"/>
              <w:w w:val="103"/>
              <w:sz w:val="14"/>
            </w:rPr>
            <w:t>15-13094 (C)</w:t>
          </w:r>
          <w:r>
            <w:rPr>
              <w:b w:val="0"/>
              <w:w w:val="103"/>
              <w:sz w:val="14"/>
            </w:rPr>
            <w:fldChar w:fldCharType="end"/>
          </w:r>
        </w:p>
      </w:tc>
      <w:tc>
        <w:tcPr>
          <w:tcW w:w="5028" w:type="dxa"/>
          <w:shd w:val="clear" w:color="auto" w:fill="auto"/>
        </w:tcPr>
        <w:p w:rsidR="00744E4E" w:rsidRPr="008F0F12" w:rsidRDefault="00744E4E" w:rsidP="008F0F12">
          <w:pPr>
            <w:pStyle w:val="ac"/>
            <w:jc w:val="left"/>
            <w:rPr>
              <w:w w:val="103"/>
            </w:rPr>
          </w:pPr>
          <w:r>
            <w:rPr>
              <w:w w:val="103"/>
            </w:rPr>
            <w:fldChar w:fldCharType="begin"/>
          </w:r>
          <w:r>
            <w:rPr>
              <w:w w:val="103"/>
            </w:rPr>
            <w:instrText xml:space="preserve"> PAGE  \* Arabic  \* MERGEFORMAT </w:instrText>
          </w:r>
          <w:r>
            <w:rPr>
              <w:w w:val="103"/>
            </w:rPr>
            <w:fldChar w:fldCharType="separate"/>
          </w:r>
          <w:r w:rsidR="002A6125">
            <w:rPr>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A6125">
            <w:rPr>
              <w:w w:val="103"/>
            </w:rPr>
            <w:t>22</w:t>
          </w:r>
          <w:r>
            <w:rPr>
              <w:w w:val="103"/>
            </w:rPr>
            <w:fldChar w:fldCharType="end"/>
          </w:r>
        </w:p>
      </w:tc>
    </w:tr>
  </w:tbl>
  <w:p w:rsidR="00744E4E" w:rsidRPr="008F0F12" w:rsidRDefault="00744E4E" w:rsidP="008F0F12">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44E4E" w:rsidTr="008F0F12">
      <w:tc>
        <w:tcPr>
          <w:tcW w:w="5028" w:type="dxa"/>
          <w:shd w:val="clear" w:color="auto" w:fill="auto"/>
        </w:tcPr>
        <w:p w:rsidR="00744E4E" w:rsidRPr="008F0F12" w:rsidRDefault="00744E4E" w:rsidP="008F0F12">
          <w:pPr>
            <w:pStyle w:val="ac"/>
            <w:jc w:val="right"/>
          </w:pPr>
          <w:r>
            <w:fldChar w:fldCharType="begin"/>
          </w:r>
          <w:r>
            <w:instrText xml:space="preserve"> PAGE  \* Arabic  \* MERGEFORMAT </w:instrText>
          </w:r>
          <w:r>
            <w:fldChar w:fldCharType="separate"/>
          </w:r>
          <w:r w:rsidR="002A6125">
            <w:t>21</w:t>
          </w:r>
          <w:r>
            <w:fldChar w:fldCharType="end"/>
          </w:r>
          <w:r>
            <w:t>/</w:t>
          </w:r>
          <w:fldSimple w:instr=" NUMPAGES  \* Arabic  \* MERGEFORMAT ">
            <w:r w:rsidR="002A6125">
              <w:t>22</w:t>
            </w:r>
          </w:fldSimple>
        </w:p>
      </w:tc>
      <w:tc>
        <w:tcPr>
          <w:tcW w:w="5028" w:type="dxa"/>
          <w:shd w:val="clear" w:color="auto" w:fill="auto"/>
        </w:tcPr>
        <w:p w:rsidR="00744E4E" w:rsidRPr="008F0F12" w:rsidRDefault="00744E4E" w:rsidP="008F0F12">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4C12">
            <w:rPr>
              <w:b w:val="0"/>
              <w:w w:val="103"/>
              <w:sz w:val="14"/>
            </w:rPr>
            <w:t>15-13094 (C)</w:t>
          </w:r>
          <w:r>
            <w:rPr>
              <w:b w:val="0"/>
              <w:w w:val="103"/>
              <w:sz w:val="14"/>
            </w:rPr>
            <w:fldChar w:fldCharType="end"/>
          </w:r>
        </w:p>
      </w:tc>
    </w:tr>
  </w:tbl>
  <w:p w:rsidR="00744E4E" w:rsidRPr="008F0F12" w:rsidRDefault="00744E4E" w:rsidP="008F0F12">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744E4E" w:rsidTr="008F0F12">
      <w:tc>
        <w:tcPr>
          <w:tcW w:w="3744" w:type="dxa"/>
        </w:tcPr>
        <w:p w:rsidR="00744E4E" w:rsidRDefault="00B2654A" w:rsidP="008F0F12">
          <w:pPr>
            <w:pStyle w:val="Release"/>
          </w:pPr>
          <w:r w:rsidRPr="00B2654A">
            <w:t xml:space="preserve">15-13094 </w:t>
          </w:r>
          <w:r>
            <w:t xml:space="preserve">X </w:t>
          </w:r>
          <w:r w:rsidRPr="00B2654A">
            <w:t>(C)</w:t>
          </w:r>
          <w:r w:rsidR="00744E4E">
            <w:rPr>
              <w:noProof/>
            </w:rPr>
            <w:drawing>
              <wp:anchor distT="0" distB="0" distL="114300" distR="114300" simplePos="0" relativeHeight="251658240" behindDoc="0" locked="0" layoutInCell="1" allowOverlap="1" wp14:anchorId="34C25413" wp14:editId="1E203F10">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GC/33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C/33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44E4E">
            <w:t xml:space="preserve">    </w:t>
          </w:r>
          <w:r>
            <w:t>3009</w:t>
          </w:r>
          <w:r w:rsidR="00744E4E">
            <w:t>15    0</w:t>
          </w:r>
          <w:r>
            <w:t>5</w:t>
          </w:r>
          <w:r w:rsidR="00744E4E">
            <w:t>1015</w:t>
          </w:r>
        </w:p>
        <w:p w:rsidR="00744E4E" w:rsidRPr="008F0F12" w:rsidRDefault="00744E4E" w:rsidP="008F0F12">
          <w:pPr>
            <w:spacing w:before="80" w:line="210" w:lineRule="exact"/>
            <w:rPr>
              <w:rFonts w:ascii="Barcode 3 of 9 by request" w:hAnsi="Barcode 3 of 9 by request"/>
              <w:sz w:val="24"/>
            </w:rPr>
          </w:pPr>
          <w:r>
            <w:rPr>
              <w:rFonts w:ascii="Barcode 3 of 9 by request" w:hAnsi="Barcode 3 of 9 by request"/>
              <w:sz w:val="24"/>
            </w:rPr>
            <w:t>*1513094*</w:t>
          </w:r>
        </w:p>
      </w:tc>
      <w:tc>
        <w:tcPr>
          <w:tcW w:w="5028" w:type="dxa"/>
        </w:tcPr>
        <w:p w:rsidR="00744E4E" w:rsidRDefault="00744E4E" w:rsidP="008F0F12">
          <w:pPr>
            <w:pStyle w:val="ac"/>
            <w:jc w:val="right"/>
            <w:rPr>
              <w:b w:val="0"/>
              <w:sz w:val="21"/>
            </w:rPr>
          </w:pPr>
          <w:r>
            <w:rPr>
              <w:b w:val="0"/>
              <w:sz w:val="21"/>
            </w:rPr>
            <w:drawing>
              <wp:inline distT="0" distB="0" distL="0" distR="0" wp14:anchorId="561FFA57" wp14:editId="23D3B7E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744E4E" w:rsidRPr="008F0F12" w:rsidRDefault="00744E4E" w:rsidP="008F0F12">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E4E" w:rsidRPr="00A84A3D" w:rsidRDefault="00744E4E" w:rsidP="00A84A3D">
      <w:pPr>
        <w:pStyle w:val="ac"/>
        <w:spacing w:after="80"/>
        <w:ind w:left="792"/>
        <w:rPr>
          <w:sz w:val="16"/>
        </w:rPr>
      </w:pPr>
      <w:r w:rsidRPr="00A84A3D">
        <w:rPr>
          <w:sz w:val="16"/>
        </w:rPr>
        <w:t>__________________</w:t>
      </w:r>
    </w:p>
  </w:footnote>
  <w:footnote w:type="continuationSeparator" w:id="0">
    <w:p w:rsidR="00744E4E" w:rsidRPr="00A84A3D" w:rsidRDefault="00744E4E" w:rsidP="00A84A3D">
      <w:pPr>
        <w:pStyle w:val="ac"/>
        <w:spacing w:after="80"/>
        <w:ind w:left="792"/>
        <w:rPr>
          <w:sz w:val="16"/>
        </w:rPr>
      </w:pPr>
      <w:r w:rsidRPr="00A84A3D">
        <w:rPr>
          <w:sz w:val="16"/>
        </w:rPr>
        <w:t>__________________</w:t>
      </w:r>
    </w:p>
  </w:footnote>
  <w:footnote w:id="1">
    <w:p w:rsidR="00744E4E" w:rsidRDefault="00744E4E" w:rsidP="00A84A3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例见《世界人权宣言》第</w:t>
      </w:r>
      <w:r>
        <w:t>7</w:t>
      </w:r>
      <w:r>
        <w:rPr>
          <w:lang w:val="zh-TW" w:eastAsia="zh-TW"/>
        </w:rPr>
        <w:t>条</w:t>
      </w:r>
      <w:r>
        <w:rPr>
          <w:rFonts w:ascii="宋体" w:hAnsi="宋体" w:cs="宋体"/>
          <w:lang w:val="zh-TW" w:eastAsia="zh-TW"/>
        </w:rPr>
        <w:t>和第</w:t>
      </w:r>
      <w:r>
        <w:t>8</w:t>
      </w:r>
      <w:r>
        <w:rPr>
          <w:rFonts w:ascii="宋体" w:hAnsi="宋体" w:cs="宋体"/>
          <w:lang w:val="zh-TW" w:eastAsia="zh-TW"/>
        </w:rPr>
        <w:t>条、《公民权利和政治权利国际公约》第</w:t>
      </w:r>
      <w:r>
        <w:t>2</w:t>
      </w:r>
      <w:r>
        <w:rPr>
          <w:lang w:val="zh-TW" w:eastAsia="zh-TW"/>
        </w:rPr>
        <w:t>条</w:t>
      </w:r>
      <w:r>
        <w:rPr>
          <w:rFonts w:ascii="宋体" w:hAnsi="宋体" w:cs="宋体"/>
          <w:lang w:val="zh-TW" w:eastAsia="zh-TW"/>
        </w:rPr>
        <w:t>和第</w:t>
      </w:r>
      <w:r>
        <w:t>14</w:t>
      </w:r>
      <w:r>
        <w:rPr>
          <w:rFonts w:ascii="宋体" w:hAnsi="宋体" w:cs="宋体"/>
          <w:lang w:val="zh-TW" w:eastAsia="zh-TW"/>
        </w:rPr>
        <w:t>条和《经济、社会及文化权利国际公约》第</w:t>
      </w:r>
      <w:r>
        <w:t>2</w:t>
      </w:r>
      <w:r w:rsidR="005278B6">
        <w:rPr>
          <w:rFonts w:ascii="宋体" w:hAnsi="宋体" w:cs="宋体"/>
          <w:lang w:val="zh-TW" w:eastAsia="zh-TW"/>
        </w:rPr>
        <w:t>(</w:t>
      </w:r>
      <w:r>
        <w:t>2</w:t>
      </w:r>
      <w:r w:rsidR="005278B6">
        <w:rPr>
          <w:rFonts w:ascii="宋体" w:hAnsi="宋体" w:cs="宋体"/>
          <w:lang w:val="zh-TW" w:eastAsia="zh-TW"/>
        </w:rPr>
        <w:t>)</w:t>
      </w:r>
      <w:r>
        <w:rPr>
          <w:rFonts w:ascii="宋体" w:hAnsi="宋体" w:cs="宋体"/>
          <w:lang w:val="zh-TW" w:eastAsia="zh-TW"/>
        </w:rPr>
        <w:t>条和第</w:t>
      </w:r>
      <w:r>
        <w:t>3</w:t>
      </w:r>
      <w:r>
        <w:rPr>
          <w:rFonts w:ascii="宋体" w:hAnsi="宋体" w:cs="宋体"/>
          <w:lang w:val="zh-TW" w:eastAsia="zh-TW"/>
        </w:rPr>
        <w:t>条。在区域一级，《保护人权与基本自由公约》</w:t>
      </w:r>
      <w:r w:rsidR="005278B6">
        <w:rPr>
          <w:rFonts w:ascii="宋体" w:hAnsi="宋体" w:cs="宋体"/>
          <w:lang w:val="zh-TW" w:eastAsia="zh-TW"/>
        </w:rPr>
        <w:t>(</w:t>
      </w:r>
      <w:r>
        <w:rPr>
          <w:rFonts w:ascii="宋体" w:hAnsi="宋体" w:cs="宋体"/>
          <w:lang w:val="zh-TW" w:eastAsia="zh-TW"/>
        </w:rPr>
        <w:t>《欧洲人权公约》</w:t>
      </w:r>
      <w:r w:rsidR="005278B6">
        <w:rPr>
          <w:rFonts w:ascii="宋体" w:hAnsi="宋体" w:cs="宋体"/>
          <w:lang w:val="zh-TW" w:eastAsia="zh-TW"/>
        </w:rPr>
        <w:t>)</w:t>
      </w:r>
      <w:r>
        <w:rPr>
          <w:rFonts w:ascii="宋体" w:hAnsi="宋体" w:cs="宋体"/>
          <w:lang w:val="zh-TW" w:eastAsia="zh-TW"/>
        </w:rPr>
        <w:t>、《美洲人权公约》和《非洲人权和人民权利宪章》均载有相关规定。</w:t>
      </w:r>
    </w:p>
  </w:footnote>
  <w:footnote w:id="2">
    <w:p w:rsidR="00744E4E" w:rsidRDefault="00744E4E" w:rsidP="00A84A3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见第</w:t>
      </w:r>
      <w:r>
        <w:t>28</w:t>
      </w:r>
      <w:r>
        <w:rPr>
          <w:rFonts w:ascii="宋体" w:hAnsi="宋体" w:cs="宋体"/>
          <w:lang w:val="zh-TW" w:eastAsia="zh-TW"/>
        </w:rPr>
        <w:t>号一般性建议第</w:t>
      </w:r>
      <w:r>
        <w:t>18</w:t>
      </w:r>
      <w:r>
        <w:rPr>
          <w:rFonts w:ascii="宋体" w:hAnsi="宋体" w:cs="宋体"/>
          <w:lang w:val="zh-TW" w:eastAsia="zh-TW"/>
        </w:rPr>
        <w:t>段。</w:t>
      </w:r>
    </w:p>
  </w:footnote>
  <w:footnote w:id="3">
    <w:p w:rsidR="00744E4E" w:rsidRDefault="00744E4E" w:rsidP="000F4B7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0F4B74">
        <w:rPr>
          <w:rFonts w:hint="eastAsia"/>
        </w:rPr>
        <w:t>例见关于下列各国的结论意见：巴哈马</w:t>
      </w:r>
      <w:r w:rsidR="005278B6">
        <w:rPr>
          <w:rFonts w:hint="eastAsia"/>
        </w:rPr>
        <w:t>(</w:t>
      </w:r>
      <w:r w:rsidRPr="000F4B74">
        <w:rPr>
          <w:rFonts w:hint="eastAsia"/>
        </w:rPr>
        <w:t>CEDAW/C/BHS/CO/1-5</w:t>
      </w:r>
      <w:r>
        <w:rPr>
          <w:rFonts w:hint="eastAsia"/>
        </w:rPr>
        <w:t>，</w:t>
      </w:r>
      <w:r w:rsidRPr="000F4B74">
        <w:rPr>
          <w:rFonts w:hint="eastAsia"/>
        </w:rPr>
        <w:t>第</w:t>
      </w:r>
      <w:r w:rsidRPr="000F4B74">
        <w:rPr>
          <w:rFonts w:hint="eastAsia"/>
        </w:rPr>
        <w:t>25</w:t>
      </w:r>
      <w:r w:rsidR="005278B6">
        <w:rPr>
          <w:rFonts w:hint="eastAsia"/>
        </w:rPr>
        <w:t>(</w:t>
      </w:r>
      <w:r w:rsidRPr="000F4B74">
        <w:rPr>
          <w:rFonts w:hint="eastAsia"/>
        </w:rPr>
        <w:t>d</w:t>
      </w:r>
      <w:r w:rsidR="005278B6">
        <w:rPr>
          <w:rFonts w:hint="eastAsia"/>
        </w:rPr>
        <w:t>)</w:t>
      </w:r>
      <w:r w:rsidRPr="000F4B74">
        <w:rPr>
          <w:rFonts w:hint="eastAsia"/>
        </w:rPr>
        <w:t>段</w:t>
      </w:r>
      <w:r w:rsidR="005278B6">
        <w:rPr>
          <w:rFonts w:hint="eastAsia"/>
        </w:rPr>
        <w:t>)</w:t>
      </w:r>
      <w:r w:rsidRPr="000F4B74">
        <w:rPr>
          <w:rFonts w:hint="eastAsia"/>
        </w:rPr>
        <w:t>、哥斯达黎加</w:t>
      </w:r>
      <w:r w:rsidR="005278B6">
        <w:rPr>
          <w:rFonts w:hint="eastAsia"/>
        </w:rPr>
        <w:t>(</w:t>
      </w:r>
      <w:r w:rsidRPr="000F4B74">
        <w:rPr>
          <w:rFonts w:hint="eastAsia"/>
        </w:rPr>
        <w:t>CEDAW/C/CRI/CO/5-6</w:t>
      </w:r>
      <w:r>
        <w:rPr>
          <w:rFonts w:hint="eastAsia"/>
        </w:rPr>
        <w:t>，</w:t>
      </w:r>
      <w:r w:rsidRPr="000F4B74">
        <w:rPr>
          <w:rFonts w:hint="eastAsia"/>
        </w:rPr>
        <w:t>第</w:t>
      </w:r>
      <w:r w:rsidRPr="000F4B74">
        <w:rPr>
          <w:rFonts w:hint="eastAsia"/>
        </w:rPr>
        <w:t>40-41</w:t>
      </w:r>
      <w:r w:rsidRPr="000F4B74">
        <w:rPr>
          <w:rFonts w:hint="eastAsia"/>
        </w:rPr>
        <w:t>段</w:t>
      </w:r>
      <w:r w:rsidR="005278B6">
        <w:rPr>
          <w:rFonts w:hint="eastAsia"/>
        </w:rPr>
        <w:t>)</w:t>
      </w:r>
      <w:r w:rsidRPr="000F4B74">
        <w:rPr>
          <w:rFonts w:hint="eastAsia"/>
        </w:rPr>
        <w:t>、斐济</w:t>
      </w:r>
      <w:r w:rsidR="005278B6">
        <w:rPr>
          <w:rFonts w:hint="eastAsia"/>
        </w:rPr>
        <w:t>(</w:t>
      </w:r>
      <w:r w:rsidRPr="000F4B74">
        <w:rPr>
          <w:rFonts w:hint="eastAsia"/>
        </w:rPr>
        <w:t>CEDAW/C/FJI/CO/4</w:t>
      </w:r>
      <w:r>
        <w:rPr>
          <w:rFonts w:hint="eastAsia"/>
        </w:rPr>
        <w:t>，</w:t>
      </w:r>
      <w:r w:rsidRPr="000F4B74">
        <w:rPr>
          <w:rFonts w:hint="eastAsia"/>
        </w:rPr>
        <w:t>第</w:t>
      </w:r>
      <w:r w:rsidRPr="000F4B74">
        <w:rPr>
          <w:rFonts w:hint="eastAsia"/>
        </w:rPr>
        <w:t>24-25</w:t>
      </w:r>
      <w:r w:rsidRPr="000F4B74">
        <w:rPr>
          <w:rFonts w:hint="eastAsia"/>
        </w:rPr>
        <w:t>段</w:t>
      </w:r>
      <w:r w:rsidR="005278B6">
        <w:rPr>
          <w:rFonts w:hint="eastAsia"/>
        </w:rPr>
        <w:t>)</w:t>
      </w:r>
      <w:r w:rsidRPr="000F4B74">
        <w:rPr>
          <w:rFonts w:hint="eastAsia"/>
        </w:rPr>
        <w:t>、吉尔吉斯斯坦</w:t>
      </w:r>
      <w:r w:rsidR="005278B6">
        <w:rPr>
          <w:rFonts w:hint="eastAsia"/>
        </w:rPr>
        <w:t>(</w:t>
      </w:r>
      <w:r w:rsidRPr="000F4B74">
        <w:rPr>
          <w:rFonts w:hint="eastAsia"/>
        </w:rPr>
        <w:t>A/54/38/Rev.1</w:t>
      </w:r>
      <w:r>
        <w:rPr>
          <w:rFonts w:hint="eastAsia"/>
        </w:rPr>
        <w:t>，</w:t>
      </w:r>
      <w:r w:rsidRPr="000F4B74">
        <w:rPr>
          <w:rFonts w:hint="eastAsia"/>
        </w:rPr>
        <w:t>第一部分</w:t>
      </w:r>
      <w:r>
        <w:rPr>
          <w:rFonts w:hint="eastAsia"/>
        </w:rPr>
        <w:t>，</w:t>
      </w:r>
      <w:r w:rsidRPr="000F4B74">
        <w:rPr>
          <w:rFonts w:hint="eastAsia"/>
        </w:rPr>
        <w:t>第</w:t>
      </w:r>
      <w:r w:rsidRPr="000F4B74">
        <w:rPr>
          <w:rFonts w:hint="eastAsia"/>
        </w:rPr>
        <w:t>127-128</w:t>
      </w:r>
      <w:r w:rsidRPr="000F4B74">
        <w:rPr>
          <w:rFonts w:hint="eastAsia"/>
        </w:rPr>
        <w:t>段</w:t>
      </w:r>
      <w:r w:rsidR="005278B6">
        <w:rPr>
          <w:rFonts w:hint="eastAsia"/>
        </w:rPr>
        <w:t>)</w:t>
      </w:r>
      <w:r w:rsidRPr="000F4B74">
        <w:rPr>
          <w:rFonts w:hint="eastAsia"/>
        </w:rPr>
        <w:t>、大韩民国</w:t>
      </w:r>
      <w:r w:rsidR="005278B6">
        <w:rPr>
          <w:rFonts w:hint="eastAsia"/>
        </w:rPr>
        <w:t>(</w:t>
      </w:r>
      <w:r w:rsidRPr="000F4B74">
        <w:rPr>
          <w:rFonts w:hint="eastAsia"/>
        </w:rPr>
        <w:t>CEDAW/C/KOR/CO/6</w:t>
      </w:r>
      <w:r>
        <w:t>,</w:t>
      </w:r>
      <w:r w:rsidRPr="000F4B74">
        <w:rPr>
          <w:rFonts w:hint="eastAsia"/>
        </w:rPr>
        <w:t>第</w:t>
      </w:r>
      <w:r w:rsidRPr="000F4B74">
        <w:rPr>
          <w:rFonts w:hint="eastAsia"/>
        </w:rPr>
        <w:t>19-20</w:t>
      </w:r>
      <w:r w:rsidRPr="000F4B74">
        <w:rPr>
          <w:rFonts w:hint="eastAsia"/>
        </w:rPr>
        <w:t>段及</w:t>
      </w:r>
      <w:r w:rsidRPr="000F4B74">
        <w:rPr>
          <w:rFonts w:hint="eastAsia"/>
        </w:rPr>
        <w:t>CEDAW/C/KOR/CO/7</w:t>
      </w:r>
      <w:r>
        <w:rPr>
          <w:rFonts w:hint="eastAsia"/>
        </w:rPr>
        <w:t>，</w:t>
      </w:r>
      <w:r w:rsidRPr="000F4B74">
        <w:rPr>
          <w:rFonts w:hint="eastAsia"/>
        </w:rPr>
        <w:t>第</w:t>
      </w:r>
      <w:r w:rsidRPr="000F4B74">
        <w:rPr>
          <w:rFonts w:hint="eastAsia"/>
        </w:rPr>
        <w:t>23</w:t>
      </w:r>
      <w:r w:rsidR="005278B6">
        <w:rPr>
          <w:rFonts w:hint="eastAsia"/>
        </w:rPr>
        <w:t>(</w:t>
      </w:r>
      <w:r w:rsidRPr="000F4B74">
        <w:rPr>
          <w:rFonts w:hint="eastAsia"/>
        </w:rPr>
        <w:t>d</w:t>
      </w:r>
      <w:r w:rsidR="005278B6">
        <w:rPr>
          <w:rFonts w:hint="eastAsia"/>
        </w:rPr>
        <w:t>)</w:t>
      </w:r>
      <w:r w:rsidRPr="000F4B74">
        <w:rPr>
          <w:rFonts w:hint="eastAsia"/>
        </w:rPr>
        <w:t>段</w:t>
      </w:r>
      <w:r w:rsidR="005278B6">
        <w:rPr>
          <w:rFonts w:hint="eastAsia"/>
        </w:rPr>
        <w:t>)</w:t>
      </w:r>
      <w:r w:rsidRPr="000F4B74">
        <w:rPr>
          <w:rFonts w:hint="eastAsia"/>
        </w:rPr>
        <w:t>和乌干达</w:t>
      </w:r>
      <w:r w:rsidR="005278B6">
        <w:rPr>
          <w:rFonts w:hint="eastAsia"/>
        </w:rPr>
        <w:t>(</w:t>
      </w:r>
      <w:r w:rsidRPr="000F4B74">
        <w:rPr>
          <w:rFonts w:hint="eastAsia"/>
        </w:rPr>
        <w:t>CEDAW/C/UGA/CO/7</w:t>
      </w:r>
      <w:r>
        <w:t>,</w:t>
      </w:r>
      <w:r w:rsidRPr="000F4B74">
        <w:rPr>
          <w:rFonts w:hint="eastAsia"/>
        </w:rPr>
        <w:t>第</w:t>
      </w:r>
      <w:r w:rsidRPr="000F4B74">
        <w:rPr>
          <w:rFonts w:hint="eastAsia"/>
        </w:rPr>
        <w:t>43-44</w:t>
      </w:r>
      <w:r w:rsidRPr="000F4B74">
        <w:rPr>
          <w:rFonts w:hint="eastAsia"/>
        </w:rPr>
        <w:t>段</w:t>
      </w:r>
      <w:r w:rsidR="005278B6">
        <w:rPr>
          <w:rFonts w:hint="eastAsia"/>
        </w:rPr>
        <w:t>)</w:t>
      </w:r>
      <w:r w:rsidRPr="000F4B74">
        <w:rPr>
          <w:rFonts w:hint="eastAsia"/>
        </w:rPr>
        <w:t>。</w:t>
      </w:r>
    </w:p>
  </w:footnote>
  <w:footnote w:id="4">
    <w:p w:rsidR="00744E4E" w:rsidRDefault="00744E4E" w:rsidP="000F4B7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特别见第</w:t>
      </w:r>
      <w:r>
        <w:t>19</w:t>
      </w:r>
      <w:r>
        <w:rPr>
          <w:rFonts w:ascii="宋体" w:hAnsi="宋体" w:cs="宋体"/>
          <w:lang w:val="zh-TW" w:eastAsia="zh-TW"/>
        </w:rPr>
        <w:t>、</w:t>
      </w:r>
      <w:r>
        <w:t>21</w:t>
      </w:r>
      <w:r>
        <w:rPr>
          <w:rFonts w:ascii="宋体" w:hAnsi="宋体" w:cs="宋体"/>
          <w:lang w:val="zh-TW" w:eastAsia="zh-TW"/>
        </w:rPr>
        <w:t>、</w:t>
      </w:r>
      <w:r>
        <w:t>23</w:t>
      </w:r>
      <w:r>
        <w:rPr>
          <w:rFonts w:ascii="宋体" w:hAnsi="宋体" w:cs="宋体"/>
          <w:lang w:val="zh-TW" w:eastAsia="zh-TW"/>
        </w:rPr>
        <w:t>、</w:t>
      </w:r>
      <w:r>
        <w:t>24</w:t>
      </w:r>
      <w:r>
        <w:rPr>
          <w:rFonts w:ascii="宋体" w:hAnsi="宋体" w:cs="宋体"/>
          <w:lang w:val="zh-TW" w:eastAsia="zh-TW"/>
        </w:rPr>
        <w:t>、</w:t>
      </w:r>
      <w:r>
        <w:t>26</w:t>
      </w:r>
      <w:r>
        <w:rPr>
          <w:rFonts w:ascii="宋体" w:hAnsi="宋体" w:cs="宋体"/>
          <w:lang w:val="zh-TW" w:eastAsia="zh-TW"/>
        </w:rPr>
        <w:t>、</w:t>
      </w:r>
      <w:r>
        <w:t>27</w:t>
      </w:r>
      <w:r>
        <w:rPr>
          <w:rFonts w:ascii="宋体" w:hAnsi="宋体" w:cs="宋体"/>
          <w:lang w:val="zh-TW" w:eastAsia="zh-TW"/>
        </w:rPr>
        <w:t>、</w:t>
      </w:r>
      <w:r>
        <w:t>29</w:t>
      </w:r>
      <w:r>
        <w:rPr>
          <w:rFonts w:ascii="宋体" w:hAnsi="宋体" w:cs="宋体"/>
          <w:lang w:val="zh-TW" w:eastAsia="zh-TW"/>
        </w:rPr>
        <w:t>和</w:t>
      </w:r>
      <w:r>
        <w:t>30</w:t>
      </w:r>
      <w:r>
        <w:rPr>
          <w:rFonts w:ascii="宋体" w:hAnsi="宋体" w:cs="宋体"/>
          <w:lang w:val="zh-TW" w:eastAsia="zh-TW"/>
        </w:rPr>
        <w:t>号一般性建议。</w:t>
      </w:r>
    </w:p>
  </w:footnote>
  <w:footnote w:id="5">
    <w:p w:rsidR="00744E4E" w:rsidRDefault="00744E4E" w:rsidP="000F4B7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见大会第</w:t>
      </w:r>
      <w:r>
        <w:t>40/32</w:t>
      </w:r>
      <w:r>
        <w:rPr>
          <w:rFonts w:ascii="宋体" w:hAnsi="宋体" w:cs="宋体"/>
          <w:lang w:val="zh-TW" w:eastAsia="zh-TW"/>
        </w:rPr>
        <w:t>号决议赞同的《关于司法机关独立的基本原则》。</w:t>
      </w:r>
    </w:p>
  </w:footnote>
  <w:footnote w:id="6">
    <w:p w:rsidR="00744E4E" w:rsidRDefault="00744E4E" w:rsidP="000F4B7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例见关于暴力侵害妇女行为的联合国衡量指标</w:t>
      </w:r>
      <w:r w:rsidR="005278B6">
        <w:rPr>
          <w:rFonts w:ascii="宋体" w:hAnsi="宋体" w:cs="宋体"/>
          <w:lang w:val="zh-TW" w:eastAsia="zh-TW"/>
        </w:rPr>
        <w:t>(</w:t>
      </w:r>
      <w:r>
        <w:rPr>
          <w:rFonts w:ascii="宋体" w:hAnsi="宋体" w:cs="宋体"/>
          <w:lang w:val="zh-TW" w:eastAsia="zh-TW"/>
        </w:rPr>
        <w:t>见</w:t>
      </w:r>
      <w:r>
        <w:t>E/CN.3/2009/13</w:t>
      </w:r>
      <w:r w:rsidR="005278B6">
        <w:rPr>
          <w:rFonts w:ascii="宋体" w:hAnsi="宋体" w:cs="宋体"/>
          <w:lang w:val="zh-TW" w:eastAsia="zh-TW"/>
        </w:rPr>
        <w:t>)</w:t>
      </w:r>
      <w:r>
        <w:rPr>
          <w:rFonts w:ascii="宋体" w:hAnsi="宋体" w:cs="宋体"/>
          <w:lang w:val="zh-TW" w:eastAsia="zh-TW"/>
        </w:rPr>
        <w:t>，及</w:t>
      </w:r>
      <w:r>
        <w:t>2013</w:t>
      </w:r>
      <w:r>
        <w:rPr>
          <w:rFonts w:ascii="宋体" w:hAnsi="宋体" w:cs="宋体"/>
          <w:lang w:val="zh-TW" w:eastAsia="zh-TW"/>
        </w:rPr>
        <w:t>年</w:t>
      </w:r>
      <w:r>
        <w:t>5</w:t>
      </w:r>
      <w:r>
        <w:rPr>
          <w:rFonts w:ascii="宋体" w:hAnsi="宋体" w:cs="宋体"/>
          <w:lang w:val="zh-TW" w:eastAsia="zh-TW"/>
        </w:rPr>
        <w:t>月</w:t>
      </w:r>
      <w:r>
        <w:t>21</w:t>
      </w:r>
      <w:r>
        <w:rPr>
          <w:rFonts w:ascii="宋体" w:hAnsi="宋体" w:cs="宋体"/>
          <w:lang w:val="zh-TW" w:eastAsia="zh-TW"/>
        </w:rPr>
        <w:t>日通过的《美洲防止、惩罚和根除暴力侵害妇女行为公约》</w:t>
      </w:r>
      <w:r w:rsidR="005278B6">
        <w:rPr>
          <w:rFonts w:ascii="宋体" w:hAnsi="宋体" w:cs="宋体"/>
          <w:lang w:val="zh-TW" w:eastAsia="zh-TW"/>
        </w:rPr>
        <w:t>(</w:t>
      </w:r>
      <w:r>
        <w:rPr>
          <w:rFonts w:ascii="宋体" w:hAnsi="宋体" w:cs="宋体"/>
          <w:lang w:val="zh-TW" w:eastAsia="zh-TW"/>
        </w:rPr>
        <w:t>《贝伦杜帕拉公约》</w:t>
      </w:r>
      <w:r w:rsidR="005278B6">
        <w:rPr>
          <w:rFonts w:ascii="宋体" w:hAnsi="宋体" w:cs="宋体"/>
          <w:lang w:val="zh-TW" w:eastAsia="zh-TW"/>
        </w:rPr>
        <w:t>)</w:t>
      </w:r>
      <w:r>
        <w:rPr>
          <w:rFonts w:ascii="宋体" w:hAnsi="宋体" w:cs="宋体"/>
          <w:lang w:val="zh-TW" w:eastAsia="zh-TW"/>
        </w:rPr>
        <w:t>执行进度衡量指标。</w:t>
      </w:r>
    </w:p>
  </w:footnote>
  <w:footnote w:id="7">
    <w:p w:rsidR="00744E4E" w:rsidRDefault="00744E4E" w:rsidP="00744E4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006746C7">
        <w:rPr>
          <w:rFonts w:ascii="宋体" w:hAnsi="宋体" w:cs="宋体"/>
          <w:lang w:val="zh-TW" w:eastAsia="zh-TW"/>
        </w:rPr>
        <w:t>应采用保护受害人及其家人使其免遭恐吓、报复和再次受害的国际导则和最佳做法。例见《欧洲委员会预防和打击暴力侵害妇女行为及家庭暴力公约》第</w:t>
      </w:r>
      <w:r w:rsidR="006746C7">
        <w:t>56</w:t>
      </w:r>
      <w:r w:rsidR="006746C7">
        <w:rPr>
          <w:rFonts w:ascii="宋体" w:hAnsi="宋体" w:cs="宋体"/>
          <w:lang w:val="zh-TW" w:eastAsia="zh-TW"/>
        </w:rPr>
        <w:t>条。</w:t>
      </w:r>
    </w:p>
  </w:footnote>
  <w:footnote w:id="8">
    <w:p w:rsidR="006746C7" w:rsidRDefault="006746C7" w:rsidP="006746C7">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00452D74" w:rsidRPr="00452D74">
        <w:rPr>
          <w:rFonts w:ascii="宋体" w:hAnsi="宋体" w:cs="宋体" w:hint="eastAsia"/>
          <w:lang w:val="zh-TW" w:eastAsia="zh-TW"/>
        </w:rPr>
        <w:t>见第28号一般性建议第32段：“这类补救办法应包括不同形式的赔偿，如金钱赔偿、恢复原状、康复和复职；公开道歉、树立公共纪念碑和保证不重犯等满足措施；修改相关法律和惯例；以及将侵犯妇女人权的肇事者绳之以法等”。</w:t>
      </w:r>
    </w:p>
  </w:footnote>
  <w:footnote w:id="9">
    <w:p w:rsidR="006746C7" w:rsidRDefault="006746C7" w:rsidP="006746C7">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见《关于妇女和女童获得补救与赔偿权利的内罗毕宣言》。</w:t>
      </w:r>
    </w:p>
  </w:footnote>
  <w:footnote w:id="10">
    <w:p w:rsidR="006F416B" w:rsidRDefault="006F416B" w:rsidP="006F416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另见</w:t>
      </w:r>
      <w:r>
        <w:t>A/HRC/14/22</w:t>
      </w:r>
      <w:r>
        <w:rPr>
          <w:rFonts w:ascii="宋体" w:hAnsi="宋体" w:cs="宋体"/>
          <w:lang w:val="zh-TW" w:eastAsia="zh-TW"/>
        </w:rPr>
        <w:t>。</w:t>
      </w:r>
    </w:p>
  </w:footnote>
  <w:footnote w:id="11">
    <w:p w:rsidR="006F416B" w:rsidRDefault="006F416B" w:rsidP="006F416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第</w:t>
      </w:r>
      <w:r>
        <w:t>7</w:t>
      </w:r>
      <w:r>
        <w:rPr>
          <w:rFonts w:ascii="宋体" w:hAnsi="宋体" w:cs="宋体"/>
          <w:lang w:val="zh-TW" w:eastAsia="zh-TW"/>
        </w:rPr>
        <w:t>段指出，《公约》第二条应结合第三、四、五条和第二十四条，并参照第一条所载歧视定义解读。</w:t>
      </w:r>
    </w:p>
  </w:footnote>
  <w:footnote w:id="12">
    <w:p w:rsidR="00007728" w:rsidRDefault="00007728" w:rsidP="00007728">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《联合国关于在刑事司法系统中获得法律援助机会的原则和准则》，准则</w:t>
      </w:r>
      <w:r>
        <w:t>1</w:t>
      </w:r>
      <w:r w:rsidR="005278B6">
        <w:rPr>
          <w:rFonts w:ascii="宋体" w:hAnsi="宋体" w:cs="宋体"/>
          <w:lang w:val="zh-TW" w:eastAsia="zh-TW"/>
        </w:rPr>
        <w:t>(</w:t>
      </w:r>
      <w:r>
        <w:t>f</w:t>
      </w:r>
      <w:r w:rsidR="005278B6">
        <w:rPr>
          <w:rFonts w:ascii="宋体" w:hAnsi="宋体" w:cs="宋体"/>
          <w:lang w:val="zh-TW" w:eastAsia="zh-TW"/>
        </w:rPr>
        <w:t>)</w:t>
      </w:r>
      <w:r>
        <w:rPr>
          <w:rFonts w:ascii="宋体" w:hAnsi="宋体" w:cs="宋体"/>
          <w:lang w:val="zh-TW" w:eastAsia="zh-TW"/>
        </w:rPr>
        <w:t>：</w:t>
      </w:r>
      <w:r>
        <w:rPr>
          <w:rFonts w:hAnsi="Arial Unicode MS" w:hint="eastAsia"/>
        </w:rPr>
        <w:t>“</w:t>
      </w:r>
      <w:r>
        <w:rPr>
          <w:rFonts w:ascii="宋体" w:hAnsi="宋体" w:cs="宋体"/>
          <w:lang w:val="zh-TW" w:eastAsia="zh-TW"/>
        </w:rPr>
        <w:t>如果经济能力审查法所作计算是根据一个家庭的家庭收入，但家庭各个成员互有冲突或无法平等使用家庭收入，则就经济能力审查法的目的而言，仅使用法律援助申请人的收入。</w:t>
      </w:r>
      <w:r>
        <w:rPr>
          <w:rFonts w:hAnsi="Arial Unicode MS" w:hint="eastAsia"/>
        </w:rPr>
        <w:t>”</w:t>
      </w:r>
    </w:p>
  </w:footnote>
  <w:footnote w:id="13">
    <w:p w:rsidR="005611F2" w:rsidRDefault="005611F2" w:rsidP="005611F2">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尤其见关于《公约》第十六条的第</w:t>
      </w:r>
      <w:r>
        <w:t>29</w:t>
      </w:r>
      <w:r>
        <w:rPr>
          <w:rFonts w:ascii="宋体" w:hAnsi="宋体" w:cs="宋体"/>
          <w:lang w:val="zh-TW" w:eastAsia="zh-TW"/>
        </w:rPr>
        <w:t>号一般性建议</w:t>
      </w:r>
      <w:r w:rsidR="005278B6">
        <w:rPr>
          <w:rFonts w:ascii="宋体" w:hAnsi="宋体" w:cs="宋体"/>
          <w:lang w:val="zh-TW" w:eastAsia="zh-TW"/>
        </w:rPr>
        <w:t>(</w:t>
      </w:r>
      <w:r>
        <w:rPr>
          <w:rFonts w:ascii="宋体" w:hAnsi="宋体" w:cs="宋体"/>
          <w:lang w:val="zh-TW" w:eastAsia="zh-TW"/>
        </w:rPr>
        <w:t>婚姻、家庭关系及其解除的经济后果</w:t>
      </w:r>
      <w:r w:rsidR="005278B6">
        <w:rPr>
          <w:rFonts w:ascii="宋体" w:hAnsi="宋体" w:cs="宋体"/>
          <w:lang w:val="zh-TW" w:eastAsia="zh-TW"/>
        </w:rPr>
        <w:t>)</w:t>
      </w:r>
      <w:r>
        <w:rPr>
          <w:rFonts w:ascii="宋体" w:hAnsi="宋体" w:cs="宋体"/>
          <w:lang w:val="zh-TW" w:eastAsia="zh-TW"/>
        </w:rPr>
        <w:t>。</w:t>
      </w:r>
    </w:p>
  </w:footnote>
  <w:footnote w:id="14">
    <w:p w:rsidR="004B3B2F" w:rsidRDefault="004B3B2F" w:rsidP="004B3B2F">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第</w:t>
      </w:r>
      <w:r>
        <w:t>23/2009</w:t>
      </w:r>
      <w:r>
        <w:rPr>
          <w:rFonts w:ascii="宋体" w:hAnsi="宋体" w:cs="宋体"/>
          <w:lang w:val="zh-TW" w:eastAsia="zh-TW"/>
        </w:rPr>
        <w:t>号来文，</w:t>
      </w:r>
      <w:r>
        <w:t xml:space="preserve">Abramova </w:t>
      </w:r>
      <w:r>
        <w:rPr>
          <w:rFonts w:ascii="宋体" w:hAnsi="宋体" w:cs="宋体"/>
          <w:lang w:val="zh-TW" w:eastAsia="zh-TW"/>
        </w:rPr>
        <w:t>诉白俄罗斯，</w:t>
      </w:r>
      <w:r>
        <w:t>2011</w:t>
      </w:r>
      <w:r>
        <w:rPr>
          <w:rFonts w:ascii="宋体" w:hAnsi="宋体" w:cs="宋体"/>
          <w:lang w:val="zh-TW" w:eastAsia="zh-TW"/>
        </w:rPr>
        <w:t>年</w:t>
      </w:r>
      <w:r>
        <w:t>9</w:t>
      </w:r>
      <w:r>
        <w:rPr>
          <w:rFonts w:ascii="宋体" w:hAnsi="宋体" w:cs="宋体"/>
          <w:lang w:val="zh-TW" w:eastAsia="zh-TW"/>
        </w:rPr>
        <w:t>月</w:t>
      </w:r>
      <w:r>
        <w:t>27</w:t>
      </w:r>
      <w:r>
        <w:rPr>
          <w:rFonts w:ascii="宋体" w:hAnsi="宋体" w:cs="宋体"/>
          <w:lang w:val="zh-TW" w:eastAsia="zh-TW"/>
        </w:rPr>
        <w:t>日通过的意见；另见大会第</w:t>
      </w:r>
      <w:r>
        <w:t>65/229</w:t>
      </w:r>
      <w:r>
        <w:rPr>
          <w:rFonts w:ascii="宋体" w:hAnsi="宋体" w:cs="宋体"/>
          <w:lang w:val="zh-TW" w:eastAsia="zh-TW"/>
        </w:rPr>
        <w:t>号决议通过的《联合国女性囚犯待遇和女性罪犯非拘禁措施规则》</w:t>
      </w:r>
      <w:r w:rsidR="005278B6">
        <w:rPr>
          <w:rFonts w:ascii="宋体" w:hAnsi="宋体" w:cs="宋体"/>
          <w:lang w:val="zh-TW" w:eastAsia="zh-TW"/>
        </w:rPr>
        <w:t>(</w:t>
      </w:r>
      <w:r>
        <w:rPr>
          <w:rFonts w:ascii="宋体" w:hAnsi="宋体" w:cs="宋体"/>
          <w:lang w:val="zh-TW" w:eastAsia="zh-TW"/>
        </w:rPr>
        <w:t>《曼谷规则》</w:t>
      </w:r>
      <w:r w:rsidR="005278B6">
        <w:rPr>
          <w:rFonts w:ascii="宋体" w:hAnsi="宋体" w:cs="宋体"/>
          <w:lang w:val="zh-TW" w:eastAsia="zh-TW"/>
        </w:rPr>
        <w:t>)</w:t>
      </w:r>
      <w:r>
        <w:rPr>
          <w:rFonts w:ascii="宋体" w:hAnsi="宋体" w:cs="宋体"/>
          <w:lang w:val="zh-TW" w:eastAsia="zh-TW"/>
        </w:rPr>
        <w:t>。</w:t>
      </w:r>
    </w:p>
  </w:footnote>
  <w:footnote w:id="15">
    <w:p w:rsidR="004B3B2F" w:rsidRDefault="004B3B2F" w:rsidP="004B3B2F">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见《人权与贩运人口问题的建议原则和准则》</w:t>
      </w:r>
      <w:r w:rsidR="005278B6">
        <w:rPr>
          <w:rFonts w:ascii="宋体" w:hAnsi="宋体" w:cs="宋体"/>
          <w:lang w:val="zh-TW" w:eastAsia="zh-TW"/>
        </w:rPr>
        <w:t>(</w:t>
      </w:r>
      <w:r>
        <w:rPr>
          <w:rFonts w:ascii="宋体" w:hAnsi="宋体" w:cs="宋体"/>
          <w:lang w:val="zh-TW" w:eastAsia="zh-TW"/>
        </w:rPr>
        <w:t>联合国出版物，出售品编号：</w:t>
      </w:r>
      <w:r>
        <w:t>E.10.XIV.1</w:t>
      </w:r>
      <w:r w:rsidR="005278B6">
        <w:rPr>
          <w:rFonts w:ascii="宋体" w:hAnsi="宋体" w:cs="宋体"/>
          <w:lang w:val="zh-TW" w:eastAsia="zh-TW"/>
        </w:rPr>
        <w:t>)</w:t>
      </w:r>
      <w:r>
        <w:rPr>
          <w:rFonts w:ascii="宋体" w:hAnsi="宋体" w:cs="宋体"/>
          <w:lang w:val="zh-TW" w:eastAsia="zh-TW"/>
        </w:rPr>
        <w:t>。</w:t>
      </w:r>
    </w:p>
  </w:footnote>
  <w:footnote w:id="16">
    <w:p w:rsidR="004B3B2F" w:rsidRDefault="004B3B2F" w:rsidP="004B3B2F">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见《曼谷规则》以及经济及社会理事会第</w:t>
      </w:r>
      <w:r>
        <w:t>2005/20</w:t>
      </w:r>
      <w:r>
        <w:rPr>
          <w:rFonts w:ascii="宋体" w:hAnsi="宋体" w:cs="宋体"/>
          <w:lang w:val="zh-TW" w:eastAsia="zh-TW"/>
        </w:rPr>
        <w:t>号决议通过的《儿童被害人和证人刑事司法事项导则》。</w:t>
      </w:r>
    </w:p>
  </w:footnote>
  <w:footnote w:id="17">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见关于妇女的难民地位、庇护、国籍和无国籍状态与性别相关方面的第</w:t>
      </w:r>
      <w:r>
        <w:t>32</w:t>
      </w:r>
      <w:r>
        <w:rPr>
          <w:rFonts w:ascii="宋体" w:hAnsi="宋体" w:cs="宋体"/>
          <w:lang w:val="zh-TW" w:eastAsia="zh-TW"/>
        </w:rPr>
        <w:t>号一般性建议。</w:t>
      </w:r>
    </w:p>
  </w:footnote>
  <w:footnote w:id="18">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各国做法不一，这些领域可以在一般或专门司法系统之下。</w:t>
      </w:r>
    </w:p>
  </w:footnote>
  <w:footnote w:id="19">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关于妇女获得司法救助的问题，相关的劳工组织公约包括：《</w:t>
      </w:r>
      <w:r>
        <w:t>1947</w:t>
      </w:r>
      <w:r>
        <w:rPr>
          <w:rFonts w:ascii="宋体" w:hAnsi="宋体" w:cs="宋体"/>
          <w:lang w:val="zh-TW" w:eastAsia="zh-TW"/>
        </w:rPr>
        <w:t>年劳动监察公约》</w:t>
      </w:r>
      <w:r w:rsidR="005278B6">
        <w:rPr>
          <w:rFonts w:ascii="宋体" w:hAnsi="宋体" w:cs="宋体"/>
          <w:lang w:val="zh-TW" w:eastAsia="zh-TW"/>
        </w:rPr>
        <w:t>(</w:t>
      </w:r>
      <w:r>
        <w:rPr>
          <w:rFonts w:ascii="宋体" w:hAnsi="宋体" w:cs="宋体"/>
          <w:lang w:val="zh-TW" w:eastAsia="zh-TW"/>
        </w:rPr>
        <w:t>第</w:t>
      </w:r>
      <w:r>
        <w:t>81</w:t>
      </w:r>
      <w:r>
        <w:rPr>
          <w:rFonts w:ascii="宋体" w:hAnsi="宋体" w:cs="宋体"/>
          <w:lang w:val="zh-TW" w:eastAsia="zh-TW"/>
        </w:rPr>
        <w:t>号</w:t>
      </w:r>
      <w:r w:rsidR="005278B6">
        <w:rPr>
          <w:rFonts w:ascii="宋体" w:hAnsi="宋体" w:cs="宋体"/>
          <w:lang w:val="zh-TW" w:eastAsia="zh-TW"/>
        </w:rPr>
        <w:t>)</w:t>
      </w:r>
      <w:r>
        <w:rPr>
          <w:rFonts w:ascii="宋体" w:hAnsi="宋体" w:cs="宋体"/>
          <w:lang w:val="zh-TW" w:eastAsia="zh-TW"/>
        </w:rPr>
        <w:t>；《</w:t>
      </w:r>
      <w:r>
        <w:t>1949</w:t>
      </w:r>
      <w:r>
        <w:rPr>
          <w:rFonts w:ascii="宋体" w:hAnsi="宋体" w:cs="宋体"/>
          <w:lang w:val="zh-TW" w:eastAsia="zh-TW"/>
        </w:rPr>
        <w:t>年移徙就业公约》</w:t>
      </w:r>
      <w:r w:rsidR="005278B6">
        <w:rPr>
          <w:rFonts w:ascii="宋体" w:hAnsi="宋体" w:cs="宋体"/>
          <w:lang w:val="zh-TW" w:eastAsia="zh-TW"/>
        </w:rPr>
        <w:t>(</w:t>
      </w:r>
      <w:r>
        <w:rPr>
          <w:rFonts w:ascii="宋体" w:hAnsi="宋体" w:cs="宋体"/>
          <w:lang w:val="zh-TW" w:eastAsia="zh-TW"/>
        </w:rPr>
        <w:t>修订</w:t>
      </w:r>
      <w:r w:rsidR="005278B6">
        <w:rPr>
          <w:rFonts w:ascii="宋体" w:hAnsi="宋体" w:cs="宋体"/>
          <w:lang w:val="zh-TW" w:eastAsia="zh-TW"/>
        </w:rPr>
        <w:t>)(</w:t>
      </w:r>
      <w:r>
        <w:rPr>
          <w:rFonts w:ascii="宋体" w:hAnsi="宋体" w:cs="宋体"/>
          <w:lang w:val="zh-TW" w:eastAsia="zh-TW"/>
        </w:rPr>
        <w:t>第</w:t>
      </w:r>
      <w:r>
        <w:t>97</w:t>
      </w:r>
      <w:r>
        <w:rPr>
          <w:rFonts w:ascii="宋体" w:hAnsi="宋体" w:cs="宋体"/>
          <w:lang w:val="zh-TW" w:eastAsia="zh-TW"/>
        </w:rPr>
        <w:t>号</w:t>
      </w:r>
      <w:r w:rsidR="005278B6">
        <w:rPr>
          <w:rFonts w:ascii="宋体" w:hAnsi="宋体" w:cs="宋体"/>
          <w:lang w:val="zh-TW" w:eastAsia="zh-TW"/>
        </w:rPr>
        <w:t>)</w:t>
      </w:r>
      <w:r>
        <w:rPr>
          <w:rFonts w:ascii="宋体" w:hAnsi="宋体" w:cs="宋体"/>
          <w:lang w:val="zh-TW" w:eastAsia="zh-TW"/>
        </w:rPr>
        <w:t>；《</w:t>
      </w:r>
      <w:r>
        <w:t>1969</w:t>
      </w:r>
      <w:r>
        <w:rPr>
          <w:rFonts w:ascii="宋体" w:hAnsi="宋体" w:cs="宋体"/>
          <w:lang w:val="zh-TW" w:eastAsia="zh-TW"/>
        </w:rPr>
        <w:t>年</w:t>
      </w:r>
      <w:r w:rsidR="005278B6">
        <w:rPr>
          <w:rFonts w:ascii="宋体" w:hAnsi="宋体" w:cs="宋体"/>
          <w:lang w:val="zh-TW" w:eastAsia="zh-TW"/>
        </w:rPr>
        <w:t>(</w:t>
      </w:r>
      <w:r>
        <w:rPr>
          <w:rFonts w:ascii="宋体" w:hAnsi="宋体" w:cs="宋体"/>
          <w:lang w:val="zh-TW" w:eastAsia="zh-TW"/>
        </w:rPr>
        <w:t>农业</w:t>
      </w:r>
      <w:r w:rsidR="005278B6">
        <w:rPr>
          <w:rFonts w:ascii="宋体" w:hAnsi="宋体" w:cs="宋体"/>
          <w:lang w:val="zh-TW" w:eastAsia="zh-TW"/>
        </w:rPr>
        <w:t>)</w:t>
      </w:r>
      <w:r>
        <w:rPr>
          <w:rFonts w:ascii="宋体" w:hAnsi="宋体" w:cs="宋体"/>
          <w:lang w:val="zh-TW" w:eastAsia="zh-TW"/>
        </w:rPr>
        <w:t>劳动监察公约》</w:t>
      </w:r>
      <w:r w:rsidR="005278B6">
        <w:rPr>
          <w:rFonts w:ascii="宋体" w:hAnsi="宋体" w:cs="宋体"/>
          <w:lang w:val="zh-TW" w:eastAsia="zh-TW"/>
        </w:rPr>
        <w:t>(</w:t>
      </w:r>
      <w:r>
        <w:rPr>
          <w:rFonts w:ascii="宋体" w:hAnsi="宋体" w:cs="宋体"/>
          <w:lang w:val="zh-TW" w:eastAsia="zh-TW"/>
        </w:rPr>
        <w:t>第</w:t>
      </w:r>
      <w:r>
        <w:t>129</w:t>
      </w:r>
      <w:r>
        <w:rPr>
          <w:rFonts w:ascii="宋体" w:hAnsi="宋体" w:cs="宋体"/>
          <w:lang w:val="zh-TW" w:eastAsia="zh-TW"/>
        </w:rPr>
        <w:t>号</w:t>
      </w:r>
      <w:r w:rsidR="005278B6">
        <w:rPr>
          <w:rFonts w:ascii="宋体" w:hAnsi="宋体" w:cs="宋体"/>
          <w:lang w:val="zh-TW" w:eastAsia="zh-TW"/>
        </w:rPr>
        <w:t>)</w:t>
      </w:r>
      <w:r>
        <w:rPr>
          <w:rFonts w:ascii="宋体" w:hAnsi="宋体" w:cs="宋体"/>
          <w:lang w:val="zh-TW" w:eastAsia="zh-TW"/>
        </w:rPr>
        <w:t>；《</w:t>
      </w:r>
      <w:r>
        <w:t>1989</w:t>
      </w:r>
      <w:r>
        <w:rPr>
          <w:rFonts w:ascii="宋体" w:hAnsi="宋体" w:cs="宋体"/>
          <w:lang w:val="zh-TW" w:eastAsia="zh-TW"/>
        </w:rPr>
        <w:t>年土著和部落人民公约》</w:t>
      </w:r>
      <w:r w:rsidR="005278B6">
        <w:rPr>
          <w:rFonts w:ascii="宋体" w:hAnsi="宋体" w:cs="宋体"/>
          <w:lang w:val="zh-TW" w:eastAsia="zh-TW"/>
        </w:rPr>
        <w:t>(</w:t>
      </w:r>
      <w:r>
        <w:rPr>
          <w:rFonts w:ascii="宋体" w:hAnsi="宋体" w:cs="宋体"/>
          <w:lang w:val="zh-TW" w:eastAsia="zh-TW"/>
        </w:rPr>
        <w:t>第</w:t>
      </w:r>
      <w:r>
        <w:t>169</w:t>
      </w:r>
      <w:r>
        <w:rPr>
          <w:rFonts w:ascii="宋体" w:hAnsi="宋体" w:cs="宋体"/>
          <w:lang w:val="zh-TW" w:eastAsia="zh-TW"/>
        </w:rPr>
        <w:t>号</w:t>
      </w:r>
      <w:r w:rsidR="005278B6">
        <w:rPr>
          <w:rFonts w:ascii="宋体" w:hAnsi="宋体" w:cs="宋体"/>
          <w:lang w:val="zh-TW" w:eastAsia="zh-TW"/>
        </w:rPr>
        <w:t>)</w:t>
      </w:r>
      <w:r>
        <w:rPr>
          <w:rFonts w:ascii="宋体" w:hAnsi="宋体" w:cs="宋体"/>
          <w:lang w:val="zh-TW" w:eastAsia="zh-TW"/>
        </w:rPr>
        <w:t>；以及《</w:t>
      </w:r>
      <w:r>
        <w:t>2011</w:t>
      </w:r>
      <w:r>
        <w:rPr>
          <w:rFonts w:ascii="宋体" w:hAnsi="宋体" w:cs="宋体"/>
          <w:lang w:val="zh-TW" w:eastAsia="zh-TW"/>
        </w:rPr>
        <w:t>年家庭工人公约》</w:t>
      </w:r>
      <w:r w:rsidR="005278B6">
        <w:rPr>
          <w:rFonts w:ascii="宋体" w:hAnsi="宋体" w:cs="宋体"/>
          <w:lang w:val="zh-TW" w:eastAsia="zh-TW"/>
        </w:rPr>
        <w:t>(</w:t>
      </w:r>
      <w:r>
        <w:rPr>
          <w:rFonts w:ascii="宋体" w:hAnsi="宋体" w:cs="宋体"/>
          <w:lang w:val="zh-TW" w:eastAsia="zh-TW"/>
        </w:rPr>
        <w:t>第</w:t>
      </w:r>
      <w:r>
        <w:t>189</w:t>
      </w:r>
      <w:r>
        <w:rPr>
          <w:rFonts w:ascii="宋体" w:hAnsi="宋体" w:cs="宋体"/>
          <w:lang w:val="zh-TW" w:eastAsia="zh-TW"/>
        </w:rPr>
        <w:t>号</w:t>
      </w:r>
      <w:r w:rsidR="005278B6">
        <w:rPr>
          <w:rFonts w:ascii="宋体" w:hAnsi="宋体" w:cs="宋体"/>
          <w:lang w:val="zh-TW" w:eastAsia="zh-TW"/>
        </w:rPr>
        <w:t>)</w:t>
      </w:r>
      <w:r>
        <w:rPr>
          <w:rFonts w:ascii="宋体" w:hAnsi="宋体" w:cs="宋体"/>
          <w:lang w:val="zh-TW" w:eastAsia="zh-TW"/>
        </w:rPr>
        <w:t>。</w:t>
      </w:r>
    </w:p>
  </w:footnote>
  <w:footnote w:id="20">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见军事法庭司法工作指导原则草案</w:t>
      </w:r>
      <w:r w:rsidR="005278B6">
        <w:rPr>
          <w:rFonts w:ascii="宋体" w:hAnsi="宋体" w:cs="宋体"/>
          <w:lang w:val="zh-TW" w:eastAsia="zh-TW"/>
        </w:rPr>
        <w:t>(</w:t>
      </w:r>
      <w:r>
        <w:rPr>
          <w:rFonts w:ascii="宋体" w:hAnsi="宋体" w:cs="宋体"/>
          <w:lang w:val="zh-TW" w:eastAsia="zh-TW"/>
        </w:rPr>
        <w:t>见</w:t>
      </w:r>
      <w:r>
        <w:t>E/CN.4/2006/58</w:t>
      </w:r>
      <w:r w:rsidR="005278B6">
        <w:rPr>
          <w:rFonts w:ascii="宋体" w:hAnsi="宋体" w:cs="宋体"/>
          <w:lang w:val="zh-TW" w:eastAsia="zh-TW"/>
        </w:rPr>
        <w:t>)</w:t>
      </w:r>
      <w:r>
        <w:rPr>
          <w:rFonts w:ascii="宋体" w:hAnsi="宋体" w:cs="宋体"/>
          <w:lang w:val="zh-TW" w:eastAsia="zh-TW"/>
        </w:rPr>
        <w:t>。</w:t>
      </w:r>
    </w:p>
  </w:footnote>
  <w:footnote w:id="21">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尤其见第</w:t>
      </w:r>
      <w:r>
        <w:t>29</w:t>
      </w:r>
      <w:r>
        <w:rPr>
          <w:rFonts w:ascii="宋体" w:hAnsi="宋体" w:cs="宋体"/>
          <w:lang w:val="zh-TW" w:eastAsia="zh-TW"/>
        </w:rPr>
        <w:t>号一般性建议。</w:t>
      </w:r>
    </w:p>
  </w:footnote>
  <w:footnote w:id="22">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t xml:space="preserve">International Development Law Organization, </w:t>
      </w:r>
      <w:r>
        <w:rPr>
          <w:i/>
          <w:iCs/>
        </w:rPr>
        <w:t>Accessing Justice: Models, Strategies and Best Practices on Women</w:t>
      </w:r>
      <w:r>
        <w:rPr>
          <w:rFonts w:hAnsi="Arial Unicode MS"/>
          <w:i/>
          <w:iCs/>
        </w:rPr>
        <w:t>’</w:t>
      </w:r>
      <w:r>
        <w:rPr>
          <w:i/>
          <w:iCs/>
        </w:rPr>
        <w:t>s Empowerment</w:t>
      </w:r>
      <w:r>
        <w:t xml:space="preserve"> (Rome, 2013)</w:t>
      </w:r>
      <w:r>
        <w:rPr>
          <w:rFonts w:eastAsiaTheme="minorEastAsia" w:hint="eastAsia"/>
        </w:rPr>
        <w:t>。</w:t>
      </w:r>
    </w:p>
  </w:footnote>
  <w:footnote w:id="23">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见第</w:t>
      </w:r>
      <w:r>
        <w:t>19/2008</w:t>
      </w:r>
      <w:r>
        <w:rPr>
          <w:rFonts w:ascii="宋体" w:hAnsi="宋体" w:cs="宋体"/>
          <w:lang w:val="zh-TW" w:eastAsia="zh-TW"/>
        </w:rPr>
        <w:t>号来文，</w:t>
      </w:r>
      <w:r>
        <w:t xml:space="preserve">Kell </w:t>
      </w:r>
      <w:r>
        <w:rPr>
          <w:rFonts w:ascii="宋体" w:hAnsi="宋体" w:cs="宋体"/>
          <w:lang w:val="zh-TW" w:eastAsia="zh-TW"/>
        </w:rPr>
        <w:t>诉加拿大，</w:t>
      </w:r>
      <w:r>
        <w:t>2012</w:t>
      </w:r>
      <w:r>
        <w:rPr>
          <w:rFonts w:ascii="宋体" w:hAnsi="宋体" w:cs="宋体"/>
          <w:lang w:val="zh-TW" w:eastAsia="zh-TW"/>
        </w:rPr>
        <w:t>年</w:t>
      </w:r>
      <w:r>
        <w:t>2</w:t>
      </w:r>
      <w:r>
        <w:rPr>
          <w:rFonts w:ascii="宋体" w:hAnsi="宋体" w:cs="宋体"/>
          <w:lang w:val="zh-TW" w:eastAsia="zh-TW"/>
        </w:rPr>
        <w:t>月</w:t>
      </w:r>
      <w:r>
        <w:t>28</w:t>
      </w:r>
      <w:r>
        <w:rPr>
          <w:rFonts w:ascii="宋体" w:hAnsi="宋体" w:cs="宋体"/>
          <w:lang w:val="zh-TW" w:eastAsia="zh-TW"/>
        </w:rPr>
        <w:t>日通过的意见；第</w:t>
      </w:r>
      <w:r>
        <w:t>20/2008</w:t>
      </w:r>
      <w:r>
        <w:rPr>
          <w:rFonts w:ascii="宋体" w:hAnsi="宋体" w:cs="宋体"/>
          <w:lang w:val="zh-TW" w:eastAsia="zh-TW"/>
        </w:rPr>
        <w:t>号来文，</w:t>
      </w:r>
      <w:r>
        <w:t xml:space="preserve">V.K. </w:t>
      </w:r>
      <w:r>
        <w:rPr>
          <w:rFonts w:ascii="宋体" w:hAnsi="宋体" w:cs="宋体"/>
          <w:lang w:val="zh-TW" w:eastAsia="zh-TW"/>
        </w:rPr>
        <w:t>诉保加利亚，</w:t>
      </w:r>
      <w:r>
        <w:t>2011</w:t>
      </w:r>
      <w:r>
        <w:rPr>
          <w:rFonts w:ascii="宋体" w:hAnsi="宋体" w:cs="宋体"/>
          <w:lang w:val="zh-TW" w:eastAsia="zh-TW"/>
        </w:rPr>
        <w:t>年</w:t>
      </w:r>
      <w:r>
        <w:t>7</w:t>
      </w:r>
      <w:r>
        <w:rPr>
          <w:rFonts w:ascii="宋体" w:hAnsi="宋体" w:cs="宋体"/>
          <w:lang w:val="zh-TW" w:eastAsia="zh-TW"/>
        </w:rPr>
        <w:t>月</w:t>
      </w:r>
      <w:r>
        <w:t>25</w:t>
      </w:r>
      <w:r>
        <w:rPr>
          <w:rFonts w:ascii="宋体" w:hAnsi="宋体" w:cs="宋体"/>
          <w:lang w:val="zh-TW" w:eastAsia="zh-TW"/>
        </w:rPr>
        <w:t>日通过的意见；第</w:t>
      </w:r>
      <w:r>
        <w:t>18/2008</w:t>
      </w:r>
      <w:r>
        <w:rPr>
          <w:rFonts w:ascii="宋体" w:hAnsi="宋体" w:cs="宋体"/>
          <w:lang w:val="zh-TW" w:eastAsia="zh-TW"/>
        </w:rPr>
        <w:t>号来文，</w:t>
      </w:r>
      <w:r w:rsidR="005278B6">
        <w:t>Vertido</w:t>
      </w:r>
      <w:r>
        <w:rPr>
          <w:rFonts w:ascii="宋体" w:hAnsi="宋体" w:cs="宋体"/>
          <w:lang w:val="zh-TW" w:eastAsia="zh-TW"/>
        </w:rPr>
        <w:t>诉菲律宾，</w:t>
      </w:r>
      <w:r>
        <w:t>2010</w:t>
      </w:r>
      <w:r>
        <w:rPr>
          <w:rFonts w:ascii="宋体" w:hAnsi="宋体" w:cs="宋体"/>
          <w:lang w:val="zh-TW" w:eastAsia="zh-TW"/>
        </w:rPr>
        <w:t>年</w:t>
      </w:r>
      <w:r>
        <w:t>7</w:t>
      </w:r>
      <w:r>
        <w:rPr>
          <w:rFonts w:ascii="宋体" w:hAnsi="宋体" w:cs="宋体"/>
          <w:lang w:val="zh-TW" w:eastAsia="zh-TW"/>
        </w:rPr>
        <w:t>月</w:t>
      </w:r>
      <w:r>
        <w:t>16</w:t>
      </w:r>
      <w:r>
        <w:rPr>
          <w:rFonts w:ascii="宋体" w:hAnsi="宋体" w:cs="宋体"/>
          <w:lang w:val="zh-TW" w:eastAsia="zh-TW"/>
        </w:rPr>
        <w:t>日通过的意见；第</w:t>
      </w:r>
      <w:r>
        <w:t>6/2005</w:t>
      </w:r>
      <w:r>
        <w:rPr>
          <w:rFonts w:ascii="宋体" w:hAnsi="宋体" w:cs="宋体"/>
          <w:lang w:val="zh-TW" w:eastAsia="zh-TW"/>
        </w:rPr>
        <w:t>号来文，</w:t>
      </w:r>
      <w:r w:rsidR="005278B6">
        <w:t>Yildirim</w:t>
      </w:r>
      <w:r>
        <w:rPr>
          <w:rFonts w:ascii="宋体" w:hAnsi="宋体" w:cs="宋体"/>
          <w:lang w:val="zh-TW" w:eastAsia="zh-TW"/>
        </w:rPr>
        <w:t>诉奥地利，</w:t>
      </w:r>
      <w:r>
        <w:t>2007</w:t>
      </w:r>
      <w:r>
        <w:rPr>
          <w:rFonts w:ascii="宋体" w:hAnsi="宋体" w:cs="宋体"/>
          <w:lang w:val="zh-TW" w:eastAsia="zh-TW"/>
        </w:rPr>
        <w:t>年</w:t>
      </w:r>
      <w:r>
        <w:t>8</w:t>
      </w:r>
      <w:r>
        <w:rPr>
          <w:rFonts w:ascii="宋体" w:hAnsi="宋体" w:cs="宋体"/>
          <w:lang w:val="zh-TW" w:eastAsia="zh-TW"/>
        </w:rPr>
        <w:t>月</w:t>
      </w:r>
      <w:r>
        <w:t>6</w:t>
      </w:r>
      <w:r>
        <w:rPr>
          <w:rFonts w:ascii="宋体" w:hAnsi="宋体" w:cs="宋体"/>
          <w:lang w:val="zh-TW" w:eastAsia="zh-TW"/>
        </w:rPr>
        <w:t>日通过的意见；第</w:t>
      </w:r>
      <w:r>
        <w:t>5/2005</w:t>
      </w:r>
      <w:r>
        <w:rPr>
          <w:rFonts w:ascii="宋体" w:hAnsi="宋体" w:cs="宋体"/>
          <w:lang w:val="zh-TW" w:eastAsia="zh-TW"/>
        </w:rPr>
        <w:t>号来文，</w:t>
      </w:r>
      <w:r w:rsidR="000A40DF">
        <w:t>Goekce</w:t>
      </w:r>
      <w:r>
        <w:rPr>
          <w:rFonts w:ascii="宋体" w:hAnsi="宋体" w:cs="宋体"/>
          <w:lang w:val="zh-TW" w:eastAsia="zh-TW"/>
        </w:rPr>
        <w:t>诉奥地利，</w:t>
      </w:r>
      <w:r>
        <w:t>2007</w:t>
      </w:r>
      <w:r>
        <w:rPr>
          <w:rFonts w:ascii="宋体" w:hAnsi="宋体" w:cs="宋体"/>
          <w:lang w:val="zh-TW" w:eastAsia="zh-TW"/>
        </w:rPr>
        <w:t>年</w:t>
      </w:r>
      <w:r>
        <w:t>8</w:t>
      </w:r>
      <w:r>
        <w:rPr>
          <w:rFonts w:ascii="宋体" w:hAnsi="宋体" w:cs="宋体"/>
          <w:lang w:val="zh-TW" w:eastAsia="zh-TW"/>
        </w:rPr>
        <w:t>月</w:t>
      </w:r>
      <w:r>
        <w:t>6</w:t>
      </w:r>
      <w:r>
        <w:rPr>
          <w:rFonts w:ascii="宋体" w:hAnsi="宋体" w:cs="宋体"/>
          <w:lang w:val="zh-TW" w:eastAsia="zh-TW"/>
        </w:rPr>
        <w:t>日通过的意见；及第</w:t>
      </w:r>
      <w:r>
        <w:t>2/2003</w:t>
      </w:r>
      <w:r>
        <w:rPr>
          <w:rFonts w:ascii="宋体" w:hAnsi="宋体" w:cs="宋体"/>
          <w:lang w:val="zh-TW" w:eastAsia="zh-TW"/>
        </w:rPr>
        <w:t>号来文，</w:t>
      </w:r>
      <w:r>
        <w:t xml:space="preserve">A.T. </w:t>
      </w:r>
      <w:r>
        <w:rPr>
          <w:rFonts w:ascii="宋体" w:hAnsi="宋体" w:cs="宋体"/>
          <w:lang w:val="zh-TW" w:eastAsia="zh-TW"/>
        </w:rPr>
        <w:t>诉匈牙利，</w:t>
      </w:r>
      <w:r>
        <w:t>2005</w:t>
      </w:r>
      <w:r>
        <w:rPr>
          <w:rFonts w:ascii="宋体" w:hAnsi="宋体" w:cs="宋体"/>
          <w:lang w:val="zh-TW" w:eastAsia="zh-TW"/>
        </w:rPr>
        <w:t>年</w:t>
      </w:r>
      <w:r>
        <w:t>1</w:t>
      </w:r>
      <w:r>
        <w:rPr>
          <w:rFonts w:ascii="宋体" w:hAnsi="宋体" w:cs="宋体"/>
          <w:lang w:val="zh-TW" w:eastAsia="zh-TW"/>
        </w:rPr>
        <w:t>月</w:t>
      </w:r>
      <w:r>
        <w:t>26</w:t>
      </w:r>
      <w:r>
        <w:rPr>
          <w:rFonts w:ascii="宋体" w:hAnsi="宋体" w:cs="宋体"/>
          <w:lang w:val="zh-TW" w:eastAsia="zh-TW"/>
        </w:rPr>
        <w:t>日通过的意见。</w:t>
      </w:r>
    </w:p>
  </w:footnote>
  <w:footnote w:id="24">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见第</w:t>
      </w:r>
      <w:r>
        <w:t>23/2009</w:t>
      </w:r>
      <w:r>
        <w:rPr>
          <w:rFonts w:ascii="宋体" w:hAnsi="宋体" w:cs="宋体"/>
          <w:lang w:val="zh-TW" w:eastAsia="zh-TW"/>
        </w:rPr>
        <w:t>号来文，</w:t>
      </w:r>
      <w:r w:rsidR="00F2471C">
        <w:t>Abramova</w:t>
      </w:r>
      <w:r>
        <w:rPr>
          <w:rFonts w:ascii="宋体" w:hAnsi="宋体" w:cs="宋体"/>
          <w:lang w:val="zh-TW" w:eastAsia="zh-TW"/>
        </w:rPr>
        <w:t>诉白俄罗斯，</w:t>
      </w:r>
      <w:r>
        <w:t>2011</w:t>
      </w:r>
      <w:r>
        <w:rPr>
          <w:rFonts w:ascii="宋体" w:hAnsi="宋体" w:cs="宋体"/>
          <w:lang w:val="zh-TW" w:eastAsia="zh-TW"/>
        </w:rPr>
        <w:t>年</w:t>
      </w:r>
      <w:r>
        <w:t>7</w:t>
      </w:r>
      <w:r>
        <w:rPr>
          <w:rFonts w:ascii="宋体" w:hAnsi="宋体" w:cs="宋体"/>
          <w:lang w:val="zh-TW" w:eastAsia="zh-TW"/>
        </w:rPr>
        <w:t>月</w:t>
      </w:r>
      <w:r>
        <w:t>25</w:t>
      </w:r>
      <w:r>
        <w:rPr>
          <w:rFonts w:ascii="宋体" w:hAnsi="宋体" w:cs="宋体"/>
          <w:lang w:val="zh-TW" w:eastAsia="zh-TW"/>
        </w:rPr>
        <w:t>日通过的意见。</w:t>
      </w:r>
    </w:p>
  </w:footnote>
  <w:footnote w:id="25">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见第</w:t>
      </w:r>
      <w:r>
        <w:t>17/2008</w:t>
      </w:r>
      <w:r>
        <w:rPr>
          <w:rFonts w:ascii="宋体" w:hAnsi="宋体" w:cs="宋体"/>
          <w:lang w:val="zh-TW" w:eastAsia="zh-TW"/>
        </w:rPr>
        <w:t>号来文，</w:t>
      </w:r>
      <w:r w:rsidR="00F2471C">
        <w:t>Teixeira</w:t>
      </w:r>
      <w:r>
        <w:rPr>
          <w:rFonts w:ascii="宋体" w:hAnsi="宋体" w:cs="宋体"/>
          <w:lang w:val="zh-TW" w:eastAsia="zh-TW"/>
        </w:rPr>
        <w:t>诉巴西，</w:t>
      </w:r>
      <w:r>
        <w:t>2011</w:t>
      </w:r>
      <w:r>
        <w:rPr>
          <w:rFonts w:ascii="宋体" w:hAnsi="宋体" w:cs="宋体"/>
          <w:lang w:val="zh-TW" w:eastAsia="zh-TW"/>
        </w:rPr>
        <w:t>年</w:t>
      </w:r>
      <w:r>
        <w:t>7</w:t>
      </w:r>
      <w:r>
        <w:rPr>
          <w:rFonts w:ascii="宋体" w:hAnsi="宋体" w:cs="宋体"/>
          <w:lang w:val="zh-TW" w:eastAsia="zh-TW"/>
        </w:rPr>
        <w:t>月</w:t>
      </w:r>
      <w:r>
        <w:t>25</w:t>
      </w:r>
      <w:r>
        <w:rPr>
          <w:rFonts w:ascii="宋体" w:hAnsi="宋体" w:cs="宋体"/>
          <w:lang w:val="zh-TW" w:eastAsia="zh-TW"/>
        </w:rPr>
        <w:t>日通过的意见。</w:t>
      </w:r>
    </w:p>
  </w:footnote>
  <w:footnote w:id="26">
    <w:p w:rsidR="00D731ED" w:rsidRDefault="00D731ED" w:rsidP="00D731E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Pr>
          <w:rFonts w:ascii="宋体" w:hAnsi="宋体" w:cs="宋体"/>
          <w:lang w:val="zh-TW" w:eastAsia="zh-TW"/>
        </w:rPr>
        <w:t>见第</w:t>
      </w:r>
      <w:r>
        <w:t>28 /2010</w:t>
      </w:r>
      <w:r>
        <w:rPr>
          <w:rFonts w:ascii="宋体" w:hAnsi="宋体" w:cs="宋体"/>
          <w:lang w:val="zh-TW" w:eastAsia="zh-TW"/>
        </w:rPr>
        <w:t>号来文，</w:t>
      </w:r>
      <w:r w:rsidR="00F2471C">
        <w:t>R.K.B.</w:t>
      </w:r>
      <w:r>
        <w:rPr>
          <w:rFonts w:ascii="宋体" w:hAnsi="宋体" w:cs="宋体"/>
          <w:lang w:val="zh-TW" w:eastAsia="zh-TW"/>
        </w:rPr>
        <w:t>诉土耳其，</w:t>
      </w:r>
      <w:r>
        <w:t>2012</w:t>
      </w:r>
      <w:r>
        <w:rPr>
          <w:rFonts w:ascii="宋体" w:hAnsi="宋体" w:cs="宋体"/>
          <w:lang w:val="zh-TW" w:eastAsia="zh-TW"/>
        </w:rPr>
        <w:t>年</w:t>
      </w:r>
      <w:r>
        <w:t>2</w:t>
      </w:r>
      <w:r>
        <w:rPr>
          <w:rFonts w:ascii="宋体" w:hAnsi="宋体" w:cs="宋体"/>
          <w:lang w:val="zh-TW" w:eastAsia="zh-TW"/>
        </w:rPr>
        <w:t>月</w:t>
      </w:r>
      <w:r>
        <w:t>24</w:t>
      </w:r>
      <w:r>
        <w:rPr>
          <w:rFonts w:ascii="宋体" w:hAnsi="宋体" w:cs="宋体"/>
          <w:lang w:val="zh-TW" w:eastAsia="zh-TW"/>
        </w:rPr>
        <w:t>日通过的意见。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44E4E" w:rsidTr="008F0F12">
      <w:trPr>
        <w:trHeight w:hRule="exact" w:val="864"/>
      </w:trPr>
      <w:tc>
        <w:tcPr>
          <w:tcW w:w="4838" w:type="dxa"/>
          <w:shd w:val="clear" w:color="auto" w:fill="auto"/>
          <w:vAlign w:val="bottom"/>
        </w:tcPr>
        <w:p w:rsidR="00744E4E" w:rsidRPr="008F0F12" w:rsidRDefault="00744E4E" w:rsidP="008F0F12">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04C12">
            <w:rPr>
              <w:b/>
              <w:sz w:val="17"/>
            </w:rPr>
            <w:t>CEDAW/C/GC/33</w:t>
          </w:r>
          <w:r>
            <w:rPr>
              <w:b/>
              <w:sz w:val="17"/>
            </w:rPr>
            <w:fldChar w:fldCharType="end"/>
          </w:r>
        </w:p>
      </w:tc>
      <w:tc>
        <w:tcPr>
          <w:tcW w:w="5028" w:type="dxa"/>
          <w:shd w:val="clear" w:color="auto" w:fill="auto"/>
          <w:vAlign w:val="bottom"/>
        </w:tcPr>
        <w:p w:rsidR="00744E4E" w:rsidRDefault="00744E4E" w:rsidP="008F0F12">
          <w:pPr>
            <w:pStyle w:val="ab"/>
          </w:pPr>
        </w:p>
      </w:tc>
    </w:tr>
  </w:tbl>
  <w:p w:rsidR="00744E4E" w:rsidRPr="008F0F12" w:rsidRDefault="00744E4E" w:rsidP="008F0F1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44E4E" w:rsidTr="008F0F12">
      <w:trPr>
        <w:trHeight w:hRule="exact" w:val="864"/>
      </w:trPr>
      <w:tc>
        <w:tcPr>
          <w:tcW w:w="4838" w:type="dxa"/>
          <w:shd w:val="clear" w:color="auto" w:fill="auto"/>
          <w:vAlign w:val="bottom"/>
        </w:tcPr>
        <w:p w:rsidR="00744E4E" w:rsidRDefault="00744E4E" w:rsidP="008F0F12">
          <w:pPr>
            <w:pStyle w:val="ab"/>
          </w:pPr>
        </w:p>
      </w:tc>
      <w:tc>
        <w:tcPr>
          <w:tcW w:w="5028" w:type="dxa"/>
          <w:shd w:val="clear" w:color="auto" w:fill="auto"/>
          <w:vAlign w:val="bottom"/>
        </w:tcPr>
        <w:p w:rsidR="00744E4E" w:rsidRPr="008F0F12" w:rsidRDefault="00744E4E" w:rsidP="008F0F12">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04C12">
            <w:rPr>
              <w:b/>
              <w:sz w:val="17"/>
            </w:rPr>
            <w:t>CEDAW/C/GC/33</w:t>
          </w:r>
          <w:r>
            <w:rPr>
              <w:b/>
              <w:sz w:val="17"/>
            </w:rPr>
            <w:fldChar w:fldCharType="end"/>
          </w:r>
        </w:p>
      </w:tc>
    </w:tr>
  </w:tbl>
  <w:p w:rsidR="00744E4E" w:rsidRPr="008F0F12" w:rsidRDefault="00744E4E" w:rsidP="008F0F12">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44E4E" w:rsidTr="008F0F12">
      <w:trPr>
        <w:gridAfter w:val="1"/>
        <w:wAfter w:w="12" w:type="dxa"/>
        <w:trHeight w:hRule="exact" w:val="864"/>
      </w:trPr>
      <w:tc>
        <w:tcPr>
          <w:tcW w:w="1267" w:type="dxa"/>
          <w:tcBorders>
            <w:bottom w:val="single" w:sz="4" w:space="0" w:color="auto"/>
          </w:tcBorders>
          <w:shd w:val="clear" w:color="auto" w:fill="auto"/>
          <w:vAlign w:val="bottom"/>
        </w:tcPr>
        <w:p w:rsidR="00744E4E" w:rsidRDefault="00744E4E" w:rsidP="008F0F12">
          <w:pPr>
            <w:pStyle w:val="ab"/>
            <w:spacing w:after="120"/>
          </w:pPr>
        </w:p>
      </w:tc>
      <w:tc>
        <w:tcPr>
          <w:tcW w:w="1872" w:type="dxa"/>
          <w:tcBorders>
            <w:bottom w:val="single" w:sz="4" w:space="0" w:color="auto"/>
          </w:tcBorders>
          <w:shd w:val="clear" w:color="auto" w:fill="auto"/>
          <w:vAlign w:val="bottom"/>
        </w:tcPr>
        <w:p w:rsidR="00744E4E" w:rsidRPr="008F0F12" w:rsidRDefault="00744E4E" w:rsidP="008F0F12">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744E4E" w:rsidRDefault="00744E4E" w:rsidP="008F0F12">
          <w:pPr>
            <w:pStyle w:val="ab"/>
            <w:spacing w:after="120"/>
          </w:pPr>
        </w:p>
      </w:tc>
      <w:tc>
        <w:tcPr>
          <w:tcW w:w="6523" w:type="dxa"/>
          <w:gridSpan w:val="3"/>
          <w:tcBorders>
            <w:bottom w:val="single" w:sz="4" w:space="0" w:color="auto"/>
          </w:tcBorders>
          <w:shd w:val="clear" w:color="auto" w:fill="auto"/>
          <w:vAlign w:val="bottom"/>
        </w:tcPr>
        <w:p w:rsidR="00744E4E" w:rsidRPr="008F0F12" w:rsidRDefault="00744E4E" w:rsidP="008F0F12">
          <w:pPr>
            <w:spacing w:after="80" w:line="240" w:lineRule="auto"/>
            <w:jc w:val="right"/>
            <w:rPr>
              <w:position w:val="-4"/>
            </w:rPr>
          </w:pPr>
          <w:r>
            <w:rPr>
              <w:position w:val="-4"/>
              <w:sz w:val="40"/>
            </w:rPr>
            <w:t>CEDAW</w:t>
          </w:r>
          <w:r>
            <w:rPr>
              <w:position w:val="-4"/>
            </w:rPr>
            <w:t>/C/GC/33</w:t>
          </w:r>
        </w:p>
      </w:tc>
    </w:tr>
    <w:tr w:rsidR="00744E4E" w:rsidRPr="008F0F12" w:rsidTr="008F0F12">
      <w:trPr>
        <w:trHeight w:hRule="exact" w:val="2880"/>
      </w:trPr>
      <w:tc>
        <w:tcPr>
          <w:tcW w:w="1267" w:type="dxa"/>
          <w:tcBorders>
            <w:top w:val="single" w:sz="4" w:space="0" w:color="auto"/>
            <w:bottom w:val="single" w:sz="12" w:space="0" w:color="auto"/>
          </w:tcBorders>
          <w:shd w:val="clear" w:color="auto" w:fill="auto"/>
        </w:tcPr>
        <w:p w:rsidR="00744E4E" w:rsidRPr="008F0F12" w:rsidRDefault="00744E4E" w:rsidP="008F0F12">
          <w:pPr>
            <w:pStyle w:val="ab"/>
            <w:spacing w:before="109"/>
            <w:ind w:left="-72"/>
          </w:pPr>
          <w:r>
            <w:t xml:space="preserve"> </w:t>
          </w:r>
          <w:r>
            <w:drawing>
              <wp:inline distT="0" distB="0" distL="0" distR="0" wp14:anchorId="49A527F6" wp14:editId="5FFAD4C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44E4E" w:rsidRPr="008F0F12" w:rsidRDefault="00744E4E" w:rsidP="008F0F1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44E4E" w:rsidRPr="008F0F12" w:rsidRDefault="00744E4E" w:rsidP="008F0F12">
          <w:pPr>
            <w:pStyle w:val="ab"/>
            <w:spacing w:before="109"/>
          </w:pPr>
        </w:p>
      </w:tc>
      <w:tc>
        <w:tcPr>
          <w:tcW w:w="3180" w:type="dxa"/>
          <w:gridSpan w:val="2"/>
          <w:tcBorders>
            <w:top w:val="single" w:sz="4" w:space="0" w:color="auto"/>
            <w:bottom w:val="single" w:sz="12" w:space="0" w:color="auto"/>
          </w:tcBorders>
          <w:shd w:val="clear" w:color="auto" w:fill="auto"/>
        </w:tcPr>
        <w:p w:rsidR="00744E4E" w:rsidRDefault="00744E4E" w:rsidP="008F0F12">
          <w:pPr>
            <w:pStyle w:val="Distr"/>
          </w:pPr>
          <w:r>
            <w:t>Distr.: General</w:t>
          </w:r>
        </w:p>
        <w:p w:rsidR="00744E4E" w:rsidRDefault="00744E4E" w:rsidP="008F0F12">
          <w:pPr>
            <w:pStyle w:val="Publication"/>
          </w:pPr>
          <w:r>
            <w:t>3 August 2015</w:t>
          </w:r>
        </w:p>
        <w:p w:rsidR="00744E4E" w:rsidRDefault="00744E4E" w:rsidP="008F0F12">
          <w:pPr>
            <w:spacing w:line="240" w:lineRule="exact"/>
          </w:pPr>
          <w:r>
            <w:t>Chinese</w:t>
          </w:r>
        </w:p>
        <w:p w:rsidR="00744E4E" w:rsidRDefault="00744E4E" w:rsidP="008F0F12">
          <w:pPr>
            <w:pStyle w:val="Original"/>
          </w:pPr>
          <w:r>
            <w:t>Original: English</w:t>
          </w:r>
        </w:p>
        <w:p w:rsidR="00744E4E" w:rsidRPr="008F0F12" w:rsidRDefault="00744E4E" w:rsidP="008F0F12"/>
      </w:tc>
    </w:tr>
  </w:tbl>
  <w:p w:rsidR="00744E4E" w:rsidRPr="008F0F12" w:rsidRDefault="00744E4E" w:rsidP="008F0F12">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81"/>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94*"/>
    <w:docVar w:name="CreationDt" w:val="02/10/2015 16:35:55"/>
    <w:docVar w:name="DocCategory" w:val="Doc"/>
    <w:docVar w:name="DocType" w:val="Final"/>
    <w:docVar w:name="DutyStation" w:val="New York"/>
    <w:docVar w:name="FooterJN" w:val="15-13094 (C)"/>
    <w:docVar w:name="jobn" w:val="15-13094 (C)"/>
    <w:docVar w:name="jobnDT" w:val="15-13094 (C)   021015"/>
    <w:docVar w:name="jobnDTDT" w:val="15-13094 (C)   021015   021015"/>
    <w:docVar w:name="JobNo" w:val="1513094C"/>
    <w:docVar w:name="LocalDrive" w:val="0"/>
    <w:docVar w:name="OandT" w:val="liu"/>
    <w:docVar w:name="PaperSize" w:val="Letter"/>
    <w:docVar w:name="sss1" w:val="CEDAW/C/GC/33"/>
    <w:docVar w:name="sss2" w:val="-"/>
    <w:docVar w:name="Symbol1" w:val="CEDAW/C/GC/33"/>
    <w:docVar w:name="Symbol2" w:val="-"/>
  </w:docVars>
  <w:rsids>
    <w:rsidRoot w:val="00E65F69"/>
    <w:rsid w:val="00000689"/>
    <w:rsid w:val="0000347C"/>
    <w:rsid w:val="000040B7"/>
    <w:rsid w:val="0000715A"/>
    <w:rsid w:val="00007728"/>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354"/>
    <w:rsid w:val="000777FC"/>
    <w:rsid w:val="00077AEE"/>
    <w:rsid w:val="00082CCB"/>
    <w:rsid w:val="00083CAB"/>
    <w:rsid w:val="00084D46"/>
    <w:rsid w:val="000863AD"/>
    <w:rsid w:val="00095C67"/>
    <w:rsid w:val="000A31F9"/>
    <w:rsid w:val="000A40DF"/>
    <w:rsid w:val="000C1786"/>
    <w:rsid w:val="000C4C08"/>
    <w:rsid w:val="000C4DDE"/>
    <w:rsid w:val="000C5208"/>
    <w:rsid w:val="000D32BA"/>
    <w:rsid w:val="000E240F"/>
    <w:rsid w:val="000E49A4"/>
    <w:rsid w:val="000E5777"/>
    <w:rsid w:val="000F1058"/>
    <w:rsid w:val="000F4B74"/>
    <w:rsid w:val="000F55DC"/>
    <w:rsid w:val="00101C4E"/>
    <w:rsid w:val="00101D5B"/>
    <w:rsid w:val="00101F86"/>
    <w:rsid w:val="00103609"/>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8433B"/>
    <w:rsid w:val="001845DB"/>
    <w:rsid w:val="001873A2"/>
    <w:rsid w:val="001944A4"/>
    <w:rsid w:val="001A4A37"/>
    <w:rsid w:val="001B0DFD"/>
    <w:rsid w:val="001B2814"/>
    <w:rsid w:val="001B4F95"/>
    <w:rsid w:val="001C1460"/>
    <w:rsid w:val="001C1478"/>
    <w:rsid w:val="001C161F"/>
    <w:rsid w:val="001C1E0E"/>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1C2E"/>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A6125"/>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00A"/>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2D74"/>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3B2F"/>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652"/>
    <w:rsid w:val="004F4BBB"/>
    <w:rsid w:val="004F4EFB"/>
    <w:rsid w:val="004F5333"/>
    <w:rsid w:val="004F5E26"/>
    <w:rsid w:val="0050413E"/>
    <w:rsid w:val="00512841"/>
    <w:rsid w:val="00515657"/>
    <w:rsid w:val="0051592B"/>
    <w:rsid w:val="00521275"/>
    <w:rsid w:val="0052216F"/>
    <w:rsid w:val="00523247"/>
    <w:rsid w:val="005232CA"/>
    <w:rsid w:val="00523636"/>
    <w:rsid w:val="005278B6"/>
    <w:rsid w:val="00530CBB"/>
    <w:rsid w:val="0053111B"/>
    <w:rsid w:val="005335B9"/>
    <w:rsid w:val="00536CCE"/>
    <w:rsid w:val="00537F92"/>
    <w:rsid w:val="00542636"/>
    <w:rsid w:val="00545A99"/>
    <w:rsid w:val="00547EC6"/>
    <w:rsid w:val="00552CE5"/>
    <w:rsid w:val="005541E4"/>
    <w:rsid w:val="00554F60"/>
    <w:rsid w:val="005611F2"/>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46C7"/>
    <w:rsid w:val="006767D5"/>
    <w:rsid w:val="00691524"/>
    <w:rsid w:val="006926DF"/>
    <w:rsid w:val="00697E61"/>
    <w:rsid w:val="006A2730"/>
    <w:rsid w:val="006A5CFB"/>
    <w:rsid w:val="006A654B"/>
    <w:rsid w:val="006B769C"/>
    <w:rsid w:val="006C4BB3"/>
    <w:rsid w:val="006C6AA6"/>
    <w:rsid w:val="006D4068"/>
    <w:rsid w:val="006D7F5C"/>
    <w:rsid w:val="006E2924"/>
    <w:rsid w:val="006E7A26"/>
    <w:rsid w:val="006F04EF"/>
    <w:rsid w:val="006F2B3D"/>
    <w:rsid w:val="006F416B"/>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35A3"/>
    <w:rsid w:val="00744E4E"/>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3A25"/>
    <w:rsid w:val="007843DB"/>
    <w:rsid w:val="007877F4"/>
    <w:rsid w:val="007A209D"/>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5DE8"/>
    <w:rsid w:val="008B6642"/>
    <w:rsid w:val="008C076B"/>
    <w:rsid w:val="008C3296"/>
    <w:rsid w:val="008C3413"/>
    <w:rsid w:val="008D28B4"/>
    <w:rsid w:val="008D6C74"/>
    <w:rsid w:val="008E2913"/>
    <w:rsid w:val="008E2C22"/>
    <w:rsid w:val="008E2D03"/>
    <w:rsid w:val="008E7BDF"/>
    <w:rsid w:val="008F0F12"/>
    <w:rsid w:val="008F2BB5"/>
    <w:rsid w:val="008F425D"/>
    <w:rsid w:val="008F43E4"/>
    <w:rsid w:val="008F5472"/>
    <w:rsid w:val="008F5D0F"/>
    <w:rsid w:val="00907874"/>
    <w:rsid w:val="009122E0"/>
    <w:rsid w:val="00913351"/>
    <w:rsid w:val="009248ED"/>
    <w:rsid w:val="009264B1"/>
    <w:rsid w:val="009405D0"/>
    <w:rsid w:val="00946C87"/>
    <w:rsid w:val="00957134"/>
    <w:rsid w:val="0096193C"/>
    <w:rsid w:val="009769E1"/>
    <w:rsid w:val="00977E0D"/>
    <w:rsid w:val="00982D5C"/>
    <w:rsid w:val="00986132"/>
    <w:rsid w:val="00986C04"/>
    <w:rsid w:val="00990D1D"/>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84A3D"/>
    <w:rsid w:val="00A90956"/>
    <w:rsid w:val="00A93A95"/>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92D"/>
    <w:rsid w:val="00B16C8C"/>
    <w:rsid w:val="00B171E7"/>
    <w:rsid w:val="00B20D8D"/>
    <w:rsid w:val="00B2654A"/>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489F"/>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F38"/>
    <w:rsid w:val="00CE474E"/>
    <w:rsid w:val="00CE4CEF"/>
    <w:rsid w:val="00CE64AC"/>
    <w:rsid w:val="00CE72A1"/>
    <w:rsid w:val="00CE7DFC"/>
    <w:rsid w:val="00CF02D3"/>
    <w:rsid w:val="00CF060B"/>
    <w:rsid w:val="00CF1FCA"/>
    <w:rsid w:val="00CF49BA"/>
    <w:rsid w:val="00CF7718"/>
    <w:rsid w:val="00D0701A"/>
    <w:rsid w:val="00D10888"/>
    <w:rsid w:val="00D10EE5"/>
    <w:rsid w:val="00D177F1"/>
    <w:rsid w:val="00D21209"/>
    <w:rsid w:val="00D21DF3"/>
    <w:rsid w:val="00D22A31"/>
    <w:rsid w:val="00D24E82"/>
    <w:rsid w:val="00D25E6B"/>
    <w:rsid w:val="00D26510"/>
    <w:rsid w:val="00D32015"/>
    <w:rsid w:val="00D323B5"/>
    <w:rsid w:val="00D42ACC"/>
    <w:rsid w:val="00D46BC5"/>
    <w:rsid w:val="00D51DC5"/>
    <w:rsid w:val="00D53449"/>
    <w:rsid w:val="00D5525A"/>
    <w:rsid w:val="00D613E0"/>
    <w:rsid w:val="00D676D7"/>
    <w:rsid w:val="00D7007A"/>
    <w:rsid w:val="00D71517"/>
    <w:rsid w:val="00D7168D"/>
    <w:rsid w:val="00D71A15"/>
    <w:rsid w:val="00D731ED"/>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41F4"/>
    <w:rsid w:val="00E04F57"/>
    <w:rsid w:val="00E050BA"/>
    <w:rsid w:val="00E076AC"/>
    <w:rsid w:val="00E16655"/>
    <w:rsid w:val="00E16A6B"/>
    <w:rsid w:val="00E21275"/>
    <w:rsid w:val="00E25442"/>
    <w:rsid w:val="00E25A1F"/>
    <w:rsid w:val="00E3288B"/>
    <w:rsid w:val="00E34E6A"/>
    <w:rsid w:val="00E35B72"/>
    <w:rsid w:val="00E37B54"/>
    <w:rsid w:val="00E37EEB"/>
    <w:rsid w:val="00E440B3"/>
    <w:rsid w:val="00E5153D"/>
    <w:rsid w:val="00E56B5D"/>
    <w:rsid w:val="00E63A20"/>
    <w:rsid w:val="00E65F69"/>
    <w:rsid w:val="00E66265"/>
    <w:rsid w:val="00E710FB"/>
    <w:rsid w:val="00E730F1"/>
    <w:rsid w:val="00E73CC9"/>
    <w:rsid w:val="00E75847"/>
    <w:rsid w:val="00E76FCC"/>
    <w:rsid w:val="00E80528"/>
    <w:rsid w:val="00E806D9"/>
    <w:rsid w:val="00E816C7"/>
    <w:rsid w:val="00E82CA2"/>
    <w:rsid w:val="00E861B6"/>
    <w:rsid w:val="00E94E5A"/>
    <w:rsid w:val="00E95594"/>
    <w:rsid w:val="00E95A55"/>
    <w:rsid w:val="00EA0B27"/>
    <w:rsid w:val="00EA31C3"/>
    <w:rsid w:val="00EA4947"/>
    <w:rsid w:val="00EB33AC"/>
    <w:rsid w:val="00EB3FFD"/>
    <w:rsid w:val="00EC25DE"/>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12"/>
    <w:rsid w:val="00F04C64"/>
    <w:rsid w:val="00F057A4"/>
    <w:rsid w:val="00F13305"/>
    <w:rsid w:val="00F1516C"/>
    <w:rsid w:val="00F170F1"/>
    <w:rsid w:val="00F219C6"/>
    <w:rsid w:val="00F2471C"/>
    <w:rsid w:val="00F26864"/>
    <w:rsid w:val="00F3596A"/>
    <w:rsid w:val="00F40463"/>
    <w:rsid w:val="00F44A01"/>
    <w:rsid w:val="00F50336"/>
    <w:rsid w:val="00F55E5B"/>
    <w:rsid w:val="00F569BC"/>
    <w:rsid w:val="00F6174D"/>
    <w:rsid w:val="00F62E3F"/>
    <w:rsid w:val="00F66E5C"/>
    <w:rsid w:val="00F67F90"/>
    <w:rsid w:val="00F70549"/>
    <w:rsid w:val="00F708D7"/>
    <w:rsid w:val="00F71E1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2427A-B82E-4982-8CD8-76DDB8A90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Pages>
  <Words>2616</Words>
  <Characters>14916</Characters>
  <Application>Microsoft Office Word</Application>
  <DocSecurity>0</DocSecurity>
  <Lines>124</Lines>
  <Paragraphs>34</Paragraphs>
  <ScaleCrop>false</ScaleCrop>
  <Company>United Nations</Company>
  <LinksUpToDate>false</LinksUpToDate>
  <CharactersWithSpaces>17498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 liu</dc:creator>
  <cp:keywords/>
  <dc:description/>
  <cp:lastModifiedBy>Jiping Zhang</cp:lastModifiedBy>
  <cp:revision>45</cp:revision>
  <cp:lastPrinted>2015-10-02T22:29:00Z</cp:lastPrinted>
  <dcterms:created xsi:type="dcterms:W3CDTF">2015-10-02T20:34:00Z</dcterms:created>
  <dcterms:modified xsi:type="dcterms:W3CDTF">2015-10-05T13:59:00Z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1513094</vt:lpwstr>
  </property>
  <property fmtid="{D5CDD505-2E9C-101B-9397-08002B2CF9AE}" pid="3" name="ODSRefJobNo">
    <vt:lpwstr>1524189C</vt:lpwstr>
  </property>
  <property fmtid="{D5CDD505-2E9C-101B-9397-08002B2CF9AE}" pid="4" name="Symbol1">
    <vt:lpwstr>CEDAW/C/GC/33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2015</vt:lpwstr>
  </property>
  <property fmtid="{D5CDD505-2E9C-101B-9397-08002B2CF9AE}" pid="9" name="Original">
    <vt:lpwstr>English</vt:lpwstr>
  </property>
  <property fmtid="{D5CDD505-2E9C-101B-9397-08002B2CF9AE}" pid="10" name="Release Date">
    <vt:lpwstr>021015</vt:lpwstr>
  </property>
  <property fmtid="{D5CDD505-2E9C-101B-9397-08002B2CF9AE}" pid="11" name="Comment">
    <vt:lpwstr/>
  </property>
  <property fmtid="{D5CDD505-2E9C-101B-9397-08002B2CF9AE}" pid="12" name="DraftPages">
    <vt:lpwstr> </vt:lpwstr>
  </property>
  <property fmtid="{D5CDD505-2E9C-101B-9397-08002B2CF9AE}" pid="13" name="Operator">
    <vt:lpwstr>liu</vt:lpwstr>
  </property>
</Properties>
</file>