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946" w:rsidRDefault="00662946">
      <w:pPr>
        <w:spacing w:line="240" w:lineRule="auto"/>
        <w:jc w:val="left"/>
        <w:rPr>
          <w:szCs w:val="6"/>
        </w:rPr>
        <w:sectPr w:rsidR="0066294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62946" w:rsidRDefault="00662946">
      <w:pPr>
        <w:pStyle w:val="SingleTxt"/>
        <w:ind w:left="0" w:right="0"/>
        <w:jc w:val="both"/>
        <w:rPr>
          <w:rFonts w:hint="cs"/>
          <w:b/>
          <w:bCs/>
          <w:sz w:val="34"/>
          <w:szCs w:val="34"/>
          <w:rtl/>
          <w:lang w:bidi="ar-EG"/>
        </w:rPr>
      </w:pPr>
      <w:r>
        <w:rPr>
          <w:rFonts w:hint="cs"/>
          <w:b/>
          <w:bCs/>
          <w:sz w:val="34"/>
          <w:szCs w:val="34"/>
          <w:rtl/>
          <w:lang w:bidi="ar-EG"/>
        </w:rPr>
        <w:t>اللجنة المعنية بالقضاء على التمييز ضد المرأة</w:t>
      </w:r>
    </w:p>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jc w:val="center"/>
        <w:rPr>
          <w:rFonts w:hint="cs"/>
          <w:b/>
          <w:bCs/>
          <w:rtl/>
          <w:lang w:bidi="ar-EG"/>
        </w:rPr>
      </w:pPr>
      <w:r>
        <w:rPr>
          <w:rFonts w:hint="cs"/>
          <w:b/>
          <w:bCs/>
          <w:rtl/>
          <w:lang w:bidi="ar-EG"/>
        </w:rPr>
        <w:t>النظر في التقارير المقدمة من الدول الأطراف بموجب المادة 18</w:t>
      </w:r>
    </w:p>
    <w:p w:rsidR="00662946" w:rsidRDefault="00662946">
      <w:pPr>
        <w:pStyle w:val="SingleTxt"/>
        <w:jc w:val="center"/>
        <w:rPr>
          <w:rFonts w:hint="cs"/>
          <w:b/>
          <w:bCs/>
          <w:rtl/>
          <w:lang w:bidi="ar-EG"/>
        </w:rPr>
      </w:pPr>
      <w:r>
        <w:rPr>
          <w:rFonts w:hint="cs"/>
          <w:b/>
          <w:bCs/>
          <w:rtl/>
          <w:lang w:bidi="ar-EG"/>
        </w:rPr>
        <w:t>من اتفاقية القضاء على جميع أشكال التمييز ضد المرأة</w:t>
      </w:r>
    </w:p>
    <w:p w:rsidR="00662946" w:rsidRDefault="00662946">
      <w:pPr>
        <w:pStyle w:val="SingleTxt"/>
        <w:jc w:val="both"/>
        <w:rPr>
          <w:rFonts w:hint="cs"/>
          <w:b/>
          <w:bCs/>
          <w:rtl/>
          <w:lang w:bidi="ar-EG"/>
        </w:rPr>
      </w:pPr>
    </w:p>
    <w:p w:rsidR="00662946" w:rsidRDefault="00662946">
      <w:pPr>
        <w:pStyle w:val="SingleTxt"/>
        <w:jc w:val="center"/>
        <w:rPr>
          <w:rFonts w:hint="cs"/>
          <w:b/>
          <w:bCs/>
          <w:rtl/>
          <w:lang w:bidi="ar-EG"/>
        </w:rPr>
      </w:pPr>
      <w:r>
        <w:rPr>
          <w:rFonts w:hint="cs"/>
          <w:b/>
          <w:bCs/>
          <w:rtl/>
          <w:lang w:bidi="ar-EG"/>
        </w:rPr>
        <w:t>التقارير الدورية المجمَّعة الأول والثاني والثالث والرابع والخامس والسادس</w:t>
      </w:r>
    </w:p>
    <w:p w:rsidR="00662946" w:rsidRDefault="00662946">
      <w:pPr>
        <w:pStyle w:val="SingleTxt"/>
        <w:jc w:val="center"/>
        <w:rPr>
          <w:rFonts w:hint="cs"/>
          <w:b/>
          <w:bCs/>
          <w:rtl/>
          <w:lang w:bidi="ar-EG"/>
        </w:rPr>
      </w:pPr>
      <w:r>
        <w:rPr>
          <w:rFonts w:hint="cs"/>
          <w:b/>
          <w:bCs/>
          <w:rtl/>
          <w:lang w:bidi="ar-EG"/>
        </w:rPr>
        <w:t>للدول الأطراف</w:t>
      </w:r>
    </w:p>
    <w:p w:rsidR="00662946" w:rsidRDefault="00662946">
      <w:pPr>
        <w:pStyle w:val="SingleTxt"/>
        <w:jc w:val="both"/>
        <w:rPr>
          <w:rFonts w:hint="cs"/>
          <w:b/>
          <w:bCs/>
          <w:rtl/>
          <w:lang w:bidi="ar-EG"/>
        </w:rPr>
      </w:pPr>
    </w:p>
    <w:p w:rsidR="00662946" w:rsidRDefault="00662946">
      <w:pPr>
        <w:pStyle w:val="SingleTxt"/>
        <w:jc w:val="center"/>
        <w:rPr>
          <w:rFonts w:hint="cs"/>
          <w:b/>
          <w:bCs/>
          <w:rtl/>
          <w:lang w:bidi="ar-EG"/>
        </w:rPr>
      </w:pPr>
      <w:r>
        <w:rPr>
          <w:rFonts w:hint="cs"/>
          <w:b/>
          <w:bCs/>
          <w:rtl/>
          <w:lang w:bidi="ar-EG"/>
        </w:rPr>
        <w:t>سانت لوسيا*</w:t>
      </w:r>
    </w:p>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pBdr>
          <w:bottom w:val="single" w:sz="8" w:space="1" w:color="auto"/>
        </w:pBdr>
        <w:ind w:left="0" w:right="0"/>
        <w:jc w:val="both"/>
        <w:rPr>
          <w:rFonts w:hint="cs"/>
          <w:rtl/>
          <w:lang w:bidi="ar-EG"/>
        </w:rPr>
      </w:pPr>
    </w:p>
    <w:p w:rsidR="00662946" w:rsidRDefault="00662946" w:rsidP="005D3B2D">
      <w:pPr>
        <w:pStyle w:val="SingleTxt"/>
        <w:tabs>
          <w:tab w:val="clear" w:pos="1930"/>
          <w:tab w:val="clear" w:pos="2592"/>
          <w:tab w:val="left" w:pos="1404"/>
          <w:tab w:val="left" w:pos="1713"/>
        </w:tabs>
        <w:spacing w:line="300" w:lineRule="exact"/>
        <w:ind w:left="1713" w:right="1264" w:hanging="449"/>
        <w:jc w:val="both"/>
        <w:rPr>
          <w:rFonts w:hint="cs"/>
          <w:sz w:val="25"/>
          <w:szCs w:val="25"/>
          <w:rtl/>
          <w:lang w:bidi="ar-EG"/>
        </w:rPr>
      </w:pPr>
      <w:r>
        <w:rPr>
          <w:rFonts w:hint="cs"/>
          <w:sz w:val="25"/>
          <w:szCs w:val="25"/>
          <w:rtl/>
          <w:lang w:bidi="ar-EG"/>
        </w:rPr>
        <w:tab/>
      </w:r>
      <w:r>
        <w:rPr>
          <w:rFonts w:hint="cs"/>
          <w:sz w:val="25"/>
          <w:szCs w:val="25"/>
          <w:rtl/>
          <w:lang w:bidi="ar-EG"/>
        </w:rPr>
        <w:tab/>
        <w:t xml:space="preserve">* </w:t>
      </w:r>
      <w:bookmarkStart w:id="1" w:name="TmpSave"/>
      <w:bookmarkEnd w:id="1"/>
      <w:r>
        <w:rPr>
          <w:rFonts w:hint="cs"/>
          <w:sz w:val="25"/>
          <w:szCs w:val="25"/>
          <w:rtl/>
          <w:lang w:bidi="ar-EG"/>
        </w:rPr>
        <w:tab/>
        <w:t>تلقت الأمانة العامة التقارير الدورية المجمَّعة الأول والثاني والثالث والرابع والخامس والسادس لسانت لوسيا في 7 أيلول/سبتمبر 2005.</w:t>
      </w:r>
    </w:p>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jc w:val="center"/>
        <w:rPr>
          <w:rFonts w:hint="cs"/>
          <w:b/>
          <w:bCs/>
          <w:rtl/>
          <w:lang w:bidi="ar-EG"/>
        </w:rPr>
      </w:pPr>
      <w:r>
        <w:rPr>
          <w:rFonts w:hint="cs"/>
          <w:b/>
          <w:bCs/>
          <w:rtl/>
          <w:lang w:bidi="ar-EG"/>
        </w:rPr>
        <w:t>حكومة سانت لوسيا</w:t>
      </w:r>
    </w:p>
    <w:p w:rsidR="00662946" w:rsidRDefault="00662946">
      <w:pPr>
        <w:pStyle w:val="SingleTxt"/>
        <w:jc w:val="center"/>
        <w:rPr>
          <w:rFonts w:hint="cs"/>
          <w:b/>
          <w:bCs/>
          <w:rtl/>
          <w:lang w:bidi="ar-EG"/>
        </w:rPr>
      </w:pPr>
    </w:p>
    <w:p w:rsidR="00662946" w:rsidRDefault="00662946">
      <w:pPr>
        <w:pStyle w:val="SingleTxt"/>
        <w:jc w:val="center"/>
        <w:rPr>
          <w:rFonts w:hint="cs"/>
          <w:b/>
          <w:bCs/>
          <w:i/>
          <w:iCs/>
          <w:rtl/>
          <w:lang w:bidi="ar-EG"/>
        </w:rPr>
      </w:pPr>
      <w:r>
        <w:rPr>
          <w:rFonts w:hint="cs"/>
          <w:b/>
          <w:bCs/>
          <w:i/>
          <w:iCs/>
          <w:rtl/>
          <w:lang w:bidi="ar-EG"/>
        </w:rPr>
        <w:t xml:space="preserve">التقرير المقدَّم إلى اللجنة المعنية بالقضاء على التمييز ضد المرأة بموجب المادة 18 من اتفاقية القضاء على جميع أشكال التمييز ضد المرأة </w:t>
      </w:r>
    </w:p>
    <w:p w:rsidR="00662946" w:rsidRDefault="00662946">
      <w:pPr>
        <w:pStyle w:val="SingleTxt"/>
        <w:jc w:val="center"/>
        <w:rPr>
          <w:rFonts w:hint="cs"/>
          <w:rtl/>
          <w:lang w:bidi="ar-EG"/>
        </w:rPr>
      </w:pPr>
    </w:p>
    <w:p w:rsidR="00662946" w:rsidRDefault="00662946">
      <w:pPr>
        <w:pStyle w:val="SingleTxt"/>
        <w:jc w:val="center"/>
        <w:rPr>
          <w:rFonts w:hint="cs"/>
          <w:rtl/>
          <w:lang w:bidi="ar-EG"/>
        </w:rPr>
      </w:pPr>
    </w:p>
    <w:p w:rsidR="00662946" w:rsidRDefault="00662946">
      <w:pPr>
        <w:pStyle w:val="SingleTxt"/>
        <w:jc w:val="center"/>
        <w:rPr>
          <w:rFonts w:hint="cs"/>
          <w:i/>
          <w:iCs/>
          <w:rtl/>
          <w:lang w:bidi="ar-EG"/>
        </w:rPr>
      </w:pPr>
      <w:r>
        <w:rPr>
          <w:rFonts w:hint="cs"/>
          <w:i/>
          <w:iCs/>
          <w:rtl/>
          <w:lang w:bidi="ar-EG"/>
        </w:rPr>
        <w:t>التقارير الدورية المجمَّعة الأول والثاني والثالث والرابع والخامس والسادس</w:t>
      </w:r>
    </w:p>
    <w:p w:rsidR="00662946" w:rsidRDefault="00662946">
      <w:pPr>
        <w:pStyle w:val="SingleTxt"/>
        <w:jc w:val="both"/>
        <w:rPr>
          <w:rFonts w:hint="cs"/>
          <w:rtl/>
          <w:lang w:bidi="ar-EG"/>
        </w:rPr>
      </w:pPr>
    </w:p>
    <w:p w:rsidR="00662946" w:rsidRDefault="00662946">
      <w:pPr>
        <w:pStyle w:val="SingleTxt"/>
        <w:jc w:val="center"/>
        <w:rPr>
          <w:rFonts w:hint="cs"/>
          <w:rtl/>
          <w:lang w:bidi="ar-EG"/>
        </w:rPr>
      </w:pPr>
      <w:r>
        <w:rPr>
          <w:rtl/>
          <w:lang w:bidi="ar-EG"/>
        </w:rPr>
        <w:br w:type="page"/>
      </w:r>
      <w:r>
        <w:rPr>
          <w:rFonts w:hint="cs"/>
          <w:b/>
          <w:bCs/>
          <w:rtl/>
          <w:lang w:bidi="ar-EG"/>
        </w:rPr>
        <w:t>مقدمة</w:t>
      </w:r>
    </w:p>
    <w:p w:rsidR="00662946" w:rsidRDefault="00662946">
      <w:pPr>
        <w:pStyle w:val="SingleTxt"/>
        <w:jc w:val="both"/>
        <w:rPr>
          <w:rFonts w:hint="cs"/>
          <w:rtl/>
          <w:lang w:bidi="ar-EG"/>
        </w:rPr>
      </w:pPr>
      <w:r>
        <w:rPr>
          <w:rFonts w:hint="cs"/>
          <w:rtl/>
          <w:lang w:bidi="ar-EG"/>
        </w:rPr>
        <w:tab/>
        <w:t>تقدِّم حكومة سانت لوسيا بمقتضى هذا التقارير الدورية المجمَّعة الأول والثاني والثالث والرابع والخامس والسادس بموجب المادة 18 من اتفاقية القضاء على جميع أشكال التمييز ضد المرأة. ويشمل هذا التقرير الأول الفترة من عام 1982 إلى عام 2002. ولدى إعداد التقرير نظرت سانت لوسيا في مبادئ الجنة التوجيهية المنقَّحة بشأن كتابة التقارير، التي بدأ سريانها في 21 كانون الأول/ديسمبر 2002.</w:t>
      </w:r>
    </w:p>
    <w:p w:rsidR="00662946" w:rsidRDefault="00662946">
      <w:pPr>
        <w:pStyle w:val="SingleTxt"/>
        <w:jc w:val="both"/>
        <w:rPr>
          <w:rFonts w:hint="cs"/>
          <w:rtl/>
          <w:lang w:bidi="ar-EG"/>
        </w:rPr>
      </w:pPr>
      <w:r>
        <w:rPr>
          <w:rFonts w:hint="cs"/>
          <w:rtl/>
          <w:lang w:bidi="ar-EG"/>
        </w:rPr>
        <w:tab/>
        <w:t>ويتألف هذا التقرير من جزأين. ويقدم الجزء الأول معلومات أساسية عن البلد ويحدِّد الإطار القانوني والإداري والدستوري الذي ستنفّذ فيه أحكام الاتفاقية. ويقدّم الجزء الثاني من التقرير معلومات محدَّدة بشأن تنفيذ كل مادة من مواد الاتفاقية. وقد أُخذ قدر كبير من البيانات من التعداد والتقارير الإحصائية وتقارير العمل والاستعراضات الاقتصادية والاجتماعية والموجز الإحصائي السنوي لوزارة التعليم وقد أُجريت أيضاً مشاورات مع أفراد ومنظمات من القطاعين العام والخاص.</w:t>
      </w:r>
    </w:p>
    <w:p w:rsidR="00662946" w:rsidRDefault="00662946">
      <w:pPr>
        <w:pStyle w:val="SingleTxt"/>
        <w:jc w:val="both"/>
        <w:rPr>
          <w:rFonts w:hint="cs"/>
          <w:rtl/>
          <w:lang w:bidi="ar-EG"/>
        </w:rPr>
      </w:pPr>
      <w:r>
        <w:rPr>
          <w:rFonts w:hint="cs"/>
          <w:rtl/>
          <w:lang w:bidi="ar-EG"/>
        </w:rPr>
        <w:tab/>
        <w:t>وكانت حكومة سانت لوسيا قد صدَّقت على اتفاقية القضاء على جميع أشكال التمييز ضد المرأة في عام 1982. وبدأ سريان الاتفاقية في 7 تشرين الثاني/نوفمبر 1982. بيد أنه لم ينشأ اهتمام بعملية التصديق والالتزام امتثال أحكام الاتفاقية إلا بعد إنشاء مكتب شؤون المرأة في وزارة التنمية المجتمعية والشباب والرياضة والشؤون الاجتماعية في سنة 1986.</w:t>
      </w:r>
    </w:p>
    <w:p w:rsidR="00662946" w:rsidRDefault="00662946">
      <w:pPr>
        <w:pStyle w:val="SingleTxt"/>
        <w:jc w:val="both"/>
        <w:rPr>
          <w:rFonts w:hint="cs"/>
          <w:rtl/>
          <w:lang w:bidi="ar-EG"/>
        </w:rPr>
      </w:pPr>
      <w:r>
        <w:rPr>
          <w:rFonts w:hint="cs"/>
          <w:rtl/>
          <w:lang w:bidi="ar-EG"/>
        </w:rPr>
        <w:tab/>
        <w:t>وتتطلع سانت لوسيا إلى مناقشة هذا التقرير مع اللجنة المعنية باتفاقية القضاء على جميع أشكال التمييز ضد المرأة.</w:t>
      </w:r>
    </w:p>
    <w:p w:rsidR="00662946" w:rsidRDefault="00662946">
      <w:pPr>
        <w:pStyle w:val="SingleTxt"/>
        <w:jc w:val="both"/>
        <w:rPr>
          <w:rFonts w:hint="cs"/>
          <w:rtl/>
          <w:lang w:bidi="ar-EG"/>
        </w:rPr>
      </w:pPr>
      <w:r>
        <w:rPr>
          <w:rtl/>
          <w:lang w:bidi="ar-EG"/>
        </w:rPr>
        <w:br w:type="page"/>
      </w:r>
      <w:r>
        <w:rPr>
          <w:rFonts w:hint="cs"/>
          <w:b/>
          <w:bCs/>
          <w:rtl/>
          <w:lang w:bidi="ar-EG"/>
        </w:rPr>
        <w:t>المحتويات</w:t>
      </w:r>
    </w:p>
    <w:tbl>
      <w:tblPr>
        <w:bidiVisual/>
        <w:tblW w:w="0" w:type="auto"/>
        <w:tblInd w:w="1203" w:type="dxa"/>
        <w:tblLook w:val="01E0" w:firstRow="1" w:lastRow="1" w:firstColumn="1" w:lastColumn="1" w:noHBand="0" w:noVBand="0"/>
      </w:tblPr>
      <w:tblGrid>
        <w:gridCol w:w="1133"/>
        <w:gridCol w:w="6180"/>
        <w:gridCol w:w="1030"/>
      </w:tblGrid>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6692"/>
              </w:tabs>
              <w:ind w:left="0" w:right="0"/>
              <w:jc w:val="both"/>
              <w:rPr>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b/>
                <w:bCs/>
                <w:rtl/>
                <w:lang w:bidi="ar-EG"/>
              </w:rPr>
            </w:pPr>
            <w:r>
              <w:rPr>
                <w:rFonts w:hint="cs"/>
                <w:b/>
                <w:bCs/>
                <w:rtl/>
                <w:lang w:bidi="ar-EG"/>
              </w:rPr>
              <w:t>الصفحة</w:t>
            </w:r>
          </w:p>
        </w:tc>
      </w:tr>
      <w:tr w:rsidR="00662946">
        <w:tc>
          <w:tcPr>
            <w:tcW w:w="7313" w:type="dxa"/>
            <w:gridSpan w:val="2"/>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tl/>
                <w:lang w:bidi="ar-EG"/>
              </w:rPr>
            </w:pPr>
            <w:r>
              <w:rPr>
                <w:rFonts w:hint="cs"/>
                <w:rtl/>
                <w:lang w:bidi="ar-EG"/>
              </w:rPr>
              <w:t>قائمة الاختصارات</w:t>
            </w:r>
            <w:r>
              <w:rPr>
                <w:rtl/>
                <w:lang w:bidi="ar-EG"/>
              </w:rPr>
              <w:tab/>
            </w: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الجزء الأول</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tl/>
                <w:lang w:bidi="ar-EG"/>
              </w:rPr>
            </w:pPr>
            <w:r>
              <w:rPr>
                <w:rFonts w:hint="cs"/>
                <w:rtl/>
                <w:lang w:bidi="ar-EG"/>
              </w:rPr>
              <w:t>معلومات أساسية عامة</w:t>
            </w:r>
            <w:r>
              <w:rPr>
                <w:rtl/>
                <w:lang w:bidi="ar-EG"/>
              </w:rPr>
              <w:tab/>
            </w: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1</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2</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3</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4</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5</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6</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7</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8</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9</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10</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11</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12</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13</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14</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15</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r>
              <w:rPr>
                <w:rFonts w:hint="cs"/>
                <w:rtl/>
                <w:lang w:bidi="ar-EG"/>
              </w:rPr>
              <w:t>المادة 16</w:t>
            </w: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r w:rsidR="00662946">
        <w:tc>
          <w:tcPr>
            <w:tcW w:w="1133"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618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c>
          <w:tcPr>
            <w:tcW w:w="1030" w:type="dxa"/>
          </w:tcPr>
          <w:p w:rsidR="00662946" w:rsidRDefault="0066294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ind w:left="0" w:right="0"/>
              <w:jc w:val="both"/>
              <w:rPr>
                <w:rFonts w:hint="cs"/>
                <w:rtl/>
                <w:lang w:bidi="ar-EG"/>
              </w:rPr>
            </w:pPr>
          </w:p>
        </w:tc>
      </w:tr>
    </w:tbl>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jc w:val="both"/>
        <w:rPr>
          <w:rFonts w:hint="cs"/>
          <w:rtl/>
          <w:lang w:bidi="ar-EG"/>
        </w:rPr>
      </w:pPr>
      <w:r>
        <w:rPr>
          <w:rtl/>
          <w:lang w:bidi="ar-EG"/>
        </w:rPr>
        <w:br w:type="page"/>
      </w:r>
      <w:r>
        <w:rPr>
          <w:rFonts w:hint="cs"/>
          <w:b/>
          <w:bCs/>
          <w:rtl/>
          <w:lang w:bidi="ar-EG"/>
        </w:rPr>
        <w:t>قائمة الاختصارات</w:t>
      </w:r>
    </w:p>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jc w:val="center"/>
        <w:rPr>
          <w:rFonts w:hint="cs"/>
          <w:b/>
          <w:bCs/>
          <w:rtl/>
          <w:lang w:bidi="ar-EG"/>
        </w:rPr>
      </w:pPr>
      <w:r>
        <w:rPr>
          <w:rtl/>
          <w:lang w:bidi="ar-EG"/>
        </w:rPr>
        <w:br w:type="page"/>
      </w:r>
      <w:r>
        <w:rPr>
          <w:rFonts w:hint="cs"/>
          <w:b/>
          <w:bCs/>
          <w:rtl/>
          <w:lang w:bidi="ar-EG"/>
        </w:rPr>
        <w:t>الجزء الأول</w:t>
      </w:r>
    </w:p>
    <w:p w:rsidR="00662946" w:rsidRDefault="00662946">
      <w:pPr>
        <w:pStyle w:val="SingleTxt"/>
        <w:jc w:val="center"/>
        <w:rPr>
          <w:rFonts w:hint="cs"/>
          <w:rtl/>
          <w:lang w:bidi="ar-EG"/>
        </w:rPr>
      </w:pPr>
      <w:r>
        <w:rPr>
          <w:rFonts w:hint="cs"/>
          <w:b/>
          <w:bCs/>
          <w:rtl/>
          <w:lang w:bidi="ar-EG"/>
        </w:rPr>
        <w:t>معلومات أساسية عامة</w:t>
      </w:r>
    </w:p>
    <w:p w:rsidR="00662946" w:rsidRDefault="00662946">
      <w:pPr>
        <w:pStyle w:val="SingleTxt"/>
        <w:ind w:left="2528" w:right="1264" w:hanging="1264"/>
        <w:jc w:val="both"/>
        <w:rPr>
          <w:rFonts w:hint="cs"/>
          <w:rtl/>
          <w:lang w:bidi="ar-EG"/>
        </w:rPr>
      </w:pPr>
      <w:r>
        <w:rPr>
          <w:rFonts w:hint="cs"/>
          <w:i/>
          <w:iCs/>
          <w:rtl/>
          <w:lang w:bidi="ar-EG"/>
        </w:rPr>
        <w:tab/>
      </w:r>
      <w:r>
        <w:rPr>
          <w:rFonts w:hint="cs"/>
          <w:i/>
          <w:iCs/>
          <w:rtl/>
          <w:lang w:bidi="ar-EG"/>
        </w:rPr>
        <w:tab/>
      </w:r>
      <w:r>
        <w:rPr>
          <w:rFonts w:hint="cs"/>
          <w:i/>
          <w:iCs/>
          <w:rtl/>
          <w:lang w:bidi="ar-EG"/>
        </w:rPr>
        <w:tab/>
      </w:r>
      <w:r>
        <w:rPr>
          <w:rFonts w:hint="cs"/>
          <w:b/>
          <w:bCs/>
          <w:i/>
          <w:iCs/>
          <w:sz w:val="25"/>
          <w:szCs w:val="25"/>
          <w:rtl/>
          <w:lang w:bidi="ar-EG"/>
        </w:rPr>
        <w:t>(أ)</w:t>
      </w:r>
      <w:r>
        <w:rPr>
          <w:rFonts w:hint="cs"/>
          <w:b/>
          <w:bCs/>
          <w:i/>
          <w:iCs/>
          <w:sz w:val="25"/>
          <w:szCs w:val="25"/>
          <w:rtl/>
          <w:lang w:bidi="ar-EG"/>
        </w:rPr>
        <w:tab/>
        <w:t>صف بإيجاز بقدر الإمكان الإطار الفعلي والعام والاجتماعي والاقتصادي والسياسي والقانوني الذي تتناول ضمنه سانت لوسيا القضاء على جميع أشكال التمييز ضد المرأة، حسبما ورد تعريفه في الاتفاقية</w:t>
      </w:r>
      <w:r>
        <w:rPr>
          <w:rFonts w:hint="cs"/>
          <w:i/>
          <w:iCs/>
          <w:rtl/>
          <w:lang w:bidi="ar-EG"/>
        </w:rPr>
        <w:t>.</w:t>
      </w:r>
    </w:p>
    <w:p w:rsidR="00662946" w:rsidRDefault="00662946">
      <w:pPr>
        <w:pStyle w:val="SingleTxt"/>
        <w:jc w:val="both"/>
        <w:rPr>
          <w:rFonts w:hint="cs"/>
          <w:rtl/>
          <w:lang w:bidi="ar-EG"/>
        </w:rPr>
      </w:pPr>
      <w:r>
        <w:rPr>
          <w:rFonts w:hint="cs"/>
          <w:b/>
          <w:bCs/>
          <w:rtl/>
          <w:lang w:bidi="ar-EG"/>
        </w:rPr>
        <w:t>الحقائق الجغرافية</w:t>
      </w:r>
    </w:p>
    <w:p w:rsidR="00662946" w:rsidRDefault="00662946">
      <w:pPr>
        <w:pStyle w:val="SingleTxt"/>
        <w:jc w:val="both"/>
        <w:rPr>
          <w:rFonts w:hint="cs"/>
          <w:rtl/>
          <w:lang w:bidi="ar-EG"/>
        </w:rPr>
      </w:pPr>
      <w:r>
        <w:rPr>
          <w:rFonts w:hint="cs"/>
          <w:rtl/>
          <w:lang w:bidi="ar-EG"/>
        </w:rPr>
        <w:t>1 -</w:t>
      </w:r>
      <w:r>
        <w:rPr>
          <w:rFonts w:hint="cs"/>
          <w:rtl/>
          <w:lang w:bidi="ar-EG"/>
        </w:rPr>
        <w:tab/>
        <w:t>سانت لوسيا هي ثاني جزر وندوورد من حيث كبر المساحة. ويبلغ طولها نحو 27 ميلاً ويبلغ عرضها 14 ميلاً، وتبلغ مساحتها الكلية 238 ميلاً مربعاً (616 كيلومترا مربعا). وهي تقع بين خطي عرض 13.54 شمالاً وبين خطي طول 60.50 غرباً.</w:t>
      </w:r>
    </w:p>
    <w:p w:rsidR="00662946" w:rsidRDefault="00662946">
      <w:pPr>
        <w:pStyle w:val="SingleTxt"/>
        <w:jc w:val="both"/>
        <w:rPr>
          <w:rFonts w:hint="cs"/>
          <w:rtl/>
          <w:lang w:bidi="ar-EG"/>
        </w:rPr>
      </w:pPr>
      <w:r>
        <w:rPr>
          <w:rFonts w:hint="cs"/>
          <w:rtl/>
          <w:lang w:bidi="ar-EG"/>
        </w:rPr>
        <w:t>2 -</w:t>
      </w:r>
      <w:r>
        <w:rPr>
          <w:rFonts w:hint="cs"/>
          <w:rtl/>
          <w:lang w:bidi="ar-EG"/>
        </w:rPr>
        <w:tab/>
        <w:t>ويفصل الجزيرة عن جزيرة مارتنيك الفرنسية الواقعة في الشمال قناة يبلغ عرضها 26 ميلاً. وهي تقع على مسافة 21 ميلاً شمال سانت فنسنت وغرينادين وعلى مسافة 110 ميلاً شمال غرب بربادوس.</w:t>
      </w:r>
    </w:p>
    <w:p w:rsidR="00662946" w:rsidRDefault="00662946">
      <w:pPr>
        <w:pStyle w:val="SingleTxt"/>
        <w:jc w:val="both"/>
        <w:rPr>
          <w:rFonts w:hint="cs"/>
          <w:rtl/>
          <w:lang w:bidi="ar-EG"/>
        </w:rPr>
      </w:pPr>
      <w:r>
        <w:rPr>
          <w:rFonts w:hint="cs"/>
          <w:rtl/>
          <w:lang w:bidi="ar-EG"/>
        </w:rPr>
        <w:t>3 -</w:t>
      </w:r>
      <w:r>
        <w:rPr>
          <w:rFonts w:hint="cs"/>
          <w:rtl/>
          <w:lang w:bidi="ar-EG"/>
        </w:rPr>
        <w:tab/>
        <w:t>وتكوين سانت لوسيا بركاني، وأرضها جبلية إلى حدٍ بعيد، وتوجد فيها غابات كثيفة وشواطئ من الرمال البيضاء. وأعلى قمة فيها هي مورنيه جيميه ويبلغ ارتفاعها 145 3 قدم (958 متراً). وتشتهر الجزيرة بجبلين توأمين يُسميان بيتي بيتون (619 2 قدماً) وغرو بيتو (461 2 قدماً). وهذان الجبلان المخروطيان الشكل يرتفعان عن البحر على الساحل الغربي. كما تشتهر الجزيرة ببركان الينابيع الكبريتية في سوفريير على الساحل الغربي. وتوجد عدة وديان خصبة للغاية ويتألف معظمها من تربة غريينية.</w:t>
      </w:r>
    </w:p>
    <w:p w:rsidR="00662946" w:rsidRDefault="00662946">
      <w:pPr>
        <w:pStyle w:val="SingleTxt"/>
        <w:jc w:val="both"/>
        <w:rPr>
          <w:rFonts w:hint="cs"/>
          <w:rtl/>
          <w:lang w:bidi="ar-EG"/>
        </w:rPr>
      </w:pPr>
      <w:r>
        <w:rPr>
          <w:rFonts w:hint="cs"/>
          <w:rtl/>
          <w:lang w:bidi="ar-EG"/>
        </w:rPr>
        <w:t>4 -</w:t>
      </w:r>
      <w:r>
        <w:rPr>
          <w:rFonts w:hint="cs"/>
          <w:rtl/>
          <w:lang w:bidi="ar-EG"/>
        </w:rPr>
        <w:tab/>
        <w:t>ويتراوح متوسط سقوط الأمطار بين 160 سنتيمترا و 360 سنتيمترا حسب خط العرض. وتتراوح درجات الحرارة بين 65 درجة فهرنهايت و 85 درجة فهرنهايت، وبين 75 درجة فهرنهايت و 95 درجة فهرنهايت حسب فصول السنة. ويبدأ موسم الأعاصير في 1 حزيران/يونيه وينتهي في 30 تشرين الثاني/نوفمبر. وتقع سانت لوسيا في حزام الأعاصير.</w:t>
      </w:r>
    </w:p>
    <w:p w:rsidR="00662946" w:rsidRDefault="00662946">
      <w:pPr>
        <w:pStyle w:val="SingleTxt"/>
        <w:jc w:val="both"/>
        <w:rPr>
          <w:rFonts w:hint="cs"/>
          <w:rtl/>
          <w:lang w:bidi="ar-EG"/>
        </w:rPr>
      </w:pPr>
      <w:r>
        <w:rPr>
          <w:rFonts w:hint="cs"/>
          <w:b/>
          <w:bCs/>
          <w:rtl/>
          <w:lang w:bidi="ar-EG"/>
        </w:rPr>
        <w:t>السكان والديموغرافيا</w:t>
      </w:r>
    </w:p>
    <w:p w:rsidR="00662946" w:rsidRDefault="00662946">
      <w:pPr>
        <w:pStyle w:val="SingleTxt"/>
        <w:jc w:val="both"/>
        <w:rPr>
          <w:rFonts w:hint="cs"/>
          <w:rtl/>
          <w:lang w:bidi="ar-EG"/>
        </w:rPr>
      </w:pPr>
      <w:r>
        <w:rPr>
          <w:rFonts w:hint="cs"/>
          <w:rtl/>
          <w:lang w:bidi="ar-EG"/>
        </w:rPr>
        <w:t>5 -</w:t>
      </w:r>
      <w:r>
        <w:rPr>
          <w:rFonts w:hint="cs"/>
          <w:rtl/>
          <w:lang w:bidi="ar-EG"/>
        </w:rPr>
        <w:tab/>
        <w:t>قدَّر أن سكان سانت لوسيا كانوا في حزيران/يونيه 1983 000 126، وفي حزيران/يونيه 1988 000 145. ويقدَّر أن عدد السكان قد نمى بنحو 17.2 في المائة بين عامي 1960 و1970؛ وبزيادة تقديرية تبلغ 13.9 في المائة بين عامي 1970 و1980؛ وبين عامي 1980 و1990 كانت الزيادة نحو 16.1 في المائة. وفي نهاية سنة 1994 قدِّر عدد السكان بـ 689 142، أي بزيادة قدرها 781 2 عن عدد السكان في العام السابق الذي كان يبلغ 908 139. ومن الواضح أنه كان هناك تدهور حدي في معدل الزيادة الطبيعية من 19.8 في سنة 1993 إلى 19.5 في عام 1994. ويتفق هذا التدهور مع انخفاض في معدل المواليد الخام من 26.7 في سنة 1993 إلى 25.6 في سنة 1994. وأُجري التعداد الأول في سنة 2001، وقدر عدد السكان في ذلك الوقت بـ 898 157، وكان عدد السكان في منتصف سنة 2002 يبلغ 133 159 نسمة.</w:t>
      </w:r>
    </w:p>
    <w:p w:rsidR="00662946" w:rsidRDefault="00662946">
      <w:pPr>
        <w:pStyle w:val="SingleTxt"/>
        <w:jc w:val="both"/>
        <w:rPr>
          <w:rFonts w:hint="cs"/>
          <w:rtl/>
          <w:lang w:bidi="ar-EG"/>
        </w:rPr>
      </w:pPr>
      <w:r>
        <w:rPr>
          <w:rFonts w:hint="cs"/>
          <w:rtl/>
          <w:lang w:bidi="ar-EG"/>
        </w:rPr>
        <w:t>6 -</w:t>
      </w:r>
      <w:r>
        <w:rPr>
          <w:rFonts w:hint="cs"/>
          <w:rtl/>
          <w:lang w:bidi="ar-EG"/>
        </w:rPr>
        <w:tab/>
        <w:t>يبين معدل النمو هذا عبر السنين أنه على الرغم من التدهور في معدل المواليد فإن سانت لوسيا تدخل القرن الحادي والعشرين بسكان شباب نسبياً. ويمر البلد فعلاً بعملية انتقال ديمغرافي يشكل فيها السكان الذين في الفئة العمرية الأقل من 15 سنة أكبر نسبة من السكان، وتوجد أعداد كبيرة من النساء الذين في سن الإنجاب (15-49 سنة). وتقديرات عدد السكان في الفترة من 1982 إلى سنة 2002 مبيَّنة في الجدول 1أ أدناه.</w:t>
      </w:r>
    </w:p>
    <w:tbl>
      <w:tblPr>
        <w:bidiVisual/>
        <w:tblW w:w="6143" w:type="dxa"/>
        <w:jc w:val="center"/>
        <w:tblInd w:w="-1143" w:type="dxa"/>
        <w:tblLook w:val="0000" w:firstRow="0" w:lastRow="0" w:firstColumn="0" w:lastColumn="0" w:noHBand="0" w:noVBand="0"/>
      </w:tblPr>
      <w:tblGrid>
        <w:gridCol w:w="1611"/>
        <w:gridCol w:w="1751"/>
        <w:gridCol w:w="1150"/>
        <w:gridCol w:w="1631"/>
      </w:tblGrid>
      <w:tr w:rsidR="00662946">
        <w:trPr>
          <w:trHeight w:val="300"/>
          <w:jc w:val="center"/>
        </w:trPr>
        <w:tc>
          <w:tcPr>
            <w:tcW w:w="6143" w:type="dxa"/>
            <w:gridSpan w:val="4"/>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center"/>
              <w:rPr>
                <w:rFonts w:hint="cs"/>
                <w:b/>
                <w:bCs/>
                <w:sz w:val="30"/>
              </w:rPr>
            </w:pPr>
            <w:r>
              <w:rPr>
                <w:rFonts w:hint="cs"/>
                <w:b/>
                <w:bCs/>
                <w:sz w:val="30"/>
                <w:rtl/>
              </w:rPr>
              <w:t>الجدول ألف: التقديرات السكانية من سنة 1982 إلى  سنة 2002</w:t>
            </w:r>
          </w:p>
        </w:tc>
      </w:tr>
      <w:tr w:rsidR="00662946">
        <w:trPr>
          <w:trHeight w:val="255"/>
          <w:jc w:val="center"/>
        </w:trPr>
        <w:tc>
          <w:tcPr>
            <w:tcW w:w="161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السنة</w:t>
            </w:r>
          </w:p>
        </w:tc>
        <w:tc>
          <w:tcPr>
            <w:tcW w:w="175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عدد السكان</w:t>
            </w:r>
          </w:p>
        </w:tc>
        <w:tc>
          <w:tcPr>
            <w:tcW w:w="1150"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السنة</w:t>
            </w:r>
          </w:p>
        </w:tc>
        <w:tc>
          <w:tcPr>
            <w:tcW w:w="163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عدد السكان</w:t>
            </w:r>
          </w:p>
        </w:tc>
      </w:tr>
      <w:tr w:rsidR="00662946">
        <w:trPr>
          <w:trHeight w:val="285"/>
          <w:jc w:val="center"/>
        </w:trPr>
        <w:tc>
          <w:tcPr>
            <w:tcW w:w="161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tl/>
                <w:lang w:bidi="ar-EG"/>
              </w:rPr>
            </w:pPr>
            <w:r>
              <w:rPr>
                <w:sz w:val="30"/>
                <w:rtl/>
              </w:rPr>
              <w:t>1982</w:t>
            </w:r>
          </w:p>
        </w:tc>
        <w:tc>
          <w:tcPr>
            <w:tcW w:w="175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360 119</w:t>
            </w:r>
          </w:p>
        </w:tc>
        <w:tc>
          <w:tcPr>
            <w:tcW w:w="1150"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1992</w:t>
            </w:r>
          </w:p>
        </w:tc>
        <w:tc>
          <w:tcPr>
            <w:tcW w:w="163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607 137</w:t>
            </w:r>
          </w:p>
        </w:tc>
      </w:tr>
      <w:tr w:rsidR="00662946">
        <w:trPr>
          <w:trHeight w:val="285"/>
          <w:jc w:val="center"/>
        </w:trPr>
        <w:tc>
          <w:tcPr>
            <w:tcW w:w="161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1983</w:t>
            </w:r>
          </w:p>
        </w:tc>
        <w:tc>
          <w:tcPr>
            <w:tcW w:w="175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083 121</w:t>
            </w:r>
          </w:p>
        </w:tc>
        <w:tc>
          <w:tcPr>
            <w:tcW w:w="1150"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1993</w:t>
            </w:r>
          </w:p>
        </w:tc>
        <w:tc>
          <w:tcPr>
            <w:tcW w:w="163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908 139</w:t>
            </w:r>
          </w:p>
        </w:tc>
      </w:tr>
      <w:tr w:rsidR="00662946">
        <w:trPr>
          <w:trHeight w:val="285"/>
          <w:jc w:val="center"/>
        </w:trPr>
        <w:tc>
          <w:tcPr>
            <w:tcW w:w="161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1984</w:t>
            </w:r>
          </w:p>
        </w:tc>
        <w:tc>
          <w:tcPr>
            <w:tcW w:w="175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944 122</w:t>
            </w:r>
          </w:p>
        </w:tc>
        <w:tc>
          <w:tcPr>
            <w:tcW w:w="1150"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1994</w:t>
            </w:r>
          </w:p>
        </w:tc>
        <w:tc>
          <w:tcPr>
            <w:tcW w:w="163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689 142</w:t>
            </w:r>
          </w:p>
        </w:tc>
      </w:tr>
      <w:tr w:rsidR="00662946">
        <w:trPr>
          <w:trHeight w:val="285"/>
          <w:jc w:val="center"/>
        </w:trPr>
        <w:tc>
          <w:tcPr>
            <w:tcW w:w="161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1985</w:t>
            </w:r>
          </w:p>
        </w:tc>
        <w:tc>
          <w:tcPr>
            <w:tcW w:w="175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805 124</w:t>
            </w:r>
          </w:p>
        </w:tc>
        <w:tc>
          <w:tcPr>
            <w:tcW w:w="1150"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1995</w:t>
            </w:r>
          </w:p>
        </w:tc>
        <w:tc>
          <w:tcPr>
            <w:tcW w:w="163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213 145</w:t>
            </w:r>
          </w:p>
        </w:tc>
      </w:tr>
      <w:tr w:rsidR="00662946">
        <w:trPr>
          <w:trHeight w:val="285"/>
          <w:jc w:val="center"/>
        </w:trPr>
        <w:tc>
          <w:tcPr>
            <w:tcW w:w="161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1986</w:t>
            </w:r>
          </w:p>
        </w:tc>
        <w:tc>
          <w:tcPr>
            <w:tcW w:w="175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666 126</w:t>
            </w:r>
          </w:p>
        </w:tc>
        <w:tc>
          <w:tcPr>
            <w:tcW w:w="1150"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1996</w:t>
            </w:r>
          </w:p>
        </w:tc>
        <w:tc>
          <w:tcPr>
            <w:tcW w:w="163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179 147</w:t>
            </w:r>
          </w:p>
        </w:tc>
      </w:tr>
      <w:tr w:rsidR="00662946">
        <w:trPr>
          <w:trHeight w:val="285"/>
          <w:jc w:val="center"/>
        </w:trPr>
        <w:tc>
          <w:tcPr>
            <w:tcW w:w="161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1987</w:t>
            </w:r>
          </w:p>
        </w:tc>
        <w:tc>
          <w:tcPr>
            <w:tcW w:w="175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527 128</w:t>
            </w:r>
          </w:p>
        </w:tc>
        <w:tc>
          <w:tcPr>
            <w:tcW w:w="1150"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1997</w:t>
            </w:r>
          </w:p>
        </w:tc>
        <w:tc>
          <w:tcPr>
            <w:tcW w:w="163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621 149</w:t>
            </w:r>
          </w:p>
        </w:tc>
      </w:tr>
      <w:tr w:rsidR="00662946">
        <w:trPr>
          <w:trHeight w:val="285"/>
          <w:jc w:val="center"/>
        </w:trPr>
        <w:tc>
          <w:tcPr>
            <w:tcW w:w="161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1988</w:t>
            </w:r>
          </w:p>
        </w:tc>
        <w:tc>
          <w:tcPr>
            <w:tcW w:w="175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388 130</w:t>
            </w:r>
          </w:p>
        </w:tc>
        <w:tc>
          <w:tcPr>
            <w:tcW w:w="1150"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1998</w:t>
            </w:r>
          </w:p>
        </w:tc>
        <w:tc>
          <w:tcPr>
            <w:tcW w:w="163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952 151</w:t>
            </w:r>
          </w:p>
        </w:tc>
      </w:tr>
      <w:tr w:rsidR="00662946">
        <w:trPr>
          <w:trHeight w:val="285"/>
          <w:jc w:val="center"/>
        </w:trPr>
        <w:tc>
          <w:tcPr>
            <w:tcW w:w="161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1989</w:t>
            </w:r>
          </w:p>
        </w:tc>
        <w:tc>
          <w:tcPr>
            <w:tcW w:w="175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249 132</w:t>
            </w:r>
          </w:p>
        </w:tc>
        <w:tc>
          <w:tcPr>
            <w:tcW w:w="1150"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1999</w:t>
            </w:r>
          </w:p>
        </w:tc>
        <w:tc>
          <w:tcPr>
            <w:tcW w:w="163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703 153</w:t>
            </w:r>
          </w:p>
        </w:tc>
      </w:tr>
      <w:tr w:rsidR="00662946">
        <w:trPr>
          <w:trHeight w:val="285"/>
          <w:jc w:val="center"/>
        </w:trPr>
        <w:tc>
          <w:tcPr>
            <w:tcW w:w="161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1990</w:t>
            </w:r>
          </w:p>
        </w:tc>
        <w:tc>
          <w:tcPr>
            <w:tcW w:w="175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110 134</w:t>
            </w:r>
          </w:p>
        </w:tc>
        <w:tc>
          <w:tcPr>
            <w:tcW w:w="1150"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2000</w:t>
            </w:r>
          </w:p>
        </w:tc>
        <w:tc>
          <w:tcPr>
            <w:tcW w:w="163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996 155</w:t>
            </w:r>
          </w:p>
        </w:tc>
      </w:tr>
      <w:tr w:rsidR="00662946">
        <w:trPr>
          <w:trHeight w:val="285"/>
          <w:jc w:val="center"/>
        </w:trPr>
        <w:tc>
          <w:tcPr>
            <w:tcW w:w="161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1991</w:t>
            </w:r>
          </w:p>
        </w:tc>
        <w:tc>
          <w:tcPr>
            <w:tcW w:w="175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975 135</w:t>
            </w:r>
          </w:p>
        </w:tc>
        <w:tc>
          <w:tcPr>
            <w:tcW w:w="1150"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2001</w:t>
            </w:r>
          </w:p>
        </w:tc>
        <w:tc>
          <w:tcPr>
            <w:tcW w:w="163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898 157</w:t>
            </w:r>
          </w:p>
        </w:tc>
      </w:tr>
      <w:tr w:rsidR="00662946">
        <w:trPr>
          <w:trHeight w:val="285"/>
          <w:jc w:val="center"/>
        </w:trPr>
        <w:tc>
          <w:tcPr>
            <w:tcW w:w="161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p>
        </w:tc>
        <w:tc>
          <w:tcPr>
            <w:tcW w:w="175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p>
        </w:tc>
        <w:tc>
          <w:tcPr>
            <w:tcW w:w="1150"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2002</w:t>
            </w:r>
          </w:p>
        </w:tc>
        <w:tc>
          <w:tcPr>
            <w:tcW w:w="1631"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133 159</w:t>
            </w:r>
          </w:p>
        </w:tc>
      </w:tr>
      <w:tr w:rsidR="00662946">
        <w:trPr>
          <w:trHeight w:val="255"/>
          <w:jc w:val="center"/>
        </w:trPr>
        <w:tc>
          <w:tcPr>
            <w:tcW w:w="6143" w:type="dxa"/>
            <w:gridSpan w:val="4"/>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lang w:bidi="ar-EG"/>
              </w:rPr>
              <w:t>المصدر: حكومة سانت لوسيا، إدارة الإحصاء.</w:t>
            </w:r>
          </w:p>
        </w:tc>
      </w:tr>
    </w:tbl>
    <w:p w:rsidR="00662946" w:rsidRDefault="00662946">
      <w:pPr>
        <w:pStyle w:val="SingleTxt"/>
        <w:jc w:val="both"/>
        <w:rPr>
          <w:rFonts w:hint="cs"/>
          <w:rtl/>
          <w:lang w:bidi="ar-EG"/>
        </w:rPr>
      </w:pPr>
    </w:p>
    <w:p w:rsidR="00662946" w:rsidRDefault="00662946">
      <w:pPr>
        <w:pStyle w:val="SingleTxt"/>
        <w:jc w:val="both"/>
        <w:rPr>
          <w:rtl/>
          <w:lang w:bidi="ar-EG"/>
        </w:rPr>
      </w:pPr>
      <w:r>
        <w:rPr>
          <w:rFonts w:hint="cs"/>
          <w:rtl/>
          <w:lang w:bidi="ar-EG"/>
        </w:rPr>
        <w:t>7 -</w:t>
      </w:r>
      <w:r>
        <w:rPr>
          <w:rFonts w:hint="cs"/>
          <w:rtl/>
          <w:lang w:bidi="ar-EG"/>
        </w:rPr>
        <w:tab/>
        <w:t>عند تصنيف السكان حسب الجنس في سنة 1994 كان الذكور يمثلون 48.6 في المائة (327 69) من مجموع عدد السكان في حين كانت الإناث يمثلن 51.4 في المائة تقريباً (362 73) (أنظر الجدول 1). وكان السكان الذين في سن العمل (15-64) يمثلون 58.4 في المائة من مجموع عدد السكان، وهي نسبة تمثل نمواً حدياً يبلغ 0.4 في المائة عند مقارنتها بالنسبة المناظرة في سنة 1993.</w:t>
      </w:r>
    </w:p>
    <w:p w:rsidR="00662946" w:rsidRDefault="00662946">
      <w:pPr>
        <w:pStyle w:val="SingleTxt"/>
        <w:jc w:val="both"/>
        <w:rPr>
          <w:rtl/>
          <w:lang w:bidi="ar-EG"/>
        </w:rPr>
      </w:pPr>
      <w:r>
        <w:rPr>
          <w:rFonts w:hint="cs"/>
          <w:rtl/>
          <w:lang w:bidi="ar-EG"/>
        </w:rPr>
        <w:t>8 -</w:t>
      </w:r>
      <w:r>
        <w:rPr>
          <w:rFonts w:hint="cs"/>
          <w:rtl/>
          <w:lang w:bidi="ar-EG"/>
        </w:rPr>
        <w:tab/>
        <w:t>بين تعداد السكان والمساكن في سنة 1991 أن نحو ثلثي سكان سانت لوسيا يعيشون فعلاً في مجتمعات ريفية. ويبين الجدول باء توزيع عدد السكان بين المجتمعات الريفية والحضرية.</w:t>
      </w:r>
    </w:p>
    <w:tbl>
      <w:tblPr>
        <w:bidiVisual/>
        <w:tblW w:w="0" w:type="auto"/>
        <w:jc w:val="center"/>
        <w:tblInd w:w="555" w:type="dxa"/>
        <w:tblLayout w:type="fixed"/>
        <w:tblCellMar>
          <w:left w:w="120" w:type="dxa"/>
          <w:right w:w="120" w:type="dxa"/>
        </w:tblCellMar>
        <w:tblLook w:val="0000" w:firstRow="0" w:lastRow="0" w:firstColumn="0" w:lastColumn="0" w:noHBand="0" w:noVBand="0"/>
      </w:tblPr>
      <w:tblGrid>
        <w:gridCol w:w="2401"/>
        <w:gridCol w:w="1790"/>
        <w:gridCol w:w="2060"/>
      </w:tblGrid>
      <w:tr w:rsidR="00662946">
        <w:tblPrEx>
          <w:tblCellMar>
            <w:top w:w="0" w:type="dxa"/>
            <w:bottom w:w="0" w:type="dxa"/>
          </w:tblCellMar>
        </w:tblPrEx>
        <w:trPr>
          <w:jc w:val="center"/>
        </w:trPr>
        <w:tc>
          <w:tcPr>
            <w:tcW w:w="6251" w:type="dxa"/>
            <w:gridSpan w:val="3"/>
            <w:tcBorders>
              <w:top w:val="single" w:sz="4" w:space="0" w:color="auto"/>
              <w:left w:val="single" w:sz="4" w:space="0" w:color="auto"/>
              <w:right w:val="single" w:sz="4" w:space="0" w:color="auto"/>
            </w:tcBorders>
          </w:tcPr>
          <w:p w:rsidR="00662946" w:rsidRDefault="00662946">
            <w:pPr>
              <w:tabs>
                <w:tab w:val="center" w:pos="2536"/>
              </w:tabs>
              <w:suppressAutoHyphens/>
              <w:spacing w:before="90" w:after="120"/>
              <w:jc w:val="both"/>
              <w:rPr>
                <w:rFonts w:hint="cs"/>
                <w:bCs/>
                <w:spacing w:val="-2"/>
                <w:sz w:val="30"/>
                <w:rtl/>
                <w:lang w:val="en-GB" w:bidi="ar-EG"/>
              </w:rPr>
            </w:pPr>
            <w:r>
              <w:rPr>
                <w:rFonts w:hint="cs"/>
                <w:bCs/>
                <w:spacing w:val="-2"/>
                <w:sz w:val="30"/>
                <w:rtl/>
                <w:lang w:val="en-GB" w:bidi="ar-EG"/>
              </w:rPr>
              <w:t>الجدول باء: توزيع السكان بين المناطق الريفية والحضرية: 1991</w:t>
            </w:r>
          </w:p>
        </w:tc>
      </w:tr>
      <w:tr w:rsidR="00662946">
        <w:tblPrEx>
          <w:tblCellMar>
            <w:top w:w="0" w:type="dxa"/>
            <w:bottom w:w="0" w:type="dxa"/>
          </w:tblCellMar>
        </w:tblPrEx>
        <w:trPr>
          <w:cantSplit/>
          <w:jc w:val="center"/>
        </w:trPr>
        <w:tc>
          <w:tcPr>
            <w:tcW w:w="2401" w:type="dxa"/>
            <w:vMerge w:val="restart"/>
            <w:tcBorders>
              <w:top w:val="single" w:sz="4" w:space="0" w:color="auto"/>
              <w:left w:val="single" w:sz="4" w:space="0" w:color="auto"/>
              <w:right w:val="single" w:sz="8" w:space="0" w:color="auto"/>
            </w:tcBorders>
          </w:tcPr>
          <w:p w:rsidR="00662946" w:rsidRDefault="00662946">
            <w:pPr>
              <w:tabs>
                <w:tab w:val="center" w:pos="1387"/>
              </w:tabs>
              <w:suppressAutoHyphens/>
              <w:spacing w:before="90" w:after="120"/>
              <w:jc w:val="both"/>
              <w:rPr>
                <w:rFonts w:hint="cs"/>
                <w:bCs/>
                <w:spacing w:val="-2"/>
                <w:sz w:val="30"/>
                <w:lang w:val="en-GB"/>
              </w:rPr>
            </w:pPr>
            <w:r>
              <w:rPr>
                <w:rFonts w:hint="cs"/>
                <w:bCs/>
                <w:spacing w:val="-2"/>
                <w:sz w:val="30"/>
                <w:rtl/>
                <w:lang w:val="en-GB"/>
              </w:rPr>
              <w:t>السكان</w:t>
            </w:r>
          </w:p>
        </w:tc>
        <w:tc>
          <w:tcPr>
            <w:tcW w:w="3850" w:type="dxa"/>
            <w:gridSpan w:val="2"/>
            <w:tcBorders>
              <w:top w:val="single" w:sz="4" w:space="0" w:color="auto"/>
              <w:left w:val="single" w:sz="8" w:space="0" w:color="auto"/>
              <w:right w:val="single" w:sz="4" w:space="0" w:color="auto"/>
            </w:tcBorders>
          </w:tcPr>
          <w:p w:rsidR="00662946" w:rsidRDefault="00662946">
            <w:pPr>
              <w:tabs>
                <w:tab w:val="center" w:pos="2536"/>
              </w:tabs>
              <w:suppressAutoHyphens/>
              <w:spacing w:before="90" w:after="120"/>
              <w:jc w:val="center"/>
              <w:rPr>
                <w:rFonts w:hint="cs"/>
                <w:bCs/>
                <w:spacing w:val="-2"/>
                <w:sz w:val="30"/>
                <w:lang w:val="en-GB"/>
              </w:rPr>
            </w:pPr>
            <w:r>
              <w:rPr>
                <w:rFonts w:hint="cs"/>
                <w:bCs/>
                <w:spacing w:val="-2"/>
                <w:sz w:val="30"/>
                <w:rtl/>
                <w:lang w:val="en-GB"/>
              </w:rPr>
              <w:t>الإناث</w:t>
            </w:r>
          </w:p>
        </w:tc>
      </w:tr>
      <w:tr w:rsidR="00662946">
        <w:tblPrEx>
          <w:tblCellMar>
            <w:top w:w="0" w:type="dxa"/>
            <w:bottom w:w="0" w:type="dxa"/>
          </w:tblCellMar>
        </w:tblPrEx>
        <w:trPr>
          <w:cantSplit/>
          <w:jc w:val="center"/>
        </w:trPr>
        <w:tc>
          <w:tcPr>
            <w:tcW w:w="2401" w:type="dxa"/>
            <w:vMerge/>
            <w:tcBorders>
              <w:left w:val="single" w:sz="4" w:space="0" w:color="auto"/>
              <w:right w:val="single" w:sz="8" w:space="0" w:color="auto"/>
            </w:tcBorders>
          </w:tcPr>
          <w:p w:rsidR="00662946" w:rsidRDefault="00662946">
            <w:pPr>
              <w:tabs>
                <w:tab w:val="center" w:pos="1387"/>
              </w:tabs>
              <w:suppressAutoHyphens/>
              <w:spacing w:before="90" w:after="120"/>
              <w:jc w:val="both"/>
              <w:rPr>
                <w:bCs/>
                <w:spacing w:val="-2"/>
                <w:sz w:val="30"/>
                <w:lang w:val="en-GB"/>
              </w:rPr>
            </w:pPr>
          </w:p>
        </w:tc>
        <w:tc>
          <w:tcPr>
            <w:tcW w:w="1790" w:type="dxa"/>
            <w:tcBorders>
              <w:top w:val="single" w:sz="7" w:space="0" w:color="auto"/>
              <w:left w:val="single" w:sz="8" w:space="0" w:color="auto"/>
              <w:right w:val="single" w:sz="8" w:space="0" w:color="auto"/>
            </w:tcBorders>
          </w:tcPr>
          <w:p w:rsidR="00662946" w:rsidRDefault="00662946">
            <w:pPr>
              <w:tabs>
                <w:tab w:val="center" w:pos="1298"/>
              </w:tabs>
              <w:suppressAutoHyphens/>
              <w:spacing w:before="90" w:after="120"/>
              <w:jc w:val="both"/>
              <w:rPr>
                <w:rFonts w:hint="cs"/>
                <w:bCs/>
                <w:spacing w:val="-2"/>
                <w:sz w:val="30"/>
                <w:lang w:val="en-GB"/>
              </w:rPr>
            </w:pPr>
            <w:r>
              <w:rPr>
                <w:rFonts w:hint="cs"/>
                <w:bCs/>
                <w:spacing w:val="-2"/>
                <w:sz w:val="30"/>
                <w:rtl/>
                <w:lang w:val="en-GB"/>
              </w:rPr>
              <w:t>العدد</w:t>
            </w:r>
          </w:p>
        </w:tc>
        <w:tc>
          <w:tcPr>
            <w:tcW w:w="2060" w:type="dxa"/>
            <w:tcBorders>
              <w:top w:val="single" w:sz="7" w:space="0" w:color="auto"/>
              <w:left w:val="single" w:sz="8" w:space="0" w:color="auto"/>
              <w:right w:val="single" w:sz="4" w:space="0" w:color="auto"/>
            </w:tcBorders>
          </w:tcPr>
          <w:p w:rsidR="00662946" w:rsidRDefault="00662946">
            <w:pPr>
              <w:tabs>
                <w:tab w:val="center" w:pos="1129"/>
              </w:tabs>
              <w:suppressAutoHyphens/>
              <w:spacing w:before="90" w:after="120"/>
              <w:jc w:val="both"/>
              <w:rPr>
                <w:bCs/>
                <w:spacing w:val="-2"/>
                <w:sz w:val="30"/>
                <w:lang w:val="en-GB"/>
              </w:rPr>
            </w:pPr>
            <w:r>
              <w:rPr>
                <w:rFonts w:hint="cs"/>
                <w:bCs/>
                <w:spacing w:val="-2"/>
                <w:sz w:val="30"/>
                <w:rtl/>
                <w:lang w:val="en-GB"/>
              </w:rPr>
              <w:t>النسبة المئوية</w:t>
            </w:r>
          </w:p>
        </w:tc>
      </w:tr>
      <w:tr w:rsidR="00662946">
        <w:tblPrEx>
          <w:tblCellMar>
            <w:top w:w="0" w:type="dxa"/>
            <w:bottom w:w="0" w:type="dxa"/>
          </w:tblCellMar>
        </w:tblPrEx>
        <w:trPr>
          <w:jc w:val="center"/>
        </w:trPr>
        <w:tc>
          <w:tcPr>
            <w:tcW w:w="2401" w:type="dxa"/>
            <w:tcBorders>
              <w:top w:val="single" w:sz="7" w:space="0" w:color="auto"/>
              <w:left w:val="single" w:sz="4" w:space="0" w:color="auto"/>
              <w:right w:val="single" w:sz="8" w:space="0" w:color="auto"/>
            </w:tcBorders>
          </w:tcPr>
          <w:p w:rsidR="00662946" w:rsidRDefault="00662946">
            <w:pPr>
              <w:tabs>
                <w:tab w:val="center" w:pos="1387"/>
              </w:tabs>
              <w:suppressAutoHyphens/>
              <w:spacing w:before="90" w:after="120"/>
              <w:jc w:val="both"/>
              <w:rPr>
                <w:rFonts w:hint="cs"/>
                <w:spacing w:val="-2"/>
                <w:sz w:val="30"/>
                <w:lang w:val="en-GB"/>
              </w:rPr>
            </w:pPr>
            <w:r>
              <w:rPr>
                <w:rFonts w:hint="cs"/>
                <w:spacing w:val="-2"/>
                <w:sz w:val="30"/>
                <w:rtl/>
                <w:lang w:val="en-GB"/>
              </w:rPr>
              <w:t>المناطق الحضرية</w:t>
            </w:r>
          </w:p>
        </w:tc>
        <w:tc>
          <w:tcPr>
            <w:tcW w:w="1790" w:type="dxa"/>
            <w:tcBorders>
              <w:top w:val="single" w:sz="7" w:space="0" w:color="auto"/>
              <w:left w:val="single" w:sz="8" w:space="0" w:color="auto"/>
              <w:right w:val="single" w:sz="8" w:space="0" w:color="auto"/>
            </w:tcBorders>
          </w:tcPr>
          <w:p w:rsidR="00662946" w:rsidRDefault="00662946">
            <w:pPr>
              <w:tabs>
                <w:tab w:val="center" w:pos="1298"/>
              </w:tabs>
              <w:suppressAutoHyphens/>
              <w:spacing w:before="90" w:after="120"/>
              <w:jc w:val="both"/>
              <w:rPr>
                <w:rFonts w:hint="cs"/>
                <w:spacing w:val="-2"/>
                <w:sz w:val="30"/>
                <w:lang w:val="en-GB"/>
              </w:rPr>
            </w:pPr>
            <w:r>
              <w:rPr>
                <w:rFonts w:hint="cs"/>
                <w:spacing w:val="-2"/>
                <w:sz w:val="30"/>
                <w:rtl/>
                <w:lang w:val="en-GB"/>
              </w:rPr>
              <w:t>093 21</w:t>
            </w:r>
          </w:p>
        </w:tc>
        <w:tc>
          <w:tcPr>
            <w:tcW w:w="2060" w:type="dxa"/>
            <w:tcBorders>
              <w:top w:val="single" w:sz="7" w:space="0" w:color="auto"/>
              <w:left w:val="single" w:sz="8" w:space="0" w:color="auto"/>
              <w:right w:val="single" w:sz="4" w:space="0" w:color="auto"/>
            </w:tcBorders>
          </w:tcPr>
          <w:p w:rsidR="00662946" w:rsidRDefault="00662946">
            <w:pPr>
              <w:tabs>
                <w:tab w:val="center" w:pos="1129"/>
              </w:tabs>
              <w:suppressAutoHyphens/>
              <w:spacing w:before="90" w:after="120"/>
              <w:jc w:val="both"/>
              <w:rPr>
                <w:rFonts w:hint="cs"/>
                <w:spacing w:val="-2"/>
                <w:sz w:val="30"/>
                <w:lang w:val="en-GB"/>
              </w:rPr>
            </w:pPr>
            <w:r>
              <w:rPr>
                <w:rFonts w:hint="cs"/>
                <w:spacing w:val="-2"/>
                <w:sz w:val="30"/>
                <w:rtl/>
                <w:lang w:val="en-GB"/>
              </w:rPr>
              <w:t>30.72</w:t>
            </w:r>
          </w:p>
        </w:tc>
      </w:tr>
      <w:tr w:rsidR="00662946">
        <w:tblPrEx>
          <w:tblCellMar>
            <w:top w:w="0" w:type="dxa"/>
            <w:bottom w:w="0" w:type="dxa"/>
          </w:tblCellMar>
        </w:tblPrEx>
        <w:trPr>
          <w:jc w:val="center"/>
        </w:trPr>
        <w:tc>
          <w:tcPr>
            <w:tcW w:w="2401" w:type="dxa"/>
            <w:tcBorders>
              <w:top w:val="single" w:sz="7" w:space="0" w:color="auto"/>
              <w:left w:val="single" w:sz="4" w:space="0" w:color="auto"/>
              <w:right w:val="single" w:sz="8" w:space="0" w:color="auto"/>
            </w:tcBorders>
          </w:tcPr>
          <w:p w:rsidR="00662946" w:rsidRDefault="00662946">
            <w:pPr>
              <w:tabs>
                <w:tab w:val="center" w:pos="1387"/>
              </w:tabs>
              <w:suppressAutoHyphens/>
              <w:spacing w:before="90" w:after="120"/>
              <w:jc w:val="both"/>
              <w:rPr>
                <w:rFonts w:hint="cs"/>
                <w:spacing w:val="-2"/>
                <w:sz w:val="30"/>
                <w:lang w:val="en-GB"/>
              </w:rPr>
            </w:pPr>
            <w:r>
              <w:rPr>
                <w:rFonts w:hint="cs"/>
                <w:spacing w:val="-2"/>
                <w:sz w:val="30"/>
                <w:rtl/>
                <w:lang w:val="en-GB"/>
              </w:rPr>
              <w:t>المناطق الريفية</w:t>
            </w:r>
          </w:p>
        </w:tc>
        <w:tc>
          <w:tcPr>
            <w:tcW w:w="1790" w:type="dxa"/>
            <w:tcBorders>
              <w:top w:val="single" w:sz="7" w:space="0" w:color="auto"/>
              <w:left w:val="single" w:sz="8" w:space="0" w:color="auto"/>
              <w:right w:val="single" w:sz="8" w:space="0" w:color="auto"/>
            </w:tcBorders>
          </w:tcPr>
          <w:p w:rsidR="00662946" w:rsidRDefault="00662946">
            <w:pPr>
              <w:tabs>
                <w:tab w:val="center" w:pos="1298"/>
              </w:tabs>
              <w:suppressAutoHyphens/>
              <w:spacing w:before="90" w:after="120"/>
              <w:jc w:val="both"/>
              <w:rPr>
                <w:rFonts w:hint="cs"/>
                <w:spacing w:val="-2"/>
                <w:sz w:val="30"/>
                <w:lang w:val="en-GB"/>
              </w:rPr>
            </w:pPr>
            <w:r>
              <w:rPr>
                <w:rFonts w:hint="cs"/>
                <w:spacing w:val="-2"/>
                <w:sz w:val="30"/>
                <w:rtl/>
                <w:lang w:val="en-GB"/>
              </w:rPr>
              <w:t>570 47</w:t>
            </w:r>
          </w:p>
        </w:tc>
        <w:tc>
          <w:tcPr>
            <w:tcW w:w="2060" w:type="dxa"/>
            <w:tcBorders>
              <w:top w:val="single" w:sz="7" w:space="0" w:color="auto"/>
              <w:left w:val="single" w:sz="8" w:space="0" w:color="auto"/>
              <w:right w:val="single" w:sz="4" w:space="0" w:color="auto"/>
            </w:tcBorders>
          </w:tcPr>
          <w:p w:rsidR="00662946" w:rsidRDefault="00662946">
            <w:pPr>
              <w:tabs>
                <w:tab w:val="center" w:pos="1129"/>
              </w:tabs>
              <w:suppressAutoHyphens/>
              <w:spacing w:before="90" w:after="120"/>
              <w:jc w:val="both"/>
              <w:rPr>
                <w:rFonts w:hint="cs"/>
                <w:spacing w:val="-2"/>
                <w:sz w:val="30"/>
                <w:lang w:val="en-GB"/>
              </w:rPr>
            </w:pPr>
            <w:r>
              <w:rPr>
                <w:rFonts w:hint="cs"/>
                <w:spacing w:val="-2"/>
                <w:sz w:val="30"/>
                <w:rtl/>
                <w:lang w:val="en-GB"/>
              </w:rPr>
              <w:t>69.28</w:t>
            </w:r>
          </w:p>
        </w:tc>
      </w:tr>
      <w:tr w:rsidR="00662946">
        <w:tblPrEx>
          <w:tblCellMar>
            <w:top w:w="0" w:type="dxa"/>
            <w:bottom w:w="0" w:type="dxa"/>
          </w:tblCellMar>
        </w:tblPrEx>
        <w:trPr>
          <w:jc w:val="center"/>
        </w:trPr>
        <w:tc>
          <w:tcPr>
            <w:tcW w:w="2401" w:type="dxa"/>
            <w:tcBorders>
              <w:top w:val="single" w:sz="7" w:space="0" w:color="auto"/>
              <w:left w:val="single" w:sz="4" w:space="0" w:color="auto"/>
              <w:right w:val="single" w:sz="8" w:space="0" w:color="auto"/>
            </w:tcBorders>
          </w:tcPr>
          <w:p w:rsidR="00662946" w:rsidRDefault="00662946">
            <w:pPr>
              <w:tabs>
                <w:tab w:val="center" w:pos="1387"/>
              </w:tabs>
              <w:suppressAutoHyphens/>
              <w:spacing w:before="90" w:after="120"/>
              <w:jc w:val="both"/>
              <w:rPr>
                <w:rFonts w:hint="cs"/>
                <w:spacing w:val="-2"/>
                <w:sz w:val="30"/>
                <w:lang w:val="en-GB"/>
              </w:rPr>
            </w:pPr>
            <w:r>
              <w:rPr>
                <w:rFonts w:hint="cs"/>
                <w:spacing w:val="-2"/>
                <w:sz w:val="30"/>
                <w:rtl/>
                <w:lang w:val="en-GB"/>
              </w:rPr>
              <w:t>المجموع</w:t>
            </w:r>
          </w:p>
        </w:tc>
        <w:tc>
          <w:tcPr>
            <w:tcW w:w="1790" w:type="dxa"/>
            <w:tcBorders>
              <w:top w:val="single" w:sz="7" w:space="0" w:color="auto"/>
              <w:left w:val="single" w:sz="8" w:space="0" w:color="auto"/>
              <w:right w:val="single" w:sz="8" w:space="0" w:color="auto"/>
            </w:tcBorders>
          </w:tcPr>
          <w:p w:rsidR="00662946" w:rsidRDefault="00662946">
            <w:pPr>
              <w:tabs>
                <w:tab w:val="center" w:pos="1298"/>
              </w:tabs>
              <w:suppressAutoHyphens/>
              <w:spacing w:before="90" w:after="120"/>
              <w:jc w:val="both"/>
              <w:rPr>
                <w:rFonts w:hint="cs"/>
                <w:spacing w:val="-2"/>
                <w:sz w:val="30"/>
                <w:lang w:val="en-GB"/>
              </w:rPr>
            </w:pPr>
            <w:r>
              <w:rPr>
                <w:rFonts w:hint="cs"/>
                <w:spacing w:val="-2"/>
                <w:sz w:val="30"/>
                <w:rtl/>
                <w:lang w:val="en-GB"/>
              </w:rPr>
              <w:t>663 68</w:t>
            </w:r>
          </w:p>
        </w:tc>
        <w:tc>
          <w:tcPr>
            <w:tcW w:w="2060" w:type="dxa"/>
            <w:tcBorders>
              <w:top w:val="single" w:sz="7" w:space="0" w:color="auto"/>
              <w:left w:val="single" w:sz="8" w:space="0" w:color="auto"/>
              <w:right w:val="single" w:sz="4" w:space="0" w:color="auto"/>
            </w:tcBorders>
          </w:tcPr>
          <w:p w:rsidR="00662946" w:rsidRDefault="00662946">
            <w:pPr>
              <w:tabs>
                <w:tab w:val="center" w:pos="1129"/>
              </w:tabs>
              <w:suppressAutoHyphens/>
              <w:spacing w:before="90" w:after="120"/>
              <w:jc w:val="both"/>
              <w:rPr>
                <w:rFonts w:hint="cs"/>
                <w:spacing w:val="-2"/>
                <w:sz w:val="30"/>
                <w:lang w:val="en-GB"/>
              </w:rPr>
            </w:pPr>
            <w:r>
              <w:rPr>
                <w:rFonts w:hint="cs"/>
                <w:spacing w:val="-2"/>
                <w:sz w:val="30"/>
                <w:rtl/>
                <w:lang w:val="en-GB"/>
              </w:rPr>
              <w:t>50.0</w:t>
            </w:r>
          </w:p>
        </w:tc>
      </w:tr>
      <w:tr w:rsidR="00662946">
        <w:tblPrEx>
          <w:tblCellMar>
            <w:top w:w="0" w:type="dxa"/>
            <w:bottom w:w="0" w:type="dxa"/>
          </w:tblCellMar>
        </w:tblPrEx>
        <w:trPr>
          <w:jc w:val="center"/>
        </w:trPr>
        <w:tc>
          <w:tcPr>
            <w:tcW w:w="2401" w:type="dxa"/>
            <w:tcBorders>
              <w:top w:val="single" w:sz="7" w:space="0" w:color="auto"/>
              <w:left w:val="single" w:sz="4" w:space="0" w:color="auto"/>
              <w:right w:val="single" w:sz="8" w:space="0" w:color="auto"/>
            </w:tcBorders>
          </w:tcPr>
          <w:p w:rsidR="00662946" w:rsidRDefault="00662946">
            <w:pPr>
              <w:tabs>
                <w:tab w:val="left" w:pos="-720"/>
              </w:tabs>
              <w:suppressAutoHyphens/>
              <w:spacing w:before="90" w:after="120"/>
              <w:jc w:val="both"/>
              <w:rPr>
                <w:spacing w:val="-2"/>
                <w:sz w:val="30"/>
                <w:lang w:val="en-GB"/>
              </w:rPr>
            </w:pPr>
          </w:p>
        </w:tc>
        <w:tc>
          <w:tcPr>
            <w:tcW w:w="3850" w:type="dxa"/>
            <w:gridSpan w:val="2"/>
            <w:tcBorders>
              <w:top w:val="single" w:sz="7" w:space="0" w:color="auto"/>
              <w:left w:val="single" w:sz="8" w:space="0" w:color="auto"/>
              <w:right w:val="single" w:sz="4" w:space="0" w:color="auto"/>
            </w:tcBorders>
          </w:tcPr>
          <w:p w:rsidR="00662946" w:rsidRDefault="00662946">
            <w:pPr>
              <w:tabs>
                <w:tab w:val="center" w:pos="2536"/>
              </w:tabs>
              <w:suppressAutoHyphens/>
              <w:spacing w:before="90" w:after="120"/>
              <w:jc w:val="center"/>
              <w:rPr>
                <w:rFonts w:hint="cs"/>
                <w:b/>
                <w:bCs/>
                <w:spacing w:val="-2"/>
                <w:sz w:val="30"/>
                <w:rtl/>
                <w:lang w:val="en-GB" w:bidi="ar-EG"/>
              </w:rPr>
            </w:pPr>
            <w:r>
              <w:rPr>
                <w:rFonts w:hint="cs"/>
                <w:b/>
                <w:bCs/>
                <w:spacing w:val="-2"/>
                <w:sz w:val="30"/>
                <w:rtl/>
                <w:lang w:val="en-GB" w:bidi="ar-EG"/>
              </w:rPr>
              <w:t>الذكور</w:t>
            </w:r>
          </w:p>
        </w:tc>
      </w:tr>
      <w:tr w:rsidR="00662946">
        <w:tblPrEx>
          <w:tblCellMar>
            <w:top w:w="0" w:type="dxa"/>
            <w:bottom w:w="0" w:type="dxa"/>
          </w:tblCellMar>
        </w:tblPrEx>
        <w:trPr>
          <w:jc w:val="center"/>
        </w:trPr>
        <w:tc>
          <w:tcPr>
            <w:tcW w:w="2401" w:type="dxa"/>
            <w:tcBorders>
              <w:top w:val="single" w:sz="7" w:space="0" w:color="auto"/>
              <w:left w:val="single" w:sz="4" w:space="0" w:color="auto"/>
              <w:right w:val="single" w:sz="8" w:space="0" w:color="auto"/>
            </w:tcBorders>
          </w:tcPr>
          <w:p w:rsidR="00662946" w:rsidRDefault="00662946">
            <w:pPr>
              <w:tabs>
                <w:tab w:val="center" w:pos="1387"/>
              </w:tabs>
              <w:suppressAutoHyphens/>
              <w:spacing w:before="90" w:after="120"/>
              <w:jc w:val="both"/>
              <w:rPr>
                <w:rFonts w:hint="cs"/>
                <w:spacing w:val="-2"/>
                <w:sz w:val="30"/>
                <w:lang w:val="en-GB"/>
              </w:rPr>
            </w:pPr>
            <w:r>
              <w:rPr>
                <w:rFonts w:hint="cs"/>
                <w:spacing w:val="-2"/>
                <w:sz w:val="30"/>
                <w:rtl/>
                <w:lang w:val="en-GB"/>
              </w:rPr>
              <w:t>المناطق الحضرية</w:t>
            </w:r>
          </w:p>
        </w:tc>
        <w:tc>
          <w:tcPr>
            <w:tcW w:w="1790" w:type="dxa"/>
            <w:tcBorders>
              <w:top w:val="single" w:sz="7" w:space="0" w:color="auto"/>
              <w:left w:val="single" w:sz="8" w:space="0" w:color="auto"/>
              <w:right w:val="single" w:sz="8" w:space="0" w:color="auto"/>
            </w:tcBorders>
          </w:tcPr>
          <w:p w:rsidR="00662946" w:rsidRDefault="00662946">
            <w:pPr>
              <w:tabs>
                <w:tab w:val="center" w:pos="1298"/>
              </w:tabs>
              <w:suppressAutoHyphens/>
              <w:spacing w:before="90" w:after="120"/>
              <w:jc w:val="both"/>
              <w:rPr>
                <w:rFonts w:hint="cs"/>
                <w:spacing w:val="-2"/>
                <w:sz w:val="30"/>
                <w:lang w:val="en-GB"/>
              </w:rPr>
            </w:pPr>
            <w:r>
              <w:rPr>
                <w:rFonts w:hint="cs"/>
                <w:spacing w:val="-2"/>
                <w:sz w:val="30"/>
                <w:rtl/>
                <w:lang w:val="en-GB"/>
              </w:rPr>
              <w:t>332 18</w:t>
            </w:r>
          </w:p>
        </w:tc>
        <w:tc>
          <w:tcPr>
            <w:tcW w:w="2060" w:type="dxa"/>
            <w:tcBorders>
              <w:top w:val="single" w:sz="7" w:space="0" w:color="auto"/>
              <w:left w:val="single" w:sz="8" w:space="0" w:color="auto"/>
              <w:right w:val="single" w:sz="4" w:space="0" w:color="auto"/>
            </w:tcBorders>
          </w:tcPr>
          <w:p w:rsidR="00662946" w:rsidRDefault="00662946">
            <w:pPr>
              <w:tabs>
                <w:tab w:val="center" w:pos="1129"/>
              </w:tabs>
              <w:suppressAutoHyphens/>
              <w:spacing w:before="90" w:after="120"/>
              <w:jc w:val="both"/>
              <w:rPr>
                <w:rFonts w:hint="cs"/>
                <w:spacing w:val="-2"/>
                <w:sz w:val="30"/>
                <w:lang w:val="en-GB"/>
              </w:rPr>
            </w:pPr>
            <w:r>
              <w:rPr>
                <w:rFonts w:hint="cs"/>
                <w:spacing w:val="-2"/>
                <w:sz w:val="30"/>
                <w:rtl/>
                <w:lang w:val="en-GB"/>
              </w:rPr>
              <w:t>28.35</w:t>
            </w:r>
          </w:p>
        </w:tc>
      </w:tr>
      <w:tr w:rsidR="00662946">
        <w:tblPrEx>
          <w:tblCellMar>
            <w:top w:w="0" w:type="dxa"/>
            <w:bottom w:w="0" w:type="dxa"/>
          </w:tblCellMar>
        </w:tblPrEx>
        <w:trPr>
          <w:jc w:val="center"/>
        </w:trPr>
        <w:tc>
          <w:tcPr>
            <w:tcW w:w="2401" w:type="dxa"/>
            <w:tcBorders>
              <w:top w:val="single" w:sz="7" w:space="0" w:color="auto"/>
              <w:left w:val="single" w:sz="4" w:space="0" w:color="auto"/>
              <w:right w:val="single" w:sz="8" w:space="0" w:color="auto"/>
            </w:tcBorders>
          </w:tcPr>
          <w:p w:rsidR="00662946" w:rsidRDefault="00662946">
            <w:pPr>
              <w:tabs>
                <w:tab w:val="center" w:pos="1387"/>
              </w:tabs>
              <w:suppressAutoHyphens/>
              <w:spacing w:before="90" w:after="120"/>
              <w:jc w:val="both"/>
              <w:rPr>
                <w:rFonts w:hint="cs"/>
                <w:spacing w:val="-2"/>
                <w:sz w:val="30"/>
                <w:lang w:val="en-GB"/>
              </w:rPr>
            </w:pPr>
            <w:r>
              <w:rPr>
                <w:rFonts w:hint="cs"/>
                <w:spacing w:val="-2"/>
                <w:sz w:val="30"/>
                <w:rtl/>
                <w:lang w:val="en-GB"/>
              </w:rPr>
              <w:t>المناطق الريفية</w:t>
            </w:r>
          </w:p>
        </w:tc>
        <w:tc>
          <w:tcPr>
            <w:tcW w:w="1790" w:type="dxa"/>
            <w:tcBorders>
              <w:top w:val="single" w:sz="7" w:space="0" w:color="auto"/>
              <w:left w:val="single" w:sz="8" w:space="0" w:color="auto"/>
              <w:right w:val="single" w:sz="8" w:space="0" w:color="auto"/>
            </w:tcBorders>
          </w:tcPr>
          <w:p w:rsidR="00662946" w:rsidRDefault="00662946">
            <w:pPr>
              <w:tabs>
                <w:tab w:val="center" w:pos="1298"/>
              </w:tabs>
              <w:suppressAutoHyphens/>
              <w:spacing w:before="90" w:after="120"/>
              <w:jc w:val="both"/>
              <w:rPr>
                <w:rFonts w:hint="cs"/>
                <w:spacing w:val="-2"/>
                <w:sz w:val="30"/>
                <w:lang w:val="en-GB"/>
              </w:rPr>
            </w:pPr>
            <w:r>
              <w:rPr>
                <w:rFonts w:hint="cs"/>
                <w:spacing w:val="-2"/>
                <w:sz w:val="30"/>
                <w:rtl/>
                <w:lang w:val="en-GB"/>
              </w:rPr>
              <w:t>313 46</w:t>
            </w:r>
          </w:p>
        </w:tc>
        <w:tc>
          <w:tcPr>
            <w:tcW w:w="2060" w:type="dxa"/>
            <w:tcBorders>
              <w:top w:val="single" w:sz="7" w:space="0" w:color="auto"/>
              <w:left w:val="single" w:sz="8" w:space="0" w:color="auto"/>
              <w:right w:val="single" w:sz="4" w:space="0" w:color="auto"/>
            </w:tcBorders>
          </w:tcPr>
          <w:p w:rsidR="00662946" w:rsidRDefault="00662946">
            <w:pPr>
              <w:tabs>
                <w:tab w:val="center" w:pos="1129"/>
              </w:tabs>
              <w:suppressAutoHyphens/>
              <w:spacing w:before="90" w:after="120"/>
              <w:jc w:val="both"/>
              <w:rPr>
                <w:rFonts w:hint="cs"/>
                <w:spacing w:val="-2"/>
                <w:sz w:val="30"/>
                <w:lang w:val="en-GB"/>
              </w:rPr>
            </w:pPr>
            <w:r>
              <w:rPr>
                <w:rFonts w:hint="cs"/>
                <w:spacing w:val="-2"/>
                <w:sz w:val="30"/>
                <w:rtl/>
                <w:lang w:val="en-GB"/>
              </w:rPr>
              <w:t>71.64</w:t>
            </w:r>
          </w:p>
        </w:tc>
      </w:tr>
      <w:tr w:rsidR="00662946">
        <w:tblPrEx>
          <w:tblCellMar>
            <w:top w:w="0" w:type="dxa"/>
            <w:bottom w:w="0" w:type="dxa"/>
          </w:tblCellMar>
        </w:tblPrEx>
        <w:trPr>
          <w:jc w:val="center"/>
        </w:trPr>
        <w:tc>
          <w:tcPr>
            <w:tcW w:w="2401" w:type="dxa"/>
            <w:tcBorders>
              <w:top w:val="single" w:sz="7" w:space="0" w:color="auto"/>
              <w:left w:val="single" w:sz="4" w:space="0" w:color="auto"/>
              <w:bottom w:val="single" w:sz="7" w:space="0" w:color="auto"/>
              <w:right w:val="single" w:sz="8" w:space="0" w:color="auto"/>
            </w:tcBorders>
          </w:tcPr>
          <w:p w:rsidR="00662946" w:rsidRDefault="00662946">
            <w:pPr>
              <w:tabs>
                <w:tab w:val="center" w:pos="1387"/>
              </w:tabs>
              <w:suppressAutoHyphens/>
              <w:spacing w:before="90" w:after="120"/>
              <w:jc w:val="both"/>
              <w:rPr>
                <w:rFonts w:hint="cs"/>
                <w:spacing w:val="-2"/>
                <w:sz w:val="30"/>
                <w:lang w:val="en-GB"/>
              </w:rPr>
            </w:pPr>
            <w:r>
              <w:rPr>
                <w:rFonts w:hint="cs"/>
                <w:spacing w:val="-2"/>
                <w:sz w:val="30"/>
                <w:rtl/>
                <w:lang w:val="en-GB"/>
              </w:rPr>
              <w:t>المجموع</w:t>
            </w:r>
          </w:p>
        </w:tc>
        <w:tc>
          <w:tcPr>
            <w:tcW w:w="1790" w:type="dxa"/>
            <w:tcBorders>
              <w:top w:val="single" w:sz="7" w:space="0" w:color="auto"/>
              <w:left w:val="single" w:sz="8" w:space="0" w:color="auto"/>
              <w:bottom w:val="single" w:sz="7" w:space="0" w:color="auto"/>
              <w:right w:val="single" w:sz="8" w:space="0" w:color="auto"/>
            </w:tcBorders>
          </w:tcPr>
          <w:p w:rsidR="00662946" w:rsidRDefault="00662946">
            <w:pPr>
              <w:tabs>
                <w:tab w:val="center" w:pos="1298"/>
              </w:tabs>
              <w:suppressAutoHyphens/>
              <w:spacing w:before="90" w:after="120"/>
              <w:jc w:val="both"/>
              <w:rPr>
                <w:rFonts w:hint="cs"/>
                <w:spacing w:val="-2"/>
                <w:sz w:val="30"/>
                <w:lang w:val="en-GB"/>
              </w:rPr>
            </w:pPr>
            <w:r>
              <w:rPr>
                <w:rFonts w:hint="cs"/>
                <w:spacing w:val="-2"/>
                <w:sz w:val="30"/>
                <w:rtl/>
                <w:lang w:val="en-GB"/>
              </w:rPr>
              <w:t>645 64</w:t>
            </w:r>
          </w:p>
        </w:tc>
        <w:tc>
          <w:tcPr>
            <w:tcW w:w="2060" w:type="dxa"/>
            <w:tcBorders>
              <w:top w:val="single" w:sz="7" w:space="0" w:color="auto"/>
              <w:left w:val="single" w:sz="8" w:space="0" w:color="auto"/>
              <w:bottom w:val="single" w:sz="7" w:space="0" w:color="auto"/>
              <w:right w:val="single" w:sz="4" w:space="0" w:color="auto"/>
            </w:tcBorders>
          </w:tcPr>
          <w:p w:rsidR="00662946" w:rsidRDefault="00662946">
            <w:pPr>
              <w:tabs>
                <w:tab w:val="center" w:pos="1129"/>
              </w:tabs>
              <w:suppressAutoHyphens/>
              <w:spacing w:before="90" w:after="120"/>
              <w:jc w:val="both"/>
              <w:rPr>
                <w:rFonts w:hint="cs"/>
                <w:spacing w:val="-2"/>
                <w:sz w:val="30"/>
                <w:lang w:val="en-GB"/>
              </w:rPr>
            </w:pPr>
            <w:r>
              <w:rPr>
                <w:rFonts w:hint="cs"/>
                <w:spacing w:val="-2"/>
                <w:sz w:val="30"/>
                <w:rtl/>
                <w:lang w:val="en-GB"/>
              </w:rPr>
              <w:t>49.99</w:t>
            </w:r>
          </w:p>
        </w:tc>
      </w:tr>
      <w:tr w:rsidR="00662946">
        <w:tblPrEx>
          <w:tblCellMar>
            <w:top w:w="0" w:type="dxa"/>
            <w:bottom w:w="0" w:type="dxa"/>
          </w:tblCellMar>
        </w:tblPrEx>
        <w:trPr>
          <w:jc w:val="center"/>
        </w:trPr>
        <w:tc>
          <w:tcPr>
            <w:tcW w:w="6251" w:type="dxa"/>
            <w:gridSpan w:val="3"/>
            <w:tcBorders>
              <w:top w:val="single" w:sz="7" w:space="0" w:color="auto"/>
              <w:left w:val="single" w:sz="4" w:space="0" w:color="auto"/>
              <w:bottom w:val="single" w:sz="4" w:space="0" w:color="auto"/>
              <w:right w:val="single" w:sz="4" w:space="0" w:color="auto"/>
            </w:tcBorders>
          </w:tcPr>
          <w:p w:rsidR="00662946" w:rsidRDefault="00662946">
            <w:pPr>
              <w:tabs>
                <w:tab w:val="left" w:pos="-720"/>
              </w:tabs>
              <w:suppressAutoHyphens/>
              <w:spacing w:after="120"/>
              <w:jc w:val="both"/>
              <w:rPr>
                <w:rFonts w:hint="cs"/>
                <w:spacing w:val="-3"/>
                <w:sz w:val="30"/>
                <w:lang w:val="en-GB"/>
              </w:rPr>
            </w:pPr>
            <w:r>
              <w:rPr>
                <w:rFonts w:hint="cs"/>
                <w:spacing w:val="-3"/>
                <w:sz w:val="30"/>
                <w:rtl/>
                <w:lang w:val="en-GB" w:bidi="ar-EG"/>
              </w:rPr>
              <w:t>المصدر: تعداد السكان والمساكن، 1991.</w:t>
            </w:r>
          </w:p>
        </w:tc>
      </w:tr>
    </w:tbl>
    <w:p w:rsidR="00662946" w:rsidRDefault="00662946">
      <w:pPr>
        <w:pStyle w:val="SingleTxt"/>
        <w:jc w:val="both"/>
        <w:rPr>
          <w:rFonts w:hint="cs"/>
          <w:rtl/>
          <w:lang w:bidi="ar-EG"/>
        </w:rPr>
      </w:pPr>
    </w:p>
    <w:p w:rsidR="00662946" w:rsidRDefault="00662946">
      <w:pPr>
        <w:pStyle w:val="SingleTxt"/>
        <w:jc w:val="both"/>
        <w:rPr>
          <w:rFonts w:hint="cs"/>
          <w:rtl/>
          <w:lang w:bidi="ar-EG"/>
        </w:rPr>
      </w:pPr>
      <w:r>
        <w:rPr>
          <w:rFonts w:hint="cs"/>
          <w:rtl/>
          <w:lang w:bidi="ar-EG"/>
        </w:rPr>
        <w:t>9 -</w:t>
      </w:r>
      <w:r>
        <w:rPr>
          <w:rFonts w:hint="cs"/>
          <w:rtl/>
          <w:lang w:bidi="ar-EG"/>
        </w:rPr>
        <w:tab/>
        <w:t xml:space="preserve">على الرغم من أن سانت لوسيا هي بلد زراعي بصورة غالبة من ناحية استخدام الأراضي فإن أعلى كثافة سكانية توجد في المناطق الحضرية في شمال الجزيرة. ويعيش في مدينة كستريز وضواحيها نحو 39 في المائة من عدد السكان. ويرجع هذا إلى ارتفاع مستوى النشاط الاقتصادي في العاصمة. والمراكز السكانية الأخرى التي على قدر من الأهمية هي مدينة فيوكس فورت وسوفير إلى الجنوب والجنوب الغربي من البلد على التوالي. وتربط شبكة طرق جيدة المجتمعات الريفية والقرى بالمراكز السكانية. </w:t>
      </w:r>
    </w:p>
    <w:p w:rsidR="00662946" w:rsidRDefault="00662946">
      <w:pPr>
        <w:pStyle w:val="SingleTxt"/>
        <w:jc w:val="both"/>
        <w:rPr>
          <w:rFonts w:hint="cs"/>
          <w:rtl/>
          <w:lang w:bidi="ar-EG"/>
        </w:rPr>
      </w:pPr>
      <w:r>
        <w:rPr>
          <w:rFonts w:hint="cs"/>
          <w:rtl/>
          <w:lang w:bidi="ar-EG"/>
        </w:rPr>
        <w:t>10 -</w:t>
      </w:r>
      <w:r>
        <w:rPr>
          <w:rFonts w:hint="cs"/>
          <w:rtl/>
          <w:lang w:bidi="ar-EG"/>
        </w:rPr>
        <w:tab/>
        <w:t>معظم سكان سانت لوسيا من أصل أفريقي لكن توجد أقليات من الناس الذين ينحدرون من أصل هندي ومن أصول ممتزجة. والتكوين الديمغرافي هو تراث الماضي الاستعماري للبلد باعتباره اقتصاداً زراعياً كان قائماً على الرق والتلمذة الزراعية. وكان جميع العبيد من الأفارقة، وكان العمال الأُجراء الذين حلوا محل العبيد في المزارع بعد تحرر العبيد هنوداً من قارة آسيا.</w:t>
      </w:r>
    </w:p>
    <w:p w:rsidR="00662946" w:rsidRDefault="00662946">
      <w:pPr>
        <w:pStyle w:val="SingleTxt"/>
        <w:jc w:val="both"/>
        <w:rPr>
          <w:rFonts w:hint="cs"/>
          <w:rtl/>
          <w:lang w:bidi="ar-EG"/>
        </w:rPr>
      </w:pPr>
      <w:r>
        <w:rPr>
          <w:rFonts w:hint="cs"/>
          <w:rtl/>
          <w:lang w:bidi="ar-EG"/>
        </w:rPr>
        <w:t>11 -</w:t>
      </w:r>
      <w:r>
        <w:rPr>
          <w:rFonts w:hint="cs"/>
          <w:rtl/>
          <w:lang w:bidi="ar-EG"/>
        </w:rPr>
        <w:tab/>
        <w:t>اللغة الرسمية لسانت لوسيا هي الإنكليزية لكن تتكلم نسبة كبيرة من السكان الباتواه القائمة على اللغة الفرنسية.</w:t>
      </w:r>
    </w:p>
    <w:p w:rsidR="00662946" w:rsidRDefault="00662946">
      <w:pPr>
        <w:pStyle w:val="SingleTxt"/>
        <w:jc w:val="both"/>
        <w:rPr>
          <w:rFonts w:hint="cs"/>
          <w:rtl/>
          <w:lang w:bidi="ar-EG"/>
        </w:rPr>
      </w:pPr>
      <w:r>
        <w:rPr>
          <w:rFonts w:hint="cs"/>
          <w:rtl/>
          <w:lang w:bidi="ar-EG"/>
        </w:rPr>
        <w:t>12 -</w:t>
      </w:r>
      <w:r>
        <w:rPr>
          <w:rFonts w:hint="cs"/>
          <w:rtl/>
          <w:lang w:bidi="ar-EG"/>
        </w:rPr>
        <w:tab/>
        <w:t>خلال الجزء الأول من الفترة المشمولة بالتقرير كانت أغلبية (أكثر من 80 في المائة من السكان من اتباع الكنيسة الرومانية الكاثوليكي</w:t>
      </w:r>
      <w:r>
        <w:rPr>
          <w:rFonts w:hint="eastAsia"/>
          <w:rtl/>
          <w:lang w:bidi="ar-EG"/>
        </w:rPr>
        <w:t>ة</w:t>
      </w:r>
      <w:r>
        <w:rPr>
          <w:rFonts w:hint="cs"/>
          <w:rtl/>
          <w:lang w:bidi="ar-EG"/>
        </w:rPr>
        <w:t>. وكانت المذاهب الأخرى الممثلة بين 20 في المائة الباقية من السكان هي الأنجيلية والميسودية أو المنهجية والمعمدانية والسبتية وشهود الرب والعنصرية والبقعة المقدسة. وكان هناك انخفاض ملحوظ في نسبة اتباع الكنيسة الرومانية الكاثوليكية في الجزيرة على الرغم من تأثير المذاهب الكنسية مازال واضحاً في بعض القوانين والممارسات الأخرى.</w:t>
      </w:r>
    </w:p>
    <w:p w:rsidR="00662946" w:rsidRDefault="00662946">
      <w:pPr>
        <w:pStyle w:val="SingleTxt"/>
        <w:jc w:val="both"/>
        <w:rPr>
          <w:rFonts w:hint="cs"/>
          <w:rtl/>
          <w:lang w:bidi="ar-EG"/>
        </w:rPr>
      </w:pPr>
      <w:r>
        <w:rPr>
          <w:rFonts w:hint="cs"/>
          <w:rtl/>
          <w:lang w:bidi="ar-EG"/>
        </w:rPr>
        <w:t>13 -</w:t>
      </w:r>
      <w:r>
        <w:rPr>
          <w:rFonts w:hint="cs"/>
          <w:rtl/>
          <w:lang w:bidi="ar-EG"/>
        </w:rPr>
        <w:tab/>
        <w:t>الإناث ممثلات تمثيلاً كبيراً جداً على المستويين الإداري والتنظيمي في الكنائس. وتبين المعلومات التي تم الحصول عليها من التقرير الوطني عن المرأة أن ”</w:t>
      </w:r>
      <w:r>
        <w:rPr>
          <w:rFonts w:hint="cs"/>
          <w:i/>
          <w:iCs/>
          <w:rtl/>
          <w:lang w:bidi="ar-EG"/>
        </w:rPr>
        <w:t>أنه يوجد توازن تام تقريباً بين النساء والرجال بين موظفي الدعم والعاملين في مجال الإرشاد وأعضاء المجالس التنفيذي“</w:t>
      </w:r>
      <w:r>
        <w:rPr>
          <w:rFonts w:hint="cs"/>
          <w:rtl/>
          <w:lang w:bidi="ar-EG"/>
        </w:rPr>
        <w:t xml:space="preserve"> ووفقاً لذلك التقرير فإن النساء غير ممثلات على المستويات الأعلى في الكنائس، مثلاً في مناصب رجال الدين ورعاة الأبرشيات والقساوسة البروتستانتيي</w:t>
      </w:r>
      <w:r>
        <w:rPr>
          <w:rFonts w:hint="eastAsia"/>
          <w:rtl/>
          <w:lang w:bidi="ar-EG"/>
        </w:rPr>
        <w:t>ن</w:t>
      </w:r>
      <w:r>
        <w:rPr>
          <w:rFonts w:hint="cs"/>
          <w:rtl/>
          <w:lang w:bidi="ar-EG"/>
        </w:rPr>
        <w:t xml:space="preserve"> ويشغلها جميع رجال (أنظر الجدول جيم).</w:t>
      </w:r>
    </w:p>
    <w:tbl>
      <w:tblPr>
        <w:bidiVisual/>
        <w:tblW w:w="0" w:type="auto"/>
        <w:tblInd w:w="120" w:type="dxa"/>
        <w:tblLayout w:type="fixed"/>
        <w:tblCellMar>
          <w:left w:w="120" w:type="dxa"/>
          <w:right w:w="120" w:type="dxa"/>
        </w:tblCellMar>
        <w:tblLook w:val="0000" w:firstRow="0" w:lastRow="0" w:firstColumn="0" w:lastColumn="0" w:noHBand="0" w:noVBand="0"/>
      </w:tblPr>
      <w:tblGrid>
        <w:gridCol w:w="4700"/>
        <w:gridCol w:w="927"/>
        <w:gridCol w:w="927"/>
        <w:gridCol w:w="824"/>
        <w:gridCol w:w="824"/>
        <w:gridCol w:w="824"/>
        <w:gridCol w:w="824"/>
      </w:tblGrid>
      <w:tr w:rsidR="00662946">
        <w:tblPrEx>
          <w:tblCellMar>
            <w:top w:w="0" w:type="dxa"/>
            <w:bottom w:w="0" w:type="dxa"/>
          </w:tblCellMar>
        </w:tblPrEx>
        <w:tc>
          <w:tcPr>
            <w:tcW w:w="9850" w:type="dxa"/>
            <w:gridSpan w:val="7"/>
            <w:tcBorders>
              <w:top w:val="single" w:sz="4" w:space="0" w:color="auto"/>
              <w:left w:val="single" w:sz="4" w:space="0" w:color="auto"/>
              <w:right w:val="single" w:sz="4" w:space="0" w:color="auto"/>
            </w:tcBorders>
            <w:vAlign w:val="bottom"/>
          </w:tcPr>
          <w:p w:rsidR="00662946" w:rsidRDefault="00662946">
            <w:pPr>
              <w:tabs>
                <w:tab w:val="center" w:pos="4153"/>
              </w:tabs>
              <w:suppressAutoHyphens/>
              <w:ind w:left="1440" w:hanging="1440"/>
              <w:jc w:val="left"/>
              <w:rPr>
                <w:rFonts w:hint="cs"/>
                <w:bCs/>
                <w:spacing w:val="-3"/>
                <w:sz w:val="30"/>
                <w:lang w:val="en-GB"/>
              </w:rPr>
            </w:pPr>
            <w:r>
              <w:rPr>
                <w:rFonts w:hint="cs"/>
                <w:bCs/>
                <w:spacing w:val="-3"/>
                <w:sz w:val="30"/>
                <w:rtl/>
                <w:lang w:val="en-GB"/>
              </w:rPr>
              <w:t xml:space="preserve">الجدول جيم: الموظفون الإداريون والموظفات الإداريات في المذاهب الدينية الأكثر شعبية </w:t>
            </w:r>
          </w:p>
        </w:tc>
      </w:tr>
      <w:tr w:rsidR="00662946">
        <w:tblPrEx>
          <w:tblCellMar>
            <w:top w:w="0" w:type="dxa"/>
            <w:bottom w:w="0" w:type="dxa"/>
          </w:tblCellMar>
        </w:tblPrEx>
        <w:tc>
          <w:tcPr>
            <w:tcW w:w="4700" w:type="dxa"/>
            <w:tcBorders>
              <w:top w:val="single" w:sz="4" w:space="0" w:color="auto"/>
              <w:left w:val="single" w:sz="4" w:space="0" w:color="auto"/>
              <w:right w:val="single" w:sz="8" w:space="0" w:color="auto"/>
            </w:tcBorders>
            <w:vAlign w:val="bottom"/>
          </w:tcPr>
          <w:p w:rsidR="00662946" w:rsidRDefault="00662946">
            <w:pPr>
              <w:tabs>
                <w:tab w:val="center" w:pos="1365"/>
              </w:tabs>
              <w:suppressAutoHyphens/>
              <w:spacing w:before="90"/>
              <w:jc w:val="left"/>
              <w:rPr>
                <w:rFonts w:hint="cs"/>
                <w:b/>
                <w:spacing w:val="-2"/>
                <w:sz w:val="30"/>
                <w:lang w:val="en-GB"/>
              </w:rPr>
            </w:pPr>
            <w:r>
              <w:rPr>
                <w:rFonts w:hint="cs"/>
                <w:b/>
                <w:spacing w:val="-2"/>
                <w:sz w:val="30"/>
                <w:rtl/>
                <w:lang w:val="en-GB"/>
              </w:rPr>
              <w:t>المنصب</w:t>
            </w:r>
          </w:p>
        </w:tc>
        <w:tc>
          <w:tcPr>
            <w:tcW w:w="1854" w:type="dxa"/>
            <w:gridSpan w:val="2"/>
            <w:tcBorders>
              <w:top w:val="single" w:sz="4" w:space="0" w:color="auto"/>
              <w:left w:val="single" w:sz="8" w:space="0" w:color="auto"/>
              <w:right w:val="single" w:sz="8" w:space="0" w:color="auto"/>
            </w:tcBorders>
            <w:vAlign w:val="bottom"/>
          </w:tcPr>
          <w:p w:rsidR="00662946" w:rsidRDefault="00662946">
            <w:pPr>
              <w:tabs>
                <w:tab w:val="center" w:pos="791"/>
              </w:tabs>
              <w:suppressAutoHyphens/>
              <w:spacing w:before="90"/>
              <w:jc w:val="left"/>
              <w:rPr>
                <w:b/>
                <w:spacing w:val="-2"/>
                <w:sz w:val="30"/>
                <w:lang w:val="en-GB"/>
              </w:rPr>
            </w:pPr>
            <w:r>
              <w:rPr>
                <w:b/>
                <w:spacing w:val="-2"/>
                <w:sz w:val="30"/>
                <w:lang w:val="en-GB"/>
              </w:rPr>
              <w:tab/>
            </w:r>
            <w:r>
              <w:rPr>
                <w:b/>
                <w:spacing w:val="-2"/>
                <w:sz w:val="30"/>
                <w:rtl/>
                <w:lang w:val="en-GB"/>
              </w:rPr>
              <w:t>1980</w:t>
            </w:r>
          </w:p>
        </w:tc>
        <w:tc>
          <w:tcPr>
            <w:tcW w:w="1648" w:type="dxa"/>
            <w:gridSpan w:val="2"/>
            <w:tcBorders>
              <w:top w:val="single" w:sz="4" w:space="0" w:color="auto"/>
              <w:left w:val="single" w:sz="8" w:space="0" w:color="auto"/>
              <w:right w:val="single" w:sz="8" w:space="0" w:color="auto"/>
            </w:tcBorders>
            <w:vAlign w:val="bottom"/>
          </w:tcPr>
          <w:p w:rsidR="00662946" w:rsidRDefault="00662946">
            <w:pPr>
              <w:tabs>
                <w:tab w:val="center" w:pos="789"/>
              </w:tabs>
              <w:suppressAutoHyphens/>
              <w:spacing w:before="90"/>
              <w:jc w:val="left"/>
              <w:rPr>
                <w:b/>
                <w:spacing w:val="-2"/>
                <w:sz w:val="30"/>
                <w:lang w:val="en-GB"/>
              </w:rPr>
            </w:pPr>
            <w:r>
              <w:rPr>
                <w:b/>
                <w:spacing w:val="-2"/>
                <w:sz w:val="30"/>
                <w:lang w:val="en-GB"/>
              </w:rPr>
              <w:tab/>
            </w:r>
            <w:r>
              <w:rPr>
                <w:b/>
                <w:spacing w:val="-2"/>
                <w:sz w:val="30"/>
                <w:rtl/>
                <w:lang w:val="en-GB"/>
              </w:rPr>
              <w:t>1985</w:t>
            </w:r>
          </w:p>
        </w:tc>
        <w:tc>
          <w:tcPr>
            <w:tcW w:w="1648" w:type="dxa"/>
            <w:gridSpan w:val="2"/>
            <w:tcBorders>
              <w:top w:val="single" w:sz="4" w:space="0" w:color="auto"/>
              <w:left w:val="single" w:sz="8" w:space="0" w:color="auto"/>
              <w:right w:val="single" w:sz="4" w:space="0" w:color="auto"/>
            </w:tcBorders>
            <w:vAlign w:val="bottom"/>
          </w:tcPr>
          <w:p w:rsidR="00662946" w:rsidRDefault="00662946">
            <w:pPr>
              <w:tabs>
                <w:tab w:val="center" w:pos="761"/>
              </w:tabs>
              <w:suppressAutoHyphens/>
              <w:spacing w:before="90"/>
              <w:jc w:val="left"/>
              <w:rPr>
                <w:spacing w:val="-2"/>
                <w:sz w:val="30"/>
                <w:lang w:val="en-GB"/>
              </w:rPr>
            </w:pPr>
            <w:r>
              <w:rPr>
                <w:b/>
                <w:spacing w:val="-2"/>
                <w:sz w:val="30"/>
                <w:lang w:val="en-GB"/>
              </w:rPr>
              <w:tab/>
            </w:r>
            <w:r>
              <w:rPr>
                <w:b/>
                <w:spacing w:val="-2"/>
                <w:sz w:val="30"/>
                <w:rtl/>
                <w:lang w:val="en-GB"/>
              </w:rPr>
              <w:t>1993</w:t>
            </w:r>
          </w:p>
        </w:tc>
      </w:tr>
      <w:tr w:rsidR="00662946">
        <w:tblPrEx>
          <w:tblCellMar>
            <w:top w:w="0" w:type="dxa"/>
            <w:bottom w:w="0" w:type="dxa"/>
          </w:tblCellMar>
        </w:tblPrEx>
        <w:tc>
          <w:tcPr>
            <w:tcW w:w="4700" w:type="dxa"/>
            <w:tcBorders>
              <w:top w:val="single" w:sz="7" w:space="0" w:color="auto"/>
              <w:left w:val="single" w:sz="4" w:space="0" w:color="auto"/>
              <w:right w:val="single" w:sz="8" w:space="0" w:color="auto"/>
            </w:tcBorders>
            <w:vAlign w:val="bottom"/>
          </w:tcPr>
          <w:p w:rsidR="00662946" w:rsidRDefault="00662946">
            <w:pPr>
              <w:tabs>
                <w:tab w:val="left" w:pos="-720"/>
              </w:tabs>
              <w:suppressAutoHyphens/>
              <w:spacing w:before="90"/>
              <w:jc w:val="left"/>
              <w:rPr>
                <w:spacing w:val="-2"/>
                <w:sz w:val="30"/>
                <w:lang w:val="en-GB"/>
              </w:rPr>
            </w:pPr>
          </w:p>
        </w:tc>
        <w:tc>
          <w:tcPr>
            <w:tcW w:w="927" w:type="dxa"/>
            <w:tcBorders>
              <w:top w:val="single" w:sz="7" w:space="0" w:color="auto"/>
              <w:left w:val="single" w:sz="8" w:space="0" w:color="auto"/>
              <w:right w:val="single" w:sz="8" w:space="0" w:color="auto"/>
            </w:tcBorders>
            <w:vAlign w:val="bottom"/>
          </w:tcPr>
          <w:p w:rsidR="00662946" w:rsidRDefault="00662946">
            <w:pPr>
              <w:tabs>
                <w:tab w:val="center" w:pos="342"/>
              </w:tabs>
              <w:suppressAutoHyphens/>
              <w:spacing w:before="90"/>
              <w:jc w:val="left"/>
              <w:rPr>
                <w:rFonts w:hint="cs"/>
                <w:spacing w:val="-2"/>
                <w:sz w:val="30"/>
                <w:lang w:val="en-GB"/>
              </w:rPr>
            </w:pPr>
            <w:r>
              <w:rPr>
                <w:rFonts w:hint="cs"/>
                <w:spacing w:val="-2"/>
                <w:sz w:val="30"/>
                <w:rtl/>
                <w:lang w:val="en-GB"/>
              </w:rPr>
              <w:t>الإناث</w:t>
            </w:r>
          </w:p>
        </w:tc>
        <w:tc>
          <w:tcPr>
            <w:tcW w:w="927" w:type="dxa"/>
            <w:tcBorders>
              <w:top w:val="single" w:sz="7" w:space="0" w:color="auto"/>
              <w:left w:val="single" w:sz="8" w:space="0" w:color="auto"/>
              <w:right w:val="single" w:sz="8" w:space="0" w:color="auto"/>
            </w:tcBorders>
            <w:vAlign w:val="bottom"/>
          </w:tcPr>
          <w:p w:rsidR="00662946" w:rsidRDefault="00662946">
            <w:pPr>
              <w:tabs>
                <w:tab w:val="center" w:pos="339"/>
              </w:tabs>
              <w:suppressAutoHyphens/>
              <w:spacing w:before="90"/>
              <w:jc w:val="left"/>
              <w:rPr>
                <w:rFonts w:hint="cs"/>
                <w:spacing w:val="-2"/>
                <w:sz w:val="30"/>
                <w:lang w:val="en-GB"/>
              </w:rPr>
            </w:pPr>
            <w:r>
              <w:rPr>
                <w:rFonts w:hint="cs"/>
                <w:spacing w:val="-2"/>
                <w:sz w:val="30"/>
                <w:rtl/>
                <w:lang w:val="en-GB"/>
              </w:rPr>
              <w:t>الذكور</w:t>
            </w:r>
          </w:p>
        </w:tc>
        <w:tc>
          <w:tcPr>
            <w:tcW w:w="824" w:type="dxa"/>
            <w:tcBorders>
              <w:top w:val="single" w:sz="7" w:space="0" w:color="auto"/>
              <w:left w:val="single" w:sz="8" w:space="0" w:color="auto"/>
              <w:right w:val="single" w:sz="8" w:space="0" w:color="auto"/>
            </w:tcBorders>
            <w:vAlign w:val="bottom"/>
          </w:tcPr>
          <w:p w:rsidR="00662946" w:rsidRDefault="00662946">
            <w:pPr>
              <w:tabs>
                <w:tab w:val="center" w:pos="342"/>
              </w:tabs>
              <w:suppressAutoHyphens/>
              <w:spacing w:before="90"/>
              <w:jc w:val="left"/>
              <w:rPr>
                <w:rFonts w:hint="cs"/>
                <w:spacing w:val="-2"/>
                <w:sz w:val="30"/>
                <w:lang w:val="en-GB"/>
              </w:rPr>
            </w:pPr>
            <w:r>
              <w:rPr>
                <w:rFonts w:hint="cs"/>
                <w:spacing w:val="-2"/>
                <w:sz w:val="30"/>
                <w:rtl/>
                <w:lang w:val="en-GB"/>
              </w:rPr>
              <w:t>الإناث</w:t>
            </w:r>
          </w:p>
        </w:tc>
        <w:tc>
          <w:tcPr>
            <w:tcW w:w="824" w:type="dxa"/>
            <w:tcBorders>
              <w:top w:val="single" w:sz="7" w:space="0" w:color="auto"/>
              <w:left w:val="single" w:sz="8" w:space="0" w:color="auto"/>
              <w:right w:val="single" w:sz="8" w:space="0" w:color="auto"/>
            </w:tcBorders>
            <w:vAlign w:val="bottom"/>
          </w:tcPr>
          <w:p w:rsidR="00662946" w:rsidRDefault="00662946">
            <w:pPr>
              <w:tabs>
                <w:tab w:val="center" w:pos="339"/>
              </w:tabs>
              <w:suppressAutoHyphens/>
              <w:spacing w:before="90"/>
              <w:jc w:val="left"/>
              <w:rPr>
                <w:rFonts w:hint="cs"/>
                <w:spacing w:val="-2"/>
                <w:sz w:val="30"/>
                <w:lang w:val="en-GB"/>
              </w:rPr>
            </w:pPr>
            <w:r>
              <w:rPr>
                <w:rFonts w:hint="cs"/>
                <w:spacing w:val="-2"/>
                <w:sz w:val="30"/>
                <w:rtl/>
                <w:lang w:val="en-GB"/>
              </w:rPr>
              <w:t>الذكور</w:t>
            </w:r>
          </w:p>
        </w:tc>
        <w:tc>
          <w:tcPr>
            <w:tcW w:w="824" w:type="dxa"/>
            <w:tcBorders>
              <w:top w:val="single" w:sz="7" w:space="0" w:color="auto"/>
              <w:left w:val="single" w:sz="8" w:space="0" w:color="auto"/>
              <w:right w:val="single" w:sz="8" w:space="0" w:color="auto"/>
            </w:tcBorders>
            <w:vAlign w:val="bottom"/>
          </w:tcPr>
          <w:p w:rsidR="00662946" w:rsidRDefault="00662946">
            <w:pPr>
              <w:tabs>
                <w:tab w:val="center" w:pos="342"/>
              </w:tabs>
              <w:suppressAutoHyphens/>
              <w:spacing w:before="90"/>
              <w:jc w:val="left"/>
              <w:rPr>
                <w:rFonts w:hint="cs"/>
                <w:spacing w:val="-2"/>
                <w:sz w:val="30"/>
                <w:lang w:val="en-GB"/>
              </w:rPr>
            </w:pPr>
            <w:r>
              <w:rPr>
                <w:rFonts w:hint="cs"/>
                <w:spacing w:val="-2"/>
                <w:sz w:val="30"/>
                <w:rtl/>
                <w:lang w:val="en-GB"/>
              </w:rPr>
              <w:t>الإناث</w:t>
            </w:r>
          </w:p>
        </w:tc>
        <w:tc>
          <w:tcPr>
            <w:tcW w:w="824" w:type="dxa"/>
            <w:tcBorders>
              <w:top w:val="single" w:sz="7" w:space="0" w:color="auto"/>
              <w:left w:val="single" w:sz="8" w:space="0" w:color="auto"/>
              <w:right w:val="single" w:sz="4" w:space="0" w:color="auto"/>
            </w:tcBorders>
            <w:vAlign w:val="bottom"/>
          </w:tcPr>
          <w:p w:rsidR="00662946" w:rsidRDefault="00662946">
            <w:pPr>
              <w:tabs>
                <w:tab w:val="center" w:pos="339"/>
              </w:tabs>
              <w:suppressAutoHyphens/>
              <w:spacing w:before="90"/>
              <w:jc w:val="left"/>
              <w:rPr>
                <w:rFonts w:hint="cs"/>
                <w:spacing w:val="-2"/>
                <w:sz w:val="30"/>
                <w:lang w:val="en-GB"/>
              </w:rPr>
            </w:pPr>
            <w:r>
              <w:rPr>
                <w:rFonts w:hint="cs"/>
                <w:spacing w:val="-2"/>
                <w:sz w:val="30"/>
                <w:rtl/>
                <w:lang w:val="en-GB"/>
              </w:rPr>
              <w:t>الذكور</w:t>
            </w:r>
          </w:p>
        </w:tc>
      </w:tr>
      <w:tr w:rsidR="00662946">
        <w:tblPrEx>
          <w:tblCellMar>
            <w:top w:w="0" w:type="dxa"/>
            <w:bottom w:w="0" w:type="dxa"/>
          </w:tblCellMar>
        </w:tblPrEx>
        <w:tc>
          <w:tcPr>
            <w:tcW w:w="4700" w:type="dxa"/>
            <w:tcBorders>
              <w:top w:val="single" w:sz="7" w:space="0" w:color="auto"/>
              <w:left w:val="single" w:sz="4" w:space="0" w:color="auto"/>
              <w:right w:val="single" w:sz="8" w:space="0" w:color="auto"/>
            </w:tcBorders>
            <w:vAlign w:val="bottom"/>
          </w:tcPr>
          <w:p w:rsidR="00662946" w:rsidRDefault="00662946">
            <w:pPr>
              <w:tabs>
                <w:tab w:val="left" w:pos="-720"/>
              </w:tabs>
              <w:suppressAutoHyphens/>
              <w:spacing w:before="90"/>
              <w:jc w:val="left"/>
              <w:rPr>
                <w:rFonts w:hint="cs"/>
                <w:spacing w:val="-2"/>
                <w:sz w:val="30"/>
                <w:lang w:val="en-GB"/>
              </w:rPr>
            </w:pPr>
            <w:r>
              <w:rPr>
                <w:rFonts w:hint="cs"/>
                <w:spacing w:val="-2"/>
                <w:sz w:val="30"/>
                <w:rtl/>
                <w:lang w:val="en-GB"/>
              </w:rPr>
              <w:t>القساوسة البروتستانتيو</w:t>
            </w:r>
            <w:r>
              <w:rPr>
                <w:rFonts w:hint="eastAsia"/>
                <w:spacing w:val="-2"/>
                <w:sz w:val="30"/>
                <w:rtl/>
                <w:lang w:val="en-GB"/>
              </w:rPr>
              <w:t>ن</w:t>
            </w:r>
            <w:r>
              <w:rPr>
                <w:rFonts w:hint="cs"/>
                <w:spacing w:val="-2"/>
                <w:sz w:val="30"/>
                <w:rtl/>
                <w:lang w:val="en-GB"/>
              </w:rPr>
              <w:t>/رجال الدين/رعاة الأبرشيات</w:t>
            </w:r>
          </w:p>
        </w:tc>
        <w:tc>
          <w:tcPr>
            <w:tcW w:w="927" w:type="dxa"/>
            <w:tcBorders>
              <w:top w:val="single" w:sz="7" w:space="0" w:color="auto"/>
              <w:left w:val="single" w:sz="8" w:space="0" w:color="auto"/>
              <w:right w:val="single" w:sz="8" w:space="0" w:color="auto"/>
            </w:tcBorders>
            <w:vAlign w:val="bottom"/>
          </w:tcPr>
          <w:p w:rsidR="00662946" w:rsidRDefault="00662946">
            <w:pPr>
              <w:tabs>
                <w:tab w:val="center" w:pos="342"/>
              </w:tabs>
              <w:suppressAutoHyphens/>
              <w:jc w:val="left"/>
              <w:rPr>
                <w:rFonts w:hint="cs"/>
                <w:spacing w:val="-2"/>
                <w:sz w:val="30"/>
                <w:lang w:val="en-GB"/>
              </w:rPr>
            </w:pPr>
            <w:r>
              <w:rPr>
                <w:rFonts w:hint="cs"/>
                <w:spacing w:val="-2"/>
                <w:sz w:val="30"/>
                <w:rtl/>
                <w:lang w:val="en-GB"/>
              </w:rPr>
              <w:t>صفر</w:t>
            </w:r>
          </w:p>
        </w:tc>
        <w:tc>
          <w:tcPr>
            <w:tcW w:w="927" w:type="dxa"/>
            <w:tcBorders>
              <w:top w:val="single" w:sz="7" w:space="0" w:color="auto"/>
              <w:left w:val="single" w:sz="8" w:space="0" w:color="auto"/>
              <w:right w:val="single" w:sz="8" w:space="0" w:color="auto"/>
            </w:tcBorders>
            <w:vAlign w:val="bottom"/>
          </w:tcPr>
          <w:p w:rsidR="00662946" w:rsidRDefault="00662946">
            <w:pPr>
              <w:tabs>
                <w:tab w:val="center" w:pos="339"/>
              </w:tabs>
              <w:suppressAutoHyphens/>
              <w:jc w:val="left"/>
              <w:rPr>
                <w:spacing w:val="-2"/>
                <w:sz w:val="30"/>
                <w:lang w:val="en-GB"/>
              </w:rPr>
            </w:pPr>
            <w:r>
              <w:rPr>
                <w:spacing w:val="-2"/>
                <w:sz w:val="30"/>
                <w:rtl/>
                <w:lang w:val="en-GB"/>
              </w:rPr>
              <w:t>31</w:t>
            </w:r>
          </w:p>
        </w:tc>
        <w:tc>
          <w:tcPr>
            <w:tcW w:w="824" w:type="dxa"/>
            <w:tcBorders>
              <w:top w:val="single" w:sz="7" w:space="0" w:color="auto"/>
              <w:left w:val="single" w:sz="8" w:space="0" w:color="auto"/>
              <w:right w:val="single" w:sz="8" w:space="0" w:color="auto"/>
            </w:tcBorders>
            <w:vAlign w:val="bottom"/>
          </w:tcPr>
          <w:p w:rsidR="00662946" w:rsidRDefault="00662946">
            <w:pPr>
              <w:tabs>
                <w:tab w:val="center" w:pos="340"/>
              </w:tabs>
              <w:suppressAutoHyphens/>
              <w:jc w:val="left"/>
              <w:rPr>
                <w:rFonts w:hint="cs"/>
                <w:spacing w:val="-2"/>
                <w:sz w:val="30"/>
                <w:lang w:val="en-GB"/>
              </w:rPr>
            </w:pPr>
            <w:r>
              <w:rPr>
                <w:rFonts w:hint="cs"/>
                <w:spacing w:val="-2"/>
                <w:sz w:val="30"/>
                <w:rtl/>
                <w:lang w:val="en-GB"/>
              </w:rPr>
              <w:t>صفر</w:t>
            </w:r>
          </w:p>
        </w:tc>
        <w:tc>
          <w:tcPr>
            <w:tcW w:w="824" w:type="dxa"/>
            <w:tcBorders>
              <w:top w:val="single" w:sz="7" w:space="0" w:color="auto"/>
              <w:left w:val="single" w:sz="8" w:space="0" w:color="auto"/>
              <w:right w:val="single" w:sz="8" w:space="0" w:color="auto"/>
            </w:tcBorders>
            <w:vAlign w:val="bottom"/>
          </w:tcPr>
          <w:p w:rsidR="00662946" w:rsidRDefault="00662946">
            <w:pPr>
              <w:tabs>
                <w:tab w:val="center" w:pos="341"/>
              </w:tabs>
              <w:suppressAutoHyphens/>
              <w:jc w:val="left"/>
              <w:rPr>
                <w:spacing w:val="-2"/>
                <w:sz w:val="30"/>
                <w:lang w:val="en-GB"/>
              </w:rPr>
            </w:pPr>
            <w:r>
              <w:rPr>
                <w:spacing w:val="-2"/>
                <w:sz w:val="30"/>
                <w:rtl/>
                <w:lang w:val="en-GB"/>
              </w:rPr>
              <w:t>36</w:t>
            </w:r>
          </w:p>
        </w:tc>
        <w:tc>
          <w:tcPr>
            <w:tcW w:w="824" w:type="dxa"/>
            <w:tcBorders>
              <w:top w:val="single" w:sz="7" w:space="0" w:color="auto"/>
              <w:left w:val="single" w:sz="8" w:space="0" w:color="auto"/>
              <w:right w:val="single" w:sz="8" w:space="0" w:color="auto"/>
            </w:tcBorders>
            <w:vAlign w:val="bottom"/>
          </w:tcPr>
          <w:p w:rsidR="00662946" w:rsidRDefault="00662946">
            <w:pPr>
              <w:tabs>
                <w:tab w:val="center" w:pos="341"/>
              </w:tabs>
              <w:suppressAutoHyphens/>
              <w:jc w:val="left"/>
              <w:rPr>
                <w:rFonts w:hint="cs"/>
                <w:spacing w:val="-2"/>
                <w:sz w:val="30"/>
                <w:lang w:val="en-GB"/>
              </w:rPr>
            </w:pPr>
            <w:r>
              <w:rPr>
                <w:rFonts w:hint="cs"/>
                <w:spacing w:val="-2"/>
                <w:sz w:val="30"/>
                <w:rtl/>
                <w:lang w:val="en-GB"/>
              </w:rPr>
              <w:t>صفر</w:t>
            </w:r>
          </w:p>
        </w:tc>
        <w:tc>
          <w:tcPr>
            <w:tcW w:w="824" w:type="dxa"/>
            <w:tcBorders>
              <w:top w:val="single" w:sz="7" w:space="0" w:color="auto"/>
              <w:left w:val="single" w:sz="8" w:space="0" w:color="auto"/>
              <w:right w:val="single" w:sz="4" w:space="0" w:color="auto"/>
            </w:tcBorders>
            <w:vAlign w:val="bottom"/>
          </w:tcPr>
          <w:p w:rsidR="00662946" w:rsidRDefault="00662946">
            <w:pPr>
              <w:tabs>
                <w:tab w:val="center" w:pos="313"/>
              </w:tabs>
              <w:suppressAutoHyphens/>
              <w:jc w:val="left"/>
              <w:rPr>
                <w:spacing w:val="-2"/>
                <w:sz w:val="30"/>
                <w:lang w:val="en-GB"/>
              </w:rPr>
            </w:pPr>
            <w:r>
              <w:rPr>
                <w:spacing w:val="-2"/>
                <w:sz w:val="30"/>
                <w:rtl/>
                <w:lang w:val="en-GB"/>
              </w:rPr>
              <w:t>46</w:t>
            </w:r>
          </w:p>
        </w:tc>
      </w:tr>
      <w:tr w:rsidR="00662946">
        <w:tblPrEx>
          <w:tblCellMar>
            <w:top w:w="0" w:type="dxa"/>
            <w:bottom w:w="0" w:type="dxa"/>
          </w:tblCellMar>
        </w:tblPrEx>
        <w:tc>
          <w:tcPr>
            <w:tcW w:w="4700" w:type="dxa"/>
            <w:tcBorders>
              <w:top w:val="single" w:sz="7" w:space="0" w:color="auto"/>
              <w:left w:val="single" w:sz="4" w:space="0" w:color="auto"/>
              <w:bottom w:val="single" w:sz="7" w:space="0" w:color="auto"/>
              <w:right w:val="single" w:sz="8" w:space="0" w:color="auto"/>
            </w:tcBorders>
            <w:vAlign w:val="bottom"/>
          </w:tcPr>
          <w:p w:rsidR="00662946" w:rsidRDefault="00662946">
            <w:pPr>
              <w:tabs>
                <w:tab w:val="left" w:pos="-720"/>
              </w:tabs>
              <w:suppressAutoHyphens/>
              <w:spacing w:before="90"/>
              <w:jc w:val="left"/>
              <w:rPr>
                <w:rFonts w:hint="cs"/>
                <w:spacing w:val="-2"/>
                <w:sz w:val="30"/>
                <w:rtl/>
                <w:lang w:val="en-GB" w:bidi="ar-EG"/>
              </w:rPr>
            </w:pPr>
            <w:r>
              <w:rPr>
                <w:rFonts w:hint="cs"/>
                <w:spacing w:val="-2"/>
                <w:sz w:val="30"/>
                <w:rtl/>
                <w:lang w:val="en-GB" w:bidi="ar-EG"/>
              </w:rPr>
              <w:t>موظفو الدعم/المجالس التنفيذية/العاملون في مجال الإرشاد</w:t>
            </w:r>
          </w:p>
        </w:tc>
        <w:tc>
          <w:tcPr>
            <w:tcW w:w="927" w:type="dxa"/>
            <w:tcBorders>
              <w:top w:val="single" w:sz="7" w:space="0" w:color="auto"/>
              <w:left w:val="single" w:sz="8" w:space="0" w:color="auto"/>
              <w:bottom w:val="single" w:sz="7" w:space="0" w:color="auto"/>
              <w:right w:val="single" w:sz="8" w:space="0" w:color="auto"/>
            </w:tcBorders>
            <w:vAlign w:val="bottom"/>
          </w:tcPr>
          <w:p w:rsidR="00662946" w:rsidRDefault="00662946">
            <w:pPr>
              <w:tabs>
                <w:tab w:val="center" w:pos="342"/>
              </w:tabs>
              <w:suppressAutoHyphens/>
              <w:jc w:val="left"/>
              <w:rPr>
                <w:spacing w:val="-2"/>
                <w:sz w:val="30"/>
                <w:lang w:val="en-GB"/>
              </w:rPr>
            </w:pPr>
            <w:r>
              <w:rPr>
                <w:spacing w:val="-2"/>
                <w:sz w:val="30"/>
                <w:rtl/>
                <w:lang w:val="en-GB"/>
              </w:rPr>
              <w:t>43</w:t>
            </w:r>
          </w:p>
        </w:tc>
        <w:tc>
          <w:tcPr>
            <w:tcW w:w="927" w:type="dxa"/>
            <w:tcBorders>
              <w:top w:val="single" w:sz="7" w:space="0" w:color="auto"/>
              <w:left w:val="single" w:sz="8" w:space="0" w:color="auto"/>
              <w:bottom w:val="single" w:sz="7" w:space="0" w:color="auto"/>
              <w:right w:val="single" w:sz="8" w:space="0" w:color="auto"/>
            </w:tcBorders>
            <w:vAlign w:val="bottom"/>
          </w:tcPr>
          <w:p w:rsidR="00662946" w:rsidRDefault="00662946">
            <w:pPr>
              <w:tabs>
                <w:tab w:val="center" w:pos="339"/>
              </w:tabs>
              <w:suppressAutoHyphens/>
              <w:jc w:val="left"/>
              <w:rPr>
                <w:spacing w:val="-2"/>
                <w:sz w:val="30"/>
                <w:lang w:val="en-GB"/>
              </w:rPr>
            </w:pPr>
            <w:r>
              <w:rPr>
                <w:spacing w:val="-2"/>
                <w:sz w:val="30"/>
                <w:rtl/>
                <w:lang w:val="en-GB"/>
              </w:rPr>
              <w:t>56</w:t>
            </w:r>
          </w:p>
        </w:tc>
        <w:tc>
          <w:tcPr>
            <w:tcW w:w="824" w:type="dxa"/>
            <w:tcBorders>
              <w:top w:val="single" w:sz="7" w:space="0" w:color="auto"/>
              <w:left w:val="single" w:sz="8" w:space="0" w:color="auto"/>
              <w:bottom w:val="single" w:sz="7" w:space="0" w:color="auto"/>
              <w:right w:val="single" w:sz="8" w:space="0" w:color="auto"/>
            </w:tcBorders>
            <w:vAlign w:val="bottom"/>
          </w:tcPr>
          <w:p w:rsidR="00662946" w:rsidRDefault="00662946">
            <w:pPr>
              <w:tabs>
                <w:tab w:val="center" w:pos="340"/>
              </w:tabs>
              <w:suppressAutoHyphens/>
              <w:jc w:val="left"/>
              <w:rPr>
                <w:spacing w:val="-2"/>
                <w:sz w:val="30"/>
                <w:lang w:val="en-GB"/>
              </w:rPr>
            </w:pPr>
            <w:r>
              <w:rPr>
                <w:spacing w:val="-2"/>
                <w:sz w:val="30"/>
                <w:rtl/>
                <w:lang w:val="en-GB"/>
              </w:rPr>
              <w:t>51</w:t>
            </w:r>
          </w:p>
        </w:tc>
        <w:tc>
          <w:tcPr>
            <w:tcW w:w="824" w:type="dxa"/>
            <w:tcBorders>
              <w:top w:val="single" w:sz="7" w:space="0" w:color="auto"/>
              <w:left w:val="single" w:sz="8" w:space="0" w:color="auto"/>
              <w:bottom w:val="single" w:sz="7" w:space="0" w:color="auto"/>
              <w:right w:val="single" w:sz="8" w:space="0" w:color="auto"/>
            </w:tcBorders>
            <w:vAlign w:val="bottom"/>
          </w:tcPr>
          <w:p w:rsidR="00662946" w:rsidRDefault="00662946">
            <w:pPr>
              <w:tabs>
                <w:tab w:val="center" w:pos="341"/>
              </w:tabs>
              <w:suppressAutoHyphens/>
              <w:jc w:val="left"/>
              <w:rPr>
                <w:spacing w:val="-2"/>
                <w:sz w:val="30"/>
                <w:lang w:val="en-GB"/>
              </w:rPr>
            </w:pPr>
            <w:r>
              <w:rPr>
                <w:spacing w:val="-2"/>
                <w:sz w:val="30"/>
                <w:rtl/>
                <w:lang w:val="en-GB"/>
              </w:rPr>
              <w:t>54</w:t>
            </w:r>
          </w:p>
        </w:tc>
        <w:tc>
          <w:tcPr>
            <w:tcW w:w="824" w:type="dxa"/>
            <w:tcBorders>
              <w:top w:val="single" w:sz="7" w:space="0" w:color="auto"/>
              <w:left w:val="single" w:sz="8" w:space="0" w:color="auto"/>
              <w:bottom w:val="single" w:sz="7" w:space="0" w:color="auto"/>
              <w:right w:val="single" w:sz="8" w:space="0" w:color="auto"/>
            </w:tcBorders>
            <w:vAlign w:val="bottom"/>
          </w:tcPr>
          <w:p w:rsidR="00662946" w:rsidRDefault="00662946">
            <w:pPr>
              <w:tabs>
                <w:tab w:val="center" w:pos="341"/>
              </w:tabs>
              <w:suppressAutoHyphens/>
              <w:jc w:val="left"/>
              <w:rPr>
                <w:spacing w:val="-2"/>
                <w:sz w:val="30"/>
                <w:lang w:val="en-GB"/>
              </w:rPr>
            </w:pPr>
            <w:r>
              <w:rPr>
                <w:spacing w:val="-2"/>
                <w:sz w:val="30"/>
                <w:rtl/>
                <w:lang w:val="en-GB"/>
              </w:rPr>
              <w:t>55</w:t>
            </w:r>
          </w:p>
        </w:tc>
        <w:tc>
          <w:tcPr>
            <w:tcW w:w="824" w:type="dxa"/>
            <w:tcBorders>
              <w:top w:val="single" w:sz="7" w:space="0" w:color="auto"/>
              <w:left w:val="single" w:sz="8" w:space="0" w:color="auto"/>
              <w:bottom w:val="single" w:sz="7" w:space="0" w:color="auto"/>
              <w:right w:val="single" w:sz="4" w:space="0" w:color="auto"/>
            </w:tcBorders>
            <w:vAlign w:val="bottom"/>
          </w:tcPr>
          <w:p w:rsidR="00662946" w:rsidRDefault="00662946">
            <w:pPr>
              <w:tabs>
                <w:tab w:val="center" w:pos="313"/>
              </w:tabs>
              <w:suppressAutoHyphens/>
              <w:jc w:val="left"/>
              <w:rPr>
                <w:spacing w:val="-2"/>
                <w:sz w:val="30"/>
                <w:lang w:val="en-GB"/>
              </w:rPr>
            </w:pPr>
            <w:r>
              <w:rPr>
                <w:spacing w:val="-2"/>
                <w:sz w:val="30"/>
                <w:rtl/>
                <w:lang w:val="en-GB"/>
              </w:rPr>
              <w:t>57</w:t>
            </w:r>
          </w:p>
        </w:tc>
      </w:tr>
      <w:tr w:rsidR="00662946">
        <w:tblPrEx>
          <w:tblCellMar>
            <w:top w:w="0" w:type="dxa"/>
            <w:bottom w:w="0" w:type="dxa"/>
          </w:tblCellMar>
        </w:tblPrEx>
        <w:tc>
          <w:tcPr>
            <w:tcW w:w="9850" w:type="dxa"/>
            <w:gridSpan w:val="7"/>
            <w:tcBorders>
              <w:top w:val="single" w:sz="7" w:space="0" w:color="auto"/>
              <w:left w:val="single" w:sz="4" w:space="0" w:color="auto"/>
              <w:bottom w:val="single" w:sz="4" w:space="0" w:color="auto"/>
              <w:right w:val="single" w:sz="4" w:space="0" w:color="auto"/>
            </w:tcBorders>
            <w:vAlign w:val="bottom"/>
          </w:tcPr>
          <w:p w:rsidR="00662946" w:rsidRDefault="00662946">
            <w:pPr>
              <w:tabs>
                <w:tab w:val="left" w:pos="-720"/>
              </w:tabs>
              <w:suppressAutoHyphens/>
              <w:jc w:val="left"/>
              <w:rPr>
                <w:rFonts w:hint="cs"/>
                <w:spacing w:val="-2"/>
                <w:sz w:val="30"/>
                <w:lang w:val="en-GB"/>
              </w:rPr>
            </w:pPr>
            <w:r>
              <w:rPr>
                <w:rFonts w:hint="cs"/>
                <w:spacing w:val="-2"/>
                <w:sz w:val="30"/>
                <w:rtl/>
                <w:lang w:val="en-GB"/>
              </w:rPr>
              <w:t>المصدر: التقرير الوطني عن المرأة.</w:t>
            </w:r>
          </w:p>
        </w:tc>
      </w:tr>
    </w:tbl>
    <w:p w:rsidR="00662946" w:rsidRDefault="00662946">
      <w:pPr>
        <w:pStyle w:val="SingleTxt"/>
        <w:jc w:val="both"/>
        <w:rPr>
          <w:rFonts w:hint="cs"/>
          <w:b/>
          <w:bCs/>
          <w:rtl/>
          <w:lang w:bidi="ar-EG"/>
        </w:rPr>
      </w:pPr>
      <w:r>
        <w:rPr>
          <w:rFonts w:hint="cs"/>
          <w:b/>
          <w:bCs/>
          <w:rtl/>
          <w:lang w:bidi="ar-EG"/>
        </w:rPr>
        <w:t>الاقتصاد</w:t>
      </w:r>
    </w:p>
    <w:p w:rsidR="00662946" w:rsidRDefault="00662946">
      <w:pPr>
        <w:pStyle w:val="SingleTxt"/>
        <w:jc w:val="both"/>
        <w:rPr>
          <w:rFonts w:hint="cs"/>
          <w:rtl/>
          <w:lang w:bidi="ar-EG"/>
        </w:rPr>
      </w:pPr>
      <w:r>
        <w:rPr>
          <w:rFonts w:hint="cs"/>
          <w:rtl/>
          <w:lang w:bidi="ar-EG"/>
        </w:rPr>
        <w:t>14 -</w:t>
      </w:r>
      <w:r>
        <w:rPr>
          <w:rFonts w:hint="cs"/>
          <w:rtl/>
          <w:lang w:bidi="ar-EG"/>
        </w:rPr>
        <w:tab/>
        <w:t>كانت الزراعة تقليدياً وخلال الفترة قيد الدراسة الدعامة الرئيسية لاقتصاد سانت لوسيا، وهي تلقى دعماً كبيراًَ من قطاعين مهمين هما السياحة والصناعات التحويلية. كما عُجل النمو الاقتصادي بارتفاع مستوى نشاط قطاع التشييد النامي. وتبين التقديرات الأولية وجود نمو أقوى في الاقتصاد في سنة 1988 عما كان في السنوات السابقة. وكان هذا النمو يرجع جزئياً إلى الأداء القوي نسبياً في مجالات الزراعة والسياحة وقطاع التشييد.</w:t>
      </w:r>
    </w:p>
    <w:p w:rsidR="00662946" w:rsidRDefault="00662946">
      <w:pPr>
        <w:pStyle w:val="SingleTxt"/>
        <w:jc w:val="both"/>
        <w:rPr>
          <w:rFonts w:hint="cs"/>
          <w:rtl/>
          <w:lang w:bidi="ar-EG"/>
        </w:rPr>
      </w:pPr>
      <w:r>
        <w:rPr>
          <w:rFonts w:hint="cs"/>
          <w:rtl/>
          <w:lang w:bidi="ar-EG"/>
        </w:rPr>
        <w:t>15 -</w:t>
      </w:r>
      <w:r>
        <w:rPr>
          <w:rFonts w:hint="cs"/>
          <w:rtl/>
          <w:lang w:bidi="ar-EG"/>
        </w:rPr>
        <w:tab/>
        <w:t>يمثل القطاع الزراعي 30 في المائة من حصيلة الصادرات، وهو وحده أكبر مستخدم للعمال في سانت لوسيا. والمحاصيل الرئيسية هي الموز وجوز الهند ولُب جوز الهند المجفف والكاكاو والمانجو والمحاصيل الجزرية والخضروات. ويعتبر الموز من بين هذه المحاصيل المساهم الرئيسي في النشاط الزراعي وسجَّل زيادة في إنتاجه حتى سنة 1992 عندما أُنتج 000 133 طن؛ وهذا الإنتاج يمثل زيادة عن الـ 592 100 طن المسجلة في سنة 1991، وجلب هذا حصيلة بلغت 184 مليون دولار من دولارات شرق الكاريبي.</w:t>
      </w:r>
    </w:p>
    <w:p w:rsidR="00662946" w:rsidRDefault="00662946">
      <w:pPr>
        <w:pStyle w:val="SingleTxt"/>
        <w:jc w:val="both"/>
        <w:rPr>
          <w:rtl/>
          <w:lang w:bidi="ar-EG"/>
        </w:rPr>
      </w:pPr>
      <w:r>
        <w:rPr>
          <w:rFonts w:hint="cs"/>
          <w:rtl/>
          <w:lang w:bidi="ar-EG"/>
        </w:rPr>
        <w:t>16 -</w:t>
      </w:r>
      <w:r>
        <w:rPr>
          <w:rFonts w:hint="cs"/>
          <w:rtl/>
          <w:lang w:bidi="ar-EG"/>
        </w:rPr>
        <w:tab/>
        <w:t>طوال الفترة قيد الاستعراض عانت الصناعة من مشاكل. فنكبت صناعة الموز بالأحوال الجوية غير المواتية مثل الجفاف الذي استمر فترة طويلة والعواصف الاستوائية والمنازعات بين جمعية زراع الموز في سانت لوسيا والأعمال الصناعية التي قام بها الفلاحون للمطالبة بسبب زيادة الأسعار، وحل مجلس جمعية سانت لوسيا لزراع الموز وأدى هذا إلى تدهور كبير في إنتاج الموز. فانخفض إنتاجه إلى 050 90 في سنة 1994. وعلى الرغم من هذا التدهور الجزري فقد ظل الموز هو محصول التصدير الرئيسي إلى المملكة المتحدة سنوياً. وبلغت الإيرادات في سنة 1995 نحو 107.7 مليون دولار من دولارات شرق الكاريبي، وهي أدنى حصيلة مسجَّلة منذ 1985. وكان للحالة الراهنة في صناعة الموز أثر سلبي في الأداء الاقتصادي العام وفي الحياة الاقتصادية في سانت لوسيا.</w:t>
      </w:r>
    </w:p>
    <w:p w:rsidR="00662946" w:rsidRDefault="00662946">
      <w:pPr>
        <w:pStyle w:val="SingleTxt"/>
        <w:jc w:val="both"/>
        <w:rPr>
          <w:rFonts w:hint="cs"/>
          <w:rtl/>
          <w:lang w:bidi="ar-EG"/>
        </w:rPr>
      </w:pPr>
      <w:r>
        <w:rPr>
          <w:rFonts w:hint="cs"/>
          <w:rtl/>
          <w:lang w:bidi="ar-EG"/>
        </w:rPr>
        <w:t>17 -</w:t>
      </w:r>
      <w:r>
        <w:rPr>
          <w:rFonts w:hint="cs"/>
          <w:rtl/>
          <w:lang w:bidi="ar-EG"/>
        </w:rPr>
        <w:tab/>
        <w:t>يعتمد مستقل صناعة الموز اعتماداً أساسياً على قدرة المزارعين على رفع مستوى القدرة التنافسية والاحتفاظ بالمعاملة التفضيلية الممنوحة لصناع الموسم بموجب اتفاقية لومي (</w:t>
      </w:r>
      <w:r>
        <w:t>ACP</w:t>
      </w:r>
      <w:r>
        <w:rPr>
          <w:rFonts w:hint="cs"/>
          <w:rtl/>
          <w:lang w:bidi="ar-EG"/>
        </w:rPr>
        <w:t>). كما تحتاج تنمية الهياكل الأساسية للصناعة إلى اهتمام عاجل.</w:t>
      </w:r>
    </w:p>
    <w:p w:rsidR="00662946" w:rsidRDefault="00662946">
      <w:pPr>
        <w:pStyle w:val="SingleTxt"/>
        <w:jc w:val="both"/>
        <w:rPr>
          <w:rFonts w:hint="cs"/>
          <w:rtl/>
          <w:lang w:bidi="ar-EG"/>
        </w:rPr>
      </w:pPr>
      <w:r>
        <w:rPr>
          <w:rFonts w:hint="cs"/>
          <w:rtl/>
          <w:lang w:bidi="ar-EG"/>
        </w:rPr>
        <w:t>18 -</w:t>
      </w:r>
      <w:r>
        <w:rPr>
          <w:rFonts w:hint="cs"/>
          <w:rtl/>
          <w:lang w:bidi="ar-EG"/>
        </w:rPr>
        <w:tab/>
        <w:t>في عام 1991 أصيبت صناعة جوز الهند بمشاكل تتعلق بالتسويق والثبات. ونتيجة لذلك توقفت مجموعة شركات صناع الكبرى المحدودة عن شراء المحصول من السوق المحلية. بيد أنه أضطلع بنجاح محدود بمشروع لتوسيع قاعدة صناعة جوز الهند بإنتاج زيت النخيل للاستهلاك المحلي والإقليمي، من جانب جمعية زراع جوز الهند في سانت لوسيا.</w:t>
      </w:r>
    </w:p>
    <w:p w:rsidR="00662946" w:rsidRDefault="00662946">
      <w:pPr>
        <w:pStyle w:val="SingleTxt"/>
        <w:jc w:val="both"/>
        <w:rPr>
          <w:rFonts w:hint="cs"/>
          <w:rtl/>
          <w:lang w:bidi="ar-EG"/>
        </w:rPr>
      </w:pPr>
      <w:r>
        <w:rPr>
          <w:rFonts w:hint="cs"/>
          <w:rtl/>
          <w:lang w:bidi="ar-EG"/>
        </w:rPr>
        <w:t>19 -</w:t>
      </w:r>
      <w:r>
        <w:rPr>
          <w:rFonts w:hint="cs"/>
          <w:rtl/>
          <w:lang w:bidi="ar-EG"/>
        </w:rPr>
        <w:tab/>
        <w:t>شرعت الحكومة في برنامج للإنعاش الزراعي وشجعت عدد كبير من الزراع على استخدام مساحات كبيرة من الأراضي الزراعية المناسبة لإنتاج محاصيل غير تقليدية مثل الفلفل الحار والأزهار والمحاصيل الجذرية والقطنية والموالح والخضروات والفول السوداني ضمن محاصيل أخرى. وعلى الرغم من هذه المبادرات المشجعة لم تضف الصبغة الرسمية على الخطط المحددة اللازمة لتحقيق التنوع في القطاع الزراعي.</w:t>
      </w:r>
    </w:p>
    <w:p w:rsidR="00662946" w:rsidRDefault="00662946">
      <w:pPr>
        <w:pStyle w:val="SingleTxt"/>
        <w:jc w:val="both"/>
        <w:rPr>
          <w:rFonts w:hint="cs"/>
          <w:rtl/>
          <w:lang w:bidi="ar-EG"/>
        </w:rPr>
      </w:pPr>
      <w:r>
        <w:rPr>
          <w:rFonts w:hint="cs"/>
          <w:rtl/>
          <w:lang w:bidi="ar-EG"/>
        </w:rPr>
        <w:t>20 -</w:t>
      </w:r>
      <w:r>
        <w:rPr>
          <w:rFonts w:hint="cs"/>
          <w:rtl/>
          <w:lang w:bidi="ar-EG"/>
        </w:rPr>
        <w:tab/>
        <w:t xml:space="preserve">كانت السياحة قد أصبحت بسرعة القوة الدافعة لاقتصاد سانت لوسيا. وخلال الفترة الزمنية المشمولة بالتقرير حدثت زيادة سنوية مطردة في عدد الزوار الوافدين (الزوار الذين بقوا لفترة ولو كانت رحلات بحرية) من الولايات المتحدة ومن الأسواق الرئيسية في أوروبا. </w:t>
      </w:r>
    </w:p>
    <w:p w:rsidR="00662946" w:rsidRDefault="00662946">
      <w:pPr>
        <w:pStyle w:val="SingleTxt"/>
        <w:jc w:val="both"/>
        <w:rPr>
          <w:rFonts w:hint="cs"/>
          <w:rtl/>
          <w:lang w:bidi="ar-EG"/>
        </w:rPr>
      </w:pPr>
      <w:r>
        <w:rPr>
          <w:rFonts w:hint="cs"/>
          <w:rtl/>
          <w:lang w:bidi="ar-EG"/>
        </w:rPr>
        <w:t>21 -</w:t>
      </w:r>
      <w:r>
        <w:rPr>
          <w:rFonts w:hint="cs"/>
          <w:rtl/>
          <w:lang w:bidi="ar-EG"/>
        </w:rPr>
        <w:tab/>
        <w:t>يرجع النمو المطرد لصناعة السياحة جزئياً إلى التطورات الكثيرة التي جرت ومازالت تجري لتوسيع وتحسين الهياكل الأساسية للسياحة، وتجميع ما يمكن أن يقدمه هذا القطاع. بيد أن أهم تطور هو إقامة الفنادق وتجديدها. ويوجد حالياً ما يقرب من 000 3 غرفة فندق في سانت لوسيا، ومن المرجح أن يزداد هذا العدد مع ازدياد شعبية الجزيرة باعتبارها مقصداً سياحياً.</w:t>
      </w:r>
    </w:p>
    <w:p w:rsidR="00662946" w:rsidRDefault="00662946">
      <w:pPr>
        <w:pStyle w:val="SingleTxt"/>
        <w:jc w:val="both"/>
        <w:rPr>
          <w:rFonts w:hint="cs"/>
          <w:rtl/>
          <w:lang w:bidi="ar-EG"/>
        </w:rPr>
      </w:pPr>
      <w:r>
        <w:rPr>
          <w:rFonts w:hint="cs"/>
          <w:rtl/>
          <w:lang w:bidi="ar-EG"/>
        </w:rPr>
        <w:t>22 -</w:t>
      </w:r>
      <w:r>
        <w:rPr>
          <w:rFonts w:hint="cs"/>
          <w:rtl/>
          <w:lang w:bidi="ar-EG"/>
        </w:rPr>
        <w:tab/>
        <w:t>قدمت حكومة سانت لوسيا مجموعة كبيرة من الحوافز للمستثمرين الذين يرغبون في إقامة فنادق ومنشآت سياحية جديدة في الجزيرة. وتشمل هذه الحوافز دخول مواد البناء ومعداته بدون رسوم جمركية ورخصة تمنح امتيازات للإعفاء من الرسوم الجمركية والإعفاءً من ضريبة الدخل لمدة تصل إلى 15 سنة.</w:t>
      </w:r>
    </w:p>
    <w:p w:rsidR="00662946" w:rsidRDefault="00662946">
      <w:pPr>
        <w:pStyle w:val="SingleTxt"/>
        <w:jc w:val="both"/>
        <w:rPr>
          <w:rFonts w:hint="cs"/>
          <w:rtl/>
          <w:lang w:bidi="ar-EG"/>
        </w:rPr>
      </w:pPr>
      <w:r>
        <w:rPr>
          <w:rFonts w:hint="cs"/>
          <w:rtl/>
          <w:lang w:bidi="ar-EG"/>
        </w:rPr>
        <w:t>23 -</w:t>
      </w:r>
      <w:r>
        <w:rPr>
          <w:rFonts w:hint="cs"/>
          <w:rtl/>
          <w:lang w:bidi="ar-EG"/>
        </w:rPr>
        <w:tab/>
        <w:t>أحرز الاقتصاد خلال النصف الأخير من الثمانينات والتسعينات تقدماً كبيراً نحو تنويعه. وحوَّل نمو قطاع الخدمات، المدفوع بصورة رئيسية بالتوسع في قطاع السياحة، هيكل الاقتصاد من اقتصاد يعتمد على سلع أساسية إلى اقتصاد يعتمد على الخدمات.</w:t>
      </w:r>
    </w:p>
    <w:p w:rsidR="00662946" w:rsidRDefault="00662946">
      <w:pPr>
        <w:pStyle w:val="SingleTxt"/>
        <w:jc w:val="both"/>
        <w:rPr>
          <w:rFonts w:hint="cs"/>
          <w:rtl/>
          <w:lang w:bidi="ar-EG"/>
        </w:rPr>
      </w:pPr>
      <w:r>
        <w:rPr>
          <w:rFonts w:hint="cs"/>
          <w:rtl/>
          <w:lang w:bidi="ar-EG"/>
        </w:rPr>
        <w:t>24 -</w:t>
      </w:r>
      <w:r>
        <w:rPr>
          <w:rFonts w:hint="cs"/>
          <w:rtl/>
          <w:lang w:bidi="ar-EG"/>
        </w:rPr>
        <w:tab/>
        <w:t>شهد العقد الأخير أكبر تدهور في القطاع الزراعي في الناتج المحلي الإجمالي (13.87 في المائة في سنة 1993-5.91 في المائة في سنة 2002). ولوحظت أكبر زيادات في قطاع المرافق ويليه قطاع الفنادق والمطاعم (أنظر الجدول دال أدناه).</w:t>
      </w:r>
    </w:p>
    <w:p w:rsidR="00662946" w:rsidRDefault="00662946">
      <w:pPr>
        <w:pStyle w:val="SingleTxt"/>
        <w:jc w:val="both"/>
        <w:rPr>
          <w:rFonts w:hint="cs"/>
          <w:rtl/>
          <w:lang w:bidi="ar-EG"/>
        </w:rPr>
      </w:pPr>
    </w:p>
    <w:p w:rsidR="00662946" w:rsidRDefault="00662946">
      <w:pPr>
        <w:pStyle w:val="SingleTxt"/>
        <w:jc w:val="both"/>
        <w:rPr>
          <w:rFonts w:hint="cs"/>
          <w:rtl/>
          <w:lang w:bidi="ar-EG"/>
        </w:rPr>
      </w:pPr>
    </w:p>
    <w:p w:rsidR="00662946" w:rsidRDefault="00662946">
      <w:pPr>
        <w:pStyle w:val="SingleTxt"/>
        <w:jc w:val="both"/>
        <w:rPr>
          <w:rFonts w:hint="cs"/>
          <w:rtl/>
          <w:lang w:bidi="ar-EG"/>
        </w:rPr>
      </w:pPr>
    </w:p>
    <w:tbl>
      <w:tblPr>
        <w:bidiVisual/>
        <w:tblW w:w="972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5"/>
        <w:gridCol w:w="772"/>
        <w:gridCol w:w="773"/>
        <w:gridCol w:w="773"/>
        <w:gridCol w:w="773"/>
        <w:gridCol w:w="773"/>
        <w:gridCol w:w="772"/>
        <w:gridCol w:w="773"/>
        <w:gridCol w:w="773"/>
        <w:gridCol w:w="773"/>
        <w:gridCol w:w="773"/>
      </w:tblGrid>
      <w:tr w:rsidR="00662946">
        <w:trPr>
          <w:trHeight w:val="585"/>
        </w:trPr>
        <w:tc>
          <w:tcPr>
            <w:tcW w:w="9723" w:type="dxa"/>
            <w:gridSpan w:val="11"/>
            <w:noWrap/>
            <w:vAlign w:val="center"/>
          </w:tcPr>
          <w:p w:rsidR="00662946" w:rsidRDefault="00662946">
            <w:pPr>
              <w:spacing w:after="120"/>
              <w:jc w:val="both"/>
              <w:rPr>
                <w:rFonts w:hint="cs"/>
                <w:b/>
                <w:bCs/>
                <w:sz w:val="24"/>
                <w:szCs w:val="24"/>
                <w:rtl/>
                <w:lang w:bidi="ar-EG"/>
              </w:rPr>
            </w:pPr>
            <w:r>
              <w:rPr>
                <w:rFonts w:hint="cs"/>
                <w:b/>
                <w:bCs/>
                <w:sz w:val="24"/>
                <w:szCs w:val="24"/>
                <w:rtl/>
                <w:lang w:bidi="ar-EG"/>
              </w:rPr>
              <w:t>الجدول دال: توزيع الناتج المحلي الإجمالي بالنسب المئوية حسب القطاع الاقتصادي خلال الفترة 1993-2002</w:t>
            </w:r>
          </w:p>
        </w:tc>
      </w:tr>
      <w:tr w:rsidR="00662946">
        <w:trPr>
          <w:trHeight w:val="585"/>
        </w:trPr>
        <w:tc>
          <w:tcPr>
            <w:tcW w:w="1995" w:type="dxa"/>
            <w:noWrap/>
            <w:vAlign w:val="bottom"/>
          </w:tcPr>
          <w:p w:rsidR="00662946" w:rsidRDefault="00662946">
            <w:pPr>
              <w:spacing w:after="120"/>
              <w:jc w:val="both"/>
              <w:rPr>
                <w:rFonts w:hint="cs"/>
                <w:b/>
                <w:bCs/>
                <w:sz w:val="24"/>
                <w:szCs w:val="24"/>
              </w:rPr>
            </w:pPr>
            <w:r>
              <w:rPr>
                <w:rFonts w:hint="cs"/>
                <w:b/>
                <w:bCs/>
                <w:sz w:val="24"/>
                <w:szCs w:val="24"/>
                <w:rtl/>
              </w:rPr>
              <w:t>القطاع</w:t>
            </w:r>
          </w:p>
        </w:tc>
        <w:tc>
          <w:tcPr>
            <w:tcW w:w="772" w:type="dxa"/>
            <w:noWrap/>
            <w:vAlign w:val="bottom"/>
          </w:tcPr>
          <w:p w:rsidR="00662946" w:rsidRDefault="00662946">
            <w:pPr>
              <w:spacing w:after="120"/>
              <w:jc w:val="both"/>
              <w:rPr>
                <w:b/>
                <w:bCs/>
                <w:sz w:val="24"/>
                <w:szCs w:val="24"/>
              </w:rPr>
            </w:pPr>
            <w:r>
              <w:rPr>
                <w:b/>
                <w:bCs/>
                <w:sz w:val="24"/>
                <w:szCs w:val="24"/>
                <w:rtl/>
              </w:rPr>
              <w:t>1993</w:t>
            </w:r>
          </w:p>
        </w:tc>
        <w:tc>
          <w:tcPr>
            <w:tcW w:w="773" w:type="dxa"/>
            <w:noWrap/>
            <w:vAlign w:val="bottom"/>
          </w:tcPr>
          <w:p w:rsidR="00662946" w:rsidRDefault="00662946">
            <w:pPr>
              <w:spacing w:after="120"/>
              <w:jc w:val="both"/>
              <w:rPr>
                <w:b/>
                <w:bCs/>
                <w:sz w:val="24"/>
                <w:szCs w:val="24"/>
              </w:rPr>
            </w:pPr>
            <w:r>
              <w:rPr>
                <w:b/>
                <w:bCs/>
                <w:sz w:val="24"/>
                <w:szCs w:val="24"/>
                <w:rtl/>
              </w:rPr>
              <w:t>1994</w:t>
            </w:r>
          </w:p>
        </w:tc>
        <w:tc>
          <w:tcPr>
            <w:tcW w:w="773" w:type="dxa"/>
            <w:noWrap/>
            <w:vAlign w:val="bottom"/>
          </w:tcPr>
          <w:p w:rsidR="00662946" w:rsidRDefault="00662946">
            <w:pPr>
              <w:spacing w:after="120"/>
              <w:jc w:val="both"/>
              <w:rPr>
                <w:b/>
                <w:bCs/>
                <w:sz w:val="24"/>
                <w:szCs w:val="24"/>
              </w:rPr>
            </w:pPr>
            <w:r>
              <w:rPr>
                <w:b/>
                <w:bCs/>
                <w:sz w:val="24"/>
                <w:szCs w:val="24"/>
                <w:rtl/>
              </w:rPr>
              <w:t>1995</w:t>
            </w:r>
          </w:p>
        </w:tc>
        <w:tc>
          <w:tcPr>
            <w:tcW w:w="773" w:type="dxa"/>
            <w:noWrap/>
            <w:vAlign w:val="bottom"/>
          </w:tcPr>
          <w:p w:rsidR="00662946" w:rsidRDefault="00662946">
            <w:pPr>
              <w:spacing w:after="120"/>
              <w:jc w:val="both"/>
              <w:rPr>
                <w:b/>
                <w:bCs/>
                <w:sz w:val="24"/>
                <w:szCs w:val="24"/>
              </w:rPr>
            </w:pPr>
            <w:r>
              <w:rPr>
                <w:b/>
                <w:bCs/>
                <w:sz w:val="24"/>
                <w:szCs w:val="24"/>
                <w:rtl/>
              </w:rPr>
              <w:t>1996</w:t>
            </w:r>
          </w:p>
        </w:tc>
        <w:tc>
          <w:tcPr>
            <w:tcW w:w="773" w:type="dxa"/>
            <w:noWrap/>
            <w:vAlign w:val="bottom"/>
          </w:tcPr>
          <w:p w:rsidR="00662946" w:rsidRDefault="00662946">
            <w:pPr>
              <w:spacing w:after="120"/>
              <w:jc w:val="both"/>
              <w:rPr>
                <w:b/>
                <w:bCs/>
                <w:sz w:val="24"/>
                <w:szCs w:val="24"/>
              </w:rPr>
            </w:pPr>
            <w:r>
              <w:rPr>
                <w:b/>
                <w:bCs/>
                <w:sz w:val="24"/>
                <w:szCs w:val="24"/>
                <w:rtl/>
              </w:rPr>
              <w:t>1997</w:t>
            </w:r>
          </w:p>
        </w:tc>
        <w:tc>
          <w:tcPr>
            <w:tcW w:w="772" w:type="dxa"/>
            <w:noWrap/>
            <w:vAlign w:val="bottom"/>
          </w:tcPr>
          <w:p w:rsidR="00662946" w:rsidRDefault="00662946">
            <w:pPr>
              <w:spacing w:after="120"/>
              <w:jc w:val="both"/>
              <w:rPr>
                <w:b/>
                <w:bCs/>
                <w:sz w:val="24"/>
                <w:szCs w:val="24"/>
              </w:rPr>
            </w:pPr>
            <w:r>
              <w:rPr>
                <w:b/>
                <w:bCs/>
                <w:sz w:val="24"/>
                <w:szCs w:val="24"/>
                <w:rtl/>
              </w:rPr>
              <w:t>1998</w:t>
            </w:r>
          </w:p>
        </w:tc>
        <w:tc>
          <w:tcPr>
            <w:tcW w:w="773" w:type="dxa"/>
            <w:noWrap/>
            <w:vAlign w:val="bottom"/>
          </w:tcPr>
          <w:p w:rsidR="00662946" w:rsidRDefault="00662946">
            <w:pPr>
              <w:spacing w:after="120"/>
              <w:jc w:val="both"/>
              <w:rPr>
                <w:b/>
                <w:bCs/>
                <w:sz w:val="24"/>
                <w:szCs w:val="24"/>
              </w:rPr>
            </w:pPr>
            <w:r>
              <w:rPr>
                <w:b/>
                <w:bCs/>
                <w:sz w:val="24"/>
                <w:szCs w:val="24"/>
                <w:rtl/>
              </w:rPr>
              <w:t>1999</w:t>
            </w:r>
          </w:p>
        </w:tc>
        <w:tc>
          <w:tcPr>
            <w:tcW w:w="773" w:type="dxa"/>
            <w:noWrap/>
            <w:vAlign w:val="bottom"/>
          </w:tcPr>
          <w:p w:rsidR="00662946" w:rsidRDefault="00662946">
            <w:pPr>
              <w:spacing w:after="120"/>
              <w:jc w:val="both"/>
              <w:rPr>
                <w:b/>
                <w:bCs/>
                <w:sz w:val="24"/>
                <w:szCs w:val="24"/>
              </w:rPr>
            </w:pPr>
            <w:r>
              <w:rPr>
                <w:b/>
                <w:bCs/>
                <w:sz w:val="24"/>
                <w:szCs w:val="24"/>
                <w:rtl/>
              </w:rPr>
              <w:t>2000</w:t>
            </w:r>
          </w:p>
        </w:tc>
        <w:tc>
          <w:tcPr>
            <w:tcW w:w="773" w:type="dxa"/>
            <w:noWrap/>
            <w:vAlign w:val="bottom"/>
          </w:tcPr>
          <w:p w:rsidR="00662946" w:rsidRDefault="00662946">
            <w:pPr>
              <w:spacing w:after="120"/>
              <w:jc w:val="both"/>
              <w:rPr>
                <w:b/>
                <w:bCs/>
                <w:sz w:val="24"/>
                <w:szCs w:val="24"/>
              </w:rPr>
            </w:pPr>
            <w:r>
              <w:rPr>
                <w:b/>
                <w:bCs/>
                <w:sz w:val="24"/>
                <w:szCs w:val="24"/>
                <w:rtl/>
              </w:rPr>
              <w:t>2001</w:t>
            </w:r>
          </w:p>
        </w:tc>
        <w:tc>
          <w:tcPr>
            <w:tcW w:w="773" w:type="dxa"/>
            <w:noWrap/>
            <w:vAlign w:val="bottom"/>
          </w:tcPr>
          <w:p w:rsidR="00662946" w:rsidRDefault="00662946">
            <w:pPr>
              <w:spacing w:after="120"/>
              <w:jc w:val="both"/>
              <w:rPr>
                <w:b/>
                <w:bCs/>
                <w:sz w:val="24"/>
                <w:szCs w:val="24"/>
              </w:rPr>
            </w:pPr>
            <w:r>
              <w:rPr>
                <w:b/>
                <w:bCs/>
                <w:sz w:val="24"/>
                <w:szCs w:val="24"/>
                <w:rtl/>
              </w:rPr>
              <w:t>2002</w:t>
            </w:r>
          </w:p>
        </w:tc>
      </w:tr>
      <w:tr w:rsidR="00662946">
        <w:trPr>
          <w:trHeight w:val="525"/>
        </w:trPr>
        <w:tc>
          <w:tcPr>
            <w:tcW w:w="1995" w:type="dxa"/>
            <w:vAlign w:val="bottom"/>
          </w:tcPr>
          <w:p w:rsidR="00662946" w:rsidRDefault="00662946">
            <w:pPr>
              <w:spacing w:after="120"/>
              <w:jc w:val="both"/>
              <w:rPr>
                <w:rFonts w:hint="cs"/>
                <w:sz w:val="24"/>
                <w:szCs w:val="24"/>
              </w:rPr>
            </w:pPr>
            <w:r>
              <w:rPr>
                <w:rFonts w:hint="cs"/>
                <w:sz w:val="24"/>
                <w:szCs w:val="24"/>
                <w:rtl/>
              </w:rPr>
              <w:t>الزراعة والماشية والتحريج وصيد الأسماك</w:t>
            </w:r>
          </w:p>
        </w:tc>
        <w:tc>
          <w:tcPr>
            <w:tcW w:w="772" w:type="dxa"/>
            <w:noWrap/>
            <w:vAlign w:val="bottom"/>
          </w:tcPr>
          <w:p w:rsidR="00662946" w:rsidRDefault="00662946">
            <w:pPr>
              <w:spacing w:after="120"/>
              <w:jc w:val="both"/>
              <w:rPr>
                <w:rFonts w:hint="cs"/>
                <w:sz w:val="24"/>
                <w:szCs w:val="24"/>
              </w:rPr>
            </w:pPr>
            <w:r>
              <w:rPr>
                <w:rFonts w:hint="cs"/>
                <w:sz w:val="24"/>
                <w:szCs w:val="24"/>
                <w:rtl/>
              </w:rPr>
              <w:t>13.7</w:t>
            </w:r>
          </w:p>
        </w:tc>
        <w:tc>
          <w:tcPr>
            <w:tcW w:w="773" w:type="dxa"/>
            <w:noWrap/>
            <w:vAlign w:val="bottom"/>
          </w:tcPr>
          <w:p w:rsidR="00662946" w:rsidRDefault="00662946">
            <w:pPr>
              <w:spacing w:after="120"/>
              <w:jc w:val="both"/>
              <w:rPr>
                <w:rFonts w:hint="cs"/>
                <w:sz w:val="24"/>
                <w:szCs w:val="24"/>
              </w:rPr>
            </w:pPr>
            <w:r>
              <w:rPr>
                <w:rFonts w:hint="cs"/>
                <w:sz w:val="24"/>
                <w:szCs w:val="24"/>
                <w:rtl/>
              </w:rPr>
              <w:t>10.8</w:t>
            </w:r>
          </w:p>
        </w:tc>
        <w:tc>
          <w:tcPr>
            <w:tcW w:w="773" w:type="dxa"/>
            <w:noWrap/>
            <w:vAlign w:val="bottom"/>
          </w:tcPr>
          <w:p w:rsidR="00662946" w:rsidRDefault="00662946">
            <w:pPr>
              <w:spacing w:after="120"/>
              <w:jc w:val="both"/>
              <w:rPr>
                <w:rFonts w:hint="cs"/>
                <w:sz w:val="24"/>
                <w:szCs w:val="24"/>
              </w:rPr>
            </w:pPr>
            <w:r>
              <w:rPr>
                <w:rFonts w:hint="cs"/>
                <w:sz w:val="24"/>
                <w:szCs w:val="24"/>
                <w:rtl/>
              </w:rPr>
              <w:t>11.2</w:t>
            </w:r>
          </w:p>
        </w:tc>
        <w:tc>
          <w:tcPr>
            <w:tcW w:w="773" w:type="dxa"/>
            <w:noWrap/>
            <w:vAlign w:val="bottom"/>
          </w:tcPr>
          <w:p w:rsidR="00662946" w:rsidRDefault="00662946">
            <w:pPr>
              <w:spacing w:after="120"/>
              <w:jc w:val="both"/>
              <w:rPr>
                <w:rFonts w:hint="cs"/>
                <w:sz w:val="24"/>
                <w:szCs w:val="24"/>
              </w:rPr>
            </w:pPr>
            <w:r>
              <w:rPr>
                <w:rFonts w:hint="cs"/>
                <w:sz w:val="24"/>
                <w:szCs w:val="24"/>
                <w:rtl/>
              </w:rPr>
              <w:t>11.1</w:t>
            </w:r>
          </w:p>
        </w:tc>
        <w:tc>
          <w:tcPr>
            <w:tcW w:w="773" w:type="dxa"/>
            <w:noWrap/>
            <w:vAlign w:val="bottom"/>
          </w:tcPr>
          <w:p w:rsidR="00662946" w:rsidRDefault="00662946">
            <w:pPr>
              <w:spacing w:after="120"/>
              <w:jc w:val="both"/>
              <w:rPr>
                <w:rFonts w:hint="cs"/>
                <w:sz w:val="24"/>
                <w:szCs w:val="24"/>
              </w:rPr>
            </w:pPr>
            <w:r>
              <w:rPr>
                <w:rFonts w:hint="cs"/>
                <w:sz w:val="24"/>
                <w:szCs w:val="24"/>
                <w:rtl/>
              </w:rPr>
              <w:t>9.1</w:t>
            </w:r>
          </w:p>
        </w:tc>
        <w:tc>
          <w:tcPr>
            <w:tcW w:w="772" w:type="dxa"/>
            <w:noWrap/>
            <w:vAlign w:val="bottom"/>
          </w:tcPr>
          <w:p w:rsidR="00662946" w:rsidRDefault="00662946">
            <w:pPr>
              <w:spacing w:after="120"/>
              <w:jc w:val="both"/>
              <w:rPr>
                <w:rFonts w:hint="cs"/>
                <w:sz w:val="24"/>
                <w:szCs w:val="24"/>
              </w:rPr>
            </w:pPr>
            <w:r>
              <w:rPr>
                <w:rFonts w:hint="cs"/>
                <w:sz w:val="24"/>
                <w:szCs w:val="24"/>
                <w:rtl/>
              </w:rPr>
              <w:t>9.1</w:t>
            </w:r>
          </w:p>
        </w:tc>
        <w:tc>
          <w:tcPr>
            <w:tcW w:w="773" w:type="dxa"/>
            <w:noWrap/>
            <w:vAlign w:val="bottom"/>
          </w:tcPr>
          <w:p w:rsidR="00662946" w:rsidRDefault="00662946">
            <w:pPr>
              <w:spacing w:after="120"/>
              <w:jc w:val="both"/>
              <w:rPr>
                <w:rFonts w:hint="cs"/>
                <w:sz w:val="24"/>
                <w:szCs w:val="24"/>
              </w:rPr>
            </w:pPr>
            <w:r>
              <w:rPr>
                <w:rFonts w:hint="cs"/>
                <w:sz w:val="24"/>
                <w:szCs w:val="24"/>
                <w:rtl/>
              </w:rPr>
              <w:t>7.2</w:t>
            </w:r>
          </w:p>
        </w:tc>
        <w:tc>
          <w:tcPr>
            <w:tcW w:w="773" w:type="dxa"/>
            <w:noWrap/>
            <w:vAlign w:val="bottom"/>
          </w:tcPr>
          <w:p w:rsidR="00662946" w:rsidRDefault="00662946">
            <w:pPr>
              <w:spacing w:after="120"/>
              <w:jc w:val="both"/>
              <w:rPr>
                <w:rFonts w:hint="cs"/>
                <w:sz w:val="24"/>
                <w:szCs w:val="24"/>
              </w:rPr>
            </w:pPr>
            <w:r>
              <w:rPr>
                <w:rFonts w:hint="cs"/>
                <w:sz w:val="24"/>
                <w:szCs w:val="24"/>
                <w:rtl/>
              </w:rPr>
              <w:t>7.4</w:t>
            </w:r>
          </w:p>
        </w:tc>
        <w:tc>
          <w:tcPr>
            <w:tcW w:w="773" w:type="dxa"/>
            <w:noWrap/>
            <w:vAlign w:val="bottom"/>
          </w:tcPr>
          <w:p w:rsidR="00662946" w:rsidRDefault="00662946">
            <w:pPr>
              <w:spacing w:after="120"/>
              <w:jc w:val="both"/>
              <w:rPr>
                <w:rFonts w:hint="cs"/>
                <w:sz w:val="24"/>
                <w:szCs w:val="24"/>
              </w:rPr>
            </w:pPr>
            <w:r>
              <w:rPr>
                <w:rFonts w:hint="cs"/>
                <w:sz w:val="24"/>
                <w:szCs w:val="24"/>
                <w:rtl/>
              </w:rPr>
              <w:t>6.0</w:t>
            </w:r>
          </w:p>
        </w:tc>
        <w:tc>
          <w:tcPr>
            <w:tcW w:w="773" w:type="dxa"/>
            <w:noWrap/>
            <w:vAlign w:val="bottom"/>
          </w:tcPr>
          <w:p w:rsidR="00662946" w:rsidRDefault="00662946">
            <w:pPr>
              <w:spacing w:after="120"/>
              <w:jc w:val="both"/>
              <w:rPr>
                <w:rFonts w:hint="cs"/>
                <w:sz w:val="24"/>
                <w:szCs w:val="24"/>
              </w:rPr>
            </w:pPr>
            <w:r>
              <w:rPr>
                <w:rFonts w:hint="cs"/>
                <w:sz w:val="24"/>
                <w:szCs w:val="24"/>
                <w:rtl/>
              </w:rPr>
              <w:t>5.9</w:t>
            </w:r>
          </w:p>
        </w:tc>
      </w:tr>
      <w:tr w:rsidR="00662946">
        <w:trPr>
          <w:trHeight w:val="315"/>
        </w:trPr>
        <w:tc>
          <w:tcPr>
            <w:tcW w:w="1995" w:type="dxa"/>
            <w:noWrap/>
            <w:vAlign w:val="bottom"/>
          </w:tcPr>
          <w:p w:rsidR="00662946" w:rsidRDefault="00662946">
            <w:pPr>
              <w:spacing w:after="120"/>
              <w:jc w:val="both"/>
              <w:rPr>
                <w:rFonts w:hint="cs"/>
                <w:sz w:val="24"/>
                <w:szCs w:val="24"/>
              </w:rPr>
            </w:pPr>
            <w:r>
              <w:rPr>
                <w:rFonts w:hint="cs"/>
                <w:sz w:val="24"/>
                <w:szCs w:val="24"/>
                <w:rtl/>
              </w:rPr>
              <w:t>التعدين وقطع الأحجار</w:t>
            </w:r>
          </w:p>
        </w:tc>
        <w:tc>
          <w:tcPr>
            <w:tcW w:w="772" w:type="dxa"/>
            <w:noWrap/>
            <w:vAlign w:val="bottom"/>
          </w:tcPr>
          <w:p w:rsidR="00662946" w:rsidRDefault="00662946">
            <w:pPr>
              <w:spacing w:after="120"/>
              <w:jc w:val="both"/>
              <w:rPr>
                <w:rFonts w:hint="cs"/>
                <w:sz w:val="24"/>
                <w:szCs w:val="24"/>
              </w:rPr>
            </w:pPr>
            <w:r>
              <w:rPr>
                <w:rFonts w:hint="cs"/>
                <w:sz w:val="24"/>
                <w:szCs w:val="24"/>
                <w:rtl/>
              </w:rPr>
              <w:t>0.5</w:t>
            </w:r>
          </w:p>
        </w:tc>
        <w:tc>
          <w:tcPr>
            <w:tcW w:w="773" w:type="dxa"/>
            <w:noWrap/>
            <w:vAlign w:val="bottom"/>
          </w:tcPr>
          <w:p w:rsidR="00662946" w:rsidRDefault="00662946">
            <w:pPr>
              <w:spacing w:after="120"/>
              <w:jc w:val="both"/>
              <w:rPr>
                <w:rFonts w:hint="cs"/>
                <w:sz w:val="24"/>
                <w:szCs w:val="24"/>
              </w:rPr>
            </w:pPr>
            <w:r>
              <w:rPr>
                <w:rFonts w:hint="cs"/>
                <w:sz w:val="24"/>
                <w:szCs w:val="24"/>
                <w:rtl/>
              </w:rPr>
              <w:t>0.4</w:t>
            </w:r>
          </w:p>
        </w:tc>
        <w:tc>
          <w:tcPr>
            <w:tcW w:w="773" w:type="dxa"/>
            <w:noWrap/>
            <w:vAlign w:val="bottom"/>
          </w:tcPr>
          <w:p w:rsidR="00662946" w:rsidRDefault="00662946">
            <w:pPr>
              <w:spacing w:after="120"/>
              <w:jc w:val="both"/>
              <w:rPr>
                <w:rFonts w:hint="cs"/>
                <w:sz w:val="24"/>
                <w:szCs w:val="24"/>
              </w:rPr>
            </w:pPr>
            <w:r>
              <w:rPr>
                <w:rFonts w:hint="cs"/>
                <w:sz w:val="24"/>
                <w:szCs w:val="24"/>
                <w:rtl/>
              </w:rPr>
              <w:t>0.5</w:t>
            </w:r>
          </w:p>
        </w:tc>
        <w:tc>
          <w:tcPr>
            <w:tcW w:w="773" w:type="dxa"/>
            <w:noWrap/>
            <w:vAlign w:val="bottom"/>
          </w:tcPr>
          <w:p w:rsidR="00662946" w:rsidRDefault="00662946">
            <w:pPr>
              <w:spacing w:after="120"/>
              <w:jc w:val="both"/>
              <w:rPr>
                <w:rFonts w:hint="cs"/>
                <w:sz w:val="24"/>
                <w:szCs w:val="24"/>
              </w:rPr>
            </w:pPr>
            <w:r>
              <w:rPr>
                <w:rFonts w:hint="cs"/>
                <w:sz w:val="24"/>
                <w:szCs w:val="24"/>
                <w:rtl/>
              </w:rPr>
              <w:t>0.5</w:t>
            </w:r>
          </w:p>
        </w:tc>
        <w:tc>
          <w:tcPr>
            <w:tcW w:w="773" w:type="dxa"/>
            <w:noWrap/>
            <w:vAlign w:val="bottom"/>
          </w:tcPr>
          <w:p w:rsidR="00662946" w:rsidRDefault="00662946">
            <w:pPr>
              <w:spacing w:after="120"/>
              <w:jc w:val="both"/>
              <w:rPr>
                <w:rFonts w:hint="cs"/>
                <w:sz w:val="24"/>
                <w:szCs w:val="24"/>
              </w:rPr>
            </w:pPr>
            <w:r>
              <w:rPr>
                <w:rFonts w:hint="cs"/>
                <w:sz w:val="24"/>
                <w:szCs w:val="24"/>
                <w:rtl/>
              </w:rPr>
              <w:t>0.5</w:t>
            </w:r>
          </w:p>
        </w:tc>
        <w:tc>
          <w:tcPr>
            <w:tcW w:w="772" w:type="dxa"/>
            <w:noWrap/>
            <w:vAlign w:val="bottom"/>
          </w:tcPr>
          <w:p w:rsidR="00662946" w:rsidRDefault="00662946">
            <w:pPr>
              <w:spacing w:after="120"/>
              <w:jc w:val="both"/>
              <w:rPr>
                <w:rFonts w:hint="cs"/>
                <w:sz w:val="24"/>
                <w:szCs w:val="24"/>
              </w:rPr>
            </w:pPr>
            <w:r>
              <w:rPr>
                <w:rFonts w:hint="cs"/>
                <w:sz w:val="24"/>
                <w:szCs w:val="24"/>
                <w:rtl/>
              </w:rPr>
              <w:t>0.5</w:t>
            </w:r>
          </w:p>
        </w:tc>
        <w:tc>
          <w:tcPr>
            <w:tcW w:w="773" w:type="dxa"/>
            <w:noWrap/>
            <w:vAlign w:val="bottom"/>
          </w:tcPr>
          <w:p w:rsidR="00662946" w:rsidRDefault="00662946">
            <w:pPr>
              <w:spacing w:after="120"/>
              <w:jc w:val="both"/>
              <w:rPr>
                <w:rFonts w:hint="cs"/>
                <w:sz w:val="24"/>
                <w:szCs w:val="24"/>
              </w:rPr>
            </w:pPr>
            <w:r>
              <w:rPr>
                <w:rFonts w:hint="cs"/>
                <w:sz w:val="24"/>
                <w:szCs w:val="24"/>
                <w:rtl/>
              </w:rPr>
              <w:t>0.6</w:t>
            </w:r>
          </w:p>
        </w:tc>
        <w:tc>
          <w:tcPr>
            <w:tcW w:w="773" w:type="dxa"/>
            <w:noWrap/>
            <w:vAlign w:val="bottom"/>
          </w:tcPr>
          <w:p w:rsidR="00662946" w:rsidRDefault="00662946">
            <w:pPr>
              <w:spacing w:after="120"/>
              <w:jc w:val="both"/>
              <w:rPr>
                <w:rFonts w:hint="cs"/>
                <w:sz w:val="24"/>
                <w:szCs w:val="24"/>
              </w:rPr>
            </w:pPr>
            <w:r>
              <w:rPr>
                <w:rFonts w:hint="cs"/>
                <w:sz w:val="24"/>
                <w:szCs w:val="24"/>
                <w:rtl/>
              </w:rPr>
              <w:t>0.7</w:t>
            </w:r>
          </w:p>
        </w:tc>
        <w:tc>
          <w:tcPr>
            <w:tcW w:w="773" w:type="dxa"/>
            <w:noWrap/>
            <w:vAlign w:val="bottom"/>
          </w:tcPr>
          <w:p w:rsidR="00662946" w:rsidRDefault="00662946">
            <w:pPr>
              <w:spacing w:after="120"/>
              <w:jc w:val="both"/>
              <w:rPr>
                <w:rFonts w:hint="cs"/>
                <w:sz w:val="24"/>
                <w:szCs w:val="24"/>
              </w:rPr>
            </w:pPr>
            <w:r>
              <w:rPr>
                <w:rFonts w:hint="cs"/>
                <w:sz w:val="24"/>
                <w:szCs w:val="24"/>
                <w:rtl/>
              </w:rPr>
              <w:t>0.5</w:t>
            </w:r>
          </w:p>
        </w:tc>
        <w:tc>
          <w:tcPr>
            <w:tcW w:w="773" w:type="dxa"/>
            <w:noWrap/>
            <w:vAlign w:val="bottom"/>
          </w:tcPr>
          <w:p w:rsidR="00662946" w:rsidRDefault="00662946">
            <w:pPr>
              <w:spacing w:after="120"/>
              <w:jc w:val="both"/>
              <w:rPr>
                <w:rFonts w:hint="cs"/>
                <w:sz w:val="24"/>
                <w:szCs w:val="24"/>
              </w:rPr>
            </w:pPr>
            <w:r>
              <w:rPr>
                <w:rFonts w:hint="cs"/>
                <w:sz w:val="24"/>
                <w:szCs w:val="24"/>
                <w:rtl/>
              </w:rPr>
              <w:t>0.5</w:t>
            </w:r>
          </w:p>
        </w:tc>
      </w:tr>
      <w:tr w:rsidR="00662946">
        <w:trPr>
          <w:trHeight w:val="315"/>
        </w:trPr>
        <w:tc>
          <w:tcPr>
            <w:tcW w:w="1995" w:type="dxa"/>
            <w:noWrap/>
            <w:vAlign w:val="bottom"/>
          </w:tcPr>
          <w:p w:rsidR="00662946" w:rsidRDefault="00662946">
            <w:pPr>
              <w:spacing w:after="120"/>
              <w:jc w:val="both"/>
              <w:rPr>
                <w:rFonts w:hint="cs"/>
                <w:sz w:val="24"/>
                <w:szCs w:val="24"/>
              </w:rPr>
            </w:pPr>
            <w:r>
              <w:rPr>
                <w:rFonts w:hint="cs"/>
                <w:sz w:val="24"/>
                <w:szCs w:val="24"/>
                <w:rtl/>
              </w:rPr>
              <w:t>الصناعات التحويلية</w:t>
            </w:r>
          </w:p>
        </w:tc>
        <w:tc>
          <w:tcPr>
            <w:tcW w:w="772" w:type="dxa"/>
            <w:noWrap/>
            <w:vAlign w:val="bottom"/>
          </w:tcPr>
          <w:p w:rsidR="00662946" w:rsidRDefault="00662946">
            <w:pPr>
              <w:spacing w:after="120"/>
              <w:jc w:val="both"/>
              <w:rPr>
                <w:rFonts w:hint="cs"/>
                <w:sz w:val="24"/>
                <w:szCs w:val="24"/>
              </w:rPr>
            </w:pPr>
            <w:r>
              <w:rPr>
                <w:rFonts w:hint="cs"/>
                <w:sz w:val="24"/>
                <w:szCs w:val="24"/>
                <w:rtl/>
              </w:rPr>
              <w:t>7.2</w:t>
            </w:r>
          </w:p>
        </w:tc>
        <w:tc>
          <w:tcPr>
            <w:tcW w:w="773" w:type="dxa"/>
            <w:noWrap/>
            <w:vAlign w:val="bottom"/>
          </w:tcPr>
          <w:p w:rsidR="00662946" w:rsidRDefault="00662946">
            <w:pPr>
              <w:spacing w:after="120"/>
              <w:jc w:val="both"/>
              <w:rPr>
                <w:rFonts w:hint="cs"/>
                <w:sz w:val="24"/>
                <w:szCs w:val="24"/>
              </w:rPr>
            </w:pPr>
            <w:r>
              <w:rPr>
                <w:rFonts w:hint="cs"/>
                <w:sz w:val="24"/>
                <w:szCs w:val="24"/>
                <w:rtl/>
              </w:rPr>
              <w:t>6.7</w:t>
            </w:r>
          </w:p>
        </w:tc>
        <w:tc>
          <w:tcPr>
            <w:tcW w:w="773" w:type="dxa"/>
            <w:noWrap/>
            <w:vAlign w:val="bottom"/>
          </w:tcPr>
          <w:p w:rsidR="00662946" w:rsidRDefault="00662946">
            <w:pPr>
              <w:spacing w:after="120"/>
              <w:jc w:val="both"/>
              <w:rPr>
                <w:rFonts w:hint="cs"/>
                <w:sz w:val="24"/>
                <w:szCs w:val="24"/>
              </w:rPr>
            </w:pPr>
            <w:r>
              <w:rPr>
                <w:rFonts w:hint="cs"/>
                <w:sz w:val="24"/>
                <w:szCs w:val="24"/>
                <w:rtl/>
              </w:rPr>
              <w:t>7.0</w:t>
            </w:r>
          </w:p>
        </w:tc>
        <w:tc>
          <w:tcPr>
            <w:tcW w:w="773" w:type="dxa"/>
            <w:noWrap/>
            <w:vAlign w:val="bottom"/>
          </w:tcPr>
          <w:p w:rsidR="00662946" w:rsidRDefault="00662946">
            <w:pPr>
              <w:spacing w:after="120"/>
              <w:jc w:val="both"/>
              <w:rPr>
                <w:rFonts w:hint="cs"/>
                <w:sz w:val="24"/>
                <w:szCs w:val="24"/>
              </w:rPr>
            </w:pPr>
            <w:r>
              <w:rPr>
                <w:rFonts w:hint="cs"/>
                <w:sz w:val="24"/>
                <w:szCs w:val="24"/>
                <w:rtl/>
              </w:rPr>
              <w:t>6.5</w:t>
            </w:r>
          </w:p>
        </w:tc>
        <w:tc>
          <w:tcPr>
            <w:tcW w:w="773" w:type="dxa"/>
            <w:noWrap/>
            <w:vAlign w:val="bottom"/>
          </w:tcPr>
          <w:p w:rsidR="00662946" w:rsidRDefault="00662946">
            <w:pPr>
              <w:spacing w:after="120"/>
              <w:jc w:val="both"/>
              <w:rPr>
                <w:rFonts w:hint="cs"/>
                <w:sz w:val="24"/>
                <w:szCs w:val="24"/>
              </w:rPr>
            </w:pPr>
            <w:r>
              <w:rPr>
                <w:rFonts w:hint="cs"/>
                <w:sz w:val="24"/>
                <w:szCs w:val="24"/>
                <w:rtl/>
              </w:rPr>
              <w:t>6.4</w:t>
            </w:r>
          </w:p>
        </w:tc>
        <w:tc>
          <w:tcPr>
            <w:tcW w:w="772" w:type="dxa"/>
            <w:noWrap/>
            <w:vAlign w:val="bottom"/>
          </w:tcPr>
          <w:p w:rsidR="00662946" w:rsidRDefault="00662946">
            <w:pPr>
              <w:spacing w:after="120"/>
              <w:jc w:val="both"/>
              <w:rPr>
                <w:rFonts w:hint="cs"/>
                <w:sz w:val="24"/>
                <w:szCs w:val="24"/>
              </w:rPr>
            </w:pPr>
            <w:r>
              <w:rPr>
                <w:rFonts w:hint="cs"/>
                <w:sz w:val="24"/>
                <w:szCs w:val="24"/>
                <w:rtl/>
              </w:rPr>
              <w:t>6.1</w:t>
            </w:r>
          </w:p>
        </w:tc>
        <w:tc>
          <w:tcPr>
            <w:tcW w:w="773" w:type="dxa"/>
            <w:noWrap/>
            <w:vAlign w:val="bottom"/>
          </w:tcPr>
          <w:p w:rsidR="00662946" w:rsidRDefault="00662946">
            <w:pPr>
              <w:spacing w:after="120"/>
              <w:jc w:val="both"/>
              <w:rPr>
                <w:rFonts w:hint="cs"/>
                <w:sz w:val="24"/>
                <w:szCs w:val="24"/>
              </w:rPr>
            </w:pPr>
            <w:r>
              <w:rPr>
                <w:rFonts w:hint="cs"/>
                <w:sz w:val="24"/>
                <w:szCs w:val="24"/>
                <w:rtl/>
              </w:rPr>
              <w:t>6.2</w:t>
            </w:r>
          </w:p>
        </w:tc>
        <w:tc>
          <w:tcPr>
            <w:tcW w:w="773" w:type="dxa"/>
            <w:noWrap/>
            <w:vAlign w:val="bottom"/>
          </w:tcPr>
          <w:p w:rsidR="00662946" w:rsidRDefault="00662946">
            <w:pPr>
              <w:spacing w:after="120"/>
              <w:jc w:val="both"/>
              <w:rPr>
                <w:rFonts w:hint="cs"/>
                <w:sz w:val="24"/>
                <w:szCs w:val="24"/>
              </w:rPr>
            </w:pPr>
            <w:r>
              <w:rPr>
                <w:rFonts w:hint="cs"/>
                <w:sz w:val="24"/>
                <w:szCs w:val="24"/>
                <w:rtl/>
              </w:rPr>
              <w:t>6.0</w:t>
            </w:r>
          </w:p>
        </w:tc>
        <w:tc>
          <w:tcPr>
            <w:tcW w:w="773" w:type="dxa"/>
            <w:noWrap/>
            <w:vAlign w:val="bottom"/>
          </w:tcPr>
          <w:p w:rsidR="00662946" w:rsidRDefault="00662946">
            <w:pPr>
              <w:spacing w:after="120"/>
              <w:jc w:val="both"/>
              <w:rPr>
                <w:rFonts w:hint="cs"/>
                <w:sz w:val="24"/>
                <w:szCs w:val="24"/>
              </w:rPr>
            </w:pPr>
            <w:r>
              <w:rPr>
                <w:rFonts w:hint="cs"/>
                <w:sz w:val="24"/>
                <w:szCs w:val="24"/>
                <w:rtl/>
              </w:rPr>
              <w:t>6.0</w:t>
            </w:r>
          </w:p>
        </w:tc>
        <w:tc>
          <w:tcPr>
            <w:tcW w:w="773" w:type="dxa"/>
            <w:noWrap/>
            <w:vAlign w:val="bottom"/>
          </w:tcPr>
          <w:p w:rsidR="00662946" w:rsidRDefault="00662946">
            <w:pPr>
              <w:spacing w:after="120"/>
              <w:jc w:val="both"/>
              <w:rPr>
                <w:rFonts w:hint="cs"/>
                <w:sz w:val="24"/>
                <w:szCs w:val="24"/>
              </w:rPr>
            </w:pPr>
            <w:r>
              <w:rPr>
                <w:rFonts w:hint="cs"/>
                <w:sz w:val="24"/>
                <w:szCs w:val="24"/>
                <w:rtl/>
              </w:rPr>
              <w:t>6.3</w:t>
            </w:r>
          </w:p>
        </w:tc>
      </w:tr>
      <w:tr w:rsidR="00662946">
        <w:trPr>
          <w:trHeight w:val="315"/>
        </w:trPr>
        <w:tc>
          <w:tcPr>
            <w:tcW w:w="1995" w:type="dxa"/>
            <w:noWrap/>
            <w:vAlign w:val="bottom"/>
          </w:tcPr>
          <w:p w:rsidR="00662946" w:rsidRDefault="00662946">
            <w:pPr>
              <w:spacing w:after="120"/>
              <w:jc w:val="both"/>
              <w:rPr>
                <w:rFonts w:hint="cs"/>
                <w:sz w:val="24"/>
                <w:szCs w:val="24"/>
              </w:rPr>
            </w:pPr>
            <w:r>
              <w:rPr>
                <w:rFonts w:hint="cs"/>
                <w:sz w:val="24"/>
                <w:szCs w:val="24"/>
                <w:rtl/>
              </w:rPr>
              <w:t>التشييد</w:t>
            </w:r>
          </w:p>
        </w:tc>
        <w:tc>
          <w:tcPr>
            <w:tcW w:w="772" w:type="dxa"/>
            <w:noWrap/>
            <w:vAlign w:val="bottom"/>
          </w:tcPr>
          <w:p w:rsidR="00662946" w:rsidRDefault="00662946">
            <w:pPr>
              <w:spacing w:after="120"/>
              <w:jc w:val="both"/>
              <w:rPr>
                <w:rFonts w:hint="cs"/>
                <w:sz w:val="24"/>
                <w:szCs w:val="24"/>
              </w:rPr>
            </w:pPr>
            <w:r>
              <w:rPr>
                <w:rFonts w:hint="cs"/>
                <w:sz w:val="24"/>
                <w:szCs w:val="24"/>
                <w:rtl/>
              </w:rPr>
              <w:t>8.2</w:t>
            </w:r>
          </w:p>
        </w:tc>
        <w:tc>
          <w:tcPr>
            <w:tcW w:w="773" w:type="dxa"/>
            <w:noWrap/>
            <w:vAlign w:val="bottom"/>
          </w:tcPr>
          <w:p w:rsidR="00662946" w:rsidRDefault="00662946">
            <w:pPr>
              <w:spacing w:after="120"/>
              <w:jc w:val="both"/>
              <w:rPr>
                <w:rFonts w:hint="cs"/>
                <w:sz w:val="24"/>
                <w:szCs w:val="24"/>
              </w:rPr>
            </w:pPr>
            <w:r>
              <w:rPr>
                <w:rFonts w:hint="cs"/>
                <w:sz w:val="24"/>
                <w:szCs w:val="24"/>
                <w:rtl/>
              </w:rPr>
              <w:t>8.4</w:t>
            </w:r>
          </w:p>
        </w:tc>
        <w:tc>
          <w:tcPr>
            <w:tcW w:w="773" w:type="dxa"/>
            <w:noWrap/>
            <w:vAlign w:val="bottom"/>
          </w:tcPr>
          <w:p w:rsidR="00662946" w:rsidRDefault="00662946">
            <w:pPr>
              <w:spacing w:after="120"/>
              <w:jc w:val="both"/>
              <w:rPr>
                <w:rFonts w:hint="cs"/>
                <w:sz w:val="24"/>
                <w:szCs w:val="24"/>
              </w:rPr>
            </w:pPr>
            <w:r>
              <w:rPr>
                <w:rFonts w:hint="cs"/>
                <w:sz w:val="24"/>
                <w:szCs w:val="24"/>
                <w:rtl/>
              </w:rPr>
              <w:t>8.5</w:t>
            </w:r>
          </w:p>
        </w:tc>
        <w:tc>
          <w:tcPr>
            <w:tcW w:w="773" w:type="dxa"/>
            <w:noWrap/>
            <w:vAlign w:val="bottom"/>
          </w:tcPr>
          <w:p w:rsidR="00662946" w:rsidRDefault="00662946">
            <w:pPr>
              <w:spacing w:after="120"/>
              <w:jc w:val="both"/>
              <w:rPr>
                <w:rFonts w:hint="cs"/>
                <w:sz w:val="24"/>
                <w:szCs w:val="24"/>
              </w:rPr>
            </w:pPr>
            <w:r>
              <w:rPr>
                <w:rFonts w:hint="cs"/>
                <w:sz w:val="24"/>
                <w:szCs w:val="24"/>
                <w:rtl/>
              </w:rPr>
              <w:t>8.1</w:t>
            </w:r>
          </w:p>
        </w:tc>
        <w:tc>
          <w:tcPr>
            <w:tcW w:w="773" w:type="dxa"/>
            <w:noWrap/>
            <w:vAlign w:val="bottom"/>
          </w:tcPr>
          <w:p w:rsidR="00662946" w:rsidRDefault="00662946">
            <w:pPr>
              <w:spacing w:after="120"/>
              <w:jc w:val="both"/>
              <w:rPr>
                <w:rFonts w:hint="cs"/>
                <w:sz w:val="24"/>
                <w:szCs w:val="24"/>
              </w:rPr>
            </w:pPr>
            <w:r>
              <w:rPr>
                <w:rFonts w:hint="cs"/>
                <w:sz w:val="24"/>
                <w:szCs w:val="24"/>
                <w:rtl/>
              </w:rPr>
              <w:t>8.1</w:t>
            </w:r>
          </w:p>
        </w:tc>
        <w:tc>
          <w:tcPr>
            <w:tcW w:w="772" w:type="dxa"/>
            <w:noWrap/>
            <w:vAlign w:val="bottom"/>
          </w:tcPr>
          <w:p w:rsidR="00662946" w:rsidRDefault="00662946">
            <w:pPr>
              <w:spacing w:after="120"/>
              <w:jc w:val="both"/>
              <w:rPr>
                <w:rFonts w:hint="cs"/>
                <w:sz w:val="24"/>
                <w:szCs w:val="24"/>
              </w:rPr>
            </w:pPr>
            <w:r>
              <w:rPr>
                <w:rFonts w:hint="cs"/>
                <w:sz w:val="24"/>
                <w:szCs w:val="24"/>
                <w:rtl/>
              </w:rPr>
              <w:t>8.6</w:t>
            </w:r>
          </w:p>
        </w:tc>
        <w:tc>
          <w:tcPr>
            <w:tcW w:w="773" w:type="dxa"/>
            <w:noWrap/>
            <w:vAlign w:val="bottom"/>
          </w:tcPr>
          <w:p w:rsidR="00662946" w:rsidRDefault="00662946">
            <w:pPr>
              <w:spacing w:after="120"/>
              <w:jc w:val="both"/>
              <w:rPr>
                <w:rFonts w:hint="cs"/>
                <w:sz w:val="24"/>
                <w:szCs w:val="24"/>
              </w:rPr>
            </w:pPr>
            <w:r>
              <w:rPr>
                <w:rFonts w:hint="cs"/>
                <w:sz w:val="24"/>
                <w:szCs w:val="24"/>
                <w:rtl/>
              </w:rPr>
              <w:t>8.4</w:t>
            </w:r>
          </w:p>
        </w:tc>
        <w:tc>
          <w:tcPr>
            <w:tcW w:w="773" w:type="dxa"/>
            <w:noWrap/>
            <w:vAlign w:val="bottom"/>
          </w:tcPr>
          <w:p w:rsidR="00662946" w:rsidRDefault="00662946">
            <w:pPr>
              <w:spacing w:after="120"/>
              <w:jc w:val="both"/>
              <w:rPr>
                <w:rFonts w:hint="cs"/>
                <w:sz w:val="24"/>
                <w:szCs w:val="24"/>
              </w:rPr>
            </w:pPr>
            <w:r>
              <w:rPr>
                <w:rFonts w:hint="cs"/>
                <w:sz w:val="24"/>
                <w:szCs w:val="24"/>
                <w:rtl/>
              </w:rPr>
              <w:t>9.0</w:t>
            </w:r>
          </w:p>
        </w:tc>
        <w:tc>
          <w:tcPr>
            <w:tcW w:w="773" w:type="dxa"/>
            <w:noWrap/>
            <w:vAlign w:val="bottom"/>
          </w:tcPr>
          <w:p w:rsidR="00662946" w:rsidRDefault="00662946">
            <w:pPr>
              <w:spacing w:after="120"/>
              <w:jc w:val="both"/>
              <w:rPr>
                <w:rFonts w:hint="cs"/>
                <w:sz w:val="24"/>
                <w:szCs w:val="24"/>
              </w:rPr>
            </w:pPr>
            <w:r>
              <w:rPr>
                <w:rFonts w:hint="cs"/>
                <w:sz w:val="24"/>
                <w:szCs w:val="24"/>
                <w:rtl/>
              </w:rPr>
              <w:t>8.9</w:t>
            </w:r>
          </w:p>
        </w:tc>
        <w:tc>
          <w:tcPr>
            <w:tcW w:w="773" w:type="dxa"/>
            <w:noWrap/>
            <w:vAlign w:val="bottom"/>
          </w:tcPr>
          <w:p w:rsidR="00662946" w:rsidRDefault="00662946">
            <w:pPr>
              <w:spacing w:after="120"/>
              <w:jc w:val="both"/>
              <w:rPr>
                <w:rFonts w:hint="cs"/>
                <w:sz w:val="24"/>
                <w:szCs w:val="24"/>
              </w:rPr>
            </w:pPr>
            <w:r>
              <w:rPr>
                <w:rFonts w:hint="cs"/>
                <w:sz w:val="24"/>
                <w:szCs w:val="24"/>
                <w:rtl/>
              </w:rPr>
              <w:t>8.3</w:t>
            </w:r>
          </w:p>
        </w:tc>
      </w:tr>
      <w:tr w:rsidR="00662946">
        <w:trPr>
          <w:trHeight w:val="315"/>
        </w:trPr>
        <w:tc>
          <w:tcPr>
            <w:tcW w:w="1995" w:type="dxa"/>
            <w:noWrap/>
            <w:vAlign w:val="bottom"/>
          </w:tcPr>
          <w:p w:rsidR="00662946" w:rsidRDefault="00662946">
            <w:pPr>
              <w:spacing w:after="120"/>
              <w:jc w:val="both"/>
              <w:rPr>
                <w:rFonts w:hint="cs"/>
                <w:sz w:val="24"/>
                <w:szCs w:val="24"/>
              </w:rPr>
            </w:pPr>
            <w:r>
              <w:rPr>
                <w:rFonts w:hint="cs"/>
                <w:sz w:val="24"/>
                <w:szCs w:val="24"/>
                <w:rtl/>
              </w:rPr>
              <w:t>الكهرباء والمياه</w:t>
            </w:r>
          </w:p>
        </w:tc>
        <w:tc>
          <w:tcPr>
            <w:tcW w:w="772" w:type="dxa"/>
            <w:noWrap/>
            <w:vAlign w:val="bottom"/>
          </w:tcPr>
          <w:p w:rsidR="00662946" w:rsidRDefault="00662946">
            <w:pPr>
              <w:spacing w:after="120"/>
              <w:jc w:val="both"/>
              <w:rPr>
                <w:rFonts w:hint="cs"/>
                <w:sz w:val="24"/>
                <w:szCs w:val="24"/>
              </w:rPr>
            </w:pPr>
            <w:r>
              <w:rPr>
                <w:rFonts w:hint="cs"/>
                <w:sz w:val="24"/>
                <w:szCs w:val="24"/>
                <w:rtl/>
              </w:rPr>
              <w:t>3.3</w:t>
            </w:r>
          </w:p>
        </w:tc>
        <w:tc>
          <w:tcPr>
            <w:tcW w:w="773" w:type="dxa"/>
            <w:noWrap/>
            <w:vAlign w:val="bottom"/>
          </w:tcPr>
          <w:p w:rsidR="00662946" w:rsidRDefault="00662946">
            <w:pPr>
              <w:spacing w:after="120"/>
              <w:jc w:val="both"/>
              <w:rPr>
                <w:rFonts w:hint="cs"/>
                <w:sz w:val="24"/>
                <w:szCs w:val="24"/>
              </w:rPr>
            </w:pPr>
            <w:r>
              <w:rPr>
                <w:rFonts w:hint="cs"/>
                <w:sz w:val="24"/>
                <w:szCs w:val="24"/>
                <w:rtl/>
              </w:rPr>
              <w:t>3.5</w:t>
            </w:r>
          </w:p>
        </w:tc>
        <w:tc>
          <w:tcPr>
            <w:tcW w:w="773" w:type="dxa"/>
            <w:noWrap/>
            <w:vAlign w:val="bottom"/>
          </w:tcPr>
          <w:p w:rsidR="00662946" w:rsidRDefault="00662946">
            <w:pPr>
              <w:spacing w:after="120"/>
              <w:jc w:val="both"/>
              <w:rPr>
                <w:rFonts w:hint="cs"/>
                <w:sz w:val="24"/>
                <w:szCs w:val="24"/>
              </w:rPr>
            </w:pPr>
            <w:r>
              <w:rPr>
                <w:rFonts w:hint="cs"/>
                <w:sz w:val="24"/>
                <w:szCs w:val="24"/>
                <w:rtl/>
              </w:rPr>
              <w:t>3.7</w:t>
            </w:r>
          </w:p>
        </w:tc>
        <w:tc>
          <w:tcPr>
            <w:tcW w:w="773" w:type="dxa"/>
            <w:noWrap/>
            <w:vAlign w:val="bottom"/>
          </w:tcPr>
          <w:p w:rsidR="00662946" w:rsidRDefault="00662946">
            <w:pPr>
              <w:spacing w:after="120"/>
              <w:jc w:val="both"/>
              <w:rPr>
                <w:rFonts w:hint="cs"/>
                <w:sz w:val="24"/>
                <w:szCs w:val="24"/>
              </w:rPr>
            </w:pPr>
            <w:r>
              <w:rPr>
                <w:rFonts w:hint="cs"/>
                <w:sz w:val="24"/>
                <w:szCs w:val="24"/>
                <w:rtl/>
              </w:rPr>
              <w:t>3.7</w:t>
            </w:r>
          </w:p>
        </w:tc>
        <w:tc>
          <w:tcPr>
            <w:tcW w:w="773" w:type="dxa"/>
            <w:noWrap/>
            <w:vAlign w:val="bottom"/>
          </w:tcPr>
          <w:p w:rsidR="00662946" w:rsidRDefault="00662946">
            <w:pPr>
              <w:spacing w:after="120"/>
              <w:jc w:val="both"/>
              <w:rPr>
                <w:rFonts w:hint="cs"/>
                <w:sz w:val="24"/>
                <w:szCs w:val="24"/>
              </w:rPr>
            </w:pPr>
            <w:r>
              <w:rPr>
                <w:rFonts w:hint="cs"/>
                <w:sz w:val="24"/>
                <w:szCs w:val="24"/>
                <w:rtl/>
              </w:rPr>
              <w:t>4.0</w:t>
            </w:r>
          </w:p>
        </w:tc>
        <w:tc>
          <w:tcPr>
            <w:tcW w:w="772" w:type="dxa"/>
            <w:noWrap/>
            <w:vAlign w:val="bottom"/>
          </w:tcPr>
          <w:p w:rsidR="00662946" w:rsidRDefault="00662946">
            <w:pPr>
              <w:spacing w:after="120"/>
              <w:jc w:val="both"/>
              <w:rPr>
                <w:rFonts w:hint="cs"/>
                <w:sz w:val="24"/>
                <w:szCs w:val="24"/>
              </w:rPr>
            </w:pPr>
            <w:r>
              <w:rPr>
                <w:rFonts w:hint="cs"/>
                <w:sz w:val="24"/>
                <w:szCs w:val="24"/>
                <w:rtl/>
              </w:rPr>
              <w:t>4.2</w:t>
            </w:r>
          </w:p>
        </w:tc>
        <w:tc>
          <w:tcPr>
            <w:tcW w:w="773" w:type="dxa"/>
            <w:noWrap/>
            <w:vAlign w:val="bottom"/>
          </w:tcPr>
          <w:p w:rsidR="00662946" w:rsidRDefault="00662946">
            <w:pPr>
              <w:spacing w:after="120"/>
              <w:jc w:val="both"/>
              <w:rPr>
                <w:rFonts w:hint="cs"/>
                <w:sz w:val="24"/>
                <w:szCs w:val="24"/>
              </w:rPr>
            </w:pPr>
            <w:r>
              <w:rPr>
                <w:rFonts w:hint="cs"/>
                <w:sz w:val="24"/>
                <w:szCs w:val="24"/>
                <w:rtl/>
              </w:rPr>
              <w:t>4.3</w:t>
            </w:r>
          </w:p>
        </w:tc>
        <w:tc>
          <w:tcPr>
            <w:tcW w:w="773" w:type="dxa"/>
            <w:noWrap/>
            <w:vAlign w:val="bottom"/>
          </w:tcPr>
          <w:p w:rsidR="00662946" w:rsidRDefault="00662946">
            <w:pPr>
              <w:spacing w:after="120"/>
              <w:jc w:val="both"/>
              <w:rPr>
                <w:rFonts w:hint="cs"/>
                <w:sz w:val="24"/>
                <w:szCs w:val="24"/>
              </w:rPr>
            </w:pPr>
            <w:r>
              <w:rPr>
                <w:rFonts w:hint="cs"/>
                <w:sz w:val="24"/>
                <w:szCs w:val="24"/>
                <w:rtl/>
              </w:rPr>
              <w:t>4.6</w:t>
            </w:r>
          </w:p>
        </w:tc>
        <w:tc>
          <w:tcPr>
            <w:tcW w:w="773" w:type="dxa"/>
            <w:noWrap/>
            <w:vAlign w:val="bottom"/>
          </w:tcPr>
          <w:p w:rsidR="00662946" w:rsidRDefault="00662946">
            <w:pPr>
              <w:spacing w:after="120"/>
              <w:jc w:val="both"/>
              <w:rPr>
                <w:rFonts w:hint="cs"/>
                <w:sz w:val="24"/>
                <w:szCs w:val="24"/>
              </w:rPr>
            </w:pPr>
            <w:r>
              <w:rPr>
                <w:rFonts w:hint="cs"/>
                <w:sz w:val="24"/>
                <w:szCs w:val="24"/>
                <w:rtl/>
              </w:rPr>
              <w:t>5.0</w:t>
            </w:r>
          </w:p>
        </w:tc>
        <w:tc>
          <w:tcPr>
            <w:tcW w:w="773" w:type="dxa"/>
            <w:noWrap/>
            <w:vAlign w:val="bottom"/>
          </w:tcPr>
          <w:p w:rsidR="00662946" w:rsidRDefault="00662946">
            <w:pPr>
              <w:spacing w:after="120"/>
              <w:jc w:val="both"/>
              <w:rPr>
                <w:rFonts w:hint="cs"/>
                <w:sz w:val="24"/>
                <w:szCs w:val="24"/>
              </w:rPr>
            </w:pPr>
            <w:r>
              <w:rPr>
                <w:rFonts w:hint="cs"/>
                <w:sz w:val="24"/>
                <w:szCs w:val="24"/>
                <w:rtl/>
              </w:rPr>
              <w:t>5.0</w:t>
            </w:r>
          </w:p>
        </w:tc>
      </w:tr>
      <w:tr w:rsidR="00662946">
        <w:trPr>
          <w:trHeight w:val="315"/>
        </w:trPr>
        <w:tc>
          <w:tcPr>
            <w:tcW w:w="1995" w:type="dxa"/>
            <w:noWrap/>
            <w:vAlign w:val="bottom"/>
          </w:tcPr>
          <w:p w:rsidR="00662946" w:rsidRDefault="00662946">
            <w:pPr>
              <w:spacing w:after="120"/>
              <w:jc w:val="both"/>
              <w:rPr>
                <w:rFonts w:hint="cs"/>
                <w:sz w:val="24"/>
                <w:szCs w:val="24"/>
              </w:rPr>
            </w:pPr>
            <w:r>
              <w:rPr>
                <w:rFonts w:hint="cs"/>
                <w:sz w:val="24"/>
                <w:szCs w:val="24"/>
                <w:rtl/>
              </w:rPr>
              <w:t>تجارة الجملة والتجزئة</w:t>
            </w:r>
          </w:p>
        </w:tc>
        <w:tc>
          <w:tcPr>
            <w:tcW w:w="772" w:type="dxa"/>
            <w:noWrap/>
            <w:vAlign w:val="bottom"/>
          </w:tcPr>
          <w:p w:rsidR="00662946" w:rsidRDefault="00662946">
            <w:pPr>
              <w:spacing w:after="120"/>
              <w:jc w:val="both"/>
              <w:rPr>
                <w:rFonts w:hint="cs"/>
                <w:sz w:val="24"/>
                <w:szCs w:val="24"/>
              </w:rPr>
            </w:pPr>
            <w:r>
              <w:rPr>
                <w:rFonts w:hint="cs"/>
                <w:sz w:val="24"/>
                <w:szCs w:val="24"/>
                <w:rtl/>
              </w:rPr>
              <w:t>15.7</w:t>
            </w:r>
          </w:p>
        </w:tc>
        <w:tc>
          <w:tcPr>
            <w:tcW w:w="773" w:type="dxa"/>
            <w:noWrap/>
            <w:vAlign w:val="bottom"/>
          </w:tcPr>
          <w:p w:rsidR="00662946" w:rsidRDefault="00662946">
            <w:pPr>
              <w:spacing w:after="120"/>
              <w:jc w:val="both"/>
              <w:rPr>
                <w:rFonts w:hint="cs"/>
                <w:sz w:val="24"/>
                <w:szCs w:val="24"/>
              </w:rPr>
            </w:pPr>
            <w:r>
              <w:rPr>
                <w:rFonts w:hint="cs"/>
                <w:sz w:val="24"/>
                <w:szCs w:val="24"/>
                <w:rtl/>
              </w:rPr>
              <w:t>14.7</w:t>
            </w:r>
          </w:p>
        </w:tc>
        <w:tc>
          <w:tcPr>
            <w:tcW w:w="773" w:type="dxa"/>
            <w:noWrap/>
            <w:vAlign w:val="bottom"/>
          </w:tcPr>
          <w:p w:rsidR="00662946" w:rsidRDefault="00662946">
            <w:pPr>
              <w:spacing w:after="120"/>
              <w:jc w:val="both"/>
              <w:rPr>
                <w:rFonts w:hint="cs"/>
                <w:sz w:val="24"/>
                <w:szCs w:val="24"/>
              </w:rPr>
            </w:pPr>
            <w:r>
              <w:rPr>
                <w:rFonts w:hint="cs"/>
                <w:sz w:val="24"/>
                <w:szCs w:val="24"/>
                <w:rtl/>
              </w:rPr>
              <w:t>16.3</w:t>
            </w:r>
          </w:p>
        </w:tc>
        <w:tc>
          <w:tcPr>
            <w:tcW w:w="773" w:type="dxa"/>
            <w:noWrap/>
            <w:vAlign w:val="bottom"/>
          </w:tcPr>
          <w:p w:rsidR="00662946" w:rsidRDefault="00662946">
            <w:pPr>
              <w:spacing w:after="120"/>
              <w:jc w:val="both"/>
              <w:rPr>
                <w:rFonts w:hint="cs"/>
                <w:sz w:val="24"/>
                <w:szCs w:val="24"/>
              </w:rPr>
            </w:pPr>
            <w:r>
              <w:rPr>
                <w:rFonts w:hint="cs"/>
                <w:sz w:val="24"/>
                <w:szCs w:val="24"/>
                <w:rtl/>
              </w:rPr>
              <w:t>13.4</w:t>
            </w:r>
          </w:p>
        </w:tc>
        <w:tc>
          <w:tcPr>
            <w:tcW w:w="773" w:type="dxa"/>
            <w:noWrap/>
            <w:vAlign w:val="bottom"/>
          </w:tcPr>
          <w:p w:rsidR="00662946" w:rsidRDefault="00662946">
            <w:pPr>
              <w:spacing w:after="120"/>
              <w:jc w:val="both"/>
              <w:rPr>
                <w:rFonts w:hint="cs"/>
                <w:sz w:val="24"/>
                <w:szCs w:val="24"/>
              </w:rPr>
            </w:pPr>
            <w:r>
              <w:rPr>
                <w:rFonts w:hint="cs"/>
                <w:sz w:val="24"/>
                <w:szCs w:val="24"/>
                <w:rtl/>
              </w:rPr>
              <w:t>13.8</w:t>
            </w:r>
          </w:p>
        </w:tc>
        <w:tc>
          <w:tcPr>
            <w:tcW w:w="772" w:type="dxa"/>
            <w:noWrap/>
            <w:vAlign w:val="bottom"/>
          </w:tcPr>
          <w:p w:rsidR="00662946" w:rsidRDefault="00662946">
            <w:pPr>
              <w:spacing w:after="120"/>
              <w:jc w:val="both"/>
              <w:rPr>
                <w:rFonts w:hint="cs"/>
                <w:sz w:val="24"/>
                <w:szCs w:val="24"/>
              </w:rPr>
            </w:pPr>
            <w:r>
              <w:rPr>
                <w:rFonts w:hint="cs"/>
                <w:sz w:val="24"/>
                <w:szCs w:val="24"/>
                <w:rtl/>
              </w:rPr>
              <w:t>13.5</w:t>
            </w:r>
          </w:p>
        </w:tc>
        <w:tc>
          <w:tcPr>
            <w:tcW w:w="773" w:type="dxa"/>
            <w:noWrap/>
            <w:vAlign w:val="bottom"/>
          </w:tcPr>
          <w:p w:rsidR="00662946" w:rsidRDefault="00662946">
            <w:pPr>
              <w:spacing w:after="120"/>
              <w:jc w:val="both"/>
              <w:rPr>
                <w:rFonts w:hint="cs"/>
                <w:sz w:val="24"/>
                <w:szCs w:val="24"/>
              </w:rPr>
            </w:pPr>
            <w:r>
              <w:rPr>
                <w:rFonts w:hint="cs"/>
                <w:sz w:val="24"/>
                <w:szCs w:val="24"/>
                <w:rtl/>
              </w:rPr>
              <w:t>13.5</w:t>
            </w:r>
          </w:p>
        </w:tc>
        <w:tc>
          <w:tcPr>
            <w:tcW w:w="773" w:type="dxa"/>
            <w:noWrap/>
            <w:vAlign w:val="bottom"/>
          </w:tcPr>
          <w:p w:rsidR="00662946" w:rsidRDefault="00662946">
            <w:pPr>
              <w:spacing w:after="120"/>
              <w:jc w:val="both"/>
              <w:rPr>
                <w:rFonts w:hint="cs"/>
                <w:sz w:val="24"/>
                <w:szCs w:val="24"/>
              </w:rPr>
            </w:pPr>
            <w:r>
              <w:rPr>
                <w:rFonts w:hint="cs"/>
                <w:sz w:val="24"/>
                <w:szCs w:val="24"/>
                <w:rtl/>
              </w:rPr>
              <w:t>12.6</w:t>
            </w:r>
          </w:p>
        </w:tc>
        <w:tc>
          <w:tcPr>
            <w:tcW w:w="773" w:type="dxa"/>
            <w:noWrap/>
            <w:vAlign w:val="bottom"/>
          </w:tcPr>
          <w:p w:rsidR="00662946" w:rsidRDefault="00662946">
            <w:pPr>
              <w:spacing w:after="120"/>
              <w:jc w:val="both"/>
              <w:rPr>
                <w:rFonts w:hint="cs"/>
                <w:sz w:val="24"/>
                <w:szCs w:val="24"/>
              </w:rPr>
            </w:pPr>
            <w:r>
              <w:rPr>
                <w:rFonts w:hint="cs"/>
                <w:sz w:val="24"/>
                <w:szCs w:val="24"/>
                <w:rtl/>
              </w:rPr>
              <w:t>11.2</w:t>
            </w:r>
          </w:p>
        </w:tc>
        <w:tc>
          <w:tcPr>
            <w:tcW w:w="773" w:type="dxa"/>
            <w:noWrap/>
            <w:vAlign w:val="bottom"/>
          </w:tcPr>
          <w:p w:rsidR="00662946" w:rsidRDefault="00662946">
            <w:pPr>
              <w:spacing w:after="120"/>
              <w:jc w:val="both"/>
              <w:rPr>
                <w:rFonts w:hint="cs"/>
                <w:sz w:val="24"/>
                <w:szCs w:val="24"/>
              </w:rPr>
            </w:pPr>
            <w:r>
              <w:rPr>
                <w:rFonts w:hint="cs"/>
                <w:sz w:val="24"/>
                <w:szCs w:val="24"/>
                <w:rtl/>
              </w:rPr>
              <w:t>10.8</w:t>
            </w:r>
          </w:p>
        </w:tc>
      </w:tr>
      <w:tr w:rsidR="00662946">
        <w:trPr>
          <w:trHeight w:val="315"/>
        </w:trPr>
        <w:tc>
          <w:tcPr>
            <w:tcW w:w="1995" w:type="dxa"/>
            <w:noWrap/>
            <w:vAlign w:val="bottom"/>
          </w:tcPr>
          <w:p w:rsidR="00662946" w:rsidRDefault="00662946">
            <w:pPr>
              <w:spacing w:after="120"/>
              <w:jc w:val="both"/>
              <w:rPr>
                <w:rFonts w:hint="cs"/>
                <w:sz w:val="24"/>
                <w:szCs w:val="24"/>
              </w:rPr>
            </w:pPr>
            <w:r>
              <w:rPr>
                <w:rFonts w:hint="cs"/>
                <w:sz w:val="24"/>
                <w:szCs w:val="24"/>
                <w:rtl/>
              </w:rPr>
              <w:t>الفنادق والمطاعم</w:t>
            </w:r>
          </w:p>
        </w:tc>
        <w:tc>
          <w:tcPr>
            <w:tcW w:w="772" w:type="dxa"/>
            <w:noWrap/>
            <w:vAlign w:val="bottom"/>
          </w:tcPr>
          <w:p w:rsidR="00662946" w:rsidRDefault="00662946">
            <w:pPr>
              <w:spacing w:after="120"/>
              <w:jc w:val="both"/>
              <w:rPr>
                <w:rFonts w:hint="cs"/>
                <w:sz w:val="24"/>
                <w:szCs w:val="24"/>
              </w:rPr>
            </w:pPr>
            <w:r>
              <w:rPr>
                <w:rFonts w:hint="cs"/>
                <w:sz w:val="24"/>
                <w:szCs w:val="24"/>
                <w:rtl/>
              </w:rPr>
              <w:t>9.6</w:t>
            </w:r>
          </w:p>
        </w:tc>
        <w:tc>
          <w:tcPr>
            <w:tcW w:w="773" w:type="dxa"/>
            <w:noWrap/>
            <w:vAlign w:val="bottom"/>
          </w:tcPr>
          <w:p w:rsidR="00662946" w:rsidRDefault="00662946">
            <w:pPr>
              <w:spacing w:after="120"/>
              <w:jc w:val="both"/>
              <w:rPr>
                <w:rFonts w:hint="cs"/>
                <w:sz w:val="24"/>
                <w:szCs w:val="24"/>
              </w:rPr>
            </w:pPr>
            <w:r>
              <w:rPr>
                <w:rFonts w:hint="cs"/>
                <w:sz w:val="24"/>
                <w:szCs w:val="24"/>
                <w:rtl/>
              </w:rPr>
              <w:t>11.2</w:t>
            </w:r>
          </w:p>
        </w:tc>
        <w:tc>
          <w:tcPr>
            <w:tcW w:w="773" w:type="dxa"/>
            <w:noWrap/>
            <w:vAlign w:val="bottom"/>
          </w:tcPr>
          <w:p w:rsidR="00662946" w:rsidRDefault="00662946">
            <w:pPr>
              <w:spacing w:after="120"/>
              <w:jc w:val="both"/>
              <w:rPr>
                <w:rFonts w:hint="cs"/>
                <w:sz w:val="24"/>
                <w:szCs w:val="24"/>
              </w:rPr>
            </w:pPr>
            <w:r>
              <w:rPr>
                <w:rFonts w:hint="cs"/>
                <w:sz w:val="24"/>
                <w:szCs w:val="24"/>
                <w:rtl/>
              </w:rPr>
              <w:t>11.2</w:t>
            </w:r>
          </w:p>
        </w:tc>
        <w:tc>
          <w:tcPr>
            <w:tcW w:w="773" w:type="dxa"/>
            <w:noWrap/>
            <w:vAlign w:val="bottom"/>
          </w:tcPr>
          <w:p w:rsidR="00662946" w:rsidRDefault="00662946">
            <w:pPr>
              <w:spacing w:after="120"/>
              <w:jc w:val="both"/>
              <w:rPr>
                <w:rFonts w:hint="cs"/>
                <w:sz w:val="24"/>
                <w:szCs w:val="24"/>
              </w:rPr>
            </w:pPr>
            <w:r>
              <w:rPr>
                <w:rFonts w:hint="cs"/>
                <w:sz w:val="24"/>
                <w:szCs w:val="24"/>
                <w:rtl/>
              </w:rPr>
              <w:t>11.9</w:t>
            </w:r>
          </w:p>
        </w:tc>
        <w:tc>
          <w:tcPr>
            <w:tcW w:w="773" w:type="dxa"/>
            <w:noWrap/>
            <w:vAlign w:val="bottom"/>
          </w:tcPr>
          <w:p w:rsidR="00662946" w:rsidRDefault="00662946">
            <w:pPr>
              <w:spacing w:after="120"/>
              <w:jc w:val="both"/>
              <w:rPr>
                <w:rFonts w:hint="cs"/>
                <w:sz w:val="24"/>
                <w:szCs w:val="24"/>
              </w:rPr>
            </w:pPr>
            <w:r>
              <w:rPr>
                <w:rFonts w:hint="cs"/>
                <w:sz w:val="24"/>
                <w:szCs w:val="24"/>
                <w:rtl/>
              </w:rPr>
              <w:t>13.0</w:t>
            </w:r>
          </w:p>
        </w:tc>
        <w:tc>
          <w:tcPr>
            <w:tcW w:w="772" w:type="dxa"/>
            <w:noWrap/>
            <w:vAlign w:val="bottom"/>
          </w:tcPr>
          <w:p w:rsidR="00662946" w:rsidRDefault="00662946">
            <w:pPr>
              <w:spacing w:after="120"/>
              <w:jc w:val="both"/>
              <w:rPr>
                <w:rFonts w:hint="cs"/>
                <w:sz w:val="24"/>
                <w:szCs w:val="24"/>
              </w:rPr>
            </w:pPr>
            <w:r>
              <w:rPr>
                <w:rFonts w:hint="cs"/>
                <w:sz w:val="24"/>
                <w:szCs w:val="24"/>
                <w:rtl/>
              </w:rPr>
              <w:t>12.9</w:t>
            </w:r>
          </w:p>
        </w:tc>
        <w:tc>
          <w:tcPr>
            <w:tcW w:w="773" w:type="dxa"/>
            <w:noWrap/>
            <w:vAlign w:val="bottom"/>
          </w:tcPr>
          <w:p w:rsidR="00662946" w:rsidRDefault="00662946">
            <w:pPr>
              <w:spacing w:after="120"/>
              <w:jc w:val="both"/>
              <w:rPr>
                <w:rFonts w:hint="cs"/>
                <w:sz w:val="24"/>
                <w:szCs w:val="24"/>
              </w:rPr>
            </w:pPr>
            <w:r>
              <w:rPr>
                <w:rFonts w:hint="cs"/>
                <w:sz w:val="24"/>
                <w:szCs w:val="24"/>
                <w:rtl/>
              </w:rPr>
              <w:t>13.0</w:t>
            </w:r>
          </w:p>
        </w:tc>
        <w:tc>
          <w:tcPr>
            <w:tcW w:w="773" w:type="dxa"/>
            <w:noWrap/>
            <w:vAlign w:val="bottom"/>
          </w:tcPr>
          <w:p w:rsidR="00662946" w:rsidRDefault="00662946">
            <w:pPr>
              <w:spacing w:after="120"/>
              <w:jc w:val="both"/>
              <w:rPr>
                <w:rFonts w:hint="cs"/>
                <w:sz w:val="24"/>
                <w:szCs w:val="24"/>
              </w:rPr>
            </w:pPr>
            <w:r>
              <w:rPr>
                <w:rFonts w:hint="cs"/>
                <w:sz w:val="24"/>
                <w:szCs w:val="24"/>
                <w:rtl/>
              </w:rPr>
              <w:t>13.4</w:t>
            </w:r>
          </w:p>
        </w:tc>
        <w:tc>
          <w:tcPr>
            <w:tcW w:w="773" w:type="dxa"/>
            <w:noWrap/>
            <w:vAlign w:val="bottom"/>
          </w:tcPr>
          <w:p w:rsidR="00662946" w:rsidRDefault="00662946">
            <w:pPr>
              <w:spacing w:after="120"/>
              <w:jc w:val="both"/>
              <w:rPr>
                <w:rFonts w:hint="cs"/>
                <w:sz w:val="24"/>
                <w:szCs w:val="24"/>
              </w:rPr>
            </w:pPr>
            <w:r>
              <w:rPr>
                <w:rFonts w:hint="cs"/>
                <w:sz w:val="24"/>
                <w:szCs w:val="24"/>
                <w:rtl/>
              </w:rPr>
              <w:t>12.6</w:t>
            </w:r>
          </w:p>
        </w:tc>
        <w:tc>
          <w:tcPr>
            <w:tcW w:w="773" w:type="dxa"/>
            <w:noWrap/>
            <w:vAlign w:val="bottom"/>
          </w:tcPr>
          <w:p w:rsidR="00662946" w:rsidRDefault="00662946">
            <w:pPr>
              <w:spacing w:after="120"/>
              <w:jc w:val="both"/>
              <w:rPr>
                <w:rFonts w:hint="cs"/>
                <w:sz w:val="24"/>
                <w:szCs w:val="24"/>
              </w:rPr>
            </w:pPr>
            <w:r>
              <w:rPr>
                <w:rFonts w:hint="cs"/>
                <w:sz w:val="24"/>
                <w:szCs w:val="24"/>
                <w:rtl/>
              </w:rPr>
              <w:t>12.5</w:t>
            </w:r>
          </w:p>
        </w:tc>
      </w:tr>
      <w:tr w:rsidR="00662946">
        <w:trPr>
          <w:trHeight w:val="315"/>
        </w:trPr>
        <w:tc>
          <w:tcPr>
            <w:tcW w:w="1995" w:type="dxa"/>
            <w:noWrap/>
            <w:vAlign w:val="bottom"/>
          </w:tcPr>
          <w:p w:rsidR="00662946" w:rsidRDefault="00662946">
            <w:pPr>
              <w:spacing w:after="120"/>
              <w:jc w:val="both"/>
              <w:rPr>
                <w:rFonts w:hint="cs"/>
                <w:sz w:val="24"/>
                <w:szCs w:val="24"/>
              </w:rPr>
            </w:pPr>
            <w:r>
              <w:rPr>
                <w:rFonts w:hint="cs"/>
                <w:sz w:val="24"/>
                <w:szCs w:val="24"/>
                <w:rtl/>
              </w:rPr>
              <w:t>النقل والاتصالات</w:t>
            </w:r>
          </w:p>
        </w:tc>
        <w:tc>
          <w:tcPr>
            <w:tcW w:w="772" w:type="dxa"/>
            <w:noWrap/>
            <w:vAlign w:val="bottom"/>
          </w:tcPr>
          <w:p w:rsidR="00662946" w:rsidRDefault="00662946">
            <w:pPr>
              <w:spacing w:after="120"/>
              <w:jc w:val="both"/>
              <w:rPr>
                <w:rFonts w:hint="cs"/>
                <w:sz w:val="24"/>
                <w:szCs w:val="24"/>
              </w:rPr>
            </w:pPr>
            <w:r>
              <w:rPr>
                <w:rFonts w:hint="cs"/>
                <w:sz w:val="24"/>
                <w:szCs w:val="24"/>
                <w:rtl/>
              </w:rPr>
              <w:t>10.1</w:t>
            </w:r>
          </w:p>
        </w:tc>
        <w:tc>
          <w:tcPr>
            <w:tcW w:w="773" w:type="dxa"/>
            <w:noWrap/>
            <w:vAlign w:val="bottom"/>
          </w:tcPr>
          <w:p w:rsidR="00662946" w:rsidRDefault="00662946">
            <w:pPr>
              <w:spacing w:after="120"/>
              <w:jc w:val="both"/>
              <w:rPr>
                <w:rFonts w:hint="cs"/>
                <w:sz w:val="24"/>
                <w:szCs w:val="24"/>
              </w:rPr>
            </w:pPr>
            <w:r>
              <w:rPr>
                <w:rFonts w:hint="cs"/>
                <w:sz w:val="24"/>
                <w:szCs w:val="24"/>
                <w:rtl/>
              </w:rPr>
              <w:t>10.7</w:t>
            </w:r>
          </w:p>
        </w:tc>
        <w:tc>
          <w:tcPr>
            <w:tcW w:w="773" w:type="dxa"/>
            <w:noWrap/>
            <w:vAlign w:val="bottom"/>
          </w:tcPr>
          <w:p w:rsidR="00662946" w:rsidRDefault="00662946">
            <w:pPr>
              <w:spacing w:after="120"/>
              <w:jc w:val="both"/>
              <w:rPr>
                <w:rFonts w:hint="cs"/>
                <w:sz w:val="24"/>
                <w:szCs w:val="24"/>
              </w:rPr>
            </w:pPr>
            <w:r>
              <w:rPr>
                <w:rFonts w:hint="cs"/>
                <w:sz w:val="24"/>
                <w:szCs w:val="24"/>
                <w:rtl/>
              </w:rPr>
              <w:t>10.7</w:t>
            </w:r>
          </w:p>
        </w:tc>
        <w:tc>
          <w:tcPr>
            <w:tcW w:w="773" w:type="dxa"/>
            <w:noWrap/>
            <w:vAlign w:val="bottom"/>
          </w:tcPr>
          <w:p w:rsidR="00662946" w:rsidRDefault="00662946">
            <w:pPr>
              <w:spacing w:after="120"/>
              <w:jc w:val="both"/>
              <w:rPr>
                <w:rFonts w:hint="cs"/>
                <w:sz w:val="24"/>
                <w:szCs w:val="24"/>
              </w:rPr>
            </w:pPr>
            <w:r>
              <w:rPr>
                <w:rFonts w:hint="cs"/>
                <w:sz w:val="24"/>
                <w:szCs w:val="24"/>
                <w:rtl/>
              </w:rPr>
              <w:t>10.6</w:t>
            </w:r>
          </w:p>
        </w:tc>
        <w:tc>
          <w:tcPr>
            <w:tcW w:w="773" w:type="dxa"/>
            <w:noWrap/>
            <w:vAlign w:val="bottom"/>
          </w:tcPr>
          <w:p w:rsidR="00662946" w:rsidRDefault="00662946">
            <w:pPr>
              <w:spacing w:after="120"/>
              <w:jc w:val="both"/>
              <w:rPr>
                <w:rFonts w:hint="cs"/>
                <w:sz w:val="24"/>
                <w:szCs w:val="24"/>
              </w:rPr>
            </w:pPr>
            <w:r>
              <w:rPr>
                <w:rFonts w:hint="cs"/>
                <w:sz w:val="24"/>
                <w:szCs w:val="24"/>
                <w:rtl/>
              </w:rPr>
              <w:t>10.9</w:t>
            </w:r>
          </w:p>
        </w:tc>
        <w:tc>
          <w:tcPr>
            <w:tcW w:w="772" w:type="dxa"/>
            <w:noWrap/>
            <w:vAlign w:val="bottom"/>
          </w:tcPr>
          <w:p w:rsidR="00662946" w:rsidRDefault="00662946">
            <w:pPr>
              <w:spacing w:after="120"/>
              <w:jc w:val="both"/>
              <w:rPr>
                <w:rFonts w:hint="cs"/>
                <w:sz w:val="24"/>
                <w:szCs w:val="24"/>
              </w:rPr>
            </w:pPr>
            <w:r>
              <w:rPr>
                <w:rFonts w:hint="cs"/>
                <w:sz w:val="24"/>
                <w:szCs w:val="24"/>
                <w:rtl/>
              </w:rPr>
              <w:t>10.9</w:t>
            </w:r>
          </w:p>
        </w:tc>
        <w:tc>
          <w:tcPr>
            <w:tcW w:w="773" w:type="dxa"/>
            <w:noWrap/>
            <w:vAlign w:val="bottom"/>
          </w:tcPr>
          <w:p w:rsidR="00662946" w:rsidRDefault="00662946">
            <w:pPr>
              <w:spacing w:after="120"/>
              <w:jc w:val="both"/>
              <w:rPr>
                <w:rFonts w:hint="cs"/>
                <w:sz w:val="24"/>
                <w:szCs w:val="24"/>
              </w:rPr>
            </w:pPr>
            <w:r>
              <w:rPr>
                <w:rFonts w:hint="cs"/>
                <w:sz w:val="24"/>
                <w:szCs w:val="24"/>
                <w:rtl/>
              </w:rPr>
              <w:t>11.1</w:t>
            </w:r>
          </w:p>
        </w:tc>
        <w:tc>
          <w:tcPr>
            <w:tcW w:w="773" w:type="dxa"/>
            <w:noWrap/>
            <w:vAlign w:val="bottom"/>
          </w:tcPr>
          <w:p w:rsidR="00662946" w:rsidRDefault="00662946">
            <w:pPr>
              <w:spacing w:after="120"/>
              <w:jc w:val="both"/>
              <w:rPr>
                <w:rFonts w:hint="cs"/>
                <w:sz w:val="24"/>
                <w:szCs w:val="24"/>
              </w:rPr>
            </w:pPr>
            <w:r>
              <w:rPr>
                <w:rFonts w:hint="cs"/>
                <w:sz w:val="24"/>
                <w:szCs w:val="24"/>
                <w:rtl/>
              </w:rPr>
              <w:t>11.0</w:t>
            </w:r>
          </w:p>
        </w:tc>
        <w:tc>
          <w:tcPr>
            <w:tcW w:w="773" w:type="dxa"/>
            <w:noWrap/>
            <w:vAlign w:val="bottom"/>
          </w:tcPr>
          <w:p w:rsidR="00662946" w:rsidRDefault="00662946">
            <w:pPr>
              <w:spacing w:after="120"/>
              <w:jc w:val="both"/>
              <w:rPr>
                <w:rFonts w:hint="cs"/>
                <w:sz w:val="24"/>
                <w:szCs w:val="24"/>
              </w:rPr>
            </w:pPr>
            <w:r>
              <w:rPr>
                <w:rFonts w:hint="cs"/>
                <w:sz w:val="24"/>
                <w:szCs w:val="24"/>
                <w:rtl/>
              </w:rPr>
              <w:t>11.3</w:t>
            </w:r>
          </w:p>
        </w:tc>
        <w:tc>
          <w:tcPr>
            <w:tcW w:w="773" w:type="dxa"/>
            <w:noWrap/>
            <w:vAlign w:val="bottom"/>
          </w:tcPr>
          <w:p w:rsidR="00662946" w:rsidRDefault="00662946">
            <w:pPr>
              <w:spacing w:after="120"/>
              <w:jc w:val="both"/>
              <w:rPr>
                <w:rFonts w:hint="cs"/>
                <w:sz w:val="24"/>
                <w:szCs w:val="24"/>
              </w:rPr>
            </w:pPr>
            <w:r>
              <w:rPr>
                <w:rFonts w:hint="cs"/>
                <w:sz w:val="24"/>
                <w:szCs w:val="24"/>
                <w:rtl/>
              </w:rPr>
              <w:t>10.9</w:t>
            </w:r>
          </w:p>
        </w:tc>
      </w:tr>
      <w:tr w:rsidR="00662946">
        <w:trPr>
          <w:trHeight w:val="315"/>
        </w:trPr>
        <w:tc>
          <w:tcPr>
            <w:tcW w:w="1995" w:type="dxa"/>
            <w:noWrap/>
            <w:vAlign w:val="bottom"/>
          </w:tcPr>
          <w:p w:rsidR="00662946" w:rsidRDefault="00662946">
            <w:pPr>
              <w:spacing w:after="120"/>
              <w:jc w:val="both"/>
              <w:rPr>
                <w:rFonts w:hint="cs"/>
                <w:sz w:val="24"/>
                <w:szCs w:val="24"/>
              </w:rPr>
            </w:pPr>
            <w:r>
              <w:rPr>
                <w:rFonts w:hint="cs"/>
                <w:sz w:val="24"/>
                <w:szCs w:val="24"/>
                <w:rtl/>
              </w:rPr>
              <w:t>النشاط المصرفي والتأمين</w:t>
            </w:r>
          </w:p>
        </w:tc>
        <w:tc>
          <w:tcPr>
            <w:tcW w:w="772" w:type="dxa"/>
            <w:noWrap/>
            <w:vAlign w:val="bottom"/>
          </w:tcPr>
          <w:p w:rsidR="00662946" w:rsidRDefault="00662946">
            <w:pPr>
              <w:spacing w:after="120"/>
              <w:jc w:val="both"/>
              <w:rPr>
                <w:rFonts w:hint="cs"/>
                <w:sz w:val="24"/>
                <w:szCs w:val="24"/>
              </w:rPr>
            </w:pPr>
            <w:r>
              <w:rPr>
                <w:rFonts w:hint="cs"/>
                <w:sz w:val="24"/>
                <w:szCs w:val="24"/>
                <w:rtl/>
              </w:rPr>
              <w:t>7.8</w:t>
            </w:r>
          </w:p>
        </w:tc>
        <w:tc>
          <w:tcPr>
            <w:tcW w:w="773" w:type="dxa"/>
            <w:noWrap/>
            <w:vAlign w:val="bottom"/>
          </w:tcPr>
          <w:p w:rsidR="00662946" w:rsidRDefault="00662946">
            <w:pPr>
              <w:spacing w:after="120"/>
              <w:jc w:val="both"/>
              <w:rPr>
                <w:rFonts w:hint="cs"/>
                <w:sz w:val="24"/>
                <w:szCs w:val="24"/>
              </w:rPr>
            </w:pPr>
            <w:r>
              <w:rPr>
                <w:rFonts w:hint="cs"/>
                <w:sz w:val="24"/>
                <w:szCs w:val="24"/>
                <w:rtl/>
              </w:rPr>
              <w:t>8.4</w:t>
            </w:r>
          </w:p>
        </w:tc>
        <w:tc>
          <w:tcPr>
            <w:tcW w:w="773" w:type="dxa"/>
            <w:noWrap/>
            <w:vAlign w:val="bottom"/>
          </w:tcPr>
          <w:p w:rsidR="00662946" w:rsidRDefault="00662946">
            <w:pPr>
              <w:spacing w:after="120"/>
              <w:jc w:val="both"/>
              <w:rPr>
                <w:rFonts w:hint="cs"/>
                <w:sz w:val="24"/>
                <w:szCs w:val="24"/>
              </w:rPr>
            </w:pPr>
            <w:r>
              <w:rPr>
                <w:rFonts w:hint="cs"/>
                <w:sz w:val="24"/>
                <w:szCs w:val="24"/>
                <w:rtl/>
              </w:rPr>
              <w:t>8.6</w:t>
            </w:r>
          </w:p>
        </w:tc>
        <w:tc>
          <w:tcPr>
            <w:tcW w:w="773" w:type="dxa"/>
            <w:noWrap/>
            <w:vAlign w:val="bottom"/>
          </w:tcPr>
          <w:p w:rsidR="00662946" w:rsidRDefault="00662946">
            <w:pPr>
              <w:spacing w:after="120"/>
              <w:jc w:val="both"/>
              <w:rPr>
                <w:rFonts w:hint="cs"/>
                <w:sz w:val="24"/>
                <w:szCs w:val="24"/>
              </w:rPr>
            </w:pPr>
            <w:r>
              <w:rPr>
                <w:rFonts w:hint="cs"/>
                <w:sz w:val="24"/>
                <w:szCs w:val="24"/>
                <w:rtl/>
              </w:rPr>
              <w:t>9.1</w:t>
            </w:r>
          </w:p>
        </w:tc>
        <w:tc>
          <w:tcPr>
            <w:tcW w:w="773" w:type="dxa"/>
            <w:noWrap/>
            <w:vAlign w:val="bottom"/>
          </w:tcPr>
          <w:p w:rsidR="00662946" w:rsidRDefault="00662946">
            <w:pPr>
              <w:spacing w:after="120"/>
              <w:jc w:val="both"/>
              <w:rPr>
                <w:rFonts w:hint="cs"/>
                <w:sz w:val="24"/>
                <w:szCs w:val="24"/>
              </w:rPr>
            </w:pPr>
            <w:r>
              <w:rPr>
                <w:rFonts w:hint="cs"/>
                <w:sz w:val="24"/>
                <w:szCs w:val="24"/>
                <w:rtl/>
              </w:rPr>
              <w:t>9.7</w:t>
            </w:r>
          </w:p>
        </w:tc>
        <w:tc>
          <w:tcPr>
            <w:tcW w:w="772" w:type="dxa"/>
            <w:noWrap/>
            <w:vAlign w:val="bottom"/>
          </w:tcPr>
          <w:p w:rsidR="00662946" w:rsidRDefault="00662946">
            <w:pPr>
              <w:spacing w:after="120"/>
              <w:jc w:val="both"/>
              <w:rPr>
                <w:rFonts w:hint="cs"/>
                <w:sz w:val="24"/>
                <w:szCs w:val="24"/>
              </w:rPr>
            </w:pPr>
            <w:r>
              <w:rPr>
                <w:rFonts w:hint="cs"/>
                <w:sz w:val="24"/>
                <w:szCs w:val="24"/>
                <w:rtl/>
              </w:rPr>
              <w:t>9.9</w:t>
            </w:r>
          </w:p>
        </w:tc>
        <w:tc>
          <w:tcPr>
            <w:tcW w:w="773" w:type="dxa"/>
            <w:noWrap/>
            <w:vAlign w:val="bottom"/>
          </w:tcPr>
          <w:p w:rsidR="00662946" w:rsidRDefault="00662946">
            <w:pPr>
              <w:spacing w:after="120"/>
              <w:jc w:val="both"/>
              <w:rPr>
                <w:rFonts w:hint="cs"/>
                <w:sz w:val="24"/>
                <w:szCs w:val="24"/>
              </w:rPr>
            </w:pPr>
            <w:r>
              <w:rPr>
                <w:rFonts w:hint="cs"/>
                <w:sz w:val="24"/>
                <w:szCs w:val="24"/>
                <w:rtl/>
              </w:rPr>
              <w:t>10.4</w:t>
            </w:r>
          </w:p>
        </w:tc>
        <w:tc>
          <w:tcPr>
            <w:tcW w:w="773" w:type="dxa"/>
            <w:noWrap/>
            <w:vAlign w:val="bottom"/>
          </w:tcPr>
          <w:p w:rsidR="00662946" w:rsidRDefault="00662946">
            <w:pPr>
              <w:spacing w:after="120"/>
              <w:jc w:val="both"/>
              <w:rPr>
                <w:rFonts w:hint="cs"/>
                <w:sz w:val="24"/>
                <w:szCs w:val="24"/>
              </w:rPr>
            </w:pPr>
            <w:r>
              <w:rPr>
                <w:rFonts w:hint="cs"/>
                <w:sz w:val="24"/>
                <w:szCs w:val="24"/>
                <w:rtl/>
              </w:rPr>
              <w:t>10.7</w:t>
            </w:r>
          </w:p>
        </w:tc>
        <w:tc>
          <w:tcPr>
            <w:tcW w:w="773" w:type="dxa"/>
            <w:noWrap/>
            <w:vAlign w:val="bottom"/>
          </w:tcPr>
          <w:p w:rsidR="00662946" w:rsidRDefault="00662946">
            <w:pPr>
              <w:spacing w:after="120"/>
              <w:jc w:val="both"/>
              <w:rPr>
                <w:rFonts w:hint="cs"/>
                <w:sz w:val="24"/>
                <w:szCs w:val="24"/>
              </w:rPr>
            </w:pPr>
            <w:r>
              <w:rPr>
                <w:rFonts w:hint="cs"/>
                <w:sz w:val="24"/>
                <w:szCs w:val="24"/>
                <w:rtl/>
              </w:rPr>
              <w:t>11.5</w:t>
            </w:r>
          </w:p>
        </w:tc>
        <w:tc>
          <w:tcPr>
            <w:tcW w:w="773" w:type="dxa"/>
            <w:noWrap/>
            <w:vAlign w:val="bottom"/>
          </w:tcPr>
          <w:p w:rsidR="00662946" w:rsidRDefault="00662946">
            <w:pPr>
              <w:spacing w:after="120"/>
              <w:jc w:val="both"/>
              <w:rPr>
                <w:rFonts w:hint="cs"/>
                <w:sz w:val="24"/>
                <w:szCs w:val="24"/>
              </w:rPr>
            </w:pPr>
            <w:r>
              <w:rPr>
                <w:rFonts w:hint="cs"/>
                <w:sz w:val="24"/>
                <w:szCs w:val="24"/>
                <w:rtl/>
              </w:rPr>
              <w:t>11.9</w:t>
            </w:r>
          </w:p>
        </w:tc>
      </w:tr>
      <w:tr w:rsidR="00662946">
        <w:trPr>
          <w:trHeight w:val="555"/>
        </w:trPr>
        <w:tc>
          <w:tcPr>
            <w:tcW w:w="1995" w:type="dxa"/>
            <w:vAlign w:val="bottom"/>
          </w:tcPr>
          <w:p w:rsidR="00662946" w:rsidRDefault="00662946">
            <w:pPr>
              <w:spacing w:after="120"/>
              <w:jc w:val="both"/>
              <w:rPr>
                <w:rFonts w:hint="cs"/>
                <w:sz w:val="24"/>
                <w:szCs w:val="24"/>
              </w:rPr>
            </w:pPr>
            <w:r>
              <w:rPr>
                <w:rFonts w:hint="cs"/>
                <w:sz w:val="24"/>
                <w:szCs w:val="24"/>
                <w:rtl/>
              </w:rPr>
              <w:t>العقارات والمساكن التي يشغلها ملاكها</w:t>
            </w:r>
          </w:p>
        </w:tc>
        <w:tc>
          <w:tcPr>
            <w:tcW w:w="772" w:type="dxa"/>
            <w:noWrap/>
            <w:vAlign w:val="bottom"/>
          </w:tcPr>
          <w:p w:rsidR="00662946" w:rsidRDefault="00662946">
            <w:pPr>
              <w:spacing w:after="120"/>
              <w:jc w:val="both"/>
              <w:rPr>
                <w:rFonts w:hint="cs"/>
                <w:sz w:val="24"/>
                <w:szCs w:val="24"/>
              </w:rPr>
            </w:pPr>
            <w:r>
              <w:rPr>
                <w:rFonts w:hint="cs"/>
                <w:sz w:val="24"/>
                <w:szCs w:val="24"/>
                <w:rtl/>
              </w:rPr>
              <w:t>6.9</w:t>
            </w:r>
          </w:p>
        </w:tc>
        <w:tc>
          <w:tcPr>
            <w:tcW w:w="773" w:type="dxa"/>
            <w:noWrap/>
            <w:vAlign w:val="bottom"/>
          </w:tcPr>
          <w:p w:rsidR="00662946" w:rsidRDefault="00662946">
            <w:pPr>
              <w:spacing w:after="120"/>
              <w:jc w:val="both"/>
              <w:rPr>
                <w:rFonts w:hint="cs"/>
                <w:sz w:val="24"/>
                <w:szCs w:val="24"/>
              </w:rPr>
            </w:pPr>
            <w:r>
              <w:rPr>
                <w:rFonts w:hint="cs"/>
                <w:sz w:val="24"/>
                <w:szCs w:val="24"/>
                <w:rtl/>
              </w:rPr>
              <w:t>6.9</w:t>
            </w:r>
          </w:p>
        </w:tc>
        <w:tc>
          <w:tcPr>
            <w:tcW w:w="773" w:type="dxa"/>
            <w:noWrap/>
            <w:vAlign w:val="bottom"/>
          </w:tcPr>
          <w:p w:rsidR="00662946" w:rsidRDefault="00662946">
            <w:pPr>
              <w:spacing w:after="120"/>
              <w:jc w:val="both"/>
              <w:rPr>
                <w:rFonts w:hint="cs"/>
                <w:sz w:val="24"/>
                <w:szCs w:val="24"/>
              </w:rPr>
            </w:pPr>
            <w:r>
              <w:rPr>
                <w:rFonts w:hint="cs"/>
                <w:sz w:val="24"/>
                <w:szCs w:val="24"/>
                <w:rtl/>
              </w:rPr>
              <w:t>6.9</w:t>
            </w:r>
          </w:p>
        </w:tc>
        <w:tc>
          <w:tcPr>
            <w:tcW w:w="773" w:type="dxa"/>
            <w:noWrap/>
            <w:vAlign w:val="bottom"/>
          </w:tcPr>
          <w:p w:rsidR="00662946" w:rsidRDefault="00662946">
            <w:pPr>
              <w:spacing w:after="120"/>
              <w:jc w:val="both"/>
              <w:rPr>
                <w:rFonts w:hint="cs"/>
                <w:sz w:val="24"/>
                <w:szCs w:val="24"/>
              </w:rPr>
            </w:pPr>
            <w:r>
              <w:rPr>
                <w:rFonts w:hint="cs"/>
                <w:sz w:val="24"/>
                <w:szCs w:val="24"/>
                <w:rtl/>
              </w:rPr>
              <w:t>6.8</w:t>
            </w:r>
          </w:p>
        </w:tc>
        <w:tc>
          <w:tcPr>
            <w:tcW w:w="773" w:type="dxa"/>
            <w:noWrap/>
            <w:vAlign w:val="bottom"/>
          </w:tcPr>
          <w:p w:rsidR="00662946" w:rsidRDefault="00662946">
            <w:pPr>
              <w:spacing w:after="120"/>
              <w:jc w:val="both"/>
              <w:rPr>
                <w:rFonts w:hint="cs"/>
                <w:sz w:val="24"/>
                <w:szCs w:val="24"/>
              </w:rPr>
            </w:pPr>
            <w:r>
              <w:rPr>
                <w:rFonts w:hint="cs"/>
                <w:sz w:val="24"/>
                <w:szCs w:val="24"/>
                <w:rtl/>
              </w:rPr>
              <w:t>6.9</w:t>
            </w:r>
          </w:p>
        </w:tc>
        <w:tc>
          <w:tcPr>
            <w:tcW w:w="772" w:type="dxa"/>
            <w:noWrap/>
            <w:vAlign w:val="bottom"/>
          </w:tcPr>
          <w:p w:rsidR="00662946" w:rsidRDefault="00662946">
            <w:pPr>
              <w:spacing w:after="120"/>
              <w:jc w:val="both"/>
              <w:rPr>
                <w:rFonts w:hint="cs"/>
                <w:sz w:val="24"/>
                <w:szCs w:val="24"/>
              </w:rPr>
            </w:pPr>
            <w:r>
              <w:rPr>
                <w:rFonts w:hint="cs"/>
                <w:sz w:val="24"/>
                <w:szCs w:val="24"/>
                <w:rtl/>
              </w:rPr>
              <w:t>7.0</w:t>
            </w:r>
          </w:p>
        </w:tc>
        <w:tc>
          <w:tcPr>
            <w:tcW w:w="773" w:type="dxa"/>
            <w:noWrap/>
            <w:vAlign w:val="bottom"/>
          </w:tcPr>
          <w:p w:rsidR="00662946" w:rsidRDefault="00662946">
            <w:pPr>
              <w:spacing w:after="120"/>
              <w:jc w:val="both"/>
              <w:rPr>
                <w:rFonts w:hint="cs"/>
                <w:sz w:val="24"/>
                <w:szCs w:val="24"/>
              </w:rPr>
            </w:pPr>
            <w:r>
              <w:rPr>
                <w:rFonts w:hint="cs"/>
                <w:sz w:val="24"/>
                <w:szCs w:val="24"/>
                <w:rtl/>
              </w:rPr>
              <w:t>7.0</w:t>
            </w:r>
          </w:p>
        </w:tc>
        <w:tc>
          <w:tcPr>
            <w:tcW w:w="773" w:type="dxa"/>
            <w:noWrap/>
            <w:vAlign w:val="bottom"/>
          </w:tcPr>
          <w:p w:rsidR="00662946" w:rsidRDefault="00662946">
            <w:pPr>
              <w:spacing w:after="120"/>
              <w:jc w:val="both"/>
              <w:rPr>
                <w:rFonts w:hint="cs"/>
                <w:sz w:val="24"/>
                <w:szCs w:val="24"/>
              </w:rPr>
            </w:pPr>
            <w:r>
              <w:rPr>
                <w:rFonts w:hint="cs"/>
                <w:sz w:val="24"/>
                <w:szCs w:val="24"/>
                <w:rtl/>
              </w:rPr>
              <w:t>7.2</w:t>
            </w:r>
          </w:p>
        </w:tc>
        <w:tc>
          <w:tcPr>
            <w:tcW w:w="773" w:type="dxa"/>
            <w:noWrap/>
            <w:vAlign w:val="bottom"/>
          </w:tcPr>
          <w:p w:rsidR="00662946" w:rsidRDefault="00662946">
            <w:pPr>
              <w:spacing w:after="120"/>
              <w:jc w:val="both"/>
              <w:rPr>
                <w:rFonts w:hint="cs"/>
                <w:sz w:val="24"/>
                <w:szCs w:val="24"/>
              </w:rPr>
            </w:pPr>
            <w:r>
              <w:rPr>
                <w:rFonts w:hint="cs"/>
                <w:sz w:val="24"/>
                <w:szCs w:val="24"/>
                <w:rtl/>
              </w:rPr>
              <w:t>7.7</w:t>
            </w:r>
          </w:p>
        </w:tc>
        <w:tc>
          <w:tcPr>
            <w:tcW w:w="773" w:type="dxa"/>
            <w:noWrap/>
            <w:vAlign w:val="bottom"/>
          </w:tcPr>
          <w:p w:rsidR="00662946" w:rsidRDefault="00662946">
            <w:pPr>
              <w:spacing w:after="120"/>
              <w:jc w:val="both"/>
              <w:rPr>
                <w:rFonts w:hint="cs"/>
                <w:sz w:val="24"/>
                <w:szCs w:val="24"/>
              </w:rPr>
            </w:pPr>
            <w:r>
              <w:rPr>
                <w:rFonts w:hint="cs"/>
                <w:sz w:val="24"/>
                <w:szCs w:val="24"/>
                <w:rtl/>
              </w:rPr>
              <w:t>8.1</w:t>
            </w:r>
          </w:p>
        </w:tc>
      </w:tr>
      <w:tr w:rsidR="00662946">
        <w:trPr>
          <w:trHeight w:val="570"/>
        </w:trPr>
        <w:tc>
          <w:tcPr>
            <w:tcW w:w="1995" w:type="dxa"/>
            <w:vAlign w:val="bottom"/>
          </w:tcPr>
          <w:p w:rsidR="00662946" w:rsidRDefault="00662946">
            <w:pPr>
              <w:spacing w:after="120"/>
              <w:jc w:val="both"/>
              <w:rPr>
                <w:rFonts w:hint="cs"/>
                <w:sz w:val="24"/>
                <w:szCs w:val="24"/>
              </w:rPr>
            </w:pPr>
            <w:r>
              <w:rPr>
                <w:rFonts w:hint="cs"/>
                <w:sz w:val="24"/>
                <w:szCs w:val="24"/>
                <w:rtl/>
              </w:rPr>
              <w:t>منتجو الخدمات الحكومية</w:t>
            </w:r>
          </w:p>
        </w:tc>
        <w:tc>
          <w:tcPr>
            <w:tcW w:w="772" w:type="dxa"/>
            <w:noWrap/>
            <w:vAlign w:val="bottom"/>
          </w:tcPr>
          <w:p w:rsidR="00662946" w:rsidRDefault="00662946">
            <w:pPr>
              <w:spacing w:after="120"/>
              <w:jc w:val="both"/>
              <w:rPr>
                <w:rFonts w:hint="cs"/>
                <w:sz w:val="24"/>
                <w:szCs w:val="24"/>
              </w:rPr>
            </w:pPr>
            <w:r>
              <w:rPr>
                <w:rFonts w:hint="cs"/>
                <w:sz w:val="24"/>
                <w:szCs w:val="24"/>
                <w:rtl/>
              </w:rPr>
              <w:t>12.1</w:t>
            </w:r>
          </w:p>
        </w:tc>
        <w:tc>
          <w:tcPr>
            <w:tcW w:w="773" w:type="dxa"/>
            <w:noWrap/>
            <w:vAlign w:val="bottom"/>
          </w:tcPr>
          <w:p w:rsidR="00662946" w:rsidRDefault="00662946">
            <w:pPr>
              <w:spacing w:after="120"/>
              <w:jc w:val="both"/>
              <w:rPr>
                <w:rFonts w:hint="cs"/>
                <w:sz w:val="24"/>
                <w:szCs w:val="24"/>
              </w:rPr>
            </w:pPr>
            <w:r>
              <w:rPr>
                <w:rFonts w:hint="cs"/>
                <w:sz w:val="24"/>
                <w:szCs w:val="24"/>
                <w:rtl/>
              </w:rPr>
              <w:t>12.5</w:t>
            </w:r>
          </w:p>
        </w:tc>
        <w:tc>
          <w:tcPr>
            <w:tcW w:w="773" w:type="dxa"/>
            <w:noWrap/>
            <w:vAlign w:val="bottom"/>
          </w:tcPr>
          <w:p w:rsidR="00662946" w:rsidRDefault="00662946">
            <w:pPr>
              <w:spacing w:after="120"/>
              <w:jc w:val="both"/>
              <w:rPr>
                <w:rFonts w:hint="cs"/>
                <w:sz w:val="24"/>
                <w:szCs w:val="24"/>
              </w:rPr>
            </w:pPr>
            <w:r>
              <w:rPr>
                <w:rFonts w:hint="cs"/>
                <w:sz w:val="24"/>
                <w:szCs w:val="24"/>
                <w:rtl/>
              </w:rPr>
              <w:t>12.7</w:t>
            </w:r>
          </w:p>
        </w:tc>
        <w:tc>
          <w:tcPr>
            <w:tcW w:w="773" w:type="dxa"/>
            <w:noWrap/>
            <w:vAlign w:val="bottom"/>
          </w:tcPr>
          <w:p w:rsidR="00662946" w:rsidRDefault="00662946">
            <w:pPr>
              <w:spacing w:after="120"/>
              <w:jc w:val="both"/>
              <w:rPr>
                <w:rFonts w:hint="cs"/>
                <w:sz w:val="24"/>
                <w:szCs w:val="24"/>
              </w:rPr>
            </w:pPr>
            <w:r>
              <w:rPr>
                <w:rFonts w:hint="cs"/>
                <w:sz w:val="24"/>
                <w:szCs w:val="24"/>
                <w:rtl/>
              </w:rPr>
              <w:t>12.5</w:t>
            </w:r>
          </w:p>
        </w:tc>
        <w:tc>
          <w:tcPr>
            <w:tcW w:w="773" w:type="dxa"/>
            <w:noWrap/>
            <w:vAlign w:val="bottom"/>
          </w:tcPr>
          <w:p w:rsidR="00662946" w:rsidRDefault="00662946">
            <w:pPr>
              <w:spacing w:after="120"/>
              <w:jc w:val="both"/>
              <w:rPr>
                <w:rFonts w:hint="cs"/>
                <w:sz w:val="24"/>
                <w:szCs w:val="24"/>
              </w:rPr>
            </w:pPr>
            <w:r>
              <w:rPr>
                <w:rFonts w:hint="cs"/>
                <w:sz w:val="24"/>
                <w:szCs w:val="24"/>
                <w:rtl/>
              </w:rPr>
              <w:t>12.5</w:t>
            </w:r>
          </w:p>
        </w:tc>
        <w:tc>
          <w:tcPr>
            <w:tcW w:w="772" w:type="dxa"/>
            <w:noWrap/>
            <w:vAlign w:val="bottom"/>
          </w:tcPr>
          <w:p w:rsidR="00662946" w:rsidRDefault="00662946">
            <w:pPr>
              <w:spacing w:after="120"/>
              <w:jc w:val="both"/>
              <w:rPr>
                <w:rFonts w:hint="cs"/>
                <w:sz w:val="24"/>
                <w:szCs w:val="24"/>
              </w:rPr>
            </w:pPr>
            <w:r>
              <w:rPr>
                <w:rFonts w:hint="cs"/>
                <w:sz w:val="24"/>
                <w:szCs w:val="24"/>
                <w:rtl/>
              </w:rPr>
              <w:t>12.3</w:t>
            </w:r>
          </w:p>
        </w:tc>
        <w:tc>
          <w:tcPr>
            <w:tcW w:w="773" w:type="dxa"/>
            <w:noWrap/>
            <w:vAlign w:val="bottom"/>
          </w:tcPr>
          <w:p w:rsidR="00662946" w:rsidRDefault="00662946">
            <w:pPr>
              <w:spacing w:after="120"/>
              <w:jc w:val="both"/>
              <w:rPr>
                <w:rFonts w:hint="cs"/>
                <w:sz w:val="24"/>
                <w:szCs w:val="24"/>
              </w:rPr>
            </w:pPr>
            <w:r>
              <w:rPr>
                <w:rFonts w:hint="cs"/>
                <w:sz w:val="24"/>
                <w:szCs w:val="24"/>
                <w:rtl/>
              </w:rPr>
              <w:t>12.1</w:t>
            </w:r>
          </w:p>
        </w:tc>
        <w:tc>
          <w:tcPr>
            <w:tcW w:w="773" w:type="dxa"/>
            <w:noWrap/>
            <w:vAlign w:val="bottom"/>
          </w:tcPr>
          <w:p w:rsidR="00662946" w:rsidRDefault="00662946">
            <w:pPr>
              <w:spacing w:after="120"/>
              <w:jc w:val="both"/>
              <w:rPr>
                <w:rFonts w:hint="cs"/>
                <w:sz w:val="24"/>
                <w:szCs w:val="24"/>
              </w:rPr>
            </w:pPr>
            <w:r>
              <w:rPr>
                <w:rFonts w:hint="cs"/>
                <w:sz w:val="24"/>
                <w:szCs w:val="24"/>
                <w:rtl/>
              </w:rPr>
              <w:t>12.2</w:t>
            </w:r>
          </w:p>
        </w:tc>
        <w:tc>
          <w:tcPr>
            <w:tcW w:w="773" w:type="dxa"/>
            <w:noWrap/>
            <w:vAlign w:val="bottom"/>
          </w:tcPr>
          <w:p w:rsidR="00662946" w:rsidRDefault="00662946">
            <w:pPr>
              <w:spacing w:after="120"/>
              <w:jc w:val="both"/>
              <w:rPr>
                <w:rFonts w:hint="cs"/>
                <w:sz w:val="24"/>
                <w:szCs w:val="24"/>
              </w:rPr>
            </w:pPr>
            <w:r>
              <w:rPr>
                <w:rFonts w:hint="cs"/>
                <w:sz w:val="24"/>
                <w:szCs w:val="24"/>
                <w:rtl/>
              </w:rPr>
              <w:t>13.0</w:t>
            </w:r>
          </w:p>
        </w:tc>
        <w:tc>
          <w:tcPr>
            <w:tcW w:w="773" w:type="dxa"/>
            <w:noWrap/>
            <w:vAlign w:val="bottom"/>
          </w:tcPr>
          <w:p w:rsidR="00662946" w:rsidRDefault="00662946">
            <w:pPr>
              <w:spacing w:after="120"/>
              <w:jc w:val="both"/>
              <w:rPr>
                <w:rFonts w:hint="cs"/>
                <w:sz w:val="24"/>
                <w:szCs w:val="24"/>
              </w:rPr>
            </w:pPr>
            <w:r>
              <w:rPr>
                <w:rFonts w:hint="cs"/>
                <w:sz w:val="24"/>
                <w:szCs w:val="24"/>
                <w:rtl/>
              </w:rPr>
              <w:t>13.1</w:t>
            </w:r>
          </w:p>
        </w:tc>
      </w:tr>
      <w:tr w:rsidR="00662946">
        <w:trPr>
          <w:trHeight w:val="285"/>
        </w:trPr>
        <w:tc>
          <w:tcPr>
            <w:tcW w:w="1995" w:type="dxa"/>
            <w:noWrap/>
            <w:vAlign w:val="bottom"/>
          </w:tcPr>
          <w:p w:rsidR="00662946" w:rsidRDefault="00662946">
            <w:pPr>
              <w:spacing w:after="120"/>
              <w:jc w:val="both"/>
              <w:rPr>
                <w:rFonts w:hint="cs"/>
                <w:sz w:val="24"/>
                <w:szCs w:val="24"/>
              </w:rPr>
            </w:pPr>
            <w:r>
              <w:rPr>
                <w:rFonts w:hint="cs"/>
                <w:sz w:val="24"/>
                <w:szCs w:val="24"/>
                <w:rtl/>
              </w:rPr>
              <w:t xml:space="preserve">الخدمات الأخرى </w:t>
            </w:r>
          </w:p>
        </w:tc>
        <w:tc>
          <w:tcPr>
            <w:tcW w:w="772" w:type="dxa"/>
            <w:noWrap/>
            <w:vAlign w:val="bottom"/>
          </w:tcPr>
          <w:p w:rsidR="00662946" w:rsidRDefault="00662946">
            <w:pPr>
              <w:spacing w:after="120"/>
              <w:jc w:val="both"/>
              <w:rPr>
                <w:rFonts w:hint="cs"/>
                <w:sz w:val="24"/>
                <w:szCs w:val="24"/>
              </w:rPr>
            </w:pPr>
            <w:r>
              <w:rPr>
                <w:rFonts w:hint="cs"/>
                <w:sz w:val="24"/>
                <w:szCs w:val="24"/>
                <w:rtl/>
              </w:rPr>
              <w:t>1.6</w:t>
            </w:r>
          </w:p>
        </w:tc>
        <w:tc>
          <w:tcPr>
            <w:tcW w:w="773" w:type="dxa"/>
            <w:noWrap/>
            <w:vAlign w:val="bottom"/>
          </w:tcPr>
          <w:p w:rsidR="00662946" w:rsidRDefault="00662946">
            <w:pPr>
              <w:spacing w:after="120"/>
              <w:jc w:val="both"/>
              <w:rPr>
                <w:rFonts w:hint="cs"/>
                <w:sz w:val="24"/>
                <w:szCs w:val="24"/>
              </w:rPr>
            </w:pPr>
            <w:r>
              <w:rPr>
                <w:rFonts w:hint="cs"/>
                <w:sz w:val="24"/>
                <w:szCs w:val="24"/>
                <w:rtl/>
              </w:rPr>
              <w:t>4.5</w:t>
            </w:r>
          </w:p>
        </w:tc>
        <w:tc>
          <w:tcPr>
            <w:tcW w:w="773" w:type="dxa"/>
            <w:noWrap/>
            <w:vAlign w:val="bottom"/>
          </w:tcPr>
          <w:p w:rsidR="00662946" w:rsidRDefault="00662946">
            <w:pPr>
              <w:spacing w:after="120"/>
              <w:jc w:val="both"/>
              <w:rPr>
                <w:rFonts w:hint="cs"/>
                <w:sz w:val="24"/>
                <w:szCs w:val="24"/>
              </w:rPr>
            </w:pPr>
            <w:r>
              <w:rPr>
                <w:rFonts w:hint="cs"/>
                <w:sz w:val="24"/>
                <w:szCs w:val="24"/>
                <w:rtl/>
              </w:rPr>
              <w:t>4.5</w:t>
            </w:r>
          </w:p>
        </w:tc>
        <w:tc>
          <w:tcPr>
            <w:tcW w:w="773" w:type="dxa"/>
            <w:noWrap/>
            <w:vAlign w:val="bottom"/>
          </w:tcPr>
          <w:p w:rsidR="00662946" w:rsidRDefault="00662946">
            <w:pPr>
              <w:spacing w:after="120"/>
              <w:jc w:val="both"/>
              <w:rPr>
                <w:rFonts w:hint="cs"/>
                <w:sz w:val="24"/>
                <w:szCs w:val="24"/>
              </w:rPr>
            </w:pPr>
            <w:r>
              <w:rPr>
                <w:rFonts w:hint="cs"/>
                <w:sz w:val="24"/>
                <w:szCs w:val="24"/>
                <w:rtl/>
              </w:rPr>
              <w:t>4.7</w:t>
            </w:r>
          </w:p>
        </w:tc>
        <w:tc>
          <w:tcPr>
            <w:tcW w:w="773" w:type="dxa"/>
            <w:noWrap/>
            <w:vAlign w:val="bottom"/>
          </w:tcPr>
          <w:p w:rsidR="00662946" w:rsidRDefault="00662946">
            <w:pPr>
              <w:spacing w:after="120"/>
              <w:jc w:val="both"/>
              <w:rPr>
                <w:rFonts w:hint="cs"/>
                <w:sz w:val="24"/>
                <w:szCs w:val="24"/>
              </w:rPr>
            </w:pPr>
            <w:r>
              <w:rPr>
                <w:rFonts w:hint="cs"/>
                <w:sz w:val="24"/>
                <w:szCs w:val="24"/>
                <w:rtl/>
              </w:rPr>
              <w:t>4.6</w:t>
            </w:r>
          </w:p>
        </w:tc>
        <w:tc>
          <w:tcPr>
            <w:tcW w:w="772" w:type="dxa"/>
            <w:noWrap/>
            <w:vAlign w:val="bottom"/>
          </w:tcPr>
          <w:p w:rsidR="00662946" w:rsidRDefault="00662946">
            <w:pPr>
              <w:spacing w:after="120"/>
              <w:jc w:val="both"/>
              <w:rPr>
                <w:rFonts w:hint="cs"/>
                <w:sz w:val="24"/>
                <w:szCs w:val="24"/>
              </w:rPr>
            </w:pPr>
            <w:r>
              <w:rPr>
                <w:rFonts w:hint="cs"/>
                <w:sz w:val="24"/>
                <w:szCs w:val="24"/>
                <w:rtl/>
              </w:rPr>
              <w:t>4.8</w:t>
            </w:r>
          </w:p>
        </w:tc>
        <w:tc>
          <w:tcPr>
            <w:tcW w:w="773" w:type="dxa"/>
            <w:noWrap/>
            <w:vAlign w:val="bottom"/>
          </w:tcPr>
          <w:p w:rsidR="00662946" w:rsidRDefault="00662946">
            <w:pPr>
              <w:spacing w:after="120"/>
              <w:jc w:val="both"/>
              <w:rPr>
                <w:rFonts w:hint="cs"/>
                <w:sz w:val="24"/>
                <w:szCs w:val="24"/>
              </w:rPr>
            </w:pPr>
            <w:r>
              <w:rPr>
                <w:rFonts w:hint="cs"/>
                <w:sz w:val="24"/>
                <w:szCs w:val="24"/>
                <w:rtl/>
              </w:rPr>
              <w:t>4.8</w:t>
            </w:r>
          </w:p>
        </w:tc>
        <w:tc>
          <w:tcPr>
            <w:tcW w:w="773" w:type="dxa"/>
            <w:noWrap/>
            <w:vAlign w:val="bottom"/>
          </w:tcPr>
          <w:p w:rsidR="00662946" w:rsidRDefault="00662946">
            <w:pPr>
              <w:spacing w:after="120"/>
              <w:jc w:val="both"/>
              <w:rPr>
                <w:rFonts w:hint="cs"/>
                <w:sz w:val="24"/>
                <w:szCs w:val="24"/>
              </w:rPr>
            </w:pPr>
            <w:r>
              <w:rPr>
                <w:rFonts w:hint="cs"/>
                <w:sz w:val="24"/>
                <w:szCs w:val="24"/>
                <w:rtl/>
              </w:rPr>
              <w:t>5.0</w:t>
            </w:r>
          </w:p>
        </w:tc>
        <w:tc>
          <w:tcPr>
            <w:tcW w:w="773" w:type="dxa"/>
            <w:noWrap/>
            <w:vAlign w:val="bottom"/>
          </w:tcPr>
          <w:p w:rsidR="00662946" w:rsidRDefault="00662946">
            <w:pPr>
              <w:spacing w:after="120"/>
              <w:jc w:val="both"/>
              <w:rPr>
                <w:rFonts w:hint="cs"/>
                <w:sz w:val="24"/>
                <w:szCs w:val="24"/>
              </w:rPr>
            </w:pPr>
            <w:r>
              <w:rPr>
                <w:rFonts w:hint="cs"/>
                <w:sz w:val="24"/>
                <w:szCs w:val="24"/>
                <w:rtl/>
              </w:rPr>
              <w:t>4.8</w:t>
            </w:r>
          </w:p>
        </w:tc>
        <w:tc>
          <w:tcPr>
            <w:tcW w:w="773" w:type="dxa"/>
            <w:noWrap/>
            <w:vAlign w:val="bottom"/>
          </w:tcPr>
          <w:p w:rsidR="00662946" w:rsidRDefault="00662946">
            <w:pPr>
              <w:spacing w:after="120"/>
              <w:jc w:val="both"/>
              <w:rPr>
                <w:rFonts w:hint="cs"/>
                <w:sz w:val="24"/>
                <w:szCs w:val="24"/>
              </w:rPr>
            </w:pPr>
            <w:r>
              <w:rPr>
                <w:rFonts w:hint="cs"/>
                <w:sz w:val="24"/>
                <w:szCs w:val="24"/>
                <w:rtl/>
              </w:rPr>
              <w:t>4.9</w:t>
            </w:r>
          </w:p>
        </w:tc>
      </w:tr>
      <w:tr w:rsidR="00662946">
        <w:trPr>
          <w:trHeight w:val="285"/>
        </w:trPr>
        <w:tc>
          <w:tcPr>
            <w:tcW w:w="9723" w:type="dxa"/>
            <w:gridSpan w:val="11"/>
            <w:noWrap/>
            <w:vAlign w:val="bottom"/>
          </w:tcPr>
          <w:p w:rsidR="00662946" w:rsidRDefault="00662946">
            <w:pPr>
              <w:spacing w:after="120"/>
              <w:jc w:val="both"/>
              <w:rPr>
                <w:rFonts w:hint="cs"/>
                <w:b/>
                <w:sz w:val="24"/>
                <w:szCs w:val="24"/>
                <w:rtl/>
                <w:lang w:bidi="ar-EG"/>
              </w:rPr>
            </w:pPr>
            <w:r>
              <w:rPr>
                <w:rFonts w:hint="cs"/>
                <w:b/>
                <w:sz w:val="24"/>
                <w:szCs w:val="24"/>
                <w:rtl/>
                <w:lang w:bidi="ar-EG"/>
              </w:rPr>
              <w:t>المصدر: وزارة المالية والشؤون المالية الدولية والاقتصادية.</w:t>
            </w:r>
          </w:p>
        </w:tc>
      </w:tr>
    </w:tbl>
    <w:p w:rsidR="00662946" w:rsidRDefault="00662946">
      <w:pPr>
        <w:pStyle w:val="SingleTxt"/>
        <w:jc w:val="both"/>
        <w:rPr>
          <w:rFonts w:hint="cs"/>
          <w:rtl/>
          <w:lang w:bidi="ar-EG"/>
        </w:rPr>
      </w:pPr>
    </w:p>
    <w:p w:rsidR="00662946" w:rsidRDefault="00662946">
      <w:pPr>
        <w:pStyle w:val="SingleTxt"/>
        <w:jc w:val="both"/>
        <w:rPr>
          <w:rFonts w:hint="cs"/>
          <w:rtl/>
          <w:lang w:bidi="ar-EG"/>
        </w:rPr>
      </w:pPr>
      <w:r>
        <w:rPr>
          <w:rFonts w:hint="cs"/>
          <w:rtl/>
          <w:lang w:bidi="ar-EG"/>
        </w:rPr>
        <w:t>25 -</w:t>
      </w:r>
      <w:r>
        <w:rPr>
          <w:rFonts w:hint="cs"/>
          <w:rtl/>
          <w:lang w:bidi="ar-EG"/>
        </w:rPr>
        <w:tab/>
        <w:t>قبل الثمانينات كانت سانت لوسيا تنتج بصورة رئيسية زيت جوز الهند والصابون والمشروبات والسجائر والملابس والأثاث أساساً للأسواق المحلية والإقليمية. وفي سنة 1995 تنوعت القاعدة الصناعية للجزيرة تنوعاً كبيراً لتشمل مجموعة مختلفة من أدوات الرياضة والمكونات الإلكترونية والورق والمنتجات الخرساني</w:t>
      </w:r>
      <w:r>
        <w:rPr>
          <w:rFonts w:hint="eastAsia"/>
          <w:rtl/>
          <w:lang w:bidi="ar-EG"/>
        </w:rPr>
        <w:t>ة</w:t>
      </w:r>
      <w:r>
        <w:rPr>
          <w:rFonts w:hint="cs"/>
          <w:rtl/>
          <w:lang w:bidi="ar-EG"/>
        </w:rPr>
        <w:t xml:space="preserve"> واللُعب وشراب  واللدائن وصناديق الورق المقوى والملابس ومجوهرات الملابس والمنتجات الغذائية والمنتجات الحرفية اليدوية. وكانت معظم هذه المنتجات تصدر إلى الأسواق الدولية، وكان هذا التبادل يؤدي دوراً حيوياً في إنتاج الصناعات التحويلية.</w:t>
      </w:r>
    </w:p>
    <w:p w:rsidR="00662946" w:rsidRDefault="00662946">
      <w:pPr>
        <w:pStyle w:val="SingleTxt"/>
        <w:jc w:val="both"/>
        <w:rPr>
          <w:rFonts w:hint="cs"/>
          <w:rtl/>
          <w:lang w:bidi="ar-EG"/>
        </w:rPr>
      </w:pPr>
      <w:r>
        <w:rPr>
          <w:rFonts w:hint="cs"/>
          <w:rtl/>
          <w:lang w:bidi="ar-EG"/>
        </w:rPr>
        <w:t>26 -</w:t>
      </w:r>
      <w:r>
        <w:rPr>
          <w:rFonts w:hint="cs"/>
          <w:rtl/>
          <w:lang w:bidi="ar-EG"/>
        </w:rPr>
        <w:tab/>
        <w:t>وأقام عدد من شركات البلدان النامية صناعات تحويلية ومصانع تجميع في سانت لوسيا، واستفادت بذلك من الجو الاستثماري المواتي والاستقرار السياسي الذي كان سائداً، وسهولة الوصول إلى الأسواق الدولية الرئيسية.</w:t>
      </w:r>
    </w:p>
    <w:p w:rsidR="00662946" w:rsidRDefault="00662946">
      <w:pPr>
        <w:pStyle w:val="SingleTxt"/>
        <w:jc w:val="both"/>
        <w:rPr>
          <w:rFonts w:hint="cs"/>
          <w:rtl/>
          <w:lang w:bidi="ar-EG"/>
        </w:rPr>
      </w:pPr>
      <w:r>
        <w:rPr>
          <w:rFonts w:hint="cs"/>
          <w:rtl/>
          <w:lang w:bidi="ar-EG"/>
        </w:rPr>
        <w:t>27 -</w:t>
      </w:r>
      <w:r>
        <w:rPr>
          <w:rFonts w:hint="cs"/>
          <w:rtl/>
          <w:lang w:bidi="ar-EG"/>
        </w:rPr>
        <w:tab/>
        <w:t>كما هو الحال في صناعة السياحة تشجع الحكومة الاستثمار بتوفير مجموعة كبيرة من الحوافز للمستثمرين المحتملين. وترد فيما يلي قائمة ببعض هذه الحوافز:</w:t>
      </w:r>
    </w:p>
    <w:p w:rsidR="00662946" w:rsidRDefault="00662946">
      <w:pPr>
        <w:pStyle w:val="SingleTxt"/>
        <w:jc w:val="both"/>
        <w:rPr>
          <w:rFonts w:hint="cs"/>
          <w:rtl/>
          <w:lang w:bidi="ar-EG"/>
        </w:rPr>
      </w:pPr>
      <w:r>
        <w:rPr>
          <w:rFonts w:hint="cs"/>
          <w:rtl/>
          <w:lang w:bidi="ar-EG"/>
        </w:rPr>
        <w:tab/>
        <w:t>-</w:t>
      </w:r>
      <w:r>
        <w:rPr>
          <w:rFonts w:hint="cs"/>
          <w:rtl/>
          <w:lang w:bidi="ar-EG"/>
        </w:rPr>
        <w:tab/>
        <w:t>تأجير منشآت المصانع للمستثمرين بأسعار معقولة جداً.</w:t>
      </w:r>
    </w:p>
    <w:p w:rsidR="00662946" w:rsidRDefault="00662946">
      <w:pPr>
        <w:pStyle w:val="SingleTxt"/>
        <w:jc w:val="both"/>
        <w:rPr>
          <w:rFonts w:hint="cs"/>
          <w:rtl/>
          <w:lang w:bidi="ar-EG"/>
        </w:rPr>
      </w:pPr>
      <w:r>
        <w:rPr>
          <w:rFonts w:hint="cs"/>
          <w:rtl/>
          <w:lang w:bidi="ar-EG"/>
        </w:rPr>
        <w:tab/>
        <w:t>-</w:t>
      </w:r>
      <w:r>
        <w:rPr>
          <w:rFonts w:hint="cs"/>
          <w:rtl/>
          <w:lang w:bidi="ar-EG"/>
        </w:rPr>
        <w:tab/>
        <w:t>إعفاءات ضريبية.</w:t>
      </w:r>
    </w:p>
    <w:p w:rsidR="00662946" w:rsidRDefault="00662946">
      <w:pPr>
        <w:pStyle w:val="SingleTxt"/>
        <w:jc w:val="both"/>
        <w:rPr>
          <w:rFonts w:hint="cs"/>
          <w:rtl/>
          <w:lang w:bidi="ar-EG"/>
        </w:rPr>
      </w:pPr>
      <w:r>
        <w:rPr>
          <w:rFonts w:hint="cs"/>
          <w:rtl/>
          <w:lang w:bidi="ar-EG"/>
        </w:rPr>
        <w:tab/>
        <w:t>-</w:t>
      </w:r>
      <w:r>
        <w:rPr>
          <w:rFonts w:hint="cs"/>
          <w:rtl/>
          <w:lang w:bidi="ar-EG"/>
        </w:rPr>
        <w:tab/>
        <w:t>إعفاء من الرسوم الجمركية.</w:t>
      </w:r>
    </w:p>
    <w:p w:rsidR="00662946" w:rsidRDefault="00662946">
      <w:pPr>
        <w:pStyle w:val="SingleTxt"/>
        <w:jc w:val="both"/>
        <w:rPr>
          <w:rFonts w:hint="cs"/>
          <w:rtl/>
          <w:lang w:bidi="ar-EG"/>
        </w:rPr>
      </w:pPr>
      <w:r>
        <w:rPr>
          <w:rFonts w:hint="cs"/>
          <w:rtl/>
          <w:lang w:bidi="ar-EG"/>
        </w:rPr>
        <w:tab/>
        <w:t>-</w:t>
      </w:r>
      <w:r>
        <w:rPr>
          <w:rFonts w:hint="cs"/>
          <w:rtl/>
          <w:lang w:bidi="ar-EG"/>
        </w:rPr>
        <w:tab/>
        <w:t>عدم فرض قيود على رؤوس الأموال وإعادة الأموال إلى بلدانها الأصلية.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تمنح بموجب مبادرة حوض الكاريبي تسهيلات خاصة للمصنوعات في سانت لوسيا عند دخولها الولايات المتحدة.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تمنح كاريبي كان أيضاً تسهيلات خاصة للسلع المصنوعة في سانت لوسيا عند دخولها الولايات المتحدة.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تُمنح السلع المصنوعة في سانت لوسيا بموجب اتفاقية لومي الرابعة تسهيلات خاصة عند دخولها أوروبا.</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إعفاءات ضريبية على أرباح التصدير.</w:t>
      </w:r>
    </w:p>
    <w:p w:rsidR="00662946" w:rsidRDefault="00662946">
      <w:pPr>
        <w:pStyle w:val="SingleTxt"/>
        <w:ind w:left="2528" w:right="1264" w:hanging="1264"/>
        <w:jc w:val="both"/>
        <w:rPr>
          <w:rtl/>
          <w:lang w:bidi="ar-EG"/>
        </w:rPr>
      </w:pPr>
      <w:r>
        <w:rPr>
          <w:rFonts w:hint="cs"/>
          <w:rtl/>
          <w:lang w:bidi="ar-EG"/>
        </w:rPr>
        <w:tab/>
      </w:r>
      <w:r>
        <w:rPr>
          <w:rFonts w:hint="cs"/>
          <w:rtl/>
          <w:lang w:bidi="ar-EG"/>
        </w:rPr>
        <w:tab/>
        <w:t>-</w:t>
      </w:r>
      <w:r>
        <w:rPr>
          <w:rFonts w:hint="cs"/>
          <w:rtl/>
          <w:lang w:bidi="ar-EG"/>
        </w:rPr>
        <w:tab/>
        <w:t>الدخول ذات الأفضلية إلى أسواق كاريكوم.</w:t>
      </w:r>
    </w:p>
    <w:p w:rsidR="00662946" w:rsidRDefault="00662946">
      <w:pPr>
        <w:pStyle w:val="SingleTxt"/>
        <w:jc w:val="both"/>
        <w:rPr>
          <w:rFonts w:hint="cs"/>
          <w:rtl/>
          <w:lang w:bidi="ar-EG"/>
        </w:rPr>
      </w:pPr>
      <w:r>
        <w:rPr>
          <w:rFonts w:hint="cs"/>
          <w:rtl/>
          <w:lang w:bidi="ar-EG"/>
        </w:rPr>
        <w:t>28 -</w:t>
      </w:r>
      <w:r>
        <w:rPr>
          <w:rFonts w:hint="cs"/>
          <w:rtl/>
          <w:lang w:bidi="ar-EG"/>
        </w:rPr>
        <w:tab/>
        <w:t>أكدت سانت لوسيا عبر السنين بشدة على تقدير هياكلها الأساسية. ويوجد على الجزيرة مطاران تجاريان يخدمان الأسواق الإقليمية والدولية. وتوجد رحلات مسجلة منتظمة إلى المقاصد الرئيسية على إير كندا وأميريكان إير لينـز وأميريكان إيجل وبريتش إير ويز (الخطوط الجوية البريطانية والخطوط الجوية لجزر الهند الغربية البريطانية وشركة جزر الليوارد للنقل الجوي). ويوجد في الجزيرة ميناءان بحريان كبيران مزودان تماماً بمنشآت للتخزين والرسو وشحن وتفريع الشحنات الزائدة والحاويات.</w:t>
      </w:r>
    </w:p>
    <w:p w:rsidR="00662946" w:rsidRDefault="00662946">
      <w:pPr>
        <w:pStyle w:val="SingleTxt"/>
        <w:jc w:val="both"/>
        <w:rPr>
          <w:rFonts w:hint="cs"/>
          <w:rtl/>
          <w:lang w:bidi="ar-EG"/>
        </w:rPr>
      </w:pPr>
      <w:r>
        <w:rPr>
          <w:rFonts w:hint="cs"/>
          <w:rtl/>
          <w:lang w:bidi="ar-EG"/>
        </w:rPr>
        <w:t>29 -</w:t>
      </w:r>
      <w:r>
        <w:rPr>
          <w:rFonts w:hint="cs"/>
          <w:rtl/>
          <w:lang w:bidi="ar-EG"/>
        </w:rPr>
        <w:tab/>
        <w:t>يوجد في سانت لوسيا نظام اتصالات حديث وكفؤ للغاية مزود بكابل ولاسلكي. ويعمل حالياً نظام هاتفي رقمي مزود بالمراقبة الدولية المباشرة للاتصال بمعظم أنحاء العالم ويستعمله ما يربو على 000 27 عميل. والفنادق والمكاتب الحكومية مزودة جيداً الآن بالتلكس والفاكس وخدمات المعطيات وكذلك خدمة الكابل والتلغراف التقليدية. ويوجد في الجزيرة أيضاًَ محطة أرضية ساتيلية رقمية تماماً للاتصالات الدولية.</w:t>
      </w:r>
    </w:p>
    <w:p w:rsidR="00662946" w:rsidRDefault="00662946">
      <w:pPr>
        <w:pStyle w:val="SingleTxt"/>
        <w:jc w:val="both"/>
        <w:rPr>
          <w:rFonts w:hint="cs"/>
          <w:rtl/>
          <w:lang w:bidi="ar-EG"/>
        </w:rPr>
      </w:pPr>
      <w:r>
        <w:rPr>
          <w:rFonts w:hint="cs"/>
          <w:rtl/>
          <w:lang w:bidi="ar-EG"/>
        </w:rPr>
        <w:t>30 -</w:t>
      </w:r>
      <w:r>
        <w:rPr>
          <w:rFonts w:hint="cs"/>
          <w:rtl/>
          <w:lang w:bidi="ar-EG"/>
        </w:rPr>
        <w:tab/>
        <w:t xml:space="preserve">يوجد طلب على زيادة الكهرباء في الفئات المنزلية والصناعية وفئات إنارة الشوارع. والخدمة الكهربائية على الجزيرة غير جديرة كثيراً بالتعويل عليها. فتنقطع الكهرباء بصورة متكررة، وهذا يرجع جزئياً إلى </w:t>
      </w:r>
      <w:r>
        <w:rPr>
          <w:rFonts w:hint="eastAsia"/>
          <w:rtl/>
          <w:lang w:bidi="ar-EG"/>
        </w:rPr>
        <w:t>”</w:t>
      </w:r>
      <w:r>
        <w:rPr>
          <w:rFonts w:hint="cs"/>
          <w:rtl/>
          <w:lang w:bidi="ar-EG"/>
        </w:rPr>
        <w:t>نبذ الحمل الحمولة</w:t>
      </w:r>
      <w:r>
        <w:rPr>
          <w:rFonts w:hint="eastAsia"/>
          <w:rtl/>
          <w:lang w:bidi="ar-EG"/>
        </w:rPr>
        <w:t>“ وتوج</w:t>
      </w:r>
      <w:r>
        <w:rPr>
          <w:rFonts w:hint="cs"/>
          <w:rtl/>
          <w:lang w:bidi="ar-EG"/>
        </w:rPr>
        <w:t>ه</w:t>
      </w:r>
      <w:r>
        <w:rPr>
          <w:rFonts w:hint="eastAsia"/>
          <w:rtl/>
          <w:lang w:bidi="ar-EG"/>
        </w:rPr>
        <w:t xml:space="preserve"> إلى </w:t>
      </w:r>
      <w:r>
        <w:rPr>
          <w:rFonts w:hint="cs"/>
          <w:rtl/>
          <w:lang w:bidi="ar-EG"/>
        </w:rPr>
        <w:t>زيادة توليد الكهرباء بصورة كبيرة لتحسين كفاءة ونوعية هذه الخدمة. ومازالت مناطق كثيرة في المجتمعات الريفية بدون كهرباء.</w:t>
      </w:r>
    </w:p>
    <w:p w:rsidR="00662946" w:rsidRDefault="00662946">
      <w:pPr>
        <w:pStyle w:val="SingleTxt"/>
        <w:jc w:val="both"/>
        <w:rPr>
          <w:rFonts w:hint="cs"/>
          <w:rtl/>
          <w:lang w:bidi="ar-EG"/>
        </w:rPr>
      </w:pPr>
      <w:r>
        <w:rPr>
          <w:rFonts w:hint="cs"/>
          <w:rtl/>
          <w:lang w:bidi="ar-EG"/>
        </w:rPr>
        <w:t>31 -</w:t>
      </w:r>
      <w:r>
        <w:rPr>
          <w:rFonts w:hint="cs"/>
          <w:rtl/>
          <w:lang w:bidi="ar-EG"/>
        </w:rPr>
        <w:tab/>
        <w:t xml:space="preserve">يتعرض الإمداد بالمياه في سانت لوسيا لضغط متزايد عبر السنين. ومع ازدياد عدد الفنادق ازداد الطلب على المياه لكن إمدادات المياه لم تزداد بشكل متناسب. وتبذل الحكومة جهوداً لتزويد كل أسرة بالمياه في المجتمعات الكبرى ولتزويد جميع المجتمعات الريفية بالمياه التي تنقلها المواسير (الأنابيب). </w:t>
      </w:r>
    </w:p>
    <w:p w:rsidR="00662946" w:rsidRDefault="00662946">
      <w:pPr>
        <w:pStyle w:val="SingleTxt"/>
        <w:jc w:val="both"/>
        <w:rPr>
          <w:rFonts w:hint="cs"/>
          <w:rtl/>
          <w:lang w:bidi="ar-EG"/>
        </w:rPr>
      </w:pPr>
      <w:r>
        <w:rPr>
          <w:rFonts w:hint="cs"/>
          <w:rtl/>
          <w:lang w:bidi="ar-EG"/>
        </w:rPr>
        <w:t>32 -</w:t>
      </w:r>
      <w:r>
        <w:rPr>
          <w:rFonts w:hint="cs"/>
          <w:rtl/>
          <w:lang w:bidi="ar-EG"/>
        </w:rPr>
        <w:tab/>
        <w:t>خلال الفترة المشمولة قيد الاستعراض تعرضت سانت لوسيا لبضع كوارث طبيعية أصابت الأنابيب ومحطات تكرير المياه بأضرار جسيمة. بيد أن مشروع الخزان الذي تبلغ قيمته عدة ملايين من الدولارات ويجري الاضطلاع به لإزالة النقص الحالي في المياه في شمال سانت لوسيا خلال العشرين سنة المقبلة قد ساعد على زيادة إمدادات المياه وإن كان لا يزال يوجد مجال للتحسين.</w:t>
      </w:r>
    </w:p>
    <w:p w:rsidR="00662946" w:rsidRDefault="00662946">
      <w:pPr>
        <w:pStyle w:val="SingleTxt"/>
        <w:jc w:val="both"/>
        <w:rPr>
          <w:rFonts w:hint="cs"/>
          <w:rtl/>
          <w:lang w:bidi="ar-EG"/>
        </w:rPr>
      </w:pPr>
      <w:r>
        <w:rPr>
          <w:rFonts w:hint="cs"/>
          <w:rtl/>
          <w:lang w:bidi="ar-EG"/>
        </w:rPr>
        <w:t>33 -</w:t>
      </w:r>
      <w:r>
        <w:rPr>
          <w:rFonts w:hint="cs"/>
          <w:rtl/>
          <w:lang w:bidi="ar-EG"/>
        </w:rPr>
        <w:tab/>
        <w:t>عملة سانت لوسيا مستقرة. ووحدة العملة هي دولار شرق الكاريبي. وهي مرتبطة بدولار الولايات المتحدة بسعر صرف يساوي 2.70 للدولار الأمريكي الواحد. وتقدم عدة بنوك محلية وإقليمية ودولية مجموعة كبيرة من الخدمات المالية إلى الجزيرة. كما توجد شركات أخرى للاستثمارات المالية وتقديم المشورة وعدة شركات تأمين.</w:t>
      </w:r>
    </w:p>
    <w:p w:rsidR="00662946" w:rsidRDefault="00662946">
      <w:pPr>
        <w:pStyle w:val="SingleTxt"/>
        <w:jc w:val="both"/>
        <w:rPr>
          <w:rFonts w:hint="cs"/>
          <w:b/>
          <w:bCs/>
          <w:rtl/>
          <w:lang w:bidi="ar-EG"/>
        </w:rPr>
      </w:pPr>
      <w:r>
        <w:rPr>
          <w:rFonts w:hint="cs"/>
          <w:b/>
          <w:bCs/>
          <w:rtl/>
          <w:lang w:bidi="ar-EG"/>
        </w:rPr>
        <w:t>خلفية عن الدستور</w:t>
      </w:r>
    </w:p>
    <w:p w:rsidR="00662946" w:rsidRDefault="00662946">
      <w:pPr>
        <w:pStyle w:val="SingleTxt"/>
        <w:jc w:val="both"/>
        <w:rPr>
          <w:rFonts w:hint="cs"/>
          <w:rtl/>
          <w:lang w:bidi="ar-EG"/>
        </w:rPr>
      </w:pPr>
      <w:r>
        <w:rPr>
          <w:rFonts w:hint="cs"/>
          <w:rtl/>
          <w:lang w:bidi="ar-EG"/>
        </w:rPr>
        <w:t>34 -</w:t>
      </w:r>
      <w:r>
        <w:rPr>
          <w:rFonts w:hint="cs"/>
          <w:rtl/>
          <w:lang w:bidi="ar-EG"/>
        </w:rPr>
        <w:tab/>
        <w:t>قامت دولة سانت لوسيا في 22 شباط/فبراير 1979 وأصبحت عضواً مستقلاً في الكومنولث. ويعترف الدستور بالملكة إليزابي</w:t>
      </w:r>
      <w:r>
        <w:rPr>
          <w:rFonts w:hint="eastAsia"/>
          <w:rtl/>
          <w:lang w:bidi="ar-EG"/>
        </w:rPr>
        <w:t>ث</w:t>
      </w:r>
      <w:r>
        <w:rPr>
          <w:rFonts w:hint="cs"/>
          <w:rtl/>
          <w:lang w:bidi="ar-EG"/>
        </w:rPr>
        <w:t xml:space="preserve"> الثانية بوصفها رئيسة الدولة وبالحاكم العام الذي تعينه وأن الحاكم العام الذي تعينه هو ممثلها في سانت لوسيا. وقد استُحدث الاقتراع العام للراشدين في سنة 1951.</w:t>
      </w:r>
    </w:p>
    <w:p w:rsidR="00662946" w:rsidRDefault="00662946">
      <w:pPr>
        <w:pStyle w:val="SingleTxt"/>
        <w:jc w:val="both"/>
        <w:rPr>
          <w:rFonts w:hint="cs"/>
          <w:rtl/>
          <w:lang w:bidi="ar-EG"/>
        </w:rPr>
      </w:pPr>
      <w:r>
        <w:rPr>
          <w:rFonts w:hint="cs"/>
          <w:rtl/>
          <w:lang w:bidi="ar-EG"/>
        </w:rPr>
        <w:t>35 -</w:t>
      </w:r>
      <w:r>
        <w:rPr>
          <w:rFonts w:hint="cs"/>
          <w:rtl/>
          <w:lang w:bidi="ar-EG"/>
        </w:rPr>
        <w:tab/>
        <w:t>والسلطة التنفيذية في سانت لوسيا مناطة بجلالتها. بيد أنه وفقاً لأحكام دستور سانت لوسيا فإن هذه الوظيفية التنفيذية يمكن أن تؤدى بالنيابة عن جلالتها إما مباشرة بواسطة الحاكم العام أو بصورة غير مباشرة عن طريق مجلس الوزراء.</w:t>
      </w:r>
    </w:p>
    <w:p w:rsidR="00662946" w:rsidRDefault="00662946">
      <w:pPr>
        <w:pStyle w:val="SingleTxt"/>
        <w:jc w:val="both"/>
        <w:rPr>
          <w:rFonts w:hint="cs"/>
          <w:rtl/>
          <w:lang w:bidi="ar-EG"/>
        </w:rPr>
      </w:pPr>
      <w:r>
        <w:rPr>
          <w:rFonts w:hint="cs"/>
          <w:rtl/>
          <w:lang w:bidi="ar-EG"/>
        </w:rPr>
        <w:t>36 -</w:t>
      </w:r>
      <w:r>
        <w:rPr>
          <w:rFonts w:hint="cs"/>
          <w:rtl/>
          <w:lang w:bidi="ar-EG"/>
        </w:rPr>
        <w:tab/>
        <w:t>السلطة التنفيذية المتمثلة في إدارة الحكومة والإشراف عليها موكله حالياً إلى رئيس الوزراء ومجلس وزراءه. ويقوم الحكام العام، الذي يتصرف وفقاً للدستور، بتعيين زعيم حسب الأغلبية في مجلس النواب رئيساً للوزراء. ويقوم الحاكم العام، بناءً على مشورة رئيس الوزراء، بتعيين وزراء الحكومة من بين أعضاء مجلس النواب ومجلس الشيوخ. كما يعيَّن أمناء برلمانيون لمساعدة الوزراء على أداء واجباتهم. ولذا يختار مجلس الوزراء من بين أعضاء البرلمان، وهو مسؤول بصورة جماعية أمام البرلمان عن أي مشورة مقدمة إلى الحاكم العام بموجب السلطة العامة لمجلس الوزراء، وفيما يتعلق بجميع ما يجري من أفعال من جانب أي وزير أثناء أدائه لمهام منصبه أو بموجب سلطته.</w:t>
      </w:r>
    </w:p>
    <w:p w:rsidR="00662946" w:rsidRDefault="00662946">
      <w:pPr>
        <w:pStyle w:val="SingleTxt"/>
        <w:jc w:val="both"/>
        <w:rPr>
          <w:rFonts w:hint="cs"/>
          <w:rtl/>
          <w:lang w:bidi="ar-EG"/>
        </w:rPr>
      </w:pPr>
      <w:r>
        <w:rPr>
          <w:rFonts w:hint="cs"/>
          <w:rtl/>
          <w:lang w:bidi="ar-EG"/>
        </w:rPr>
        <w:t>37 -</w:t>
      </w:r>
      <w:r>
        <w:rPr>
          <w:rFonts w:hint="cs"/>
          <w:rtl/>
          <w:lang w:bidi="ar-EG"/>
        </w:rPr>
        <w:tab/>
        <w:t xml:space="preserve">يشارك رئيس الوزراء والوزراء الآخرون في الحكومة في مجلس الوزراء وهو في الواقع الهيئة التي تحكم سانت لوسيا. ويتصرف مجلس الوزراء بوصفه مُتخذ القرار النهائي بشأن جميع المسائل المهمة المتعلقة بالسياسة، ويقرر مضامين مشاريع القوانين الحكومية التي تقدم إلى مجلس النواب، ويتخذ أيضاً القرارات المتعلقة بالإنفاق الحكومي. وهو السلطة الحقيقية للحكومة. ولرئيس الوزراء الحق في اختيار ورفد أعضاء مجلس الوزراء. وله أن يختار وزراءه إما من المجلس الأعلى أو المجلس الأدنى. </w:t>
      </w:r>
    </w:p>
    <w:p w:rsidR="00662946" w:rsidRDefault="00662946">
      <w:pPr>
        <w:pStyle w:val="SingleTxt"/>
        <w:jc w:val="both"/>
        <w:rPr>
          <w:rFonts w:hint="cs"/>
          <w:rtl/>
          <w:lang w:bidi="ar-EG"/>
        </w:rPr>
      </w:pPr>
      <w:r>
        <w:rPr>
          <w:rFonts w:hint="cs"/>
          <w:rtl/>
          <w:lang w:bidi="ar-EG"/>
        </w:rPr>
        <w:t>38 -</w:t>
      </w:r>
      <w:r>
        <w:rPr>
          <w:rFonts w:hint="cs"/>
          <w:rtl/>
          <w:lang w:bidi="ar-EG"/>
        </w:rPr>
        <w:tab/>
        <w:t>يعتبر برلمان سانت لوسيا أعلى محكمة في البلد، وإجراءاته موضوعة على غرار إجراءات برلمان وستمنستر في بريطانيا العظمى. وللبرلمان ثلاث مهام رئيسية هي:</w:t>
      </w:r>
    </w:p>
    <w:p w:rsidR="00662946" w:rsidRDefault="00662946">
      <w:pPr>
        <w:pStyle w:val="SingleTxt"/>
        <w:jc w:val="both"/>
        <w:rPr>
          <w:rFonts w:hint="cs"/>
          <w:rtl/>
          <w:lang w:bidi="ar-EG"/>
        </w:rPr>
      </w:pPr>
      <w:r>
        <w:rPr>
          <w:rFonts w:hint="cs"/>
          <w:rtl/>
          <w:lang w:bidi="ar-EG"/>
        </w:rPr>
        <w:t>1 -</w:t>
      </w:r>
      <w:r>
        <w:rPr>
          <w:rFonts w:hint="cs"/>
          <w:rtl/>
          <w:lang w:bidi="ar-EG"/>
        </w:rPr>
        <w:tab/>
        <w:t>سن القوانين التي تسري على البلد؛</w:t>
      </w:r>
    </w:p>
    <w:p w:rsidR="00662946" w:rsidRDefault="00662946">
      <w:pPr>
        <w:pStyle w:val="SingleTxt"/>
        <w:jc w:val="both"/>
        <w:rPr>
          <w:rFonts w:hint="cs"/>
          <w:rtl/>
          <w:lang w:bidi="ar-EG"/>
        </w:rPr>
      </w:pPr>
      <w:r>
        <w:rPr>
          <w:rFonts w:hint="cs"/>
          <w:rtl/>
          <w:lang w:bidi="ar-EG"/>
        </w:rPr>
        <w:t>2 -</w:t>
      </w:r>
      <w:r>
        <w:rPr>
          <w:rFonts w:hint="cs"/>
          <w:rtl/>
          <w:lang w:bidi="ar-EG"/>
        </w:rPr>
        <w:tab/>
        <w:t>اتخاذ الإجراءات الرسمية لتوفير النقد لاحتياجات البلد؛</w:t>
      </w:r>
    </w:p>
    <w:p w:rsidR="00662946" w:rsidRDefault="00662946">
      <w:pPr>
        <w:pStyle w:val="SingleTxt"/>
        <w:jc w:val="both"/>
        <w:rPr>
          <w:rFonts w:hint="cs"/>
          <w:rtl/>
          <w:lang w:bidi="ar-EG"/>
        </w:rPr>
      </w:pPr>
      <w:r>
        <w:rPr>
          <w:rFonts w:hint="cs"/>
          <w:rtl/>
          <w:lang w:bidi="ar-EG"/>
        </w:rPr>
        <w:t>3 -</w:t>
      </w:r>
      <w:r>
        <w:rPr>
          <w:rFonts w:hint="cs"/>
          <w:rtl/>
          <w:lang w:bidi="ar-EG"/>
        </w:rPr>
        <w:tab/>
        <w:t>توجيه النقد إلى الحكومة ومراقبتها.</w:t>
      </w:r>
    </w:p>
    <w:p w:rsidR="00662946" w:rsidRDefault="00662946">
      <w:pPr>
        <w:pStyle w:val="SingleTxt"/>
        <w:jc w:val="both"/>
        <w:rPr>
          <w:rFonts w:hint="cs"/>
          <w:rtl/>
          <w:lang w:bidi="ar-EG"/>
        </w:rPr>
      </w:pPr>
      <w:r>
        <w:rPr>
          <w:rFonts w:hint="cs"/>
          <w:rtl/>
          <w:lang w:bidi="ar-EG"/>
        </w:rPr>
        <w:t>39 -</w:t>
      </w:r>
      <w:r>
        <w:rPr>
          <w:rFonts w:hint="cs"/>
          <w:rtl/>
          <w:lang w:bidi="ar-EG"/>
        </w:rPr>
        <w:tab/>
        <w:t>يتكون البرلمان من جلالة الملكة إليزابيث ومن مجلسي الشيوخ والنواب. ويمثل المجلسان، المجلس الأعلى (الشيوخ ومجلس النواب) والمجلس الأدنى (مجلس النواب) الهيئة التشريعية المؤلفة من مجلسين. ومجلس النواب هو مجلس البرلمان المنتخب الذي تبلغ مدة ولاية أعضائه خمس سنوات. ومجلس الشيوخ هو المجلس المعيَّن. ويمكن تعيين أعضاء مجلس النواب ومجلس الشيوخ وزراء في الحكومة.</w:t>
      </w:r>
    </w:p>
    <w:p w:rsidR="00662946" w:rsidRDefault="00662946">
      <w:pPr>
        <w:pStyle w:val="SingleTxt"/>
        <w:jc w:val="both"/>
        <w:rPr>
          <w:rFonts w:hint="cs"/>
          <w:rtl/>
          <w:lang w:bidi="ar-EG"/>
        </w:rPr>
      </w:pPr>
      <w:r>
        <w:rPr>
          <w:rFonts w:hint="cs"/>
          <w:rtl/>
          <w:lang w:bidi="ar-EG"/>
        </w:rPr>
        <w:t>40 -</w:t>
      </w:r>
      <w:r>
        <w:rPr>
          <w:rFonts w:hint="cs"/>
          <w:rtl/>
          <w:lang w:bidi="ar-EG"/>
        </w:rPr>
        <w:tab/>
        <w:t>يتألف مجلس الشيوخ من أحد عشر عضواً. ويعينهم الحاكم العام على النحو التالي: ستة بناءً على مشورة رئيس الوزراء، وثلاثة بناءً على مشورة زعيم المعارضة، وإثنين حسب السلطة التقديرية للحاكم العام بعد التشاور مع المنظمات الدينية أو الاقتصادية أو الاجتماعية أو الهيئات الدينية أو الاقتصادية أو الاجتماعية التي يرى أن هؤلاء الأعضاء ينبغي أن يختارون منها. وما لم تنشأ ظروف تؤدي إلى أن يترك أعضاء مجلس الشيوخ مقاعدهم فإنهم يظلون في مجلس الشيوخ إلى أن يحل البرلمان في المرة التالية لتعيينهم.</w:t>
      </w:r>
    </w:p>
    <w:p w:rsidR="00662946" w:rsidRDefault="00662946">
      <w:pPr>
        <w:pStyle w:val="SingleTxt"/>
        <w:jc w:val="both"/>
        <w:rPr>
          <w:rFonts w:hint="cs"/>
          <w:rtl/>
          <w:lang w:bidi="ar-EG"/>
        </w:rPr>
      </w:pPr>
      <w:r>
        <w:rPr>
          <w:rFonts w:hint="cs"/>
          <w:rtl/>
          <w:lang w:bidi="ar-EG"/>
        </w:rPr>
        <w:t>41 -</w:t>
      </w:r>
      <w:r>
        <w:rPr>
          <w:rFonts w:hint="cs"/>
          <w:rtl/>
          <w:lang w:bidi="ar-EG"/>
        </w:rPr>
        <w:tab/>
        <w:t>في الممارسة ينتخب أعضاء مجلس النواب بالاقتراع العام وفقاً لقانون الانتخابات لسنة 1981. ويتعين أن يحصل رئيس الوزراء على تأييد أغلبية أعضاء مجلس النواب، ومجلس الوزراء مسؤول أمام مجلس النواب. ومدة ولاية البرلمان خمس سنوات ما لم يحل قبل انقضاء هذه المدة. ويملك الحاكم العام سلطة استدعاء مجلس النواب وتمديد ولايته وحله. ويتصرف الحاكم العام بناءً على مشورة رئيس الوزراء وغيره من وزراء الحكومة.</w:t>
      </w:r>
    </w:p>
    <w:p w:rsidR="00662946" w:rsidRDefault="00662946">
      <w:pPr>
        <w:pStyle w:val="SingleTxt"/>
        <w:jc w:val="both"/>
        <w:rPr>
          <w:rFonts w:hint="cs"/>
          <w:rtl/>
          <w:lang w:bidi="ar-EG"/>
        </w:rPr>
      </w:pPr>
      <w:r>
        <w:rPr>
          <w:rFonts w:hint="cs"/>
          <w:rtl/>
          <w:lang w:bidi="ar-EG"/>
        </w:rPr>
        <w:t>42 -</w:t>
      </w:r>
      <w:r>
        <w:rPr>
          <w:rFonts w:hint="cs"/>
          <w:rtl/>
          <w:lang w:bidi="ar-EG"/>
        </w:rPr>
        <w:tab/>
        <w:t xml:space="preserve">ينص الدستور على أن للبرلمان الصفة الكامنة لسن القوانين في سانت لوسيا. وهذه هي الطريقة التي تسن بها القوانين: يوضع مشروع القانون ويعرض على مجلس النواب حيث يشارك الأعضاء في مناقشته في القراءة الثانية، في مسعى للنظر بعناية في جميع جوانب الاقتراحات. وهذه المرحلة هي المرحلة التي تُبحث فيها مزايا مشروع القانون وعيوبه، وتدخل عليه تعديلات وتغييرات. ثم يعرض مشروع القانون على مجلس النواب من أجل القراءة الثالثة والتصويت عليه. وإما أن يعتمد مشروع القانون أو يرفض. وبعد التصويت على مشروع القانون واعتماده من قِبَل مجلس النواب بأغلبية يرسل إلى مجلس الشيوخ حيث يتَّبع إجراء مماثل. وحينئذ يصبح مشروع القانون قانوناً بعد قراءته الثالثة في مجلس الشيوخ. ويصبح مشروع القانون قانوناً عندما يوافق عليه الحاكم العام وفقاً لأحكام الدستور، ويأمر بنشره في الجريدة الرسمية بوصفه قانوناً. وبعد ذلك يبدأ سريان القانون. بيد أن البرلمان قد يؤجل سريان القانون، ويمكن أن يجعل القوانين بأثر رجعي. ومن الجدير بالملاحظة أن مجلس النواب قد يوافق على مشروع القانون ولا يوافق عليه مجلس الشيوخ، ومع ذلك فإنه يرسل إلى الحاكم العام للموافقة عليه. </w:t>
      </w:r>
    </w:p>
    <w:p w:rsidR="00662946" w:rsidRDefault="00662946">
      <w:pPr>
        <w:pStyle w:val="SingleTxt"/>
        <w:jc w:val="both"/>
        <w:rPr>
          <w:rFonts w:hint="cs"/>
          <w:rtl/>
          <w:lang w:bidi="ar-EG"/>
        </w:rPr>
      </w:pPr>
      <w:r>
        <w:rPr>
          <w:rFonts w:hint="cs"/>
          <w:rtl/>
          <w:lang w:bidi="ar-EG"/>
        </w:rPr>
        <w:t>43 -</w:t>
      </w:r>
      <w:r>
        <w:rPr>
          <w:rFonts w:hint="cs"/>
          <w:rtl/>
          <w:lang w:bidi="ar-EG"/>
        </w:rPr>
        <w:tab/>
        <w:t xml:space="preserve">تؤدي الهيئة القضائية المهمة الرئيسية الثالثة للحكومة. ويعهد بهذه المهمة القضائية إلى المحاكم. وهي المسؤولة أمام شعب الأمة عن المحافظة على النظام والقانون. وتعمل الهيئة القضائية على التقيد بالقوانين التي تقررها الهيئة التنفيذية وتوافق عليها الهيئة التشريعية. وقانون سانت لوسيا مستمد جزئياً من قانون باريس العرفي قبل تدوينه في عهد نابليون الأول، ويقوم القانون الوضعي على القانون البريطاني. </w:t>
      </w:r>
    </w:p>
    <w:p w:rsidR="00662946" w:rsidRDefault="00662946">
      <w:pPr>
        <w:pStyle w:val="SingleTxt"/>
        <w:jc w:val="both"/>
        <w:rPr>
          <w:rFonts w:hint="cs"/>
          <w:rtl/>
          <w:lang w:bidi="ar-EG"/>
        </w:rPr>
      </w:pPr>
      <w:r>
        <w:rPr>
          <w:rFonts w:hint="cs"/>
          <w:rtl/>
          <w:lang w:bidi="ar-EG"/>
        </w:rPr>
        <w:t>44 -</w:t>
      </w:r>
      <w:r>
        <w:rPr>
          <w:rFonts w:hint="cs"/>
          <w:rtl/>
          <w:lang w:bidi="ar-EG"/>
        </w:rPr>
        <w:tab/>
        <w:t>وللنظام القضائي ملمحان مهمان هما: أن جميع الأشخاص سواسية أمام القانون وأن أي مواطن يتهم بارتكاب جريمة يعتبر بريئاً إلى أن تثبت إدانته أمام محكمة قضائية. وتمارس المحاكم بجميع مستوياتها الاختصاصين المدني والقضائي.</w:t>
      </w:r>
    </w:p>
    <w:p w:rsidR="00662946" w:rsidRDefault="00662946">
      <w:pPr>
        <w:pStyle w:val="SingleTxt"/>
        <w:jc w:val="both"/>
        <w:rPr>
          <w:rFonts w:hint="cs"/>
          <w:rtl/>
          <w:lang w:bidi="ar-EG"/>
        </w:rPr>
      </w:pPr>
      <w:r>
        <w:rPr>
          <w:rFonts w:hint="cs"/>
          <w:rtl/>
          <w:lang w:bidi="ar-EG"/>
        </w:rPr>
        <w:t>45 -</w:t>
      </w:r>
      <w:r>
        <w:rPr>
          <w:rFonts w:hint="cs"/>
          <w:rtl/>
          <w:lang w:bidi="ar-EG"/>
        </w:rPr>
        <w:tab/>
        <w:t xml:space="preserve">توجد ثلاثة مستويات في نظام المحاكم وأعلى مستوى هو اللجنة القضائية لمجلس الملكة الخاص، وهو أيضاً محكمة الاستئناف العليا لأقاليم شرقي الكاريبي، بما فيها سانت لوسيا. </w:t>
      </w:r>
    </w:p>
    <w:p w:rsidR="00662946" w:rsidRDefault="00662946">
      <w:pPr>
        <w:pStyle w:val="SingleTxt"/>
        <w:jc w:val="both"/>
        <w:rPr>
          <w:rFonts w:hint="cs"/>
          <w:rtl/>
          <w:lang w:bidi="ar-EG"/>
        </w:rPr>
      </w:pPr>
      <w:r>
        <w:rPr>
          <w:rFonts w:hint="cs"/>
          <w:rtl/>
          <w:lang w:bidi="ar-EG"/>
        </w:rPr>
        <w:t>46 -</w:t>
      </w:r>
      <w:r>
        <w:rPr>
          <w:rFonts w:hint="cs"/>
          <w:rtl/>
          <w:lang w:bidi="ar-EG"/>
        </w:rPr>
        <w:tab/>
        <w:t>يتمثل المستوى الثاني في المحكمة العليا لشرقي الكاريبي التي تتألف من محكمة الاستئناف والمحكمة العليا. ويرأس قاضي القضاة محكمة الاستئناف والمحكمة العليا. ويساعده في المحكمة العليا مستشارين في المحكمة العليا، وتتشكل محكمة استئناف من أي ثلاثة منهم. وتعرض الدعاوى المدنية والجنائية الأخطر على المحكمة العليا. وتوجد محاكم أدنى مستوى محاكم الحياة أو المحاكم الجزئية أو محاكم الصلح. وهذه المحاكم مخولة بالنظر في المخالفات المدنية والدعوى المستعجلة والقضايا الجزئية، مثل مخالفات المرور والسرقات البسيطة.</w:t>
      </w:r>
    </w:p>
    <w:p w:rsidR="00662946" w:rsidRDefault="00662946">
      <w:pPr>
        <w:pStyle w:val="SingleTxt"/>
        <w:jc w:val="both"/>
        <w:rPr>
          <w:rFonts w:hint="cs"/>
          <w:rtl/>
          <w:lang w:bidi="ar-EG"/>
        </w:rPr>
      </w:pPr>
      <w:r>
        <w:rPr>
          <w:rFonts w:hint="cs"/>
          <w:rtl/>
          <w:lang w:bidi="ar-EG"/>
        </w:rPr>
        <w:t>47 -</w:t>
      </w:r>
      <w:r>
        <w:rPr>
          <w:rFonts w:hint="cs"/>
          <w:rtl/>
          <w:lang w:bidi="ar-EG"/>
        </w:rPr>
        <w:tab/>
        <w:t>ولجزء كبير من الفترة المشمولة بهذا التقرير كان يوجد حزبان سياسيان سائدان هما حزب العمال المتحدين وحزب عمال سانت لوسيا المعارض. وقد شُكِّلت أحزاب ثالثة لكن  لم يكن لها قط أي تأثير في الدوائر الانتخابية. وحُلَّت فيما بعد، وأنضم بعض أعضائها إلى حزب المعارضة الرئيسي في محاولة يائسة لإخراج الحزب الحاكم منذ مدة طويلة من الحكم. ويوجد أيضاً عدد قليل من المرشحين المستقلين. وفي سنة 1997 انتخب حزب عمال سانت لوسيا لتولي الحكم بعد سيطرة حزب العمال المتحد لمدة تزيد عن 20 سنة. وقد عُقدت الانتخابات الأخيرة في سنة 2001، ووفقاً للدستور فإن من المقرر عقد الانتخابات التالية في سنة 2006.</w:t>
      </w:r>
    </w:p>
    <w:p w:rsidR="00662946" w:rsidRDefault="00662946">
      <w:pPr>
        <w:pStyle w:val="SingleTxt"/>
        <w:jc w:val="both"/>
        <w:rPr>
          <w:rFonts w:hint="cs"/>
          <w:rtl/>
          <w:lang w:bidi="ar-EG"/>
        </w:rPr>
      </w:pPr>
      <w:r>
        <w:rPr>
          <w:rFonts w:hint="cs"/>
          <w:rtl/>
          <w:lang w:bidi="ar-EG"/>
        </w:rPr>
        <w:t>48 -</w:t>
      </w:r>
      <w:r>
        <w:rPr>
          <w:rFonts w:hint="cs"/>
          <w:rtl/>
          <w:lang w:bidi="ar-EG"/>
        </w:rPr>
        <w:tab/>
        <w:t xml:space="preserve">تعني الخدمة العامة </w:t>
      </w:r>
      <w:r>
        <w:rPr>
          <w:rFonts w:hint="eastAsia"/>
          <w:rtl/>
          <w:lang w:bidi="ar-EG"/>
        </w:rPr>
        <w:t>”</w:t>
      </w:r>
      <w:r>
        <w:rPr>
          <w:rFonts w:hint="cs"/>
          <w:i/>
          <w:iCs/>
          <w:rtl/>
          <w:lang w:bidi="ar-EG"/>
        </w:rPr>
        <w:t>خدمة الملكة بصفة مدنية</w:t>
      </w:r>
      <w:r>
        <w:rPr>
          <w:rFonts w:hint="eastAsia"/>
          <w:rtl/>
          <w:lang w:bidi="ar-EG"/>
        </w:rPr>
        <w:t xml:space="preserve">“. </w:t>
      </w:r>
      <w:r>
        <w:rPr>
          <w:rFonts w:hint="cs"/>
          <w:rtl/>
          <w:lang w:bidi="ar-EG"/>
        </w:rPr>
        <w:t xml:space="preserve">وهي تعمل وهي مسؤولة عن تنفيذ سياسة الحكومة. وتتكون من الإدارات الحكومية والوزارات وعدد من المنظمات الأساسية. ودور الخدمة العامة محدد في </w:t>
      </w:r>
      <w:r>
        <w:rPr>
          <w:rFonts w:hint="eastAsia"/>
          <w:rtl/>
          <w:lang w:bidi="ar-EG"/>
        </w:rPr>
        <w:t>”</w:t>
      </w:r>
      <w:r>
        <w:rPr>
          <w:rFonts w:hint="cs"/>
          <w:rtl/>
          <w:lang w:bidi="ar-EG"/>
        </w:rPr>
        <w:t>أوامر</w:t>
      </w:r>
      <w:r>
        <w:rPr>
          <w:rFonts w:hint="eastAsia"/>
          <w:rtl/>
          <w:lang w:bidi="ar-EG"/>
        </w:rPr>
        <w:t xml:space="preserve"> موظفي الخدمة العامة لسانت لوسيا</w:t>
      </w:r>
      <w:r>
        <w:rPr>
          <w:rFonts w:hint="cs"/>
          <w:rtl/>
          <w:lang w:bidi="ar-EG"/>
        </w:rPr>
        <w:t>“.</w:t>
      </w:r>
    </w:p>
    <w:p w:rsidR="00662946" w:rsidRDefault="00662946">
      <w:pPr>
        <w:pStyle w:val="SingleTxt"/>
        <w:jc w:val="both"/>
        <w:rPr>
          <w:rFonts w:hint="cs"/>
          <w:b/>
          <w:bCs/>
          <w:rtl/>
          <w:lang w:bidi="ar-EG"/>
        </w:rPr>
      </w:pPr>
      <w:r>
        <w:rPr>
          <w:rFonts w:hint="cs"/>
          <w:b/>
          <w:bCs/>
          <w:rtl/>
          <w:lang w:bidi="ar-EG"/>
        </w:rPr>
        <w:t>ثورة الحركة النسائية في سانت لوسيا</w:t>
      </w:r>
    </w:p>
    <w:p w:rsidR="00662946" w:rsidRDefault="00662946">
      <w:pPr>
        <w:pStyle w:val="SingleTxt"/>
        <w:jc w:val="both"/>
        <w:rPr>
          <w:rFonts w:hint="cs"/>
          <w:rtl/>
          <w:lang w:bidi="ar-EG"/>
        </w:rPr>
      </w:pPr>
      <w:r>
        <w:rPr>
          <w:rFonts w:hint="cs"/>
          <w:rtl/>
          <w:lang w:bidi="ar-EG"/>
        </w:rPr>
        <w:t>49 -</w:t>
      </w:r>
      <w:r>
        <w:rPr>
          <w:rFonts w:hint="cs"/>
          <w:rtl/>
          <w:lang w:bidi="ar-EG"/>
        </w:rPr>
        <w:tab/>
        <w:t xml:space="preserve">في سنة 1975 أعلنت الأمم المتحدة السنة الدولية للمرأة وكرس العقد التالي أيضاً للمرأة على مستوى العالم. ومثل هذان الإعلانان التأييد المثالي ووفرا نظم شبكة وبذل مسعى كامل لتحديث مصالح ورفاهية المرأة في سانت لوسيا. </w:t>
      </w:r>
    </w:p>
    <w:p w:rsidR="00662946" w:rsidRDefault="00662946">
      <w:pPr>
        <w:pStyle w:val="SingleTxt"/>
        <w:jc w:val="both"/>
        <w:rPr>
          <w:rFonts w:hint="cs"/>
          <w:rtl/>
          <w:lang w:bidi="ar-EG"/>
        </w:rPr>
      </w:pPr>
      <w:r>
        <w:rPr>
          <w:rFonts w:hint="cs"/>
          <w:rtl/>
          <w:lang w:bidi="ar-EG"/>
        </w:rPr>
        <w:t>50 -</w:t>
      </w:r>
      <w:r>
        <w:rPr>
          <w:rFonts w:hint="cs"/>
          <w:rtl/>
          <w:lang w:bidi="ar-EG"/>
        </w:rPr>
        <w:tab/>
        <w:t xml:space="preserve">شاركت سانت لوسيا خلال العقد في عدة حلقات تدريبية دولية وإقليمية ترمي إلى زيادة الوعي بشواغل المرأة. ومن الجدير بالملاحظة أن التمثيل في هذه الحلقات التدريبية والدراسية كان واسعاً وشاملاً فقد كان من بين المشتركين موظفون حكوميون وممثلون للمنظمات غير الحكومية وجمعيات مجتمعية. وبالمثل كانت المؤتمرات عريضة القاعدة وشملت مواضيع مثل القوانين الاجتماعية والمرأة والإدارة والإرشاد الأسري والمرأة في مجال الزراعة. </w:t>
      </w:r>
    </w:p>
    <w:p w:rsidR="00662946" w:rsidRDefault="00662946">
      <w:pPr>
        <w:pStyle w:val="SingleTxt"/>
        <w:jc w:val="both"/>
        <w:rPr>
          <w:rFonts w:hint="cs"/>
          <w:rtl/>
          <w:lang w:bidi="ar-EG"/>
        </w:rPr>
      </w:pPr>
      <w:r>
        <w:rPr>
          <w:rFonts w:hint="cs"/>
          <w:rtl/>
          <w:lang w:bidi="ar-EG"/>
        </w:rPr>
        <w:t>51 -</w:t>
      </w:r>
      <w:r>
        <w:rPr>
          <w:rFonts w:hint="cs"/>
          <w:rtl/>
          <w:lang w:bidi="ar-EG"/>
        </w:rPr>
        <w:tab/>
        <w:t>وزارة شؤون المرأة هي الوسيلة الرئيسية للحكومة لتعزيز وكفالة التنمية والتقدم الكاملين للمرأة. ومهمتها هي كما جاء في التقرير الوطني عن حالة المرأة (1994).</w:t>
      </w:r>
    </w:p>
    <w:p w:rsidR="00662946" w:rsidRDefault="00662946">
      <w:pPr>
        <w:pStyle w:val="SingleTxt"/>
        <w:ind w:left="1944" w:right="1264" w:hanging="680"/>
        <w:jc w:val="both"/>
        <w:rPr>
          <w:rFonts w:hint="cs"/>
          <w:i/>
          <w:iCs/>
          <w:rtl/>
          <w:lang w:bidi="ar-EG"/>
        </w:rPr>
      </w:pPr>
      <w:r>
        <w:rPr>
          <w:rFonts w:hint="cs"/>
          <w:rtl/>
          <w:lang w:bidi="ar-EG"/>
        </w:rPr>
        <w:tab/>
      </w:r>
      <w:r>
        <w:rPr>
          <w:rFonts w:hint="cs"/>
          <w:rtl/>
          <w:lang w:bidi="ar-EG"/>
        </w:rPr>
        <w:tab/>
      </w:r>
      <w:r>
        <w:rPr>
          <w:rFonts w:hint="cs"/>
          <w:i/>
          <w:iCs/>
          <w:rtl/>
          <w:lang w:bidi="ar-EG"/>
        </w:rPr>
        <w:t xml:space="preserve">تهيئة بيئة لمعالجة الاختلالات الجنسانية من خلال سياسات وبرامج ترمي إلى زيادة مشاركة المرأة إلى أقصى درجة في مبادرات التنمية الاجتماعية الاقتصادية الوطنية واستفادتها منها، وتحسين العلاقة بين الرجل والمرأة. </w:t>
      </w:r>
    </w:p>
    <w:p w:rsidR="00662946" w:rsidRDefault="00662946">
      <w:pPr>
        <w:pStyle w:val="SingleTxt"/>
        <w:jc w:val="both"/>
        <w:rPr>
          <w:rFonts w:hint="cs"/>
          <w:rtl/>
          <w:lang w:bidi="ar-EG"/>
        </w:rPr>
      </w:pPr>
      <w:r>
        <w:rPr>
          <w:rFonts w:hint="cs"/>
          <w:rtl/>
          <w:lang w:bidi="ar-EG"/>
        </w:rPr>
        <w:t>52 -</w:t>
      </w:r>
      <w:r>
        <w:rPr>
          <w:rFonts w:hint="cs"/>
          <w:rtl/>
          <w:lang w:bidi="ar-EG"/>
        </w:rPr>
        <w:tab/>
        <w:t>ترمي برامج هذه الوزارة كما جاء في التقرير إلى ما يلي:</w:t>
      </w:r>
    </w:p>
    <w:p w:rsidR="00662946" w:rsidRDefault="00662946">
      <w:pPr>
        <w:pStyle w:val="SingleTxt"/>
        <w:jc w:val="both"/>
        <w:rPr>
          <w:rFonts w:hint="cs"/>
          <w:rtl/>
          <w:lang w:bidi="ar-EG"/>
        </w:rPr>
      </w:pPr>
      <w:r>
        <w:rPr>
          <w:rFonts w:hint="cs"/>
          <w:rtl/>
          <w:lang w:bidi="ar-EG"/>
        </w:rPr>
        <w:tab/>
        <w:t>-</w:t>
      </w:r>
      <w:r>
        <w:rPr>
          <w:rFonts w:hint="cs"/>
          <w:rtl/>
          <w:lang w:bidi="ar-EG"/>
        </w:rPr>
        <w:tab/>
        <w:t>تحسين نوعية حياة المرأة؛</w:t>
      </w:r>
    </w:p>
    <w:p w:rsidR="00662946" w:rsidRDefault="00662946">
      <w:pPr>
        <w:pStyle w:val="SingleTxt"/>
        <w:jc w:val="both"/>
        <w:rPr>
          <w:rFonts w:hint="cs"/>
          <w:rtl/>
          <w:lang w:bidi="ar-EG"/>
        </w:rPr>
      </w:pPr>
      <w:r>
        <w:rPr>
          <w:rFonts w:hint="cs"/>
          <w:rtl/>
          <w:lang w:bidi="ar-EG"/>
        </w:rPr>
        <w:tab/>
        <w:t>-</w:t>
      </w:r>
      <w:r>
        <w:rPr>
          <w:rFonts w:hint="cs"/>
          <w:rtl/>
          <w:lang w:bidi="ar-EG"/>
        </w:rPr>
        <w:tab/>
        <w:t>تحقيق تساوي المرأة من حيث النتائج؛</w:t>
      </w:r>
    </w:p>
    <w:p w:rsidR="00662946" w:rsidRDefault="00662946">
      <w:pPr>
        <w:pStyle w:val="SingleTxt"/>
        <w:jc w:val="both"/>
        <w:rPr>
          <w:rFonts w:hint="cs"/>
          <w:rtl/>
          <w:lang w:bidi="ar-EG"/>
        </w:rPr>
      </w:pPr>
      <w:r>
        <w:rPr>
          <w:rFonts w:hint="cs"/>
          <w:rtl/>
          <w:lang w:bidi="ar-EG"/>
        </w:rPr>
        <w:tab/>
        <w:t>-</w:t>
      </w:r>
      <w:r>
        <w:rPr>
          <w:rFonts w:hint="cs"/>
          <w:rtl/>
          <w:lang w:bidi="ar-EG"/>
        </w:rPr>
        <w:tab/>
        <w:t>تحسين العلاقات بين الجنسين؛</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تحسين الخدمات الاستشارية الفنية المقدمة إلى كل من الحكومة وهيئات القطاع الخاص، والتعاون معاً على تنفيذ برامج تعالج الاختلالات الجنسانية وتلبي احتياجات المرأة؛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إيجاد وعي عام بالمسائل المتعلقة بالمساواة بين الجنسين ومساهمات المرأة في التنمية الوطنية؛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الاستجابة لاحتياجات وشواغل المرأة بتقديم مساعدة فنية إلى المنظمات غير الحكومية في مسعى لزيادة قدرتها على معالجة المسائل الجنسانية.</w:t>
      </w:r>
    </w:p>
    <w:p w:rsidR="00662946" w:rsidRDefault="00662946">
      <w:pPr>
        <w:pStyle w:val="SingleTxt"/>
        <w:jc w:val="both"/>
        <w:rPr>
          <w:rFonts w:hint="cs"/>
          <w:rtl/>
          <w:lang w:bidi="ar-EG"/>
        </w:rPr>
      </w:pPr>
      <w:r>
        <w:rPr>
          <w:rFonts w:hint="cs"/>
          <w:rtl/>
          <w:lang w:bidi="ar-EG"/>
        </w:rPr>
        <w:t>53 -</w:t>
      </w:r>
      <w:r>
        <w:rPr>
          <w:rFonts w:hint="cs"/>
          <w:rtl/>
          <w:lang w:bidi="ar-EG"/>
        </w:rPr>
        <w:tab/>
        <w:t>مع السياسة الوطنية جاء اعتماد خطة العمل الخماسية (1990-1995). وتتمثل العناصر الرئيسية لهذه الخطة في بحوث وجمع بيانات والتعليم والتدريب، ووضع السياسات ورصدها، وإدرار الدخل للمرأة، وإقامة الشبكات، وتقديم المشورة، وأعمال الدعوة/الأعمال الإرشادية. وأدت الصعوبات التي واجهتها شعبة شؤون المرأة في تنفيذ خطة العمل الخماسية إلى استعراض استشاري قامت به هذه الإدارة وموله برنامج الأمم المتحدة الإنمائي. وأبرز الاستعراض ضرورة تعزيز القدرة المؤسسية للآلية للتأثير في الإطار الإنمائي الكبير. واعتبر دمج شعبة شؤون المرأة وشعبة الشؤون القانونية في سنة 1994، على الرغم من استمراره لفترة قصيرة، خطوة في الاتجاه المنشود، لا سيما في ضوء أنه كانت ترأس هذه الوزارة الوزيرة الوحيدة في الحكومة في ذلك الوقت.</w:t>
      </w:r>
    </w:p>
    <w:p w:rsidR="00662946" w:rsidRDefault="00662946">
      <w:pPr>
        <w:pStyle w:val="SingleTxt"/>
        <w:jc w:val="both"/>
        <w:rPr>
          <w:rFonts w:hint="cs"/>
          <w:rtl/>
          <w:lang w:bidi="ar-EG"/>
        </w:rPr>
      </w:pPr>
      <w:r>
        <w:rPr>
          <w:rFonts w:hint="cs"/>
          <w:rtl/>
          <w:lang w:bidi="ar-EG"/>
        </w:rPr>
        <w:t>54 -</w:t>
      </w:r>
      <w:r>
        <w:rPr>
          <w:rFonts w:hint="cs"/>
          <w:rtl/>
          <w:lang w:bidi="ar-EG"/>
        </w:rPr>
        <w:tab/>
        <w:t>في سنة 1997 أُلحقت الآلية الوطنية للنهوض بالمرأة بوزارة الصحة والخدمات الإنسانية وشؤون الأسرة والعلاقات بين الجنسين وأصبحت جزءاً منها. وتعبيراً عن التزام الحكومة في نفس تلك السنة عُيِّنت لجنة استشارية وطنية معنية بالمسائل الجنسانية والتنمية لتقديم المشورة إلى الوزير فيما يتعلق بمسائل السياسة المتصلة بالمرأة.</w:t>
      </w:r>
    </w:p>
    <w:p w:rsidR="00662946" w:rsidRDefault="00662946">
      <w:pPr>
        <w:pStyle w:val="SingleTxt"/>
        <w:jc w:val="both"/>
        <w:rPr>
          <w:rFonts w:hint="cs"/>
          <w:rtl/>
          <w:lang w:bidi="ar-EG"/>
        </w:rPr>
      </w:pPr>
      <w:r>
        <w:rPr>
          <w:rFonts w:hint="cs"/>
          <w:rtl/>
          <w:lang w:bidi="ar-EG"/>
        </w:rPr>
        <w:t>55 -</w:t>
      </w:r>
      <w:r>
        <w:rPr>
          <w:rFonts w:hint="cs"/>
          <w:rtl/>
          <w:lang w:bidi="ar-EG"/>
        </w:rPr>
        <w:tab/>
        <w:t>اقترحت منظمات غير حكومية وغيرها من أصحاب المصلحة أن التغيير المستمر في التركيز والتسمية في الشعبة عبر السنين ربما قد أضر بقضية المرأة وبالتزام البلد بالاتفاقية ومقتضياتها. ورؤية الأدلة على ذلك في التأخر في تقديم التقرير الأول عن تنفيذ الاتفاقية على الرغم من إعداد تقريرين على الأقل عبر السنين.</w:t>
      </w:r>
    </w:p>
    <w:p w:rsidR="00662946" w:rsidRDefault="00662946">
      <w:pPr>
        <w:pStyle w:val="SingleTxt"/>
        <w:jc w:val="both"/>
        <w:rPr>
          <w:rFonts w:hint="cs"/>
          <w:rtl/>
          <w:lang w:bidi="ar-EG"/>
        </w:rPr>
      </w:pPr>
      <w:r>
        <w:rPr>
          <w:rFonts w:hint="cs"/>
          <w:rtl/>
          <w:lang w:bidi="ar-EG"/>
        </w:rPr>
        <w:t>56 -</w:t>
      </w:r>
      <w:r>
        <w:rPr>
          <w:rFonts w:hint="cs"/>
          <w:rtl/>
          <w:lang w:bidi="ar-EG"/>
        </w:rPr>
        <w:tab/>
        <w:t xml:space="preserve">كان يوجد على مدى السنوات التزام متجدد ومتزايد بالقضاء على التمييز ضد المرأة في سانت لوسيا. ومع الانتخابات العامة لسنة 1997 انتخبت حكومة جديدة لحزب العمل، وأدت الحكومة الجديدة التزامها بقضية المرأة بضمان المساواة للمرأة باعتبارها جزءاً من برنامجها السياسي، </w:t>
      </w:r>
      <w:r>
        <w:rPr>
          <w:rFonts w:hint="eastAsia"/>
          <w:rtl/>
          <w:lang w:bidi="ar-EG"/>
        </w:rPr>
        <w:t>”عقد الثقة</w:t>
      </w:r>
      <w:r>
        <w:rPr>
          <w:rFonts w:hint="cs"/>
          <w:rtl/>
          <w:lang w:bidi="ar-EG"/>
        </w:rPr>
        <w:t xml:space="preserve">“. وأُدرجت فيه النصوص التالية: </w:t>
      </w:r>
    </w:p>
    <w:p w:rsidR="00662946" w:rsidRDefault="00662946">
      <w:pPr>
        <w:pStyle w:val="SingleTxt"/>
        <w:jc w:val="both"/>
        <w:rPr>
          <w:rFonts w:hint="cs"/>
          <w:rtl/>
          <w:lang w:bidi="ar-EG"/>
        </w:rPr>
      </w:pPr>
      <w:r>
        <w:rPr>
          <w:rFonts w:hint="cs"/>
          <w:rtl/>
          <w:lang w:bidi="ar-EG"/>
        </w:rPr>
        <w:tab/>
        <w:t>•</w:t>
      </w:r>
      <w:r>
        <w:rPr>
          <w:rFonts w:hint="cs"/>
          <w:rtl/>
          <w:lang w:bidi="ar-EG"/>
        </w:rPr>
        <w:tab/>
        <w:t>ضمان التكافؤ في الفرص والمساواة في الأجر للمرأة؛</w:t>
      </w:r>
    </w:p>
    <w:p w:rsidR="00662946" w:rsidRDefault="00662946">
      <w:pPr>
        <w:pStyle w:val="SingleTxt"/>
        <w:jc w:val="both"/>
        <w:rPr>
          <w:rFonts w:hint="cs"/>
          <w:rtl/>
          <w:lang w:bidi="ar-EG"/>
        </w:rPr>
      </w:pPr>
      <w:r>
        <w:rPr>
          <w:rFonts w:hint="cs"/>
          <w:rtl/>
          <w:lang w:bidi="ar-EG"/>
        </w:rPr>
        <w:tab/>
        <w:t>•</w:t>
      </w:r>
      <w:r>
        <w:rPr>
          <w:rFonts w:hint="cs"/>
          <w:rtl/>
          <w:lang w:bidi="ar-EG"/>
        </w:rPr>
        <w:tab/>
        <w:t>زيادة وتحسين مستحقات الأمومة والأسرة التي تصرفها الدولة؛</w:t>
      </w:r>
    </w:p>
    <w:p w:rsidR="00662946" w:rsidRDefault="00662946">
      <w:pPr>
        <w:pStyle w:val="SingleTxt"/>
        <w:jc w:val="both"/>
        <w:rPr>
          <w:rFonts w:hint="cs"/>
          <w:rtl/>
          <w:lang w:bidi="ar-EG"/>
        </w:rPr>
      </w:pPr>
      <w:r>
        <w:rPr>
          <w:rFonts w:hint="cs"/>
          <w:rtl/>
          <w:lang w:bidi="ar-EG"/>
        </w:rPr>
        <w:tab/>
        <w:t>•</w:t>
      </w:r>
      <w:r>
        <w:rPr>
          <w:rFonts w:hint="cs"/>
          <w:rtl/>
          <w:lang w:bidi="ar-EG"/>
        </w:rPr>
        <w:tab/>
        <w:t xml:space="preserve">تشجيع وتعزيز المنظمات النسائية لإدماجها رسمياً في العملية الوطنية لاتخاذ </w:t>
      </w:r>
      <w:r>
        <w:rPr>
          <w:rtl/>
          <w:lang w:bidi="ar-EG"/>
        </w:rPr>
        <w:tab/>
      </w:r>
      <w:r>
        <w:rPr>
          <w:rFonts w:hint="cs"/>
          <w:rtl/>
          <w:lang w:bidi="ar-EG"/>
        </w:rPr>
        <w:tab/>
        <w:t>القرارات؛</w:t>
      </w:r>
    </w:p>
    <w:p w:rsidR="00662946" w:rsidRDefault="00662946">
      <w:pPr>
        <w:pStyle w:val="SingleTxt"/>
        <w:jc w:val="both"/>
        <w:rPr>
          <w:rFonts w:hint="cs"/>
          <w:rtl/>
          <w:lang w:bidi="ar-EG"/>
        </w:rPr>
      </w:pPr>
      <w:r>
        <w:rPr>
          <w:rFonts w:hint="cs"/>
          <w:rtl/>
          <w:lang w:bidi="ar-EG"/>
        </w:rPr>
        <w:tab/>
        <w:t>•</w:t>
      </w:r>
      <w:r>
        <w:rPr>
          <w:rFonts w:hint="cs"/>
          <w:rtl/>
          <w:lang w:bidi="ar-EG"/>
        </w:rPr>
        <w:tab/>
        <w:t>استعراض وتحديث القانون المتعلق بالتحرش الجنسي بالمرأة في مكان العمل؛</w:t>
      </w:r>
    </w:p>
    <w:p w:rsidR="00662946" w:rsidRDefault="00662946">
      <w:pPr>
        <w:pStyle w:val="SingleTxt"/>
        <w:jc w:val="both"/>
        <w:rPr>
          <w:rFonts w:hint="cs"/>
          <w:rtl/>
          <w:lang w:bidi="ar-EG"/>
        </w:rPr>
      </w:pPr>
      <w:r>
        <w:rPr>
          <w:rFonts w:hint="cs"/>
          <w:rtl/>
          <w:lang w:bidi="ar-EG"/>
        </w:rPr>
        <w:tab/>
        <w:t>•</w:t>
      </w:r>
      <w:r>
        <w:rPr>
          <w:rFonts w:hint="cs"/>
          <w:rtl/>
          <w:lang w:bidi="ar-EG"/>
        </w:rPr>
        <w:tab/>
        <w:t xml:space="preserve">التعاون مع مركز الأزمات لتوفير المأوى للنساء اللائي تعرضن للضرب </w:t>
      </w:r>
      <w:r>
        <w:rPr>
          <w:rFonts w:hint="cs"/>
          <w:rtl/>
          <w:lang w:bidi="ar-EG"/>
        </w:rPr>
        <w:tab/>
      </w:r>
      <w:r>
        <w:rPr>
          <w:rFonts w:hint="cs"/>
          <w:rtl/>
          <w:lang w:bidi="ar-EG"/>
        </w:rPr>
        <w:tab/>
        <w:t>والاعتداء؛</w:t>
      </w:r>
    </w:p>
    <w:p w:rsidR="00662946" w:rsidRDefault="00662946">
      <w:pPr>
        <w:pStyle w:val="SingleTxt"/>
        <w:jc w:val="both"/>
        <w:rPr>
          <w:rFonts w:hint="cs"/>
          <w:rtl/>
          <w:lang w:bidi="ar-EG"/>
        </w:rPr>
      </w:pPr>
      <w:r>
        <w:rPr>
          <w:rFonts w:hint="cs"/>
          <w:rtl/>
          <w:lang w:bidi="ar-EG"/>
        </w:rPr>
        <w:tab/>
        <w:t>•</w:t>
      </w:r>
      <w:r>
        <w:rPr>
          <w:rFonts w:hint="cs"/>
          <w:rtl/>
          <w:lang w:bidi="ar-EG"/>
        </w:rPr>
        <w:tab/>
        <w:t xml:space="preserve">المساعدة على توفير مستشارين مهنيين مدربين ومؤهلين للعمل مع النساء </w:t>
      </w:r>
      <w:r>
        <w:rPr>
          <w:rFonts w:hint="cs"/>
          <w:rtl/>
          <w:lang w:bidi="ar-EG"/>
        </w:rPr>
        <w:tab/>
      </w:r>
      <w:r>
        <w:rPr>
          <w:rFonts w:hint="cs"/>
          <w:rtl/>
          <w:lang w:bidi="ar-EG"/>
        </w:rPr>
        <w:tab/>
        <w:t>اللائي تعرضن للضرب والاعتداء؛</w:t>
      </w:r>
    </w:p>
    <w:p w:rsidR="00662946" w:rsidRDefault="00662946">
      <w:pPr>
        <w:pStyle w:val="SingleTxt"/>
        <w:jc w:val="both"/>
        <w:rPr>
          <w:rFonts w:hint="cs"/>
          <w:rtl/>
          <w:lang w:bidi="ar-EG"/>
        </w:rPr>
      </w:pPr>
      <w:r>
        <w:rPr>
          <w:rFonts w:hint="cs"/>
          <w:rtl/>
          <w:lang w:bidi="ar-EG"/>
        </w:rPr>
        <w:tab/>
        <w:t>•</w:t>
      </w:r>
      <w:r>
        <w:rPr>
          <w:rFonts w:hint="cs"/>
          <w:rtl/>
          <w:lang w:bidi="ar-EG"/>
        </w:rPr>
        <w:tab/>
        <w:t>توفير الوصول بسهولة إلى مرافق الرعاية الصحية السليمة بتكاليف معقولة؛</w:t>
      </w:r>
    </w:p>
    <w:p w:rsidR="00662946" w:rsidRDefault="00662946">
      <w:pPr>
        <w:pStyle w:val="SingleTxt"/>
        <w:jc w:val="both"/>
        <w:rPr>
          <w:rFonts w:hint="cs"/>
          <w:rtl/>
          <w:lang w:bidi="ar-EG"/>
        </w:rPr>
      </w:pPr>
      <w:r>
        <w:rPr>
          <w:rFonts w:hint="cs"/>
          <w:rtl/>
          <w:lang w:bidi="ar-EG"/>
        </w:rPr>
        <w:tab/>
        <w:t>•</w:t>
      </w:r>
      <w:r>
        <w:rPr>
          <w:rFonts w:hint="cs"/>
          <w:rtl/>
          <w:lang w:bidi="ar-EG"/>
        </w:rPr>
        <w:tab/>
        <w:t xml:space="preserve">إزالة جميع الحواجز التي تعرقل حالياً إدماج المرأة في عملية اتخاذ القرارات </w:t>
      </w:r>
      <w:r>
        <w:rPr>
          <w:rFonts w:hint="cs"/>
          <w:rtl/>
          <w:lang w:bidi="ar-EG"/>
        </w:rPr>
        <w:tab/>
      </w:r>
      <w:r>
        <w:rPr>
          <w:rFonts w:hint="cs"/>
          <w:rtl/>
          <w:lang w:bidi="ar-EG"/>
        </w:rPr>
        <w:tab/>
        <w:t>على جميع المستويات؛</w:t>
      </w:r>
    </w:p>
    <w:p w:rsidR="00662946" w:rsidRDefault="00662946">
      <w:pPr>
        <w:pStyle w:val="SingleTxt"/>
        <w:jc w:val="both"/>
        <w:rPr>
          <w:rFonts w:hint="cs"/>
          <w:rtl/>
          <w:lang w:bidi="ar-EG"/>
        </w:rPr>
      </w:pPr>
      <w:r>
        <w:rPr>
          <w:rFonts w:hint="cs"/>
          <w:rtl/>
          <w:lang w:bidi="ar-EG"/>
        </w:rPr>
        <w:tab/>
        <w:t>•</w:t>
      </w:r>
      <w:r>
        <w:rPr>
          <w:rFonts w:hint="cs"/>
          <w:rtl/>
          <w:lang w:bidi="ar-EG"/>
        </w:rPr>
        <w:tab/>
        <w:t xml:space="preserve">العمل على توفير خدمات رعاية الطفل بأسعار معقولة لجميع النساء </w:t>
      </w:r>
      <w:r>
        <w:rPr>
          <w:rFonts w:hint="cs"/>
          <w:rtl/>
          <w:lang w:bidi="ar-EG"/>
        </w:rPr>
        <w:tab/>
      </w:r>
      <w:r>
        <w:rPr>
          <w:rFonts w:hint="cs"/>
          <w:rtl/>
          <w:lang w:bidi="ar-EG"/>
        </w:rPr>
        <w:tab/>
        <w:t>العاملات، ولا سيما الأمهات الشابات؛</w:t>
      </w:r>
    </w:p>
    <w:p w:rsidR="00662946" w:rsidRDefault="00662946">
      <w:pPr>
        <w:pStyle w:val="SingleTxt"/>
        <w:jc w:val="both"/>
        <w:rPr>
          <w:rFonts w:hint="cs"/>
          <w:rtl/>
          <w:lang w:bidi="ar-EG"/>
        </w:rPr>
      </w:pPr>
      <w:r>
        <w:rPr>
          <w:rFonts w:hint="cs"/>
          <w:rtl/>
          <w:lang w:bidi="ar-EG"/>
        </w:rPr>
        <w:tab/>
        <w:t>•</w:t>
      </w:r>
      <w:r>
        <w:rPr>
          <w:rFonts w:hint="cs"/>
          <w:rtl/>
          <w:lang w:bidi="ar-EG"/>
        </w:rPr>
        <w:tab/>
        <w:t>كفالة توفير تسهيلات من أجل مواصلة تعليم الأمهات المراهقات؛</w:t>
      </w:r>
    </w:p>
    <w:p w:rsidR="00662946" w:rsidRDefault="00662946">
      <w:pPr>
        <w:pStyle w:val="SingleTxt"/>
        <w:jc w:val="both"/>
        <w:rPr>
          <w:rFonts w:hint="cs"/>
          <w:rtl/>
          <w:lang w:bidi="ar-EG"/>
        </w:rPr>
      </w:pPr>
      <w:r>
        <w:rPr>
          <w:rFonts w:hint="cs"/>
          <w:rtl/>
          <w:lang w:bidi="ar-EG"/>
        </w:rPr>
        <w:tab/>
        <w:t>•</w:t>
      </w:r>
      <w:r>
        <w:rPr>
          <w:rFonts w:hint="cs"/>
          <w:rtl/>
          <w:lang w:bidi="ar-EG"/>
        </w:rPr>
        <w:tab/>
        <w:t>تأمين وصول جميع النساء إلى التعليم والتدريب.</w:t>
      </w:r>
    </w:p>
    <w:p w:rsidR="00662946" w:rsidRDefault="00662946">
      <w:pPr>
        <w:pStyle w:val="SingleTxt"/>
        <w:jc w:val="both"/>
        <w:rPr>
          <w:rFonts w:hint="cs"/>
          <w:rtl/>
          <w:lang w:bidi="ar-EG"/>
        </w:rPr>
      </w:pPr>
      <w:r>
        <w:rPr>
          <w:rFonts w:hint="cs"/>
          <w:rtl/>
          <w:lang w:bidi="ar-EG"/>
        </w:rPr>
        <w:t>57 -</w:t>
      </w:r>
      <w:r>
        <w:rPr>
          <w:rFonts w:hint="cs"/>
          <w:rtl/>
          <w:lang w:bidi="ar-EG"/>
        </w:rPr>
        <w:tab/>
        <w:t>بحلول سنة 2002، بعد وجود شعبة العلاقات الجنسانية باعتبارها جزءاً من وزارة الصحة كانت الشعبة قد حققت قدراً من الاستمرارية والاستقرار وأصبحت تعتبر من جانب شعب سانت لوسيا الوحدة الأساسية والهيئة المسؤولة عن قضايا المرأة والعلاقات الجنسانية في الحكومة في سانت لوسيا.</w:t>
      </w:r>
    </w:p>
    <w:p w:rsidR="00662946" w:rsidRDefault="00662946">
      <w:pPr>
        <w:pStyle w:val="SingleTxt"/>
        <w:jc w:val="both"/>
        <w:rPr>
          <w:rFonts w:hint="cs"/>
          <w:rtl/>
          <w:lang w:bidi="ar-EG"/>
        </w:rPr>
      </w:pPr>
    </w:p>
    <w:p w:rsidR="00662946" w:rsidRDefault="00662946">
      <w:pPr>
        <w:pStyle w:val="SingleTxt"/>
        <w:jc w:val="center"/>
        <w:rPr>
          <w:rFonts w:hint="cs"/>
          <w:b/>
          <w:bCs/>
          <w:rtl/>
          <w:lang w:bidi="ar-EG"/>
        </w:rPr>
      </w:pPr>
      <w:r>
        <w:rPr>
          <w:rtl/>
          <w:lang w:bidi="ar-EG"/>
        </w:rPr>
        <w:br w:type="page"/>
      </w:r>
      <w:r>
        <w:rPr>
          <w:rFonts w:hint="cs"/>
          <w:b/>
          <w:bCs/>
          <w:rtl/>
          <w:lang w:bidi="ar-EG"/>
        </w:rPr>
        <w:t xml:space="preserve">الجزء الثاني </w:t>
      </w:r>
    </w:p>
    <w:p w:rsidR="00662946" w:rsidRDefault="00662946">
      <w:pPr>
        <w:pStyle w:val="SingleTxt"/>
        <w:jc w:val="center"/>
        <w:rPr>
          <w:rFonts w:hint="cs"/>
          <w:b/>
          <w:bCs/>
          <w:rtl/>
          <w:lang w:bidi="ar-EG"/>
        </w:rPr>
      </w:pP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lang w:bidi="ar-EG"/>
        </w:rPr>
      </w:pPr>
      <w:r>
        <w:rPr>
          <w:rFonts w:hint="cs"/>
          <w:i/>
          <w:iCs/>
          <w:rtl/>
          <w:lang w:bidi="ar-EG"/>
        </w:rPr>
        <w:t>المادة 1:</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lang w:bidi="ar-EG"/>
        </w:rPr>
      </w:pPr>
      <w:r>
        <w:rPr>
          <w:rFonts w:hint="cs"/>
          <w:rtl/>
          <w:lang w:bidi="ar-EG"/>
        </w:rPr>
        <w:tab/>
      </w:r>
      <w:r>
        <w:rPr>
          <w:rFonts w:hint="cs"/>
          <w:rtl/>
          <w:lang w:bidi="ar-EG"/>
        </w:rPr>
        <w:tab/>
      </w:r>
      <w:r>
        <w:rPr>
          <w:rFonts w:hint="cs"/>
          <w:i/>
          <w:iCs/>
          <w:rtl/>
          <w:lang w:bidi="ar-EG"/>
        </w:rPr>
        <w:t xml:space="preserve">لأغراض هذه الاتفاقية يعني مصطلح </w:t>
      </w:r>
      <w:r>
        <w:rPr>
          <w:rFonts w:hint="eastAsia"/>
          <w:i/>
          <w:iCs/>
          <w:rtl/>
          <w:lang w:bidi="ar-EG"/>
        </w:rPr>
        <w:t>”التمييز ضد المرأة</w:t>
      </w:r>
      <w:r>
        <w:rPr>
          <w:rFonts w:hint="cs"/>
          <w:i/>
          <w:iCs/>
          <w:rtl/>
          <w:lang w:bidi="ar-EG"/>
        </w:rPr>
        <w:t>“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662946" w:rsidRDefault="00662946">
      <w:pPr>
        <w:pStyle w:val="SingleTxt"/>
        <w:jc w:val="both"/>
        <w:rPr>
          <w:rFonts w:hint="cs"/>
          <w:rtl/>
          <w:lang w:bidi="ar-EG"/>
        </w:rPr>
      </w:pPr>
      <w:r>
        <w:rPr>
          <w:rFonts w:hint="cs"/>
          <w:rtl/>
          <w:lang w:bidi="ar-EG"/>
        </w:rPr>
        <w:t xml:space="preserve">1-1 </w:t>
      </w:r>
      <w:r>
        <w:rPr>
          <w:rFonts w:hint="cs"/>
          <w:rtl/>
          <w:lang w:bidi="ar-EG"/>
        </w:rPr>
        <w:tab/>
        <w:t xml:space="preserve">يبطل القسم 13 من دستور سانت لوسيا آثر أي قانون تمييزي في حد ذاته أو في أثره. وتعرف لفظة </w:t>
      </w:r>
      <w:r>
        <w:rPr>
          <w:rFonts w:hint="eastAsia"/>
          <w:rtl/>
          <w:lang w:bidi="ar-EG"/>
        </w:rPr>
        <w:t>”تمييزي</w:t>
      </w:r>
      <w:r>
        <w:rPr>
          <w:rFonts w:hint="cs"/>
          <w:rtl/>
          <w:lang w:bidi="ar-EG"/>
        </w:rPr>
        <w:t>“ ضمن هذا القسم كما يلي</w:t>
      </w:r>
    </w:p>
    <w:p w:rsidR="00662946" w:rsidRDefault="00662946">
      <w:pPr>
        <w:pStyle w:val="SingleTxt"/>
        <w:ind w:left="1944" w:right="1264" w:hanging="680"/>
        <w:jc w:val="both"/>
        <w:rPr>
          <w:rFonts w:hint="cs"/>
          <w:i/>
          <w:iCs/>
          <w:rtl/>
          <w:lang w:bidi="ar-EG"/>
        </w:rPr>
      </w:pPr>
      <w:r>
        <w:rPr>
          <w:rFonts w:hint="cs"/>
          <w:rtl/>
          <w:lang w:bidi="ar-EG"/>
        </w:rPr>
        <w:tab/>
      </w:r>
      <w:r>
        <w:rPr>
          <w:rFonts w:hint="cs"/>
          <w:rtl/>
          <w:lang w:bidi="ar-EG"/>
        </w:rPr>
        <w:tab/>
      </w:r>
      <w:r>
        <w:rPr>
          <w:rFonts w:hint="cs"/>
          <w:i/>
          <w:iCs/>
          <w:rtl/>
          <w:lang w:bidi="ar-EG"/>
        </w:rPr>
        <w:t>... معاملة الأشخاص المختلفين معاملة مختلفة على نحو يعزى كلياً أو أساساً إلى أوصافهم المختلفة حسب الجنس أو العرق أو المنشأ أو الآراء السياسية أو اللون أو العقيدة بحيث يتعرض الأشخاص الذين ينطبق عليهم هذا الوصف لإعاقات أو تقييدات لا يتعرض لها الأشخاص الذين لا ينطبق عليهم هذا الوصف أو يمنحون امتيازات أو مزايا لا تمنح للأشخاص الذين ينطبق عليهم وصف آخر.</w:t>
      </w:r>
    </w:p>
    <w:p w:rsidR="00662946" w:rsidRDefault="00662946">
      <w:pPr>
        <w:pStyle w:val="SingleTxt"/>
        <w:jc w:val="both"/>
        <w:rPr>
          <w:rFonts w:hint="cs"/>
          <w:rtl/>
          <w:lang w:bidi="ar-EG"/>
        </w:rPr>
      </w:pPr>
      <w:r>
        <w:rPr>
          <w:rFonts w:hint="cs"/>
          <w:rtl/>
          <w:lang w:bidi="ar-EG"/>
        </w:rPr>
        <w:t>1-2</w:t>
      </w:r>
      <w:r>
        <w:rPr>
          <w:rFonts w:hint="cs"/>
          <w:rtl/>
          <w:lang w:bidi="ar-EG"/>
        </w:rPr>
        <w:tab/>
        <w:t>تضمن لكل مواطن في سانت لوسيا الحقوق والحريات الأساسية باعتبارها جزءاً من البند 1 من الدستور. ولذا فإنه فيما يتعلق بالإطار القانوني توجد أحكام لضمان امتثال البلد لأحكام الاتفاقية. وعلى الرغم من الصكوك القانونية والدستورية التي تحظر التمييز ضد المرأة وتعترف بمساواتها بالرجل فإن هناك حاجة ماسة إلى تحويل هذا الالتزام القانوني إلى تغييرات إيجابية في المواقف والقيم والتصرفات العامة. وتلزم توعية عامة واسعة النطاق وقبول وتأييد عام لجعل مساواة المرأة بالرجل والقضاء على التمييز ضد المرأة حقيقة واقعة.</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rPr>
      </w:pPr>
      <w:r>
        <w:rPr>
          <w:rFonts w:hint="cs"/>
          <w:i/>
          <w:iCs/>
          <w:rtl/>
          <w:lang w:bidi="ar-EG"/>
        </w:rPr>
        <w:t>المادة 2:</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rPr>
      </w:pPr>
      <w:r>
        <w:rPr>
          <w:rFonts w:hint="cs"/>
          <w:i/>
          <w:iCs/>
          <w:rtl/>
        </w:rPr>
        <w:tab/>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rPr>
      </w:pPr>
      <w:r>
        <w:rPr>
          <w:rFonts w:hint="cs"/>
          <w:i/>
          <w:iCs/>
          <w:rtl/>
        </w:rPr>
        <w:tab/>
      </w:r>
      <w:r>
        <w:rPr>
          <w:rFonts w:hint="cs"/>
          <w:i/>
          <w:iCs/>
          <w:rtl/>
        </w:rPr>
        <w:tab/>
        <w:t>(أ)</w:t>
      </w:r>
      <w:r>
        <w:rPr>
          <w:rFonts w:hint="cs"/>
          <w:i/>
          <w:iCs/>
          <w:rtl/>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rPr>
      </w:pPr>
      <w:r>
        <w:rPr>
          <w:rFonts w:hint="cs"/>
          <w:i/>
          <w:iCs/>
          <w:rtl/>
        </w:rPr>
        <w:tab/>
      </w:r>
      <w:r>
        <w:rPr>
          <w:rFonts w:hint="cs"/>
          <w:i/>
          <w:iCs/>
          <w:rtl/>
        </w:rPr>
        <w:tab/>
        <w:t>(ب)</w:t>
      </w:r>
      <w:r>
        <w:rPr>
          <w:rFonts w:hint="cs"/>
          <w:i/>
          <w:iCs/>
          <w:rtl/>
        </w:rPr>
        <w:tab/>
        <w:t>اتخاذ المناسب من التدابير التشريعية وغيرها، بما في ذلك ما يقتضيه الأمر من جزاءات، لحظر كل تمييز ضد المرأة؛</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rPr>
      </w:pPr>
      <w:r>
        <w:rPr>
          <w:rFonts w:hint="cs"/>
          <w:i/>
          <w:iCs/>
          <w:rtl/>
        </w:rPr>
        <w:tab/>
      </w:r>
      <w:r>
        <w:rPr>
          <w:rFonts w:hint="cs"/>
          <w:i/>
          <w:iCs/>
          <w:rtl/>
        </w:rPr>
        <w:tab/>
        <w:t>(ج)</w:t>
      </w:r>
      <w:r>
        <w:rPr>
          <w:rFonts w:hint="cs"/>
          <w:i/>
          <w:iCs/>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rPr>
      </w:pPr>
      <w:r>
        <w:rPr>
          <w:rFonts w:hint="cs"/>
          <w:i/>
          <w:iCs/>
          <w:rtl/>
        </w:rPr>
        <w:tab/>
      </w:r>
      <w:r>
        <w:rPr>
          <w:rFonts w:hint="cs"/>
          <w:i/>
          <w:iCs/>
          <w:rtl/>
        </w:rPr>
        <w:tab/>
        <w:t>(د)</w:t>
      </w:r>
      <w:r>
        <w:rPr>
          <w:rFonts w:hint="cs"/>
          <w:i/>
          <w:iCs/>
          <w:rtl/>
        </w:rPr>
        <w:tab/>
        <w:t>الامتناع عن الاضطلاع بأي عمل أو ممارسة تمييزية ضد المرأة، وكفالة تصرف السلطات والمؤسسات العامة بما يتفق وهذا الالتزام؛</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rPr>
      </w:pPr>
      <w:r>
        <w:rPr>
          <w:rFonts w:hint="cs"/>
          <w:i/>
          <w:iCs/>
          <w:rtl/>
        </w:rPr>
        <w:tab/>
      </w:r>
      <w:r>
        <w:rPr>
          <w:rFonts w:hint="cs"/>
          <w:i/>
          <w:iCs/>
          <w:rtl/>
        </w:rPr>
        <w:tab/>
        <w:t>(هـ)</w:t>
      </w:r>
      <w:r>
        <w:rPr>
          <w:rFonts w:hint="cs"/>
          <w:i/>
          <w:iCs/>
          <w:rtl/>
        </w:rPr>
        <w:tab/>
        <w:t>اتخاذ جميع التدابير المناسبة للقضاء على التمييز ضد المرأة من جانب أي شخص أو منظمة أو مؤسسة؛</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rPr>
      </w:pPr>
      <w:r>
        <w:rPr>
          <w:rFonts w:hint="cs"/>
          <w:i/>
          <w:iCs/>
          <w:rtl/>
        </w:rPr>
        <w:tab/>
      </w:r>
      <w:r>
        <w:rPr>
          <w:rFonts w:hint="cs"/>
          <w:i/>
          <w:iCs/>
          <w:rtl/>
        </w:rPr>
        <w:tab/>
        <w:t>(و)</w:t>
      </w:r>
      <w:r>
        <w:rPr>
          <w:rFonts w:hint="cs"/>
          <w:i/>
          <w:iCs/>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rPr>
      </w:pPr>
      <w:r>
        <w:rPr>
          <w:rFonts w:hint="cs"/>
          <w:i/>
          <w:iCs/>
          <w:rtl/>
        </w:rPr>
        <w:tab/>
      </w:r>
      <w:r>
        <w:rPr>
          <w:rFonts w:hint="cs"/>
          <w:i/>
          <w:iCs/>
          <w:rtl/>
        </w:rPr>
        <w:tab/>
        <w:t>(ز)</w:t>
      </w:r>
      <w:r>
        <w:rPr>
          <w:rFonts w:hint="cs"/>
          <w:i/>
          <w:iCs/>
          <w:rtl/>
        </w:rPr>
        <w:tab/>
        <w:t>إلغاء جميع أحكام قوانين العقوبات الوطنية التي تشكل تمييزا ضد المرأة.</w:t>
      </w:r>
    </w:p>
    <w:p w:rsidR="00662946" w:rsidRDefault="00662946">
      <w:pPr>
        <w:pStyle w:val="SingleTxt"/>
        <w:jc w:val="both"/>
        <w:rPr>
          <w:rFonts w:hint="cs"/>
          <w:rtl/>
          <w:lang w:bidi="ar-EG"/>
        </w:rPr>
      </w:pPr>
      <w:r>
        <w:rPr>
          <w:rFonts w:hint="cs"/>
          <w:rtl/>
          <w:lang w:bidi="ar-EG"/>
        </w:rPr>
        <w:t>2-1</w:t>
      </w:r>
      <w:r>
        <w:rPr>
          <w:rFonts w:hint="cs"/>
          <w:rtl/>
          <w:lang w:bidi="ar-EG"/>
        </w:rPr>
        <w:tab/>
        <w:t xml:space="preserve">مع السنة الدولية للمرأة التي أعلنتها الأمم المتحدة، في سنة 1975، أُرسي أساس النهوض بالمرأة في سانت لوسيا. وعلاوة على ذلك أصبحت البيئة في عقد المرأة، من سنة 1975 إلى سنة 1985، مناسبة لكي تتخذ الحكومة خطوات لتغيير الظروف الاجتماعية </w:t>
      </w:r>
      <w:r>
        <w:rPr>
          <w:rtl/>
          <w:lang w:bidi="ar-EG"/>
        </w:rPr>
        <w:t>–</w:t>
      </w:r>
      <w:r>
        <w:rPr>
          <w:rFonts w:hint="cs"/>
          <w:rtl/>
          <w:lang w:bidi="ar-EG"/>
        </w:rPr>
        <w:t xml:space="preserve"> الاقتصادية والسياسية للمرأة. وأتاح العقد إنشاء آليات مهمة لتأييد وإقامة الشبكات. وابتداءً من سنة 1975 شاركت سانت لوسيا في عدة مؤتمرات دولية ابتداءً من مؤتمر السنة الدولية للمرأة 1975 في المكسيك في سنة 1975 إلى مؤتمر نهاية العقد، في نيروبي في سنة 1985. ومن الجدير بالملاحظة أن المشاركة في تلك المؤتمرات لم تقتصر على مسؤولين حكوميين بل شاركت أيضاً منظمات غير حكومية وممثلين للمجتمع.</w:t>
      </w:r>
    </w:p>
    <w:p w:rsidR="00662946" w:rsidRDefault="00662946">
      <w:pPr>
        <w:pStyle w:val="SingleTxt"/>
        <w:jc w:val="both"/>
        <w:rPr>
          <w:rFonts w:hint="cs"/>
          <w:rtl/>
          <w:lang w:bidi="ar-EG"/>
        </w:rPr>
      </w:pPr>
      <w:r>
        <w:rPr>
          <w:rFonts w:hint="cs"/>
          <w:rtl/>
          <w:lang w:bidi="ar-EG"/>
        </w:rPr>
        <w:t>2-2</w:t>
      </w:r>
      <w:r>
        <w:rPr>
          <w:rFonts w:hint="cs"/>
          <w:rtl/>
          <w:lang w:bidi="ar-EG"/>
        </w:rPr>
        <w:tab/>
        <w:t>في سنة 1982 عندما أصبحت سانت لوسيا طرفاً في الاتفاقية كان للاهتمامات المتعلقة بدور المرأة في التنمية واعتبارها شريكة متساوية مع الرجل في تنمية البلد مكاناً في الحملات الانتخابية. وحدد إنشاء مكتب لشؤون المرأة لرصد جميع الشؤون المتعلقة بها باعتباره وعداً في برنامج الحزب الحاكم. وأُلحق مكتب شؤون المرأة بوزارة الشباب والتنمية المجتمعية والشؤون الاجتماعية والرياضة. بيد أنه قد تأخر التشغيل الكامل لمكتب المرأة لفترة من الوقت، وكان ذلك يرجع أساساً إلى عدم القدرة على تلبية الاحتياجات البشرية المتخصصة لهذه الوحدة.</w:t>
      </w:r>
    </w:p>
    <w:p w:rsidR="00662946" w:rsidRDefault="00662946">
      <w:pPr>
        <w:pStyle w:val="SingleTxt"/>
        <w:jc w:val="both"/>
        <w:rPr>
          <w:rFonts w:hint="cs"/>
          <w:rtl/>
          <w:lang w:bidi="ar-EG"/>
        </w:rPr>
      </w:pPr>
      <w:r>
        <w:rPr>
          <w:rFonts w:hint="cs"/>
          <w:rtl/>
          <w:lang w:bidi="ar-EG"/>
        </w:rPr>
        <w:t>2-3</w:t>
      </w:r>
      <w:r>
        <w:rPr>
          <w:rFonts w:hint="cs"/>
          <w:rtl/>
          <w:lang w:bidi="ar-EG"/>
        </w:rPr>
        <w:tab/>
        <w:t xml:space="preserve">في سنة 1986 أنشأت الحكومة في ذلك الوقت آلية وطنية للنهوض بالمرأة، لتعزيز وكفالة المساواة التامة بين الرجل والمرأة والنهوض بتنمية المرأة. وعلى الأخص كانت مهمة الآلية الوطنية للمرأة تتمثل في </w:t>
      </w:r>
      <w:r>
        <w:rPr>
          <w:rFonts w:hint="eastAsia"/>
          <w:rtl/>
          <w:lang w:bidi="ar-EG"/>
        </w:rPr>
        <w:t xml:space="preserve">”تعزيز وتيسير إعادة توزيع الموارد والسلطة على جميع </w:t>
      </w:r>
      <w:r>
        <w:rPr>
          <w:rFonts w:hint="cs"/>
          <w:rtl/>
          <w:lang w:bidi="ar-EG"/>
        </w:rPr>
        <w:t>ال</w:t>
      </w:r>
      <w:r>
        <w:rPr>
          <w:rFonts w:hint="eastAsia"/>
          <w:rtl/>
          <w:lang w:bidi="ar-EG"/>
        </w:rPr>
        <w:t xml:space="preserve">مستويات وإعادة تحديد </w:t>
      </w:r>
      <w:r>
        <w:rPr>
          <w:rFonts w:hint="cs"/>
          <w:rtl/>
          <w:lang w:bidi="ar-EG"/>
        </w:rPr>
        <w:t>الأدوار والمسؤوليات لتحسين العلاقة بين الرجل والمرأة؛ وذلك بهدف تحسين نوعية الحياة للمرأة والسماح للرجل والمرأة باستغلال طاقتهم الكاملة</w:t>
      </w:r>
      <w:r>
        <w:rPr>
          <w:rFonts w:hint="eastAsia"/>
          <w:rtl/>
          <w:lang w:bidi="ar-EG"/>
        </w:rPr>
        <w:t>“.</w:t>
      </w:r>
    </w:p>
    <w:p w:rsidR="00662946" w:rsidRDefault="00662946">
      <w:pPr>
        <w:pStyle w:val="SingleTxt"/>
        <w:jc w:val="both"/>
        <w:rPr>
          <w:rFonts w:hint="cs"/>
          <w:rtl/>
          <w:lang w:bidi="ar-EG"/>
        </w:rPr>
      </w:pPr>
      <w:r>
        <w:rPr>
          <w:rFonts w:hint="cs"/>
          <w:rtl/>
          <w:lang w:bidi="ar-EG"/>
        </w:rPr>
        <w:t>2-4</w:t>
      </w:r>
      <w:r>
        <w:rPr>
          <w:rFonts w:hint="cs"/>
          <w:rtl/>
          <w:lang w:bidi="ar-EG"/>
        </w:rPr>
        <w:tab/>
        <w:t>منذ عام 1986 تغير إسم الآلية الوطنية للنهوض بالمرأة وتوجهها والوزارة التي تنتمي إليها في عدة مناسبات، ولا شك في أن هذا الوضع قد أثر في استقرارها وفعاليتها في رصد امتثال البلد أحكام اتفاقية القضاء على جميع أشكال التمييز ضد المرأة. وعلى هذا النحو حدت الطبيعة المؤقتة لوحدة التنسيق مع الموارد المحدودة من قدرتها على إيلاء اهتمام مستمر لبعض المسائل الحساسة التي تؤثر في المرأة في سانت لوسيا. وقد يكون إخفاق البلد في تقديم تقرير قبل الآن، على الرغم من إنتاج وإعداد تقريرين على الأقل، دليل على ذلك.</w:t>
      </w:r>
    </w:p>
    <w:p w:rsidR="00662946" w:rsidRDefault="00662946">
      <w:pPr>
        <w:pStyle w:val="SingleTxt"/>
        <w:jc w:val="both"/>
        <w:rPr>
          <w:rFonts w:hint="cs"/>
          <w:rtl/>
          <w:lang w:bidi="ar-EG"/>
        </w:rPr>
      </w:pPr>
      <w:r>
        <w:rPr>
          <w:rFonts w:hint="cs"/>
          <w:rtl/>
          <w:lang w:bidi="ar-EG"/>
        </w:rPr>
        <w:t>2-5</w:t>
      </w:r>
      <w:r>
        <w:rPr>
          <w:rFonts w:hint="cs"/>
          <w:rtl/>
          <w:lang w:bidi="ar-EG"/>
        </w:rPr>
        <w:tab/>
        <w:t>اعتباراً من عام 2000 ومع إنشاء وزارة الصحة والخدمات الإنسانية وشؤون الأسرة والعلاقات الجنسانية كان لشعبة العلاقات الجنسانية مسؤولية تعزيز وضع المرأة في سانت لوسيا وتحسين العلاقات الجنسانية. ولذا فإن هذه الشعبة تعتبر ضمن ولايتها الآلية الرسمية المسؤولة عن تنفيذ أحكام الاتفاقية.</w:t>
      </w:r>
    </w:p>
    <w:p w:rsidR="00662946" w:rsidRDefault="00662946">
      <w:pPr>
        <w:pStyle w:val="SingleTxt"/>
        <w:jc w:val="both"/>
        <w:rPr>
          <w:rFonts w:hint="cs"/>
          <w:rtl/>
          <w:lang w:bidi="ar-EG"/>
        </w:rPr>
      </w:pPr>
      <w:r>
        <w:rPr>
          <w:rFonts w:hint="cs"/>
          <w:rtl/>
          <w:lang w:bidi="ar-EG"/>
        </w:rPr>
        <w:t>2-6</w:t>
      </w:r>
      <w:r>
        <w:rPr>
          <w:rFonts w:hint="cs"/>
          <w:rtl/>
          <w:lang w:bidi="ar-EG"/>
        </w:rPr>
        <w:tab/>
        <w:t xml:space="preserve">أثرت تغييرات تشريعية مهمة لتعزيز المساواة بين الرجل والمرأة في البلد. وهذه التغييرات هي أساساً قوانين تتعلق بالأطفال والممتلكات والطلاق والزواج والخلافة والتوارث ورفت المعلمات الحوامل غير المتزوجات. وفي سنة 1989 أُجريت تغييرات مهمة في القانون المدني وغير الفصل 242 مباشرة وضع المرأة وحقوقها، حسبما وردت في القانونين المتعلقين بالأسرة والزواج. وتتمثل بعض التعديلات في مجرد إدراج عبارة </w:t>
      </w:r>
      <w:r>
        <w:rPr>
          <w:rFonts w:hint="eastAsia"/>
          <w:rtl/>
          <w:lang w:bidi="ar-EG"/>
        </w:rPr>
        <w:t>”أو الأم</w:t>
      </w:r>
      <w:r>
        <w:rPr>
          <w:rFonts w:hint="cs"/>
          <w:rtl/>
          <w:lang w:bidi="ar-EG"/>
        </w:rPr>
        <w:t xml:space="preserve">“ ومع ذلك فإنها تمثل معالم مهمة للمرأة. وقد جاء في المذكرة التفسيرية لهذا القانون (تعديل القانون المدني </w:t>
      </w:r>
      <w:r>
        <w:rPr>
          <w:rtl/>
          <w:lang w:bidi="ar-EG"/>
        </w:rPr>
        <w:t>–</w:t>
      </w:r>
      <w:r>
        <w:rPr>
          <w:rFonts w:hint="cs"/>
          <w:rtl/>
          <w:lang w:bidi="ar-EG"/>
        </w:rPr>
        <w:t xml:space="preserve"> القانون رقم 2 لسنة 1989) ينص على أن الهدف من هذه التغييرات هو إزالة أي مظهر لوضع أدنى للمرأة من القانون المدني. على سبيل المثال تضفي الفقرة 2 الآن على المرأة مسؤولية مشتركة مع زوجها في اختيار محل الإقامة. ويجري حالياً استعراض عام للقانون الجنائي وينتظر أن تؤثر هذه العملية في المرأة تأثيراً كبيراً.</w:t>
      </w:r>
    </w:p>
    <w:p w:rsidR="00662946" w:rsidRDefault="00662946">
      <w:pPr>
        <w:pStyle w:val="SingleTxt"/>
        <w:jc w:val="both"/>
        <w:rPr>
          <w:rFonts w:hint="cs"/>
          <w:rtl/>
          <w:lang w:bidi="ar-EG"/>
        </w:rPr>
      </w:pPr>
      <w:r>
        <w:rPr>
          <w:rFonts w:hint="cs"/>
          <w:rtl/>
          <w:lang w:bidi="ar-EG"/>
        </w:rPr>
        <w:t>2-7</w:t>
      </w:r>
      <w:r>
        <w:rPr>
          <w:rFonts w:hint="cs"/>
          <w:rtl/>
          <w:lang w:bidi="ar-EG"/>
        </w:rPr>
        <w:tab/>
        <w:t xml:space="preserve">في سنة 1995،وبعد ضغط قوي من المنظمات غير الحكومية، ولا سيما مركز سانت لوسيا للازمات، اعتمد أخيراً قانون العنف الأسري. ويعرِّف هذا القانون العنف الأسري بأنه </w:t>
      </w:r>
      <w:r>
        <w:rPr>
          <w:rFonts w:hint="eastAsia"/>
          <w:rtl/>
          <w:lang w:bidi="ar-EG"/>
        </w:rPr>
        <w:t xml:space="preserve">”أي عمل من أعمال العنف سواءً أكان </w:t>
      </w:r>
      <w:r>
        <w:rPr>
          <w:rFonts w:hint="cs"/>
          <w:rtl/>
          <w:lang w:bidi="ar-EG"/>
        </w:rPr>
        <w:t>إيذاءً جسدياً أو شفوياً يرتكبه فرد من أفراد الأسرة في حق فرد آخر من نفس الأسرة يتسبب في أو يرجح أن يتسبب في أذى أو ضرر جسدي أو عقلي أو نفسي للطرف المتضرر أو أي فرد آخر في الأسرة</w:t>
      </w:r>
      <w:r>
        <w:rPr>
          <w:rFonts w:hint="eastAsia"/>
          <w:rtl/>
          <w:lang w:bidi="ar-EG"/>
        </w:rPr>
        <w:t xml:space="preserve">“. </w:t>
      </w:r>
      <w:r>
        <w:rPr>
          <w:rFonts w:hint="cs"/>
          <w:rtl/>
          <w:lang w:bidi="ar-EG"/>
        </w:rPr>
        <w:t>وفي حين رحب باعتماد هذا القانون باعتباره تقدماً تشريعياً لازماً للوقاية ضمن الجهود الرامية إلى إزالة التمييز ضد المرأة فإن الجمعيات النسائية مازالت تعرب عن أسفها لطبيعته المحدودة. ونفس تعريف العنف الأسري يوحي بأن المرأة التي قد تكون ضحية الإيذاء وفي علاقات الزيارة باعتبارها مختلفة عن علاقة التعايش، قد لا تكون محمية بهذا القانون بصيغة الراهنة.</w:t>
      </w:r>
    </w:p>
    <w:p w:rsidR="00662946" w:rsidRDefault="00662946">
      <w:pPr>
        <w:pStyle w:val="SingleTxt"/>
        <w:jc w:val="both"/>
        <w:rPr>
          <w:rFonts w:hint="cs"/>
          <w:rtl/>
          <w:lang w:bidi="ar-EG"/>
        </w:rPr>
      </w:pPr>
      <w:r>
        <w:rPr>
          <w:rFonts w:hint="cs"/>
          <w:rtl/>
          <w:lang w:bidi="ar-EG"/>
        </w:rPr>
        <w:t>2-8</w:t>
      </w:r>
      <w:r>
        <w:rPr>
          <w:rFonts w:hint="cs"/>
          <w:rtl/>
          <w:lang w:bidi="ar-EG"/>
        </w:rPr>
        <w:tab/>
        <w:t xml:space="preserve">يتضمن هذا القانون ثلاثة أوامر محددة توفر لضحايا العنف الأسري قدراً أكبر من الحماية من المعتدين عليهن. وهذه الأوامر هي: </w:t>
      </w:r>
    </w:p>
    <w:p w:rsidR="00662946" w:rsidRDefault="00662946">
      <w:pPr>
        <w:pStyle w:val="SingleTxt"/>
        <w:jc w:val="both"/>
        <w:rPr>
          <w:rFonts w:hint="cs"/>
          <w:rtl/>
          <w:lang w:bidi="ar-EG"/>
        </w:rPr>
      </w:pPr>
      <w:r>
        <w:rPr>
          <w:rFonts w:hint="cs"/>
          <w:rtl/>
          <w:lang w:bidi="ar-EG"/>
        </w:rPr>
        <w:tab/>
        <w:t>1 -</w:t>
      </w:r>
      <w:r>
        <w:rPr>
          <w:rFonts w:hint="cs"/>
          <w:rtl/>
          <w:lang w:bidi="ar-EG"/>
        </w:rPr>
        <w:tab/>
        <w:t>الأمر المتعلق بالحماية؛</w:t>
      </w:r>
    </w:p>
    <w:p w:rsidR="00662946" w:rsidRDefault="00662946">
      <w:pPr>
        <w:pStyle w:val="SingleTxt"/>
        <w:jc w:val="both"/>
        <w:rPr>
          <w:rFonts w:hint="cs"/>
          <w:rtl/>
          <w:lang w:bidi="ar-EG"/>
        </w:rPr>
      </w:pPr>
      <w:r>
        <w:rPr>
          <w:rFonts w:hint="cs"/>
          <w:rtl/>
          <w:lang w:bidi="ar-EG"/>
        </w:rPr>
        <w:tab/>
        <w:t>2 -</w:t>
      </w:r>
      <w:r>
        <w:rPr>
          <w:rFonts w:hint="cs"/>
          <w:rtl/>
          <w:lang w:bidi="ar-EG"/>
        </w:rPr>
        <w:tab/>
        <w:t>الأمر المتعلق بالمهنة أو الشغل؛</w:t>
      </w:r>
    </w:p>
    <w:p w:rsidR="00662946" w:rsidRDefault="00662946">
      <w:pPr>
        <w:pStyle w:val="SingleTxt"/>
        <w:jc w:val="both"/>
        <w:rPr>
          <w:rFonts w:hint="cs"/>
          <w:rtl/>
          <w:lang w:bidi="ar-EG"/>
        </w:rPr>
      </w:pPr>
      <w:r>
        <w:rPr>
          <w:rFonts w:hint="cs"/>
          <w:rtl/>
          <w:lang w:bidi="ar-EG"/>
        </w:rPr>
        <w:tab/>
        <w:t>3 -</w:t>
      </w:r>
      <w:r>
        <w:rPr>
          <w:rFonts w:hint="cs"/>
          <w:rtl/>
          <w:lang w:bidi="ar-EG"/>
        </w:rPr>
        <w:tab/>
        <w:t>الأمر المتعلق بالإيجار أو الحيازة.</w:t>
      </w:r>
    </w:p>
    <w:p w:rsidR="00662946" w:rsidRDefault="00662946">
      <w:pPr>
        <w:pStyle w:val="SingleTxt"/>
        <w:jc w:val="both"/>
        <w:rPr>
          <w:rFonts w:hint="cs"/>
          <w:rtl/>
          <w:lang w:bidi="ar-EG"/>
        </w:rPr>
      </w:pPr>
      <w:r>
        <w:rPr>
          <w:rFonts w:hint="cs"/>
          <w:rtl/>
          <w:lang w:bidi="ar-EG"/>
        </w:rPr>
        <w:tab/>
        <w:t>يقضي هذا القانون بأن الأشخاص التالين يستطيعون تقديم طلبات بموجب البند 3 لإصدار هذه الأوامر:</w:t>
      </w:r>
    </w:p>
    <w:p w:rsidR="00662946" w:rsidRDefault="00662946">
      <w:pPr>
        <w:pStyle w:val="SingleTxt"/>
        <w:jc w:val="both"/>
        <w:rPr>
          <w:rFonts w:hint="cs"/>
          <w:rtl/>
          <w:lang w:bidi="ar-EG"/>
        </w:rPr>
      </w:pPr>
      <w:r>
        <w:rPr>
          <w:rFonts w:hint="cs"/>
          <w:rtl/>
          <w:lang w:bidi="ar-EG"/>
        </w:rPr>
        <w:tab/>
        <w:t>1 -</w:t>
      </w:r>
      <w:r>
        <w:rPr>
          <w:rFonts w:hint="cs"/>
          <w:rtl/>
          <w:lang w:bidi="ar-EG"/>
        </w:rPr>
        <w:tab/>
        <w:t>أي شخص تعرض للعنف على يد زوجه؛</w:t>
      </w:r>
    </w:p>
    <w:p w:rsidR="00662946" w:rsidRDefault="00662946">
      <w:pPr>
        <w:pStyle w:val="SingleTxt"/>
        <w:jc w:val="both"/>
        <w:rPr>
          <w:rFonts w:hint="cs"/>
          <w:rtl/>
          <w:lang w:bidi="ar-EG"/>
        </w:rPr>
      </w:pPr>
      <w:r>
        <w:rPr>
          <w:rFonts w:hint="cs"/>
          <w:rtl/>
          <w:lang w:bidi="ar-EG"/>
        </w:rPr>
        <w:tab/>
        <w:t>2 -</w:t>
      </w:r>
      <w:r>
        <w:rPr>
          <w:rFonts w:hint="cs"/>
          <w:rtl/>
          <w:lang w:bidi="ar-EG"/>
        </w:rPr>
        <w:tab/>
        <w:t xml:space="preserve">أي فرد من أفراد الأسرة (مثل الخالة أو العمة أو الخال أو العم أو إبن الخال </w:t>
      </w:r>
      <w:r>
        <w:rPr>
          <w:rFonts w:hint="cs"/>
          <w:rtl/>
          <w:lang w:bidi="ar-EG"/>
        </w:rPr>
        <w:tab/>
      </w:r>
      <w:r>
        <w:rPr>
          <w:rFonts w:hint="cs"/>
          <w:rtl/>
          <w:lang w:bidi="ar-EG"/>
        </w:rPr>
        <w:tab/>
        <w:t>أو إبن العم إلخ)؛</w:t>
      </w:r>
    </w:p>
    <w:p w:rsidR="00662946" w:rsidRDefault="00662946">
      <w:pPr>
        <w:pStyle w:val="SingleTxt"/>
        <w:jc w:val="both"/>
        <w:rPr>
          <w:rFonts w:hint="cs"/>
          <w:rtl/>
          <w:lang w:bidi="ar-EG"/>
        </w:rPr>
      </w:pPr>
      <w:r>
        <w:rPr>
          <w:rFonts w:hint="cs"/>
          <w:rtl/>
          <w:lang w:bidi="ar-EG"/>
        </w:rPr>
        <w:tab/>
        <w:t>3 -</w:t>
      </w:r>
      <w:r>
        <w:rPr>
          <w:rFonts w:hint="cs"/>
          <w:rtl/>
          <w:lang w:bidi="ar-EG"/>
        </w:rPr>
        <w:tab/>
        <w:t>والد أو والدة الضحية؛</w:t>
      </w:r>
    </w:p>
    <w:p w:rsidR="00662946" w:rsidRDefault="00662946">
      <w:pPr>
        <w:pStyle w:val="SingleTxt"/>
        <w:jc w:val="both"/>
        <w:rPr>
          <w:rFonts w:hint="cs"/>
          <w:rtl/>
          <w:lang w:bidi="ar-EG"/>
        </w:rPr>
      </w:pPr>
      <w:r>
        <w:rPr>
          <w:rFonts w:hint="cs"/>
          <w:rtl/>
          <w:lang w:bidi="ar-EG"/>
        </w:rPr>
        <w:tab/>
        <w:t>4 -</w:t>
      </w:r>
      <w:r>
        <w:rPr>
          <w:rFonts w:hint="cs"/>
          <w:rtl/>
          <w:lang w:bidi="ar-EG"/>
        </w:rPr>
        <w:tab/>
        <w:t xml:space="preserve">إذا كانت الضحية طفلاً أو معالاً يمكن لأبيه أو لأمه أو للوصي عليه أن </w:t>
      </w:r>
      <w:r>
        <w:rPr>
          <w:rFonts w:hint="cs"/>
          <w:rtl/>
          <w:lang w:bidi="ar-EG"/>
        </w:rPr>
        <w:tab/>
      </w:r>
      <w:r>
        <w:rPr>
          <w:rFonts w:hint="cs"/>
          <w:rtl/>
          <w:lang w:bidi="ar-EG"/>
        </w:rPr>
        <w:tab/>
        <w:t>يقدِّم الطلب؛</w:t>
      </w:r>
    </w:p>
    <w:p w:rsidR="00662946" w:rsidRDefault="00662946">
      <w:pPr>
        <w:pStyle w:val="SingleTxt"/>
        <w:jc w:val="both"/>
        <w:rPr>
          <w:rFonts w:hint="cs"/>
          <w:rtl/>
          <w:lang w:bidi="ar-EG"/>
        </w:rPr>
      </w:pPr>
      <w:r>
        <w:rPr>
          <w:rFonts w:hint="cs"/>
          <w:rtl/>
          <w:lang w:bidi="ar-EG"/>
        </w:rPr>
        <w:tab/>
        <w:t>5 -</w:t>
      </w:r>
      <w:r>
        <w:rPr>
          <w:rFonts w:hint="cs"/>
          <w:rtl/>
          <w:lang w:bidi="ar-EG"/>
        </w:rPr>
        <w:tab/>
        <w:t xml:space="preserve">إذا كان المجني عليه معوّقاً عقليا يمكن بالمثل لوزارة الشؤون الاجتماعية أو </w:t>
      </w:r>
      <w:r>
        <w:rPr>
          <w:rFonts w:hint="cs"/>
          <w:rtl/>
          <w:lang w:bidi="ar-EG"/>
        </w:rPr>
        <w:tab/>
      </w:r>
      <w:r>
        <w:rPr>
          <w:rFonts w:hint="cs"/>
          <w:rtl/>
          <w:lang w:bidi="ar-EG"/>
        </w:rPr>
        <w:tab/>
        <w:t>لشرطي أو لمراقب السلوك أو لأخصائي اجتماعي أن يقدّم الطلب.</w:t>
      </w:r>
    </w:p>
    <w:p w:rsidR="00662946" w:rsidRDefault="00662946">
      <w:pPr>
        <w:pStyle w:val="SingleTxt"/>
        <w:jc w:val="both"/>
        <w:rPr>
          <w:rFonts w:hint="cs"/>
          <w:rtl/>
          <w:lang w:bidi="ar-EG"/>
        </w:rPr>
      </w:pPr>
      <w:r>
        <w:rPr>
          <w:rFonts w:hint="cs"/>
          <w:rtl/>
          <w:lang w:bidi="ar-EG"/>
        </w:rPr>
        <w:tab/>
        <w:t>يستطيع الأشخاص المدرجون في البند 3 أن يحصلوا على أمر بتقديم طلب إلى محكمة شؤون الأسرة أو إلى محكمة جزئية، عن طريق ممثله القانوني الذي يملأ النموذج ذو الصلة ويقدمه إلى المحكمة بالنيابة عن المجني عليه (البند 4).</w:t>
      </w:r>
    </w:p>
    <w:p w:rsidR="00662946" w:rsidRDefault="00662946">
      <w:pPr>
        <w:pStyle w:val="SingleTxt"/>
        <w:jc w:val="both"/>
        <w:rPr>
          <w:rFonts w:hint="cs"/>
          <w:rtl/>
          <w:lang w:bidi="ar-EG"/>
        </w:rPr>
      </w:pPr>
      <w:r>
        <w:rPr>
          <w:rFonts w:hint="cs"/>
          <w:rtl/>
          <w:lang w:bidi="ar-EG"/>
        </w:rPr>
        <w:t>2-9</w:t>
      </w:r>
      <w:r>
        <w:rPr>
          <w:rFonts w:hint="cs"/>
          <w:rtl/>
          <w:lang w:bidi="ar-EG"/>
        </w:rPr>
        <w:tab/>
        <w:t xml:space="preserve">يتناول البند 4 (1) مهمة أمر الحماية. وهو ينص على أنه </w:t>
      </w:r>
      <w:r>
        <w:rPr>
          <w:rFonts w:hint="eastAsia"/>
          <w:rtl/>
          <w:lang w:bidi="ar-EG"/>
        </w:rPr>
        <w:t xml:space="preserve">”إذا كان المتهم قد استعمل العنف مع المجني عليه أو هدده باستعمال العنف، وإذا كان من المرجَّح أن يفعل ذلك مرة أخرى فإنه يمكن استصدار هذا الأمر لحماية المجني عليه. </w:t>
      </w:r>
      <w:r>
        <w:rPr>
          <w:rFonts w:hint="cs"/>
          <w:rtl/>
          <w:lang w:bidi="ar-EG"/>
        </w:rPr>
        <w:t>ويحظر أمر الحماية على المتهم أن يفعل شيئاً لمضايقة أو إيذاء مجني عليه. وهو يمنع المتهم مما يلي:</w:t>
      </w:r>
    </w:p>
    <w:p w:rsidR="00662946" w:rsidRDefault="00662946">
      <w:pPr>
        <w:pStyle w:val="SingleTxt"/>
        <w:jc w:val="both"/>
        <w:rPr>
          <w:rFonts w:hint="cs"/>
          <w:rtl/>
          <w:lang w:bidi="ar-EG"/>
        </w:rPr>
      </w:pPr>
      <w:r>
        <w:rPr>
          <w:rFonts w:hint="cs"/>
          <w:rtl/>
          <w:lang w:bidi="ar-EG"/>
        </w:rPr>
        <w:tab/>
        <w:t>-</w:t>
      </w:r>
      <w:r>
        <w:rPr>
          <w:rFonts w:hint="cs"/>
          <w:rtl/>
          <w:lang w:bidi="ar-EG"/>
        </w:rPr>
        <w:tab/>
        <w:t>دخول منزل المجني عليه أو البقاء فيه؛</w:t>
      </w:r>
    </w:p>
    <w:p w:rsidR="00662946" w:rsidRDefault="00662946">
      <w:pPr>
        <w:pStyle w:val="SingleTxt"/>
        <w:jc w:val="both"/>
        <w:rPr>
          <w:rFonts w:hint="cs"/>
          <w:rtl/>
          <w:lang w:bidi="ar-EG"/>
        </w:rPr>
      </w:pPr>
      <w:r>
        <w:rPr>
          <w:rFonts w:hint="cs"/>
          <w:rtl/>
          <w:lang w:bidi="ar-EG"/>
        </w:rPr>
        <w:tab/>
        <w:t>-</w:t>
      </w:r>
      <w:r>
        <w:rPr>
          <w:rFonts w:hint="cs"/>
          <w:rtl/>
          <w:lang w:bidi="ar-EG"/>
        </w:rPr>
        <w:tab/>
        <w:t>دخول المنطقة المعينة التي يوجد فيها منزل المجني عليه أو البقاء فيها؛</w:t>
      </w:r>
    </w:p>
    <w:p w:rsidR="00662946" w:rsidRDefault="00662946">
      <w:pPr>
        <w:pStyle w:val="SingleTxt"/>
        <w:jc w:val="both"/>
        <w:rPr>
          <w:rFonts w:hint="cs"/>
          <w:rtl/>
          <w:lang w:bidi="ar-EG"/>
        </w:rPr>
      </w:pPr>
      <w:r>
        <w:rPr>
          <w:rFonts w:hint="cs"/>
          <w:rtl/>
          <w:lang w:bidi="ar-EG"/>
        </w:rPr>
        <w:tab/>
        <w:t>-</w:t>
      </w:r>
      <w:r>
        <w:rPr>
          <w:rFonts w:hint="cs"/>
          <w:rtl/>
          <w:lang w:bidi="ar-EG"/>
        </w:rPr>
        <w:tab/>
        <w:t>دخول المكان الذي يتصادف أن يوجد فيه المجني عليه أو البقاء فيه؛</w:t>
      </w:r>
    </w:p>
    <w:p w:rsidR="00662946" w:rsidRDefault="00662946">
      <w:pPr>
        <w:pStyle w:val="SingleTxt"/>
        <w:jc w:val="both"/>
        <w:rPr>
          <w:rFonts w:hint="cs"/>
          <w:rtl/>
          <w:lang w:bidi="ar-EG"/>
        </w:rPr>
      </w:pPr>
      <w:r>
        <w:rPr>
          <w:rFonts w:hint="cs"/>
          <w:rtl/>
          <w:lang w:bidi="ar-EG"/>
        </w:rPr>
        <w:tab/>
        <w:t>-</w:t>
      </w:r>
      <w:r>
        <w:rPr>
          <w:rFonts w:hint="cs"/>
          <w:rtl/>
          <w:lang w:bidi="ar-EG"/>
        </w:rPr>
        <w:tab/>
        <w:t>إيذاء المجني عليه بما يلي:</w:t>
      </w:r>
    </w:p>
    <w:p w:rsidR="00662946" w:rsidRDefault="00662946">
      <w:pPr>
        <w:pStyle w:val="SingleTxt"/>
        <w:jc w:val="both"/>
        <w:rPr>
          <w:rFonts w:hint="cs"/>
          <w:rtl/>
          <w:lang w:bidi="ar-EG"/>
        </w:rPr>
      </w:pPr>
      <w:r>
        <w:rPr>
          <w:rFonts w:hint="cs"/>
          <w:rtl/>
          <w:lang w:bidi="ar-EG"/>
        </w:rPr>
        <w:tab/>
        <w:t>’1‘</w:t>
      </w:r>
      <w:r>
        <w:rPr>
          <w:rFonts w:hint="cs"/>
          <w:rtl/>
          <w:lang w:bidi="ar-EG"/>
        </w:rPr>
        <w:tab/>
        <w:t>مراقبة منزل المجني عليه أو مكان عمله أو دراسته أو بالبقاء حوله؛</w:t>
      </w:r>
    </w:p>
    <w:p w:rsidR="00662946" w:rsidRDefault="00662946">
      <w:pPr>
        <w:pStyle w:val="SingleTxt"/>
        <w:jc w:val="both"/>
        <w:rPr>
          <w:rFonts w:hint="cs"/>
          <w:rtl/>
          <w:lang w:bidi="ar-EG"/>
        </w:rPr>
      </w:pPr>
      <w:r>
        <w:rPr>
          <w:rFonts w:hint="cs"/>
          <w:rtl/>
          <w:lang w:bidi="ar-EG"/>
        </w:rPr>
        <w:tab/>
        <w:t>’2‘</w:t>
      </w:r>
      <w:r>
        <w:rPr>
          <w:rFonts w:hint="cs"/>
          <w:rtl/>
          <w:lang w:bidi="ar-EG"/>
        </w:rPr>
        <w:tab/>
        <w:t>تعقُّب المجني عليه في أي مكان ترصُّد المجني عليه في أي مكان؛</w:t>
      </w:r>
    </w:p>
    <w:p w:rsidR="00662946" w:rsidRDefault="00662946">
      <w:pPr>
        <w:pStyle w:val="SingleTxt"/>
        <w:jc w:val="both"/>
        <w:rPr>
          <w:rFonts w:hint="cs"/>
          <w:rtl/>
          <w:lang w:bidi="ar-EG"/>
        </w:rPr>
      </w:pPr>
      <w:r>
        <w:rPr>
          <w:rFonts w:hint="cs"/>
          <w:rtl/>
          <w:lang w:bidi="ar-EG"/>
        </w:rPr>
        <w:tab/>
        <w:t>’3‘</w:t>
      </w:r>
      <w:r>
        <w:rPr>
          <w:rFonts w:hint="cs"/>
          <w:rtl/>
          <w:lang w:bidi="ar-EG"/>
        </w:rPr>
        <w:tab/>
        <w:t>ملاحقة المجني عليه بمكالمات تليفونية؛</w:t>
      </w:r>
    </w:p>
    <w:p w:rsidR="00662946" w:rsidRDefault="00662946">
      <w:pPr>
        <w:pStyle w:val="SingleTxt"/>
        <w:jc w:val="both"/>
        <w:rPr>
          <w:rFonts w:hint="eastAsia"/>
          <w:rtl/>
          <w:lang w:bidi="ar-EG"/>
        </w:rPr>
      </w:pPr>
      <w:r>
        <w:rPr>
          <w:rFonts w:hint="cs"/>
          <w:rtl/>
          <w:lang w:bidi="ar-EG"/>
        </w:rPr>
        <w:tab/>
        <w:t>’4‘</w:t>
      </w:r>
      <w:r>
        <w:rPr>
          <w:rFonts w:hint="cs"/>
          <w:rtl/>
          <w:lang w:bidi="ar-EG"/>
        </w:rPr>
        <w:tab/>
        <w:t xml:space="preserve">استعمال عبارات جارحة أو القيام بتصرفات جارحة ضد المجني عليه بأي </w:t>
      </w:r>
      <w:r>
        <w:rPr>
          <w:rFonts w:hint="cs"/>
          <w:rtl/>
          <w:lang w:bidi="ar-EG"/>
        </w:rPr>
        <w:tab/>
      </w:r>
      <w:r>
        <w:rPr>
          <w:rFonts w:hint="cs"/>
          <w:rtl/>
          <w:lang w:bidi="ar-EG"/>
        </w:rPr>
        <w:tab/>
        <w:t xml:space="preserve">طريقة من الطرق تكون ذات طبيعة أو درجة تؤدي إلى مضايقته أو سوء </w:t>
      </w:r>
      <w:r>
        <w:rPr>
          <w:rFonts w:hint="cs"/>
          <w:rtl/>
          <w:lang w:bidi="ar-EG"/>
        </w:rPr>
        <w:tab/>
      </w:r>
      <w:r>
        <w:rPr>
          <w:rFonts w:hint="cs"/>
          <w:rtl/>
          <w:lang w:bidi="ar-EG"/>
        </w:rPr>
        <w:tab/>
        <w:t>معاملته</w:t>
      </w:r>
      <w:r>
        <w:rPr>
          <w:rFonts w:hint="eastAsia"/>
          <w:rtl/>
          <w:lang w:bidi="ar-EG"/>
        </w:rPr>
        <w:t>“</w:t>
      </w:r>
    </w:p>
    <w:p w:rsidR="00662946" w:rsidRDefault="00662946">
      <w:pPr>
        <w:pStyle w:val="SingleTxt"/>
        <w:jc w:val="both"/>
        <w:rPr>
          <w:rFonts w:hint="cs"/>
          <w:rtl/>
          <w:lang w:bidi="ar-EG"/>
        </w:rPr>
      </w:pPr>
      <w:r>
        <w:rPr>
          <w:rFonts w:hint="cs"/>
          <w:rtl/>
          <w:lang w:bidi="ar-EG"/>
        </w:rPr>
        <w:t>2-10</w:t>
      </w:r>
      <w:r>
        <w:rPr>
          <w:rFonts w:hint="cs"/>
          <w:rtl/>
          <w:lang w:bidi="ar-EG"/>
        </w:rPr>
        <w:tab/>
        <w:t>يمكن للشرطة إنفاذ أمر الحماية ويحق لها التدخل في المنازعات الأسرية، وإلقاء القبض على المتهم دون أمر بالقبض عليه، وذلك من أجل حماية المجني عليه. وتستطيع الشرطة حتى القبض على مرتكب العنف الأسري، حتى إذا لم يكن قد قُدِّم طلب، وذلك لحماية المجني عليه، أو الذي يُشتبه أنه مجني عليه، من التعرض لمزيد من الأذى (البند 5).</w:t>
      </w:r>
    </w:p>
    <w:p w:rsidR="00662946" w:rsidRDefault="00662946">
      <w:pPr>
        <w:pStyle w:val="SingleTxt"/>
        <w:jc w:val="both"/>
        <w:rPr>
          <w:rFonts w:hint="cs"/>
          <w:rtl/>
          <w:lang w:bidi="ar-EG"/>
        </w:rPr>
      </w:pPr>
      <w:r>
        <w:rPr>
          <w:rFonts w:hint="cs"/>
          <w:rtl/>
          <w:lang w:bidi="ar-EG"/>
        </w:rPr>
        <w:t>2-11</w:t>
      </w:r>
      <w:r>
        <w:rPr>
          <w:rFonts w:hint="cs"/>
          <w:rtl/>
          <w:lang w:bidi="ar-EG"/>
        </w:rPr>
        <w:tab/>
        <w:t xml:space="preserve">كانت الصعوبة الرئيسية في الحصول في الماضي على الانتصاف للنساء اللائي يتعرضن للعنف الأسري تكمن في تصور الشرطة والمجتمع أن الاعتداءات الأسرية ليست في مثل خطورة وأهمية الأشكال الأخرى من الاعتداء. وكانت توجد ممانعة حازمة من جانب الشرطة في التدخل في المناعات الأسرية ما لم تفض إلى عنف خطير. بيد أنه قرب نهاية الفترة المشمولة في التقرير اتخذت شرطة سانت لوسيا نهجاً أكثر </w:t>
      </w:r>
      <w:r>
        <w:rPr>
          <w:rFonts w:hint="eastAsia"/>
          <w:rtl/>
          <w:lang w:bidi="ar-EG"/>
        </w:rPr>
        <w:t>”إيجابية</w:t>
      </w:r>
      <w:r>
        <w:rPr>
          <w:rFonts w:hint="cs"/>
          <w:rtl/>
          <w:lang w:bidi="ar-EG"/>
        </w:rPr>
        <w:t>“ تجاه الاعتداءات الأسرية، وصارت الآن تلقي القبض على المتهمين في الظروف المنصوص عليها في البند 5 من قانون العنف الأسري لسنة 1994.</w:t>
      </w:r>
    </w:p>
    <w:p w:rsidR="00662946" w:rsidRDefault="00662946">
      <w:pPr>
        <w:pStyle w:val="SingleTxt"/>
        <w:jc w:val="both"/>
        <w:rPr>
          <w:rFonts w:hint="eastAsia"/>
          <w:rtl/>
          <w:lang w:bidi="ar-EG"/>
        </w:rPr>
      </w:pPr>
      <w:r>
        <w:rPr>
          <w:rFonts w:hint="cs"/>
          <w:rtl/>
          <w:lang w:bidi="ar-EG"/>
        </w:rPr>
        <w:t>2-12</w:t>
      </w:r>
      <w:r>
        <w:rPr>
          <w:rFonts w:hint="cs"/>
          <w:rtl/>
          <w:lang w:bidi="ar-EG"/>
        </w:rPr>
        <w:tab/>
        <w:t xml:space="preserve">يعرِّف البندان 7 و 8 من هذا القانون أمر شغل المسكن. </w:t>
      </w:r>
      <w:r>
        <w:rPr>
          <w:rFonts w:hint="eastAsia"/>
          <w:rtl/>
          <w:lang w:bidi="ar-EG"/>
        </w:rPr>
        <w:t>”إذا كان المجني عليه يشارك زوجته من</w:t>
      </w:r>
      <w:r>
        <w:rPr>
          <w:rFonts w:hint="cs"/>
          <w:rtl/>
          <w:lang w:bidi="ar-EG"/>
        </w:rPr>
        <w:t>ـزلاً وكانت الزوجة هي المعتدية أو إذا كان المجني عليها تشارك زوجها منـزلاً وكان الزوج هو المعتدي يعطي هذا الأمر الضحية الحق في شغل المنزل مع استبعاد المختفي. وبعبارة أخرى فإنه لا يُسمح للجاني بالعيش في بيت الأسرة. ولا تصدر المحكمة أمر شغل المنزل إلا إذا كان ذلك ضرورياً لحماية المجني عليه أو من أجل المصلحة العليا للطفل</w:t>
      </w:r>
      <w:r>
        <w:rPr>
          <w:rFonts w:hint="eastAsia"/>
          <w:rtl/>
          <w:lang w:bidi="ar-EG"/>
        </w:rPr>
        <w:t>“.</w:t>
      </w:r>
    </w:p>
    <w:p w:rsidR="00662946" w:rsidRDefault="00662946">
      <w:pPr>
        <w:pStyle w:val="SingleTxt"/>
        <w:jc w:val="both"/>
        <w:rPr>
          <w:rFonts w:hint="eastAsia"/>
          <w:rtl/>
          <w:lang w:bidi="ar-EG"/>
        </w:rPr>
      </w:pPr>
      <w:r>
        <w:rPr>
          <w:rFonts w:hint="cs"/>
          <w:rtl/>
          <w:lang w:bidi="ar-EG"/>
        </w:rPr>
        <w:t>2-13</w:t>
      </w:r>
      <w:r>
        <w:rPr>
          <w:rFonts w:hint="cs"/>
          <w:rtl/>
          <w:lang w:bidi="ar-EG"/>
        </w:rPr>
        <w:tab/>
        <w:t xml:space="preserve">يرد شرح الأمر المتعلق بالإيجار في البندين 11 و 13. </w:t>
      </w:r>
      <w:r>
        <w:rPr>
          <w:rFonts w:hint="eastAsia"/>
          <w:rtl/>
          <w:lang w:bidi="ar-EG"/>
        </w:rPr>
        <w:t xml:space="preserve">”إذا كان </w:t>
      </w:r>
      <w:r>
        <w:rPr>
          <w:rFonts w:hint="cs"/>
          <w:rtl/>
          <w:lang w:bidi="ar-EG"/>
        </w:rPr>
        <w:t xml:space="preserve">اسم متهم مُدرج في عقد إيجار </w:t>
      </w:r>
      <w:r>
        <w:rPr>
          <w:rtl/>
          <w:lang w:bidi="ar-EG"/>
        </w:rPr>
        <w:t>–</w:t>
      </w:r>
      <w:r>
        <w:rPr>
          <w:rFonts w:hint="cs"/>
          <w:rtl/>
          <w:lang w:bidi="ar-EG"/>
        </w:rPr>
        <w:t xml:space="preserve"> سواءً أكان العقد مشتركاً بين الزوجين أو إذا كان باسم المتهم فحسب </w:t>
      </w:r>
      <w:r>
        <w:rPr>
          <w:rtl/>
          <w:lang w:bidi="ar-EG"/>
        </w:rPr>
        <w:t>–</w:t>
      </w:r>
      <w:r>
        <w:rPr>
          <w:rFonts w:hint="cs"/>
          <w:rtl/>
          <w:lang w:bidi="ar-EG"/>
        </w:rPr>
        <w:t xml:space="preserve"> ينقل عقد الإيجار باسم مقدم طلب الحصول على الأمر المتعلق بالإيجار فحسب. وهذا يعني أن المعتدي لم يعد يعتبر مستأجراً لذلك الدار. ويسمى ذلك نقل الإجارة</w:t>
      </w:r>
      <w:r>
        <w:rPr>
          <w:rFonts w:hint="eastAsia"/>
          <w:rtl/>
          <w:lang w:bidi="ar-EG"/>
        </w:rPr>
        <w:t>“</w:t>
      </w:r>
    </w:p>
    <w:p w:rsidR="00662946" w:rsidRDefault="00662946">
      <w:pPr>
        <w:pStyle w:val="SingleTxt"/>
        <w:jc w:val="both"/>
        <w:rPr>
          <w:rFonts w:hint="cs"/>
          <w:rtl/>
          <w:lang w:bidi="ar-EG"/>
        </w:rPr>
      </w:pPr>
      <w:r>
        <w:rPr>
          <w:rFonts w:hint="cs"/>
          <w:rtl/>
          <w:lang w:bidi="ar-EG"/>
        </w:rPr>
        <w:t>2-14</w:t>
      </w:r>
      <w:r>
        <w:rPr>
          <w:rFonts w:hint="cs"/>
          <w:rtl/>
          <w:lang w:bidi="ar-EG"/>
        </w:rPr>
        <w:tab/>
        <w:t>بحلول سنة 2002 شملت الأنشطة الرامية إلى كفالة حماية المرأة من التمييز استعراضاً مكثَّفاً للمدوّنة الجنائية. وتتناول هذه المدوّنة القوانين المتعلقة بالجرائم الجنسية المرتكبة ضد النساء والأطفال. وشملت بعض التغييرات الموصى بها مسائل مثل الاغتصاب الزوجي والمساعدة القانونية.</w:t>
      </w:r>
    </w:p>
    <w:p w:rsidR="00662946" w:rsidRDefault="00662946">
      <w:pPr>
        <w:pStyle w:val="SingleTxt"/>
        <w:jc w:val="both"/>
        <w:rPr>
          <w:rFonts w:hint="cs"/>
          <w:rtl/>
          <w:lang w:bidi="ar-EG"/>
        </w:rPr>
      </w:pPr>
      <w:r>
        <w:rPr>
          <w:rFonts w:hint="cs"/>
          <w:rtl/>
          <w:lang w:bidi="ar-EG"/>
        </w:rPr>
        <w:t>2-15</w:t>
      </w:r>
      <w:r>
        <w:rPr>
          <w:rFonts w:hint="cs"/>
          <w:rtl/>
          <w:lang w:bidi="ar-EG"/>
        </w:rPr>
        <w:tab/>
        <w:t>ظهرت المنظمات غير الحكومية والهيئات الحكومية المتخصصة والجمعيات النسائية كمراقبين لرصد الوضع القانوني والفعلي للمرأة في سانت لوسيا والإعراب عن القلق بشأنه. كما عملت باعتبارها آليات علاجية للأشخاص الذين انتهكت حقوقهم. وهي تشمل مركز الأزمات وملجأ النساء ومحكمة شؤون الأسرة.</w:t>
      </w:r>
    </w:p>
    <w:p w:rsidR="00662946" w:rsidRDefault="00662946">
      <w:pPr>
        <w:pStyle w:val="SingleTxt"/>
        <w:jc w:val="both"/>
        <w:rPr>
          <w:rFonts w:hint="cs"/>
          <w:rtl/>
          <w:lang w:bidi="ar-EG"/>
        </w:rPr>
      </w:pPr>
      <w:r>
        <w:rPr>
          <w:rFonts w:hint="cs"/>
          <w:rtl/>
          <w:lang w:bidi="ar-EG"/>
        </w:rPr>
        <w:t>2-16</w:t>
      </w:r>
      <w:r>
        <w:rPr>
          <w:rFonts w:hint="cs"/>
          <w:rtl/>
          <w:lang w:bidi="ar-EG"/>
        </w:rPr>
        <w:tab/>
        <w:t>أنشئت أول محكمة لشؤون الأسرة في الجزيرة في سنة 1997، بعد إصدار قانون محكمة شؤون الأسرة في سنة 1994. وقبل ذلك كان شتى الضحايا (الأسر والنساء والأطفال والأحداث (القُصَّر)) يحصلون على قدر محدود من الحماية ويخضعون لفحص كامل في نفس البيئة التي تفحص فيها سائر الشؤون الجنائية. وثمة ملمح مميز لمحكمة شؤون الأسرة يكمن في مهمة الدعم الاجتماعي، التي تتيح قدراً من التوازن والشمولية في خدمات المحكمة. ويوجد مزيج حكيم من التقنيات الاجتماعية والعلاجية مع الخدمات والتدخلات القانونية.</w:t>
      </w:r>
    </w:p>
    <w:p w:rsidR="00662946" w:rsidRDefault="00662946">
      <w:pPr>
        <w:pStyle w:val="SingleTxt"/>
        <w:jc w:val="both"/>
        <w:rPr>
          <w:rFonts w:hint="cs"/>
          <w:rtl/>
          <w:lang w:bidi="ar-EG"/>
        </w:rPr>
      </w:pPr>
      <w:r>
        <w:rPr>
          <w:rFonts w:hint="cs"/>
          <w:rtl/>
          <w:lang w:bidi="ar-EG"/>
        </w:rPr>
        <w:t>2-17</w:t>
      </w:r>
      <w:r>
        <w:rPr>
          <w:rFonts w:hint="cs"/>
          <w:rtl/>
          <w:lang w:bidi="ar-EG"/>
        </w:rPr>
        <w:tab/>
        <w:t>محكمة شؤون الأسرة هي بمثابة هيئة متخصصة تتيح الانتصاف للأشخاص الذين انتهكت حقوقهم. ويرد فيما يلي الاختصاص القانوني لهذه الهيئة:</w:t>
      </w:r>
    </w:p>
    <w:p w:rsidR="00662946" w:rsidRDefault="00662946">
      <w:pPr>
        <w:pStyle w:val="SingleTxt"/>
        <w:jc w:val="both"/>
        <w:rPr>
          <w:rFonts w:hint="cs"/>
          <w:rtl/>
          <w:lang w:bidi="ar-EG"/>
        </w:rPr>
      </w:pPr>
      <w:r>
        <w:rPr>
          <w:rFonts w:hint="cs"/>
          <w:rtl/>
          <w:lang w:bidi="ar-EG"/>
        </w:rPr>
        <w:tab/>
        <w:t>-</w:t>
      </w:r>
      <w:r>
        <w:rPr>
          <w:rFonts w:hint="cs"/>
          <w:rtl/>
          <w:lang w:bidi="ar-EG"/>
        </w:rPr>
        <w:tab/>
        <w:t>إعالة الأطفال؛</w:t>
      </w:r>
    </w:p>
    <w:p w:rsidR="00662946" w:rsidRDefault="00662946">
      <w:pPr>
        <w:pStyle w:val="SingleTxt"/>
        <w:jc w:val="both"/>
        <w:rPr>
          <w:rFonts w:hint="cs"/>
          <w:rtl/>
          <w:lang w:bidi="ar-EG"/>
        </w:rPr>
      </w:pPr>
      <w:r>
        <w:rPr>
          <w:rFonts w:hint="cs"/>
          <w:rtl/>
          <w:lang w:bidi="ar-EG"/>
        </w:rPr>
        <w:tab/>
        <w:t>-</w:t>
      </w:r>
      <w:r>
        <w:rPr>
          <w:rFonts w:hint="cs"/>
          <w:rtl/>
          <w:lang w:bidi="ar-EG"/>
        </w:rPr>
        <w:tab/>
        <w:t>إعالة الزوجات؛</w:t>
      </w:r>
    </w:p>
    <w:p w:rsidR="00662946" w:rsidRDefault="00662946">
      <w:pPr>
        <w:pStyle w:val="SingleTxt"/>
        <w:jc w:val="both"/>
        <w:rPr>
          <w:rFonts w:hint="cs"/>
          <w:rtl/>
          <w:lang w:bidi="ar-EG"/>
        </w:rPr>
      </w:pPr>
      <w:r>
        <w:rPr>
          <w:rFonts w:hint="cs"/>
          <w:rtl/>
          <w:lang w:bidi="ar-EG"/>
        </w:rPr>
        <w:tab/>
        <w:t>-</w:t>
      </w:r>
      <w:r>
        <w:rPr>
          <w:rFonts w:hint="cs"/>
          <w:rtl/>
          <w:lang w:bidi="ar-EG"/>
        </w:rPr>
        <w:tab/>
        <w:t>العنف الأسري؛</w:t>
      </w:r>
    </w:p>
    <w:p w:rsidR="00662946" w:rsidRDefault="00662946">
      <w:pPr>
        <w:pStyle w:val="SingleTxt"/>
        <w:jc w:val="both"/>
        <w:rPr>
          <w:rFonts w:hint="cs"/>
          <w:rtl/>
          <w:lang w:bidi="ar-EG"/>
        </w:rPr>
      </w:pPr>
      <w:r>
        <w:rPr>
          <w:rFonts w:hint="cs"/>
          <w:rtl/>
          <w:lang w:bidi="ar-EG"/>
        </w:rPr>
        <w:tab/>
        <w:t>-</w:t>
      </w:r>
      <w:r>
        <w:rPr>
          <w:rFonts w:hint="cs"/>
          <w:rtl/>
          <w:lang w:bidi="ar-EG"/>
        </w:rPr>
        <w:tab/>
        <w:t>الحجز على الدخل؛</w:t>
      </w:r>
    </w:p>
    <w:p w:rsidR="00662946" w:rsidRDefault="00662946">
      <w:pPr>
        <w:pStyle w:val="SingleTxt"/>
        <w:jc w:val="both"/>
        <w:rPr>
          <w:rFonts w:hint="cs"/>
          <w:rtl/>
          <w:lang w:bidi="ar-EG"/>
        </w:rPr>
      </w:pPr>
      <w:r>
        <w:rPr>
          <w:rFonts w:hint="cs"/>
          <w:rtl/>
          <w:lang w:bidi="ar-EG"/>
        </w:rPr>
        <w:tab/>
        <w:t>-</w:t>
      </w:r>
      <w:r>
        <w:rPr>
          <w:rFonts w:hint="cs"/>
          <w:rtl/>
          <w:lang w:bidi="ar-EG"/>
        </w:rPr>
        <w:tab/>
        <w:t>الأحداث (الرعاية والحماية وجرائم الأحداث)؛</w:t>
      </w:r>
    </w:p>
    <w:p w:rsidR="00662946" w:rsidRDefault="00662946">
      <w:pPr>
        <w:pStyle w:val="SingleTxt"/>
        <w:jc w:val="both"/>
        <w:rPr>
          <w:rFonts w:hint="cs"/>
          <w:rtl/>
          <w:lang w:bidi="ar-EG"/>
        </w:rPr>
      </w:pPr>
      <w:r>
        <w:rPr>
          <w:rFonts w:hint="cs"/>
          <w:rtl/>
          <w:lang w:bidi="ar-EG"/>
        </w:rPr>
        <w:tab/>
        <w:t>-</w:t>
      </w:r>
      <w:r>
        <w:rPr>
          <w:rFonts w:hint="cs"/>
          <w:rtl/>
          <w:lang w:bidi="ar-EG"/>
        </w:rPr>
        <w:tab/>
        <w:t>الدخول والزيارة؛</w:t>
      </w:r>
    </w:p>
    <w:p w:rsidR="00662946" w:rsidRDefault="00662946">
      <w:pPr>
        <w:pStyle w:val="SingleTxt"/>
        <w:jc w:val="both"/>
        <w:rPr>
          <w:rFonts w:hint="cs"/>
          <w:rtl/>
          <w:lang w:bidi="ar-EG"/>
        </w:rPr>
      </w:pPr>
      <w:r>
        <w:rPr>
          <w:rFonts w:hint="cs"/>
          <w:rtl/>
          <w:lang w:bidi="ar-EG"/>
        </w:rPr>
        <w:tab/>
        <w:t>-</w:t>
      </w:r>
      <w:r>
        <w:rPr>
          <w:rFonts w:hint="cs"/>
          <w:rtl/>
          <w:lang w:bidi="ar-EG"/>
        </w:rPr>
        <w:tab/>
        <w:t>الوساطة.</w:t>
      </w:r>
    </w:p>
    <w:p w:rsidR="00662946" w:rsidRDefault="00662946">
      <w:pPr>
        <w:pStyle w:val="SingleTxt"/>
        <w:jc w:val="both"/>
        <w:rPr>
          <w:rFonts w:hint="cs"/>
          <w:rtl/>
          <w:lang w:bidi="ar-EG"/>
        </w:rPr>
      </w:pPr>
      <w:r>
        <w:rPr>
          <w:rFonts w:hint="cs"/>
          <w:rtl/>
          <w:lang w:bidi="ar-EG"/>
        </w:rPr>
        <w:t>2-18</w:t>
      </w:r>
      <w:r>
        <w:rPr>
          <w:rFonts w:hint="cs"/>
          <w:rtl/>
          <w:lang w:bidi="ar-EG"/>
        </w:rPr>
        <w:tab/>
        <w:t xml:space="preserve">يكشف استعراض الاتجاهات السائدة في عدد الدعاوى المرفوعة أمام محكمة شؤون الأسرة منذ إنشائها عن طلب متزايد على خدمات المحكمة. وقد يوحي أيضاً بوجود زيادة في الوعي بوجود المحكمة. </w:t>
      </w:r>
    </w:p>
    <w:tbl>
      <w:tblPr>
        <w:bidiVisual/>
        <w:tblW w:w="6108" w:type="dxa"/>
        <w:jc w:val="center"/>
        <w:tblLook w:val="0000" w:firstRow="0" w:lastRow="0" w:firstColumn="0" w:lastColumn="0" w:noHBand="0" w:noVBand="0"/>
      </w:tblPr>
      <w:tblGrid>
        <w:gridCol w:w="1188"/>
        <w:gridCol w:w="1678"/>
        <w:gridCol w:w="1109"/>
        <w:gridCol w:w="1024"/>
        <w:gridCol w:w="1109"/>
      </w:tblGrid>
      <w:tr w:rsidR="00662946">
        <w:trPr>
          <w:trHeight w:val="315"/>
          <w:jc w:val="center"/>
        </w:trPr>
        <w:tc>
          <w:tcPr>
            <w:tcW w:w="6108" w:type="dxa"/>
            <w:gridSpan w:val="5"/>
            <w:tcBorders>
              <w:top w:val="single" w:sz="4" w:space="0" w:color="auto"/>
              <w:left w:val="single" w:sz="4" w:space="0" w:color="auto"/>
              <w:bottom w:val="single" w:sz="4" w:space="0" w:color="auto"/>
              <w:right w:val="single" w:sz="4" w:space="0" w:color="000000"/>
            </w:tcBorders>
            <w:noWrap/>
            <w:vAlign w:val="bottom"/>
          </w:tcPr>
          <w:p w:rsidR="00662946" w:rsidRDefault="00662946">
            <w:pPr>
              <w:spacing w:after="120"/>
              <w:jc w:val="center"/>
              <w:rPr>
                <w:rFonts w:hint="cs"/>
                <w:b/>
                <w:bCs/>
                <w:sz w:val="30"/>
              </w:rPr>
            </w:pPr>
            <w:r>
              <w:rPr>
                <w:rFonts w:hint="cs"/>
                <w:b/>
                <w:bCs/>
                <w:sz w:val="30"/>
                <w:rtl/>
              </w:rPr>
              <w:t>الجدول 1: عدد الدعاوى المرفوعة أمام محكمة شؤون الأسرة: 1997-2002</w:t>
            </w:r>
          </w:p>
        </w:tc>
      </w:tr>
      <w:tr w:rsidR="00662946">
        <w:trPr>
          <w:trHeight w:val="285"/>
          <w:jc w:val="center"/>
        </w:trPr>
        <w:tc>
          <w:tcPr>
            <w:tcW w:w="1188"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lang w:bidi="ar-EG"/>
              </w:rPr>
              <w:t>السنة</w:t>
            </w:r>
          </w:p>
        </w:tc>
        <w:tc>
          <w:tcPr>
            <w:tcW w:w="1678"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العنف الأسري</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الانتماء</w:t>
            </w:r>
          </w:p>
        </w:tc>
        <w:tc>
          <w:tcPr>
            <w:tcW w:w="1024"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الأحداث</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الأوامر</w:t>
            </w:r>
          </w:p>
        </w:tc>
      </w:tr>
      <w:tr w:rsidR="00662946">
        <w:trPr>
          <w:trHeight w:val="285"/>
          <w:jc w:val="center"/>
        </w:trPr>
        <w:tc>
          <w:tcPr>
            <w:tcW w:w="1188"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1997</w:t>
            </w:r>
          </w:p>
        </w:tc>
        <w:tc>
          <w:tcPr>
            <w:tcW w:w="1678" w:type="dxa"/>
            <w:tcBorders>
              <w:top w:val="nil"/>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161</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626</w:t>
            </w:r>
          </w:p>
        </w:tc>
        <w:tc>
          <w:tcPr>
            <w:tcW w:w="102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67</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r>
      <w:tr w:rsidR="00662946">
        <w:trPr>
          <w:trHeight w:val="285"/>
          <w:jc w:val="center"/>
        </w:trPr>
        <w:tc>
          <w:tcPr>
            <w:tcW w:w="1188"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1998</w:t>
            </w:r>
          </w:p>
        </w:tc>
        <w:tc>
          <w:tcPr>
            <w:tcW w:w="1678" w:type="dxa"/>
            <w:tcBorders>
              <w:top w:val="nil"/>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281</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713</w:t>
            </w:r>
          </w:p>
        </w:tc>
        <w:tc>
          <w:tcPr>
            <w:tcW w:w="102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90</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165</w:t>
            </w:r>
          </w:p>
        </w:tc>
      </w:tr>
      <w:tr w:rsidR="00662946">
        <w:trPr>
          <w:trHeight w:val="285"/>
          <w:jc w:val="center"/>
        </w:trPr>
        <w:tc>
          <w:tcPr>
            <w:tcW w:w="1188"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1999</w:t>
            </w:r>
          </w:p>
        </w:tc>
        <w:tc>
          <w:tcPr>
            <w:tcW w:w="1678" w:type="dxa"/>
            <w:tcBorders>
              <w:top w:val="nil"/>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385</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636</w:t>
            </w:r>
          </w:p>
        </w:tc>
        <w:tc>
          <w:tcPr>
            <w:tcW w:w="102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97</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412</w:t>
            </w:r>
          </w:p>
        </w:tc>
      </w:tr>
      <w:tr w:rsidR="00662946">
        <w:trPr>
          <w:trHeight w:val="285"/>
          <w:jc w:val="center"/>
        </w:trPr>
        <w:tc>
          <w:tcPr>
            <w:tcW w:w="1188"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2000</w:t>
            </w:r>
          </w:p>
        </w:tc>
        <w:tc>
          <w:tcPr>
            <w:tcW w:w="1678" w:type="dxa"/>
            <w:tcBorders>
              <w:top w:val="nil"/>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482</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649</w:t>
            </w:r>
          </w:p>
        </w:tc>
        <w:tc>
          <w:tcPr>
            <w:tcW w:w="102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91</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365</w:t>
            </w:r>
          </w:p>
        </w:tc>
      </w:tr>
      <w:tr w:rsidR="00662946">
        <w:trPr>
          <w:trHeight w:val="285"/>
          <w:jc w:val="center"/>
        </w:trPr>
        <w:tc>
          <w:tcPr>
            <w:tcW w:w="1188"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2001</w:t>
            </w:r>
          </w:p>
        </w:tc>
        <w:tc>
          <w:tcPr>
            <w:tcW w:w="1678" w:type="dxa"/>
            <w:tcBorders>
              <w:top w:val="nil"/>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452</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644</w:t>
            </w:r>
          </w:p>
        </w:tc>
        <w:tc>
          <w:tcPr>
            <w:tcW w:w="102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114</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655</w:t>
            </w:r>
          </w:p>
        </w:tc>
      </w:tr>
      <w:tr w:rsidR="00662946">
        <w:trPr>
          <w:trHeight w:val="285"/>
          <w:jc w:val="center"/>
        </w:trPr>
        <w:tc>
          <w:tcPr>
            <w:tcW w:w="1188"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2002</w:t>
            </w:r>
          </w:p>
        </w:tc>
        <w:tc>
          <w:tcPr>
            <w:tcW w:w="1678" w:type="dxa"/>
            <w:tcBorders>
              <w:top w:val="nil"/>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414</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636</w:t>
            </w:r>
          </w:p>
        </w:tc>
        <w:tc>
          <w:tcPr>
            <w:tcW w:w="102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116</w:t>
            </w:r>
          </w:p>
        </w:tc>
        <w:tc>
          <w:tcPr>
            <w:tcW w:w="110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489</w:t>
            </w:r>
          </w:p>
        </w:tc>
      </w:tr>
      <w:tr w:rsidR="00662946">
        <w:trPr>
          <w:trHeight w:val="285"/>
          <w:jc w:val="center"/>
        </w:trPr>
        <w:tc>
          <w:tcPr>
            <w:tcW w:w="6108" w:type="dxa"/>
            <w:gridSpan w:val="5"/>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b/>
                <w:sz w:val="30"/>
              </w:rPr>
            </w:pPr>
            <w:r>
              <w:rPr>
                <w:rFonts w:hint="cs"/>
                <w:b/>
                <w:sz w:val="30"/>
                <w:rtl/>
              </w:rPr>
              <w:t>المصدر: محكمة شؤون الأسرة في سانت لوسيا.</w:t>
            </w:r>
          </w:p>
        </w:tc>
      </w:tr>
    </w:tbl>
    <w:p w:rsidR="00662946" w:rsidRDefault="00662946">
      <w:pPr>
        <w:pStyle w:val="SingleTxt"/>
        <w:jc w:val="both"/>
        <w:rPr>
          <w:rFonts w:hint="cs"/>
          <w:rtl/>
          <w:lang w:bidi="ar-EG"/>
        </w:rPr>
      </w:pPr>
      <w:r>
        <w:rPr>
          <w:rFonts w:hint="cs"/>
          <w:rtl/>
          <w:lang w:bidi="ar-EG"/>
        </w:rPr>
        <w:tab/>
        <w:t>في ضوء الطلب المتزايد تعقد الآن محكمة شؤون الأسرة، التي يشمل اختصاصها الجزيرة كلها، في الوقت الحاضر في يوم الخميس جلسات في الحي الجنوبي من فيوفورت.</w:t>
      </w:r>
    </w:p>
    <w:p w:rsidR="00662946" w:rsidRDefault="00662946">
      <w:pPr>
        <w:pStyle w:val="SingleTxt"/>
        <w:jc w:val="both"/>
        <w:rPr>
          <w:rFonts w:hint="cs"/>
          <w:rtl/>
          <w:lang w:bidi="ar-EG"/>
        </w:rPr>
      </w:pPr>
      <w:r>
        <w:rPr>
          <w:rFonts w:hint="cs"/>
          <w:rtl/>
          <w:lang w:bidi="ar-EG"/>
        </w:rPr>
        <w:t>2-19</w:t>
      </w:r>
      <w:r>
        <w:rPr>
          <w:rFonts w:hint="cs"/>
          <w:rtl/>
          <w:lang w:bidi="ar-EG"/>
        </w:rPr>
        <w:tab/>
        <w:t>حدث أيضاً عدد من التغييرات الإيجابية في التشريع المتعلق بالجرائم الجنسية. فيتيح قانون المدونة الجنائية (التعديل) رقم 14 لسنة 1997 زيادات في العقوبات المفروضة على بعض الجرائم الجنسية المرتكبة ضد النساء والأطفال. فقد زيدت العقوبة المفروضة على الإتيان بأفعال منافية للحشمة مع طفل دون سن الرابعة عشرة أو تجاهه من سنتين إلى عشر سنوات في حالة الإدانة؛ ومن ستة أشهر إلى ثلاث سنوات في حالة الإدانة؛ ومن ستة أشهر إلى ثلاث سنوات في حالة الإدانة الجزئية؛ ومن غرامة لا تتجاوز 000 1 دولار إلى غرامة لا تتجاوز عشرة آلاف دولار. وزيدت عقوبة المواقعة غير المشروعة لأنثى يتراوح عمرها بين ثلاثة عشرة وست عشرة سنه من خمس سنوات إلى خمسة عشرة سنة. وزيدت عقوبة المضاجعة غير المشروعة لأنثى معاقة بدنياً أو عقلياً من سنتين إلى عشر سنوات. وزيدت عقوبة زنا المحارم من سبع إلى سبع عشرة سنة؛ وزيدت عقوبة الشروع في زنا المحارم من سنتين إلى خمس سنوات.</w:t>
      </w:r>
    </w:p>
    <w:p w:rsidR="00662946" w:rsidRDefault="00662946">
      <w:pPr>
        <w:pStyle w:val="SingleTxt"/>
        <w:jc w:val="both"/>
        <w:rPr>
          <w:rFonts w:hint="cs"/>
          <w:rtl/>
          <w:lang w:bidi="ar-EG"/>
        </w:rPr>
      </w:pPr>
      <w:r>
        <w:rPr>
          <w:rFonts w:hint="cs"/>
          <w:rtl/>
          <w:lang w:bidi="ar-EG"/>
        </w:rPr>
        <w:t>2-20</w:t>
      </w:r>
      <w:r>
        <w:rPr>
          <w:rFonts w:hint="cs"/>
          <w:rtl/>
          <w:lang w:bidi="ar-EG"/>
        </w:rPr>
        <w:tab/>
        <w:t>علاوة على هذه التغييرات تعاقدت حكومة سانت لوسيا في سنة 1999 مع خبير استشاري لاستعراض القانون الجنائي وقانون الإجراءات الجنائية لسانت لوسيا. وحددت عدة أوجه نقص ووضعت توصيات بهدف تحسين بعض الأحكام التشريعية المتعلقة بالجرائم الجنسية.</w:t>
      </w:r>
    </w:p>
    <w:p w:rsidR="00662946" w:rsidRDefault="00662946">
      <w:pPr>
        <w:pStyle w:val="SingleTxt"/>
        <w:jc w:val="both"/>
        <w:rPr>
          <w:rFonts w:hint="eastAsia"/>
          <w:rtl/>
          <w:lang w:bidi="ar-EG"/>
        </w:rPr>
      </w:pPr>
      <w:r>
        <w:rPr>
          <w:rFonts w:hint="cs"/>
          <w:rtl/>
          <w:lang w:bidi="ar-EG"/>
        </w:rPr>
        <w:t>2-21</w:t>
      </w:r>
      <w:r>
        <w:rPr>
          <w:rFonts w:hint="cs"/>
          <w:rtl/>
          <w:lang w:bidi="ar-EG"/>
        </w:rPr>
        <w:tab/>
        <w:t xml:space="preserve">ينص قانون التكافؤ في الفرص والمعاملة في العمل وفي المهنة لسنة 2000 على عدد من التدابير لإنصاف الأشخاص المُمَّيز ضدهم في مجال العمل. ويتعلق أحد الأحكام بالتحرش الجنسي، الذي يعرفه القانون بأنه </w:t>
      </w:r>
      <w:r>
        <w:rPr>
          <w:rFonts w:hint="eastAsia"/>
          <w:rtl/>
          <w:lang w:bidi="ar-EG"/>
        </w:rPr>
        <w:t>”</w:t>
      </w:r>
      <w:r>
        <w:rPr>
          <w:rFonts w:hint="cs"/>
          <w:rtl/>
          <w:lang w:bidi="ar-EG"/>
        </w:rPr>
        <w:t>... تصرف ذو طبيعة جنسية غير مرغوب فيه في مكان العمل أو فيما يتعلق بأداء عمل يهدد به أو مفروض على المستخدم باعتباره شرط للتوظيف أو يخلق بيئة عمل معادية للموظف</w:t>
      </w:r>
      <w:r>
        <w:rPr>
          <w:rFonts w:hint="eastAsia"/>
          <w:rtl/>
          <w:lang w:bidi="ar-EG"/>
        </w:rPr>
        <w:t xml:space="preserve">“. </w:t>
      </w:r>
      <w:r>
        <w:rPr>
          <w:rFonts w:hint="cs"/>
          <w:rtl/>
          <w:lang w:bidi="ar-EG"/>
        </w:rPr>
        <w:t xml:space="preserve">وينص البند 8 من القانون على أن </w:t>
      </w:r>
      <w:r>
        <w:rPr>
          <w:rFonts w:hint="eastAsia"/>
          <w:rtl/>
          <w:lang w:bidi="ar-EG"/>
        </w:rPr>
        <w:t xml:space="preserve">”أي عمل من أعمال التحرش الجنسي يرتكبه صاحب عمل أو موظف إداري أو زميل في العمل ضد موظف يمثل تمييزاً غير مشروع على أساس الجنس... </w:t>
      </w:r>
      <w:r>
        <w:rPr>
          <w:rFonts w:hint="cs"/>
          <w:rtl/>
          <w:lang w:bidi="ar-EG"/>
        </w:rPr>
        <w:t>ويمثل جريمة</w:t>
      </w:r>
      <w:r>
        <w:rPr>
          <w:rFonts w:hint="eastAsia"/>
          <w:rtl/>
          <w:lang w:bidi="ar-EG"/>
        </w:rPr>
        <w:t>“.</w:t>
      </w:r>
    </w:p>
    <w:p w:rsidR="00662946" w:rsidRDefault="00662946">
      <w:pPr>
        <w:pStyle w:val="SingleTxt"/>
        <w:jc w:val="both"/>
        <w:rPr>
          <w:rFonts w:hint="cs"/>
          <w:rtl/>
          <w:lang w:bidi="ar-EG"/>
        </w:rPr>
      </w:pPr>
      <w:r>
        <w:rPr>
          <w:rFonts w:hint="cs"/>
          <w:rtl/>
          <w:lang w:bidi="ar-EG"/>
        </w:rPr>
        <w:t>2-22</w:t>
      </w:r>
      <w:r>
        <w:rPr>
          <w:rFonts w:hint="cs"/>
          <w:rtl/>
          <w:lang w:bidi="ar-EG"/>
        </w:rPr>
        <w:tab/>
        <w:t xml:space="preserve">كما أن مسألة التحرش الجنسي موضع تركيز في برنامج التعليم العام في </w:t>
      </w:r>
      <w:r>
        <w:rPr>
          <w:rtl/>
          <w:lang w:bidi="ar-EG"/>
        </w:rPr>
        <w:t>الآلية الوطنية للمرأة</w:t>
      </w:r>
      <w:r>
        <w:rPr>
          <w:rFonts w:hint="cs"/>
          <w:rtl/>
          <w:lang w:bidi="ar-EG"/>
        </w:rPr>
        <w:t>. وثمة حاجة إلى مواصلة إعلام أصحاب العمل والموظفين بالمسائل المعقدة المتعلقة بالتحرش الجنسي وما يمكن عمله لاستئصاله من مكان العمل. وتوجد توصية بأن يضع جميع أصحاب العمل سياسة داخلية بشأن التحرش الجنسي تقدم مبادئ توجيهية عن كيفية اكتشاف ومعالجة هذه المشكلة.</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b/>
          <w:bCs/>
          <w:rtl/>
        </w:rPr>
      </w:pPr>
      <w:r>
        <w:rPr>
          <w:rFonts w:hint="cs"/>
          <w:b/>
          <w:bCs/>
          <w:rtl/>
        </w:rPr>
        <w:t>المادة 3:</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rtl/>
        </w:rPr>
      </w:pPr>
      <w:r>
        <w:rPr>
          <w:rFonts w:hint="cs"/>
          <w:rtl/>
        </w:rPr>
        <w:tab/>
      </w:r>
      <w:r>
        <w:rPr>
          <w:rFonts w:hint="cs"/>
          <w:rtl/>
        </w:rPr>
        <w:tab/>
      </w:r>
      <w:r>
        <w:rPr>
          <w:rFonts w:hint="cs"/>
          <w:i/>
          <w:iCs/>
          <w:rtl/>
        </w:rPr>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r>
        <w:rPr>
          <w:rFonts w:hint="cs"/>
          <w:rtl/>
        </w:rPr>
        <w:t>.</w:t>
      </w:r>
    </w:p>
    <w:p w:rsidR="00662946" w:rsidRDefault="00662946">
      <w:pPr>
        <w:pStyle w:val="SingleTxt"/>
        <w:jc w:val="both"/>
        <w:rPr>
          <w:rFonts w:hint="cs"/>
          <w:rtl/>
          <w:lang w:bidi="ar-EG"/>
        </w:rPr>
      </w:pPr>
      <w:r>
        <w:rPr>
          <w:rFonts w:hint="cs"/>
          <w:rtl/>
        </w:rPr>
        <w:t>3-1</w:t>
      </w:r>
      <w:r>
        <w:rPr>
          <w:rFonts w:hint="cs"/>
          <w:rtl/>
          <w:lang w:bidi="ar-EG"/>
        </w:rPr>
        <w:tab/>
        <w:t>حتى الثمانينات كانت المرأة تعتبر عموماً مستفيدة من المبادرات الإنمائية ومتلقية لمجموعات إعانات الرعاية الاجتماعية ومع إنشاء الآلية الوطنية والجهود المصممة على تغيير هذه الصورة عن طريق حملات التوعية العامة أصبحت المرأة تعتبر الآن شريكة في التنمية. وكان اعتماد مجلس الوزراء للسياسة الوطنية المتعلقة بالمرأة في سنة 1991 إنجازاً مهماً في هذا الصدد.</w:t>
      </w:r>
    </w:p>
    <w:p w:rsidR="00662946" w:rsidRDefault="00662946">
      <w:pPr>
        <w:pStyle w:val="SingleTxt"/>
        <w:jc w:val="both"/>
        <w:rPr>
          <w:rFonts w:hint="cs"/>
          <w:rtl/>
          <w:lang w:bidi="ar-EG"/>
        </w:rPr>
      </w:pPr>
      <w:r>
        <w:rPr>
          <w:rFonts w:hint="cs"/>
          <w:rtl/>
          <w:lang w:bidi="ar-EG"/>
        </w:rPr>
        <w:t>3-2</w:t>
      </w:r>
      <w:r>
        <w:rPr>
          <w:rFonts w:hint="cs"/>
          <w:rtl/>
          <w:lang w:bidi="ar-EG"/>
        </w:rPr>
        <w:tab/>
        <w:t>سوف تعزز هذه الخطوة النهوض بالمرأة في الميادين المختلفة، بما في ذلك مجالات التوظيف والتعليم والتدريب والزراعة والصحة واتخاذ القرارات والخدمات الأساسية الأخرى. وتسعى هذه السياسة على وجه التحديد إلى تيسير القضاء على جميع أشكال التمييز ضد المرأة، وهي تقوم على ثلاثة افتراضات رئيسية هي:</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لا يمكن معالجة تنمية سانت لوسيا على نحو سليم دون إتاحة فرص كافية لزيادة مشاركة المرأة.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الاعتراف العاجل بعمل المرأة ومهارتها لزيادة مساهمتها في بناء الأمة إلى أقصى درجة.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ينبغي إيلاء مزيد من الاهتمام لدور المرأة ومشاركتها في التنمية الوطنية باعتبارها قطاعاً رئيسياً من السكان.</w:t>
      </w:r>
    </w:p>
    <w:p w:rsidR="00662946" w:rsidRDefault="00662946">
      <w:pPr>
        <w:pStyle w:val="SingleTxt"/>
        <w:jc w:val="both"/>
        <w:rPr>
          <w:rFonts w:hint="cs"/>
          <w:rtl/>
          <w:lang w:bidi="ar-EG"/>
        </w:rPr>
      </w:pPr>
      <w:r>
        <w:rPr>
          <w:rFonts w:hint="cs"/>
          <w:rtl/>
          <w:lang w:bidi="ar-EG"/>
        </w:rPr>
        <w:t>3-3</w:t>
      </w:r>
      <w:r>
        <w:rPr>
          <w:rFonts w:hint="cs"/>
          <w:rtl/>
          <w:lang w:bidi="ar-EG"/>
        </w:rPr>
        <w:tab/>
        <w:t>تكلِّف هذه السياسة جميع الوزارات الحكومية والهيئات بتنفيذ الأحكام الواردة فيها. وترد فيما يلي المبادئ الرئيسية الواردة في بيان السياسة الوطنية المتعلقة بالمرأة:</w:t>
      </w:r>
    </w:p>
    <w:p w:rsidR="00662946" w:rsidRDefault="00662946">
      <w:pPr>
        <w:pStyle w:val="SingleTxt"/>
        <w:jc w:val="both"/>
        <w:rPr>
          <w:rFonts w:hint="cs"/>
          <w:rtl/>
          <w:lang w:bidi="ar-EG"/>
        </w:rPr>
      </w:pPr>
      <w:r>
        <w:rPr>
          <w:rFonts w:hint="cs"/>
          <w:rtl/>
          <w:lang w:bidi="ar-EG"/>
        </w:rPr>
        <w:tab/>
        <w:t>’1‘</w:t>
      </w:r>
      <w:r>
        <w:rPr>
          <w:rFonts w:hint="cs"/>
          <w:rtl/>
          <w:lang w:bidi="ar-EG"/>
        </w:rPr>
        <w:tab/>
        <w:t xml:space="preserve">سوف تؤسس تدابير مناسبة لكفالة ألا تؤدي الوظيفة التناسلية للمرأة إلى مواصلة تهميش مهارتها ووقتها، ويشجع الرجال على تقاسم مسؤولية تنشئة الأولاد مع النساء بصورة كاملة؛ </w:t>
      </w:r>
    </w:p>
    <w:p w:rsidR="00662946" w:rsidRDefault="00662946">
      <w:pPr>
        <w:pStyle w:val="SingleTxt"/>
        <w:jc w:val="both"/>
        <w:rPr>
          <w:rFonts w:hint="cs"/>
          <w:rtl/>
          <w:lang w:bidi="ar-EG"/>
        </w:rPr>
      </w:pPr>
      <w:r>
        <w:rPr>
          <w:rFonts w:hint="cs"/>
          <w:rtl/>
          <w:lang w:bidi="ar-EG"/>
        </w:rPr>
        <w:tab/>
        <w:t>’2‘</w:t>
      </w:r>
      <w:r>
        <w:rPr>
          <w:rFonts w:hint="cs"/>
          <w:rtl/>
          <w:lang w:bidi="ar-EG"/>
        </w:rPr>
        <w:tab/>
        <w:t>سوف يولى اهتمام للدعم البشري والمالي الذي تحتاجه النساء لتعزيز دورهن الإنتاجي في المجتمع وإضفاء قيمة جديدة على إنتاجهن؛</w:t>
      </w:r>
    </w:p>
    <w:p w:rsidR="00662946" w:rsidRDefault="00662946">
      <w:pPr>
        <w:pStyle w:val="SingleTxt"/>
        <w:jc w:val="both"/>
        <w:rPr>
          <w:rFonts w:hint="cs"/>
          <w:rtl/>
          <w:lang w:bidi="ar-EG"/>
        </w:rPr>
      </w:pPr>
      <w:r>
        <w:rPr>
          <w:rFonts w:hint="cs"/>
          <w:rtl/>
          <w:lang w:bidi="ar-EG"/>
        </w:rPr>
        <w:tab/>
        <w:t>’3‘</w:t>
      </w:r>
      <w:r>
        <w:rPr>
          <w:rFonts w:hint="cs"/>
          <w:rtl/>
          <w:lang w:bidi="ar-EG"/>
        </w:rPr>
        <w:tab/>
        <w:t>سوف توضع برامج واستراتيجيات لنشر صورة إيجابية للمرأة في مجتمع سانت لوسيا؛</w:t>
      </w:r>
    </w:p>
    <w:p w:rsidR="00662946" w:rsidRDefault="00662946">
      <w:pPr>
        <w:pStyle w:val="SingleTxt"/>
        <w:jc w:val="both"/>
        <w:rPr>
          <w:rFonts w:hint="cs"/>
          <w:rtl/>
          <w:lang w:bidi="ar-EG"/>
        </w:rPr>
      </w:pPr>
      <w:r>
        <w:rPr>
          <w:rFonts w:hint="cs"/>
          <w:rtl/>
          <w:lang w:bidi="ar-EG"/>
        </w:rPr>
        <w:tab/>
        <w:t>’4‘</w:t>
      </w:r>
      <w:r>
        <w:rPr>
          <w:rFonts w:hint="cs"/>
          <w:rtl/>
          <w:lang w:bidi="ar-EG"/>
        </w:rPr>
        <w:tab/>
        <w:t>ينبغي أن تعزز السياسات المنفَّذة في جميع القطاعات حصول المرأة على المعلومات والفرص ومراكز السلطة، وتغيير التكييف الذي يشجع النساء على البقاء على المستوى الطوعي في التنمية المجتمعية.</w:t>
      </w:r>
    </w:p>
    <w:p w:rsidR="00662946" w:rsidRDefault="00662946">
      <w:pPr>
        <w:pStyle w:val="SingleTxt"/>
        <w:jc w:val="both"/>
        <w:rPr>
          <w:rFonts w:hint="cs"/>
          <w:rtl/>
          <w:lang w:bidi="ar-EG"/>
        </w:rPr>
      </w:pPr>
      <w:r>
        <w:rPr>
          <w:rFonts w:hint="cs"/>
          <w:rtl/>
          <w:lang w:bidi="ar-EG"/>
        </w:rPr>
        <w:t>3-6</w:t>
      </w:r>
      <w:r>
        <w:rPr>
          <w:rFonts w:hint="cs"/>
          <w:rtl/>
          <w:lang w:bidi="ar-EG"/>
        </w:rPr>
        <w:tab/>
        <w:t xml:space="preserve">بحلول نهاية الفترة المشمولة بالتقرير سميت الآلية الوطنية للنهوض بالمرأة شعبة العلاقات الجنسانية، وهي خطوة ترمي إلى التعبير عن تركيز الشعبة على المساواة بين الجنسين. وألحقت هذه الشعبة بوزارة الصحة والخدمات الإنسانية وشؤون الأسرة والعلاقات بين الجنسين. واستهدف بيان المهمة المنقحة للآلية الوطنية المعنية بالمرأة </w:t>
      </w:r>
      <w:r>
        <w:rPr>
          <w:rFonts w:hint="eastAsia"/>
          <w:rtl/>
          <w:lang w:bidi="ar-EG"/>
        </w:rPr>
        <w:t>”تعزيز وتيسير إعادة توزيع الموارد والسلطة على جميع المستويات وإعادة تحديد الأدوار والمسؤوليات لتحسين العلاقة بين الرجل والمرأة؛ وذلك بهدف تحسين نوعية حياة المرأة والسماح لك</w:t>
      </w:r>
      <w:r>
        <w:rPr>
          <w:rFonts w:hint="cs"/>
          <w:rtl/>
          <w:lang w:bidi="ar-EG"/>
        </w:rPr>
        <w:t xml:space="preserve">لٍ من الرجل والمرأة باستخدام كامل طاقتهما. </w:t>
      </w:r>
    </w:p>
    <w:p w:rsidR="00662946" w:rsidRDefault="00662946">
      <w:pPr>
        <w:pStyle w:val="SingleTxt"/>
        <w:jc w:val="both"/>
        <w:rPr>
          <w:rFonts w:hint="cs"/>
          <w:rtl/>
          <w:lang w:bidi="ar-EG"/>
        </w:rPr>
      </w:pPr>
      <w:r>
        <w:rPr>
          <w:rFonts w:hint="cs"/>
          <w:rtl/>
          <w:lang w:bidi="ar-EG"/>
        </w:rPr>
        <w:t>3-4</w:t>
      </w:r>
      <w:r>
        <w:rPr>
          <w:rFonts w:hint="cs"/>
          <w:rtl/>
          <w:lang w:bidi="ar-EG"/>
        </w:rPr>
        <w:tab/>
        <w:t>خلال الفترة قيد الاستعراض حدثت زيادة ملحوظة في عدد المنظمات المجتمعية وغير الحكومية الجديدة والمتجددة مع إيلاء الاهتمام بصفة خاصة إلى النهوض بحالة المرأة. وتشمل هذه المنظمات منظمة النساء المهنيات وسيدات الأعمال والمجلس الوطني للمنظمة النسائية الطوعية وجمعيات الأمهات والآباء.</w:t>
      </w:r>
    </w:p>
    <w:p w:rsidR="00662946" w:rsidRDefault="00662946">
      <w:pPr>
        <w:pStyle w:val="SingleTxt"/>
        <w:jc w:val="both"/>
        <w:rPr>
          <w:rFonts w:hint="cs"/>
          <w:rtl/>
          <w:lang w:bidi="ar-EG"/>
        </w:rPr>
      </w:pPr>
      <w:r>
        <w:rPr>
          <w:rFonts w:hint="cs"/>
          <w:rtl/>
          <w:lang w:bidi="ar-EG"/>
        </w:rPr>
        <w:t>3-5</w:t>
      </w:r>
      <w:r>
        <w:rPr>
          <w:rFonts w:hint="cs"/>
          <w:rtl/>
          <w:lang w:bidi="ar-EG"/>
        </w:rPr>
        <w:tab/>
        <w:t>تركز المنظمة الوطنية العامة على برامج بناء القدرات لمنظماتها الأعضاء. وتتعاون هذه المنظمة مع شعبة العلاقات بين الجنسين في بعض برامجها. بيد أن تأثير هذه المنظمة قد يكون محدوداً بسبب القيود التنظيمية والمالية والبشرية التي تواجهها فيما يتعلق بمواردها.</w:t>
      </w:r>
    </w:p>
    <w:p w:rsidR="00662946" w:rsidRDefault="00662946">
      <w:pPr>
        <w:pStyle w:val="SingleTxt"/>
        <w:jc w:val="both"/>
        <w:rPr>
          <w:rFonts w:hint="cs"/>
          <w:rtl/>
          <w:lang w:bidi="ar-EG"/>
        </w:rPr>
      </w:pPr>
      <w:r>
        <w:rPr>
          <w:rFonts w:hint="cs"/>
          <w:rtl/>
          <w:lang w:bidi="ar-EG"/>
        </w:rPr>
        <w:t>3-6</w:t>
      </w:r>
      <w:r>
        <w:rPr>
          <w:rFonts w:hint="cs"/>
          <w:rtl/>
          <w:lang w:bidi="ar-EG"/>
        </w:rPr>
        <w:tab/>
        <w:t>ساهم أيضاً الجناح النسائي لحزب عمال سانت لوسيا في إعداد وتشجيع أعضاء لتولي مناصب قيادية في القرن الحادي والعشرين. وبالمثل مواصلة الجمعية الانتخابية النسائية لاتحاد معلمي سانت لوسيا والجمعية الدولية للتعليم العمل على إيجاد وعي بالمسائل الجنسانية بين أعضاءها.</w:t>
      </w:r>
    </w:p>
    <w:p w:rsidR="00662946" w:rsidRDefault="00662946">
      <w:pPr>
        <w:pStyle w:val="SingleTxt"/>
        <w:jc w:val="both"/>
        <w:rPr>
          <w:rFonts w:hint="cs"/>
          <w:rtl/>
          <w:lang w:bidi="ar-EG"/>
        </w:rPr>
      </w:pPr>
      <w:r>
        <w:rPr>
          <w:rFonts w:hint="cs"/>
          <w:rtl/>
          <w:lang w:bidi="ar-EG"/>
        </w:rPr>
        <w:t>3-7</w:t>
      </w:r>
      <w:r>
        <w:rPr>
          <w:rFonts w:hint="cs"/>
          <w:rtl/>
          <w:lang w:bidi="ar-EG"/>
        </w:rPr>
        <w:tab/>
        <w:t>كما يقوم الفرع المحلي للجمعية الكاريبية للبحوث النسائية والعمل النسائي بنشاط ويسمع صوته في سانت لوسيا. وهذه الجمعية ملتزمة بتعزيز المساواة بين الجنسين وتحسين الصحة التناسلية في منطقة الكاريبي عن طريق التعليم وبحوث الوعي العام وأعمال الدعوى. والتقرير الذي كلفت بإعداده الجمعية الكاريبية للبحث والعمل النسائي في سنة 1991 عن المرأة والقانون في سانت لوسيا هو إنجاز رئيسي في مجال النهوض بالمرأة. وقد أثبت هذا البحث أهميته الحيوية في بيان الجوانب التي أصلحت في القوانين في سانت لوسيا لتحسين حالة المرأة في البلد في مجالات مثل قانون الأسرة وقانون العمل وحقوق الملكية. وتعتبر نتائج الدراسة المتعلقة بالمجالات الحيوية التي تحتاج إلى تغيير على نفس هذا القدر من الأهمية.</w:t>
      </w:r>
    </w:p>
    <w:p w:rsidR="00662946" w:rsidRDefault="00662946">
      <w:pPr>
        <w:pStyle w:val="SingleTxt"/>
        <w:jc w:val="both"/>
        <w:rPr>
          <w:rFonts w:hint="cs"/>
          <w:rtl/>
          <w:lang w:bidi="ar-EG"/>
        </w:rPr>
      </w:pPr>
      <w:r>
        <w:rPr>
          <w:rFonts w:hint="cs"/>
          <w:rtl/>
          <w:lang w:bidi="ar-EG"/>
        </w:rPr>
        <w:t>3-8</w:t>
      </w:r>
      <w:r>
        <w:rPr>
          <w:rFonts w:hint="cs"/>
          <w:rtl/>
          <w:lang w:bidi="ar-EG"/>
        </w:rPr>
        <w:tab/>
        <w:t>على الرغم من هذه الجهود والأنشطة مازال يوجد مجال للتحسين فيما يتعلق بمستوى ونوعية مشاركة المنظمات غير الحكومية في تعزيز المرأة والنهوض بها. وقد حدت قيودها المالية والمؤسسية من مدى تأثيرها. وفي ضوء ذلك أكدت شعبة العلاقات بين الجنسين ضرورة بناء القدرات المؤسسية للمنظمات النسائية، وذلك في إطار خطتها الاستراتيجية في سنة 2000.</w:t>
      </w:r>
    </w:p>
    <w:p w:rsidR="00662946" w:rsidRDefault="00662946">
      <w:pPr>
        <w:pStyle w:val="SingleTxt"/>
        <w:jc w:val="both"/>
        <w:rPr>
          <w:rFonts w:hint="cs"/>
          <w:rtl/>
          <w:lang w:bidi="ar-EG"/>
        </w:rPr>
      </w:pPr>
      <w:r>
        <w:rPr>
          <w:rFonts w:hint="cs"/>
          <w:rtl/>
          <w:lang w:bidi="ar-EG"/>
        </w:rPr>
        <w:tab/>
        <w:t>وقد أعربت حكومة سانت لوسيا عن إلتزامها بكفالة النهوض بالمرأة في المجال الاقتصادي بسنّ قانون التكافؤ في الفرص والمساواة في مجال المهنة في سنة 2000. وينسخ هذا القانون أيضاً الأمر المتعلق بالعمال الزراعيين لسنة 1979 الذي كان يضمن أجور أعلى للرجال في أنشطة زراعية معيّنة. وهذا التغيير التشريعي ذو قيمة قصوى للمرأة، ولا سيما المرأة الريفية التي تشارك بنشاط في مجال الزراعة.</w:t>
      </w:r>
    </w:p>
    <w:p w:rsidR="00662946" w:rsidRDefault="00662946">
      <w:pPr>
        <w:pStyle w:val="SingleTxt"/>
        <w:jc w:val="both"/>
        <w:rPr>
          <w:rFonts w:hint="cs"/>
          <w:rtl/>
          <w:lang w:bidi="ar-EG"/>
        </w:rPr>
      </w:pPr>
      <w:r>
        <w:rPr>
          <w:rFonts w:hint="cs"/>
          <w:rtl/>
          <w:lang w:bidi="ar-EG"/>
        </w:rPr>
        <w:t>3-9</w:t>
      </w:r>
      <w:r>
        <w:rPr>
          <w:rFonts w:hint="cs"/>
          <w:rtl/>
          <w:lang w:bidi="ar-EG"/>
        </w:rPr>
        <w:tab/>
        <w:t>صدر في عام 1996 قانون الحجز على الدخل (الإعالة)، الذي يسعى إلى ضمان تقديم الآباء مساعدة مالية لرعاية وإعالة أولادهم. وتستفيد النساء، ولا سيما النساء الأمهات العازبات باعتبارهن مربيات في المقام الأول ما دام القانون نافذاً. وفي نفس الوقت يبدو أن نفس هذا القانون يعاقِب النساء المتزوجات لأنهن لا يستطعن المطالبة بإعادة أولادهن المنجَبين من رجل آخر قبل زواجهن.</w:t>
      </w:r>
    </w:p>
    <w:p w:rsidR="00662946" w:rsidRDefault="00662946">
      <w:pPr>
        <w:pStyle w:val="SingleTxt"/>
        <w:pBdr>
          <w:top w:val="single" w:sz="4" w:space="1" w:color="auto"/>
          <w:left w:val="single" w:sz="4" w:space="4" w:color="auto"/>
          <w:bottom w:val="single" w:sz="4" w:space="1" w:color="auto"/>
          <w:right w:val="single" w:sz="4" w:space="4" w:color="auto"/>
        </w:pBdr>
        <w:ind w:left="1944" w:right="1264" w:hanging="680"/>
        <w:jc w:val="both"/>
        <w:rPr>
          <w:rFonts w:hint="cs"/>
          <w:i/>
          <w:iCs/>
          <w:rtl/>
        </w:rPr>
      </w:pPr>
      <w:r>
        <w:rPr>
          <w:rFonts w:hint="cs"/>
          <w:rtl/>
          <w:lang w:bidi="ar-EG"/>
        </w:rPr>
        <w:t>المادة 4:</w:t>
      </w:r>
    </w:p>
    <w:p w:rsidR="00662946" w:rsidRDefault="00662946">
      <w:pPr>
        <w:pStyle w:val="SingleTxt"/>
        <w:pBdr>
          <w:top w:val="single" w:sz="4" w:space="1" w:color="auto"/>
          <w:left w:val="single" w:sz="4" w:space="4" w:color="auto"/>
          <w:bottom w:val="single" w:sz="4" w:space="1" w:color="auto"/>
          <w:right w:val="single" w:sz="4" w:space="4" w:color="auto"/>
        </w:pBdr>
        <w:ind w:left="1944" w:right="1264" w:hanging="680"/>
        <w:jc w:val="both"/>
        <w:rPr>
          <w:rFonts w:hint="cs"/>
          <w:i/>
          <w:iCs/>
          <w:rtl/>
        </w:rPr>
      </w:pPr>
      <w:r>
        <w:rPr>
          <w:rFonts w:hint="cs"/>
          <w:i/>
          <w:iCs/>
          <w:rtl/>
        </w:rPr>
        <w:tab/>
        <w:t>1 -</w:t>
      </w:r>
      <w:r>
        <w:rPr>
          <w:rFonts w:hint="cs"/>
          <w:i/>
          <w:iCs/>
          <w:rtl/>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662946" w:rsidRDefault="00662946">
      <w:pPr>
        <w:pStyle w:val="SingleTxt"/>
        <w:pBdr>
          <w:top w:val="single" w:sz="4" w:space="1" w:color="auto"/>
          <w:left w:val="single" w:sz="4" w:space="4" w:color="auto"/>
          <w:bottom w:val="single" w:sz="4" w:space="1" w:color="auto"/>
          <w:right w:val="single" w:sz="4" w:space="4" w:color="auto"/>
        </w:pBdr>
        <w:ind w:left="1944" w:right="1264" w:hanging="680"/>
        <w:jc w:val="both"/>
        <w:rPr>
          <w:rFonts w:hint="cs"/>
          <w:rtl/>
          <w:lang w:bidi="ar-EG"/>
        </w:rPr>
      </w:pPr>
      <w:r>
        <w:rPr>
          <w:rFonts w:hint="cs"/>
          <w:i/>
          <w:iCs/>
          <w:rtl/>
        </w:rPr>
        <w:t>2 -</w:t>
      </w:r>
      <w:r>
        <w:rPr>
          <w:rFonts w:hint="cs"/>
          <w:i/>
          <w:iCs/>
          <w:rtl/>
        </w:rPr>
        <w:tab/>
        <w:t>لا يعتبر اتخاذ الدول الأطراف تدابير خاصة تستهدف حماية الأمومة، بما في ذلك تلك التدابير الواردة في هذه الاتفاقية، إجراء تمييزياً.</w:t>
      </w:r>
    </w:p>
    <w:p w:rsidR="00662946" w:rsidRDefault="00662946">
      <w:pPr>
        <w:pStyle w:val="SingleTxt"/>
        <w:jc w:val="both"/>
        <w:rPr>
          <w:rFonts w:hint="cs"/>
          <w:rtl/>
          <w:lang w:bidi="ar-EG"/>
        </w:rPr>
      </w:pPr>
      <w:r>
        <w:rPr>
          <w:rFonts w:hint="cs"/>
          <w:rtl/>
          <w:lang w:bidi="ar-EG"/>
        </w:rPr>
        <w:t>4-1</w:t>
      </w:r>
      <w:r>
        <w:rPr>
          <w:rFonts w:hint="cs"/>
          <w:rtl/>
          <w:lang w:bidi="ar-EG"/>
        </w:rPr>
        <w:tab/>
        <w:t>لا توجد سوى أمثلة قليلة للتمييز الإيجابي للمرأة. ويتضمن البند 7 من قانون التكافؤ في الفرص والمساواة في المعاملة في العمل والمهنة (2000) عدة أحكام لاتخاذ تدابير إيجابية على النحو التالي:</w:t>
      </w:r>
    </w:p>
    <w:p w:rsidR="00662946" w:rsidRDefault="00662946">
      <w:pPr>
        <w:pStyle w:val="SingleTxt"/>
        <w:jc w:val="both"/>
        <w:rPr>
          <w:rFonts w:hint="eastAsia"/>
          <w:rtl/>
          <w:lang w:bidi="ar-EG"/>
        </w:rPr>
      </w:pPr>
      <w:r>
        <w:rPr>
          <w:rFonts w:hint="cs"/>
          <w:rtl/>
          <w:lang w:bidi="ar-EG"/>
        </w:rPr>
        <w:tab/>
        <w:t>1 -</w:t>
      </w:r>
      <w:r>
        <w:rPr>
          <w:rFonts w:hint="cs"/>
          <w:rtl/>
          <w:lang w:bidi="ar-EG"/>
        </w:rPr>
        <w:tab/>
      </w:r>
      <w:r>
        <w:rPr>
          <w:rFonts w:hint="eastAsia"/>
          <w:rtl/>
          <w:lang w:bidi="ar-EG"/>
        </w:rPr>
        <w:t>”... تدابير خاصة مؤقتة يتخذها أصحاب العمل لتعزيز التكافؤ في الفرص في مجال العمل على أساس الأسس المبيّنة في البند 3 (1)</w:t>
      </w:r>
      <w:r>
        <w:rPr>
          <w:rStyle w:val="FootnoteReference"/>
          <w:rtl/>
        </w:rPr>
        <w:footnoteReference w:customMarkFollows="1" w:id="1"/>
        <w:t>(1)</w:t>
      </w:r>
      <w:r>
        <w:rPr>
          <w:rFonts w:hint="cs"/>
          <w:rtl/>
          <w:lang w:bidi="ar-EG"/>
        </w:rPr>
        <w:t xml:space="preserve"> لا تعتبر تمييزاً غير مشروع بالمعنى الوارد في البند (4)</w:t>
      </w:r>
      <w:r>
        <w:rPr>
          <w:rStyle w:val="FootnoteReference"/>
          <w:rtl/>
        </w:rPr>
        <w:footnoteReference w:customMarkFollows="1" w:id="2"/>
        <w:t>(2)</w:t>
      </w:r>
      <w:r>
        <w:rPr>
          <w:rFonts w:hint="cs"/>
          <w:rtl/>
          <w:lang w:bidi="ar-EG"/>
        </w:rPr>
        <w:t xml:space="preserve"> من القانون</w:t>
      </w:r>
      <w:r>
        <w:rPr>
          <w:rFonts w:hint="eastAsia"/>
          <w:rtl/>
          <w:lang w:bidi="ar-EG"/>
        </w:rPr>
        <w:t>“.</w:t>
      </w:r>
    </w:p>
    <w:p w:rsidR="00662946" w:rsidRDefault="00662946">
      <w:pPr>
        <w:pStyle w:val="SingleTxt"/>
        <w:jc w:val="both"/>
        <w:rPr>
          <w:rFonts w:hint="cs"/>
          <w:rtl/>
          <w:lang w:bidi="ar-EG"/>
        </w:rPr>
      </w:pPr>
      <w:r>
        <w:rPr>
          <w:rFonts w:hint="cs"/>
          <w:rtl/>
          <w:lang w:bidi="ar-EG"/>
        </w:rPr>
        <w:tab/>
        <w:t>لا يستمر صاحب العمل في تطبيق التدبير الخاص المتخذ بموجب البند الفرعي 1 لفترة تتجاوز عامين.</w:t>
      </w:r>
    </w:p>
    <w:p w:rsidR="00662946" w:rsidRDefault="00662946">
      <w:pPr>
        <w:pStyle w:val="SingleTxt"/>
        <w:jc w:val="both"/>
        <w:rPr>
          <w:rFonts w:hint="cs"/>
          <w:rtl/>
          <w:lang w:bidi="ar-EG"/>
        </w:rPr>
      </w:pPr>
      <w:r>
        <w:rPr>
          <w:rFonts w:hint="cs"/>
          <w:rtl/>
          <w:lang w:bidi="ar-EG"/>
        </w:rPr>
        <w:t>4-2</w:t>
      </w:r>
      <w:r>
        <w:rPr>
          <w:rFonts w:hint="cs"/>
          <w:rtl/>
          <w:lang w:bidi="ar-EG"/>
        </w:rPr>
        <w:tab/>
        <w:t>بحلول نهاية التسعينات نفّذت شعبة شؤون المرأة جهودها الرامية إلى زيادة مشاركة المرأة في التنمية، وذلك لتوفير برامج تدريبية للنساء. وكان هدفان من الأهداف المعلنة للبرامج التدريبية للوزارة لسنة 1995 يستهدفان المرأة مباشرة:</w:t>
      </w:r>
    </w:p>
    <w:p w:rsidR="00662946" w:rsidRDefault="00662946">
      <w:pPr>
        <w:pStyle w:val="SingleTxt"/>
        <w:jc w:val="both"/>
        <w:rPr>
          <w:rFonts w:hint="cs"/>
          <w:rtl/>
          <w:lang w:bidi="ar-EG"/>
        </w:rPr>
      </w:pPr>
      <w:r>
        <w:rPr>
          <w:rFonts w:hint="cs"/>
          <w:rtl/>
          <w:lang w:bidi="ar-EG"/>
        </w:rPr>
        <w:tab/>
        <w:t>(أ)</w:t>
      </w:r>
      <w:r>
        <w:rPr>
          <w:rFonts w:hint="cs"/>
          <w:rtl/>
          <w:lang w:bidi="ar-EG"/>
        </w:rPr>
        <w:tab/>
        <w:t>إكساب مهارات تستهدف إدرار الدخل، لا سيما للنساء وغير العاملات لتحسين حالتهن الاقتصادية.</w:t>
      </w:r>
    </w:p>
    <w:p w:rsidR="00662946" w:rsidRDefault="00662946">
      <w:pPr>
        <w:pStyle w:val="SingleTxt"/>
        <w:jc w:val="both"/>
        <w:rPr>
          <w:rFonts w:hint="cs"/>
          <w:rtl/>
          <w:lang w:bidi="ar-EG"/>
        </w:rPr>
      </w:pPr>
      <w:r>
        <w:rPr>
          <w:rFonts w:hint="cs"/>
          <w:rtl/>
          <w:lang w:bidi="ar-EG"/>
        </w:rPr>
        <w:tab/>
        <w:t>(ب)</w:t>
      </w:r>
      <w:r>
        <w:rPr>
          <w:rFonts w:hint="cs"/>
          <w:rtl/>
          <w:lang w:bidi="ar-EG"/>
        </w:rPr>
        <w:tab/>
        <w:t>للمساعدة على تنمية احترام الذات ونشر صورة أكثر إيجابية للمرأة.</w:t>
      </w:r>
    </w:p>
    <w:p w:rsidR="00662946" w:rsidRDefault="00662946">
      <w:pPr>
        <w:pStyle w:val="SingleTxt"/>
        <w:jc w:val="both"/>
        <w:rPr>
          <w:rFonts w:hint="cs"/>
          <w:rtl/>
          <w:lang w:bidi="ar-EG"/>
        </w:rPr>
      </w:pPr>
      <w:r>
        <w:rPr>
          <w:rFonts w:hint="cs"/>
          <w:rtl/>
          <w:lang w:bidi="ar-EG"/>
        </w:rPr>
        <w:t>4-3</w:t>
      </w:r>
      <w:r>
        <w:rPr>
          <w:rFonts w:hint="cs"/>
          <w:rtl/>
          <w:lang w:bidi="ar-EG"/>
        </w:rPr>
        <w:tab/>
        <w:t>صارت مشكلة العنف القائم على أساس الجنس تعتبر تهديداً خطيراً لتنمية البلد. فهي بتقويضها حقوق الإنسان الأساسية للمرأة تعوق تنميتها وتعتبر النساء شريكات في التنمية. وعلاوة على ذلك يتعين على البلد أن يتحمل العبء الاقتصادي لتوفير خدمات متخصصة للضحايا والعبء الاقتصادي الناجم عن انخفاض مستويات الإنتاجية. وللتصدي لهذه المشكلة قامت شعبة العلاقات بين الجنسين بإنشاء مركز دعم للمرأة في سنة 2000 في إطار استراتيجيتها لمكافحة العنف القائم على أساس الجنس. وهذا المركز هو مأوى مؤقت للنساء وأولادهن المعرضين للخطر والذين ليس لهم مكان آخر يأووا إليه ويقدِّم المركز إليهم الغذاء والمأوى والمعلومات والمشورة والدعم العام.</w:t>
      </w:r>
    </w:p>
    <w:p w:rsidR="00662946" w:rsidRDefault="00662946">
      <w:pPr>
        <w:pStyle w:val="SingleTxt"/>
        <w:jc w:val="both"/>
        <w:rPr>
          <w:rFonts w:hint="cs"/>
          <w:rtl/>
          <w:lang w:bidi="ar-EG"/>
        </w:rPr>
      </w:pPr>
      <w:r>
        <w:rPr>
          <w:rFonts w:hint="cs"/>
          <w:rtl/>
          <w:lang w:bidi="ar-EG"/>
        </w:rPr>
        <w:t>4-4</w:t>
      </w:r>
      <w:r>
        <w:rPr>
          <w:rFonts w:hint="cs"/>
          <w:rtl/>
          <w:lang w:bidi="ar-EG"/>
        </w:rPr>
        <w:tab/>
        <w:t>في سنة 1998 أسست حكومة سانت لوسيا صندوق خفض الفقر بموجب قانون برلماني. والهدف الرئيسي لهذا الصندوق هو خفض الفقر وتكوين رأسمال اجتماعي وتحسين التنمية الاجتماعية الاقتصادية على نحو مستدام في المجتمعات المحلية الفقيرة في سانت لوسيا. وإلى جانب المشاريع المجتمعية العامة يوجد برنامج المساعدة الاجتماعية والتجديد، الذي يسعى إلى تلبية الاحتياجات الخاصة للفئات الضعيفة مثل المعوّقين والمشرّدين وضحايا العنف الأُسري والشباب المعرضين للخطر، بما في ذلك الأمهات المراهقات. وحتى سنة 2002 استفادت النساء من 47 في المائة من المنازل التي بنيت أو جُدِّدت في إطار المساعدة الإسكانية لصندوق خفض الفقر.</w:t>
      </w:r>
    </w:p>
    <w:p w:rsidR="00662946" w:rsidRDefault="00662946">
      <w:pPr>
        <w:pStyle w:val="SingleTxt"/>
        <w:pBdr>
          <w:top w:val="single" w:sz="4" w:space="1" w:color="auto"/>
          <w:left w:val="single" w:sz="4" w:space="4" w:color="auto"/>
          <w:bottom w:val="single" w:sz="4" w:space="1" w:color="auto"/>
          <w:right w:val="single" w:sz="4" w:space="4" w:color="auto"/>
        </w:pBdr>
        <w:spacing w:line="360" w:lineRule="exact"/>
        <w:ind w:left="1927" w:right="1264" w:hanging="663"/>
        <w:jc w:val="both"/>
        <w:rPr>
          <w:rFonts w:hint="cs"/>
          <w:i/>
          <w:iCs/>
          <w:rtl/>
          <w:lang w:bidi="ar-EG"/>
        </w:rPr>
      </w:pPr>
      <w:r>
        <w:rPr>
          <w:rFonts w:hint="cs"/>
          <w:i/>
          <w:iCs/>
          <w:rtl/>
          <w:lang w:bidi="ar-EG"/>
        </w:rPr>
        <w:t>المادة 5:</w:t>
      </w:r>
    </w:p>
    <w:p w:rsidR="00662946" w:rsidRDefault="00662946">
      <w:pPr>
        <w:pStyle w:val="SingleTxt"/>
        <w:pBdr>
          <w:top w:val="single" w:sz="4" w:space="1" w:color="auto"/>
          <w:left w:val="single" w:sz="4" w:space="4" w:color="auto"/>
          <w:bottom w:val="single" w:sz="4" w:space="1" w:color="auto"/>
          <w:right w:val="single" w:sz="4" w:space="4" w:color="auto"/>
        </w:pBdr>
        <w:spacing w:line="360" w:lineRule="exact"/>
        <w:ind w:left="1927" w:right="1264" w:hanging="663"/>
        <w:jc w:val="both"/>
        <w:rPr>
          <w:rFonts w:hint="cs"/>
          <w:i/>
          <w:iCs/>
          <w:rtl/>
          <w:lang w:bidi="ar-EG"/>
        </w:rPr>
      </w:pPr>
      <w:r>
        <w:rPr>
          <w:rFonts w:hint="cs"/>
          <w:i/>
          <w:iCs/>
          <w:rtl/>
          <w:lang w:bidi="ar-EG"/>
        </w:rPr>
        <w:tab/>
        <w:t>تتخذ الدول الأطراف جميع التدابير المناسبة، لتحقيق ما يلي:</w:t>
      </w:r>
    </w:p>
    <w:p w:rsidR="00662946" w:rsidRDefault="00662946">
      <w:pPr>
        <w:pStyle w:val="SingleTxt"/>
        <w:pBdr>
          <w:top w:val="single" w:sz="4" w:space="1" w:color="auto"/>
          <w:left w:val="single" w:sz="4" w:space="4" w:color="auto"/>
          <w:bottom w:val="single" w:sz="4" w:space="1" w:color="auto"/>
          <w:right w:val="single" w:sz="4" w:space="4" w:color="auto"/>
        </w:pBdr>
        <w:spacing w:line="360" w:lineRule="exact"/>
        <w:ind w:left="1927" w:right="1264" w:hanging="663"/>
        <w:jc w:val="both"/>
        <w:rPr>
          <w:rFonts w:hint="cs"/>
          <w:i/>
          <w:iCs/>
          <w:rtl/>
          <w:lang w:bidi="ar-EG"/>
        </w:rPr>
      </w:pPr>
      <w:r>
        <w:rPr>
          <w:rFonts w:hint="cs"/>
          <w:i/>
          <w:iCs/>
          <w:rtl/>
          <w:lang w:bidi="ar-EG"/>
        </w:rPr>
        <w:tab/>
        <w:t>(أ)</w:t>
      </w:r>
      <w:r>
        <w:rPr>
          <w:rFonts w:hint="cs"/>
          <w:i/>
          <w:iCs/>
          <w:rtl/>
          <w:lang w:bidi="ar-EG"/>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662946" w:rsidRDefault="00662946">
      <w:pPr>
        <w:pStyle w:val="SingleTxt"/>
        <w:pBdr>
          <w:top w:val="single" w:sz="4" w:space="1" w:color="auto"/>
          <w:left w:val="single" w:sz="4" w:space="4" w:color="auto"/>
          <w:bottom w:val="single" w:sz="4" w:space="1" w:color="auto"/>
          <w:right w:val="single" w:sz="4" w:space="4" w:color="auto"/>
        </w:pBdr>
        <w:ind w:left="1944" w:right="1264" w:hanging="680"/>
        <w:jc w:val="both"/>
        <w:rPr>
          <w:rFonts w:hint="cs"/>
          <w:rtl/>
          <w:lang w:bidi="ar-EG"/>
        </w:rPr>
      </w:pPr>
      <w:r>
        <w:rPr>
          <w:rFonts w:hint="cs"/>
          <w:i/>
          <w:iCs/>
          <w:rtl/>
          <w:lang w:bidi="ar-EG"/>
        </w:rPr>
        <w:t>(ب)</w:t>
      </w:r>
      <w:r>
        <w:rPr>
          <w:rFonts w:hint="cs"/>
          <w:i/>
          <w:iCs/>
          <w:rtl/>
          <w:lang w:bidi="ar-EG"/>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662946" w:rsidRDefault="00662946">
      <w:pPr>
        <w:pStyle w:val="SingleTxt"/>
        <w:jc w:val="both"/>
        <w:rPr>
          <w:rFonts w:hint="cs"/>
          <w:rtl/>
          <w:lang w:bidi="ar-EG"/>
        </w:rPr>
      </w:pPr>
    </w:p>
    <w:p w:rsidR="00662946" w:rsidRDefault="00662946">
      <w:pPr>
        <w:pStyle w:val="SingleTxt"/>
        <w:jc w:val="both"/>
        <w:rPr>
          <w:rFonts w:hint="cs"/>
          <w:rtl/>
          <w:lang w:bidi="ar-EG"/>
        </w:rPr>
      </w:pPr>
      <w:r>
        <w:rPr>
          <w:rFonts w:hint="cs"/>
          <w:rtl/>
          <w:lang w:bidi="ar-EG"/>
        </w:rPr>
        <w:t>5-1</w:t>
      </w:r>
      <w:r>
        <w:rPr>
          <w:rFonts w:hint="cs"/>
          <w:rtl/>
          <w:lang w:bidi="ar-EG"/>
        </w:rPr>
        <w:tab/>
        <w:t>إن مهمة تغيير الأنماط والقيم الثقافية المتعلقة بدور وتعريف الجنسين في سانت لوسيا مهمة مضنية بصفة خاصة. ومن الأسهل بكثير إجراء التغييرات المؤسسية والقانونية اللازمة لضمان المساواة بين الرجل والمرأة والقضاء على التمييز ضد المرأة من إجراء تغييرات ثقافية تؤدي إلى تغييرات في السلوك والمواقف. ولذا فإن قولبة الجنسين والتحيُّزات ضد النساء والفتيات ما زالت متغلغلة في نظام القيم الثقافية، ويتضح ذلك في مختلف مجالات المجتمع في سانت لوسيا، بما في ذلك العلاقات الاجتماعية في البيت والنظام التعليمي ومكان العمل والفنون ومجال السياسة ووسائط الإعلام. وبعد إجراء عدد من التغييرات التشريعية اللازمة يتمثل التحدي في تضييق الفرق بين القوانين والواقع الفعلي بتغيير المواقف وأنماط السلوك.</w:t>
      </w:r>
    </w:p>
    <w:p w:rsidR="00662946" w:rsidRDefault="00662946">
      <w:pPr>
        <w:pStyle w:val="SingleTxt"/>
        <w:jc w:val="both"/>
        <w:rPr>
          <w:rFonts w:hint="cs"/>
          <w:b/>
          <w:bCs/>
          <w:rtl/>
          <w:lang w:bidi="ar-EG"/>
        </w:rPr>
      </w:pPr>
    </w:p>
    <w:p w:rsidR="00662946" w:rsidRDefault="00662946">
      <w:pPr>
        <w:pStyle w:val="SingleTxt"/>
        <w:jc w:val="both"/>
        <w:rPr>
          <w:rFonts w:hint="cs"/>
          <w:b/>
          <w:bCs/>
          <w:rtl/>
          <w:lang w:bidi="ar-EG"/>
        </w:rPr>
      </w:pPr>
    </w:p>
    <w:p w:rsidR="00662946" w:rsidRDefault="00662946">
      <w:pPr>
        <w:pStyle w:val="SingleTxt"/>
        <w:jc w:val="both"/>
        <w:rPr>
          <w:rFonts w:hint="cs"/>
          <w:rtl/>
          <w:lang w:bidi="ar-EG"/>
        </w:rPr>
      </w:pPr>
      <w:r>
        <w:rPr>
          <w:rFonts w:hint="cs"/>
          <w:b/>
          <w:bCs/>
          <w:rtl/>
          <w:lang w:bidi="ar-EG"/>
        </w:rPr>
        <w:t>التشريع المكافح للعنف</w:t>
      </w:r>
    </w:p>
    <w:p w:rsidR="00662946" w:rsidRDefault="00662946">
      <w:pPr>
        <w:pStyle w:val="SingleTxt"/>
        <w:jc w:val="both"/>
        <w:rPr>
          <w:rFonts w:hint="cs"/>
          <w:rtl/>
          <w:lang w:bidi="ar-EG"/>
        </w:rPr>
      </w:pPr>
      <w:r>
        <w:rPr>
          <w:rFonts w:hint="cs"/>
          <w:rtl/>
          <w:lang w:bidi="ar-EG"/>
        </w:rPr>
        <w:t>5-2</w:t>
      </w:r>
      <w:r>
        <w:rPr>
          <w:rFonts w:hint="cs"/>
          <w:rtl/>
          <w:lang w:bidi="ar-EG"/>
        </w:rPr>
        <w:tab/>
        <w:t>يتمثل الهدف التشريعي للسياسة الوطنية في إنشاء الآليات اللازمة لحماية النساء وأولادهن الذين يتعرضون للعنف الجنسي والاعتداء الجنسي. وتقوم ممارسة الاعتداء على النساء وأولادهن إلى حد بعيد على افتراض دونية المرأة وبالتالي تفوُّق الرجل. ويعكس العنف القائم على الجنس القوالب القائمة على الجنس التي تدعو العلاقات بين الرجل والمرأة في سانت لوسيا. وكانت هناك مشاكل كثيرة مرتبطة بتحقيق هذا الإنصاف، وهي تشمل ما يلي:</w:t>
      </w:r>
    </w:p>
    <w:p w:rsidR="00662946" w:rsidRDefault="00662946">
      <w:pPr>
        <w:pStyle w:val="SingleTxt"/>
        <w:ind w:left="1899" w:right="1264" w:hanging="635"/>
        <w:jc w:val="both"/>
        <w:rPr>
          <w:rFonts w:hint="cs"/>
          <w:rtl/>
          <w:lang w:bidi="ar-EG"/>
        </w:rPr>
      </w:pPr>
      <w:r>
        <w:rPr>
          <w:rFonts w:hint="cs"/>
          <w:rtl/>
          <w:lang w:bidi="ar-EG"/>
        </w:rPr>
        <w:tab/>
        <w:t>•</w:t>
      </w:r>
      <w:r>
        <w:rPr>
          <w:rFonts w:hint="cs"/>
          <w:rtl/>
          <w:lang w:bidi="ar-EG"/>
        </w:rPr>
        <w:tab/>
        <w:t>الطرفان يعيشان معاً وقد يكون أو لا يكون لهما أولاد. وبعد سماع الدعوى المعروضة على المحكمة يواصلان العيش معاً على الرغم من حكم المحكمة.</w:t>
      </w:r>
    </w:p>
    <w:p w:rsidR="00662946" w:rsidRDefault="00662946">
      <w:pPr>
        <w:pStyle w:val="SingleTxt"/>
        <w:ind w:left="1899" w:right="1264" w:hanging="635"/>
        <w:jc w:val="both"/>
        <w:rPr>
          <w:rFonts w:hint="cs"/>
          <w:rtl/>
          <w:lang w:bidi="ar-EG"/>
        </w:rPr>
      </w:pPr>
      <w:r>
        <w:rPr>
          <w:rFonts w:hint="cs"/>
          <w:rtl/>
          <w:lang w:bidi="ar-EG"/>
        </w:rPr>
        <w:tab/>
        <w:t>•</w:t>
      </w:r>
      <w:r>
        <w:rPr>
          <w:rFonts w:hint="cs"/>
          <w:rtl/>
          <w:lang w:bidi="ar-EG"/>
        </w:rPr>
        <w:tab/>
        <w:t>عندما تُعرَض هذه الأمور على المحكمة فإن النساء لا يرغبن في أن يُسجن الرجال لأنهن يعتمدن مالياً على الرجال ولا يُردن أن تُفرض عليهم غرامات. ويتوسلن للقاضي أو الموظف القضائي حتى يصدر إنذاراً شديداً للرجال أو يأخذ منهم تعهداً.</w:t>
      </w:r>
    </w:p>
    <w:p w:rsidR="00662946" w:rsidRDefault="00662946">
      <w:pPr>
        <w:pStyle w:val="SingleTxt"/>
        <w:ind w:left="1899" w:right="1264" w:hanging="635"/>
        <w:jc w:val="both"/>
        <w:rPr>
          <w:rFonts w:hint="cs"/>
          <w:rtl/>
          <w:lang w:bidi="ar-EG"/>
        </w:rPr>
      </w:pPr>
      <w:r>
        <w:rPr>
          <w:rFonts w:hint="cs"/>
          <w:rtl/>
          <w:lang w:bidi="ar-EG"/>
        </w:rPr>
        <w:tab/>
        <w:t>•</w:t>
      </w:r>
      <w:r>
        <w:rPr>
          <w:rFonts w:hint="cs"/>
          <w:rtl/>
          <w:lang w:bidi="ar-EG"/>
        </w:rPr>
        <w:tab/>
        <w:t>يستغرق الأمر أحياناً وقتاً طويلاً لإقامة العدل بحيث أنه عندما تكون المحكمة مستعدة لسماع الدعوى يكون الطرفان قد اصطلحا.</w:t>
      </w:r>
    </w:p>
    <w:p w:rsidR="00662946" w:rsidRDefault="00662946">
      <w:pPr>
        <w:pStyle w:val="SingleTxt"/>
        <w:ind w:left="1899" w:right="1264" w:hanging="635"/>
        <w:jc w:val="both"/>
        <w:rPr>
          <w:rFonts w:hint="cs"/>
          <w:rtl/>
          <w:lang w:bidi="ar-EG"/>
        </w:rPr>
      </w:pPr>
      <w:r>
        <w:rPr>
          <w:rFonts w:hint="cs"/>
          <w:rtl/>
          <w:lang w:bidi="ar-EG"/>
        </w:rPr>
        <w:tab/>
        <w:t>•</w:t>
      </w:r>
      <w:r>
        <w:rPr>
          <w:rFonts w:hint="cs"/>
          <w:rtl/>
          <w:lang w:bidi="ar-EG"/>
        </w:rPr>
        <w:tab/>
        <w:t>تختار النساء أحياناً عدم الاستمرار في توجيه الاتهام إلى أقرانهن ويطلبن إسقاط التهم.</w:t>
      </w:r>
    </w:p>
    <w:p w:rsidR="00662946" w:rsidRDefault="00662946">
      <w:pPr>
        <w:pStyle w:val="SingleTxt"/>
        <w:ind w:left="1899" w:right="1264" w:hanging="635"/>
        <w:jc w:val="both"/>
        <w:rPr>
          <w:rFonts w:hint="cs"/>
          <w:rtl/>
          <w:lang w:bidi="ar-EG"/>
        </w:rPr>
      </w:pPr>
      <w:r>
        <w:rPr>
          <w:rFonts w:hint="cs"/>
          <w:rtl/>
          <w:lang w:bidi="ar-EG"/>
        </w:rPr>
        <w:tab/>
        <w:t>•</w:t>
      </w:r>
      <w:r>
        <w:rPr>
          <w:rFonts w:hint="cs"/>
          <w:rtl/>
          <w:lang w:bidi="ar-EG"/>
        </w:rPr>
        <w:tab/>
        <w:t>موقف الشرطة التي ترى أن هذه أمور خاصة بين الرجل وزوجته، وتمانع في التدخل (انظر أدناه).</w:t>
      </w:r>
    </w:p>
    <w:p w:rsidR="00662946" w:rsidRDefault="00662946">
      <w:pPr>
        <w:pStyle w:val="SingleTxt"/>
        <w:jc w:val="both"/>
        <w:rPr>
          <w:rFonts w:hint="cs"/>
          <w:rtl/>
          <w:lang w:bidi="ar-EG"/>
        </w:rPr>
      </w:pPr>
      <w:r>
        <w:rPr>
          <w:rFonts w:hint="cs"/>
          <w:b/>
          <w:bCs/>
          <w:rtl/>
          <w:lang w:bidi="ar-EG"/>
        </w:rPr>
        <w:t>نشاط المنظمات غير الحكومية</w:t>
      </w:r>
    </w:p>
    <w:p w:rsidR="00662946" w:rsidRDefault="00662946">
      <w:pPr>
        <w:pStyle w:val="SingleTxt"/>
        <w:jc w:val="both"/>
        <w:rPr>
          <w:rFonts w:hint="cs"/>
          <w:rtl/>
          <w:lang w:bidi="ar-EG"/>
        </w:rPr>
      </w:pPr>
      <w:r>
        <w:rPr>
          <w:rFonts w:hint="cs"/>
          <w:rtl/>
          <w:lang w:bidi="ar-EG"/>
        </w:rPr>
        <w:t>5-3</w:t>
      </w:r>
      <w:r>
        <w:rPr>
          <w:rFonts w:hint="cs"/>
          <w:rtl/>
          <w:lang w:bidi="ar-EG"/>
        </w:rPr>
        <w:tab/>
        <w:t>خلال معظم الفترة قيد الاستعراض كان لدى النساء افتقار إلى الوعي بحقوقهن بموجب القانون لكن هذا الوضع يتغيّر تدريجياً. وتقوم الآلية الوطنية للمرأة والمنظمات غير الحكومية بزيادة جهودهما مع تحقيق قدر من النجاح لإيجاد وعي أكبر وقدر أكبر من الإدراك بين النساء والشعب عموماً بالمسائل القانونية والاجتماعية والنفسية المحيطة بالعنف ضد المرأة.</w:t>
      </w:r>
    </w:p>
    <w:p w:rsidR="00662946" w:rsidRDefault="00662946">
      <w:pPr>
        <w:pStyle w:val="SingleTxt"/>
        <w:jc w:val="both"/>
        <w:rPr>
          <w:rFonts w:hint="cs"/>
          <w:rtl/>
          <w:lang w:bidi="ar-EG"/>
        </w:rPr>
      </w:pPr>
      <w:r>
        <w:rPr>
          <w:rFonts w:hint="cs"/>
          <w:rtl/>
          <w:lang w:bidi="ar-EG"/>
        </w:rPr>
        <w:t>5-4</w:t>
      </w:r>
      <w:r>
        <w:rPr>
          <w:rFonts w:hint="cs"/>
          <w:rtl/>
          <w:lang w:bidi="ar-EG"/>
        </w:rPr>
        <w:tab/>
        <w:t>أنشئ مركز الأزمات، وهو منظمة طوعية غير حكومية لا تستهدف الربح، في سنة 1988 استجابة لازدياد حوادث العنف القائم على الجنس. ويؤدي مركز الأزمات مهمة الدعوة ذات الأهمية وحركه إخفاق النظام القضائي في معالجة قضايا العنف القائم على الجنس، ولا سيما قضايا القتل والاغتصاب، على نحو كفؤ وسريع ووفر المركز خطاً ساخناً وخدمات تقديم المشورة فضلاً عن المأوى المؤقت لضحايا العنف الأسري أثناء تعرضه للخطر. وتتلقى هذه المنظمة المكافحة للعنف قدراً من المساعدة المالية من الحكومة لكن معظم أموالها تأتي من مصادر أخرى مثل التبرعات ومنح من مؤسسات خاصة وأفراد عاديين، ومن أنشطة حشد الأموال.</w:t>
      </w:r>
    </w:p>
    <w:p w:rsidR="00662946" w:rsidRDefault="00662946">
      <w:pPr>
        <w:pStyle w:val="SingleTxt"/>
        <w:jc w:val="both"/>
        <w:rPr>
          <w:rFonts w:hint="cs"/>
          <w:rtl/>
          <w:lang w:bidi="ar-EG"/>
        </w:rPr>
      </w:pPr>
      <w:r>
        <w:rPr>
          <w:rFonts w:hint="cs"/>
          <w:rtl/>
          <w:lang w:bidi="ar-EG"/>
        </w:rPr>
        <w:t>5-5</w:t>
      </w:r>
      <w:r>
        <w:rPr>
          <w:rFonts w:hint="cs"/>
          <w:rtl/>
          <w:lang w:bidi="ar-EG"/>
        </w:rPr>
        <w:tab/>
        <w:t xml:space="preserve">تتمثل مركز الأزمات في </w:t>
      </w:r>
      <w:r>
        <w:rPr>
          <w:rFonts w:hint="eastAsia"/>
          <w:rtl/>
          <w:lang w:bidi="ar-EG"/>
        </w:rPr>
        <w:t>”الكفاح من أجل القضاء على جميع أشكال العنف الأسري والإيذاء الأسري في المجتمع، بتقديم الدعم النفسي والمادي والعاطفي عن طريق التعليم العام والإحالات المحددة والمأوى وتقديم المشورة وإقامة الشبكات مع الهيئات ذات الأهداف المماثلة</w:t>
      </w:r>
      <w:r>
        <w:rPr>
          <w:rFonts w:hint="cs"/>
          <w:rtl/>
          <w:lang w:bidi="ar-EG"/>
        </w:rPr>
        <w:t>“. ويقدّم هذا المركز الدعم إلى ضحايا شتى أشكال العنف الأسري، بما في ذلك الاغتصاب وزنا المحارم والاعتداء الأسري والاعتداء على الأطفال، ومعظم الضحايا من النساء والأطفال.</w:t>
      </w:r>
    </w:p>
    <w:p w:rsidR="00662946" w:rsidRDefault="00662946">
      <w:pPr>
        <w:pStyle w:val="SingleTxt"/>
        <w:jc w:val="both"/>
        <w:rPr>
          <w:rFonts w:hint="cs"/>
          <w:rtl/>
          <w:lang w:bidi="ar-EG"/>
        </w:rPr>
      </w:pPr>
      <w:r>
        <w:rPr>
          <w:rFonts w:hint="cs"/>
          <w:rtl/>
          <w:lang w:bidi="ar-EG"/>
        </w:rPr>
        <w:t>5-6</w:t>
      </w:r>
      <w:r>
        <w:rPr>
          <w:rFonts w:hint="cs"/>
          <w:rtl/>
          <w:lang w:bidi="ar-EG"/>
        </w:rPr>
        <w:tab/>
        <w:t>في سنة 1993 تلقى مركز الأزمات شكاوى من ثلثمائة وثمانية وتسعين أنثى وواحد وثلاثين ذكراً. وبحلول سنة 1996 ازداد عدد الشاكين إلى أربعمائة وستين أنثى وتسعة وتسعين ذكرا. ويمثِّل اعتداء الأزواج والزوجات أكثر أسباب الشكاوى المُبلَّغة بشأن العنف الأسري.</w:t>
      </w:r>
    </w:p>
    <w:p w:rsidR="00662946" w:rsidRDefault="00662946">
      <w:pPr>
        <w:pStyle w:val="SingleTxt"/>
        <w:jc w:val="both"/>
        <w:rPr>
          <w:rFonts w:hint="cs"/>
          <w:rtl/>
          <w:lang w:bidi="ar-EG"/>
        </w:rPr>
      </w:pPr>
      <w:r>
        <w:rPr>
          <w:rFonts w:hint="cs"/>
          <w:rtl/>
          <w:lang w:bidi="ar-EG"/>
        </w:rPr>
        <w:t>5-7</w:t>
      </w:r>
      <w:r>
        <w:rPr>
          <w:rFonts w:hint="cs"/>
          <w:rtl/>
          <w:lang w:bidi="ar-EG"/>
        </w:rPr>
        <w:tab/>
        <w:t>كما يساعد مركز أبتون جاردنز للفتيات الصغيرات اللائي يعانين من عدة مشاكل. وتشمل هذه الحالات الاعتداء الجنسي والتسيب والتسرب من المدارس وضحايا زنا المحارم والأسر غير الوظيفية والحمل في سن المراهقة. ويعمل مستوصف المساعدة القانونية منذ عام 1989. وتتكون نسبة كبيرة من الحالات من حالات إيذاء الأطفال والاعتداء الجنسي والعنف الأسري وإعالة الأولاد.</w:t>
      </w:r>
    </w:p>
    <w:p w:rsidR="00662946" w:rsidRDefault="00662946">
      <w:pPr>
        <w:pStyle w:val="SingleTxt"/>
        <w:jc w:val="both"/>
        <w:rPr>
          <w:rFonts w:hint="cs"/>
          <w:rtl/>
          <w:lang w:bidi="ar-EG"/>
        </w:rPr>
      </w:pPr>
      <w:r>
        <w:rPr>
          <w:rFonts w:hint="cs"/>
          <w:rtl/>
          <w:lang w:bidi="ar-EG"/>
        </w:rPr>
        <w:t>5-8</w:t>
      </w:r>
      <w:r>
        <w:rPr>
          <w:rFonts w:hint="cs"/>
          <w:rtl/>
          <w:lang w:bidi="ar-EG"/>
        </w:rPr>
        <w:tab/>
        <w:t>وتقدَّم خدمات تقديم المشورة إلى ضحايا العنف الأسري والاعتداء الجنسي وإيذاء الأطفال في إدارة الخدمات الاجتماعية ومستوصفات الرعاية الكنسية في مستشفيين رئيسيين وفي مركز الأزمات. كما تقدَّم المشورة الداعمة من جانب مركز أبتون جارنز للفتيات. والغرض من تقديم المشورة هو مساعدة الضحايا على إعادة بناء حياتهم بالتكيُّف في البيت وفي المجتمع، وتلافي الاتجاه الشائع بين من تعرضوا للعنف والاعتداء إلى الانتحار وارتكاب الجرائم وتعاطي المخدرات والمعاناة من مشاكل في العلاقات بسبب التجارب الماضية وعدم الاستقرار أو الاضطرابات العقلية.</w:t>
      </w:r>
    </w:p>
    <w:p w:rsidR="00662946" w:rsidRDefault="00662946">
      <w:pPr>
        <w:pStyle w:val="SingleTxt"/>
        <w:jc w:val="both"/>
        <w:rPr>
          <w:rFonts w:hint="cs"/>
          <w:rtl/>
          <w:lang w:bidi="ar-EG"/>
        </w:rPr>
      </w:pPr>
      <w:r>
        <w:rPr>
          <w:rFonts w:hint="cs"/>
          <w:rtl/>
          <w:lang w:bidi="ar-EG"/>
        </w:rPr>
        <w:t>5-9</w:t>
      </w:r>
      <w:r>
        <w:rPr>
          <w:rFonts w:hint="cs"/>
          <w:rtl/>
          <w:lang w:bidi="ar-EG"/>
        </w:rPr>
        <w:tab/>
        <w:t>يوجد طلب كبير على الخدمات التي من هذا النوع. وتبين نتائج المقابلات التي أُجريت مع الأشخاص المرتبطين بهذه الخدمات عدم كفاية التمويل والموارد المتاحة لهذه الخدمات، وبالتالي عدم استطاعتها تلبية الطلب الحالي عليها.</w:t>
      </w:r>
    </w:p>
    <w:p w:rsidR="00662946" w:rsidRDefault="00662946">
      <w:pPr>
        <w:pStyle w:val="SingleTxt"/>
        <w:jc w:val="both"/>
        <w:rPr>
          <w:rFonts w:hint="cs"/>
          <w:b/>
          <w:bCs/>
          <w:rtl/>
          <w:lang w:bidi="ar-EG"/>
        </w:rPr>
      </w:pPr>
      <w:r>
        <w:rPr>
          <w:rFonts w:hint="cs"/>
          <w:b/>
          <w:bCs/>
          <w:rtl/>
          <w:lang w:bidi="ar-EG"/>
        </w:rPr>
        <w:t>دور الآلية الوطنية للمرأة</w:t>
      </w:r>
    </w:p>
    <w:p w:rsidR="00662946" w:rsidRDefault="00662946">
      <w:pPr>
        <w:pStyle w:val="SingleTxt"/>
        <w:jc w:val="both"/>
        <w:rPr>
          <w:rFonts w:hint="cs"/>
          <w:rtl/>
          <w:lang w:bidi="ar-EG"/>
        </w:rPr>
      </w:pPr>
      <w:r>
        <w:rPr>
          <w:rFonts w:hint="cs"/>
          <w:rtl/>
          <w:lang w:bidi="ar-EG"/>
        </w:rPr>
        <w:t>5-10</w:t>
      </w:r>
      <w:r>
        <w:rPr>
          <w:rFonts w:hint="cs"/>
          <w:rtl/>
          <w:lang w:bidi="ar-EG"/>
        </w:rPr>
        <w:tab/>
        <w:t>في سنة 1999 أبرزت دراسة أجرتها منظمة الصحة للبلدان الأمريكية لبحث حالة العنف الأسرى في سانت لوسيا أن مواقف الرجال والنساء والمجتمع بوجه عام وقيمهم ومعتقداتهم الثقافية باعتبارها عقبات تعرقل الإدارة الفعالة للعنف القائم على الجنس. وترد فيما يلي عدة نواحي قصور تم الكشف عنها:</w:t>
      </w:r>
    </w:p>
    <w:p w:rsidR="00662946" w:rsidRDefault="00662946">
      <w:pPr>
        <w:pStyle w:val="SingleTxt"/>
        <w:jc w:val="both"/>
        <w:rPr>
          <w:rFonts w:hint="cs"/>
          <w:rtl/>
          <w:lang w:bidi="ar-EG"/>
        </w:rPr>
      </w:pPr>
      <w:r>
        <w:rPr>
          <w:rFonts w:hint="cs"/>
          <w:rtl/>
          <w:lang w:bidi="ar-EG"/>
        </w:rPr>
        <w:tab/>
        <w:t>-</w:t>
      </w:r>
      <w:r>
        <w:rPr>
          <w:rFonts w:hint="cs"/>
          <w:rtl/>
          <w:lang w:bidi="ar-EG"/>
        </w:rPr>
        <w:tab/>
        <w:t>عدم كفاية البيانات المتعلقة بالعنف الأسري؛</w:t>
      </w:r>
    </w:p>
    <w:p w:rsidR="00662946" w:rsidRDefault="00662946">
      <w:pPr>
        <w:pStyle w:val="SingleTxt"/>
        <w:jc w:val="both"/>
        <w:rPr>
          <w:rFonts w:hint="cs"/>
          <w:rtl/>
          <w:lang w:bidi="ar-EG"/>
        </w:rPr>
      </w:pPr>
      <w:r>
        <w:rPr>
          <w:rFonts w:hint="cs"/>
          <w:rtl/>
          <w:lang w:bidi="ar-EG"/>
        </w:rPr>
        <w:tab/>
        <w:t>-</w:t>
      </w:r>
      <w:r>
        <w:rPr>
          <w:rFonts w:hint="cs"/>
          <w:rtl/>
          <w:lang w:bidi="ar-EG"/>
        </w:rPr>
        <w:tab/>
        <w:t>عدم وجود دور آمنة مؤقتة للطوارئ لضحايا العنف الأسري؛</w:t>
      </w:r>
    </w:p>
    <w:p w:rsidR="00662946" w:rsidRDefault="00662946">
      <w:pPr>
        <w:pStyle w:val="SingleTxt"/>
        <w:jc w:val="both"/>
        <w:rPr>
          <w:rFonts w:hint="cs"/>
          <w:rtl/>
          <w:lang w:bidi="ar-EG"/>
        </w:rPr>
      </w:pPr>
      <w:r>
        <w:rPr>
          <w:rFonts w:hint="cs"/>
          <w:rtl/>
          <w:lang w:bidi="ar-EG"/>
        </w:rPr>
        <w:tab/>
        <w:t>-</w:t>
      </w:r>
      <w:r>
        <w:rPr>
          <w:rFonts w:hint="cs"/>
          <w:rtl/>
          <w:lang w:bidi="ar-EG"/>
        </w:rPr>
        <w:tab/>
        <w:t>عدم وجود برامج للأطفال الشهود على العنف الأسري؛</w:t>
      </w:r>
    </w:p>
    <w:p w:rsidR="00662946" w:rsidRDefault="00662946">
      <w:pPr>
        <w:pStyle w:val="SingleTxt"/>
        <w:jc w:val="both"/>
        <w:rPr>
          <w:rFonts w:hint="cs"/>
          <w:rtl/>
          <w:lang w:bidi="ar-EG"/>
        </w:rPr>
      </w:pPr>
      <w:r>
        <w:rPr>
          <w:rFonts w:hint="cs"/>
          <w:rtl/>
          <w:lang w:bidi="ar-EG"/>
        </w:rPr>
        <w:tab/>
        <w:t>-</w:t>
      </w:r>
      <w:r>
        <w:rPr>
          <w:rFonts w:hint="cs"/>
          <w:rtl/>
          <w:lang w:bidi="ar-EG"/>
        </w:rPr>
        <w:tab/>
        <w:t>عدم كفاية/عدم فعالية استجابة نظام إنفاذ القانون والنظام القضائي.</w:t>
      </w:r>
    </w:p>
    <w:p w:rsidR="00662946" w:rsidRDefault="00662946">
      <w:pPr>
        <w:pStyle w:val="SingleTxt"/>
        <w:jc w:val="both"/>
        <w:rPr>
          <w:rFonts w:hint="cs"/>
          <w:rtl/>
          <w:lang w:bidi="ar-EG"/>
        </w:rPr>
      </w:pPr>
      <w:r>
        <w:rPr>
          <w:rFonts w:hint="cs"/>
          <w:rtl/>
          <w:lang w:bidi="ar-EG"/>
        </w:rPr>
        <w:t>5-11</w:t>
      </w:r>
      <w:r>
        <w:rPr>
          <w:rFonts w:hint="cs"/>
          <w:rtl/>
          <w:lang w:bidi="ar-EG"/>
        </w:rPr>
        <w:tab/>
        <w:t>إدراكاً من وزارة الصحة والخدمات الإنسانية وشؤون الأسرة والعلاقات بين الجنسين للحاجة إلى تغيير المواقف الثقافية والمُثل والسلوكيات لتحقيق أهداف الاتفاقية وضعت الوزارة في سنة 1999 استراتيجية لمكافحة العنف القائم على الجنس في الجزيرة. وتضمنت هذه الاستراتيجية؛ في جملة أمور، التعليم العام والتدريب على المهارات باعتبارهما نهجاً وقائياً لتغيير المعتقدات المغروسة بشأن دونية المرأة. ويعد هذا المسعى الواسع النطاق، الذي يشمل عدة طرق وشراكات متنوعة، بمثابة إعادة تثقيف الأفراد عن أدوار الجنسين والسلوكيات القائمة على الجنس في المجتمع.</w:t>
      </w:r>
    </w:p>
    <w:p w:rsidR="00662946" w:rsidRDefault="00662946">
      <w:pPr>
        <w:pStyle w:val="SingleTxt"/>
        <w:jc w:val="both"/>
        <w:rPr>
          <w:rFonts w:hint="cs"/>
          <w:rtl/>
          <w:lang w:bidi="ar-EG"/>
        </w:rPr>
      </w:pPr>
      <w:r>
        <w:rPr>
          <w:rFonts w:hint="cs"/>
          <w:rtl/>
          <w:lang w:bidi="ar-EG"/>
        </w:rPr>
        <w:t>5-12</w:t>
      </w:r>
      <w:r>
        <w:rPr>
          <w:rFonts w:hint="cs"/>
          <w:rtl/>
          <w:lang w:bidi="ar-EG"/>
        </w:rPr>
        <w:tab/>
        <w:t xml:space="preserve">تسعى شعبة العلاقات بين الجنسين، من خلال مناقشاتها وبرامجها الأخرى الرامية إلى إرهاف الحس إلى تشجيع الرجال على الاضطلاع بمسؤولياتهم الأسرية بشكل جدي، وإعادة تشكيل افتراضاتهم القائمة على الجنس، والإثناء عن تقسيم العمل بين أفراد الأسرة على أساس جنسي محض. وسلمت الشعبة بضرورة إشراك الرجال في عملية القضاء على التمييز ضد المرأة، وكما يتضح من إسمها فإن أنشطتها ليست قاصرة على النساء بأي حال من الأحوال. والواقع هو أن شعبة العلاقات بين الجنسين تعمل بنشاط على تحقيق هدف إنشاء مركز موارد للرجال. </w:t>
      </w:r>
    </w:p>
    <w:p w:rsidR="00662946" w:rsidRDefault="00662946">
      <w:pPr>
        <w:pStyle w:val="SingleTxt"/>
        <w:jc w:val="both"/>
        <w:rPr>
          <w:rFonts w:hint="cs"/>
          <w:rtl/>
          <w:lang w:bidi="ar-EG"/>
        </w:rPr>
      </w:pPr>
      <w:r>
        <w:rPr>
          <w:rFonts w:hint="cs"/>
          <w:rtl/>
          <w:lang w:bidi="ar-EG"/>
        </w:rPr>
        <w:t>5-13</w:t>
      </w:r>
      <w:r>
        <w:rPr>
          <w:rFonts w:hint="cs"/>
          <w:rtl/>
          <w:lang w:bidi="ar-EG"/>
        </w:rPr>
        <w:tab/>
        <w:t>قامت الآلية الوطنية للمرأة، ضمن جهودها المتواصلة لمعالجة مشكلة العنف ضد النساء والأطفال بتنفيذ مشروع مدته سنة بتمويل من صندوق متلازمة نقص المناعة البشرية المكتسب/المساواة بين الجنسين التابع للوكالة الكندية للتنمية الدولية في سنة 1999. ويشمل المشروع التعليم العام وإرهاف الحس بشأن العنف القائم على الجنس وتدريب أفراد قوة الشرطة ومتطوعين مجتمعيين على تقديم المشورة ومهارات التدخل في الأزمات، وإنشاء فرق للاستجابة المجتمعية، لتقديم الدعم في حالات العنف القائم على الجنس على المستوى المحلي. كما كان يشمل إرهاف الحس وبناء الوعي للهيئة القضائية ووسائط الإعلام. وإدراكاً لأن المواقف التي تدين العنف القائم على الجنس تتكون خلال عملية الاندماج الاجتماعي فقد استهدفت المدارس والنظام التعليمي باعتبارهما مؤسسات للإدماج الاجتماعي، على وجه التحديد، في برنامج التثقيف وإرهاف الحس. وكان المشروع ناجحاً عموماً في زيادة وعي واهتمام الشعب بقضايا العنف القائم على الجنس وأنشئت فرق مجتمعية للاستجابة. ومع ذلك فإن هناك حاجة واضحة إلى برامج مستمرة من هذا النوع لضمان الاستمرارية لنتائج المشروع المنشودة.</w:t>
      </w:r>
    </w:p>
    <w:p w:rsidR="00662946" w:rsidRDefault="00662946">
      <w:pPr>
        <w:pStyle w:val="SingleTxt"/>
        <w:jc w:val="both"/>
        <w:rPr>
          <w:rFonts w:hint="cs"/>
          <w:rtl/>
          <w:lang w:bidi="ar-EG"/>
        </w:rPr>
      </w:pPr>
      <w:r>
        <w:rPr>
          <w:rFonts w:hint="cs"/>
          <w:rtl/>
          <w:lang w:bidi="ar-EG"/>
        </w:rPr>
        <w:t>5-14</w:t>
      </w:r>
      <w:r>
        <w:rPr>
          <w:rFonts w:hint="cs"/>
          <w:rtl/>
          <w:lang w:bidi="ar-EG"/>
        </w:rPr>
        <w:tab/>
        <w:t>في الفترة من عام 1995 إلى عام 1999 اتخذت إجراءات لمساعدة رجال الشرطة على الاستجابة على نحو صحيح لحالات العنف الأسري. ونظمت الآلية الوطنية للمرأة حلقة تدريبية عن العنف الأسري لرجال الشرطة ضمن أنشطة المشروع الممول من صندوق المساواة بين الجنسين. ومنذ ذلك الحين أدرجت القوة الملكية لشرطة سانت لوسيا في حلقة دراسية عن إدارة المنازعات لأفرادها أنموطة عن العنف الأسري. وعلاوة على ذلك يجري تثقيف المجندين بالشرطة عن العنف الأسري في المدرسة المحلية لتدريب الشرطة باستخدام دليل لرجال الشرطة وضعه صندوق الأمم المتحدة للمرأة. وخلال الفترة قيد الاستعراض حضر عدد من رجال الشرطة تدريباً محلياً وأجنبياً عن العنف القائم على الجنس. وأُعد بروتوكول للتعامل مع الجناه في قوة الشرطة، باعتبار ذلك وسيلة لمعالجة المشكلة في صفوف الشرطة.</w:t>
      </w:r>
    </w:p>
    <w:p w:rsidR="00662946" w:rsidRDefault="00662946">
      <w:pPr>
        <w:pStyle w:val="SingleTxt"/>
        <w:jc w:val="both"/>
        <w:rPr>
          <w:rFonts w:hint="cs"/>
          <w:b/>
          <w:bCs/>
          <w:rtl/>
          <w:lang w:bidi="ar-EG"/>
        </w:rPr>
      </w:pPr>
      <w:r>
        <w:rPr>
          <w:rFonts w:hint="cs"/>
          <w:b/>
          <w:bCs/>
          <w:rtl/>
          <w:lang w:bidi="ar-EG"/>
        </w:rPr>
        <w:t>برامج التثقيف عن الحياة الأسرية</w:t>
      </w:r>
    </w:p>
    <w:p w:rsidR="00662946" w:rsidRDefault="00662946">
      <w:pPr>
        <w:pStyle w:val="SingleTxt"/>
        <w:jc w:val="both"/>
        <w:rPr>
          <w:rFonts w:hint="cs"/>
          <w:rtl/>
          <w:lang w:bidi="ar-EG"/>
        </w:rPr>
      </w:pPr>
      <w:r>
        <w:rPr>
          <w:rFonts w:hint="cs"/>
          <w:rtl/>
          <w:lang w:bidi="ar-EG"/>
        </w:rPr>
        <w:t>5-15</w:t>
      </w:r>
      <w:r>
        <w:rPr>
          <w:rFonts w:hint="cs"/>
          <w:rtl/>
          <w:lang w:bidi="ar-EG"/>
        </w:rPr>
        <w:tab/>
        <w:t>تسعى برامج التثقيف عن الحياة الأسرية الذي تضطلع به وزارة الصحة لصالح أفراد المجتمع إلى تشجيع الآباء على أداء دور أكثر إيجابية في تربية الأطفال والمسؤوليات الأسرية. ومن الجدير بالملاحظة أنه يمكن الآن مشاهدة عدد أكبر من الآباء يأخذون أطفالهم إلى مستوصفات رعاية الأطفال، وهذا شيء لم يكن يرى في الماضي.</w:t>
      </w:r>
    </w:p>
    <w:p w:rsidR="00662946" w:rsidRDefault="00662946">
      <w:pPr>
        <w:pStyle w:val="SingleTxt"/>
        <w:jc w:val="both"/>
        <w:rPr>
          <w:rFonts w:hint="cs"/>
          <w:rtl/>
          <w:lang w:bidi="ar-EG"/>
        </w:rPr>
      </w:pPr>
      <w:r>
        <w:rPr>
          <w:rFonts w:hint="cs"/>
          <w:rtl/>
          <w:lang w:bidi="ar-EG"/>
        </w:rPr>
        <w:t>5-16</w:t>
      </w:r>
      <w:r>
        <w:rPr>
          <w:rFonts w:hint="cs"/>
          <w:rtl/>
          <w:lang w:bidi="ar-EG"/>
        </w:rPr>
        <w:tab/>
        <w:t>أدرج التثقيف عن الصحة والحياة الأسرية في مناهج التعليم الابتدائي والثانوي على حدٍ سواء. وكانت آخر مرة نُقحت فيها هذه المقررات في سنة 1999 بتضمينها تركيزاً أوسع نطاقاً على المسائل الصحية والبيئية. وتشمل المقررات مجموعة كبيرة من المواضيع مثل العلاقات الأسرية والحمل في سن المراهقة واحترام الذات والعلاقات والمسؤوليات والأمراض التي تنقل بالاتصال الجنسي والتوجيه المهني.</w:t>
      </w:r>
    </w:p>
    <w:p w:rsidR="00662946" w:rsidRDefault="00662946">
      <w:pPr>
        <w:pStyle w:val="SingleTxt"/>
        <w:jc w:val="both"/>
        <w:rPr>
          <w:rFonts w:hint="cs"/>
          <w:rtl/>
          <w:lang w:bidi="ar-EG"/>
        </w:rPr>
      </w:pPr>
      <w:r>
        <w:rPr>
          <w:rFonts w:hint="cs"/>
          <w:rtl/>
          <w:lang w:bidi="ar-EG"/>
        </w:rPr>
        <w:t>5-17</w:t>
      </w:r>
      <w:r>
        <w:rPr>
          <w:rFonts w:hint="cs"/>
          <w:rtl/>
          <w:lang w:bidi="ar-EG"/>
        </w:rPr>
        <w:tab/>
        <w:t>استفاد المعلمون والأخصائيون الاجتماعيون العاملون في مجال التنمية من دورة دراسية عن التثقيف عن الحياة الأسرية نظمتها جامعة جزر الهند الغربية وتُمنح في نهايتها شهادة. ومع ذلك يساعد المعلمون المدرَّبون الملحقون بوزارة الصحة أيضاً المدارس كلما أمكن. كما يقدم المثقفون عن الحياة الأسرية التوعية إلى المجتمعات المحلية والمنظمات الحكومية.</w:t>
      </w:r>
    </w:p>
    <w:p w:rsidR="00662946" w:rsidRDefault="00662946">
      <w:pPr>
        <w:pStyle w:val="SingleTxt"/>
        <w:pBdr>
          <w:top w:val="single" w:sz="4" w:space="1" w:color="auto"/>
          <w:left w:val="single" w:sz="4" w:space="4" w:color="auto"/>
          <w:bottom w:val="single" w:sz="4" w:space="1" w:color="auto"/>
          <w:right w:val="single" w:sz="4" w:space="4" w:color="auto"/>
        </w:pBdr>
        <w:jc w:val="both"/>
        <w:rPr>
          <w:rFonts w:hint="cs"/>
          <w:b/>
          <w:bCs/>
          <w:rtl/>
        </w:rPr>
      </w:pPr>
      <w:r>
        <w:rPr>
          <w:rFonts w:hint="cs"/>
          <w:b/>
          <w:bCs/>
          <w:rtl/>
        </w:rPr>
        <w:t>المادة 6:</w:t>
      </w:r>
    </w:p>
    <w:p w:rsidR="00662946" w:rsidRDefault="00662946">
      <w:pPr>
        <w:pStyle w:val="SingleTxt"/>
        <w:pBdr>
          <w:top w:val="single" w:sz="4" w:space="1" w:color="auto"/>
          <w:left w:val="single" w:sz="4" w:space="4" w:color="auto"/>
          <w:bottom w:val="single" w:sz="4" w:space="1" w:color="auto"/>
          <w:right w:val="single" w:sz="4" w:space="4" w:color="auto"/>
        </w:pBdr>
        <w:jc w:val="both"/>
        <w:rPr>
          <w:rFonts w:hint="cs"/>
          <w:i/>
          <w:iCs/>
          <w:rtl/>
        </w:rPr>
      </w:pPr>
      <w:r>
        <w:rPr>
          <w:rFonts w:hint="cs"/>
          <w:i/>
          <w:iCs/>
          <w:rtl/>
        </w:rPr>
        <w:tab/>
        <w:t>تتخذ الدول الأطراف جميع التدابير المناسبة، بما في ذلك التشريع، لمكافحة جميع أشكال الاتجار بالمرأة واستغلال دعارة المرأة.</w:t>
      </w:r>
    </w:p>
    <w:p w:rsidR="00662946" w:rsidRDefault="00662946">
      <w:pPr>
        <w:pStyle w:val="SingleTxt"/>
        <w:jc w:val="both"/>
        <w:rPr>
          <w:rFonts w:hint="cs"/>
          <w:rtl/>
          <w:lang w:bidi="ar-EG"/>
        </w:rPr>
      </w:pPr>
      <w:r>
        <w:rPr>
          <w:rFonts w:hint="cs"/>
          <w:rtl/>
          <w:lang w:bidi="ar-EG"/>
        </w:rPr>
        <w:t>6-1</w:t>
      </w:r>
      <w:r>
        <w:rPr>
          <w:rFonts w:hint="cs"/>
          <w:rtl/>
          <w:lang w:bidi="ar-EG"/>
        </w:rPr>
        <w:tab/>
        <w:t>في حين يوجد البغاء في سانت لوسيا فإنه مؤسسة مستترة. وما زال البغاء غير مشروع على الرغم أن من المعروف أنه يزداد بسبب الصعوبات الاقتصادية المتنامية التي تواجهها بعض الأسر. بيد أنه من الصعب تحديد معدل أو طبيعة هذه الظاهرة على وجه الدقة نظرا إلى أن النظامين الثقافي والقانوني لا يدعمان هذه التجارة.</w:t>
      </w:r>
    </w:p>
    <w:p w:rsidR="00662946" w:rsidRDefault="00662946">
      <w:pPr>
        <w:pStyle w:val="SingleTxt"/>
        <w:jc w:val="both"/>
        <w:rPr>
          <w:rtl/>
          <w:lang w:bidi="ar-EG"/>
        </w:rPr>
      </w:pPr>
      <w:r>
        <w:rPr>
          <w:rFonts w:hint="cs"/>
          <w:rtl/>
          <w:lang w:bidi="ar-EG"/>
        </w:rPr>
        <w:t>6-2</w:t>
      </w:r>
      <w:r>
        <w:rPr>
          <w:rFonts w:hint="cs"/>
          <w:rtl/>
          <w:lang w:bidi="ar-EG"/>
        </w:rPr>
        <w:tab/>
        <w:t>على الرغم من عدم شرعية البغاء فإنه يبدو أن الاستنكار المعنوي تجاه هذه الظاهرة هو الذي يؤثر فيها أكثر من أي شيء آخر، لأنها قد ظلت في الواقع تجارة متنامية لكن سرية. وفي الآونة الأخيرة ازدادت أنشطة الجنس التجاري، ومن الواضح أنه هذه التجارة تؤثر في رفاه الأسر والمجتمع بوجه عام، عن طريق انتقال فيروس نقص المناعة البشرية/متلازمة نقص المناعة المكتسب (الإيدز). ولذا فإنه يلزم ضمان عدم استغلال النساء المشاركات في البغاء بسبب عدم شرعية أنشطتهن وطبيعتها السرية.</w:t>
      </w:r>
    </w:p>
    <w:p w:rsidR="00662946" w:rsidRDefault="00662946">
      <w:pPr>
        <w:pStyle w:val="SingleTxt"/>
        <w:jc w:val="both"/>
        <w:rPr>
          <w:rFonts w:hint="eastAsia"/>
          <w:rtl/>
          <w:lang w:bidi="ar-EG"/>
        </w:rPr>
      </w:pPr>
      <w:r>
        <w:rPr>
          <w:rFonts w:hint="cs"/>
          <w:rtl/>
          <w:lang w:bidi="ar-EG"/>
        </w:rPr>
        <w:t>6-3</w:t>
      </w:r>
      <w:r>
        <w:rPr>
          <w:rFonts w:hint="cs"/>
          <w:rtl/>
          <w:lang w:bidi="ar-EG"/>
        </w:rPr>
        <w:tab/>
        <w:t xml:space="preserve">لا يوجد في سانت لوسيا في الوقت الحاضر الاتجار بالنساء، وتتصدى سانت لوسيا له. بل توجد عدة قوانين تؤكد الحقوق الأساسية للإنسان، وتوحي بصورة غير مباشرة بأن الاتجار بالبشر غير مقبول. والاستعباد بجميع أنواعه غير مشروع. وينص البند 4 (1و2) من دستور سانت لوسيا بوضوح على أن </w:t>
      </w:r>
      <w:r>
        <w:rPr>
          <w:rFonts w:hint="eastAsia"/>
          <w:rtl/>
          <w:lang w:bidi="ar-EG"/>
        </w:rPr>
        <w:t>”</w:t>
      </w:r>
      <w:r>
        <w:rPr>
          <w:rFonts w:hint="cs"/>
          <w:i/>
          <w:iCs/>
          <w:rtl/>
          <w:lang w:bidi="ar-EG"/>
        </w:rPr>
        <w:t>لا يستعبد أو يسترق أي شخص</w:t>
      </w:r>
      <w:r>
        <w:rPr>
          <w:rFonts w:hint="eastAsia"/>
          <w:i/>
          <w:iCs/>
          <w:rtl/>
          <w:lang w:bidi="ar-EG"/>
        </w:rPr>
        <w:t xml:space="preserve">“ </w:t>
      </w:r>
      <w:r>
        <w:rPr>
          <w:rFonts w:hint="cs"/>
          <w:rtl/>
          <w:lang w:bidi="ar-EG"/>
        </w:rPr>
        <w:t xml:space="preserve">و </w:t>
      </w:r>
      <w:r>
        <w:rPr>
          <w:rFonts w:hint="eastAsia"/>
          <w:rtl/>
          <w:lang w:bidi="ar-EG"/>
        </w:rPr>
        <w:t>”</w:t>
      </w:r>
      <w:r>
        <w:rPr>
          <w:rFonts w:hint="cs"/>
          <w:i/>
          <w:iCs/>
          <w:rtl/>
          <w:lang w:bidi="ar-EG"/>
        </w:rPr>
        <w:t>لا يفرض على أي شخص أن يعمل بالسخرة</w:t>
      </w:r>
      <w:r>
        <w:rPr>
          <w:rFonts w:hint="eastAsia"/>
          <w:rtl/>
          <w:lang w:bidi="ar-EG"/>
        </w:rPr>
        <w:t>“.</w:t>
      </w:r>
    </w:p>
    <w:p w:rsidR="00662946" w:rsidRDefault="00662946">
      <w:pPr>
        <w:pStyle w:val="SingleTxt"/>
        <w:jc w:val="both"/>
        <w:rPr>
          <w:rFonts w:hint="cs"/>
          <w:rtl/>
          <w:lang w:bidi="ar-EG"/>
        </w:rPr>
      </w:pPr>
      <w:r>
        <w:rPr>
          <w:rFonts w:hint="cs"/>
          <w:rtl/>
          <w:lang w:bidi="ar-EG"/>
        </w:rPr>
        <w:t>6-4</w:t>
      </w:r>
      <w:r>
        <w:rPr>
          <w:rFonts w:hint="cs"/>
          <w:rtl/>
          <w:lang w:bidi="ar-EG"/>
        </w:rPr>
        <w:tab/>
        <w:t>بحلول سنة 2002 كانت سانت لوسيا لم توقع أو تصدق على بروتوكول سنة 2000 لمنع وقمع ومعاقبة الاتجار بالأشخاص، ولاسيما النساء والأطفال. غير أن البلد كان قد صدَّق أو وقَّع على اتفاقيات دولية أخرى تتضمن أحكاماً خاصة لمكافحة الاتجار بالنساء و/أو استغلالهن.</w:t>
      </w:r>
    </w:p>
    <w:p w:rsidR="00662946" w:rsidRDefault="00662946">
      <w:pPr>
        <w:pStyle w:val="SingleTxt"/>
        <w:jc w:val="both"/>
        <w:rPr>
          <w:rFonts w:hint="cs"/>
          <w:rtl/>
          <w:lang w:bidi="ar-EG"/>
        </w:rPr>
      </w:pPr>
      <w:r>
        <w:rPr>
          <w:rFonts w:hint="cs"/>
          <w:rtl/>
          <w:lang w:bidi="ar-EG"/>
        </w:rPr>
        <w:t>6-5</w:t>
      </w:r>
      <w:r>
        <w:rPr>
          <w:rFonts w:hint="cs"/>
          <w:rtl/>
          <w:lang w:bidi="ar-EG"/>
        </w:rPr>
        <w:tab/>
        <w:t>في شباط/فبراير 1990 صدَّقت سانت لوسيا على اتفاقية القضاء على جميع أشكال التمييز العنصري لسنة 1965. وتؤكد المادة 5 من هذه الاتفاقية حق الفرد في حرية الحركة والإقامة في الدولة؛ وحقه في العمل وفي اختيار نوع العمل فضلاً عن الحق في شروط عمل عادلة ومواتية والحق في الأجر.</w:t>
      </w:r>
    </w:p>
    <w:p w:rsidR="00662946" w:rsidRDefault="00662946">
      <w:pPr>
        <w:pStyle w:val="SingleTxt"/>
        <w:jc w:val="both"/>
        <w:rPr>
          <w:rFonts w:hint="cs"/>
          <w:rtl/>
          <w:lang w:bidi="ar-EG"/>
        </w:rPr>
      </w:pPr>
      <w:r>
        <w:rPr>
          <w:rFonts w:hint="cs"/>
          <w:rtl/>
          <w:lang w:bidi="ar-EG"/>
        </w:rPr>
        <w:t>6-6</w:t>
      </w:r>
      <w:r>
        <w:rPr>
          <w:rFonts w:hint="cs"/>
          <w:rtl/>
          <w:lang w:bidi="ar-EG"/>
        </w:rPr>
        <w:tab/>
        <w:t>تُعلن الدولة، بوصفها من الدول الموقعة على اتفاقية حقوق الطفل (1989)، عن تأييدها للقضاء على جميع أشكال الاعتداء الجنسي على الأطفال والاستغلال الجنسي لهم، بما في ذلك دعارة الأطفال والأعمال الإباحية. وعلاوة على ذلك تدعو المادة 35 من اتفاقية سنة 1989 إلى التزام الدول الأطراف بمنع خطف وبيع الأطفال والاتجار بهم لأي غرض وبأي شكل كان.</w:t>
      </w:r>
    </w:p>
    <w:p w:rsidR="00662946" w:rsidRDefault="00662946">
      <w:pPr>
        <w:pStyle w:val="SingleTxt"/>
        <w:jc w:val="both"/>
        <w:rPr>
          <w:rFonts w:hint="cs"/>
          <w:rtl/>
          <w:lang w:bidi="ar-EG"/>
        </w:rPr>
      </w:pPr>
      <w:r>
        <w:rPr>
          <w:rFonts w:hint="cs"/>
          <w:rtl/>
          <w:lang w:bidi="ar-EG"/>
        </w:rPr>
        <w:t>6-7</w:t>
      </w:r>
      <w:r>
        <w:rPr>
          <w:rFonts w:hint="cs"/>
          <w:rtl/>
          <w:lang w:bidi="ar-EG"/>
        </w:rPr>
        <w:tab/>
        <w:t>من الاتفاقيات الأخرى ذات الصلة التي سانت لوسيا طرف فيها اتفاقية إلغاء السخرة واتفاقية أسوأ أشكال عمل الأطفال واتفاقية مركز اللاجئين واتفاقية البلدان الأمريكية للوقاية من العنف ضد المرأة والمعاقبة عليه واستئصال</w:t>
      </w:r>
      <w:r>
        <w:rPr>
          <w:rFonts w:hint="eastAsia"/>
          <w:rtl/>
          <w:lang w:bidi="ar-EG"/>
        </w:rPr>
        <w:t>ه</w:t>
      </w:r>
      <w:r>
        <w:rPr>
          <w:rFonts w:hint="cs"/>
          <w:rtl/>
          <w:lang w:bidi="ar-EG"/>
        </w:rPr>
        <w:t>.</w:t>
      </w:r>
    </w:p>
    <w:p w:rsidR="00662946" w:rsidRDefault="00662946">
      <w:pPr>
        <w:pStyle w:val="SingleTxt"/>
        <w:jc w:val="both"/>
        <w:rPr>
          <w:rFonts w:hint="cs"/>
          <w:rtl/>
          <w:lang w:bidi="ar-EG"/>
        </w:rPr>
      </w:pPr>
      <w:r>
        <w:rPr>
          <w:rFonts w:hint="cs"/>
          <w:rtl/>
          <w:lang w:bidi="ar-EG"/>
        </w:rPr>
        <w:t>6-8</w:t>
      </w:r>
      <w:r>
        <w:rPr>
          <w:rFonts w:hint="cs"/>
          <w:rtl/>
          <w:lang w:bidi="ar-EG"/>
        </w:rPr>
        <w:tab/>
        <w:t>في حين توجد بيانات عن الاتجار في حد ذاته فإنه من المعروف جيداً أنه توجد مشكلة كبيرة فيما يتعلق بالاعتداء الجنسي على الأطفال واستغلالهم. وهو، شأنه في ذلك شأن ظاهرة البغاء، يصعب تحديد المدى الفعلي لهذه المشكلة لأنه يبدو أن مناقشة هذه المسائل محظورة. ونتيجة لذلك فإن البحوث والوثائق المتعلقة بمشكلة استغلال الأطفال غير كافية. ومن التقارير القليلة الموجودة يمكن الربط بوضوح جداً بين فقر الأسر وزيادة تعرض الأطفال وغيرهم للاعتداء. ولا يمكن فصل حدوث الاعتداء الجنسي عن مسألة الاتجار.</w:t>
      </w:r>
    </w:p>
    <w:p w:rsidR="00662946" w:rsidRDefault="00662946">
      <w:pPr>
        <w:pStyle w:val="SingleTxt"/>
        <w:pBdr>
          <w:top w:val="single" w:sz="2" w:space="1" w:color="auto"/>
          <w:left w:val="single" w:sz="2" w:space="4" w:color="auto"/>
          <w:bottom w:val="single" w:sz="2" w:space="1" w:color="auto"/>
          <w:right w:val="single" w:sz="2" w:space="4" w:color="auto"/>
        </w:pBdr>
        <w:ind w:left="1264" w:right="1264"/>
        <w:jc w:val="both"/>
        <w:rPr>
          <w:rFonts w:hint="cs"/>
          <w:i/>
          <w:iCs/>
          <w:rtl/>
          <w:lang w:bidi="ar-EG"/>
        </w:rPr>
      </w:pPr>
      <w:r>
        <w:rPr>
          <w:rFonts w:hint="cs"/>
          <w:b/>
          <w:bCs/>
          <w:i/>
          <w:iCs/>
          <w:rtl/>
          <w:lang w:bidi="ar-EG"/>
        </w:rPr>
        <w:t>المادة 7</w:t>
      </w:r>
    </w:p>
    <w:p w:rsidR="00662946" w:rsidRDefault="00662946">
      <w:pPr>
        <w:pStyle w:val="SingleTxt"/>
        <w:pBdr>
          <w:top w:val="single" w:sz="2" w:space="1" w:color="auto"/>
          <w:left w:val="single" w:sz="2" w:space="4" w:color="auto"/>
          <w:bottom w:val="single" w:sz="2" w:space="1" w:color="auto"/>
          <w:right w:val="single" w:sz="2" w:space="4" w:color="auto"/>
        </w:pBdr>
        <w:ind w:left="1264" w:right="1264"/>
        <w:jc w:val="both"/>
        <w:rPr>
          <w:rFonts w:hint="cs"/>
          <w:i/>
          <w:iCs/>
          <w:rtl/>
          <w:lang w:bidi="ar-EG"/>
        </w:rPr>
      </w:pPr>
      <w:r>
        <w:rPr>
          <w:rFonts w:hint="cs"/>
          <w:i/>
          <w:iCs/>
          <w:rtl/>
          <w:lang w:bidi="ar-EG"/>
        </w:rPr>
        <w:tab/>
        <w:t xml:space="preserve">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 </w:t>
      </w:r>
    </w:p>
    <w:p w:rsidR="00662946" w:rsidRDefault="00662946">
      <w:pPr>
        <w:pStyle w:val="SingleTxt"/>
        <w:pBdr>
          <w:top w:val="single" w:sz="2" w:space="1" w:color="auto"/>
          <w:left w:val="single" w:sz="2" w:space="4" w:color="auto"/>
          <w:bottom w:val="single" w:sz="2" w:space="1" w:color="auto"/>
          <w:right w:val="single" w:sz="2" w:space="4" w:color="auto"/>
        </w:pBdr>
        <w:ind w:left="2528" w:right="1264" w:hanging="1264"/>
        <w:jc w:val="both"/>
        <w:rPr>
          <w:rFonts w:hint="cs"/>
          <w:i/>
          <w:iCs/>
          <w:rtl/>
          <w:lang w:bidi="ar-EG"/>
        </w:rPr>
      </w:pPr>
      <w:r>
        <w:rPr>
          <w:rFonts w:hint="cs"/>
          <w:i/>
          <w:iCs/>
          <w:rtl/>
          <w:lang w:bidi="ar-EG"/>
        </w:rPr>
        <w:tab/>
      </w:r>
      <w:r>
        <w:rPr>
          <w:rFonts w:hint="cs"/>
          <w:i/>
          <w:iCs/>
          <w:rtl/>
          <w:lang w:bidi="ar-EG"/>
        </w:rPr>
        <w:tab/>
        <w:t>(أ)</w:t>
      </w:r>
      <w:r>
        <w:rPr>
          <w:rFonts w:hint="cs"/>
          <w:i/>
          <w:iCs/>
          <w:rtl/>
          <w:lang w:bidi="ar-EG"/>
        </w:rPr>
        <w:tab/>
        <w:t>التصويت في جميع الانتخابات والاستفتاءات العامة، وأهلية الانتخاب لجميع الهيئات التي ينتخب أعضاؤها بالاقتراع العام؛</w:t>
      </w:r>
    </w:p>
    <w:p w:rsidR="00662946" w:rsidRDefault="00662946">
      <w:pPr>
        <w:pStyle w:val="SingleTxt"/>
        <w:pBdr>
          <w:top w:val="single" w:sz="2" w:space="1" w:color="auto"/>
          <w:left w:val="single" w:sz="2" w:space="4" w:color="auto"/>
          <w:bottom w:val="single" w:sz="2" w:space="1" w:color="auto"/>
          <w:right w:val="single" w:sz="2" w:space="4" w:color="auto"/>
        </w:pBdr>
        <w:ind w:left="2528" w:right="1264" w:hanging="1264"/>
        <w:jc w:val="both"/>
        <w:rPr>
          <w:rFonts w:hint="cs"/>
          <w:i/>
          <w:iCs/>
          <w:rtl/>
          <w:lang w:bidi="ar-EG"/>
        </w:rPr>
      </w:pPr>
      <w:r>
        <w:rPr>
          <w:rFonts w:hint="cs"/>
          <w:i/>
          <w:iCs/>
          <w:rtl/>
          <w:lang w:bidi="ar-EG"/>
        </w:rPr>
        <w:tab/>
      </w:r>
      <w:r>
        <w:rPr>
          <w:rFonts w:hint="cs"/>
          <w:i/>
          <w:iCs/>
          <w:rtl/>
          <w:lang w:bidi="ar-EG"/>
        </w:rPr>
        <w:tab/>
        <w:t>(ب)</w:t>
      </w:r>
      <w:r>
        <w:rPr>
          <w:rFonts w:hint="cs"/>
          <w:i/>
          <w:iCs/>
          <w:rtl/>
          <w:lang w:bidi="ar-EG"/>
        </w:rPr>
        <w:tab/>
        <w:t>المشاركة في صياغة سياسة الحكومة وتنفيذ هذه السياسة وفي شغل الوظائف العامة وتأدية جميع المهام العامة على جميع المستويات الحكومية؛</w:t>
      </w:r>
    </w:p>
    <w:p w:rsidR="00662946" w:rsidRDefault="00662946">
      <w:pPr>
        <w:pStyle w:val="SingleTxt"/>
        <w:pBdr>
          <w:top w:val="single" w:sz="2" w:space="1" w:color="auto"/>
          <w:left w:val="single" w:sz="2" w:space="4" w:color="auto"/>
          <w:bottom w:val="single" w:sz="2" w:space="1" w:color="auto"/>
          <w:right w:val="single" w:sz="2" w:space="4" w:color="auto"/>
        </w:pBdr>
        <w:ind w:left="2528" w:right="1264" w:hanging="1264"/>
        <w:jc w:val="both"/>
        <w:rPr>
          <w:rFonts w:hint="cs"/>
          <w:rtl/>
          <w:lang w:bidi="ar-EG"/>
        </w:rPr>
      </w:pPr>
      <w:r>
        <w:rPr>
          <w:rFonts w:hint="cs"/>
          <w:i/>
          <w:iCs/>
          <w:rtl/>
          <w:lang w:bidi="ar-EG"/>
        </w:rPr>
        <w:tab/>
      </w:r>
      <w:r>
        <w:rPr>
          <w:rFonts w:hint="cs"/>
          <w:i/>
          <w:iCs/>
          <w:rtl/>
          <w:lang w:bidi="ar-EG"/>
        </w:rPr>
        <w:tab/>
        <w:t>(ج)</w:t>
      </w:r>
      <w:r>
        <w:rPr>
          <w:rFonts w:hint="cs"/>
          <w:i/>
          <w:iCs/>
          <w:rtl/>
          <w:lang w:bidi="ar-EG"/>
        </w:rPr>
        <w:tab/>
        <w:t>المشاركة في جميع المنظمات والجمعيات غير الحكومية التي تعنى بالحياة العامة والسياسية للبلد</w:t>
      </w:r>
      <w:r>
        <w:rPr>
          <w:rFonts w:hint="cs"/>
          <w:rtl/>
          <w:lang w:bidi="ar-EG"/>
        </w:rPr>
        <w:t>.</w:t>
      </w:r>
    </w:p>
    <w:p w:rsidR="00662946" w:rsidRDefault="00662946">
      <w:pPr>
        <w:pStyle w:val="SingleTxt"/>
        <w:jc w:val="both"/>
        <w:rPr>
          <w:rFonts w:hint="cs"/>
          <w:b/>
          <w:bCs/>
          <w:rtl/>
          <w:lang w:bidi="ar-EG"/>
        </w:rPr>
      </w:pPr>
    </w:p>
    <w:p w:rsidR="00662946" w:rsidRDefault="00662946">
      <w:pPr>
        <w:pStyle w:val="SingleTxt"/>
        <w:jc w:val="both"/>
        <w:rPr>
          <w:rFonts w:hint="cs"/>
          <w:rtl/>
          <w:lang w:bidi="ar-EG"/>
        </w:rPr>
      </w:pPr>
      <w:r>
        <w:rPr>
          <w:rFonts w:hint="cs"/>
          <w:b/>
          <w:bCs/>
          <w:rtl/>
          <w:lang w:bidi="ar-EG"/>
        </w:rPr>
        <w:t>المرأة والسياسة والسياق الثقافي</w:t>
      </w:r>
    </w:p>
    <w:p w:rsidR="00662946" w:rsidRDefault="00662946">
      <w:pPr>
        <w:pStyle w:val="SingleTxt"/>
        <w:jc w:val="both"/>
        <w:rPr>
          <w:rFonts w:hint="cs"/>
          <w:rtl/>
          <w:lang w:bidi="ar-EG"/>
        </w:rPr>
      </w:pPr>
      <w:r>
        <w:rPr>
          <w:rFonts w:hint="cs"/>
          <w:rtl/>
          <w:lang w:bidi="ar-EG"/>
        </w:rPr>
        <w:t>7-1</w:t>
      </w:r>
      <w:r>
        <w:rPr>
          <w:rFonts w:hint="cs"/>
          <w:rtl/>
          <w:lang w:bidi="ar-EG"/>
        </w:rPr>
        <w:tab/>
        <w:t>مُنح الكبار الراشدون حق الاقتراع العام في سانت لوسيا في سنة 1951. ولذا فإن جميع الأشخاص الذين يبلغون من العمر 18 سنة وأكثر يحق لهم التصويت. والبيانات التي تمثل نسبة الإناث اللائي لهن حق التصويت واللائي سجلن أنفسهن للتصويت وصوتن فعلاً في الانتخابات العامة الأربعة التي أُجريت خلال الفترة قيد الاستعراض ليست متيسرة. وتُبذل حالياً جهود لإجراء إحصاءات عن سلوك التصويت والانتخابات مصنَّفة حسب الجنس.</w:t>
      </w:r>
    </w:p>
    <w:p w:rsidR="00662946" w:rsidRDefault="00662946">
      <w:pPr>
        <w:pStyle w:val="SingleTxt"/>
        <w:jc w:val="both"/>
        <w:rPr>
          <w:rFonts w:hint="cs"/>
          <w:rtl/>
          <w:lang w:bidi="ar-EG"/>
        </w:rPr>
      </w:pPr>
      <w:r>
        <w:rPr>
          <w:rFonts w:hint="cs"/>
          <w:rtl/>
          <w:lang w:bidi="ar-EG"/>
        </w:rPr>
        <w:t>7-2</w:t>
      </w:r>
      <w:r>
        <w:rPr>
          <w:rFonts w:hint="cs"/>
          <w:rtl/>
          <w:lang w:bidi="ar-EG"/>
        </w:rPr>
        <w:tab/>
        <w:t>للنساء في سانت لوسيا الحق في ترشيح أنفسهن في الانتخابات العامة. ولهن الحق والأهلية وترشيح أنفسهن بنفس الشروط التي تنطبق على الرجال لكن النساء لا يستخدمن ولا يمارسن حقوقهن بصورة تامة. ومازال الرجال يسيطرون على الساحة السياسية. وتشمل الأسباب والتصورات الخاطئة التي يفسر بها قلة عدد النساء المشاركات في السياسة ما يلي:</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أن النساء يقمن بحملات سياسية من نوعية متدنية ولا يردن تعريض أنفسهن للقذف والإساءات على البرامج السياسية؛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 xml:space="preserve">لا يعترف بأن مهارات المرأة وخبراتها </w:t>
      </w:r>
      <w:r>
        <w:rPr>
          <w:rFonts w:hint="eastAsia"/>
          <w:rtl/>
          <w:lang w:bidi="ar-EG"/>
        </w:rPr>
        <w:t>”مناسبة</w:t>
      </w:r>
      <w:r>
        <w:rPr>
          <w:rFonts w:hint="cs"/>
          <w:rtl/>
          <w:lang w:bidi="ar-EG"/>
        </w:rPr>
        <w:t>“ للحياة المهنية السياسية؛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لا تقدر المرأة نفسها حق قدرها ولا قدرتها على أن تصبح برلمانية جيدة؛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لا تستطيع المرأة أن تتحمل ضغوط المسؤوليات الأسرية ومتطلبات الحياة المهنية السياسية.</w:t>
      </w:r>
    </w:p>
    <w:p w:rsidR="00662946" w:rsidRDefault="00662946">
      <w:pPr>
        <w:pStyle w:val="SingleTxt"/>
        <w:jc w:val="both"/>
        <w:rPr>
          <w:rFonts w:hint="cs"/>
          <w:rtl/>
          <w:lang w:bidi="ar-EG"/>
        </w:rPr>
      </w:pPr>
      <w:r>
        <w:rPr>
          <w:rFonts w:hint="cs"/>
          <w:rtl/>
          <w:lang w:bidi="ar-EG"/>
        </w:rPr>
        <w:tab/>
        <w:t>وعلى الرغم من هذه الروادع فقد رشحت امرأة نفسها في سنة 1964 وكانت المرشحة الأولى والوحيدة، وكانت أيضاً المرأة الوحيدة التي انتخبت لعضوية البرلمان في سنة 1974. كما سجل التاريخ حدثاً مهماً في سانت لوسيا في سنة 2002 عندما رُشِّح عدد وصل إلى تسع نساء مما مجموعه 51 مرشحاً للتنافس في الانتخابات العامة.</w:t>
      </w:r>
    </w:p>
    <w:p w:rsidR="00662946" w:rsidRDefault="00662946">
      <w:pPr>
        <w:pStyle w:val="SingleTxt"/>
        <w:jc w:val="both"/>
        <w:rPr>
          <w:rFonts w:hint="cs"/>
          <w:rtl/>
          <w:lang w:bidi="ar-EG"/>
        </w:rPr>
      </w:pPr>
      <w:r>
        <w:rPr>
          <w:rFonts w:hint="cs"/>
          <w:rtl/>
          <w:lang w:bidi="ar-EG"/>
        </w:rPr>
        <w:t>7-3</w:t>
      </w:r>
      <w:r>
        <w:rPr>
          <w:rFonts w:hint="cs"/>
          <w:rtl/>
          <w:lang w:bidi="ar-EG"/>
        </w:rPr>
        <w:tab/>
        <w:t>اقترح أن الإنجازات المهمة في أي مجال من مجالات برنامج منهاج عمل بيجين يعتمد على الزيادة في مشاركة المرأة على مستوى السلطة واتخاذ القرارات. بيد أنه من المهم تفهم أن مسألة المساواة بين الجنسين في السلطة واتخاذ القرارات يجب أن تشمل بالضرورة لا مجرد زيادة في العدد بل أيضاً تحسناً في نوعية المشاركة من ناحية استعمال المنصب لتعزيز تحقيق التغييرات المنشودة. وقد حددت الدول الكاريبية ضمن إعدادها لمؤتمر بكين في سنة 1995، السلطة واتخاذ القرارات باعتبارهما مجالاين رئيسيين للعمل. وكان الهدف يتمثل في تحسين نسبة مشاركة المرأة في اتخاذ القرارات لتصل إلى 30 في المائة بحلول سنة 2005.</w:t>
      </w:r>
    </w:p>
    <w:p w:rsidR="00662946" w:rsidRDefault="00662946">
      <w:pPr>
        <w:pStyle w:val="SingleTxt"/>
        <w:jc w:val="both"/>
        <w:rPr>
          <w:rFonts w:hint="cs"/>
          <w:rtl/>
          <w:lang w:bidi="ar-EG"/>
        </w:rPr>
      </w:pPr>
      <w:r>
        <w:rPr>
          <w:rFonts w:hint="cs"/>
          <w:rtl/>
          <w:lang w:bidi="ar-EG"/>
        </w:rPr>
        <w:t>7-4</w:t>
      </w:r>
      <w:r>
        <w:rPr>
          <w:rFonts w:hint="cs"/>
          <w:rtl/>
          <w:lang w:bidi="ar-EG"/>
        </w:rPr>
        <w:tab/>
        <w:t>في حين لا توجد معلومات عن مشاركة النساء في الانتخابات فقد لوحظ أن النساء يشاركن بصورة رئيسية في تنظيم الأنشطة التي تدعم المرشحين السياسيين بدلاً من شغل المناصب الرئيسية لاتخاذ القرارات بأنفسهن.</w:t>
      </w:r>
    </w:p>
    <w:p w:rsidR="00662946" w:rsidRDefault="00662946">
      <w:pPr>
        <w:pStyle w:val="SingleTxt"/>
        <w:jc w:val="both"/>
        <w:rPr>
          <w:rFonts w:hint="cs"/>
          <w:rtl/>
          <w:lang w:bidi="ar-EG"/>
        </w:rPr>
      </w:pPr>
      <w:r>
        <w:rPr>
          <w:rFonts w:hint="cs"/>
          <w:rtl/>
          <w:lang w:bidi="ar-EG"/>
        </w:rPr>
        <w:t>7-5</w:t>
      </w:r>
      <w:r>
        <w:rPr>
          <w:rFonts w:hint="cs"/>
          <w:rtl/>
          <w:lang w:bidi="ar-EG"/>
        </w:rPr>
        <w:tab/>
        <w:t xml:space="preserve">قُبيل الانتخابات العامة لسنة 1997 نظمت الآلية الوطنية للمرأة مشاورات وجلسات عديدة عن النساء في السياسة والقيادة. وكانت هذه الأنشطة تستهدف النساء على جميع المستويات، بما في ذلك مديرات الأعمال التجارية؛ وأظهرت الجلسات مستوى عالٍ من المشاركة والاهتمام. وعلى عكس أي فترة أخرى في تاريخ سانت لوسيا تنافست أربع سيدات في الانتخابات العامة ونجح منهن إثنتان. وحينئذ أُسند إلى إحدى هاتين السيدتين دور الوزير المسؤول عن النهوض بشؤون المرأة. وأصبحت المرشحة الناجحة الأخرى أصغر شخص يصبح عضواً منتخباً في البرلمان في تاريخ سانت لوسيا. وخلال انتخابات سنة 2002 التي تليت حدثت زيادة طفيفة في عدد المرشحات. وفي الفترة الأقرب عقدت المنظمات النسائية، ولاسيما الجناح النسائي لحزب عمال سانت لوسيا، حلقات دراسية عن القيادة لتشجيع النساء لتولي مناصب قيادية في المجتمع وإعدادها. </w:t>
      </w:r>
    </w:p>
    <w:p w:rsidR="00662946" w:rsidRDefault="00662946">
      <w:pPr>
        <w:pStyle w:val="SingleTxt"/>
        <w:jc w:val="both"/>
        <w:rPr>
          <w:rFonts w:hint="cs"/>
          <w:rtl/>
          <w:lang w:bidi="ar-EG"/>
        </w:rPr>
      </w:pPr>
      <w:r>
        <w:rPr>
          <w:rFonts w:hint="cs"/>
          <w:rtl/>
          <w:lang w:bidi="ar-EG"/>
        </w:rPr>
        <w:t>7-6</w:t>
      </w:r>
      <w:r>
        <w:rPr>
          <w:rFonts w:hint="cs"/>
          <w:rtl/>
          <w:lang w:bidi="ar-EG"/>
        </w:rPr>
        <w:tab/>
        <w:t>ليس لعدم المساواة بين الجنسين التي تميز هياكل السلطة واتخاذ القرارات صاة بالقدرة الفكرية للمرأة. فالمرأة تتردد في دخول مجال السياسة بسبب المعايير الثقافية والمعتقدات والمواقف القائمة على الفوارق بين الجنسين. ويتصور المجتمع أن القيادة والمناصب الإدارية هي مجال الرجل والمرأة ينبغي ألا تشغل نفسها أو تهتم إلا بأدوارها التناسلية. وتمثل هذه القوالب الثقافية حاجزاً مستتراً يعوق المشاركة والأداء الناجح في الحياة السياسية والعامة. والتشجيع على تقاسم المسؤوليات الأسرية حسبما تقوم به الآلية الوطنية للمرأة هو إحدى طرق معالجة القضايا الناشئة عن أدوار المرأة المزدوجة التي تضطلع فيها بالمسؤوليات الأسرية ومسؤوليات الحياة المهنية.</w:t>
      </w:r>
    </w:p>
    <w:p w:rsidR="00662946" w:rsidRDefault="00662946">
      <w:pPr>
        <w:pStyle w:val="SingleTxt"/>
        <w:jc w:val="both"/>
        <w:rPr>
          <w:rFonts w:hint="cs"/>
          <w:b/>
          <w:bCs/>
          <w:rtl/>
          <w:lang w:bidi="ar-EG"/>
        </w:rPr>
      </w:pPr>
      <w:r>
        <w:rPr>
          <w:rFonts w:hint="cs"/>
          <w:b/>
          <w:bCs/>
          <w:rtl/>
          <w:lang w:bidi="ar-EG"/>
        </w:rPr>
        <w:t>مشاركة المرأة في الجمعية البرلمانية</w:t>
      </w:r>
    </w:p>
    <w:p w:rsidR="00662946" w:rsidRDefault="00662946">
      <w:pPr>
        <w:pStyle w:val="SingleTxt"/>
        <w:jc w:val="both"/>
        <w:rPr>
          <w:rFonts w:hint="cs"/>
          <w:rtl/>
          <w:lang w:bidi="ar-EG"/>
        </w:rPr>
      </w:pPr>
      <w:r>
        <w:rPr>
          <w:rFonts w:hint="cs"/>
          <w:rtl/>
          <w:lang w:bidi="ar-EG"/>
        </w:rPr>
        <w:t>7-7</w:t>
      </w:r>
      <w:r>
        <w:rPr>
          <w:rFonts w:hint="cs"/>
          <w:rtl/>
          <w:lang w:bidi="ar-EG"/>
        </w:rPr>
        <w:tab/>
        <w:t>في الانتخابات التي أُجريت في الفترة من عام 1974 إلى عام 2001 نجحت ثلاث نساء فحسب في الانتخابات وأصبحن وزيرات منتخبات.</w:t>
      </w:r>
    </w:p>
    <w:tbl>
      <w:tblPr>
        <w:bidiVisual/>
        <w:tblW w:w="7187" w:type="dxa"/>
        <w:jc w:val="center"/>
        <w:tblInd w:w="-1345" w:type="dxa"/>
        <w:tblLook w:val="0000" w:firstRow="0" w:lastRow="0" w:firstColumn="0" w:lastColumn="0" w:noHBand="0" w:noVBand="0"/>
      </w:tblPr>
      <w:tblGrid>
        <w:gridCol w:w="1316"/>
        <w:gridCol w:w="1339"/>
        <w:gridCol w:w="1236"/>
        <w:gridCol w:w="1641"/>
        <w:gridCol w:w="1655"/>
      </w:tblGrid>
      <w:tr w:rsidR="00662946">
        <w:trPr>
          <w:trHeight w:val="520"/>
          <w:jc w:val="center"/>
        </w:trPr>
        <w:tc>
          <w:tcPr>
            <w:tcW w:w="7187" w:type="dxa"/>
            <w:gridSpan w:val="5"/>
            <w:tcBorders>
              <w:top w:val="single" w:sz="4" w:space="0" w:color="auto"/>
              <w:left w:val="single" w:sz="4" w:space="0" w:color="auto"/>
              <w:bottom w:val="single" w:sz="4" w:space="0" w:color="auto"/>
              <w:right w:val="single" w:sz="4" w:space="0" w:color="auto"/>
            </w:tcBorders>
            <w:vAlign w:val="center"/>
          </w:tcPr>
          <w:p w:rsidR="00662946" w:rsidRDefault="00662946">
            <w:pPr>
              <w:spacing w:after="120"/>
              <w:jc w:val="center"/>
              <w:rPr>
                <w:rFonts w:hint="cs"/>
                <w:b/>
                <w:bCs/>
                <w:sz w:val="30"/>
              </w:rPr>
            </w:pPr>
            <w:r>
              <w:rPr>
                <w:rFonts w:hint="cs"/>
                <w:b/>
                <w:bCs/>
                <w:sz w:val="30"/>
                <w:rtl/>
              </w:rPr>
              <w:t>الجدول 7-1: الوزراء المنتخبون في الحكومة خلال الفترة من عام 1974 إلى عام 2001</w:t>
            </w:r>
          </w:p>
        </w:tc>
      </w:tr>
      <w:tr w:rsidR="00662946">
        <w:trPr>
          <w:trHeight w:val="255"/>
          <w:jc w:val="center"/>
        </w:trPr>
        <w:tc>
          <w:tcPr>
            <w:tcW w:w="131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السنة</w:t>
            </w:r>
          </w:p>
        </w:tc>
        <w:tc>
          <w:tcPr>
            <w:tcW w:w="133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النساء</w:t>
            </w:r>
          </w:p>
        </w:tc>
        <w:tc>
          <w:tcPr>
            <w:tcW w:w="123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الرجال</w:t>
            </w:r>
          </w:p>
        </w:tc>
        <w:tc>
          <w:tcPr>
            <w:tcW w:w="3296" w:type="dxa"/>
            <w:gridSpan w:val="2"/>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التوزيع بالنسب المئوية حسب الجنس</w:t>
            </w:r>
          </w:p>
        </w:tc>
      </w:tr>
      <w:tr w:rsidR="00662946">
        <w:trPr>
          <w:trHeight w:val="255"/>
          <w:jc w:val="center"/>
        </w:trPr>
        <w:tc>
          <w:tcPr>
            <w:tcW w:w="131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p>
        </w:tc>
        <w:tc>
          <w:tcPr>
            <w:tcW w:w="133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العدد</w:t>
            </w:r>
          </w:p>
        </w:tc>
        <w:tc>
          <w:tcPr>
            <w:tcW w:w="123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العدد</w:t>
            </w:r>
          </w:p>
        </w:tc>
        <w:tc>
          <w:tcPr>
            <w:tcW w:w="1641"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النساء</w:t>
            </w:r>
          </w:p>
        </w:tc>
        <w:tc>
          <w:tcPr>
            <w:tcW w:w="165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الرجال</w:t>
            </w:r>
          </w:p>
        </w:tc>
      </w:tr>
      <w:tr w:rsidR="00662946">
        <w:trPr>
          <w:trHeight w:val="255"/>
          <w:jc w:val="center"/>
        </w:trPr>
        <w:tc>
          <w:tcPr>
            <w:tcW w:w="131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1974</w:t>
            </w:r>
          </w:p>
        </w:tc>
        <w:tc>
          <w:tcPr>
            <w:tcW w:w="133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w:t>
            </w:r>
          </w:p>
        </w:tc>
        <w:tc>
          <w:tcPr>
            <w:tcW w:w="123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15</w:t>
            </w:r>
          </w:p>
        </w:tc>
        <w:tc>
          <w:tcPr>
            <w:tcW w:w="1641"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6</w:t>
            </w:r>
          </w:p>
        </w:tc>
        <w:tc>
          <w:tcPr>
            <w:tcW w:w="165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94</w:t>
            </w:r>
          </w:p>
        </w:tc>
      </w:tr>
      <w:tr w:rsidR="00662946">
        <w:trPr>
          <w:trHeight w:val="255"/>
          <w:jc w:val="center"/>
        </w:trPr>
        <w:tc>
          <w:tcPr>
            <w:tcW w:w="131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1979</w:t>
            </w:r>
          </w:p>
        </w:tc>
        <w:tc>
          <w:tcPr>
            <w:tcW w:w="133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صفر</w:t>
            </w:r>
          </w:p>
        </w:tc>
        <w:tc>
          <w:tcPr>
            <w:tcW w:w="123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17</w:t>
            </w:r>
          </w:p>
        </w:tc>
        <w:tc>
          <w:tcPr>
            <w:tcW w:w="1641"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165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100</w:t>
            </w:r>
          </w:p>
        </w:tc>
      </w:tr>
      <w:tr w:rsidR="00662946">
        <w:trPr>
          <w:trHeight w:val="255"/>
          <w:jc w:val="center"/>
        </w:trPr>
        <w:tc>
          <w:tcPr>
            <w:tcW w:w="131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1982</w:t>
            </w:r>
          </w:p>
        </w:tc>
        <w:tc>
          <w:tcPr>
            <w:tcW w:w="133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123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17</w:t>
            </w:r>
          </w:p>
        </w:tc>
        <w:tc>
          <w:tcPr>
            <w:tcW w:w="1641"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165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100</w:t>
            </w:r>
          </w:p>
        </w:tc>
      </w:tr>
      <w:tr w:rsidR="00662946">
        <w:trPr>
          <w:trHeight w:val="255"/>
          <w:jc w:val="center"/>
        </w:trPr>
        <w:tc>
          <w:tcPr>
            <w:tcW w:w="131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1987</w:t>
            </w:r>
          </w:p>
        </w:tc>
        <w:tc>
          <w:tcPr>
            <w:tcW w:w="133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123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17</w:t>
            </w:r>
          </w:p>
        </w:tc>
        <w:tc>
          <w:tcPr>
            <w:tcW w:w="1641"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165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100</w:t>
            </w:r>
          </w:p>
        </w:tc>
      </w:tr>
      <w:tr w:rsidR="00662946">
        <w:trPr>
          <w:trHeight w:val="255"/>
          <w:jc w:val="center"/>
        </w:trPr>
        <w:tc>
          <w:tcPr>
            <w:tcW w:w="131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1992</w:t>
            </w:r>
          </w:p>
        </w:tc>
        <w:tc>
          <w:tcPr>
            <w:tcW w:w="133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123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17</w:t>
            </w:r>
          </w:p>
        </w:tc>
        <w:tc>
          <w:tcPr>
            <w:tcW w:w="1641"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165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100</w:t>
            </w:r>
          </w:p>
        </w:tc>
      </w:tr>
      <w:tr w:rsidR="00662946">
        <w:trPr>
          <w:trHeight w:val="255"/>
          <w:jc w:val="center"/>
        </w:trPr>
        <w:tc>
          <w:tcPr>
            <w:tcW w:w="131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1997</w:t>
            </w:r>
          </w:p>
        </w:tc>
        <w:tc>
          <w:tcPr>
            <w:tcW w:w="133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2</w:t>
            </w:r>
          </w:p>
        </w:tc>
        <w:tc>
          <w:tcPr>
            <w:tcW w:w="123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15</w:t>
            </w:r>
          </w:p>
        </w:tc>
        <w:tc>
          <w:tcPr>
            <w:tcW w:w="1641"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12</w:t>
            </w:r>
          </w:p>
        </w:tc>
        <w:tc>
          <w:tcPr>
            <w:tcW w:w="165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88</w:t>
            </w:r>
          </w:p>
        </w:tc>
      </w:tr>
      <w:tr w:rsidR="00662946">
        <w:trPr>
          <w:trHeight w:val="255"/>
          <w:jc w:val="center"/>
        </w:trPr>
        <w:tc>
          <w:tcPr>
            <w:tcW w:w="131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2001</w:t>
            </w:r>
          </w:p>
        </w:tc>
        <w:tc>
          <w:tcPr>
            <w:tcW w:w="133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2</w:t>
            </w:r>
          </w:p>
        </w:tc>
        <w:tc>
          <w:tcPr>
            <w:tcW w:w="123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15</w:t>
            </w:r>
          </w:p>
        </w:tc>
        <w:tc>
          <w:tcPr>
            <w:tcW w:w="1641"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12</w:t>
            </w:r>
          </w:p>
        </w:tc>
        <w:tc>
          <w:tcPr>
            <w:tcW w:w="165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88</w:t>
            </w:r>
          </w:p>
        </w:tc>
      </w:tr>
      <w:tr w:rsidR="00662946">
        <w:trPr>
          <w:trHeight w:val="255"/>
          <w:jc w:val="center"/>
        </w:trPr>
        <w:tc>
          <w:tcPr>
            <w:tcW w:w="7187" w:type="dxa"/>
            <w:gridSpan w:val="5"/>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المصدر: إدارة الإحصاء في حكومة سانت لوسيا.</w:t>
            </w:r>
          </w:p>
        </w:tc>
      </w:tr>
    </w:tbl>
    <w:p w:rsidR="00662946" w:rsidRDefault="00662946">
      <w:pPr>
        <w:pStyle w:val="SingleTxt"/>
        <w:jc w:val="both"/>
        <w:rPr>
          <w:rFonts w:hint="cs"/>
          <w:rtl/>
          <w:lang w:bidi="ar-EG"/>
        </w:rPr>
      </w:pPr>
    </w:p>
    <w:p w:rsidR="00662946" w:rsidRDefault="00662946">
      <w:pPr>
        <w:pStyle w:val="SingleTxt"/>
        <w:jc w:val="both"/>
        <w:rPr>
          <w:rFonts w:hint="cs"/>
          <w:rtl/>
          <w:lang w:bidi="ar-EG"/>
        </w:rPr>
      </w:pPr>
      <w:r>
        <w:rPr>
          <w:rFonts w:hint="cs"/>
          <w:rtl/>
          <w:lang w:bidi="ar-EG"/>
        </w:rPr>
        <w:tab/>
        <w:t xml:space="preserve">خلال الفترة الأحدث طرأ تحسن طفيف على الحالة مع انتخاب سيدتين لتولي مناصب، وكانت إحداهما أصغر عضوة في البرلمان في تاريخ البلاد. ويوجد في المجلس الأدنى سبعة عشر مقعداً وفي المجلس الأعلى أو مجلس الشيوخ أحد عشر مقعداً. وكان تمثيل المرأة في مجلس الشيوخ ومجلس النواب ضئيلاً للغاية طوال الفترة المشمولة بالتقرير. وجميع أعضاء مجلس الشيوخ أعضاء معينون في مجلس النواب. وكان رئيس مجلس النواب رجلاً على الدوام. </w:t>
      </w:r>
    </w:p>
    <w:tbl>
      <w:tblPr>
        <w:bidiVisual/>
        <w:tblW w:w="10143" w:type="dxa"/>
        <w:jc w:val="center"/>
        <w:tblLook w:val="0000" w:firstRow="0" w:lastRow="0" w:firstColumn="0" w:lastColumn="0" w:noHBand="0" w:noVBand="0"/>
      </w:tblPr>
      <w:tblGrid>
        <w:gridCol w:w="2990"/>
        <w:gridCol w:w="726"/>
        <w:gridCol w:w="914"/>
        <w:gridCol w:w="821"/>
        <w:gridCol w:w="726"/>
        <w:gridCol w:w="799"/>
        <w:gridCol w:w="821"/>
        <w:gridCol w:w="726"/>
        <w:gridCol w:w="799"/>
        <w:gridCol w:w="821"/>
      </w:tblGrid>
      <w:tr w:rsidR="00662946">
        <w:trPr>
          <w:trHeight w:val="255"/>
          <w:jc w:val="center"/>
        </w:trPr>
        <w:tc>
          <w:tcPr>
            <w:tcW w:w="10143" w:type="dxa"/>
            <w:gridSpan w:val="10"/>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b/>
                <w:bCs/>
                <w:sz w:val="30"/>
                <w:rtl/>
                <w:lang w:bidi="ar-EG"/>
              </w:rPr>
            </w:pPr>
            <w:r>
              <w:rPr>
                <w:rFonts w:hint="cs"/>
                <w:b/>
                <w:bCs/>
                <w:sz w:val="30"/>
                <w:rtl/>
                <w:lang w:bidi="ar-EG"/>
              </w:rPr>
              <w:t xml:space="preserve">الجدول 7-2: توزيع أعضاء الجمعية البرلمانية حسب المنصب </w:t>
            </w:r>
            <w:r>
              <w:rPr>
                <w:b/>
                <w:bCs/>
                <w:sz w:val="30"/>
                <w:rtl/>
                <w:lang w:bidi="ar-EG"/>
              </w:rPr>
              <w:t>–</w:t>
            </w:r>
            <w:r>
              <w:rPr>
                <w:rFonts w:hint="cs"/>
                <w:b/>
                <w:bCs/>
                <w:sz w:val="30"/>
                <w:rtl/>
                <w:lang w:bidi="ar-EG"/>
              </w:rPr>
              <w:t xml:space="preserve"> 1980 و1993 و2001</w:t>
            </w:r>
          </w:p>
        </w:tc>
      </w:tr>
      <w:tr w:rsidR="00662946">
        <w:trPr>
          <w:cantSplit/>
          <w:trHeight w:val="255"/>
          <w:jc w:val="center"/>
        </w:trPr>
        <w:tc>
          <w:tcPr>
            <w:tcW w:w="2990" w:type="dxa"/>
            <w:vMerge w:val="restart"/>
            <w:tcBorders>
              <w:top w:val="nil"/>
              <w:left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المنصب</w:t>
            </w:r>
          </w:p>
        </w:tc>
        <w:tc>
          <w:tcPr>
            <w:tcW w:w="2461" w:type="dxa"/>
            <w:gridSpan w:val="3"/>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b/>
                <w:bCs/>
                <w:sz w:val="30"/>
              </w:rPr>
            </w:pPr>
            <w:r>
              <w:rPr>
                <w:b/>
                <w:bCs/>
                <w:sz w:val="30"/>
                <w:rtl/>
              </w:rPr>
              <w:t>1980</w:t>
            </w:r>
          </w:p>
        </w:tc>
        <w:tc>
          <w:tcPr>
            <w:tcW w:w="2346" w:type="dxa"/>
            <w:gridSpan w:val="3"/>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b/>
                <w:bCs/>
                <w:sz w:val="30"/>
              </w:rPr>
            </w:pPr>
            <w:r>
              <w:rPr>
                <w:b/>
                <w:bCs/>
                <w:sz w:val="30"/>
                <w:rtl/>
              </w:rPr>
              <w:t>1993</w:t>
            </w:r>
          </w:p>
        </w:tc>
        <w:tc>
          <w:tcPr>
            <w:tcW w:w="2346" w:type="dxa"/>
            <w:gridSpan w:val="3"/>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b/>
                <w:bCs/>
                <w:sz w:val="30"/>
              </w:rPr>
            </w:pPr>
            <w:r>
              <w:rPr>
                <w:b/>
                <w:bCs/>
                <w:sz w:val="30"/>
                <w:rtl/>
              </w:rPr>
              <w:t>2001</w:t>
            </w:r>
          </w:p>
        </w:tc>
      </w:tr>
      <w:tr w:rsidR="00662946">
        <w:trPr>
          <w:cantSplit/>
          <w:trHeight w:val="255"/>
          <w:jc w:val="center"/>
        </w:trPr>
        <w:tc>
          <w:tcPr>
            <w:tcW w:w="2990" w:type="dxa"/>
            <w:vMerge/>
            <w:tcBorders>
              <w:left w:val="single" w:sz="4" w:space="0" w:color="auto"/>
              <w:bottom w:val="single" w:sz="4" w:space="0" w:color="auto"/>
              <w:right w:val="single" w:sz="4" w:space="0" w:color="auto"/>
            </w:tcBorders>
            <w:noWrap/>
            <w:vAlign w:val="bottom"/>
          </w:tcPr>
          <w:p w:rsidR="00662946" w:rsidRDefault="00662946">
            <w:pPr>
              <w:spacing w:after="120"/>
              <w:jc w:val="both"/>
              <w:rPr>
                <w:b/>
                <w:bCs/>
                <w:sz w:val="30"/>
              </w:rPr>
            </w:pP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النساء</w:t>
            </w:r>
          </w:p>
        </w:tc>
        <w:tc>
          <w:tcPr>
            <w:tcW w:w="914"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الرجال</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المجموع</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النساء</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الرجال</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المجموع</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النساء</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الرجال</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المجموع</w:t>
            </w:r>
          </w:p>
        </w:tc>
      </w:tr>
      <w:tr w:rsidR="00662946">
        <w:trPr>
          <w:trHeight w:val="255"/>
          <w:jc w:val="center"/>
        </w:trPr>
        <w:tc>
          <w:tcPr>
            <w:tcW w:w="2990" w:type="dxa"/>
            <w:tcBorders>
              <w:top w:val="nil"/>
              <w:left w:val="single" w:sz="4" w:space="0" w:color="auto"/>
              <w:bottom w:val="single" w:sz="4" w:space="0" w:color="auto"/>
              <w:right w:val="single" w:sz="4" w:space="0" w:color="auto"/>
            </w:tcBorders>
            <w:vAlign w:val="center"/>
          </w:tcPr>
          <w:p w:rsidR="00662946" w:rsidRDefault="00662946">
            <w:pPr>
              <w:spacing w:after="120"/>
              <w:jc w:val="both"/>
              <w:rPr>
                <w:rFonts w:hint="cs"/>
                <w:b/>
                <w:bCs/>
                <w:sz w:val="30"/>
              </w:rPr>
            </w:pPr>
            <w:r>
              <w:rPr>
                <w:rFonts w:hint="cs"/>
                <w:b/>
                <w:bCs/>
                <w:sz w:val="30"/>
                <w:rtl/>
              </w:rPr>
              <w:t>مجلس النواب (المجلس الأدنى)</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صفر</w:t>
            </w:r>
          </w:p>
        </w:tc>
        <w:tc>
          <w:tcPr>
            <w:tcW w:w="91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17</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17</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17</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17</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2</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15</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17</w:t>
            </w:r>
          </w:p>
        </w:tc>
      </w:tr>
      <w:tr w:rsidR="00662946">
        <w:trPr>
          <w:trHeight w:val="255"/>
          <w:jc w:val="center"/>
        </w:trPr>
        <w:tc>
          <w:tcPr>
            <w:tcW w:w="299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الحكومة</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91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12</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12</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11</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11</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2</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12</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14</w:t>
            </w:r>
          </w:p>
        </w:tc>
      </w:tr>
      <w:tr w:rsidR="00662946">
        <w:trPr>
          <w:trHeight w:val="255"/>
          <w:jc w:val="center"/>
        </w:trPr>
        <w:tc>
          <w:tcPr>
            <w:tcW w:w="299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المعارضة/المستقلون</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91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5</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5</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3</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3</w:t>
            </w:r>
          </w:p>
        </w:tc>
      </w:tr>
      <w:tr w:rsidR="00662946">
        <w:trPr>
          <w:trHeight w:val="255"/>
          <w:jc w:val="center"/>
        </w:trPr>
        <w:tc>
          <w:tcPr>
            <w:tcW w:w="2990" w:type="dxa"/>
            <w:tcBorders>
              <w:top w:val="nil"/>
              <w:left w:val="single" w:sz="4" w:space="0" w:color="auto"/>
              <w:bottom w:val="single" w:sz="4" w:space="0" w:color="auto"/>
              <w:right w:val="single" w:sz="4" w:space="0" w:color="auto"/>
            </w:tcBorders>
            <w:vAlign w:val="center"/>
          </w:tcPr>
          <w:p w:rsidR="00662946" w:rsidRDefault="00662946">
            <w:pPr>
              <w:spacing w:after="120"/>
              <w:jc w:val="both"/>
              <w:rPr>
                <w:b/>
                <w:bCs/>
                <w:sz w:val="30"/>
              </w:rPr>
            </w:pPr>
            <w:r>
              <w:rPr>
                <w:rFonts w:hint="cs"/>
                <w:b/>
                <w:bCs/>
                <w:sz w:val="30"/>
                <w:rtl/>
              </w:rPr>
              <w:t>مجلس الشيوخ (المجلس الأدنى)</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2</w:t>
            </w:r>
          </w:p>
        </w:tc>
        <w:tc>
          <w:tcPr>
            <w:tcW w:w="91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9</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11</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4</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7</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11</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4</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7</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11</w:t>
            </w:r>
          </w:p>
        </w:tc>
      </w:tr>
      <w:tr w:rsidR="00662946">
        <w:trPr>
          <w:trHeight w:val="255"/>
          <w:jc w:val="center"/>
        </w:trPr>
        <w:tc>
          <w:tcPr>
            <w:tcW w:w="299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 xml:space="preserve">الحكومة </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91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2</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4</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w:t>
            </w:r>
          </w:p>
        </w:tc>
      </w:tr>
      <w:tr w:rsidR="00662946">
        <w:trPr>
          <w:trHeight w:val="255"/>
          <w:jc w:val="center"/>
        </w:trPr>
        <w:tc>
          <w:tcPr>
            <w:tcW w:w="299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المعارضة</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91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2</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3</w:t>
            </w:r>
          </w:p>
        </w:tc>
      </w:tr>
      <w:tr w:rsidR="00662946">
        <w:trPr>
          <w:trHeight w:val="255"/>
          <w:jc w:val="center"/>
        </w:trPr>
        <w:tc>
          <w:tcPr>
            <w:tcW w:w="299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المستقلون</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914"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Pr>
              <w:t>…</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2</w:t>
            </w:r>
          </w:p>
        </w:tc>
      </w:tr>
      <w:tr w:rsidR="00662946">
        <w:trPr>
          <w:trHeight w:val="255"/>
          <w:jc w:val="center"/>
        </w:trPr>
        <w:tc>
          <w:tcPr>
            <w:tcW w:w="299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b/>
                <w:sz w:val="30"/>
              </w:rPr>
            </w:pPr>
            <w:r>
              <w:rPr>
                <w:rFonts w:hint="cs"/>
                <w:b/>
                <w:sz w:val="30"/>
                <w:rtl/>
              </w:rPr>
              <w:t>المجموع</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2</w:t>
            </w:r>
          </w:p>
        </w:tc>
        <w:tc>
          <w:tcPr>
            <w:tcW w:w="914"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26</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28</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4</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24</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28</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6</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22</w:t>
            </w:r>
          </w:p>
        </w:tc>
        <w:tc>
          <w:tcPr>
            <w:tcW w:w="821"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28</w:t>
            </w:r>
          </w:p>
        </w:tc>
      </w:tr>
      <w:tr w:rsidR="00662946">
        <w:trPr>
          <w:trHeight w:val="255"/>
          <w:jc w:val="center"/>
        </w:trPr>
        <w:tc>
          <w:tcPr>
            <w:tcW w:w="10143" w:type="dxa"/>
            <w:gridSpan w:val="10"/>
            <w:tcBorders>
              <w:top w:val="single" w:sz="4" w:space="0" w:color="auto"/>
              <w:left w:val="single" w:sz="4" w:space="0" w:color="auto"/>
              <w:bottom w:val="single" w:sz="4" w:space="0" w:color="auto"/>
              <w:right w:val="single" w:sz="4" w:space="0" w:color="000000"/>
            </w:tcBorders>
            <w:noWrap/>
            <w:vAlign w:val="bottom"/>
          </w:tcPr>
          <w:p w:rsidR="00662946" w:rsidRDefault="00662946">
            <w:pPr>
              <w:spacing w:after="120"/>
              <w:jc w:val="both"/>
              <w:rPr>
                <w:rFonts w:hint="cs"/>
                <w:sz w:val="30"/>
              </w:rPr>
            </w:pPr>
            <w:r>
              <w:rPr>
                <w:rFonts w:hint="cs"/>
                <w:sz w:val="30"/>
                <w:rtl/>
              </w:rPr>
              <w:t>المصدر: التقرير الوطني عن حالة المرأة.</w:t>
            </w:r>
          </w:p>
        </w:tc>
      </w:tr>
    </w:tbl>
    <w:p w:rsidR="00662946" w:rsidRDefault="00662946">
      <w:pPr>
        <w:pStyle w:val="SingleTxt"/>
        <w:jc w:val="both"/>
        <w:rPr>
          <w:rFonts w:hint="cs"/>
        </w:rPr>
      </w:pPr>
    </w:p>
    <w:p w:rsidR="00662946" w:rsidRDefault="00662946">
      <w:pPr>
        <w:pStyle w:val="SingleTxt"/>
        <w:jc w:val="both"/>
        <w:rPr>
          <w:rFonts w:hint="cs"/>
          <w:b/>
          <w:bCs/>
          <w:rtl/>
          <w:lang w:bidi="ar-EG"/>
        </w:rPr>
      </w:pPr>
      <w:r>
        <w:rPr>
          <w:rFonts w:hint="cs"/>
          <w:b/>
          <w:bCs/>
          <w:rtl/>
          <w:lang w:bidi="ar-EG"/>
        </w:rPr>
        <w:t>المرأة في الحياة العامة</w:t>
      </w:r>
    </w:p>
    <w:p w:rsidR="00662946" w:rsidRDefault="00662946">
      <w:pPr>
        <w:pStyle w:val="SingleTxt"/>
        <w:jc w:val="both"/>
        <w:rPr>
          <w:rFonts w:hint="cs"/>
          <w:rtl/>
          <w:lang w:bidi="ar-EG"/>
        </w:rPr>
      </w:pPr>
      <w:r>
        <w:rPr>
          <w:rFonts w:hint="cs"/>
          <w:rtl/>
          <w:lang w:bidi="ar-EG"/>
        </w:rPr>
        <w:t>7-8</w:t>
      </w:r>
      <w:r>
        <w:rPr>
          <w:rFonts w:hint="cs"/>
          <w:rtl/>
          <w:lang w:bidi="ar-EG"/>
        </w:rPr>
        <w:tab/>
        <w:t>في سنة 1997 حققت سانت لوسيا إنجازاً كبيراً بتعيين أول سيدة في منصب الحاكم العام (رئيس الدولة) وتعيين مفوض برلماني أو أمين مظالم. وأعتبر هذان التعيينان معلمين في غاية الأهمية في قضية المساواة بين الجنسين لأن تعيين نساء في هذين المنصبين الرفيعين ليس إنجازاً للسيدتين المعنيتين فحسب بل أكثر من ذلك باعتبارهما فرصتين لتعزيز حقوق المرأة من جانب سيدتين في منصبين استراتيجيين.</w:t>
      </w:r>
    </w:p>
    <w:p w:rsidR="00662946" w:rsidRDefault="00662946">
      <w:pPr>
        <w:pStyle w:val="SingleTxt"/>
        <w:jc w:val="both"/>
      </w:pPr>
      <w:r>
        <w:rPr>
          <w:rFonts w:hint="cs"/>
          <w:rtl/>
          <w:lang w:bidi="ar-EG"/>
        </w:rPr>
        <w:t>7-9</w:t>
      </w:r>
      <w:r>
        <w:rPr>
          <w:rFonts w:hint="cs"/>
          <w:rtl/>
          <w:lang w:bidi="ar-EG"/>
        </w:rPr>
        <w:tab/>
        <w:t>مناصب الإدارة العليا في الخدمة الحكومية أو العامة هي برتبة تسعة عشرة إلى إحدى وعشرين. وفي سنة 1995 وحتى سنة 1999 لم تكن هناك أي امرأة تشغل الوظيفة برتبة 21. وهذا على الرغم من أن النساء يشغلن معظم الرتب الأخرى العادية والإدارية في الخدمة، وأن أغلبية النساء يمثلن أغلبية الأشخاص في الخدمة العامة. وقد ازداد شغل النساء للوظائف التي بالرتبة العشرين من 7 في المائة في سنة 1995 إلى 26 في المائة في سنة 1999. وبحلول نهاية سنة 1999 كانت النساء تمثلن أربع أمينات دائمات من بين 11 شخصاً موظفاً في الخدمة العامة في هذه المناصب.</w:t>
      </w:r>
    </w:p>
    <w:p w:rsidR="00662946" w:rsidRDefault="00662946">
      <w:pPr>
        <w:pStyle w:val="SingleTxt"/>
        <w:jc w:val="both"/>
        <w:rPr>
          <w:rFonts w:hint="cs"/>
          <w:rtl/>
          <w:lang w:bidi="ar-EG"/>
        </w:rPr>
      </w:pPr>
      <w:r>
        <w:rPr>
          <w:rFonts w:hint="cs"/>
          <w:rtl/>
          <w:lang w:bidi="ar-EG"/>
        </w:rPr>
        <w:t>7-10</w:t>
      </w:r>
      <w:r>
        <w:rPr>
          <w:rFonts w:hint="cs"/>
          <w:rtl/>
          <w:lang w:bidi="ar-EG"/>
        </w:rPr>
        <w:tab/>
        <w:t>حدث انخفاض في نسبة الإناث الموظفات في الدرجة 19 من 30 في المائة في سنة 1995 إلى 25 في المائة في سنة 1999 وعلاوة على ذلك كانت النساء يمثلن نحو 40 في المائة من العاملين على مستوى الإدارة المتوسطة في الخدمة العامة. وعلى الدرجات من 17 إلى 20 كان متوسط نسبة الرجال إلى النساء في سنة 1999 اثنين إلى واحد. وعلى الدرجة 16 كان يوجد ثلاثة وأربعين رجلاً وخمسة وأربعون امرأة. ومن الجدير بالملاحظة أن النساء حصلن على نسبة تصل إلى 81 في المائة من وظائف الدرجة 15 في سنة 1999.</w:t>
      </w:r>
    </w:p>
    <w:p w:rsidR="00662946" w:rsidRDefault="00662946">
      <w:pPr>
        <w:pStyle w:val="SingleTxt"/>
        <w:jc w:val="both"/>
        <w:rPr>
          <w:rFonts w:hint="cs"/>
          <w:rtl/>
          <w:lang w:bidi="ar-EG"/>
        </w:rPr>
      </w:pPr>
      <w:r>
        <w:rPr>
          <w:rFonts w:hint="cs"/>
          <w:rtl/>
          <w:lang w:bidi="ar-EG"/>
        </w:rPr>
        <w:t>7-11</w:t>
      </w:r>
      <w:r>
        <w:rPr>
          <w:rFonts w:hint="cs"/>
          <w:rtl/>
          <w:lang w:bidi="ar-EG"/>
        </w:rPr>
        <w:tab/>
        <w:t>يبين الجدول الوارد أدناه عدد الرجال والنساء الذين كانوا يشغلون مناصب رئيسية في مجال النظام العام والسلامة. وفي حين حدث تحسن طفيف في تمثيل النساء في هذه المهن (من 38 في المائة في سنة 1980 إلى 54 في المائة في سنة 1993)، فإنه بحلول سنة 2001 انخفضت نسبة النساء اللائي كن يشغلن مناصب القضاة والموظفين القضائيين والمسجلين إلخ إلى 29 في المائة. ويكشف النظر في تكوين المناصب الأخرى في النظام القضائي أيضاً عن سيادة أكبر للرجال. ومع ذلك حدث أكبر إنجاز للمرأة بين المحامين. فقد ازدادت نسبة النساء في هذه المهنة من 9 في المائة في سنة 1980 إلى 42 في المائة في سنة 1997.</w:t>
      </w:r>
    </w:p>
    <w:tbl>
      <w:tblPr>
        <w:bidiVisual/>
        <w:tblW w:w="8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0"/>
        <w:gridCol w:w="679"/>
        <w:gridCol w:w="764"/>
        <w:gridCol w:w="798"/>
        <w:gridCol w:w="679"/>
        <w:gridCol w:w="764"/>
        <w:gridCol w:w="798"/>
        <w:gridCol w:w="679"/>
        <w:gridCol w:w="764"/>
        <w:gridCol w:w="798"/>
      </w:tblGrid>
      <w:tr w:rsidR="00662946">
        <w:trPr>
          <w:trHeight w:val="552"/>
          <w:jc w:val="center"/>
        </w:trPr>
        <w:tc>
          <w:tcPr>
            <w:tcW w:w="8783" w:type="dxa"/>
            <w:gridSpan w:val="10"/>
            <w:vAlign w:val="bottom"/>
          </w:tcPr>
          <w:p w:rsidR="00662946" w:rsidRDefault="00662946">
            <w:pPr>
              <w:spacing w:after="120"/>
              <w:jc w:val="center"/>
              <w:rPr>
                <w:rFonts w:hint="cs"/>
                <w:bCs/>
                <w:sz w:val="30"/>
              </w:rPr>
            </w:pPr>
            <w:r>
              <w:rPr>
                <w:rFonts w:hint="cs"/>
                <w:bCs/>
                <w:sz w:val="30"/>
                <w:rtl/>
              </w:rPr>
              <w:t xml:space="preserve">الجدول 7-3: الأشخاص الذين يشغلون وظائف في مهن مختارة في مجال النظام العام والسلامة موزعون حسب الفئة </w:t>
            </w:r>
            <w:r>
              <w:rPr>
                <w:bCs/>
                <w:sz w:val="30"/>
                <w:rtl/>
              </w:rPr>
              <w:t>–</w:t>
            </w:r>
            <w:r>
              <w:rPr>
                <w:rFonts w:hint="cs"/>
                <w:bCs/>
                <w:sz w:val="30"/>
                <w:rtl/>
              </w:rPr>
              <w:t xml:space="preserve"> 1980، 1993، 2001</w:t>
            </w:r>
          </w:p>
        </w:tc>
      </w:tr>
      <w:tr w:rsidR="00662946">
        <w:trPr>
          <w:cantSplit/>
          <w:trHeight w:val="255"/>
          <w:jc w:val="center"/>
        </w:trPr>
        <w:tc>
          <w:tcPr>
            <w:tcW w:w="2060" w:type="dxa"/>
            <w:vMerge w:val="restart"/>
            <w:vAlign w:val="bottom"/>
          </w:tcPr>
          <w:p w:rsidR="00662946" w:rsidRDefault="00662946">
            <w:pPr>
              <w:spacing w:after="120"/>
              <w:jc w:val="both"/>
              <w:rPr>
                <w:rFonts w:hint="cs"/>
                <w:b/>
                <w:bCs/>
                <w:sz w:val="30"/>
              </w:rPr>
            </w:pPr>
            <w:r>
              <w:rPr>
                <w:rFonts w:hint="cs"/>
                <w:b/>
                <w:bCs/>
                <w:sz w:val="30"/>
                <w:rtl/>
              </w:rPr>
              <w:t>الوظيفة</w:t>
            </w:r>
          </w:p>
        </w:tc>
        <w:tc>
          <w:tcPr>
            <w:tcW w:w="2241" w:type="dxa"/>
            <w:gridSpan w:val="3"/>
            <w:vAlign w:val="bottom"/>
          </w:tcPr>
          <w:p w:rsidR="00662946" w:rsidRDefault="00662946">
            <w:pPr>
              <w:spacing w:after="120"/>
              <w:jc w:val="center"/>
              <w:rPr>
                <w:b/>
                <w:bCs/>
                <w:sz w:val="30"/>
              </w:rPr>
            </w:pPr>
            <w:r>
              <w:rPr>
                <w:b/>
                <w:bCs/>
                <w:sz w:val="30"/>
                <w:rtl/>
              </w:rPr>
              <w:t>1980</w:t>
            </w:r>
          </w:p>
        </w:tc>
        <w:tc>
          <w:tcPr>
            <w:tcW w:w="2241" w:type="dxa"/>
            <w:gridSpan w:val="3"/>
            <w:vAlign w:val="bottom"/>
          </w:tcPr>
          <w:p w:rsidR="00662946" w:rsidRDefault="00662946">
            <w:pPr>
              <w:spacing w:after="120"/>
              <w:jc w:val="center"/>
              <w:rPr>
                <w:b/>
                <w:bCs/>
                <w:sz w:val="30"/>
              </w:rPr>
            </w:pPr>
            <w:r>
              <w:rPr>
                <w:b/>
                <w:bCs/>
                <w:sz w:val="30"/>
                <w:rtl/>
              </w:rPr>
              <w:t>1993</w:t>
            </w:r>
          </w:p>
        </w:tc>
        <w:tc>
          <w:tcPr>
            <w:tcW w:w="2241" w:type="dxa"/>
            <w:gridSpan w:val="3"/>
            <w:vAlign w:val="bottom"/>
          </w:tcPr>
          <w:p w:rsidR="00662946" w:rsidRDefault="00662946">
            <w:pPr>
              <w:spacing w:after="120"/>
              <w:jc w:val="center"/>
              <w:rPr>
                <w:b/>
                <w:bCs/>
                <w:sz w:val="30"/>
              </w:rPr>
            </w:pPr>
            <w:r>
              <w:rPr>
                <w:b/>
                <w:bCs/>
                <w:sz w:val="30"/>
                <w:rtl/>
              </w:rPr>
              <w:t>2001</w:t>
            </w:r>
          </w:p>
        </w:tc>
      </w:tr>
      <w:tr w:rsidR="00662946">
        <w:trPr>
          <w:cantSplit/>
          <w:trHeight w:val="255"/>
          <w:jc w:val="center"/>
        </w:trPr>
        <w:tc>
          <w:tcPr>
            <w:tcW w:w="2060" w:type="dxa"/>
            <w:vMerge/>
            <w:vAlign w:val="center"/>
          </w:tcPr>
          <w:p w:rsidR="00662946" w:rsidRDefault="00662946">
            <w:pPr>
              <w:spacing w:after="120"/>
              <w:jc w:val="both"/>
              <w:rPr>
                <w:b/>
                <w:bCs/>
                <w:sz w:val="30"/>
              </w:rPr>
            </w:pPr>
          </w:p>
        </w:tc>
        <w:tc>
          <w:tcPr>
            <w:tcW w:w="679" w:type="dxa"/>
            <w:vAlign w:val="bottom"/>
          </w:tcPr>
          <w:p w:rsidR="00662946" w:rsidRDefault="00662946">
            <w:pPr>
              <w:spacing w:after="120"/>
              <w:jc w:val="both"/>
              <w:rPr>
                <w:rFonts w:hint="cs"/>
                <w:sz w:val="30"/>
              </w:rPr>
            </w:pPr>
            <w:r>
              <w:rPr>
                <w:rFonts w:hint="cs"/>
                <w:sz w:val="30"/>
                <w:rtl/>
              </w:rPr>
              <w:t>النساء</w:t>
            </w:r>
          </w:p>
        </w:tc>
        <w:tc>
          <w:tcPr>
            <w:tcW w:w="764" w:type="dxa"/>
            <w:vAlign w:val="bottom"/>
          </w:tcPr>
          <w:p w:rsidR="00662946" w:rsidRDefault="00662946">
            <w:pPr>
              <w:spacing w:after="120"/>
              <w:jc w:val="both"/>
              <w:rPr>
                <w:rFonts w:hint="cs"/>
                <w:sz w:val="30"/>
              </w:rPr>
            </w:pPr>
            <w:r>
              <w:rPr>
                <w:rFonts w:hint="cs"/>
                <w:sz w:val="30"/>
                <w:rtl/>
              </w:rPr>
              <w:t>الرجال</w:t>
            </w:r>
          </w:p>
        </w:tc>
        <w:tc>
          <w:tcPr>
            <w:tcW w:w="798" w:type="dxa"/>
            <w:vAlign w:val="bottom"/>
          </w:tcPr>
          <w:p w:rsidR="00662946" w:rsidRDefault="00662946">
            <w:pPr>
              <w:spacing w:after="120"/>
              <w:jc w:val="both"/>
              <w:rPr>
                <w:rFonts w:hint="cs"/>
                <w:sz w:val="30"/>
              </w:rPr>
            </w:pPr>
            <w:r>
              <w:rPr>
                <w:rFonts w:hint="cs"/>
                <w:sz w:val="30"/>
                <w:rtl/>
              </w:rPr>
              <w:t>المجموع</w:t>
            </w:r>
          </w:p>
        </w:tc>
        <w:tc>
          <w:tcPr>
            <w:tcW w:w="679" w:type="dxa"/>
            <w:vAlign w:val="bottom"/>
          </w:tcPr>
          <w:p w:rsidR="00662946" w:rsidRDefault="00662946">
            <w:pPr>
              <w:spacing w:after="120"/>
              <w:jc w:val="both"/>
              <w:rPr>
                <w:rFonts w:hint="cs"/>
                <w:sz w:val="30"/>
              </w:rPr>
            </w:pPr>
            <w:r>
              <w:rPr>
                <w:rFonts w:hint="cs"/>
                <w:sz w:val="30"/>
                <w:rtl/>
              </w:rPr>
              <w:t>النساء</w:t>
            </w:r>
          </w:p>
        </w:tc>
        <w:tc>
          <w:tcPr>
            <w:tcW w:w="764" w:type="dxa"/>
            <w:vAlign w:val="bottom"/>
          </w:tcPr>
          <w:p w:rsidR="00662946" w:rsidRDefault="00662946">
            <w:pPr>
              <w:spacing w:after="120"/>
              <w:jc w:val="both"/>
              <w:rPr>
                <w:rFonts w:hint="cs"/>
                <w:sz w:val="30"/>
              </w:rPr>
            </w:pPr>
            <w:r>
              <w:rPr>
                <w:rFonts w:hint="cs"/>
                <w:sz w:val="30"/>
                <w:rtl/>
              </w:rPr>
              <w:t>الرجال</w:t>
            </w:r>
          </w:p>
        </w:tc>
        <w:tc>
          <w:tcPr>
            <w:tcW w:w="798" w:type="dxa"/>
            <w:vAlign w:val="bottom"/>
          </w:tcPr>
          <w:p w:rsidR="00662946" w:rsidRDefault="00662946">
            <w:pPr>
              <w:spacing w:after="120"/>
              <w:jc w:val="both"/>
              <w:rPr>
                <w:rFonts w:hint="cs"/>
                <w:sz w:val="30"/>
              </w:rPr>
            </w:pPr>
            <w:r>
              <w:rPr>
                <w:rFonts w:hint="cs"/>
                <w:sz w:val="30"/>
                <w:rtl/>
              </w:rPr>
              <w:t>المجموع</w:t>
            </w:r>
          </w:p>
        </w:tc>
        <w:tc>
          <w:tcPr>
            <w:tcW w:w="679" w:type="dxa"/>
            <w:vAlign w:val="bottom"/>
          </w:tcPr>
          <w:p w:rsidR="00662946" w:rsidRDefault="00662946">
            <w:pPr>
              <w:spacing w:after="120"/>
              <w:jc w:val="both"/>
              <w:rPr>
                <w:rFonts w:hint="cs"/>
                <w:sz w:val="30"/>
              </w:rPr>
            </w:pPr>
            <w:r>
              <w:rPr>
                <w:rFonts w:hint="cs"/>
                <w:sz w:val="30"/>
                <w:rtl/>
              </w:rPr>
              <w:t>النساء</w:t>
            </w:r>
          </w:p>
        </w:tc>
        <w:tc>
          <w:tcPr>
            <w:tcW w:w="764" w:type="dxa"/>
            <w:vAlign w:val="bottom"/>
          </w:tcPr>
          <w:p w:rsidR="00662946" w:rsidRDefault="00662946">
            <w:pPr>
              <w:spacing w:after="120"/>
              <w:jc w:val="both"/>
              <w:rPr>
                <w:rFonts w:hint="cs"/>
                <w:sz w:val="30"/>
              </w:rPr>
            </w:pPr>
            <w:r>
              <w:rPr>
                <w:rFonts w:hint="cs"/>
                <w:sz w:val="30"/>
                <w:rtl/>
              </w:rPr>
              <w:t>الرجال</w:t>
            </w:r>
          </w:p>
        </w:tc>
        <w:tc>
          <w:tcPr>
            <w:tcW w:w="798" w:type="dxa"/>
            <w:vAlign w:val="bottom"/>
          </w:tcPr>
          <w:p w:rsidR="00662946" w:rsidRDefault="00662946">
            <w:pPr>
              <w:spacing w:after="120"/>
              <w:jc w:val="both"/>
              <w:rPr>
                <w:rFonts w:hint="cs"/>
                <w:sz w:val="30"/>
              </w:rPr>
            </w:pPr>
            <w:r>
              <w:rPr>
                <w:rFonts w:hint="cs"/>
                <w:sz w:val="30"/>
                <w:rtl/>
              </w:rPr>
              <w:t>المجموع</w:t>
            </w:r>
          </w:p>
        </w:tc>
      </w:tr>
      <w:tr w:rsidR="00662946">
        <w:trPr>
          <w:trHeight w:val="255"/>
          <w:jc w:val="center"/>
        </w:trPr>
        <w:tc>
          <w:tcPr>
            <w:tcW w:w="2060" w:type="dxa"/>
            <w:noWrap/>
            <w:vAlign w:val="bottom"/>
          </w:tcPr>
          <w:p w:rsidR="00662946" w:rsidRDefault="00662946">
            <w:pPr>
              <w:spacing w:after="120"/>
              <w:jc w:val="both"/>
              <w:rPr>
                <w:rFonts w:hint="cs"/>
                <w:b/>
                <w:bCs/>
                <w:sz w:val="30"/>
              </w:rPr>
            </w:pPr>
            <w:r>
              <w:rPr>
                <w:rFonts w:hint="cs"/>
                <w:b/>
                <w:bCs/>
                <w:sz w:val="30"/>
                <w:rtl/>
              </w:rPr>
              <w:t>القضاة</w:t>
            </w:r>
          </w:p>
        </w:tc>
        <w:tc>
          <w:tcPr>
            <w:tcW w:w="679" w:type="dxa"/>
            <w:noWrap/>
            <w:vAlign w:val="bottom"/>
          </w:tcPr>
          <w:p w:rsidR="00662946" w:rsidRDefault="00662946">
            <w:pPr>
              <w:spacing w:after="120"/>
              <w:jc w:val="both"/>
              <w:rPr>
                <w:rFonts w:hint="cs"/>
                <w:sz w:val="30"/>
              </w:rPr>
            </w:pPr>
            <w:r>
              <w:rPr>
                <w:rFonts w:hint="cs"/>
                <w:sz w:val="30"/>
                <w:rtl/>
              </w:rPr>
              <w:t>صفر</w:t>
            </w:r>
          </w:p>
        </w:tc>
        <w:tc>
          <w:tcPr>
            <w:tcW w:w="764" w:type="dxa"/>
            <w:noWrap/>
            <w:vAlign w:val="bottom"/>
          </w:tcPr>
          <w:p w:rsidR="00662946" w:rsidRDefault="00662946">
            <w:pPr>
              <w:spacing w:after="120"/>
              <w:jc w:val="both"/>
              <w:rPr>
                <w:sz w:val="30"/>
              </w:rPr>
            </w:pPr>
            <w:r>
              <w:rPr>
                <w:sz w:val="30"/>
                <w:rtl/>
              </w:rPr>
              <w:t>4</w:t>
            </w:r>
          </w:p>
        </w:tc>
        <w:tc>
          <w:tcPr>
            <w:tcW w:w="798" w:type="dxa"/>
            <w:noWrap/>
            <w:vAlign w:val="bottom"/>
          </w:tcPr>
          <w:p w:rsidR="00662946" w:rsidRDefault="00662946">
            <w:pPr>
              <w:spacing w:after="120"/>
              <w:jc w:val="both"/>
              <w:rPr>
                <w:sz w:val="30"/>
              </w:rPr>
            </w:pPr>
            <w:r>
              <w:rPr>
                <w:sz w:val="30"/>
                <w:rtl/>
              </w:rPr>
              <w:t>4</w:t>
            </w:r>
          </w:p>
        </w:tc>
        <w:tc>
          <w:tcPr>
            <w:tcW w:w="679" w:type="dxa"/>
            <w:noWrap/>
            <w:vAlign w:val="bottom"/>
          </w:tcPr>
          <w:p w:rsidR="00662946" w:rsidRDefault="00662946">
            <w:pPr>
              <w:spacing w:after="120"/>
              <w:jc w:val="both"/>
              <w:rPr>
                <w:sz w:val="30"/>
              </w:rPr>
            </w:pPr>
            <w:r>
              <w:rPr>
                <w:sz w:val="30"/>
                <w:rtl/>
              </w:rPr>
              <w:t>1</w:t>
            </w:r>
          </w:p>
        </w:tc>
        <w:tc>
          <w:tcPr>
            <w:tcW w:w="764" w:type="dxa"/>
            <w:noWrap/>
            <w:vAlign w:val="bottom"/>
          </w:tcPr>
          <w:p w:rsidR="00662946" w:rsidRDefault="00662946">
            <w:pPr>
              <w:spacing w:after="120"/>
              <w:jc w:val="both"/>
              <w:rPr>
                <w:sz w:val="30"/>
              </w:rPr>
            </w:pPr>
            <w:r>
              <w:rPr>
                <w:sz w:val="30"/>
                <w:rtl/>
              </w:rPr>
              <w:t>4</w:t>
            </w:r>
          </w:p>
        </w:tc>
        <w:tc>
          <w:tcPr>
            <w:tcW w:w="798" w:type="dxa"/>
            <w:noWrap/>
            <w:vAlign w:val="bottom"/>
          </w:tcPr>
          <w:p w:rsidR="00662946" w:rsidRDefault="00662946">
            <w:pPr>
              <w:spacing w:after="120"/>
              <w:jc w:val="both"/>
              <w:rPr>
                <w:sz w:val="30"/>
              </w:rPr>
            </w:pPr>
            <w:r>
              <w:rPr>
                <w:sz w:val="30"/>
                <w:rtl/>
              </w:rPr>
              <w:t>5</w:t>
            </w:r>
          </w:p>
        </w:tc>
        <w:tc>
          <w:tcPr>
            <w:tcW w:w="679" w:type="dxa"/>
            <w:noWrap/>
            <w:vAlign w:val="bottom"/>
          </w:tcPr>
          <w:p w:rsidR="00662946" w:rsidRDefault="00662946">
            <w:pPr>
              <w:spacing w:after="120"/>
              <w:jc w:val="both"/>
              <w:rPr>
                <w:sz w:val="30"/>
              </w:rPr>
            </w:pPr>
            <w:r>
              <w:rPr>
                <w:sz w:val="30"/>
                <w:rtl/>
              </w:rPr>
              <w:t>1</w:t>
            </w:r>
          </w:p>
        </w:tc>
        <w:tc>
          <w:tcPr>
            <w:tcW w:w="764" w:type="dxa"/>
            <w:noWrap/>
            <w:vAlign w:val="bottom"/>
          </w:tcPr>
          <w:p w:rsidR="00662946" w:rsidRDefault="00662946">
            <w:pPr>
              <w:spacing w:after="120"/>
              <w:jc w:val="both"/>
              <w:rPr>
                <w:sz w:val="30"/>
              </w:rPr>
            </w:pPr>
            <w:r>
              <w:rPr>
                <w:sz w:val="30"/>
                <w:rtl/>
              </w:rPr>
              <w:t>4</w:t>
            </w:r>
          </w:p>
        </w:tc>
        <w:tc>
          <w:tcPr>
            <w:tcW w:w="798" w:type="dxa"/>
            <w:noWrap/>
            <w:vAlign w:val="bottom"/>
          </w:tcPr>
          <w:p w:rsidR="00662946" w:rsidRDefault="00662946">
            <w:pPr>
              <w:spacing w:after="120"/>
              <w:jc w:val="both"/>
              <w:rPr>
                <w:sz w:val="30"/>
              </w:rPr>
            </w:pPr>
            <w:r>
              <w:rPr>
                <w:sz w:val="30"/>
                <w:rtl/>
              </w:rPr>
              <w:t>5</w:t>
            </w:r>
          </w:p>
        </w:tc>
      </w:tr>
      <w:tr w:rsidR="00662946">
        <w:trPr>
          <w:trHeight w:val="255"/>
          <w:jc w:val="center"/>
        </w:trPr>
        <w:tc>
          <w:tcPr>
            <w:tcW w:w="2060" w:type="dxa"/>
            <w:noWrap/>
            <w:vAlign w:val="bottom"/>
          </w:tcPr>
          <w:p w:rsidR="00662946" w:rsidRDefault="00662946">
            <w:pPr>
              <w:spacing w:after="120"/>
              <w:jc w:val="both"/>
              <w:rPr>
                <w:rFonts w:hint="cs"/>
                <w:sz w:val="30"/>
              </w:rPr>
            </w:pPr>
            <w:r>
              <w:rPr>
                <w:rFonts w:hint="cs"/>
                <w:sz w:val="30"/>
                <w:rtl/>
              </w:rPr>
              <w:t>محكمة الاستئناف</w:t>
            </w:r>
          </w:p>
        </w:tc>
        <w:tc>
          <w:tcPr>
            <w:tcW w:w="679" w:type="dxa"/>
            <w:noWrap/>
            <w:vAlign w:val="bottom"/>
          </w:tcPr>
          <w:p w:rsidR="00662946" w:rsidRDefault="00662946">
            <w:pPr>
              <w:spacing w:after="120"/>
              <w:jc w:val="both"/>
              <w:rPr>
                <w:sz w:val="30"/>
              </w:rPr>
            </w:pPr>
            <w:r>
              <w:rPr>
                <w:rFonts w:hint="cs"/>
                <w:sz w:val="30"/>
                <w:rtl/>
              </w:rPr>
              <w:t>صفر</w:t>
            </w:r>
          </w:p>
        </w:tc>
        <w:tc>
          <w:tcPr>
            <w:tcW w:w="764" w:type="dxa"/>
            <w:noWrap/>
            <w:vAlign w:val="bottom"/>
          </w:tcPr>
          <w:p w:rsidR="00662946" w:rsidRDefault="00662946">
            <w:pPr>
              <w:spacing w:after="120"/>
              <w:jc w:val="both"/>
              <w:rPr>
                <w:sz w:val="30"/>
              </w:rPr>
            </w:pPr>
            <w:r>
              <w:rPr>
                <w:sz w:val="30"/>
                <w:rtl/>
              </w:rPr>
              <w:t>3</w:t>
            </w:r>
          </w:p>
        </w:tc>
        <w:tc>
          <w:tcPr>
            <w:tcW w:w="798" w:type="dxa"/>
            <w:noWrap/>
            <w:vAlign w:val="bottom"/>
          </w:tcPr>
          <w:p w:rsidR="00662946" w:rsidRDefault="00662946">
            <w:pPr>
              <w:spacing w:after="120"/>
              <w:jc w:val="both"/>
              <w:rPr>
                <w:sz w:val="30"/>
              </w:rPr>
            </w:pPr>
            <w:r>
              <w:rPr>
                <w:sz w:val="30"/>
                <w:rtl/>
              </w:rPr>
              <w:t>3</w:t>
            </w:r>
          </w:p>
        </w:tc>
        <w:tc>
          <w:tcPr>
            <w:tcW w:w="679" w:type="dxa"/>
            <w:noWrap/>
            <w:vAlign w:val="bottom"/>
          </w:tcPr>
          <w:p w:rsidR="00662946" w:rsidRDefault="00662946">
            <w:pPr>
              <w:spacing w:after="120"/>
              <w:jc w:val="both"/>
              <w:rPr>
                <w:sz w:val="30"/>
              </w:rPr>
            </w:pPr>
            <w:r>
              <w:rPr>
                <w:rFonts w:hint="cs"/>
                <w:sz w:val="30"/>
                <w:rtl/>
              </w:rPr>
              <w:t>صفر</w:t>
            </w:r>
          </w:p>
        </w:tc>
        <w:tc>
          <w:tcPr>
            <w:tcW w:w="764" w:type="dxa"/>
            <w:noWrap/>
            <w:vAlign w:val="bottom"/>
          </w:tcPr>
          <w:p w:rsidR="00662946" w:rsidRDefault="00662946">
            <w:pPr>
              <w:spacing w:after="120"/>
              <w:jc w:val="both"/>
              <w:rPr>
                <w:sz w:val="30"/>
              </w:rPr>
            </w:pPr>
            <w:r>
              <w:rPr>
                <w:sz w:val="30"/>
                <w:rtl/>
              </w:rPr>
              <w:t>3</w:t>
            </w:r>
          </w:p>
        </w:tc>
        <w:tc>
          <w:tcPr>
            <w:tcW w:w="798" w:type="dxa"/>
            <w:noWrap/>
            <w:vAlign w:val="bottom"/>
          </w:tcPr>
          <w:p w:rsidR="00662946" w:rsidRDefault="00662946">
            <w:pPr>
              <w:spacing w:after="120"/>
              <w:jc w:val="both"/>
              <w:rPr>
                <w:sz w:val="30"/>
              </w:rPr>
            </w:pPr>
            <w:r>
              <w:rPr>
                <w:sz w:val="30"/>
                <w:rtl/>
              </w:rPr>
              <w:t>3</w:t>
            </w:r>
          </w:p>
        </w:tc>
        <w:tc>
          <w:tcPr>
            <w:tcW w:w="679" w:type="dxa"/>
            <w:noWrap/>
            <w:vAlign w:val="bottom"/>
          </w:tcPr>
          <w:p w:rsidR="00662946" w:rsidRDefault="00662946">
            <w:pPr>
              <w:spacing w:after="120"/>
              <w:jc w:val="both"/>
              <w:rPr>
                <w:sz w:val="30"/>
              </w:rPr>
            </w:pPr>
            <w:r>
              <w:rPr>
                <w:rFonts w:hint="cs"/>
                <w:sz w:val="30"/>
                <w:rtl/>
              </w:rPr>
              <w:t>صفر</w:t>
            </w:r>
          </w:p>
        </w:tc>
        <w:tc>
          <w:tcPr>
            <w:tcW w:w="764" w:type="dxa"/>
            <w:noWrap/>
            <w:vAlign w:val="bottom"/>
          </w:tcPr>
          <w:p w:rsidR="00662946" w:rsidRDefault="00662946">
            <w:pPr>
              <w:spacing w:after="120"/>
              <w:jc w:val="both"/>
              <w:rPr>
                <w:sz w:val="30"/>
              </w:rPr>
            </w:pPr>
            <w:r>
              <w:rPr>
                <w:sz w:val="30"/>
                <w:rtl/>
              </w:rPr>
              <w:t>3</w:t>
            </w:r>
          </w:p>
        </w:tc>
        <w:tc>
          <w:tcPr>
            <w:tcW w:w="798" w:type="dxa"/>
            <w:noWrap/>
            <w:vAlign w:val="bottom"/>
          </w:tcPr>
          <w:p w:rsidR="00662946" w:rsidRDefault="00662946">
            <w:pPr>
              <w:spacing w:after="120"/>
              <w:jc w:val="both"/>
              <w:rPr>
                <w:sz w:val="30"/>
              </w:rPr>
            </w:pPr>
            <w:r>
              <w:rPr>
                <w:sz w:val="30"/>
                <w:rtl/>
              </w:rPr>
              <w:t>3</w:t>
            </w:r>
          </w:p>
        </w:tc>
      </w:tr>
      <w:tr w:rsidR="00662946">
        <w:trPr>
          <w:trHeight w:val="255"/>
          <w:jc w:val="center"/>
        </w:trPr>
        <w:tc>
          <w:tcPr>
            <w:tcW w:w="2060" w:type="dxa"/>
            <w:noWrap/>
            <w:vAlign w:val="bottom"/>
          </w:tcPr>
          <w:p w:rsidR="00662946" w:rsidRDefault="00662946">
            <w:pPr>
              <w:spacing w:after="120"/>
              <w:jc w:val="both"/>
              <w:rPr>
                <w:rFonts w:hint="cs"/>
                <w:sz w:val="30"/>
                <w:rtl/>
                <w:lang w:bidi="ar-EG"/>
              </w:rPr>
            </w:pPr>
            <w:r>
              <w:rPr>
                <w:rFonts w:hint="cs"/>
                <w:sz w:val="30"/>
                <w:rtl/>
                <w:lang w:bidi="ar-EG"/>
              </w:rPr>
              <w:t>المحكمة العليا</w:t>
            </w:r>
          </w:p>
        </w:tc>
        <w:tc>
          <w:tcPr>
            <w:tcW w:w="679" w:type="dxa"/>
            <w:noWrap/>
            <w:vAlign w:val="bottom"/>
          </w:tcPr>
          <w:p w:rsidR="00662946" w:rsidRDefault="00662946">
            <w:pPr>
              <w:spacing w:after="120"/>
              <w:jc w:val="both"/>
              <w:rPr>
                <w:sz w:val="30"/>
              </w:rPr>
            </w:pPr>
            <w:r>
              <w:rPr>
                <w:rFonts w:hint="cs"/>
                <w:sz w:val="30"/>
                <w:rtl/>
              </w:rPr>
              <w:t>صفر</w:t>
            </w:r>
          </w:p>
        </w:tc>
        <w:tc>
          <w:tcPr>
            <w:tcW w:w="764" w:type="dxa"/>
            <w:noWrap/>
            <w:vAlign w:val="bottom"/>
          </w:tcPr>
          <w:p w:rsidR="00662946" w:rsidRDefault="00662946">
            <w:pPr>
              <w:spacing w:after="120"/>
              <w:jc w:val="both"/>
              <w:rPr>
                <w:sz w:val="30"/>
              </w:rPr>
            </w:pPr>
            <w:r>
              <w:rPr>
                <w:sz w:val="30"/>
                <w:rtl/>
              </w:rPr>
              <w:t>1</w:t>
            </w:r>
          </w:p>
        </w:tc>
        <w:tc>
          <w:tcPr>
            <w:tcW w:w="798" w:type="dxa"/>
            <w:noWrap/>
            <w:vAlign w:val="bottom"/>
          </w:tcPr>
          <w:p w:rsidR="00662946" w:rsidRDefault="00662946">
            <w:pPr>
              <w:spacing w:after="120"/>
              <w:jc w:val="both"/>
              <w:rPr>
                <w:sz w:val="30"/>
              </w:rPr>
            </w:pPr>
            <w:r>
              <w:rPr>
                <w:sz w:val="30"/>
                <w:rtl/>
              </w:rPr>
              <w:t>1</w:t>
            </w:r>
          </w:p>
        </w:tc>
        <w:tc>
          <w:tcPr>
            <w:tcW w:w="679" w:type="dxa"/>
            <w:noWrap/>
            <w:vAlign w:val="bottom"/>
          </w:tcPr>
          <w:p w:rsidR="00662946" w:rsidRDefault="00662946">
            <w:pPr>
              <w:spacing w:after="120"/>
              <w:jc w:val="both"/>
              <w:rPr>
                <w:sz w:val="30"/>
              </w:rPr>
            </w:pPr>
            <w:r>
              <w:rPr>
                <w:sz w:val="30"/>
                <w:rtl/>
              </w:rPr>
              <w:t>1</w:t>
            </w:r>
          </w:p>
        </w:tc>
        <w:tc>
          <w:tcPr>
            <w:tcW w:w="764" w:type="dxa"/>
            <w:noWrap/>
            <w:vAlign w:val="bottom"/>
          </w:tcPr>
          <w:p w:rsidR="00662946" w:rsidRDefault="00662946">
            <w:pPr>
              <w:spacing w:after="120"/>
              <w:jc w:val="both"/>
              <w:rPr>
                <w:sz w:val="30"/>
              </w:rPr>
            </w:pPr>
            <w:r>
              <w:rPr>
                <w:sz w:val="30"/>
                <w:rtl/>
              </w:rPr>
              <w:t>1</w:t>
            </w:r>
          </w:p>
        </w:tc>
        <w:tc>
          <w:tcPr>
            <w:tcW w:w="798" w:type="dxa"/>
            <w:noWrap/>
            <w:vAlign w:val="bottom"/>
          </w:tcPr>
          <w:p w:rsidR="00662946" w:rsidRDefault="00662946">
            <w:pPr>
              <w:spacing w:after="120"/>
              <w:jc w:val="both"/>
              <w:rPr>
                <w:sz w:val="30"/>
              </w:rPr>
            </w:pPr>
            <w:r>
              <w:rPr>
                <w:sz w:val="30"/>
                <w:rtl/>
              </w:rPr>
              <w:t>2</w:t>
            </w:r>
          </w:p>
        </w:tc>
        <w:tc>
          <w:tcPr>
            <w:tcW w:w="679" w:type="dxa"/>
            <w:noWrap/>
            <w:vAlign w:val="bottom"/>
          </w:tcPr>
          <w:p w:rsidR="00662946" w:rsidRDefault="00662946">
            <w:pPr>
              <w:spacing w:after="120"/>
              <w:jc w:val="both"/>
              <w:rPr>
                <w:sz w:val="30"/>
              </w:rPr>
            </w:pPr>
            <w:r>
              <w:rPr>
                <w:sz w:val="30"/>
                <w:rtl/>
              </w:rPr>
              <w:t>1</w:t>
            </w:r>
          </w:p>
        </w:tc>
        <w:tc>
          <w:tcPr>
            <w:tcW w:w="764" w:type="dxa"/>
            <w:noWrap/>
            <w:vAlign w:val="bottom"/>
          </w:tcPr>
          <w:p w:rsidR="00662946" w:rsidRDefault="00662946">
            <w:pPr>
              <w:spacing w:after="120"/>
              <w:jc w:val="both"/>
              <w:rPr>
                <w:sz w:val="30"/>
              </w:rPr>
            </w:pPr>
            <w:r>
              <w:rPr>
                <w:sz w:val="30"/>
                <w:rtl/>
              </w:rPr>
              <w:t>1</w:t>
            </w:r>
          </w:p>
        </w:tc>
        <w:tc>
          <w:tcPr>
            <w:tcW w:w="798" w:type="dxa"/>
            <w:noWrap/>
            <w:vAlign w:val="bottom"/>
          </w:tcPr>
          <w:p w:rsidR="00662946" w:rsidRDefault="00662946">
            <w:pPr>
              <w:spacing w:after="120"/>
              <w:jc w:val="both"/>
              <w:rPr>
                <w:sz w:val="30"/>
              </w:rPr>
            </w:pPr>
            <w:r>
              <w:rPr>
                <w:sz w:val="30"/>
                <w:rtl/>
              </w:rPr>
              <w:t>2</w:t>
            </w:r>
          </w:p>
        </w:tc>
      </w:tr>
      <w:tr w:rsidR="00662946">
        <w:trPr>
          <w:trHeight w:val="255"/>
          <w:jc w:val="center"/>
        </w:trPr>
        <w:tc>
          <w:tcPr>
            <w:tcW w:w="2060" w:type="dxa"/>
            <w:noWrap/>
            <w:vAlign w:val="bottom"/>
          </w:tcPr>
          <w:p w:rsidR="00662946" w:rsidRDefault="00662946">
            <w:pPr>
              <w:spacing w:after="120"/>
              <w:jc w:val="both"/>
              <w:rPr>
                <w:rFonts w:hint="cs"/>
                <w:b/>
                <w:bCs/>
                <w:sz w:val="30"/>
              </w:rPr>
            </w:pPr>
            <w:r>
              <w:rPr>
                <w:rFonts w:hint="cs"/>
                <w:b/>
                <w:bCs/>
                <w:sz w:val="30"/>
                <w:rtl/>
              </w:rPr>
              <w:t>الموظفون القضائيون</w:t>
            </w:r>
          </w:p>
        </w:tc>
        <w:tc>
          <w:tcPr>
            <w:tcW w:w="679" w:type="dxa"/>
            <w:noWrap/>
            <w:vAlign w:val="bottom"/>
          </w:tcPr>
          <w:p w:rsidR="00662946" w:rsidRDefault="00662946">
            <w:pPr>
              <w:spacing w:after="120"/>
              <w:jc w:val="both"/>
              <w:rPr>
                <w:sz w:val="30"/>
              </w:rPr>
            </w:pPr>
            <w:r>
              <w:rPr>
                <w:sz w:val="30"/>
                <w:rtl/>
              </w:rPr>
              <w:t>2</w:t>
            </w:r>
          </w:p>
        </w:tc>
        <w:tc>
          <w:tcPr>
            <w:tcW w:w="764" w:type="dxa"/>
            <w:noWrap/>
            <w:vAlign w:val="bottom"/>
          </w:tcPr>
          <w:p w:rsidR="00662946" w:rsidRDefault="00662946">
            <w:pPr>
              <w:spacing w:after="120"/>
              <w:jc w:val="both"/>
              <w:rPr>
                <w:rFonts w:hint="cs"/>
                <w:sz w:val="30"/>
              </w:rPr>
            </w:pPr>
            <w:r>
              <w:rPr>
                <w:sz w:val="30"/>
                <w:rtl/>
              </w:rPr>
              <w:t>1</w:t>
            </w:r>
          </w:p>
        </w:tc>
        <w:tc>
          <w:tcPr>
            <w:tcW w:w="798" w:type="dxa"/>
            <w:noWrap/>
            <w:vAlign w:val="bottom"/>
          </w:tcPr>
          <w:p w:rsidR="00662946" w:rsidRDefault="00662946">
            <w:pPr>
              <w:spacing w:after="120"/>
              <w:jc w:val="both"/>
              <w:rPr>
                <w:sz w:val="30"/>
              </w:rPr>
            </w:pPr>
            <w:r>
              <w:rPr>
                <w:sz w:val="30"/>
                <w:rtl/>
              </w:rPr>
              <w:t>3</w:t>
            </w:r>
          </w:p>
        </w:tc>
        <w:tc>
          <w:tcPr>
            <w:tcW w:w="679" w:type="dxa"/>
            <w:noWrap/>
            <w:vAlign w:val="bottom"/>
          </w:tcPr>
          <w:p w:rsidR="00662946" w:rsidRDefault="00662946">
            <w:pPr>
              <w:spacing w:after="120"/>
              <w:jc w:val="both"/>
              <w:rPr>
                <w:sz w:val="30"/>
              </w:rPr>
            </w:pPr>
            <w:r>
              <w:rPr>
                <w:sz w:val="30"/>
                <w:rtl/>
              </w:rPr>
              <w:t>4</w:t>
            </w:r>
          </w:p>
        </w:tc>
        <w:tc>
          <w:tcPr>
            <w:tcW w:w="764" w:type="dxa"/>
            <w:noWrap/>
            <w:vAlign w:val="bottom"/>
          </w:tcPr>
          <w:p w:rsidR="00662946" w:rsidRDefault="00662946">
            <w:pPr>
              <w:spacing w:after="120"/>
              <w:jc w:val="both"/>
              <w:rPr>
                <w:sz w:val="30"/>
              </w:rPr>
            </w:pPr>
            <w:r>
              <w:rPr>
                <w:rFonts w:hint="cs"/>
                <w:sz w:val="30"/>
                <w:rtl/>
              </w:rPr>
              <w:t>صفر</w:t>
            </w:r>
          </w:p>
        </w:tc>
        <w:tc>
          <w:tcPr>
            <w:tcW w:w="798" w:type="dxa"/>
            <w:noWrap/>
            <w:vAlign w:val="bottom"/>
          </w:tcPr>
          <w:p w:rsidR="00662946" w:rsidRDefault="00662946">
            <w:pPr>
              <w:spacing w:after="120"/>
              <w:jc w:val="both"/>
              <w:rPr>
                <w:sz w:val="30"/>
              </w:rPr>
            </w:pPr>
            <w:r>
              <w:rPr>
                <w:sz w:val="30"/>
                <w:rtl/>
              </w:rPr>
              <w:t>4</w:t>
            </w:r>
          </w:p>
        </w:tc>
        <w:tc>
          <w:tcPr>
            <w:tcW w:w="679" w:type="dxa"/>
            <w:noWrap/>
            <w:vAlign w:val="bottom"/>
          </w:tcPr>
          <w:p w:rsidR="00662946" w:rsidRDefault="00662946">
            <w:pPr>
              <w:spacing w:after="120"/>
              <w:jc w:val="both"/>
              <w:rPr>
                <w:sz w:val="30"/>
              </w:rPr>
            </w:pPr>
            <w:r>
              <w:rPr>
                <w:sz w:val="30"/>
                <w:rtl/>
              </w:rPr>
              <w:t>1</w:t>
            </w:r>
          </w:p>
        </w:tc>
        <w:tc>
          <w:tcPr>
            <w:tcW w:w="764" w:type="dxa"/>
            <w:noWrap/>
            <w:vAlign w:val="bottom"/>
          </w:tcPr>
          <w:p w:rsidR="00662946" w:rsidRDefault="00662946">
            <w:pPr>
              <w:spacing w:after="120"/>
              <w:jc w:val="both"/>
              <w:rPr>
                <w:sz w:val="30"/>
              </w:rPr>
            </w:pPr>
            <w:r>
              <w:rPr>
                <w:sz w:val="30"/>
                <w:rtl/>
              </w:rPr>
              <w:t>5</w:t>
            </w:r>
          </w:p>
        </w:tc>
        <w:tc>
          <w:tcPr>
            <w:tcW w:w="798" w:type="dxa"/>
            <w:noWrap/>
            <w:vAlign w:val="bottom"/>
          </w:tcPr>
          <w:p w:rsidR="00662946" w:rsidRDefault="00662946">
            <w:pPr>
              <w:spacing w:after="120"/>
              <w:jc w:val="both"/>
              <w:rPr>
                <w:sz w:val="30"/>
              </w:rPr>
            </w:pPr>
            <w:r>
              <w:rPr>
                <w:sz w:val="30"/>
                <w:rtl/>
              </w:rPr>
              <w:t>6</w:t>
            </w:r>
          </w:p>
        </w:tc>
      </w:tr>
      <w:tr w:rsidR="00662946">
        <w:trPr>
          <w:trHeight w:val="255"/>
          <w:jc w:val="center"/>
        </w:trPr>
        <w:tc>
          <w:tcPr>
            <w:tcW w:w="2060" w:type="dxa"/>
            <w:noWrap/>
            <w:vAlign w:val="bottom"/>
          </w:tcPr>
          <w:p w:rsidR="00662946" w:rsidRDefault="00662946">
            <w:pPr>
              <w:spacing w:after="120"/>
              <w:jc w:val="both"/>
              <w:rPr>
                <w:rFonts w:hint="cs"/>
                <w:b/>
                <w:bCs/>
                <w:sz w:val="30"/>
              </w:rPr>
            </w:pPr>
            <w:r>
              <w:rPr>
                <w:rFonts w:hint="cs"/>
                <w:b/>
                <w:bCs/>
                <w:sz w:val="30"/>
                <w:rtl/>
              </w:rPr>
              <w:t>المدعي العام</w:t>
            </w:r>
          </w:p>
        </w:tc>
        <w:tc>
          <w:tcPr>
            <w:tcW w:w="679" w:type="dxa"/>
            <w:noWrap/>
            <w:vAlign w:val="bottom"/>
          </w:tcPr>
          <w:p w:rsidR="00662946" w:rsidRDefault="00662946">
            <w:pPr>
              <w:spacing w:after="120"/>
              <w:jc w:val="both"/>
              <w:rPr>
                <w:sz w:val="30"/>
              </w:rPr>
            </w:pPr>
            <w:r>
              <w:rPr>
                <w:sz w:val="30"/>
              </w:rPr>
              <w:t>…</w:t>
            </w:r>
          </w:p>
        </w:tc>
        <w:tc>
          <w:tcPr>
            <w:tcW w:w="764" w:type="dxa"/>
            <w:noWrap/>
            <w:vAlign w:val="bottom"/>
          </w:tcPr>
          <w:p w:rsidR="00662946" w:rsidRDefault="00662946">
            <w:pPr>
              <w:spacing w:after="120"/>
              <w:jc w:val="both"/>
              <w:rPr>
                <w:sz w:val="30"/>
              </w:rPr>
            </w:pPr>
            <w:r>
              <w:rPr>
                <w:sz w:val="30"/>
              </w:rPr>
              <w:t>…</w:t>
            </w:r>
          </w:p>
        </w:tc>
        <w:tc>
          <w:tcPr>
            <w:tcW w:w="798" w:type="dxa"/>
            <w:noWrap/>
            <w:vAlign w:val="bottom"/>
          </w:tcPr>
          <w:p w:rsidR="00662946" w:rsidRDefault="00662946">
            <w:pPr>
              <w:spacing w:after="120"/>
              <w:jc w:val="both"/>
              <w:rPr>
                <w:sz w:val="30"/>
              </w:rPr>
            </w:pPr>
            <w:r>
              <w:rPr>
                <w:sz w:val="30"/>
              </w:rPr>
              <w:t>…</w:t>
            </w:r>
          </w:p>
        </w:tc>
        <w:tc>
          <w:tcPr>
            <w:tcW w:w="679" w:type="dxa"/>
            <w:noWrap/>
            <w:vAlign w:val="bottom"/>
          </w:tcPr>
          <w:p w:rsidR="00662946" w:rsidRDefault="00662946">
            <w:pPr>
              <w:spacing w:after="120"/>
              <w:jc w:val="both"/>
              <w:rPr>
                <w:sz w:val="30"/>
              </w:rPr>
            </w:pPr>
            <w:r>
              <w:rPr>
                <w:rFonts w:hint="cs"/>
                <w:sz w:val="30"/>
                <w:rtl/>
              </w:rPr>
              <w:t>صفر</w:t>
            </w:r>
          </w:p>
        </w:tc>
        <w:tc>
          <w:tcPr>
            <w:tcW w:w="764" w:type="dxa"/>
            <w:noWrap/>
            <w:vAlign w:val="bottom"/>
          </w:tcPr>
          <w:p w:rsidR="00662946" w:rsidRDefault="00662946">
            <w:pPr>
              <w:spacing w:after="120"/>
              <w:jc w:val="both"/>
              <w:rPr>
                <w:sz w:val="30"/>
              </w:rPr>
            </w:pPr>
            <w:r>
              <w:rPr>
                <w:sz w:val="30"/>
                <w:rtl/>
              </w:rPr>
              <w:t>1</w:t>
            </w:r>
          </w:p>
        </w:tc>
        <w:tc>
          <w:tcPr>
            <w:tcW w:w="798" w:type="dxa"/>
            <w:noWrap/>
            <w:vAlign w:val="bottom"/>
          </w:tcPr>
          <w:p w:rsidR="00662946" w:rsidRDefault="00662946">
            <w:pPr>
              <w:spacing w:after="120"/>
              <w:jc w:val="both"/>
              <w:rPr>
                <w:sz w:val="30"/>
              </w:rPr>
            </w:pPr>
            <w:r>
              <w:rPr>
                <w:sz w:val="30"/>
                <w:rtl/>
              </w:rPr>
              <w:t>1</w:t>
            </w:r>
          </w:p>
        </w:tc>
        <w:tc>
          <w:tcPr>
            <w:tcW w:w="679" w:type="dxa"/>
            <w:noWrap/>
            <w:vAlign w:val="bottom"/>
          </w:tcPr>
          <w:p w:rsidR="00662946" w:rsidRDefault="00662946">
            <w:pPr>
              <w:spacing w:after="120"/>
              <w:jc w:val="both"/>
              <w:rPr>
                <w:sz w:val="30"/>
              </w:rPr>
            </w:pPr>
            <w:r>
              <w:rPr>
                <w:sz w:val="30"/>
              </w:rPr>
              <w:t>…</w:t>
            </w:r>
          </w:p>
        </w:tc>
        <w:tc>
          <w:tcPr>
            <w:tcW w:w="764" w:type="dxa"/>
            <w:noWrap/>
            <w:vAlign w:val="bottom"/>
          </w:tcPr>
          <w:p w:rsidR="00662946" w:rsidRDefault="00662946">
            <w:pPr>
              <w:spacing w:after="120"/>
              <w:jc w:val="both"/>
              <w:rPr>
                <w:sz w:val="30"/>
              </w:rPr>
            </w:pPr>
            <w:r>
              <w:rPr>
                <w:sz w:val="30"/>
              </w:rPr>
              <w:t>…</w:t>
            </w:r>
          </w:p>
        </w:tc>
        <w:tc>
          <w:tcPr>
            <w:tcW w:w="798" w:type="dxa"/>
            <w:noWrap/>
            <w:vAlign w:val="bottom"/>
          </w:tcPr>
          <w:p w:rsidR="00662946" w:rsidRDefault="00662946">
            <w:pPr>
              <w:spacing w:after="120"/>
              <w:jc w:val="both"/>
              <w:rPr>
                <w:sz w:val="30"/>
              </w:rPr>
            </w:pPr>
            <w:r>
              <w:rPr>
                <w:sz w:val="30"/>
              </w:rPr>
              <w:t>…</w:t>
            </w:r>
          </w:p>
        </w:tc>
      </w:tr>
      <w:tr w:rsidR="00662946">
        <w:trPr>
          <w:trHeight w:val="552"/>
          <w:jc w:val="center"/>
        </w:trPr>
        <w:tc>
          <w:tcPr>
            <w:tcW w:w="2060" w:type="dxa"/>
            <w:vAlign w:val="bottom"/>
          </w:tcPr>
          <w:p w:rsidR="00662946" w:rsidRDefault="00662946">
            <w:pPr>
              <w:spacing w:after="120"/>
              <w:jc w:val="both"/>
              <w:rPr>
                <w:rFonts w:hint="cs"/>
                <w:b/>
                <w:bCs/>
                <w:sz w:val="30"/>
              </w:rPr>
            </w:pPr>
            <w:r>
              <w:rPr>
                <w:rFonts w:hint="cs"/>
                <w:b/>
                <w:bCs/>
                <w:sz w:val="30"/>
                <w:rtl/>
              </w:rPr>
              <w:t>مدير الادعاء العام</w:t>
            </w:r>
          </w:p>
        </w:tc>
        <w:tc>
          <w:tcPr>
            <w:tcW w:w="679" w:type="dxa"/>
            <w:noWrap/>
            <w:vAlign w:val="bottom"/>
          </w:tcPr>
          <w:p w:rsidR="00662946" w:rsidRDefault="00662946">
            <w:pPr>
              <w:spacing w:after="120"/>
              <w:jc w:val="both"/>
              <w:rPr>
                <w:sz w:val="30"/>
              </w:rPr>
            </w:pPr>
            <w:r>
              <w:rPr>
                <w:sz w:val="30"/>
              </w:rPr>
              <w:t>…</w:t>
            </w:r>
          </w:p>
        </w:tc>
        <w:tc>
          <w:tcPr>
            <w:tcW w:w="764" w:type="dxa"/>
            <w:noWrap/>
            <w:vAlign w:val="bottom"/>
          </w:tcPr>
          <w:p w:rsidR="00662946" w:rsidRDefault="00662946">
            <w:pPr>
              <w:spacing w:after="120"/>
              <w:jc w:val="both"/>
              <w:rPr>
                <w:sz w:val="30"/>
              </w:rPr>
            </w:pPr>
            <w:r>
              <w:rPr>
                <w:sz w:val="30"/>
              </w:rPr>
              <w:t>…</w:t>
            </w:r>
          </w:p>
        </w:tc>
        <w:tc>
          <w:tcPr>
            <w:tcW w:w="798" w:type="dxa"/>
            <w:noWrap/>
            <w:vAlign w:val="bottom"/>
          </w:tcPr>
          <w:p w:rsidR="00662946" w:rsidRDefault="00662946">
            <w:pPr>
              <w:spacing w:after="120"/>
              <w:jc w:val="both"/>
              <w:rPr>
                <w:sz w:val="30"/>
              </w:rPr>
            </w:pPr>
            <w:r>
              <w:rPr>
                <w:sz w:val="30"/>
              </w:rPr>
              <w:t>…</w:t>
            </w:r>
          </w:p>
        </w:tc>
        <w:tc>
          <w:tcPr>
            <w:tcW w:w="679" w:type="dxa"/>
            <w:noWrap/>
            <w:vAlign w:val="bottom"/>
          </w:tcPr>
          <w:p w:rsidR="00662946" w:rsidRDefault="00662946">
            <w:pPr>
              <w:spacing w:after="120"/>
              <w:jc w:val="both"/>
              <w:rPr>
                <w:sz w:val="30"/>
              </w:rPr>
            </w:pPr>
            <w:r>
              <w:rPr>
                <w:rFonts w:hint="cs"/>
                <w:sz w:val="30"/>
                <w:rtl/>
              </w:rPr>
              <w:t>صفر</w:t>
            </w:r>
          </w:p>
        </w:tc>
        <w:tc>
          <w:tcPr>
            <w:tcW w:w="764" w:type="dxa"/>
            <w:noWrap/>
            <w:vAlign w:val="bottom"/>
          </w:tcPr>
          <w:p w:rsidR="00662946" w:rsidRDefault="00662946">
            <w:pPr>
              <w:spacing w:after="120"/>
              <w:jc w:val="both"/>
              <w:rPr>
                <w:sz w:val="30"/>
              </w:rPr>
            </w:pPr>
            <w:r>
              <w:rPr>
                <w:sz w:val="30"/>
                <w:rtl/>
              </w:rPr>
              <w:t>1</w:t>
            </w:r>
          </w:p>
        </w:tc>
        <w:tc>
          <w:tcPr>
            <w:tcW w:w="798" w:type="dxa"/>
            <w:noWrap/>
            <w:vAlign w:val="bottom"/>
          </w:tcPr>
          <w:p w:rsidR="00662946" w:rsidRDefault="00662946">
            <w:pPr>
              <w:spacing w:after="120"/>
              <w:jc w:val="both"/>
              <w:rPr>
                <w:sz w:val="30"/>
              </w:rPr>
            </w:pPr>
            <w:r>
              <w:rPr>
                <w:sz w:val="30"/>
                <w:rtl/>
              </w:rPr>
              <w:t>1</w:t>
            </w:r>
          </w:p>
        </w:tc>
        <w:tc>
          <w:tcPr>
            <w:tcW w:w="679" w:type="dxa"/>
            <w:noWrap/>
            <w:vAlign w:val="bottom"/>
          </w:tcPr>
          <w:p w:rsidR="00662946" w:rsidRDefault="00662946">
            <w:pPr>
              <w:spacing w:after="120"/>
              <w:jc w:val="both"/>
              <w:rPr>
                <w:rFonts w:hint="cs"/>
                <w:sz w:val="30"/>
                <w:rtl/>
                <w:lang w:bidi="ar-EG"/>
              </w:rPr>
            </w:pPr>
            <w:r>
              <w:rPr>
                <w:rFonts w:hint="cs"/>
                <w:sz w:val="30"/>
                <w:rtl/>
              </w:rPr>
              <w:t>صفر</w:t>
            </w:r>
          </w:p>
        </w:tc>
        <w:tc>
          <w:tcPr>
            <w:tcW w:w="764" w:type="dxa"/>
            <w:noWrap/>
            <w:vAlign w:val="bottom"/>
          </w:tcPr>
          <w:p w:rsidR="00662946" w:rsidRDefault="00662946">
            <w:pPr>
              <w:spacing w:after="120"/>
              <w:jc w:val="both"/>
              <w:rPr>
                <w:sz w:val="30"/>
              </w:rPr>
            </w:pPr>
            <w:r>
              <w:rPr>
                <w:sz w:val="30"/>
                <w:rtl/>
              </w:rPr>
              <w:t>1</w:t>
            </w:r>
          </w:p>
        </w:tc>
        <w:tc>
          <w:tcPr>
            <w:tcW w:w="798" w:type="dxa"/>
            <w:noWrap/>
            <w:vAlign w:val="bottom"/>
          </w:tcPr>
          <w:p w:rsidR="00662946" w:rsidRDefault="00662946">
            <w:pPr>
              <w:spacing w:after="120"/>
              <w:jc w:val="both"/>
              <w:rPr>
                <w:rFonts w:hint="cs"/>
                <w:sz w:val="30"/>
              </w:rPr>
            </w:pPr>
            <w:r>
              <w:rPr>
                <w:sz w:val="30"/>
                <w:rtl/>
              </w:rPr>
              <w:t>1</w:t>
            </w:r>
          </w:p>
        </w:tc>
      </w:tr>
      <w:tr w:rsidR="00662946">
        <w:trPr>
          <w:trHeight w:val="255"/>
          <w:jc w:val="center"/>
        </w:trPr>
        <w:tc>
          <w:tcPr>
            <w:tcW w:w="2060" w:type="dxa"/>
            <w:noWrap/>
            <w:vAlign w:val="bottom"/>
          </w:tcPr>
          <w:p w:rsidR="00662946" w:rsidRDefault="00662946">
            <w:pPr>
              <w:spacing w:after="120"/>
              <w:jc w:val="both"/>
              <w:rPr>
                <w:rFonts w:hint="cs"/>
                <w:b/>
                <w:bCs/>
                <w:sz w:val="30"/>
              </w:rPr>
            </w:pPr>
            <w:r>
              <w:rPr>
                <w:rFonts w:hint="cs"/>
                <w:b/>
                <w:bCs/>
                <w:sz w:val="30"/>
                <w:rtl/>
              </w:rPr>
              <w:t>المسجلون</w:t>
            </w:r>
          </w:p>
        </w:tc>
        <w:tc>
          <w:tcPr>
            <w:tcW w:w="679" w:type="dxa"/>
            <w:noWrap/>
            <w:vAlign w:val="bottom"/>
          </w:tcPr>
          <w:p w:rsidR="00662946" w:rsidRDefault="00662946">
            <w:pPr>
              <w:spacing w:after="120"/>
              <w:jc w:val="both"/>
              <w:rPr>
                <w:rFonts w:hint="cs"/>
                <w:sz w:val="30"/>
                <w:rtl/>
                <w:lang w:bidi="ar-EG"/>
              </w:rPr>
            </w:pPr>
            <w:r>
              <w:rPr>
                <w:sz w:val="30"/>
                <w:rtl/>
              </w:rPr>
              <w:t>1</w:t>
            </w:r>
          </w:p>
        </w:tc>
        <w:tc>
          <w:tcPr>
            <w:tcW w:w="764" w:type="dxa"/>
            <w:noWrap/>
            <w:vAlign w:val="bottom"/>
          </w:tcPr>
          <w:p w:rsidR="00662946" w:rsidRDefault="00662946">
            <w:pPr>
              <w:spacing w:after="120"/>
              <w:jc w:val="both"/>
              <w:rPr>
                <w:sz w:val="30"/>
              </w:rPr>
            </w:pPr>
            <w:r>
              <w:rPr>
                <w:rFonts w:hint="cs"/>
                <w:sz w:val="30"/>
                <w:rtl/>
              </w:rPr>
              <w:t>صفر</w:t>
            </w:r>
          </w:p>
        </w:tc>
        <w:tc>
          <w:tcPr>
            <w:tcW w:w="798" w:type="dxa"/>
            <w:noWrap/>
            <w:vAlign w:val="bottom"/>
          </w:tcPr>
          <w:p w:rsidR="00662946" w:rsidRDefault="00662946">
            <w:pPr>
              <w:spacing w:after="120"/>
              <w:jc w:val="both"/>
              <w:rPr>
                <w:sz w:val="30"/>
              </w:rPr>
            </w:pPr>
            <w:r>
              <w:rPr>
                <w:sz w:val="30"/>
                <w:rtl/>
              </w:rPr>
              <w:t>1</w:t>
            </w:r>
          </w:p>
        </w:tc>
        <w:tc>
          <w:tcPr>
            <w:tcW w:w="679" w:type="dxa"/>
            <w:noWrap/>
            <w:vAlign w:val="bottom"/>
          </w:tcPr>
          <w:p w:rsidR="00662946" w:rsidRDefault="00662946">
            <w:pPr>
              <w:spacing w:after="120"/>
              <w:jc w:val="both"/>
              <w:rPr>
                <w:sz w:val="30"/>
              </w:rPr>
            </w:pPr>
            <w:r>
              <w:rPr>
                <w:sz w:val="30"/>
                <w:rtl/>
              </w:rPr>
              <w:t>2</w:t>
            </w:r>
          </w:p>
        </w:tc>
        <w:tc>
          <w:tcPr>
            <w:tcW w:w="764" w:type="dxa"/>
            <w:noWrap/>
            <w:vAlign w:val="bottom"/>
          </w:tcPr>
          <w:p w:rsidR="00662946" w:rsidRDefault="00662946">
            <w:pPr>
              <w:spacing w:after="120"/>
              <w:jc w:val="both"/>
              <w:rPr>
                <w:sz w:val="30"/>
              </w:rPr>
            </w:pPr>
            <w:r>
              <w:rPr>
                <w:rFonts w:hint="cs"/>
                <w:sz w:val="30"/>
                <w:rtl/>
              </w:rPr>
              <w:t>صفر</w:t>
            </w:r>
          </w:p>
        </w:tc>
        <w:tc>
          <w:tcPr>
            <w:tcW w:w="798" w:type="dxa"/>
            <w:noWrap/>
            <w:vAlign w:val="bottom"/>
          </w:tcPr>
          <w:p w:rsidR="00662946" w:rsidRDefault="00662946">
            <w:pPr>
              <w:spacing w:after="120"/>
              <w:jc w:val="both"/>
              <w:rPr>
                <w:sz w:val="30"/>
              </w:rPr>
            </w:pPr>
            <w:r>
              <w:rPr>
                <w:sz w:val="30"/>
                <w:rtl/>
              </w:rPr>
              <w:t>2</w:t>
            </w:r>
          </w:p>
        </w:tc>
        <w:tc>
          <w:tcPr>
            <w:tcW w:w="679" w:type="dxa"/>
            <w:noWrap/>
            <w:vAlign w:val="bottom"/>
          </w:tcPr>
          <w:p w:rsidR="00662946" w:rsidRDefault="00662946">
            <w:pPr>
              <w:spacing w:after="120"/>
              <w:jc w:val="both"/>
              <w:rPr>
                <w:sz w:val="30"/>
              </w:rPr>
            </w:pPr>
            <w:r>
              <w:rPr>
                <w:sz w:val="30"/>
                <w:rtl/>
              </w:rPr>
              <w:t>2</w:t>
            </w:r>
          </w:p>
        </w:tc>
        <w:tc>
          <w:tcPr>
            <w:tcW w:w="764" w:type="dxa"/>
            <w:noWrap/>
            <w:vAlign w:val="bottom"/>
          </w:tcPr>
          <w:p w:rsidR="00662946" w:rsidRDefault="00662946">
            <w:pPr>
              <w:spacing w:after="120"/>
              <w:jc w:val="both"/>
              <w:rPr>
                <w:sz w:val="30"/>
              </w:rPr>
            </w:pPr>
            <w:r>
              <w:rPr>
                <w:rFonts w:hint="cs"/>
                <w:sz w:val="30"/>
                <w:rtl/>
              </w:rPr>
              <w:t>صفر</w:t>
            </w:r>
          </w:p>
        </w:tc>
        <w:tc>
          <w:tcPr>
            <w:tcW w:w="798" w:type="dxa"/>
            <w:noWrap/>
            <w:vAlign w:val="bottom"/>
          </w:tcPr>
          <w:p w:rsidR="00662946" w:rsidRDefault="00662946">
            <w:pPr>
              <w:spacing w:after="120"/>
              <w:jc w:val="both"/>
              <w:rPr>
                <w:sz w:val="30"/>
              </w:rPr>
            </w:pPr>
            <w:r>
              <w:rPr>
                <w:sz w:val="30"/>
                <w:rtl/>
              </w:rPr>
              <w:t>2</w:t>
            </w:r>
          </w:p>
        </w:tc>
      </w:tr>
      <w:tr w:rsidR="00662946">
        <w:trPr>
          <w:trHeight w:val="255"/>
          <w:jc w:val="center"/>
        </w:trPr>
        <w:tc>
          <w:tcPr>
            <w:tcW w:w="2060" w:type="dxa"/>
            <w:noWrap/>
            <w:vAlign w:val="bottom"/>
          </w:tcPr>
          <w:p w:rsidR="00662946" w:rsidRDefault="00662946">
            <w:pPr>
              <w:spacing w:after="120"/>
              <w:jc w:val="both"/>
              <w:rPr>
                <w:rFonts w:hint="cs"/>
                <w:sz w:val="30"/>
              </w:rPr>
            </w:pPr>
            <w:r>
              <w:rPr>
                <w:rFonts w:hint="cs"/>
                <w:sz w:val="30"/>
                <w:rtl/>
                <w:lang w:bidi="ar-EG"/>
              </w:rPr>
              <w:t>محكمة الاستئناف</w:t>
            </w:r>
          </w:p>
        </w:tc>
        <w:tc>
          <w:tcPr>
            <w:tcW w:w="679" w:type="dxa"/>
            <w:noWrap/>
            <w:vAlign w:val="bottom"/>
          </w:tcPr>
          <w:p w:rsidR="00662946" w:rsidRDefault="00662946">
            <w:pPr>
              <w:spacing w:after="120"/>
              <w:jc w:val="both"/>
              <w:rPr>
                <w:sz w:val="30"/>
              </w:rPr>
            </w:pPr>
            <w:r>
              <w:rPr>
                <w:sz w:val="30"/>
              </w:rPr>
              <w:t>…</w:t>
            </w:r>
          </w:p>
        </w:tc>
        <w:tc>
          <w:tcPr>
            <w:tcW w:w="764" w:type="dxa"/>
            <w:noWrap/>
            <w:vAlign w:val="bottom"/>
          </w:tcPr>
          <w:p w:rsidR="00662946" w:rsidRDefault="00662946">
            <w:pPr>
              <w:spacing w:after="120"/>
              <w:jc w:val="both"/>
              <w:rPr>
                <w:sz w:val="30"/>
              </w:rPr>
            </w:pPr>
            <w:r>
              <w:rPr>
                <w:sz w:val="30"/>
              </w:rPr>
              <w:t>…</w:t>
            </w:r>
          </w:p>
        </w:tc>
        <w:tc>
          <w:tcPr>
            <w:tcW w:w="798" w:type="dxa"/>
            <w:noWrap/>
            <w:vAlign w:val="bottom"/>
          </w:tcPr>
          <w:p w:rsidR="00662946" w:rsidRDefault="00662946">
            <w:pPr>
              <w:spacing w:after="120"/>
              <w:jc w:val="both"/>
              <w:rPr>
                <w:sz w:val="30"/>
              </w:rPr>
            </w:pPr>
            <w:r>
              <w:rPr>
                <w:sz w:val="30"/>
              </w:rPr>
              <w:t>…</w:t>
            </w:r>
          </w:p>
        </w:tc>
        <w:tc>
          <w:tcPr>
            <w:tcW w:w="679" w:type="dxa"/>
            <w:noWrap/>
            <w:vAlign w:val="bottom"/>
          </w:tcPr>
          <w:p w:rsidR="00662946" w:rsidRDefault="00662946">
            <w:pPr>
              <w:spacing w:after="120"/>
              <w:jc w:val="both"/>
              <w:rPr>
                <w:sz w:val="30"/>
              </w:rPr>
            </w:pPr>
            <w:r>
              <w:rPr>
                <w:sz w:val="30"/>
                <w:rtl/>
              </w:rPr>
              <w:t>1</w:t>
            </w:r>
          </w:p>
        </w:tc>
        <w:tc>
          <w:tcPr>
            <w:tcW w:w="764" w:type="dxa"/>
            <w:noWrap/>
            <w:vAlign w:val="bottom"/>
          </w:tcPr>
          <w:p w:rsidR="00662946" w:rsidRDefault="00662946">
            <w:pPr>
              <w:spacing w:after="120"/>
              <w:jc w:val="both"/>
              <w:rPr>
                <w:sz w:val="30"/>
              </w:rPr>
            </w:pPr>
            <w:r>
              <w:rPr>
                <w:rFonts w:hint="cs"/>
                <w:sz w:val="30"/>
                <w:rtl/>
              </w:rPr>
              <w:t>صفر</w:t>
            </w:r>
          </w:p>
        </w:tc>
        <w:tc>
          <w:tcPr>
            <w:tcW w:w="798" w:type="dxa"/>
            <w:noWrap/>
            <w:vAlign w:val="bottom"/>
          </w:tcPr>
          <w:p w:rsidR="00662946" w:rsidRDefault="00662946">
            <w:pPr>
              <w:spacing w:after="120"/>
              <w:jc w:val="both"/>
              <w:rPr>
                <w:sz w:val="30"/>
              </w:rPr>
            </w:pPr>
            <w:r>
              <w:rPr>
                <w:sz w:val="30"/>
                <w:rtl/>
              </w:rPr>
              <w:t>1</w:t>
            </w:r>
          </w:p>
        </w:tc>
        <w:tc>
          <w:tcPr>
            <w:tcW w:w="679" w:type="dxa"/>
            <w:noWrap/>
            <w:vAlign w:val="bottom"/>
          </w:tcPr>
          <w:p w:rsidR="00662946" w:rsidRDefault="00662946">
            <w:pPr>
              <w:spacing w:after="120"/>
              <w:jc w:val="both"/>
              <w:rPr>
                <w:sz w:val="30"/>
              </w:rPr>
            </w:pPr>
            <w:r>
              <w:rPr>
                <w:sz w:val="30"/>
                <w:rtl/>
              </w:rPr>
              <w:t>1</w:t>
            </w:r>
          </w:p>
        </w:tc>
        <w:tc>
          <w:tcPr>
            <w:tcW w:w="764" w:type="dxa"/>
            <w:noWrap/>
            <w:vAlign w:val="bottom"/>
          </w:tcPr>
          <w:p w:rsidR="00662946" w:rsidRDefault="00662946">
            <w:pPr>
              <w:spacing w:after="120"/>
              <w:jc w:val="both"/>
              <w:rPr>
                <w:sz w:val="30"/>
              </w:rPr>
            </w:pPr>
            <w:r>
              <w:rPr>
                <w:rFonts w:hint="cs"/>
                <w:sz w:val="30"/>
                <w:rtl/>
              </w:rPr>
              <w:t>صفر</w:t>
            </w:r>
          </w:p>
        </w:tc>
        <w:tc>
          <w:tcPr>
            <w:tcW w:w="798" w:type="dxa"/>
            <w:noWrap/>
            <w:vAlign w:val="bottom"/>
          </w:tcPr>
          <w:p w:rsidR="00662946" w:rsidRDefault="00662946">
            <w:pPr>
              <w:spacing w:after="120"/>
              <w:jc w:val="both"/>
              <w:rPr>
                <w:sz w:val="30"/>
              </w:rPr>
            </w:pPr>
            <w:r>
              <w:rPr>
                <w:sz w:val="30"/>
                <w:rtl/>
              </w:rPr>
              <w:t>1</w:t>
            </w:r>
          </w:p>
        </w:tc>
      </w:tr>
      <w:tr w:rsidR="00662946">
        <w:trPr>
          <w:trHeight w:val="255"/>
          <w:jc w:val="center"/>
        </w:trPr>
        <w:tc>
          <w:tcPr>
            <w:tcW w:w="2060" w:type="dxa"/>
            <w:noWrap/>
            <w:vAlign w:val="bottom"/>
          </w:tcPr>
          <w:p w:rsidR="00662946" w:rsidRDefault="00662946">
            <w:pPr>
              <w:spacing w:after="120"/>
              <w:jc w:val="both"/>
              <w:rPr>
                <w:rFonts w:hint="cs"/>
                <w:sz w:val="30"/>
              </w:rPr>
            </w:pPr>
            <w:r>
              <w:rPr>
                <w:rFonts w:hint="cs"/>
                <w:sz w:val="30"/>
                <w:rtl/>
              </w:rPr>
              <w:t>المحكمة العليا</w:t>
            </w:r>
          </w:p>
        </w:tc>
        <w:tc>
          <w:tcPr>
            <w:tcW w:w="679" w:type="dxa"/>
            <w:noWrap/>
            <w:vAlign w:val="bottom"/>
          </w:tcPr>
          <w:p w:rsidR="00662946" w:rsidRDefault="00662946">
            <w:pPr>
              <w:spacing w:after="120"/>
              <w:jc w:val="both"/>
              <w:rPr>
                <w:rFonts w:hint="cs"/>
                <w:sz w:val="30"/>
                <w:rtl/>
                <w:lang w:bidi="ar-EG"/>
              </w:rPr>
            </w:pPr>
            <w:r>
              <w:rPr>
                <w:sz w:val="30"/>
                <w:rtl/>
              </w:rPr>
              <w:t>1</w:t>
            </w:r>
          </w:p>
        </w:tc>
        <w:tc>
          <w:tcPr>
            <w:tcW w:w="764" w:type="dxa"/>
            <w:noWrap/>
            <w:vAlign w:val="bottom"/>
          </w:tcPr>
          <w:p w:rsidR="00662946" w:rsidRDefault="00662946">
            <w:pPr>
              <w:spacing w:after="120"/>
              <w:jc w:val="both"/>
              <w:rPr>
                <w:sz w:val="30"/>
              </w:rPr>
            </w:pPr>
            <w:r>
              <w:rPr>
                <w:rFonts w:hint="cs"/>
                <w:sz w:val="30"/>
                <w:rtl/>
              </w:rPr>
              <w:t>صفر</w:t>
            </w:r>
          </w:p>
        </w:tc>
        <w:tc>
          <w:tcPr>
            <w:tcW w:w="798" w:type="dxa"/>
            <w:noWrap/>
            <w:vAlign w:val="bottom"/>
          </w:tcPr>
          <w:p w:rsidR="00662946" w:rsidRDefault="00662946">
            <w:pPr>
              <w:spacing w:after="120"/>
              <w:jc w:val="both"/>
              <w:rPr>
                <w:sz w:val="30"/>
              </w:rPr>
            </w:pPr>
            <w:r>
              <w:rPr>
                <w:sz w:val="30"/>
                <w:rtl/>
              </w:rPr>
              <w:t>1</w:t>
            </w:r>
          </w:p>
        </w:tc>
        <w:tc>
          <w:tcPr>
            <w:tcW w:w="679" w:type="dxa"/>
            <w:noWrap/>
            <w:vAlign w:val="bottom"/>
          </w:tcPr>
          <w:p w:rsidR="00662946" w:rsidRDefault="00662946">
            <w:pPr>
              <w:spacing w:after="120"/>
              <w:jc w:val="both"/>
              <w:rPr>
                <w:sz w:val="30"/>
              </w:rPr>
            </w:pPr>
            <w:r>
              <w:rPr>
                <w:sz w:val="30"/>
                <w:rtl/>
              </w:rPr>
              <w:t>1</w:t>
            </w:r>
          </w:p>
        </w:tc>
        <w:tc>
          <w:tcPr>
            <w:tcW w:w="764" w:type="dxa"/>
            <w:noWrap/>
            <w:vAlign w:val="bottom"/>
          </w:tcPr>
          <w:p w:rsidR="00662946" w:rsidRDefault="00662946">
            <w:pPr>
              <w:spacing w:after="120"/>
              <w:jc w:val="both"/>
              <w:rPr>
                <w:sz w:val="30"/>
              </w:rPr>
            </w:pPr>
            <w:r>
              <w:rPr>
                <w:rFonts w:hint="cs"/>
                <w:sz w:val="30"/>
                <w:rtl/>
              </w:rPr>
              <w:t>صفر</w:t>
            </w:r>
          </w:p>
        </w:tc>
        <w:tc>
          <w:tcPr>
            <w:tcW w:w="798" w:type="dxa"/>
            <w:noWrap/>
            <w:vAlign w:val="bottom"/>
          </w:tcPr>
          <w:p w:rsidR="00662946" w:rsidRDefault="00662946">
            <w:pPr>
              <w:spacing w:after="120"/>
              <w:jc w:val="both"/>
              <w:rPr>
                <w:sz w:val="30"/>
              </w:rPr>
            </w:pPr>
            <w:r>
              <w:rPr>
                <w:sz w:val="30"/>
                <w:rtl/>
              </w:rPr>
              <w:t>1</w:t>
            </w:r>
          </w:p>
        </w:tc>
        <w:tc>
          <w:tcPr>
            <w:tcW w:w="679" w:type="dxa"/>
            <w:noWrap/>
            <w:vAlign w:val="bottom"/>
          </w:tcPr>
          <w:p w:rsidR="00662946" w:rsidRDefault="00662946">
            <w:pPr>
              <w:spacing w:after="120"/>
              <w:jc w:val="both"/>
              <w:rPr>
                <w:sz w:val="30"/>
              </w:rPr>
            </w:pPr>
            <w:r>
              <w:rPr>
                <w:sz w:val="30"/>
                <w:rtl/>
              </w:rPr>
              <w:t>1</w:t>
            </w:r>
          </w:p>
        </w:tc>
        <w:tc>
          <w:tcPr>
            <w:tcW w:w="764" w:type="dxa"/>
            <w:noWrap/>
            <w:vAlign w:val="bottom"/>
          </w:tcPr>
          <w:p w:rsidR="00662946" w:rsidRDefault="00662946">
            <w:pPr>
              <w:spacing w:after="120"/>
              <w:jc w:val="both"/>
              <w:rPr>
                <w:sz w:val="30"/>
              </w:rPr>
            </w:pPr>
            <w:r>
              <w:rPr>
                <w:rFonts w:hint="cs"/>
                <w:sz w:val="30"/>
                <w:rtl/>
              </w:rPr>
              <w:t>صفر</w:t>
            </w:r>
          </w:p>
        </w:tc>
        <w:tc>
          <w:tcPr>
            <w:tcW w:w="798" w:type="dxa"/>
            <w:noWrap/>
            <w:vAlign w:val="bottom"/>
          </w:tcPr>
          <w:p w:rsidR="00662946" w:rsidRDefault="00662946">
            <w:pPr>
              <w:spacing w:after="120"/>
              <w:jc w:val="both"/>
              <w:rPr>
                <w:sz w:val="30"/>
              </w:rPr>
            </w:pPr>
            <w:r>
              <w:rPr>
                <w:sz w:val="30"/>
                <w:rtl/>
              </w:rPr>
              <w:t>1</w:t>
            </w:r>
          </w:p>
        </w:tc>
      </w:tr>
      <w:tr w:rsidR="00662946">
        <w:trPr>
          <w:trHeight w:val="255"/>
          <w:jc w:val="center"/>
        </w:trPr>
        <w:tc>
          <w:tcPr>
            <w:tcW w:w="2060" w:type="dxa"/>
            <w:noWrap/>
            <w:vAlign w:val="bottom"/>
          </w:tcPr>
          <w:p w:rsidR="00662946" w:rsidRDefault="00662946">
            <w:pPr>
              <w:spacing w:after="120"/>
              <w:jc w:val="both"/>
              <w:rPr>
                <w:rFonts w:hint="cs"/>
                <w:b/>
                <w:bCs/>
                <w:sz w:val="30"/>
              </w:rPr>
            </w:pPr>
            <w:r>
              <w:rPr>
                <w:rFonts w:hint="cs"/>
                <w:b/>
                <w:bCs/>
                <w:sz w:val="30"/>
                <w:rtl/>
              </w:rPr>
              <w:t>المجموع</w:t>
            </w:r>
          </w:p>
        </w:tc>
        <w:tc>
          <w:tcPr>
            <w:tcW w:w="679" w:type="dxa"/>
            <w:noWrap/>
            <w:vAlign w:val="bottom"/>
          </w:tcPr>
          <w:p w:rsidR="00662946" w:rsidRDefault="00662946">
            <w:pPr>
              <w:spacing w:after="120"/>
              <w:jc w:val="both"/>
              <w:rPr>
                <w:sz w:val="30"/>
              </w:rPr>
            </w:pPr>
            <w:r>
              <w:rPr>
                <w:sz w:val="30"/>
                <w:rtl/>
              </w:rPr>
              <w:t>3</w:t>
            </w:r>
          </w:p>
        </w:tc>
        <w:tc>
          <w:tcPr>
            <w:tcW w:w="764" w:type="dxa"/>
            <w:noWrap/>
            <w:vAlign w:val="bottom"/>
          </w:tcPr>
          <w:p w:rsidR="00662946" w:rsidRDefault="00662946">
            <w:pPr>
              <w:spacing w:after="120"/>
              <w:jc w:val="both"/>
              <w:rPr>
                <w:sz w:val="30"/>
              </w:rPr>
            </w:pPr>
            <w:r>
              <w:rPr>
                <w:sz w:val="30"/>
                <w:rtl/>
              </w:rPr>
              <w:t>5</w:t>
            </w:r>
          </w:p>
        </w:tc>
        <w:tc>
          <w:tcPr>
            <w:tcW w:w="798" w:type="dxa"/>
            <w:noWrap/>
            <w:vAlign w:val="bottom"/>
          </w:tcPr>
          <w:p w:rsidR="00662946" w:rsidRDefault="00662946">
            <w:pPr>
              <w:spacing w:after="120"/>
              <w:jc w:val="both"/>
              <w:rPr>
                <w:sz w:val="30"/>
              </w:rPr>
            </w:pPr>
            <w:r>
              <w:rPr>
                <w:sz w:val="30"/>
                <w:rtl/>
              </w:rPr>
              <w:t>8</w:t>
            </w:r>
          </w:p>
        </w:tc>
        <w:tc>
          <w:tcPr>
            <w:tcW w:w="679" w:type="dxa"/>
            <w:noWrap/>
            <w:vAlign w:val="bottom"/>
          </w:tcPr>
          <w:p w:rsidR="00662946" w:rsidRDefault="00662946">
            <w:pPr>
              <w:spacing w:after="120"/>
              <w:jc w:val="both"/>
              <w:rPr>
                <w:sz w:val="30"/>
              </w:rPr>
            </w:pPr>
            <w:r>
              <w:rPr>
                <w:sz w:val="30"/>
                <w:rtl/>
              </w:rPr>
              <w:t>7</w:t>
            </w:r>
          </w:p>
        </w:tc>
        <w:tc>
          <w:tcPr>
            <w:tcW w:w="764" w:type="dxa"/>
            <w:noWrap/>
            <w:vAlign w:val="bottom"/>
          </w:tcPr>
          <w:p w:rsidR="00662946" w:rsidRDefault="00662946">
            <w:pPr>
              <w:spacing w:after="120"/>
              <w:jc w:val="both"/>
              <w:rPr>
                <w:sz w:val="30"/>
              </w:rPr>
            </w:pPr>
            <w:r>
              <w:rPr>
                <w:sz w:val="30"/>
                <w:rtl/>
              </w:rPr>
              <w:t>6</w:t>
            </w:r>
          </w:p>
        </w:tc>
        <w:tc>
          <w:tcPr>
            <w:tcW w:w="798" w:type="dxa"/>
            <w:noWrap/>
            <w:vAlign w:val="bottom"/>
          </w:tcPr>
          <w:p w:rsidR="00662946" w:rsidRDefault="00662946">
            <w:pPr>
              <w:spacing w:after="120"/>
              <w:jc w:val="both"/>
              <w:rPr>
                <w:sz w:val="30"/>
              </w:rPr>
            </w:pPr>
            <w:r>
              <w:rPr>
                <w:sz w:val="30"/>
                <w:rtl/>
              </w:rPr>
              <w:t>13</w:t>
            </w:r>
          </w:p>
        </w:tc>
        <w:tc>
          <w:tcPr>
            <w:tcW w:w="679" w:type="dxa"/>
            <w:noWrap/>
            <w:vAlign w:val="bottom"/>
          </w:tcPr>
          <w:p w:rsidR="00662946" w:rsidRDefault="00662946">
            <w:pPr>
              <w:spacing w:after="120"/>
              <w:jc w:val="both"/>
              <w:rPr>
                <w:sz w:val="30"/>
              </w:rPr>
            </w:pPr>
            <w:r>
              <w:rPr>
                <w:sz w:val="30"/>
                <w:rtl/>
              </w:rPr>
              <w:t>4</w:t>
            </w:r>
          </w:p>
        </w:tc>
        <w:tc>
          <w:tcPr>
            <w:tcW w:w="764" w:type="dxa"/>
            <w:noWrap/>
            <w:vAlign w:val="bottom"/>
          </w:tcPr>
          <w:p w:rsidR="00662946" w:rsidRDefault="00662946">
            <w:pPr>
              <w:spacing w:after="120"/>
              <w:jc w:val="both"/>
              <w:rPr>
                <w:sz w:val="30"/>
              </w:rPr>
            </w:pPr>
            <w:r>
              <w:rPr>
                <w:sz w:val="30"/>
                <w:rtl/>
              </w:rPr>
              <w:t>10</w:t>
            </w:r>
          </w:p>
        </w:tc>
        <w:tc>
          <w:tcPr>
            <w:tcW w:w="798" w:type="dxa"/>
            <w:noWrap/>
            <w:vAlign w:val="bottom"/>
          </w:tcPr>
          <w:p w:rsidR="00662946" w:rsidRDefault="00662946">
            <w:pPr>
              <w:spacing w:after="120"/>
              <w:jc w:val="both"/>
              <w:rPr>
                <w:sz w:val="30"/>
              </w:rPr>
            </w:pPr>
            <w:r>
              <w:rPr>
                <w:sz w:val="30"/>
                <w:rtl/>
              </w:rPr>
              <w:t>14</w:t>
            </w:r>
          </w:p>
        </w:tc>
      </w:tr>
      <w:tr w:rsidR="00662946">
        <w:trPr>
          <w:trHeight w:val="255"/>
          <w:jc w:val="center"/>
        </w:trPr>
        <w:tc>
          <w:tcPr>
            <w:tcW w:w="8783" w:type="dxa"/>
            <w:gridSpan w:val="10"/>
            <w:noWrap/>
            <w:vAlign w:val="bottom"/>
          </w:tcPr>
          <w:p w:rsidR="00662946" w:rsidRDefault="00662946">
            <w:pPr>
              <w:spacing w:after="120"/>
              <w:jc w:val="both"/>
              <w:rPr>
                <w:rFonts w:hint="cs"/>
                <w:b/>
                <w:sz w:val="30"/>
                <w:rtl/>
                <w:lang w:bidi="ar-EG"/>
              </w:rPr>
            </w:pPr>
            <w:r>
              <w:rPr>
                <w:rFonts w:hint="cs"/>
                <w:b/>
                <w:sz w:val="30"/>
                <w:rtl/>
                <w:lang w:bidi="ar-EG"/>
              </w:rPr>
              <w:t>المصدر: التقرير الوطني عن حالة المرأة، سانت لوسيا.</w:t>
            </w:r>
          </w:p>
        </w:tc>
      </w:tr>
    </w:tbl>
    <w:p w:rsidR="00662946" w:rsidRDefault="00662946">
      <w:pPr>
        <w:pStyle w:val="SingleTxt"/>
        <w:jc w:val="both"/>
        <w:rPr>
          <w:rFonts w:hint="cs"/>
          <w:rtl/>
          <w:lang w:bidi="ar-EG"/>
        </w:rPr>
      </w:pPr>
      <w:r>
        <w:rPr>
          <w:rFonts w:hint="cs"/>
          <w:rtl/>
          <w:lang w:bidi="ar-EG"/>
        </w:rPr>
        <w:t>7-12</w:t>
      </w:r>
      <w:r>
        <w:rPr>
          <w:rFonts w:hint="cs"/>
          <w:rtl/>
          <w:lang w:bidi="ar-EG"/>
        </w:rPr>
        <w:tab/>
        <w:t>يبرز الجدول الوارد أدناه التقدم الذي أحرزته المرأة في زيادة تمثيلها في المناصب العامة الأخرى مثل مناصب المشرعين وكبار المسؤولين والمديرين. وفي سنة 1980 كانت النساء تشغل 37 في المائة من هذه الوظائف وبحلول سنة 2001 ازدادت هذه النسبة إلى 46 في المائة.</w:t>
      </w:r>
    </w:p>
    <w:p w:rsidR="00662946" w:rsidRDefault="00662946">
      <w:pPr>
        <w:pStyle w:val="SingleTxt"/>
        <w:jc w:val="both"/>
        <w:rPr>
          <w:rFonts w:hint="cs"/>
          <w:rtl/>
          <w:lang w:bidi="ar-EG"/>
        </w:rPr>
      </w:pPr>
    </w:p>
    <w:p w:rsidR="00662946" w:rsidRDefault="00662946">
      <w:pPr>
        <w:pStyle w:val="SingleTxt"/>
        <w:jc w:val="both"/>
        <w:rPr>
          <w:rFonts w:hint="cs"/>
          <w:rtl/>
          <w:lang w:bidi="ar-EG"/>
        </w:rPr>
      </w:pPr>
    </w:p>
    <w:tbl>
      <w:tblPr>
        <w:bidiVisual/>
        <w:tblW w:w="7456" w:type="dxa"/>
        <w:jc w:val="center"/>
        <w:tblLook w:val="0000" w:firstRow="0" w:lastRow="0" w:firstColumn="0" w:lastColumn="0" w:noHBand="0" w:noVBand="0"/>
      </w:tblPr>
      <w:tblGrid>
        <w:gridCol w:w="3194"/>
        <w:gridCol w:w="726"/>
        <w:gridCol w:w="799"/>
        <w:gridCol w:w="726"/>
        <w:gridCol w:w="799"/>
        <w:gridCol w:w="726"/>
        <w:gridCol w:w="799"/>
      </w:tblGrid>
      <w:tr w:rsidR="00662946">
        <w:trPr>
          <w:cantSplit/>
          <w:trHeight w:val="580"/>
          <w:jc w:val="center"/>
        </w:trPr>
        <w:tc>
          <w:tcPr>
            <w:tcW w:w="7456" w:type="dxa"/>
            <w:gridSpan w:val="7"/>
            <w:vMerge w:val="restart"/>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both"/>
              <w:rPr>
                <w:rFonts w:hint="cs"/>
                <w:b/>
                <w:bCs/>
                <w:sz w:val="30"/>
                <w:rtl/>
                <w:lang w:bidi="ar-EG"/>
              </w:rPr>
            </w:pPr>
            <w:r>
              <w:rPr>
                <w:rFonts w:hint="cs"/>
                <w:b/>
                <w:bCs/>
                <w:sz w:val="30"/>
                <w:rtl/>
                <w:lang w:bidi="ar-EG"/>
              </w:rPr>
              <w:t xml:space="preserve">الجدول 7-4: توزيع الأشخاص العاملين في مناصب المشرعين وكبار المسؤولين والمديرين بالنسب المئوية </w:t>
            </w:r>
            <w:r>
              <w:rPr>
                <w:b/>
                <w:bCs/>
                <w:sz w:val="30"/>
                <w:rtl/>
                <w:lang w:bidi="ar-EG"/>
              </w:rPr>
              <w:t>–</w:t>
            </w:r>
            <w:r>
              <w:rPr>
                <w:rFonts w:hint="cs"/>
                <w:b/>
                <w:bCs/>
                <w:sz w:val="30"/>
                <w:rtl/>
                <w:lang w:bidi="ar-EG"/>
              </w:rPr>
              <w:t xml:space="preserve"> 1980، 1993، 2001</w:t>
            </w:r>
          </w:p>
        </w:tc>
      </w:tr>
      <w:tr w:rsidR="00662946">
        <w:trPr>
          <w:cantSplit/>
          <w:trHeight w:val="552"/>
          <w:jc w:val="center"/>
        </w:trPr>
        <w:tc>
          <w:tcPr>
            <w:tcW w:w="7456" w:type="dxa"/>
            <w:gridSpan w:val="7"/>
            <w:vMerge/>
            <w:tcBorders>
              <w:top w:val="single" w:sz="4" w:space="0" w:color="auto"/>
              <w:left w:val="single" w:sz="4" w:space="0" w:color="auto"/>
              <w:bottom w:val="single" w:sz="4" w:space="0" w:color="auto"/>
              <w:right w:val="single" w:sz="4" w:space="0" w:color="auto"/>
            </w:tcBorders>
            <w:vAlign w:val="center"/>
          </w:tcPr>
          <w:p w:rsidR="00662946" w:rsidRDefault="00662946">
            <w:pPr>
              <w:spacing w:after="120"/>
              <w:jc w:val="both"/>
              <w:rPr>
                <w:b/>
                <w:bCs/>
                <w:sz w:val="30"/>
              </w:rPr>
            </w:pPr>
          </w:p>
        </w:tc>
      </w:tr>
      <w:tr w:rsidR="00662946">
        <w:trPr>
          <w:cantSplit/>
          <w:trHeight w:val="255"/>
          <w:jc w:val="center"/>
        </w:trPr>
        <w:tc>
          <w:tcPr>
            <w:tcW w:w="3194" w:type="dxa"/>
            <w:vMerge w:val="restart"/>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المنصب</w:t>
            </w:r>
          </w:p>
        </w:tc>
        <w:tc>
          <w:tcPr>
            <w:tcW w:w="1212" w:type="dxa"/>
            <w:gridSpan w:val="2"/>
            <w:tcBorders>
              <w:top w:val="single" w:sz="4" w:space="0" w:color="auto"/>
              <w:left w:val="nil"/>
              <w:bottom w:val="single" w:sz="4" w:space="0" w:color="auto"/>
              <w:right w:val="single" w:sz="4" w:space="0" w:color="auto"/>
            </w:tcBorders>
            <w:vAlign w:val="bottom"/>
          </w:tcPr>
          <w:p w:rsidR="00662946" w:rsidRDefault="00662946">
            <w:pPr>
              <w:spacing w:after="120"/>
              <w:jc w:val="both"/>
              <w:rPr>
                <w:b/>
                <w:bCs/>
                <w:sz w:val="30"/>
              </w:rPr>
            </w:pPr>
            <w:r>
              <w:rPr>
                <w:b/>
                <w:bCs/>
                <w:sz w:val="30"/>
                <w:rtl/>
              </w:rPr>
              <w:t>1980</w:t>
            </w:r>
          </w:p>
        </w:tc>
        <w:tc>
          <w:tcPr>
            <w:tcW w:w="1525" w:type="dxa"/>
            <w:gridSpan w:val="2"/>
            <w:tcBorders>
              <w:top w:val="single" w:sz="4" w:space="0" w:color="auto"/>
              <w:left w:val="nil"/>
              <w:bottom w:val="single" w:sz="4" w:space="0" w:color="auto"/>
              <w:right w:val="single" w:sz="4" w:space="0" w:color="auto"/>
            </w:tcBorders>
            <w:vAlign w:val="bottom"/>
          </w:tcPr>
          <w:p w:rsidR="00662946" w:rsidRDefault="00662946">
            <w:pPr>
              <w:spacing w:after="120"/>
              <w:jc w:val="both"/>
              <w:rPr>
                <w:b/>
                <w:bCs/>
                <w:sz w:val="30"/>
              </w:rPr>
            </w:pPr>
            <w:r>
              <w:rPr>
                <w:b/>
                <w:bCs/>
                <w:sz w:val="30"/>
                <w:rtl/>
              </w:rPr>
              <w:t>1993</w:t>
            </w:r>
          </w:p>
        </w:tc>
        <w:tc>
          <w:tcPr>
            <w:tcW w:w="1525" w:type="dxa"/>
            <w:gridSpan w:val="2"/>
            <w:tcBorders>
              <w:top w:val="single" w:sz="4" w:space="0" w:color="auto"/>
              <w:left w:val="nil"/>
              <w:bottom w:val="single" w:sz="4" w:space="0" w:color="auto"/>
              <w:right w:val="single" w:sz="4" w:space="0" w:color="auto"/>
            </w:tcBorders>
            <w:vAlign w:val="bottom"/>
          </w:tcPr>
          <w:p w:rsidR="00662946" w:rsidRDefault="00662946">
            <w:pPr>
              <w:spacing w:after="120"/>
              <w:jc w:val="both"/>
              <w:rPr>
                <w:b/>
                <w:bCs/>
                <w:sz w:val="30"/>
              </w:rPr>
            </w:pPr>
            <w:r>
              <w:rPr>
                <w:b/>
                <w:bCs/>
                <w:sz w:val="30"/>
                <w:rtl/>
              </w:rPr>
              <w:t>2001</w:t>
            </w:r>
          </w:p>
        </w:tc>
      </w:tr>
      <w:tr w:rsidR="00662946">
        <w:trPr>
          <w:cantSplit/>
          <w:trHeight w:val="255"/>
          <w:jc w:val="center"/>
        </w:trPr>
        <w:tc>
          <w:tcPr>
            <w:tcW w:w="3194" w:type="dxa"/>
            <w:vMerge/>
            <w:tcBorders>
              <w:top w:val="single" w:sz="4" w:space="0" w:color="auto"/>
              <w:left w:val="single" w:sz="4" w:space="0" w:color="auto"/>
              <w:bottom w:val="single" w:sz="4" w:space="0" w:color="auto"/>
              <w:right w:val="single" w:sz="4" w:space="0" w:color="auto"/>
            </w:tcBorders>
            <w:vAlign w:val="center"/>
          </w:tcPr>
          <w:p w:rsidR="00662946" w:rsidRDefault="00662946">
            <w:pPr>
              <w:spacing w:after="120"/>
              <w:jc w:val="both"/>
              <w:rPr>
                <w:b/>
                <w:bCs/>
                <w:sz w:val="30"/>
              </w:rPr>
            </w:pPr>
          </w:p>
        </w:tc>
        <w:tc>
          <w:tcPr>
            <w:tcW w:w="413" w:type="dxa"/>
            <w:tcBorders>
              <w:top w:val="single" w:sz="4" w:space="0" w:color="auto"/>
              <w:left w:val="nil"/>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النساء</w:t>
            </w:r>
          </w:p>
        </w:tc>
        <w:tc>
          <w:tcPr>
            <w:tcW w:w="799" w:type="dxa"/>
            <w:tcBorders>
              <w:top w:val="single" w:sz="4" w:space="0" w:color="auto"/>
              <w:left w:val="nil"/>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الرجال</w:t>
            </w:r>
          </w:p>
        </w:tc>
        <w:tc>
          <w:tcPr>
            <w:tcW w:w="726" w:type="dxa"/>
            <w:tcBorders>
              <w:top w:val="single" w:sz="4" w:space="0" w:color="auto"/>
              <w:left w:val="nil"/>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النساء</w:t>
            </w:r>
          </w:p>
        </w:tc>
        <w:tc>
          <w:tcPr>
            <w:tcW w:w="799" w:type="dxa"/>
            <w:tcBorders>
              <w:top w:val="single" w:sz="4" w:space="0" w:color="auto"/>
              <w:left w:val="nil"/>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الرجال</w:t>
            </w:r>
          </w:p>
        </w:tc>
        <w:tc>
          <w:tcPr>
            <w:tcW w:w="726" w:type="dxa"/>
            <w:tcBorders>
              <w:top w:val="single" w:sz="4" w:space="0" w:color="auto"/>
              <w:left w:val="nil"/>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النساء</w:t>
            </w:r>
          </w:p>
        </w:tc>
        <w:tc>
          <w:tcPr>
            <w:tcW w:w="799" w:type="dxa"/>
            <w:tcBorders>
              <w:top w:val="single" w:sz="4" w:space="0" w:color="auto"/>
              <w:left w:val="nil"/>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الرجال</w:t>
            </w:r>
          </w:p>
        </w:tc>
      </w:tr>
      <w:tr w:rsidR="00662946">
        <w:trPr>
          <w:trHeight w:val="552"/>
          <w:jc w:val="center"/>
        </w:trPr>
        <w:tc>
          <w:tcPr>
            <w:tcW w:w="3194" w:type="dxa"/>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both"/>
              <w:rPr>
                <w:rFonts w:hint="cs"/>
                <w:sz w:val="30"/>
              </w:rPr>
            </w:pPr>
            <w:r>
              <w:rPr>
                <w:rFonts w:hint="cs"/>
                <w:sz w:val="30"/>
                <w:rtl/>
              </w:rPr>
              <w:t xml:space="preserve">المشرعون/كبار المسؤولين والمديرون </w:t>
            </w:r>
          </w:p>
        </w:tc>
        <w:tc>
          <w:tcPr>
            <w:tcW w:w="413"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17</w:t>
            </w:r>
          </w:p>
        </w:tc>
        <w:tc>
          <w:tcPr>
            <w:tcW w:w="79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83</w:t>
            </w:r>
          </w:p>
        </w:tc>
        <w:tc>
          <w:tcPr>
            <w:tcW w:w="72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47</w:t>
            </w:r>
          </w:p>
        </w:tc>
        <w:tc>
          <w:tcPr>
            <w:tcW w:w="79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53</w:t>
            </w:r>
          </w:p>
        </w:tc>
        <w:tc>
          <w:tcPr>
            <w:tcW w:w="72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49</w:t>
            </w:r>
          </w:p>
        </w:tc>
        <w:tc>
          <w:tcPr>
            <w:tcW w:w="79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51</w:t>
            </w:r>
          </w:p>
        </w:tc>
      </w:tr>
      <w:tr w:rsidR="00662946">
        <w:trPr>
          <w:trHeight w:val="552"/>
          <w:jc w:val="center"/>
        </w:trPr>
        <w:tc>
          <w:tcPr>
            <w:tcW w:w="3194"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مناصب أخرى</w:t>
            </w:r>
          </w:p>
        </w:tc>
        <w:tc>
          <w:tcPr>
            <w:tcW w:w="413"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37</w:t>
            </w:r>
          </w:p>
        </w:tc>
        <w:tc>
          <w:tcPr>
            <w:tcW w:w="79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63</w:t>
            </w:r>
          </w:p>
        </w:tc>
        <w:tc>
          <w:tcPr>
            <w:tcW w:w="72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41</w:t>
            </w:r>
          </w:p>
        </w:tc>
        <w:tc>
          <w:tcPr>
            <w:tcW w:w="79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59</w:t>
            </w:r>
          </w:p>
        </w:tc>
        <w:tc>
          <w:tcPr>
            <w:tcW w:w="726"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46</w:t>
            </w:r>
          </w:p>
        </w:tc>
        <w:tc>
          <w:tcPr>
            <w:tcW w:w="799"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54</w:t>
            </w:r>
          </w:p>
        </w:tc>
      </w:tr>
      <w:tr w:rsidR="00662946">
        <w:trPr>
          <w:trHeight w:val="435"/>
          <w:jc w:val="center"/>
        </w:trPr>
        <w:tc>
          <w:tcPr>
            <w:tcW w:w="3194"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المجموع</w:t>
            </w:r>
          </w:p>
        </w:tc>
        <w:tc>
          <w:tcPr>
            <w:tcW w:w="413"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b/>
                <w:bCs/>
                <w:sz w:val="30"/>
              </w:rPr>
            </w:pPr>
            <w:r>
              <w:rPr>
                <w:b/>
                <w:bCs/>
                <w:sz w:val="30"/>
                <w:rtl/>
              </w:rPr>
              <w:t>37</w:t>
            </w:r>
          </w:p>
        </w:tc>
        <w:tc>
          <w:tcPr>
            <w:tcW w:w="79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b/>
                <w:bCs/>
                <w:sz w:val="30"/>
              </w:rPr>
            </w:pPr>
            <w:r>
              <w:rPr>
                <w:b/>
                <w:bCs/>
                <w:sz w:val="30"/>
                <w:rtl/>
              </w:rPr>
              <w:t>63</w:t>
            </w:r>
          </w:p>
        </w:tc>
        <w:tc>
          <w:tcPr>
            <w:tcW w:w="726"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b/>
                <w:bCs/>
                <w:sz w:val="30"/>
              </w:rPr>
            </w:pPr>
            <w:r>
              <w:rPr>
                <w:b/>
                <w:bCs/>
                <w:sz w:val="30"/>
                <w:rtl/>
              </w:rPr>
              <w:t>41</w:t>
            </w:r>
          </w:p>
        </w:tc>
        <w:tc>
          <w:tcPr>
            <w:tcW w:w="79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b/>
                <w:bCs/>
                <w:sz w:val="30"/>
              </w:rPr>
            </w:pPr>
            <w:r>
              <w:rPr>
                <w:b/>
                <w:bCs/>
                <w:sz w:val="30"/>
                <w:rtl/>
              </w:rPr>
              <w:t>59</w:t>
            </w:r>
          </w:p>
        </w:tc>
        <w:tc>
          <w:tcPr>
            <w:tcW w:w="726"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b/>
                <w:bCs/>
                <w:sz w:val="30"/>
              </w:rPr>
            </w:pPr>
            <w:r>
              <w:rPr>
                <w:b/>
                <w:bCs/>
                <w:sz w:val="30"/>
                <w:rtl/>
              </w:rPr>
              <w:t>46</w:t>
            </w:r>
          </w:p>
        </w:tc>
        <w:tc>
          <w:tcPr>
            <w:tcW w:w="79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b/>
                <w:bCs/>
                <w:sz w:val="30"/>
              </w:rPr>
            </w:pPr>
            <w:r>
              <w:rPr>
                <w:b/>
                <w:bCs/>
                <w:sz w:val="30"/>
                <w:rtl/>
              </w:rPr>
              <w:t>54</w:t>
            </w:r>
          </w:p>
        </w:tc>
      </w:tr>
      <w:tr w:rsidR="00662946">
        <w:trPr>
          <w:trHeight w:val="552"/>
          <w:jc w:val="center"/>
        </w:trPr>
        <w:tc>
          <w:tcPr>
            <w:tcW w:w="7456" w:type="dxa"/>
            <w:gridSpan w:val="7"/>
            <w:tcBorders>
              <w:top w:val="single" w:sz="4" w:space="0" w:color="auto"/>
              <w:left w:val="single" w:sz="4" w:space="0" w:color="auto"/>
              <w:bottom w:val="single" w:sz="4" w:space="0" w:color="auto"/>
              <w:right w:val="single" w:sz="4" w:space="0" w:color="auto"/>
            </w:tcBorders>
          </w:tcPr>
          <w:p w:rsidR="00662946" w:rsidRDefault="00662946">
            <w:pPr>
              <w:spacing w:after="120"/>
              <w:jc w:val="both"/>
              <w:rPr>
                <w:rFonts w:hint="cs"/>
                <w:sz w:val="30"/>
              </w:rPr>
            </w:pPr>
            <w:r>
              <w:rPr>
                <w:rFonts w:hint="cs"/>
                <w:sz w:val="30"/>
                <w:rtl/>
              </w:rPr>
              <w:t>المصدر: النساء والرجال في الدول الأعضاء في كاري كوم: السلطة واتخاذ القرارات، 1980-2002.</w:t>
            </w:r>
          </w:p>
        </w:tc>
      </w:tr>
    </w:tbl>
    <w:p w:rsidR="00662946" w:rsidRDefault="00662946">
      <w:pPr>
        <w:pStyle w:val="SingleTxt"/>
        <w:jc w:val="both"/>
        <w:rPr>
          <w:rFonts w:hint="cs"/>
          <w:rtl/>
          <w:lang w:bidi="ar-EG"/>
        </w:rPr>
      </w:pPr>
    </w:p>
    <w:p w:rsidR="00662946" w:rsidRDefault="00662946">
      <w:pPr>
        <w:pStyle w:val="SingleTxt"/>
        <w:jc w:val="both"/>
        <w:rPr>
          <w:rFonts w:hint="cs"/>
          <w:b/>
          <w:bCs/>
          <w:rtl/>
          <w:lang w:bidi="ar-EG"/>
        </w:rPr>
      </w:pPr>
      <w:r>
        <w:rPr>
          <w:rFonts w:hint="cs"/>
          <w:b/>
          <w:bCs/>
          <w:rtl/>
          <w:lang w:bidi="ar-EG"/>
        </w:rPr>
        <w:t>المرأة في الحكومة المحلية، الحكم المحلي</w:t>
      </w:r>
    </w:p>
    <w:p w:rsidR="00662946" w:rsidRDefault="00662946">
      <w:pPr>
        <w:pStyle w:val="SingleTxt"/>
        <w:jc w:val="both"/>
        <w:rPr>
          <w:rFonts w:hint="cs"/>
          <w:rtl/>
          <w:lang w:bidi="ar-EG"/>
        </w:rPr>
      </w:pPr>
      <w:r>
        <w:rPr>
          <w:rFonts w:hint="cs"/>
          <w:rtl/>
          <w:lang w:bidi="ar-EG"/>
        </w:rPr>
        <w:t>7-13 يجري في سانت لوسيا استعراض نظام الحكم المحلي بصورة مكثفة بهدف إصلاح وتقوية سلطة ومهام المجالس المحلية. وتقوم الحكومة المركزية في الوقت الحاضر بتعيين أعضاء المجالس المحلية للمدن والمجالس القروية. وخلال الثلاث سنوات قيد الاستعراض في الجدول 7-5 الوارد أدناه تعرضت مشاركة المرأة في الحكم المحلي لزيادة هائلة ثم لانخفاض طفيف. وعلى وجه العموم زادت مشاركة المرأة في الحكم المحلي بقدر أكبر مما زادت على مستوى الحكومة المركزية. وفي سنة 2001 كانت النساء تشغل 35 في المائة من الوظائف في وظائف الحكم المحلي في حين كانت تشغل 21 في المائة من مناصب الحكومة المركزية. وخلال الفترة من سنة 1992 إلى سنة 1997 شغلت سيدة منصب عمدة عاصمة كاستريز. وكانت هذه هي أول مرة تشغل فيها امرأة هذا المنصب في سانت لوسيا.</w:t>
      </w:r>
    </w:p>
    <w:tbl>
      <w:tblPr>
        <w:bidiVisual/>
        <w:tblW w:w="7232" w:type="dxa"/>
        <w:jc w:val="center"/>
        <w:tblLook w:val="0000" w:firstRow="0" w:lastRow="0" w:firstColumn="0" w:lastColumn="0" w:noHBand="0" w:noVBand="0"/>
      </w:tblPr>
      <w:tblGrid>
        <w:gridCol w:w="2670"/>
        <w:gridCol w:w="726"/>
        <w:gridCol w:w="799"/>
        <w:gridCol w:w="726"/>
        <w:gridCol w:w="799"/>
        <w:gridCol w:w="726"/>
        <w:gridCol w:w="799"/>
      </w:tblGrid>
      <w:tr w:rsidR="00662946">
        <w:trPr>
          <w:trHeight w:val="552"/>
          <w:jc w:val="center"/>
        </w:trPr>
        <w:tc>
          <w:tcPr>
            <w:tcW w:w="7232" w:type="dxa"/>
            <w:gridSpan w:val="7"/>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center"/>
              <w:rPr>
                <w:rFonts w:hint="cs"/>
                <w:b/>
                <w:bCs/>
                <w:sz w:val="30"/>
              </w:rPr>
            </w:pPr>
            <w:r>
              <w:rPr>
                <w:rFonts w:hint="cs"/>
                <w:b/>
                <w:bCs/>
                <w:sz w:val="30"/>
                <w:rtl/>
              </w:rPr>
              <w:t>الجدول 7-5: توزيع الأشخاص الذين يشغلون وظائف حكومية على المستوى المحلي ومستوى الأحياء والمستوى الإقليمي، 1980، 1993، 2001</w:t>
            </w:r>
          </w:p>
        </w:tc>
      </w:tr>
      <w:tr w:rsidR="00662946">
        <w:trPr>
          <w:cantSplit/>
          <w:trHeight w:val="255"/>
          <w:jc w:val="center"/>
        </w:trPr>
        <w:tc>
          <w:tcPr>
            <w:tcW w:w="2670" w:type="dxa"/>
            <w:vMerge w:val="restart"/>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الوظيفة</w:t>
            </w:r>
          </w:p>
        </w:tc>
        <w:tc>
          <w:tcPr>
            <w:tcW w:w="1512" w:type="dxa"/>
            <w:gridSpan w:val="2"/>
            <w:tcBorders>
              <w:top w:val="single" w:sz="4" w:space="0" w:color="auto"/>
              <w:left w:val="nil"/>
              <w:bottom w:val="single" w:sz="4" w:space="0" w:color="auto"/>
              <w:right w:val="single" w:sz="4" w:space="0" w:color="auto"/>
            </w:tcBorders>
            <w:vAlign w:val="bottom"/>
          </w:tcPr>
          <w:p w:rsidR="00662946" w:rsidRDefault="00662946">
            <w:pPr>
              <w:spacing w:after="120"/>
              <w:jc w:val="center"/>
              <w:rPr>
                <w:b/>
                <w:bCs/>
                <w:sz w:val="30"/>
              </w:rPr>
            </w:pPr>
            <w:r>
              <w:rPr>
                <w:b/>
                <w:bCs/>
                <w:sz w:val="30"/>
                <w:rtl/>
              </w:rPr>
              <w:t>1980</w:t>
            </w:r>
          </w:p>
        </w:tc>
        <w:tc>
          <w:tcPr>
            <w:tcW w:w="1525" w:type="dxa"/>
            <w:gridSpan w:val="2"/>
            <w:tcBorders>
              <w:top w:val="single" w:sz="4" w:space="0" w:color="auto"/>
              <w:left w:val="nil"/>
              <w:bottom w:val="single" w:sz="4" w:space="0" w:color="auto"/>
              <w:right w:val="single" w:sz="4" w:space="0" w:color="auto"/>
            </w:tcBorders>
            <w:vAlign w:val="bottom"/>
          </w:tcPr>
          <w:p w:rsidR="00662946" w:rsidRDefault="00662946">
            <w:pPr>
              <w:spacing w:after="120"/>
              <w:jc w:val="center"/>
              <w:rPr>
                <w:b/>
                <w:bCs/>
                <w:sz w:val="30"/>
              </w:rPr>
            </w:pPr>
            <w:r>
              <w:rPr>
                <w:b/>
                <w:bCs/>
                <w:sz w:val="30"/>
                <w:rtl/>
              </w:rPr>
              <w:t>1993</w:t>
            </w:r>
          </w:p>
        </w:tc>
        <w:tc>
          <w:tcPr>
            <w:tcW w:w="1525" w:type="dxa"/>
            <w:gridSpan w:val="2"/>
            <w:tcBorders>
              <w:top w:val="single" w:sz="4" w:space="0" w:color="auto"/>
              <w:left w:val="nil"/>
              <w:bottom w:val="single" w:sz="4" w:space="0" w:color="auto"/>
              <w:right w:val="single" w:sz="4" w:space="0" w:color="auto"/>
            </w:tcBorders>
            <w:vAlign w:val="bottom"/>
          </w:tcPr>
          <w:p w:rsidR="00662946" w:rsidRDefault="00662946">
            <w:pPr>
              <w:spacing w:after="120"/>
              <w:jc w:val="center"/>
              <w:rPr>
                <w:b/>
                <w:bCs/>
                <w:sz w:val="30"/>
              </w:rPr>
            </w:pPr>
            <w:r>
              <w:rPr>
                <w:b/>
                <w:bCs/>
                <w:sz w:val="30"/>
                <w:rtl/>
              </w:rPr>
              <w:t>2001</w:t>
            </w:r>
          </w:p>
        </w:tc>
      </w:tr>
      <w:tr w:rsidR="00662946">
        <w:trPr>
          <w:cantSplit/>
          <w:trHeight w:val="255"/>
          <w:jc w:val="center"/>
        </w:trPr>
        <w:tc>
          <w:tcPr>
            <w:tcW w:w="2670" w:type="dxa"/>
            <w:vMerge/>
            <w:tcBorders>
              <w:top w:val="nil"/>
              <w:left w:val="single" w:sz="4" w:space="0" w:color="auto"/>
              <w:bottom w:val="single" w:sz="4" w:space="0" w:color="auto"/>
              <w:right w:val="single" w:sz="4" w:space="0" w:color="auto"/>
            </w:tcBorders>
            <w:vAlign w:val="center"/>
          </w:tcPr>
          <w:p w:rsidR="00662946" w:rsidRDefault="00662946">
            <w:pPr>
              <w:spacing w:after="120"/>
              <w:jc w:val="both"/>
              <w:rPr>
                <w:b/>
                <w:bCs/>
                <w:sz w:val="30"/>
              </w:rPr>
            </w:pPr>
          </w:p>
        </w:tc>
        <w:tc>
          <w:tcPr>
            <w:tcW w:w="713" w:type="dxa"/>
            <w:tcBorders>
              <w:top w:val="nil"/>
              <w:left w:val="nil"/>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النساء</w:t>
            </w:r>
          </w:p>
        </w:tc>
        <w:tc>
          <w:tcPr>
            <w:tcW w:w="799" w:type="dxa"/>
            <w:tcBorders>
              <w:top w:val="nil"/>
              <w:left w:val="nil"/>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الرجال</w:t>
            </w:r>
          </w:p>
        </w:tc>
        <w:tc>
          <w:tcPr>
            <w:tcW w:w="726" w:type="dxa"/>
            <w:tcBorders>
              <w:top w:val="nil"/>
              <w:left w:val="nil"/>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النساء</w:t>
            </w:r>
          </w:p>
        </w:tc>
        <w:tc>
          <w:tcPr>
            <w:tcW w:w="799" w:type="dxa"/>
            <w:tcBorders>
              <w:top w:val="nil"/>
              <w:left w:val="nil"/>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الرجال</w:t>
            </w:r>
          </w:p>
        </w:tc>
        <w:tc>
          <w:tcPr>
            <w:tcW w:w="726" w:type="dxa"/>
            <w:tcBorders>
              <w:top w:val="nil"/>
              <w:left w:val="nil"/>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النساء</w:t>
            </w:r>
          </w:p>
        </w:tc>
        <w:tc>
          <w:tcPr>
            <w:tcW w:w="799" w:type="dxa"/>
            <w:tcBorders>
              <w:top w:val="nil"/>
              <w:left w:val="nil"/>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الرجال</w:t>
            </w:r>
          </w:p>
        </w:tc>
      </w:tr>
      <w:tr w:rsidR="00662946">
        <w:trPr>
          <w:trHeight w:val="255"/>
          <w:jc w:val="center"/>
        </w:trPr>
        <w:tc>
          <w:tcPr>
            <w:tcW w:w="267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العمدة/مجلس المدينة رئيس</w:t>
            </w:r>
          </w:p>
        </w:tc>
        <w:tc>
          <w:tcPr>
            <w:tcW w:w="713"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صفر</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100</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100</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100</w:t>
            </w:r>
          </w:p>
        </w:tc>
      </w:tr>
      <w:tr w:rsidR="00662946">
        <w:trPr>
          <w:trHeight w:val="255"/>
          <w:jc w:val="center"/>
        </w:trPr>
        <w:tc>
          <w:tcPr>
            <w:tcW w:w="267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رئيس مجلس المدينة</w:t>
            </w:r>
          </w:p>
        </w:tc>
        <w:tc>
          <w:tcPr>
            <w:tcW w:w="713"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100</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100</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100</w:t>
            </w:r>
          </w:p>
        </w:tc>
      </w:tr>
      <w:tr w:rsidR="00662946">
        <w:trPr>
          <w:trHeight w:val="255"/>
          <w:jc w:val="center"/>
        </w:trPr>
        <w:tc>
          <w:tcPr>
            <w:tcW w:w="267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أعضاء مجلس المدينة</w:t>
            </w:r>
          </w:p>
        </w:tc>
        <w:tc>
          <w:tcPr>
            <w:tcW w:w="713"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100</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22</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78</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33</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67</w:t>
            </w:r>
          </w:p>
        </w:tc>
      </w:tr>
      <w:tr w:rsidR="00662946">
        <w:trPr>
          <w:trHeight w:val="255"/>
          <w:jc w:val="center"/>
        </w:trPr>
        <w:tc>
          <w:tcPr>
            <w:tcW w:w="267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أعضاء المجلس البلدي</w:t>
            </w:r>
          </w:p>
        </w:tc>
        <w:tc>
          <w:tcPr>
            <w:tcW w:w="713"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rFonts w:hint="cs"/>
                <w:sz w:val="30"/>
                <w:rtl/>
              </w:rPr>
              <w:t>صفر</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100</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38</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62</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38</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62</w:t>
            </w:r>
          </w:p>
        </w:tc>
      </w:tr>
      <w:tr w:rsidR="00662946">
        <w:trPr>
          <w:trHeight w:val="255"/>
          <w:jc w:val="center"/>
        </w:trPr>
        <w:tc>
          <w:tcPr>
            <w:tcW w:w="267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رؤساء المجالس القروية</w:t>
            </w:r>
          </w:p>
        </w:tc>
        <w:tc>
          <w:tcPr>
            <w:tcW w:w="713"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17</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83</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40</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60</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33</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67</w:t>
            </w:r>
          </w:p>
        </w:tc>
      </w:tr>
      <w:tr w:rsidR="00662946">
        <w:trPr>
          <w:trHeight w:val="255"/>
          <w:jc w:val="center"/>
        </w:trPr>
        <w:tc>
          <w:tcPr>
            <w:tcW w:w="267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b/>
                <w:sz w:val="30"/>
              </w:rPr>
            </w:pPr>
            <w:r>
              <w:rPr>
                <w:rFonts w:hint="cs"/>
                <w:b/>
                <w:sz w:val="30"/>
                <w:rtl/>
              </w:rPr>
              <w:t>أعضاء المجالس القروية</w:t>
            </w:r>
          </w:p>
        </w:tc>
        <w:tc>
          <w:tcPr>
            <w:tcW w:w="713"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36</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64</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47</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53</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37</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63</w:t>
            </w:r>
          </w:p>
        </w:tc>
      </w:tr>
      <w:tr w:rsidR="00662946">
        <w:trPr>
          <w:trHeight w:val="255"/>
          <w:jc w:val="center"/>
        </w:trPr>
        <w:tc>
          <w:tcPr>
            <w:tcW w:w="2670"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b/>
                <w:sz w:val="30"/>
              </w:rPr>
            </w:pPr>
            <w:r>
              <w:rPr>
                <w:rFonts w:hint="cs"/>
                <w:b/>
                <w:sz w:val="30"/>
                <w:rtl/>
              </w:rPr>
              <w:t>المجموع</w:t>
            </w:r>
          </w:p>
        </w:tc>
        <w:tc>
          <w:tcPr>
            <w:tcW w:w="713"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22</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78</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40</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60</w:t>
            </w:r>
          </w:p>
        </w:tc>
        <w:tc>
          <w:tcPr>
            <w:tcW w:w="726"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35</w:t>
            </w:r>
          </w:p>
        </w:tc>
        <w:tc>
          <w:tcPr>
            <w:tcW w:w="799" w:type="dxa"/>
            <w:tcBorders>
              <w:top w:val="nil"/>
              <w:left w:val="nil"/>
              <w:bottom w:val="single" w:sz="4" w:space="0" w:color="auto"/>
              <w:right w:val="single" w:sz="4" w:space="0" w:color="auto"/>
            </w:tcBorders>
            <w:noWrap/>
            <w:vAlign w:val="bottom"/>
          </w:tcPr>
          <w:p w:rsidR="00662946" w:rsidRDefault="00662946">
            <w:pPr>
              <w:spacing w:after="120"/>
              <w:jc w:val="both"/>
              <w:rPr>
                <w:b/>
                <w:sz w:val="30"/>
              </w:rPr>
            </w:pPr>
            <w:r>
              <w:rPr>
                <w:b/>
                <w:sz w:val="30"/>
                <w:rtl/>
              </w:rPr>
              <w:t>65</w:t>
            </w:r>
          </w:p>
        </w:tc>
      </w:tr>
      <w:tr w:rsidR="00662946">
        <w:trPr>
          <w:trHeight w:val="255"/>
          <w:jc w:val="center"/>
        </w:trPr>
        <w:tc>
          <w:tcPr>
            <w:tcW w:w="7232" w:type="dxa"/>
            <w:gridSpan w:val="7"/>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المصدر: التقرير الوطني عن حالة المرأة، سانت لوسيا.</w:t>
            </w:r>
          </w:p>
        </w:tc>
      </w:tr>
    </w:tbl>
    <w:p w:rsidR="00662946" w:rsidRDefault="00662946">
      <w:pPr>
        <w:pStyle w:val="SingleTxt"/>
        <w:jc w:val="both"/>
        <w:rPr>
          <w:rFonts w:hint="cs"/>
          <w:rtl/>
          <w:lang w:bidi="ar-EG"/>
        </w:rPr>
      </w:pPr>
    </w:p>
    <w:p w:rsidR="00662946" w:rsidRDefault="00662946">
      <w:pPr>
        <w:pStyle w:val="SingleTxt"/>
        <w:jc w:val="both"/>
        <w:rPr>
          <w:rFonts w:hint="cs"/>
          <w:b/>
          <w:bCs/>
          <w:rtl/>
          <w:lang w:bidi="ar-EG"/>
        </w:rPr>
      </w:pPr>
      <w:r>
        <w:rPr>
          <w:rFonts w:hint="cs"/>
          <w:b/>
          <w:bCs/>
          <w:rtl/>
          <w:lang w:bidi="ar-EG"/>
        </w:rPr>
        <w:t>مشاركة المرأة في المنظمات غير الحكومية</w:t>
      </w:r>
    </w:p>
    <w:p w:rsidR="00662946" w:rsidRDefault="00662946">
      <w:pPr>
        <w:pStyle w:val="SingleTxt"/>
        <w:jc w:val="both"/>
        <w:rPr>
          <w:rFonts w:hint="cs"/>
          <w:rtl/>
          <w:lang w:bidi="ar-EG"/>
        </w:rPr>
      </w:pPr>
      <w:r>
        <w:rPr>
          <w:rFonts w:hint="cs"/>
          <w:rtl/>
          <w:lang w:bidi="ar-EG"/>
        </w:rPr>
        <w:t>7-14</w:t>
      </w:r>
      <w:r>
        <w:rPr>
          <w:rFonts w:hint="cs"/>
          <w:rtl/>
          <w:lang w:bidi="ar-EG"/>
        </w:rPr>
        <w:tab/>
        <w:t>تاريخ مشاركة المرأة في المنظمات غير الحكومية حافل في مسعى للتأثير في الحياة العامة والسياسية في سانت لوسيا. وكانت الجمعية النسائية لسانت لوسيا المنشأة في سنة 1951 أول منظمة غير حكومية معروفة ترمي إلى تعزيز مصالح المرأة. ونشأت هذه المنظمة من الاعتراف بضرورة وضع برامج لتنمية المرأة. وكانت المنظمة النسائية لسانت لوسيا تعمل على المستوى المحلي فحسب ولم يكن مداها يشمل الجزيرة بأكملها.</w:t>
      </w:r>
    </w:p>
    <w:p w:rsidR="00662946" w:rsidRDefault="00662946">
      <w:pPr>
        <w:pStyle w:val="SingleTxt"/>
        <w:jc w:val="both"/>
        <w:rPr>
          <w:rFonts w:hint="cs"/>
          <w:rtl/>
          <w:lang w:bidi="ar-EG"/>
        </w:rPr>
      </w:pPr>
      <w:r>
        <w:rPr>
          <w:rFonts w:hint="cs"/>
          <w:rtl/>
          <w:lang w:bidi="ar-EG"/>
        </w:rPr>
        <w:t>7-15</w:t>
      </w:r>
      <w:r>
        <w:rPr>
          <w:rFonts w:hint="cs"/>
          <w:rtl/>
          <w:lang w:bidi="ar-EG"/>
        </w:rPr>
        <w:tab/>
        <w:t xml:space="preserve">بعد مؤتمرين نسائيين إقليمين عُقدا في المكسيك وكوبا في سنة 1975 مُنحا تكليف بتنظيم جمعيات نسائية في الدول الأعضاء لتوعية الدول الأعضاء بحالة المرأة في ميادين العمل والصحة والتجارة والتنمية الريفية والعمالة. ونتيجة لذلك أنشئ المجلس الوطني للمنظمات النسائية الطوعية في سنة 1975 وأضفيت عليه الصبغة الرسمية بعد ذلك بعامين. ومهمة هذه المنظمة </w:t>
      </w:r>
      <w:r>
        <w:rPr>
          <w:rFonts w:hint="eastAsia"/>
          <w:rtl/>
          <w:lang w:bidi="ar-EG"/>
        </w:rPr>
        <w:t>”غير السياسية</w:t>
      </w:r>
      <w:r>
        <w:rPr>
          <w:rFonts w:hint="cs"/>
          <w:rtl/>
          <w:lang w:bidi="ar-EG"/>
        </w:rPr>
        <w:t xml:space="preserve">“ هي </w:t>
      </w:r>
      <w:r>
        <w:rPr>
          <w:rFonts w:hint="eastAsia"/>
          <w:rtl/>
          <w:lang w:bidi="ar-EG"/>
        </w:rPr>
        <w:t>”تعزيز المساواة بين الرجل والمرأة</w:t>
      </w:r>
      <w:r>
        <w:rPr>
          <w:rFonts w:hint="cs"/>
          <w:rtl/>
          <w:lang w:bidi="ar-EG"/>
        </w:rPr>
        <w:t xml:space="preserve"> </w:t>
      </w:r>
      <w:r>
        <w:rPr>
          <w:rFonts w:hint="eastAsia"/>
          <w:rtl/>
          <w:lang w:bidi="ar-EG"/>
        </w:rPr>
        <w:t xml:space="preserve">فيما يتعلق بحقوق الإنسان حيث </w:t>
      </w:r>
      <w:r>
        <w:rPr>
          <w:rFonts w:hint="cs"/>
          <w:rtl/>
          <w:lang w:bidi="ar-EG"/>
        </w:rPr>
        <w:t>إ</w:t>
      </w:r>
      <w:r>
        <w:rPr>
          <w:rFonts w:hint="eastAsia"/>
          <w:rtl/>
          <w:lang w:bidi="ar-EG"/>
        </w:rPr>
        <w:t xml:space="preserve">ن المنظمة ملتزمة بتحسين </w:t>
      </w:r>
      <w:r>
        <w:rPr>
          <w:rFonts w:hint="cs"/>
          <w:rtl/>
          <w:lang w:bidi="ar-EG"/>
        </w:rPr>
        <w:t>”نوعية حياة</w:t>
      </w:r>
      <w:r>
        <w:rPr>
          <w:rFonts w:hint="eastAsia"/>
          <w:rtl/>
          <w:lang w:bidi="ar-EG"/>
        </w:rPr>
        <w:t xml:space="preserve">“ </w:t>
      </w:r>
      <w:r>
        <w:rPr>
          <w:rFonts w:hint="cs"/>
          <w:rtl/>
          <w:lang w:bidi="ar-EG"/>
        </w:rPr>
        <w:t>المرأة وأسرتها دونما تمييز على أساس العرق أو الجنس أو المعتقد</w:t>
      </w:r>
      <w:r>
        <w:rPr>
          <w:rFonts w:hint="eastAsia"/>
          <w:rtl/>
          <w:lang w:bidi="ar-EG"/>
        </w:rPr>
        <w:t>“.</w:t>
      </w:r>
    </w:p>
    <w:p w:rsidR="00662946" w:rsidRDefault="00662946">
      <w:pPr>
        <w:pStyle w:val="SingleTxt"/>
        <w:jc w:val="both"/>
        <w:rPr>
          <w:rFonts w:hint="cs"/>
          <w:rtl/>
          <w:lang w:bidi="ar-EG"/>
        </w:rPr>
      </w:pPr>
      <w:r>
        <w:rPr>
          <w:rFonts w:hint="cs"/>
          <w:rtl/>
          <w:lang w:bidi="ar-EG"/>
        </w:rPr>
        <w:t>7-16</w:t>
      </w:r>
      <w:r>
        <w:rPr>
          <w:rFonts w:hint="cs"/>
          <w:rtl/>
          <w:lang w:bidi="ar-EG"/>
        </w:rPr>
        <w:tab/>
        <w:t xml:space="preserve">فضلاً عن ذلك فإن لهذا المجلس تسعة أهداف خاصة تعبر عن التزام المجلس بتعزيز رفاهية المرأة مباشرة وعن طريق تقوية التضامن بين المنظمات النسائية في سانت لوسيا وفي الخارج. وهذه الأهداف هي: </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1 -</w:t>
      </w:r>
      <w:r>
        <w:rPr>
          <w:rFonts w:hint="cs"/>
          <w:rtl/>
          <w:lang w:bidi="ar-EG"/>
        </w:rPr>
        <w:tab/>
        <w:t>العمل على إيجاد محفل مشترك للمنظمات النسائية في الدولة.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2 -</w:t>
      </w:r>
      <w:r>
        <w:rPr>
          <w:rFonts w:hint="cs"/>
          <w:rtl/>
          <w:lang w:bidi="ar-EG"/>
        </w:rPr>
        <w:tab/>
        <w:t>العمل على إيجاد ودعم وتشجيع وتأسيس تدابير لتنمية المرأة في الدولة.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3 -</w:t>
      </w:r>
      <w:r>
        <w:rPr>
          <w:rFonts w:hint="cs"/>
          <w:rtl/>
          <w:lang w:bidi="ar-EG"/>
        </w:rPr>
        <w:tab/>
        <w:t>العمل على بلوغ مستويات أعلى من الخدمة عن طريق تعليم وتدريب جميع النساء بغض النظر عن المهنة أو العمالة.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4 -</w:t>
      </w:r>
      <w:r>
        <w:rPr>
          <w:rFonts w:hint="cs"/>
          <w:rtl/>
          <w:lang w:bidi="ar-EG"/>
        </w:rPr>
        <w:tab/>
        <w:t>نشر العلاقات الودية والتفاهم بين جميع النساء، وبناء التضامن والسلم والود في الدولة وفي المنطقة الكاريبية ثم في جميع أنحاء العالم.</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5 -</w:t>
      </w:r>
      <w:r>
        <w:rPr>
          <w:rFonts w:hint="cs"/>
          <w:rtl/>
          <w:lang w:bidi="ar-EG"/>
        </w:rPr>
        <w:tab/>
        <w:t>تشجيع جميع النساء بغض النظر عن وضعهن أو تجمعهن على اكتشاف قيمتهن الحقيقية ومسؤوليتهن تجاه المجتمع في سانت لوسيا، وذلك بزيادة وعيهن لحقوقهن.</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6 -</w:t>
      </w:r>
      <w:r>
        <w:rPr>
          <w:rFonts w:hint="cs"/>
          <w:rtl/>
          <w:lang w:bidi="ar-EG"/>
        </w:rPr>
        <w:tab/>
        <w:t>التشجيع على إيجاد آليات لدعم النساء والأسر التي تعيش في ظروف صعبة.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7 -</w:t>
      </w:r>
      <w:r>
        <w:rPr>
          <w:rFonts w:hint="cs"/>
          <w:rtl/>
          <w:lang w:bidi="ar-EG"/>
        </w:rPr>
        <w:tab/>
        <w:t>تعزيز رفاهية جميع النساء بالتشجيع على المساواة بين الرجل والمرأة في المركز والتوظيف والتدريب وتكافؤ الفرص حتى تأخذ المرأة مكانها على قدم المساواة مع الرجل في شؤون الدولة.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8 -</w:t>
      </w:r>
      <w:r>
        <w:rPr>
          <w:rFonts w:hint="cs"/>
          <w:rtl/>
          <w:lang w:bidi="ar-EG"/>
        </w:rPr>
        <w:tab/>
        <w:t>التشجيع على تقدير المرأة على المستوى الوطني بالنشر عن مساهمتها المهمة في المجتمع.</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9 -</w:t>
      </w:r>
      <w:r>
        <w:rPr>
          <w:rFonts w:hint="cs"/>
          <w:rtl/>
          <w:lang w:bidi="ar-EG"/>
        </w:rPr>
        <w:tab/>
        <w:t>التأثير في عملية التنمية على المستويات الوطنية والمجتمعية والأسرية بتعزيز وتنفيذ تدابير ترمي إلى تمكين المرأة، إن أمكن، وبذلك تكفل التنمية المنصفة والمستدامة في الدولة.</w:t>
      </w:r>
    </w:p>
    <w:p w:rsidR="00662946" w:rsidRDefault="00662946">
      <w:pPr>
        <w:pStyle w:val="SingleTxt"/>
        <w:jc w:val="both"/>
        <w:rPr>
          <w:rFonts w:hint="cs"/>
          <w:rtl/>
          <w:lang w:bidi="ar-EG"/>
        </w:rPr>
      </w:pPr>
      <w:r>
        <w:rPr>
          <w:rFonts w:hint="cs"/>
          <w:rtl/>
          <w:lang w:bidi="ar-EG"/>
        </w:rPr>
        <w:t>7-17</w:t>
      </w:r>
      <w:r>
        <w:rPr>
          <w:rFonts w:hint="cs"/>
          <w:rtl/>
          <w:lang w:bidi="ar-EG"/>
        </w:rPr>
        <w:tab/>
        <w:t>المجلس هو هيئة تشمل الجمعيات النسائية في الجزيرة، وعلى هذا النحو فإن عضويته تتألف من شتى الجمعيات التي تعزز النهوض بالمرأة، بما في ذلك جمعيات الأمهات والرابطات النسائية والنوادي النسائية الكنسية. ولتحقيق أهداف المجلس اعتمد المجلس الاستراتيجيات التالية: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1 -</w:t>
      </w:r>
      <w:r>
        <w:rPr>
          <w:rFonts w:hint="cs"/>
          <w:rtl/>
          <w:lang w:bidi="ar-EG"/>
        </w:rPr>
        <w:tab/>
        <w:t>إنشاء لجان خاصة ولجان فرعية للقيام بمهام محددة والاضطلاع بمشاريع معينة. وتشمل هذه اللجان: التعليم، لجنة التعليم والتنمية المستمرة ولجنة البحوث والإجراءات واللجنة الاجتماعية والمعنية بجمع الأموال ولجنة الأخلاقيات والمعايير ولجنة العلاقات العامة وعمليات الترويج.</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2 -</w:t>
      </w:r>
      <w:r>
        <w:rPr>
          <w:rFonts w:hint="cs"/>
          <w:rtl/>
          <w:lang w:bidi="ar-EG"/>
        </w:rPr>
        <w:tab/>
        <w:t>إنشاء وتوفير دليل محدث لخدمات الدعم المتاحة في سانت لوسيا التي تستطيع تلبية احتياجات المرأة في البلد.</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3 -</w:t>
      </w:r>
      <w:r>
        <w:rPr>
          <w:rFonts w:hint="cs"/>
          <w:rtl/>
          <w:lang w:bidi="ar-EG"/>
        </w:rPr>
        <w:tab/>
        <w:t>إقامة شبكات مع الهيئات المحلية والإقليمية والدولية ذات الصلة في مسعى للحصول على الدعم والوسائل اللازمة لتحقيق أهداف المجلس وكذلك على موارد لتنفيذ برامجه ومشاريعه.</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4 -</w:t>
      </w:r>
      <w:r>
        <w:rPr>
          <w:rFonts w:hint="cs"/>
          <w:rtl/>
          <w:lang w:bidi="ar-EG"/>
        </w:rPr>
        <w:tab/>
        <w:t>المشاركة في جهود التوعية وإرهاف الحس لدى الجماهير لتشجيع المجتمع كله على فهم مهمة المجلس على نحو أفضل.</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5 -</w:t>
      </w:r>
      <w:r>
        <w:rPr>
          <w:rFonts w:hint="cs"/>
          <w:rtl/>
          <w:lang w:bidi="ar-EG"/>
        </w:rPr>
        <w:tab/>
        <w:t>تشجيع النساء على الانضمام والمشاركة بإيجابية في المنظمات والجمعيات التي تسعى إلى إحراز تقدم في قضية المرأة.</w:t>
      </w:r>
    </w:p>
    <w:p w:rsidR="00662946" w:rsidRDefault="00662946">
      <w:pPr>
        <w:pStyle w:val="SingleTxt"/>
        <w:jc w:val="both"/>
        <w:rPr>
          <w:rFonts w:hint="cs"/>
          <w:rtl/>
          <w:lang w:bidi="ar-EG"/>
        </w:rPr>
      </w:pPr>
      <w:r>
        <w:rPr>
          <w:rFonts w:hint="cs"/>
          <w:rtl/>
          <w:lang w:bidi="ar-EG"/>
        </w:rPr>
        <w:t>7-18</w:t>
      </w:r>
      <w:r>
        <w:rPr>
          <w:rFonts w:hint="cs"/>
          <w:rtl/>
          <w:lang w:bidi="ar-EG"/>
        </w:rPr>
        <w:tab/>
        <w:t>كان المجلس ناجحاً للغاية منذ بدايته في العمل على تحقيق بعض أهدافه المعلنة. وتشمل بعض منجزاته الرئيسية ما يلي:</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إجراء اتصالات في أروقة البرلمان مع أعضائه والنجاح في الحصول على تأييد الحكومة لإنشاء مكتب لشؤون المرأة.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إنشاء مركز سانت لوسيا للأزمات.</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التوصل إلى عقد قضايا الاغتصاب في جلسات مغلقة؛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إجراء اتصالات في أروقة البرلمان مع أعضائه والنجاح في جعل الحكومة تنشئ مركز أبتن جاردنز للفتيات، وهو مركز لإعادة تأهيل الفتيات المعرضات للخطر.</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جمع أموال لتقديم منح دراسية للفتيات اللائي يعشن في ظروف اقتصادية صعبة.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إنشاء مركز للرعاية النهارية في غورس في غروإليه (الجزيرة الكبرى)، في شمالي سانت لوسيا.</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تدريب النساء في حلقات تدريبية محلية وإقليمية ودولية في المجالات الرئيسية ذات الأولوية للمرأة، بما في ذلك التدريب على المهارات في مجالات مثل ترتيب الظهور والتركيبات الكهربائية والحياكة.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تقدير وتكريم الأمهات والآباء سنوياً على مستوى المجتمع المحلي، لاسيما عن طريق الجمعيات المحلية للآباء والأمهات.</w:t>
      </w:r>
    </w:p>
    <w:p w:rsidR="00662946" w:rsidRDefault="00662946">
      <w:pPr>
        <w:pStyle w:val="SingleTxt"/>
        <w:jc w:val="both"/>
        <w:rPr>
          <w:rFonts w:hint="cs"/>
          <w:rtl/>
          <w:lang w:bidi="ar-EG"/>
        </w:rPr>
      </w:pPr>
      <w:r>
        <w:rPr>
          <w:rFonts w:hint="cs"/>
          <w:rtl/>
          <w:lang w:bidi="ar-EG"/>
        </w:rPr>
        <w:t>7-19</w:t>
      </w:r>
      <w:r>
        <w:rPr>
          <w:rFonts w:hint="cs"/>
          <w:rtl/>
          <w:lang w:bidi="ar-EG"/>
        </w:rPr>
        <w:tab/>
        <w:t>على الرغم من هذه الانجازات المهمة التي أُحرزت في الفترة الأولى فإنه مازال هناك الكثير الذي يمكن عمله. وفي سنة 1999 كانت عضوية المجلس تضم اثنتي عشرة منظمة نسائية لكن بحلول سنة 2002 كان يوجد قدر من عدم النشاط والصراع الداخلي أدى إلى انقسام في العضوية. وأفضى هذا الانقسام في أنشطة المنظمات النسائية إلى جهود غير منسقة ومفككة في مهمة النهوض بالمرأة.</w:t>
      </w:r>
    </w:p>
    <w:p w:rsidR="00662946" w:rsidRDefault="00662946">
      <w:pPr>
        <w:pStyle w:val="SingleTxt"/>
        <w:jc w:val="both"/>
        <w:rPr>
          <w:rFonts w:hint="cs"/>
          <w:b/>
          <w:bCs/>
          <w:rtl/>
          <w:lang w:bidi="ar-EG"/>
        </w:rPr>
      </w:pPr>
      <w:r>
        <w:rPr>
          <w:rFonts w:hint="cs"/>
          <w:b/>
          <w:bCs/>
          <w:rtl/>
          <w:lang w:bidi="ar-EG"/>
        </w:rPr>
        <w:t>التدابير الإيجابية</w:t>
      </w:r>
    </w:p>
    <w:p w:rsidR="00662946" w:rsidRDefault="00662946">
      <w:pPr>
        <w:pStyle w:val="SingleTxt"/>
        <w:jc w:val="both"/>
        <w:rPr>
          <w:rFonts w:hint="cs"/>
          <w:rtl/>
          <w:lang w:bidi="ar-EG"/>
        </w:rPr>
      </w:pPr>
      <w:r>
        <w:rPr>
          <w:rFonts w:hint="cs"/>
          <w:rtl/>
          <w:lang w:bidi="ar-EG"/>
        </w:rPr>
        <w:t>7-20</w:t>
      </w:r>
      <w:r>
        <w:rPr>
          <w:rFonts w:hint="cs"/>
          <w:rtl/>
          <w:lang w:bidi="ar-EG"/>
        </w:rPr>
        <w:tab/>
        <w:t>في سنة 1993 وضع مشروع مساعدة مدته عام من جانب برنامج الأمم المتحدة الإنمائي لوزارة شؤون المرأة. وكان هذا المشروع يشمل التخطيط الجنساني والتدريب على التحليل لكبار المخططين ومتخذي القرارات في القطاعين العام والخاص. ونُفذ هذا المشروع في نفس تلك السنة (1993). كما عقدت وزارة شؤون المرأة سلسلة من الحلقات للتدريب على التوعية الجنسانية للنساء اللائي في مراكز الإدارة العليا في القطاعين العام والخاص.</w:t>
      </w:r>
    </w:p>
    <w:p w:rsidR="00662946" w:rsidRDefault="00662946">
      <w:pPr>
        <w:pStyle w:val="SingleTxt"/>
        <w:jc w:val="both"/>
        <w:rPr>
          <w:rFonts w:hint="cs"/>
          <w:rtl/>
          <w:lang w:bidi="ar-EG"/>
        </w:rPr>
      </w:pPr>
      <w:r>
        <w:rPr>
          <w:rFonts w:hint="cs"/>
          <w:rtl/>
          <w:lang w:bidi="ar-EG"/>
        </w:rPr>
        <w:t>7-21</w:t>
      </w:r>
      <w:r>
        <w:rPr>
          <w:rFonts w:hint="cs"/>
          <w:rtl/>
          <w:lang w:bidi="ar-EG"/>
        </w:rPr>
        <w:tab/>
        <w:t>نظمت دورات وحلقات عمل وحلقات دراسية للتطوير الوظيفي للرجال والنساء. وعقدت الاتحادات العمالية (اتحاد معلمي سانت لوسيا وجمعية الخدمة المدنية) قامت بتخطيط وتنفيذ حلقات عمل لمنظماتها الأعضاء تناوات مجموعة مواضيع تتعلق بالتنمية الذاتية والتقدم الذاتي.</w:t>
      </w:r>
    </w:p>
    <w:p w:rsidR="00662946" w:rsidRDefault="00662946">
      <w:pPr>
        <w:pStyle w:val="SingleTxt"/>
        <w:jc w:val="both"/>
        <w:rPr>
          <w:rFonts w:hint="cs"/>
          <w:rtl/>
          <w:lang w:bidi="ar-EG"/>
        </w:rPr>
      </w:pPr>
      <w:r>
        <w:rPr>
          <w:rFonts w:hint="cs"/>
          <w:rtl/>
          <w:lang w:bidi="ar-EG"/>
        </w:rPr>
        <w:t>7-22</w:t>
      </w:r>
      <w:r>
        <w:rPr>
          <w:rFonts w:hint="cs"/>
          <w:rtl/>
          <w:lang w:bidi="ar-EG"/>
        </w:rPr>
        <w:tab/>
        <w:t xml:space="preserve">في 1991/1992 نفَّذت اللجنة النسائية الاستشارية التابعة لجمعية الخدمة المدنية أنشطة ترمي إلى </w:t>
      </w:r>
      <w:r>
        <w:rPr>
          <w:rFonts w:hint="cs"/>
          <w:i/>
          <w:iCs/>
          <w:rtl/>
          <w:lang w:bidi="ar-EG"/>
        </w:rPr>
        <w:t>التعبئة من أجل إحداث تغيير إيجابي في المرأة وتطوير قدرتها في جمعية الخدمة المدنية وكذلك في الخدمة العامة ككل</w:t>
      </w:r>
      <w:r>
        <w:rPr>
          <w:rFonts w:hint="cs"/>
          <w:rtl/>
          <w:lang w:bidi="ar-EG"/>
        </w:rPr>
        <w:t xml:space="preserve"> (بول، 1991/1992). ومن بين الأنشطة الرئيسية لبرنامج المساعدة التقنية للخدمة المدنية، مبادرة كانت تستهدف على وجه التحديد تلبية احتياجات السيدات الأعضاء في الجمعية. والغرض الأساسي من هذا البرنامج هو:</w:t>
      </w:r>
    </w:p>
    <w:p w:rsidR="00662946" w:rsidRDefault="00662946">
      <w:pPr>
        <w:pStyle w:val="SingleTxt"/>
        <w:ind w:left="1888" w:right="1264" w:hanging="624"/>
        <w:jc w:val="both"/>
        <w:rPr>
          <w:rFonts w:hint="cs"/>
          <w:i/>
          <w:iCs/>
          <w:rtl/>
          <w:lang w:bidi="ar-EG"/>
        </w:rPr>
      </w:pPr>
      <w:r>
        <w:rPr>
          <w:rFonts w:hint="cs"/>
          <w:rtl/>
          <w:lang w:bidi="ar-EG"/>
        </w:rPr>
        <w:tab/>
      </w:r>
      <w:r>
        <w:rPr>
          <w:rFonts w:hint="cs"/>
          <w:rtl/>
          <w:lang w:bidi="ar-EG"/>
        </w:rPr>
        <w:tab/>
      </w:r>
      <w:r>
        <w:rPr>
          <w:rFonts w:hint="cs"/>
          <w:i/>
          <w:iCs/>
          <w:rtl/>
          <w:lang w:bidi="ar-EG"/>
        </w:rPr>
        <w:t>العمل على إيجاد قدر أكبر من الاعتماد على النفس، بإتاحة الفرصة للمرأة العاملة لتحقيق الاكتفاء الذاتي في مجالات مثل الأجهزة المنزلية والإصلاح وميكانيكا السيارات والطلاء وأعمال السباكة والنجارة (بول، 1991/1992).</w:t>
      </w:r>
    </w:p>
    <w:p w:rsidR="00662946" w:rsidRDefault="00662946">
      <w:pPr>
        <w:pStyle w:val="SingleTxt"/>
        <w:jc w:val="both"/>
        <w:rPr>
          <w:rFonts w:hint="cs"/>
          <w:rtl/>
          <w:lang w:bidi="ar-EG"/>
        </w:rPr>
      </w:pPr>
      <w:r>
        <w:rPr>
          <w:rFonts w:hint="cs"/>
          <w:rtl/>
          <w:lang w:bidi="ar-EG"/>
        </w:rPr>
        <w:t>7-23</w:t>
      </w:r>
      <w:r>
        <w:rPr>
          <w:rFonts w:hint="cs"/>
          <w:rtl/>
          <w:lang w:bidi="ar-EG"/>
        </w:rPr>
        <w:tab/>
        <w:t xml:space="preserve">في سنة 1991 بدأت الجمعية الكاريبية للبحوث والإجراءات النسائية </w:t>
      </w:r>
      <w:r>
        <w:rPr>
          <w:rFonts w:hint="cs"/>
          <w:b/>
          <w:bCs/>
          <w:rtl/>
          <w:lang w:bidi="ar-EG"/>
        </w:rPr>
        <w:t xml:space="preserve">مشروع المرأة والقانون </w:t>
      </w:r>
      <w:r>
        <w:rPr>
          <w:rFonts w:hint="cs"/>
          <w:rtl/>
          <w:lang w:bidi="ar-EG"/>
        </w:rPr>
        <w:t>في مسعى لتثقيف النساء عن القوانين التي تؤثر في حياتهن اليومية. وشملت الأنشطة:</w:t>
      </w:r>
    </w:p>
    <w:p w:rsidR="00662946" w:rsidRDefault="00662946">
      <w:pPr>
        <w:pStyle w:val="SingleTxt"/>
        <w:jc w:val="both"/>
        <w:rPr>
          <w:rFonts w:hint="cs"/>
          <w:rtl/>
          <w:lang w:bidi="ar-EG"/>
        </w:rPr>
      </w:pPr>
      <w:r>
        <w:rPr>
          <w:rFonts w:hint="cs"/>
          <w:rtl/>
          <w:lang w:bidi="ar-EG"/>
        </w:rPr>
        <w:tab/>
        <w:t>-</w:t>
      </w:r>
      <w:r>
        <w:rPr>
          <w:rFonts w:hint="cs"/>
          <w:rtl/>
          <w:lang w:bidi="ar-EG"/>
        </w:rPr>
        <w:tab/>
        <w:t>مشاورات وطنية؛</w:t>
      </w:r>
    </w:p>
    <w:p w:rsidR="00662946" w:rsidRDefault="00662946">
      <w:pPr>
        <w:pStyle w:val="SingleTxt"/>
        <w:jc w:val="both"/>
        <w:rPr>
          <w:rFonts w:hint="cs"/>
          <w:rtl/>
          <w:lang w:bidi="ar-EG"/>
        </w:rPr>
      </w:pPr>
      <w:r>
        <w:rPr>
          <w:rFonts w:hint="cs"/>
          <w:rtl/>
          <w:lang w:bidi="ar-EG"/>
        </w:rPr>
        <w:tab/>
        <w:t>-</w:t>
      </w:r>
      <w:r>
        <w:rPr>
          <w:rFonts w:hint="cs"/>
          <w:rtl/>
          <w:lang w:bidi="ar-EG"/>
        </w:rPr>
        <w:tab/>
        <w:t>تعيين لجان توجيهية وفرقة عاملة؛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إقامة شبكات مع العاملين في مجال التنمية المجتمعية والنساء ذوات الخلفية الاجتماعية والسياسية المختلفة؛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دورة دراسية مدتها 13 أسبوعاً لإعداد مساعدي المحامين بدأت في تشرين الأول/أكتوبر 1992 لتزويد النساء بالمعلومات الأساسية عن المسائل القانونية. واشتركت في الدورة 28 امرأة يمثلن قطاعاً أفقياً واسع النطاق من المهن.</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أنشئت فرقة تنسيقية لإعداد المواد التعليمية القانونية للسكان في جميع المجتمعات المحلية. وكان الهدف هو تعريف النساء بحقوقهن ومسؤولياتهن.</w:t>
      </w:r>
    </w:p>
    <w:p w:rsidR="00662946" w:rsidRDefault="00662946">
      <w:pPr>
        <w:pStyle w:val="SingleTxt"/>
        <w:jc w:val="both"/>
        <w:rPr>
          <w:rFonts w:hint="cs"/>
          <w:rtl/>
          <w:lang w:bidi="ar-EG"/>
        </w:rPr>
      </w:pPr>
      <w:r>
        <w:rPr>
          <w:rFonts w:hint="cs"/>
          <w:rtl/>
          <w:lang w:bidi="ar-EG"/>
        </w:rPr>
        <w:t>7-24</w:t>
      </w:r>
      <w:r>
        <w:rPr>
          <w:rFonts w:hint="cs"/>
          <w:rtl/>
          <w:lang w:bidi="ar-EG"/>
        </w:rPr>
        <w:tab/>
        <w:t xml:space="preserve">سلَّمت الأحزاب السياسية بضرورة زيادة عدد النساء في مجال السياسة الإيجابية، وعقدت هي الأخرى حلقات عمل وحلقات تدريبية </w:t>
      </w:r>
      <w:r>
        <w:rPr>
          <w:rFonts w:hint="eastAsia"/>
          <w:rtl/>
          <w:lang w:bidi="ar-EG"/>
        </w:rPr>
        <w:t>”بهيئات ناخباتها</w:t>
      </w:r>
      <w:r>
        <w:rPr>
          <w:rFonts w:hint="cs"/>
          <w:rtl/>
          <w:lang w:bidi="ar-EG"/>
        </w:rPr>
        <w:t>“. وعلاوة على الاتحادات العمالية والأحزاب السياسية قامت منظمات غير حكومية أخرى مثل المجلس الوطني للمرأة والمجلس الوطني للشباب برعاية حلقات تدريبية في مسعى للإسهام في النهوض بعضويتها النسائية وتنميتها. بيد أنه في الفترة الأخيرة لم يتمكن المجلس الوطني للمرأة من الحفاظ على فعاليته في التأثير بإيجابية في حياة النساء في سانت لوسيا. وأن استعراض مهمته وتوجهه يكشف عن الحاجة إلى إيلاء اهتمام عاجل لهما إذا أُريد للمجلس أن يؤثر في النهوض بالمرأة في سانت لوسيا وتنميتها.</w:t>
      </w:r>
    </w:p>
    <w:p w:rsidR="00662946" w:rsidRDefault="00662946">
      <w:pPr>
        <w:pStyle w:val="SingleTxt"/>
        <w:jc w:val="both"/>
        <w:rPr>
          <w:rFonts w:hint="cs"/>
          <w:b/>
          <w:bCs/>
          <w:rtl/>
          <w:lang w:bidi="ar-EG"/>
        </w:rPr>
      </w:pPr>
      <w:r>
        <w:rPr>
          <w:rFonts w:hint="cs"/>
          <w:b/>
          <w:bCs/>
          <w:rtl/>
          <w:lang w:bidi="ar-EG"/>
        </w:rPr>
        <w:t>طريق المستقبل</w:t>
      </w:r>
    </w:p>
    <w:p w:rsidR="00662946" w:rsidRDefault="00662946">
      <w:pPr>
        <w:pStyle w:val="SingleTxt"/>
        <w:jc w:val="both"/>
        <w:rPr>
          <w:rFonts w:hint="cs"/>
          <w:rtl/>
          <w:lang w:bidi="ar-EG"/>
        </w:rPr>
      </w:pPr>
      <w:r>
        <w:rPr>
          <w:rFonts w:hint="cs"/>
          <w:rtl/>
          <w:lang w:bidi="ar-EG"/>
        </w:rPr>
        <w:t>7-25</w:t>
      </w:r>
      <w:r>
        <w:rPr>
          <w:rFonts w:hint="cs"/>
          <w:rtl/>
          <w:lang w:bidi="ar-EG"/>
        </w:rPr>
        <w:tab/>
        <w:t>إن حكومة سانت لوسيا ملتزمة بتحقيق المساواة بين الجنسين في هياكل السلطة واتخاذ القرارات على جميع المستويات. وقد تجسَّد هذا بوضوح في زيادة عدد النساء المتنافسات في الانتخابات ونجاح سيدتين في انتخابات متتالية وتعيينهما وزيرتين في الحكومة. وتحقيقاً لهذه الغاية يجري العمل على المستوى الوطني وعلى مستوى المجتمع المحلي. ومن المرجح أن يزداد مستوى مشاركة المرأة مع تحولها إلى الإدلاء برأيها في المسائل الاجتماعية والسياسة والاقتصادية التي تؤثر فيها وفي المجتمع بوجه عام. وتيسيراً لذلك انصبَّ قدر أكبر من التركيز على تدريب المرأة على القيادة وفي مجال بناء الثقة.</w:t>
      </w:r>
    </w:p>
    <w:p w:rsidR="00662946" w:rsidRDefault="00662946">
      <w:pPr>
        <w:pStyle w:val="SingleTxt"/>
        <w:jc w:val="both"/>
        <w:rPr>
          <w:rFonts w:hint="cs"/>
          <w:rtl/>
          <w:lang w:bidi="ar-EG"/>
        </w:rPr>
      </w:pPr>
      <w:r>
        <w:rPr>
          <w:rFonts w:hint="cs"/>
          <w:rtl/>
          <w:lang w:bidi="ar-EG"/>
        </w:rPr>
        <w:t>7-26</w:t>
      </w:r>
      <w:r>
        <w:rPr>
          <w:rFonts w:hint="cs"/>
          <w:rtl/>
          <w:lang w:bidi="ar-EG"/>
        </w:rPr>
        <w:tab/>
        <w:t>شملت خطة العمل الثلاثية ل</w:t>
      </w:r>
      <w:r>
        <w:rPr>
          <w:rtl/>
          <w:lang w:bidi="ar-EG"/>
        </w:rPr>
        <w:t>لآلية الوطنية للمرأة</w:t>
      </w:r>
      <w:r>
        <w:rPr>
          <w:rFonts w:hint="cs"/>
          <w:rtl/>
          <w:lang w:bidi="ar-EG"/>
        </w:rPr>
        <w:t xml:space="preserve"> لسنة 1999 أنشطة محددة ترمي إلى المساعدة على بناء القدرة على القيادة والمشاركة في اتخاذ القرارات بين النساء. وعلاوة على ذلك أُدرجت المساواة بين الجنسين باعتبارها أحد المبادئ الرئيسية التي سيقوم عليها الحكم المحلي في مبادرة إصلاح الحكم المحلي التي يجري تنفيذها. ومن الجدير بالذكر أن </w:t>
      </w:r>
      <w:r>
        <w:rPr>
          <w:rtl/>
          <w:lang w:bidi="ar-EG"/>
        </w:rPr>
        <w:t>الآلية الوطنية للمرأة</w:t>
      </w:r>
      <w:r>
        <w:rPr>
          <w:rFonts w:hint="cs"/>
          <w:rtl/>
          <w:lang w:bidi="ar-EG"/>
        </w:rPr>
        <w:t xml:space="preserve"> هي عضو في الفرقة العاملة الوطنية المعنية بإصلاح الحكم المحلي.</w:t>
      </w:r>
    </w:p>
    <w:p w:rsidR="00662946" w:rsidRDefault="00662946">
      <w:pPr>
        <w:pStyle w:val="SingleTxt"/>
        <w:jc w:val="both"/>
        <w:rPr>
          <w:rFonts w:hint="cs"/>
          <w:rtl/>
          <w:lang w:bidi="ar-EG"/>
        </w:rPr>
      </w:pPr>
      <w:r>
        <w:rPr>
          <w:rFonts w:hint="cs"/>
          <w:rtl/>
          <w:lang w:bidi="ar-EG"/>
        </w:rPr>
        <w:t>7-27</w:t>
      </w:r>
      <w:r>
        <w:rPr>
          <w:rFonts w:hint="cs"/>
          <w:rtl/>
          <w:lang w:bidi="ar-EG"/>
        </w:rPr>
        <w:tab/>
        <w:t xml:space="preserve">قدِّمت التوصيات التالية إلى الفرقة العاملة من جانب </w:t>
      </w:r>
      <w:r>
        <w:rPr>
          <w:rtl/>
          <w:lang w:bidi="ar-EG"/>
        </w:rPr>
        <w:t>الآلية الوطنية للمرأة</w:t>
      </w:r>
      <w:r>
        <w:rPr>
          <w:rFonts w:hint="cs"/>
          <w:rtl/>
          <w:lang w:bidi="ar-EG"/>
        </w:rPr>
        <w:t xml:space="preserve"> لضمان المساواة الفعلية بين الجنسين.</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بيانات واضحة لإعلان إدماج المساواة بين الجنسين باعتبارها مبدأ أساسياً يقوم عليه الحكم المحلي.</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بيانات موثقة للإعراب عن أنه ستبذل كل الجهود الممكنة لضمان المساواة بين الجنسين في تكوين الهياكل الحكومية المحلية كافة.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المحافظة على سلامة المرشحات، ورسم سياسات لاستيعاب المرشحات ذوات المسؤوليات الأسرية أو مسؤوليات نحو الأولاد.</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التدريب وإذكاء الوعي الجنساني لجميع أعضاء المجالس.</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وضع حصص/تدابير إيجابية لزيادة مشاركة المرأة.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 xml:space="preserve">يجب أن يتضح من صيغة البيانات الصحفية التي تعلن أسماء المرشحات وتعبئتهن تشجع النساء على ترشيح أنفسهن. </w:t>
      </w:r>
    </w:p>
    <w:p w:rsidR="00662946" w:rsidRDefault="00662946">
      <w:pPr>
        <w:pStyle w:val="SingleTxt"/>
        <w:jc w:val="both"/>
        <w:rPr>
          <w:rFonts w:hint="cs"/>
          <w:rtl/>
          <w:lang w:bidi="ar-EG"/>
        </w:rPr>
      </w:pPr>
      <w:r>
        <w:rPr>
          <w:rFonts w:hint="cs"/>
          <w:rtl/>
          <w:lang w:bidi="ar-EG"/>
        </w:rPr>
        <w:t>7-28</w:t>
      </w:r>
      <w:r>
        <w:rPr>
          <w:rFonts w:hint="cs"/>
          <w:rtl/>
          <w:lang w:bidi="ar-EG"/>
        </w:rPr>
        <w:tab/>
        <w:t>تأثير المنظمات النسائية في الحكومة وفي السياسات محدود بوجه عام، ويرجع ذلك جزئياً إلى جمود هذه المنظمات، وإلى عدم سعي متخذي القرارات إلى إشراكها. ركزت الآلية الوطنية للمرأة بصفة خاصة على المساعدة على تحسين قدرة المنظمات النسائية غير الحكومية في هذا الصدد.</w:t>
      </w:r>
    </w:p>
    <w:p w:rsidR="00662946" w:rsidRDefault="00662946">
      <w:pPr>
        <w:pStyle w:val="SingleTxt"/>
        <w:pBdr>
          <w:top w:val="single" w:sz="4" w:space="1" w:color="auto"/>
          <w:left w:val="single" w:sz="4" w:space="4" w:color="auto"/>
          <w:bottom w:val="single" w:sz="4" w:space="1" w:color="auto"/>
          <w:right w:val="single" w:sz="4" w:space="4" w:color="auto"/>
        </w:pBdr>
        <w:jc w:val="both"/>
        <w:rPr>
          <w:rFonts w:hint="cs"/>
          <w:b/>
          <w:bCs/>
          <w:rtl/>
          <w:lang w:bidi="ar-EG"/>
        </w:rPr>
      </w:pPr>
      <w:r>
        <w:rPr>
          <w:rFonts w:hint="cs"/>
          <w:b/>
          <w:bCs/>
          <w:rtl/>
          <w:lang w:bidi="ar-EG"/>
        </w:rPr>
        <w:t>المادة 8</w:t>
      </w:r>
    </w:p>
    <w:p w:rsidR="00662946" w:rsidRDefault="00662946">
      <w:pPr>
        <w:pStyle w:val="SingleTxt"/>
        <w:pBdr>
          <w:top w:val="single" w:sz="4" w:space="1" w:color="auto"/>
          <w:left w:val="single" w:sz="4" w:space="4" w:color="auto"/>
          <w:bottom w:val="single" w:sz="4" w:space="1" w:color="auto"/>
          <w:right w:val="single" w:sz="4" w:space="4" w:color="auto"/>
        </w:pBdr>
        <w:jc w:val="both"/>
        <w:rPr>
          <w:rFonts w:hint="cs"/>
          <w:b/>
          <w:bCs/>
          <w:i/>
          <w:iCs/>
          <w:rtl/>
          <w:lang w:bidi="ar-EG"/>
        </w:rPr>
      </w:pPr>
      <w:r>
        <w:rPr>
          <w:rFonts w:hint="cs"/>
          <w:i/>
          <w:iCs/>
          <w:rtl/>
          <w:lang w:bidi="ar-EG"/>
        </w:rPr>
        <w:t>(د)</w:t>
      </w:r>
      <w:r>
        <w:rPr>
          <w:rFonts w:hint="cs"/>
          <w:i/>
          <w:iCs/>
          <w:rtl/>
          <w:lang w:bidi="ar-EG"/>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662946" w:rsidRDefault="00662946">
      <w:pPr>
        <w:pStyle w:val="SingleTxt"/>
        <w:jc w:val="both"/>
        <w:rPr>
          <w:rFonts w:hint="cs"/>
          <w:rtl/>
          <w:lang w:bidi="ar-EG"/>
        </w:rPr>
      </w:pPr>
      <w:r>
        <w:rPr>
          <w:rFonts w:hint="cs"/>
          <w:rtl/>
          <w:lang w:bidi="ar-EG"/>
        </w:rPr>
        <w:t>8-1</w:t>
      </w:r>
      <w:r>
        <w:rPr>
          <w:rFonts w:hint="cs"/>
          <w:rtl/>
          <w:lang w:bidi="ar-EG"/>
        </w:rPr>
        <w:tab/>
        <w:t>يقضي القانون بأن نساء سانت لوسيا يتمتعن، على قدم المساواة مع الرجل، بالحق في تمثيل البلد والمشاركة في المنظمات الدولية، لكن قليلا منهن يشغلن مناصب مهمة على المستوى الدولي.</w:t>
      </w:r>
    </w:p>
    <w:p w:rsidR="00662946" w:rsidRDefault="00662946">
      <w:pPr>
        <w:pStyle w:val="SingleTxt"/>
        <w:jc w:val="both"/>
        <w:rPr>
          <w:rFonts w:hint="cs"/>
          <w:rtl/>
          <w:lang w:bidi="ar-EG"/>
        </w:rPr>
      </w:pPr>
      <w:r>
        <w:rPr>
          <w:rFonts w:hint="cs"/>
          <w:rtl/>
          <w:lang w:bidi="ar-EG"/>
        </w:rPr>
        <w:t>8-2</w:t>
      </w:r>
      <w:r>
        <w:rPr>
          <w:rFonts w:hint="cs"/>
          <w:rtl/>
          <w:lang w:bidi="ar-EG"/>
        </w:rPr>
        <w:tab/>
        <w:t>شغل رجال بشكل عام منصبي السفيرين في واشنطن ونيويورك وممثلي سانت لوسيا لدى الأمم المتحدة خلال الفترة المشمولة بالتقرير. بيد أنه في سنة 1997 عُيِّنت أول امرأة في منصب سفير سانت لوسيا لدى الولايات المتحدة ومنظمة الدول الأمريكية. ويشغل الرجال أيضاً مناصب رؤساء البعثات في بروكسل وكندا ولندن.</w:t>
      </w:r>
    </w:p>
    <w:p w:rsidR="00662946" w:rsidRDefault="00662946">
      <w:pPr>
        <w:pStyle w:val="SingleTxt"/>
        <w:jc w:val="both"/>
        <w:rPr>
          <w:rFonts w:hint="cs"/>
          <w:rtl/>
          <w:lang w:bidi="ar-EG"/>
        </w:rPr>
      </w:pPr>
      <w:r>
        <w:rPr>
          <w:rFonts w:hint="cs"/>
          <w:rtl/>
          <w:lang w:bidi="ar-EG"/>
        </w:rPr>
        <w:t>8-3</w:t>
      </w:r>
      <w:r>
        <w:rPr>
          <w:rFonts w:hint="cs"/>
          <w:rtl/>
          <w:lang w:bidi="ar-EG"/>
        </w:rPr>
        <w:tab/>
        <w:t>أُنشئت سفارة سانت لوسيا لدى الولايات المتحدة وبعثتها لدى منظمة الدول الأمريكية في سنة 1984. ومنذ إنشاء تلك السفارة عُيِّنت امرأة برتبة مستشار فيها في واشنطن. وفي نيويورك عملت سيدة مستشارة للبعثة الدائمة لسانت لوسيا لدى الأمم المتحدة خلال الفترة قيد الاستعراض.</w:t>
      </w:r>
    </w:p>
    <w:p w:rsidR="00662946" w:rsidRDefault="00662946">
      <w:pPr>
        <w:pStyle w:val="SingleTxt"/>
        <w:jc w:val="both"/>
        <w:rPr>
          <w:rFonts w:hint="cs"/>
          <w:rtl/>
          <w:lang w:bidi="ar-EG"/>
        </w:rPr>
      </w:pPr>
      <w:r>
        <w:rPr>
          <w:rFonts w:hint="cs"/>
          <w:rtl/>
          <w:lang w:bidi="ar-EG"/>
        </w:rPr>
        <w:tab/>
        <w:t xml:space="preserve">بحلول سنة 1995 عيَّنت وزارة الخارجية في رئاستها في سانت لوسيا خمس سيدات في السلك الدبلوماسي. وأنشأت منظمة الأمم المتحدة للتربية والعلم والثقافة (اليونسكو) مكتباً لها في سانت لوسيا يعمل برعاية وزارة التعليم والثقافة والعمل. ورأست هذه اللجنة الوطنية المحلية لليونسكو امرأة أيضاً. </w:t>
      </w:r>
    </w:p>
    <w:p w:rsidR="00662946" w:rsidRDefault="00662946">
      <w:pPr>
        <w:pStyle w:val="SingleTxt"/>
        <w:pBdr>
          <w:top w:val="single" w:sz="4" w:space="1" w:color="auto"/>
          <w:left w:val="single" w:sz="4" w:space="4" w:color="auto"/>
          <w:bottom w:val="single" w:sz="4" w:space="1" w:color="auto"/>
          <w:right w:val="single" w:sz="4" w:space="4" w:color="auto"/>
        </w:pBdr>
        <w:jc w:val="both"/>
        <w:rPr>
          <w:rFonts w:hint="cs"/>
          <w:b/>
          <w:bCs/>
          <w:rtl/>
          <w:lang w:bidi="ar-EG"/>
        </w:rPr>
      </w:pPr>
      <w:r>
        <w:rPr>
          <w:rFonts w:hint="cs"/>
          <w:b/>
          <w:bCs/>
          <w:rtl/>
          <w:lang w:bidi="ar-EG"/>
        </w:rPr>
        <w:t>المادة 9</w:t>
      </w:r>
    </w:p>
    <w:p w:rsidR="00662946" w:rsidRDefault="00662946">
      <w:pPr>
        <w:pStyle w:val="SingleTxt"/>
        <w:pBdr>
          <w:top w:val="single" w:sz="4" w:space="1" w:color="auto"/>
          <w:left w:val="single" w:sz="4" w:space="4" w:color="auto"/>
          <w:bottom w:val="single" w:sz="4" w:space="1" w:color="auto"/>
          <w:right w:val="single" w:sz="4" w:space="4" w:color="auto"/>
        </w:pBdr>
        <w:jc w:val="both"/>
        <w:rPr>
          <w:rFonts w:hint="cs"/>
          <w:i/>
          <w:iCs/>
          <w:rtl/>
          <w:lang w:bidi="ar-EG"/>
        </w:rPr>
      </w:pPr>
      <w:r>
        <w:rPr>
          <w:rFonts w:hint="cs"/>
          <w:rtl/>
          <w:lang w:bidi="ar-EG"/>
        </w:rPr>
        <w:tab/>
      </w:r>
      <w:r>
        <w:rPr>
          <w:rFonts w:hint="cs"/>
          <w:i/>
          <w:iCs/>
          <w:rtl/>
          <w:lang w:bidi="ar-EG"/>
        </w:rPr>
        <w:t>1 -</w:t>
      </w:r>
      <w:r>
        <w:rPr>
          <w:rFonts w:hint="cs"/>
          <w:i/>
          <w:iCs/>
          <w:rtl/>
          <w:lang w:bidi="ar-EG"/>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662946" w:rsidRDefault="00662946">
      <w:pPr>
        <w:pStyle w:val="SingleTxt"/>
        <w:pBdr>
          <w:top w:val="single" w:sz="4" w:space="1" w:color="auto"/>
          <w:left w:val="single" w:sz="4" w:space="4" w:color="auto"/>
          <w:bottom w:val="single" w:sz="4" w:space="1" w:color="auto"/>
          <w:right w:val="single" w:sz="4" w:space="4" w:color="auto"/>
        </w:pBdr>
        <w:jc w:val="both"/>
        <w:rPr>
          <w:rFonts w:hint="cs"/>
          <w:rtl/>
          <w:lang w:bidi="ar-EG"/>
        </w:rPr>
      </w:pPr>
      <w:r>
        <w:rPr>
          <w:rFonts w:hint="cs"/>
          <w:i/>
          <w:iCs/>
          <w:rtl/>
          <w:lang w:bidi="ar-EG"/>
        </w:rPr>
        <w:tab/>
        <w:t>2 -</w:t>
      </w:r>
      <w:r>
        <w:rPr>
          <w:rFonts w:hint="cs"/>
          <w:i/>
          <w:iCs/>
          <w:rtl/>
          <w:lang w:bidi="ar-EG"/>
        </w:rPr>
        <w:tab/>
        <w:t>تمنح الدول الأطراف المرأة حقا مساويا لحق الرجل فيما يتعلق بجنسية أطفالها.</w:t>
      </w:r>
    </w:p>
    <w:p w:rsidR="00662946" w:rsidRDefault="00662946">
      <w:pPr>
        <w:pStyle w:val="SingleTxt"/>
        <w:jc w:val="both"/>
        <w:rPr>
          <w:rFonts w:hint="cs"/>
          <w:rtl/>
          <w:lang w:bidi="ar-EG"/>
        </w:rPr>
      </w:pPr>
      <w:r>
        <w:rPr>
          <w:rFonts w:hint="cs"/>
          <w:rtl/>
          <w:lang w:bidi="ar-EG"/>
        </w:rPr>
        <w:t>9-1</w:t>
      </w:r>
      <w:r>
        <w:rPr>
          <w:rFonts w:hint="cs"/>
          <w:rtl/>
          <w:lang w:bidi="ar-EG"/>
        </w:rPr>
        <w:tab/>
        <w:t xml:space="preserve">يتضمن دستور سانت لوسيا، المشار إليه أدناه بلفظة الدستور، وقانون المواطنة في سانت لوسيا لسنة 1979 القوانين المنظَّمة للمواطنة في سانت لوسيا. وتتيح قوانين سانت لوسيا الحصول على المواطنة بالمولد والوراثة. وينص البند 100 من الدستور والبند 4 من قانون المواطنة لسنة 1979 على أن </w:t>
      </w:r>
      <w:r>
        <w:rPr>
          <w:rFonts w:hint="eastAsia"/>
          <w:rtl/>
          <w:lang w:bidi="ar-EG"/>
        </w:rPr>
        <w:t>”</w:t>
      </w:r>
      <w:r>
        <w:rPr>
          <w:rFonts w:hint="cs"/>
          <w:i/>
          <w:iCs/>
          <w:rtl/>
          <w:lang w:bidi="ar-EG"/>
        </w:rPr>
        <w:t>كل شخص يولد في سانت لوسيا بعد إعلان الدستور يصبح مواطناً في تاريخ ميلاده...</w:t>
      </w:r>
      <w:r>
        <w:rPr>
          <w:rFonts w:hint="eastAsia"/>
          <w:rtl/>
          <w:lang w:bidi="ar-EG"/>
        </w:rPr>
        <w:t xml:space="preserve">“. </w:t>
      </w:r>
      <w:r>
        <w:rPr>
          <w:rFonts w:hint="cs"/>
          <w:rtl/>
          <w:lang w:bidi="ar-EG"/>
        </w:rPr>
        <w:t xml:space="preserve">وهذا الإعلان معلق على شرطين. الأول هو أنه إذا لم يكن أي من الأبوين مواطناً في سانت لوسيا وكان الأب يتمتع بالحصانة الدبلوماسية فإن ابنهما لا يمكن أن يكون مواطناً في سانت لوسيا. ثانيا إذا كان الأب مواطناً في بلد في حرب مع سانت لوسيا، وولد الطفل في وقت كانت فيه سانت لوسيا محتلة من جانب ذلك البلد فإنه لا يمكن اكتساب المواطنة بالمولد. </w:t>
      </w:r>
    </w:p>
    <w:p w:rsidR="00662946" w:rsidRDefault="00662946">
      <w:pPr>
        <w:pStyle w:val="SingleTxt"/>
        <w:jc w:val="both"/>
        <w:rPr>
          <w:rFonts w:hint="cs"/>
          <w:rtl/>
          <w:lang w:bidi="ar-EG"/>
        </w:rPr>
      </w:pPr>
      <w:r>
        <w:rPr>
          <w:rFonts w:hint="cs"/>
          <w:rtl/>
          <w:lang w:bidi="ar-EG"/>
        </w:rPr>
        <w:t>9-2</w:t>
      </w:r>
      <w:r>
        <w:rPr>
          <w:rFonts w:hint="cs"/>
          <w:rtl/>
          <w:lang w:bidi="ar-EG"/>
        </w:rPr>
        <w:tab/>
        <w:t>ينص قانون المواطنة في سانت لوسيا على أن تكتسب المرأة الأجنبية التي تتزوج مواطناً في سانت لوسيا المواطنة تلقائيا. بيد أن الأجنبي الذي يتزوج من امرأة مواطنة في سانت لوسيا لا تُكفل له المواطنة تلقائيا. وهذا القانون يميز ضد المرأة في سانت لوسيا التي تختار أن تتزوج أجنبياً. وعلى خلاف حالة المرأة قد لا يوافق على طلب الرجل لأسباب تشمل سوء الخلق أو الإدانة على جنايات أو جرائم تتعلق بالمخدرات وعدم الإقامة. ويوصى بتدقيق نفس مستوى أو درجة التمحيص على كل من الرجال والنساء الذين يتزوجون من مواطنين في سانت لوسيا.</w:t>
      </w:r>
    </w:p>
    <w:p w:rsidR="00662946" w:rsidRDefault="00662946">
      <w:pPr>
        <w:pStyle w:val="SingleTxt"/>
        <w:jc w:val="both"/>
        <w:rPr>
          <w:rFonts w:hint="cs"/>
          <w:rtl/>
          <w:lang w:bidi="ar-EG"/>
        </w:rPr>
      </w:pPr>
      <w:r>
        <w:rPr>
          <w:rFonts w:hint="cs"/>
          <w:rtl/>
          <w:lang w:bidi="ar-EG"/>
        </w:rPr>
        <w:t>9-3</w:t>
      </w:r>
      <w:r>
        <w:rPr>
          <w:rFonts w:hint="cs"/>
          <w:rtl/>
          <w:lang w:bidi="ar-EG"/>
        </w:rPr>
        <w:tab/>
        <w:t xml:space="preserve">يسمح الدستور للشخص الذي يولد خارج سانت لوسيا بأن يصبح مواطناً في سانت لوسيا إذا كان وقت مولده أي من أبويه مواطناً في سانت لوسيا. وينص </w:t>
      </w:r>
      <w:r>
        <w:rPr>
          <w:rFonts w:hint="cs"/>
          <w:b/>
          <w:bCs/>
          <w:rtl/>
          <w:lang w:bidi="ar-EG"/>
        </w:rPr>
        <w:t xml:space="preserve">البند 102 </w:t>
      </w:r>
      <w:r>
        <w:rPr>
          <w:rFonts w:hint="cs"/>
          <w:rtl/>
          <w:lang w:bidi="ar-EG"/>
        </w:rPr>
        <w:t xml:space="preserve">من الدستور على أن المرأة التي تتزوج مواطناً في سانت لوسيا أو رجلاً يصبح فيما بعد مواطناً يمكن أن تسجل نفسها باعتبارها مواطنة. وبالمثل فإن الرجل الذي يتزوج مواطنة أو امرأة تصبح فيما بعد مواطنة يمكن أن يقدِّم طلب لتسجيله باعتباره مواطناً في سانت لوسيا. </w:t>
      </w:r>
    </w:p>
    <w:p w:rsidR="00662946" w:rsidRDefault="00662946">
      <w:pPr>
        <w:pStyle w:val="SingleTxt"/>
        <w:jc w:val="both"/>
        <w:rPr>
          <w:rFonts w:hint="cs"/>
          <w:rtl/>
          <w:lang w:bidi="ar-EG"/>
        </w:rPr>
      </w:pPr>
      <w:r>
        <w:rPr>
          <w:rFonts w:hint="cs"/>
          <w:rtl/>
          <w:lang w:bidi="ar-EG"/>
        </w:rPr>
        <w:t>9-4</w:t>
      </w:r>
      <w:r>
        <w:rPr>
          <w:rFonts w:hint="cs"/>
          <w:rtl/>
          <w:lang w:bidi="ar-EG"/>
        </w:rPr>
        <w:tab/>
        <w:t>يسمح الدستور فقط للمرأة التي</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r>
      <w:r>
        <w:rPr>
          <w:rFonts w:hint="cs"/>
          <w:rtl/>
          <w:lang w:bidi="ar-EG"/>
        </w:rPr>
        <w:tab/>
      </w:r>
      <w:r>
        <w:rPr>
          <w:rFonts w:hint="cs"/>
          <w:b/>
          <w:bCs/>
          <w:i/>
          <w:iCs/>
          <w:rtl/>
          <w:lang w:bidi="ar-EG"/>
        </w:rPr>
        <w:t xml:space="preserve">... كانت متزوجة، قبل إعلان الدستور، بشخص يحق له الحصول على المواطنة بموجب البند 99 من الدستور، أو بشخص كان سيصبح مواطناً إلا أنه قد توفي قبل إعلان الدستور </w:t>
      </w:r>
      <w:r>
        <w:rPr>
          <w:b/>
          <w:bCs/>
          <w:i/>
          <w:iCs/>
          <w:rtl/>
          <w:lang w:bidi="ar-EG"/>
        </w:rPr>
        <w:t>–</w:t>
      </w:r>
      <w:r>
        <w:rPr>
          <w:rFonts w:hint="cs"/>
          <w:b/>
          <w:bCs/>
          <w:i/>
          <w:iCs/>
          <w:rtl/>
          <w:lang w:bidi="ar-EG"/>
        </w:rPr>
        <w:t xml:space="preserve"> حتى إذا كان الزواج قد انتهى بالوفاة أو الحل أو بحل رباط الزوجية قبل هذا الإعلان.</w:t>
      </w:r>
    </w:p>
    <w:p w:rsidR="00662946" w:rsidRDefault="00662946">
      <w:pPr>
        <w:pStyle w:val="SingleTxt"/>
        <w:ind w:left="2528" w:right="1264" w:hanging="1264"/>
        <w:jc w:val="both"/>
        <w:rPr>
          <w:rFonts w:hint="cs"/>
          <w:rtl/>
          <w:lang w:bidi="ar-EG"/>
        </w:rPr>
      </w:pPr>
      <w:r>
        <w:rPr>
          <w:rFonts w:hint="cs"/>
          <w:rtl/>
          <w:lang w:bidi="ar-EG"/>
        </w:rPr>
        <w:t>لا يوجد في الدستور نص مماثل يمنح الرجل الحق في المواطنة.</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b/>
          <w:bCs/>
          <w:rtl/>
          <w:lang w:bidi="ar-EG"/>
        </w:rPr>
      </w:pPr>
      <w:r>
        <w:rPr>
          <w:rFonts w:hint="cs"/>
          <w:rtl/>
        </w:rPr>
        <w:tab/>
      </w:r>
      <w:r>
        <w:rPr>
          <w:rFonts w:hint="cs"/>
          <w:b/>
          <w:bCs/>
          <w:rtl/>
          <w:lang w:bidi="ar-EG"/>
        </w:rPr>
        <w:t>المادة 10</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lang w:bidi="ar-EG"/>
        </w:rPr>
      </w:pPr>
      <w:r>
        <w:rPr>
          <w:rFonts w:hint="cs"/>
          <w:rtl/>
          <w:lang w:bidi="ar-EG"/>
        </w:rPr>
        <w:tab/>
      </w:r>
      <w:r>
        <w:rPr>
          <w:rFonts w:hint="cs"/>
          <w:i/>
          <w:iCs/>
          <w:rtl/>
          <w:lang w:bidi="ar-EG"/>
        </w:rPr>
        <w:tab/>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lang w:bidi="ar-EG"/>
        </w:rPr>
      </w:pPr>
      <w:r>
        <w:rPr>
          <w:rFonts w:hint="cs"/>
          <w:i/>
          <w:iCs/>
          <w:rtl/>
          <w:lang w:bidi="ar-EG"/>
        </w:rPr>
        <w:tab/>
      </w:r>
      <w:r>
        <w:rPr>
          <w:rFonts w:hint="cs"/>
          <w:i/>
          <w:iCs/>
          <w:rtl/>
          <w:lang w:bidi="ar-EG"/>
        </w:rPr>
        <w:tab/>
        <w:t>(أ)</w:t>
      </w:r>
      <w:r>
        <w:rPr>
          <w:rFonts w:hint="cs"/>
          <w:i/>
          <w:iCs/>
          <w:rtl/>
          <w:lang w:bidi="ar-EG"/>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lang w:bidi="ar-EG"/>
        </w:rPr>
      </w:pPr>
      <w:r>
        <w:rPr>
          <w:rFonts w:hint="cs"/>
          <w:i/>
          <w:iCs/>
          <w:rtl/>
          <w:lang w:bidi="ar-EG"/>
        </w:rPr>
        <w:tab/>
      </w:r>
      <w:r>
        <w:rPr>
          <w:rFonts w:hint="cs"/>
          <w:i/>
          <w:iCs/>
          <w:rtl/>
          <w:lang w:bidi="ar-EG"/>
        </w:rPr>
        <w:tab/>
        <w:t>(ب)</w:t>
      </w:r>
      <w:r>
        <w:rPr>
          <w:rFonts w:hint="cs"/>
          <w:i/>
          <w:iCs/>
          <w:rtl/>
          <w:lang w:bidi="ar-EG"/>
        </w:rPr>
        <w:tab/>
        <w:t>توفّر نفس المناهج الدراسية، ونفس الامتحانات وهيئات تدريسية تتمتع بمؤهلات من نفس المستوى ومبان ومعدات مدرسية من نفس النوعية؛</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lang w:bidi="ar-EG"/>
        </w:rPr>
      </w:pPr>
      <w:r>
        <w:rPr>
          <w:rFonts w:hint="cs"/>
          <w:i/>
          <w:iCs/>
          <w:rtl/>
          <w:lang w:bidi="ar-EG"/>
        </w:rPr>
        <w:tab/>
      </w:r>
      <w:r>
        <w:rPr>
          <w:rFonts w:hint="cs"/>
          <w:i/>
          <w:iCs/>
          <w:rtl/>
          <w:lang w:bidi="ar-EG"/>
        </w:rPr>
        <w:tab/>
        <w:t>(ج)</w:t>
      </w:r>
      <w:r>
        <w:rPr>
          <w:rFonts w:hint="cs"/>
          <w:i/>
          <w:iCs/>
          <w:rtl/>
          <w:lang w:bidi="ar-EG"/>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lang w:bidi="ar-EG"/>
        </w:rPr>
      </w:pPr>
      <w:r>
        <w:rPr>
          <w:rFonts w:hint="cs"/>
          <w:i/>
          <w:iCs/>
          <w:rtl/>
          <w:lang w:bidi="ar-EG"/>
        </w:rPr>
        <w:tab/>
      </w:r>
      <w:r>
        <w:rPr>
          <w:rFonts w:hint="cs"/>
          <w:i/>
          <w:iCs/>
          <w:rtl/>
          <w:lang w:bidi="ar-EG"/>
        </w:rPr>
        <w:tab/>
        <w:t>(د)</w:t>
      </w:r>
      <w:r>
        <w:rPr>
          <w:rFonts w:hint="cs"/>
          <w:i/>
          <w:iCs/>
          <w:rtl/>
          <w:lang w:bidi="ar-EG"/>
        </w:rPr>
        <w:tab/>
        <w:t>نفس الفرص للاستفادة من المنح التعليمية وغيرها من المنح الدراسية؛</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lang w:bidi="ar-EG"/>
        </w:rPr>
      </w:pPr>
      <w:r>
        <w:rPr>
          <w:rFonts w:hint="cs"/>
          <w:i/>
          <w:iCs/>
          <w:rtl/>
          <w:lang w:bidi="ar-EG"/>
        </w:rPr>
        <w:tab/>
      </w:r>
      <w:r>
        <w:rPr>
          <w:rFonts w:hint="cs"/>
          <w:i/>
          <w:iCs/>
          <w:rtl/>
          <w:lang w:bidi="ar-EG"/>
        </w:rPr>
        <w:tab/>
        <w:t>(هـ)</w:t>
      </w:r>
      <w:r>
        <w:rPr>
          <w:rFonts w:hint="cs"/>
          <w:i/>
          <w:iCs/>
          <w:rtl/>
          <w:lang w:bidi="ar-EG"/>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lang w:bidi="ar-EG"/>
        </w:rPr>
      </w:pPr>
      <w:r>
        <w:rPr>
          <w:rFonts w:hint="cs"/>
          <w:i/>
          <w:iCs/>
          <w:rtl/>
          <w:lang w:bidi="ar-EG"/>
        </w:rPr>
        <w:tab/>
      </w:r>
      <w:r>
        <w:rPr>
          <w:rFonts w:hint="cs"/>
          <w:i/>
          <w:iCs/>
          <w:rtl/>
          <w:lang w:bidi="ar-EG"/>
        </w:rPr>
        <w:tab/>
        <w:t>(و)</w:t>
      </w:r>
      <w:r>
        <w:rPr>
          <w:rFonts w:hint="cs"/>
          <w:i/>
          <w:iCs/>
          <w:rtl/>
          <w:lang w:bidi="ar-EG"/>
        </w:rPr>
        <w:tab/>
        <w:t>خفض معدلات التسرب من المدرسة قبل الأوان بين الطالبات وتنظيم برامج للفتيات والنساء اللائي تركن المدرسة قبل الأوان؛</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lang w:bidi="ar-EG"/>
        </w:rPr>
      </w:pPr>
      <w:r>
        <w:rPr>
          <w:rFonts w:hint="cs"/>
          <w:i/>
          <w:iCs/>
          <w:rtl/>
          <w:lang w:bidi="ar-EG"/>
        </w:rPr>
        <w:tab/>
      </w:r>
      <w:r>
        <w:rPr>
          <w:rFonts w:hint="cs"/>
          <w:i/>
          <w:iCs/>
          <w:rtl/>
          <w:lang w:bidi="ar-EG"/>
        </w:rPr>
        <w:tab/>
        <w:t>(ز)</w:t>
      </w:r>
      <w:r>
        <w:rPr>
          <w:rFonts w:hint="cs"/>
          <w:i/>
          <w:iCs/>
          <w:rtl/>
          <w:lang w:bidi="ar-EG"/>
        </w:rPr>
        <w:tab/>
        <w:t>نفس الفرص للمشاركة النشطة في الألعاب الرياضية والتربية البدنية؛</w:t>
      </w:r>
    </w:p>
    <w:p w:rsidR="00662946" w:rsidRDefault="00662946">
      <w:pPr>
        <w:pStyle w:val="SingleTxt"/>
        <w:pBdr>
          <w:top w:val="single" w:sz="4" w:space="1" w:color="auto"/>
          <w:left w:val="single" w:sz="4" w:space="4" w:color="auto"/>
          <w:bottom w:val="single" w:sz="4" w:space="1" w:color="auto"/>
          <w:right w:val="single" w:sz="4" w:space="4" w:color="auto"/>
        </w:pBdr>
        <w:spacing w:line="380" w:lineRule="exact"/>
        <w:ind w:left="1264" w:right="1264"/>
        <w:jc w:val="both"/>
        <w:rPr>
          <w:rFonts w:hint="cs"/>
          <w:i/>
          <w:iCs/>
          <w:rtl/>
          <w:lang w:bidi="ar-EG"/>
        </w:rPr>
      </w:pPr>
      <w:r>
        <w:rPr>
          <w:rFonts w:hint="cs"/>
          <w:rtl/>
          <w:lang w:bidi="ar-EG"/>
        </w:rPr>
        <w:tab/>
      </w:r>
      <w:r>
        <w:rPr>
          <w:rFonts w:hint="cs"/>
          <w:rtl/>
          <w:lang w:bidi="ar-EG"/>
        </w:rPr>
        <w:tab/>
      </w:r>
      <w:r>
        <w:rPr>
          <w:rFonts w:hint="cs"/>
          <w:i/>
          <w:iCs/>
          <w:rtl/>
          <w:lang w:bidi="ar-EG"/>
        </w:rPr>
        <w:t>(ج)</w:t>
      </w:r>
      <w:r>
        <w:rPr>
          <w:rFonts w:hint="cs"/>
          <w:i/>
          <w:iCs/>
          <w:rtl/>
          <w:lang w:bidi="ar-EG"/>
        </w:rPr>
        <w:tab/>
        <w:t>الوصول إلى معلومات تربوية محددة للمساعدة في ضمان صحة الأسرة ورفاهها، بما في ذلك المعلومات والنصح عن تنظيم الأسرة.</w:t>
      </w:r>
    </w:p>
    <w:p w:rsidR="00662946" w:rsidRDefault="00662946">
      <w:pPr>
        <w:pStyle w:val="SingleTxt"/>
        <w:ind w:left="1264" w:right="1264"/>
        <w:jc w:val="both"/>
        <w:rPr>
          <w:rFonts w:hint="cs"/>
          <w:b/>
          <w:bCs/>
          <w:rtl/>
          <w:lang w:bidi="ar-EG"/>
        </w:rPr>
      </w:pPr>
      <w:r>
        <w:rPr>
          <w:rFonts w:hint="cs"/>
          <w:b/>
          <w:bCs/>
          <w:rtl/>
          <w:lang w:bidi="ar-EG"/>
        </w:rPr>
        <w:t>الحق في التعليم</w:t>
      </w:r>
    </w:p>
    <w:p w:rsidR="00662946" w:rsidRDefault="00662946">
      <w:pPr>
        <w:pStyle w:val="SingleTxt"/>
        <w:ind w:left="1264" w:right="1264"/>
        <w:jc w:val="both"/>
        <w:rPr>
          <w:rFonts w:hint="cs"/>
          <w:rtl/>
          <w:lang w:bidi="ar-EG"/>
        </w:rPr>
      </w:pPr>
      <w:r>
        <w:rPr>
          <w:rFonts w:hint="cs"/>
          <w:rtl/>
          <w:lang w:bidi="ar-EG"/>
        </w:rPr>
        <w:t>10-1</w:t>
      </w:r>
      <w:r>
        <w:rPr>
          <w:rFonts w:hint="cs"/>
          <w:rtl/>
          <w:lang w:bidi="ar-EG"/>
        </w:rPr>
        <w:tab/>
        <w:t xml:space="preserve">يكرس قانون التعليم لسنة 1999 حق جميع الأشخاص في التعليم. وينص البند 14، الفرع 2، من الدستور على أنه </w:t>
      </w:r>
      <w:r>
        <w:rPr>
          <w:rFonts w:hint="eastAsia"/>
          <w:rtl/>
          <w:lang w:bidi="ar-EG"/>
        </w:rPr>
        <w:t>”</w:t>
      </w:r>
      <w:r>
        <w:rPr>
          <w:rFonts w:hint="cs"/>
          <w:rtl/>
          <w:lang w:bidi="ar-EG"/>
        </w:rPr>
        <w:t>رهناً بالموارد المتاحة يحق لجميع الأشخاص الحصول على برنامج تعليمي مناسب لاحتياجاتهم وفقاً لهذا القانون</w:t>
      </w:r>
      <w:r>
        <w:rPr>
          <w:rFonts w:hint="eastAsia"/>
          <w:rtl/>
          <w:lang w:bidi="ar-EG"/>
        </w:rPr>
        <w:t xml:space="preserve">“. </w:t>
      </w:r>
      <w:r>
        <w:rPr>
          <w:rFonts w:hint="cs"/>
          <w:rtl/>
          <w:lang w:bidi="ar-EG"/>
        </w:rPr>
        <w:t xml:space="preserve">وفي حين أن الحق في التعليم مضمون </w:t>
      </w:r>
      <w:r>
        <w:rPr>
          <w:rFonts w:hint="cs"/>
          <w:i/>
          <w:iCs/>
          <w:rtl/>
          <w:lang w:bidi="ar-EG"/>
        </w:rPr>
        <w:t>لجميع الأشخاص</w:t>
      </w:r>
      <w:r>
        <w:rPr>
          <w:rFonts w:hint="cs"/>
          <w:rtl/>
          <w:lang w:bidi="ar-EG"/>
        </w:rPr>
        <w:t xml:space="preserve"> فإنه لا يوجد نص معين يوحي بأن الأشخاص سيحصلون على تعليم من نوعية واحدة بغض النظر عن جنسهم أو عرقهم أو صفاتهم الأخرى.</w:t>
      </w:r>
    </w:p>
    <w:p w:rsidR="00662946" w:rsidRDefault="00662946">
      <w:pPr>
        <w:pStyle w:val="SingleTxt"/>
        <w:ind w:left="1264" w:right="1264"/>
        <w:jc w:val="both"/>
        <w:rPr>
          <w:rFonts w:hint="cs"/>
          <w:rtl/>
          <w:lang w:bidi="ar-EG"/>
        </w:rPr>
      </w:pPr>
      <w:r>
        <w:rPr>
          <w:rFonts w:hint="cs"/>
          <w:rtl/>
          <w:lang w:bidi="ar-EG"/>
        </w:rPr>
        <w:t>10-2</w:t>
      </w:r>
      <w:r>
        <w:rPr>
          <w:rFonts w:hint="cs"/>
          <w:rtl/>
          <w:lang w:bidi="ar-EG"/>
        </w:rPr>
        <w:tab/>
        <w:t>يبيِّن أحد الأهداف والغايات والمقاصد المحددة في قانون التعليم لسنة 1999 قدراً من الوعي بالعلاقات الجنسانية الإيجابية باعتبارها جزءاً من النظام التعليمي. وفيما يلي بعض الأهداف المحددة لقانون التعليم لسنة 1999:</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’1‘</w:t>
      </w:r>
      <w:r>
        <w:rPr>
          <w:rFonts w:hint="cs"/>
          <w:rtl/>
          <w:lang w:bidi="ar-EG"/>
        </w:rPr>
        <w:tab/>
        <w:t>تشجيع تنمية المعرفة والمهارات الأساسية لجميع الأشخاص، بما في ذلك مهارات الإلمام بالقراءة والكتابة والاستماع والتكلم والأرقام والرياضيات والتحليل وحل المشاكل وتجهيز المعلومات والحوسبة؛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’2‘</w:t>
      </w:r>
      <w:r>
        <w:rPr>
          <w:rFonts w:hint="cs"/>
          <w:rtl/>
          <w:lang w:bidi="ar-EG"/>
        </w:rPr>
        <w:tab/>
        <w:t>تنمية شعور الفرد بقيمته من خلال البيئة التعليمية الإيجابية؛</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’3‘</w:t>
      </w:r>
      <w:r>
        <w:rPr>
          <w:rFonts w:hint="cs"/>
          <w:rtl/>
          <w:lang w:bidi="ar-EG"/>
        </w:rPr>
        <w:tab/>
        <w:t>تعزيز أهمية الأسرة والمجتمع المحلي؛</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’4‘</w:t>
      </w:r>
      <w:r>
        <w:rPr>
          <w:rFonts w:hint="cs"/>
          <w:rtl/>
          <w:lang w:bidi="ar-EG"/>
        </w:rPr>
        <w:tab/>
        <w:t>تنمية فهم مبادئ المساواة بين الجنسين.</w:t>
      </w:r>
    </w:p>
    <w:p w:rsidR="00662946" w:rsidRDefault="00662946">
      <w:pPr>
        <w:pStyle w:val="SingleTxt"/>
        <w:ind w:left="1264" w:right="1264"/>
        <w:jc w:val="both"/>
        <w:rPr>
          <w:rFonts w:hint="cs"/>
          <w:rtl/>
          <w:lang w:bidi="ar-EG"/>
        </w:rPr>
      </w:pPr>
      <w:r>
        <w:rPr>
          <w:rFonts w:hint="cs"/>
          <w:rtl/>
          <w:lang w:bidi="ar-EG"/>
        </w:rPr>
        <w:t>10-3</w:t>
      </w:r>
      <w:r>
        <w:rPr>
          <w:rFonts w:hint="cs"/>
          <w:rtl/>
          <w:lang w:bidi="ar-EG"/>
        </w:rPr>
        <w:tab/>
        <w:t>يُكفل عن طريق وجود مقررات دراسية وطنية حصول الإناث على نفس المقررات الدراسية ودخولهن الامتحانات التي يدخلها الذكور. وفيما يتعلق بتقييم المقررات الدراسية للطلبة ينص الفرع 8، القسم 142 من قانون التعليم لسنة 1999 على ما يلي:</w:t>
      </w:r>
    </w:p>
    <w:p w:rsidR="00662946" w:rsidRDefault="00662946">
      <w:pPr>
        <w:pStyle w:val="SingleTxt"/>
        <w:ind w:left="1264" w:right="1264"/>
        <w:jc w:val="both"/>
        <w:rPr>
          <w:rFonts w:hint="cs"/>
          <w:rtl/>
          <w:lang w:bidi="ar-EG"/>
        </w:rPr>
      </w:pPr>
      <w:r>
        <w:rPr>
          <w:rFonts w:hint="cs"/>
          <w:rtl/>
          <w:lang w:bidi="ar-EG"/>
        </w:rPr>
        <w:tab/>
      </w:r>
      <w:r>
        <w:rPr>
          <w:rFonts w:hint="cs"/>
          <w:rtl/>
          <w:lang w:bidi="ar-EG"/>
        </w:rPr>
        <w:tab/>
      </w:r>
      <w:r>
        <w:rPr>
          <w:rFonts w:hint="eastAsia"/>
          <w:rtl/>
          <w:lang w:bidi="ar-EG"/>
        </w:rPr>
        <w:t>”1 -</w:t>
      </w:r>
      <w:r>
        <w:rPr>
          <w:rFonts w:hint="cs"/>
          <w:rtl/>
          <w:lang w:bidi="ar-EG"/>
        </w:rPr>
        <w:t xml:space="preserve"> </w:t>
      </w:r>
      <w:r>
        <w:rPr>
          <w:rFonts w:hint="eastAsia"/>
          <w:rtl/>
          <w:lang w:bidi="ar-EG"/>
        </w:rPr>
        <w:t>يضع الوزير مق</w:t>
      </w:r>
      <w:r>
        <w:rPr>
          <w:rFonts w:hint="cs"/>
          <w:rtl/>
          <w:lang w:bidi="ar-EG"/>
        </w:rPr>
        <w:t>ر</w:t>
      </w:r>
      <w:r>
        <w:rPr>
          <w:rFonts w:hint="eastAsia"/>
          <w:rtl/>
          <w:lang w:bidi="ar-EG"/>
        </w:rPr>
        <w:t xml:space="preserve">رات وطنية </w:t>
      </w:r>
      <w:r>
        <w:rPr>
          <w:rFonts w:hint="cs"/>
          <w:rtl/>
          <w:lang w:bidi="ar-EG"/>
        </w:rPr>
        <w:t xml:space="preserve">للمدارس الحكومية والمدارس المعانة. 2 </w:t>
      </w:r>
      <w:r>
        <w:rPr>
          <w:rtl/>
          <w:lang w:bidi="ar-EG"/>
        </w:rPr>
        <w:t>–</w:t>
      </w:r>
      <w:r>
        <w:rPr>
          <w:rFonts w:hint="cs"/>
          <w:rtl/>
          <w:lang w:bidi="ar-EG"/>
        </w:rPr>
        <w:t xml:space="preserve"> تكون المقررات الدراسية الموضوعة بموجب القسم الفرعي 1 متوازنة وعريضة القاعدة وعلاوة على الأهداف والغايات المحددة في القسم 3 (3)-</w:t>
      </w:r>
    </w:p>
    <w:p w:rsidR="00662946" w:rsidRDefault="00662946">
      <w:pPr>
        <w:pStyle w:val="SingleTxt"/>
        <w:ind w:left="1264" w:right="1264"/>
        <w:jc w:val="both"/>
        <w:rPr>
          <w:rFonts w:hint="cs"/>
          <w:rtl/>
          <w:lang w:bidi="ar-EG"/>
        </w:rPr>
      </w:pPr>
      <w:r>
        <w:rPr>
          <w:rFonts w:hint="cs"/>
          <w:rtl/>
          <w:lang w:bidi="ar-EG"/>
        </w:rPr>
        <w:tab/>
      </w:r>
      <w:r>
        <w:rPr>
          <w:rFonts w:hint="cs"/>
          <w:rtl/>
          <w:lang w:bidi="ar-EG"/>
        </w:rPr>
        <w:tab/>
        <w:t>(أ)</w:t>
      </w:r>
      <w:r>
        <w:rPr>
          <w:rFonts w:hint="cs"/>
          <w:rtl/>
          <w:lang w:bidi="ar-EG"/>
        </w:rPr>
        <w:tab/>
        <w:t>تعزز التنمية الروحية والمعنوية والثقافية والفكرية والبدنية للطلبة والمجتمع؛ و</w:t>
      </w:r>
    </w:p>
    <w:p w:rsidR="00662946" w:rsidRDefault="00662946">
      <w:pPr>
        <w:pStyle w:val="SingleTxt"/>
        <w:ind w:left="1264" w:right="1264"/>
        <w:jc w:val="both"/>
        <w:rPr>
          <w:rFonts w:hint="cs"/>
          <w:rtl/>
          <w:lang w:bidi="ar-EG"/>
        </w:rPr>
      </w:pPr>
      <w:r>
        <w:rPr>
          <w:rFonts w:hint="cs"/>
          <w:rtl/>
          <w:lang w:bidi="ar-EG"/>
        </w:rPr>
        <w:tab/>
      </w:r>
      <w:r>
        <w:rPr>
          <w:rFonts w:hint="cs"/>
          <w:rtl/>
          <w:lang w:bidi="ar-EG"/>
        </w:rPr>
        <w:tab/>
        <w:t>(ب)</w:t>
      </w:r>
      <w:r>
        <w:rPr>
          <w:rFonts w:hint="cs"/>
          <w:rtl/>
          <w:lang w:bidi="ar-EG"/>
        </w:rPr>
        <w:tab/>
        <w:t>تعد الطلبة لفرص ومسؤوليات وخبرات الحياة عندما يصبحون راشدين.</w:t>
      </w:r>
      <w:r>
        <w:rPr>
          <w:rFonts w:hint="eastAsia"/>
          <w:rtl/>
          <w:lang w:bidi="ar-EG"/>
        </w:rPr>
        <w:t>“</w:t>
      </w:r>
    </w:p>
    <w:p w:rsidR="00662946" w:rsidRDefault="00662946">
      <w:pPr>
        <w:pStyle w:val="SingleTxt"/>
        <w:ind w:left="1264" w:right="1264"/>
        <w:jc w:val="both"/>
        <w:rPr>
          <w:rFonts w:hint="cs"/>
          <w:rtl/>
          <w:lang w:bidi="ar-EG"/>
        </w:rPr>
      </w:pPr>
      <w:r>
        <w:rPr>
          <w:rFonts w:hint="cs"/>
          <w:rtl/>
          <w:lang w:bidi="ar-EG"/>
        </w:rPr>
        <w:t>10-4</w:t>
      </w:r>
      <w:r>
        <w:rPr>
          <w:rFonts w:hint="cs"/>
          <w:rtl/>
          <w:lang w:bidi="ar-EG"/>
        </w:rPr>
        <w:tab/>
        <w:t xml:space="preserve">والواقع أنه يمكن توقع أن تحقق المقررات الدراسية </w:t>
      </w:r>
      <w:r>
        <w:rPr>
          <w:rFonts w:hint="eastAsia"/>
          <w:rtl/>
          <w:lang w:bidi="ar-EG"/>
        </w:rPr>
        <w:t>”</w:t>
      </w:r>
      <w:r>
        <w:rPr>
          <w:rFonts w:hint="cs"/>
          <w:rtl/>
          <w:lang w:bidi="ar-EG"/>
        </w:rPr>
        <w:t>المتوازنة والعريضة القاعدة</w:t>
      </w:r>
      <w:r>
        <w:rPr>
          <w:rFonts w:hint="eastAsia"/>
          <w:rtl/>
          <w:lang w:bidi="ar-EG"/>
        </w:rPr>
        <w:t>“</w:t>
      </w:r>
      <w:r>
        <w:rPr>
          <w:rFonts w:hint="cs"/>
          <w:rtl/>
          <w:lang w:bidi="ar-EG"/>
        </w:rPr>
        <w:t xml:space="preserve"> هدف تنمية </w:t>
      </w:r>
      <w:r>
        <w:rPr>
          <w:rFonts w:hint="eastAsia"/>
          <w:rtl/>
          <w:lang w:bidi="ar-EG"/>
        </w:rPr>
        <w:t>”فهم لمبادئ المساواة بين جنسين</w:t>
      </w:r>
      <w:r>
        <w:rPr>
          <w:rFonts w:hint="cs"/>
          <w:rtl/>
          <w:lang w:bidi="ar-EG"/>
        </w:rPr>
        <w:t>“. بيد أنه إصدار إعلان خاص بتوفير نفس المقررات الدراسية والوصول على قدم المساواة للتعليم للذكور والإناث قد يثبت أنه التزام مباشر وأكثر حزماً للقضاء على التمييز ضد المرأة في مجال التعليم.</w:t>
      </w:r>
    </w:p>
    <w:p w:rsidR="00662946" w:rsidRDefault="00662946">
      <w:pPr>
        <w:pStyle w:val="SingleTxt"/>
        <w:ind w:left="1264" w:right="1264"/>
        <w:jc w:val="both"/>
        <w:rPr>
          <w:rFonts w:hint="cs"/>
          <w:b/>
          <w:bCs/>
          <w:rtl/>
          <w:lang w:bidi="ar-EG"/>
        </w:rPr>
      </w:pPr>
      <w:r>
        <w:rPr>
          <w:rFonts w:hint="cs"/>
          <w:b/>
          <w:bCs/>
          <w:rtl/>
          <w:lang w:bidi="ar-EG"/>
        </w:rPr>
        <w:t>مراكز تعليم الأطفال في سن الطفولة المبكرة والمراكز قبل المدرسية</w:t>
      </w:r>
    </w:p>
    <w:p w:rsidR="00662946" w:rsidRDefault="00662946">
      <w:pPr>
        <w:pStyle w:val="SingleTxt"/>
        <w:ind w:left="1264" w:right="1264"/>
        <w:jc w:val="both"/>
        <w:rPr>
          <w:rFonts w:hint="cs"/>
          <w:rtl/>
          <w:lang w:bidi="ar-EG"/>
        </w:rPr>
      </w:pPr>
      <w:r>
        <w:rPr>
          <w:rFonts w:hint="cs"/>
          <w:rtl/>
          <w:lang w:bidi="ar-EG"/>
        </w:rPr>
        <w:t>10-5</w:t>
      </w:r>
      <w:r>
        <w:rPr>
          <w:rFonts w:hint="cs"/>
          <w:rtl/>
          <w:lang w:bidi="ar-EG"/>
        </w:rPr>
        <w:tab/>
        <w:t>تشرف وزارة التعليم والثقافة على إدارة المراكز قبل المدرسية في سانت لوسيا في حين تشرف وزارة التحول الاجتماعي (التي كانت تسمى في الماضي وزارة التنمية المجتمعية والشباب والشؤون الاجتماعية والرياضة) على إدارة خدمات الرعاية النهارية. وتدرك الوزارتان أهمية تنمية الطفل وضرورة تزويد أبويه، وبصفة خاصة أمه، بالخدمات التي تقدِّم الرعاية المناسبة لأطفالهن أثناء ساعات عمل الآباء والأمهات.</w:t>
      </w:r>
    </w:p>
    <w:p w:rsidR="00662946" w:rsidRDefault="00662946">
      <w:pPr>
        <w:pStyle w:val="SingleTxt"/>
        <w:ind w:left="1264" w:right="1264"/>
        <w:jc w:val="both"/>
        <w:rPr>
          <w:rFonts w:hint="cs"/>
          <w:rtl/>
          <w:lang w:bidi="ar-EG"/>
        </w:rPr>
      </w:pPr>
      <w:r>
        <w:rPr>
          <w:rFonts w:hint="cs"/>
          <w:rtl/>
          <w:lang w:bidi="ar-EG"/>
        </w:rPr>
        <w:t>10-6</w:t>
      </w:r>
      <w:r>
        <w:rPr>
          <w:rFonts w:hint="cs"/>
          <w:rtl/>
          <w:lang w:bidi="ar-EG"/>
        </w:rPr>
        <w:tab/>
        <w:t>في سنة 1979 أُنشأت الحكومة في إطار برنامج تعليم الطفولة المبكرة التابعة لوزارة التعليم خدمة الرعاية النهارية. وتقدِّم هذه الخدمة الرعاية لصغار الأطفال الذين تتراوح أعمارهم بين صفر وخمس سنوات. بيد أن وحدة الرعاية النهارية التابعة لوزارة الشباب والتنمية الاجتماعية قد أعطيت مسؤولية تنسيق إدارة جميع مراكز الرعاية النهارية للأطفال الذين تتراوح أعمارهن بين عامين ونصف العام وخمسة أعوام. وفي نفس الوقت تشرف وزارة التعليم والثقافة على إدارة جميع المراكز قبل المدرسية التي لا تملكها الحكومة، للأطفال الذين تتراوح أعمارهم بين 2/1 2 سنة وخمس سنوات. وتعتمد مراكز الرعاية النهارية والمراكز قبل المدرسية غير الحكومية في سانت لوسيا على إعانات من الوزارات المسؤولة أيضاً عن تقديم التدريب لموظفي المراكز.</w:t>
      </w:r>
    </w:p>
    <w:p w:rsidR="00662946" w:rsidRDefault="00662946">
      <w:pPr>
        <w:pStyle w:val="SingleTxt"/>
        <w:ind w:left="1264" w:right="1264"/>
        <w:jc w:val="both"/>
        <w:rPr>
          <w:rFonts w:hint="cs"/>
          <w:rtl/>
          <w:lang w:bidi="ar-EG"/>
        </w:rPr>
      </w:pPr>
      <w:r>
        <w:rPr>
          <w:rFonts w:hint="cs"/>
          <w:rtl/>
          <w:lang w:bidi="ar-EG"/>
        </w:rPr>
        <w:t>10-7</w:t>
      </w:r>
      <w:r>
        <w:rPr>
          <w:rFonts w:hint="cs"/>
          <w:rtl/>
          <w:lang w:bidi="ar-EG"/>
        </w:rPr>
        <w:tab/>
        <w:t>يؤدي عدد كبير من المراكز (الحكومية وغير الحكومية) وظائف مزدوجة بالعمل باعتبارها مراكز للرعاية النهارية ومراكز قبل مدرسية. ونتيجة لهذه الازدواجية قد تسجَّل مراكز الرعاية النهارية في بعض الحالات وتُرصد من جانب وحدة الخدمات قبل المدرسية التابعة لوزارة التعليم. وهذه الأدوار المزدوجة للمراكز تكفل استمرارية الرعاية والاستقرار النفسي والعاطفي للأطفال.</w:t>
      </w:r>
    </w:p>
    <w:tbl>
      <w:tblPr>
        <w:bidiVisual/>
        <w:tblW w:w="9760" w:type="dxa"/>
        <w:jc w:val="center"/>
        <w:tblLook w:val="0000" w:firstRow="0" w:lastRow="0" w:firstColumn="0" w:lastColumn="0" w:noHBand="0" w:noVBand="0"/>
      </w:tblPr>
      <w:tblGrid>
        <w:gridCol w:w="1300"/>
        <w:gridCol w:w="1604"/>
        <w:gridCol w:w="1133"/>
        <w:gridCol w:w="1236"/>
        <w:gridCol w:w="1133"/>
        <w:gridCol w:w="1545"/>
        <w:gridCol w:w="1809"/>
      </w:tblGrid>
      <w:tr w:rsidR="00662946">
        <w:trPr>
          <w:trHeight w:val="552"/>
          <w:jc w:val="center"/>
        </w:trPr>
        <w:tc>
          <w:tcPr>
            <w:tcW w:w="9760" w:type="dxa"/>
            <w:gridSpan w:val="7"/>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sz w:val="26"/>
                <w:szCs w:val="26"/>
                <w:rtl/>
                <w:lang w:bidi="ar-EG"/>
              </w:rPr>
            </w:pPr>
            <w:r>
              <w:rPr>
                <w:rFonts w:hint="cs"/>
                <w:b/>
                <w:bCs/>
                <w:sz w:val="26"/>
                <w:szCs w:val="26"/>
                <w:rtl/>
                <w:lang w:bidi="ar-EG"/>
              </w:rPr>
              <w:t>الجدول 10-1 أ: الحجم المتوسط، نسبة الأطفال إلى المعلمين ومتوسط عدد المعلمين في مركز الرعاية</w:t>
            </w:r>
          </w:p>
        </w:tc>
      </w:tr>
      <w:tr w:rsidR="00662946">
        <w:trPr>
          <w:trHeight w:val="552"/>
          <w:jc w:val="center"/>
        </w:trPr>
        <w:tc>
          <w:tcPr>
            <w:tcW w:w="1300"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rFonts w:hint="cs"/>
                <w:b/>
                <w:bCs/>
                <w:sz w:val="26"/>
                <w:szCs w:val="26"/>
              </w:rPr>
            </w:pPr>
            <w:r>
              <w:rPr>
                <w:rFonts w:hint="cs"/>
                <w:b/>
                <w:bCs/>
                <w:sz w:val="26"/>
                <w:szCs w:val="26"/>
                <w:rtl/>
              </w:rPr>
              <w:t>السنة</w:t>
            </w:r>
          </w:p>
        </w:tc>
        <w:tc>
          <w:tcPr>
            <w:tcW w:w="1604"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26"/>
                <w:szCs w:val="26"/>
              </w:rPr>
            </w:pPr>
            <w:r>
              <w:rPr>
                <w:rFonts w:hint="cs"/>
                <w:b/>
                <w:bCs/>
                <w:sz w:val="26"/>
                <w:szCs w:val="26"/>
                <w:rtl/>
              </w:rPr>
              <w:t>عدد مراكز الرعاية النهارية</w:t>
            </w:r>
          </w:p>
        </w:tc>
        <w:tc>
          <w:tcPr>
            <w:tcW w:w="1133"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26"/>
                <w:szCs w:val="26"/>
              </w:rPr>
            </w:pPr>
            <w:r>
              <w:rPr>
                <w:rFonts w:hint="cs"/>
                <w:b/>
                <w:bCs/>
                <w:sz w:val="26"/>
                <w:szCs w:val="26"/>
                <w:rtl/>
              </w:rPr>
              <w:t>عدد المسجلين</w:t>
            </w:r>
          </w:p>
        </w:tc>
        <w:tc>
          <w:tcPr>
            <w:tcW w:w="1236"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26"/>
                <w:szCs w:val="26"/>
              </w:rPr>
            </w:pPr>
            <w:r>
              <w:rPr>
                <w:rFonts w:hint="cs"/>
                <w:b/>
                <w:bCs/>
                <w:sz w:val="26"/>
                <w:szCs w:val="26"/>
                <w:rtl/>
              </w:rPr>
              <w:t>عدد القائمين بالرعاية</w:t>
            </w:r>
          </w:p>
        </w:tc>
        <w:tc>
          <w:tcPr>
            <w:tcW w:w="1133"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26"/>
                <w:szCs w:val="26"/>
              </w:rPr>
            </w:pPr>
            <w:r>
              <w:rPr>
                <w:rFonts w:hint="cs"/>
                <w:b/>
                <w:bCs/>
                <w:sz w:val="26"/>
                <w:szCs w:val="26"/>
                <w:rtl/>
              </w:rPr>
              <w:t>الحجم المتوسط</w:t>
            </w:r>
          </w:p>
        </w:tc>
        <w:tc>
          <w:tcPr>
            <w:tcW w:w="1545"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26"/>
                <w:szCs w:val="26"/>
              </w:rPr>
            </w:pPr>
            <w:r>
              <w:rPr>
                <w:rFonts w:hint="cs"/>
                <w:b/>
                <w:bCs/>
                <w:sz w:val="26"/>
                <w:szCs w:val="26"/>
                <w:rtl/>
              </w:rPr>
              <w:t>عدد الأطفال المتمتعين بالرعاية</w:t>
            </w:r>
          </w:p>
        </w:tc>
        <w:tc>
          <w:tcPr>
            <w:tcW w:w="1809"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26"/>
                <w:szCs w:val="26"/>
              </w:rPr>
            </w:pPr>
            <w:r>
              <w:rPr>
                <w:rFonts w:hint="cs"/>
                <w:b/>
                <w:bCs/>
                <w:sz w:val="26"/>
                <w:szCs w:val="26"/>
                <w:rtl/>
              </w:rPr>
              <w:t>متوسط عدد المعلمين في المركز الواحد</w:t>
            </w:r>
          </w:p>
        </w:tc>
      </w:tr>
      <w:tr w:rsidR="00662946">
        <w:trPr>
          <w:trHeight w:val="255"/>
          <w:jc w:val="center"/>
        </w:trPr>
        <w:tc>
          <w:tcPr>
            <w:tcW w:w="1300"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26"/>
                <w:szCs w:val="26"/>
              </w:rPr>
            </w:pPr>
            <w:r>
              <w:rPr>
                <w:sz w:val="26"/>
                <w:szCs w:val="26"/>
                <w:rtl/>
              </w:rPr>
              <w:t>1999</w:t>
            </w:r>
            <w:r>
              <w:rPr>
                <w:sz w:val="26"/>
                <w:szCs w:val="26"/>
              </w:rPr>
              <w:t>/</w:t>
            </w:r>
            <w:r>
              <w:rPr>
                <w:sz w:val="26"/>
                <w:szCs w:val="26"/>
                <w:rtl/>
              </w:rPr>
              <w:t>00</w:t>
            </w:r>
          </w:p>
        </w:tc>
        <w:tc>
          <w:tcPr>
            <w:tcW w:w="160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33</w:t>
            </w:r>
          </w:p>
        </w:tc>
        <w:tc>
          <w:tcPr>
            <w:tcW w:w="1133" w:type="dxa"/>
            <w:tcBorders>
              <w:top w:val="single" w:sz="8" w:space="0" w:color="auto"/>
              <w:left w:val="nil"/>
              <w:bottom w:val="single" w:sz="8" w:space="0" w:color="auto"/>
              <w:right w:val="nil"/>
            </w:tcBorders>
            <w:noWrap/>
            <w:vAlign w:val="bottom"/>
          </w:tcPr>
          <w:p w:rsidR="00662946" w:rsidRDefault="00662946">
            <w:pPr>
              <w:spacing w:after="120"/>
              <w:jc w:val="center"/>
              <w:rPr>
                <w:rFonts w:hint="cs"/>
                <w:sz w:val="26"/>
                <w:szCs w:val="26"/>
              </w:rPr>
            </w:pPr>
            <w:r>
              <w:rPr>
                <w:rFonts w:hint="cs"/>
                <w:sz w:val="26"/>
                <w:szCs w:val="26"/>
                <w:rtl/>
              </w:rPr>
              <w:t>325 1</w:t>
            </w:r>
          </w:p>
        </w:tc>
        <w:tc>
          <w:tcPr>
            <w:tcW w:w="123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107</w:t>
            </w:r>
          </w:p>
        </w:tc>
        <w:tc>
          <w:tcPr>
            <w:tcW w:w="1133"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40</w:t>
            </w:r>
          </w:p>
        </w:tc>
        <w:tc>
          <w:tcPr>
            <w:tcW w:w="1545"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12</w:t>
            </w:r>
          </w:p>
        </w:tc>
        <w:tc>
          <w:tcPr>
            <w:tcW w:w="1809"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3</w:t>
            </w:r>
          </w:p>
        </w:tc>
      </w:tr>
      <w:tr w:rsidR="00662946">
        <w:trPr>
          <w:trHeight w:val="255"/>
          <w:jc w:val="center"/>
        </w:trPr>
        <w:tc>
          <w:tcPr>
            <w:tcW w:w="1300"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26"/>
                <w:szCs w:val="26"/>
              </w:rPr>
            </w:pPr>
            <w:r>
              <w:rPr>
                <w:sz w:val="26"/>
                <w:szCs w:val="26"/>
                <w:rtl/>
              </w:rPr>
              <w:t>2000</w:t>
            </w:r>
            <w:r>
              <w:rPr>
                <w:sz w:val="26"/>
                <w:szCs w:val="26"/>
              </w:rPr>
              <w:t>/</w:t>
            </w:r>
            <w:r>
              <w:rPr>
                <w:sz w:val="26"/>
                <w:szCs w:val="26"/>
                <w:rtl/>
              </w:rPr>
              <w:t>01</w:t>
            </w:r>
          </w:p>
        </w:tc>
        <w:tc>
          <w:tcPr>
            <w:tcW w:w="160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38</w:t>
            </w:r>
          </w:p>
        </w:tc>
        <w:tc>
          <w:tcPr>
            <w:tcW w:w="1133" w:type="dxa"/>
            <w:tcBorders>
              <w:top w:val="single" w:sz="8" w:space="0" w:color="auto"/>
              <w:left w:val="nil"/>
              <w:bottom w:val="single" w:sz="8" w:space="0" w:color="auto"/>
              <w:right w:val="nil"/>
            </w:tcBorders>
            <w:noWrap/>
            <w:vAlign w:val="bottom"/>
          </w:tcPr>
          <w:p w:rsidR="00662946" w:rsidRDefault="00662946">
            <w:pPr>
              <w:spacing w:after="120"/>
              <w:jc w:val="center"/>
              <w:rPr>
                <w:rFonts w:hint="cs"/>
                <w:sz w:val="26"/>
                <w:szCs w:val="26"/>
              </w:rPr>
            </w:pPr>
            <w:r>
              <w:rPr>
                <w:rFonts w:hint="cs"/>
                <w:sz w:val="26"/>
                <w:szCs w:val="26"/>
                <w:rtl/>
              </w:rPr>
              <w:t>417 1</w:t>
            </w:r>
          </w:p>
        </w:tc>
        <w:tc>
          <w:tcPr>
            <w:tcW w:w="123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130</w:t>
            </w:r>
          </w:p>
        </w:tc>
        <w:tc>
          <w:tcPr>
            <w:tcW w:w="1133"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37</w:t>
            </w:r>
          </w:p>
        </w:tc>
        <w:tc>
          <w:tcPr>
            <w:tcW w:w="1545"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11</w:t>
            </w:r>
          </w:p>
        </w:tc>
        <w:tc>
          <w:tcPr>
            <w:tcW w:w="1809"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3</w:t>
            </w:r>
          </w:p>
        </w:tc>
      </w:tr>
      <w:tr w:rsidR="00662946">
        <w:trPr>
          <w:trHeight w:val="270"/>
          <w:jc w:val="center"/>
        </w:trPr>
        <w:tc>
          <w:tcPr>
            <w:tcW w:w="1300"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26"/>
                <w:szCs w:val="26"/>
              </w:rPr>
            </w:pPr>
            <w:r>
              <w:rPr>
                <w:sz w:val="26"/>
                <w:szCs w:val="26"/>
                <w:rtl/>
              </w:rPr>
              <w:t>2001</w:t>
            </w:r>
            <w:r>
              <w:rPr>
                <w:sz w:val="26"/>
                <w:szCs w:val="26"/>
              </w:rPr>
              <w:t>/</w:t>
            </w:r>
            <w:r>
              <w:rPr>
                <w:sz w:val="26"/>
                <w:szCs w:val="26"/>
                <w:rtl/>
              </w:rPr>
              <w:t>02</w:t>
            </w:r>
          </w:p>
        </w:tc>
        <w:tc>
          <w:tcPr>
            <w:tcW w:w="160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40</w:t>
            </w:r>
          </w:p>
        </w:tc>
        <w:tc>
          <w:tcPr>
            <w:tcW w:w="1133" w:type="dxa"/>
            <w:tcBorders>
              <w:top w:val="single" w:sz="8" w:space="0" w:color="auto"/>
              <w:left w:val="nil"/>
              <w:bottom w:val="single" w:sz="8" w:space="0" w:color="auto"/>
              <w:right w:val="nil"/>
            </w:tcBorders>
            <w:noWrap/>
            <w:vAlign w:val="bottom"/>
          </w:tcPr>
          <w:p w:rsidR="00662946" w:rsidRDefault="00662946">
            <w:pPr>
              <w:spacing w:after="120"/>
              <w:jc w:val="center"/>
              <w:rPr>
                <w:rFonts w:hint="cs"/>
                <w:sz w:val="26"/>
                <w:szCs w:val="26"/>
              </w:rPr>
            </w:pPr>
            <w:r>
              <w:rPr>
                <w:rFonts w:hint="cs"/>
                <w:sz w:val="26"/>
                <w:szCs w:val="26"/>
                <w:rtl/>
              </w:rPr>
              <w:t>306 1</w:t>
            </w:r>
          </w:p>
        </w:tc>
        <w:tc>
          <w:tcPr>
            <w:tcW w:w="123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131</w:t>
            </w:r>
          </w:p>
        </w:tc>
        <w:tc>
          <w:tcPr>
            <w:tcW w:w="1133"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33</w:t>
            </w:r>
          </w:p>
        </w:tc>
        <w:tc>
          <w:tcPr>
            <w:tcW w:w="1545"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10</w:t>
            </w:r>
          </w:p>
        </w:tc>
        <w:tc>
          <w:tcPr>
            <w:tcW w:w="1809"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 w:val="26"/>
                <w:szCs w:val="26"/>
              </w:rPr>
            </w:pPr>
            <w:r>
              <w:rPr>
                <w:sz w:val="26"/>
                <w:szCs w:val="26"/>
                <w:rtl/>
              </w:rPr>
              <w:t>3</w:t>
            </w:r>
          </w:p>
        </w:tc>
      </w:tr>
    </w:tbl>
    <w:p w:rsidR="00662946" w:rsidRDefault="00662946">
      <w:pPr>
        <w:pStyle w:val="SingleTxt"/>
        <w:ind w:left="1264" w:right="1264"/>
        <w:jc w:val="both"/>
        <w:rPr>
          <w:rFonts w:hint="cs"/>
          <w:rtl/>
          <w:lang w:bidi="ar-EG"/>
        </w:rPr>
      </w:pPr>
    </w:p>
    <w:tbl>
      <w:tblPr>
        <w:bidiVisual/>
        <w:tblW w:w="8302" w:type="dxa"/>
        <w:jc w:val="center"/>
        <w:tblLook w:val="0000" w:firstRow="0" w:lastRow="0" w:firstColumn="0" w:lastColumn="0" w:noHBand="0" w:noVBand="0"/>
      </w:tblPr>
      <w:tblGrid>
        <w:gridCol w:w="1300"/>
        <w:gridCol w:w="2305"/>
        <w:gridCol w:w="2200"/>
        <w:gridCol w:w="2497"/>
      </w:tblGrid>
      <w:tr w:rsidR="00662946">
        <w:trPr>
          <w:trHeight w:val="552"/>
          <w:jc w:val="center"/>
        </w:trPr>
        <w:tc>
          <w:tcPr>
            <w:tcW w:w="8302" w:type="dxa"/>
            <w:gridSpan w:val="4"/>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sz w:val="30"/>
              </w:rPr>
            </w:pPr>
            <w:r>
              <w:rPr>
                <w:rFonts w:hint="cs"/>
                <w:b/>
                <w:bCs/>
                <w:sz w:val="30"/>
                <w:rtl/>
                <w:lang w:bidi="ar-EG"/>
              </w:rPr>
              <w:t>الجدول 10-1 ب: النسبة المئوية للإناث في مراكز الرعاية النهارية في 1999/2000 إلى 2001/2002</w:t>
            </w:r>
          </w:p>
        </w:tc>
      </w:tr>
      <w:tr w:rsidR="00662946">
        <w:trPr>
          <w:trHeight w:val="270"/>
          <w:jc w:val="center"/>
        </w:trPr>
        <w:tc>
          <w:tcPr>
            <w:tcW w:w="1300"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b/>
                <w:bCs/>
                <w:sz w:val="30"/>
              </w:rPr>
            </w:pPr>
            <w:r>
              <w:rPr>
                <w:rFonts w:hint="cs"/>
                <w:b/>
                <w:bCs/>
                <w:sz w:val="30"/>
                <w:rtl/>
              </w:rPr>
              <w:t>السنة</w:t>
            </w:r>
          </w:p>
        </w:tc>
        <w:tc>
          <w:tcPr>
            <w:tcW w:w="230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30"/>
              </w:rPr>
            </w:pPr>
            <w:r>
              <w:rPr>
                <w:rFonts w:hint="cs"/>
                <w:b/>
                <w:bCs/>
                <w:sz w:val="30"/>
                <w:rtl/>
              </w:rPr>
              <w:t>عدد المسجلين</w:t>
            </w:r>
          </w:p>
        </w:tc>
        <w:tc>
          <w:tcPr>
            <w:tcW w:w="2200"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30"/>
              </w:rPr>
            </w:pPr>
            <w:r>
              <w:rPr>
                <w:rFonts w:hint="cs"/>
                <w:b/>
                <w:bCs/>
                <w:sz w:val="30"/>
                <w:rtl/>
              </w:rPr>
              <w:t>عدد الإناث</w:t>
            </w:r>
          </w:p>
        </w:tc>
        <w:tc>
          <w:tcPr>
            <w:tcW w:w="249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30"/>
              </w:rPr>
            </w:pPr>
            <w:r>
              <w:rPr>
                <w:rFonts w:hint="cs"/>
                <w:b/>
                <w:bCs/>
                <w:sz w:val="30"/>
                <w:rtl/>
              </w:rPr>
              <w:t>النسبة المئوية للإناث</w:t>
            </w:r>
          </w:p>
        </w:tc>
      </w:tr>
      <w:tr w:rsidR="00662946">
        <w:trPr>
          <w:trHeight w:val="255"/>
          <w:jc w:val="center"/>
        </w:trPr>
        <w:tc>
          <w:tcPr>
            <w:tcW w:w="1300"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1999</w:t>
            </w:r>
            <w:r>
              <w:rPr>
                <w:sz w:val="30"/>
              </w:rPr>
              <w:t>/</w:t>
            </w:r>
            <w:r>
              <w:rPr>
                <w:sz w:val="30"/>
                <w:rtl/>
              </w:rPr>
              <w:t>00</w:t>
            </w:r>
          </w:p>
        </w:tc>
        <w:tc>
          <w:tcPr>
            <w:tcW w:w="230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sz w:val="30"/>
              </w:rPr>
            </w:pPr>
            <w:r>
              <w:rPr>
                <w:rFonts w:hint="cs"/>
                <w:sz w:val="30"/>
                <w:rtl/>
              </w:rPr>
              <w:t>325 1</w:t>
            </w:r>
          </w:p>
        </w:tc>
        <w:tc>
          <w:tcPr>
            <w:tcW w:w="2200"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 w:val="30"/>
              </w:rPr>
            </w:pPr>
            <w:r>
              <w:rPr>
                <w:sz w:val="30"/>
                <w:rtl/>
              </w:rPr>
              <w:t>656</w:t>
            </w:r>
          </w:p>
        </w:tc>
        <w:tc>
          <w:tcPr>
            <w:tcW w:w="249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sz w:val="30"/>
              </w:rPr>
            </w:pPr>
            <w:r>
              <w:rPr>
                <w:rFonts w:hint="cs"/>
                <w:sz w:val="30"/>
                <w:rtl/>
              </w:rPr>
              <w:t>49.5</w:t>
            </w:r>
          </w:p>
        </w:tc>
      </w:tr>
      <w:tr w:rsidR="00662946">
        <w:trPr>
          <w:trHeight w:val="255"/>
          <w:jc w:val="center"/>
        </w:trPr>
        <w:tc>
          <w:tcPr>
            <w:tcW w:w="1300"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2000</w:t>
            </w:r>
            <w:r>
              <w:rPr>
                <w:sz w:val="30"/>
              </w:rPr>
              <w:t>/</w:t>
            </w:r>
            <w:r>
              <w:rPr>
                <w:sz w:val="30"/>
                <w:rtl/>
              </w:rPr>
              <w:t>01</w:t>
            </w:r>
          </w:p>
        </w:tc>
        <w:tc>
          <w:tcPr>
            <w:tcW w:w="230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sz w:val="30"/>
              </w:rPr>
            </w:pPr>
            <w:r>
              <w:rPr>
                <w:rFonts w:hint="cs"/>
                <w:sz w:val="30"/>
                <w:rtl/>
              </w:rPr>
              <w:t>417 1</w:t>
            </w:r>
          </w:p>
        </w:tc>
        <w:tc>
          <w:tcPr>
            <w:tcW w:w="2200"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 w:val="30"/>
              </w:rPr>
            </w:pPr>
            <w:r>
              <w:rPr>
                <w:sz w:val="30"/>
                <w:rtl/>
              </w:rPr>
              <w:t>698</w:t>
            </w:r>
          </w:p>
        </w:tc>
        <w:tc>
          <w:tcPr>
            <w:tcW w:w="249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sz w:val="30"/>
              </w:rPr>
            </w:pPr>
            <w:r>
              <w:rPr>
                <w:rFonts w:hint="cs"/>
                <w:sz w:val="30"/>
                <w:rtl/>
                <w:lang w:bidi="ar-EG"/>
              </w:rPr>
              <w:t>49.3</w:t>
            </w:r>
          </w:p>
        </w:tc>
      </w:tr>
      <w:tr w:rsidR="00662946">
        <w:trPr>
          <w:trHeight w:val="270"/>
          <w:jc w:val="center"/>
        </w:trPr>
        <w:tc>
          <w:tcPr>
            <w:tcW w:w="1300"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2001</w:t>
            </w:r>
            <w:r>
              <w:rPr>
                <w:sz w:val="30"/>
              </w:rPr>
              <w:t>/</w:t>
            </w:r>
            <w:r>
              <w:rPr>
                <w:sz w:val="30"/>
                <w:rtl/>
              </w:rPr>
              <w:t>02</w:t>
            </w:r>
          </w:p>
        </w:tc>
        <w:tc>
          <w:tcPr>
            <w:tcW w:w="230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sz w:val="30"/>
              </w:rPr>
            </w:pPr>
            <w:r>
              <w:rPr>
                <w:rFonts w:hint="cs"/>
                <w:sz w:val="30"/>
                <w:rtl/>
              </w:rPr>
              <w:t>306 1</w:t>
            </w:r>
          </w:p>
        </w:tc>
        <w:tc>
          <w:tcPr>
            <w:tcW w:w="2200"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 w:val="30"/>
              </w:rPr>
            </w:pPr>
            <w:r>
              <w:rPr>
                <w:sz w:val="30"/>
                <w:rtl/>
              </w:rPr>
              <w:t>648</w:t>
            </w:r>
          </w:p>
        </w:tc>
        <w:tc>
          <w:tcPr>
            <w:tcW w:w="249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sz w:val="30"/>
              </w:rPr>
            </w:pPr>
            <w:r>
              <w:rPr>
                <w:rFonts w:hint="cs"/>
                <w:sz w:val="30"/>
                <w:rtl/>
              </w:rPr>
              <w:t>49.6</w:t>
            </w:r>
          </w:p>
        </w:tc>
      </w:tr>
    </w:tbl>
    <w:p w:rsidR="00662946" w:rsidRDefault="00662946">
      <w:pPr>
        <w:pStyle w:val="SingleTxt"/>
        <w:ind w:left="1264" w:right="1264"/>
        <w:jc w:val="both"/>
        <w:rPr>
          <w:rFonts w:hint="cs"/>
          <w:rtl/>
          <w:lang w:bidi="ar-EG"/>
        </w:rPr>
      </w:pPr>
    </w:p>
    <w:p w:rsidR="00662946" w:rsidRDefault="00662946">
      <w:pPr>
        <w:pStyle w:val="SingleTxt"/>
        <w:ind w:left="1264" w:right="1264"/>
        <w:jc w:val="both"/>
        <w:rPr>
          <w:rFonts w:hint="cs"/>
          <w:rtl/>
          <w:lang w:bidi="ar-EG"/>
        </w:rPr>
      </w:pPr>
    </w:p>
    <w:tbl>
      <w:tblPr>
        <w:bidiVisual/>
        <w:tblW w:w="8302" w:type="dxa"/>
        <w:jc w:val="center"/>
        <w:tblLook w:val="0000" w:firstRow="0" w:lastRow="0" w:firstColumn="0" w:lastColumn="0" w:noHBand="0" w:noVBand="0"/>
      </w:tblPr>
      <w:tblGrid>
        <w:gridCol w:w="1763"/>
        <w:gridCol w:w="1236"/>
        <w:gridCol w:w="1442"/>
        <w:gridCol w:w="1648"/>
        <w:gridCol w:w="1236"/>
        <w:gridCol w:w="977"/>
      </w:tblGrid>
      <w:tr w:rsidR="00662946">
        <w:trPr>
          <w:trHeight w:val="552"/>
          <w:jc w:val="center"/>
        </w:trPr>
        <w:tc>
          <w:tcPr>
            <w:tcW w:w="8302" w:type="dxa"/>
            <w:gridSpan w:val="6"/>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sz w:val="30"/>
              </w:rPr>
            </w:pPr>
            <w:r>
              <w:rPr>
                <w:rFonts w:hint="cs"/>
                <w:b/>
                <w:bCs/>
                <w:sz w:val="30"/>
                <w:rtl/>
                <w:lang w:bidi="ar-EG"/>
              </w:rPr>
              <w:t>الجدول 10-1 ج: عدد الأطفال المسجلين في مراكز الرعاية النهارية ونسبتهن المئوية حسب الجنس والسن، 2001/2002</w:t>
            </w:r>
          </w:p>
        </w:tc>
      </w:tr>
      <w:tr w:rsidR="00662946">
        <w:trPr>
          <w:trHeight w:val="270"/>
          <w:jc w:val="center"/>
        </w:trPr>
        <w:tc>
          <w:tcPr>
            <w:tcW w:w="176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b/>
                <w:bCs/>
                <w:sz w:val="30"/>
              </w:rPr>
            </w:pPr>
            <w:r>
              <w:rPr>
                <w:rFonts w:hint="cs"/>
                <w:b/>
                <w:bCs/>
                <w:sz w:val="30"/>
                <w:rtl/>
                <w:lang w:bidi="ar-EG"/>
              </w:rPr>
              <w:t>السن بالسنوات</w:t>
            </w:r>
          </w:p>
        </w:tc>
        <w:tc>
          <w:tcPr>
            <w:tcW w:w="123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b/>
                <w:bCs/>
                <w:sz w:val="30"/>
              </w:rPr>
            </w:pPr>
            <w:r>
              <w:rPr>
                <w:rFonts w:hint="cs"/>
                <w:b/>
                <w:bCs/>
                <w:sz w:val="30"/>
                <w:rtl/>
              </w:rPr>
              <w:t>عدد البنين</w:t>
            </w:r>
          </w:p>
        </w:tc>
        <w:tc>
          <w:tcPr>
            <w:tcW w:w="1442"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b/>
                <w:bCs/>
                <w:sz w:val="30"/>
              </w:rPr>
            </w:pPr>
            <w:r>
              <w:rPr>
                <w:rFonts w:hint="cs"/>
                <w:b/>
                <w:bCs/>
                <w:sz w:val="30"/>
                <w:rtl/>
              </w:rPr>
              <w:t>عدد البنات</w:t>
            </w:r>
          </w:p>
        </w:tc>
        <w:tc>
          <w:tcPr>
            <w:tcW w:w="16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b/>
                <w:bCs/>
                <w:sz w:val="30"/>
              </w:rPr>
            </w:pPr>
            <w:r>
              <w:rPr>
                <w:rFonts w:hint="cs"/>
                <w:b/>
                <w:bCs/>
                <w:sz w:val="30"/>
                <w:rtl/>
              </w:rPr>
              <w:t>نسبة البنين</w:t>
            </w:r>
          </w:p>
        </w:tc>
        <w:tc>
          <w:tcPr>
            <w:tcW w:w="123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b/>
                <w:bCs/>
                <w:sz w:val="30"/>
              </w:rPr>
            </w:pPr>
            <w:r>
              <w:rPr>
                <w:rFonts w:hint="cs"/>
                <w:b/>
                <w:bCs/>
                <w:sz w:val="30"/>
                <w:rtl/>
              </w:rPr>
              <w:t>نسبة البنات</w:t>
            </w:r>
          </w:p>
        </w:tc>
        <w:tc>
          <w:tcPr>
            <w:tcW w:w="977"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b/>
                <w:bCs/>
                <w:sz w:val="30"/>
              </w:rPr>
            </w:pPr>
            <w:r>
              <w:rPr>
                <w:rFonts w:hint="cs"/>
                <w:b/>
                <w:bCs/>
                <w:sz w:val="30"/>
                <w:rtl/>
              </w:rPr>
              <w:t>المجموع</w:t>
            </w:r>
          </w:p>
        </w:tc>
      </w:tr>
      <w:tr w:rsidR="00662946">
        <w:trPr>
          <w:trHeight w:val="255"/>
          <w:jc w:val="center"/>
        </w:trPr>
        <w:tc>
          <w:tcPr>
            <w:tcW w:w="176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0</w:t>
            </w:r>
            <w:r>
              <w:rPr>
                <w:sz w:val="30"/>
              </w:rPr>
              <w:t xml:space="preserve"> – </w:t>
            </w:r>
            <w:r>
              <w:rPr>
                <w:sz w:val="30"/>
                <w:rtl/>
              </w:rPr>
              <w:t>2</w:t>
            </w:r>
          </w:p>
        </w:tc>
        <w:tc>
          <w:tcPr>
            <w:tcW w:w="1236" w:type="dxa"/>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167</w:t>
            </w:r>
          </w:p>
        </w:tc>
        <w:tc>
          <w:tcPr>
            <w:tcW w:w="144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183</w:t>
            </w:r>
          </w:p>
        </w:tc>
        <w:tc>
          <w:tcPr>
            <w:tcW w:w="16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47.7</w:t>
            </w:r>
          </w:p>
        </w:tc>
        <w:tc>
          <w:tcPr>
            <w:tcW w:w="1236"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30"/>
              </w:rPr>
            </w:pPr>
            <w:r>
              <w:rPr>
                <w:rFonts w:hint="cs"/>
                <w:sz w:val="30"/>
                <w:rtl/>
              </w:rPr>
              <w:t>52.3</w:t>
            </w:r>
          </w:p>
        </w:tc>
        <w:tc>
          <w:tcPr>
            <w:tcW w:w="97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b/>
                <w:bCs/>
                <w:sz w:val="30"/>
              </w:rPr>
            </w:pPr>
            <w:r>
              <w:rPr>
                <w:b/>
                <w:bCs/>
                <w:sz w:val="30"/>
                <w:rtl/>
              </w:rPr>
              <w:t>350</w:t>
            </w:r>
          </w:p>
        </w:tc>
      </w:tr>
      <w:tr w:rsidR="00662946">
        <w:trPr>
          <w:trHeight w:val="255"/>
          <w:jc w:val="center"/>
        </w:trPr>
        <w:tc>
          <w:tcPr>
            <w:tcW w:w="176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2</w:t>
            </w:r>
          </w:p>
        </w:tc>
        <w:tc>
          <w:tcPr>
            <w:tcW w:w="1236" w:type="dxa"/>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152</w:t>
            </w:r>
          </w:p>
        </w:tc>
        <w:tc>
          <w:tcPr>
            <w:tcW w:w="144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139</w:t>
            </w:r>
          </w:p>
        </w:tc>
        <w:tc>
          <w:tcPr>
            <w:tcW w:w="16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52.2</w:t>
            </w:r>
          </w:p>
        </w:tc>
        <w:tc>
          <w:tcPr>
            <w:tcW w:w="1236"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30"/>
              </w:rPr>
            </w:pPr>
            <w:r>
              <w:rPr>
                <w:rFonts w:hint="cs"/>
                <w:sz w:val="30"/>
                <w:rtl/>
              </w:rPr>
              <w:t>47.8</w:t>
            </w:r>
          </w:p>
        </w:tc>
        <w:tc>
          <w:tcPr>
            <w:tcW w:w="97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b/>
                <w:bCs/>
                <w:sz w:val="30"/>
              </w:rPr>
            </w:pPr>
            <w:r>
              <w:rPr>
                <w:b/>
                <w:bCs/>
                <w:sz w:val="30"/>
                <w:rtl/>
              </w:rPr>
              <w:t>291</w:t>
            </w:r>
          </w:p>
        </w:tc>
      </w:tr>
      <w:tr w:rsidR="00662946">
        <w:trPr>
          <w:trHeight w:val="255"/>
          <w:jc w:val="center"/>
        </w:trPr>
        <w:tc>
          <w:tcPr>
            <w:tcW w:w="176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3</w:t>
            </w:r>
          </w:p>
        </w:tc>
        <w:tc>
          <w:tcPr>
            <w:tcW w:w="1236" w:type="dxa"/>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137</w:t>
            </w:r>
          </w:p>
        </w:tc>
        <w:tc>
          <w:tcPr>
            <w:tcW w:w="144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164</w:t>
            </w:r>
          </w:p>
        </w:tc>
        <w:tc>
          <w:tcPr>
            <w:tcW w:w="16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55.7</w:t>
            </w:r>
          </w:p>
        </w:tc>
        <w:tc>
          <w:tcPr>
            <w:tcW w:w="1236"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30"/>
              </w:rPr>
            </w:pPr>
            <w:r>
              <w:rPr>
                <w:rFonts w:hint="cs"/>
                <w:sz w:val="30"/>
                <w:rtl/>
              </w:rPr>
              <w:t>45.5</w:t>
            </w:r>
          </w:p>
        </w:tc>
        <w:tc>
          <w:tcPr>
            <w:tcW w:w="97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b/>
                <w:bCs/>
                <w:sz w:val="30"/>
              </w:rPr>
            </w:pPr>
            <w:r>
              <w:rPr>
                <w:b/>
                <w:bCs/>
                <w:sz w:val="30"/>
                <w:rtl/>
              </w:rPr>
              <w:t>301</w:t>
            </w:r>
          </w:p>
        </w:tc>
      </w:tr>
      <w:tr w:rsidR="00662946">
        <w:trPr>
          <w:trHeight w:val="255"/>
          <w:jc w:val="center"/>
        </w:trPr>
        <w:tc>
          <w:tcPr>
            <w:tcW w:w="176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4</w:t>
            </w:r>
          </w:p>
        </w:tc>
        <w:tc>
          <w:tcPr>
            <w:tcW w:w="1236" w:type="dxa"/>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192</w:t>
            </w:r>
          </w:p>
        </w:tc>
        <w:tc>
          <w:tcPr>
            <w:tcW w:w="144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153</w:t>
            </w:r>
          </w:p>
        </w:tc>
        <w:tc>
          <w:tcPr>
            <w:tcW w:w="16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55.7</w:t>
            </w:r>
          </w:p>
        </w:tc>
        <w:tc>
          <w:tcPr>
            <w:tcW w:w="1236"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30"/>
              </w:rPr>
            </w:pPr>
            <w:r>
              <w:rPr>
                <w:rFonts w:hint="cs"/>
                <w:sz w:val="30"/>
                <w:rtl/>
              </w:rPr>
              <w:t>44.3</w:t>
            </w:r>
          </w:p>
        </w:tc>
        <w:tc>
          <w:tcPr>
            <w:tcW w:w="97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b/>
                <w:bCs/>
                <w:sz w:val="30"/>
              </w:rPr>
            </w:pPr>
            <w:r>
              <w:rPr>
                <w:b/>
                <w:bCs/>
                <w:sz w:val="30"/>
                <w:rtl/>
              </w:rPr>
              <w:t>345</w:t>
            </w:r>
          </w:p>
        </w:tc>
      </w:tr>
      <w:tr w:rsidR="00662946">
        <w:trPr>
          <w:trHeight w:val="270"/>
          <w:jc w:val="center"/>
        </w:trPr>
        <w:tc>
          <w:tcPr>
            <w:tcW w:w="176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p>
        </w:tc>
        <w:tc>
          <w:tcPr>
            <w:tcW w:w="1236" w:type="dxa"/>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10</w:t>
            </w:r>
          </w:p>
        </w:tc>
        <w:tc>
          <w:tcPr>
            <w:tcW w:w="1442" w:type="dxa"/>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both"/>
              <w:rPr>
                <w:sz w:val="30"/>
              </w:rPr>
            </w:pPr>
            <w:r>
              <w:rPr>
                <w:sz w:val="30"/>
                <w:rtl/>
              </w:rPr>
              <w:t>9</w:t>
            </w:r>
          </w:p>
        </w:tc>
        <w:tc>
          <w:tcPr>
            <w:tcW w:w="16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52.6</w:t>
            </w:r>
          </w:p>
        </w:tc>
        <w:tc>
          <w:tcPr>
            <w:tcW w:w="1236"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30"/>
              </w:rPr>
            </w:pPr>
            <w:r>
              <w:rPr>
                <w:rFonts w:hint="cs"/>
                <w:sz w:val="30"/>
                <w:rtl/>
              </w:rPr>
              <w:t>47.4</w:t>
            </w:r>
          </w:p>
        </w:tc>
        <w:tc>
          <w:tcPr>
            <w:tcW w:w="97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b/>
                <w:bCs/>
                <w:sz w:val="30"/>
              </w:rPr>
            </w:pPr>
            <w:r>
              <w:rPr>
                <w:b/>
                <w:bCs/>
                <w:sz w:val="30"/>
                <w:rtl/>
              </w:rPr>
              <w:t>19</w:t>
            </w:r>
          </w:p>
        </w:tc>
      </w:tr>
      <w:tr w:rsidR="00662946">
        <w:trPr>
          <w:trHeight w:val="270"/>
          <w:jc w:val="center"/>
        </w:trPr>
        <w:tc>
          <w:tcPr>
            <w:tcW w:w="176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b/>
                <w:bCs/>
                <w:sz w:val="30"/>
              </w:rPr>
            </w:pPr>
          </w:p>
        </w:tc>
        <w:tc>
          <w:tcPr>
            <w:tcW w:w="123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b/>
                <w:bCs/>
                <w:sz w:val="30"/>
              </w:rPr>
            </w:pPr>
            <w:r>
              <w:rPr>
                <w:b/>
                <w:bCs/>
                <w:sz w:val="30"/>
                <w:rtl/>
              </w:rPr>
              <w:t>658</w:t>
            </w:r>
          </w:p>
        </w:tc>
        <w:tc>
          <w:tcPr>
            <w:tcW w:w="1442"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b/>
                <w:bCs/>
                <w:sz w:val="30"/>
              </w:rPr>
            </w:pPr>
            <w:r>
              <w:rPr>
                <w:b/>
                <w:bCs/>
                <w:sz w:val="30"/>
                <w:rtl/>
              </w:rPr>
              <w:t>648</w:t>
            </w:r>
          </w:p>
        </w:tc>
        <w:tc>
          <w:tcPr>
            <w:tcW w:w="16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b/>
                <w:bCs/>
                <w:sz w:val="30"/>
              </w:rPr>
            </w:pPr>
            <w:r>
              <w:rPr>
                <w:rFonts w:hint="cs"/>
                <w:b/>
                <w:bCs/>
                <w:sz w:val="30"/>
                <w:rtl/>
              </w:rPr>
              <w:t>50.4</w:t>
            </w:r>
          </w:p>
        </w:tc>
        <w:tc>
          <w:tcPr>
            <w:tcW w:w="123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b/>
                <w:bCs/>
                <w:sz w:val="30"/>
              </w:rPr>
            </w:pPr>
            <w:r>
              <w:rPr>
                <w:rFonts w:hint="cs"/>
                <w:b/>
                <w:bCs/>
                <w:sz w:val="30"/>
                <w:rtl/>
              </w:rPr>
              <w:t>49.6</w:t>
            </w:r>
          </w:p>
        </w:tc>
        <w:tc>
          <w:tcPr>
            <w:tcW w:w="977"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b/>
                <w:bCs/>
                <w:sz w:val="30"/>
              </w:rPr>
            </w:pPr>
            <w:r>
              <w:rPr>
                <w:rFonts w:hint="cs"/>
                <w:b/>
                <w:bCs/>
                <w:sz w:val="30"/>
                <w:rtl/>
              </w:rPr>
              <w:t>306 1</w:t>
            </w:r>
          </w:p>
        </w:tc>
      </w:tr>
      <w:tr w:rsidR="00662946">
        <w:trPr>
          <w:trHeight w:val="270"/>
          <w:jc w:val="center"/>
        </w:trPr>
        <w:tc>
          <w:tcPr>
            <w:tcW w:w="8302" w:type="dxa"/>
            <w:gridSpan w:val="6"/>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30"/>
                <w:rtl/>
                <w:lang w:bidi="ar-EG"/>
              </w:rPr>
            </w:pPr>
            <w:r>
              <w:rPr>
                <w:rFonts w:hint="cs"/>
                <w:sz w:val="30"/>
                <w:rtl/>
                <w:lang w:bidi="ar-EG"/>
              </w:rPr>
              <w:t>المصدر: الموجز الإحصائي لوزارة التعليم، 2002</w:t>
            </w:r>
          </w:p>
        </w:tc>
      </w:tr>
    </w:tbl>
    <w:p w:rsidR="00662946" w:rsidRDefault="00662946">
      <w:pPr>
        <w:pStyle w:val="SingleTxt"/>
        <w:ind w:left="1264" w:right="1264"/>
        <w:jc w:val="both"/>
        <w:rPr>
          <w:rFonts w:hint="cs"/>
          <w:rtl/>
          <w:lang w:bidi="ar-EG"/>
        </w:rPr>
      </w:pPr>
    </w:p>
    <w:p w:rsidR="00662946" w:rsidRDefault="00662946">
      <w:pPr>
        <w:pStyle w:val="SingleTxt"/>
        <w:ind w:left="1264" w:right="1264"/>
        <w:jc w:val="both"/>
        <w:rPr>
          <w:rFonts w:hint="cs"/>
          <w:rtl/>
          <w:lang w:bidi="ar-EG"/>
        </w:rPr>
      </w:pPr>
      <w:r>
        <w:rPr>
          <w:rFonts w:hint="cs"/>
          <w:rtl/>
          <w:lang w:bidi="ar-EG"/>
        </w:rPr>
        <w:t>10-8</w:t>
      </w:r>
      <w:r>
        <w:rPr>
          <w:rFonts w:hint="cs"/>
          <w:rtl/>
          <w:lang w:bidi="ar-EG"/>
        </w:rPr>
        <w:tab/>
        <w:t>تبين الجداول الواردة أعلاه أنه لم تحدث زيادة كبيرة في عدد الذكور والإناث المسجلين في مراكز الرعاية النهارية. والواقع أنه استناداً إلى الأرقام الواردة في الجدول 10-3، التي تمثل عدد المسجلين حسب الفئة العمرية فإنه كان هناك تمثيل للفتيات أكبر من تمثيل البنين في المجموعات العمرية. ولذا فإنه على مستوى نظام الرعاية النهارية لا يوجد دليل واضح يشير إلى أن الفتيات لا يصلن إلى المدارس بنفس القدر الذي يصل به الأولاد. ويتمثل العامل الرئيسي الحاسم في قدرة الطفل على الذهاب إلى المدرسة على ذلك المستوى الاقتصادي للأبوين لأن بعض الآباء لا يستطيعون دفع الرسوم المدرسية الإلزامية. وفي هذه الحالة قد يختار الأبوان تأجيل تعليم طفلهما ومحاولة تسجيل الطفل مباشرة في مدرسة ابتدائية عندما يبلغ سن الخامسة، وبذلك يفوتون فرصة المرحلة الإنمائية المبكرة. ولا يوجد دليل على هذا المستوى يشير إلى أن قرار تأجيل بدء تعليم الطفل يتأثر بجنس الطفل على الرغم من أنه من المعروف أن بعض التصورات القائمة على الجنس قد تؤثر في هذه الأفعال.</w:t>
      </w:r>
    </w:p>
    <w:p w:rsidR="00662946" w:rsidRDefault="00662946">
      <w:pPr>
        <w:pStyle w:val="SingleTxt"/>
        <w:ind w:left="1264" w:right="1264"/>
        <w:jc w:val="both"/>
        <w:rPr>
          <w:rFonts w:hint="cs"/>
          <w:rtl/>
          <w:lang w:bidi="ar-EG"/>
        </w:rPr>
      </w:pPr>
      <w:r>
        <w:rPr>
          <w:rFonts w:hint="cs"/>
          <w:rtl/>
          <w:lang w:bidi="ar-EG"/>
        </w:rPr>
        <w:t>10-9</w:t>
      </w:r>
      <w:r>
        <w:rPr>
          <w:rFonts w:hint="cs"/>
          <w:rtl/>
          <w:lang w:bidi="ar-EG"/>
        </w:rPr>
        <w:tab/>
        <w:t>يوجد أيضاً على مستوى المراكز قبل المدرسية فرق طفيف في أنماط تسجيل البنين والبنات. فقد انخفض مجموع عدد الأطفال المسجلين في المراكز قبل المدرسية من سنة 1993 إلى سنة 2002 انخفاضاً كبيراً من نحو 000 5 تقريباً إلى ما يزيد قليلا عـلى أربعة آلاف بمئتين، أي 200 4. وهذا يرجع جزئياً إلى انخفاض عدد المراكز قبل المدرسية خلال تلك الفترة.</w:t>
      </w:r>
    </w:p>
    <w:tbl>
      <w:tblPr>
        <w:bidiVisual/>
        <w:tblW w:w="9233" w:type="dxa"/>
        <w:tblInd w:w="98" w:type="dxa"/>
        <w:tblLook w:val="0000" w:firstRow="0" w:lastRow="0" w:firstColumn="0" w:lastColumn="0" w:noHBand="0" w:noVBand="0"/>
      </w:tblPr>
      <w:tblGrid>
        <w:gridCol w:w="1032"/>
        <w:gridCol w:w="1402"/>
        <w:gridCol w:w="1323"/>
        <w:gridCol w:w="1151"/>
        <w:gridCol w:w="1038"/>
        <w:gridCol w:w="1339"/>
        <w:gridCol w:w="1948"/>
      </w:tblGrid>
      <w:tr w:rsidR="00662946">
        <w:trPr>
          <w:trHeight w:val="552"/>
        </w:trPr>
        <w:tc>
          <w:tcPr>
            <w:tcW w:w="9233" w:type="dxa"/>
            <w:gridSpan w:val="7"/>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sz w:val="26"/>
                <w:szCs w:val="26"/>
              </w:rPr>
            </w:pPr>
            <w:r>
              <w:rPr>
                <w:rFonts w:hint="cs"/>
                <w:b/>
                <w:bCs/>
                <w:sz w:val="26"/>
                <w:szCs w:val="26"/>
                <w:rtl/>
                <w:lang w:bidi="ar-EG"/>
              </w:rPr>
              <w:t xml:space="preserve">الجدول 10-2 أ: الحجم المتوسط ومتوسط عدد الأطفال إلى المعلمين ومتوسط عدد المعلمين في المركز قبل المدرسي الواحد 1993/1994 </w:t>
            </w:r>
            <w:r>
              <w:rPr>
                <w:b/>
                <w:bCs/>
                <w:sz w:val="26"/>
                <w:szCs w:val="26"/>
                <w:rtl/>
                <w:lang w:bidi="ar-EG"/>
              </w:rPr>
              <w:t>–</w:t>
            </w:r>
            <w:r>
              <w:rPr>
                <w:rFonts w:hint="cs"/>
                <w:b/>
                <w:bCs/>
                <w:sz w:val="26"/>
                <w:szCs w:val="26"/>
                <w:rtl/>
                <w:lang w:bidi="ar-EG"/>
              </w:rPr>
              <w:t xml:space="preserve"> 2001/2002</w:t>
            </w:r>
          </w:p>
        </w:tc>
      </w:tr>
      <w:tr w:rsidR="00662946">
        <w:trPr>
          <w:trHeight w:val="552"/>
        </w:trPr>
        <w:tc>
          <w:tcPr>
            <w:tcW w:w="103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6"/>
                <w:szCs w:val="26"/>
              </w:rPr>
            </w:pPr>
            <w:r>
              <w:rPr>
                <w:rFonts w:hint="cs"/>
                <w:b/>
                <w:bCs/>
                <w:sz w:val="26"/>
                <w:szCs w:val="26"/>
                <w:rtl/>
              </w:rPr>
              <w:t>السنة</w:t>
            </w:r>
          </w:p>
        </w:tc>
        <w:tc>
          <w:tcPr>
            <w:tcW w:w="1402" w:type="dxa"/>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sz w:val="26"/>
                <w:szCs w:val="26"/>
              </w:rPr>
            </w:pPr>
            <w:r>
              <w:rPr>
                <w:rFonts w:hint="cs"/>
                <w:b/>
                <w:bCs/>
                <w:sz w:val="26"/>
                <w:szCs w:val="26"/>
                <w:rtl/>
              </w:rPr>
              <w:t>عدد المراكز قبل المدرسية</w:t>
            </w:r>
          </w:p>
        </w:tc>
        <w:tc>
          <w:tcPr>
            <w:tcW w:w="132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6"/>
                <w:szCs w:val="26"/>
              </w:rPr>
            </w:pPr>
            <w:r>
              <w:rPr>
                <w:rFonts w:hint="cs"/>
                <w:b/>
                <w:bCs/>
                <w:sz w:val="26"/>
                <w:szCs w:val="26"/>
                <w:rtl/>
              </w:rPr>
              <w:t>عدد المسجلين</w:t>
            </w:r>
          </w:p>
        </w:tc>
        <w:tc>
          <w:tcPr>
            <w:tcW w:w="1151" w:type="dxa"/>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sz w:val="26"/>
                <w:szCs w:val="26"/>
              </w:rPr>
            </w:pPr>
            <w:r>
              <w:rPr>
                <w:rFonts w:hint="cs"/>
                <w:b/>
                <w:bCs/>
                <w:sz w:val="26"/>
                <w:szCs w:val="26"/>
                <w:rtl/>
              </w:rPr>
              <w:t>عدد المعلمين</w:t>
            </w:r>
          </w:p>
        </w:tc>
        <w:tc>
          <w:tcPr>
            <w:tcW w:w="103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6"/>
                <w:szCs w:val="26"/>
              </w:rPr>
            </w:pPr>
            <w:r>
              <w:rPr>
                <w:rFonts w:hint="cs"/>
                <w:b/>
                <w:bCs/>
                <w:sz w:val="26"/>
                <w:szCs w:val="26"/>
                <w:rtl/>
              </w:rPr>
              <w:t>الحجم المتوسط</w:t>
            </w:r>
          </w:p>
        </w:tc>
        <w:tc>
          <w:tcPr>
            <w:tcW w:w="1339" w:type="dxa"/>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sz w:val="26"/>
                <w:szCs w:val="26"/>
              </w:rPr>
            </w:pPr>
            <w:r>
              <w:rPr>
                <w:rFonts w:hint="cs"/>
                <w:b/>
                <w:bCs/>
                <w:sz w:val="26"/>
                <w:szCs w:val="26"/>
                <w:rtl/>
              </w:rPr>
              <w:t>نسبة الأطفال إلى المعلمين</w:t>
            </w:r>
          </w:p>
        </w:tc>
        <w:tc>
          <w:tcPr>
            <w:tcW w:w="1948" w:type="dxa"/>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sz w:val="26"/>
                <w:szCs w:val="26"/>
              </w:rPr>
            </w:pPr>
            <w:r>
              <w:rPr>
                <w:rFonts w:hint="cs"/>
                <w:b/>
                <w:bCs/>
                <w:sz w:val="26"/>
                <w:szCs w:val="26"/>
                <w:rtl/>
              </w:rPr>
              <w:t>متوسط عدد المعلمين في المركز الواحد</w:t>
            </w:r>
          </w:p>
        </w:tc>
      </w:tr>
      <w:tr w:rsidR="00662946">
        <w:trPr>
          <w:trHeight w:val="255"/>
        </w:trPr>
        <w:tc>
          <w:tcPr>
            <w:tcW w:w="1032"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26"/>
                <w:szCs w:val="26"/>
              </w:rPr>
            </w:pPr>
            <w:r>
              <w:rPr>
                <w:sz w:val="26"/>
                <w:szCs w:val="26"/>
                <w:rtl/>
              </w:rPr>
              <w:t>1993</w:t>
            </w:r>
            <w:r>
              <w:rPr>
                <w:sz w:val="26"/>
                <w:szCs w:val="26"/>
              </w:rPr>
              <w:t>/</w:t>
            </w:r>
            <w:r>
              <w:rPr>
                <w:sz w:val="26"/>
                <w:szCs w:val="26"/>
                <w:rtl/>
              </w:rPr>
              <w:t>94</w:t>
            </w:r>
          </w:p>
        </w:tc>
        <w:tc>
          <w:tcPr>
            <w:tcW w:w="140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115</w:t>
            </w:r>
          </w:p>
        </w:tc>
        <w:tc>
          <w:tcPr>
            <w:tcW w:w="1323"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26"/>
                <w:szCs w:val="26"/>
              </w:rPr>
            </w:pPr>
            <w:r>
              <w:rPr>
                <w:rFonts w:hint="cs"/>
                <w:sz w:val="26"/>
                <w:szCs w:val="26"/>
                <w:rtl/>
              </w:rPr>
              <w:t>956 4</w:t>
            </w:r>
          </w:p>
        </w:tc>
        <w:tc>
          <w:tcPr>
            <w:tcW w:w="1151"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327</w:t>
            </w:r>
          </w:p>
        </w:tc>
        <w:tc>
          <w:tcPr>
            <w:tcW w:w="1038" w:type="dxa"/>
            <w:tcBorders>
              <w:top w:val="single" w:sz="8" w:space="0" w:color="auto"/>
              <w:left w:val="nil"/>
              <w:bottom w:val="single" w:sz="8" w:space="0" w:color="auto"/>
              <w:right w:val="nil"/>
            </w:tcBorders>
            <w:noWrap/>
            <w:vAlign w:val="bottom"/>
          </w:tcPr>
          <w:p w:rsidR="00662946" w:rsidRDefault="00662946">
            <w:pPr>
              <w:spacing w:after="120"/>
              <w:jc w:val="both"/>
              <w:rPr>
                <w:sz w:val="26"/>
                <w:szCs w:val="26"/>
              </w:rPr>
            </w:pPr>
            <w:r>
              <w:rPr>
                <w:sz w:val="26"/>
                <w:szCs w:val="26"/>
                <w:rtl/>
              </w:rPr>
              <w:t>43</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15</w:t>
            </w:r>
          </w:p>
        </w:tc>
        <w:tc>
          <w:tcPr>
            <w:tcW w:w="19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w:t>
            </w:r>
          </w:p>
        </w:tc>
      </w:tr>
      <w:tr w:rsidR="00662946">
        <w:trPr>
          <w:trHeight w:val="255"/>
        </w:trPr>
        <w:tc>
          <w:tcPr>
            <w:tcW w:w="1032"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26"/>
                <w:szCs w:val="26"/>
              </w:rPr>
            </w:pPr>
            <w:r>
              <w:rPr>
                <w:sz w:val="26"/>
                <w:szCs w:val="26"/>
                <w:rtl/>
              </w:rPr>
              <w:t>1994</w:t>
            </w:r>
            <w:r>
              <w:rPr>
                <w:sz w:val="26"/>
                <w:szCs w:val="26"/>
              </w:rPr>
              <w:t>/</w:t>
            </w:r>
            <w:r>
              <w:rPr>
                <w:sz w:val="26"/>
                <w:szCs w:val="26"/>
                <w:rtl/>
              </w:rPr>
              <w:t>95</w:t>
            </w:r>
          </w:p>
        </w:tc>
        <w:tc>
          <w:tcPr>
            <w:tcW w:w="140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109</w:t>
            </w:r>
          </w:p>
        </w:tc>
        <w:tc>
          <w:tcPr>
            <w:tcW w:w="1323"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26"/>
                <w:szCs w:val="26"/>
              </w:rPr>
            </w:pPr>
            <w:r>
              <w:rPr>
                <w:rFonts w:hint="cs"/>
                <w:sz w:val="26"/>
                <w:szCs w:val="26"/>
                <w:rtl/>
              </w:rPr>
              <w:t>826 4</w:t>
            </w:r>
          </w:p>
        </w:tc>
        <w:tc>
          <w:tcPr>
            <w:tcW w:w="1151"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322</w:t>
            </w:r>
          </w:p>
        </w:tc>
        <w:tc>
          <w:tcPr>
            <w:tcW w:w="1038" w:type="dxa"/>
            <w:tcBorders>
              <w:top w:val="single" w:sz="8" w:space="0" w:color="auto"/>
              <w:left w:val="nil"/>
              <w:bottom w:val="single" w:sz="8" w:space="0" w:color="auto"/>
              <w:right w:val="nil"/>
            </w:tcBorders>
            <w:noWrap/>
            <w:vAlign w:val="bottom"/>
          </w:tcPr>
          <w:p w:rsidR="00662946" w:rsidRDefault="00662946">
            <w:pPr>
              <w:spacing w:after="120"/>
              <w:jc w:val="both"/>
              <w:rPr>
                <w:sz w:val="26"/>
                <w:szCs w:val="26"/>
              </w:rPr>
            </w:pPr>
            <w:r>
              <w:rPr>
                <w:sz w:val="26"/>
                <w:szCs w:val="26"/>
                <w:rtl/>
              </w:rPr>
              <w:t>44</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15</w:t>
            </w:r>
          </w:p>
        </w:tc>
        <w:tc>
          <w:tcPr>
            <w:tcW w:w="19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w:t>
            </w:r>
          </w:p>
        </w:tc>
      </w:tr>
      <w:tr w:rsidR="00662946">
        <w:trPr>
          <w:trHeight w:val="255"/>
        </w:trPr>
        <w:tc>
          <w:tcPr>
            <w:tcW w:w="1032"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26"/>
                <w:szCs w:val="26"/>
              </w:rPr>
            </w:pPr>
            <w:r>
              <w:rPr>
                <w:sz w:val="26"/>
                <w:szCs w:val="26"/>
                <w:rtl/>
              </w:rPr>
              <w:t>1995</w:t>
            </w:r>
            <w:r>
              <w:rPr>
                <w:sz w:val="26"/>
                <w:szCs w:val="26"/>
              </w:rPr>
              <w:t>/</w:t>
            </w:r>
            <w:r>
              <w:rPr>
                <w:sz w:val="26"/>
                <w:szCs w:val="26"/>
                <w:rtl/>
              </w:rPr>
              <w:t>96</w:t>
            </w:r>
          </w:p>
        </w:tc>
        <w:tc>
          <w:tcPr>
            <w:tcW w:w="140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134</w:t>
            </w:r>
          </w:p>
        </w:tc>
        <w:tc>
          <w:tcPr>
            <w:tcW w:w="1323"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26"/>
                <w:szCs w:val="26"/>
              </w:rPr>
            </w:pPr>
            <w:r>
              <w:rPr>
                <w:rFonts w:hint="cs"/>
                <w:sz w:val="26"/>
                <w:szCs w:val="26"/>
                <w:rtl/>
              </w:rPr>
              <w:t>759 5</w:t>
            </w:r>
          </w:p>
        </w:tc>
        <w:tc>
          <w:tcPr>
            <w:tcW w:w="1151"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399</w:t>
            </w:r>
          </w:p>
        </w:tc>
        <w:tc>
          <w:tcPr>
            <w:tcW w:w="1038" w:type="dxa"/>
            <w:tcBorders>
              <w:top w:val="single" w:sz="8" w:space="0" w:color="auto"/>
              <w:left w:val="nil"/>
              <w:bottom w:val="single" w:sz="8" w:space="0" w:color="auto"/>
              <w:right w:val="nil"/>
            </w:tcBorders>
            <w:noWrap/>
            <w:vAlign w:val="bottom"/>
          </w:tcPr>
          <w:p w:rsidR="00662946" w:rsidRDefault="00662946">
            <w:pPr>
              <w:spacing w:after="120"/>
              <w:jc w:val="both"/>
              <w:rPr>
                <w:sz w:val="26"/>
                <w:szCs w:val="26"/>
              </w:rPr>
            </w:pPr>
            <w:r>
              <w:rPr>
                <w:sz w:val="26"/>
                <w:szCs w:val="26"/>
                <w:rtl/>
              </w:rPr>
              <w:t>43</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14</w:t>
            </w:r>
          </w:p>
        </w:tc>
        <w:tc>
          <w:tcPr>
            <w:tcW w:w="19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w:t>
            </w:r>
          </w:p>
        </w:tc>
      </w:tr>
      <w:tr w:rsidR="00662946">
        <w:trPr>
          <w:trHeight w:val="255"/>
        </w:trPr>
        <w:tc>
          <w:tcPr>
            <w:tcW w:w="1032"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26"/>
                <w:szCs w:val="26"/>
              </w:rPr>
            </w:pPr>
            <w:r>
              <w:rPr>
                <w:sz w:val="26"/>
                <w:szCs w:val="26"/>
                <w:rtl/>
              </w:rPr>
              <w:t>1996</w:t>
            </w:r>
            <w:r>
              <w:rPr>
                <w:sz w:val="26"/>
                <w:szCs w:val="26"/>
              </w:rPr>
              <w:t>/</w:t>
            </w:r>
            <w:r>
              <w:rPr>
                <w:sz w:val="26"/>
                <w:szCs w:val="26"/>
                <w:rtl/>
              </w:rPr>
              <w:t>97</w:t>
            </w:r>
          </w:p>
        </w:tc>
        <w:tc>
          <w:tcPr>
            <w:tcW w:w="140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137</w:t>
            </w:r>
          </w:p>
        </w:tc>
        <w:tc>
          <w:tcPr>
            <w:tcW w:w="1323"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26"/>
                <w:szCs w:val="26"/>
              </w:rPr>
            </w:pPr>
            <w:r>
              <w:rPr>
                <w:rFonts w:hint="cs"/>
                <w:sz w:val="26"/>
                <w:szCs w:val="26"/>
                <w:rtl/>
              </w:rPr>
              <w:t>396 5</w:t>
            </w:r>
          </w:p>
        </w:tc>
        <w:tc>
          <w:tcPr>
            <w:tcW w:w="1151"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423</w:t>
            </w:r>
          </w:p>
        </w:tc>
        <w:tc>
          <w:tcPr>
            <w:tcW w:w="1038" w:type="dxa"/>
            <w:tcBorders>
              <w:top w:val="single" w:sz="8" w:space="0" w:color="auto"/>
              <w:left w:val="nil"/>
              <w:bottom w:val="single" w:sz="8" w:space="0" w:color="auto"/>
              <w:right w:val="nil"/>
            </w:tcBorders>
            <w:noWrap/>
            <w:vAlign w:val="bottom"/>
          </w:tcPr>
          <w:p w:rsidR="00662946" w:rsidRDefault="00662946">
            <w:pPr>
              <w:spacing w:after="120"/>
              <w:jc w:val="both"/>
              <w:rPr>
                <w:sz w:val="26"/>
                <w:szCs w:val="26"/>
              </w:rPr>
            </w:pPr>
            <w:r>
              <w:rPr>
                <w:sz w:val="26"/>
                <w:szCs w:val="26"/>
                <w:rtl/>
              </w:rPr>
              <w:t>39</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13</w:t>
            </w:r>
          </w:p>
        </w:tc>
        <w:tc>
          <w:tcPr>
            <w:tcW w:w="19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w:t>
            </w:r>
          </w:p>
        </w:tc>
      </w:tr>
      <w:tr w:rsidR="00662946">
        <w:trPr>
          <w:trHeight w:val="255"/>
        </w:trPr>
        <w:tc>
          <w:tcPr>
            <w:tcW w:w="1032"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26"/>
                <w:szCs w:val="26"/>
              </w:rPr>
            </w:pPr>
            <w:r>
              <w:rPr>
                <w:sz w:val="26"/>
                <w:szCs w:val="26"/>
                <w:rtl/>
              </w:rPr>
              <w:t>1997</w:t>
            </w:r>
            <w:r>
              <w:rPr>
                <w:sz w:val="26"/>
                <w:szCs w:val="26"/>
              </w:rPr>
              <w:t>/</w:t>
            </w:r>
            <w:r>
              <w:rPr>
                <w:sz w:val="26"/>
                <w:szCs w:val="26"/>
                <w:rtl/>
              </w:rPr>
              <w:t>98</w:t>
            </w:r>
          </w:p>
        </w:tc>
        <w:tc>
          <w:tcPr>
            <w:tcW w:w="140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136</w:t>
            </w:r>
          </w:p>
        </w:tc>
        <w:tc>
          <w:tcPr>
            <w:tcW w:w="1323"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26"/>
                <w:szCs w:val="26"/>
              </w:rPr>
            </w:pPr>
            <w:r>
              <w:rPr>
                <w:rFonts w:hint="cs"/>
                <w:sz w:val="26"/>
                <w:szCs w:val="26"/>
                <w:rtl/>
              </w:rPr>
              <w:t>539 5</w:t>
            </w:r>
          </w:p>
        </w:tc>
        <w:tc>
          <w:tcPr>
            <w:tcW w:w="1151"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434</w:t>
            </w:r>
          </w:p>
        </w:tc>
        <w:tc>
          <w:tcPr>
            <w:tcW w:w="1038" w:type="dxa"/>
            <w:tcBorders>
              <w:top w:val="single" w:sz="8" w:space="0" w:color="auto"/>
              <w:left w:val="nil"/>
              <w:bottom w:val="single" w:sz="8" w:space="0" w:color="auto"/>
              <w:right w:val="nil"/>
            </w:tcBorders>
            <w:noWrap/>
            <w:vAlign w:val="bottom"/>
          </w:tcPr>
          <w:p w:rsidR="00662946" w:rsidRDefault="00662946">
            <w:pPr>
              <w:spacing w:after="120"/>
              <w:jc w:val="both"/>
              <w:rPr>
                <w:sz w:val="26"/>
                <w:szCs w:val="26"/>
              </w:rPr>
            </w:pPr>
            <w:r>
              <w:rPr>
                <w:sz w:val="26"/>
                <w:szCs w:val="26"/>
                <w:rtl/>
              </w:rPr>
              <w:t>41</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13</w:t>
            </w:r>
          </w:p>
        </w:tc>
        <w:tc>
          <w:tcPr>
            <w:tcW w:w="19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w:t>
            </w:r>
          </w:p>
        </w:tc>
      </w:tr>
      <w:tr w:rsidR="00662946">
        <w:trPr>
          <w:trHeight w:val="255"/>
        </w:trPr>
        <w:tc>
          <w:tcPr>
            <w:tcW w:w="1032"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26"/>
                <w:szCs w:val="26"/>
              </w:rPr>
            </w:pPr>
            <w:r>
              <w:rPr>
                <w:sz w:val="26"/>
                <w:szCs w:val="26"/>
                <w:rtl/>
              </w:rPr>
              <w:t>1998</w:t>
            </w:r>
            <w:r>
              <w:rPr>
                <w:sz w:val="26"/>
                <w:szCs w:val="26"/>
              </w:rPr>
              <w:t>/</w:t>
            </w:r>
            <w:r>
              <w:rPr>
                <w:sz w:val="26"/>
                <w:szCs w:val="26"/>
                <w:rtl/>
              </w:rPr>
              <w:t>99</w:t>
            </w:r>
          </w:p>
        </w:tc>
        <w:tc>
          <w:tcPr>
            <w:tcW w:w="140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158</w:t>
            </w:r>
          </w:p>
        </w:tc>
        <w:tc>
          <w:tcPr>
            <w:tcW w:w="1323"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26"/>
                <w:szCs w:val="26"/>
              </w:rPr>
            </w:pPr>
            <w:r>
              <w:rPr>
                <w:rFonts w:hint="cs"/>
                <w:sz w:val="26"/>
                <w:szCs w:val="26"/>
                <w:rtl/>
              </w:rPr>
              <w:t>582 5</w:t>
            </w:r>
          </w:p>
        </w:tc>
        <w:tc>
          <w:tcPr>
            <w:tcW w:w="1151"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467</w:t>
            </w:r>
          </w:p>
        </w:tc>
        <w:tc>
          <w:tcPr>
            <w:tcW w:w="1038" w:type="dxa"/>
            <w:tcBorders>
              <w:top w:val="single" w:sz="8" w:space="0" w:color="auto"/>
              <w:left w:val="nil"/>
              <w:bottom w:val="single" w:sz="8" w:space="0" w:color="auto"/>
              <w:right w:val="nil"/>
            </w:tcBorders>
            <w:noWrap/>
            <w:vAlign w:val="bottom"/>
          </w:tcPr>
          <w:p w:rsidR="00662946" w:rsidRDefault="00662946">
            <w:pPr>
              <w:spacing w:after="120"/>
              <w:jc w:val="both"/>
              <w:rPr>
                <w:sz w:val="26"/>
                <w:szCs w:val="26"/>
              </w:rPr>
            </w:pPr>
            <w:r>
              <w:rPr>
                <w:sz w:val="26"/>
                <w:szCs w:val="26"/>
                <w:rtl/>
              </w:rPr>
              <w:t>35</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12</w:t>
            </w:r>
          </w:p>
        </w:tc>
        <w:tc>
          <w:tcPr>
            <w:tcW w:w="19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w:t>
            </w:r>
          </w:p>
        </w:tc>
      </w:tr>
      <w:tr w:rsidR="00662946">
        <w:trPr>
          <w:trHeight w:val="255"/>
        </w:trPr>
        <w:tc>
          <w:tcPr>
            <w:tcW w:w="1032"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26"/>
                <w:szCs w:val="26"/>
              </w:rPr>
            </w:pPr>
            <w:r>
              <w:rPr>
                <w:sz w:val="26"/>
                <w:szCs w:val="26"/>
                <w:rtl/>
              </w:rPr>
              <w:t>1999</w:t>
            </w:r>
            <w:r>
              <w:rPr>
                <w:sz w:val="26"/>
                <w:szCs w:val="26"/>
              </w:rPr>
              <w:t>/</w:t>
            </w:r>
            <w:r>
              <w:rPr>
                <w:sz w:val="26"/>
                <w:szCs w:val="26"/>
                <w:rtl/>
              </w:rPr>
              <w:t>00</w:t>
            </w:r>
          </w:p>
        </w:tc>
        <w:tc>
          <w:tcPr>
            <w:tcW w:w="140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105</w:t>
            </w:r>
          </w:p>
        </w:tc>
        <w:tc>
          <w:tcPr>
            <w:tcW w:w="1323"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26"/>
                <w:szCs w:val="26"/>
              </w:rPr>
            </w:pPr>
            <w:r>
              <w:rPr>
                <w:rFonts w:hint="cs"/>
                <w:sz w:val="26"/>
                <w:szCs w:val="26"/>
                <w:rtl/>
              </w:rPr>
              <w:t>288 4</w:t>
            </w:r>
          </w:p>
        </w:tc>
        <w:tc>
          <w:tcPr>
            <w:tcW w:w="1151"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325</w:t>
            </w:r>
          </w:p>
        </w:tc>
        <w:tc>
          <w:tcPr>
            <w:tcW w:w="1038" w:type="dxa"/>
            <w:tcBorders>
              <w:top w:val="single" w:sz="8" w:space="0" w:color="auto"/>
              <w:left w:val="nil"/>
              <w:bottom w:val="single" w:sz="8" w:space="0" w:color="auto"/>
              <w:right w:val="nil"/>
            </w:tcBorders>
            <w:noWrap/>
            <w:vAlign w:val="bottom"/>
          </w:tcPr>
          <w:p w:rsidR="00662946" w:rsidRDefault="00662946">
            <w:pPr>
              <w:spacing w:after="120"/>
              <w:jc w:val="both"/>
              <w:rPr>
                <w:sz w:val="26"/>
                <w:szCs w:val="26"/>
              </w:rPr>
            </w:pPr>
            <w:r>
              <w:rPr>
                <w:sz w:val="26"/>
                <w:szCs w:val="26"/>
                <w:rtl/>
              </w:rPr>
              <w:t>41</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13</w:t>
            </w:r>
          </w:p>
        </w:tc>
        <w:tc>
          <w:tcPr>
            <w:tcW w:w="19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w:t>
            </w:r>
          </w:p>
        </w:tc>
      </w:tr>
      <w:tr w:rsidR="00662946">
        <w:trPr>
          <w:trHeight w:val="255"/>
        </w:trPr>
        <w:tc>
          <w:tcPr>
            <w:tcW w:w="1032"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26"/>
                <w:szCs w:val="26"/>
              </w:rPr>
            </w:pPr>
            <w:r>
              <w:rPr>
                <w:sz w:val="26"/>
                <w:szCs w:val="26"/>
                <w:rtl/>
              </w:rPr>
              <w:t>2000</w:t>
            </w:r>
            <w:r>
              <w:rPr>
                <w:sz w:val="26"/>
                <w:szCs w:val="26"/>
              </w:rPr>
              <w:t>/</w:t>
            </w:r>
            <w:r>
              <w:rPr>
                <w:sz w:val="26"/>
                <w:szCs w:val="26"/>
                <w:rtl/>
              </w:rPr>
              <w:t>01</w:t>
            </w:r>
          </w:p>
        </w:tc>
        <w:tc>
          <w:tcPr>
            <w:tcW w:w="140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106</w:t>
            </w:r>
          </w:p>
        </w:tc>
        <w:tc>
          <w:tcPr>
            <w:tcW w:w="1323"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26"/>
                <w:szCs w:val="26"/>
              </w:rPr>
            </w:pPr>
            <w:r>
              <w:rPr>
                <w:rFonts w:hint="cs"/>
                <w:sz w:val="26"/>
                <w:szCs w:val="26"/>
                <w:rtl/>
              </w:rPr>
              <w:t>275 4</w:t>
            </w:r>
          </w:p>
        </w:tc>
        <w:tc>
          <w:tcPr>
            <w:tcW w:w="1151"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359</w:t>
            </w:r>
          </w:p>
        </w:tc>
        <w:tc>
          <w:tcPr>
            <w:tcW w:w="1038" w:type="dxa"/>
            <w:tcBorders>
              <w:top w:val="single" w:sz="8" w:space="0" w:color="auto"/>
              <w:left w:val="nil"/>
              <w:bottom w:val="single" w:sz="8" w:space="0" w:color="auto"/>
              <w:right w:val="nil"/>
            </w:tcBorders>
            <w:noWrap/>
            <w:vAlign w:val="bottom"/>
          </w:tcPr>
          <w:p w:rsidR="00662946" w:rsidRDefault="00662946">
            <w:pPr>
              <w:spacing w:after="120"/>
              <w:jc w:val="both"/>
              <w:rPr>
                <w:sz w:val="26"/>
                <w:szCs w:val="26"/>
              </w:rPr>
            </w:pPr>
            <w:r>
              <w:rPr>
                <w:sz w:val="26"/>
                <w:szCs w:val="26"/>
                <w:rtl/>
              </w:rPr>
              <w:t>40</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12</w:t>
            </w:r>
          </w:p>
        </w:tc>
        <w:tc>
          <w:tcPr>
            <w:tcW w:w="19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w:t>
            </w:r>
          </w:p>
        </w:tc>
      </w:tr>
      <w:tr w:rsidR="00662946">
        <w:trPr>
          <w:trHeight w:val="270"/>
        </w:trPr>
        <w:tc>
          <w:tcPr>
            <w:tcW w:w="1032"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26"/>
                <w:szCs w:val="26"/>
              </w:rPr>
            </w:pPr>
            <w:r>
              <w:rPr>
                <w:sz w:val="26"/>
                <w:szCs w:val="26"/>
                <w:rtl/>
              </w:rPr>
              <w:t>2001</w:t>
            </w:r>
            <w:r>
              <w:rPr>
                <w:sz w:val="26"/>
                <w:szCs w:val="26"/>
              </w:rPr>
              <w:t>/</w:t>
            </w:r>
            <w:r>
              <w:rPr>
                <w:sz w:val="26"/>
                <w:szCs w:val="26"/>
                <w:rtl/>
              </w:rPr>
              <w:t>02</w:t>
            </w:r>
          </w:p>
        </w:tc>
        <w:tc>
          <w:tcPr>
            <w:tcW w:w="140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113</w:t>
            </w:r>
          </w:p>
        </w:tc>
        <w:tc>
          <w:tcPr>
            <w:tcW w:w="1323" w:type="dxa"/>
            <w:tcBorders>
              <w:top w:val="single" w:sz="8" w:space="0" w:color="auto"/>
              <w:left w:val="nil"/>
              <w:bottom w:val="single" w:sz="8" w:space="0" w:color="auto"/>
              <w:right w:val="nil"/>
            </w:tcBorders>
            <w:noWrap/>
            <w:vAlign w:val="bottom"/>
          </w:tcPr>
          <w:p w:rsidR="00662946" w:rsidRDefault="00662946">
            <w:pPr>
              <w:spacing w:after="120"/>
              <w:jc w:val="both"/>
              <w:rPr>
                <w:rFonts w:hint="cs"/>
                <w:sz w:val="26"/>
                <w:szCs w:val="26"/>
              </w:rPr>
            </w:pPr>
            <w:r>
              <w:rPr>
                <w:rFonts w:hint="cs"/>
                <w:sz w:val="26"/>
                <w:szCs w:val="26"/>
                <w:rtl/>
              </w:rPr>
              <w:t>201 4</w:t>
            </w:r>
          </w:p>
        </w:tc>
        <w:tc>
          <w:tcPr>
            <w:tcW w:w="1151"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362</w:t>
            </w:r>
          </w:p>
        </w:tc>
        <w:tc>
          <w:tcPr>
            <w:tcW w:w="1038" w:type="dxa"/>
            <w:tcBorders>
              <w:top w:val="single" w:sz="8" w:space="0" w:color="auto"/>
              <w:left w:val="nil"/>
              <w:bottom w:val="single" w:sz="8" w:space="0" w:color="auto"/>
              <w:right w:val="nil"/>
            </w:tcBorders>
            <w:noWrap/>
            <w:vAlign w:val="bottom"/>
          </w:tcPr>
          <w:p w:rsidR="00662946" w:rsidRDefault="00662946">
            <w:pPr>
              <w:spacing w:after="120"/>
              <w:jc w:val="both"/>
              <w:rPr>
                <w:sz w:val="26"/>
                <w:szCs w:val="26"/>
              </w:rPr>
            </w:pPr>
            <w:r>
              <w:rPr>
                <w:sz w:val="26"/>
                <w:szCs w:val="26"/>
                <w:rtl/>
              </w:rPr>
              <w:t>37</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12</w:t>
            </w:r>
          </w:p>
        </w:tc>
        <w:tc>
          <w:tcPr>
            <w:tcW w:w="1948"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6"/>
                <w:szCs w:val="26"/>
              </w:rPr>
            </w:pPr>
            <w:r>
              <w:rPr>
                <w:sz w:val="26"/>
                <w:szCs w:val="26"/>
                <w:rtl/>
              </w:rPr>
              <w:t>3</w:t>
            </w:r>
          </w:p>
        </w:tc>
      </w:tr>
      <w:tr w:rsidR="00662946">
        <w:trPr>
          <w:trHeight w:val="255"/>
        </w:trPr>
        <w:tc>
          <w:tcPr>
            <w:tcW w:w="9233" w:type="dxa"/>
            <w:gridSpan w:val="7"/>
            <w:tcBorders>
              <w:top w:val="single" w:sz="8" w:space="0" w:color="auto"/>
              <w:left w:val="single" w:sz="8" w:space="0" w:color="auto"/>
              <w:bottom w:val="single" w:sz="8" w:space="0" w:color="auto"/>
              <w:right w:val="single" w:sz="8" w:space="0" w:color="auto"/>
            </w:tcBorders>
            <w:noWrap/>
            <w:vAlign w:val="bottom"/>
          </w:tcPr>
          <w:p w:rsidR="00662946" w:rsidRDefault="00662946">
            <w:pPr>
              <w:jc w:val="both"/>
              <w:rPr>
                <w:rFonts w:hint="cs"/>
                <w:sz w:val="26"/>
                <w:szCs w:val="26"/>
                <w:rtl/>
              </w:rPr>
            </w:pPr>
            <w:r>
              <w:rPr>
                <w:rFonts w:hint="cs"/>
                <w:i/>
                <w:iCs/>
                <w:sz w:val="26"/>
                <w:szCs w:val="26"/>
                <w:rtl/>
              </w:rPr>
              <w:t>ملاحظة: اعتباراً من 1999/2000 استبعدت أرقام الرعاية النهارية من المجاميع.</w:t>
            </w:r>
          </w:p>
          <w:p w:rsidR="00662946" w:rsidRDefault="00662946">
            <w:pPr>
              <w:spacing w:after="120"/>
              <w:jc w:val="both"/>
              <w:rPr>
                <w:rFonts w:hint="cs"/>
                <w:sz w:val="26"/>
                <w:szCs w:val="26"/>
              </w:rPr>
            </w:pPr>
            <w:r>
              <w:rPr>
                <w:rFonts w:hint="cs"/>
                <w:sz w:val="26"/>
                <w:szCs w:val="26"/>
                <w:rtl/>
              </w:rPr>
              <w:t>المصدر: الموجز الإحصائي للتعليم: 2002.</w:t>
            </w:r>
          </w:p>
        </w:tc>
      </w:tr>
    </w:tbl>
    <w:p w:rsidR="00662946" w:rsidRDefault="00662946">
      <w:pPr>
        <w:pStyle w:val="SingleTxt"/>
        <w:ind w:left="1264" w:right="1264"/>
        <w:jc w:val="both"/>
        <w:rPr>
          <w:rFonts w:hint="cs"/>
          <w:rtl/>
          <w:lang w:bidi="ar-EG"/>
        </w:rPr>
      </w:pPr>
    </w:p>
    <w:tbl>
      <w:tblPr>
        <w:bidiVisual/>
        <w:tblW w:w="6720" w:type="dxa"/>
        <w:jc w:val="center"/>
        <w:tblLook w:val="0000" w:firstRow="0" w:lastRow="0" w:firstColumn="0" w:lastColumn="0" w:noHBand="0" w:noVBand="0"/>
      </w:tblPr>
      <w:tblGrid>
        <w:gridCol w:w="1377"/>
        <w:gridCol w:w="1869"/>
        <w:gridCol w:w="1521"/>
        <w:gridCol w:w="1953"/>
      </w:tblGrid>
      <w:tr w:rsidR="00662946">
        <w:trPr>
          <w:trHeight w:val="552"/>
          <w:jc w:val="center"/>
        </w:trPr>
        <w:tc>
          <w:tcPr>
            <w:tcW w:w="6720" w:type="dxa"/>
            <w:gridSpan w:val="4"/>
            <w:tcBorders>
              <w:top w:val="single" w:sz="8" w:space="0" w:color="auto"/>
              <w:left w:val="single" w:sz="8" w:space="0" w:color="auto"/>
              <w:bottom w:val="single" w:sz="8" w:space="0" w:color="auto"/>
              <w:right w:val="single" w:sz="8" w:space="0" w:color="000000"/>
            </w:tcBorders>
            <w:vAlign w:val="bottom"/>
          </w:tcPr>
          <w:p w:rsidR="00662946" w:rsidRDefault="00662946">
            <w:pPr>
              <w:spacing w:after="120"/>
              <w:jc w:val="center"/>
              <w:rPr>
                <w:rFonts w:hint="cs"/>
                <w:b/>
                <w:bCs/>
                <w:sz w:val="30"/>
                <w:rtl/>
                <w:lang w:bidi="ar-EG"/>
              </w:rPr>
            </w:pPr>
            <w:r>
              <w:rPr>
                <w:rFonts w:hint="cs"/>
                <w:b/>
                <w:bCs/>
                <w:sz w:val="30"/>
                <w:rtl/>
                <w:lang w:bidi="ar-EG"/>
              </w:rPr>
              <w:t xml:space="preserve">الجدول 10-2 ب: النسبة المئوية للإناث في المراكز قبل المدرسية 1999/2000 </w:t>
            </w:r>
            <w:r>
              <w:rPr>
                <w:b/>
                <w:bCs/>
                <w:sz w:val="30"/>
                <w:rtl/>
                <w:lang w:bidi="ar-EG"/>
              </w:rPr>
              <w:t>–</w:t>
            </w:r>
            <w:r>
              <w:rPr>
                <w:rFonts w:hint="cs"/>
                <w:b/>
                <w:bCs/>
                <w:sz w:val="30"/>
                <w:rtl/>
                <w:lang w:bidi="ar-EG"/>
              </w:rPr>
              <w:t xml:space="preserve"> 2001/2003</w:t>
            </w:r>
          </w:p>
        </w:tc>
      </w:tr>
      <w:tr w:rsidR="00662946">
        <w:trPr>
          <w:trHeight w:val="270"/>
          <w:jc w:val="center"/>
        </w:trPr>
        <w:tc>
          <w:tcPr>
            <w:tcW w:w="137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rFonts w:hint="cs"/>
                <w:b/>
                <w:bCs/>
                <w:sz w:val="30"/>
              </w:rPr>
            </w:pPr>
            <w:r>
              <w:rPr>
                <w:rFonts w:hint="cs"/>
                <w:b/>
                <w:bCs/>
                <w:sz w:val="30"/>
                <w:rtl/>
              </w:rPr>
              <w:t>السنة</w:t>
            </w:r>
          </w:p>
        </w:tc>
        <w:tc>
          <w:tcPr>
            <w:tcW w:w="1869" w:type="dxa"/>
            <w:tcBorders>
              <w:top w:val="single" w:sz="8" w:space="0" w:color="auto"/>
              <w:left w:val="single" w:sz="8" w:space="0" w:color="auto"/>
              <w:bottom w:val="single" w:sz="8" w:space="0" w:color="auto"/>
              <w:right w:val="single" w:sz="8" w:space="0" w:color="000000"/>
            </w:tcBorders>
            <w:noWrap/>
            <w:vAlign w:val="bottom"/>
          </w:tcPr>
          <w:p w:rsidR="00662946" w:rsidRDefault="00662946">
            <w:pPr>
              <w:spacing w:after="120"/>
              <w:jc w:val="both"/>
              <w:rPr>
                <w:rFonts w:hint="cs"/>
                <w:b/>
                <w:bCs/>
                <w:sz w:val="30"/>
              </w:rPr>
            </w:pPr>
            <w:r>
              <w:rPr>
                <w:rFonts w:hint="cs"/>
                <w:b/>
                <w:bCs/>
                <w:sz w:val="30"/>
                <w:rtl/>
              </w:rPr>
              <w:t>عدد المسجلين</w:t>
            </w:r>
          </w:p>
        </w:tc>
        <w:tc>
          <w:tcPr>
            <w:tcW w:w="1521" w:type="dxa"/>
            <w:tcBorders>
              <w:top w:val="single" w:sz="8" w:space="0" w:color="auto"/>
              <w:left w:val="nil"/>
              <w:bottom w:val="single" w:sz="8" w:space="0" w:color="auto"/>
              <w:right w:val="single" w:sz="8" w:space="0" w:color="000000"/>
            </w:tcBorders>
            <w:noWrap/>
            <w:vAlign w:val="bottom"/>
          </w:tcPr>
          <w:p w:rsidR="00662946" w:rsidRDefault="00662946">
            <w:pPr>
              <w:spacing w:after="120"/>
              <w:jc w:val="both"/>
              <w:rPr>
                <w:rFonts w:hint="cs"/>
                <w:b/>
                <w:bCs/>
                <w:sz w:val="30"/>
              </w:rPr>
            </w:pPr>
            <w:r>
              <w:rPr>
                <w:rFonts w:hint="cs"/>
                <w:b/>
                <w:bCs/>
                <w:sz w:val="30"/>
                <w:rtl/>
              </w:rPr>
              <w:t>الإناث</w:t>
            </w:r>
          </w:p>
        </w:tc>
        <w:tc>
          <w:tcPr>
            <w:tcW w:w="1953" w:type="dxa"/>
            <w:tcBorders>
              <w:top w:val="single" w:sz="8" w:space="0" w:color="auto"/>
              <w:left w:val="nil"/>
              <w:bottom w:val="single" w:sz="8" w:space="0" w:color="auto"/>
              <w:right w:val="single" w:sz="8" w:space="0" w:color="000000"/>
            </w:tcBorders>
            <w:noWrap/>
            <w:vAlign w:val="bottom"/>
          </w:tcPr>
          <w:p w:rsidR="00662946" w:rsidRDefault="00662946">
            <w:pPr>
              <w:spacing w:after="120"/>
              <w:jc w:val="both"/>
              <w:rPr>
                <w:rFonts w:hint="cs"/>
                <w:b/>
                <w:bCs/>
                <w:sz w:val="30"/>
              </w:rPr>
            </w:pPr>
            <w:r>
              <w:rPr>
                <w:rFonts w:hint="cs"/>
                <w:b/>
                <w:bCs/>
                <w:sz w:val="30"/>
                <w:rtl/>
              </w:rPr>
              <w:t>النسبة المئوية للإناث</w:t>
            </w:r>
          </w:p>
        </w:tc>
      </w:tr>
      <w:tr w:rsidR="00662946">
        <w:trPr>
          <w:trHeight w:val="255"/>
          <w:jc w:val="center"/>
        </w:trPr>
        <w:tc>
          <w:tcPr>
            <w:tcW w:w="137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30"/>
              </w:rPr>
            </w:pPr>
            <w:r>
              <w:rPr>
                <w:sz w:val="30"/>
                <w:rtl/>
              </w:rPr>
              <w:t>1999</w:t>
            </w:r>
            <w:r>
              <w:rPr>
                <w:sz w:val="30"/>
              </w:rPr>
              <w:t>/</w:t>
            </w:r>
            <w:r>
              <w:rPr>
                <w:sz w:val="30"/>
                <w:rtl/>
              </w:rPr>
              <w:t>00</w:t>
            </w:r>
          </w:p>
        </w:tc>
        <w:tc>
          <w:tcPr>
            <w:tcW w:w="1869" w:type="dxa"/>
            <w:tcBorders>
              <w:top w:val="single" w:sz="8" w:space="0" w:color="auto"/>
              <w:left w:val="single" w:sz="8" w:space="0" w:color="auto"/>
              <w:bottom w:val="single" w:sz="8" w:space="0" w:color="auto"/>
              <w:right w:val="single" w:sz="8" w:space="0" w:color="000000"/>
            </w:tcBorders>
            <w:noWrap/>
            <w:vAlign w:val="bottom"/>
          </w:tcPr>
          <w:p w:rsidR="00662946" w:rsidRDefault="00662946">
            <w:pPr>
              <w:spacing w:after="120"/>
              <w:jc w:val="center"/>
              <w:rPr>
                <w:rFonts w:hint="cs"/>
                <w:sz w:val="30"/>
              </w:rPr>
            </w:pPr>
            <w:r>
              <w:rPr>
                <w:sz w:val="30"/>
                <w:rtl/>
              </w:rPr>
              <w:t>288</w:t>
            </w:r>
            <w:r>
              <w:rPr>
                <w:rFonts w:hint="cs"/>
                <w:sz w:val="30"/>
                <w:rtl/>
              </w:rPr>
              <w:t xml:space="preserve"> 4</w:t>
            </w:r>
          </w:p>
        </w:tc>
        <w:tc>
          <w:tcPr>
            <w:tcW w:w="1521" w:type="dxa"/>
            <w:tcBorders>
              <w:top w:val="single" w:sz="8" w:space="0" w:color="auto"/>
              <w:left w:val="nil"/>
              <w:bottom w:val="single" w:sz="8" w:space="0" w:color="auto"/>
              <w:right w:val="single" w:sz="8" w:space="0" w:color="000000"/>
            </w:tcBorders>
            <w:noWrap/>
            <w:vAlign w:val="bottom"/>
          </w:tcPr>
          <w:p w:rsidR="00662946" w:rsidRDefault="00662946">
            <w:pPr>
              <w:spacing w:after="120"/>
              <w:jc w:val="center"/>
              <w:rPr>
                <w:rFonts w:hint="cs"/>
                <w:sz w:val="30"/>
              </w:rPr>
            </w:pPr>
            <w:r>
              <w:rPr>
                <w:sz w:val="30"/>
                <w:rtl/>
              </w:rPr>
              <w:t>146</w:t>
            </w:r>
            <w:r>
              <w:rPr>
                <w:rFonts w:hint="cs"/>
                <w:sz w:val="30"/>
                <w:rtl/>
              </w:rPr>
              <w:t xml:space="preserve"> 2</w:t>
            </w:r>
          </w:p>
        </w:tc>
        <w:tc>
          <w:tcPr>
            <w:tcW w:w="1953" w:type="dxa"/>
            <w:tcBorders>
              <w:top w:val="single" w:sz="8" w:space="0" w:color="auto"/>
              <w:left w:val="nil"/>
              <w:bottom w:val="single" w:sz="8" w:space="0" w:color="auto"/>
              <w:right w:val="single" w:sz="8" w:space="0" w:color="000000"/>
            </w:tcBorders>
            <w:noWrap/>
            <w:vAlign w:val="bottom"/>
          </w:tcPr>
          <w:p w:rsidR="00662946" w:rsidRDefault="00662946">
            <w:pPr>
              <w:spacing w:after="120"/>
              <w:jc w:val="center"/>
              <w:rPr>
                <w:sz w:val="30"/>
              </w:rPr>
            </w:pPr>
            <w:r>
              <w:rPr>
                <w:sz w:val="30"/>
                <w:rtl/>
              </w:rPr>
              <w:t>50</w:t>
            </w:r>
          </w:p>
        </w:tc>
      </w:tr>
      <w:tr w:rsidR="00662946">
        <w:trPr>
          <w:trHeight w:val="255"/>
          <w:jc w:val="center"/>
        </w:trPr>
        <w:tc>
          <w:tcPr>
            <w:tcW w:w="137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30"/>
              </w:rPr>
            </w:pPr>
            <w:r>
              <w:rPr>
                <w:sz w:val="30"/>
                <w:rtl/>
              </w:rPr>
              <w:t>2000</w:t>
            </w:r>
            <w:r>
              <w:rPr>
                <w:sz w:val="30"/>
              </w:rPr>
              <w:t>/</w:t>
            </w:r>
            <w:r>
              <w:rPr>
                <w:sz w:val="30"/>
                <w:rtl/>
              </w:rPr>
              <w:t>01</w:t>
            </w:r>
          </w:p>
        </w:tc>
        <w:tc>
          <w:tcPr>
            <w:tcW w:w="1869" w:type="dxa"/>
            <w:tcBorders>
              <w:top w:val="single" w:sz="8" w:space="0" w:color="auto"/>
              <w:left w:val="single" w:sz="8" w:space="0" w:color="auto"/>
              <w:bottom w:val="single" w:sz="8" w:space="0" w:color="auto"/>
              <w:right w:val="single" w:sz="8" w:space="0" w:color="000000"/>
            </w:tcBorders>
            <w:noWrap/>
            <w:vAlign w:val="bottom"/>
          </w:tcPr>
          <w:p w:rsidR="00662946" w:rsidRDefault="00662946">
            <w:pPr>
              <w:spacing w:after="120"/>
              <w:jc w:val="center"/>
              <w:rPr>
                <w:rFonts w:hint="cs"/>
                <w:sz w:val="30"/>
              </w:rPr>
            </w:pPr>
            <w:r>
              <w:rPr>
                <w:sz w:val="30"/>
                <w:rtl/>
              </w:rPr>
              <w:t>275</w:t>
            </w:r>
            <w:r>
              <w:rPr>
                <w:rFonts w:hint="cs"/>
                <w:sz w:val="30"/>
                <w:rtl/>
              </w:rPr>
              <w:t xml:space="preserve"> 4</w:t>
            </w:r>
          </w:p>
        </w:tc>
        <w:tc>
          <w:tcPr>
            <w:tcW w:w="1521" w:type="dxa"/>
            <w:tcBorders>
              <w:top w:val="single" w:sz="8" w:space="0" w:color="auto"/>
              <w:left w:val="nil"/>
              <w:bottom w:val="single" w:sz="8" w:space="0" w:color="auto"/>
              <w:right w:val="single" w:sz="8" w:space="0" w:color="000000"/>
            </w:tcBorders>
            <w:noWrap/>
            <w:vAlign w:val="bottom"/>
          </w:tcPr>
          <w:p w:rsidR="00662946" w:rsidRDefault="00662946">
            <w:pPr>
              <w:spacing w:after="120"/>
              <w:jc w:val="center"/>
              <w:rPr>
                <w:rFonts w:hint="cs"/>
                <w:sz w:val="30"/>
              </w:rPr>
            </w:pPr>
            <w:r>
              <w:rPr>
                <w:sz w:val="30"/>
                <w:rtl/>
              </w:rPr>
              <w:t>148</w:t>
            </w:r>
            <w:r>
              <w:rPr>
                <w:rFonts w:hint="cs"/>
                <w:sz w:val="30"/>
                <w:rtl/>
              </w:rPr>
              <w:t xml:space="preserve"> 2</w:t>
            </w:r>
          </w:p>
        </w:tc>
        <w:tc>
          <w:tcPr>
            <w:tcW w:w="1953" w:type="dxa"/>
            <w:tcBorders>
              <w:top w:val="single" w:sz="8" w:space="0" w:color="auto"/>
              <w:left w:val="nil"/>
              <w:bottom w:val="single" w:sz="8" w:space="0" w:color="auto"/>
              <w:right w:val="single" w:sz="8" w:space="0" w:color="000000"/>
            </w:tcBorders>
            <w:noWrap/>
            <w:vAlign w:val="bottom"/>
          </w:tcPr>
          <w:p w:rsidR="00662946" w:rsidRDefault="00662946">
            <w:pPr>
              <w:spacing w:after="120"/>
              <w:jc w:val="center"/>
              <w:rPr>
                <w:sz w:val="30"/>
              </w:rPr>
            </w:pPr>
            <w:r>
              <w:rPr>
                <w:sz w:val="30"/>
                <w:rtl/>
              </w:rPr>
              <w:t>50</w:t>
            </w:r>
          </w:p>
        </w:tc>
      </w:tr>
      <w:tr w:rsidR="00662946">
        <w:trPr>
          <w:trHeight w:val="270"/>
          <w:jc w:val="center"/>
        </w:trPr>
        <w:tc>
          <w:tcPr>
            <w:tcW w:w="137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30"/>
              </w:rPr>
            </w:pPr>
            <w:r>
              <w:rPr>
                <w:sz w:val="30"/>
                <w:rtl/>
              </w:rPr>
              <w:t>2001</w:t>
            </w:r>
            <w:r>
              <w:rPr>
                <w:sz w:val="30"/>
              </w:rPr>
              <w:t>/</w:t>
            </w:r>
            <w:r>
              <w:rPr>
                <w:sz w:val="30"/>
                <w:rtl/>
              </w:rPr>
              <w:t>02</w:t>
            </w:r>
          </w:p>
        </w:tc>
        <w:tc>
          <w:tcPr>
            <w:tcW w:w="1869" w:type="dxa"/>
            <w:tcBorders>
              <w:top w:val="single" w:sz="8" w:space="0" w:color="auto"/>
              <w:left w:val="single" w:sz="8" w:space="0" w:color="auto"/>
              <w:bottom w:val="single" w:sz="8" w:space="0" w:color="auto"/>
              <w:right w:val="single" w:sz="8" w:space="0" w:color="000000"/>
            </w:tcBorders>
            <w:noWrap/>
            <w:vAlign w:val="bottom"/>
          </w:tcPr>
          <w:p w:rsidR="00662946" w:rsidRDefault="00662946">
            <w:pPr>
              <w:spacing w:after="120"/>
              <w:jc w:val="center"/>
              <w:rPr>
                <w:rFonts w:hint="cs"/>
                <w:sz w:val="30"/>
              </w:rPr>
            </w:pPr>
            <w:r>
              <w:rPr>
                <w:sz w:val="30"/>
                <w:rtl/>
              </w:rPr>
              <w:t>201</w:t>
            </w:r>
            <w:r>
              <w:rPr>
                <w:rFonts w:hint="cs"/>
                <w:sz w:val="30"/>
                <w:rtl/>
              </w:rPr>
              <w:t xml:space="preserve"> 4</w:t>
            </w:r>
          </w:p>
        </w:tc>
        <w:tc>
          <w:tcPr>
            <w:tcW w:w="1521" w:type="dxa"/>
            <w:tcBorders>
              <w:top w:val="single" w:sz="8" w:space="0" w:color="auto"/>
              <w:left w:val="nil"/>
              <w:bottom w:val="single" w:sz="8" w:space="0" w:color="auto"/>
              <w:right w:val="single" w:sz="8" w:space="0" w:color="000000"/>
            </w:tcBorders>
            <w:noWrap/>
            <w:vAlign w:val="bottom"/>
          </w:tcPr>
          <w:p w:rsidR="00662946" w:rsidRDefault="00662946">
            <w:pPr>
              <w:spacing w:after="120"/>
              <w:jc w:val="center"/>
              <w:rPr>
                <w:rFonts w:hint="cs"/>
                <w:sz w:val="30"/>
              </w:rPr>
            </w:pPr>
            <w:r>
              <w:rPr>
                <w:sz w:val="30"/>
                <w:rtl/>
              </w:rPr>
              <w:t>058</w:t>
            </w:r>
            <w:r>
              <w:rPr>
                <w:rFonts w:hint="cs"/>
                <w:sz w:val="30"/>
                <w:rtl/>
              </w:rPr>
              <w:t xml:space="preserve"> 2</w:t>
            </w:r>
          </w:p>
        </w:tc>
        <w:tc>
          <w:tcPr>
            <w:tcW w:w="1953" w:type="dxa"/>
            <w:tcBorders>
              <w:top w:val="single" w:sz="8" w:space="0" w:color="auto"/>
              <w:left w:val="nil"/>
              <w:bottom w:val="single" w:sz="8" w:space="0" w:color="auto"/>
              <w:right w:val="single" w:sz="8" w:space="0" w:color="000000"/>
            </w:tcBorders>
            <w:noWrap/>
            <w:vAlign w:val="bottom"/>
          </w:tcPr>
          <w:p w:rsidR="00662946" w:rsidRDefault="00662946">
            <w:pPr>
              <w:spacing w:after="120"/>
              <w:jc w:val="center"/>
              <w:rPr>
                <w:sz w:val="30"/>
              </w:rPr>
            </w:pPr>
            <w:r>
              <w:rPr>
                <w:sz w:val="30"/>
                <w:rtl/>
              </w:rPr>
              <w:t>49</w:t>
            </w:r>
          </w:p>
        </w:tc>
      </w:tr>
    </w:tbl>
    <w:p w:rsidR="00662946" w:rsidRDefault="00662946">
      <w:pPr>
        <w:pStyle w:val="SingleTxt"/>
        <w:ind w:left="1264" w:right="1264"/>
        <w:jc w:val="both"/>
        <w:rPr>
          <w:rFonts w:hint="cs"/>
          <w:rtl/>
          <w:lang w:bidi="ar-EG"/>
        </w:rPr>
      </w:pPr>
    </w:p>
    <w:p w:rsidR="00662946" w:rsidRDefault="00662946">
      <w:pPr>
        <w:pStyle w:val="SingleTxt"/>
        <w:ind w:left="1264" w:right="1264"/>
        <w:jc w:val="both"/>
        <w:rPr>
          <w:rFonts w:hint="cs"/>
          <w:rtl/>
          <w:lang w:bidi="ar-EG"/>
        </w:rPr>
      </w:pPr>
    </w:p>
    <w:tbl>
      <w:tblPr>
        <w:bidiVisual/>
        <w:tblW w:w="5760" w:type="dxa"/>
        <w:jc w:val="center"/>
        <w:tblLook w:val="0000" w:firstRow="0" w:lastRow="0" w:firstColumn="0" w:lastColumn="0" w:noHBand="0" w:noVBand="0"/>
      </w:tblPr>
      <w:tblGrid>
        <w:gridCol w:w="2631"/>
        <w:gridCol w:w="1072"/>
        <w:gridCol w:w="999"/>
        <w:gridCol w:w="1058"/>
      </w:tblGrid>
      <w:tr w:rsidR="00662946">
        <w:trPr>
          <w:trHeight w:val="552"/>
          <w:jc w:val="center"/>
        </w:trPr>
        <w:tc>
          <w:tcPr>
            <w:tcW w:w="5760" w:type="dxa"/>
            <w:gridSpan w:val="4"/>
            <w:tcBorders>
              <w:top w:val="single" w:sz="8" w:space="0" w:color="auto"/>
              <w:left w:val="single" w:sz="8" w:space="0" w:color="auto"/>
              <w:bottom w:val="single" w:sz="4" w:space="0" w:color="auto"/>
              <w:right w:val="single" w:sz="8" w:space="0" w:color="000000"/>
            </w:tcBorders>
            <w:vAlign w:val="bottom"/>
          </w:tcPr>
          <w:p w:rsidR="00662946" w:rsidRDefault="00662946">
            <w:pPr>
              <w:spacing w:after="120"/>
              <w:jc w:val="center"/>
              <w:rPr>
                <w:rFonts w:hint="cs"/>
                <w:b/>
                <w:bCs/>
                <w:sz w:val="30"/>
                <w:rtl/>
                <w:lang w:bidi="ar-EG"/>
              </w:rPr>
            </w:pPr>
            <w:r>
              <w:rPr>
                <w:rFonts w:hint="cs"/>
                <w:b/>
                <w:bCs/>
                <w:sz w:val="30"/>
                <w:rtl/>
                <w:lang w:bidi="ar-EG"/>
              </w:rPr>
              <w:t>الجدول 10-2 ج: توزيع العدد الكلي للأطفال المسجلين في المراكز قبل المدرسية حسب الجنس والسن، 2001/2002</w:t>
            </w:r>
          </w:p>
        </w:tc>
      </w:tr>
      <w:tr w:rsidR="00662946">
        <w:trPr>
          <w:trHeight w:val="270"/>
          <w:jc w:val="center"/>
        </w:trPr>
        <w:tc>
          <w:tcPr>
            <w:tcW w:w="2631"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السن بالسنوات</w:t>
            </w:r>
          </w:p>
        </w:tc>
        <w:tc>
          <w:tcPr>
            <w:tcW w:w="107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البنين</w:t>
            </w:r>
          </w:p>
        </w:tc>
        <w:tc>
          <w:tcPr>
            <w:tcW w:w="99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البنات</w:t>
            </w:r>
          </w:p>
        </w:tc>
        <w:tc>
          <w:tcPr>
            <w:tcW w:w="1058" w:type="dxa"/>
            <w:tcBorders>
              <w:top w:val="single" w:sz="4" w:space="0" w:color="auto"/>
              <w:left w:val="nil"/>
              <w:bottom w:val="single" w:sz="4" w:space="0" w:color="auto"/>
              <w:right w:val="single" w:sz="8" w:space="0" w:color="000000"/>
            </w:tcBorders>
            <w:noWrap/>
            <w:vAlign w:val="bottom"/>
          </w:tcPr>
          <w:p w:rsidR="00662946" w:rsidRDefault="00662946">
            <w:pPr>
              <w:spacing w:after="120"/>
              <w:jc w:val="both"/>
              <w:rPr>
                <w:rFonts w:hint="cs"/>
                <w:b/>
                <w:bCs/>
                <w:sz w:val="30"/>
              </w:rPr>
            </w:pPr>
            <w:r>
              <w:rPr>
                <w:rFonts w:hint="cs"/>
                <w:b/>
                <w:bCs/>
                <w:sz w:val="30"/>
                <w:rtl/>
              </w:rPr>
              <w:t>المجموع</w:t>
            </w:r>
          </w:p>
        </w:tc>
      </w:tr>
      <w:tr w:rsidR="00662946">
        <w:trPr>
          <w:trHeight w:val="255"/>
          <w:jc w:val="center"/>
        </w:trPr>
        <w:tc>
          <w:tcPr>
            <w:tcW w:w="2631"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0</w:t>
            </w:r>
            <w:r>
              <w:rPr>
                <w:sz w:val="30"/>
              </w:rPr>
              <w:t xml:space="preserve"> – </w:t>
            </w:r>
            <w:r>
              <w:rPr>
                <w:sz w:val="30"/>
                <w:rtl/>
              </w:rPr>
              <w:t>2</w:t>
            </w:r>
          </w:p>
        </w:tc>
        <w:tc>
          <w:tcPr>
            <w:tcW w:w="107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30"/>
              </w:rPr>
            </w:pPr>
            <w:r>
              <w:rPr>
                <w:sz w:val="30"/>
                <w:rtl/>
              </w:rPr>
              <w:t>92</w:t>
            </w:r>
          </w:p>
        </w:tc>
        <w:tc>
          <w:tcPr>
            <w:tcW w:w="99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30"/>
              </w:rPr>
            </w:pPr>
            <w:r>
              <w:rPr>
                <w:sz w:val="30"/>
                <w:rtl/>
              </w:rPr>
              <w:t>104</w:t>
            </w:r>
          </w:p>
        </w:tc>
        <w:tc>
          <w:tcPr>
            <w:tcW w:w="1058" w:type="dxa"/>
            <w:tcBorders>
              <w:top w:val="single" w:sz="4" w:space="0" w:color="auto"/>
              <w:left w:val="nil"/>
              <w:bottom w:val="single" w:sz="4" w:space="0" w:color="auto"/>
              <w:right w:val="single" w:sz="8" w:space="0" w:color="000000"/>
            </w:tcBorders>
            <w:noWrap/>
            <w:vAlign w:val="bottom"/>
          </w:tcPr>
          <w:p w:rsidR="00662946" w:rsidRDefault="00662946">
            <w:pPr>
              <w:spacing w:after="120"/>
              <w:jc w:val="both"/>
              <w:rPr>
                <w:b/>
                <w:bCs/>
                <w:sz w:val="30"/>
              </w:rPr>
            </w:pPr>
            <w:r>
              <w:rPr>
                <w:b/>
                <w:bCs/>
                <w:sz w:val="30"/>
                <w:rtl/>
              </w:rPr>
              <w:t>196</w:t>
            </w:r>
          </w:p>
        </w:tc>
      </w:tr>
      <w:tr w:rsidR="00662946">
        <w:trPr>
          <w:trHeight w:val="255"/>
          <w:jc w:val="center"/>
        </w:trPr>
        <w:tc>
          <w:tcPr>
            <w:tcW w:w="2631"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2</w:t>
            </w:r>
          </w:p>
        </w:tc>
        <w:tc>
          <w:tcPr>
            <w:tcW w:w="107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30"/>
              </w:rPr>
            </w:pPr>
            <w:r>
              <w:rPr>
                <w:sz w:val="30"/>
                <w:rtl/>
              </w:rPr>
              <w:t>348</w:t>
            </w:r>
          </w:p>
        </w:tc>
        <w:tc>
          <w:tcPr>
            <w:tcW w:w="99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30"/>
              </w:rPr>
            </w:pPr>
            <w:r>
              <w:rPr>
                <w:sz w:val="30"/>
                <w:rtl/>
              </w:rPr>
              <w:t>315</w:t>
            </w:r>
          </w:p>
        </w:tc>
        <w:tc>
          <w:tcPr>
            <w:tcW w:w="1058" w:type="dxa"/>
            <w:tcBorders>
              <w:top w:val="single" w:sz="4" w:space="0" w:color="auto"/>
              <w:left w:val="nil"/>
              <w:bottom w:val="single" w:sz="4" w:space="0" w:color="auto"/>
              <w:right w:val="single" w:sz="8" w:space="0" w:color="000000"/>
            </w:tcBorders>
            <w:noWrap/>
            <w:vAlign w:val="bottom"/>
          </w:tcPr>
          <w:p w:rsidR="00662946" w:rsidRDefault="00662946">
            <w:pPr>
              <w:spacing w:after="120"/>
              <w:jc w:val="both"/>
              <w:rPr>
                <w:b/>
                <w:bCs/>
                <w:sz w:val="30"/>
              </w:rPr>
            </w:pPr>
            <w:r>
              <w:rPr>
                <w:b/>
                <w:bCs/>
                <w:sz w:val="30"/>
                <w:rtl/>
              </w:rPr>
              <w:t>663</w:t>
            </w:r>
          </w:p>
        </w:tc>
      </w:tr>
      <w:tr w:rsidR="00662946">
        <w:trPr>
          <w:trHeight w:val="255"/>
          <w:jc w:val="center"/>
        </w:trPr>
        <w:tc>
          <w:tcPr>
            <w:tcW w:w="2631"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3</w:t>
            </w:r>
          </w:p>
        </w:tc>
        <w:tc>
          <w:tcPr>
            <w:tcW w:w="107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30"/>
              </w:rPr>
            </w:pPr>
            <w:r>
              <w:rPr>
                <w:sz w:val="30"/>
                <w:rtl/>
              </w:rPr>
              <w:t>711</w:t>
            </w:r>
          </w:p>
        </w:tc>
        <w:tc>
          <w:tcPr>
            <w:tcW w:w="99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30"/>
              </w:rPr>
            </w:pPr>
            <w:r>
              <w:rPr>
                <w:sz w:val="30"/>
                <w:rtl/>
              </w:rPr>
              <w:t>738</w:t>
            </w:r>
          </w:p>
        </w:tc>
        <w:tc>
          <w:tcPr>
            <w:tcW w:w="1058" w:type="dxa"/>
            <w:tcBorders>
              <w:top w:val="single" w:sz="4" w:space="0" w:color="auto"/>
              <w:left w:val="nil"/>
              <w:bottom w:val="single" w:sz="4" w:space="0" w:color="auto"/>
              <w:right w:val="single" w:sz="8" w:space="0" w:color="000000"/>
            </w:tcBorders>
            <w:noWrap/>
            <w:vAlign w:val="bottom"/>
          </w:tcPr>
          <w:p w:rsidR="00662946" w:rsidRDefault="00662946">
            <w:pPr>
              <w:spacing w:after="120"/>
              <w:jc w:val="both"/>
              <w:rPr>
                <w:rFonts w:hint="cs"/>
                <w:b/>
                <w:bCs/>
                <w:sz w:val="30"/>
              </w:rPr>
            </w:pPr>
            <w:r>
              <w:rPr>
                <w:rFonts w:hint="cs"/>
                <w:b/>
                <w:bCs/>
                <w:sz w:val="30"/>
                <w:rtl/>
              </w:rPr>
              <w:t>449 1</w:t>
            </w:r>
          </w:p>
        </w:tc>
      </w:tr>
      <w:tr w:rsidR="00662946">
        <w:trPr>
          <w:trHeight w:val="255"/>
          <w:jc w:val="center"/>
        </w:trPr>
        <w:tc>
          <w:tcPr>
            <w:tcW w:w="2631"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4</w:t>
            </w:r>
          </w:p>
        </w:tc>
        <w:tc>
          <w:tcPr>
            <w:tcW w:w="107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30"/>
              </w:rPr>
            </w:pPr>
            <w:r>
              <w:rPr>
                <w:sz w:val="30"/>
                <w:rtl/>
              </w:rPr>
              <w:t>911</w:t>
            </w:r>
          </w:p>
        </w:tc>
        <w:tc>
          <w:tcPr>
            <w:tcW w:w="99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30"/>
              </w:rPr>
            </w:pPr>
            <w:r>
              <w:rPr>
                <w:sz w:val="30"/>
                <w:rtl/>
              </w:rPr>
              <w:t>842</w:t>
            </w:r>
          </w:p>
        </w:tc>
        <w:tc>
          <w:tcPr>
            <w:tcW w:w="1058" w:type="dxa"/>
            <w:tcBorders>
              <w:top w:val="single" w:sz="4" w:space="0" w:color="auto"/>
              <w:left w:val="nil"/>
              <w:bottom w:val="single" w:sz="4" w:space="0" w:color="auto"/>
              <w:right w:val="single" w:sz="8" w:space="0" w:color="000000"/>
            </w:tcBorders>
            <w:noWrap/>
            <w:vAlign w:val="bottom"/>
          </w:tcPr>
          <w:p w:rsidR="00662946" w:rsidRDefault="00662946">
            <w:pPr>
              <w:spacing w:after="120"/>
              <w:jc w:val="both"/>
              <w:rPr>
                <w:rFonts w:hint="cs"/>
                <w:b/>
                <w:bCs/>
                <w:sz w:val="30"/>
              </w:rPr>
            </w:pPr>
            <w:r>
              <w:rPr>
                <w:rFonts w:hint="cs"/>
                <w:b/>
                <w:bCs/>
                <w:sz w:val="30"/>
                <w:rtl/>
              </w:rPr>
              <w:t>753 1</w:t>
            </w:r>
          </w:p>
        </w:tc>
      </w:tr>
      <w:tr w:rsidR="00662946">
        <w:trPr>
          <w:trHeight w:val="270"/>
          <w:jc w:val="center"/>
        </w:trPr>
        <w:tc>
          <w:tcPr>
            <w:tcW w:w="2631"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5 فأكثر</w:t>
            </w:r>
          </w:p>
        </w:tc>
        <w:tc>
          <w:tcPr>
            <w:tcW w:w="107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30"/>
              </w:rPr>
            </w:pPr>
            <w:r>
              <w:rPr>
                <w:sz w:val="30"/>
                <w:rtl/>
              </w:rPr>
              <w:t>81</w:t>
            </w:r>
          </w:p>
        </w:tc>
        <w:tc>
          <w:tcPr>
            <w:tcW w:w="99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30"/>
              </w:rPr>
            </w:pPr>
            <w:r>
              <w:rPr>
                <w:sz w:val="30"/>
                <w:rtl/>
              </w:rPr>
              <w:t>59</w:t>
            </w:r>
          </w:p>
        </w:tc>
        <w:tc>
          <w:tcPr>
            <w:tcW w:w="1058" w:type="dxa"/>
            <w:tcBorders>
              <w:top w:val="single" w:sz="4" w:space="0" w:color="auto"/>
              <w:left w:val="nil"/>
              <w:bottom w:val="single" w:sz="4" w:space="0" w:color="auto"/>
              <w:right w:val="single" w:sz="8" w:space="0" w:color="000000"/>
            </w:tcBorders>
            <w:noWrap/>
            <w:vAlign w:val="bottom"/>
          </w:tcPr>
          <w:p w:rsidR="00662946" w:rsidRDefault="00662946">
            <w:pPr>
              <w:spacing w:after="120"/>
              <w:jc w:val="both"/>
              <w:rPr>
                <w:b/>
                <w:bCs/>
                <w:sz w:val="30"/>
              </w:rPr>
            </w:pPr>
            <w:r>
              <w:rPr>
                <w:b/>
                <w:bCs/>
                <w:sz w:val="30"/>
                <w:rtl/>
              </w:rPr>
              <w:t>140</w:t>
            </w:r>
          </w:p>
        </w:tc>
      </w:tr>
      <w:tr w:rsidR="00662946">
        <w:trPr>
          <w:trHeight w:val="270"/>
          <w:jc w:val="center"/>
        </w:trPr>
        <w:tc>
          <w:tcPr>
            <w:tcW w:w="2631" w:type="dxa"/>
            <w:tcBorders>
              <w:top w:val="single" w:sz="4" w:space="0" w:color="auto"/>
              <w:left w:val="single" w:sz="8" w:space="0" w:color="auto"/>
              <w:bottom w:val="single" w:sz="8"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المجموع</w:t>
            </w:r>
          </w:p>
        </w:tc>
        <w:tc>
          <w:tcPr>
            <w:tcW w:w="1072" w:type="dxa"/>
            <w:tcBorders>
              <w:top w:val="single" w:sz="4" w:space="0" w:color="auto"/>
              <w:left w:val="nil"/>
              <w:bottom w:val="single" w:sz="8"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143 2</w:t>
            </w:r>
          </w:p>
        </w:tc>
        <w:tc>
          <w:tcPr>
            <w:tcW w:w="999" w:type="dxa"/>
            <w:tcBorders>
              <w:top w:val="single" w:sz="4" w:space="0" w:color="auto"/>
              <w:left w:val="nil"/>
              <w:bottom w:val="single" w:sz="8" w:space="0" w:color="auto"/>
              <w:right w:val="single" w:sz="4" w:space="0" w:color="auto"/>
            </w:tcBorders>
            <w:noWrap/>
            <w:vAlign w:val="bottom"/>
          </w:tcPr>
          <w:p w:rsidR="00662946" w:rsidRDefault="00662946">
            <w:pPr>
              <w:spacing w:after="120"/>
              <w:jc w:val="both"/>
              <w:rPr>
                <w:rFonts w:hint="cs"/>
                <w:b/>
                <w:bCs/>
                <w:sz w:val="30"/>
              </w:rPr>
            </w:pPr>
            <w:r>
              <w:rPr>
                <w:b/>
                <w:bCs/>
                <w:sz w:val="30"/>
                <w:rtl/>
              </w:rPr>
              <w:t>058</w:t>
            </w:r>
            <w:r>
              <w:rPr>
                <w:rFonts w:hint="cs"/>
                <w:b/>
                <w:bCs/>
                <w:sz w:val="30"/>
                <w:rtl/>
              </w:rPr>
              <w:t xml:space="preserve"> 2</w:t>
            </w:r>
          </w:p>
        </w:tc>
        <w:tc>
          <w:tcPr>
            <w:tcW w:w="1058" w:type="dxa"/>
            <w:tcBorders>
              <w:top w:val="single" w:sz="4" w:space="0" w:color="auto"/>
              <w:left w:val="nil"/>
              <w:bottom w:val="single" w:sz="8" w:space="0" w:color="auto"/>
              <w:right w:val="single" w:sz="8" w:space="0" w:color="000000"/>
            </w:tcBorders>
            <w:noWrap/>
            <w:vAlign w:val="bottom"/>
          </w:tcPr>
          <w:p w:rsidR="00662946" w:rsidRDefault="00662946">
            <w:pPr>
              <w:spacing w:after="120"/>
              <w:jc w:val="both"/>
              <w:rPr>
                <w:rFonts w:hint="cs"/>
                <w:b/>
                <w:bCs/>
                <w:sz w:val="30"/>
              </w:rPr>
            </w:pPr>
            <w:r>
              <w:rPr>
                <w:rFonts w:hint="cs"/>
                <w:b/>
                <w:bCs/>
                <w:sz w:val="30"/>
                <w:rtl/>
              </w:rPr>
              <w:t>201 4</w:t>
            </w:r>
          </w:p>
        </w:tc>
      </w:tr>
    </w:tbl>
    <w:p w:rsidR="00662946" w:rsidRDefault="00662946">
      <w:pPr>
        <w:pStyle w:val="SingleTxt"/>
        <w:ind w:left="1264" w:right="1264"/>
        <w:jc w:val="both"/>
        <w:rPr>
          <w:rFonts w:hint="cs"/>
          <w:rtl/>
          <w:lang w:bidi="ar-EG"/>
        </w:rPr>
      </w:pPr>
    </w:p>
    <w:tbl>
      <w:tblPr>
        <w:bidiVisual/>
        <w:tblW w:w="7570" w:type="dxa"/>
        <w:jc w:val="center"/>
        <w:tblLook w:val="0000" w:firstRow="0" w:lastRow="0" w:firstColumn="0" w:lastColumn="0" w:noHBand="0" w:noVBand="0"/>
      </w:tblPr>
      <w:tblGrid>
        <w:gridCol w:w="1861"/>
        <w:gridCol w:w="1525"/>
        <w:gridCol w:w="2028"/>
        <w:gridCol w:w="2156"/>
      </w:tblGrid>
      <w:tr w:rsidR="00662946">
        <w:trPr>
          <w:trHeight w:val="552"/>
          <w:jc w:val="center"/>
        </w:trPr>
        <w:tc>
          <w:tcPr>
            <w:tcW w:w="7570" w:type="dxa"/>
            <w:gridSpan w:val="4"/>
            <w:tcBorders>
              <w:top w:val="single" w:sz="8" w:space="0" w:color="auto"/>
              <w:left w:val="single" w:sz="8" w:space="0" w:color="auto"/>
              <w:bottom w:val="single" w:sz="8" w:space="0" w:color="auto"/>
              <w:right w:val="single" w:sz="8" w:space="0" w:color="000000"/>
            </w:tcBorders>
            <w:vAlign w:val="bottom"/>
          </w:tcPr>
          <w:p w:rsidR="00662946" w:rsidRDefault="00662946">
            <w:pPr>
              <w:spacing w:after="120"/>
              <w:jc w:val="center"/>
              <w:rPr>
                <w:rFonts w:hint="cs"/>
                <w:b/>
                <w:bCs/>
                <w:sz w:val="30"/>
                <w:rtl/>
                <w:lang w:bidi="ar-EG"/>
              </w:rPr>
            </w:pPr>
            <w:r>
              <w:rPr>
                <w:rFonts w:hint="cs"/>
                <w:b/>
                <w:bCs/>
                <w:sz w:val="30"/>
                <w:rtl/>
                <w:lang w:bidi="ar-EG"/>
              </w:rPr>
              <w:t>الجدول 10-2 د: توزيع البنين والبنات المسجلين في المراكز قبل المدرسية بالنسبة المئوية حسب السن، 2001/2002</w:t>
            </w:r>
          </w:p>
        </w:tc>
      </w:tr>
      <w:tr w:rsidR="00662946">
        <w:trPr>
          <w:trHeight w:val="270"/>
          <w:jc w:val="center"/>
        </w:trPr>
        <w:tc>
          <w:tcPr>
            <w:tcW w:w="1861"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rFonts w:hint="cs"/>
                <w:b/>
                <w:bCs/>
                <w:sz w:val="30"/>
              </w:rPr>
            </w:pPr>
            <w:r>
              <w:rPr>
                <w:rFonts w:hint="cs"/>
                <w:b/>
                <w:bCs/>
                <w:sz w:val="30"/>
                <w:rtl/>
              </w:rPr>
              <w:t>السن بالسنين</w:t>
            </w:r>
          </w:p>
        </w:tc>
        <w:tc>
          <w:tcPr>
            <w:tcW w:w="1525"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rFonts w:hint="cs"/>
                <w:b/>
                <w:bCs/>
                <w:sz w:val="30"/>
              </w:rPr>
            </w:pPr>
            <w:r>
              <w:rPr>
                <w:rFonts w:hint="cs"/>
                <w:b/>
                <w:bCs/>
                <w:sz w:val="30"/>
                <w:rtl/>
              </w:rPr>
              <w:t>عدد المسجلين</w:t>
            </w:r>
          </w:p>
        </w:tc>
        <w:tc>
          <w:tcPr>
            <w:tcW w:w="2028" w:type="dxa"/>
            <w:tcBorders>
              <w:top w:val="single" w:sz="8" w:space="0" w:color="auto"/>
              <w:left w:val="single" w:sz="8" w:space="0" w:color="auto"/>
              <w:bottom w:val="single" w:sz="8" w:space="0" w:color="auto"/>
              <w:right w:val="single" w:sz="8" w:space="0" w:color="000000"/>
            </w:tcBorders>
            <w:noWrap/>
            <w:vAlign w:val="bottom"/>
          </w:tcPr>
          <w:p w:rsidR="00662946" w:rsidRDefault="00662946">
            <w:pPr>
              <w:spacing w:after="120"/>
              <w:jc w:val="both"/>
              <w:rPr>
                <w:rFonts w:hint="cs"/>
                <w:b/>
                <w:bCs/>
                <w:sz w:val="30"/>
              </w:rPr>
            </w:pPr>
            <w:r>
              <w:rPr>
                <w:rFonts w:hint="cs"/>
                <w:b/>
                <w:bCs/>
                <w:sz w:val="30"/>
                <w:rtl/>
              </w:rPr>
              <w:t>النسبة المئوية للبنين</w:t>
            </w:r>
          </w:p>
        </w:tc>
        <w:tc>
          <w:tcPr>
            <w:tcW w:w="2156" w:type="dxa"/>
            <w:tcBorders>
              <w:top w:val="single" w:sz="8" w:space="0" w:color="auto"/>
              <w:left w:val="nil"/>
              <w:bottom w:val="single" w:sz="8" w:space="0" w:color="auto"/>
              <w:right w:val="single" w:sz="8" w:space="0" w:color="000000"/>
            </w:tcBorders>
            <w:noWrap/>
            <w:vAlign w:val="bottom"/>
          </w:tcPr>
          <w:p w:rsidR="00662946" w:rsidRDefault="00662946">
            <w:pPr>
              <w:spacing w:after="120"/>
              <w:jc w:val="both"/>
              <w:rPr>
                <w:rFonts w:hint="cs"/>
                <w:b/>
                <w:bCs/>
                <w:sz w:val="30"/>
              </w:rPr>
            </w:pPr>
            <w:r>
              <w:rPr>
                <w:rFonts w:hint="cs"/>
                <w:b/>
                <w:bCs/>
                <w:sz w:val="30"/>
                <w:rtl/>
              </w:rPr>
              <w:t>النسبة المئوية للفتيات</w:t>
            </w:r>
          </w:p>
        </w:tc>
      </w:tr>
      <w:tr w:rsidR="00662946">
        <w:trPr>
          <w:trHeight w:val="255"/>
          <w:jc w:val="center"/>
        </w:trPr>
        <w:tc>
          <w:tcPr>
            <w:tcW w:w="1861"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30"/>
              </w:rPr>
            </w:pPr>
            <w:r>
              <w:rPr>
                <w:sz w:val="30"/>
                <w:rtl/>
              </w:rPr>
              <w:t>0</w:t>
            </w:r>
            <w:r>
              <w:rPr>
                <w:sz w:val="30"/>
              </w:rPr>
              <w:t xml:space="preserve"> – </w:t>
            </w:r>
            <w:r>
              <w:rPr>
                <w:sz w:val="30"/>
                <w:rtl/>
              </w:rPr>
              <w:t>2</w:t>
            </w:r>
          </w:p>
        </w:tc>
        <w:tc>
          <w:tcPr>
            <w:tcW w:w="1525"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30"/>
              </w:rPr>
            </w:pPr>
            <w:r>
              <w:rPr>
                <w:sz w:val="30"/>
                <w:rtl/>
              </w:rPr>
              <w:t>196</w:t>
            </w:r>
          </w:p>
        </w:tc>
        <w:tc>
          <w:tcPr>
            <w:tcW w:w="2028" w:type="dxa"/>
            <w:tcBorders>
              <w:top w:val="single" w:sz="8" w:space="0" w:color="auto"/>
              <w:left w:val="single" w:sz="8" w:space="0" w:color="auto"/>
              <w:bottom w:val="single" w:sz="8" w:space="0" w:color="auto"/>
              <w:right w:val="single" w:sz="4" w:space="0" w:color="auto"/>
            </w:tcBorders>
            <w:noWrap/>
            <w:vAlign w:val="bottom"/>
          </w:tcPr>
          <w:p w:rsidR="00662946" w:rsidRDefault="00662946">
            <w:pPr>
              <w:spacing w:after="120"/>
              <w:jc w:val="both"/>
              <w:rPr>
                <w:b/>
                <w:bCs/>
                <w:sz w:val="30"/>
              </w:rPr>
            </w:pPr>
            <w:r>
              <w:rPr>
                <w:b/>
                <w:bCs/>
                <w:sz w:val="30"/>
                <w:rtl/>
              </w:rPr>
              <w:t>47</w:t>
            </w:r>
          </w:p>
        </w:tc>
        <w:tc>
          <w:tcPr>
            <w:tcW w:w="2156" w:type="dxa"/>
            <w:tcBorders>
              <w:top w:val="single" w:sz="8" w:space="0" w:color="auto"/>
              <w:left w:val="single" w:sz="8" w:space="0" w:color="auto"/>
              <w:bottom w:val="single" w:sz="8" w:space="0" w:color="auto"/>
              <w:right w:val="single" w:sz="8" w:space="0" w:color="000000"/>
            </w:tcBorders>
            <w:noWrap/>
            <w:vAlign w:val="bottom"/>
          </w:tcPr>
          <w:p w:rsidR="00662946" w:rsidRDefault="00662946">
            <w:pPr>
              <w:spacing w:after="120"/>
              <w:jc w:val="both"/>
              <w:rPr>
                <w:b/>
                <w:bCs/>
                <w:sz w:val="30"/>
              </w:rPr>
            </w:pPr>
            <w:r>
              <w:rPr>
                <w:b/>
                <w:bCs/>
                <w:sz w:val="30"/>
                <w:rtl/>
              </w:rPr>
              <w:t>53</w:t>
            </w:r>
          </w:p>
        </w:tc>
      </w:tr>
      <w:tr w:rsidR="00662946">
        <w:trPr>
          <w:trHeight w:val="255"/>
          <w:jc w:val="center"/>
        </w:trPr>
        <w:tc>
          <w:tcPr>
            <w:tcW w:w="1861"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rFonts w:hint="cs"/>
                <w:sz w:val="30"/>
                <w:rtl/>
                <w:lang w:bidi="ar-EG"/>
              </w:rPr>
            </w:pPr>
            <w:r>
              <w:rPr>
                <w:sz w:val="30"/>
                <w:rtl/>
              </w:rPr>
              <w:t>2</w:t>
            </w:r>
          </w:p>
        </w:tc>
        <w:tc>
          <w:tcPr>
            <w:tcW w:w="1525"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30"/>
              </w:rPr>
            </w:pPr>
            <w:r>
              <w:rPr>
                <w:sz w:val="30"/>
                <w:rtl/>
              </w:rPr>
              <w:t>663</w:t>
            </w:r>
          </w:p>
        </w:tc>
        <w:tc>
          <w:tcPr>
            <w:tcW w:w="2028" w:type="dxa"/>
            <w:tcBorders>
              <w:top w:val="single" w:sz="8" w:space="0" w:color="auto"/>
              <w:left w:val="single" w:sz="8" w:space="0" w:color="auto"/>
              <w:bottom w:val="single" w:sz="8" w:space="0" w:color="auto"/>
              <w:right w:val="single" w:sz="4" w:space="0" w:color="auto"/>
            </w:tcBorders>
            <w:noWrap/>
            <w:vAlign w:val="bottom"/>
          </w:tcPr>
          <w:p w:rsidR="00662946" w:rsidRDefault="00662946">
            <w:pPr>
              <w:spacing w:after="120"/>
              <w:jc w:val="both"/>
              <w:rPr>
                <w:b/>
                <w:bCs/>
                <w:sz w:val="30"/>
              </w:rPr>
            </w:pPr>
            <w:r>
              <w:rPr>
                <w:b/>
                <w:bCs/>
                <w:sz w:val="30"/>
                <w:rtl/>
              </w:rPr>
              <w:t>52</w:t>
            </w:r>
          </w:p>
        </w:tc>
        <w:tc>
          <w:tcPr>
            <w:tcW w:w="2156" w:type="dxa"/>
            <w:tcBorders>
              <w:top w:val="single" w:sz="8" w:space="0" w:color="auto"/>
              <w:left w:val="single" w:sz="8" w:space="0" w:color="auto"/>
              <w:bottom w:val="single" w:sz="8" w:space="0" w:color="auto"/>
              <w:right w:val="single" w:sz="8" w:space="0" w:color="000000"/>
            </w:tcBorders>
            <w:noWrap/>
            <w:vAlign w:val="bottom"/>
          </w:tcPr>
          <w:p w:rsidR="00662946" w:rsidRDefault="00662946">
            <w:pPr>
              <w:spacing w:after="120"/>
              <w:jc w:val="both"/>
              <w:rPr>
                <w:b/>
                <w:bCs/>
                <w:sz w:val="30"/>
              </w:rPr>
            </w:pPr>
            <w:r>
              <w:rPr>
                <w:b/>
                <w:bCs/>
                <w:sz w:val="30"/>
                <w:rtl/>
              </w:rPr>
              <w:t>48</w:t>
            </w:r>
          </w:p>
        </w:tc>
      </w:tr>
      <w:tr w:rsidR="00662946">
        <w:trPr>
          <w:trHeight w:val="255"/>
          <w:jc w:val="center"/>
        </w:trPr>
        <w:tc>
          <w:tcPr>
            <w:tcW w:w="1861"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30"/>
              </w:rPr>
            </w:pPr>
            <w:r>
              <w:rPr>
                <w:sz w:val="30"/>
                <w:rtl/>
              </w:rPr>
              <w:t>3</w:t>
            </w:r>
          </w:p>
        </w:tc>
        <w:tc>
          <w:tcPr>
            <w:tcW w:w="1525"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rFonts w:hint="cs"/>
                <w:sz w:val="30"/>
              </w:rPr>
            </w:pPr>
            <w:r>
              <w:rPr>
                <w:sz w:val="30"/>
                <w:rtl/>
              </w:rPr>
              <w:t>449</w:t>
            </w:r>
            <w:r>
              <w:rPr>
                <w:rFonts w:hint="cs"/>
                <w:sz w:val="30"/>
                <w:rtl/>
              </w:rPr>
              <w:t xml:space="preserve"> 1</w:t>
            </w:r>
          </w:p>
        </w:tc>
        <w:tc>
          <w:tcPr>
            <w:tcW w:w="2028" w:type="dxa"/>
            <w:tcBorders>
              <w:top w:val="single" w:sz="8" w:space="0" w:color="auto"/>
              <w:left w:val="single" w:sz="8" w:space="0" w:color="auto"/>
              <w:bottom w:val="single" w:sz="8" w:space="0" w:color="auto"/>
              <w:right w:val="single" w:sz="4" w:space="0" w:color="auto"/>
            </w:tcBorders>
            <w:noWrap/>
            <w:vAlign w:val="bottom"/>
          </w:tcPr>
          <w:p w:rsidR="00662946" w:rsidRDefault="00662946">
            <w:pPr>
              <w:spacing w:after="120"/>
              <w:jc w:val="both"/>
              <w:rPr>
                <w:b/>
                <w:bCs/>
                <w:sz w:val="30"/>
              </w:rPr>
            </w:pPr>
            <w:r>
              <w:rPr>
                <w:b/>
                <w:bCs/>
                <w:sz w:val="30"/>
                <w:rtl/>
              </w:rPr>
              <w:t>49</w:t>
            </w:r>
          </w:p>
        </w:tc>
        <w:tc>
          <w:tcPr>
            <w:tcW w:w="2156" w:type="dxa"/>
            <w:tcBorders>
              <w:top w:val="single" w:sz="8" w:space="0" w:color="auto"/>
              <w:left w:val="single" w:sz="8" w:space="0" w:color="auto"/>
              <w:bottom w:val="single" w:sz="8" w:space="0" w:color="auto"/>
              <w:right w:val="single" w:sz="8" w:space="0" w:color="000000"/>
            </w:tcBorders>
            <w:noWrap/>
            <w:vAlign w:val="bottom"/>
          </w:tcPr>
          <w:p w:rsidR="00662946" w:rsidRDefault="00662946">
            <w:pPr>
              <w:spacing w:after="120"/>
              <w:jc w:val="both"/>
              <w:rPr>
                <w:b/>
                <w:bCs/>
                <w:sz w:val="30"/>
              </w:rPr>
            </w:pPr>
            <w:r>
              <w:rPr>
                <w:b/>
                <w:bCs/>
                <w:sz w:val="30"/>
                <w:rtl/>
              </w:rPr>
              <w:t>51</w:t>
            </w:r>
          </w:p>
        </w:tc>
      </w:tr>
      <w:tr w:rsidR="00662946">
        <w:trPr>
          <w:trHeight w:val="255"/>
          <w:jc w:val="center"/>
        </w:trPr>
        <w:tc>
          <w:tcPr>
            <w:tcW w:w="1861"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30"/>
              </w:rPr>
            </w:pPr>
            <w:r>
              <w:rPr>
                <w:sz w:val="30"/>
                <w:rtl/>
              </w:rPr>
              <w:t>4</w:t>
            </w:r>
          </w:p>
        </w:tc>
        <w:tc>
          <w:tcPr>
            <w:tcW w:w="1525"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rFonts w:hint="cs"/>
                <w:sz w:val="30"/>
              </w:rPr>
            </w:pPr>
            <w:r>
              <w:rPr>
                <w:sz w:val="30"/>
                <w:rtl/>
              </w:rPr>
              <w:t>753</w:t>
            </w:r>
            <w:r>
              <w:rPr>
                <w:rFonts w:hint="cs"/>
                <w:sz w:val="30"/>
                <w:rtl/>
              </w:rPr>
              <w:t xml:space="preserve"> 1</w:t>
            </w:r>
          </w:p>
        </w:tc>
        <w:tc>
          <w:tcPr>
            <w:tcW w:w="2028" w:type="dxa"/>
            <w:tcBorders>
              <w:top w:val="single" w:sz="8" w:space="0" w:color="auto"/>
              <w:left w:val="single" w:sz="8" w:space="0" w:color="auto"/>
              <w:bottom w:val="single" w:sz="8" w:space="0" w:color="auto"/>
              <w:right w:val="single" w:sz="4" w:space="0" w:color="auto"/>
            </w:tcBorders>
            <w:noWrap/>
            <w:vAlign w:val="bottom"/>
          </w:tcPr>
          <w:p w:rsidR="00662946" w:rsidRDefault="00662946">
            <w:pPr>
              <w:spacing w:after="120"/>
              <w:jc w:val="both"/>
              <w:rPr>
                <w:b/>
                <w:bCs/>
                <w:sz w:val="30"/>
              </w:rPr>
            </w:pPr>
            <w:r>
              <w:rPr>
                <w:b/>
                <w:bCs/>
                <w:sz w:val="30"/>
                <w:rtl/>
              </w:rPr>
              <w:t>52</w:t>
            </w:r>
          </w:p>
        </w:tc>
        <w:tc>
          <w:tcPr>
            <w:tcW w:w="2156" w:type="dxa"/>
            <w:tcBorders>
              <w:top w:val="single" w:sz="8" w:space="0" w:color="auto"/>
              <w:left w:val="single" w:sz="8" w:space="0" w:color="auto"/>
              <w:bottom w:val="single" w:sz="8" w:space="0" w:color="auto"/>
              <w:right w:val="single" w:sz="8" w:space="0" w:color="000000"/>
            </w:tcBorders>
            <w:noWrap/>
            <w:vAlign w:val="bottom"/>
          </w:tcPr>
          <w:p w:rsidR="00662946" w:rsidRDefault="00662946">
            <w:pPr>
              <w:spacing w:after="120"/>
              <w:jc w:val="both"/>
              <w:rPr>
                <w:b/>
                <w:bCs/>
                <w:sz w:val="30"/>
              </w:rPr>
            </w:pPr>
            <w:r>
              <w:rPr>
                <w:b/>
                <w:bCs/>
                <w:sz w:val="30"/>
                <w:rtl/>
              </w:rPr>
              <w:t>48</w:t>
            </w:r>
          </w:p>
        </w:tc>
      </w:tr>
      <w:tr w:rsidR="00662946">
        <w:trPr>
          <w:trHeight w:val="270"/>
          <w:jc w:val="center"/>
        </w:trPr>
        <w:tc>
          <w:tcPr>
            <w:tcW w:w="1861"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rFonts w:hint="cs"/>
                <w:sz w:val="30"/>
              </w:rPr>
            </w:pPr>
            <w:r>
              <w:rPr>
                <w:rFonts w:hint="cs"/>
                <w:sz w:val="30"/>
                <w:rtl/>
              </w:rPr>
              <w:t>5 فأكثر</w:t>
            </w:r>
          </w:p>
        </w:tc>
        <w:tc>
          <w:tcPr>
            <w:tcW w:w="1525"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 w:val="30"/>
              </w:rPr>
            </w:pPr>
            <w:r>
              <w:rPr>
                <w:sz w:val="30"/>
                <w:rtl/>
              </w:rPr>
              <w:t>140</w:t>
            </w:r>
          </w:p>
        </w:tc>
        <w:tc>
          <w:tcPr>
            <w:tcW w:w="2028" w:type="dxa"/>
            <w:tcBorders>
              <w:top w:val="single" w:sz="8" w:space="0" w:color="auto"/>
              <w:left w:val="single" w:sz="8" w:space="0" w:color="auto"/>
              <w:bottom w:val="single" w:sz="8" w:space="0" w:color="auto"/>
              <w:right w:val="single" w:sz="4" w:space="0" w:color="auto"/>
            </w:tcBorders>
            <w:noWrap/>
            <w:vAlign w:val="bottom"/>
          </w:tcPr>
          <w:p w:rsidR="00662946" w:rsidRDefault="00662946">
            <w:pPr>
              <w:spacing w:after="120"/>
              <w:jc w:val="both"/>
              <w:rPr>
                <w:b/>
                <w:bCs/>
                <w:sz w:val="30"/>
              </w:rPr>
            </w:pPr>
            <w:r>
              <w:rPr>
                <w:b/>
                <w:bCs/>
                <w:sz w:val="30"/>
                <w:rtl/>
              </w:rPr>
              <w:t>58</w:t>
            </w:r>
          </w:p>
        </w:tc>
        <w:tc>
          <w:tcPr>
            <w:tcW w:w="2156" w:type="dxa"/>
            <w:tcBorders>
              <w:top w:val="single" w:sz="8" w:space="0" w:color="auto"/>
              <w:left w:val="single" w:sz="8" w:space="0" w:color="auto"/>
              <w:bottom w:val="single" w:sz="8" w:space="0" w:color="auto"/>
              <w:right w:val="single" w:sz="8" w:space="0" w:color="000000"/>
            </w:tcBorders>
            <w:noWrap/>
            <w:vAlign w:val="bottom"/>
          </w:tcPr>
          <w:p w:rsidR="00662946" w:rsidRDefault="00662946">
            <w:pPr>
              <w:spacing w:after="120"/>
              <w:jc w:val="both"/>
              <w:rPr>
                <w:b/>
                <w:bCs/>
                <w:sz w:val="30"/>
              </w:rPr>
            </w:pPr>
            <w:r>
              <w:rPr>
                <w:b/>
                <w:bCs/>
                <w:sz w:val="30"/>
                <w:rtl/>
              </w:rPr>
              <w:t>42</w:t>
            </w:r>
          </w:p>
        </w:tc>
      </w:tr>
      <w:tr w:rsidR="00662946">
        <w:trPr>
          <w:trHeight w:val="270"/>
          <w:jc w:val="center"/>
        </w:trPr>
        <w:tc>
          <w:tcPr>
            <w:tcW w:w="1861"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rFonts w:hint="cs"/>
                <w:b/>
                <w:bCs/>
                <w:sz w:val="30"/>
              </w:rPr>
            </w:pPr>
            <w:r>
              <w:rPr>
                <w:rFonts w:hint="cs"/>
                <w:b/>
                <w:bCs/>
                <w:sz w:val="30"/>
                <w:rtl/>
              </w:rPr>
              <w:t>المجموع</w:t>
            </w:r>
          </w:p>
        </w:tc>
        <w:tc>
          <w:tcPr>
            <w:tcW w:w="1525"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rFonts w:hint="cs"/>
                <w:b/>
                <w:bCs/>
                <w:sz w:val="30"/>
              </w:rPr>
            </w:pPr>
            <w:r>
              <w:rPr>
                <w:b/>
                <w:bCs/>
                <w:sz w:val="30"/>
                <w:rtl/>
              </w:rPr>
              <w:t>201</w:t>
            </w:r>
            <w:r>
              <w:rPr>
                <w:rFonts w:hint="cs"/>
                <w:b/>
                <w:bCs/>
                <w:sz w:val="30"/>
                <w:rtl/>
              </w:rPr>
              <w:t xml:space="preserve"> 4</w:t>
            </w:r>
          </w:p>
        </w:tc>
        <w:tc>
          <w:tcPr>
            <w:tcW w:w="2028" w:type="dxa"/>
            <w:tcBorders>
              <w:top w:val="single" w:sz="8" w:space="0" w:color="auto"/>
              <w:left w:val="single" w:sz="8" w:space="0" w:color="auto"/>
              <w:bottom w:val="single" w:sz="8" w:space="0" w:color="auto"/>
              <w:right w:val="single" w:sz="8" w:space="0" w:color="000000"/>
            </w:tcBorders>
            <w:noWrap/>
            <w:vAlign w:val="bottom"/>
          </w:tcPr>
          <w:p w:rsidR="00662946" w:rsidRDefault="00662946">
            <w:pPr>
              <w:spacing w:after="120"/>
              <w:jc w:val="both"/>
              <w:rPr>
                <w:b/>
                <w:bCs/>
                <w:sz w:val="30"/>
              </w:rPr>
            </w:pPr>
            <w:r>
              <w:rPr>
                <w:b/>
                <w:bCs/>
                <w:sz w:val="30"/>
                <w:rtl/>
              </w:rPr>
              <w:t>51</w:t>
            </w:r>
          </w:p>
        </w:tc>
        <w:tc>
          <w:tcPr>
            <w:tcW w:w="2156" w:type="dxa"/>
            <w:tcBorders>
              <w:top w:val="single" w:sz="8" w:space="0" w:color="auto"/>
              <w:left w:val="nil"/>
              <w:bottom w:val="single" w:sz="8" w:space="0" w:color="auto"/>
              <w:right w:val="single" w:sz="8" w:space="0" w:color="000000"/>
            </w:tcBorders>
            <w:noWrap/>
            <w:vAlign w:val="bottom"/>
          </w:tcPr>
          <w:p w:rsidR="00662946" w:rsidRDefault="00662946">
            <w:pPr>
              <w:spacing w:after="120"/>
              <w:jc w:val="both"/>
              <w:rPr>
                <w:b/>
                <w:bCs/>
                <w:sz w:val="30"/>
              </w:rPr>
            </w:pPr>
            <w:r>
              <w:rPr>
                <w:b/>
                <w:bCs/>
                <w:sz w:val="30"/>
                <w:rtl/>
              </w:rPr>
              <w:t>49</w:t>
            </w:r>
          </w:p>
        </w:tc>
      </w:tr>
    </w:tbl>
    <w:p w:rsidR="00662946" w:rsidRDefault="00662946">
      <w:pPr>
        <w:pStyle w:val="SingleTxt"/>
        <w:ind w:left="1264" w:right="1264"/>
        <w:jc w:val="both"/>
        <w:rPr>
          <w:rFonts w:hint="cs"/>
        </w:rPr>
      </w:pPr>
    </w:p>
    <w:p w:rsidR="00662946" w:rsidRDefault="00662946">
      <w:pPr>
        <w:pStyle w:val="SingleTxt"/>
        <w:ind w:left="1264" w:right="1264"/>
        <w:jc w:val="both"/>
        <w:rPr>
          <w:rFonts w:hint="cs"/>
          <w:rtl/>
          <w:lang w:bidi="ar-EG"/>
        </w:rPr>
      </w:pPr>
      <w:r>
        <w:rPr>
          <w:rFonts w:hint="cs"/>
          <w:b/>
          <w:bCs/>
          <w:rtl/>
          <w:lang w:bidi="ar-EG"/>
        </w:rPr>
        <w:t>المدارس الابتدائية</w:t>
      </w:r>
    </w:p>
    <w:tbl>
      <w:tblPr>
        <w:bidiVisual/>
        <w:tblW w:w="9550" w:type="dxa"/>
        <w:jc w:val="center"/>
        <w:tblLook w:val="0000" w:firstRow="0" w:lastRow="0" w:firstColumn="0" w:lastColumn="0" w:noHBand="0" w:noVBand="0"/>
      </w:tblPr>
      <w:tblGrid>
        <w:gridCol w:w="1270"/>
        <w:gridCol w:w="808"/>
        <w:gridCol w:w="927"/>
        <w:gridCol w:w="1030"/>
        <w:gridCol w:w="1442"/>
        <w:gridCol w:w="927"/>
        <w:gridCol w:w="1030"/>
        <w:gridCol w:w="1339"/>
        <w:gridCol w:w="777"/>
      </w:tblGrid>
      <w:tr w:rsidR="00662946">
        <w:trPr>
          <w:trHeight w:val="552"/>
          <w:jc w:val="center"/>
        </w:trPr>
        <w:tc>
          <w:tcPr>
            <w:tcW w:w="9550" w:type="dxa"/>
            <w:gridSpan w:val="9"/>
            <w:tcBorders>
              <w:top w:val="single" w:sz="8" w:space="0" w:color="auto"/>
              <w:left w:val="single" w:sz="8" w:space="0" w:color="auto"/>
              <w:bottom w:val="single" w:sz="4" w:space="0" w:color="auto"/>
              <w:right w:val="single" w:sz="4" w:space="0" w:color="auto"/>
            </w:tcBorders>
            <w:vAlign w:val="bottom"/>
          </w:tcPr>
          <w:p w:rsidR="00662946" w:rsidRDefault="00662946">
            <w:pPr>
              <w:spacing w:after="120"/>
              <w:jc w:val="both"/>
              <w:rPr>
                <w:rFonts w:hint="cs"/>
                <w:bCs/>
                <w:sz w:val="24"/>
                <w:szCs w:val="24"/>
                <w:rtl/>
                <w:lang w:bidi="ar-EG"/>
              </w:rPr>
            </w:pPr>
            <w:r>
              <w:rPr>
                <w:rFonts w:hint="cs"/>
                <w:bCs/>
                <w:sz w:val="24"/>
                <w:szCs w:val="24"/>
                <w:rtl/>
                <w:lang w:bidi="ar-EG"/>
              </w:rPr>
              <w:t>الجدول 10-3: الحجم المتوسط ونسبة التلاميذ إلى المعلمين وعدد المعلمين في المدرسة الابتدائية الواحدة</w:t>
            </w:r>
          </w:p>
        </w:tc>
      </w:tr>
      <w:tr w:rsidR="00662946">
        <w:trPr>
          <w:trHeight w:val="552"/>
          <w:jc w:val="center"/>
        </w:trPr>
        <w:tc>
          <w:tcPr>
            <w:tcW w:w="1270" w:type="dxa"/>
            <w:tcBorders>
              <w:top w:val="single" w:sz="4" w:space="0" w:color="auto"/>
              <w:left w:val="single" w:sz="8" w:space="0" w:color="auto"/>
              <w:bottom w:val="single" w:sz="4" w:space="0" w:color="auto"/>
              <w:right w:val="single" w:sz="4" w:space="0" w:color="auto"/>
            </w:tcBorders>
            <w:vAlign w:val="bottom"/>
          </w:tcPr>
          <w:p w:rsidR="00662946" w:rsidRDefault="00662946">
            <w:pPr>
              <w:spacing w:after="120"/>
              <w:jc w:val="center"/>
              <w:rPr>
                <w:rFonts w:hint="cs"/>
                <w:b/>
                <w:bCs/>
                <w:sz w:val="24"/>
                <w:szCs w:val="24"/>
              </w:rPr>
            </w:pPr>
            <w:r>
              <w:rPr>
                <w:rFonts w:hint="cs"/>
                <w:b/>
                <w:bCs/>
                <w:sz w:val="24"/>
                <w:szCs w:val="24"/>
                <w:rtl/>
              </w:rPr>
              <w:t>السنة الدراسية</w:t>
            </w:r>
          </w:p>
        </w:tc>
        <w:tc>
          <w:tcPr>
            <w:tcW w:w="808" w:type="dxa"/>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center"/>
              <w:rPr>
                <w:rFonts w:hint="cs"/>
                <w:b/>
                <w:bCs/>
                <w:sz w:val="24"/>
                <w:szCs w:val="24"/>
              </w:rPr>
            </w:pPr>
            <w:r>
              <w:rPr>
                <w:rFonts w:hint="cs"/>
                <w:b/>
                <w:bCs/>
                <w:sz w:val="24"/>
                <w:szCs w:val="24"/>
                <w:rtl/>
              </w:rPr>
              <w:t>عدد المدارس</w:t>
            </w:r>
          </w:p>
        </w:tc>
        <w:tc>
          <w:tcPr>
            <w:tcW w:w="927" w:type="dxa"/>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center"/>
              <w:rPr>
                <w:rFonts w:hint="cs"/>
                <w:b/>
                <w:bCs/>
                <w:sz w:val="24"/>
                <w:szCs w:val="24"/>
              </w:rPr>
            </w:pPr>
            <w:r>
              <w:rPr>
                <w:rFonts w:hint="cs"/>
                <w:b/>
                <w:bCs/>
                <w:sz w:val="24"/>
                <w:szCs w:val="24"/>
                <w:rtl/>
              </w:rPr>
              <w:t>عدد المسجلين</w:t>
            </w:r>
          </w:p>
        </w:tc>
        <w:tc>
          <w:tcPr>
            <w:tcW w:w="1030" w:type="dxa"/>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center"/>
              <w:rPr>
                <w:rFonts w:hint="cs"/>
                <w:b/>
                <w:bCs/>
                <w:sz w:val="24"/>
                <w:szCs w:val="24"/>
              </w:rPr>
            </w:pPr>
            <w:r>
              <w:rPr>
                <w:rFonts w:hint="cs"/>
                <w:b/>
                <w:bCs/>
                <w:sz w:val="24"/>
                <w:szCs w:val="24"/>
                <w:rtl/>
              </w:rPr>
              <w:t>عدد المعلمين</w:t>
            </w:r>
          </w:p>
        </w:tc>
        <w:tc>
          <w:tcPr>
            <w:tcW w:w="1442" w:type="dxa"/>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center"/>
              <w:rPr>
                <w:rFonts w:hint="cs"/>
                <w:b/>
                <w:bCs/>
                <w:sz w:val="24"/>
                <w:szCs w:val="24"/>
              </w:rPr>
            </w:pPr>
            <w:r>
              <w:rPr>
                <w:rFonts w:hint="cs"/>
                <w:b/>
                <w:bCs/>
                <w:sz w:val="24"/>
                <w:szCs w:val="24"/>
                <w:rtl/>
              </w:rPr>
              <w:t>الإنفاق الكلي بملايين دولارات شرق الكاريبي</w:t>
            </w:r>
          </w:p>
        </w:tc>
        <w:tc>
          <w:tcPr>
            <w:tcW w:w="927" w:type="dxa"/>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center"/>
              <w:rPr>
                <w:rFonts w:hint="cs"/>
                <w:b/>
                <w:bCs/>
                <w:sz w:val="24"/>
                <w:szCs w:val="24"/>
              </w:rPr>
            </w:pPr>
            <w:r>
              <w:rPr>
                <w:rFonts w:hint="cs"/>
                <w:b/>
                <w:bCs/>
                <w:sz w:val="24"/>
                <w:szCs w:val="24"/>
                <w:rtl/>
              </w:rPr>
              <w:t>متوسط حجم المدرسة</w:t>
            </w:r>
          </w:p>
        </w:tc>
        <w:tc>
          <w:tcPr>
            <w:tcW w:w="1030" w:type="dxa"/>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center"/>
              <w:rPr>
                <w:rFonts w:hint="cs"/>
                <w:b/>
                <w:bCs/>
                <w:sz w:val="24"/>
                <w:szCs w:val="24"/>
              </w:rPr>
            </w:pPr>
            <w:r>
              <w:rPr>
                <w:rFonts w:hint="cs"/>
                <w:b/>
                <w:bCs/>
                <w:sz w:val="24"/>
                <w:szCs w:val="24"/>
                <w:rtl/>
              </w:rPr>
              <w:t>نسبة التلاميذ إلى المعلمين</w:t>
            </w:r>
          </w:p>
        </w:tc>
        <w:tc>
          <w:tcPr>
            <w:tcW w:w="1339" w:type="dxa"/>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center"/>
              <w:rPr>
                <w:rFonts w:hint="cs"/>
                <w:b/>
                <w:bCs/>
                <w:sz w:val="24"/>
                <w:szCs w:val="24"/>
              </w:rPr>
            </w:pPr>
            <w:r>
              <w:rPr>
                <w:rFonts w:hint="cs"/>
                <w:b/>
                <w:bCs/>
                <w:sz w:val="24"/>
                <w:szCs w:val="24"/>
                <w:rtl/>
              </w:rPr>
              <w:t>متوسط عدد المعلمين في المدرسة الواحدة</w:t>
            </w:r>
          </w:p>
        </w:tc>
        <w:tc>
          <w:tcPr>
            <w:tcW w:w="777" w:type="dxa"/>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center"/>
              <w:rPr>
                <w:rFonts w:hint="cs"/>
                <w:b/>
                <w:bCs/>
                <w:sz w:val="24"/>
                <w:szCs w:val="24"/>
              </w:rPr>
            </w:pPr>
            <w:r>
              <w:rPr>
                <w:rFonts w:hint="cs"/>
                <w:b/>
                <w:bCs/>
                <w:sz w:val="24"/>
                <w:szCs w:val="24"/>
                <w:rtl/>
              </w:rPr>
              <w:t>الإنفاق بالنسبة لكل تلميذ</w:t>
            </w:r>
          </w:p>
        </w:tc>
      </w:tr>
      <w:tr w:rsidR="00662946">
        <w:trPr>
          <w:trHeight w:val="255"/>
          <w:jc w:val="center"/>
        </w:trPr>
        <w:tc>
          <w:tcPr>
            <w:tcW w:w="1270"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1992</w:t>
            </w:r>
            <w:r>
              <w:rPr>
                <w:sz w:val="24"/>
                <w:szCs w:val="24"/>
              </w:rPr>
              <w:t>/</w:t>
            </w:r>
            <w:r>
              <w:rPr>
                <w:sz w:val="24"/>
                <w:szCs w:val="24"/>
                <w:rtl/>
              </w:rPr>
              <w:t>93</w:t>
            </w:r>
          </w:p>
        </w:tc>
        <w:tc>
          <w:tcPr>
            <w:tcW w:w="808"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85</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928</w:t>
            </w:r>
            <w:r>
              <w:rPr>
                <w:rFonts w:hint="cs"/>
                <w:sz w:val="24"/>
                <w:szCs w:val="24"/>
                <w:rtl/>
              </w:rPr>
              <w:t xml:space="preserve"> 31</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174</w:t>
            </w:r>
            <w:r>
              <w:rPr>
                <w:rFonts w:hint="cs"/>
                <w:sz w:val="24"/>
                <w:szCs w:val="24"/>
                <w:rtl/>
              </w:rPr>
              <w:t xml:space="preserve"> 1</w:t>
            </w:r>
          </w:p>
        </w:tc>
        <w:tc>
          <w:tcPr>
            <w:tcW w:w="144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rFonts w:hint="cs"/>
                <w:sz w:val="24"/>
                <w:szCs w:val="24"/>
                <w:rtl/>
              </w:rPr>
              <w:t>30.0</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376</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27</w:t>
            </w:r>
          </w:p>
        </w:tc>
        <w:tc>
          <w:tcPr>
            <w:tcW w:w="133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14</w:t>
            </w:r>
          </w:p>
        </w:tc>
        <w:tc>
          <w:tcPr>
            <w:tcW w:w="77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940</w:t>
            </w:r>
          </w:p>
        </w:tc>
      </w:tr>
      <w:tr w:rsidR="00662946">
        <w:trPr>
          <w:trHeight w:val="255"/>
          <w:jc w:val="center"/>
        </w:trPr>
        <w:tc>
          <w:tcPr>
            <w:tcW w:w="1270"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1993</w:t>
            </w:r>
            <w:r>
              <w:rPr>
                <w:sz w:val="24"/>
                <w:szCs w:val="24"/>
              </w:rPr>
              <w:t>/</w:t>
            </w:r>
            <w:r>
              <w:rPr>
                <w:sz w:val="24"/>
                <w:szCs w:val="24"/>
                <w:rtl/>
              </w:rPr>
              <w:t>94</w:t>
            </w:r>
          </w:p>
        </w:tc>
        <w:tc>
          <w:tcPr>
            <w:tcW w:w="808"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82</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486</w:t>
            </w:r>
            <w:r>
              <w:rPr>
                <w:rFonts w:hint="cs"/>
                <w:sz w:val="24"/>
                <w:szCs w:val="24"/>
                <w:rtl/>
              </w:rPr>
              <w:t xml:space="preserve"> 30</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142</w:t>
            </w:r>
            <w:r>
              <w:rPr>
                <w:rFonts w:hint="cs"/>
                <w:sz w:val="24"/>
                <w:szCs w:val="24"/>
                <w:rtl/>
              </w:rPr>
              <w:t xml:space="preserve"> 1</w:t>
            </w:r>
          </w:p>
        </w:tc>
        <w:tc>
          <w:tcPr>
            <w:tcW w:w="144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rFonts w:hint="cs"/>
                <w:sz w:val="24"/>
                <w:szCs w:val="24"/>
                <w:rtl/>
              </w:rPr>
              <w:t>31.7</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372</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27</w:t>
            </w:r>
          </w:p>
        </w:tc>
        <w:tc>
          <w:tcPr>
            <w:tcW w:w="133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14</w:t>
            </w:r>
          </w:p>
        </w:tc>
        <w:tc>
          <w:tcPr>
            <w:tcW w:w="77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1040</w:t>
            </w:r>
          </w:p>
        </w:tc>
      </w:tr>
      <w:tr w:rsidR="00662946">
        <w:trPr>
          <w:trHeight w:val="255"/>
          <w:jc w:val="center"/>
        </w:trPr>
        <w:tc>
          <w:tcPr>
            <w:tcW w:w="1270"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1994</w:t>
            </w:r>
            <w:r>
              <w:rPr>
                <w:sz w:val="24"/>
                <w:szCs w:val="24"/>
              </w:rPr>
              <w:t>/</w:t>
            </w:r>
            <w:r>
              <w:rPr>
                <w:sz w:val="24"/>
                <w:szCs w:val="24"/>
                <w:rtl/>
              </w:rPr>
              <w:t>95</w:t>
            </w:r>
          </w:p>
        </w:tc>
        <w:tc>
          <w:tcPr>
            <w:tcW w:w="808"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84</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194</w:t>
            </w:r>
            <w:r>
              <w:rPr>
                <w:rFonts w:hint="cs"/>
                <w:sz w:val="24"/>
                <w:szCs w:val="24"/>
                <w:rtl/>
              </w:rPr>
              <w:t xml:space="preserve"> 31</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180</w:t>
            </w:r>
            <w:r>
              <w:rPr>
                <w:rFonts w:hint="cs"/>
                <w:sz w:val="24"/>
                <w:szCs w:val="24"/>
                <w:rtl/>
              </w:rPr>
              <w:t xml:space="preserve"> 1</w:t>
            </w:r>
          </w:p>
        </w:tc>
        <w:tc>
          <w:tcPr>
            <w:tcW w:w="144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rFonts w:hint="cs"/>
                <w:sz w:val="24"/>
                <w:szCs w:val="24"/>
                <w:rtl/>
              </w:rPr>
              <w:t>35.1</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371</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26</w:t>
            </w:r>
          </w:p>
        </w:tc>
        <w:tc>
          <w:tcPr>
            <w:tcW w:w="133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14</w:t>
            </w:r>
          </w:p>
        </w:tc>
        <w:tc>
          <w:tcPr>
            <w:tcW w:w="77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1125</w:t>
            </w:r>
          </w:p>
        </w:tc>
      </w:tr>
      <w:tr w:rsidR="00662946">
        <w:trPr>
          <w:trHeight w:val="255"/>
          <w:jc w:val="center"/>
        </w:trPr>
        <w:tc>
          <w:tcPr>
            <w:tcW w:w="1270"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1995</w:t>
            </w:r>
            <w:r>
              <w:rPr>
                <w:sz w:val="24"/>
                <w:szCs w:val="24"/>
              </w:rPr>
              <w:t>/</w:t>
            </w:r>
            <w:r>
              <w:rPr>
                <w:sz w:val="24"/>
                <w:szCs w:val="24"/>
                <w:rtl/>
              </w:rPr>
              <w:t>96</w:t>
            </w:r>
          </w:p>
        </w:tc>
        <w:tc>
          <w:tcPr>
            <w:tcW w:w="808"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86</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372</w:t>
            </w:r>
            <w:r>
              <w:rPr>
                <w:rFonts w:hint="cs"/>
                <w:sz w:val="24"/>
                <w:szCs w:val="24"/>
                <w:rtl/>
              </w:rPr>
              <w:t xml:space="preserve"> 31</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139</w:t>
            </w:r>
            <w:r>
              <w:rPr>
                <w:rFonts w:hint="cs"/>
                <w:sz w:val="24"/>
                <w:szCs w:val="24"/>
                <w:rtl/>
              </w:rPr>
              <w:t xml:space="preserve"> 1</w:t>
            </w:r>
          </w:p>
        </w:tc>
        <w:tc>
          <w:tcPr>
            <w:tcW w:w="144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rFonts w:hint="cs"/>
                <w:sz w:val="24"/>
                <w:szCs w:val="24"/>
                <w:rtl/>
              </w:rPr>
              <w:t>37.8</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365</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28</w:t>
            </w:r>
          </w:p>
        </w:tc>
        <w:tc>
          <w:tcPr>
            <w:tcW w:w="133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13</w:t>
            </w:r>
          </w:p>
        </w:tc>
        <w:tc>
          <w:tcPr>
            <w:tcW w:w="77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1205</w:t>
            </w:r>
          </w:p>
        </w:tc>
      </w:tr>
      <w:tr w:rsidR="00662946">
        <w:trPr>
          <w:trHeight w:val="255"/>
          <w:jc w:val="center"/>
        </w:trPr>
        <w:tc>
          <w:tcPr>
            <w:tcW w:w="1270"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1996</w:t>
            </w:r>
            <w:r>
              <w:rPr>
                <w:sz w:val="24"/>
                <w:szCs w:val="24"/>
              </w:rPr>
              <w:t>/</w:t>
            </w:r>
            <w:r>
              <w:rPr>
                <w:sz w:val="24"/>
                <w:szCs w:val="24"/>
                <w:rtl/>
              </w:rPr>
              <w:t>97</w:t>
            </w:r>
          </w:p>
        </w:tc>
        <w:tc>
          <w:tcPr>
            <w:tcW w:w="808"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84</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548</w:t>
            </w:r>
            <w:r>
              <w:rPr>
                <w:rFonts w:hint="cs"/>
                <w:sz w:val="24"/>
                <w:szCs w:val="24"/>
                <w:rtl/>
              </w:rPr>
              <w:t xml:space="preserve"> 31</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175</w:t>
            </w:r>
            <w:r>
              <w:rPr>
                <w:rFonts w:hint="cs"/>
                <w:sz w:val="24"/>
                <w:szCs w:val="24"/>
                <w:rtl/>
              </w:rPr>
              <w:t xml:space="preserve"> 1</w:t>
            </w:r>
          </w:p>
        </w:tc>
        <w:tc>
          <w:tcPr>
            <w:tcW w:w="144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rFonts w:hint="cs"/>
                <w:sz w:val="24"/>
                <w:szCs w:val="24"/>
                <w:rtl/>
              </w:rPr>
              <w:t>37.3</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376</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27</w:t>
            </w:r>
          </w:p>
        </w:tc>
        <w:tc>
          <w:tcPr>
            <w:tcW w:w="133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14</w:t>
            </w:r>
          </w:p>
        </w:tc>
        <w:tc>
          <w:tcPr>
            <w:tcW w:w="77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1182</w:t>
            </w:r>
          </w:p>
        </w:tc>
      </w:tr>
      <w:tr w:rsidR="00662946">
        <w:trPr>
          <w:trHeight w:val="255"/>
          <w:jc w:val="center"/>
        </w:trPr>
        <w:tc>
          <w:tcPr>
            <w:tcW w:w="1270"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1997</w:t>
            </w:r>
            <w:r>
              <w:rPr>
                <w:sz w:val="24"/>
                <w:szCs w:val="24"/>
              </w:rPr>
              <w:t>/</w:t>
            </w:r>
            <w:r>
              <w:rPr>
                <w:sz w:val="24"/>
                <w:szCs w:val="24"/>
                <w:rtl/>
              </w:rPr>
              <w:t>98</w:t>
            </w:r>
          </w:p>
        </w:tc>
        <w:tc>
          <w:tcPr>
            <w:tcW w:w="808"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84</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437</w:t>
            </w:r>
            <w:r>
              <w:rPr>
                <w:rFonts w:hint="cs"/>
                <w:sz w:val="24"/>
                <w:szCs w:val="24"/>
                <w:rtl/>
              </w:rPr>
              <w:t xml:space="preserve"> 31</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168</w:t>
            </w:r>
            <w:r>
              <w:rPr>
                <w:rFonts w:hint="cs"/>
                <w:sz w:val="24"/>
                <w:szCs w:val="24"/>
                <w:rtl/>
              </w:rPr>
              <w:t xml:space="preserve"> 1</w:t>
            </w:r>
          </w:p>
        </w:tc>
        <w:tc>
          <w:tcPr>
            <w:tcW w:w="144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rFonts w:hint="cs"/>
                <w:sz w:val="24"/>
                <w:szCs w:val="24"/>
                <w:rtl/>
              </w:rPr>
              <w:t>38.2</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374</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27</w:t>
            </w:r>
          </w:p>
        </w:tc>
        <w:tc>
          <w:tcPr>
            <w:tcW w:w="133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14</w:t>
            </w:r>
          </w:p>
        </w:tc>
        <w:tc>
          <w:tcPr>
            <w:tcW w:w="77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1215</w:t>
            </w:r>
          </w:p>
        </w:tc>
      </w:tr>
      <w:tr w:rsidR="00662946">
        <w:trPr>
          <w:trHeight w:val="255"/>
          <w:jc w:val="center"/>
        </w:trPr>
        <w:tc>
          <w:tcPr>
            <w:tcW w:w="1270"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1998</w:t>
            </w:r>
            <w:r>
              <w:rPr>
                <w:sz w:val="24"/>
                <w:szCs w:val="24"/>
              </w:rPr>
              <w:t>/</w:t>
            </w:r>
            <w:r>
              <w:rPr>
                <w:sz w:val="24"/>
                <w:szCs w:val="24"/>
                <w:rtl/>
              </w:rPr>
              <w:t>99</w:t>
            </w:r>
          </w:p>
        </w:tc>
        <w:tc>
          <w:tcPr>
            <w:tcW w:w="808"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82</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631</w:t>
            </w:r>
            <w:r>
              <w:rPr>
                <w:rFonts w:hint="cs"/>
                <w:sz w:val="24"/>
                <w:szCs w:val="24"/>
                <w:rtl/>
              </w:rPr>
              <w:t xml:space="preserve"> 29</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135</w:t>
            </w:r>
            <w:r>
              <w:rPr>
                <w:rFonts w:hint="cs"/>
                <w:sz w:val="24"/>
                <w:szCs w:val="24"/>
                <w:rtl/>
              </w:rPr>
              <w:t xml:space="preserve"> 1</w:t>
            </w:r>
          </w:p>
        </w:tc>
        <w:tc>
          <w:tcPr>
            <w:tcW w:w="144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rFonts w:hint="cs"/>
                <w:sz w:val="24"/>
                <w:szCs w:val="24"/>
                <w:rtl/>
              </w:rPr>
              <w:t>38.4</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361</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26</w:t>
            </w:r>
          </w:p>
        </w:tc>
        <w:tc>
          <w:tcPr>
            <w:tcW w:w="133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14</w:t>
            </w:r>
          </w:p>
        </w:tc>
        <w:tc>
          <w:tcPr>
            <w:tcW w:w="77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1296</w:t>
            </w:r>
          </w:p>
        </w:tc>
      </w:tr>
      <w:tr w:rsidR="00662946">
        <w:trPr>
          <w:trHeight w:val="255"/>
          <w:jc w:val="center"/>
        </w:trPr>
        <w:tc>
          <w:tcPr>
            <w:tcW w:w="1270"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1999</w:t>
            </w:r>
            <w:r>
              <w:rPr>
                <w:sz w:val="24"/>
                <w:szCs w:val="24"/>
              </w:rPr>
              <w:t>/</w:t>
            </w:r>
            <w:r>
              <w:rPr>
                <w:sz w:val="24"/>
                <w:szCs w:val="24"/>
                <w:rtl/>
              </w:rPr>
              <w:t>00</w:t>
            </w:r>
          </w:p>
        </w:tc>
        <w:tc>
          <w:tcPr>
            <w:tcW w:w="808"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82</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975</w:t>
            </w:r>
            <w:r>
              <w:rPr>
                <w:rFonts w:hint="cs"/>
                <w:sz w:val="24"/>
                <w:szCs w:val="24"/>
                <w:rtl/>
              </w:rPr>
              <w:t xml:space="preserve"> 28</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081</w:t>
            </w:r>
            <w:r>
              <w:rPr>
                <w:rFonts w:hint="cs"/>
                <w:sz w:val="24"/>
                <w:szCs w:val="24"/>
                <w:rtl/>
              </w:rPr>
              <w:t xml:space="preserve"> 1</w:t>
            </w:r>
          </w:p>
        </w:tc>
        <w:tc>
          <w:tcPr>
            <w:tcW w:w="144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rFonts w:hint="cs"/>
                <w:sz w:val="24"/>
                <w:szCs w:val="24"/>
                <w:rtl/>
              </w:rPr>
              <w:t>39.7</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353</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27</w:t>
            </w:r>
          </w:p>
        </w:tc>
        <w:tc>
          <w:tcPr>
            <w:tcW w:w="133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13</w:t>
            </w:r>
          </w:p>
        </w:tc>
        <w:tc>
          <w:tcPr>
            <w:tcW w:w="77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1370</w:t>
            </w:r>
          </w:p>
        </w:tc>
      </w:tr>
      <w:tr w:rsidR="00662946">
        <w:trPr>
          <w:trHeight w:val="255"/>
          <w:jc w:val="center"/>
        </w:trPr>
        <w:tc>
          <w:tcPr>
            <w:tcW w:w="1270"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2000</w:t>
            </w:r>
            <w:r>
              <w:rPr>
                <w:sz w:val="24"/>
                <w:szCs w:val="24"/>
              </w:rPr>
              <w:t>/</w:t>
            </w:r>
            <w:r>
              <w:rPr>
                <w:sz w:val="24"/>
                <w:szCs w:val="24"/>
                <w:rtl/>
              </w:rPr>
              <w:t>01</w:t>
            </w:r>
          </w:p>
        </w:tc>
        <w:tc>
          <w:tcPr>
            <w:tcW w:w="808"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82</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618</w:t>
            </w:r>
            <w:r>
              <w:rPr>
                <w:rFonts w:hint="cs"/>
                <w:sz w:val="24"/>
                <w:szCs w:val="24"/>
                <w:rtl/>
              </w:rPr>
              <w:t xml:space="preserve"> 28</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052</w:t>
            </w:r>
            <w:r>
              <w:rPr>
                <w:rFonts w:hint="cs"/>
                <w:sz w:val="24"/>
                <w:szCs w:val="24"/>
                <w:rtl/>
              </w:rPr>
              <w:t xml:space="preserve"> 1</w:t>
            </w:r>
          </w:p>
        </w:tc>
        <w:tc>
          <w:tcPr>
            <w:tcW w:w="144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rFonts w:hint="cs"/>
                <w:sz w:val="24"/>
                <w:szCs w:val="24"/>
                <w:rtl/>
              </w:rPr>
              <w:t>43.8</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349</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27</w:t>
            </w:r>
          </w:p>
        </w:tc>
        <w:tc>
          <w:tcPr>
            <w:tcW w:w="133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13</w:t>
            </w:r>
          </w:p>
        </w:tc>
        <w:tc>
          <w:tcPr>
            <w:tcW w:w="77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1527</w:t>
            </w:r>
          </w:p>
        </w:tc>
      </w:tr>
      <w:tr w:rsidR="00662946">
        <w:trPr>
          <w:trHeight w:val="270"/>
          <w:jc w:val="center"/>
        </w:trPr>
        <w:tc>
          <w:tcPr>
            <w:tcW w:w="1270"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2001</w:t>
            </w:r>
            <w:r>
              <w:rPr>
                <w:sz w:val="24"/>
                <w:szCs w:val="24"/>
              </w:rPr>
              <w:t>/</w:t>
            </w:r>
            <w:r>
              <w:rPr>
                <w:sz w:val="24"/>
                <w:szCs w:val="24"/>
                <w:rtl/>
              </w:rPr>
              <w:t>02</w:t>
            </w:r>
          </w:p>
        </w:tc>
        <w:tc>
          <w:tcPr>
            <w:tcW w:w="808"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82</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955</w:t>
            </w:r>
            <w:r>
              <w:rPr>
                <w:rFonts w:hint="cs"/>
                <w:sz w:val="24"/>
                <w:szCs w:val="24"/>
                <w:rtl/>
              </w:rPr>
              <w:t xml:space="preserve"> 27</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062</w:t>
            </w:r>
            <w:r>
              <w:rPr>
                <w:rFonts w:hint="cs"/>
                <w:sz w:val="24"/>
                <w:szCs w:val="24"/>
                <w:rtl/>
              </w:rPr>
              <w:t xml:space="preserve"> 1</w:t>
            </w:r>
          </w:p>
        </w:tc>
        <w:tc>
          <w:tcPr>
            <w:tcW w:w="144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24"/>
                <w:szCs w:val="24"/>
              </w:rPr>
            </w:pPr>
            <w:r>
              <w:rPr>
                <w:rFonts w:hint="cs"/>
                <w:sz w:val="24"/>
                <w:szCs w:val="24"/>
                <w:rtl/>
              </w:rPr>
              <w:t>46.0</w:t>
            </w:r>
          </w:p>
        </w:tc>
        <w:tc>
          <w:tcPr>
            <w:tcW w:w="92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341</w:t>
            </w:r>
          </w:p>
        </w:tc>
        <w:tc>
          <w:tcPr>
            <w:tcW w:w="103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26</w:t>
            </w:r>
          </w:p>
        </w:tc>
        <w:tc>
          <w:tcPr>
            <w:tcW w:w="133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13</w:t>
            </w:r>
          </w:p>
        </w:tc>
        <w:tc>
          <w:tcPr>
            <w:tcW w:w="777"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sz w:val="24"/>
                <w:szCs w:val="24"/>
              </w:rPr>
            </w:pPr>
            <w:r>
              <w:rPr>
                <w:sz w:val="24"/>
                <w:szCs w:val="24"/>
                <w:rtl/>
              </w:rPr>
              <w:t>1644</w:t>
            </w:r>
          </w:p>
        </w:tc>
      </w:tr>
      <w:tr w:rsidR="00662946">
        <w:trPr>
          <w:trHeight w:val="270"/>
          <w:jc w:val="center"/>
        </w:trPr>
        <w:tc>
          <w:tcPr>
            <w:tcW w:w="9550" w:type="dxa"/>
            <w:gridSpan w:val="9"/>
            <w:tcBorders>
              <w:top w:val="single" w:sz="4" w:space="0" w:color="auto"/>
              <w:left w:val="single" w:sz="8" w:space="0" w:color="auto"/>
              <w:bottom w:val="single" w:sz="8" w:space="0" w:color="auto"/>
              <w:right w:val="single" w:sz="4" w:space="0" w:color="auto"/>
            </w:tcBorders>
            <w:noWrap/>
            <w:vAlign w:val="bottom"/>
          </w:tcPr>
          <w:p w:rsidR="00662946" w:rsidRDefault="00662946">
            <w:pPr>
              <w:spacing w:after="120"/>
              <w:jc w:val="both"/>
              <w:rPr>
                <w:rFonts w:hint="cs"/>
                <w:b/>
                <w:sz w:val="24"/>
                <w:szCs w:val="24"/>
              </w:rPr>
            </w:pPr>
            <w:r>
              <w:rPr>
                <w:rFonts w:hint="cs"/>
                <w:b/>
                <w:sz w:val="24"/>
                <w:szCs w:val="24"/>
                <w:rtl/>
              </w:rPr>
              <w:t>المصدر: الموجز الإحصائي التعليمي، 2002.</w:t>
            </w:r>
          </w:p>
        </w:tc>
      </w:tr>
    </w:tbl>
    <w:p w:rsidR="00662946" w:rsidRDefault="00662946">
      <w:pPr>
        <w:pStyle w:val="SingleTxt"/>
        <w:ind w:left="1264" w:right="1264"/>
        <w:jc w:val="both"/>
        <w:rPr>
          <w:rFonts w:hint="cs"/>
          <w:rtl/>
          <w:lang w:bidi="ar-EG"/>
        </w:rPr>
      </w:pPr>
    </w:p>
    <w:p w:rsidR="00662946" w:rsidRDefault="00662946">
      <w:pPr>
        <w:pStyle w:val="SingleTxt"/>
        <w:ind w:left="1264" w:right="1264"/>
        <w:jc w:val="both"/>
        <w:rPr>
          <w:rFonts w:hint="cs"/>
          <w:rtl/>
          <w:lang w:bidi="ar-EG"/>
        </w:rPr>
      </w:pPr>
      <w:r>
        <w:rPr>
          <w:rFonts w:hint="cs"/>
          <w:rtl/>
          <w:lang w:bidi="ar-EG"/>
        </w:rPr>
        <w:t>10-10</w:t>
      </w:r>
      <w:r>
        <w:rPr>
          <w:rFonts w:hint="cs"/>
          <w:rtl/>
          <w:lang w:bidi="ar-EG"/>
        </w:rPr>
        <w:tab/>
        <w:t>يتضمّن الجدول 10-3 التفاصيل العامة لنظم المدارس الابتدائية. وعلى مدى فترة العشر سنوات حدث تدهور في عدد المدارس الابتدائية من 85 إلى 82 وفي عدد التلاميذ المسجلين من 928 31 إلى 955 27. ويرجع هذا الانخفاض إلى سياسة إدماج المدارس المتقاربة.</w:t>
      </w:r>
    </w:p>
    <w:p w:rsidR="00662946" w:rsidRDefault="00662946">
      <w:pPr>
        <w:pStyle w:val="SingleTxt"/>
        <w:ind w:left="1264" w:right="1264"/>
        <w:jc w:val="both"/>
        <w:rPr>
          <w:rFonts w:hint="cs"/>
          <w:rtl/>
          <w:lang w:bidi="ar-EG"/>
        </w:rPr>
      </w:pPr>
      <w:r>
        <w:rPr>
          <w:rFonts w:hint="cs"/>
          <w:rtl/>
          <w:lang w:bidi="ar-EG"/>
        </w:rPr>
        <w:t>10-11</w:t>
      </w:r>
      <w:r>
        <w:rPr>
          <w:rFonts w:hint="cs"/>
          <w:rtl/>
          <w:lang w:bidi="ar-EG"/>
        </w:rPr>
        <w:tab/>
        <w:t>تضمن الدولة حرية التعليم. ويحق لجميع سكان سانت لوسيا الذين تتراوح أعمارهم بين 6 سنوات و 19 سنة الحصول على التعليم الابتدائي والثانوي المجاني. بيد أنه بسبب العدد المحدود للأماكن في المدارس الثانوية لا يستطيع عدد كبير من الطلبة الحصول على التعليم الثانوي. وذروة الخبرة في المدرسة الابتدائية هي امتحان الالتحاق العام. وهذا هو امتحان موحّد يطبق على المستوى الوطني على الطلبة الذين تتراوح أعمارهم بين 11 و 13 سنة. وهذا الامتحان مهم في تحديد مستقبل التلاميذ من ناحية التعليم الثانوي. وهو ذو أهمية خاصة في ضوء أن الطلب على الأماكن في المدارس الثانوية يفوق المعروض منها. وفي هذا الصدد كان أقل من نصف الأطفال الذين يجتازون هذا الامتحان، في الماضي، يحصلون على أماكن في المدارس الثانوية.</w:t>
      </w:r>
    </w:p>
    <w:p w:rsidR="00662946" w:rsidRDefault="00662946">
      <w:pPr>
        <w:pStyle w:val="SingleTxt"/>
        <w:ind w:left="1264" w:right="1264"/>
        <w:jc w:val="both"/>
        <w:rPr>
          <w:rFonts w:hint="cs"/>
          <w:rtl/>
          <w:lang w:bidi="ar-EG"/>
        </w:rPr>
      </w:pPr>
    </w:p>
    <w:p w:rsidR="00662946" w:rsidRDefault="00662946">
      <w:pPr>
        <w:pStyle w:val="SingleTxt"/>
        <w:ind w:left="1264" w:right="1264"/>
        <w:jc w:val="both"/>
        <w:rPr>
          <w:rFonts w:hint="cs"/>
          <w:rtl/>
          <w:lang w:bidi="ar-EG"/>
        </w:rPr>
      </w:pPr>
    </w:p>
    <w:p w:rsidR="00662946" w:rsidRDefault="00662946">
      <w:pPr>
        <w:pStyle w:val="SingleTxt"/>
        <w:ind w:left="1264" w:right="1264"/>
        <w:jc w:val="both"/>
        <w:rPr>
          <w:rFonts w:hint="cs"/>
          <w:rtl/>
          <w:lang w:bidi="ar-EG"/>
        </w:rPr>
      </w:pPr>
    </w:p>
    <w:p w:rsidR="00662946" w:rsidRDefault="00662946">
      <w:pPr>
        <w:pStyle w:val="SingleTxt"/>
        <w:ind w:left="1264" w:right="1264"/>
        <w:jc w:val="both"/>
        <w:rPr>
          <w:rFonts w:hint="cs"/>
          <w:rtl/>
          <w:lang w:bidi="ar-EG"/>
        </w:rPr>
      </w:pPr>
    </w:p>
    <w:tbl>
      <w:tblPr>
        <w:bidiVisual/>
        <w:tblW w:w="6510" w:type="dxa"/>
        <w:jc w:val="center"/>
        <w:tblLook w:val="0000" w:firstRow="0" w:lastRow="0" w:firstColumn="0" w:lastColumn="0" w:noHBand="0" w:noVBand="0"/>
      </w:tblPr>
      <w:tblGrid>
        <w:gridCol w:w="1058"/>
        <w:gridCol w:w="1652"/>
        <w:gridCol w:w="1489"/>
        <w:gridCol w:w="2311"/>
      </w:tblGrid>
      <w:tr w:rsidR="00662946">
        <w:trPr>
          <w:trHeight w:val="552"/>
          <w:jc w:val="center"/>
        </w:trPr>
        <w:tc>
          <w:tcPr>
            <w:tcW w:w="6510" w:type="dxa"/>
            <w:gridSpan w:val="4"/>
            <w:tcBorders>
              <w:top w:val="single" w:sz="8" w:space="0" w:color="auto"/>
              <w:left w:val="single" w:sz="8" w:space="0" w:color="auto"/>
              <w:bottom w:val="single" w:sz="4" w:space="0" w:color="auto"/>
              <w:right w:val="single" w:sz="4" w:space="0" w:color="auto"/>
            </w:tcBorders>
            <w:vAlign w:val="bottom"/>
          </w:tcPr>
          <w:p w:rsidR="00662946" w:rsidRDefault="00662946">
            <w:pPr>
              <w:spacing w:after="120"/>
              <w:jc w:val="both"/>
              <w:rPr>
                <w:rFonts w:hint="cs"/>
                <w:bCs/>
                <w:sz w:val="30"/>
                <w:rtl/>
                <w:lang w:bidi="ar-EG"/>
              </w:rPr>
            </w:pPr>
            <w:r>
              <w:rPr>
                <w:rFonts w:hint="cs"/>
                <w:bCs/>
                <w:sz w:val="30"/>
                <w:rtl/>
                <w:lang w:bidi="ar-EG"/>
              </w:rPr>
              <w:t>الجدول 10-4 النسبة المئوية لعدد تلاميذ المدرسة الابتدائية الثانوية مقارنة بعدد التلاميذ الذين أدوا امتحان إتمام الدراسة الثانوية</w:t>
            </w:r>
          </w:p>
        </w:tc>
      </w:tr>
      <w:tr w:rsidR="00662946">
        <w:trPr>
          <w:trHeight w:val="552"/>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السنة</w:t>
            </w:r>
          </w:p>
        </w:tc>
        <w:tc>
          <w:tcPr>
            <w:tcW w:w="1652"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b/>
                <w:bCs/>
                <w:sz w:val="30"/>
              </w:rPr>
            </w:pPr>
            <w:r>
              <w:rPr>
                <w:rFonts w:hint="cs"/>
                <w:b/>
                <w:bCs/>
                <w:sz w:val="30"/>
                <w:rtl/>
              </w:rPr>
              <w:t>عدد المرشحين</w:t>
            </w:r>
          </w:p>
        </w:tc>
        <w:tc>
          <w:tcPr>
            <w:tcW w:w="1489" w:type="dxa"/>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عدد الملحقين</w:t>
            </w:r>
          </w:p>
        </w:tc>
        <w:tc>
          <w:tcPr>
            <w:tcW w:w="2311" w:type="dxa"/>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both"/>
              <w:rPr>
                <w:rFonts w:hint="cs"/>
                <w:b/>
                <w:bCs/>
                <w:sz w:val="30"/>
              </w:rPr>
            </w:pPr>
            <w:r>
              <w:rPr>
                <w:rFonts w:hint="cs"/>
                <w:b/>
                <w:bCs/>
                <w:sz w:val="30"/>
                <w:rtl/>
              </w:rPr>
              <w:t>النسبة المئوية للملتحقين</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1987</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003</w:t>
            </w:r>
            <w:r>
              <w:rPr>
                <w:rFonts w:hint="cs"/>
                <w:sz w:val="30"/>
                <w:rtl/>
              </w:rPr>
              <w:t xml:space="preserve"> 5</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385</w:t>
            </w:r>
            <w:r>
              <w:rPr>
                <w:rFonts w:hint="cs"/>
                <w:sz w:val="30"/>
                <w:rtl/>
              </w:rPr>
              <w:t xml:space="preserve"> 1</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28</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1988</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061</w:t>
            </w:r>
            <w:r>
              <w:rPr>
                <w:rFonts w:hint="cs"/>
                <w:sz w:val="30"/>
                <w:rtl/>
              </w:rPr>
              <w:t xml:space="preserve"> 5</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391</w:t>
            </w:r>
            <w:r>
              <w:rPr>
                <w:rFonts w:hint="cs"/>
                <w:sz w:val="30"/>
                <w:rtl/>
              </w:rPr>
              <w:t xml:space="preserve"> 1</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27</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1989</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128</w:t>
            </w:r>
            <w:r>
              <w:rPr>
                <w:rFonts w:hint="cs"/>
                <w:sz w:val="30"/>
                <w:rtl/>
              </w:rPr>
              <w:t xml:space="preserve"> 5</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627</w:t>
            </w:r>
            <w:r>
              <w:rPr>
                <w:rFonts w:hint="cs"/>
                <w:sz w:val="30"/>
                <w:rtl/>
              </w:rPr>
              <w:t xml:space="preserve"> 1</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32</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1990</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151</w:t>
            </w:r>
            <w:r>
              <w:rPr>
                <w:rFonts w:hint="cs"/>
                <w:sz w:val="30"/>
                <w:rtl/>
              </w:rPr>
              <w:t xml:space="preserve"> 5</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648</w:t>
            </w:r>
            <w:r>
              <w:rPr>
                <w:rFonts w:hint="cs"/>
                <w:sz w:val="30"/>
                <w:rtl/>
              </w:rPr>
              <w:t xml:space="preserve"> 1</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32</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1991</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950</w:t>
            </w:r>
            <w:r>
              <w:rPr>
                <w:rFonts w:hint="cs"/>
                <w:sz w:val="30"/>
                <w:rtl/>
              </w:rPr>
              <w:t xml:space="preserve"> 4</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972</w:t>
            </w:r>
            <w:r>
              <w:rPr>
                <w:rFonts w:hint="cs"/>
                <w:sz w:val="30"/>
                <w:rtl/>
              </w:rPr>
              <w:t xml:space="preserve"> 1</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40</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1992</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799</w:t>
            </w:r>
            <w:r>
              <w:rPr>
                <w:rFonts w:hint="cs"/>
                <w:sz w:val="30"/>
                <w:rtl/>
              </w:rPr>
              <w:t xml:space="preserve"> 4</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793</w:t>
            </w:r>
            <w:r>
              <w:rPr>
                <w:rFonts w:hint="cs"/>
                <w:sz w:val="30"/>
                <w:rtl/>
              </w:rPr>
              <w:t xml:space="preserve"> 2</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58</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1993</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867</w:t>
            </w:r>
            <w:r>
              <w:rPr>
                <w:rFonts w:hint="cs"/>
                <w:sz w:val="30"/>
                <w:rtl/>
              </w:rPr>
              <w:t xml:space="preserve"> 4</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025</w:t>
            </w:r>
            <w:r>
              <w:rPr>
                <w:rFonts w:hint="cs"/>
                <w:sz w:val="30"/>
                <w:rtl/>
              </w:rPr>
              <w:t xml:space="preserve"> 2</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42</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1994</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870</w:t>
            </w:r>
            <w:r>
              <w:rPr>
                <w:rFonts w:hint="cs"/>
                <w:sz w:val="30"/>
                <w:rtl/>
              </w:rPr>
              <w:t xml:space="preserve"> 4</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135</w:t>
            </w:r>
            <w:r>
              <w:rPr>
                <w:rFonts w:hint="cs"/>
                <w:sz w:val="30"/>
                <w:rtl/>
              </w:rPr>
              <w:t xml:space="preserve"> 2</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44</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1995</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088</w:t>
            </w:r>
            <w:r>
              <w:rPr>
                <w:rFonts w:hint="cs"/>
                <w:sz w:val="30"/>
                <w:rtl/>
              </w:rPr>
              <w:t xml:space="preserve"> 5</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030</w:t>
            </w:r>
            <w:r>
              <w:rPr>
                <w:rFonts w:hint="cs"/>
                <w:sz w:val="30"/>
                <w:rtl/>
              </w:rPr>
              <w:t xml:space="preserve"> 2</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40</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1996</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102</w:t>
            </w:r>
            <w:r>
              <w:rPr>
                <w:rFonts w:hint="cs"/>
                <w:sz w:val="30"/>
                <w:rtl/>
              </w:rPr>
              <w:t xml:space="preserve"> 5</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208</w:t>
            </w:r>
            <w:r>
              <w:rPr>
                <w:rFonts w:hint="cs"/>
                <w:sz w:val="30"/>
                <w:rtl/>
              </w:rPr>
              <w:t xml:space="preserve"> 2</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43</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1997</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113</w:t>
            </w:r>
            <w:r>
              <w:rPr>
                <w:rFonts w:hint="cs"/>
                <w:sz w:val="30"/>
                <w:rtl/>
              </w:rPr>
              <w:t xml:space="preserve"> 5</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582</w:t>
            </w:r>
            <w:r>
              <w:rPr>
                <w:rFonts w:hint="cs"/>
                <w:sz w:val="30"/>
                <w:rtl/>
              </w:rPr>
              <w:t xml:space="preserve"> 2</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50</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1998</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933</w:t>
            </w:r>
            <w:r>
              <w:rPr>
                <w:rFonts w:hint="cs"/>
                <w:sz w:val="30"/>
                <w:rtl/>
              </w:rPr>
              <w:t xml:space="preserve"> 4</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225</w:t>
            </w:r>
            <w:r>
              <w:rPr>
                <w:rFonts w:hint="cs"/>
                <w:sz w:val="30"/>
                <w:rtl/>
              </w:rPr>
              <w:t xml:space="preserve"> 2</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45</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1999</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798</w:t>
            </w:r>
            <w:r>
              <w:rPr>
                <w:rFonts w:hint="cs"/>
                <w:sz w:val="30"/>
                <w:rtl/>
              </w:rPr>
              <w:t xml:space="preserve"> 4</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560</w:t>
            </w:r>
            <w:r>
              <w:rPr>
                <w:rFonts w:hint="cs"/>
                <w:sz w:val="30"/>
                <w:rtl/>
              </w:rPr>
              <w:t xml:space="preserve"> 2</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53</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2000</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476</w:t>
            </w:r>
            <w:r>
              <w:rPr>
                <w:rFonts w:hint="cs"/>
                <w:sz w:val="30"/>
                <w:rtl/>
              </w:rPr>
              <w:t xml:space="preserve"> 4</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427</w:t>
            </w:r>
            <w:r>
              <w:rPr>
                <w:rFonts w:hint="cs"/>
                <w:sz w:val="30"/>
                <w:rtl/>
              </w:rPr>
              <w:t xml:space="preserve"> 2</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54</w:t>
            </w:r>
          </w:p>
        </w:tc>
      </w:tr>
      <w:tr w:rsidR="00662946">
        <w:trPr>
          <w:trHeight w:val="257"/>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2001</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508</w:t>
            </w:r>
            <w:r>
              <w:rPr>
                <w:rFonts w:hint="cs"/>
                <w:sz w:val="30"/>
                <w:rtl/>
              </w:rPr>
              <w:t xml:space="preserve"> 4</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482</w:t>
            </w:r>
            <w:r>
              <w:rPr>
                <w:rFonts w:hint="cs"/>
                <w:sz w:val="30"/>
                <w:rtl/>
              </w:rPr>
              <w:t xml:space="preserve"> 2</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55</w:t>
            </w:r>
          </w:p>
        </w:tc>
      </w:tr>
      <w:tr w:rsidR="00662946">
        <w:trPr>
          <w:trHeight w:val="272"/>
          <w:jc w:val="center"/>
        </w:trPr>
        <w:tc>
          <w:tcPr>
            <w:tcW w:w="1058" w:type="dxa"/>
            <w:tcBorders>
              <w:top w:val="single" w:sz="4" w:space="0" w:color="auto"/>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2002</w:t>
            </w:r>
          </w:p>
        </w:tc>
        <w:tc>
          <w:tcPr>
            <w:tcW w:w="1652"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532</w:t>
            </w:r>
            <w:r>
              <w:rPr>
                <w:rFonts w:hint="cs"/>
                <w:sz w:val="30"/>
                <w:rtl/>
              </w:rPr>
              <w:t xml:space="preserve"> 4</w:t>
            </w:r>
          </w:p>
        </w:tc>
        <w:tc>
          <w:tcPr>
            <w:tcW w:w="1489"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520</w:t>
            </w:r>
            <w:r>
              <w:rPr>
                <w:rFonts w:hint="cs"/>
                <w:sz w:val="30"/>
                <w:rtl/>
              </w:rPr>
              <w:t xml:space="preserve"> 2</w:t>
            </w:r>
          </w:p>
        </w:tc>
        <w:tc>
          <w:tcPr>
            <w:tcW w:w="2311" w:type="dxa"/>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sz w:val="30"/>
              </w:rPr>
            </w:pPr>
            <w:r>
              <w:rPr>
                <w:sz w:val="30"/>
                <w:rtl/>
              </w:rPr>
              <w:t>56</w:t>
            </w:r>
          </w:p>
        </w:tc>
      </w:tr>
      <w:tr w:rsidR="00662946">
        <w:trPr>
          <w:trHeight w:val="272"/>
          <w:jc w:val="center"/>
        </w:trPr>
        <w:tc>
          <w:tcPr>
            <w:tcW w:w="6510" w:type="dxa"/>
            <w:gridSpan w:val="4"/>
            <w:tcBorders>
              <w:top w:val="single" w:sz="4" w:space="0" w:color="auto"/>
              <w:left w:val="single" w:sz="8" w:space="0" w:color="auto"/>
              <w:bottom w:val="single" w:sz="8" w:space="0" w:color="auto"/>
              <w:right w:val="single" w:sz="4" w:space="0" w:color="auto"/>
            </w:tcBorders>
            <w:noWrap/>
            <w:vAlign w:val="bottom"/>
          </w:tcPr>
          <w:p w:rsidR="00662946" w:rsidRDefault="00662946">
            <w:pPr>
              <w:spacing w:after="120"/>
              <w:jc w:val="both"/>
              <w:rPr>
                <w:rFonts w:hint="cs"/>
                <w:b/>
                <w:sz w:val="30"/>
              </w:rPr>
            </w:pPr>
            <w:r>
              <w:rPr>
                <w:rFonts w:hint="cs"/>
                <w:b/>
                <w:sz w:val="30"/>
                <w:rtl/>
                <w:lang w:bidi="ar-EG"/>
              </w:rPr>
              <w:t>المصدر: الموجز الإحصائي التعليمي، 2002</w:t>
            </w:r>
          </w:p>
        </w:tc>
      </w:tr>
    </w:tbl>
    <w:p w:rsidR="00662946" w:rsidRDefault="00662946">
      <w:pPr>
        <w:pStyle w:val="SingleTxt"/>
        <w:ind w:left="1264" w:right="1264"/>
        <w:jc w:val="both"/>
        <w:rPr>
          <w:rFonts w:hint="cs"/>
          <w:rtl/>
          <w:lang w:bidi="ar-EG"/>
        </w:rPr>
      </w:pPr>
    </w:p>
    <w:p w:rsidR="00662946" w:rsidRDefault="00662946">
      <w:pPr>
        <w:pStyle w:val="SingleTxt"/>
        <w:ind w:left="1264" w:right="1264"/>
        <w:jc w:val="both"/>
        <w:rPr>
          <w:rFonts w:hint="cs"/>
          <w:rtl/>
          <w:lang w:bidi="ar-EG"/>
        </w:rPr>
      </w:pPr>
    </w:p>
    <w:p w:rsidR="00662946" w:rsidRDefault="00662946">
      <w:pPr>
        <w:pStyle w:val="SingleTxt"/>
        <w:ind w:left="1264" w:right="1264"/>
        <w:jc w:val="both"/>
        <w:rPr>
          <w:rFonts w:hint="cs"/>
          <w:rtl/>
          <w:lang w:bidi="ar-EG"/>
        </w:rPr>
      </w:pPr>
      <w:r>
        <w:rPr>
          <w:rFonts w:hint="cs"/>
          <w:rtl/>
          <w:lang w:bidi="ar-EG"/>
        </w:rPr>
        <w:t>10-12</w:t>
      </w:r>
      <w:r>
        <w:rPr>
          <w:rFonts w:hint="cs"/>
          <w:rtl/>
          <w:lang w:bidi="ar-EG"/>
        </w:rPr>
        <w:tab/>
        <w:t>كانت النسبة المئوية للالتحاق بالمدارس الثانوية منخفضة إذ بلغت 27 في المائة في سنة 1988. ومع ازدياد عدد المدارس الثانوية عبر السنين (من 14 في سنة 1992 إلى 18 في سنة 2002) ازدادت نسبة الطلبة الملتحقين بالتعليم الثانوي. ويبين الجدول التالي عدد الطلبة والطالبات الملتحقين بالمدارس الثانوية. وبالنسبة للفترة 1994-1995 كان عدد الطالبات اللائي اجتزن امتحان الالتحاق العام أكبر من عدد الذكور الذين اجتازوا هذا الامتحان.</w:t>
      </w:r>
    </w:p>
    <w:tbl>
      <w:tblPr>
        <w:bidiVisual/>
        <w:tblW w:w="6537" w:type="dxa"/>
        <w:jc w:val="center"/>
        <w:tblInd w:w="-729" w:type="dxa"/>
        <w:tblLook w:val="0000" w:firstRow="0" w:lastRow="0" w:firstColumn="0" w:lastColumn="0" w:noHBand="0" w:noVBand="0"/>
      </w:tblPr>
      <w:tblGrid>
        <w:gridCol w:w="1078"/>
        <w:gridCol w:w="1245"/>
        <w:gridCol w:w="1418"/>
        <w:gridCol w:w="1260"/>
        <w:gridCol w:w="1536"/>
      </w:tblGrid>
      <w:tr w:rsidR="00662946">
        <w:trPr>
          <w:trHeight w:val="552"/>
          <w:jc w:val="center"/>
        </w:trPr>
        <w:tc>
          <w:tcPr>
            <w:tcW w:w="6537" w:type="dxa"/>
            <w:gridSpan w:val="5"/>
            <w:tcBorders>
              <w:top w:val="single" w:sz="8" w:space="0" w:color="auto"/>
              <w:left w:val="single" w:sz="8" w:space="0" w:color="auto"/>
              <w:bottom w:val="single" w:sz="4" w:space="0" w:color="auto"/>
              <w:right w:val="single" w:sz="8" w:space="0" w:color="000000"/>
            </w:tcBorders>
            <w:vAlign w:val="bottom"/>
          </w:tcPr>
          <w:p w:rsidR="00662946" w:rsidRDefault="00662946">
            <w:pPr>
              <w:spacing w:after="120"/>
              <w:jc w:val="center"/>
              <w:rPr>
                <w:rFonts w:hint="cs"/>
                <w:b/>
                <w:bCs/>
                <w:sz w:val="30"/>
              </w:rPr>
            </w:pPr>
            <w:r>
              <w:rPr>
                <w:rFonts w:hint="cs"/>
                <w:b/>
                <w:bCs/>
                <w:sz w:val="30"/>
                <w:rtl/>
                <w:lang w:bidi="ar-EG"/>
              </w:rPr>
              <w:t>الجدول 10-5 أ: توزيع عدد المرشحين لأداء امتحان الذين ألحقوا بالمدارس الثانوية حسب الجنس</w:t>
            </w:r>
          </w:p>
        </w:tc>
      </w:tr>
      <w:tr w:rsidR="00662946">
        <w:trPr>
          <w:trHeight w:val="552"/>
          <w:jc w:val="center"/>
        </w:trPr>
        <w:tc>
          <w:tcPr>
            <w:tcW w:w="1078" w:type="dxa"/>
            <w:tcBorders>
              <w:top w:val="nil"/>
              <w:left w:val="single" w:sz="8" w:space="0" w:color="auto"/>
              <w:bottom w:val="single" w:sz="4" w:space="0" w:color="000000"/>
              <w:right w:val="single" w:sz="4" w:space="0" w:color="auto"/>
            </w:tcBorders>
            <w:noWrap/>
            <w:vAlign w:val="bottom"/>
          </w:tcPr>
          <w:p w:rsidR="00662946" w:rsidRDefault="00662946">
            <w:pPr>
              <w:spacing w:after="120"/>
              <w:jc w:val="both"/>
              <w:rPr>
                <w:sz w:val="30"/>
              </w:rPr>
            </w:pPr>
          </w:p>
        </w:tc>
        <w:tc>
          <w:tcPr>
            <w:tcW w:w="2663" w:type="dxa"/>
            <w:gridSpan w:val="2"/>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both"/>
              <w:rPr>
                <w:rFonts w:hint="cs"/>
                <w:sz w:val="30"/>
              </w:rPr>
            </w:pPr>
            <w:r>
              <w:rPr>
                <w:rFonts w:hint="cs"/>
                <w:sz w:val="30"/>
                <w:rtl/>
              </w:rPr>
              <w:t>عدد المرشحين لأداء الامتحان</w:t>
            </w:r>
          </w:p>
        </w:tc>
        <w:tc>
          <w:tcPr>
            <w:tcW w:w="2796" w:type="dxa"/>
            <w:gridSpan w:val="2"/>
            <w:tcBorders>
              <w:top w:val="single" w:sz="4" w:space="0" w:color="auto"/>
              <w:left w:val="single" w:sz="4" w:space="0" w:color="auto"/>
              <w:bottom w:val="single" w:sz="4" w:space="0" w:color="auto"/>
              <w:right w:val="single" w:sz="8" w:space="0" w:color="000000"/>
            </w:tcBorders>
            <w:vAlign w:val="bottom"/>
          </w:tcPr>
          <w:p w:rsidR="00662946" w:rsidRDefault="00662946">
            <w:pPr>
              <w:spacing w:after="120"/>
              <w:jc w:val="both"/>
              <w:rPr>
                <w:rFonts w:hint="cs"/>
                <w:sz w:val="30"/>
              </w:rPr>
            </w:pPr>
            <w:r>
              <w:rPr>
                <w:rFonts w:hint="cs"/>
                <w:sz w:val="30"/>
                <w:rtl/>
              </w:rPr>
              <w:t>عدد الملحقين بالمدارس الثانوية</w:t>
            </w:r>
          </w:p>
        </w:tc>
      </w:tr>
      <w:tr w:rsidR="00662946">
        <w:trPr>
          <w:trHeight w:val="255"/>
          <w:jc w:val="center"/>
        </w:trPr>
        <w:tc>
          <w:tcPr>
            <w:tcW w:w="1078" w:type="dxa"/>
            <w:tcBorders>
              <w:top w:val="nil"/>
              <w:left w:val="single" w:sz="8" w:space="0" w:color="auto"/>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السنوات</w:t>
            </w:r>
          </w:p>
        </w:tc>
        <w:tc>
          <w:tcPr>
            <w:tcW w:w="1245"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الذكور</w:t>
            </w:r>
          </w:p>
        </w:tc>
        <w:tc>
          <w:tcPr>
            <w:tcW w:w="1418"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الإناث</w:t>
            </w:r>
          </w:p>
        </w:tc>
        <w:tc>
          <w:tcPr>
            <w:tcW w:w="1260"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rFonts w:hint="cs"/>
                <w:sz w:val="30"/>
                <w:rtl/>
              </w:rPr>
              <w:t>الذكور</w:t>
            </w:r>
          </w:p>
        </w:tc>
        <w:tc>
          <w:tcPr>
            <w:tcW w:w="1536" w:type="dxa"/>
            <w:tcBorders>
              <w:top w:val="nil"/>
              <w:left w:val="nil"/>
              <w:bottom w:val="single" w:sz="4" w:space="0" w:color="auto"/>
              <w:right w:val="single" w:sz="8" w:space="0" w:color="auto"/>
            </w:tcBorders>
            <w:noWrap/>
            <w:vAlign w:val="bottom"/>
          </w:tcPr>
          <w:p w:rsidR="00662946" w:rsidRDefault="00662946">
            <w:pPr>
              <w:spacing w:after="120"/>
              <w:jc w:val="both"/>
              <w:rPr>
                <w:rFonts w:hint="cs"/>
                <w:sz w:val="30"/>
              </w:rPr>
            </w:pPr>
            <w:r>
              <w:rPr>
                <w:rFonts w:hint="cs"/>
                <w:sz w:val="30"/>
                <w:rtl/>
              </w:rPr>
              <w:t>الإناث</w:t>
            </w:r>
          </w:p>
        </w:tc>
      </w:tr>
      <w:tr w:rsidR="00662946">
        <w:trPr>
          <w:trHeight w:val="255"/>
          <w:jc w:val="center"/>
        </w:trPr>
        <w:tc>
          <w:tcPr>
            <w:tcW w:w="1078" w:type="dxa"/>
            <w:tcBorders>
              <w:top w:val="nil"/>
              <w:left w:val="single" w:sz="8" w:space="0" w:color="auto"/>
              <w:bottom w:val="single" w:sz="4" w:space="0" w:color="auto"/>
              <w:right w:val="single" w:sz="4" w:space="0" w:color="auto"/>
            </w:tcBorders>
            <w:noWrap/>
            <w:vAlign w:val="bottom"/>
          </w:tcPr>
          <w:p w:rsidR="00662946" w:rsidRDefault="00662946">
            <w:pPr>
              <w:spacing w:after="120"/>
              <w:jc w:val="both"/>
              <w:rPr>
                <w:sz w:val="30"/>
              </w:rPr>
            </w:pPr>
            <w:r>
              <w:rPr>
                <w:sz w:val="30"/>
                <w:rtl/>
              </w:rPr>
              <w:t>1994</w:t>
            </w:r>
          </w:p>
        </w:tc>
        <w:tc>
          <w:tcPr>
            <w:tcW w:w="1245"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424</w:t>
            </w:r>
            <w:r>
              <w:rPr>
                <w:rFonts w:hint="cs"/>
                <w:sz w:val="30"/>
                <w:rtl/>
              </w:rPr>
              <w:t xml:space="preserve"> 2</w:t>
            </w:r>
          </w:p>
        </w:tc>
        <w:tc>
          <w:tcPr>
            <w:tcW w:w="1418" w:type="dxa"/>
            <w:tcBorders>
              <w:top w:val="nil"/>
              <w:left w:val="nil"/>
              <w:bottom w:val="single" w:sz="4" w:space="0" w:color="auto"/>
              <w:right w:val="single" w:sz="4" w:space="0" w:color="auto"/>
            </w:tcBorders>
            <w:noWrap/>
            <w:vAlign w:val="bottom"/>
          </w:tcPr>
          <w:p w:rsidR="00662946" w:rsidRDefault="00662946">
            <w:pPr>
              <w:spacing w:after="120"/>
              <w:jc w:val="both"/>
              <w:rPr>
                <w:rFonts w:hint="cs"/>
                <w:sz w:val="30"/>
              </w:rPr>
            </w:pPr>
            <w:r>
              <w:rPr>
                <w:sz w:val="30"/>
                <w:rtl/>
              </w:rPr>
              <w:t>446</w:t>
            </w:r>
            <w:r>
              <w:rPr>
                <w:rFonts w:hint="cs"/>
                <w:sz w:val="30"/>
                <w:rtl/>
              </w:rPr>
              <w:t xml:space="preserve"> 2</w:t>
            </w:r>
          </w:p>
        </w:tc>
        <w:tc>
          <w:tcPr>
            <w:tcW w:w="1260" w:type="dxa"/>
            <w:tcBorders>
              <w:top w:val="nil"/>
              <w:left w:val="nil"/>
              <w:bottom w:val="single" w:sz="4" w:space="0" w:color="auto"/>
              <w:right w:val="single" w:sz="4" w:space="0" w:color="auto"/>
            </w:tcBorders>
            <w:noWrap/>
            <w:vAlign w:val="bottom"/>
          </w:tcPr>
          <w:p w:rsidR="00662946" w:rsidRDefault="00662946">
            <w:pPr>
              <w:spacing w:after="120"/>
              <w:jc w:val="both"/>
              <w:rPr>
                <w:sz w:val="30"/>
              </w:rPr>
            </w:pPr>
            <w:r>
              <w:rPr>
                <w:sz w:val="30"/>
                <w:rtl/>
              </w:rPr>
              <w:t>927</w:t>
            </w:r>
          </w:p>
        </w:tc>
        <w:tc>
          <w:tcPr>
            <w:tcW w:w="1536" w:type="dxa"/>
            <w:tcBorders>
              <w:top w:val="nil"/>
              <w:left w:val="nil"/>
              <w:bottom w:val="single" w:sz="4" w:space="0" w:color="auto"/>
              <w:right w:val="single" w:sz="8" w:space="0" w:color="auto"/>
            </w:tcBorders>
            <w:noWrap/>
            <w:vAlign w:val="bottom"/>
          </w:tcPr>
          <w:p w:rsidR="00662946" w:rsidRDefault="00662946">
            <w:pPr>
              <w:spacing w:after="120"/>
              <w:jc w:val="both"/>
              <w:rPr>
                <w:rFonts w:hint="cs"/>
                <w:sz w:val="30"/>
                <w:rtl/>
                <w:lang w:bidi="ar-EG"/>
              </w:rPr>
            </w:pPr>
            <w:r>
              <w:rPr>
                <w:sz w:val="30"/>
                <w:rtl/>
              </w:rPr>
              <w:t>208</w:t>
            </w:r>
            <w:r>
              <w:rPr>
                <w:rFonts w:hint="cs"/>
                <w:sz w:val="30"/>
                <w:rtl/>
              </w:rPr>
              <w:t xml:space="preserve"> 1</w:t>
            </w:r>
          </w:p>
        </w:tc>
      </w:tr>
      <w:tr w:rsidR="00662946">
        <w:trPr>
          <w:trHeight w:val="270"/>
          <w:jc w:val="center"/>
        </w:trPr>
        <w:tc>
          <w:tcPr>
            <w:tcW w:w="1078" w:type="dxa"/>
            <w:tcBorders>
              <w:top w:val="nil"/>
              <w:left w:val="single" w:sz="8" w:space="0" w:color="auto"/>
              <w:bottom w:val="single" w:sz="8" w:space="0" w:color="auto"/>
              <w:right w:val="single" w:sz="4" w:space="0" w:color="auto"/>
            </w:tcBorders>
            <w:noWrap/>
            <w:vAlign w:val="bottom"/>
          </w:tcPr>
          <w:p w:rsidR="00662946" w:rsidRDefault="00662946">
            <w:pPr>
              <w:spacing w:after="120"/>
              <w:jc w:val="both"/>
              <w:rPr>
                <w:sz w:val="30"/>
              </w:rPr>
            </w:pPr>
            <w:r>
              <w:rPr>
                <w:sz w:val="30"/>
                <w:rtl/>
              </w:rPr>
              <w:t>1995</w:t>
            </w:r>
          </w:p>
        </w:tc>
        <w:tc>
          <w:tcPr>
            <w:tcW w:w="1245" w:type="dxa"/>
            <w:tcBorders>
              <w:top w:val="nil"/>
              <w:left w:val="nil"/>
              <w:bottom w:val="single" w:sz="8" w:space="0" w:color="auto"/>
              <w:right w:val="single" w:sz="4" w:space="0" w:color="auto"/>
            </w:tcBorders>
            <w:noWrap/>
            <w:vAlign w:val="bottom"/>
          </w:tcPr>
          <w:p w:rsidR="00662946" w:rsidRDefault="00662946">
            <w:pPr>
              <w:spacing w:after="120"/>
              <w:jc w:val="both"/>
              <w:rPr>
                <w:rFonts w:hint="cs"/>
                <w:sz w:val="30"/>
                <w:rtl/>
                <w:lang w:bidi="ar-EG"/>
              </w:rPr>
            </w:pPr>
            <w:r>
              <w:rPr>
                <w:sz w:val="30"/>
                <w:rtl/>
              </w:rPr>
              <w:t>486</w:t>
            </w:r>
            <w:r>
              <w:rPr>
                <w:rFonts w:hint="cs"/>
                <w:sz w:val="30"/>
                <w:rtl/>
              </w:rPr>
              <w:t xml:space="preserve"> 2</w:t>
            </w:r>
          </w:p>
        </w:tc>
        <w:tc>
          <w:tcPr>
            <w:tcW w:w="1418" w:type="dxa"/>
            <w:tcBorders>
              <w:top w:val="nil"/>
              <w:left w:val="nil"/>
              <w:bottom w:val="single" w:sz="8" w:space="0" w:color="auto"/>
              <w:right w:val="single" w:sz="4" w:space="0" w:color="auto"/>
            </w:tcBorders>
            <w:noWrap/>
            <w:vAlign w:val="bottom"/>
          </w:tcPr>
          <w:p w:rsidR="00662946" w:rsidRDefault="00662946">
            <w:pPr>
              <w:spacing w:after="120"/>
              <w:jc w:val="both"/>
              <w:rPr>
                <w:rFonts w:hint="cs"/>
                <w:sz w:val="30"/>
              </w:rPr>
            </w:pPr>
            <w:r>
              <w:rPr>
                <w:sz w:val="30"/>
                <w:rtl/>
              </w:rPr>
              <w:t>602</w:t>
            </w:r>
            <w:r>
              <w:rPr>
                <w:rFonts w:hint="cs"/>
                <w:sz w:val="30"/>
                <w:rtl/>
              </w:rPr>
              <w:t xml:space="preserve"> 2</w:t>
            </w:r>
          </w:p>
        </w:tc>
        <w:tc>
          <w:tcPr>
            <w:tcW w:w="1260" w:type="dxa"/>
            <w:tcBorders>
              <w:top w:val="nil"/>
              <w:left w:val="nil"/>
              <w:bottom w:val="single" w:sz="8" w:space="0" w:color="auto"/>
              <w:right w:val="single" w:sz="4" w:space="0" w:color="auto"/>
            </w:tcBorders>
            <w:noWrap/>
            <w:vAlign w:val="bottom"/>
          </w:tcPr>
          <w:p w:rsidR="00662946" w:rsidRDefault="00662946">
            <w:pPr>
              <w:spacing w:after="120"/>
              <w:jc w:val="both"/>
              <w:rPr>
                <w:sz w:val="30"/>
              </w:rPr>
            </w:pPr>
            <w:r>
              <w:rPr>
                <w:sz w:val="30"/>
                <w:rtl/>
              </w:rPr>
              <w:t>879</w:t>
            </w:r>
          </w:p>
        </w:tc>
        <w:tc>
          <w:tcPr>
            <w:tcW w:w="1536" w:type="dxa"/>
            <w:tcBorders>
              <w:top w:val="nil"/>
              <w:left w:val="nil"/>
              <w:bottom w:val="single" w:sz="8" w:space="0" w:color="auto"/>
              <w:right w:val="single" w:sz="8" w:space="0" w:color="auto"/>
            </w:tcBorders>
            <w:noWrap/>
            <w:vAlign w:val="bottom"/>
          </w:tcPr>
          <w:p w:rsidR="00662946" w:rsidRDefault="00662946">
            <w:pPr>
              <w:spacing w:after="120"/>
              <w:jc w:val="both"/>
              <w:rPr>
                <w:rFonts w:hint="cs"/>
                <w:sz w:val="30"/>
              </w:rPr>
            </w:pPr>
            <w:r>
              <w:rPr>
                <w:sz w:val="30"/>
                <w:rtl/>
              </w:rPr>
              <w:t>151</w:t>
            </w:r>
            <w:r>
              <w:rPr>
                <w:rFonts w:hint="cs"/>
                <w:sz w:val="30"/>
                <w:rtl/>
              </w:rPr>
              <w:t xml:space="preserve"> 1</w:t>
            </w:r>
          </w:p>
        </w:tc>
      </w:tr>
    </w:tbl>
    <w:p w:rsidR="00662946" w:rsidRDefault="00662946">
      <w:pPr>
        <w:pStyle w:val="SingleTxt"/>
        <w:ind w:left="1264" w:right="1264"/>
        <w:jc w:val="both"/>
        <w:rPr>
          <w:rFonts w:hint="cs"/>
          <w:rtl/>
          <w:lang w:bidi="ar-EG"/>
        </w:rPr>
      </w:pPr>
    </w:p>
    <w:tbl>
      <w:tblPr>
        <w:bidiVisual/>
        <w:tblW w:w="0" w:type="auto"/>
        <w:jc w:val="center"/>
        <w:tblInd w:w="1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1648"/>
        <w:gridCol w:w="1545"/>
        <w:gridCol w:w="2069"/>
      </w:tblGrid>
      <w:tr w:rsidR="00662946">
        <w:trPr>
          <w:jc w:val="center"/>
        </w:trPr>
        <w:tc>
          <w:tcPr>
            <w:tcW w:w="6924" w:type="dxa"/>
            <w:gridSpan w:val="4"/>
          </w:tcPr>
          <w:p w:rsidR="00662946" w:rsidRDefault="00662946">
            <w:pPr>
              <w:tabs>
                <w:tab w:val="left" w:pos="-720"/>
              </w:tabs>
              <w:suppressAutoHyphens/>
              <w:jc w:val="center"/>
              <w:rPr>
                <w:rFonts w:hint="cs"/>
                <w:b/>
                <w:bCs/>
                <w:spacing w:val="-3"/>
                <w:sz w:val="30"/>
                <w:rtl/>
                <w:lang w:val="en-GB"/>
              </w:rPr>
            </w:pPr>
            <w:r>
              <w:rPr>
                <w:rFonts w:hint="cs"/>
                <w:b/>
                <w:bCs/>
                <w:spacing w:val="-3"/>
                <w:sz w:val="30"/>
                <w:rtl/>
                <w:lang w:val="en-GB"/>
              </w:rPr>
              <w:t>الجدول 10-6: النسبة المئوية للفتيات من العدد الكلي للمسجلين في المدارس الابتدائية،</w:t>
            </w:r>
          </w:p>
          <w:p w:rsidR="00662946" w:rsidRDefault="00662946">
            <w:pPr>
              <w:tabs>
                <w:tab w:val="left" w:pos="-720"/>
              </w:tabs>
              <w:suppressAutoHyphens/>
              <w:spacing w:after="120"/>
              <w:jc w:val="center"/>
              <w:rPr>
                <w:rFonts w:hint="cs"/>
                <w:b/>
                <w:bCs/>
                <w:spacing w:val="-3"/>
                <w:sz w:val="30"/>
                <w:rtl/>
                <w:lang w:val="en-GB"/>
              </w:rPr>
            </w:pPr>
            <w:r>
              <w:rPr>
                <w:rFonts w:hint="cs"/>
                <w:b/>
                <w:bCs/>
                <w:spacing w:val="-3"/>
                <w:sz w:val="30"/>
                <w:rtl/>
                <w:lang w:val="en-GB"/>
              </w:rPr>
              <w:t xml:space="preserve">1994/1995 </w:t>
            </w:r>
            <w:r>
              <w:rPr>
                <w:b/>
                <w:bCs/>
                <w:spacing w:val="-3"/>
                <w:sz w:val="30"/>
                <w:rtl/>
                <w:lang w:val="en-GB"/>
              </w:rPr>
              <w:t>–</w:t>
            </w:r>
            <w:r>
              <w:rPr>
                <w:rFonts w:hint="cs"/>
                <w:b/>
                <w:bCs/>
                <w:spacing w:val="-3"/>
                <w:sz w:val="30"/>
                <w:rtl/>
                <w:lang w:val="en-GB"/>
              </w:rPr>
              <w:t xml:space="preserve"> 2000/2002</w:t>
            </w:r>
          </w:p>
        </w:tc>
      </w:tr>
      <w:tr w:rsidR="00662946">
        <w:trPr>
          <w:jc w:val="center"/>
        </w:trPr>
        <w:tc>
          <w:tcPr>
            <w:tcW w:w="1662" w:type="dxa"/>
            <w:vAlign w:val="bottom"/>
          </w:tcPr>
          <w:p w:rsidR="00662946" w:rsidRDefault="00662946">
            <w:pPr>
              <w:spacing w:after="120"/>
              <w:jc w:val="both"/>
              <w:rPr>
                <w:rFonts w:hint="cs"/>
                <w:b/>
                <w:bCs/>
                <w:sz w:val="30"/>
              </w:rPr>
            </w:pPr>
            <w:r>
              <w:rPr>
                <w:rFonts w:hint="cs"/>
                <w:b/>
                <w:bCs/>
                <w:sz w:val="30"/>
                <w:rtl/>
              </w:rPr>
              <w:t>السنة</w:t>
            </w:r>
          </w:p>
        </w:tc>
        <w:tc>
          <w:tcPr>
            <w:tcW w:w="1648" w:type="dxa"/>
            <w:vAlign w:val="bottom"/>
          </w:tcPr>
          <w:p w:rsidR="00662946" w:rsidRDefault="00662946">
            <w:pPr>
              <w:spacing w:after="120"/>
              <w:jc w:val="both"/>
              <w:rPr>
                <w:rFonts w:hint="cs"/>
                <w:b/>
                <w:bCs/>
                <w:sz w:val="30"/>
              </w:rPr>
            </w:pPr>
            <w:r>
              <w:rPr>
                <w:rFonts w:hint="cs"/>
                <w:b/>
                <w:bCs/>
                <w:sz w:val="30"/>
                <w:rtl/>
              </w:rPr>
              <w:t>عدد المسجلين</w:t>
            </w:r>
          </w:p>
        </w:tc>
        <w:tc>
          <w:tcPr>
            <w:tcW w:w="1545" w:type="dxa"/>
            <w:vAlign w:val="bottom"/>
          </w:tcPr>
          <w:p w:rsidR="00662946" w:rsidRDefault="00662946">
            <w:pPr>
              <w:spacing w:after="120"/>
              <w:jc w:val="both"/>
              <w:rPr>
                <w:rFonts w:hint="cs"/>
                <w:b/>
                <w:bCs/>
                <w:sz w:val="30"/>
              </w:rPr>
            </w:pPr>
            <w:r>
              <w:rPr>
                <w:rFonts w:hint="cs"/>
                <w:b/>
                <w:bCs/>
                <w:sz w:val="30"/>
                <w:rtl/>
              </w:rPr>
              <w:t>عدد البنات</w:t>
            </w:r>
          </w:p>
        </w:tc>
        <w:tc>
          <w:tcPr>
            <w:tcW w:w="2069" w:type="dxa"/>
            <w:vAlign w:val="bottom"/>
          </w:tcPr>
          <w:p w:rsidR="00662946" w:rsidRDefault="00662946">
            <w:pPr>
              <w:spacing w:after="120"/>
              <w:jc w:val="both"/>
              <w:rPr>
                <w:rFonts w:hint="cs"/>
                <w:b/>
                <w:bCs/>
                <w:sz w:val="30"/>
              </w:rPr>
            </w:pPr>
            <w:r>
              <w:rPr>
                <w:rFonts w:hint="cs"/>
                <w:b/>
                <w:bCs/>
                <w:sz w:val="30"/>
                <w:rtl/>
              </w:rPr>
              <w:t>النسبة المئوية للبنات</w:t>
            </w:r>
          </w:p>
        </w:tc>
      </w:tr>
      <w:tr w:rsidR="00662946">
        <w:trPr>
          <w:jc w:val="center"/>
        </w:trPr>
        <w:tc>
          <w:tcPr>
            <w:tcW w:w="1662" w:type="dxa"/>
            <w:vAlign w:val="bottom"/>
          </w:tcPr>
          <w:p w:rsidR="00662946" w:rsidRDefault="00662946">
            <w:pPr>
              <w:spacing w:after="120"/>
              <w:jc w:val="both"/>
              <w:rPr>
                <w:sz w:val="30"/>
              </w:rPr>
            </w:pPr>
            <w:r>
              <w:rPr>
                <w:sz w:val="30"/>
                <w:rtl/>
              </w:rPr>
              <w:t>1994</w:t>
            </w:r>
            <w:r>
              <w:rPr>
                <w:sz w:val="30"/>
              </w:rPr>
              <w:t>/</w:t>
            </w:r>
            <w:r>
              <w:rPr>
                <w:sz w:val="30"/>
                <w:rtl/>
              </w:rPr>
              <w:t>95</w:t>
            </w:r>
          </w:p>
        </w:tc>
        <w:tc>
          <w:tcPr>
            <w:tcW w:w="1648" w:type="dxa"/>
            <w:vAlign w:val="bottom"/>
          </w:tcPr>
          <w:p w:rsidR="00662946" w:rsidRDefault="00662946">
            <w:pPr>
              <w:spacing w:after="120"/>
              <w:jc w:val="both"/>
              <w:rPr>
                <w:rFonts w:hint="cs"/>
                <w:sz w:val="30"/>
              </w:rPr>
            </w:pPr>
            <w:r>
              <w:rPr>
                <w:sz w:val="30"/>
                <w:rtl/>
              </w:rPr>
              <w:t>194</w:t>
            </w:r>
            <w:r>
              <w:rPr>
                <w:rFonts w:hint="cs"/>
                <w:sz w:val="30"/>
                <w:rtl/>
              </w:rPr>
              <w:t xml:space="preserve"> 31</w:t>
            </w:r>
          </w:p>
        </w:tc>
        <w:tc>
          <w:tcPr>
            <w:tcW w:w="1545" w:type="dxa"/>
            <w:vAlign w:val="bottom"/>
          </w:tcPr>
          <w:p w:rsidR="00662946" w:rsidRDefault="00662946">
            <w:pPr>
              <w:spacing w:after="120"/>
              <w:jc w:val="both"/>
              <w:rPr>
                <w:rFonts w:hint="cs"/>
                <w:sz w:val="30"/>
              </w:rPr>
            </w:pPr>
            <w:r>
              <w:rPr>
                <w:sz w:val="30"/>
                <w:rtl/>
              </w:rPr>
              <w:t>208</w:t>
            </w:r>
            <w:r>
              <w:rPr>
                <w:rFonts w:hint="cs"/>
                <w:sz w:val="30"/>
                <w:rtl/>
              </w:rPr>
              <w:t xml:space="preserve"> 15</w:t>
            </w:r>
          </w:p>
        </w:tc>
        <w:tc>
          <w:tcPr>
            <w:tcW w:w="2069" w:type="dxa"/>
            <w:vAlign w:val="bottom"/>
          </w:tcPr>
          <w:p w:rsidR="00662946" w:rsidRDefault="00662946">
            <w:pPr>
              <w:spacing w:after="120"/>
              <w:jc w:val="center"/>
              <w:rPr>
                <w:sz w:val="30"/>
              </w:rPr>
            </w:pPr>
            <w:r>
              <w:rPr>
                <w:sz w:val="30"/>
                <w:rtl/>
              </w:rPr>
              <w:t>49</w:t>
            </w:r>
          </w:p>
        </w:tc>
      </w:tr>
      <w:tr w:rsidR="00662946">
        <w:trPr>
          <w:jc w:val="center"/>
        </w:trPr>
        <w:tc>
          <w:tcPr>
            <w:tcW w:w="1662" w:type="dxa"/>
            <w:vAlign w:val="bottom"/>
          </w:tcPr>
          <w:p w:rsidR="00662946" w:rsidRDefault="00662946">
            <w:pPr>
              <w:spacing w:after="120"/>
              <w:jc w:val="both"/>
              <w:rPr>
                <w:sz w:val="30"/>
              </w:rPr>
            </w:pPr>
            <w:r>
              <w:rPr>
                <w:sz w:val="30"/>
                <w:rtl/>
              </w:rPr>
              <w:t>1995</w:t>
            </w:r>
            <w:r>
              <w:rPr>
                <w:sz w:val="30"/>
              </w:rPr>
              <w:t>/</w:t>
            </w:r>
            <w:r>
              <w:rPr>
                <w:sz w:val="30"/>
                <w:rtl/>
              </w:rPr>
              <w:t>96</w:t>
            </w:r>
          </w:p>
        </w:tc>
        <w:tc>
          <w:tcPr>
            <w:tcW w:w="1648" w:type="dxa"/>
            <w:vAlign w:val="bottom"/>
          </w:tcPr>
          <w:p w:rsidR="00662946" w:rsidRDefault="00662946">
            <w:pPr>
              <w:spacing w:after="120"/>
              <w:jc w:val="both"/>
              <w:rPr>
                <w:rFonts w:hint="cs"/>
                <w:sz w:val="30"/>
              </w:rPr>
            </w:pPr>
            <w:r>
              <w:rPr>
                <w:sz w:val="30"/>
                <w:rtl/>
              </w:rPr>
              <w:t>372</w:t>
            </w:r>
            <w:r>
              <w:rPr>
                <w:rFonts w:hint="cs"/>
                <w:sz w:val="30"/>
                <w:rtl/>
              </w:rPr>
              <w:t xml:space="preserve"> 31</w:t>
            </w:r>
          </w:p>
        </w:tc>
        <w:tc>
          <w:tcPr>
            <w:tcW w:w="1545" w:type="dxa"/>
            <w:vAlign w:val="bottom"/>
          </w:tcPr>
          <w:p w:rsidR="00662946" w:rsidRDefault="00662946">
            <w:pPr>
              <w:spacing w:after="120"/>
              <w:jc w:val="both"/>
              <w:rPr>
                <w:rFonts w:hint="cs"/>
                <w:sz w:val="30"/>
              </w:rPr>
            </w:pPr>
            <w:r>
              <w:rPr>
                <w:sz w:val="30"/>
                <w:rtl/>
              </w:rPr>
              <w:t>129</w:t>
            </w:r>
            <w:r>
              <w:rPr>
                <w:rFonts w:hint="cs"/>
                <w:sz w:val="30"/>
                <w:rtl/>
              </w:rPr>
              <w:t xml:space="preserve"> 15</w:t>
            </w:r>
          </w:p>
        </w:tc>
        <w:tc>
          <w:tcPr>
            <w:tcW w:w="2069" w:type="dxa"/>
            <w:vAlign w:val="bottom"/>
          </w:tcPr>
          <w:p w:rsidR="00662946" w:rsidRDefault="00662946">
            <w:pPr>
              <w:spacing w:after="120"/>
              <w:jc w:val="center"/>
              <w:rPr>
                <w:sz w:val="30"/>
              </w:rPr>
            </w:pPr>
            <w:r>
              <w:rPr>
                <w:sz w:val="30"/>
                <w:rtl/>
              </w:rPr>
              <w:t>48</w:t>
            </w:r>
          </w:p>
        </w:tc>
      </w:tr>
      <w:tr w:rsidR="00662946">
        <w:trPr>
          <w:jc w:val="center"/>
        </w:trPr>
        <w:tc>
          <w:tcPr>
            <w:tcW w:w="1662" w:type="dxa"/>
            <w:vAlign w:val="bottom"/>
          </w:tcPr>
          <w:p w:rsidR="00662946" w:rsidRDefault="00662946">
            <w:pPr>
              <w:spacing w:after="120"/>
              <w:jc w:val="both"/>
              <w:rPr>
                <w:sz w:val="30"/>
              </w:rPr>
            </w:pPr>
            <w:r>
              <w:rPr>
                <w:sz w:val="30"/>
                <w:rtl/>
              </w:rPr>
              <w:t>1996</w:t>
            </w:r>
            <w:r>
              <w:rPr>
                <w:sz w:val="30"/>
              </w:rPr>
              <w:t>/</w:t>
            </w:r>
            <w:r>
              <w:rPr>
                <w:sz w:val="30"/>
                <w:rtl/>
              </w:rPr>
              <w:t>97</w:t>
            </w:r>
          </w:p>
        </w:tc>
        <w:tc>
          <w:tcPr>
            <w:tcW w:w="1648" w:type="dxa"/>
            <w:vAlign w:val="bottom"/>
          </w:tcPr>
          <w:p w:rsidR="00662946" w:rsidRDefault="00662946">
            <w:pPr>
              <w:spacing w:after="120"/>
              <w:jc w:val="both"/>
              <w:rPr>
                <w:rFonts w:hint="cs"/>
                <w:sz w:val="30"/>
              </w:rPr>
            </w:pPr>
            <w:r>
              <w:rPr>
                <w:sz w:val="30"/>
                <w:rtl/>
              </w:rPr>
              <w:t>548</w:t>
            </w:r>
            <w:r>
              <w:rPr>
                <w:rFonts w:hint="cs"/>
                <w:sz w:val="30"/>
                <w:rtl/>
              </w:rPr>
              <w:t xml:space="preserve"> 31</w:t>
            </w:r>
          </w:p>
        </w:tc>
        <w:tc>
          <w:tcPr>
            <w:tcW w:w="1545" w:type="dxa"/>
            <w:vAlign w:val="bottom"/>
          </w:tcPr>
          <w:p w:rsidR="00662946" w:rsidRDefault="00662946">
            <w:pPr>
              <w:spacing w:after="120"/>
              <w:jc w:val="both"/>
              <w:rPr>
                <w:rFonts w:hint="cs"/>
                <w:sz w:val="30"/>
              </w:rPr>
            </w:pPr>
            <w:r>
              <w:rPr>
                <w:sz w:val="30"/>
                <w:rtl/>
              </w:rPr>
              <w:t>161</w:t>
            </w:r>
            <w:r>
              <w:rPr>
                <w:rFonts w:hint="cs"/>
                <w:sz w:val="30"/>
                <w:rtl/>
              </w:rPr>
              <w:t xml:space="preserve"> 15</w:t>
            </w:r>
          </w:p>
        </w:tc>
        <w:tc>
          <w:tcPr>
            <w:tcW w:w="2069" w:type="dxa"/>
            <w:vAlign w:val="bottom"/>
          </w:tcPr>
          <w:p w:rsidR="00662946" w:rsidRDefault="00662946">
            <w:pPr>
              <w:spacing w:after="120"/>
              <w:jc w:val="center"/>
              <w:rPr>
                <w:sz w:val="30"/>
              </w:rPr>
            </w:pPr>
            <w:r>
              <w:rPr>
                <w:sz w:val="30"/>
                <w:rtl/>
              </w:rPr>
              <w:t>48</w:t>
            </w:r>
          </w:p>
        </w:tc>
      </w:tr>
      <w:tr w:rsidR="00662946">
        <w:trPr>
          <w:jc w:val="center"/>
        </w:trPr>
        <w:tc>
          <w:tcPr>
            <w:tcW w:w="1662" w:type="dxa"/>
            <w:vAlign w:val="bottom"/>
          </w:tcPr>
          <w:p w:rsidR="00662946" w:rsidRDefault="00662946">
            <w:pPr>
              <w:spacing w:after="120"/>
              <w:jc w:val="both"/>
              <w:rPr>
                <w:sz w:val="30"/>
              </w:rPr>
            </w:pPr>
            <w:r>
              <w:rPr>
                <w:sz w:val="30"/>
                <w:rtl/>
              </w:rPr>
              <w:t>1997</w:t>
            </w:r>
            <w:r>
              <w:rPr>
                <w:sz w:val="30"/>
              </w:rPr>
              <w:t>/</w:t>
            </w:r>
            <w:r>
              <w:rPr>
                <w:sz w:val="30"/>
                <w:rtl/>
              </w:rPr>
              <w:t>98</w:t>
            </w:r>
          </w:p>
        </w:tc>
        <w:tc>
          <w:tcPr>
            <w:tcW w:w="1648" w:type="dxa"/>
            <w:vAlign w:val="bottom"/>
          </w:tcPr>
          <w:p w:rsidR="00662946" w:rsidRDefault="00662946">
            <w:pPr>
              <w:spacing w:after="120"/>
              <w:jc w:val="both"/>
              <w:rPr>
                <w:rFonts w:hint="cs"/>
                <w:sz w:val="30"/>
              </w:rPr>
            </w:pPr>
            <w:r>
              <w:rPr>
                <w:sz w:val="30"/>
                <w:rtl/>
              </w:rPr>
              <w:t>437</w:t>
            </w:r>
            <w:r>
              <w:rPr>
                <w:rFonts w:hint="cs"/>
                <w:sz w:val="30"/>
                <w:rtl/>
              </w:rPr>
              <w:t xml:space="preserve"> 31</w:t>
            </w:r>
          </w:p>
        </w:tc>
        <w:tc>
          <w:tcPr>
            <w:tcW w:w="1545" w:type="dxa"/>
            <w:vAlign w:val="bottom"/>
          </w:tcPr>
          <w:p w:rsidR="00662946" w:rsidRDefault="00662946">
            <w:pPr>
              <w:spacing w:after="120"/>
              <w:jc w:val="both"/>
              <w:rPr>
                <w:rFonts w:hint="cs"/>
                <w:sz w:val="30"/>
              </w:rPr>
            </w:pPr>
            <w:r>
              <w:rPr>
                <w:sz w:val="30"/>
                <w:rtl/>
              </w:rPr>
              <w:t>892</w:t>
            </w:r>
            <w:r>
              <w:rPr>
                <w:rFonts w:hint="cs"/>
                <w:sz w:val="30"/>
                <w:rtl/>
              </w:rPr>
              <w:t xml:space="preserve"> 14</w:t>
            </w:r>
          </w:p>
        </w:tc>
        <w:tc>
          <w:tcPr>
            <w:tcW w:w="2069" w:type="dxa"/>
            <w:vAlign w:val="bottom"/>
          </w:tcPr>
          <w:p w:rsidR="00662946" w:rsidRDefault="00662946">
            <w:pPr>
              <w:spacing w:after="120"/>
              <w:jc w:val="center"/>
              <w:rPr>
                <w:sz w:val="30"/>
              </w:rPr>
            </w:pPr>
            <w:r>
              <w:rPr>
                <w:sz w:val="30"/>
                <w:rtl/>
              </w:rPr>
              <w:t>47</w:t>
            </w:r>
          </w:p>
        </w:tc>
      </w:tr>
      <w:tr w:rsidR="00662946">
        <w:trPr>
          <w:jc w:val="center"/>
        </w:trPr>
        <w:tc>
          <w:tcPr>
            <w:tcW w:w="1662" w:type="dxa"/>
            <w:vAlign w:val="bottom"/>
          </w:tcPr>
          <w:p w:rsidR="00662946" w:rsidRDefault="00662946">
            <w:pPr>
              <w:spacing w:after="120"/>
              <w:jc w:val="both"/>
              <w:rPr>
                <w:sz w:val="30"/>
              </w:rPr>
            </w:pPr>
            <w:r>
              <w:rPr>
                <w:sz w:val="30"/>
                <w:rtl/>
              </w:rPr>
              <w:t>1998</w:t>
            </w:r>
            <w:r>
              <w:rPr>
                <w:sz w:val="30"/>
              </w:rPr>
              <w:t>/</w:t>
            </w:r>
            <w:r>
              <w:rPr>
                <w:sz w:val="30"/>
                <w:rtl/>
              </w:rPr>
              <w:t>99</w:t>
            </w:r>
          </w:p>
        </w:tc>
        <w:tc>
          <w:tcPr>
            <w:tcW w:w="1648" w:type="dxa"/>
            <w:vAlign w:val="bottom"/>
          </w:tcPr>
          <w:p w:rsidR="00662946" w:rsidRDefault="00662946">
            <w:pPr>
              <w:spacing w:after="120"/>
              <w:jc w:val="both"/>
              <w:rPr>
                <w:rFonts w:hint="cs"/>
                <w:sz w:val="30"/>
              </w:rPr>
            </w:pPr>
            <w:r>
              <w:rPr>
                <w:sz w:val="30"/>
                <w:rtl/>
              </w:rPr>
              <w:t>631</w:t>
            </w:r>
            <w:r>
              <w:rPr>
                <w:rFonts w:hint="cs"/>
                <w:sz w:val="30"/>
                <w:rtl/>
              </w:rPr>
              <w:t xml:space="preserve"> 29</w:t>
            </w:r>
          </w:p>
        </w:tc>
        <w:tc>
          <w:tcPr>
            <w:tcW w:w="1545" w:type="dxa"/>
            <w:vAlign w:val="bottom"/>
          </w:tcPr>
          <w:p w:rsidR="00662946" w:rsidRDefault="00662946">
            <w:pPr>
              <w:spacing w:after="120"/>
              <w:jc w:val="both"/>
              <w:rPr>
                <w:rFonts w:hint="cs"/>
                <w:sz w:val="30"/>
              </w:rPr>
            </w:pPr>
            <w:r>
              <w:rPr>
                <w:sz w:val="30"/>
                <w:rtl/>
              </w:rPr>
              <w:t>232</w:t>
            </w:r>
            <w:r>
              <w:rPr>
                <w:rFonts w:hint="cs"/>
                <w:sz w:val="30"/>
                <w:rtl/>
              </w:rPr>
              <w:t xml:space="preserve"> 14</w:t>
            </w:r>
          </w:p>
        </w:tc>
        <w:tc>
          <w:tcPr>
            <w:tcW w:w="2069" w:type="dxa"/>
            <w:vAlign w:val="bottom"/>
          </w:tcPr>
          <w:p w:rsidR="00662946" w:rsidRDefault="00662946">
            <w:pPr>
              <w:spacing w:after="120"/>
              <w:jc w:val="center"/>
              <w:rPr>
                <w:sz w:val="30"/>
              </w:rPr>
            </w:pPr>
            <w:r>
              <w:rPr>
                <w:sz w:val="30"/>
                <w:rtl/>
              </w:rPr>
              <w:t>48</w:t>
            </w:r>
          </w:p>
        </w:tc>
      </w:tr>
      <w:tr w:rsidR="00662946">
        <w:trPr>
          <w:jc w:val="center"/>
        </w:trPr>
        <w:tc>
          <w:tcPr>
            <w:tcW w:w="1662" w:type="dxa"/>
            <w:vAlign w:val="bottom"/>
          </w:tcPr>
          <w:p w:rsidR="00662946" w:rsidRDefault="00662946">
            <w:pPr>
              <w:spacing w:after="120"/>
              <w:jc w:val="both"/>
              <w:rPr>
                <w:sz w:val="30"/>
              </w:rPr>
            </w:pPr>
            <w:r>
              <w:rPr>
                <w:sz w:val="30"/>
                <w:rtl/>
              </w:rPr>
              <w:t>1999</w:t>
            </w:r>
            <w:r>
              <w:rPr>
                <w:sz w:val="30"/>
              </w:rPr>
              <w:t>/</w:t>
            </w:r>
            <w:r>
              <w:rPr>
                <w:sz w:val="30"/>
                <w:rtl/>
              </w:rPr>
              <w:t>00</w:t>
            </w:r>
          </w:p>
        </w:tc>
        <w:tc>
          <w:tcPr>
            <w:tcW w:w="1648" w:type="dxa"/>
            <w:vAlign w:val="bottom"/>
          </w:tcPr>
          <w:p w:rsidR="00662946" w:rsidRDefault="00662946">
            <w:pPr>
              <w:spacing w:after="120"/>
              <w:jc w:val="both"/>
              <w:rPr>
                <w:rFonts w:hint="cs"/>
                <w:sz w:val="30"/>
              </w:rPr>
            </w:pPr>
            <w:r>
              <w:rPr>
                <w:sz w:val="30"/>
                <w:rtl/>
              </w:rPr>
              <w:t>975</w:t>
            </w:r>
            <w:r>
              <w:rPr>
                <w:rFonts w:hint="cs"/>
                <w:sz w:val="30"/>
                <w:rtl/>
              </w:rPr>
              <w:t xml:space="preserve"> 28</w:t>
            </w:r>
          </w:p>
        </w:tc>
        <w:tc>
          <w:tcPr>
            <w:tcW w:w="1545" w:type="dxa"/>
            <w:vAlign w:val="bottom"/>
          </w:tcPr>
          <w:p w:rsidR="00662946" w:rsidRDefault="00662946">
            <w:pPr>
              <w:spacing w:after="120"/>
              <w:jc w:val="both"/>
              <w:rPr>
                <w:rFonts w:hint="cs"/>
                <w:sz w:val="30"/>
              </w:rPr>
            </w:pPr>
            <w:r>
              <w:rPr>
                <w:sz w:val="30"/>
                <w:rtl/>
              </w:rPr>
              <w:t>984</w:t>
            </w:r>
            <w:r>
              <w:rPr>
                <w:rFonts w:hint="cs"/>
                <w:sz w:val="30"/>
                <w:rtl/>
              </w:rPr>
              <w:t xml:space="preserve"> 13</w:t>
            </w:r>
          </w:p>
        </w:tc>
        <w:tc>
          <w:tcPr>
            <w:tcW w:w="2069" w:type="dxa"/>
            <w:vAlign w:val="bottom"/>
          </w:tcPr>
          <w:p w:rsidR="00662946" w:rsidRDefault="00662946">
            <w:pPr>
              <w:spacing w:after="120"/>
              <w:jc w:val="center"/>
              <w:rPr>
                <w:sz w:val="30"/>
              </w:rPr>
            </w:pPr>
            <w:r>
              <w:rPr>
                <w:sz w:val="30"/>
                <w:rtl/>
              </w:rPr>
              <w:t>48</w:t>
            </w:r>
          </w:p>
        </w:tc>
      </w:tr>
      <w:tr w:rsidR="00662946">
        <w:trPr>
          <w:jc w:val="center"/>
        </w:trPr>
        <w:tc>
          <w:tcPr>
            <w:tcW w:w="1662" w:type="dxa"/>
            <w:vAlign w:val="bottom"/>
          </w:tcPr>
          <w:p w:rsidR="00662946" w:rsidRDefault="00662946">
            <w:pPr>
              <w:spacing w:after="120"/>
              <w:jc w:val="both"/>
              <w:rPr>
                <w:sz w:val="30"/>
              </w:rPr>
            </w:pPr>
            <w:r>
              <w:rPr>
                <w:sz w:val="30"/>
                <w:rtl/>
              </w:rPr>
              <w:t>2000</w:t>
            </w:r>
            <w:r>
              <w:rPr>
                <w:sz w:val="30"/>
              </w:rPr>
              <w:t>/</w:t>
            </w:r>
            <w:r>
              <w:rPr>
                <w:sz w:val="30"/>
                <w:rtl/>
              </w:rPr>
              <w:t>01</w:t>
            </w:r>
          </w:p>
        </w:tc>
        <w:tc>
          <w:tcPr>
            <w:tcW w:w="1648" w:type="dxa"/>
            <w:vAlign w:val="bottom"/>
          </w:tcPr>
          <w:p w:rsidR="00662946" w:rsidRDefault="00662946">
            <w:pPr>
              <w:spacing w:after="120"/>
              <w:jc w:val="both"/>
              <w:rPr>
                <w:rFonts w:hint="cs"/>
                <w:sz w:val="30"/>
              </w:rPr>
            </w:pPr>
            <w:r>
              <w:rPr>
                <w:sz w:val="30"/>
                <w:rtl/>
              </w:rPr>
              <w:t>618</w:t>
            </w:r>
            <w:r>
              <w:rPr>
                <w:rFonts w:hint="cs"/>
                <w:sz w:val="30"/>
                <w:rtl/>
              </w:rPr>
              <w:t xml:space="preserve"> 28</w:t>
            </w:r>
          </w:p>
        </w:tc>
        <w:tc>
          <w:tcPr>
            <w:tcW w:w="1545" w:type="dxa"/>
            <w:vAlign w:val="bottom"/>
          </w:tcPr>
          <w:p w:rsidR="00662946" w:rsidRDefault="00662946">
            <w:pPr>
              <w:spacing w:after="120"/>
              <w:jc w:val="both"/>
              <w:rPr>
                <w:rFonts w:hint="cs"/>
                <w:sz w:val="30"/>
              </w:rPr>
            </w:pPr>
            <w:r>
              <w:rPr>
                <w:sz w:val="30"/>
                <w:rtl/>
              </w:rPr>
              <w:t>627</w:t>
            </w:r>
            <w:r>
              <w:rPr>
                <w:rFonts w:hint="cs"/>
                <w:sz w:val="30"/>
                <w:rtl/>
              </w:rPr>
              <w:t xml:space="preserve"> 13</w:t>
            </w:r>
          </w:p>
        </w:tc>
        <w:tc>
          <w:tcPr>
            <w:tcW w:w="2069" w:type="dxa"/>
            <w:vAlign w:val="bottom"/>
          </w:tcPr>
          <w:p w:rsidR="00662946" w:rsidRDefault="00662946">
            <w:pPr>
              <w:spacing w:after="120"/>
              <w:jc w:val="center"/>
              <w:rPr>
                <w:sz w:val="30"/>
              </w:rPr>
            </w:pPr>
            <w:r>
              <w:rPr>
                <w:sz w:val="30"/>
                <w:rtl/>
              </w:rPr>
              <w:t>48</w:t>
            </w:r>
          </w:p>
        </w:tc>
      </w:tr>
      <w:tr w:rsidR="00662946">
        <w:trPr>
          <w:jc w:val="center"/>
        </w:trPr>
        <w:tc>
          <w:tcPr>
            <w:tcW w:w="1662" w:type="dxa"/>
            <w:vAlign w:val="bottom"/>
          </w:tcPr>
          <w:p w:rsidR="00662946" w:rsidRDefault="00662946">
            <w:pPr>
              <w:spacing w:after="120"/>
              <w:jc w:val="both"/>
              <w:rPr>
                <w:sz w:val="30"/>
              </w:rPr>
            </w:pPr>
            <w:r>
              <w:rPr>
                <w:sz w:val="30"/>
                <w:rtl/>
              </w:rPr>
              <w:t>2001</w:t>
            </w:r>
            <w:r>
              <w:rPr>
                <w:sz w:val="30"/>
              </w:rPr>
              <w:t>/</w:t>
            </w:r>
            <w:r>
              <w:rPr>
                <w:sz w:val="30"/>
                <w:rtl/>
              </w:rPr>
              <w:t>02</w:t>
            </w:r>
          </w:p>
        </w:tc>
        <w:tc>
          <w:tcPr>
            <w:tcW w:w="1648" w:type="dxa"/>
            <w:vAlign w:val="bottom"/>
          </w:tcPr>
          <w:p w:rsidR="00662946" w:rsidRDefault="00662946">
            <w:pPr>
              <w:spacing w:after="120"/>
              <w:jc w:val="both"/>
              <w:rPr>
                <w:rFonts w:hint="cs"/>
                <w:sz w:val="30"/>
              </w:rPr>
            </w:pPr>
            <w:r>
              <w:rPr>
                <w:sz w:val="30"/>
                <w:rtl/>
              </w:rPr>
              <w:t>955</w:t>
            </w:r>
            <w:r>
              <w:rPr>
                <w:rFonts w:hint="cs"/>
                <w:sz w:val="30"/>
                <w:rtl/>
              </w:rPr>
              <w:t xml:space="preserve"> 27</w:t>
            </w:r>
          </w:p>
        </w:tc>
        <w:tc>
          <w:tcPr>
            <w:tcW w:w="1545" w:type="dxa"/>
            <w:vAlign w:val="bottom"/>
          </w:tcPr>
          <w:p w:rsidR="00662946" w:rsidRDefault="00662946">
            <w:pPr>
              <w:spacing w:after="120"/>
              <w:jc w:val="both"/>
              <w:rPr>
                <w:rFonts w:hint="cs"/>
                <w:sz w:val="30"/>
              </w:rPr>
            </w:pPr>
            <w:r>
              <w:rPr>
                <w:sz w:val="30"/>
                <w:rtl/>
              </w:rPr>
              <w:t>367</w:t>
            </w:r>
            <w:r>
              <w:rPr>
                <w:rFonts w:hint="cs"/>
                <w:sz w:val="30"/>
                <w:rtl/>
              </w:rPr>
              <w:t xml:space="preserve"> 13</w:t>
            </w:r>
          </w:p>
        </w:tc>
        <w:tc>
          <w:tcPr>
            <w:tcW w:w="2069" w:type="dxa"/>
            <w:vAlign w:val="bottom"/>
          </w:tcPr>
          <w:p w:rsidR="00662946" w:rsidRDefault="00662946">
            <w:pPr>
              <w:spacing w:after="120"/>
              <w:jc w:val="center"/>
              <w:rPr>
                <w:sz w:val="30"/>
              </w:rPr>
            </w:pPr>
            <w:r>
              <w:rPr>
                <w:sz w:val="30"/>
                <w:rtl/>
              </w:rPr>
              <w:t>48</w:t>
            </w:r>
          </w:p>
        </w:tc>
      </w:tr>
    </w:tbl>
    <w:p w:rsidR="00662946" w:rsidRDefault="00662946">
      <w:pPr>
        <w:pStyle w:val="SingleTxt"/>
        <w:ind w:left="1264" w:right="1264"/>
        <w:jc w:val="both"/>
        <w:rPr>
          <w:rFonts w:hint="cs"/>
          <w:rtl/>
          <w:lang w:bidi="ar-EG"/>
        </w:rPr>
      </w:pPr>
      <w:r>
        <w:rPr>
          <w:rFonts w:hint="cs"/>
          <w:rtl/>
          <w:lang w:bidi="ar-EG"/>
        </w:rPr>
        <w:t>10-13</w:t>
      </w:r>
      <w:r>
        <w:rPr>
          <w:rFonts w:hint="cs"/>
          <w:rtl/>
          <w:lang w:bidi="ar-EG"/>
        </w:rPr>
        <w:tab/>
        <w:t>يبدأ التعليم الابتدائي في سن الخامسة ويستمر إلى سن الحادية عشرة عندما يأخذ التلاميذ امتحان الالتحاق العام. والنجاح في هذا الامتحان يؤهّل التلميذ للالتحاق بالمدرسة الثانوية. والتلاميذ الذين لا يجتازون الامتحان بنجاح يبقون في المدرسة الابتدائية إلى أن يبلغوا السن الإلزامي لترك المدرسة وهو الخامسة عشرة. ومن سنة 1994 إلى سنة 2002 تباينت النسبة المئوية للفتيات المسجلات في المدارس الابتدائية تبايناً طفيفاً وظلت أقل من 50 في المائة بقليل.</w:t>
      </w:r>
    </w:p>
    <w:p w:rsidR="00662946" w:rsidRDefault="00662946">
      <w:pPr>
        <w:pStyle w:val="SingleTxt"/>
        <w:ind w:left="1264" w:right="1264"/>
        <w:jc w:val="both"/>
        <w:rPr>
          <w:rFonts w:hint="cs"/>
          <w:b/>
          <w:bCs/>
          <w:rtl/>
          <w:lang w:bidi="ar-EG"/>
        </w:rPr>
      </w:pPr>
      <w:r>
        <w:rPr>
          <w:rFonts w:hint="cs"/>
          <w:b/>
          <w:bCs/>
          <w:rtl/>
          <w:lang w:bidi="ar-EG"/>
        </w:rPr>
        <w:t>المدارس الثانوية</w:t>
      </w:r>
    </w:p>
    <w:tbl>
      <w:tblPr>
        <w:bidiVisual/>
        <w:tblW w:w="0" w:type="auto"/>
        <w:jc w:val="center"/>
        <w:tblInd w:w="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4"/>
        <w:gridCol w:w="2462"/>
        <w:gridCol w:w="1864"/>
        <w:gridCol w:w="1872"/>
      </w:tblGrid>
      <w:tr w:rsidR="00662946">
        <w:trPr>
          <w:jc w:val="center"/>
        </w:trPr>
        <w:tc>
          <w:tcPr>
            <w:tcW w:w="8052" w:type="dxa"/>
            <w:gridSpan w:val="4"/>
          </w:tcPr>
          <w:p w:rsidR="00662946" w:rsidRDefault="00662946">
            <w:pPr>
              <w:tabs>
                <w:tab w:val="left" w:pos="-720"/>
              </w:tabs>
              <w:suppressAutoHyphens/>
              <w:jc w:val="center"/>
              <w:rPr>
                <w:rFonts w:hint="cs"/>
                <w:b/>
                <w:bCs/>
                <w:rtl/>
                <w:lang w:bidi="ar-EG"/>
              </w:rPr>
            </w:pPr>
            <w:r>
              <w:rPr>
                <w:rFonts w:hint="cs"/>
                <w:b/>
                <w:bCs/>
                <w:rtl/>
                <w:lang w:bidi="ar-EG"/>
              </w:rPr>
              <w:t>الجدول 10-7: النسبة المئوية للفتيات من مجموع عدد المسجلين في المدارس الثانوية،</w:t>
            </w:r>
          </w:p>
          <w:p w:rsidR="00662946" w:rsidRDefault="00662946">
            <w:pPr>
              <w:tabs>
                <w:tab w:val="left" w:pos="-720"/>
              </w:tabs>
              <w:suppressAutoHyphens/>
              <w:spacing w:after="120"/>
              <w:jc w:val="center"/>
              <w:rPr>
                <w:rFonts w:hint="cs"/>
                <w:b/>
                <w:bCs/>
                <w:spacing w:val="-3"/>
                <w:sz w:val="30"/>
                <w:rtl/>
                <w:lang w:val="en-GB"/>
              </w:rPr>
            </w:pPr>
            <w:r>
              <w:rPr>
                <w:rFonts w:hint="cs"/>
                <w:b/>
                <w:bCs/>
                <w:rtl/>
                <w:lang w:bidi="ar-EG"/>
              </w:rPr>
              <w:t>1994/1995 إلى 2001/2002</w:t>
            </w:r>
          </w:p>
        </w:tc>
      </w:tr>
      <w:tr w:rsidR="00662946">
        <w:trPr>
          <w:jc w:val="center"/>
        </w:trPr>
        <w:tc>
          <w:tcPr>
            <w:tcW w:w="1854" w:type="dxa"/>
            <w:vAlign w:val="center"/>
          </w:tcPr>
          <w:p w:rsidR="00662946" w:rsidRDefault="00662946">
            <w:pPr>
              <w:spacing w:after="120"/>
              <w:jc w:val="both"/>
              <w:rPr>
                <w:rFonts w:hint="cs"/>
                <w:b/>
                <w:bCs/>
                <w:sz w:val="30"/>
                <w:rtl/>
                <w:lang w:bidi="ar-EG"/>
              </w:rPr>
            </w:pPr>
            <w:r>
              <w:rPr>
                <w:rFonts w:hint="cs"/>
                <w:rtl/>
                <w:lang w:bidi="ar-EG"/>
              </w:rPr>
              <w:t>السنة</w:t>
            </w:r>
          </w:p>
        </w:tc>
        <w:tc>
          <w:tcPr>
            <w:tcW w:w="2462" w:type="dxa"/>
            <w:vAlign w:val="center"/>
          </w:tcPr>
          <w:p w:rsidR="00662946" w:rsidRDefault="00662946">
            <w:pPr>
              <w:spacing w:after="120"/>
              <w:jc w:val="center"/>
              <w:rPr>
                <w:b/>
                <w:bCs/>
                <w:sz w:val="30"/>
              </w:rPr>
            </w:pPr>
            <w:r>
              <w:rPr>
                <w:rFonts w:hint="cs"/>
                <w:rtl/>
                <w:lang w:bidi="ar-EG"/>
              </w:rPr>
              <w:t>عدد المسجلين (السنوات الأولى إلى الخامسة)</w:t>
            </w:r>
          </w:p>
        </w:tc>
        <w:tc>
          <w:tcPr>
            <w:tcW w:w="1864" w:type="dxa"/>
            <w:vAlign w:val="center"/>
          </w:tcPr>
          <w:p w:rsidR="00662946" w:rsidRDefault="00662946">
            <w:pPr>
              <w:spacing w:after="120"/>
              <w:jc w:val="center"/>
              <w:rPr>
                <w:b/>
                <w:bCs/>
                <w:sz w:val="30"/>
              </w:rPr>
            </w:pPr>
            <w:r>
              <w:rPr>
                <w:rFonts w:hint="cs"/>
                <w:rtl/>
                <w:lang w:bidi="ar-EG"/>
              </w:rPr>
              <w:t>عدد الفتيات</w:t>
            </w:r>
          </w:p>
        </w:tc>
        <w:tc>
          <w:tcPr>
            <w:tcW w:w="1872" w:type="dxa"/>
            <w:vAlign w:val="center"/>
          </w:tcPr>
          <w:p w:rsidR="00662946" w:rsidRDefault="00662946">
            <w:pPr>
              <w:spacing w:after="120"/>
              <w:jc w:val="center"/>
              <w:rPr>
                <w:b/>
                <w:bCs/>
                <w:sz w:val="30"/>
              </w:rPr>
            </w:pPr>
            <w:r>
              <w:rPr>
                <w:rFonts w:hint="cs"/>
                <w:rtl/>
                <w:lang w:bidi="ar-EG"/>
              </w:rPr>
              <w:t>النسبة المئوية للفتيات</w:t>
            </w:r>
          </w:p>
        </w:tc>
      </w:tr>
      <w:tr w:rsidR="00662946">
        <w:trPr>
          <w:jc w:val="center"/>
        </w:trPr>
        <w:tc>
          <w:tcPr>
            <w:tcW w:w="1854" w:type="dxa"/>
            <w:vAlign w:val="bottom"/>
          </w:tcPr>
          <w:p w:rsidR="00662946" w:rsidRDefault="00662946">
            <w:pPr>
              <w:spacing w:after="120"/>
              <w:jc w:val="both"/>
              <w:rPr>
                <w:sz w:val="30"/>
              </w:rPr>
            </w:pPr>
            <w:r>
              <w:rPr>
                <w:sz w:val="30"/>
                <w:rtl/>
              </w:rPr>
              <w:t>1994</w:t>
            </w:r>
            <w:r>
              <w:rPr>
                <w:sz w:val="30"/>
              </w:rPr>
              <w:t>/</w:t>
            </w:r>
            <w:r>
              <w:rPr>
                <w:sz w:val="30"/>
                <w:rtl/>
              </w:rPr>
              <w:t>95</w:t>
            </w:r>
          </w:p>
        </w:tc>
        <w:tc>
          <w:tcPr>
            <w:tcW w:w="2462" w:type="dxa"/>
            <w:vAlign w:val="bottom"/>
          </w:tcPr>
          <w:p w:rsidR="00662946" w:rsidRDefault="00662946">
            <w:pPr>
              <w:spacing w:after="120"/>
              <w:jc w:val="center"/>
              <w:rPr>
                <w:rFonts w:hint="cs"/>
                <w:sz w:val="30"/>
              </w:rPr>
            </w:pPr>
            <w:r>
              <w:rPr>
                <w:rFonts w:hint="cs"/>
                <w:sz w:val="30"/>
                <w:rtl/>
              </w:rPr>
              <w:t>190 10</w:t>
            </w:r>
          </w:p>
        </w:tc>
        <w:tc>
          <w:tcPr>
            <w:tcW w:w="1864" w:type="dxa"/>
            <w:vAlign w:val="bottom"/>
          </w:tcPr>
          <w:p w:rsidR="00662946" w:rsidRDefault="00662946">
            <w:pPr>
              <w:spacing w:after="120"/>
              <w:jc w:val="center"/>
              <w:rPr>
                <w:rFonts w:hint="cs"/>
                <w:sz w:val="30"/>
              </w:rPr>
            </w:pPr>
            <w:r>
              <w:rPr>
                <w:rFonts w:hint="cs"/>
                <w:sz w:val="30"/>
                <w:rtl/>
              </w:rPr>
              <w:t>755 5</w:t>
            </w:r>
          </w:p>
        </w:tc>
        <w:tc>
          <w:tcPr>
            <w:tcW w:w="1872" w:type="dxa"/>
            <w:vAlign w:val="bottom"/>
          </w:tcPr>
          <w:p w:rsidR="00662946" w:rsidRDefault="00662946">
            <w:pPr>
              <w:spacing w:after="120"/>
              <w:jc w:val="both"/>
              <w:rPr>
                <w:sz w:val="30"/>
              </w:rPr>
            </w:pPr>
            <w:r>
              <w:rPr>
                <w:sz w:val="30"/>
                <w:rtl/>
              </w:rPr>
              <w:t>56</w:t>
            </w:r>
          </w:p>
        </w:tc>
      </w:tr>
      <w:tr w:rsidR="00662946">
        <w:trPr>
          <w:jc w:val="center"/>
        </w:trPr>
        <w:tc>
          <w:tcPr>
            <w:tcW w:w="1854" w:type="dxa"/>
            <w:vAlign w:val="bottom"/>
          </w:tcPr>
          <w:p w:rsidR="00662946" w:rsidRDefault="00662946">
            <w:pPr>
              <w:spacing w:after="120"/>
              <w:jc w:val="both"/>
              <w:rPr>
                <w:sz w:val="30"/>
              </w:rPr>
            </w:pPr>
            <w:r>
              <w:rPr>
                <w:sz w:val="30"/>
                <w:rtl/>
              </w:rPr>
              <w:t>1995</w:t>
            </w:r>
            <w:r>
              <w:rPr>
                <w:sz w:val="30"/>
              </w:rPr>
              <w:t>/</w:t>
            </w:r>
            <w:r>
              <w:rPr>
                <w:sz w:val="30"/>
                <w:rtl/>
              </w:rPr>
              <w:t>96</w:t>
            </w:r>
          </w:p>
        </w:tc>
        <w:tc>
          <w:tcPr>
            <w:tcW w:w="2462" w:type="dxa"/>
            <w:vAlign w:val="bottom"/>
          </w:tcPr>
          <w:p w:rsidR="00662946" w:rsidRDefault="00662946">
            <w:pPr>
              <w:spacing w:after="120"/>
              <w:jc w:val="center"/>
              <w:rPr>
                <w:rFonts w:hint="cs"/>
                <w:sz w:val="30"/>
              </w:rPr>
            </w:pPr>
            <w:r>
              <w:rPr>
                <w:rFonts w:hint="cs"/>
                <w:sz w:val="30"/>
                <w:rtl/>
              </w:rPr>
              <w:t>314 10</w:t>
            </w:r>
          </w:p>
        </w:tc>
        <w:tc>
          <w:tcPr>
            <w:tcW w:w="1864" w:type="dxa"/>
            <w:vAlign w:val="bottom"/>
          </w:tcPr>
          <w:p w:rsidR="00662946" w:rsidRDefault="00662946">
            <w:pPr>
              <w:spacing w:after="120"/>
              <w:jc w:val="center"/>
              <w:rPr>
                <w:rFonts w:hint="cs"/>
                <w:sz w:val="30"/>
              </w:rPr>
            </w:pPr>
            <w:r>
              <w:rPr>
                <w:rFonts w:hint="cs"/>
                <w:sz w:val="30"/>
                <w:rtl/>
              </w:rPr>
              <w:t>883 5</w:t>
            </w:r>
          </w:p>
        </w:tc>
        <w:tc>
          <w:tcPr>
            <w:tcW w:w="1872" w:type="dxa"/>
            <w:vAlign w:val="bottom"/>
          </w:tcPr>
          <w:p w:rsidR="00662946" w:rsidRDefault="00662946">
            <w:pPr>
              <w:spacing w:after="120"/>
              <w:jc w:val="both"/>
              <w:rPr>
                <w:sz w:val="30"/>
              </w:rPr>
            </w:pPr>
            <w:r>
              <w:rPr>
                <w:sz w:val="30"/>
                <w:rtl/>
              </w:rPr>
              <w:t>57</w:t>
            </w:r>
          </w:p>
        </w:tc>
      </w:tr>
      <w:tr w:rsidR="00662946">
        <w:trPr>
          <w:jc w:val="center"/>
        </w:trPr>
        <w:tc>
          <w:tcPr>
            <w:tcW w:w="1854" w:type="dxa"/>
            <w:vAlign w:val="bottom"/>
          </w:tcPr>
          <w:p w:rsidR="00662946" w:rsidRDefault="00662946">
            <w:pPr>
              <w:spacing w:after="120"/>
              <w:jc w:val="both"/>
              <w:rPr>
                <w:sz w:val="30"/>
              </w:rPr>
            </w:pPr>
            <w:r>
              <w:rPr>
                <w:sz w:val="30"/>
                <w:rtl/>
              </w:rPr>
              <w:t>1996</w:t>
            </w:r>
            <w:r>
              <w:rPr>
                <w:sz w:val="30"/>
              </w:rPr>
              <w:t>/</w:t>
            </w:r>
            <w:r>
              <w:rPr>
                <w:sz w:val="30"/>
                <w:rtl/>
              </w:rPr>
              <w:t>97</w:t>
            </w:r>
          </w:p>
        </w:tc>
        <w:tc>
          <w:tcPr>
            <w:tcW w:w="2462" w:type="dxa"/>
            <w:vAlign w:val="bottom"/>
          </w:tcPr>
          <w:p w:rsidR="00662946" w:rsidRDefault="00662946">
            <w:pPr>
              <w:spacing w:after="120"/>
              <w:jc w:val="center"/>
              <w:rPr>
                <w:rFonts w:hint="cs"/>
                <w:sz w:val="30"/>
              </w:rPr>
            </w:pPr>
            <w:r>
              <w:rPr>
                <w:rFonts w:hint="cs"/>
                <w:sz w:val="30"/>
                <w:rtl/>
              </w:rPr>
              <w:t>082 11</w:t>
            </w:r>
          </w:p>
        </w:tc>
        <w:tc>
          <w:tcPr>
            <w:tcW w:w="1864" w:type="dxa"/>
            <w:vAlign w:val="bottom"/>
          </w:tcPr>
          <w:p w:rsidR="00662946" w:rsidRDefault="00662946">
            <w:pPr>
              <w:spacing w:after="120"/>
              <w:jc w:val="center"/>
              <w:rPr>
                <w:rFonts w:hint="cs"/>
                <w:sz w:val="30"/>
              </w:rPr>
            </w:pPr>
            <w:r>
              <w:rPr>
                <w:rFonts w:hint="cs"/>
                <w:sz w:val="30"/>
                <w:rtl/>
              </w:rPr>
              <w:t>212 6</w:t>
            </w:r>
          </w:p>
        </w:tc>
        <w:tc>
          <w:tcPr>
            <w:tcW w:w="1872" w:type="dxa"/>
            <w:vAlign w:val="bottom"/>
          </w:tcPr>
          <w:p w:rsidR="00662946" w:rsidRDefault="00662946">
            <w:pPr>
              <w:spacing w:after="120"/>
              <w:jc w:val="both"/>
              <w:rPr>
                <w:sz w:val="30"/>
              </w:rPr>
            </w:pPr>
            <w:r>
              <w:rPr>
                <w:sz w:val="30"/>
                <w:rtl/>
              </w:rPr>
              <w:t>56</w:t>
            </w:r>
          </w:p>
        </w:tc>
      </w:tr>
      <w:tr w:rsidR="00662946">
        <w:trPr>
          <w:jc w:val="center"/>
        </w:trPr>
        <w:tc>
          <w:tcPr>
            <w:tcW w:w="1854" w:type="dxa"/>
            <w:vAlign w:val="bottom"/>
          </w:tcPr>
          <w:p w:rsidR="00662946" w:rsidRDefault="00662946">
            <w:pPr>
              <w:spacing w:after="120"/>
              <w:jc w:val="both"/>
              <w:rPr>
                <w:sz w:val="30"/>
              </w:rPr>
            </w:pPr>
            <w:r>
              <w:rPr>
                <w:sz w:val="30"/>
                <w:rtl/>
              </w:rPr>
              <w:t>1997</w:t>
            </w:r>
            <w:r>
              <w:rPr>
                <w:sz w:val="30"/>
              </w:rPr>
              <w:t>/</w:t>
            </w:r>
            <w:r>
              <w:rPr>
                <w:sz w:val="30"/>
                <w:rtl/>
              </w:rPr>
              <w:t>98</w:t>
            </w:r>
          </w:p>
        </w:tc>
        <w:tc>
          <w:tcPr>
            <w:tcW w:w="2462" w:type="dxa"/>
            <w:vAlign w:val="bottom"/>
          </w:tcPr>
          <w:p w:rsidR="00662946" w:rsidRDefault="00662946">
            <w:pPr>
              <w:spacing w:after="120"/>
              <w:jc w:val="center"/>
              <w:rPr>
                <w:rFonts w:hint="cs"/>
                <w:sz w:val="30"/>
              </w:rPr>
            </w:pPr>
            <w:r>
              <w:rPr>
                <w:rFonts w:hint="cs"/>
                <w:sz w:val="30"/>
                <w:rtl/>
              </w:rPr>
              <w:t>450 11</w:t>
            </w:r>
          </w:p>
        </w:tc>
        <w:tc>
          <w:tcPr>
            <w:tcW w:w="1864" w:type="dxa"/>
            <w:vAlign w:val="bottom"/>
          </w:tcPr>
          <w:p w:rsidR="00662946" w:rsidRDefault="00662946">
            <w:pPr>
              <w:spacing w:after="120"/>
              <w:jc w:val="center"/>
              <w:rPr>
                <w:rFonts w:hint="cs"/>
                <w:sz w:val="30"/>
              </w:rPr>
            </w:pPr>
            <w:r>
              <w:rPr>
                <w:rFonts w:hint="cs"/>
                <w:sz w:val="30"/>
                <w:rtl/>
              </w:rPr>
              <w:t>490 6</w:t>
            </w:r>
          </w:p>
        </w:tc>
        <w:tc>
          <w:tcPr>
            <w:tcW w:w="1872" w:type="dxa"/>
            <w:vAlign w:val="bottom"/>
          </w:tcPr>
          <w:p w:rsidR="00662946" w:rsidRDefault="00662946">
            <w:pPr>
              <w:spacing w:after="120"/>
              <w:jc w:val="both"/>
              <w:rPr>
                <w:sz w:val="30"/>
              </w:rPr>
            </w:pPr>
            <w:r>
              <w:rPr>
                <w:sz w:val="30"/>
                <w:rtl/>
              </w:rPr>
              <w:t>56</w:t>
            </w:r>
          </w:p>
        </w:tc>
      </w:tr>
      <w:tr w:rsidR="00662946">
        <w:trPr>
          <w:jc w:val="center"/>
        </w:trPr>
        <w:tc>
          <w:tcPr>
            <w:tcW w:w="1854" w:type="dxa"/>
            <w:vAlign w:val="bottom"/>
          </w:tcPr>
          <w:p w:rsidR="00662946" w:rsidRDefault="00662946">
            <w:pPr>
              <w:spacing w:after="120"/>
              <w:jc w:val="both"/>
              <w:rPr>
                <w:sz w:val="30"/>
              </w:rPr>
            </w:pPr>
            <w:r>
              <w:rPr>
                <w:sz w:val="30"/>
                <w:rtl/>
              </w:rPr>
              <w:t>1998</w:t>
            </w:r>
            <w:r>
              <w:rPr>
                <w:sz w:val="30"/>
              </w:rPr>
              <w:t>/</w:t>
            </w:r>
            <w:r>
              <w:rPr>
                <w:sz w:val="30"/>
                <w:rtl/>
              </w:rPr>
              <w:t>99</w:t>
            </w:r>
          </w:p>
        </w:tc>
        <w:tc>
          <w:tcPr>
            <w:tcW w:w="2462" w:type="dxa"/>
            <w:vAlign w:val="bottom"/>
          </w:tcPr>
          <w:p w:rsidR="00662946" w:rsidRDefault="00662946">
            <w:pPr>
              <w:spacing w:after="120"/>
              <w:jc w:val="center"/>
              <w:rPr>
                <w:rFonts w:hint="cs"/>
                <w:sz w:val="30"/>
              </w:rPr>
            </w:pPr>
            <w:r>
              <w:rPr>
                <w:rFonts w:hint="cs"/>
                <w:sz w:val="30"/>
                <w:rtl/>
              </w:rPr>
              <w:t>847 11</w:t>
            </w:r>
          </w:p>
        </w:tc>
        <w:tc>
          <w:tcPr>
            <w:tcW w:w="1864" w:type="dxa"/>
            <w:vAlign w:val="bottom"/>
          </w:tcPr>
          <w:p w:rsidR="00662946" w:rsidRDefault="00662946">
            <w:pPr>
              <w:spacing w:after="120"/>
              <w:jc w:val="center"/>
              <w:rPr>
                <w:rFonts w:hint="cs"/>
                <w:sz w:val="30"/>
              </w:rPr>
            </w:pPr>
            <w:r>
              <w:rPr>
                <w:rFonts w:hint="cs"/>
                <w:sz w:val="30"/>
                <w:rtl/>
              </w:rPr>
              <w:t>441 6</w:t>
            </w:r>
          </w:p>
        </w:tc>
        <w:tc>
          <w:tcPr>
            <w:tcW w:w="1872" w:type="dxa"/>
            <w:vAlign w:val="bottom"/>
          </w:tcPr>
          <w:p w:rsidR="00662946" w:rsidRDefault="00662946">
            <w:pPr>
              <w:spacing w:after="120"/>
              <w:jc w:val="both"/>
              <w:rPr>
                <w:sz w:val="30"/>
              </w:rPr>
            </w:pPr>
            <w:r>
              <w:rPr>
                <w:sz w:val="30"/>
                <w:rtl/>
              </w:rPr>
              <w:t>54</w:t>
            </w:r>
          </w:p>
        </w:tc>
      </w:tr>
      <w:tr w:rsidR="00662946">
        <w:trPr>
          <w:jc w:val="center"/>
        </w:trPr>
        <w:tc>
          <w:tcPr>
            <w:tcW w:w="1854" w:type="dxa"/>
            <w:vAlign w:val="bottom"/>
          </w:tcPr>
          <w:p w:rsidR="00662946" w:rsidRDefault="00662946">
            <w:pPr>
              <w:spacing w:after="120"/>
              <w:jc w:val="both"/>
              <w:rPr>
                <w:sz w:val="30"/>
              </w:rPr>
            </w:pPr>
            <w:r>
              <w:rPr>
                <w:sz w:val="30"/>
                <w:rtl/>
              </w:rPr>
              <w:t>1999</w:t>
            </w:r>
            <w:r>
              <w:rPr>
                <w:sz w:val="30"/>
              </w:rPr>
              <w:t>/</w:t>
            </w:r>
            <w:r>
              <w:rPr>
                <w:sz w:val="30"/>
                <w:rtl/>
              </w:rPr>
              <w:t>00</w:t>
            </w:r>
          </w:p>
        </w:tc>
        <w:tc>
          <w:tcPr>
            <w:tcW w:w="2462" w:type="dxa"/>
            <w:vAlign w:val="bottom"/>
          </w:tcPr>
          <w:p w:rsidR="00662946" w:rsidRDefault="00662946">
            <w:pPr>
              <w:spacing w:after="120"/>
              <w:jc w:val="center"/>
              <w:rPr>
                <w:rFonts w:hint="cs"/>
                <w:sz w:val="30"/>
              </w:rPr>
            </w:pPr>
            <w:r>
              <w:rPr>
                <w:rFonts w:hint="cs"/>
                <w:sz w:val="30"/>
                <w:rtl/>
              </w:rPr>
              <w:t>530 12</w:t>
            </w:r>
          </w:p>
        </w:tc>
        <w:tc>
          <w:tcPr>
            <w:tcW w:w="1864" w:type="dxa"/>
            <w:vAlign w:val="bottom"/>
          </w:tcPr>
          <w:p w:rsidR="00662946" w:rsidRDefault="00662946">
            <w:pPr>
              <w:spacing w:after="120"/>
              <w:jc w:val="center"/>
              <w:rPr>
                <w:rFonts w:hint="cs"/>
                <w:sz w:val="30"/>
              </w:rPr>
            </w:pPr>
            <w:r>
              <w:rPr>
                <w:rFonts w:hint="cs"/>
                <w:sz w:val="30"/>
                <w:rtl/>
              </w:rPr>
              <w:t>172 7</w:t>
            </w:r>
          </w:p>
        </w:tc>
        <w:tc>
          <w:tcPr>
            <w:tcW w:w="1872" w:type="dxa"/>
            <w:vAlign w:val="bottom"/>
          </w:tcPr>
          <w:p w:rsidR="00662946" w:rsidRDefault="00662946">
            <w:pPr>
              <w:spacing w:after="120"/>
              <w:jc w:val="both"/>
              <w:rPr>
                <w:sz w:val="30"/>
              </w:rPr>
            </w:pPr>
            <w:r>
              <w:rPr>
                <w:sz w:val="30"/>
                <w:rtl/>
              </w:rPr>
              <w:t>57</w:t>
            </w:r>
          </w:p>
        </w:tc>
      </w:tr>
      <w:tr w:rsidR="00662946">
        <w:trPr>
          <w:jc w:val="center"/>
        </w:trPr>
        <w:tc>
          <w:tcPr>
            <w:tcW w:w="1854" w:type="dxa"/>
            <w:vAlign w:val="bottom"/>
          </w:tcPr>
          <w:p w:rsidR="00662946" w:rsidRDefault="00662946">
            <w:pPr>
              <w:spacing w:after="120"/>
              <w:jc w:val="both"/>
              <w:rPr>
                <w:sz w:val="30"/>
              </w:rPr>
            </w:pPr>
            <w:r>
              <w:rPr>
                <w:sz w:val="30"/>
                <w:rtl/>
              </w:rPr>
              <w:t>2000</w:t>
            </w:r>
            <w:r>
              <w:rPr>
                <w:sz w:val="30"/>
              </w:rPr>
              <w:t>/</w:t>
            </w:r>
            <w:r>
              <w:rPr>
                <w:sz w:val="30"/>
                <w:rtl/>
              </w:rPr>
              <w:t>01</w:t>
            </w:r>
          </w:p>
        </w:tc>
        <w:tc>
          <w:tcPr>
            <w:tcW w:w="2462" w:type="dxa"/>
            <w:vAlign w:val="bottom"/>
          </w:tcPr>
          <w:p w:rsidR="00662946" w:rsidRDefault="00662946">
            <w:pPr>
              <w:spacing w:after="120"/>
              <w:jc w:val="center"/>
              <w:rPr>
                <w:rFonts w:hint="cs"/>
                <w:sz w:val="30"/>
              </w:rPr>
            </w:pPr>
            <w:r>
              <w:rPr>
                <w:rFonts w:hint="cs"/>
                <w:sz w:val="30"/>
                <w:rtl/>
              </w:rPr>
              <w:t>738 12</w:t>
            </w:r>
          </w:p>
        </w:tc>
        <w:tc>
          <w:tcPr>
            <w:tcW w:w="1864" w:type="dxa"/>
            <w:vAlign w:val="bottom"/>
          </w:tcPr>
          <w:p w:rsidR="00662946" w:rsidRDefault="00662946">
            <w:pPr>
              <w:spacing w:after="120"/>
              <w:jc w:val="center"/>
              <w:rPr>
                <w:rFonts w:hint="cs"/>
                <w:sz w:val="30"/>
              </w:rPr>
            </w:pPr>
            <w:r>
              <w:rPr>
                <w:rFonts w:hint="cs"/>
                <w:sz w:val="30"/>
                <w:rtl/>
              </w:rPr>
              <w:t>194 7</w:t>
            </w:r>
          </w:p>
        </w:tc>
        <w:tc>
          <w:tcPr>
            <w:tcW w:w="1872" w:type="dxa"/>
            <w:vAlign w:val="bottom"/>
          </w:tcPr>
          <w:p w:rsidR="00662946" w:rsidRDefault="00662946">
            <w:pPr>
              <w:spacing w:after="120"/>
              <w:jc w:val="both"/>
              <w:rPr>
                <w:sz w:val="30"/>
              </w:rPr>
            </w:pPr>
            <w:r>
              <w:rPr>
                <w:sz w:val="30"/>
                <w:rtl/>
              </w:rPr>
              <w:t>56</w:t>
            </w:r>
          </w:p>
        </w:tc>
      </w:tr>
      <w:tr w:rsidR="00662946">
        <w:trPr>
          <w:jc w:val="center"/>
        </w:trPr>
        <w:tc>
          <w:tcPr>
            <w:tcW w:w="1854" w:type="dxa"/>
            <w:vAlign w:val="bottom"/>
          </w:tcPr>
          <w:p w:rsidR="00662946" w:rsidRDefault="00662946">
            <w:pPr>
              <w:spacing w:after="120"/>
              <w:jc w:val="both"/>
              <w:rPr>
                <w:sz w:val="30"/>
              </w:rPr>
            </w:pPr>
            <w:r>
              <w:rPr>
                <w:sz w:val="30"/>
                <w:rtl/>
              </w:rPr>
              <w:t>2001</w:t>
            </w:r>
            <w:r>
              <w:rPr>
                <w:sz w:val="30"/>
              </w:rPr>
              <w:t>/</w:t>
            </w:r>
            <w:r>
              <w:rPr>
                <w:sz w:val="30"/>
                <w:rtl/>
              </w:rPr>
              <w:t>02</w:t>
            </w:r>
          </w:p>
        </w:tc>
        <w:tc>
          <w:tcPr>
            <w:tcW w:w="2462" w:type="dxa"/>
            <w:vAlign w:val="bottom"/>
          </w:tcPr>
          <w:p w:rsidR="00662946" w:rsidRDefault="00662946">
            <w:pPr>
              <w:spacing w:after="120"/>
              <w:jc w:val="center"/>
              <w:rPr>
                <w:rFonts w:hint="cs"/>
                <w:sz w:val="30"/>
              </w:rPr>
            </w:pPr>
            <w:r>
              <w:rPr>
                <w:rFonts w:hint="cs"/>
                <w:sz w:val="30"/>
                <w:rtl/>
              </w:rPr>
              <w:t>743 12</w:t>
            </w:r>
          </w:p>
        </w:tc>
        <w:tc>
          <w:tcPr>
            <w:tcW w:w="1864" w:type="dxa"/>
            <w:vAlign w:val="bottom"/>
          </w:tcPr>
          <w:p w:rsidR="00662946" w:rsidRDefault="00662946">
            <w:pPr>
              <w:spacing w:after="120"/>
              <w:jc w:val="center"/>
              <w:rPr>
                <w:rFonts w:hint="cs"/>
                <w:sz w:val="30"/>
              </w:rPr>
            </w:pPr>
            <w:r>
              <w:rPr>
                <w:rFonts w:hint="cs"/>
                <w:sz w:val="30"/>
                <w:rtl/>
              </w:rPr>
              <w:t>255 7</w:t>
            </w:r>
          </w:p>
        </w:tc>
        <w:tc>
          <w:tcPr>
            <w:tcW w:w="1872" w:type="dxa"/>
            <w:vAlign w:val="bottom"/>
          </w:tcPr>
          <w:p w:rsidR="00662946" w:rsidRDefault="00662946">
            <w:pPr>
              <w:spacing w:after="120"/>
              <w:jc w:val="both"/>
              <w:rPr>
                <w:sz w:val="30"/>
              </w:rPr>
            </w:pPr>
            <w:r>
              <w:rPr>
                <w:sz w:val="30"/>
                <w:rtl/>
              </w:rPr>
              <w:t>57</w:t>
            </w:r>
          </w:p>
        </w:tc>
      </w:tr>
    </w:tbl>
    <w:p w:rsidR="00662946" w:rsidRDefault="00662946">
      <w:pPr>
        <w:pStyle w:val="SingleTxt"/>
        <w:ind w:left="1264" w:right="1264"/>
        <w:jc w:val="both"/>
        <w:rPr>
          <w:rFonts w:hint="cs"/>
          <w:rtl/>
          <w:lang w:bidi="ar-EG"/>
        </w:rPr>
      </w:pPr>
    </w:p>
    <w:tbl>
      <w:tblPr>
        <w:bidiVisual/>
        <w:tblW w:w="9522" w:type="dxa"/>
        <w:jc w:val="center"/>
        <w:tblLook w:val="0000" w:firstRow="0" w:lastRow="0" w:firstColumn="0" w:lastColumn="0" w:noHBand="0" w:noVBand="0"/>
      </w:tblPr>
      <w:tblGrid>
        <w:gridCol w:w="3806"/>
        <w:gridCol w:w="2069"/>
        <w:gridCol w:w="1648"/>
        <w:gridCol w:w="1999"/>
      </w:tblGrid>
      <w:tr w:rsidR="00662946">
        <w:trPr>
          <w:trHeight w:val="520"/>
          <w:jc w:val="center"/>
        </w:trPr>
        <w:tc>
          <w:tcPr>
            <w:tcW w:w="9522" w:type="dxa"/>
            <w:gridSpan w:val="4"/>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rFonts w:hint="cs"/>
                <w:b/>
                <w:bCs/>
                <w:sz w:val="30"/>
              </w:rPr>
            </w:pPr>
            <w:r>
              <w:rPr>
                <w:rFonts w:hint="cs"/>
                <w:b/>
                <w:bCs/>
                <w:rtl/>
                <w:lang w:bidi="ar-EG"/>
              </w:rPr>
              <w:t>الجدول 10-8: المدارس الثانوية مرتبة حسب نسبة الفتيات، 2001/2002</w:t>
            </w:r>
          </w:p>
        </w:tc>
      </w:tr>
      <w:tr w:rsidR="00662946">
        <w:trPr>
          <w:trHeight w:val="520"/>
          <w:jc w:val="center"/>
        </w:trPr>
        <w:tc>
          <w:tcPr>
            <w:tcW w:w="3806"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 w:val="30"/>
              </w:rPr>
            </w:pPr>
            <w:r>
              <w:rPr>
                <w:rFonts w:hint="cs"/>
                <w:rtl/>
                <w:lang w:bidi="ar-EG"/>
              </w:rPr>
              <w:t>اسم المدرسة الثانوية</w:t>
            </w:r>
          </w:p>
        </w:tc>
        <w:tc>
          <w:tcPr>
            <w:tcW w:w="2069"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 w:val="30"/>
              </w:rPr>
            </w:pPr>
            <w:r>
              <w:rPr>
                <w:rFonts w:hint="cs"/>
                <w:rtl/>
                <w:lang w:bidi="ar-EG"/>
              </w:rPr>
              <w:t>مجموع عدد المسجلين</w:t>
            </w:r>
          </w:p>
        </w:tc>
        <w:tc>
          <w:tcPr>
            <w:tcW w:w="1648"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 w:val="30"/>
              </w:rPr>
            </w:pPr>
            <w:r>
              <w:rPr>
                <w:rFonts w:hint="cs"/>
                <w:rtl/>
                <w:lang w:bidi="ar-EG"/>
              </w:rPr>
              <w:t>عدد الفتيات</w:t>
            </w:r>
          </w:p>
        </w:tc>
        <w:tc>
          <w:tcPr>
            <w:tcW w:w="1999"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 w:val="30"/>
              </w:rPr>
            </w:pPr>
            <w:r>
              <w:rPr>
                <w:rFonts w:hint="cs"/>
                <w:rtl/>
                <w:lang w:bidi="ar-EG"/>
              </w:rPr>
              <w:t>النسبة المئوية للفتيات</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سانت جوزيف</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700</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700</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100</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كاستريس الشاملة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825</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550</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67</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بياي الثانوية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491</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299</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61</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تشازل الثانوية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560</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336</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60</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 xml:space="preserve">معسكر فيو-فور الشامل </w:t>
            </w:r>
            <w:r>
              <w:rPr>
                <w:rtl/>
                <w:lang w:bidi="ar-EG"/>
              </w:rPr>
              <w:t>–</w:t>
            </w:r>
            <w:r>
              <w:rPr>
                <w:rFonts w:hint="cs"/>
                <w:rtl/>
                <w:lang w:bidi="ar-EG"/>
              </w:rPr>
              <w:t xml:space="preserve"> ألف</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590</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352</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60</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كورنت الثانوية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783</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466</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60</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أنس جير</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481</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283</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59</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ليون هس الشاملة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772</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453</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59</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كلندون ميسون التذكارية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579</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333</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58</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 xml:space="preserve">المعسكر باء </w:t>
            </w:r>
            <w:r>
              <w:rPr>
                <w:rtl/>
                <w:lang w:bidi="ar-EG"/>
              </w:rPr>
              <w:t>–</w:t>
            </w:r>
            <w:r>
              <w:rPr>
                <w:rFonts w:hint="cs"/>
                <w:rtl/>
                <w:lang w:bidi="ar-EG"/>
              </w:rPr>
              <w:t xml:space="preserve"> مدرسة فيو-فور الشاملة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941</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538</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57</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سوفريير الشاملة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741</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421</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57</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ميكود الشاملة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767</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427</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56</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أنتربو الثانوية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709</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393</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55</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فيد بوتي الثانوية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669</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370</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55</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بابونوه الثانوية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537</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289</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54</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سير أيراسيمونز</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696</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373</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54</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بوكاج الثانوية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589</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312</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53</w:t>
            </w:r>
          </w:p>
        </w:tc>
      </w:tr>
      <w:tr w:rsidR="00662946">
        <w:trPr>
          <w:trHeight w:val="255"/>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مدرسة جورج شارل الثانوية</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702</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360</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51</w:t>
            </w:r>
          </w:p>
        </w:tc>
      </w:tr>
      <w:tr w:rsidR="00662946">
        <w:trPr>
          <w:trHeight w:val="270"/>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rFonts w:hint="cs"/>
                <w:rtl/>
                <w:lang w:bidi="ar-EG"/>
              </w:rPr>
              <w:t>كلية سانت ميري</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611</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0</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0</w:t>
            </w:r>
          </w:p>
        </w:tc>
      </w:tr>
      <w:tr w:rsidR="00662946">
        <w:trPr>
          <w:trHeight w:val="270"/>
          <w:jc w:val="center"/>
        </w:trPr>
        <w:tc>
          <w:tcPr>
            <w:tcW w:w="380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b/>
                <w:bCs/>
                <w:sz w:val="30"/>
              </w:rPr>
            </w:pPr>
            <w:r>
              <w:rPr>
                <w:rFonts w:hint="cs"/>
                <w:rtl/>
                <w:lang w:bidi="ar-EG"/>
              </w:rPr>
              <w:t>مجموع المدارس</w:t>
            </w:r>
          </w:p>
        </w:tc>
        <w:tc>
          <w:tcPr>
            <w:tcW w:w="206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b/>
                <w:bCs/>
                <w:sz w:val="30"/>
              </w:rPr>
            </w:pPr>
            <w:r>
              <w:rPr>
                <w:b/>
                <w:bCs/>
                <w:sz w:val="30"/>
                <w:rtl/>
              </w:rPr>
              <w:t>743</w:t>
            </w:r>
            <w:r>
              <w:rPr>
                <w:rFonts w:hint="cs"/>
                <w:b/>
                <w:bCs/>
                <w:sz w:val="30"/>
                <w:rtl/>
              </w:rPr>
              <w:t xml:space="preserve"> 12</w:t>
            </w:r>
          </w:p>
        </w:tc>
        <w:tc>
          <w:tcPr>
            <w:tcW w:w="164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b/>
                <w:bCs/>
                <w:sz w:val="30"/>
              </w:rPr>
            </w:pPr>
            <w:r>
              <w:rPr>
                <w:b/>
                <w:bCs/>
                <w:sz w:val="30"/>
                <w:rtl/>
              </w:rPr>
              <w:t>255</w:t>
            </w:r>
            <w:r>
              <w:rPr>
                <w:rFonts w:hint="cs"/>
                <w:b/>
                <w:bCs/>
                <w:sz w:val="30"/>
                <w:rtl/>
              </w:rPr>
              <w:t xml:space="preserve"> 7</w:t>
            </w:r>
          </w:p>
        </w:tc>
        <w:tc>
          <w:tcPr>
            <w:tcW w:w="19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b/>
                <w:bCs/>
                <w:sz w:val="30"/>
              </w:rPr>
            </w:pPr>
            <w:r>
              <w:rPr>
                <w:b/>
                <w:bCs/>
                <w:sz w:val="30"/>
                <w:rtl/>
              </w:rPr>
              <w:t>57</w:t>
            </w:r>
          </w:p>
        </w:tc>
      </w:tr>
    </w:tbl>
    <w:p w:rsidR="00662946" w:rsidRDefault="00662946">
      <w:pPr>
        <w:pStyle w:val="SingleTxt"/>
        <w:ind w:left="1264" w:right="1264"/>
        <w:jc w:val="both"/>
        <w:rPr>
          <w:rFonts w:hint="cs"/>
          <w:rtl/>
          <w:lang w:bidi="ar-EG"/>
        </w:rPr>
      </w:pPr>
    </w:p>
    <w:p w:rsidR="00662946" w:rsidRDefault="00662946">
      <w:pPr>
        <w:pStyle w:val="SingleTxt"/>
        <w:ind w:left="1264" w:right="1264"/>
        <w:jc w:val="both"/>
        <w:rPr>
          <w:rFonts w:hint="cs"/>
          <w:rtl/>
          <w:lang w:bidi="ar-EG"/>
        </w:rPr>
      </w:pPr>
      <w:r>
        <w:rPr>
          <w:rFonts w:hint="cs"/>
          <w:rtl/>
          <w:lang w:bidi="ar-EG"/>
        </w:rPr>
        <w:t>10-14</w:t>
      </w:r>
      <w:r>
        <w:rPr>
          <w:rFonts w:hint="cs"/>
          <w:rtl/>
          <w:lang w:bidi="ar-EG"/>
        </w:rPr>
        <w:tab/>
        <w:t>خلال السنة الدراسية 2001/2002 كانت الفتيات يمثلن معظم طلبة المدارس الثانوية. وكانت النسبة المئوية للفتيات في المدارس المختلطة أو المشتركة تتراوح بين 51 في المائة في مدرسة جورج شارل الثانوية و 67 في المائة في مدرسة كاستريز الثانوية الشاملة. وكلية سانت ميري هي مدرسة للبنين فقط ودير سانت جوزيف هو مدرسة للفتيات فقط، ومن ثم فإن سجل الأولى من البنات صفر في المائة والثانية 100 في المائة من الفتيات. وعلى وجه العموم فإنه بنهاية الفترة المشمولة بالتقرير كانت الفتيات يمثلن 57 في المائة من مجموع عدد طلبة المدارس الثانوية. ومن سنة 1994 إلى سنة 2002 اختلفت نسبة الفتيات في نظام التعليم الثانوي اختلافا طفيفاً فقط من 54 إلى 57 في المائة.</w:t>
      </w:r>
    </w:p>
    <w:p w:rsidR="00662946" w:rsidRDefault="00662946">
      <w:pPr>
        <w:pStyle w:val="SingleTxt"/>
        <w:ind w:left="1264" w:right="1264"/>
        <w:jc w:val="both"/>
        <w:rPr>
          <w:rFonts w:hint="cs"/>
          <w:rtl/>
          <w:lang w:bidi="ar-EG"/>
        </w:rPr>
      </w:pPr>
      <w:r>
        <w:rPr>
          <w:rFonts w:hint="cs"/>
          <w:rtl/>
          <w:lang w:bidi="ar-EG"/>
        </w:rPr>
        <w:t>10-15</w:t>
      </w:r>
      <w:r>
        <w:rPr>
          <w:rFonts w:hint="cs"/>
          <w:rtl/>
          <w:lang w:bidi="ar-EG"/>
        </w:rPr>
        <w:tab/>
        <w:t>نظراً لأن الالتحاق بالمدارس الثانوية يتحدد بالأداء في امتحان الالتحاق العام فحسب فإن النتائج الواردة في الجدولين 10-7 و 10-8 تبيّن أن الفتيات يؤدون أفضل من البنين في امتحان الالتحاق العام. وفي حين أن هذا شيء جيد ويدل على حسن نوعية التعليم وحصول الفتيات على الفرص فإن هذه الظاهرة المتنامية يجب أن تخضع للرصد لأنها تؤثِّر بلا شك في البنين والرجال والواقع في المجتمع بوجه عام.</w:t>
      </w:r>
    </w:p>
    <w:p w:rsidR="00662946" w:rsidRDefault="00662946">
      <w:pPr>
        <w:pStyle w:val="SingleTxt"/>
        <w:ind w:left="1264" w:right="1264"/>
        <w:jc w:val="both"/>
        <w:rPr>
          <w:rFonts w:hint="cs"/>
          <w:rtl/>
          <w:lang w:bidi="ar-EG"/>
        </w:rPr>
      </w:pPr>
      <w:r>
        <w:rPr>
          <w:rFonts w:hint="cs"/>
          <w:rtl/>
          <w:lang w:bidi="ar-EG"/>
        </w:rPr>
        <w:t>10-16</w:t>
      </w:r>
      <w:r>
        <w:rPr>
          <w:rFonts w:hint="cs"/>
          <w:rtl/>
          <w:lang w:bidi="ar-EG"/>
        </w:rPr>
        <w:tab/>
        <w:t xml:space="preserve">في غياب بيانات مصنّفة حسب الجنس عن أداء الطلبة في نظام المدارس الثانوية يبيّن الجدول الوارد أدناه قدراً من المقارنة. وكما ذُكر من قبل فإن دير سان جوزيف هو مدرسة ثانوية للفتيات فقط. وكلية سانت ميري هي مدرسة ثانوية للبنين فقط. وجميع المدارس الثانوية الحكومية الأخرى مدارس مختلطة. أو مشتركة وفي الفترة من سنة 1992 إلى 2002 كان أداء فتيات دير سان جوزيف تؤدي أفضل من أداء طلبة جميع المدارس الثانوية الأخرى، بما في ذلك طلبة كلية سانت ميري. وكان الفرق بالنسبة المئوية بين معدلات النجاح في دير سانت جوزيف وأقرب منافس له (وهو مدرسة سانت ميري) يتراوح بين 5.29 في المائة على مدى السنوات الإحدى عشرة. </w:t>
      </w:r>
    </w:p>
    <w:p w:rsidR="00662946" w:rsidRDefault="00662946">
      <w:pPr>
        <w:pStyle w:val="SingleTxt"/>
        <w:ind w:left="1264" w:right="1264"/>
        <w:jc w:val="both"/>
        <w:rPr>
          <w:rFonts w:hint="cs"/>
          <w:rtl/>
          <w:lang w:bidi="ar-EG"/>
        </w:rPr>
      </w:pPr>
    </w:p>
    <w:tbl>
      <w:tblPr>
        <w:bidiVisual/>
        <w:tblW w:w="10081" w:type="dxa"/>
        <w:jc w:val="center"/>
        <w:tblLook w:val="0000" w:firstRow="0" w:lastRow="0" w:firstColumn="0" w:lastColumn="0" w:noHBand="0" w:noVBand="0"/>
      </w:tblPr>
      <w:tblGrid>
        <w:gridCol w:w="2425"/>
        <w:gridCol w:w="728"/>
        <w:gridCol w:w="728"/>
        <w:gridCol w:w="728"/>
        <w:gridCol w:w="728"/>
        <w:gridCol w:w="728"/>
        <w:gridCol w:w="728"/>
        <w:gridCol w:w="728"/>
        <w:gridCol w:w="728"/>
        <w:gridCol w:w="728"/>
        <w:gridCol w:w="728"/>
        <w:gridCol w:w="728"/>
      </w:tblGrid>
      <w:tr w:rsidR="00662946">
        <w:trPr>
          <w:trHeight w:val="552"/>
          <w:jc w:val="center"/>
        </w:trPr>
        <w:tc>
          <w:tcPr>
            <w:tcW w:w="10081" w:type="dxa"/>
            <w:gridSpan w:val="12"/>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rtl/>
                <w:lang w:bidi="ar-EG"/>
              </w:rPr>
            </w:pPr>
            <w:r>
              <w:rPr>
                <w:rFonts w:hint="cs"/>
                <w:b/>
                <w:bCs/>
                <w:rtl/>
              </w:rPr>
              <w:t xml:space="preserve">الجدول 10-9: معدلات النجاح بالنسب المئوية في المدارس الثانوية العامة في امتحانات </w:t>
            </w:r>
            <w:r>
              <w:rPr>
                <w:b/>
                <w:bCs/>
              </w:rPr>
              <w:t>CXC</w:t>
            </w:r>
            <w:r>
              <w:rPr>
                <w:rFonts w:hint="cs"/>
                <w:b/>
                <w:bCs/>
                <w:rtl/>
                <w:lang w:bidi="ar-EG"/>
              </w:rPr>
              <w:t xml:space="preserve"> العامة والكفاءة التقنية، 1992 إلى 2002</w:t>
            </w:r>
          </w:p>
        </w:tc>
      </w:tr>
      <w:tr w:rsidR="00662946">
        <w:trPr>
          <w:trHeight w:val="270"/>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b/>
                <w:bCs/>
                <w:sz w:val="24"/>
                <w:szCs w:val="24"/>
              </w:rPr>
            </w:pPr>
            <w:r>
              <w:rPr>
                <w:rFonts w:hint="cs"/>
                <w:b/>
                <w:bCs/>
                <w:sz w:val="24"/>
                <w:szCs w:val="24"/>
                <w:rtl/>
              </w:rPr>
              <w:t>المدرسة الثانوية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b/>
                <w:bCs/>
                <w:sz w:val="24"/>
                <w:szCs w:val="24"/>
              </w:rPr>
            </w:pPr>
            <w:r>
              <w:rPr>
                <w:b/>
                <w:bCs/>
                <w:sz w:val="24"/>
                <w:szCs w:val="24"/>
                <w:rtl/>
              </w:rPr>
              <w:t>1992</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b/>
                <w:bCs/>
                <w:sz w:val="24"/>
                <w:szCs w:val="24"/>
              </w:rPr>
            </w:pPr>
            <w:r>
              <w:rPr>
                <w:b/>
                <w:bCs/>
                <w:sz w:val="24"/>
                <w:szCs w:val="24"/>
                <w:rtl/>
              </w:rPr>
              <w:t>1993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b/>
                <w:bCs/>
                <w:sz w:val="24"/>
                <w:szCs w:val="24"/>
              </w:rPr>
            </w:pPr>
            <w:r>
              <w:rPr>
                <w:b/>
                <w:bCs/>
                <w:sz w:val="24"/>
                <w:szCs w:val="24"/>
                <w:rtl/>
              </w:rPr>
              <w:t>1994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b/>
                <w:bCs/>
                <w:sz w:val="24"/>
                <w:szCs w:val="24"/>
              </w:rPr>
            </w:pPr>
            <w:r>
              <w:rPr>
                <w:b/>
                <w:bCs/>
                <w:sz w:val="24"/>
                <w:szCs w:val="24"/>
                <w:rtl/>
              </w:rPr>
              <w:t>1995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b/>
                <w:bCs/>
                <w:sz w:val="24"/>
                <w:szCs w:val="24"/>
              </w:rPr>
            </w:pPr>
            <w:r>
              <w:rPr>
                <w:b/>
                <w:bCs/>
                <w:sz w:val="24"/>
                <w:szCs w:val="24"/>
                <w:rtl/>
              </w:rPr>
              <w:t>1996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b/>
                <w:bCs/>
                <w:sz w:val="24"/>
                <w:szCs w:val="24"/>
              </w:rPr>
            </w:pPr>
            <w:r>
              <w:rPr>
                <w:b/>
                <w:bCs/>
                <w:sz w:val="24"/>
                <w:szCs w:val="24"/>
                <w:rtl/>
              </w:rPr>
              <w:t>1997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b/>
                <w:bCs/>
                <w:sz w:val="24"/>
                <w:szCs w:val="24"/>
              </w:rPr>
            </w:pPr>
            <w:r>
              <w:rPr>
                <w:b/>
                <w:bCs/>
                <w:sz w:val="24"/>
                <w:szCs w:val="24"/>
                <w:rtl/>
              </w:rPr>
              <w:t>1998</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b/>
                <w:bCs/>
                <w:sz w:val="24"/>
                <w:szCs w:val="24"/>
              </w:rPr>
            </w:pPr>
            <w:r>
              <w:rPr>
                <w:b/>
                <w:bCs/>
                <w:sz w:val="24"/>
                <w:szCs w:val="24"/>
                <w:rtl/>
              </w:rPr>
              <w:t>1999</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b/>
                <w:bCs/>
                <w:sz w:val="24"/>
                <w:szCs w:val="24"/>
              </w:rPr>
            </w:pPr>
            <w:r>
              <w:rPr>
                <w:b/>
                <w:bCs/>
                <w:sz w:val="24"/>
                <w:szCs w:val="24"/>
                <w:rtl/>
              </w:rPr>
              <w:t>2000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b/>
                <w:bCs/>
                <w:sz w:val="24"/>
                <w:szCs w:val="24"/>
              </w:rPr>
            </w:pPr>
            <w:r>
              <w:rPr>
                <w:b/>
                <w:bCs/>
                <w:sz w:val="24"/>
                <w:szCs w:val="24"/>
                <w:rtl/>
              </w:rPr>
              <w:t>2001</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b/>
                <w:bCs/>
                <w:sz w:val="24"/>
                <w:szCs w:val="24"/>
              </w:rPr>
            </w:pPr>
            <w:r>
              <w:rPr>
                <w:b/>
                <w:bCs/>
                <w:sz w:val="24"/>
                <w:szCs w:val="24"/>
                <w:rtl/>
              </w:rPr>
              <w:t>2002</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دير سانت جوزيف</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84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85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86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87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90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87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93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92</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93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96</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98</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سانت ميري</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72</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79</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88</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78</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79</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73</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84</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ليون هيس الشاملة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59</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62</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71</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82</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86</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كاستريس الشاملة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59</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72</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72</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78</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81</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فيو فور الشاملة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rFonts w:hint="cs"/>
                <w:sz w:val="24"/>
                <w:szCs w:val="24"/>
                <w:rtl/>
                <w:lang w:bidi="ar-EG"/>
              </w:rPr>
            </w:pPr>
            <w:r>
              <w:rPr>
                <w:sz w:val="24"/>
                <w:szCs w:val="24"/>
                <w:rtl/>
              </w:rPr>
              <w:t>51</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68</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69</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72</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80</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80</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كليندون ميسون التذكارية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34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62</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69</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75</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سوفرير الشاملة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rFonts w:hint="cs"/>
                <w:sz w:val="24"/>
                <w:szCs w:val="24"/>
                <w:rtl/>
                <w:lang w:bidi="ar-EG"/>
              </w:rPr>
            </w:pPr>
            <w:r>
              <w:rPr>
                <w:sz w:val="24"/>
                <w:szCs w:val="24"/>
                <w:rtl/>
              </w:rPr>
              <w:t>39</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51</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72</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68</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شوازيل الثانوية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rFonts w:hint="cs"/>
                <w:sz w:val="24"/>
                <w:szCs w:val="24"/>
                <w:rtl/>
                <w:lang w:bidi="ar-EG"/>
              </w:rPr>
            </w:pPr>
            <w:r>
              <w:rPr>
                <w:sz w:val="24"/>
                <w:szCs w:val="24"/>
                <w:rtl/>
              </w:rPr>
              <w:t>54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71</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61</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68</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69</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79</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83</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كياي الثانوية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60</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53</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سير إيرا سيموس</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37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36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4634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41</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48</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59</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54</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58</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كورنت الثانوية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rFonts w:hint="cs"/>
                <w:sz w:val="24"/>
                <w:szCs w:val="24"/>
                <w:rtl/>
                <w:lang w:bidi="ar-EG"/>
              </w:rPr>
            </w:pPr>
            <w:r>
              <w:rPr>
                <w:sz w:val="24"/>
                <w:szCs w:val="24"/>
                <w:rtl/>
              </w:rPr>
              <w:t>30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51</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68</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62</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63</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61</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انتربوت الثانوية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42</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52</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59</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63</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68</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ميكود الثانوية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38</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49</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68</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57</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51</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57</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68</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فيد بوتيه الثانوية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rFonts w:hint="cs"/>
                <w:sz w:val="24"/>
                <w:szCs w:val="24"/>
                <w:rtl/>
                <w:lang w:bidi="ar-EG"/>
              </w:rPr>
            </w:pPr>
            <w:r>
              <w:rPr>
                <w:sz w:val="24"/>
                <w:szCs w:val="24"/>
                <w:rtl/>
              </w:rPr>
              <w:t>26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18</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rFonts w:hint="cs"/>
                <w:sz w:val="24"/>
                <w:szCs w:val="24"/>
              </w:rPr>
            </w:pPr>
            <w:r>
              <w:rPr>
                <w:sz w:val="24"/>
                <w:szCs w:val="24"/>
                <w:rtl/>
              </w:rPr>
              <w:t>34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36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39</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41</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56</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60</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جورج كارليس الثانوية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32</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43</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28</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46</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49</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56</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بابونو الثانوية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40</w:t>
            </w:r>
          </w:p>
        </w:tc>
      </w:tr>
      <w:tr w:rsidR="00662946">
        <w:trPr>
          <w:trHeight w:val="255"/>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انس جير الثانوية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43</w:t>
            </w:r>
          </w:p>
        </w:tc>
      </w:tr>
      <w:tr w:rsidR="00662946">
        <w:trPr>
          <w:trHeight w:val="270"/>
          <w:jc w:val="center"/>
        </w:trPr>
        <w:tc>
          <w:tcPr>
            <w:tcW w:w="242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Pr>
            </w:pPr>
            <w:r>
              <w:rPr>
                <w:rFonts w:hint="cs"/>
                <w:sz w:val="24"/>
                <w:szCs w:val="24"/>
                <w:rtl/>
              </w:rPr>
              <w:t>مدرسة بوكاج الثانوية</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Pr>
              <w:t xml:space="preserve">----- </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20</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44</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65</w:t>
            </w:r>
          </w:p>
        </w:tc>
        <w:tc>
          <w:tcPr>
            <w:tcW w:w="696" w:type="dxa"/>
            <w:tcBorders>
              <w:top w:val="single" w:sz="8" w:space="0" w:color="auto"/>
              <w:left w:val="nil"/>
              <w:bottom w:val="single" w:sz="8" w:space="0" w:color="auto"/>
              <w:right w:val="single" w:sz="4" w:space="0" w:color="auto"/>
            </w:tcBorders>
            <w:noWrap/>
            <w:vAlign w:val="bottom"/>
          </w:tcPr>
          <w:p w:rsidR="00662946" w:rsidRDefault="00662946">
            <w:pPr>
              <w:spacing w:after="120"/>
              <w:jc w:val="both"/>
              <w:rPr>
                <w:sz w:val="24"/>
                <w:szCs w:val="24"/>
              </w:rPr>
            </w:pPr>
            <w:r>
              <w:rPr>
                <w:sz w:val="24"/>
                <w:szCs w:val="24"/>
                <w:rtl/>
              </w:rPr>
              <w:t>54</w:t>
            </w:r>
          </w:p>
        </w:tc>
        <w:tc>
          <w:tcPr>
            <w:tcW w:w="69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24"/>
                <w:szCs w:val="24"/>
              </w:rPr>
            </w:pPr>
            <w:r>
              <w:rPr>
                <w:sz w:val="24"/>
                <w:szCs w:val="24"/>
                <w:rtl/>
              </w:rPr>
              <w:t>54</w:t>
            </w:r>
          </w:p>
        </w:tc>
      </w:tr>
      <w:tr w:rsidR="00662946">
        <w:trPr>
          <w:trHeight w:val="270"/>
          <w:jc w:val="center"/>
        </w:trPr>
        <w:tc>
          <w:tcPr>
            <w:tcW w:w="10081" w:type="dxa"/>
            <w:gridSpan w:val="12"/>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Cs w:val="20"/>
                <w:rtl/>
                <w:lang w:bidi="ar-EG"/>
              </w:rPr>
            </w:pPr>
            <w:r>
              <w:rPr>
                <w:rFonts w:hint="cs"/>
                <w:szCs w:val="20"/>
                <w:rtl/>
              </w:rPr>
              <w:t>المصدر: الموجز الإحصائي للتعليم، 2002.</w:t>
            </w:r>
          </w:p>
        </w:tc>
      </w:tr>
    </w:tbl>
    <w:p w:rsidR="00662946" w:rsidRDefault="00662946">
      <w:pPr>
        <w:pStyle w:val="SingleTxt"/>
        <w:ind w:left="1264" w:right="1264"/>
        <w:jc w:val="both"/>
        <w:rPr>
          <w:rFonts w:hint="cs"/>
          <w:rtl/>
          <w:lang w:bidi="ar-EG"/>
        </w:rPr>
      </w:pPr>
    </w:p>
    <w:p w:rsidR="00662946" w:rsidRDefault="00662946">
      <w:pPr>
        <w:pStyle w:val="SingleTxt"/>
        <w:ind w:left="1264" w:right="1264"/>
        <w:jc w:val="both"/>
        <w:rPr>
          <w:rFonts w:hint="cs"/>
          <w:rtl/>
          <w:lang w:bidi="ar-EG"/>
        </w:rPr>
      </w:pPr>
      <w:r>
        <w:rPr>
          <w:rFonts w:hint="cs"/>
          <w:rtl/>
          <w:lang w:bidi="ar-EG"/>
        </w:rPr>
        <w:t>10-17</w:t>
      </w:r>
      <w:r>
        <w:rPr>
          <w:rFonts w:hint="cs"/>
          <w:rtl/>
          <w:lang w:bidi="ar-EG"/>
        </w:rPr>
        <w:tab/>
        <w:t>على الرغم من عدم وجود بيانات عن أداء كل من الفتيات والأولاد في المدارس المشتركة فإن البيانات الواردة في الجدول أعلاه تبين:</w:t>
      </w:r>
    </w:p>
    <w:p w:rsidR="00662946" w:rsidRDefault="00662946">
      <w:pPr>
        <w:pStyle w:val="SingleTxt"/>
        <w:ind w:left="2528" w:right="1264" w:hanging="1264"/>
        <w:jc w:val="both"/>
        <w:rPr>
          <w:rFonts w:hint="cs"/>
          <w:rtl/>
          <w:lang w:bidi="ar-EG"/>
        </w:rPr>
      </w:pPr>
      <w:r>
        <w:rPr>
          <w:rFonts w:hint="cs"/>
          <w:rtl/>
          <w:lang w:bidi="ar-EG"/>
        </w:rPr>
        <w:tab/>
      </w:r>
      <w:r>
        <w:rPr>
          <w:rFonts w:hint="cs"/>
          <w:rtl/>
          <w:lang w:bidi="ar-EG"/>
        </w:rPr>
        <w:tab/>
        <w:t>•</w:t>
      </w:r>
      <w:r>
        <w:rPr>
          <w:rFonts w:hint="cs"/>
          <w:rtl/>
          <w:lang w:bidi="ar-EG"/>
        </w:rPr>
        <w:tab/>
        <w:t>أن أداء المدارس التي تضم جنسا واحدا أفضل من أداء المدارس المشتركة على الرغم من أنه ليس من الأكيد أن الفصل بين الجنسين يسهم في هذا الأداء الأفضل.</w:t>
      </w:r>
    </w:p>
    <w:p w:rsidR="00662946" w:rsidRDefault="00662946">
      <w:pPr>
        <w:pStyle w:val="SingleTxt"/>
        <w:ind w:left="2528" w:right="1264" w:hanging="1264"/>
        <w:jc w:val="both"/>
        <w:rPr>
          <w:rFonts w:hint="cs"/>
        </w:rPr>
      </w:pPr>
      <w:r>
        <w:rPr>
          <w:rFonts w:hint="cs"/>
          <w:rtl/>
          <w:lang w:bidi="ar-EG"/>
        </w:rPr>
        <w:tab/>
      </w:r>
      <w:r>
        <w:rPr>
          <w:rFonts w:hint="cs"/>
          <w:rtl/>
          <w:lang w:bidi="ar-EG"/>
        </w:rPr>
        <w:tab/>
        <w:t>•</w:t>
      </w:r>
      <w:r>
        <w:rPr>
          <w:rFonts w:hint="cs"/>
          <w:rtl/>
          <w:lang w:bidi="ar-EG"/>
        </w:rPr>
        <w:tab/>
        <w:t>لم تضر طالبات مدارس البنات فقط من ناحية نوعية التعليم الذي حصلن عليه، ولذا فإن أدائهن كان أفضل من أداء سائر الطلبة في المدارس المشتركة وفي مدارس البنين فقط.</w:t>
      </w:r>
    </w:p>
    <w:p w:rsidR="00662946" w:rsidRDefault="00662946">
      <w:pPr>
        <w:pStyle w:val="SingleTxt"/>
        <w:ind w:left="1264" w:right="1264"/>
        <w:jc w:val="both"/>
        <w:rPr>
          <w:rFonts w:hint="cs"/>
          <w:b/>
          <w:bCs/>
        </w:rPr>
      </w:pPr>
      <w:r>
        <w:rPr>
          <w:rFonts w:hint="cs"/>
          <w:b/>
          <w:bCs/>
          <w:rtl/>
          <w:lang w:bidi="ar-EG"/>
        </w:rPr>
        <w:t>التعليم العالي</w:t>
      </w:r>
    </w:p>
    <w:p w:rsidR="00662946" w:rsidRDefault="00662946">
      <w:pPr>
        <w:pStyle w:val="SingleTxt"/>
        <w:ind w:left="1264" w:right="1264"/>
        <w:jc w:val="both"/>
        <w:rPr>
          <w:rFonts w:hint="cs"/>
          <w:rtl/>
          <w:lang w:bidi="ar-EG"/>
        </w:rPr>
      </w:pPr>
      <w:r>
        <w:rPr>
          <w:rFonts w:hint="cs"/>
          <w:rtl/>
          <w:lang w:bidi="ar-EG"/>
        </w:rPr>
        <w:t>10-18</w:t>
      </w:r>
      <w:r>
        <w:rPr>
          <w:rFonts w:hint="cs"/>
          <w:rtl/>
          <w:lang w:bidi="ar-EG"/>
        </w:rPr>
        <w:tab/>
        <w:t>أصبح التعليم العالي جانباً مهماً من التعليم بشكل متزايد في سانت لوسيا. وبالنسبة للجزء المبكر من هذه الفترة سادت البلد وهي كلية سير أرثر لويس المجتمعية، وهي المؤسسة الوحيدة للتعليم العال،ي في تقديم التعليم على ذلك المستوى. ولم تكن كلية سير أرثر لويس المجتمعية موجودة في بداية الفترة المشمولة بالاستعراض. وكان هناك ثلاث مؤسسات بعد المستوى الثانوي هي كلية المستوى ألف وكلية معلمي سانت لوسيا والكلية التقنية. وتوجد جميع هذه المؤسسات الثلاث في مارن فورج على مسافة خمسة أميال من العاصمة كاستريز. وفي سنة 1985 اُتخذ قرار بإدماج هذه المؤسسات في الكلية المجتمعية في ثلاث شُعب رئيسية هي: شعبة التعليم التقني والدراسات الإدارية وشعبة الفنون والدراسات العلمية والعامة وشعبة تعليم المعلمين والإدارة التعليمية.</w:t>
      </w:r>
    </w:p>
    <w:p w:rsidR="00662946" w:rsidRDefault="00662946">
      <w:pPr>
        <w:pStyle w:val="SingleTxt"/>
        <w:ind w:left="1264" w:right="1264"/>
        <w:jc w:val="both"/>
        <w:rPr>
          <w:rFonts w:hint="cs"/>
          <w:rtl/>
          <w:lang w:bidi="ar-EG"/>
        </w:rPr>
      </w:pPr>
      <w:r>
        <w:rPr>
          <w:rFonts w:hint="cs"/>
          <w:rtl/>
          <w:lang w:bidi="ar-EG"/>
        </w:rPr>
        <w:t>10-19</w:t>
      </w:r>
      <w:r>
        <w:rPr>
          <w:rFonts w:hint="cs"/>
          <w:rtl/>
          <w:lang w:bidi="ar-EG"/>
        </w:rPr>
        <w:tab/>
        <w:t>تشكل ثلاث شعب أخرى جزءاً من الكلية المجتمعية وهي شعبة الزراعة (التي أُنشئت في سنة 1993) وإدارة التمريض والتربية وإدارة التعليم المستمر. وقد أُنشئت إدارة التعليم المستمر في سنة 1988 باعتبارها مكملة للبرنامج العادي للكلية. وكان يقدَّم في تلك الإدارة عدد من الدورات الدراسية النسائية لغير المتفرغين. كما تقدِّم جامعة الإنديز وجزر الهند الغربية التعليم العالي عن طريق إدارة التعليم المستمر. ويتولى مجلس محافظين تعينه الحكومة إدارة المعهد. وبحلول سنة 1996 أُنشئت إدارة فيو فور العالية وهي تابعة لمدرسة فيو فور الشاملة في جنوب الجزيرة باعتبارها امتداداً للكلية المجتمعية.</w:t>
      </w:r>
    </w:p>
    <w:p w:rsidR="00662946" w:rsidRDefault="00662946">
      <w:pPr>
        <w:pStyle w:val="SingleTxt"/>
        <w:ind w:left="1264" w:right="1264"/>
        <w:jc w:val="both"/>
        <w:rPr>
          <w:rFonts w:hint="cs"/>
        </w:rPr>
      </w:pPr>
      <w:r>
        <w:rPr>
          <w:rFonts w:hint="cs"/>
          <w:rtl/>
          <w:lang w:bidi="ar-EG"/>
        </w:rPr>
        <w:t>10-20</w:t>
      </w:r>
      <w:r>
        <w:rPr>
          <w:rFonts w:hint="cs"/>
          <w:rtl/>
          <w:lang w:bidi="ar-EG"/>
        </w:rPr>
        <w:tab/>
        <w:t>في سنة 1987 ركزت شعبة تعليم المعلمين والإدارة التعليمية لأول مرة على تدريب المعلمين الذين لهم مدة خدمة لا تقل عن 10 سنوات والذين لا تتوافر فيهم شروط الالتحاق لمتابعة البرنامج العادي المقدَّم إلى معلمي المدارس الابتدائية والثانوية. ومعظم الذين استفادوا من هذه الفرصة التدريبية كانوا من معلمات المدارس الابتدائية.</w:t>
      </w:r>
    </w:p>
    <w:p w:rsidR="00662946" w:rsidRDefault="00662946">
      <w:pPr>
        <w:pStyle w:val="SingleTxt"/>
        <w:ind w:left="1264" w:right="1264"/>
        <w:jc w:val="both"/>
      </w:pPr>
    </w:p>
    <w:tbl>
      <w:tblPr>
        <w:bidiVisual/>
        <w:tblW w:w="10012" w:type="dxa"/>
        <w:jc w:val="center"/>
        <w:tblLook w:val="0000" w:firstRow="0" w:lastRow="0" w:firstColumn="0" w:lastColumn="0" w:noHBand="0" w:noVBand="0"/>
      </w:tblPr>
      <w:tblGrid>
        <w:gridCol w:w="867"/>
        <w:gridCol w:w="970"/>
        <w:gridCol w:w="916"/>
        <w:gridCol w:w="1133"/>
        <w:gridCol w:w="721"/>
        <w:gridCol w:w="1282"/>
        <w:gridCol w:w="881"/>
        <w:gridCol w:w="1339"/>
        <w:gridCol w:w="1392"/>
        <w:gridCol w:w="646"/>
      </w:tblGrid>
      <w:tr w:rsidR="00662946">
        <w:trPr>
          <w:trHeight w:val="552"/>
          <w:jc w:val="center"/>
        </w:trPr>
        <w:tc>
          <w:tcPr>
            <w:tcW w:w="10012" w:type="dxa"/>
            <w:gridSpan w:val="10"/>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rtl/>
                <w:lang w:bidi="ar-EG"/>
              </w:rPr>
            </w:pPr>
            <w:r>
              <w:rPr>
                <w:rFonts w:hint="cs"/>
                <w:b/>
                <w:bCs/>
                <w:rtl/>
                <w:lang w:bidi="ar-EG"/>
              </w:rPr>
              <w:t>الجدول 10-10 أ: عدد المسجَّلين حسب الشُعب الرئيسية للتخصص في كلية سير أرثر لويس المجتمعية عنوان عام 1993/1994 إلى 2001/2002</w:t>
            </w:r>
          </w:p>
        </w:tc>
      </w:tr>
      <w:tr w:rsidR="00662946">
        <w:trPr>
          <w:cantSplit/>
          <w:trHeight w:val="270"/>
          <w:jc w:val="center"/>
        </w:trPr>
        <w:tc>
          <w:tcPr>
            <w:tcW w:w="867" w:type="dxa"/>
            <w:vMerge w:val="restart"/>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4"/>
                <w:szCs w:val="24"/>
              </w:rPr>
            </w:pPr>
            <w:r>
              <w:rPr>
                <w:rFonts w:hint="cs"/>
                <w:b/>
                <w:bCs/>
                <w:sz w:val="24"/>
                <w:szCs w:val="24"/>
                <w:rtl/>
                <w:lang w:bidi="ar-EG"/>
              </w:rPr>
              <w:t>السنة</w:t>
            </w:r>
          </w:p>
        </w:tc>
        <w:tc>
          <w:tcPr>
            <w:tcW w:w="8499" w:type="dxa"/>
            <w:gridSpan w:val="8"/>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rFonts w:hint="cs"/>
                <w:b/>
                <w:bCs/>
                <w:sz w:val="24"/>
                <w:szCs w:val="24"/>
              </w:rPr>
            </w:pPr>
            <w:r>
              <w:rPr>
                <w:rFonts w:hint="cs"/>
                <w:b/>
                <w:bCs/>
                <w:sz w:val="24"/>
                <w:szCs w:val="24"/>
                <w:rtl/>
              </w:rPr>
              <w:t>الشعبة/الإدارة</w:t>
            </w:r>
          </w:p>
        </w:tc>
        <w:tc>
          <w:tcPr>
            <w:tcW w:w="646" w:type="dxa"/>
            <w:vMerge w:val="restart"/>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Cs w:val="20"/>
              </w:rPr>
            </w:pPr>
            <w:r>
              <w:rPr>
                <w:rFonts w:hint="cs"/>
                <w:b/>
                <w:bCs/>
                <w:szCs w:val="20"/>
                <w:rtl/>
              </w:rPr>
              <w:t>المجموع</w:t>
            </w:r>
          </w:p>
        </w:tc>
      </w:tr>
      <w:tr w:rsidR="00662946">
        <w:trPr>
          <w:cantSplit/>
          <w:trHeight w:val="552"/>
          <w:jc w:val="center"/>
        </w:trPr>
        <w:tc>
          <w:tcPr>
            <w:tcW w:w="867"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 w:val="24"/>
                <w:szCs w:val="24"/>
              </w:rPr>
            </w:pPr>
          </w:p>
        </w:tc>
        <w:tc>
          <w:tcPr>
            <w:tcW w:w="835"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rFonts w:hint="cs"/>
                <w:b/>
                <w:bCs/>
                <w:szCs w:val="20"/>
              </w:rPr>
            </w:pPr>
            <w:r>
              <w:rPr>
                <w:rFonts w:hint="cs"/>
                <w:b/>
                <w:bCs/>
                <w:sz w:val="18"/>
                <w:szCs w:val="24"/>
                <w:rtl/>
              </w:rPr>
              <w:t>إدارة التعليم التقني والدراسات الإدارية</w:t>
            </w:r>
          </w:p>
        </w:tc>
        <w:tc>
          <w:tcPr>
            <w:tcW w:w="916"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b/>
                <w:bCs/>
                <w:sz w:val="18"/>
                <w:szCs w:val="24"/>
              </w:rPr>
            </w:pPr>
            <w:r>
              <w:rPr>
                <w:b/>
                <w:bCs/>
                <w:sz w:val="18"/>
                <w:szCs w:val="24"/>
              </w:rPr>
              <w:t>DTEMS</w:t>
            </w:r>
          </w:p>
        </w:tc>
        <w:tc>
          <w:tcPr>
            <w:tcW w:w="1133"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18"/>
                <w:szCs w:val="24"/>
                <w:rtl/>
                <w:lang w:bidi="ar-EG"/>
              </w:rPr>
            </w:pPr>
            <w:r>
              <w:rPr>
                <w:rFonts w:hint="cs"/>
                <w:b/>
                <w:bCs/>
                <w:sz w:val="18"/>
                <w:szCs w:val="24"/>
                <w:rtl/>
                <w:lang w:bidi="ar-EG"/>
              </w:rPr>
              <w:t>تعليم المعلمين</w:t>
            </w:r>
          </w:p>
        </w:tc>
        <w:tc>
          <w:tcPr>
            <w:tcW w:w="721"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b/>
                <w:bCs/>
                <w:sz w:val="18"/>
                <w:szCs w:val="24"/>
              </w:rPr>
            </w:pPr>
            <w:r>
              <w:rPr>
                <w:b/>
                <w:bCs/>
                <w:sz w:val="18"/>
                <w:szCs w:val="24"/>
              </w:rPr>
              <w:t>UWI</w:t>
            </w:r>
          </w:p>
        </w:tc>
        <w:tc>
          <w:tcPr>
            <w:tcW w:w="1282"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24"/>
                <w:szCs w:val="24"/>
              </w:rPr>
            </w:pPr>
            <w:r>
              <w:rPr>
                <w:rFonts w:hint="cs"/>
                <w:b/>
                <w:bCs/>
                <w:sz w:val="24"/>
                <w:szCs w:val="24"/>
                <w:rtl/>
                <w:lang w:bidi="ar-EG"/>
              </w:rPr>
              <w:t>العلوم الصحية</w:t>
            </w:r>
          </w:p>
        </w:tc>
        <w:tc>
          <w:tcPr>
            <w:tcW w:w="881"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24"/>
                <w:szCs w:val="24"/>
              </w:rPr>
            </w:pPr>
            <w:r>
              <w:rPr>
                <w:rFonts w:hint="cs"/>
                <w:b/>
                <w:bCs/>
                <w:sz w:val="24"/>
                <w:szCs w:val="24"/>
                <w:rtl/>
              </w:rPr>
              <w:t>الزراعة</w:t>
            </w:r>
          </w:p>
        </w:tc>
        <w:tc>
          <w:tcPr>
            <w:tcW w:w="1339"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24"/>
                <w:szCs w:val="24"/>
              </w:rPr>
            </w:pPr>
            <w:r>
              <w:rPr>
                <w:rFonts w:hint="cs"/>
                <w:b/>
                <w:bCs/>
                <w:sz w:val="24"/>
                <w:szCs w:val="24"/>
                <w:rtl/>
                <w:lang w:bidi="ar-EG"/>
              </w:rPr>
              <w:t>الاقتصاد المنزلي</w:t>
            </w:r>
          </w:p>
        </w:tc>
        <w:tc>
          <w:tcPr>
            <w:tcW w:w="1392"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24"/>
                <w:szCs w:val="24"/>
              </w:rPr>
            </w:pPr>
            <w:r>
              <w:rPr>
                <w:rFonts w:hint="cs"/>
                <w:b/>
                <w:bCs/>
                <w:sz w:val="24"/>
                <w:szCs w:val="24"/>
                <w:rtl/>
              </w:rPr>
              <w:t>التعليم المستمر</w:t>
            </w:r>
          </w:p>
        </w:tc>
        <w:tc>
          <w:tcPr>
            <w:tcW w:w="646" w:type="dxa"/>
            <w:vMerge/>
            <w:tcBorders>
              <w:top w:val="single" w:sz="8" w:space="0" w:color="auto"/>
              <w:left w:val="nil"/>
              <w:bottom w:val="single" w:sz="8" w:space="0" w:color="auto"/>
              <w:right w:val="single" w:sz="8" w:space="0" w:color="auto"/>
            </w:tcBorders>
            <w:vAlign w:val="center"/>
          </w:tcPr>
          <w:p w:rsidR="00662946" w:rsidRDefault="00662946">
            <w:pPr>
              <w:spacing w:after="120"/>
              <w:jc w:val="both"/>
              <w:rPr>
                <w:b/>
                <w:bCs/>
                <w:szCs w:val="20"/>
              </w:rPr>
            </w:pPr>
          </w:p>
        </w:tc>
      </w:tr>
      <w:tr w:rsidR="00662946">
        <w:trPr>
          <w:trHeight w:val="255"/>
          <w:jc w:val="center"/>
        </w:trPr>
        <w:tc>
          <w:tcPr>
            <w:tcW w:w="86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1996</w:t>
            </w:r>
            <w:r>
              <w:rPr>
                <w:szCs w:val="20"/>
              </w:rPr>
              <w:t>/</w:t>
            </w:r>
            <w:r>
              <w:rPr>
                <w:szCs w:val="20"/>
                <w:rtl/>
              </w:rPr>
              <w:t>97</w:t>
            </w:r>
          </w:p>
        </w:tc>
        <w:tc>
          <w:tcPr>
            <w:tcW w:w="83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Cs w:val="20"/>
                <w:rtl/>
                <w:lang w:bidi="ar-EG"/>
              </w:rPr>
            </w:pPr>
            <w:r>
              <w:rPr>
                <w:szCs w:val="20"/>
                <w:rtl/>
              </w:rPr>
              <w:t>359</w:t>
            </w:r>
          </w:p>
        </w:tc>
        <w:tc>
          <w:tcPr>
            <w:tcW w:w="916" w:type="dxa"/>
            <w:tcBorders>
              <w:top w:val="single" w:sz="8" w:space="0" w:color="auto"/>
              <w:left w:val="nil"/>
              <w:bottom w:val="single" w:sz="8" w:space="0" w:color="auto"/>
              <w:right w:val="nil"/>
            </w:tcBorders>
            <w:noWrap/>
            <w:vAlign w:val="bottom"/>
          </w:tcPr>
          <w:p w:rsidR="00662946" w:rsidRDefault="00662946">
            <w:pPr>
              <w:spacing w:after="120"/>
              <w:jc w:val="center"/>
              <w:rPr>
                <w:rFonts w:hint="cs"/>
                <w:szCs w:val="20"/>
              </w:rPr>
            </w:pPr>
            <w:r>
              <w:rPr>
                <w:szCs w:val="20"/>
                <w:rtl/>
              </w:rPr>
              <w:t>442</w:t>
            </w:r>
          </w:p>
        </w:tc>
        <w:tc>
          <w:tcPr>
            <w:tcW w:w="113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197</w:t>
            </w:r>
          </w:p>
        </w:tc>
        <w:tc>
          <w:tcPr>
            <w:tcW w:w="721" w:type="dxa"/>
            <w:tcBorders>
              <w:top w:val="single" w:sz="8" w:space="0" w:color="auto"/>
              <w:left w:val="nil"/>
              <w:bottom w:val="single" w:sz="8" w:space="0" w:color="auto"/>
              <w:right w:val="nil"/>
            </w:tcBorders>
            <w:noWrap/>
            <w:vAlign w:val="bottom"/>
          </w:tcPr>
          <w:p w:rsidR="00662946" w:rsidRDefault="00662946">
            <w:pPr>
              <w:spacing w:after="120"/>
              <w:jc w:val="both"/>
              <w:rPr>
                <w:szCs w:val="20"/>
              </w:rPr>
            </w:pPr>
            <w:r>
              <w:rPr>
                <w:szCs w:val="20"/>
                <w:rtl/>
              </w:rPr>
              <w:t>126</w:t>
            </w:r>
          </w:p>
        </w:tc>
        <w:tc>
          <w:tcPr>
            <w:tcW w:w="128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88</w:t>
            </w:r>
          </w:p>
        </w:tc>
        <w:tc>
          <w:tcPr>
            <w:tcW w:w="881"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45</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15</w:t>
            </w:r>
          </w:p>
        </w:tc>
        <w:tc>
          <w:tcPr>
            <w:tcW w:w="1392"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3277</w:t>
            </w:r>
          </w:p>
        </w:tc>
        <w:tc>
          <w:tcPr>
            <w:tcW w:w="64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b/>
                <w:bCs/>
                <w:szCs w:val="20"/>
              </w:rPr>
            </w:pPr>
            <w:r>
              <w:rPr>
                <w:b/>
                <w:bCs/>
                <w:szCs w:val="20"/>
                <w:rtl/>
              </w:rPr>
              <w:t>4549</w:t>
            </w:r>
          </w:p>
        </w:tc>
      </w:tr>
      <w:tr w:rsidR="00662946">
        <w:trPr>
          <w:trHeight w:val="255"/>
          <w:jc w:val="center"/>
        </w:trPr>
        <w:tc>
          <w:tcPr>
            <w:tcW w:w="86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1997</w:t>
            </w:r>
            <w:r>
              <w:rPr>
                <w:szCs w:val="20"/>
              </w:rPr>
              <w:t>/</w:t>
            </w:r>
            <w:r>
              <w:rPr>
                <w:szCs w:val="20"/>
                <w:rtl/>
              </w:rPr>
              <w:t>98</w:t>
            </w:r>
          </w:p>
        </w:tc>
        <w:tc>
          <w:tcPr>
            <w:tcW w:w="83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426</w:t>
            </w:r>
          </w:p>
        </w:tc>
        <w:tc>
          <w:tcPr>
            <w:tcW w:w="916"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451</w:t>
            </w:r>
          </w:p>
        </w:tc>
        <w:tc>
          <w:tcPr>
            <w:tcW w:w="113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176</w:t>
            </w:r>
          </w:p>
        </w:tc>
        <w:tc>
          <w:tcPr>
            <w:tcW w:w="721" w:type="dxa"/>
            <w:tcBorders>
              <w:top w:val="single" w:sz="8" w:space="0" w:color="auto"/>
              <w:left w:val="nil"/>
              <w:bottom w:val="single" w:sz="8" w:space="0" w:color="auto"/>
              <w:right w:val="nil"/>
            </w:tcBorders>
            <w:noWrap/>
            <w:vAlign w:val="bottom"/>
          </w:tcPr>
          <w:p w:rsidR="00662946" w:rsidRDefault="00662946">
            <w:pPr>
              <w:spacing w:after="120"/>
              <w:jc w:val="both"/>
              <w:rPr>
                <w:szCs w:val="20"/>
              </w:rPr>
            </w:pPr>
            <w:r>
              <w:rPr>
                <w:szCs w:val="20"/>
                <w:rtl/>
              </w:rPr>
              <w:t>135</w:t>
            </w:r>
          </w:p>
        </w:tc>
        <w:tc>
          <w:tcPr>
            <w:tcW w:w="128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86</w:t>
            </w:r>
          </w:p>
        </w:tc>
        <w:tc>
          <w:tcPr>
            <w:tcW w:w="881"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49</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14</w:t>
            </w:r>
          </w:p>
        </w:tc>
        <w:tc>
          <w:tcPr>
            <w:tcW w:w="1392"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3154</w:t>
            </w:r>
          </w:p>
        </w:tc>
        <w:tc>
          <w:tcPr>
            <w:tcW w:w="64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b/>
                <w:bCs/>
                <w:szCs w:val="20"/>
              </w:rPr>
            </w:pPr>
            <w:r>
              <w:rPr>
                <w:b/>
                <w:bCs/>
                <w:szCs w:val="20"/>
                <w:rtl/>
              </w:rPr>
              <w:t>4491</w:t>
            </w:r>
          </w:p>
        </w:tc>
      </w:tr>
      <w:tr w:rsidR="00662946">
        <w:trPr>
          <w:trHeight w:val="255"/>
          <w:jc w:val="center"/>
        </w:trPr>
        <w:tc>
          <w:tcPr>
            <w:tcW w:w="86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1998</w:t>
            </w:r>
            <w:r>
              <w:rPr>
                <w:szCs w:val="20"/>
              </w:rPr>
              <w:t>/</w:t>
            </w:r>
            <w:r>
              <w:rPr>
                <w:szCs w:val="20"/>
                <w:rtl/>
              </w:rPr>
              <w:t>99</w:t>
            </w:r>
          </w:p>
        </w:tc>
        <w:tc>
          <w:tcPr>
            <w:tcW w:w="83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480</w:t>
            </w:r>
          </w:p>
        </w:tc>
        <w:tc>
          <w:tcPr>
            <w:tcW w:w="916"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440</w:t>
            </w:r>
          </w:p>
        </w:tc>
        <w:tc>
          <w:tcPr>
            <w:tcW w:w="113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188</w:t>
            </w:r>
          </w:p>
        </w:tc>
        <w:tc>
          <w:tcPr>
            <w:tcW w:w="721" w:type="dxa"/>
            <w:tcBorders>
              <w:top w:val="single" w:sz="8" w:space="0" w:color="auto"/>
              <w:left w:val="nil"/>
              <w:bottom w:val="single" w:sz="8" w:space="0" w:color="auto"/>
              <w:right w:val="nil"/>
            </w:tcBorders>
            <w:noWrap/>
            <w:vAlign w:val="bottom"/>
          </w:tcPr>
          <w:p w:rsidR="00662946" w:rsidRDefault="00662946">
            <w:pPr>
              <w:spacing w:after="120"/>
              <w:jc w:val="both"/>
              <w:rPr>
                <w:szCs w:val="20"/>
              </w:rPr>
            </w:pPr>
            <w:r>
              <w:rPr>
                <w:szCs w:val="20"/>
                <w:rtl/>
              </w:rPr>
              <w:t>124</w:t>
            </w:r>
          </w:p>
        </w:tc>
        <w:tc>
          <w:tcPr>
            <w:tcW w:w="128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87</w:t>
            </w:r>
          </w:p>
        </w:tc>
        <w:tc>
          <w:tcPr>
            <w:tcW w:w="881"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34</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9</w:t>
            </w:r>
          </w:p>
        </w:tc>
        <w:tc>
          <w:tcPr>
            <w:tcW w:w="1392"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2227</w:t>
            </w:r>
          </w:p>
        </w:tc>
        <w:tc>
          <w:tcPr>
            <w:tcW w:w="64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b/>
                <w:bCs/>
                <w:szCs w:val="20"/>
              </w:rPr>
            </w:pPr>
            <w:r>
              <w:rPr>
                <w:b/>
                <w:bCs/>
                <w:szCs w:val="20"/>
                <w:rtl/>
              </w:rPr>
              <w:t>3589</w:t>
            </w:r>
          </w:p>
        </w:tc>
      </w:tr>
      <w:tr w:rsidR="00662946">
        <w:trPr>
          <w:trHeight w:val="255"/>
          <w:jc w:val="center"/>
        </w:trPr>
        <w:tc>
          <w:tcPr>
            <w:tcW w:w="86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1999</w:t>
            </w:r>
            <w:r>
              <w:rPr>
                <w:szCs w:val="20"/>
              </w:rPr>
              <w:t>/</w:t>
            </w:r>
            <w:r>
              <w:rPr>
                <w:szCs w:val="20"/>
                <w:rtl/>
              </w:rPr>
              <w:t>00</w:t>
            </w:r>
          </w:p>
        </w:tc>
        <w:tc>
          <w:tcPr>
            <w:tcW w:w="83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520</w:t>
            </w:r>
          </w:p>
        </w:tc>
        <w:tc>
          <w:tcPr>
            <w:tcW w:w="916"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492</w:t>
            </w:r>
          </w:p>
        </w:tc>
        <w:tc>
          <w:tcPr>
            <w:tcW w:w="113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247</w:t>
            </w:r>
          </w:p>
        </w:tc>
        <w:tc>
          <w:tcPr>
            <w:tcW w:w="721" w:type="dxa"/>
            <w:tcBorders>
              <w:top w:val="single" w:sz="8" w:space="0" w:color="auto"/>
              <w:left w:val="nil"/>
              <w:bottom w:val="single" w:sz="8" w:space="0" w:color="auto"/>
              <w:right w:val="nil"/>
            </w:tcBorders>
            <w:noWrap/>
            <w:vAlign w:val="bottom"/>
          </w:tcPr>
          <w:p w:rsidR="00662946" w:rsidRDefault="00662946">
            <w:pPr>
              <w:spacing w:after="120"/>
              <w:jc w:val="both"/>
              <w:rPr>
                <w:szCs w:val="20"/>
              </w:rPr>
            </w:pPr>
            <w:r>
              <w:rPr>
                <w:szCs w:val="20"/>
                <w:rtl/>
              </w:rPr>
              <w:t>78</w:t>
            </w:r>
          </w:p>
        </w:tc>
        <w:tc>
          <w:tcPr>
            <w:tcW w:w="128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80</w:t>
            </w:r>
          </w:p>
        </w:tc>
        <w:tc>
          <w:tcPr>
            <w:tcW w:w="881"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32</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9</w:t>
            </w:r>
          </w:p>
        </w:tc>
        <w:tc>
          <w:tcPr>
            <w:tcW w:w="1392"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2422</w:t>
            </w:r>
          </w:p>
        </w:tc>
        <w:tc>
          <w:tcPr>
            <w:tcW w:w="64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b/>
                <w:bCs/>
                <w:szCs w:val="20"/>
              </w:rPr>
            </w:pPr>
            <w:r>
              <w:rPr>
                <w:b/>
                <w:bCs/>
                <w:szCs w:val="20"/>
                <w:rtl/>
              </w:rPr>
              <w:t>3880</w:t>
            </w:r>
          </w:p>
        </w:tc>
      </w:tr>
      <w:tr w:rsidR="00662946">
        <w:trPr>
          <w:trHeight w:val="255"/>
          <w:jc w:val="center"/>
        </w:trPr>
        <w:tc>
          <w:tcPr>
            <w:tcW w:w="86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2000</w:t>
            </w:r>
            <w:r>
              <w:rPr>
                <w:szCs w:val="20"/>
              </w:rPr>
              <w:t>/</w:t>
            </w:r>
            <w:r>
              <w:rPr>
                <w:szCs w:val="20"/>
                <w:rtl/>
              </w:rPr>
              <w:t>01</w:t>
            </w:r>
          </w:p>
        </w:tc>
        <w:tc>
          <w:tcPr>
            <w:tcW w:w="83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467</w:t>
            </w:r>
          </w:p>
        </w:tc>
        <w:tc>
          <w:tcPr>
            <w:tcW w:w="916"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519</w:t>
            </w:r>
          </w:p>
        </w:tc>
        <w:tc>
          <w:tcPr>
            <w:tcW w:w="113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221</w:t>
            </w:r>
          </w:p>
        </w:tc>
        <w:tc>
          <w:tcPr>
            <w:tcW w:w="721" w:type="dxa"/>
            <w:tcBorders>
              <w:top w:val="single" w:sz="8" w:space="0" w:color="auto"/>
              <w:left w:val="nil"/>
              <w:bottom w:val="single" w:sz="8" w:space="0" w:color="auto"/>
              <w:right w:val="nil"/>
            </w:tcBorders>
            <w:noWrap/>
            <w:vAlign w:val="bottom"/>
          </w:tcPr>
          <w:p w:rsidR="00662946" w:rsidRDefault="00662946">
            <w:pPr>
              <w:spacing w:after="120"/>
              <w:jc w:val="both"/>
              <w:rPr>
                <w:szCs w:val="20"/>
              </w:rPr>
            </w:pPr>
            <w:r>
              <w:rPr>
                <w:szCs w:val="20"/>
                <w:rtl/>
              </w:rPr>
              <w:t>71</w:t>
            </w:r>
          </w:p>
        </w:tc>
        <w:tc>
          <w:tcPr>
            <w:tcW w:w="128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72</w:t>
            </w:r>
          </w:p>
        </w:tc>
        <w:tc>
          <w:tcPr>
            <w:tcW w:w="881"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39</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14</w:t>
            </w:r>
          </w:p>
        </w:tc>
        <w:tc>
          <w:tcPr>
            <w:tcW w:w="1392"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2371</w:t>
            </w:r>
          </w:p>
        </w:tc>
        <w:tc>
          <w:tcPr>
            <w:tcW w:w="64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b/>
                <w:bCs/>
                <w:szCs w:val="20"/>
              </w:rPr>
            </w:pPr>
            <w:r>
              <w:rPr>
                <w:b/>
                <w:bCs/>
                <w:szCs w:val="20"/>
                <w:rtl/>
              </w:rPr>
              <w:t>3774</w:t>
            </w:r>
          </w:p>
        </w:tc>
      </w:tr>
      <w:tr w:rsidR="00662946">
        <w:trPr>
          <w:trHeight w:val="270"/>
          <w:jc w:val="center"/>
        </w:trPr>
        <w:tc>
          <w:tcPr>
            <w:tcW w:w="86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2001</w:t>
            </w:r>
            <w:r>
              <w:rPr>
                <w:szCs w:val="20"/>
              </w:rPr>
              <w:t>/</w:t>
            </w:r>
            <w:r>
              <w:rPr>
                <w:szCs w:val="20"/>
                <w:rtl/>
              </w:rPr>
              <w:t>02</w:t>
            </w:r>
          </w:p>
        </w:tc>
        <w:tc>
          <w:tcPr>
            <w:tcW w:w="83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472</w:t>
            </w:r>
          </w:p>
        </w:tc>
        <w:tc>
          <w:tcPr>
            <w:tcW w:w="916"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555</w:t>
            </w:r>
          </w:p>
        </w:tc>
        <w:tc>
          <w:tcPr>
            <w:tcW w:w="113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146</w:t>
            </w:r>
          </w:p>
        </w:tc>
        <w:tc>
          <w:tcPr>
            <w:tcW w:w="721" w:type="dxa"/>
            <w:tcBorders>
              <w:top w:val="single" w:sz="8" w:space="0" w:color="auto"/>
              <w:left w:val="nil"/>
              <w:bottom w:val="single" w:sz="8" w:space="0" w:color="auto"/>
              <w:right w:val="nil"/>
            </w:tcBorders>
            <w:noWrap/>
            <w:vAlign w:val="bottom"/>
          </w:tcPr>
          <w:p w:rsidR="00662946" w:rsidRDefault="00662946">
            <w:pPr>
              <w:spacing w:after="120"/>
              <w:jc w:val="both"/>
              <w:rPr>
                <w:szCs w:val="20"/>
              </w:rPr>
            </w:pPr>
            <w:r>
              <w:rPr>
                <w:szCs w:val="20"/>
                <w:rtl/>
              </w:rPr>
              <w:t>139</w:t>
            </w:r>
          </w:p>
        </w:tc>
        <w:tc>
          <w:tcPr>
            <w:tcW w:w="1282"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42</w:t>
            </w:r>
          </w:p>
        </w:tc>
        <w:tc>
          <w:tcPr>
            <w:tcW w:w="881"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28</w:t>
            </w:r>
          </w:p>
        </w:tc>
        <w:tc>
          <w:tcPr>
            <w:tcW w:w="13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13</w:t>
            </w:r>
          </w:p>
        </w:tc>
        <w:tc>
          <w:tcPr>
            <w:tcW w:w="1392"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1291</w:t>
            </w:r>
          </w:p>
        </w:tc>
        <w:tc>
          <w:tcPr>
            <w:tcW w:w="646"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b/>
                <w:bCs/>
                <w:szCs w:val="20"/>
              </w:rPr>
            </w:pPr>
            <w:r>
              <w:rPr>
                <w:b/>
                <w:bCs/>
                <w:szCs w:val="20"/>
                <w:rtl/>
              </w:rPr>
              <w:t>2686</w:t>
            </w:r>
          </w:p>
        </w:tc>
      </w:tr>
    </w:tbl>
    <w:p w:rsidR="00662946" w:rsidRDefault="00662946">
      <w:pPr>
        <w:pStyle w:val="SingleTxt"/>
        <w:ind w:left="1264" w:right="1264"/>
        <w:jc w:val="both"/>
        <w:rPr>
          <w:rFonts w:hint="cs"/>
          <w:rtl/>
          <w:lang w:bidi="ar-EG"/>
        </w:rPr>
      </w:pPr>
    </w:p>
    <w:p w:rsidR="00662946" w:rsidRDefault="00662946">
      <w:pPr>
        <w:pStyle w:val="SingleTxt"/>
        <w:ind w:left="1264" w:right="1264"/>
        <w:jc w:val="both"/>
      </w:pPr>
    </w:p>
    <w:tbl>
      <w:tblPr>
        <w:bidiVisual/>
        <w:tblW w:w="9315" w:type="dxa"/>
        <w:jc w:val="center"/>
        <w:tblLook w:val="0000" w:firstRow="0" w:lastRow="0" w:firstColumn="0" w:lastColumn="0" w:noHBand="0" w:noVBand="0"/>
      </w:tblPr>
      <w:tblGrid>
        <w:gridCol w:w="937"/>
        <w:gridCol w:w="970"/>
        <w:gridCol w:w="916"/>
        <w:gridCol w:w="1183"/>
        <w:gridCol w:w="778"/>
        <w:gridCol w:w="1236"/>
        <w:gridCol w:w="1131"/>
        <w:gridCol w:w="1283"/>
        <w:gridCol w:w="923"/>
      </w:tblGrid>
      <w:tr w:rsidR="00662946">
        <w:trPr>
          <w:trHeight w:val="552"/>
          <w:jc w:val="center"/>
        </w:trPr>
        <w:tc>
          <w:tcPr>
            <w:tcW w:w="9315" w:type="dxa"/>
            <w:gridSpan w:val="9"/>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rPr>
            </w:pPr>
            <w:r>
              <w:rPr>
                <w:rFonts w:hint="cs"/>
                <w:b/>
                <w:bCs/>
                <w:rtl/>
              </w:rPr>
              <w:t xml:space="preserve">الجدول 10-10 ب: </w:t>
            </w:r>
            <w:r>
              <w:rPr>
                <w:rFonts w:hint="cs"/>
                <w:b/>
                <w:bCs/>
                <w:rtl/>
                <w:lang w:bidi="ar-EG"/>
              </w:rPr>
              <w:t>عدد الذكور المسجَّلين موزعين حسب الشعب الرئيسية للتخصص في كلية سير أرثر لويس المجتمعية، 1996/1997 إلى 2001/2002</w:t>
            </w:r>
          </w:p>
        </w:tc>
      </w:tr>
      <w:tr w:rsidR="00662946">
        <w:trPr>
          <w:cantSplit/>
          <w:trHeight w:val="270"/>
          <w:jc w:val="center"/>
        </w:trPr>
        <w:tc>
          <w:tcPr>
            <w:tcW w:w="937" w:type="dxa"/>
            <w:vMerge w:val="restart"/>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4"/>
                <w:szCs w:val="24"/>
              </w:rPr>
            </w:pPr>
            <w:r>
              <w:rPr>
                <w:rFonts w:hint="cs"/>
                <w:b/>
                <w:bCs/>
                <w:sz w:val="24"/>
                <w:szCs w:val="24"/>
                <w:rtl/>
              </w:rPr>
              <w:t>السنة</w:t>
            </w:r>
          </w:p>
        </w:tc>
        <w:tc>
          <w:tcPr>
            <w:tcW w:w="7455" w:type="dxa"/>
            <w:gridSpan w:val="7"/>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8"/>
                <w:szCs w:val="28"/>
              </w:rPr>
            </w:pPr>
            <w:r>
              <w:rPr>
                <w:rFonts w:hint="cs"/>
                <w:b/>
                <w:bCs/>
                <w:sz w:val="28"/>
                <w:szCs w:val="28"/>
                <w:rtl/>
              </w:rPr>
              <w:t>الشعبة /الإدارة</w:t>
            </w:r>
          </w:p>
        </w:tc>
        <w:tc>
          <w:tcPr>
            <w:tcW w:w="923" w:type="dxa"/>
            <w:vMerge w:val="restart"/>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4"/>
                <w:szCs w:val="24"/>
                <w:rtl/>
                <w:lang w:bidi="ar-EG"/>
              </w:rPr>
            </w:pPr>
            <w:r>
              <w:rPr>
                <w:rFonts w:hint="cs"/>
                <w:b/>
                <w:bCs/>
                <w:sz w:val="24"/>
                <w:szCs w:val="24"/>
                <w:rtl/>
                <w:lang w:bidi="ar-EG"/>
              </w:rPr>
              <w:t>المجموع</w:t>
            </w:r>
          </w:p>
        </w:tc>
      </w:tr>
      <w:tr w:rsidR="00662946">
        <w:trPr>
          <w:cantSplit/>
          <w:trHeight w:val="552"/>
          <w:jc w:val="center"/>
        </w:trPr>
        <w:tc>
          <w:tcPr>
            <w:tcW w:w="937"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p>
        </w:tc>
        <w:tc>
          <w:tcPr>
            <w:tcW w:w="928"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rFonts w:hint="cs"/>
                <w:b/>
                <w:bCs/>
                <w:szCs w:val="20"/>
              </w:rPr>
            </w:pPr>
            <w:r>
              <w:rPr>
                <w:rFonts w:hint="cs"/>
                <w:b/>
                <w:bCs/>
                <w:sz w:val="18"/>
                <w:szCs w:val="24"/>
                <w:rtl/>
              </w:rPr>
              <w:t>إدارة التعليم التقني والدراسات الإدارية</w:t>
            </w:r>
          </w:p>
        </w:tc>
        <w:tc>
          <w:tcPr>
            <w:tcW w:w="916"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b/>
                <w:bCs/>
                <w:sz w:val="18"/>
                <w:szCs w:val="24"/>
              </w:rPr>
              <w:t>DTEMS</w:t>
            </w:r>
          </w:p>
        </w:tc>
        <w:tc>
          <w:tcPr>
            <w:tcW w:w="1183"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18"/>
                <w:szCs w:val="24"/>
                <w:rtl/>
                <w:lang w:bidi="ar-EG"/>
              </w:rPr>
              <w:t>تعليم المعلمين</w:t>
            </w:r>
          </w:p>
        </w:tc>
        <w:tc>
          <w:tcPr>
            <w:tcW w:w="778"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b/>
                <w:bCs/>
                <w:sz w:val="18"/>
                <w:szCs w:val="24"/>
              </w:rPr>
              <w:t>UWI</w:t>
            </w:r>
          </w:p>
        </w:tc>
        <w:tc>
          <w:tcPr>
            <w:tcW w:w="1236"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24"/>
                <w:szCs w:val="24"/>
                <w:rtl/>
                <w:lang w:bidi="ar-EG"/>
              </w:rPr>
              <w:t>العلوم الصحية</w:t>
            </w:r>
          </w:p>
        </w:tc>
        <w:tc>
          <w:tcPr>
            <w:tcW w:w="1131"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24"/>
                <w:szCs w:val="24"/>
                <w:rtl/>
              </w:rPr>
              <w:t>الزراعة</w:t>
            </w:r>
          </w:p>
        </w:tc>
        <w:tc>
          <w:tcPr>
            <w:tcW w:w="1283"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24"/>
                <w:szCs w:val="24"/>
                <w:rtl/>
                <w:lang w:bidi="ar-EG"/>
              </w:rPr>
              <w:t>الاقتصاد المنزلي</w:t>
            </w:r>
          </w:p>
        </w:tc>
        <w:tc>
          <w:tcPr>
            <w:tcW w:w="923" w:type="dxa"/>
            <w:vMerge/>
            <w:tcBorders>
              <w:top w:val="single" w:sz="8" w:space="0" w:color="auto"/>
              <w:left w:val="nil"/>
              <w:bottom w:val="single" w:sz="8" w:space="0" w:color="auto"/>
              <w:right w:val="single" w:sz="8" w:space="0" w:color="auto"/>
            </w:tcBorders>
            <w:vAlign w:val="center"/>
          </w:tcPr>
          <w:p w:rsidR="00662946" w:rsidRDefault="00662946">
            <w:pPr>
              <w:spacing w:after="120"/>
              <w:jc w:val="both"/>
              <w:rPr>
                <w:b/>
                <w:bCs/>
                <w:szCs w:val="20"/>
              </w:rPr>
            </w:pPr>
          </w:p>
        </w:tc>
      </w:tr>
      <w:tr w:rsidR="00662946">
        <w:trPr>
          <w:trHeight w:val="255"/>
          <w:jc w:val="center"/>
        </w:trPr>
        <w:tc>
          <w:tcPr>
            <w:tcW w:w="93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1996</w:t>
            </w:r>
            <w:r>
              <w:rPr>
                <w:szCs w:val="20"/>
              </w:rPr>
              <w:t>/</w:t>
            </w:r>
            <w:r>
              <w:rPr>
                <w:szCs w:val="20"/>
                <w:rtl/>
              </w:rPr>
              <w:t>97</w:t>
            </w:r>
          </w:p>
        </w:tc>
        <w:tc>
          <w:tcPr>
            <w:tcW w:w="92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szCs w:val="20"/>
              </w:rPr>
            </w:pPr>
            <w:r>
              <w:rPr>
                <w:szCs w:val="20"/>
                <w:rtl/>
              </w:rPr>
              <w:t>100</w:t>
            </w:r>
          </w:p>
        </w:tc>
        <w:tc>
          <w:tcPr>
            <w:tcW w:w="916"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239</w:t>
            </w:r>
          </w:p>
        </w:tc>
        <w:tc>
          <w:tcPr>
            <w:tcW w:w="11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41</w:t>
            </w:r>
          </w:p>
        </w:tc>
        <w:tc>
          <w:tcPr>
            <w:tcW w:w="778"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37</w:t>
            </w:r>
          </w:p>
        </w:tc>
        <w:tc>
          <w:tcPr>
            <w:tcW w:w="123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7</w:t>
            </w:r>
          </w:p>
        </w:tc>
        <w:tc>
          <w:tcPr>
            <w:tcW w:w="1131"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31</w:t>
            </w:r>
          </w:p>
        </w:tc>
        <w:tc>
          <w:tcPr>
            <w:tcW w:w="12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w:t>
            </w:r>
          </w:p>
        </w:tc>
        <w:tc>
          <w:tcPr>
            <w:tcW w:w="923"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b/>
                <w:bCs/>
                <w:szCs w:val="20"/>
              </w:rPr>
            </w:pPr>
            <w:r>
              <w:rPr>
                <w:b/>
                <w:bCs/>
                <w:szCs w:val="20"/>
                <w:rtl/>
              </w:rPr>
              <w:t>456</w:t>
            </w:r>
          </w:p>
        </w:tc>
      </w:tr>
      <w:tr w:rsidR="00662946">
        <w:trPr>
          <w:trHeight w:val="255"/>
          <w:jc w:val="center"/>
        </w:trPr>
        <w:tc>
          <w:tcPr>
            <w:tcW w:w="93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1997</w:t>
            </w:r>
            <w:r>
              <w:rPr>
                <w:szCs w:val="20"/>
              </w:rPr>
              <w:t>/</w:t>
            </w:r>
            <w:r>
              <w:rPr>
                <w:szCs w:val="20"/>
                <w:rtl/>
              </w:rPr>
              <w:t>98</w:t>
            </w:r>
          </w:p>
        </w:tc>
        <w:tc>
          <w:tcPr>
            <w:tcW w:w="92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140</w:t>
            </w:r>
          </w:p>
        </w:tc>
        <w:tc>
          <w:tcPr>
            <w:tcW w:w="916"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244</w:t>
            </w:r>
          </w:p>
        </w:tc>
        <w:tc>
          <w:tcPr>
            <w:tcW w:w="11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37</w:t>
            </w:r>
          </w:p>
        </w:tc>
        <w:tc>
          <w:tcPr>
            <w:tcW w:w="778"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29</w:t>
            </w:r>
          </w:p>
        </w:tc>
        <w:tc>
          <w:tcPr>
            <w:tcW w:w="123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7</w:t>
            </w:r>
          </w:p>
        </w:tc>
        <w:tc>
          <w:tcPr>
            <w:tcW w:w="1131"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24</w:t>
            </w:r>
          </w:p>
        </w:tc>
        <w:tc>
          <w:tcPr>
            <w:tcW w:w="12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szCs w:val="20"/>
              </w:rPr>
            </w:pPr>
            <w:r>
              <w:rPr>
                <w:rFonts w:hint="cs"/>
                <w:szCs w:val="20"/>
                <w:rtl/>
              </w:rPr>
              <w:t>صفر</w:t>
            </w:r>
          </w:p>
        </w:tc>
        <w:tc>
          <w:tcPr>
            <w:tcW w:w="923"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b/>
                <w:bCs/>
                <w:szCs w:val="20"/>
              </w:rPr>
            </w:pPr>
            <w:r>
              <w:rPr>
                <w:b/>
                <w:bCs/>
                <w:szCs w:val="20"/>
                <w:rtl/>
              </w:rPr>
              <w:t>481</w:t>
            </w:r>
          </w:p>
        </w:tc>
      </w:tr>
      <w:tr w:rsidR="00662946">
        <w:trPr>
          <w:trHeight w:val="255"/>
          <w:jc w:val="center"/>
        </w:trPr>
        <w:tc>
          <w:tcPr>
            <w:tcW w:w="93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1998</w:t>
            </w:r>
            <w:r>
              <w:rPr>
                <w:szCs w:val="20"/>
              </w:rPr>
              <w:t>/</w:t>
            </w:r>
            <w:r>
              <w:rPr>
                <w:szCs w:val="20"/>
                <w:rtl/>
              </w:rPr>
              <w:t>99</w:t>
            </w:r>
          </w:p>
        </w:tc>
        <w:tc>
          <w:tcPr>
            <w:tcW w:w="92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180</w:t>
            </w:r>
          </w:p>
        </w:tc>
        <w:tc>
          <w:tcPr>
            <w:tcW w:w="916"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254</w:t>
            </w:r>
          </w:p>
        </w:tc>
        <w:tc>
          <w:tcPr>
            <w:tcW w:w="11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38</w:t>
            </w:r>
          </w:p>
        </w:tc>
        <w:tc>
          <w:tcPr>
            <w:tcW w:w="778"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24</w:t>
            </w:r>
          </w:p>
        </w:tc>
        <w:tc>
          <w:tcPr>
            <w:tcW w:w="123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8</w:t>
            </w:r>
          </w:p>
        </w:tc>
        <w:tc>
          <w:tcPr>
            <w:tcW w:w="1131"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22</w:t>
            </w:r>
          </w:p>
        </w:tc>
        <w:tc>
          <w:tcPr>
            <w:tcW w:w="12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rFonts w:hint="cs"/>
                <w:szCs w:val="20"/>
                <w:rtl/>
              </w:rPr>
              <w:t>صفر</w:t>
            </w:r>
          </w:p>
        </w:tc>
        <w:tc>
          <w:tcPr>
            <w:tcW w:w="923"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b/>
                <w:bCs/>
                <w:szCs w:val="20"/>
              </w:rPr>
            </w:pPr>
            <w:r>
              <w:rPr>
                <w:b/>
                <w:bCs/>
                <w:szCs w:val="20"/>
                <w:rtl/>
              </w:rPr>
              <w:t>526</w:t>
            </w:r>
          </w:p>
        </w:tc>
      </w:tr>
      <w:tr w:rsidR="00662946">
        <w:trPr>
          <w:trHeight w:val="255"/>
          <w:jc w:val="center"/>
        </w:trPr>
        <w:tc>
          <w:tcPr>
            <w:tcW w:w="93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1999</w:t>
            </w:r>
            <w:r>
              <w:rPr>
                <w:szCs w:val="20"/>
              </w:rPr>
              <w:t>/</w:t>
            </w:r>
            <w:r>
              <w:rPr>
                <w:szCs w:val="20"/>
                <w:rtl/>
              </w:rPr>
              <w:t>00</w:t>
            </w:r>
          </w:p>
        </w:tc>
        <w:tc>
          <w:tcPr>
            <w:tcW w:w="92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249</w:t>
            </w:r>
          </w:p>
        </w:tc>
        <w:tc>
          <w:tcPr>
            <w:tcW w:w="916"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297</w:t>
            </w:r>
          </w:p>
        </w:tc>
        <w:tc>
          <w:tcPr>
            <w:tcW w:w="11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52</w:t>
            </w:r>
          </w:p>
        </w:tc>
        <w:tc>
          <w:tcPr>
            <w:tcW w:w="778"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21</w:t>
            </w:r>
          </w:p>
        </w:tc>
        <w:tc>
          <w:tcPr>
            <w:tcW w:w="123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8</w:t>
            </w:r>
          </w:p>
        </w:tc>
        <w:tc>
          <w:tcPr>
            <w:tcW w:w="1131"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16</w:t>
            </w:r>
          </w:p>
        </w:tc>
        <w:tc>
          <w:tcPr>
            <w:tcW w:w="12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rFonts w:hint="cs"/>
                <w:szCs w:val="20"/>
                <w:rtl/>
              </w:rPr>
              <w:t>صفر</w:t>
            </w:r>
          </w:p>
        </w:tc>
        <w:tc>
          <w:tcPr>
            <w:tcW w:w="923"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b/>
                <w:bCs/>
                <w:szCs w:val="20"/>
              </w:rPr>
            </w:pPr>
            <w:r>
              <w:rPr>
                <w:b/>
                <w:bCs/>
                <w:szCs w:val="20"/>
                <w:rtl/>
              </w:rPr>
              <w:t>643</w:t>
            </w:r>
          </w:p>
        </w:tc>
      </w:tr>
      <w:tr w:rsidR="00662946">
        <w:trPr>
          <w:trHeight w:val="255"/>
          <w:jc w:val="center"/>
        </w:trPr>
        <w:tc>
          <w:tcPr>
            <w:tcW w:w="93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2000</w:t>
            </w:r>
            <w:r>
              <w:rPr>
                <w:szCs w:val="20"/>
              </w:rPr>
              <w:t>/</w:t>
            </w:r>
            <w:r>
              <w:rPr>
                <w:szCs w:val="20"/>
                <w:rtl/>
              </w:rPr>
              <w:t>01</w:t>
            </w:r>
          </w:p>
        </w:tc>
        <w:tc>
          <w:tcPr>
            <w:tcW w:w="92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167</w:t>
            </w:r>
          </w:p>
        </w:tc>
        <w:tc>
          <w:tcPr>
            <w:tcW w:w="916"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284</w:t>
            </w:r>
          </w:p>
        </w:tc>
        <w:tc>
          <w:tcPr>
            <w:tcW w:w="11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46</w:t>
            </w:r>
          </w:p>
        </w:tc>
        <w:tc>
          <w:tcPr>
            <w:tcW w:w="778"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22</w:t>
            </w:r>
          </w:p>
        </w:tc>
        <w:tc>
          <w:tcPr>
            <w:tcW w:w="123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5</w:t>
            </w:r>
          </w:p>
        </w:tc>
        <w:tc>
          <w:tcPr>
            <w:tcW w:w="1131"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22</w:t>
            </w:r>
          </w:p>
        </w:tc>
        <w:tc>
          <w:tcPr>
            <w:tcW w:w="12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rFonts w:hint="cs"/>
                <w:szCs w:val="20"/>
                <w:rtl/>
              </w:rPr>
              <w:t>صفر</w:t>
            </w:r>
          </w:p>
        </w:tc>
        <w:tc>
          <w:tcPr>
            <w:tcW w:w="923"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b/>
                <w:bCs/>
                <w:szCs w:val="20"/>
              </w:rPr>
            </w:pPr>
            <w:r>
              <w:rPr>
                <w:b/>
                <w:bCs/>
                <w:szCs w:val="20"/>
                <w:rtl/>
              </w:rPr>
              <w:t>546</w:t>
            </w:r>
          </w:p>
        </w:tc>
      </w:tr>
      <w:tr w:rsidR="00662946">
        <w:trPr>
          <w:trHeight w:val="270"/>
          <w:jc w:val="center"/>
        </w:trPr>
        <w:tc>
          <w:tcPr>
            <w:tcW w:w="937"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2001</w:t>
            </w:r>
            <w:r>
              <w:rPr>
                <w:szCs w:val="20"/>
              </w:rPr>
              <w:t>/</w:t>
            </w:r>
            <w:r>
              <w:rPr>
                <w:szCs w:val="20"/>
                <w:rtl/>
              </w:rPr>
              <w:t>02</w:t>
            </w:r>
          </w:p>
        </w:tc>
        <w:tc>
          <w:tcPr>
            <w:tcW w:w="928"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165</w:t>
            </w:r>
          </w:p>
        </w:tc>
        <w:tc>
          <w:tcPr>
            <w:tcW w:w="916"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297</w:t>
            </w:r>
          </w:p>
        </w:tc>
        <w:tc>
          <w:tcPr>
            <w:tcW w:w="11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34</w:t>
            </w:r>
          </w:p>
        </w:tc>
        <w:tc>
          <w:tcPr>
            <w:tcW w:w="778"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48</w:t>
            </w:r>
          </w:p>
        </w:tc>
        <w:tc>
          <w:tcPr>
            <w:tcW w:w="1236"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4</w:t>
            </w:r>
          </w:p>
        </w:tc>
        <w:tc>
          <w:tcPr>
            <w:tcW w:w="1131"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17</w:t>
            </w:r>
          </w:p>
        </w:tc>
        <w:tc>
          <w:tcPr>
            <w:tcW w:w="12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rFonts w:hint="cs"/>
                <w:szCs w:val="20"/>
                <w:rtl/>
              </w:rPr>
              <w:t>صفر</w:t>
            </w:r>
          </w:p>
        </w:tc>
        <w:tc>
          <w:tcPr>
            <w:tcW w:w="923"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b/>
                <w:bCs/>
                <w:szCs w:val="20"/>
              </w:rPr>
            </w:pPr>
            <w:r>
              <w:rPr>
                <w:b/>
                <w:bCs/>
                <w:szCs w:val="20"/>
                <w:rtl/>
              </w:rPr>
              <w:t>565</w:t>
            </w:r>
          </w:p>
        </w:tc>
      </w:tr>
    </w:tbl>
    <w:p w:rsidR="00662946" w:rsidRDefault="00662946">
      <w:pPr>
        <w:pStyle w:val="SingleTxt"/>
        <w:ind w:left="1264" w:right="1264"/>
        <w:jc w:val="both"/>
        <w:rPr>
          <w:rFonts w:hint="cs"/>
          <w:rtl/>
          <w:lang w:bidi="ar-EG"/>
        </w:rPr>
      </w:pPr>
    </w:p>
    <w:tbl>
      <w:tblPr>
        <w:bidiVisual/>
        <w:tblW w:w="9785" w:type="dxa"/>
        <w:jc w:val="center"/>
        <w:tblLook w:val="0000" w:firstRow="0" w:lastRow="0" w:firstColumn="0" w:lastColumn="0" w:noHBand="0" w:noVBand="0"/>
      </w:tblPr>
      <w:tblGrid>
        <w:gridCol w:w="1003"/>
        <w:gridCol w:w="1017"/>
        <w:gridCol w:w="1070"/>
        <w:gridCol w:w="1299"/>
        <w:gridCol w:w="723"/>
        <w:gridCol w:w="1307"/>
        <w:gridCol w:w="1193"/>
        <w:gridCol w:w="1323"/>
        <w:gridCol w:w="850"/>
      </w:tblGrid>
      <w:tr w:rsidR="00662946">
        <w:trPr>
          <w:trHeight w:val="552"/>
          <w:jc w:val="center"/>
        </w:trPr>
        <w:tc>
          <w:tcPr>
            <w:tcW w:w="9785" w:type="dxa"/>
            <w:gridSpan w:val="9"/>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rPr>
            </w:pPr>
            <w:r>
              <w:rPr>
                <w:rFonts w:hint="cs"/>
                <w:b/>
                <w:bCs/>
                <w:rtl/>
              </w:rPr>
              <w:t xml:space="preserve">الجدول 10-10 ج: عدد المسجَّلات موزعات حسب الشعب الرئيسية للتخصص في كلية سير أرثر لويس المجتمعية، 1996/1997 إلى 2001/2002 </w:t>
            </w:r>
          </w:p>
        </w:tc>
      </w:tr>
      <w:tr w:rsidR="00662946">
        <w:trPr>
          <w:cantSplit/>
          <w:trHeight w:val="270"/>
          <w:jc w:val="center"/>
        </w:trPr>
        <w:tc>
          <w:tcPr>
            <w:tcW w:w="1003" w:type="dxa"/>
            <w:vMerge w:val="restart"/>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4"/>
                <w:szCs w:val="24"/>
              </w:rPr>
            </w:pPr>
            <w:r>
              <w:rPr>
                <w:rFonts w:hint="cs"/>
                <w:b/>
                <w:bCs/>
                <w:sz w:val="24"/>
                <w:szCs w:val="24"/>
                <w:rtl/>
              </w:rPr>
              <w:t>السنة</w:t>
            </w:r>
          </w:p>
        </w:tc>
        <w:tc>
          <w:tcPr>
            <w:tcW w:w="7932" w:type="dxa"/>
            <w:gridSpan w:val="7"/>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rFonts w:hint="cs"/>
                <w:b/>
                <w:bCs/>
                <w:sz w:val="28"/>
                <w:szCs w:val="28"/>
              </w:rPr>
            </w:pPr>
            <w:r>
              <w:rPr>
                <w:rFonts w:hint="cs"/>
                <w:b/>
                <w:bCs/>
                <w:sz w:val="28"/>
                <w:szCs w:val="28"/>
                <w:rtl/>
              </w:rPr>
              <w:t>الشعبة/الإدارة</w:t>
            </w:r>
          </w:p>
        </w:tc>
        <w:tc>
          <w:tcPr>
            <w:tcW w:w="850" w:type="dxa"/>
            <w:vMerge w:val="restart"/>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4"/>
                <w:szCs w:val="24"/>
              </w:rPr>
            </w:pPr>
            <w:r>
              <w:rPr>
                <w:rFonts w:hint="cs"/>
                <w:b/>
                <w:bCs/>
                <w:sz w:val="24"/>
                <w:szCs w:val="24"/>
                <w:rtl/>
              </w:rPr>
              <w:t>المجموع</w:t>
            </w:r>
          </w:p>
        </w:tc>
      </w:tr>
      <w:tr w:rsidR="00662946">
        <w:trPr>
          <w:cantSplit/>
          <w:trHeight w:val="552"/>
          <w:jc w:val="center"/>
        </w:trPr>
        <w:tc>
          <w:tcPr>
            <w:tcW w:w="1003"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p>
        </w:tc>
        <w:tc>
          <w:tcPr>
            <w:tcW w:w="1017"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rFonts w:hint="cs"/>
                <w:b/>
                <w:bCs/>
                <w:szCs w:val="20"/>
              </w:rPr>
            </w:pPr>
            <w:r>
              <w:rPr>
                <w:rFonts w:hint="cs"/>
                <w:b/>
                <w:bCs/>
                <w:sz w:val="18"/>
                <w:szCs w:val="24"/>
                <w:rtl/>
              </w:rPr>
              <w:t>إدارة التعليم التقني والدراسات الإدارية</w:t>
            </w:r>
          </w:p>
        </w:tc>
        <w:tc>
          <w:tcPr>
            <w:tcW w:w="1070"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b/>
                <w:bCs/>
                <w:sz w:val="18"/>
                <w:szCs w:val="24"/>
              </w:rPr>
              <w:t>DTEMS</w:t>
            </w:r>
          </w:p>
        </w:tc>
        <w:tc>
          <w:tcPr>
            <w:tcW w:w="1299"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18"/>
                <w:szCs w:val="24"/>
                <w:rtl/>
                <w:lang w:bidi="ar-EG"/>
              </w:rPr>
              <w:t>تعليم المعلمين</w:t>
            </w:r>
          </w:p>
        </w:tc>
        <w:tc>
          <w:tcPr>
            <w:tcW w:w="723"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b/>
                <w:bCs/>
                <w:sz w:val="18"/>
                <w:szCs w:val="24"/>
              </w:rPr>
              <w:t>UWI</w:t>
            </w:r>
          </w:p>
        </w:tc>
        <w:tc>
          <w:tcPr>
            <w:tcW w:w="1307"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24"/>
                <w:szCs w:val="24"/>
                <w:rtl/>
                <w:lang w:bidi="ar-EG"/>
              </w:rPr>
              <w:t>العلوم الصحية</w:t>
            </w:r>
          </w:p>
        </w:tc>
        <w:tc>
          <w:tcPr>
            <w:tcW w:w="1193"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24"/>
                <w:szCs w:val="24"/>
                <w:rtl/>
              </w:rPr>
              <w:t>الزراعة</w:t>
            </w:r>
          </w:p>
        </w:tc>
        <w:tc>
          <w:tcPr>
            <w:tcW w:w="1323"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24"/>
                <w:szCs w:val="24"/>
                <w:rtl/>
                <w:lang w:bidi="ar-EG"/>
              </w:rPr>
              <w:t>الاقتصاد المنزلي</w:t>
            </w:r>
          </w:p>
        </w:tc>
        <w:tc>
          <w:tcPr>
            <w:tcW w:w="850" w:type="dxa"/>
            <w:vMerge/>
            <w:tcBorders>
              <w:top w:val="single" w:sz="8" w:space="0" w:color="auto"/>
              <w:left w:val="nil"/>
              <w:bottom w:val="single" w:sz="8" w:space="0" w:color="auto"/>
              <w:right w:val="single" w:sz="8" w:space="0" w:color="auto"/>
            </w:tcBorders>
            <w:vAlign w:val="center"/>
          </w:tcPr>
          <w:p w:rsidR="00662946" w:rsidRDefault="00662946">
            <w:pPr>
              <w:spacing w:after="120"/>
              <w:jc w:val="both"/>
              <w:rPr>
                <w:b/>
                <w:bCs/>
                <w:szCs w:val="20"/>
              </w:rPr>
            </w:pPr>
          </w:p>
        </w:tc>
      </w:tr>
      <w:tr w:rsidR="00662946">
        <w:trPr>
          <w:trHeight w:val="255"/>
          <w:jc w:val="center"/>
        </w:trPr>
        <w:tc>
          <w:tcPr>
            <w:tcW w:w="1003"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1996</w:t>
            </w:r>
            <w:r>
              <w:rPr>
                <w:szCs w:val="20"/>
              </w:rPr>
              <w:t>/</w:t>
            </w:r>
            <w:r>
              <w:rPr>
                <w:szCs w:val="20"/>
                <w:rtl/>
              </w:rPr>
              <w:t>97</w:t>
            </w:r>
          </w:p>
        </w:tc>
        <w:tc>
          <w:tcPr>
            <w:tcW w:w="101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szCs w:val="20"/>
              </w:rPr>
            </w:pPr>
            <w:r>
              <w:rPr>
                <w:szCs w:val="20"/>
                <w:rtl/>
              </w:rPr>
              <w:t>259</w:t>
            </w:r>
          </w:p>
        </w:tc>
        <w:tc>
          <w:tcPr>
            <w:tcW w:w="1070" w:type="dxa"/>
            <w:tcBorders>
              <w:top w:val="single" w:sz="8" w:space="0" w:color="auto"/>
              <w:left w:val="nil"/>
              <w:bottom w:val="single" w:sz="8" w:space="0" w:color="auto"/>
              <w:right w:val="nil"/>
            </w:tcBorders>
            <w:noWrap/>
            <w:vAlign w:val="bottom"/>
          </w:tcPr>
          <w:p w:rsidR="00662946" w:rsidRDefault="00662946">
            <w:pPr>
              <w:spacing w:after="120"/>
              <w:jc w:val="center"/>
              <w:rPr>
                <w:rFonts w:hint="cs"/>
                <w:szCs w:val="20"/>
                <w:rtl/>
                <w:lang w:bidi="ar-EG"/>
              </w:rPr>
            </w:pPr>
            <w:r>
              <w:rPr>
                <w:szCs w:val="20"/>
                <w:rtl/>
              </w:rPr>
              <w:t>203</w:t>
            </w:r>
          </w:p>
        </w:tc>
        <w:tc>
          <w:tcPr>
            <w:tcW w:w="12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156</w:t>
            </w:r>
          </w:p>
        </w:tc>
        <w:tc>
          <w:tcPr>
            <w:tcW w:w="723"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89</w:t>
            </w:r>
          </w:p>
        </w:tc>
        <w:tc>
          <w:tcPr>
            <w:tcW w:w="130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81</w:t>
            </w:r>
          </w:p>
        </w:tc>
        <w:tc>
          <w:tcPr>
            <w:tcW w:w="1193"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14</w:t>
            </w:r>
          </w:p>
        </w:tc>
        <w:tc>
          <w:tcPr>
            <w:tcW w:w="132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14</w:t>
            </w:r>
          </w:p>
        </w:tc>
        <w:tc>
          <w:tcPr>
            <w:tcW w:w="85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b/>
                <w:bCs/>
                <w:szCs w:val="20"/>
              </w:rPr>
            </w:pPr>
            <w:r>
              <w:rPr>
                <w:b/>
                <w:bCs/>
                <w:szCs w:val="20"/>
                <w:rtl/>
              </w:rPr>
              <w:t>816</w:t>
            </w:r>
          </w:p>
        </w:tc>
      </w:tr>
      <w:tr w:rsidR="00662946">
        <w:trPr>
          <w:trHeight w:val="255"/>
          <w:jc w:val="center"/>
        </w:trPr>
        <w:tc>
          <w:tcPr>
            <w:tcW w:w="1003"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1997</w:t>
            </w:r>
            <w:r>
              <w:rPr>
                <w:szCs w:val="20"/>
              </w:rPr>
              <w:t>/</w:t>
            </w:r>
            <w:r>
              <w:rPr>
                <w:szCs w:val="20"/>
                <w:rtl/>
              </w:rPr>
              <w:t>98</w:t>
            </w:r>
          </w:p>
        </w:tc>
        <w:tc>
          <w:tcPr>
            <w:tcW w:w="101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286</w:t>
            </w:r>
          </w:p>
        </w:tc>
        <w:tc>
          <w:tcPr>
            <w:tcW w:w="1070"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207</w:t>
            </w:r>
          </w:p>
        </w:tc>
        <w:tc>
          <w:tcPr>
            <w:tcW w:w="12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139</w:t>
            </w:r>
          </w:p>
        </w:tc>
        <w:tc>
          <w:tcPr>
            <w:tcW w:w="723"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106</w:t>
            </w:r>
          </w:p>
        </w:tc>
        <w:tc>
          <w:tcPr>
            <w:tcW w:w="130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79</w:t>
            </w:r>
          </w:p>
        </w:tc>
        <w:tc>
          <w:tcPr>
            <w:tcW w:w="1193"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25</w:t>
            </w:r>
          </w:p>
        </w:tc>
        <w:tc>
          <w:tcPr>
            <w:tcW w:w="132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14</w:t>
            </w:r>
          </w:p>
        </w:tc>
        <w:tc>
          <w:tcPr>
            <w:tcW w:w="85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b/>
                <w:bCs/>
                <w:szCs w:val="20"/>
              </w:rPr>
            </w:pPr>
            <w:r>
              <w:rPr>
                <w:b/>
                <w:bCs/>
                <w:szCs w:val="20"/>
                <w:rtl/>
              </w:rPr>
              <w:t>856</w:t>
            </w:r>
          </w:p>
        </w:tc>
      </w:tr>
      <w:tr w:rsidR="00662946">
        <w:trPr>
          <w:trHeight w:val="255"/>
          <w:jc w:val="center"/>
        </w:trPr>
        <w:tc>
          <w:tcPr>
            <w:tcW w:w="1003"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1998</w:t>
            </w:r>
            <w:r>
              <w:rPr>
                <w:szCs w:val="20"/>
              </w:rPr>
              <w:t>/</w:t>
            </w:r>
            <w:r>
              <w:rPr>
                <w:szCs w:val="20"/>
                <w:rtl/>
              </w:rPr>
              <w:t>99</w:t>
            </w:r>
          </w:p>
        </w:tc>
        <w:tc>
          <w:tcPr>
            <w:tcW w:w="101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300</w:t>
            </w:r>
          </w:p>
        </w:tc>
        <w:tc>
          <w:tcPr>
            <w:tcW w:w="1070"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186</w:t>
            </w:r>
          </w:p>
        </w:tc>
        <w:tc>
          <w:tcPr>
            <w:tcW w:w="12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150</w:t>
            </w:r>
          </w:p>
        </w:tc>
        <w:tc>
          <w:tcPr>
            <w:tcW w:w="723"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100</w:t>
            </w:r>
          </w:p>
        </w:tc>
        <w:tc>
          <w:tcPr>
            <w:tcW w:w="130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79</w:t>
            </w:r>
          </w:p>
        </w:tc>
        <w:tc>
          <w:tcPr>
            <w:tcW w:w="1193"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12</w:t>
            </w:r>
          </w:p>
        </w:tc>
        <w:tc>
          <w:tcPr>
            <w:tcW w:w="132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9</w:t>
            </w:r>
          </w:p>
        </w:tc>
        <w:tc>
          <w:tcPr>
            <w:tcW w:w="85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b/>
                <w:bCs/>
                <w:szCs w:val="20"/>
              </w:rPr>
            </w:pPr>
            <w:r>
              <w:rPr>
                <w:b/>
                <w:bCs/>
                <w:szCs w:val="20"/>
                <w:rtl/>
              </w:rPr>
              <w:t>836</w:t>
            </w:r>
          </w:p>
        </w:tc>
      </w:tr>
      <w:tr w:rsidR="00662946">
        <w:trPr>
          <w:trHeight w:val="255"/>
          <w:jc w:val="center"/>
        </w:trPr>
        <w:tc>
          <w:tcPr>
            <w:tcW w:w="1003"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1999</w:t>
            </w:r>
            <w:r>
              <w:rPr>
                <w:szCs w:val="20"/>
              </w:rPr>
              <w:t>/</w:t>
            </w:r>
            <w:r>
              <w:rPr>
                <w:szCs w:val="20"/>
                <w:rtl/>
              </w:rPr>
              <w:t>00</w:t>
            </w:r>
          </w:p>
        </w:tc>
        <w:tc>
          <w:tcPr>
            <w:tcW w:w="101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271</w:t>
            </w:r>
          </w:p>
        </w:tc>
        <w:tc>
          <w:tcPr>
            <w:tcW w:w="1070"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195</w:t>
            </w:r>
          </w:p>
        </w:tc>
        <w:tc>
          <w:tcPr>
            <w:tcW w:w="12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195</w:t>
            </w:r>
          </w:p>
        </w:tc>
        <w:tc>
          <w:tcPr>
            <w:tcW w:w="723"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57</w:t>
            </w:r>
          </w:p>
        </w:tc>
        <w:tc>
          <w:tcPr>
            <w:tcW w:w="130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72</w:t>
            </w:r>
          </w:p>
        </w:tc>
        <w:tc>
          <w:tcPr>
            <w:tcW w:w="1193"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16</w:t>
            </w:r>
          </w:p>
        </w:tc>
        <w:tc>
          <w:tcPr>
            <w:tcW w:w="132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9</w:t>
            </w:r>
          </w:p>
        </w:tc>
        <w:tc>
          <w:tcPr>
            <w:tcW w:w="85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b/>
                <w:bCs/>
                <w:szCs w:val="20"/>
              </w:rPr>
            </w:pPr>
            <w:r>
              <w:rPr>
                <w:b/>
                <w:bCs/>
                <w:szCs w:val="20"/>
                <w:rtl/>
              </w:rPr>
              <w:t>815</w:t>
            </w:r>
          </w:p>
        </w:tc>
      </w:tr>
      <w:tr w:rsidR="00662946">
        <w:trPr>
          <w:trHeight w:val="255"/>
          <w:jc w:val="center"/>
        </w:trPr>
        <w:tc>
          <w:tcPr>
            <w:tcW w:w="1003"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2000</w:t>
            </w:r>
            <w:r>
              <w:rPr>
                <w:szCs w:val="20"/>
              </w:rPr>
              <w:t>/</w:t>
            </w:r>
            <w:r>
              <w:rPr>
                <w:szCs w:val="20"/>
                <w:rtl/>
              </w:rPr>
              <w:t>01</w:t>
            </w:r>
          </w:p>
        </w:tc>
        <w:tc>
          <w:tcPr>
            <w:tcW w:w="101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300</w:t>
            </w:r>
          </w:p>
        </w:tc>
        <w:tc>
          <w:tcPr>
            <w:tcW w:w="1070"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235</w:t>
            </w:r>
          </w:p>
        </w:tc>
        <w:tc>
          <w:tcPr>
            <w:tcW w:w="12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170</w:t>
            </w:r>
          </w:p>
        </w:tc>
        <w:tc>
          <w:tcPr>
            <w:tcW w:w="723"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49</w:t>
            </w:r>
          </w:p>
        </w:tc>
        <w:tc>
          <w:tcPr>
            <w:tcW w:w="130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67</w:t>
            </w:r>
          </w:p>
        </w:tc>
        <w:tc>
          <w:tcPr>
            <w:tcW w:w="1193"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17</w:t>
            </w:r>
          </w:p>
        </w:tc>
        <w:tc>
          <w:tcPr>
            <w:tcW w:w="132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14</w:t>
            </w:r>
          </w:p>
        </w:tc>
        <w:tc>
          <w:tcPr>
            <w:tcW w:w="85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b/>
                <w:bCs/>
                <w:szCs w:val="20"/>
              </w:rPr>
            </w:pPr>
            <w:r>
              <w:rPr>
                <w:b/>
                <w:bCs/>
                <w:szCs w:val="20"/>
                <w:rtl/>
              </w:rPr>
              <w:t>852</w:t>
            </w:r>
          </w:p>
        </w:tc>
      </w:tr>
      <w:tr w:rsidR="00662946">
        <w:trPr>
          <w:trHeight w:val="270"/>
          <w:jc w:val="center"/>
        </w:trPr>
        <w:tc>
          <w:tcPr>
            <w:tcW w:w="1003" w:type="dxa"/>
            <w:tcBorders>
              <w:top w:val="single" w:sz="8" w:space="0" w:color="auto"/>
              <w:left w:val="single" w:sz="8" w:space="0" w:color="auto"/>
              <w:bottom w:val="single" w:sz="8" w:space="0" w:color="auto"/>
              <w:right w:val="nil"/>
            </w:tcBorders>
            <w:noWrap/>
            <w:vAlign w:val="bottom"/>
          </w:tcPr>
          <w:p w:rsidR="00662946" w:rsidRDefault="00662946">
            <w:pPr>
              <w:spacing w:after="120"/>
              <w:jc w:val="both"/>
              <w:rPr>
                <w:szCs w:val="20"/>
              </w:rPr>
            </w:pPr>
            <w:r>
              <w:rPr>
                <w:szCs w:val="20"/>
                <w:rtl/>
              </w:rPr>
              <w:t>2001</w:t>
            </w:r>
            <w:r>
              <w:rPr>
                <w:szCs w:val="20"/>
              </w:rPr>
              <w:t>/</w:t>
            </w:r>
            <w:r>
              <w:rPr>
                <w:szCs w:val="20"/>
                <w:rtl/>
              </w:rPr>
              <w:t>02</w:t>
            </w:r>
          </w:p>
        </w:tc>
        <w:tc>
          <w:tcPr>
            <w:tcW w:w="101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307</w:t>
            </w:r>
          </w:p>
        </w:tc>
        <w:tc>
          <w:tcPr>
            <w:tcW w:w="1070"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258</w:t>
            </w:r>
          </w:p>
        </w:tc>
        <w:tc>
          <w:tcPr>
            <w:tcW w:w="129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112</w:t>
            </w:r>
          </w:p>
        </w:tc>
        <w:tc>
          <w:tcPr>
            <w:tcW w:w="723"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91</w:t>
            </w:r>
          </w:p>
        </w:tc>
        <w:tc>
          <w:tcPr>
            <w:tcW w:w="1307"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38</w:t>
            </w:r>
          </w:p>
        </w:tc>
        <w:tc>
          <w:tcPr>
            <w:tcW w:w="1193"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11</w:t>
            </w:r>
          </w:p>
        </w:tc>
        <w:tc>
          <w:tcPr>
            <w:tcW w:w="132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13</w:t>
            </w:r>
          </w:p>
        </w:tc>
        <w:tc>
          <w:tcPr>
            <w:tcW w:w="85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b/>
                <w:bCs/>
                <w:szCs w:val="20"/>
              </w:rPr>
            </w:pPr>
            <w:r>
              <w:rPr>
                <w:b/>
                <w:bCs/>
                <w:szCs w:val="20"/>
                <w:rtl/>
              </w:rPr>
              <w:t>830</w:t>
            </w:r>
          </w:p>
        </w:tc>
      </w:tr>
      <w:tr w:rsidR="00662946">
        <w:trPr>
          <w:trHeight w:val="255"/>
          <w:jc w:val="center"/>
        </w:trPr>
        <w:tc>
          <w:tcPr>
            <w:tcW w:w="9785" w:type="dxa"/>
            <w:gridSpan w:val="9"/>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24"/>
                <w:szCs w:val="24"/>
                <w:rtl/>
                <w:lang w:bidi="ar-EG"/>
              </w:rPr>
            </w:pPr>
            <w:r>
              <w:rPr>
                <w:rFonts w:hint="cs"/>
                <w:i/>
                <w:iCs/>
                <w:sz w:val="24"/>
                <w:szCs w:val="24"/>
                <w:rtl/>
              </w:rPr>
              <w:t xml:space="preserve">ملاحظة: عدد المسجلين موزعاً حسب الجنس غير متوافر لإدارة مواصلة التعليم </w:t>
            </w:r>
          </w:p>
          <w:p w:rsidR="00662946" w:rsidRDefault="00662946">
            <w:pPr>
              <w:spacing w:after="120"/>
              <w:jc w:val="both"/>
              <w:rPr>
                <w:rFonts w:hint="cs"/>
                <w:sz w:val="24"/>
                <w:szCs w:val="24"/>
                <w:rtl/>
                <w:lang w:bidi="ar-EG"/>
              </w:rPr>
            </w:pPr>
            <w:r>
              <w:rPr>
                <w:rFonts w:hint="cs"/>
                <w:b/>
                <w:bCs/>
                <w:szCs w:val="20"/>
                <w:rtl/>
              </w:rPr>
              <w:t>المصدر: الموجز الإحصائي للتعليم، 2002.</w:t>
            </w:r>
          </w:p>
        </w:tc>
      </w:tr>
    </w:tbl>
    <w:p w:rsidR="00662946" w:rsidRDefault="00662946">
      <w:pPr>
        <w:pStyle w:val="SingleTxt"/>
        <w:tabs>
          <w:tab w:val="left" w:pos="374"/>
        </w:tabs>
        <w:ind w:left="1264" w:right="1264"/>
        <w:jc w:val="both"/>
        <w:rPr>
          <w:rFonts w:hint="cs"/>
          <w:rtl/>
          <w:lang w:bidi="ar-EG"/>
        </w:rPr>
      </w:pPr>
    </w:p>
    <w:p w:rsidR="00662946" w:rsidRDefault="00662946">
      <w:pPr>
        <w:pStyle w:val="SingleTxt"/>
        <w:tabs>
          <w:tab w:val="left" w:pos="374"/>
        </w:tabs>
        <w:ind w:left="1264" w:right="1264"/>
        <w:jc w:val="both"/>
        <w:rPr>
          <w:rFonts w:hint="cs"/>
          <w:rtl/>
          <w:lang w:bidi="ar-EG"/>
        </w:rPr>
      </w:pPr>
    </w:p>
    <w:tbl>
      <w:tblPr>
        <w:bidiVisual/>
        <w:tblW w:w="9653" w:type="dxa"/>
        <w:jc w:val="center"/>
        <w:tblLook w:val="0000" w:firstRow="0" w:lastRow="0" w:firstColumn="0" w:lastColumn="0" w:noHBand="0" w:noVBand="0"/>
      </w:tblPr>
      <w:tblGrid>
        <w:gridCol w:w="939"/>
        <w:gridCol w:w="1037"/>
        <w:gridCol w:w="1037"/>
        <w:gridCol w:w="1253"/>
        <w:gridCol w:w="1037"/>
        <w:gridCol w:w="1253"/>
        <w:gridCol w:w="1114"/>
        <w:gridCol w:w="1283"/>
        <w:gridCol w:w="700"/>
      </w:tblGrid>
      <w:tr w:rsidR="00662946">
        <w:trPr>
          <w:trHeight w:val="552"/>
          <w:jc w:val="center"/>
        </w:trPr>
        <w:tc>
          <w:tcPr>
            <w:tcW w:w="9653" w:type="dxa"/>
            <w:gridSpan w:val="9"/>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b/>
                <w:bCs/>
              </w:rPr>
            </w:pPr>
            <w:r>
              <w:rPr>
                <w:rFonts w:hint="cs"/>
                <w:b/>
                <w:bCs/>
                <w:rtl/>
              </w:rPr>
              <w:t>الجدول 10-10 د:نسبة المسجلات في الشُعب الرئيسية/إدارة التخصص في كلية سير أرثر لويس المجتمعية، 1996/1997 إلى 2001/2002</w:t>
            </w:r>
          </w:p>
        </w:tc>
      </w:tr>
      <w:tr w:rsidR="00662946">
        <w:trPr>
          <w:cantSplit/>
          <w:trHeight w:val="270"/>
          <w:jc w:val="center"/>
        </w:trPr>
        <w:tc>
          <w:tcPr>
            <w:tcW w:w="939" w:type="dxa"/>
            <w:vMerge w:val="restart"/>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4"/>
                <w:szCs w:val="24"/>
              </w:rPr>
            </w:pPr>
            <w:r>
              <w:rPr>
                <w:rFonts w:hint="cs"/>
                <w:b/>
                <w:bCs/>
                <w:sz w:val="24"/>
                <w:szCs w:val="24"/>
                <w:rtl/>
              </w:rPr>
              <w:t>السنة</w:t>
            </w:r>
          </w:p>
        </w:tc>
        <w:tc>
          <w:tcPr>
            <w:tcW w:w="8014" w:type="dxa"/>
            <w:gridSpan w:val="7"/>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8"/>
                <w:szCs w:val="28"/>
              </w:rPr>
            </w:pPr>
            <w:r>
              <w:rPr>
                <w:rFonts w:hint="cs"/>
                <w:b/>
                <w:bCs/>
                <w:sz w:val="28"/>
                <w:szCs w:val="28"/>
                <w:rtl/>
              </w:rPr>
              <w:t>الشعبة/الإدارة</w:t>
            </w:r>
          </w:p>
        </w:tc>
        <w:tc>
          <w:tcPr>
            <w:tcW w:w="700" w:type="dxa"/>
            <w:vMerge w:val="restart"/>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4"/>
                <w:szCs w:val="24"/>
                <w:rtl/>
                <w:lang w:bidi="ar-EG"/>
              </w:rPr>
            </w:pPr>
            <w:r>
              <w:rPr>
                <w:rFonts w:hint="cs"/>
                <w:b/>
                <w:bCs/>
                <w:sz w:val="24"/>
                <w:szCs w:val="24"/>
                <w:rtl/>
                <w:lang w:bidi="ar-EG"/>
              </w:rPr>
              <w:t>المجموع</w:t>
            </w:r>
          </w:p>
        </w:tc>
      </w:tr>
      <w:tr w:rsidR="00662946">
        <w:trPr>
          <w:cantSplit/>
          <w:trHeight w:val="552"/>
          <w:jc w:val="center"/>
        </w:trPr>
        <w:tc>
          <w:tcPr>
            <w:tcW w:w="939"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p>
        </w:tc>
        <w:tc>
          <w:tcPr>
            <w:tcW w:w="1037"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rFonts w:hint="cs"/>
                <w:b/>
                <w:bCs/>
                <w:szCs w:val="20"/>
              </w:rPr>
            </w:pPr>
            <w:r>
              <w:rPr>
                <w:rFonts w:hint="cs"/>
                <w:b/>
                <w:bCs/>
                <w:sz w:val="18"/>
                <w:szCs w:val="24"/>
                <w:rtl/>
              </w:rPr>
              <w:t>إدارة التعليم التقني والدراسات الإدارية</w:t>
            </w:r>
          </w:p>
        </w:tc>
        <w:tc>
          <w:tcPr>
            <w:tcW w:w="1037"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b/>
                <w:bCs/>
                <w:sz w:val="18"/>
                <w:szCs w:val="24"/>
              </w:rPr>
              <w:t>DTEMS</w:t>
            </w:r>
          </w:p>
        </w:tc>
        <w:tc>
          <w:tcPr>
            <w:tcW w:w="1253"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18"/>
                <w:szCs w:val="24"/>
                <w:rtl/>
                <w:lang w:bidi="ar-EG"/>
              </w:rPr>
              <w:t>تعليم المعلمين</w:t>
            </w:r>
          </w:p>
        </w:tc>
        <w:tc>
          <w:tcPr>
            <w:tcW w:w="1037"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b/>
                <w:bCs/>
                <w:sz w:val="18"/>
                <w:szCs w:val="24"/>
              </w:rPr>
              <w:t>UWI</w:t>
            </w:r>
          </w:p>
        </w:tc>
        <w:tc>
          <w:tcPr>
            <w:tcW w:w="1253"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24"/>
                <w:szCs w:val="24"/>
                <w:rtl/>
                <w:lang w:bidi="ar-EG"/>
              </w:rPr>
              <w:t>العلوم الصحية</w:t>
            </w:r>
          </w:p>
        </w:tc>
        <w:tc>
          <w:tcPr>
            <w:tcW w:w="1114"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24"/>
                <w:szCs w:val="24"/>
                <w:rtl/>
              </w:rPr>
              <w:t>الزراعة</w:t>
            </w:r>
          </w:p>
        </w:tc>
        <w:tc>
          <w:tcPr>
            <w:tcW w:w="1283"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24"/>
                <w:szCs w:val="24"/>
                <w:rtl/>
                <w:lang w:bidi="ar-EG"/>
              </w:rPr>
              <w:t>الاقتصاد المنزلي</w:t>
            </w:r>
          </w:p>
        </w:tc>
        <w:tc>
          <w:tcPr>
            <w:tcW w:w="700" w:type="dxa"/>
            <w:vMerge/>
            <w:tcBorders>
              <w:top w:val="single" w:sz="8" w:space="0" w:color="auto"/>
              <w:left w:val="nil"/>
              <w:bottom w:val="single" w:sz="8" w:space="0" w:color="auto"/>
              <w:right w:val="single" w:sz="8" w:space="0" w:color="auto"/>
            </w:tcBorders>
            <w:vAlign w:val="center"/>
          </w:tcPr>
          <w:p w:rsidR="00662946" w:rsidRDefault="00662946">
            <w:pPr>
              <w:spacing w:after="120"/>
              <w:jc w:val="both"/>
              <w:rPr>
                <w:b/>
                <w:bCs/>
                <w:szCs w:val="20"/>
              </w:rPr>
            </w:pPr>
          </w:p>
        </w:tc>
      </w:tr>
      <w:tr w:rsidR="00662946">
        <w:trPr>
          <w:trHeight w:val="255"/>
          <w:jc w:val="center"/>
        </w:trPr>
        <w:tc>
          <w:tcPr>
            <w:tcW w:w="9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1996</w:t>
            </w:r>
            <w:r>
              <w:rPr>
                <w:szCs w:val="20"/>
              </w:rPr>
              <w:t>/</w:t>
            </w:r>
            <w:r>
              <w:rPr>
                <w:szCs w:val="20"/>
                <w:rtl/>
              </w:rPr>
              <w:t>97</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rFonts w:hint="cs"/>
                <w:szCs w:val="20"/>
              </w:rPr>
            </w:pPr>
            <w:r>
              <w:rPr>
                <w:szCs w:val="20"/>
                <w:rtl/>
              </w:rPr>
              <w:t>72</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center"/>
              <w:rPr>
                <w:rFonts w:hint="cs"/>
                <w:szCs w:val="20"/>
                <w:rtl/>
                <w:lang w:bidi="ar-EG"/>
              </w:rPr>
            </w:pPr>
            <w:r>
              <w:rPr>
                <w:szCs w:val="20"/>
                <w:rtl/>
              </w:rPr>
              <w:t>46</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79</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71</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92</w:t>
            </w:r>
          </w:p>
        </w:tc>
        <w:tc>
          <w:tcPr>
            <w:tcW w:w="1114"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31</w:t>
            </w:r>
          </w:p>
        </w:tc>
        <w:tc>
          <w:tcPr>
            <w:tcW w:w="12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93</w:t>
            </w:r>
          </w:p>
        </w:tc>
        <w:tc>
          <w:tcPr>
            <w:tcW w:w="70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64</w:t>
            </w:r>
          </w:p>
        </w:tc>
      </w:tr>
      <w:tr w:rsidR="00662946">
        <w:trPr>
          <w:trHeight w:val="255"/>
          <w:jc w:val="center"/>
        </w:trPr>
        <w:tc>
          <w:tcPr>
            <w:tcW w:w="9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1997</w:t>
            </w:r>
            <w:r>
              <w:rPr>
                <w:szCs w:val="20"/>
              </w:rPr>
              <w:t>/</w:t>
            </w:r>
            <w:r>
              <w:rPr>
                <w:szCs w:val="20"/>
                <w:rtl/>
              </w:rPr>
              <w:t>98</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67</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46</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79</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79</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92</w:t>
            </w:r>
          </w:p>
        </w:tc>
        <w:tc>
          <w:tcPr>
            <w:tcW w:w="1114"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51</w:t>
            </w:r>
          </w:p>
        </w:tc>
        <w:tc>
          <w:tcPr>
            <w:tcW w:w="12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100</w:t>
            </w:r>
          </w:p>
        </w:tc>
        <w:tc>
          <w:tcPr>
            <w:tcW w:w="70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64</w:t>
            </w:r>
          </w:p>
        </w:tc>
      </w:tr>
      <w:tr w:rsidR="00662946">
        <w:trPr>
          <w:trHeight w:val="255"/>
          <w:jc w:val="center"/>
        </w:trPr>
        <w:tc>
          <w:tcPr>
            <w:tcW w:w="9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1998</w:t>
            </w:r>
            <w:r>
              <w:rPr>
                <w:szCs w:val="20"/>
              </w:rPr>
              <w:t>/</w:t>
            </w:r>
            <w:r>
              <w:rPr>
                <w:szCs w:val="20"/>
                <w:rtl/>
              </w:rPr>
              <w:t>99</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63</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42</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80</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81</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91</w:t>
            </w:r>
          </w:p>
        </w:tc>
        <w:tc>
          <w:tcPr>
            <w:tcW w:w="1114"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35</w:t>
            </w:r>
          </w:p>
        </w:tc>
        <w:tc>
          <w:tcPr>
            <w:tcW w:w="12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100</w:t>
            </w:r>
          </w:p>
        </w:tc>
        <w:tc>
          <w:tcPr>
            <w:tcW w:w="70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61</w:t>
            </w:r>
          </w:p>
        </w:tc>
      </w:tr>
      <w:tr w:rsidR="00662946">
        <w:trPr>
          <w:trHeight w:val="255"/>
          <w:jc w:val="center"/>
        </w:trPr>
        <w:tc>
          <w:tcPr>
            <w:tcW w:w="9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1999</w:t>
            </w:r>
            <w:r>
              <w:rPr>
                <w:szCs w:val="20"/>
              </w:rPr>
              <w:t>/</w:t>
            </w:r>
            <w:r>
              <w:rPr>
                <w:szCs w:val="20"/>
                <w:rtl/>
              </w:rPr>
              <w:t>00</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52</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40</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79</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73</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90</w:t>
            </w:r>
          </w:p>
        </w:tc>
        <w:tc>
          <w:tcPr>
            <w:tcW w:w="1114"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50</w:t>
            </w:r>
          </w:p>
        </w:tc>
        <w:tc>
          <w:tcPr>
            <w:tcW w:w="12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100</w:t>
            </w:r>
          </w:p>
        </w:tc>
        <w:tc>
          <w:tcPr>
            <w:tcW w:w="70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56</w:t>
            </w:r>
          </w:p>
        </w:tc>
      </w:tr>
      <w:tr w:rsidR="00662946">
        <w:trPr>
          <w:trHeight w:val="255"/>
          <w:jc w:val="center"/>
        </w:trPr>
        <w:tc>
          <w:tcPr>
            <w:tcW w:w="9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2000</w:t>
            </w:r>
            <w:r>
              <w:rPr>
                <w:szCs w:val="20"/>
              </w:rPr>
              <w:t>/</w:t>
            </w:r>
            <w:r>
              <w:rPr>
                <w:szCs w:val="20"/>
                <w:rtl/>
              </w:rPr>
              <w:t>01</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64</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45</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77</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69</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93</w:t>
            </w:r>
          </w:p>
        </w:tc>
        <w:tc>
          <w:tcPr>
            <w:tcW w:w="1114"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44</w:t>
            </w:r>
          </w:p>
        </w:tc>
        <w:tc>
          <w:tcPr>
            <w:tcW w:w="12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100</w:t>
            </w:r>
          </w:p>
        </w:tc>
        <w:tc>
          <w:tcPr>
            <w:tcW w:w="70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61</w:t>
            </w:r>
          </w:p>
        </w:tc>
      </w:tr>
      <w:tr w:rsidR="00662946">
        <w:trPr>
          <w:trHeight w:val="270"/>
          <w:jc w:val="center"/>
        </w:trPr>
        <w:tc>
          <w:tcPr>
            <w:tcW w:w="939"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2001</w:t>
            </w:r>
            <w:r>
              <w:rPr>
                <w:szCs w:val="20"/>
              </w:rPr>
              <w:t>/</w:t>
            </w:r>
            <w:r>
              <w:rPr>
                <w:szCs w:val="20"/>
                <w:rtl/>
              </w:rPr>
              <w:t>02</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65</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46</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77</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65</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90</w:t>
            </w:r>
          </w:p>
        </w:tc>
        <w:tc>
          <w:tcPr>
            <w:tcW w:w="1114"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39</w:t>
            </w:r>
          </w:p>
        </w:tc>
        <w:tc>
          <w:tcPr>
            <w:tcW w:w="128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100</w:t>
            </w:r>
          </w:p>
        </w:tc>
        <w:tc>
          <w:tcPr>
            <w:tcW w:w="70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59</w:t>
            </w:r>
          </w:p>
        </w:tc>
      </w:tr>
    </w:tbl>
    <w:p w:rsidR="00662946" w:rsidRDefault="00662946">
      <w:pPr>
        <w:pStyle w:val="SingleTxt"/>
        <w:tabs>
          <w:tab w:val="left" w:pos="374"/>
        </w:tabs>
        <w:ind w:left="1264" w:right="1264"/>
        <w:jc w:val="both"/>
        <w:rPr>
          <w:rFonts w:hint="cs"/>
          <w:rtl/>
          <w:lang w:bidi="ar-EG"/>
        </w:rPr>
      </w:pPr>
    </w:p>
    <w:p w:rsidR="00662946" w:rsidRDefault="00662946">
      <w:pPr>
        <w:pStyle w:val="SingleTxt"/>
        <w:tabs>
          <w:tab w:val="left" w:pos="374"/>
        </w:tabs>
        <w:ind w:left="1264" w:right="1264"/>
        <w:jc w:val="both"/>
        <w:rPr>
          <w:rFonts w:hint="cs"/>
          <w:rtl/>
          <w:lang w:bidi="ar-EG"/>
        </w:rPr>
      </w:pPr>
    </w:p>
    <w:p w:rsidR="00662946" w:rsidRDefault="00662946">
      <w:pPr>
        <w:pStyle w:val="SingleTxt"/>
        <w:tabs>
          <w:tab w:val="left" w:pos="374"/>
        </w:tabs>
        <w:ind w:left="1264" w:right="1264"/>
        <w:jc w:val="both"/>
        <w:rPr>
          <w:rFonts w:hint="cs"/>
          <w:rtl/>
          <w:lang w:bidi="ar-EG"/>
        </w:rPr>
      </w:pPr>
    </w:p>
    <w:tbl>
      <w:tblPr>
        <w:bidiVisual/>
        <w:tblW w:w="9203" w:type="dxa"/>
        <w:jc w:val="center"/>
        <w:tblLook w:val="0000" w:firstRow="0" w:lastRow="0" w:firstColumn="0" w:lastColumn="0" w:noHBand="0" w:noVBand="0"/>
      </w:tblPr>
      <w:tblGrid>
        <w:gridCol w:w="844"/>
        <w:gridCol w:w="1037"/>
        <w:gridCol w:w="1037"/>
        <w:gridCol w:w="1253"/>
        <w:gridCol w:w="1037"/>
        <w:gridCol w:w="1332"/>
        <w:gridCol w:w="915"/>
        <w:gridCol w:w="1210"/>
        <w:gridCol w:w="700"/>
      </w:tblGrid>
      <w:tr w:rsidR="00662946">
        <w:trPr>
          <w:trHeight w:val="552"/>
          <w:jc w:val="center"/>
        </w:trPr>
        <w:tc>
          <w:tcPr>
            <w:tcW w:w="9203" w:type="dxa"/>
            <w:gridSpan w:val="9"/>
            <w:tcBorders>
              <w:top w:val="single" w:sz="8" w:space="0" w:color="auto"/>
              <w:left w:val="single" w:sz="8" w:space="0" w:color="auto"/>
              <w:bottom w:val="single" w:sz="8" w:space="0" w:color="auto"/>
              <w:right w:val="single" w:sz="8" w:space="0" w:color="auto"/>
            </w:tcBorders>
            <w:vAlign w:val="bottom"/>
          </w:tcPr>
          <w:p w:rsidR="00662946" w:rsidRDefault="00662946">
            <w:pPr>
              <w:spacing w:after="120"/>
              <w:jc w:val="center"/>
              <w:rPr>
                <w:rFonts w:hint="cs"/>
                <w:b/>
                <w:bCs/>
                <w:sz w:val="30"/>
              </w:rPr>
            </w:pPr>
            <w:r>
              <w:rPr>
                <w:rFonts w:hint="cs"/>
                <w:b/>
                <w:bCs/>
                <w:sz w:val="30"/>
                <w:rtl/>
              </w:rPr>
              <w:t>الجدول 10-10 هـ: النسبة المئوية للمسجلين في الشُعب الرئيسية/إدارة التخصص في كلية سير أرثر لويس المجتمعية، 1996/1997 إلى 2001/2002</w:t>
            </w:r>
          </w:p>
        </w:tc>
      </w:tr>
      <w:tr w:rsidR="00662946">
        <w:trPr>
          <w:cantSplit/>
          <w:trHeight w:val="270"/>
          <w:jc w:val="center"/>
        </w:trPr>
        <w:tc>
          <w:tcPr>
            <w:tcW w:w="844" w:type="dxa"/>
            <w:vMerge w:val="restart"/>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4"/>
                <w:szCs w:val="24"/>
              </w:rPr>
            </w:pPr>
            <w:r>
              <w:rPr>
                <w:rFonts w:hint="cs"/>
                <w:b/>
                <w:bCs/>
                <w:sz w:val="24"/>
                <w:szCs w:val="24"/>
                <w:rtl/>
              </w:rPr>
              <w:t>السنة</w:t>
            </w:r>
          </w:p>
        </w:tc>
        <w:tc>
          <w:tcPr>
            <w:tcW w:w="7821" w:type="dxa"/>
            <w:gridSpan w:val="7"/>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8"/>
                <w:szCs w:val="28"/>
              </w:rPr>
            </w:pPr>
            <w:r>
              <w:rPr>
                <w:rFonts w:hint="cs"/>
                <w:b/>
                <w:bCs/>
                <w:sz w:val="28"/>
                <w:szCs w:val="28"/>
                <w:rtl/>
              </w:rPr>
              <w:t>الشعبة/الإدارة</w:t>
            </w:r>
          </w:p>
        </w:tc>
        <w:tc>
          <w:tcPr>
            <w:tcW w:w="538" w:type="dxa"/>
            <w:vMerge w:val="restart"/>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rFonts w:hint="cs"/>
                <w:b/>
                <w:bCs/>
                <w:sz w:val="24"/>
                <w:szCs w:val="24"/>
              </w:rPr>
            </w:pPr>
            <w:r>
              <w:rPr>
                <w:rFonts w:hint="cs"/>
                <w:b/>
                <w:bCs/>
                <w:sz w:val="24"/>
                <w:szCs w:val="24"/>
                <w:rtl/>
              </w:rPr>
              <w:t>المجموع</w:t>
            </w:r>
          </w:p>
        </w:tc>
      </w:tr>
      <w:tr w:rsidR="00662946">
        <w:trPr>
          <w:cantSplit/>
          <w:trHeight w:val="552"/>
          <w:jc w:val="center"/>
        </w:trPr>
        <w:tc>
          <w:tcPr>
            <w:tcW w:w="844"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p>
        </w:tc>
        <w:tc>
          <w:tcPr>
            <w:tcW w:w="1037"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b/>
                <w:bCs/>
                <w:sz w:val="18"/>
                <w:szCs w:val="24"/>
              </w:rPr>
              <w:t>DASGS</w:t>
            </w:r>
          </w:p>
        </w:tc>
        <w:tc>
          <w:tcPr>
            <w:tcW w:w="1037"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b/>
                <w:bCs/>
                <w:sz w:val="18"/>
                <w:szCs w:val="24"/>
              </w:rPr>
              <w:t>DTEMS</w:t>
            </w:r>
          </w:p>
        </w:tc>
        <w:tc>
          <w:tcPr>
            <w:tcW w:w="1253"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18"/>
                <w:szCs w:val="24"/>
                <w:rtl/>
                <w:lang w:bidi="ar-EG"/>
              </w:rPr>
              <w:t>تعليم المعلمين</w:t>
            </w:r>
          </w:p>
        </w:tc>
        <w:tc>
          <w:tcPr>
            <w:tcW w:w="1037"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b/>
                <w:bCs/>
                <w:sz w:val="18"/>
                <w:szCs w:val="24"/>
              </w:rPr>
              <w:t>UWI</w:t>
            </w:r>
          </w:p>
        </w:tc>
        <w:tc>
          <w:tcPr>
            <w:tcW w:w="1332"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24"/>
                <w:szCs w:val="24"/>
                <w:rtl/>
                <w:lang w:bidi="ar-EG"/>
              </w:rPr>
              <w:t>العلوم الصحية</w:t>
            </w:r>
          </w:p>
        </w:tc>
        <w:tc>
          <w:tcPr>
            <w:tcW w:w="915"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24"/>
                <w:szCs w:val="24"/>
                <w:rtl/>
              </w:rPr>
              <w:t>الزراعة</w:t>
            </w:r>
          </w:p>
        </w:tc>
        <w:tc>
          <w:tcPr>
            <w:tcW w:w="1210"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b/>
                <w:bCs/>
                <w:szCs w:val="20"/>
              </w:rPr>
            </w:pPr>
            <w:r>
              <w:rPr>
                <w:rFonts w:hint="cs"/>
                <w:b/>
                <w:bCs/>
                <w:sz w:val="24"/>
                <w:szCs w:val="24"/>
                <w:rtl/>
                <w:lang w:bidi="ar-EG"/>
              </w:rPr>
              <w:t>الاقتصاد المنزلي</w:t>
            </w:r>
          </w:p>
        </w:tc>
        <w:tc>
          <w:tcPr>
            <w:tcW w:w="538" w:type="dxa"/>
            <w:vMerge/>
            <w:tcBorders>
              <w:top w:val="single" w:sz="8" w:space="0" w:color="auto"/>
              <w:left w:val="nil"/>
              <w:bottom w:val="single" w:sz="8" w:space="0" w:color="auto"/>
              <w:right w:val="single" w:sz="8" w:space="0" w:color="auto"/>
            </w:tcBorders>
            <w:vAlign w:val="center"/>
          </w:tcPr>
          <w:p w:rsidR="00662946" w:rsidRDefault="00662946">
            <w:pPr>
              <w:spacing w:after="120"/>
              <w:jc w:val="both"/>
              <w:rPr>
                <w:b/>
                <w:bCs/>
                <w:szCs w:val="20"/>
              </w:rPr>
            </w:pPr>
          </w:p>
        </w:tc>
      </w:tr>
      <w:tr w:rsidR="00662946">
        <w:trPr>
          <w:trHeight w:val="255"/>
          <w:jc w:val="center"/>
        </w:trPr>
        <w:tc>
          <w:tcPr>
            <w:tcW w:w="84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1996</w:t>
            </w:r>
            <w:r>
              <w:rPr>
                <w:szCs w:val="20"/>
              </w:rPr>
              <w:t>/</w:t>
            </w:r>
            <w:r>
              <w:rPr>
                <w:szCs w:val="20"/>
                <w:rtl/>
              </w:rPr>
              <w:t>97</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Cs w:val="20"/>
              </w:rPr>
            </w:pPr>
            <w:r>
              <w:rPr>
                <w:szCs w:val="20"/>
                <w:rtl/>
              </w:rPr>
              <w:t>28</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both"/>
              <w:rPr>
                <w:rFonts w:hint="cs"/>
                <w:szCs w:val="20"/>
                <w:rtl/>
                <w:lang w:bidi="ar-EG"/>
              </w:rPr>
            </w:pPr>
            <w:r>
              <w:rPr>
                <w:szCs w:val="20"/>
                <w:rtl/>
              </w:rPr>
              <w:t>54</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21</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29</w:t>
            </w:r>
          </w:p>
        </w:tc>
        <w:tc>
          <w:tcPr>
            <w:tcW w:w="1332"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8</w:t>
            </w:r>
          </w:p>
        </w:tc>
        <w:tc>
          <w:tcPr>
            <w:tcW w:w="91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69</w:t>
            </w:r>
          </w:p>
        </w:tc>
        <w:tc>
          <w:tcPr>
            <w:tcW w:w="121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7</w:t>
            </w:r>
          </w:p>
        </w:tc>
        <w:tc>
          <w:tcPr>
            <w:tcW w:w="538"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36</w:t>
            </w:r>
          </w:p>
        </w:tc>
      </w:tr>
      <w:tr w:rsidR="00662946">
        <w:trPr>
          <w:trHeight w:val="255"/>
          <w:jc w:val="center"/>
        </w:trPr>
        <w:tc>
          <w:tcPr>
            <w:tcW w:w="84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1997</w:t>
            </w:r>
            <w:r>
              <w:rPr>
                <w:szCs w:val="20"/>
              </w:rPr>
              <w:t>/</w:t>
            </w:r>
            <w:r>
              <w:rPr>
                <w:szCs w:val="20"/>
                <w:rtl/>
              </w:rPr>
              <w:t>98</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Cs w:val="20"/>
              </w:rPr>
            </w:pPr>
            <w:r>
              <w:rPr>
                <w:szCs w:val="20"/>
                <w:rtl/>
              </w:rPr>
              <w:t>33</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both"/>
              <w:rPr>
                <w:szCs w:val="20"/>
              </w:rPr>
            </w:pPr>
            <w:r>
              <w:rPr>
                <w:szCs w:val="20"/>
                <w:rtl/>
              </w:rPr>
              <w:t>54</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21</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21</w:t>
            </w:r>
          </w:p>
        </w:tc>
        <w:tc>
          <w:tcPr>
            <w:tcW w:w="1332"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8</w:t>
            </w:r>
          </w:p>
        </w:tc>
        <w:tc>
          <w:tcPr>
            <w:tcW w:w="91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49</w:t>
            </w:r>
          </w:p>
        </w:tc>
        <w:tc>
          <w:tcPr>
            <w:tcW w:w="121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rFonts w:hint="cs"/>
                <w:szCs w:val="20"/>
              </w:rPr>
            </w:pPr>
            <w:r>
              <w:rPr>
                <w:rFonts w:hint="cs"/>
                <w:szCs w:val="20"/>
                <w:rtl/>
              </w:rPr>
              <w:t>صفر</w:t>
            </w:r>
          </w:p>
        </w:tc>
        <w:tc>
          <w:tcPr>
            <w:tcW w:w="538"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36</w:t>
            </w:r>
          </w:p>
        </w:tc>
      </w:tr>
      <w:tr w:rsidR="00662946">
        <w:trPr>
          <w:trHeight w:val="255"/>
          <w:jc w:val="center"/>
        </w:trPr>
        <w:tc>
          <w:tcPr>
            <w:tcW w:w="84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1998</w:t>
            </w:r>
            <w:r>
              <w:rPr>
                <w:szCs w:val="20"/>
              </w:rPr>
              <w:t>/</w:t>
            </w:r>
            <w:r>
              <w:rPr>
                <w:szCs w:val="20"/>
                <w:rtl/>
              </w:rPr>
              <w:t>99</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Cs w:val="20"/>
              </w:rPr>
            </w:pPr>
            <w:r>
              <w:rPr>
                <w:szCs w:val="20"/>
                <w:rtl/>
              </w:rPr>
              <w:t>37</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both"/>
              <w:rPr>
                <w:szCs w:val="20"/>
              </w:rPr>
            </w:pPr>
            <w:r>
              <w:rPr>
                <w:szCs w:val="20"/>
                <w:rtl/>
              </w:rPr>
              <w:t>58</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20</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19</w:t>
            </w:r>
          </w:p>
        </w:tc>
        <w:tc>
          <w:tcPr>
            <w:tcW w:w="1332"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9</w:t>
            </w:r>
          </w:p>
        </w:tc>
        <w:tc>
          <w:tcPr>
            <w:tcW w:w="91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65</w:t>
            </w:r>
          </w:p>
        </w:tc>
        <w:tc>
          <w:tcPr>
            <w:tcW w:w="121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rFonts w:hint="cs"/>
                <w:szCs w:val="20"/>
                <w:rtl/>
              </w:rPr>
              <w:t>صفر</w:t>
            </w:r>
          </w:p>
        </w:tc>
        <w:tc>
          <w:tcPr>
            <w:tcW w:w="538"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39</w:t>
            </w:r>
          </w:p>
        </w:tc>
      </w:tr>
      <w:tr w:rsidR="00662946">
        <w:trPr>
          <w:trHeight w:val="255"/>
          <w:jc w:val="center"/>
        </w:trPr>
        <w:tc>
          <w:tcPr>
            <w:tcW w:w="84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1999</w:t>
            </w:r>
            <w:r>
              <w:rPr>
                <w:szCs w:val="20"/>
              </w:rPr>
              <w:t>/</w:t>
            </w:r>
            <w:r>
              <w:rPr>
                <w:szCs w:val="20"/>
                <w:rtl/>
              </w:rPr>
              <w:t>00</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Cs w:val="20"/>
              </w:rPr>
            </w:pPr>
            <w:r>
              <w:rPr>
                <w:szCs w:val="20"/>
                <w:rtl/>
              </w:rPr>
              <w:t>48</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both"/>
              <w:rPr>
                <w:szCs w:val="20"/>
              </w:rPr>
            </w:pPr>
            <w:r>
              <w:rPr>
                <w:szCs w:val="20"/>
                <w:rtl/>
              </w:rPr>
              <w:t>60</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21</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27</w:t>
            </w:r>
          </w:p>
        </w:tc>
        <w:tc>
          <w:tcPr>
            <w:tcW w:w="1332"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10</w:t>
            </w:r>
          </w:p>
        </w:tc>
        <w:tc>
          <w:tcPr>
            <w:tcW w:w="91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50</w:t>
            </w:r>
          </w:p>
        </w:tc>
        <w:tc>
          <w:tcPr>
            <w:tcW w:w="121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rFonts w:hint="cs"/>
                <w:szCs w:val="20"/>
                <w:rtl/>
              </w:rPr>
              <w:t>صفر</w:t>
            </w:r>
          </w:p>
        </w:tc>
        <w:tc>
          <w:tcPr>
            <w:tcW w:w="538"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44</w:t>
            </w:r>
          </w:p>
        </w:tc>
      </w:tr>
      <w:tr w:rsidR="00662946">
        <w:trPr>
          <w:trHeight w:val="255"/>
          <w:jc w:val="center"/>
        </w:trPr>
        <w:tc>
          <w:tcPr>
            <w:tcW w:w="84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2000</w:t>
            </w:r>
            <w:r>
              <w:rPr>
                <w:szCs w:val="20"/>
              </w:rPr>
              <w:t>/</w:t>
            </w:r>
            <w:r>
              <w:rPr>
                <w:szCs w:val="20"/>
                <w:rtl/>
              </w:rPr>
              <w:t>01</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Cs w:val="20"/>
              </w:rPr>
            </w:pPr>
            <w:r>
              <w:rPr>
                <w:szCs w:val="20"/>
                <w:rtl/>
              </w:rPr>
              <w:t>36</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both"/>
              <w:rPr>
                <w:szCs w:val="20"/>
              </w:rPr>
            </w:pPr>
            <w:r>
              <w:rPr>
                <w:szCs w:val="20"/>
                <w:rtl/>
              </w:rPr>
              <w:t>55</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21</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31</w:t>
            </w:r>
          </w:p>
        </w:tc>
        <w:tc>
          <w:tcPr>
            <w:tcW w:w="1332"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7</w:t>
            </w:r>
          </w:p>
        </w:tc>
        <w:tc>
          <w:tcPr>
            <w:tcW w:w="91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56</w:t>
            </w:r>
          </w:p>
        </w:tc>
        <w:tc>
          <w:tcPr>
            <w:tcW w:w="121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rFonts w:hint="cs"/>
                <w:szCs w:val="20"/>
                <w:rtl/>
              </w:rPr>
              <w:t>صفر</w:t>
            </w:r>
          </w:p>
        </w:tc>
        <w:tc>
          <w:tcPr>
            <w:tcW w:w="538"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39</w:t>
            </w:r>
          </w:p>
        </w:tc>
      </w:tr>
      <w:tr w:rsidR="00662946">
        <w:trPr>
          <w:trHeight w:val="270"/>
          <w:jc w:val="center"/>
        </w:trPr>
        <w:tc>
          <w:tcPr>
            <w:tcW w:w="84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Cs w:val="20"/>
              </w:rPr>
            </w:pPr>
            <w:r>
              <w:rPr>
                <w:szCs w:val="20"/>
                <w:rtl/>
              </w:rPr>
              <w:t>2001</w:t>
            </w:r>
            <w:r>
              <w:rPr>
                <w:szCs w:val="20"/>
              </w:rPr>
              <w:t>/</w:t>
            </w:r>
            <w:r>
              <w:rPr>
                <w:szCs w:val="20"/>
                <w:rtl/>
              </w:rPr>
              <w:t>02</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Cs w:val="20"/>
              </w:rPr>
            </w:pPr>
            <w:r>
              <w:rPr>
                <w:szCs w:val="20"/>
                <w:rtl/>
              </w:rPr>
              <w:t>35</w:t>
            </w:r>
          </w:p>
        </w:tc>
        <w:tc>
          <w:tcPr>
            <w:tcW w:w="1037" w:type="dxa"/>
            <w:tcBorders>
              <w:top w:val="single" w:sz="8" w:space="0" w:color="auto"/>
              <w:left w:val="nil"/>
              <w:bottom w:val="single" w:sz="8" w:space="0" w:color="auto"/>
              <w:right w:val="nil"/>
            </w:tcBorders>
            <w:noWrap/>
            <w:vAlign w:val="bottom"/>
          </w:tcPr>
          <w:p w:rsidR="00662946" w:rsidRDefault="00662946">
            <w:pPr>
              <w:spacing w:after="120"/>
              <w:jc w:val="both"/>
              <w:rPr>
                <w:szCs w:val="20"/>
              </w:rPr>
            </w:pPr>
            <w:r>
              <w:rPr>
                <w:szCs w:val="20"/>
                <w:rtl/>
              </w:rPr>
              <w:t>54</w:t>
            </w:r>
          </w:p>
        </w:tc>
        <w:tc>
          <w:tcPr>
            <w:tcW w:w="1253"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23</w:t>
            </w:r>
          </w:p>
        </w:tc>
        <w:tc>
          <w:tcPr>
            <w:tcW w:w="1037"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35</w:t>
            </w:r>
          </w:p>
        </w:tc>
        <w:tc>
          <w:tcPr>
            <w:tcW w:w="1332" w:type="dxa"/>
            <w:tcBorders>
              <w:top w:val="single" w:sz="8" w:space="0" w:color="auto"/>
              <w:left w:val="nil"/>
              <w:bottom w:val="single" w:sz="8" w:space="0" w:color="auto"/>
              <w:right w:val="nil"/>
            </w:tcBorders>
            <w:noWrap/>
            <w:vAlign w:val="bottom"/>
          </w:tcPr>
          <w:p w:rsidR="00662946" w:rsidRDefault="00662946">
            <w:pPr>
              <w:spacing w:after="120"/>
              <w:jc w:val="center"/>
              <w:rPr>
                <w:szCs w:val="20"/>
              </w:rPr>
            </w:pPr>
            <w:r>
              <w:rPr>
                <w:szCs w:val="20"/>
                <w:rtl/>
              </w:rPr>
              <w:t>10</w:t>
            </w:r>
          </w:p>
        </w:tc>
        <w:tc>
          <w:tcPr>
            <w:tcW w:w="915"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center"/>
              <w:rPr>
                <w:szCs w:val="20"/>
              </w:rPr>
            </w:pPr>
            <w:r>
              <w:rPr>
                <w:szCs w:val="20"/>
                <w:rtl/>
              </w:rPr>
              <w:t>61</w:t>
            </w:r>
          </w:p>
        </w:tc>
        <w:tc>
          <w:tcPr>
            <w:tcW w:w="1210"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rFonts w:hint="cs"/>
                <w:szCs w:val="20"/>
                <w:rtl/>
              </w:rPr>
              <w:t>صفر</w:t>
            </w:r>
          </w:p>
        </w:tc>
        <w:tc>
          <w:tcPr>
            <w:tcW w:w="538" w:type="dxa"/>
            <w:tcBorders>
              <w:top w:val="single" w:sz="8" w:space="0" w:color="auto"/>
              <w:left w:val="nil"/>
              <w:bottom w:val="single" w:sz="8" w:space="0" w:color="auto"/>
              <w:right w:val="single" w:sz="8" w:space="0" w:color="auto"/>
            </w:tcBorders>
            <w:noWrap/>
            <w:vAlign w:val="bottom"/>
          </w:tcPr>
          <w:p w:rsidR="00662946" w:rsidRDefault="00662946">
            <w:pPr>
              <w:spacing w:after="120"/>
              <w:jc w:val="center"/>
              <w:rPr>
                <w:szCs w:val="20"/>
              </w:rPr>
            </w:pPr>
            <w:r>
              <w:rPr>
                <w:szCs w:val="20"/>
                <w:rtl/>
              </w:rPr>
              <w:t>41</w:t>
            </w:r>
          </w:p>
        </w:tc>
      </w:tr>
      <w:tr w:rsidR="00662946">
        <w:trPr>
          <w:trHeight w:val="270"/>
          <w:jc w:val="center"/>
        </w:trPr>
        <w:tc>
          <w:tcPr>
            <w:tcW w:w="9203" w:type="dxa"/>
            <w:gridSpan w:val="9"/>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b/>
                <w:bCs/>
                <w:szCs w:val="20"/>
              </w:rPr>
            </w:pPr>
            <w:r>
              <w:rPr>
                <w:rFonts w:hint="cs"/>
                <w:b/>
                <w:bCs/>
                <w:szCs w:val="20"/>
                <w:rtl/>
              </w:rPr>
              <w:t>المصدر: الموجز الإحصائي للتعليم، 2002.</w:t>
            </w:r>
          </w:p>
        </w:tc>
      </w:tr>
    </w:tbl>
    <w:p w:rsidR="00662946" w:rsidRDefault="00662946">
      <w:pPr>
        <w:pStyle w:val="SingleTxt"/>
        <w:tabs>
          <w:tab w:val="left" w:pos="374"/>
        </w:tabs>
        <w:ind w:left="1264" w:right="1264"/>
        <w:jc w:val="both"/>
        <w:rPr>
          <w:rFonts w:hint="cs"/>
          <w:rtl/>
          <w:lang w:bidi="ar-EG"/>
        </w:rPr>
      </w:pPr>
    </w:p>
    <w:p w:rsidR="00662946" w:rsidRDefault="00662946">
      <w:pPr>
        <w:pStyle w:val="SingleTxt"/>
        <w:tabs>
          <w:tab w:val="left" w:pos="374"/>
        </w:tabs>
        <w:ind w:left="1264" w:right="1264"/>
        <w:jc w:val="both"/>
        <w:rPr>
          <w:rFonts w:hint="cs"/>
          <w:rtl/>
          <w:lang w:bidi="ar-EG"/>
        </w:rPr>
      </w:pPr>
      <w:r>
        <w:rPr>
          <w:rFonts w:hint="cs"/>
          <w:rtl/>
          <w:lang w:bidi="ar-EG"/>
        </w:rPr>
        <w:t>10-21</w:t>
      </w:r>
      <w:r>
        <w:rPr>
          <w:rFonts w:hint="cs"/>
          <w:rtl/>
          <w:lang w:bidi="ar-EG"/>
        </w:rPr>
        <w:tab/>
        <w:t>تمثل الإناث عموماً النسبة الأعلى من عدد الطلبة في التعليم العالي. وفي إدارة الزراعة وإدارة التعليم التقني والدراسات الإدارية (</w:t>
      </w:r>
      <w:r>
        <w:t>DTEMS</w:t>
      </w:r>
      <w:r>
        <w:rPr>
          <w:rFonts w:hint="cs"/>
          <w:rtl/>
          <w:lang w:bidi="ar-EG"/>
        </w:rPr>
        <w:t xml:space="preserve">) يفوق عدد المسجَّلين عدد المسجَّلات. وتقدم إدارة التعليم التقني والدراسات الإدارية بعض المواد التي تعتبر ذكرية تقليدياً. وتشمل هذه المواد النجارة والتوصيل والتركيبات الكهربائية وتكنولوجيا البناء. ويقدِّم الجدول الوارد أدناه تفاصيل أخرى عن عدد المسجلين وعدد المسجلات في الميادين المتخصصة في إدارة التعليم التقني والدراسات الإدارية للسنوات الأكاديمية الثلاث في الفترة من 1990 إلى 1994. </w:t>
      </w:r>
    </w:p>
    <w:p w:rsidR="00662946" w:rsidRDefault="00662946">
      <w:pPr>
        <w:pStyle w:val="SingleTxt"/>
        <w:tabs>
          <w:tab w:val="left" w:pos="374"/>
        </w:tabs>
        <w:ind w:left="1264" w:right="1264"/>
        <w:jc w:val="both"/>
        <w:rPr>
          <w:rFonts w:hint="cs"/>
          <w:rtl/>
          <w:lang w:bidi="ar-EG"/>
        </w:rPr>
      </w:pPr>
    </w:p>
    <w:tbl>
      <w:tblPr>
        <w:bidiVisual/>
        <w:tblW w:w="8746" w:type="dxa"/>
        <w:jc w:val="center"/>
        <w:tblLook w:val="0000" w:firstRow="0" w:lastRow="0" w:firstColumn="0" w:lastColumn="0" w:noHBand="0" w:noVBand="0"/>
      </w:tblPr>
      <w:tblGrid>
        <w:gridCol w:w="3065"/>
        <w:gridCol w:w="1080"/>
        <w:gridCol w:w="821"/>
        <w:gridCol w:w="1080"/>
        <w:gridCol w:w="1080"/>
        <w:gridCol w:w="759"/>
        <w:gridCol w:w="900"/>
      </w:tblGrid>
      <w:tr w:rsidR="00662946">
        <w:trPr>
          <w:trHeight w:val="420"/>
          <w:jc w:val="center"/>
        </w:trPr>
        <w:tc>
          <w:tcPr>
            <w:tcW w:w="8746" w:type="dxa"/>
            <w:gridSpan w:val="7"/>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center"/>
              <w:rPr>
                <w:rFonts w:hint="cs"/>
                <w:b/>
                <w:bCs/>
                <w:rtl/>
                <w:lang w:bidi="ar-EG"/>
              </w:rPr>
            </w:pPr>
            <w:r>
              <w:rPr>
                <w:rFonts w:hint="cs"/>
                <w:b/>
                <w:bCs/>
                <w:rtl/>
                <w:lang w:bidi="ar-EG"/>
              </w:rPr>
              <w:t xml:space="preserve">الجدول 10-11: عدد المسجلين في شعبة التعليم التقني والدراسات الإدارية </w:t>
            </w:r>
          </w:p>
        </w:tc>
      </w:tr>
      <w:tr w:rsidR="00662946">
        <w:trPr>
          <w:cantSplit/>
          <w:trHeight w:val="255"/>
          <w:jc w:val="center"/>
        </w:trPr>
        <w:tc>
          <w:tcPr>
            <w:tcW w:w="3065" w:type="dxa"/>
            <w:vMerge w:val="restart"/>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b/>
                <w:bCs/>
              </w:rPr>
            </w:pPr>
            <w:r>
              <w:rPr>
                <w:rFonts w:hint="cs"/>
                <w:b/>
                <w:bCs/>
                <w:rtl/>
              </w:rPr>
              <w:t>مجال الدراسة</w:t>
            </w:r>
          </w:p>
        </w:tc>
        <w:tc>
          <w:tcPr>
            <w:tcW w:w="1901" w:type="dxa"/>
            <w:gridSpan w:val="2"/>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b/>
                <w:bCs/>
              </w:rPr>
            </w:pPr>
            <w:r>
              <w:rPr>
                <w:b/>
                <w:bCs/>
                <w:rtl/>
              </w:rPr>
              <w:t>1990</w:t>
            </w:r>
            <w:r>
              <w:rPr>
                <w:b/>
                <w:bCs/>
              </w:rPr>
              <w:t>/</w:t>
            </w:r>
            <w:r>
              <w:rPr>
                <w:b/>
                <w:bCs/>
                <w:rtl/>
              </w:rPr>
              <w:t>91</w:t>
            </w:r>
          </w:p>
        </w:tc>
        <w:tc>
          <w:tcPr>
            <w:tcW w:w="2160" w:type="dxa"/>
            <w:gridSpan w:val="2"/>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b/>
                <w:bCs/>
              </w:rPr>
            </w:pPr>
            <w:r>
              <w:rPr>
                <w:b/>
                <w:bCs/>
                <w:rtl/>
              </w:rPr>
              <w:t>1991</w:t>
            </w:r>
            <w:r>
              <w:rPr>
                <w:b/>
                <w:bCs/>
              </w:rPr>
              <w:t>/</w:t>
            </w:r>
            <w:r>
              <w:rPr>
                <w:b/>
                <w:bCs/>
                <w:rtl/>
              </w:rPr>
              <w:t>92</w:t>
            </w:r>
          </w:p>
        </w:tc>
        <w:tc>
          <w:tcPr>
            <w:tcW w:w="1620" w:type="dxa"/>
            <w:gridSpan w:val="2"/>
            <w:tcBorders>
              <w:top w:val="single" w:sz="4" w:space="0" w:color="auto"/>
              <w:left w:val="nil"/>
              <w:bottom w:val="single" w:sz="4" w:space="0" w:color="auto"/>
              <w:right w:val="single" w:sz="4" w:space="0" w:color="auto"/>
            </w:tcBorders>
            <w:noWrap/>
            <w:vAlign w:val="bottom"/>
          </w:tcPr>
          <w:p w:rsidR="00662946" w:rsidRDefault="00662946">
            <w:pPr>
              <w:spacing w:after="120"/>
              <w:jc w:val="center"/>
              <w:rPr>
                <w:b/>
                <w:bCs/>
              </w:rPr>
            </w:pPr>
            <w:r>
              <w:rPr>
                <w:b/>
                <w:bCs/>
                <w:rtl/>
              </w:rPr>
              <w:t>1993</w:t>
            </w:r>
            <w:r>
              <w:rPr>
                <w:b/>
                <w:bCs/>
              </w:rPr>
              <w:t>/</w:t>
            </w:r>
            <w:r>
              <w:rPr>
                <w:b/>
                <w:bCs/>
                <w:rtl/>
              </w:rPr>
              <w:t>94</w:t>
            </w:r>
          </w:p>
        </w:tc>
      </w:tr>
      <w:tr w:rsidR="00662946">
        <w:trPr>
          <w:cantSplit/>
          <w:trHeight w:val="255"/>
          <w:jc w:val="center"/>
        </w:trPr>
        <w:tc>
          <w:tcPr>
            <w:tcW w:w="3065" w:type="dxa"/>
            <w:vMerge/>
            <w:tcBorders>
              <w:top w:val="single" w:sz="4" w:space="0" w:color="auto"/>
              <w:left w:val="single" w:sz="4" w:space="0" w:color="auto"/>
              <w:bottom w:val="single" w:sz="4" w:space="0" w:color="auto"/>
              <w:right w:val="single" w:sz="4" w:space="0" w:color="auto"/>
            </w:tcBorders>
            <w:vAlign w:val="center"/>
          </w:tcPr>
          <w:p w:rsidR="00662946" w:rsidRDefault="00662946">
            <w:pPr>
              <w:spacing w:after="120"/>
              <w:jc w:val="both"/>
              <w:rPr>
                <w:b/>
                <w:bCs/>
              </w:rPr>
            </w:pP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b/>
                <w:bCs/>
              </w:rPr>
            </w:pPr>
            <w:r>
              <w:rPr>
                <w:rFonts w:hint="cs"/>
                <w:b/>
                <w:bCs/>
                <w:rtl/>
              </w:rPr>
              <w:t>الإناث</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b/>
                <w:bCs/>
              </w:rPr>
            </w:pPr>
            <w:r>
              <w:rPr>
                <w:rFonts w:hint="cs"/>
                <w:b/>
                <w:bCs/>
                <w:rtl/>
              </w:rPr>
              <w:t>المجموع</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b/>
                <w:bCs/>
              </w:rPr>
            </w:pPr>
            <w:r>
              <w:rPr>
                <w:rFonts w:hint="cs"/>
                <w:b/>
                <w:bCs/>
                <w:rtl/>
              </w:rPr>
              <w:t>الإناث</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b/>
                <w:bCs/>
              </w:rPr>
            </w:pPr>
            <w:r>
              <w:rPr>
                <w:rFonts w:hint="cs"/>
                <w:b/>
                <w:bCs/>
                <w:rtl/>
              </w:rPr>
              <w:t>المجموع</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b/>
                <w:bCs/>
              </w:rPr>
            </w:pPr>
            <w:r>
              <w:rPr>
                <w:rFonts w:hint="cs"/>
                <w:b/>
                <w:bCs/>
                <w:rtl/>
              </w:rPr>
              <w:t>الإناث</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b/>
                <w:bCs/>
              </w:rPr>
            </w:pPr>
            <w:r>
              <w:rPr>
                <w:rFonts w:hint="cs"/>
                <w:b/>
                <w:bCs/>
                <w:rtl/>
              </w:rPr>
              <w:t>المجموع</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lang w:bidi="ar-EG"/>
              </w:rPr>
              <w:t>تكنولوجيا البناء</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7</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25</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8</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35</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14</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67</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rPr>
              <w:t xml:space="preserve">حرف التشييد </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11</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12</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2</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13</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rPr>
              <w:t>النجارة والتوصيل</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rPr>
            </w:pPr>
            <w:r>
              <w:rPr>
                <w:rFonts w:hint="cs"/>
                <w:rtl/>
              </w:rPr>
              <w:t>صفر</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13</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23</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2</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25</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rPr>
              <w:t xml:space="preserve">الإلكترونيات </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3</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12</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7</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rPr>
              <w:t>التبريد وتكييف الهواء</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4</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2</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8</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11</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rPr>
              <w:t xml:space="preserve">ميكانيكا المركبات </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18</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18</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12</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rPr>
              <w:t>أعمال السكرتارية</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26</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26</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34</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34</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49</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49</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rPr>
              <w:t>السباكة</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4</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10</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6</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rPr>
              <w:t>التركيبات الكهربائية</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20</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25</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2</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17</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rPr>
              <w:t>الدراسات التجارية</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35</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47</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41</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56</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61</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97</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rPr>
              <w:t>الفندقة وتقديم الأطعمة</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7</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8</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13</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17</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17</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22</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rPr>
              <w:t>الفنون الصناعية</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Fonts w:hint="cs"/>
                <w:rtl/>
              </w:rPr>
              <w:t>صفر</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11</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rPr>
            </w:pPr>
            <w:r>
              <w:rPr>
                <w:rFonts w:hint="cs"/>
                <w:rtl/>
              </w:rPr>
              <w:t>صفر</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10</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t>n, a,</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t>n, a,</w:t>
            </w:r>
          </w:p>
        </w:tc>
      </w:tr>
      <w:tr w:rsidR="00662946">
        <w:trPr>
          <w:trHeight w:val="255"/>
          <w:jc w:val="center"/>
        </w:trPr>
        <w:tc>
          <w:tcPr>
            <w:tcW w:w="3065" w:type="dxa"/>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jc w:val="both"/>
              <w:rPr>
                <w:rFonts w:hint="cs"/>
              </w:rPr>
            </w:pPr>
            <w:r>
              <w:rPr>
                <w:rFonts w:hint="cs"/>
                <w:rtl/>
              </w:rPr>
              <w:t>الدراسات شبه القانونية</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3</w:t>
            </w:r>
          </w:p>
        </w:tc>
        <w:tc>
          <w:tcPr>
            <w:tcW w:w="821"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5</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9</w:t>
            </w:r>
          </w:p>
        </w:tc>
        <w:tc>
          <w:tcPr>
            <w:tcW w:w="108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12</w:t>
            </w:r>
          </w:p>
        </w:tc>
        <w:tc>
          <w:tcPr>
            <w:tcW w:w="72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rPr>
                <w:rFonts w:hint="cs"/>
                <w:rtl/>
                <w:lang w:bidi="ar-EG"/>
              </w:rPr>
            </w:pPr>
            <w:r>
              <w:rPr>
                <w:rtl/>
              </w:rPr>
              <w:t>6</w:t>
            </w:r>
          </w:p>
        </w:tc>
        <w:tc>
          <w:tcPr>
            <w:tcW w:w="900" w:type="dxa"/>
            <w:tcBorders>
              <w:top w:val="single" w:sz="4" w:space="0" w:color="auto"/>
              <w:left w:val="nil"/>
              <w:bottom w:val="single" w:sz="4" w:space="0" w:color="auto"/>
              <w:right w:val="single" w:sz="4" w:space="0" w:color="auto"/>
            </w:tcBorders>
            <w:noWrap/>
            <w:vAlign w:val="bottom"/>
          </w:tcPr>
          <w:p w:rsidR="00662946" w:rsidRDefault="00662946">
            <w:pPr>
              <w:spacing w:after="120"/>
              <w:jc w:val="both"/>
            </w:pPr>
            <w:r>
              <w:rPr>
                <w:rtl/>
              </w:rPr>
              <w:t>15</w:t>
            </w:r>
          </w:p>
        </w:tc>
      </w:tr>
    </w:tbl>
    <w:p w:rsidR="00662946" w:rsidRDefault="00662946">
      <w:pPr>
        <w:pStyle w:val="SingleTxt"/>
        <w:tabs>
          <w:tab w:val="left" w:pos="374"/>
        </w:tabs>
        <w:ind w:left="1264" w:right="1264"/>
        <w:jc w:val="both"/>
        <w:rPr>
          <w:rFonts w:hint="cs"/>
          <w:rtl/>
          <w:lang w:bidi="ar-EG"/>
        </w:rPr>
      </w:pPr>
    </w:p>
    <w:p w:rsidR="00662946" w:rsidRDefault="00662946">
      <w:pPr>
        <w:pStyle w:val="SingleTxt"/>
        <w:tabs>
          <w:tab w:val="left" w:pos="374"/>
        </w:tabs>
        <w:ind w:left="1264" w:right="1264"/>
        <w:jc w:val="both"/>
        <w:rPr>
          <w:rFonts w:hint="cs"/>
          <w:b/>
          <w:bCs/>
          <w:rtl/>
          <w:lang w:bidi="ar-EG"/>
        </w:rPr>
      </w:pPr>
      <w:r>
        <w:rPr>
          <w:rFonts w:hint="cs"/>
          <w:b/>
          <w:bCs/>
          <w:rtl/>
          <w:lang w:bidi="ar-EG"/>
        </w:rPr>
        <w:t>التعليم الخاص</w:t>
      </w:r>
    </w:p>
    <w:p w:rsidR="00662946" w:rsidRDefault="00662946">
      <w:pPr>
        <w:pStyle w:val="SingleTxt"/>
        <w:tabs>
          <w:tab w:val="left" w:pos="374"/>
        </w:tabs>
        <w:ind w:left="1264" w:right="1264"/>
        <w:jc w:val="both"/>
        <w:rPr>
          <w:rFonts w:hint="cs"/>
          <w:rtl/>
          <w:lang w:bidi="ar-EG"/>
        </w:rPr>
      </w:pPr>
      <w:r>
        <w:rPr>
          <w:rFonts w:hint="cs"/>
          <w:rtl/>
          <w:lang w:bidi="ar-EG"/>
        </w:rPr>
        <w:t>10-22</w:t>
      </w:r>
      <w:r>
        <w:rPr>
          <w:rFonts w:hint="cs"/>
          <w:rtl/>
          <w:lang w:bidi="ar-EG"/>
        </w:rPr>
        <w:tab/>
        <w:t>بنهاية الفترة المشمولة بالتقرير كانت توجد خمسة مراكز للتعليم الخاص على الجزيرة تضم ما مجموعة 233 طالباً. و48 في المائة من الطلبة المسجلون في مراكز التعليم الخاص من الفتيات.</w:t>
      </w:r>
    </w:p>
    <w:p w:rsidR="00662946" w:rsidRDefault="00662946">
      <w:pPr>
        <w:pStyle w:val="SingleTxt"/>
        <w:tabs>
          <w:tab w:val="left" w:pos="374"/>
        </w:tabs>
        <w:ind w:left="1264" w:right="1264"/>
        <w:jc w:val="both"/>
        <w:rPr>
          <w:rFonts w:hint="cs"/>
          <w:b/>
          <w:bCs/>
          <w:rtl/>
          <w:lang w:bidi="ar-EG"/>
        </w:rPr>
      </w:pPr>
      <w:r>
        <w:rPr>
          <w:rFonts w:hint="cs"/>
          <w:b/>
          <w:bCs/>
          <w:rtl/>
          <w:lang w:bidi="ar-EG"/>
        </w:rPr>
        <w:t>القضاء على القوالب النمطية القائمة على الجنس في النظام التعليمي</w:t>
      </w:r>
    </w:p>
    <w:p w:rsidR="00662946" w:rsidRDefault="00662946">
      <w:pPr>
        <w:pStyle w:val="SingleTxt"/>
        <w:tabs>
          <w:tab w:val="left" w:pos="374"/>
        </w:tabs>
        <w:ind w:left="1264" w:right="1264"/>
        <w:jc w:val="both"/>
        <w:rPr>
          <w:rFonts w:hint="cs"/>
          <w:rtl/>
          <w:lang w:bidi="ar-EG"/>
        </w:rPr>
      </w:pPr>
      <w:r>
        <w:rPr>
          <w:rFonts w:hint="cs"/>
          <w:rtl/>
          <w:lang w:bidi="ar-EG"/>
        </w:rPr>
        <w:t>10-23</w:t>
      </w:r>
      <w:r>
        <w:rPr>
          <w:rFonts w:hint="cs"/>
          <w:rtl/>
          <w:lang w:bidi="ar-EG"/>
        </w:rPr>
        <w:tab/>
        <w:t>حتى نهاية الفترة المشمولة بالتقرير كانت توجد 82 مدرسة ابتدائية ومدرسة لصغار الأطفال في الجزيرة، منها 3 مدارس للفتيات فقط و3 مدارس للبنين فقط. وجميع المدارس الابتدائية الأخرى في سانت لوسيا مشتركة. ويتضمن الجدول الوارد أدناه مقارنة بين النسبة المئوية للمعلمين المدرَّبين في المدارس التي تضم جنس واحد والمدارس المشتركة. وبالنسبة إلى المدارس المشتركة المختارة تباينت النسبة المئوية للمعلمين المدرَّبين بين 43 في المائة و100 في المائة. ولا توجد مدارس ابتدائية يوجد فيها 100 في المائة من المعلمين المدرَّبين، ومع ذلك فإن عدد المعلمين المدربين الموجودين في هذه المدارس مواتٍ؛ وتتراوح نسبتهم 60 و88 في المائة. وقد تحقق نجاح في خفض عدد المدارس التي تضم جنس واحد إلى نحو 7 في المائة من مجموع عدد المدارس الابتدائية، ولا يبدو أن هذه المدارس قد أضيرت من ناحية جودة هيئة التدريس المتوافرة للطلبة.</w:t>
      </w:r>
    </w:p>
    <w:p w:rsidR="00662946" w:rsidRDefault="00662946">
      <w:pPr>
        <w:pStyle w:val="SingleTxt"/>
        <w:tabs>
          <w:tab w:val="left" w:pos="374"/>
        </w:tabs>
        <w:ind w:left="1264" w:right="1264"/>
        <w:jc w:val="both"/>
        <w:rPr>
          <w:rFonts w:hint="cs"/>
          <w:rtl/>
          <w:lang w:bidi="ar-EG"/>
        </w:rPr>
      </w:pPr>
    </w:p>
    <w:tbl>
      <w:tblPr>
        <w:bidiVisual/>
        <w:tblW w:w="9850" w:type="dxa"/>
        <w:jc w:val="center"/>
        <w:tblLayout w:type="fixed"/>
        <w:tblLook w:val="0000" w:firstRow="0" w:lastRow="0" w:firstColumn="0" w:lastColumn="0" w:noHBand="0" w:noVBand="0"/>
      </w:tblPr>
      <w:tblGrid>
        <w:gridCol w:w="906"/>
        <w:gridCol w:w="3475"/>
        <w:gridCol w:w="10"/>
        <w:gridCol w:w="814"/>
        <w:gridCol w:w="10"/>
        <w:gridCol w:w="1226"/>
        <w:gridCol w:w="10"/>
        <w:gridCol w:w="1535"/>
        <w:gridCol w:w="10"/>
        <w:gridCol w:w="1854"/>
      </w:tblGrid>
      <w:tr w:rsidR="00662946">
        <w:trPr>
          <w:trHeight w:val="552"/>
          <w:jc w:val="center"/>
        </w:trPr>
        <w:tc>
          <w:tcPr>
            <w:tcW w:w="9829" w:type="dxa"/>
            <w:gridSpan w:val="10"/>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30"/>
              </w:rPr>
            </w:pPr>
            <w:r>
              <w:rPr>
                <w:rFonts w:hint="cs"/>
                <w:b/>
                <w:bCs/>
                <w:sz w:val="30"/>
                <w:rtl/>
              </w:rPr>
              <w:t>الجدول 10-12: مقارنة مدارس ابتدائية مشتركة مختارة وتضم جنسا واحدا حسب النسبة المئوية للمعلمين المدربين، 2001/2002</w:t>
            </w:r>
          </w:p>
        </w:tc>
      </w:tr>
      <w:tr w:rsidR="00662946">
        <w:trPr>
          <w:trHeight w:val="552"/>
          <w:jc w:val="center"/>
        </w:trPr>
        <w:tc>
          <w:tcPr>
            <w:tcW w:w="906" w:type="dxa"/>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rFonts w:hint="cs"/>
                <w:b/>
                <w:bCs/>
                <w:sz w:val="30"/>
              </w:rPr>
            </w:pPr>
            <w:r>
              <w:rPr>
                <w:rFonts w:hint="cs"/>
                <w:b/>
                <w:bCs/>
                <w:sz w:val="30"/>
                <w:rtl/>
              </w:rPr>
              <w:t>الحي</w:t>
            </w:r>
          </w:p>
        </w:tc>
        <w:tc>
          <w:tcPr>
            <w:tcW w:w="3475" w:type="dxa"/>
            <w:tcBorders>
              <w:top w:val="single" w:sz="8" w:space="0" w:color="auto"/>
              <w:left w:val="single" w:sz="8" w:space="0" w:color="auto"/>
              <w:bottom w:val="single" w:sz="8" w:space="0" w:color="auto"/>
              <w:right w:val="nil"/>
            </w:tcBorders>
            <w:vAlign w:val="center"/>
          </w:tcPr>
          <w:p w:rsidR="00662946" w:rsidRDefault="00662946">
            <w:pPr>
              <w:spacing w:after="120"/>
              <w:jc w:val="both"/>
              <w:rPr>
                <w:rFonts w:hint="cs"/>
                <w:b/>
                <w:bCs/>
                <w:sz w:val="30"/>
              </w:rPr>
            </w:pPr>
            <w:r>
              <w:rPr>
                <w:rFonts w:hint="cs"/>
                <w:b/>
                <w:bCs/>
                <w:sz w:val="30"/>
                <w:rtl/>
              </w:rPr>
              <w:t>المدرسة</w:t>
            </w:r>
          </w:p>
        </w:tc>
        <w:tc>
          <w:tcPr>
            <w:tcW w:w="824" w:type="dxa"/>
            <w:gridSpan w:val="2"/>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30"/>
              </w:rPr>
            </w:pPr>
            <w:r>
              <w:rPr>
                <w:rFonts w:hint="cs"/>
                <w:b/>
                <w:bCs/>
                <w:sz w:val="30"/>
                <w:rtl/>
              </w:rPr>
              <w:t>نوع المدرسة</w:t>
            </w:r>
          </w:p>
        </w:tc>
        <w:tc>
          <w:tcPr>
            <w:tcW w:w="1236" w:type="dxa"/>
            <w:gridSpan w:val="2"/>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30"/>
              </w:rPr>
            </w:pPr>
            <w:r>
              <w:rPr>
                <w:rFonts w:hint="cs"/>
                <w:b/>
                <w:bCs/>
                <w:sz w:val="30"/>
                <w:rtl/>
              </w:rPr>
              <w:t>مجموع عدد المعلمين</w:t>
            </w:r>
          </w:p>
        </w:tc>
        <w:tc>
          <w:tcPr>
            <w:tcW w:w="1545" w:type="dxa"/>
            <w:gridSpan w:val="2"/>
            <w:tcBorders>
              <w:top w:val="single" w:sz="8" w:space="0" w:color="auto"/>
              <w:left w:val="nil"/>
              <w:bottom w:val="single" w:sz="8" w:space="0" w:color="auto"/>
              <w:right w:val="nil"/>
            </w:tcBorders>
            <w:vAlign w:val="center"/>
          </w:tcPr>
          <w:p w:rsidR="00662946" w:rsidRDefault="00662946">
            <w:pPr>
              <w:spacing w:after="120"/>
              <w:jc w:val="center"/>
              <w:rPr>
                <w:rFonts w:hint="cs"/>
                <w:b/>
                <w:bCs/>
                <w:sz w:val="30"/>
              </w:rPr>
            </w:pPr>
            <w:r>
              <w:rPr>
                <w:rFonts w:hint="cs"/>
                <w:b/>
                <w:bCs/>
                <w:sz w:val="30"/>
                <w:rtl/>
              </w:rPr>
              <w:t>مجموع عدد المعلمين المدرَّبين</w:t>
            </w:r>
          </w:p>
        </w:tc>
        <w:tc>
          <w:tcPr>
            <w:tcW w:w="1843" w:type="dxa"/>
            <w:gridSpan w:val="2"/>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center"/>
              <w:rPr>
                <w:rFonts w:hint="cs"/>
                <w:b/>
                <w:bCs/>
                <w:sz w:val="30"/>
              </w:rPr>
            </w:pPr>
            <w:r>
              <w:rPr>
                <w:rFonts w:hint="cs"/>
                <w:b/>
                <w:bCs/>
                <w:sz w:val="30"/>
                <w:rtl/>
              </w:rPr>
              <w:t>النسبة المئوية للمعلمين المدرَّبين</w:t>
            </w:r>
          </w:p>
        </w:tc>
      </w:tr>
      <w:tr w:rsidR="00662946">
        <w:trPr>
          <w:cantSplit/>
          <w:trHeight w:val="255"/>
          <w:jc w:val="center"/>
        </w:trPr>
        <w:tc>
          <w:tcPr>
            <w:tcW w:w="906" w:type="dxa"/>
            <w:vMerge w:val="restart"/>
            <w:tcBorders>
              <w:top w:val="single" w:sz="8" w:space="0" w:color="auto"/>
              <w:left w:val="single" w:sz="8" w:space="0" w:color="auto"/>
              <w:bottom w:val="single" w:sz="8" w:space="0" w:color="auto"/>
              <w:right w:val="nil"/>
            </w:tcBorders>
            <w:noWrap/>
            <w:vAlign w:val="center"/>
          </w:tcPr>
          <w:p w:rsidR="00662946" w:rsidRDefault="00662946">
            <w:pPr>
              <w:spacing w:after="120"/>
              <w:jc w:val="both"/>
              <w:rPr>
                <w:sz w:val="30"/>
              </w:rPr>
            </w:pPr>
            <w:r>
              <w:rPr>
                <w:sz w:val="30"/>
                <w:rtl/>
              </w:rPr>
              <w:t>1</w:t>
            </w:r>
          </w:p>
        </w:tc>
        <w:tc>
          <w:tcPr>
            <w:tcW w:w="3485" w:type="dxa"/>
            <w:gridSpan w:val="2"/>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أطفال غرو إيل</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6</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5</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83</w:t>
            </w:r>
          </w:p>
        </w:tc>
      </w:tr>
      <w:tr w:rsidR="00662946">
        <w:trPr>
          <w:cantSplit/>
          <w:trHeight w:val="270"/>
          <w:jc w:val="center"/>
        </w:trPr>
        <w:tc>
          <w:tcPr>
            <w:tcW w:w="906" w:type="dxa"/>
            <w:vMerge/>
            <w:tcBorders>
              <w:top w:val="single" w:sz="8" w:space="0" w:color="auto"/>
              <w:left w:val="single" w:sz="8" w:space="0" w:color="auto"/>
              <w:bottom w:val="single" w:sz="8" w:space="0" w:color="auto"/>
              <w:right w:val="nil"/>
            </w:tcBorders>
            <w:vAlign w:val="center"/>
          </w:tcPr>
          <w:p w:rsidR="00662946" w:rsidRDefault="00662946">
            <w:pPr>
              <w:spacing w:after="120"/>
              <w:jc w:val="both"/>
              <w:rPr>
                <w:sz w:val="30"/>
              </w:rPr>
            </w:pPr>
          </w:p>
        </w:tc>
        <w:tc>
          <w:tcPr>
            <w:tcW w:w="3485" w:type="dxa"/>
            <w:gridSpan w:val="2"/>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غرو إيل الابتدائية</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12</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7</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58</w:t>
            </w:r>
          </w:p>
        </w:tc>
      </w:tr>
      <w:tr w:rsidR="00662946">
        <w:trPr>
          <w:cantSplit/>
          <w:trHeight w:val="255"/>
          <w:jc w:val="center"/>
        </w:trPr>
        <w:tc>
          <w:tcPr>
            <w:tcW w:w="906" w:type="dxa"/>
            <w:vMerge w:val="restart"/>
            <w:tcBorders>
              <w:top w:val="single" w:sz="8" w:space="0" w:color="auto"/>
              <w:left w:val="single" w:sz="8" w:space="0" w:color="auto"/>
              <w:bottom w:val="single" w:sz="8" w:space="0" w:color="auto"/>
              <w:right w:val="single" w:sz="8" w:space="0" w:color="auto"/>
            </w:tcBorders>
            <w:noWrap/>
            <w:vAlign w:val="center"/>
          </w:tcPr>
          <w:p w:rsidR="00662946" w:rsidRDefault="00662946">
            <w:pPr>
              <w:spacing w:after="120"/>
              <w:jc w:val="both"/>
              <w:rPr>
                <w:sz w:val="30"/>
              </w:rPr>
            </w:pPr>
            <w:r>
              <w:rPr>
                <w:sz w:val="30"/>
                <w:rtl/>
              </w:rPr>
              <w:t>2</w:t>
            </w: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الأطفال الإنجيليكية</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19</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17</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89</w:t>
            </w:r>
          </w:p>
        </w:tc>
      </w:tr>
      <w:tr w:rsidR="00662946">
        <w:trPr>
          <w:cantSplit/>
          <w:trHeight w:val="270"/>
          <w:jc w:val="center"/>
        </w:trPr>
        <w:tc>
          <w:tcPr>
            <w:tcW w:w="906"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sz w:val="30"/>
              </w:rPr>
            </w:pP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المدرسة الابتدائية الانجيليكية</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19</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19</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100</w:t>
            </w:r>
          </w:p>
        </w:tc>
      </w:tr>
      <w:tr w:rsidR="00662946">
        <w:trPr>
          <w:cantSplit/>
          <w:trHeight w:val="255"/>
          <w:jc w:val="center"/>
        </w:trPr>
        <w:tc>
          <w:tcPr>
            <w:tcW w:w="906" w:type="dxa"/>
            <w:vMerge w:val="restart"/>
            <w:tcBorders>
              <w:top w:val="single" w:sz="8" w:space="0" w:color="auto"/>
              <w:left w:val="single" w:sz="8" w:space="0" w:color="auto"/>
              <w:bottom w:val="single" w:sz="8" w:space="0" w:color="auto"/>
              <w:right w:val="single" w:sz="8" w:space="0" w:color="auto"/>
            </w:tcBorders>
            <w:noWrap/>
            <w:vAlign w:val="center"/>
          </w:tcPr>
          <w:p w:rsidR="00662946" w:rsidRDefault="00662946">
            <w:pPr>
              <w:spacing w:after="120"/>
              <w:jc w:val="both"/>
              <w:rPr>
                <w:sz w:val="30"/>
              </w:rPr>
            </w:pPr>
            <w:r>
              <w:rPr>
                <w:sz w:val="30"/>
                <w:rtl/>
              </w:rPr>
              <w:t>3</w:t>
            </w: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أطفال إيف ماريا للفتيات</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19</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14</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74</w:t>
            </w:r>
          </w:p>
        </w:tc>
      </w:tr>
      <w:tr w:rsidR="00662946">
        <w:trPr>
          <w:cantSplit/>
          <w:trHeight w:val="255"/>
          <w:jc w:val="center"/>
        </w:trPr>
        <w:tc>
          <w:tcPr>
            <w:tcW w:w="906"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sz w:val="30"/>
              </w:rPr>
            </w:pP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إيف ماريا الابتدائية للفتيات</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29</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24</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83</w:t>
            </w:r>
          </w:p>
        </w:tc>
      </w:tr>
      <w:tr w:rsidR="00662946">
        <w:trPr>
          <w:cantSplit/>
          <w:trHeight w:val="255"/>
          <w:jc w:val="center"/>
        </w:trPr>
        <w:tc>
          <w:tcPr>
            <w:tcW w:w="906"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sz w:val="30"/>
              </w:rPr>
            </w:pP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tl/>
                <w:lang w:bidi="ar-EG"/>
              </w:rPr>
            </w:pPr>
            <w:r>
              <w:rPr>
                <w:rFonts w:hint="cs"/>
                <w:sz w:val="30"/>
                <w:rtl/>
              </w:rPr>
              <w:t xml:space="preserve">مدرسة </w:t>
            </w:r>
            <w:r>
              <w:rPr>
                <w:szCs w:val="20"/>
              </w:rPr>
              <w:t>R.C</w:t>
            </w:r>
            <w:r>
              <w:rPr>
                <w:sz w:val="30"/>
              </w:rPr>
              <w:t>.</w:t>
            </w:r>
            <w:r>
              <w:rPr>
                <w:rFonts w:hint="cs"/>
                <w:sz w:val="30"/>
                <w:rtl/>
                <w:lang w:bidi="ar-EG"/>
              </w:rPr>
              <w:t xml:space="preserve"> للبنين </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15</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9</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60</w:t>
            </w:r>
          </w:p>
        </w:tc>
      </w:tr>
      <w:tr w:rsidR="00662946">
        <w:trPr>
          <w:cantSplit/>
          <w:trHeight w:val="270"/>
          <w:jc w:val="center"/>
        </w:trPr>
        <w:tc>
          <w:tcPr>
            <w:tcW w:w="906"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sz w:val="30"/>
              </w:rPr>
            </w:pP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 xml:space="preserve">مدرسة </w:t>
            </w:r>
            <w:r>
              <w:rPr>
                <w:szCs w:val="20"/>
              </w:rPr>
              <w:t>R.C</w:t>
            </w:r>
            <w:r>
              <w:rPr>
                <w:sz w:val="30"/>
              </w:rPr>
              <w:t>.</w:t>
            </w:r>
            <w:r>
              <w:rPr>
                <w:rFonts w:hint="cs"/>
                <w:sz w:val="30"/>
                <w:rtl/>
              </w:rPr>
              <w:t xml:space="preserve"> الابتدائية للبنين</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27</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20</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74</w:t>
            </w:r>
          </w:p>
        </w:tc>
      </w:tr>
      <w:tr w:rsidR="00662946">
        <w:trPr>
          <w:cantSplit/>
          <w:trHeight w:val="255"/>
          <w:jc w:val="center"/>
        </w:trPr>
        <w:tc>
          <w:tcPr>
            <w:tcW w:w="906" w:type="dxa"/>
            <w:vMerge w:val="restart"/>
            <w:tcBorders>
              <w:top w:val="single" w:sz="8" w:space="0" w:color="auto"/>
              <w:left w:val="single" w:sz="8" w:space="0" w:color="auto"/>
              <w:bottom w:val="single" w:sz="8" w:space="0" w:color="auto"/>
              <w:right w:val="single" w:sz="8" w:space="0" w:color="auto"/>
            </w:tcBorders>
            <w:noWrap/>
            <w:vAlign w:val="center"/>
          </w:tcPr>
          <w:p w:rsidR="00662946" w:rsidRDefault="00662946">
            <w:pPr>
              <w:spacing w:after="120"/>
              <w:jc w:val="both"/>
              <w:rPr>
                <w:sz w:val="30"/>
              </w:rPr>
            </w:pPr>
            <w:r>
              <w:rPr>
                <w:sz w:val="30"/>
                <w:rtl/>
              </w:rPr>
              <w:t>4</w:t>
            </w: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 xml:space="preserve">مدرسة أنس لا راي للأطفال </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7</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3</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43</w:t>
            </w:r>
          </w:p>
        </w:tc>
      </w:tr>
      <w:tr w:rsidR="00662946">
        <w:trPr>
          <w:cantSplit/>
          <w:trHeight w:val="270"/>
          <w:jc w:val="center"/>
        </w:trPr>
        <w:tc>
          <w:tcPr>
            <w:tcW w:w="906"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sz w:val="30"/>
              </w:rPr>
            </w:pP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إنس لا راي الابتدائية</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9</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8</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89</w:t>
            </w:r>
          </w:p>
        </w:tc>
      </w:tr>
      <w:tr w:rsidR="00662946">
        <w:trPr>
          <w:cantSplit/>
          <w:trHeight w:val="255"/>
          <w:jc w:val="center"/>
        </w:trPr>
        <w:tc>
          <w:tcPr>
            <w:tcW w:w="906" w:type="dxa"/>
            <w:vMerge w:val="restart"/>
            <w:tcBorders>
              <w:top w:val="single" w:sz="8" w:space="0" w:color="auto"/>
              <w:left w:val="single" w:sz="8" w:space="0" w:color="auto"/>
              <w:bottom w:val="single" w:sz="8" w:space="0" w:color="auto"/>
              <w:right w:val="single" w:sz="8" w:space="0" w:color="auto"/>
            </w:tcBorders>
            <w:noWrap/>
            <w:vAlign w:val="center"/>
          </w:tcPr>
          <w:p w:rsidR="00662946" w:rsidRDefault="00662946">
            <w:pPr>
              <w:spacing w:after="120"/>
              <w:jc w:val="both"/>
              <w:rPr>
                <w:sz w:val="30"/>
              </w:rPr>
            </w:pPr>
            <w:r>
              <w:rPr>
                <w:sz w:val="30"/>
                <w:rtl/>
              </w:rPr>
              <w:t>5</w:t>
            </w: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ميكو للأطفال</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14</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12</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86</w:t>
            </w:r>
          </w:p>
        </w:tc>
      </w:tr>
      <w:tr w:rsidR="00662946">
        <w:trPr>
          <w:cantSplit/>
          <w:trHeight w:val="270"/>
          <w:jc w:val="center"/>
        </w:trPr>
        <w:tc>
          <w:tcPr>
            <w:tcW w:w="906"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sz w:val="30"/>
              </w:rPr>
            </w:pP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ميكو الابتدائية</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12</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9</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75</w:t>
            </w:r>
          </w:p>
        </w:tc>
      </w:tr>
      <w:tr w:rsidR="00662946">
        <w:trPr>
          <w:cantSplit/>
          <w:trHeight w:val="255"/>
          <w:jc w:val="center"/>
        </w:trPr>
        <w:tc>
          <w:tcPr>
            <w:tcW w:w="906" w:type="dxa"/>
            <w:vMerge w:val="restart"/>
            <w:tcBorders>
              <w:top w:val="single" w:sz="8" w:space="0" w:color="auto"/>
              <w:left w:val="single" w:sz="8" w:space="0" w:color="auto"/>
              <w:bottom w:val="single" w:sz="8" w:space="0" w:color="auto"/>
              <w:right w:val="single" w:sz="8" w:space="0" w:color="auto"/>
            </w:tcBorders>
            <w:noWrap/>
            <w:vAlign w:val="center"/>
          </w:tcPr>
          <w:p w:rsidR="00662946" w:rsidRDefault="00662946">
            <w:pPr>
              <w:spacing w:after="120"/>
              <w:jc w:val="both"/>
              <w:rPr>
                <w:sz w:val="30"/>
              </w:rPr>
            </w:pPr>
            <w:r>
              <w:rPr>
                <w:sz w:val="30"/>
                <w:rtl/>
              </w:rPr>
              <w:t>6</w:t>
            </w: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فيو فور للأطفال</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14</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9</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64</w:t>
            </w:r>
          </w:p>
        </w:tc>
      </w:tr>
      <w:tr w:rsidR="00662946">
        <w:trPr>
          <w:cantSplit/>
          <w:trHeight w:val="270"/>
          <w:jc w:val="center"/>
        </w:trPr>
        <w:tc>
          <w:tcPr>
            <w:tcW w:w="906"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sz w:val="30"/>
              </w:rPr>
            </w:pP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فيو فور الابتدائية</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24</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18</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75</w:t>
            </w:r>
          </w:p>
        </w:tc>
      </w:tr>
      <w:tr w:rsidR="00662946">
        <w:trPr>
          <w:cantSplit/>
          <w:trHeight w:val="255"/>
          <w:jc w:val="center"/>
        </w:trPr>
        <w:tc>
          <w:tcPr>
            <w:tcW w:w="906" w:type="dxa"/>
            <w:vMerge w:val="restart"/>
            <w:tcBorders>
              <w:top w:val="single" w:sz="8" w:space="0" w:color="auto"/>
              <w:left w:val="single" w:sz="8" w:space="0" w:color="auto"/>
              <w:bottom w:val="single" w:sz="8" w:space="0" w:color="auto"/>
              <w:right w:val="single" w:sz="8" w:space="0" w:color="auto"/>
            </w:tcBorders>
            <w:noWrap/>
            <w:vAlign w:val="center"/>
          </w:tcPr>
          <w:p w:rsidR="00662946" w:rsidRDefault="00662946">
            <w:pPr>
              <w:spacing w:after="120"/>
              <w:jc w:val="both"/>
              <w:rPr>
                <w:sz w:val="30"/>
              </w:rPr>
            </w:pPr>
            <w:r>
              <w:rPr>
                <w:sz w:val="30"/>
                <w:rtl/>
              </w:rPr>
              <w:t>7</w:t>
            </w: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لابوري للأطفال</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7</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7</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100</w:t>
            </w:r>
          </w:p>
        </w:tc>
      </w:tr>
      <w:tr w:rsidR="00662946">
        <w:trPr>
          <w:cantSplit/>
          <w:trHeight w:val="255"/>
          <w:jc w:val="center"/>
        </w:trPr>
        <w:tc>
          <w:tcPr>
            <w:tcW w:w="906"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sz w:val="30"/>
              </w:rPr>
            </w:pP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لابوري الابتدائية للبنين</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8</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7</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88</w:t>
            </w:r>
          </w:p>
        </w:tc>
      </w:tr>
      <w:tr w:rsidR="00662946">
        <w:trPr>
          <w:cantSplit/>
          <w:trHeight w:val="270"/>
          <w:jc w:val="center"/>
        </w:trPr>
        <w:tc>
          <w:tcPr>
            <w:tcW w:w="906"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sz w:val="30"/>
              </w:rPr>
            </w:pP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لابوري الابتدائية للفتيات</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7</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6</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86</w:t>
            </w:r>
          </w:p>
        </w:tc>
      </w:tr>
      <w:tr w:rsidR="00662946">
        <w:trPr>
          <w:cantSplit/>
          <w:trHeight w:val="255"/>
          <w:jc w:val="center"/>
        </w:trPr>
        <w:tc>
          <w:tcPr>
            <w:tcW w:w="906" w:type="dxa"/>
            <w:vMerge w:val="restart"/>
            <w:tcBorders>
              <w:top w:val="single" w:sz="8" w:space="0" w:color="auto"/>
              <w:left w:val="single" w:sz="8" w:space="0" w:color="auto"/>
              <w:bottom w:val="single" w:sz="8" w:space="0" w:color="auto"/>
              <w:right w:val="single" w:sz="8" w:space="0" w:color="auto"/>
            </w:tcBorders>
            <w:noWrap/>
            <w:vAlign w:val="center"/>
          </w:tcPr>
          <w:p w:rsidR="00662946" w:rsidRDefault="00662946">
            <w:pPr>
              <w:spacing w:after="120"/>
              <w:jc w:val="both"/>
              <w:rPr>
                <w:sz w:val="30"/>
              </w:rPr>
            </w:pPr>
            <w:r>
              <w:rPr>
                <w:sz w:val="30"/>
                <w:rtl/>
              </w:rPr>
              <w:t>8</w:t>
            </w: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 xml:space="preserve">مدرسة فو سانت جاك الابتدائية </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9</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6</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67</w:t>
            </w:r>
          </w:p>
        </w:tc>
      </w:tr>
      <w:tr w:rsidR="00662946">
        <w:trPr>
          <w:cantSplit/>
          <w:trHeight w:val="270"/>
          <w:jc w:val="center"/>
        </w:trPr>
        <w:tc>
          <w:tcPr>
            <w:tcW w:w="906" w:type="dxa"/>
            <w:vMerge/>
            <w:tcBorders>
              <w:top w:val="single" w:sz="8" w:space="0" w:color="auto"/>
              <w:left w:val="single" w:sz="8" w:space="0" w:color="auto"/>
              <w:bottom w:val="single" w:sz="8" w:space="0" w:color="auto"/>
              <w:right w:val="single" w:sz="8" w:space="0" w:color="auto"/>
            </w:tcBorders>
            <w:vAlign w:val="center"/>
          </w:tcPr>
          <w:p w:rsidR="00662946" w:rsidRDefault="00662946">
            <w:pPr>
              <w:spacing w:after="120"/>
              <w:jc w:val="both"/>
              <w:rPr>
                <w:sz w:val="30"/>
              </w:rPr>
            </w:pPr>
          </w:p>
        </w:tc>
        <w:tc>
          <w:tcPr>
            <w:tcW w:w="3485"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مدرسة فو سانت جاك للأطفال</w:t>
            </w:r>
          </w:p>
        </w:tc>
        <w:tc>
          <w:tcPr>
            <w:tcW w:w="824"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p>
        </w:tc>
        <w:tc>
          <w:tcPr>
            <w:tcW w:w="1236" w:type="dxa"/>
            <w:gridSpan w:val="2"/>
            <w:tcBorders>
              <w:top w:val="single" w:sz="8" w:space="0" w:color="auto"/>
              <w:left w:val="nil"/>
              <w:bottom w:val="single" w:sz="8" w:space="0" w:color="auto"/>
              <w:right w:val="single" w:sz="8" w:space="0" w:color="auto"/>
            </w:tcBorders>
            <w:noWrap/>
            <w:vAlign w:val="bottom"/>
          </w:tcPr>
          <w:p w:rsidR="00662946" w:rsidRDefault="00662946">
            <w:pPr>
              <w:spacing w:after="120"/>
              <w:jc w:val="both"/>
              <w:rPr>
                <w:sz w:val="30"/>
              </w:rPr>
            </w:pPr>
            <w:r>
              <w:rPr>
                <w:sz w:val="30"/>
                <w:rtl/>
              </w:rPr>
              <w:t>6</w:t>
            </w:r>
          </w:p>
        </w:tc>
        <w:tc>
          <w:tcPr>
            <w:tcW w:w="1545" w:type="dxa"/>
            <w:gridSpan w:val="2"/>
            <w:tcBorders>
              <w:top w:val="single" w:sz="8" w:space="0" w:color="auto"/>
              <w:left w:val="nil"/>
              <w:bottom w:val="single" w:sz="8" w:space="0" w:color="auto"/>
              <w:right w:val="nil"/>
            </w:tcBorders>
            <w:noWrap/>
            <w:vAlign w:val="bottom"/>
          </w:tcPr>
          <w:p w:rsidR="00662946" w:rsidRDefault="00662946">
            <w:pPr>
              <w:spacing w:after="120"/>
              <w:jc w:val="both"/>
              <w:rPr>
                <w:sz w:val="30"/>
              </w:rPr>
            </w:pPr>
            <w:r>
              <w:rPr>
                <w:sz w:val="30"/>
                <w:rtl/>
              </w:rPr>
              <w:t>3</w:t>
            </w:r>
          </w:p>
        </w:tc>
        <w:tc>
          <w:tcPr>
            <w:tcW w:w="1854" w:type="dxa"/>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sz w:val="30"/>
              </w:rPr>
            </w:pPr>
            <w:r>
              <w:rPr>
                <w:sz w:val="30"/>
                <w:rtl/>
              </w:rPr>
              <w:t>50</w:t>
            </w:r>
          </w:p>
        </w:tc>
      </w:tr>
      <w:tr w:rsidR="00662946">
        <w:trPr>
          <w:trHeight w:val="270"/>
          <w:jc w:val="center"/>
        </w:trPr>
        <w:tc>
          <w:tcPr>
            <w:tcW w:w="9829" w:type="dxa"/>
            <w:gridSpan w:val="10"/>
            <w:tcBorders>
              <w:top w:val="single" w:sz="8" w:space="0" w:color="auto"/>
              <w:left w:val="single" w:sz="8" w:space="0" w:color="auto"/>
              <w:bottom w:val="single" w:sz="8" w:space="0" w:color="auto"/>
              <w:right w:val="single" w:sz="8" w:space="0" w:color="auto"/>
            </w:tcBorders>
            <w:noWrap/>
            <w:vAlign w:val="bottom"/>
          </w:tcPr>
          <w:p w:rsidR="00662946" w:rsidRDefault="00662946">
            <w:pPr>
              <w:spacing w:after="120"/>
              <w:jc w:val="both"/>
              <w:rPr>
                <w:rFonts w:hint="cs"/>
                <w:sz w:val="30"/>
              </w:rPr>
            </w:pPr>
            <w:r>
              <w:rPr>
                <w:rFonts w:hint="cs"/>
                <w:sz w:val="30"/>
                <w:rtl/>
              </w:rPr>
              <w:t>البيانات مكيَّفة من الموجز الإحصائي لوزارة التعليم، 2002.</w:t>
            </w:r>
          </w:p>
        </w:tc>
      </w:tr>
    </w:tbl>
    <w:p w:rsidR="00662946" w:rsidRDefault="00662946">
      <w:pPr>
        <w:pStyle w:val="SingleTxt"/>
        <w:tabs>
          <w:tab w:val="left" w:pos="374"/>
        </w:tabs>
        <w:ind w:left="1264" w:right="1264"/>
        <w:jc w:val="both"/>
        <w:rPr>
          <w:rFonts w:hint="cs"/>
          <w:rtl/>
          <w:lang w:bidi="ar-EG"/>
        </w:rPr>
      </w:pPr>
    </w:p>
    <w:p w:rsidR="00662946" w:rsidRDefault="00662946">
      <w:pPr>
        <w:pStyle w:val="SingleTxt"/>
        <w:tabs>
          <w:tab w:val="left" w:pos="374"/>
        </w:tabs>
        <w:ind w:left="1264" w:right="1264"/>
        <w:jc w:val="both"/>
        <w:rPr>
          <w:rFonts w:hint="cs"/>
          <w:rtl/>
          <w:lang w:bidi="ar-EG"/>
        </w:rPr>
      </w:pPr>
      <w:r>
        <w:rPr>
          <w:rFonts w:hint="cs"/>
          <w:rtl/>
          <w:lang w:bidi="ar-EG"/>
        </w:rPr>
        <w:t>10-24</w:t>
      </w:r>
      <w:r>
        <w:rPr>
          <w:rFonts w:hint="cs"/>
          <w:rtl/>
          <w:lang w:bidi="ar-EG"/>
        </w:rPr>
        <w:tab/>
        <w:t>في حالة المدارس المختلطة أو المشتركة في نظام المدارس الثانوية لا يوجد دليل على تدني نوعية التعليم المقدَّم إلى الطلبة سواءً وجد تصور التمييز لأن هذه المدارس كانت المدارس المفضلة تاريخياً من جانب الآباء والطلبة على حدٍ سواء وهي معروفة بارتفاع نوعية التعليم الذي تقدمه والأداء الأعلى للطلبة في امتحانات مجلس الكاريبي للامتحانات التي تأتي في نهاية البرنامج الذي مدته خمس سنوات.</w:t>
      </w:r>
    </w:p>
    <w:p w:rsidR="00662946" w:rsidRDefault="00662946">
      <w:pPr>
        <w:pStyle w:val="SingleTxt"/>
        <w:tabs>
          <w:tab w:val="left" w:pos="374"/>
        </w:tabs>
        <w:ind w:left="1264" w:right="1264"/>
        <w:jc w:val="both"/>
        <w:rPr>
          <w:rFonts w:hint="cs"/>
          <w:rtl/>
          <w:lang w:bidi="ar-EG"/>
        </w:rPr>
      </w:pPr>
      <w:r>
        <w:rPr>
          <w:rFonts w:hint="cs"/>
          <w:rtl/>
          <w:lang w:bidi="ar-EG"/>
        </w:rPr>
        <w:t>10-25</w:t>
      </w:r>
      <w:r>
        <w:rPr>
          <w:rFonts w:hint="cs"/>
          <w:rtl/>
          <w:lang w:bidi="ar-EG"/>
        </w:rPr>
        <w:tab/>
        <w:t>على الرغم مما سبق أعلاه فإن استعراض المواد المقدمة في المدارس الثانوية التي تضم جنس واحد يقدِّم دليل على وجود قدر من المقررات الدراسية القائمة على أساس الجنس. يتاح للفتيات الكتابة على الآلة الكاتبة والغذاء والتغذية في دير سانت جوزيف ولفتيات مدرسة كوربس كرستي المهنية للفتيات الخاصة الصغيرة لكن هذه المواد لا تقدَّم في مدارس البنين فقط التي تقدم إليها الحكومة مساعدات على الجزيرة (كلية سانت ميري). وبالمثل لا تقدَّم الأعمال أو الأشغال الخشبية والزراعة والرسم التقني والكهرباء في مدارس البنات فقط. ومن جهة أخرى تقدم هذه المواد عموماً في المدارس المشتركة.</w:t>
      </w:r>
    </w:p>
    <w:p w:rsidR="00662946" w:rsidRDefault="00662946">
      <w:pPr>
        <w:pStyle w:val="SingleTxt"/>
        <w:tabs>
          <w:tab w:val="left" w:pos="374"/>
        </w:tabs>
        <w:ind w:left="1264" w:right="1264"/>
        <w:jc w:val="both"/>
        <w:rPr>
          <w:rFonts w:hint="cs"/>
          <w:rtl/>
          <w:lang w:bidi="ar-EG"/>
        </w:rPr>
      </w:pPr>
      <w:r>
        <w:rPr>
          <w:rFonts w:hint="cs"/>
          <w:rtl/>
          <w:lang w:bidi="ar-EG"/>
        </w:rPr>
        <w:t>10-26</w:t>
      </w:r>
      <w:r>
        <w:rPr>
          <w:rFonts w:hint="cs"/>
          <w:rtl/>
          <w:lang w:bidi="ar-EG"/>
        </w:rPr>
        <w:tab/>
        <w:t>خلال الفترة المشمولة بالتقرير كان هناك تغيُّر تدريجي لكنه بطئ بعيداً عن الأنماط التقليدية في اختيار المواد وتوجد فرصة ضئيلة للاختيار بين المواد على المستوى الابتدائي فالمواد موحَّدة بغض النظر عن المدارس أو جنس الطلبة. بيد أنه على المستوى الثانوي تواصل الفتيات اختيار الإدارة المنزلية والطباعة على الآلة الكاتبة والإجراءات المكتبية. واستمر هذا النمط في اختيار المواد على المستوى التعليمي العالي مع استمرار الطالبات في السيادة في بعض المواد والبرامج مثل اللغات (الفرنسية والأسبانية) والأدب والتاريخ ودارسات السكرتارية والدراسات التجارية والفندقة وتقديم الأطعمة.</w:t>
      </w:r>
    </w:p>
    <w:p w:rsidR="00662946" w:rsidRDefault="00662946">
      <w:pPr>
        <w:pStyle w:val="SingleTxt"/>
        <w:tabs>
          <w:tab w:val="left" w:pos="374"/>
        </w:tabs>
        <w:ind w:left="1264" w:right="1264"/>
        <w:jc w:val="both"/>
        <w:rPr>
          <w:rtl/>
          <w:lang w:bidi="ar-EG"/>
        </w:rPr>
      </w:pPr>
      <w:r>
        <w:rPr>
          <w:rFonts w:hint="cs"/>
          <w:rtl/>
          <w:lang w:bidi="ar-EG"/>
        </w:rPr>
        <w:t>10-27</w:t>
      </w:r>
      <w:r>
        <w:rPr>
          <w:rFonts w:hint="cs"/>
          <w:rtl/>
          <w:lang w:bidi="ar-EG"/>
        </w:rPr>
        <w:tab/>
        <w:t>ويقدِّم الجدول الوارد أدناه مقارنة بين عدد المسجلين والمسجلات على المستوى الأعلى من الثانوي (مستوى المعاهد) في مدرسة فيو فور الثانوية. ويشير نمط التسجيل إلى أنه يوجد قدر من اختيار المواد على أساس الجنس وهذا يؤدي إلى سيادة الذكور في برنامج النجارة والتوصيل وسيادة الإناث في برنامج دراسات السكرتارية. وفي برنامج الدراسات التجارية يوجد توزيع أكثر تساوياً بين الجنسين.</w:t>
      </w:r>
    </w:p>
    <w:p w:rsidR="00662946" w:rsidRDefault="00662946">
      <w:pPr>
        <w:pStyle w:val="SingleTxt"/>
        <w:tabs>
          <w:tab w:val="left" w:pos="374"/>
        </w:tabs>
        <w:ind w:left="1264" w:right="1264"/>
        <w:jc w:val="both"/>
        <w:rPr>
          <w:rFonts w:hint="cs"/>
          <w:rtl/>
          <w:lang w:bidi="ar-EG"/>
        </w:rPr>
      </w:pPr>
    </w:p>
    <w:tbl>
      <w:tblPr>
        <w:bidiVisual/>
        <w:tblW w:w="9848" w:type="dxa"/>
        <w:jc w:val="center"/>
        <w:tblLook w:val="0000" w:firstRow="0" w:lastRow="0" w:firstColumn="0" w:lastColumn="0" w:noHBand="0" w:noVBand="0"/>
      </w:tblPr>
      <w:tblGrid>
        <w:gridCol w:w="1130"/>
        <w:gridCol w:w="1132"/>
        <w:gridCol w:w="812"/>
        <w:gridCol w:w="906"/>
        <w:gridCol w:w="897"/>
        <w:gridCol w:w="1160"/>
        <w:gridCol w:w="897"/>
        <w:gridCol w:w="822"/>
        <w:gridCol w:w="897"/>
        <w:gridCol w:w="881"/>
        <w:gridCol w:w="314"/>
      </w:tblGrid>
      <w:tr w:rsidR="00662946">
        <w:trPr>
          <w:gridAfter w:val="1"/>
          <w:wAfter w:w="360" w:type="dxa"/>
          <w:trHeight w:val="510"/>
          <w:jc w:val="center"/>
        </w:trPr>
        <w:tc>
          <w:tcPr>
            <w:tcW w:w="9829" w:type="dxa"/>
            <w:gridSpan w:val="10"/>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الجدول 10-13: عدد المسجلين في السنة السادسة وفي القسم بعد الثانوي في مدرسة فيو فور الثانوية الشاملة، 1996 إلى 2002</w:t>
            </w:r>
          </w:p>
        </w:tc>
      </w:tr>
      <w:tr w:rsidR="00662946">
        <w:trPr>
          <w:cantSplit/>
          <w:trHeight w:val="510"/>
          <w:jc w:val="center"/>
        </w:trPr>
        <w:tc>
          <w:tcPr>
            <w:tcW w:w="1129" w:type="dxa"/>
            <w:vMerge w:val="restart"/>
            <w:tcBorders>
              <w:top w:val="nil"/>
              <w:left w:val="single" w:sz="4" w:space="0" w:color="auto"/>
              <w:bottom w:val="single" w:sz="4" w:space="0" w:color="auto"/>
              <w:right w:val="single" w:sz="4" w:space="0" w:color="auto"/>
            </w:tcBorders>
            <w:vAlign w:val="bottom"/>
          </w:tcPr>
          <w:p w:rsidR="00662946" w:rsidRDefault="00662946">
            <w:pPr>
              <w:spacing w:after="120"/>
              <w:jc w:val="both"/>
              <w:rPr>
                <w:rFonts w:hint="cs"/>
                <w:b/>
                <w:bCs/>
              </w:rPr>
            </w:pPr>
            <w:r>
              <w:rPr>
                <w:rFonts w:hint="cs"/>
                <w:b/>
                <w:bCs/>
                <w:rtl/>
              </w:rPr>
              <w:t>السنة</w:t>
            </w:r>
          </w:p>
        </w:tc>
        <w:tc>
          <w:tcPr>
            <w:tcW w:w="2025" w:type="dxa"/>
            <w:gridSpan w:val="2"/>
            <w:tcBorders>
              <w:top w:val="single" w:sz="4" w:space="0" w:color="auto"/>
              <w:left w:val="nil"/>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الفنون والدراسات العامة</w:t>
            </w:r>
          </w:p>
        </w:tc>
        <w:tc>
          <w:tcPr>
            <w:tcW w:w="1854" w:type="dxa"/>
            <w:gridSpan w:val="2"/>
            <w:tcBorders>
              <w:top w:val="single" w:sz="4" w:space="0" w:color="auto"/>
              <w:left w:val="nil"/>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الدراسات التجارية</w:t>
            </w:r>
          </w:p>
        </w:tc>
        <w:tc>
          <w:tcPr>
            <w:tcW w:w="2163" w:type="dxa"/>
            <w:gridSpan w:val="2"/>
            <w:tcBorders>
              <w:top w:val="single" w:sz="4" w:space="0" w:color="auto"/>
              <w:left w:val="nil"/>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دراسات السكرتارية</w:t>
            </w:r>
          </w:p>
        </w:tc>
        <w:tc>
          <w:tcPr>
            <w:tcW w:w="1751" w:type="dxa"/>
            <w:gridSpan w:val="2"/>
            <w:tcBorders>
              <w:top w:val="single" w:sz="4" w:space="0" w:color="auto"/>
              <w:left w:val="nil"/>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النجارة والتوصيل</w:t>
            </w:r>
          </w:p>
        </w:tc>
        <w:tc>
          <w:tcPr>
            <w:tcW w:w="926" w:type="dxa"/>
            <w:gridSpan w:val="2"/>
            <w:tcBorders>
              <w:top w:val="nil"/>
              <w:left w:val="single" w:sz="4" w:space="0" w:color="auto"/>
              <w:bottom w:val="single" w:sz="4" w:space="0" w:color="auto"/>
              <w:right w:val="single" w:sz="4" w:space="0" w:color="auto"/>
            </w:tcBorders>
            <w:vAlign w:val="bottom"/>
          </w:tcPr>
          <w:p w:rsidR="00662946" w:rsidRDefault="00662946">
            <w:pPr>
              <w:spacing w:after="120"/>
              <w:jc w:val="both"/>
              <w:rPr>
                <w:rFonts w:hint="cs"/>
                <w:b/>
                <w:bCs/>
              </w:rPr>
            </w:pPr>
            <w:r>
              <w:rPr>
                <w:rFonts w:hint="cs"/>
                <w:b/>
                <w:bCs/>
                <w:rtl/>
              </w:rPr>
              <w:t>المجموع</w:t>
            </w:r>
          </w:p>
        </w:tc>
      </w:tr>
      <w:tr w:rsidR="00662946">
        <w:trPr>
          <w:cantSplit/>
          <w:trHeight w:val="255"/>
          <w:jc w:val="center"/>
        </w:trPr>
        <w:tc>
          <w:tcPr>
            <w:tcW w:w="1129" w:type="dxa"/>
            <w:vMerge/>
            <w:tcBorders>
              <w:top w:val="nil"/>
              <w:left w:val="single" w:sz="4" w:space="0" w:color="auto"/>
              <w:bottom w:val="single" w:sz="4" w:space="0" w:color="auto"/>
              <w:right w:val="single" w:sz="4" w:space="0" w:color="auto"/>
            </w:tcBorders>
            <w:vAlign w:val="center"/>
          </w:tcPr>
          <w:p w:rsidR="00662946" w:rsidRDefault="00662946">
            <w:pPr>
              <w:spacing w:after="120"/>
              <w:jc w:val="both"/>
              <w:rPr>
                <w:b/>
                <w:bCs/>
              </w:rPr>
            </w:pPr>
          </w:p>
        </w:tc>
        <w:tc>
          <w:tcPr>
            <w:tcW w:w="1201" w:type="dxa"/>
            <w:tcBorders>
              <w:top w:val="nil"/>
              <w:left w:val="nil"/>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عدد الذكور</w:t>
            </w:r>
          </w:p>
        </w:tc>
        <w:tc>
          <w:tcPr>
            <w:tcW w:w="824" w:type="dxa"/>
            <w:tcBorders>
              <w:top w:val="nil"/>
              <w:left w:val="nil"/>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عدد الإناث</w:t>
            </w:r>
          </w:p>
        </w:tc>
        <w:tc>
          <w:tcPr>
            <w:tcW w:w="927" w:type="dxa"/>
            <w:tcBorders>
              <w:top w:val="nil"/>
              <w:left w:val="nil"/>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عدد الذكور</w:t>
            </w:r>
          </w:p>
        </w:tc>
        <w:tc>
          <w:tcPr>
            <w:tcW w:w="927" w:type="dxa"/>
            <w:tcBorders>
              <w:top w:val="nil"/>
              <w:left w:val="nil"/>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عدد الإناث</w:t>
            </w:r>
          </w:p>
        </w:tc>
        <w:tc>
          <w:tcPr>
            <w:tcW w:w="1236" w:type="dxa"/>
            <w:tcBorders>
              <w:top w:val="nil"/>
              <w:left w:val="nil"/>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عدد الذكور</w:t>
            </w:r>
          </w:p>
        </w:tc>
        <w:tc>
          <w:tcPr>
            <w:tcW w:w="927" w:type="dxa"/>
            <w:tcBorders>
              <w:top w:val="nil"/>
              <w:left w:val="nil"/>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عدد الإناث</w:t>
            </w:r>
          </w:p>
        </w:tc>
        <w:tc>
          <w:tcPr>
            <w:tcW w:w="824" w:type="dxa"/>
            <w:tcBorders>
              <w:top w:val="nil"/>
              <w:left w:val="nil"/>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عدد الذكور</w:t>
            </w:r>
          </w:p>
        </w:tc>
        <w:tc>
          <w:tcPr>
            <w:tcW w:w="927" w:type="dxa"/>
            <w:tcBorders>
              <w:top w:val="nil"/>
              <w:left w:val="nil"/>
              <w:bottom w:val="single" w:sz="4" w:space="0" w:color="auto"/>
              <w:right w:val="single" w:sz="4" w:space="0" w:color="auto"/>
            </w:tcBorders>
            <w:vAlign w:val="bottom"/>
          </w:tcPr>
          <w:p w:rsidR="00662946" w:rsidRDefault="00662946">
            <w:pPr>
              <w:spacing w:after="120"/>
              <w:jc w:val="center"/>
              <w:rPr>
                <w:rFonts w:hint="cs"/>
                <w:b/>
                <w:bCs/>
              </w:rPr>
            </w:pPr>
            <w:r>
              <w:rPr>
                <w:rFonts w:hint="cs"/>
                <w:b/>
                <w:bCs/>
                <w:rtl/>
              </w:rPr>
              <w:t>عدد الإناث</w:t>
            </w:r>
          </w:p>
        </w:tc>
        <w:tc>
          <w:tcPr>
            <w:tcW w:w="926" w:type="dxa"/>
            <w:gridSpan w:val="2"/>
            <w:tcBorders>
              <w:top w:val="nil"/>
              <w:left w:val="single" w:sz="4" w:space="0" w:color="auto"/>
              <w:bottom w:val="single" w:sz="4" w:space="0" w:color="auto"/>
              <w:right w:val="single" w:sz="4" w:space="0" w:color="auto"/>
            </w:tcBorders>
            <w:vAlign w:val="center"/>
          </w:tcPr>
          <w:p w:rsidR="00662946" w:rsidRDefault="00662946">
            <w:pPr>
              <w:spacing w:after="120"/>
              <w:jc w:val="both"/>
              <w:rPr>
                <w:b/>
                <w:bCs/>
              </w:rPr>
            </w:pPr>
          </w:p>
        </w:tc>
      </w:tr>
      <w:tr w:rsidR="00662946">
        <w:trPr>
          <w:gridAfter w:val="1"/>
          <w:wAfter w:w="360" w:type="dxa"/>
          <w:trHeight w:val="255"/>
          <w:jc w:val="center"/>
        </w:trPr>
        <w:tc>
          <w:tcPr>
            <w:tcW w:w="1129" w:type="dxa"/>
            <w:tcBorders>
              <w:top w:val="nil"/>
              <w:left w:val="single" w:sz="4" w:space="0" w:color="auto"/>
              <w:bottom w:val="single" w:sz="4" w:space="0" w:color="auto"/>
              <w:right w:val="single" w:sz="4" w:space="0" w:color="auto"/>
            </w:tcBorders>
            <w:vAlign w:val="bottom"/>
          </w:tcPr>
          <w:p w:rsidR="00662946" w:rsidRDefault="00662946">
            <w:pPr>
              <w:spacing w:after="120"/>
              <w:jc w:val="both"/>
            </w:pPr>
            <w:r>
              <w:rPr>
                <w:rtl/>
              </w:rPr>
              <w:t>1996</w:t>
            </w:r>
            <w:r>
              <w:t>/</w:t>
            </w:r>
            <w:r>
              <w:rPr>
                <w:rtl/>
              </w:rPr>
              <w:t>97</w:t>
            </w:r>
          </w:p>
        </w:tc>
        <w:tc>
          <w:tcPr>
            <w:tcW w:w="1192" w:type="dxa"/>
            <w:tcBorders>
              <w:top w:val="nil"/>
              <w:left w:val="nil"/>
              <w:bottom w:val="single" w:sz="4" w:space="0" w:color="auto"/>
              <w:right w:val="single" w:sz="4" w:space="0" w:color="auto"/>
            </w:tcBorders>
            <w:vAlign w:val="bottom"/>
          </w:tcPr>
          <w:p w:rsidR="00662946" w:rsidRDefault="00662946">
            <w:pPr>
              <w:spacing w:after="120"/>
              <w:jc w:val="both"/>
            </w:pPr>
            <w:r>
              <w:rPr>
                <w:rtl/>
              </w:rPr>
              <w:t>31</w:t>
            </w:r>
          </w:p>
        </w:tc>
        <w:tc>
          <w:tcPr>
            <w:tcW w:w="824" w:type="dxa"/>
            <w:tcBorders>
              <w:top w:val="nil"/>
              <w:left w:val="nil"/>
              <w:bottom w:val="single" w:sz="4" w:space="0" w:color="auto"/>
              <w:right w:val="single" w:sz="4" w:space="0" w:color="auto"/>
            </w:tcBorders>
            <w:vAlign w:val="bottom"/>
          </w:tcPr>
          <w:p w:rsidR="00662946" w:rsidRDefault="00662946">
            <w:pPr>
              <w:spacing w:after="120"/>
              <w:jc w:val="both"/>
            </w:pPr>
            <w:r>
              <w:rPr>
                <w:rtl/>
              </w:rPr>
              <w:t>55</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4</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12</w:t>
            </w:r>
          </w:p>
        </w:tc>
        <w:tc>
          <w:tcPr>
            <w:tcW w:w="1236" w:type="dxa"/>
            <w:tcBorders>
              <w:top w:val="nil"/>
              <w:left w:val="nil"/>
              <w:bottom w:val="single" w:sz="4" w:space="0" w:color="auto"/>
              <w:right w:val="single" w:sz="4" w:space="0" w:color="auto"/>
            </w:tcBorders>
            <w:vAlign w:val="bottom"/>
          </w:tcPr>
          <w:p w:rsidR="00662946" w:rsidRDefault="00662946">
            <w:pPr>
              <w:spacing w:after="120"/>
              <w:jc w:val="both"/>
              <w:rPr>
                <w:rFonts w:hint="cs"/>
              </w:rPr>
            </w:pPr>
            <w:r>
              <w:rPr>
                <w:rFonts w:hint="cs"/>
                <w:rtl/>
              </w:rPr>
              <w:t>صفر</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15</w:t>
            </w:r>
          </w:p>
        </w:tc>
        <w:tc>
          <w:tcPr>
            <w:tcW w:w="824" w:type="dxa"/>
            <w:tcBorders>
              <w:top w:val="nil"/>
              <w:left w:val="nil"/>
              <w:bottom w:val="single" w:sz="4" w:space="0" w:color="auto"/>
              <w:right w:val="single" w:sz="4" w:space="0" w:color="auto"/>
            </w:tcBorders>
            <w:vAlign w:val="bottom"/>
          </w:tcPr>
          <w:p w:rsidR="00662946" w:rsidRDefault="00662946">
            <w:pPr>
              <w:spacing w:after="120"/>
              <w:jc w:val="both"/>
            </w:pPr>
            <w:r>
              <w:rPr>
                <w:rtl/>
              </w:rPr>
              <w:t>13</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Fonts w:hint="cs"/>
                <w:rtl/>
              </w:rPr>
              <w:t>صفر</w:t>
            </w:r>
          </w:p>
        </w:tc>
        <w:tc>
          <w:tcPr>
            <w:tcW w:w="916" w:type="dxa"/>
            <w:tcBorders>
              <w:top w:val="nil"/>
              <w:left w:val="nil"/>
              <w:bottom w:val="single" w:sz="4" w:space="0" w:color="auto"/>
              <w:right w:val="single" w:sz="4" w:space="0" w:color="auto"/>
            </w:tcBorders>
            <w:vAlign w:val="bottom"/>
          </w:tcPr>
          <w:p w:rsidR="00662946" w:rsidRDefault="00662946">
            <w:pPr>
              <w:spacing w:after="120"/>
              <w:jc w:val="both"/>
            </w:pPr>
            <w:r>
              <w:rPr>
                <w:rtl/>
              </w:rPr>
              <w:t>130</w:t>
            </w:r>
          </w:p>
        </w:tc>
      </w:tr>
      <w:tr w:rsidR="00662946">
        <w:trPr>
          <w:gridAfter w:val="1"/>
          <w:wAfter w:w="360" w:type="dxa"/>
          <w:trHeight w:val="255"/>
          <w:jc w:val="center"/>
        </w:trPr>
        <w:tc>
          <w:tcPr>
            <w:tcW w:w="1129" w:type="dxa"/>
            <w:tcBorders>
              <w:top w:val="nil"/>
              <w:left w:val="single" w:sz="4" w:space="0" w:color="auto"/>
              <w:bottom w:val="single" w:sz="4" w:space="0" w:color="auto"/>
              <w:right w:val="single" w:sz="4" w:space="0" w:color="auto"/>
            </w:tcBorders>
            <w:vAlign w:val="bottom"/>
          </w:tcPr>
          <w:p w:rsidR="00662946" w:rsidRDefault="00662946">
            <w:pPr>
              <w:spacing w:after="120"/>
              <w:jc w:val="both"/>
            </w:pPr>
            <w:r>
              <w:rPr>
                <w:rtl/>
              </w:rPr>
              <w:t>1997</w:t>
            </w:r>
            <w:r>
              <w:t>/</w:t>
            </w:r>
            <w:r>
              <w:rPr>
                <w:rtl/>
              </w:rPr>
              <w:t>98</w:t>
            </w:r>
          </w:p>
        </w:tc>
        <w:tc>
          <w:tcPr>
            <w:tcW w:w="1192" w:type="dxa"/>
            <w:tcBorders>
              <w:top w:val="nil"/>
              <w:left w:val="nil"/>
              <w:bottom w:val="single" w:sz="4" w:space="0" w:color="auto"/>
              <w:right w:val="single" w:sz="4" w:space="0" w:color="auto"/>
            </w:tcBorders>
            <w:vAlign w:val="bottom"/>
          </w:tcPr>
          <w:p w:rsidR="00662946" w:rsidRDefault="00662946">
            <w:pPr>
              <w:spacing w:after="120"/>
              <w:jc w:val="both"/>
            </w:pPr>
            <w:r>
              <w:rPr>
                <w:rtl/>
              </w:rPr>
              <w:t>34</w:t>
            </w:r>
          </w:p>
        </w:tc>
        <w:tc>
          <w:tcPr>
            <w:tcW w:w="824" w:type="dxa"/>
            <w:tcBorders>
              <w:top w:val="nil"/>
              <w:left w:val="nil"/>
              <w:bottom w:val="single" w:sz="4" w:space="0" w:color="auto"/>
              <w:right w:val="single" w:sz="4" w:space="0" w:color="auto"/>
            </w:tcBorders>
            <w:vAlign w:val="bottom"/>
          </w:tcPr>
          <w:p w:rsidR="00662946" w:rsidRDefault="00662946">
            <w:pPr>
              <w:spacing w:after="120"/>
              <w:jc w:val="both"/>
            </w:pPr>
            <w:r>
              <w:rPr>
                <w:rtl/>
              </w:rPr>
              <w:t>77</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10</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29</w:t>
            </w:r>
          </w:p>
        </w:tc>
        <w:tc>
          <w:tcPr>
            <w:tcW w:w="1236" w:type="dxa"/>
            <w:tcBorders>
              <w:top w:val="nil"/>
              <w:left w:val="nil"/>
              <w:bottom w:val="single" w:sz="4" w:space="0" w:color="auto"/>
              <w:right w:val="single" w:sz="4" w:space="0" w:color="auto"/>
            </w:tcBorders>
            <w:vAlign w:val="bottom"/>
          </w:tcPr>
          <w:p w:rsidR="00662946" w:rsidRDefault="00662946">
            <w:pPr>
              <w:spacing w:after="120"/>
              <w:jc w:val="both"/>
            </w:pPr>
            <w:r>
              <w:rPr>
                <w:rFonts w:hint="cs"/>
                <w:rtl/>
              </w:rPr>
              <w:t>صفر</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15</w:t>
            </w:r>
          </w:p>
        </w:tc>
        <w:tc>
          <w:tcPr>
            <w:tcW w:w="824" w:type="dxa"/>
            <w:tcBorders>
              <w:top w:val="nil"/>
              <w:left w:val="nil"/>
              <w:bottom w:val="single" w:sz="4" w:space="0" w:color="auto"/>
              <w:right w:val="single" w:sz="4" w:space="0" w:color="auto"/>
            </w:tcBorders>
            <w:vAlign w:val="bottom"/>
          </w:tcPr>
          <w:p w:rsidR="00662946" w:rsidRDefault="00662946">
            <w:pPr>
              <w:spacing w:after="120"/>
              <w:jc w:val="both"/>
            </w:pPr>
            <w:r>
              <w:rPr>
                <w:rtl/>
              </w:rPr>
              <w:t>13</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Fonts w:hint="cs"/>
                <w:rtl/>
              </w:rPr>
              <w:t>صفر</w:t>
            </w:r>
          </w:p>
        </w:tc>
        <w:tc>
          <w:tcPr>
            <w:tcW w:w="916" w:type="dxa"/>
            <w:tcBorders>
              <w:top w:val="nil"/>
              <w:left w:val="nil"/>
              <w:bottom w:val="single" w:sz="4" w:space="0" w:color="auto"/>
              <w:right w:val="single" w:sz="4" w:space="0" w:color="auto"/>
            </w:tcBorders>
            <w:vAlign w:val="bottom"/>
          </w:tcPr>
          <w:p w:rsidR="00662946" w:rsidRDefault="00662946">
            <w:pPr>
              <w:spacing w:after="120"/>
              <w:jc w:val="both"/>
            </w:pPr>
            <w:r>
              <w:rPr>
                <w:rtl/>
              </w:rPr>
              <w:t>178</w:t>
            </w:r>
          </w:p>
        </w:tc>
      </w:tr>
      <w:tr w:rsidR="00662946">
        <w:trPr>
          <w:gridAfter w:val="1"/>
          <w:wAfter w:w="360" w:type="dxa"/>
          <w:trHeight w:val="255"/>
          <w:jc w:val="center"/>
        </w:trPr>
        <w:tc>
          <w:tcPr>
            <w:tcW w:w="1129" w:type="dxa"/>
            <w:tcBorders>
              <w:top w:val="nil"/>
              <w:left w:val="single" w:sz="4" w:space="0" w:color="auto"/>
              <w:bottom w:val="single" w:sz="4" w:space="0" w:color="auto"/>
              <w:right w:val="single" w:sz="4" w:space="0" w:color="auto"/>
            </w:tcBorders>
            <w:vAlign w:val="bottom"/>
          </w:tcPr>
          <w:p w:rsidR="00662946" w:rsidRDefault="00662946">
            <w:pPr>
              <w:spacing w:after="120"/>
              <w:jc w:val="both"/>
            </w:pPr>
            <w:r>
              <w:rPr>
                <w:rtl/>
              </w:rPr>
              <w:t>1998</w:t>
            </w:r>
            <w:r>
              <w:t>/</w:t>
            </w:r>
            <w:r>
              <w:rPr>
                <w:rtl/>
              </w:rPr>
              <w:t>99</w:t>
            </w:r>
          </w:p>
        </w:tc>
        <w:tc>
          <w:tcPr>
            <w:tcW w:w="1192" w:type="dxa"/>
            <w:tcBorders>
              <w:top w:val="nil"/>
              <w:left w:val="nil"/>
              <w:bottom w:val="single" w:sz="4" w:space="0" w:color="auto"/>
              <w:right w:val="single" w:sz="4" w:space="0" w:color="auto"/>
            </w:tcBorders>
            <w:vAlign w:val="bottom"/>
          </w:tcPr>
          <w:p w:rsidR="00662946" w:rsidRDefault="00662946">
            <w:pPr>
              <w:spacing w:after="120"/>
              <w:jc w:val="both"/>
            </w:pPr>
            <w:r>
              <w:rPr>
                <w:rtl/>
              </w:rPr>
              <w:t>32</w:t>
            </w:r>
          </w:p>
        </w:tc>
        <w:tc>
          <w:tcPr>
            <w:tcW w:w="824" w:type="dxa"/>
            <w:tcBorders>
              <w:top w:val="nil"/>
              <w:left w:val="nil"/>
              <w:bottom w:val="single" w:sz="4" w:space="0" w:color="auto"/>
              <w:right w:val="single" w:sz="4" w:space="0" w:color="auto"/>
            </w:tcBorders>
            <w:vAlign w:val="bottom"/>
          </w:tcPr>
          <w:p w:rsidR="00662946" w:rsidRDefault="00662946">
            <w:pPr>
              <w:spacing w:after="120"/>
              <w:jc w:val="both"/>
            </w:pPr>
            <w:r>
              <w:rPr>
                <w:rtl/>
              </w:rPr>
              <w:t>91</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25</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44</w:t>
            </w:r>
          </w:p>
        </w:tc>
        <w:tc>
          <w:tcPr>
            <w:tcW w:w="1236" w:type="dxa"/>
            <w:tcBorders>
              <w:top w:val="nil"/>
              <w:left w:val="nil"/>
              <w:bottom w:val="single" w:sz="4" w:space="0" w:color="auto"/>
              <w:right w:val="single" w:sz="4" w:space="0" w:color="auto"/>
            </w:tcBorders>
            <w:vAlign w:val="bottom"/>
          </w:tcPr>
          <w:p w:rsidR="00662946" w:rsidRDefault="00662946">
            <w:pPr>
              <w:spacing w:after="120"/>
              <w:jc w:val="both"/>
            </w:pPr>
            <w:r>
              <w:rPr>
                <w:rFonts w:hint="cs"/>
                <w:rtl/>
              </w:rPr>
              <w:t>صفر</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23</w:t>
            </w:r>
          </w:p>
        </w:tc>
        <w:tc>
          <w:tcPr>
            <w:tcW w:w="824" w:type="dxa"/>
            <w:tcBorders>
              <w:top w:val="nil"/>
              <w:left w:val="nil"/>
              <w:bottom w:val="single" w:sz="4" w:space="0" w:color="auto"/>
              <w:right w:val="single" w:sz="4" w:space="0" w:color="auto"/>
            </w:tcBorders>
            <w:vAlign w:val="bottom"/>
          </w:tcPr>
          <w:p w:rsidR="00662946" w:rsidRDefault="00662946">
            <w:pPr>
              <w:spacing w:after="120"/>
              <w:jc w:val="both"/>
            </w:pPr>
            <w:r>
              <w:rPr>
                <w:rtl/>
              </w:rPr>
              <w:t>10</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Fonts w:hint="cs"/>
                <w:rtl/>
              </w:rPr>
              <w:t>صفر</w:t>
            </w:r>
          </w:p>
        </w:tc>
        <w:tc>
          <w:tcPr>
            <w:tcW w:w="916" w:type="dxa"/>
            <w:tcBorders>
              <w:top w:val="nil"/>
              <w:left w:val="nil"/>
              <w:bottom w:val="single" w:sz="4" w:space="0" w:color="auto"/>
              <w:right w:val="single" w:sz="4" w:space="0" w:color="auto"/>
            </w:tcBorders>
            <w:vAlign w:val="bottom"/>
          </w:tcPr>
          <w:p w:rsidR="00662946" w:rsidRDefault="00662946">
            <w:pPr>
              <w:spacing w:after="120"/>
              <w:jc w:val="both"/>
            </w:pPr>
            <w:r>
              <w:rPr>
                <w:rtl/>
              </w:rPr>
              <w:t>225</w:t>
            </w:r>
          </w:p>
        </w:tc>
      </w:tr>
      <w:tr w:rsidR="00662946">
        <w:trPr>
          <w:gridAfter w:val="1"/>
          <w:wAfter w:w="360" w:type="dxa"/>
          <w:trHeight w:val="255"/>
          <w:jc w:val="center"/>
        </w:trPr>
        <w:tc>
          <w:tcPr>
            <w:tcW w:w="1129" w:type="dxa"/>
            <w:tcBorders>
              <w:top w:val="nil"/>
              <w:left w:val="single" w:sz="4" w:space="0" w:color="auto"/>
              <w:bottom w:val="single" w:sz="4" w:space="0" w:color="auto"/>
              <w:right w:val="single" w:sz="4" w:space="0" w:color="auto"/>
            </w:tcBorders>
            <w:vAlign w:val="bottom"/>
          </w:tcPr>
          <w:p w:rsidR="00662946" w:rsidRDefault="00662946">
            <w:pPr>
              <w:spacing w:after="120"/>
              <w:jc w:val="both"/>
            </w:pPr>
            <w:r>
              <w:rPr>
                <w:rtl/>
              </w:rPr>
              <w:t>1999</w:t>
            </w:r>
            <w:r>
              <w:t>/</w:t>
            </w:r>
            <w:r>
              <w:rPr>
                <w:rtl/>
              </w:rPr>
              <w:t>00</w:t>
            </w:r>
          </w:p>
        </w:tc>
        <w:tc>
          <w:tcPr>
            <w:tcW w:w="1192" w:type="dxa"/>
            <w:tcBorders>
              <w:top w:val="nil"/>
              <w:left w:val="nil"/>
              <w:bottom w:val="single" w:sz="4" w:space="0" w:color="auto"/>
              <w:right w:val="single" w:sz="4" w:space="0" w:color="auto"/>
            </w:tcBorders>
            <w:vAlign w:val="bottom"/>
          </w:tcPr>
          <w:p w:rsidR="00662946" w:rsidRDefault="00662946">
            <w:pPr>
              <w:spacing w:after="120"/>
              <w:jc w:val="both"/>
            </w:pPr>
            <w:r>
              <w:rPr>
                <w:rtl/>
              </w:rPr>
              <w:t>45</w:t>
            </w:r>
          </w:p>
        </w:tc>
        <w:tc>
          <w:tcPr>
            <w:tcW w:w="824" w:type="dxa"/>
            <w:tcBorders>
              <w:top w:val="nil"/>
              <w:left w:val="nil"/>
              <w:bottom w:val="single" w:sz="4" w:space="0" w:color="auto"/>
              <w:right w:val="single" w:sz="4" w:space="0" w:color="auto"/>
            </w:tcBorders>
            <w:vAlign w:val="bottom"/>
          </w:tcPr>
          <w:p w:rsidR="00662946" w:rsidRDefault="00662946">
            <w:pPr>
              <w:spacing w:after="120"/>
              <w:jc w:val="both"/>
            </w:pPr>
            <w:r>
              <w:rPr>
                <w:rtl/>
              </w:rPr>
              <w:t>77</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37</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57</w:t>
            </w:r>
          </w:p>
        </w:tc>
        <w:tc>
          <w:tcPr>
            <w:tcW w:w="1236" w:type="dxa"/>
            <w:tcBorders>
              <w:top w:val="nil"/>
              <w:left w:val="nil"/>
              <w:bottom w:val="single" w:sz="4" w:space="0" w:color="auto"/>
              <w:right w:val="single" w:sz="4" w:space="0" w:color="auto"/>
            </w:tcBorders>
            <w:vAlign w:val="bottom"/>
          </w:tcPr>
          <w:p w:rsidR="00662946" w:rsidRDefault="00662946">
            <w:pPr>
              <w:spacing w:after="120"/>
              <w:jc w:val="both"/>
            </w:pPr>
            <w:r>
              <w:rPr>
                <w:rFonts w:hint="cs"/>
                <w:rtl/>
              </w:rPr>
              <w:t>صفر</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47</w:t>
            </w:r>
          </w:p>
        </w:tc>
        <w:tc>
          <w:tcPr>
            <w:tcW w:w="824" w:type="dxa"/>
            <w:tcBorders>
              <w:top w:val="nil"/>
              <w:left w:val="nil"/>
              <w:bottom w:val="single" w:sz="4" w:space="0" w:color="auto"/>
              <w:right w:val="single" w:sz="4" w:space="0" w:color="auto"/>
            </w:tcBorders>
            <w:vAlign w:val="bottom"/>
          </w:tcPr>
          <w:p w:rsidR="00662946" w:rsidRDefault="00662946">
            <w:pPr>
              <w:spacing w:after="120"/>
              <w:jc w:val="both"/>
            </w:pPr>
            <w:r>
              <w:rPr>
                <w:rtl/>
              </w:rPr>
              <w:t>22</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Fonts w:hint="cs"/>
                <w:rtl/>
              </w:rPr>
              <w:t>صفر</w:t>
            </w:r>
          </w:p>
        </w:tc>
        <w:tc>
          <w:tcPr>
            <w:tcW w:w="916" w:type="dxa"/>
            <w:tcBorders>
              <w:top w:val="nil"/>
              <w:left w:val="nil"/>
              <w:bottom w:val="single" w:sz="4" w:space="0" w:color="auto"/>
              <w:right w:val="single" w:sz="4" w:space="0" w:color="auto"/>
            </w:tcBorders>
            <w:vAlign w:val="bottom"/>
          </w:tcPr>
          <w:p w:rsidR="00662946" w:rsidRDefault="00662946">
            <w:pPr>
              <w:spacing w:after="120"/>
              <w:jc w:val="both"/>
            </w:pPr>
            <w:r>
              <w:rPr>
                <w:rtl/>
              </w:rPr>
              <w:t>285</w:t>
            </w:r>
          </w:p>
        </w:tc>
      </w:tr>
      <w:tr w:rsidR="00662946">
        <w:trPr>
          <w:gridAfter w:val="1"/>
          <w:wAfter w:w="360" w:type="dxa"/>
          <w:trHeight w:val="255"/>
          <w:jc w:val="center"/>
        </w:trPr>
        <w:tc>
          <w:tcPr>
            <w:tcW w:w="1129" w:type="dxa"/>
            <w:tcBorders>
              <w:top w:val="nil"/>
              <w:left w:val="single" w:sz="4" w:space="0" w:color="auto"/>
              <w:bottom w:val="single" w:sz="4" w:space="0" w:color="auto"/>
              <w:right w:val="single" w:sz="4" w:space="0" w:color="auto"/>
            </w:tcBorders>
            <w:vAlign w:val="bottom"/>
          </w:tcPr>
          <w:p w:rsidR="00662946" w:rsidRDefault="00662946">
            <w:pPr>
              <w:spacing w:after="120"/>
              <w:jc w:val="both"/>
            </w:pPr>
            <w:r>
              <w:rPr>
                <w:rtl/>
              </w:rPr>
              <w:t>2000</w:t>
            </w:r>
            <w:r>
              <w:t>/</w:t>
            </w:r>
            <w:r>
              <w:rPr>
                <w:rtl/>
              </w:rPr>
              <w:t>01</w:t>
            </w:r>
          </w:p>
        </w:tc>
        <w:tc>
          <w:tcPr>
            <w:tcW w:w="1192" w:type="dxa"/>
            <w:tcBorders>
              <w:top w:val="nil"/>
              <w:left w:val="nil"/>
              <w:bottom w:val="single" w:sz="4" w:space="0" w:color="auto"/>
              <w:right w:val="single" w:sz="4" w:space="0" w:color="auto"/>
            </w:tcBorders>
            <w:vAlign w:val="bottom"/>
          </w:tcPr>
          <w:p w:rsidR="00662946" w:rsidRDefault="00662946">
            <w:pPr>
              <w:spacing w:after="120"/>
              <w:jc w:val="both"/>
            </w:pPr>
            <w:r>
              <w:rPr>
                <w:rtl/>
              </w:rPr>
              <w:t>63</w:t>
            </w:r>
          </w:p>
        </w:tc>
        <w:tc>
          <w:tcPr>
            <w:tcW w:w="824" w:type="dxa"/>
            <w:tcBorders>
              <w:top w:val="nil"/>
              <w:left w:val="nil"/>
              <w:bottom w:val="single" w:sz="4" w:space="0" w:color="auto"/>
              <w:right w:val="single" w:sz="4" w:space="0" w:color="auto"/>
            </w:tcBorders>
            <w:vAlign w:val="bottom"/>
          </w:tcPr>
          <w:p w:rsidR="00662946" w:rsidRDefault="00662946">
            <w:pPr>
              <w:spacing w:after="120"/>
              <w:jc w:val="both"/>
            </w:pPr>
            <w:r>
              <w:rPr>
                <w:rtl/>
              </w:rPr>
              <w:t>64</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36</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67</w:t>
            </w:r>
          </w:p>
        </w:tc>
        <w:tc>
          <w:tcPr>
            <w:tcW w:w="1236" w:type="dxa"/>
            <w:tcBorders>
              <w:top w:val="nil"/>
              <w:left w:val="nil"/>
              <w:bottom w:val="single" w:sz="4" w:space="0" w:color="auto"/>
              <w:right w:val="single" w:sz="4" w:space="0" w:color="auto"/>
            </w:tcBorders>
            <w:vAlign w:val="bottom"/>
          </w:tcPr>
          <w:p w:rsidR="00662946" w:rsidRDefault="00662946">
            <w:pPr>
              <w:spacing w:after="120"/>
              <w:jc w:val="both"/>
            </w:pPr>
            <w:r>
              <w:rPr>
                <w:rFonts w:hint="cs"/>
                <w:rtl/>
              </w:rPr>
              <w:t>صفر</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31</w:t>
            </w:r>
          </w:p>
        </w:tc>
        <w:tc>
          <w:tcPr>
            <w:tcW w:w="824" w:type="dxa"/>
            <w:tcBorders>
              <w:top w:val="nil"/>
              <w:left w:val="nil"/>
              <w:bottom w:val="single" w:sz="4" w:space="0" w:color="auto"/>
              <w:right w:val="single" w:sz="4" w:space="0" w:color="auto"/>
            </w:tcBorders>
            <w:vAlign w:val="bottom"/>
          </w:tcPr>
          <w:p w:rsidR="00662946" w:rsidRDefault="00662946">
            <w:pPr>
              <w:spacing w:after="120"/>
              <w:jc w:val="both"/>
            </w:pPr>
            <w:r>
              <w:rPr>
                <w:rtl/>
              </w:rPr>
              <w:t>23</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Fonts w:hint="cs"/>
                <w:rtl/>
              </w:rPr>
              <w:t>صفر</w:t>
            </w:r>
          </w:p>
        </w:tc>
        <w:tc>
          <w:tcPr>
            <w:tcW w:w="916" w:type="dxa"/>
            <w:tcBorders>
              <w:top w:val="nil"/>
              <w:left w:val="nil"/>
              <w:bottom w:val="single" w:sz="4" w:space="0" w:color="auto"/>
              <w:right w:val="single" w:sz="4" w:space="0" w:color="auto"/>
            </w:tcBorders>
            <w:vAlign w:val="bottom"/>
          </w:tcPr>
          <w:p w:rsidR="00662946" w:rsidRDefault="00662946">
            <w:pPr>
              <w:spacing w:after="120"/>
              <w:jc w:val="both"/>
            </w:pPr>
            <w:r>
              <w:rPr>
                <w:rtl/>
              </w:rPr>
              <w:t>284</w:t>
            </w:r>
          </w:p>
        </w:tc>
      </w:tr>
      <w:tr w:rsidR="00662946">
        <w:trPr>
          <w:gridAfter w:val="1"/>
          <w:wAfter w:w="360" w:type="dxa"/>
          <w:trHeight w:val="255"/>
          <w:jc w:val="center"/>
        </w:trPr>
        <w:tc>
          <w:tcPr>
            <w:tcW w:w="1129" w:type="dxa"/>
            <w:tcBorders>
              <w:top w:val="nil"/>
              <w:left w:val="single" w:sz="4" w:space="0" w:color="auto"/>
              <w:bottom w:val="single" w:sz="4" w:space="0" w:color="auto"/>
              <w:right w:val="single" w:sz="4" w:space="0" w:color="auto"/>
            </w:tcBorders>
            <w:vAlign w:val="bottom"/>
          </w:tcPr>
          <w:p w:rsidR="00662946" w:rsidRDefault="00662946">
            <w:pPr>
              <w:spacing w:after="120"/>
              <w:jc w:val="both"/>
            </w:pPr>
            <w:r>
              <w:rPr>
                <w:rtl/>
              </w:rPr>
              <w:t>2001</w:t>
            </w:r>
            <w:r>
              <w:t>/</w:t>
            </w:r>
            <w:r>
              <w:rPr>
                <w:rtl/>
              </w:rPr>
              <w:t>02</w:t>
            </w:r>
          </w:p>
        </w:tc>
        <w:tc>
          <w:tcPr>
            <w:tcW w:w="1192" w:type="dxa"/>
            <w:tcBorders>
              <w:top w:val="nil"/>
              <w:left w:val="nil"/>
              <w:bottom w:val="single" w:sz="4" w:space="0" w:color="auto"/>
              <w:right w:val="single" w:sz="4" w:space="0" w:color="auto"/>
            </w:tcBorders>
            <w:vAlign w:val="bottom"/>
          </w:tcPr>
          <w:p w:rsidR="00662946" w:rsidRDefault="00662946">
            <w:pPr>
              <w:spacing w:after="120"/>
              <w:jc w:val="both"/>
            </w:pPr>
            <w:r>
              <w:rPr>
                <w:rtl/>
              </w:rPr>
              <w:t>40</w:t>
            </w:r>
          </w:p>
        </w:tc>
        <w:tc>
          <w:tcPr>
            <w:tcW w:w="824" w:type="dxa"/>
            <w:tcBorders>
              <w:top w:val="nil"/>
              <w:left w:val="nil"/>
              <w:bottom w:val="single" w:sz="4" w:space="0" w:color="auto"/>
              <w:right w:val="single" w:sz="4" w:space="0" w:color="auto"/>
            </w:tcBorders>
            <w:vAlign w:val="bottom"/>
          </w:tcPr>
          <w:p w:rsidR="00662946" w:rsidRDefault="00662946">
            <w:pPr>
              <w:spacing w:after="120"/>
              <w:jc w:val="both"/>
            </w:pPr>
            <w:r>
              <w:rPr>
                <w:rtl/>
              </w:rPr>
              <w:t>104</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37</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65</w:t>
            </w:r>
          </w:p>
        </w:tc>
        <w:tc>
          <w:tcPr>
            <w:tcW w:w="1236" w:type="dxa"/>
            <w:tcBorders>
              <w:top w:val="nil"/>
              <w:left w:val="nil"/>
              <w:bottom w:val="single" w:sz="4" w:space="0" w:color="auto"/>
              <w:right w:val="single" w:sz="4" w:space="0" w:color="auto"/>
            </w:tcBorders>
            <w:vAlign w:val="bottom"/>
          </w:tcPr>
          <w:p w:rsidR="00662946" w:rsidRDefault="00662946">
            <w:pPr>
              <w:spacing w:after="120"/>
              <w:jc w:val="both"/>
            </w:pPr>
            <w:r>
              <w:rPr>
                <w:rFonts w:hint="cs"/>
                <w:rtl/>
              </w:rPr>
              <w:t>صفر</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24</w:t>
            </w:r>
          </w:p>
        </w:tc>
        <w:tc>
          <w:tcPr>
            <w:tcW w:w="824" w:type="dxa"/>
            <w:tcBorders>
              <w:top w:val="nil"/>
              <w:left w:val="nil"/>
              <w:bottom w:val="single" w:sz="4" w:space="0" w:color="auto"/>
              <w:right w:val="single" w:sz="4" w:space="0" w:color="auto"/>
            </w:tcBorders>
            <w:vAlign w:val="bottom"/>
          </w:tcPr>
          <w:p w:rsidR="00662946" w:rsidRDefault="00662946">
            <w:pPr>
              <w:spacing w:after="120"/>
              <w:jc w:val="both"/>
            </w:pPr>
            <w:r>
              <w:rPr>
                <w:rtl/>
              </w:rPr>
              <w:t>26</w:t>
            </w:r>
          </w:p>
        </w:tc>
        <w:tc>
          <w:tcPr>
            <w:tcW w:w="927" w:type="dxa"/>
            <w:tcBorders>
              <w:top w:val="nil"/>
              <w:left w:val="nil"/>
              <w:bottom w:val="single" w:sz="4" w:space="0" w:color="auto"/>
              <w:right w:val="single" w:sz="4" w:space="0" w:color="auto"/>
            </w:tcBorders>
            <w:vAlign w:val="bottom"/>
          </w:tcPr>
          <w:p w:rsidR="00662946" w:rsidRDefault="00662946">
            <w:pPr>
              <w:spacing w:after="120"/>
              <w:jc w:val="both"/>
            </w:pPr>
            <w:r>
              <w:rPr>
                <w:rtl/>
              </w:rPr>
              <w:t>1</w:t>
            </w:r>
          </w:p>
        </w:tc>
        <w:tc>
          <w:tcPr>
            <w:tcW w:w="916" w:type="dxa"/>
            <w:tcBorders>
              <w:top w:val="nil"/>
              <w:left w:val="nil"/>
              <w:bottom w:val="single" w:sz="4" w:space="0" w:color="auto"/>
              <w:right w:val="single" w:sz="4" w:space="0" w:color="auto"/>
            </w:tcBorders>
            <w:vAlign w:val="bottom"/>
          </w:tcPr>
          <w:p w:rsidR="00662946" w:rsidRDefault="00662946">
            <w:pPr>
              <w:spacing w:after="120"/>
              <w:jc w:val="both"/>
            </w:pPr>
            <w:r>
              <w:rPr>
                <w:rtl/>
              </w:rPr>
              <w:t>297</w:t>
            </w:r>
          </w:p>
        </w:tc>
      </w:tr>
    </w:tbl>
    <w:p w:rsidR="00662946" w:rsidRDefault="00662946">
      <w:pPr>
        <w:pStyle w:val="SingleTxt"/>
        <w:tabs>
          <w:tab w:val="left" w:pos="374"/>
        </w:tabs>
        <w:ind w:left="1264" w:right="1264"/>
        <w:jc w:val="both"/>
        <w:rPr>
          <w:rFonts w:hint="cs"/>
          <w:rtl/>
          <w:lang w:bidi="ar-EG"/>
        </w:rPr>
      </w:pPr>
    </w:p>
    <w:p w:rsidR="00662946" w:rsidRDefault="00662946">
      <w:pPr>
        <w:pStyle w:val="SingleTxt"/>
        <w:tabs>
          <w:tab w:val="left" w:pos="374"/>
        </w:tabs>
        <w:ind w:left="1264" w:right="1264"/>
        <w:jc w:val="both"/>
        <w:rPr>
          <w:rFonts w:hint="cs"/>
          <w:b/>
          <w:bCs/>
          <w:rtl/>
          <w:lang w:bidi="ar-EG"/>
        </w:rPr>
      </w:pPr>
      <w:r>
        <w:rPr>
          <w:rFonts w:hint="cs"/>
          <w:b/>
          <w:bCs/>
          <w:rtl/>
          <w:lang w:bidi="ar-EG"/>
        </w:rPr>
        <w:t>معدلات التسرب من المدارس وبرامج مواصلة التعليم للفتيات</w:t>
      </w:r>
    </w:p>
    <w:tbl>
      <w:tblPr>
        <w:bidiVisual/>
        <w:tblW w:w="9877" w:type="dxa"/>
        <w:jc w:val="center"/>
        <w:tblLook w:val="0000" w:firstRow="0" w:lastRow="0" w:firstColumn="0" w:lastColumn="0" w:noHBand="0" w:noVBand="0"/>
      </w:tblPr>
      <w:tblGrid>
        <w:gridCol w:w="1131"/>
        <w:gridCol w:w="833"/>
        <w:gridCol w:w="900"/>
        <w:gridCol w:w="1026"/>
        <w:gridCol w:w="1157"/>
        <w:gridCol w:w="1032"/>
        <w:gridCol w:w="671"/>
        <w:gridCol w:w="927"/>
        <w:gridCol w:w="927"/>
        <w:gridCol w:w="1273"/>
      </w:tblGrid>
      <w:tr w:rsidR="00662946">
        <w:trPr>
          <w:trHeight w:val="255"/>
          <w:jc w:val="center"/>
        </w:trPr>
        <w:tc>
          <w:tcPr>
            <w:tcW w:w="9877" w:type="dxa"/>
            <w:gridSpan w:val="10"/>
            <w:tcBorders>
              <w:top w:val="single" w:sz="4" w:space="0" w:color="auto"/>
              <w:left w:val="single" w:sz="4" w:space="0" w:color="auto"/>
              <w:bottom w:val="single" w:sz="4" w:space="0" w:color="auto"/>
              <w:right w:val="single" w:sz="4" w:space="0" w:color="auto"/>
            </w:tcBorders>
            <w:vAlign w:val="bottom"/>
          </w:tcPr>
          <w:p w:rsidR="00662946" w:rsidRDefault="00662946">
            <w:pPr>
              <w:spacing w:after="120"/>
              <w:jc w:val="center"/>
              <w:rPr>
                <w:rFonts w:hint="cs"/>
                <w:b/>
                <w:bCs/>
                <w:sz w:val="26"/>
                <w:szCs w:val="26"/>
              </w:rPr>
            </w:pPr>
            <w:r>
              <w:rPr>
                <w:rFonts w:hint="cs"/>
                <w:b/>
                <w:bCs/>
                <w:sz w:val="26"/>
                <w:szCs w:val="26"/>
                <w:rtl/>
              </w:rPr>
              <w:t>الجدول 10-14: عدد المتسربين من المدارس الثانوية والابتدائية حسب الجنس، 1998/1999 إلى 2001/2002</w:t>
            </w:r>
          </w:p>
        </w:tc>
      </w:tr>
      <w:tr w:rsidR="00662946">
        <w:trPr>
          <w:trHeight w:val="300"/>
          <w:jc w:val="center"/>
        </w:trPr>
        <w:tc>
          <w:tcPr>
            <w:tcW w:w="5047" w:type="dxa"/>
            <w:gridSpan w:val="5"/>
            <w:tcBorders>
              <w:top w:val="nil"/>
              <w:left w:val="single" w:sz="4" w:space="0" w:color="auto"/>
              <w:bottom w:val="single" w:sz="4" w:space="0" w:color="auto"/>
              <w:right w:val="single" w:sz="4" w:space="0" w:color="auto"/>
            </w:tcBorders>
            <w:noWrap/>
            <w:vAlign w:val="bottom"/>
          </w:tcPr>
          <w:p w:rsidR="00662946" w:rsidRDefault="00662946">
            <w:pPr>
              <w:spacing w:after="120"/>
              <w:jc w:val="center"/>
              <w:rPr>
                <w:rFonts w:hint="cs"/>
                <w:b/>
                <w:bCs/>
                <w:sz w:val="26"/>
                <w:szCs w:val="26"/>
              </w:rPr>
            </w:pPr>
            <w:r>
              <w:rPr>
                <w:rFonts w:hint="cs"/>
                <w:b/>
                <w:bCs/>
                <w:sz w:val="26"/>
                <w:szCs w:val="26"/>
                <w:rtl/>
              </w:rPr>
              <w:t>مستوى المدرسة الثانوية</w:t>
            </w:r>
          </w:p>
        </w:tc>
        <w:tc>
          <w:tcPr>
            <w:tcW w:w="4830" w:type="dxa"/>
            <w:gridSpan w:val="5"/>
            <w:tcBorders>
              <w:top w:val="nil"/>
              <w:left w:val="nil"/>
              <w:bottom w:val="single" w:sz="4" w:space="0" w:color="auto"/>
              <w:right w:val="single" w:sz="4" w:space="0" w:color="auto"/>
            </w:tcBorders>
            <w:noWrap/>
            <w:vAlign w:val="bottom"/>
          </w:tcPr>
          <w:p w:rsidR="00662946" w:rsidRDefault="00662946">
            <w:pPr>
              <w:spacing w:after="120"/>
              <w:jc w:val="center"/>
              <w:rPr>
                <w:rFonts w:hint="cs"/>
                <w:b/>
                <w:bCs/>
                <w:sz w:val="26"/>
                <w:szCs w:val="26"/>
              </w:rPr>
            </w:pPr>
            <w:r>
              <w:rPr>
                <w:rFonts w:hint="cs"/>
                <w:b/>
                <w:bCs/>
                <w:sz w:val="26"/>
                <w:szCs w:val="26"/>
                <w:rtl/>
              </w:rPr>
              <w:t>مستوى المدرسة الابتدائية</w:t>
            </w:r>
          </w:p>
        </w:tc>
      </w:tr>
      <w:tr w:rsidR="00662946">
        <w:trPr>
          <w:trHeight w:val="300"/>
          <w:jc w:val="center"/>
        </w:trPr>
        <w:tc>
          <w:tcPr>
            <w:tcW w:w="113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rFonts w:hint="cs"/>
                <w:b/>
                <w:bCs/>
                <w:sz w:val="26"/>
                <w:szCs w:val="26"/>
              </w:rPr>
            </w:pPr>
            <w:r>
              <w:rPr>
                <w:rFonts w:hint="cs"/>
                <w:b/>
                <w:bCs/>
                <w:sz w:val="26"/>
                <w:szCs w:val="26"/>
                <w:rtl/>
              </w:rPr>
              <w:t>السنة</w:t>
            </w:r>
          </w:p>
        </w:tc>
        <w:tc>
          <w:tcPr>
            <w:tcW w:w="833" w:type="dxa"/>
            <w:tcBorders>
              <w:top w:val="nil"/>
              <w:left w:val="nil"/>
              <w:bottom w:val="single" w:sz="4" w:space="0" w:color="auto"/>
              <w:right w:val="single" w:sz="4" w:space="0" w:color="auto"/>
            </w:tcBorders>
            <w:noWrap/>
            <w:vAlign w:val="bottom"/>
          </w:tcPr>
          <w:p w:rsidR="00662946" w:rsidRDefault="00662946">
            <w:pPr>
              <w:spacing w:after="120"/>
              <w:jc w:val="center"/>
              <w:rPr>
                <w:rFonts w:hint="cs"/>
                <w:b/>
                <w:bCs/>
                <w:sz w:val="26"/>
                <w:szCs w:val="26"/>
              </w:rPr>
            </w:pPr>
            <w:r>
              <w:rPr>
                <w:rFonts w:hint="cs"/>
                <w:b/>
                <w:bCs/>
                <w:sz w:val="26"/>
                <w:szCs w:val="26"/>
                <w:rtl/>
              </w:rPr>
              <w:t>عدد البنين</w:t>
            </w:r>
          </w:p>
        </w:tc>
        <w:tc>
          <w:tcPr>
            <w:tcW w:w="900" w:type="dxa"/>
            <w:tcBorders>
              <w:top w:val="nil"/>
              <w:left w:val="nil"/>
              <w:bottom w:val="single" w:sz="4" w:space="0" w:color="auto"/>
              <w:right w:val="single" w:sz="4" w:space="0" w:color="auto"/>
            </w:tcBorders>
            <w:noWrap/>
            <w:vAlign w:val="bottom"/>
          </w:tcPr>
          <w:p w:rsidR="00662946" w:rsidRDefault="00662946">
            <w:pPr>
              <w:spacing w:after="120"/>
              <w:jc w:val="center"/>
              <w:rPr>
                <w:rFonts w:hint="cs"/>
                <w:b/>
                <w:bCs/>
                <w:sz w:val="26"/>
                <w:szCs w:val="26"/>
              </w:rPr>
            </w:pPr>
            <w:r>
              <w:rPr>
                <w:rFonts w:hint="cs"/>
                <w:b/>
                <w:bCs/>
                <w:sz w:val="26"/>
                <w:szCs w:val="26"/>
                <w:rtl/>
              </w:rPr>
              <w:t>عدد البنات</w:t>
            </w:r>
          </w:p>
        </w:tc>
        <w:tc>
          <w:tcPr>
            <w:tcW w:w="1026" w:type="dxa"/>
            <w:tcBorders>
              <w:top w:val="nil"/>
              <w:left w:val="nil"/>
              <w:bottom w:val="single" w:sz="4" w:space="0" w:color="auto"/>
              <w:right w:val="single" w:sz="4" w:space="0" w:color="auto"/>
            </w:tcBorders>
            <w:noWrap/>
            <w:vAlign w:val="bottom"/>
          </w:tcPr>
          <w:p w:rsidR="00662946" w:rsidRDefault="00662946">
            <w:pPr>
              <w:spacing w:after="120"/>
              <w:jc w:val="center"/>
              <w:rPr>
                <w:rFonts w:hint="cs"/>
                <w:b/>
                <w:bCs/>
                <w:sz w:val="26"/>
                <w:szCs w:val="26"/>
              </w:rPr>
            </w:pPr>
            <w:r>
              <w:rPr>
                <w:rFonts w:hint="cs"/>
                <w:b/>
                <w:bCs/>
                <w:sz w:val="26"/>
                <w:szCs w:val="26"/>
                <w:rtl/>
              </w:rPr>
              <w:t>المجموع</w:t>
            </w:r>
          </w:p>
        </w:tc>
        <w:tc>
          <w:tcPr>
            <w:tcW w:w="1157" w:type="dxa"/>
            <w:tcBorders>
              <w:top w:val="nil"/>
              <w:left w:val="nil"/>
              <w:bottom w:val="single" w:sz="4" w:space="0" w:color="auto"/>
              <w:right w:val="single" w:sz="4" w:space="0" w:color="auto"/>
            </w:tcBorders>
            <w:noWrap/>
            <w:vAlign w:val="bottom"/>
          </w:tcPr>
          <w:p w:rsidR="00662946" w:rsidRDefault="00662946">
            <w:pPr>
              <w:spacing w:after="120"/>
              <w:jc w:val="center"/>
              <w:rPr>
                <w:rFonts w:hint="cs"/>
                <w:b/>
                <w:bCs/>
                <w:sz w:val="26"/>
                <w:szCs w:val="26"/>
              </w:rPr>
            </w:pPr>
            <w:r>
              <w:rPr>
                <w:rFonts w:hint="cs"/>
                <w:b/>
                <w:bCs/>
                <w:sz w:val="26"/>
                <w:szCs w:val="26"/>
                <w:rtl/>
              </w:rPr>
              <w:t>النسبة المئوية للبنات</w:t>
            </w:r>
          </w:p>
        </w:tc>
        <w:tc>
          <w:tcPr>
            <w:tcW w:w="1032" w:type="dxa"/>
            <w:tcBorders>
              <w:top w:val="nil"/>
              <w:left w:val="nil"/>
              <w:bottom w:val="single" w:sz="4" w:space="0" w:color="auto"/>
              <w:right w:val="single" w:sz="4" w:space="0" w:color="auto"/>
            </w:tcBorders>
            <w:noWrap/>
            <w:vAlign w:val="bottom"/>
          </w:tcPr>
          <w:p w:rsidR="00662946" w:rsidRDefault="00662946">
            <w:pPr>
              <w:spacing w:after="120"/>
              <w:jc w:val="center"/>
              <w:rPr>
                <w:rFonts w:hint="cs"/>
                <w:b/>
                <w:bCs/>
                <w:sz w:val="26"/>
                <w:szCs w:val="26"/>
              </w:rPr>
            </w:pPr>
            <w:r>
              <w:rPr>
                <w:rFonts w:hint="cs"/>
                <w:b/>
                <w:bCs/>
                <w:sz w:val="26"/>
                <w:szCs w:val="26"/>
                <w:rtl/>
              </w:rPr>
              <w:t>السنة</w:t>
            </w:r>
          </w:p>
        </w:tc>
        <w:tc>
          <w:tcPr>
            <w:tcW w:w="671" w:type="dxa"/>
            <w:tcBorders>
              <w:top w:val="nil"/>
              <w:left w:val="nil"/>
              <w:bottom w:val="single" w:sz="4" w:space="0" w:color="auto"/>
              <w:right w:val="single" w:sz="4" w:space="0" w:color="auto"/>
            </w:tcBorders>
            <w:noWrap/>
            <w:vAlign w:val="bottom"/>
          </w:tcPr>
          <w:p w:rsidR="00662946" w:rsidRDefault="00662946">
            <w:pPr>
              <w:spacing w:after="120"/>
              <w:jc w:val="center"/>
              <w:rPr>
                <w:rFonts w:hint="cs"/>
                <w:b/>
                <w:bCs/>
                <w:sz w:val="26"/>
                <w:szCs w:val="26"/>
              </w:rPr>
            </w:pPr>
            <w:r>
              <w:rPr>
                <w:rFonts w:hint="cs"/>
                <w:b/>
                <w:bCs/>
                <w:sz w:val="26"/>
                <w:szCs w:val="26"/>
                <w:rtl/>
              </w:rPr>
              <w:t>عدد البنين</w:t>
            </w:r>
          </w:p>
        </w:tc>
        <w:tc>
          <w:tcPr>
            <w:tcW w:w="927" w:type="dxa"/>
            <w:tcBorders>
              <w:top w:val="nil"/>
              <w:left w:val="nil"/>
              <w:bottom w:val="single" w:sz="4" w:space="0" w:color="auto"/>
              <w:right w:val="single" w:sz="4" w:space="0" w:color="auto"/>
            </w:tcBorders>
            <w:noWrap/>
            <w:vAlign w:val="bottom"/>
          </w:tcPr>
          <w:p w:rsidR="00662946" w:rsidRDefault="00662946">
            <w:pPr>
              <w:spacing w:after="120"/>
              <w:jc w:val="center"/>
              <w:rPr>
                <w:rFonts w:hint="cs"/>
                <w:b/>
                <w:bCs/>
                <w:sz w:val="26"/>
                <w:szCs w:val="26"/>
              </w:rPr>
            </w:pPr>
            <w:r>
              <w:rPr>
                <w:rFonts w:hint="cs"/>
                <w:b/>
                <w:bCs/>
                <w:sz w:val="26"/>
                <w:szCs w:val="26"/>
                <w:rtl/>
              </w:rPr>
              <w:t>عدد البنات</w:t>
            </w:r>
          </w:p>
        </w:tc>
        <w:tc>
          <w:tcPr>
            <w:tcW w:w="927" w:type="dxa"/>
            <w:tcBorders>
              <w:top w:val="nil"/>
              <w:left w:val="nil"/>
              <w:bottom w:val="single" w:sz="4" w:space="0" w:color="auto"/>
              <w:right w:val="single" w:sz="4" w:space="0" w:color="auto"/>
            </w:tcBorders>
            <w:noWrap/>
            <w:vAlign w:val="bottom"/>
          </w:tcPr>
          <w:p w:rsidR="00662946" w:rsidRDefault="00662946">
            <w:pPr>
              <w:spacing w:after="120"/>
              <w:jc w:val="center"/>
              <w:rPr>
                <w:rFonts w:hint="cs"/>
                <w:b/>
                <w:bCs/>
                <w:sz w:val="26"/>
                <w:szCs w:val="26"/>
              </w:rPr>
            </w:pPr>
            <w:r>
              <w:rPr>
                <w:rFonts w:hint="cs"/>
                <w:b/>
                <w:bCs/>
                <w:sz w:val="26"/>
                <w:szCs w:val="26"/>
                <w:rtl/>
              </w:rPr>
              <w:t>المجموع</w:t>
            </w:r>
          </w:p>
        </w:tc>
        <w:tc>
          <w:tcPr>
            <w:tcW w:w="1273" w:type="dxa"/>
            <w:tcBorders>
              <w:top w:val="nil"/>
              <w:left w:val="nil"/>
              <w:bottom w:val="single" w:sz="4" w:space="0" w:color="auto"/>
              <w:right w:val="single" w:sz="4" w:space="0" w:color="auto"/>
            </w:tcBorders>
            <w:noWrap/>
            <w:vAlign w:val="bottom"/>
          </w:tcPr>
          <w:p w:rsidR="00662946" w:rsidRDefault="00662946">
            <w:pPr>
              <w:spacing w:after="120"/>
              <w:jc w:val="center"/>
              <w:rPr>
                <w:rFonts w:hint="cs"/>
                <w:b/>
                <w:bCs/>
                <w:sz w:val="26"/>
                <w:szCs w:val="26"/>
              </w:rPr>
            </w:pPr>
            <w:r>
              <w:rPr>
                <w:rFonts w:hint="cs"/>
                <w:b/>
                <w:bCs/>
                <w:sz w:val="26"/>
                <w:szCs w:val="26"/>
                <w:rtl/>
              </w:rPr>
              <w:t>النسبة المئوية للبنات</w:t>
            </w:r>
          </w:p>
        </w:tc>
      </w:tr>
      <w:tr w:rsidR="00662946">
        <w:trPr>
          <w:trHeight w:val="285"/>
          <w:jc w:val="center"/>
        </w:trPr>
        <w:tc>
          <w:tcPr>
            <w:tcW w:w="113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1998</w:t>
            </w:r>
            <w:r>
              <w:rPr>
                <w:sz w:val="26"/>
                <w:szCs w:val="26"/>
              </w:rPr>
              <w:t>/</w:t>
            </w:r>
            <w:r>
              <w:rPr>
                <w:sz w:val="26"/>
                <w:szCs w:val="26"/>
                <w:rtl/>
              </w:rPr>
              <w:t>99</w:t>
            </w:r>
          </w:p>
        </w:tc>
        <w:tc>
          <w:tcPr>
            <w:tcW w:w="833"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99</w:t>
            </w:r>
          </w:p>
        </w:tc>
        <w:tc>
          <w:tcPr>
            <w:tcW w:w="900"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85</w:t>
            </w:r>
          </w:p>
        </w:tc>
        <w:tc>
          <w:tcPr>
            <w:tcW w:w="1026"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184</w:t>
            </w:r>
          </w:p>
        </w:tc>
        <w:tc>
          <w:tcPr>
            <w:tcW w:w="1157"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46</w:t>
            </w:r>
          </w:p>
        </w:tc>
        <w:tc>
          <w:tcPr>
            <w:tcW w:w="1032"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1998</w:t>
            </w:r>
            <w:r>
              <w:rPr>
                <w:sz w:val="26"/>
                <w:szCs w:val="26"/>
              </w:rPr>
              <w:t>/</w:t>
            </w:r>
            <w:r>
              <w:rPr>
                <w:sz w:val="26"/>
                <w:szCs w:val="26"/>
                <w:rtl/>
              </w:rPr>
              <w:t>99</w:t>
            </w:r>
          </w:p>
        </w:tc>
        <w:tc>
          <w:tcPr>
            <w:tcW w:w="671"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193</w:t>
            </w:r>
          </w:p>
        </w:tc>
        <w:tc>
          <w:tcPr>
            <w:tcW w:w="927"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96</w:t>
            </w:r>
          </w:p>
        </w:tc>
        <w:tc>
          <w:tcPr>
            <w:tcW w:w="927"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289</w:t>
            </w:r>
          </w:p>
        </w:tc>
        <w:tc>
          <w:tcPr>
            <w:tcW w:w="1273"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33</w:t>
            </w:r>
          </w:p>
        </w:tc>
      </w:tr>
      <w:tr w:rsidR="00662946">
        <w:trPr>
          <w:trHeight w:val="285"/>
          <w:jc w:val="center"/>
        </w:trPr>
        <w:tc>
          <w:tcPr>
            <w:tcW w:w="113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1999</w:t>
            </w:r>
            <w:r>
              <w:rPr>
                <w:sz w:val="26"/>
                <w:szCs w:val="26"/>
              </w:rPr>
              <w:t>/</w:t>
            </w:r>
            <w:r>
              <w:rPr>
                <w:sz w:val="26"/>
                <w:szCs w:val="26"/>
                <w:rtl/>
              </w:rPr>
              <w:t>00</w:t>
            </w:r>
          </w:p>
        </w:tc>
        <w:tc>
          <w:tcPr>
            <w:tcW w:w="833"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59</w:t>
            </w:r>
          </w:p>
        </w:tc>
        <w:tc>
          <w:tcPr>
            <w:tcW w:w="900"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44</w:t>
            </w:r>
          </w:p>
        </w:tc>
        <w:tc>
          <w:tcPr>
            <w:tcW w:w="1026"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103</w:t>
            </w:r>
          </w:p>
        </w:tc>
        <w:tc>
          <w:tcPr>
            <w:tcW w:w="1157"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43</w:t>
            </w:r>
          </w:p>
        </w:tc>
        <w:tc>
          <w:tcPr>
            <w:tcW w:w="1032"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1999</w:t>
            </w:r>
            <w:r>
              <w:rPr>
                <w:sz w:val="26"/>
                <w:szCs w:val="26"/>
              </w:rPr>
              <w:t>/</w:t>
            </w:r>
            <w:r>
              <w:rPr>
                <w:sz w:val="26"/>
                <w:szCs w:val="26"/>
                <w:rtl/>
              </w:rPr>
              <w:t>00</w:t>
            </w:r>
          </w:p>
        </w:tc>
        <w:tc>
          <w:tcPr>
            <w:tcW w:w="671"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196</w:t>
            </w:r>
          </w:p>
        </w:tc>
        <w:tc>
          <w:tcPr>
            <w:tcW w:w="927"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69</w:t>
            </w:r>
          </w:p>
        </w:tc>
        <w:tc>
          <w:tcPr>
            <w:tcW w:w="927"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265</w:t>
            </w:r>
          </w:p>
        </w:tc>
        <w:tc>
          <w:tcPr>
            <w:tcW w:w="1273"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26</w:t>
            </w:r>
          </w:p>
        </w:tc>
      </w:tr>
      <w:tr w:rsidR="00662946">
        <w:trPr>
          <w:trHeight w:val="285"/>
          <w:jc w:val="center"/>
        </w:trPr>
        <w:tc>
          <w:tcPr>
            <w:tcW w:w="113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2000</w:t>
            </w:r>
            <w:r>
              <w:rPr>
                <w:sz w:val="26"/>
                <w:szCs w:val="26"/>
              </w:rPr>
              <w:t>/</w:t>
            </w:r>
            <w:r>
              <w:rPr>
                <w:sz w:val="26"/>
                <w:szCs w:val="26"/>
                <w:rtl/>
              </w:rPr>
              <w:t>01</w:t>
            </w:r>
          </w:p>
        </w:tc>
        <w:tc>
          <w:tcPr>
            <w:tcW w:w="833"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47</w:t>
            </w:r>
          </w:p>
        </w:tc>
        <w:tc>
          <w:tcPr>
            <w:tcW w:w="900"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71</w:t>
            </w:r>
          </w:p>
        </w:tc>
        <w:tc>
          <w:tcPr>
            <w:tcW w:w="1026"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118</w:t>
            </w:r>
          </w:p>
        </w:tc>
        <w:tc>
          <w:tcPr>
            <w:tcW w:w="1157"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60</w:t>
            </w:r>
          </w:p>
        </w:tc>
        <w:tc>
          <w:tcPr>
            <w:tcW w:w="1032"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2000</w:t>
            </w:r>
            <w:r>
              <w:rPr>
                <w:sz w:val="26"/>
                <w:szCs w:val="26"/>
              </w:rPr>
              <w:t>/</w:t>
            </w:r>
            <w:r>
              <w:rPr>
                <w:sz w:val="26"/>
                <w:szCs w:val="26"/>
                <w:rtl/>
              </w:rPr>
              <w:t>01</w:t>
            </w:r>
          </w:p>
        </w:tc>
        <w:tc>
          <w:tcPr>
            <w:tcW w:w="671"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141</w:t>
            </w:r>
          </w:p>
        </w:tc>
        <w:tc>
          <w:tcPr>
            <w:tcW w:w="927"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70</w:t>
            </w:r>
          </w:p>
        </w:tc>
        <w:tc>
          <w:tcPr>
            <w:tcW w:w="927"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211</w:t>
            </w:r>
          </w:p>
        </w:tc>
        <w:tc>
          <w:tcPr>
            <w:tcW w:w="1273"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33</w:t>
            </w:r>
          </w:p>
        </w:tc>
      </w:tr>
      <w:tr w:rsidR="00662946">
        <w:trPr>
          <w:trHeight w:val="285"/>
          <w:jc w:val="center"/>
        </w:trPr>
        <w:tc>
          <w:tcPr>
            <w:tcW w:w="1131" w:type="dxa"/>
            <w:tcBorders>
              <w:top w:val="nil"/>
              <w:left w:val="single" w:sz="4" w:space="0" w:color="auto"/>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2001</w:t>
            </w:r>
            <w:r>
              <w:rPr>
                <w:sz w:val="26"/>
                <w:szCs w:val="26"/>
              </w:rPr>
              <w:t>/</w:t>
            </w:r>
            <w:r>
              <w:rPr>
                <w:sz w:val="26"/>
                <w:szCs w:val="26"/>
                <w:rtl/>
              </w:rPr>
              <w:t>02</w:t>
            </w:r>
          </w:p>
        </w:tc>
        <w:tc>
          <w:tcPr>
            <w:tcW w:w="833"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63</w:t>
            </w:r>
          </w:p>
        </w:tc>
        <w:tc>
          <w:tcPr>
            <w:tcW w:w="900"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69</w:t>
            </w:r>
          </w:p>
        </w:tc>
        <w:tc>
          <w:tcPr>
            <w:tcW w:w="1026"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132</w:t>
            </w:r>
          </w:p>
        </w:tc>
        <w:tc>
          <w:tcPr>
            <w:tcW w:w="1157"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52</w:t>
            </w:r>
          </w:p>
        </w:tc>
        <w:tc>
          <w:tcPr>
            <w:tcW w:w="1032"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2001</w:t>
            </w:r>
            <w:r>
              <w:rPr>
                <w:sz w:val="26"/>
                <w:szCs w:val="26"/>
              </w:rPr>
              <w:t>/</w:t>
            </w:r>
            <w:r>
              <w:rPr>
                <w:sz w:val="26"/>
                <w:szCs w:val="26"/>
                <w:rtl/>
              </w:rPr>
              <w:t>02</w:t>
            </w:r>
          </w:p>
        </w:tc>
        <w:tc>
          <w:tcPr>
            <w:tcW w:w="671"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116</w:t>
            </w:r>
          </w:p>
        </w:tc>
        <w:tc>
          <w:tcPr>
            <w:tcW w:w="927"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52</w:t>
            </w:r>
          </w:p>
        </w:tc>
        <w:tc>
          <w:tcPr>
            <w:tcW w:w="927"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168</w:t>
            </w:r>
          </w:p>
        </w:tc>
        <w:tc>
          <w:tcPr>
            <w:tcW w:w="1273" w:type="dxa"/>
            <w:tcBorders>
              <w:top w:val="nil"/>
              <w:left w:val="nil"/>
              <w:bottom w:val="single" w:sz="4" w:space="0" w:color="auto"/>
              <w:right w:val="single" w:sz="4" w:space="0" w:color="auto"/>
            </w:tcBorders>
            <w:noWrap/>
            <w:vAlign w:val="bottom"/>
          </w:tcPr>
          <w:p w:rsidR="00662946" w:rsidRDefault="00662946">
            <w:pPr>
              <w:spacing w:after="120"/>
              <w:jc w:val="both"/>
              <w:rPr>
                <w:sz w:val="26"/>
                <w:szCs w:val="26"/>
              </w:rPr>
            </w:pPr>
            <w:r>
              <w:rPr>
                <w:sz w:val="26"/>
                <w:szCs w:val="26"/>
                <w:rtl/>
              </w:rPr>
              <w:t>31</w:t>
            </w:r>
          </w:p>
        </w:tc>
      </w:tr>
    </w:tbl>
    <w:p w:rsidR="00662946" w:rsidRDefault="00662946">
      <w:pPr>
        <w:pStyle w:val="SingleTxt"/>
        <w:tabs>
          <w:tab w:val="left" w:pos="374"/>
        </w:tabs>
        <w:ind w:left="1264" w:right="1264"/>
        <w:jc w:val="both"/>
        <w:rPr>
          <w:rFonts w:hint="cs"/>
          <w:rtl/>
          <w:lang w:bidi="ar-EG"/>
        </w:rPr>
      </w:pPr>
    </w:p>
    <w:p w:rsidR="00662946" w:rsidRDefault="00662946">
      <w:pPr>
        <w:pStyle w:val="SingleTxt"/>
        <w:tabs>
          <w:tab w:val="left" w:pos="374"/>
        </w:tabs>
        <w:ind w:left="1264" w:right="1264"/>
        <w:jc w:val="both"/>
        <w:rPr>
          <w:rFonts w:hint="cs"/>
          <w:rtl/>
          <w:lang w:bidi="ar-EG"/>
        </w:rPr>
      </w:pPr>
      <w:r>
        <w:rPr>
          <w:rFonts w:hint="cs"/>
          <w:rtl/>
          <w:lang w:bidi="ar-EG"/>
        </w:rPr>
        <w:t>10-28</w:t>
      </w:r>
      <w:r>
        <w:rPr>
          <w:rFonts w:hint="cs"/>
          <w:rtl/>
          <w:lang w:bidi="ar-EG"/>
        </w:rPr>
        <w:tab/>
        <w:t>حددت حكومة سانت لوسيا مواصلة التعليم للأمهات المراهقات باعتباره ميداناً ذا أولوية للعمل. ومن المعروف أن عدداً كبيراً من الفتيات اللائي يتسربن من المدرسة يفعلن ذلك بسبب الحمل. بيد أنه لا توجد سجلات تبين أعدادهن على وجه الدقة. ومعدلات التسرب على مستويي المدارس الابتدائية والثانوية أعلى بوجه عام بين الأولاد عنهم بين البنات. وفي حين لا تبين الإحصاءات المتوافرة في وزارة التعليم أسباب التسرب من المدارس فإن تقرير الإدارة الإحصائية الحكومية عن الإحصاءات الحيوية يبين أن ولادات الأمهات المراهقات تسهم بـ 16.1 في المائة من مجموع عدد المواليد الأحياء أسهمت بـ 16.1 في المائة من مجموع عدد المواليد الأحياء في سنة 1998. وعلاوة على ذلك فإن البيانات تكشف عن أن 36.9 في المائة من المواليد بين مجموع المراهقات كانت بين فتيات تتراوح أعمارهن بين خمسة عشرة سنة وسبعة عشرة سنة، وأن 2.7 في المائة من الولادات كانت لفتيات تقل أعمارهن عن خمسة عشرة سنة، وأن المراهقات اللائي يبلغن من العمر 18 و19 سنة كن يمثلن 40 في المائة (60 في المائة) من ولادات المراهقات.</w:t>
      </w:r>
    </w:p>
    <w:p w:rsidR="00662946" w:rsidRDefault="00662946">
      <w:pPr>
        <w:pStyle w:val="SingleTxt"/>
        <w:tabs>
          <w:tab w:val="left" w:pos="374"/>
        </w:tabs>
        <w:ind w:left="1264" w:right="1264"/>
        <w:jc w:val="both"/>
        <w:rPr>
          <w:rFonts w:hint="cs"/>
          <w:rtl/>
          <w:lang w:bidi="ar-EG"/>
        </w:rPr>
      </w:pPr>
      <w:r>
        <w:rPr>
          <w:rFonts w:hint="cs"/>
          <w:rtl/>
          <w:lang w:bidi="ar-EG"/>
        </w:rPr>
        <w:t>10-29</w:t>
      </w:r>
      <w:r>
        <w:rPr>
          <w:rFonts w:hint="cs"/>
          <w:rtl/>
          <w:lang w:bidi="ar-EG"/>
        </w:rPr>
        <w:tab/>
        <w:t>أعرب عدة منظمات غير حكومية عن أسفها لأنه لا توجد سياسة محددة لكفالة السماح للأمهات اللائي في سن الدراسة بالمدارس بمواصلة تعليمهن في نظام التعليم النظامي. وفي نفس الوقت لا يوجد قانون يمنع الأم المراهقة من مواصلة تعليمها النظامي. ويبدو أن المعتقدات والاتجاهات والمواقف المقولبة هي الأقوى في تحديد مصير الأم المراهقة فيما يتعلق بالتعليم بعد حملها. وفي الوقت الحاضر تسمح السياسة غير المكتوبة للأم التي في سن الدراسة بالمدارس بمواصلة تعليمها في مدرسة أخرى رغماً بالسلطة التقديرية لناظر المدرسة. والنقل إلى مدرسة أخرى يكون بتكلفة يمكن أن تمنع الأم الصغيرة من الاستفادة من هذه الفرصة ولهذا الخيار أيضاً أثر ضار في الأم بسبب الوصمة المرتبطة بخبرتها. وعلاوة على ذلك فإن والد الطفل الذي قد يكون مراهقاً وطالباً هو الآخر لا يشعر بهذه المضايقة بل يسمح له بمواصلة تعليمة دون انقطاع.</w:t>
      </w:r>
    </w:p>
    <w:p w:rsidR="00662946" w:rsidRDefault="00662946">
      <w:pPr>
        <w:pStyle w:val="SingleTxt"/>
        <w:tabs>
          <w:tab w:val="left" w:pos="374"/>
        </w:tabs>
        <w:ind w:left="1264" w:right="1264"/>
        <w:jc w:val="both"/>
        <w:rPr>
          <w:rFonts w:hint="cs"/>
          <w:rtl/>
          <w:lang w:bidi="ar-EG"/>
        </w:rPr>
      </w:pPr>
      <w:r>
        <w:rPr>
          <w:rFonts w:hint="cs"/>
          <w:rtl/>
          <w:lang w:bidi="ar-EG"/>
        </w:rPr>
        <w:t>10-30</w:t>
      </w:r>
      <w:r>
        <w:rPr>
          <w:rFonts w:hint="cs"/>
          <w:rtl/>
          <w:lang w:bidi="ar-EG"/>
        </w:rPr>
        <w:tab/>
        <w:t>في سنة 1998 نفِّذ برنامج سانت جود لحمل المراهقات (مبادرة غير حكومية) بهدف معيَّن هو إتاحة مواصلة التعليم للفتيات المراهقات. وعلى الرغم من أنه يمكن تحمل تكاليفه ويوفِّر مرافق لرعاية الأطفال فإن البرنامج لا يستطيع توفير التعليم الأكاديمي بسبب القيود المالية. وتوجد برامج أخرى مماثلة تديرها منظمات غير حكومية، يمكن أن توفِّر التعليم النظامي وغير النظامي على حد سواء. بيد أن تقييم هذه الخدمات يكشف عن أن ارتفاع تكاليف وعدم وجود مرافق كافية لرعاية الأطفال والعدد المحدود للمواد المقدمة هي عقبات أمام الأمهات الصغيرات اللائي يرغبن في مواصلة تعليمهن. وتكمل الفقرة 11-39 أدناه باعتبارها جزءاً من المادة 11 المتعلقة بالعمل الجهود التي يبذلها حالياً المركز الوطني لتنمية المهارات في مجال تقديم خدمات الرعاية النهارية مع التدريب على المهارات. وهذه الخدمة تمكِّن الأمهات الصغيرات بصفة خاصة من مواصلة التدرب في مجالات محل اهتمام دونما إضرار في مسؤولياتهن المتعلقة برعاية الأطفال.</w:t>
      </w:r>
    </w:p>
    <w:p w:rsidR="00662946" w:rsidRDefault="00662946">
      <w:pPr>
        <w:pStyle w:val="SingleTxt"/>
        <w:tabs>
          <w:tab w:val="left" w:pos="374"/>
        </w:tabs>
        <w:ind w:left="1264" w:right="1264"/>
        <w:jc w:val="both"/>
        <w:rPr>
          <w:rFonts w:hint="cs"/>
          <w:rtl/>
          <w:lang w:bidi="ar-EG"/>
        </w:rPr>
      </w:pPr>
      <w:r>
        <w:rPr>
          <w:rFonts w:hint="cs"/>
          <w:rtl/>
          <w:lang w:bidi="ar-EG"/>
        </w:rPr>
        <w:t>10-31</w:t>
      </w:r>
      <w:r>
        <w:rPr>
          <w:rFonts w:hint="cs"/>
          <w:rtl/>
          <w:lang w:bidi="ar-EG"/>
        </w:rPr>
        <w:tab/>
        <w:t>وضعت الآلية الوطنية للمرأة خطة عمل لزيادة وصول الأمهات المراهقات إلى مواصلة التعليم. ووجد أن الضغوط المجتمعية ولا سيما بين الأقران في المدرسة تؤثر في قدرة الأم المراهقة على العودة إلى نظام التعليم النظامي أو إلى العمل بفعالية داخل النظام المدرسي الرسمي حتى إذا سمح لها بأن تفعل ذلك. ونتيجة لذلك فإن عنصراً رئيسياً في الخطة ينطوي على التعليم وإرهاف الحس.</w:t>
      </w:r>
    </w:p>
    <w:p w:rsidR="00662946" w:rsidRDefault="00662946">
      <w:pPr>
        <w:pStyle w:val="SingleTxt"/>
        <w:tabs>
          <w:tab w:val="left" w:pos="374"/>
        </w:tabs>
        <w:ind w:left="1264" w:right="1264"/>
        <w:jc w:val="both"/>
        <w:rPr>
          <w:rFonts w:hint="cs"/>
          <w:rtl/>
          <w:lang w:bidi="ar-EG"/>
        </w:rPr>
      </w:pPr>
      <w:r>
        <w:rPr>
          <w:rFonts w:hint="cs"/>
          <w:rtl/>
          <w:lang w:bidi="ar-EG"/>
        </w:rPr>
        <w:t>10-32</w:t>
      </w:r>
      <w:r>
        <w:rPr>
          <w:rFonts w:hint="cs"/>
          <w:rtl/>
          <w:lang w:bidi="ar-EG"/>
        </w:rPr>
        <w:tab/>
        <w:t xml:space="preserve">في سنة 1980 افتتح رسمياً مركز ابتن جاردنز للفتيات نتيجة جهود مجلس سانت لوسيا الوطني للمرأة لإعادة تأهيل المراهقات المحرومات أو المعتدى عليهن أو المهملات أو المسيبات اللائي على وشك الانحراف. ويجري إعادة تأهيل الفتيات عن طريق قدر كبير من المشاركة المجتمعية والتدخلات الملائمة في الوقت المناسب وإدارة الحالات بفاعلية. ويرمي المركز إلى تقديم </w:t>
      </w:r>
      <w:r>
        <w:rPr>
          <w:rFonts w:hint="eastAsia"/>
          <w:rtl/>
          <w:lang w:bidi="ar-EG"/>
        </w:rPr>
        <w:t>”تعليم بديل</w:t>
      </w:r>
      <w:r>
        <w:rPr>
          <w:rFonts w:hint="cs"/>
          <w:rtl/>
          <w:lang w:bidi="ar-EG"/>
        </w:rPr>
        <w:t>“ لعملائه في ضوء أن معظمهن بسبب الصعوبات اللائي واجهنها غير قادرات على العمل بفاعلية في نظام التعليم العادي.</w:t>
      </w:r>
    </w:p>
    <w:p w:rsidR="00662946" w:rsidRDefault="00662946">
      <w:pPr>
        <w:pStyle w:val="SingleTxt"/>
        <w:tabs>
          <w:tab w:val="left" w:pos="374"/>
        </w:tabs>
        <w:ind w:left="1264" w:right="1264"/>
        <w:jc w:val="both"/>
        <w:rPr>
          <w:rFonts w:hint="cs"/>
          <w:rtl/>
          <w:lang w:bidi="ar-EG"/>
        </w:rPr>
      </w:pPr>
      <w:r>
        <w:rPr>
          <w:rFonts w:hint="cs"/>
          <w:rtl/>
          <w:lang w:bidi="ar-EG"/>
        </w:rPr>
        <w:t>10-33</w:t>
      </w:r>
      <w:r>
        <w:rPr>
          <w:rFonts w:hint="cs"/>
          <w:rtl/>
          <w:lang w:bidi="ar-EG"/>
        </w:rPr>
        <w:tab/>
        <w:t>ويرعى مركز أبتون جاردنز للفتيات بصفة خاصة الفتيات اللائي تتراوح أعمارهن بين 12 و15 سنة اللائي:</w:t>
      </w:r>
    </w:p>
    <w:p w:rsidR="00662946" w:rsidRDefault="00662946">
      <w:pPr>
        <w:pStyle w:val="SingleTxt"/>
        <w:tabs>
          <w:tab w:val="left" w:pos="374"/>
        </w:tabs>
        <w:ind w:left="1264" w:right="1264"/>
        <w:jc w:val="both"/>
        <w:rPr>
          <w:rFonts w:hint="cs"/>
          <w:rtl/>
          <w:lang w:bidi="ar-EG"/>
        </w:rPr>
      </w:pPr>
      <w:r>
        <w:rPr>
          <w:rFonts w:hint="cs"/>
          <w:rtl/>
          <w:lang w:bidi="ar-EG"/>
        </w:rPr>
        <w:tab/>
      </w:r>
      <w:r>
        <w:rPr>
          <w:rFonts w:hint="cs"/>
          <w:rtl/>
          <w:lang w:bidi="ar-EG"/>
        </w:rPr>
        <w:tab/>
        <w:t>’1‘</w:t>
      </w:r>
      <w:r>
        <w:rPr>
          <w:rFonts w:hint="cs"/>
          <w:rtl/>
          <w:lang w:bidi="ar-EG"/>
        </w:rPr>
        <w:tab/>
        <w:t>يبدين تصرفات شاذة بسبب إهمالهن أو تسيبهن من جانب آبائهن أو أمهاتهن أو الأوصياء عليهن أو العيش في أسر تصارع مشاكل العنف الأسري وإدمان المشروبات الكحولي</w:t>
      </w:r>
      <w:r>
        <w:rPr>
          <w:rFonts w:hint="eastAsia"/>
          <w:rtl/>
          <w:lang w:bidi="ar-EG"/>
        </w:rPr>
        <w:t>ة</w:t>
      </w:r>
      <w:r>
        <w:rPr>
          <w:rFonts w:hint="cs"/>
          <w:rtl/>
          <w:lang w:bidi="ar-EG"/>
        </w:rPr>
        <w:t xml:space="preserve"> وتعاطي المخدرات ومهارات الأبوة غير الملائمة؛</w:t>
      </w:r>
    </w:p>
    <w:p w:rsidR="00662946" w:rsidRDefault="00662946">
      <w:pPr>
        <w:pStyle w:val="SingleTxt"/>
        <w:tabs>
          <w:tab w:val="left" w:pos="374"/>
        </w:tabs>
        <w:ind w:left="1264" w:right="1264"/>
        <w:jc w:val="both"/>
        <w:rPr>
          <w:rFonts w:hint="cs"/>
          <w:rtl/>
          <w:lang w:bidi="ar-EG"/>
        </w:rPr>
      </w:pPr>
      <w:r>
        <w:rPr>
          <w:rFonts w:hint="cs"/>
          <w:rtl/>
          <w:lang w:bidi="ar-EG"/>
        </w:rPr>
        <w:tab/>
      </w:r>
      <w:r>
        <w:rPr>
          <w:rFonts w:hint="cs"/>
          <w:rtl/>
          <w:lang w:bidi="ar-EG"/>
        </w:rPr>
        <w:tab/>
        <w:t>’2‘</w:t>
      </w:r>
      <w:r>
        <w:rPr>
          <w:rFonts w:hint="cs"/>
          <w:rtl/>
          <w:lang w:bidi="ar-EG"/>
        </w:rPr>
        <w:tab/>
        <w:t>المعاناة لفترة طويلة من مشاكل سلوكية أو بدرجة كبيرة منها بسبب حالات تسبب التوتر أو صدمة نفسية مثل الوفاة والأبوة أو الأمومة السيئة وضغط الأقران إلخ؛</w:t>
      </w:r>
    </w:p>
    <w:p w:rsidR="00662946" w:rsidRDefault="00662946">
      <w:pPr>
        <w:pStyle w:val="SingleTxt"/>
        <w:tabs>
          <w:tab w:val="left" w:pos="374"/>
        </w:tabs>
        <w:ind w:left="1264" w:right="1264"/>
        <w:jc w:val="both"/>
        <w:rPr>
          <w:rFonts w:hint="cs"/>
          <w:rtl/>
          <w:lang w:bidi="ar-EG"/>
        </w:rPr>
      </w:pPr>
      <w:r>
        <w:rPr>
          <w:rFonts w:hint="cs"/>
          <w:rtl/>
          <w:lang w:bidi="ar-EG"/>
        </w:rPr>
        <w:tab/>
      </w:r>
      <w:r>
        <w:rPr>
          <w:rFonts w:hint="cs"/>
          <w:rtl/>
          <w:lang w:bidi="ar-EG"/>
        </w:rPr>
        <w:tab/>
        <w:t>’3‘</w:t>
      </w:r>
      <w:r>
        <w:rPr>
          <w:rFonts w:hint="cs"/>
          <w:rtl/>
          <w:lang w:bidi="ar-EG"/>
        </w:rPr>
        <w:tab/>
        <w:t>ضحايا الاغتصاب وزنا المحارم والاعتداء؛</w:t>
      </w:r>
    </w:p>
    <w:p w:rsidR="00662946" w:rsidRDefault="00662946">
      <w:pPr>
        <w:pStyle w:val="SingleTxt"/>
        <w:tabs>
          <w:tab w:val="left" w:pos="374"/>
        </w:tabs>
        <w:ind w:left="1264" w:right="1264"/>
        <w:jc w:val="both"/>
        <w:rPr>
          <w:rFonts w:hint="cs"/>
          <w:rtl/>
          <w:lang w:bidi="ar-EG"/>
        </w:rPr>
      </w:pPr>
      <w:r>
        <w:rPr>
          <w:rFonts w:hint="cs"/>
          <w:rtl/>
          <w:lang w:bidi="ar-EG"/>
        </w:rPr>
        <w:tab/>
      </w:r>
      <w:r>
        <w:rPr>
          <w:rFonts w:hint="cs"/>
          <w:rtl/>
          <w:lang w:bidi="ar-EG"/>
        </w:rPr>
        <w:tab/>
        <w:t>’4‘</w:t>
      </w:r>
      <w:r>
        <w:rPr>
          <w:rFonts w:hint="cs"/>
          <w:rtl/>
          <w:lang w:bidi="ar-EG"/>
        </w:rPr>
        <w:tab/>
        <w:t>إبداء تصرفات تدل على سوء التكيُّف في البيت والمدرسة بسبب اضطراب واحد أو أكثر من الاضطرابات السلوكية مثل اضطراب نقص الانتباه واضطراب السلوك.</w:t>
      </w:r>
    </w:p>
    <w:p w:rsidR="00662946" w:rsidRDefault="00662946">
      <w:pPr>
        <w:pStyle w:val="SingleTxt"/>
        <w:tabs>
          <w:tab w:val="left" w:pos="374"/>
        </w:tabs>
        <w:ind w:left="1264" w:right="1264"/>
        <w:jc w:val="both"/>
        <w:rPr>
          <w:rFonts w:hint="cs"/>
          <w:rtl/>
          <w:lang w:bidi="ar-EG"/>
        </w:rPr>
      </w:pPr>
      <w:r>
        <w:rPr>
          <w:rFonts w:hint="cs"/>
          <w:rtl/>
          <w:lang w:bidi="ar-EG"/>
        </w:rPr>
        <w:t>10-34</w:t>
      </w:r>
      <w:r>
        <w:rPr>
          <w:rFonts w:hint="cs"/>
          <w:rtl/>
          <w:lang w:bidi="ar-EG"/>
        </w:rPr>
        <w:tab/>
        <w:t>تدير المركز وزارة الصحة والخدمات الإنسانية والشؤون الأسرية والعلاقات بين الجنسين. وتُبذل جهود منذ فترة لتغيير خدمات وهيكل المركز حتى يمكن استيعاب العميلات على أساس التفرغ. بيد أن المركز مازال يقدم خدمة محدودة لعملاته من الساعة 8 صباحاً إلى الساعة الرابعة بعد الظهر في أيام العمل الأسبوعية. وفي حين أنه توجد منشأة مماثلة في الريف تستوعب الأولاد المنحرفين والمضطربين على أساس التفرغ فإنه لا توجد منشأة مماثلة للفتيات. وفي هذا الصدد مازال العملاء يعيشون في نفس الأسر التي كانت السبب في مشاكلهن.</w:t>
      </w:r>
    </w:p>
    <w:p w:rsidR="00662946" w:rsidRDefault="00662946">
      <w:pPr>
        <w:pStyle w:val="SingleTxt"/>
        <w:tabs>
          <w:tab w:val="left" w:pos="374"/>
        </w:tabs>
        <w:ind w:left="1264" w:right="1264"/>
        <w:jc w:val="both"/>
        <w:rPr>
          <w:rFonts w:hint="cs"/>
          <w:rtl/>
          <w:lang w:bidi="ar-EG"/>
        </w:rPr>
      </w:pPr>
      <w:r>
        <w:rPr>
          <w:rFonts w:hint="cs"/>
          <w:rtl/>
          <w:lang w:bidi="ar-EG"/>
        </w:rPr>
        <w:t>10-35</w:t>
      </w:r>
      <w:r>
        <w:rPr>
          <w:rFonts w:hint="cs"/>
          <w:rtl/>
          <w:lang w:bidi="ar-EG"/>
        </w:rPr>
        <w:tab/>
        <w:t>تشمل أنشطة تدخل مركز أبتون جاردنز للفتيات ما يلي:</w:t>
      </w:r>
    </w:p>
    <w:p w:rsidR="00662946" w:rsidRDefault="00662946">
      <w:pPr>
        <w:pStyle w:val="SingleTxt"/>
        <w:tabs>
          <w:tab w:val="left" w:pos="374"/>
        </w:tabs>
        <w:ind w:left="1638" w:right="1264" w:hanging="374"/>
        <w:jc w:val="both"/>
        <w:rPr>
          <w:rFonts w:hint="cs"/>
          <w:rtl/>
          <w:lang w:bidi="ar-EG"/>
        </w:rPr>
      </w:pPr>
      <w:r>
        <w:rPr>
          <w:rFonts w:hint="cs"/>
          <w:rtl/>
          <w:lang w:bidi="ar-EG"/>
        </w:rPr>
        <w:tab/>
      </w:r>
      <w:r>
        <w:rPr>
          <w:rFonts w:hint="cs"/>
          <w:rtl/>
          <w:lang w:bidi="ar-EG"/>
        </w:rPr>
        <w:tab/>
        <w:t>’1‘</w:t>
      </w:r>
      <w:r>
        <w:rPr>
          <w:rFonts w:hint="cs"/>
          <w:rtl/>
          <w:lang w:bidi="ar-EG"/>
        </w:rPr>
        <w:tab/>
        <w:t>برنامج للرعاية النهارية لتنمية الذات يشمل التدريب في مجالات مثل المعرفة الحاسوبية وتقديم المشورة ومهارات الحياة والتدريب على المهارات الاجتماعية؛ وأنشطة اللياقة البدنية وإدارة المنزل وخدمات المستشفيات والبستنه/الزراعة.</w:t>
      </w:r>
    </w:p>
    <w:p w:rsidR="00662946" w:rsidRDefault="00662946">
      <w:pPr>
        <w:pStyle w:val="SingleTxt"/>
        <w:tabs>
          <w:tab w:val="left" w:pos="374"/>
        </w:tabs>
        <w:ind w:left="1638" w:right="1264" w:hanging="374"/>
        <w:jc w:val="both"/>
        <w:rPr>
          <w:rFonts w:hint="cs"/>
          <w:rtl/>
          <w:lang w:bidi="ar-EG"/>
        </w:rPr>
      </w:pPr>
      <w:r>
        <w:rPr>
          <w:rFonts w:hint="cs"/>
          <w:rtl/>
          <w:lang w:bidi="ar-EG"/>
        </w:rPr>
        <w:tab/>
      </w:r>
      <w:r>
        <w:rPr>
          <w:rFonts w:hint="cs"/>
          <w:rtl/>
          <w:lang w:bidi="ar-EG"/>
        </w:rPr>
        <w:tab/>
        <w:t>’2‘</w:t>
      </w:r>
      <w:r>
        <w:rPr>
          <w:rFonts w:hint="cs"/>
          <w:rtl/>
          <w:lang w:bidi="ar-EG"/>
        </w:rPr>
        <w:tab/>
        <w:t>الدعم الأسري وتقديم المشورة: يزور مستشارون بيوت الأسر من أجل الملاحظة ويوجد تقديم المشورة بين الأعضاء لتمكينهم من مسايرة الحالات التي يتعرضون لها في الحياة. ويشجع إشراك الآباء والأمهات وأفراد الأسرة باعتبار ذلك جزءاً من التنمية الشاملة للعملاء.</w:t>
      </w:r>
    </w:p>
    <w:p w:rsidR="00662946" w:rsidRDefault="00662946">
      <w:pPr>
        <w:pStyle w:val="SingleTxt"/>
        <w:tabs>
          <w:tab w:val="left" w:pos="374"/>
        </w:tabs>
        <w:ind w:left="1264" w:right="1264"/>
        <w:jc w:val="both"/>
        <w:rPr>
          <w:rFonts w:hint="cs"/>
          <w:rtl/>
          <w:lang w:bidi="ar-EG"/>
        </w:rPr>
      </w:pPr>
      <w:r>
        <w:rPr>
          <w:rFonts w:hint="cs"/>
          <w:rtl/>
          <w:lang w:bidi="ar-EG"/>
        </w:rPr>
        <w:tab/>
      </w:r>
      <w:r>
        <w:rPr>
          <w:rFonts w:hint="cs"/>
          <w:rtl/>
          <w:lang w:bidi="ar-EG"/>
        </w:rPr>
        <w:tab/>
        <w:t>’3‘</w:t>
      </w:r>
      <w:r>
        <w:rPr>
          <w:rFonts w:hint="cs"/>
          <w:rtl/>
          <w:lang w:bidi="ar-EG"/>
        </w:rPr>
        <w:tab/>
        <w:t>أنشطة الإرشاد والدعم المجتمعي: تشجع الفتيات على المشاركة في الأنشطة الشبابية والمجتمعية. ويعتبر عنصر الاستنساب للوظائف من البرنامج برنامج التدريب على المهارات جزءاً من هذه العملية التي تسعى إلى إعداد العملاء لإعادة إدماجهم في المجتمع الأوسع.</w:t>
      </w:r>
    </w:p>
    <w:p w:rsidR="00662946" w:rsidRDefault="00662946">
      <w:pPr>
        <w:pStyle w:val="SingleTxt"/>
        <w:tabs>
          <w:tab w:val="left" w:pos="374"/>
        </w:tabs>
        <w:ind w:left="1264" w:right="1264"/>
        <w:jc w:val="both"/>
        <w:rPr>
          <w:rFonts w:hint="cs"/>
          <w:rtl/>
          <w:lang w:bidi="ar-EG"/>
        </w:rPr>
      </w:pPr>
      <w:r>
        <w:rPr>
          <w:rFonts w:hint="cs"/>
          <w:rtl/>
          <w:lang w:bidi="ar-EG"/>
        </w:rPr>
        <w:t>10-36</w:t>
      </w:r>
      <w:r>
        <w:rPr>
          <w:rFonts w:hint="cs"/>
          <w:rtl/>
          <w:lang w:bidi="ar-EG"/>
        </w:rPr>
        <w:tab/>
        <w:t xml:space="preserve">نجح مركز ابتون جاردنز نجاحاً كبيراً في إحداث تغييرات إيجابية في حياة مئات من الفتيات الضعيفات والمعرضات للخطر في المجتمع. وقد نجح عدد كبير من المشتركين في الحصول على عمل في مراكز مرموقة في عدة قطاعات في البلد وفي كسر حلقة الأنماط الأسرية غير الوظيفية. والعيب الرئيسي الذي يعاني منه المركز هو عدم قدرته على التعامل مع الحاجة الموجودة إلى إيواء العملاء على أساس التفرغ. أو بشكل كامل. </w:t>
      </w:r>
    </w:p>
    <w:p w:rsidR="00662946" w:rsidRDefault="00662946">
      <w:pPr>
        <w:pStyle w:val="SingleTxt"/>
        <w:tabs>
          <w:tab w:val="left" w:pos="374"/>
        </w:tabs>
        <w:ind w:left="1264" w:right="1264"/>
        <w:jc w:val="both"/>
        <w:rPr>
          <w:rFonts w:hint="cs"/>
          <w:b/>
          <w:bCs/>
          <w:rtl/>
          <w:lang w:bidi="ar-EG"/>
        </w:rPr>
      </w:pPr>
    </w:p>
    <w:p w:rsidR="00662946" w:rsidRDefault="00662946">
      <w:pPr>
        <w:pStyle w:val="SingleTxt"/>
        <w:tabs>
          <w:tab w:val="left" w:pos="374"/>
        </w:tabs>
        <w:ind w:left="1264" w:right="1264"/>
        <w:jc w:val="both"/>
        <w:rPr>
          <w:rFonts w:hint="cs"/>
          <w:b/>
          <w:bCs/>
          <w:rtl/>
          <w:lang w:bidi="ar-EG"/>
        </w:rPr>
      </w:pPr>
    </w:p>
    <w:p w:rsidR="00662946" w:rsidRDefault="00662946">
      <w:pPr>
        <w:pStyle w:val="SingleTxt"/>
        <w:tabs>
          <w:tab w:val="left" w:pos="374"/>
        </w:tabs>
        <w:ind w:left="1264" w:right="1264"/>
        <w:jc w:val="both"/>
        <w:rPr>
          <w:rFonts w:hint="cs"/>
          <w:b/>
          <w:bCs/>
          <w:rtl/>
          <w:lang w:bidi="ar-EG"/>
        </w:rPr>
      </w:pPr>
      <w:r>
        <w:rPr>
          <w:rFonts w:hint="cs"/>
          <w:b/>
          <w:bCs/>
          <w:rtl/>
          <w:lang w:bidi="ar-EG"/>
        </w:rPr>
        <w:t>المؤهلات التعليمية</w:t>
      </w:r>
    </w:p>
    <w:p w:rsidR="00662946" w:rsidRDefault="00662946">
      <w:pPr>
        <w:pStyle w:val="SingleTxt"/>
        <w:tabs>
          <w:tab w:val="left" w:pos="374"/>
        </w:tabs>
        <w:ind w:left="1264" w:right="1264"/>
        <w:jc w:val="both"/>
        <w:rPr>
          <w:rFonts w:hint="cs"/>
          <w:rtl/>
          <w:lang w:bidi="ar-EG"/>
        </w:rPr>
      </w:pPr>
      <w:r>
        <w:rPr>
          <w:rFonts w:hint="cs"/>
          <w:rtl/>
          <w:lang w:bidi="ar-EG"/>
        </w:rPr>
        <w:t>10-37</w:t>
      </w:r>
      <w:r>
        <w:rPr>
          <w:rFonts w:hint="cs"/>
          <w:rtl/>
          <w:lang w:bidi="ar-EG"/>
        </w:rPr>
        <w:tab/>
        <w:t>ومقارنة المؤهلات التعليمية في الرجال والنساء في سانت لوسيا ذات أهمية حيوية أيضاً في تقييم مدى القضاء على التمييز ضد المرأة في مجال التعليم. ووفقاً لتحليل مقارن اضطلعت به إدارة الإحصاء فإنه بحلول نهاية كانون الأول/ديسمبر 1997 زعمت 31 في المائة من مجموع عدد النساء اللائي تجاوزن سن الخامسة عشرة فإنهن لم يبلغن أي مستوى من التعليم في حين أن عدد الرجال الذين يزعمون ذلك باعتباره أعلى مستوى تعليمي ....... نساء و42 في المائة منهم رجال.</w:t>
      </w:r>
    </w:p>
    <w:p w:rsidR="00662946" w:rsidRDefault="00662946">
      <w:pPr>
        <w:pStyle w:val="SingleTxt"/>
        <w:tabs>
          <w:tab w:val="left" w:pos="374"/>
        </w:tabs>
        <w:ind w:left="1264" w:right="1264"/>
        <w:jc w:val="both"/>
        <w:rPr>
          <w:rFonts w:hint="cs"/>
          <w:b/>
          <w:bCs/>
          <w:rtl/>
          <w:lang w:bidi="ar-EG"/>
        </w:rPr>
      </w:pPr>
      <w:r>
        <w:rPr>
          <w:rFonts w:hint="cs"/>
          <w:b/>
          <w:bCs/>
          <w:rtl/>
          <w:lang w:bidi="ar-EG"/>
        </w:rPr>
        <w:t>المعلمون</w:t>
      </w:r>
    </w:p>
    <w:p w:rsidR="00662946" w:rsidRDefault="00662946">
      <w:pPr>
        <w:pStyle w:val="SingleTxt"/>
        <w:tabs>
          <w:tab w:val="left" w:pos="374"/>
        </w:tabs>
        <w:ind w:left="1264" w:right="1264"/>
        <w:jc w:val="both"/>
        <w:rPr>
          <w:rFonts w:hint="cs"/>
          <w:rtl/>
          <w:lang w:bidi="ar-EG"/>
        </w:rPr>
      </w:pPr>
      <w:r>
        <w:rPr>
          <w:rFonts w:hint="cs"/>
          <w:rtl/>
          <w:lang w:bidi="ar-EG"/>
        </w:rPr>
        <w:t>10-38</w:t>
      </w:r>
      <w:r>
        <w:rPr>
          <w:rFonts w:hint="cs"/>
          <w:rtl/>
          <w:lang w:bidi="ar-EG"/>
        </w:rPr>
        <w:tab/>
        <w:t>في الفترة المشمولة بالتقرير سادت الإناث والقطاع التعليمي، ولا سيما في مهنة التدريس. ويقارن الجدول الوارد أدناه بين نسبة المعلمين ونسبة المؤهلات في نظام المدارس الابتدائية لمدة 20 سنة تقريباً.</w:t>
      </w:r>
    </w:p>
    <w:p w:rsidR="00662946" w:rsidRDefault="00662946">
      <w:pPr>
        <w:pStyle w:val="SingleTxt"/>
        <w:tabs>
          <w:tab w:val="left" w:pos="374"/>
        </w:tabs>
        <w:ind w:left="1264" w:right="1264"/>
        <w:jc w:val="both"/>
        <w:rPr>
          <w:rFonts w:hint="cs"/>
          <w:rtl/>
          <w:lang w:bidi="ar-EG"/>
        </w:rPr>
      </w:pPr>
    </w:p>
    <w:tbl>
      <w:tblPr>
        <w:bidiVisual/>
        <w:tblW w:w="9841" w:type="dxa"/>
        <w:jc w:val="center"/>
        <w:tblLayout w:type="fixed"/>
        <w:tblLook w:val="0000" w:firstRow="0" w:lastRow="0" w:firstColumn="0" w:lastColumn="0" w:noHBand="0" w:noVBand="0"/>
      </w:tblPr>
      <w:tblGrid>
        <w:gridCol w:w="1074"/>
        <w:gridCol w:w="1342"/>
        <w:gridCol w:w="819"/>
        <w:gridCol w:w="819"/>
        <w:gridCol w:w="717"/>
        <w:gridCol w:w="819"/>
        <w:gridCol w:w="717"/>
        <w:gridCol w:w="819"/>
        <w:gridCol w:w="1228"/>
        <w:gridCol w:w="717"/>
        <w:gridCol w:w="693"/>
        <w:gridCol w:w="77"/>
      </w:tblGrid>
      <w:tr w:rsidR="00662946">
        <w:trPr>
          <w:gridAfter w:val="1"/>
          <w:wAfter w:w="78" w:type="dxa"/>
          <w:trHeight w:val="300"/>
          <w:jc w:val="center"/>
        </w:trPr>
        <w:tc>
          <w:tcPr>
            <w:tcW w:w="9802" w:type="dxa"/>
            <w:gridSpan w:val="11"/>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ind w:left="-57" w:right="-57"/>
              <w:jc w:val="both"/>
              <w:rPr>
                <w:rFonts w:hint="cs"/>
                <w:b/>
                <w:bCs/>
              </w:rPr>
            </w:pPr>
            <w:r>
              <w:rPr>
                <w:rFonts w:hint="cs"/>
                <w:b/>
                <w:bCs/>
                <w:rtl/>
              </w:rPr>
              <w:t>الجدول 10-15: عدد المعلمين المدرَّبين ونسبتهم المئوية في المدارس الابتدائية حسب الجنس، 1983-2002</w:t>
            </w:r>
          </w:p>
        </w:tc>
      </w:tr>
      <w:tr w:rsidR="00662946">
        <w:trPr>
          <w:cantSplit/>
          <w:trHeight w:val="255"/>
          <w:jc w:val="center"/>
        </w:trPr>
        <w:tc>
          <w:tcPr>
            <w:tcW w:w="1080" w:type="dxa"/>
            <w:vMerge w:val="restart"/>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rPr>
                <w:rFonts w:hint="cs"/>
                <w:b/>
                <w:bCs/>
              </w:rPr>
            </w:pPr>
            <w:r>
              <w:rPr>
                <w:rFonts w:hint="cs"/>
                <w:b/>
                <w:bCs/>
                <w:rtl/>
              </w:rPr>
              <w:t>السنة</w:t>
            </w:r>
          </w:p>
        </w:tc>
        <w:tc>
          <w:tcPr>
            <w:tcW w:w="1350" w:type="dxa"/>
            <w:vMerge w:val="restart"/>
            <w:tcBorders>
              <w:top w:val="nil"/>
              <w:left w:val="single" w:sz="4" w:space="0" w:color="auto"/>
              <w:bottom w:val="single" w:sz="4" w:space="0" w:color="000000"/>
              <w:right w:val="single" w:sz="4" w:space="0" w:color="auto"/>
            </w:tcBorders>
            <w:vAlign w:val="bottom"/>
          </w:tcPr>
          <w:p w:rsidR="00662946" w:rsidRDefault="00662946">
            <w:pPr>
              <w:spacing w:after="120"/>
              <w:ind w:left="-57" w:right="-57"/>
              <w:jc w:val="both"/>
              <w:rPr>
                <w:rFonts w:hint="cs"/>
                <w:b/>
                <w:bCs/>
              </w:rPr>
            </w:pPr>
            <w:r>
              <w:rPr>
                <w:rFonts w:hint="cs"/>
                <w:b/>
                <w:bCs/>
                <w:rtl/>
              </w:rPr>
              <w:t xml:space="preserve">عدد المدارس </w:t>
            </w:r>
          </w:p>
        </w:tc>
        <w:tc>
          <w:tcPr>
            <w:tcW w:w="1648" w:type="dxa"/>
            <w:gridSpan w:val="2"/>
            <w:tcBorders>
              <w:top w:val="single" w:sz="4" w:space="0" w:color="auto"/>
              <w:left w:val="nil"/>
              <w:bottom w:val="single" w:sz="4" w:space="0" w:color="auto"/>
              <w:right w:val="single" w:sz="4" w:space="0" w:color="auto"/>
            </w:tcBorders>
            <w:noWrap/>
            <w:vAlign w:val="bottom"/>
          </w:tcPr>
          <w:p w:rsidR="00662946" w:rsidRDefault="00662946">
            <w:pPr>
              <w:spacing w:after="120"/>
              <w:ind w:left="-57" w:right="-57"/>
              <w:jc w:val="center"/>
              <w:rPr>
                <w:rFonts w:hint="cs"/>
                <w:b/>
                <w:bCs/>
              </w:rPr>
            </w:pPr>
            <w:r>
              <w:rPr>
                <w:rFonts w:hint="cs"/>
                <w:b/>
                <w:bCs/>
                <w:rtl/>
              </w:rPr>
              <w:t>عدد المعلمين المدرَّبين</w:t>
            </w:r>
          </w:p>
        </w:tc>
        <w:tc>
          <w:tcPr>
            <w:tcW w:w="1545" w:type="dxa"/>
            <w:gridSpan w:val="2"/>
            <w:tcBorders>
              <w:top w:val="single" w:sz="4" w:space="0" w:color="auto"/>
              <w:left w:val="nil"/>
              <w:bottom w:val="single" w:sz="4" w:space="0" w:color="auto"/>
              <w:right w:val="single" w:sz="4" w:space="0" w:color="auto"/>
            </w:tcBorders>
            <w:noWrap/>
            <w:vAlign w:val="bottom"/>
          </w:tcPr>
          <w:p w:rsidR="00662946" w:rsidRDefault="00662946">
            <w:pPr>
              <w:spacing w:after="120"/>
              <w:ind w:left="-57" w:right="-57"/>
              <w:jc w:val="center"/>
              <w:rPr>
                <w:rFonts w:hint="cs"/>
                <w:b/>
                <w:bCs/>
              </w:rPr>
            </w:pPr>
            <w:r>
              <w:rPr>
                <w:rFonts w:hint="cs"/>
                <w:b/>
                <w:bCs/>
                <w:rtl/>
              </w:rPr>
              <w:t>عدد المعلمين غير المدرَّبين</w:t>
            </w:r>
          </w:p>
        </w:tc>
        <w:tc>
          <w:tcPr>
            <w:tcW w:w="2781" w:type="dxa"/>
            <w:gridSpan w:val="3"/>
            <w:tcBorders>
              <w:top w:val="single" w:sz="4" w:space="0" w:color="auto"/>
              <w:left w:val="nil"/>
              <w:bottom w:val="single" w:sz="4" w:space="0" w:color="auto"/>
              <w:right w:val="single" w:sz="4" w:space="0" w:color="auto"/>
            </w:tcBorders>
            <w:noWrap/>
            <w:vAlign w:val="bottom"/>
          </w:tcPr>
          <w:p w:rsidR="00662946" w:rsidRDefault="00662946">
            <w:pPr>
              <w:spacing w:after="120"/>
              <w:ind w:left="-57" w:right="-57"/>
              <w:jc w:val="center"/>
              <w:rPr>
                <w:rFonts w:hint="cs"/>
                <w:b/>
                <w:bCs/>
              </w:rPr>
            </w:pPr>
            <w:r>
              <w:rPr>
                <w:rFonts w:hint="cs"/>
                <w:b/>
                <w:bCs/>
                <w:rtl/>
              </w:rPr>
              <w:t>المجموع</w:t>
            </w:r>
          </w:p>
        </w:tc>
        <w:tc>
          <w:tcPr>
            <w:tcW w:w="1427" w:type="dxa"/>
            <w:gridSpan w:val="3"/>
            <w:tcBorders>
              <w:top w:val="single" w:sz="4" w:space="0" w:color="auto"/>
              <w:left w:val="nil"/>
              <w:bottom w:val="single" w:sz="4" w:space="0" w:color="auto"/>
              <w:right w:val="single" w:sz="4" w:space="0" w:color="auto"/>
            </w:tcBorders>
            <w:noWrap/>
            <w:vAlign w:val="bottom"/>
          </w:tcPr>
          <w:p w:rsidR="00662946" w:rsidRDefault="00662946">
            <w:pPr>
              <w:spacing w:after="120"/>
              <w:ind w:left="-57" w:right="-57"/>
              <w:jc w:val="center"/>
              <w:rPr>
                <w:rFonts w:hint="cs"/>
                <w:b/>
                <w:bCs/>
              </w:rPr>
            </w:pPr>
            <w:r>
              <w:rPr>
                <w:rFonts w:hint="cs"/>
                <w:b/>
                <w:bCs/>
                <w:rtl/>
              </w:rPr>
              <w:t>النسبة المئوية</w:t>
            </w:r>
          </w:p>
        </w:tc>
      </w:tr>
      <w:tr w:rsidR="00662946">
        <w:trPr>
          <w:cantSplit/>
          <w:trHeight w:val="255"/>
          <w:jc w:val="center"/>
        </w:trPr>
        <w:tc>
          <w:tcPr>
            <w:tcW w:w="1080" w:type="dxa"/>
            <w:vMerge/>
            <w:tcBorders>
              <w:top w:val="nil"/>
              <w:left w:val="single" w:sz="4" w:space="0" w:color="auto"/>
              <w:bottom w:val="single" w:sz="4" w:space="0" w:color="auto"/>
              <w:right w:val="single" w:sz="4" w:space="0" w:color="auto"/>
            </w:tcBorders>
            <w:vAlign w:val="center"/>
          </w:tcPr>
          <w:p w:rsidR="00662946" w:rsidRDefault="00662946">
            <w:pPr>
              <w:spacing w:after="120"/>
              <w:ind w:left="-57" w:right="-57"/>
              <w:jc w:val="both"/>
              <w:rPr>
                <w:b/>
                <w:bCs/>
              </w:rPr>
            </w:pPr>
          </w:p>
        </w:tc>
        <w:tc>
          <w:tcPr>
            <w:tcW w:w="1350" w:type="dxa"/>
            <w:vMerge/>
            <w:tcBorders>
              <w:top w:val="nil"/>
              <w:left w:val="single" w:sz="4" w:space="0" w:color="auto"/>
              <w:bottom w:val="single" w:sz="4" w:space="0" w:color="000000"/>
              <w:right w:val="single" w:sz="4" w:space="0" w:color="auto"/>
            </w:tcBorders>
            <w:vAlign w:val="center"/>
          </w:tcPr>
          <w:p w:rsidR="00662946" w:rsidRDefault="00662946">
            <w:pPr>
              <w:spacing w:after="120"/>
              <w:ind w:left="-57" w:right="-57"/>
              <w:jc w:val="both"/>
              <w:rPr>
                <w:b/>
                <w:bCs/>
              </w:rPr>
            </w:pP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b/>
                <w:bCs/>
              </w:rPr>
            </w:pPr>
            <w:r>
              <w:rPr>
                <w:rFonts w:hint="cs"/>
                <w:b/>
                <w:bCs/>
                <w:rtl/>
              </w:rPr>
              <w:t>ذكور</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b/>
                <w:bCs/>
              </w:rPr>
            </w:pPr>
            <w:r>
              <w:rPr>
                <w:rFonts w:hint="cs"/>
                <w:b/>
                <w:bCs/>
                <w:rtl/>
              </w:rPr>
              <w:t>إناث</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b/>
                <w:bCs/>
              </w:rPr>
            </w:pPr>
            <w:r>
              <w:rPr>
                <w:rFonts w:hint="cs"/>
                <w:b/>
                <w:bCs/>
                <w:rtl/>
              </w:rPr>
              <w:t>ذكور</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b/>
                <w:bCs/>
              </w:rPr>
            </w:pPr>
            <w:r>
              <w:rPr>
                <w:rFonts w:hint="cs"/>
                <w:b/>
                <w:bCs/>
                <w:rtl/>
              </w:rPr>
              <w:t>إناث</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b/>
                <w:bCs/>
              </w:rPr>
            </w:pPr>
            <w:r>
              <w:rPr>
                <w:rFonts w:hint="cs"/>
                <w:b/>
                <w:bCs/>
                <w:rtl/>
              </w:rPr>
              <w:t xml:space="preserve">ذكور </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b/>
                <w:bCs/>
              </w:rPr>
            </w:pPr>
            <w:r>
              <w:rPr>
                <w:rFonts w:hint="cs"/>
                <w:b/>
                <w:bCs/>
                <w:rtl/>
              </w:rPr>
              <w:t>إناث</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b/>
                <w:bCs/>
              </w:rPr>
            </w:pPr>
            <w:r>
              <w:rPr>
                <w:rFonts w:hint="cs"/>
                <w:b/>
                <w:bCs/>
                <w:rtl/>
              </w:rPr>
              <w:t>ذكور وإناث</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b/>
                <w:bCs/>
              </w:rPr>
            </w:pPr>
            <w:r>
              <w:rPr>
                <w:rFonts w:hint="cs"/>
                <w:b/>
                <w:bCs/>
                <w:rtl/>
              </w:rPr>
              <w:t>ذكور</w:t>
            </w:r>
          </w:p>
        </w:tc>
        <w:tc>
          <w:tcPr>
            <w:tcW w:w="716" w:type="dxa"/>
            <w:gridSpan w:val="2"/>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b/>
                <w:bCs/>
              </w:rPr>
            </w:pPr>
            <w:r>
              <w:rPr>
                <w:rFonts w:hint="cs"/>
                <w:b/>
                <w:bCs/>
                <w:rtl/>
              </w:rPr>
              <w:t>إناث</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1983</w:t>
            </w:r>
            <w:r>
              <w:t>/</w:t>
            </w:r>
            <w:r>
              <w:rPr>
                <w:rtl/>
              </w:rPr>
              <w:t>84</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80</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97</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344</w:t>
            </w:r>
          </w:p>
        </w:tc>
        <w:tc>
          <w:tcPr>
            <w:tcW w:w="721"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146</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497</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243</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841</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084</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22</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78</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1984</w:t>
            </w:r>
            <w:r>
              <w:t>/</w:t>
            </w:r>
            <w:r>
              <w:rPr>
                <w:rtl/>
              </w:rPr>
              <w:t>85</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80</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99</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364</w:t>
            </w:r>
          </w:p>
        </w:tc>
        <w:tc>
          <w:tcPr>
            <w:tcW w:w="721"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180</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464</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279</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828</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107</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25</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75</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1985</w:t>
            </w:r>
            <w:r>
              <w:t>/</w:t>
            </w:r>
            <w:r>
              <w:rPr>
                <w:rtl/>
              </w:rPr>
              <w:t>86</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79</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151</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419</w:t>
            </w:r>
          </w:p>
        </w:tc>
        <w:tc>
          <w:tcPr>
            <w:tcW w:w="721"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71</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443</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222</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862</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084</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20</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80</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1986</w:t>
            </w:r>
            <w:r>
              <w:t>/</w:t>
            </w:r>
            <w:r>
              <w:rPr>
                <w:rtl/>
              </w:rPr>
              <w:t>87</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78</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124</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446</w:t>
            </w:r>
          </w:p>
        </w:tc>
        <w:tc>
          <w:tcPr>
            <w:tcW w:w="721"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136</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397</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260</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843</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103</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24</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76</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1987</w:t>
            </w:r>
            <w:r>
              <w:t>/</w:t>
            </w:r>
            <w:r>
              <w:rPr>
                <w:rtl/>
              </w:rPr>
              <w:t>88</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80</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126</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430</w:t>
            </w:r>
          </w:p>
        </w:tc>
        <w:tc>
          <w:tcPr>
            <w:tcW w:w="721"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117</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411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243</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841</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084</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22</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78</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1988</w:t>
            </w:r>
            <w:r>
              <w:t>/</w:t>
            </w:r>
            <w:r>
              <w:rPr>
                <w:rtl/>
              </w:rPr>
              <w:t>89</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81</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120</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455</w:t>
            </w:r>
          </w:p>
        </w:tc>
        <w:tc>
          <w:tcPr>
            <w:tcW w:w="721"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102</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391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222</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846</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068</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21</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79</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1989</w:t>
            </w:r>
            <w:r>
              <w:t>/</w:t>
            </w:r>
            <w:r>
              <w:rPr>
                <w:rtl/>
              </w:rPr>
              <w:t>90</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84</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144</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535</w:t>
            </w:r>
          </w:p>
        </w:tc>
        <w:tc>
          <w:tcPr>
            <w:tcW w:w="721"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82</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351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226</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886</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112</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20</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80</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1990</w:t>
            </w:r>
            <w:r>
              <w:t>/</w:t>
            </w:r>
            <w:r>
              <w:rPr>
                <w:rtl/>
              </w:rPr>
              <w:t>91</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83</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92</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539</w:t>
            </w:r>
          </w:p>
        </w:tc>
        <w:tc>
          <w:tcPr>
            <w:tcW w:w="721"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74</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392</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166</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931</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097</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15</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85</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1991</w:t>
            </w:r>
            <w:r>
              <w:t>/</w:t>
            </w:r>
            <w:r>
              <w:rPr>
                <w:rtl/>
              </w:rPr>
              <w:t>92</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84</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134</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593</w:t>
            </w:r>
          </w:p>
        </w:tc>
        <w:tc>
          <w:tcPr>
            <w:tcW w:w="721"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80</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374</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214</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967</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181</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18</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82</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1992</w:t>
            </w:r>
            <w:r>
              <w:t>/</w:t>
            </w:r>
            <w:r>
              <w:rPr>
                <w:rtl/>
              </w:rPr>
              <w:t>93</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85</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125</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518</w:t>
            </w:r>
          </w:p>
        </w:tc>
        <w:tc>
          <w:tcPr>
            <w:tcW w:w="721"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78</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453</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203</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971</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174</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17</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83</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1993</w:t>
            </w:r>
            <w:r>
              <w:t>/</w:t>
            </w:r>
            <w:r>
              <w:rPr>
                <w:rtl/>
              </w:rPr>
              <w:t>94</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82</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126</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543</w:t>
            </w:r>
          </w:p>
        </w:tc>
        <w:tc>
          <w:tcPr>
            <w:tcW w:w="721"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43</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426</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169</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969</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138</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15</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85</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1994</w:t>
            </w:r>
            <w:r>
              <w:t>/</w:t>
            </w:r>
            <w:r>
              <w:rPr>
                <w:rtl/>
              </w:rPr>
              <w:t>95</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84</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111</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608</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84</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377</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195</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985</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180</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17</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83</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1995</w:t>
            </w:r>
            <w:r>
              <w:t>/</w:t>
            </w:r>
            <w:r>
              <w:rPr>
                <w:rtl/>
              </w:rPr>
              <w:t>96</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86</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114</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576</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81</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368</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195</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944</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139</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17</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83</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1996</w:t>
            </w:r>
            <w:r>
              <w:t>/</w:t>
            </w:r>
            <w:r>
              <w:rPr>
                <w:rtl/>
              </w:rPr>
              <w:t>97</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84</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124</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692</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89</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270</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213</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962</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175</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18</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82</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1997</w:t>
            </w:r>
            <w:r>
              <w:t>/</w:t>
            </w:r>
            <w:r>
              <w:rPr>
                <w:rtl/>
              </w:rPr>
              <w:t>98</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84</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126</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681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94</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267</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220</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948</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168</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19</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81</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1998</w:t>
            </w:r>
            <w:r>
              <w:t>/</w:t>
            </w:r>
            <w:r>
              <w:rPr>
                <w:rtl/>
              </w:rPr>
              <w:t>99</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82</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120</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625</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72</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334</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192</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959</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151</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17</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83</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1999</w:t>
            </w:r>
            <w:r>
              <w:t>/</w:t>
            </w:r>
            <w:r>
              <w:rPr>
                <w:rtl/>
              </w:rPr>
              <w:t>00</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82</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111</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650</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60</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263</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171</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913</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084</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16</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84</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2000</w:t>
            </w:r>
            <w:r>
              <w:t>/</w:t>
            </w:r>
            <w:r>
              <w:rPr>
                <w:rtl/>
              </w:rPr>
              <w:t>01</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82</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116</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643</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64</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229</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180</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872</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052</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17</w:t>
            </w:r>
          </w:p>
        </w:tc>
        <w:tc>
          <w:tcPr>
            <w:tcW w:w="697"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83</w:t>
            </w:r>
          </w:p>
        </w:tc>
      </w:tr>
      <w:tr w:rsidR="00662946">
        <w:trPr>
          <w:gridAfter w:val="1"/>
          <w:wAfter w:w="78" w:type="dxa"/>
          <w:trHeight w:val="255"/>
          <w:jc w:val="center"/>
        </w:trPr>
        <w:tc>
          <w:tcPr>
            <w:tcW w:w="1080" w:type="dxa"/>
            <w:tcBorders>
              <w:top w:val="nil"/>
              <w:left w:val="single" w:sz="4" w:space="0" w:color="auto"/>
              <w:bottom w:val="single" w:sz="4" w:space="0" w:color="auto"/>
              <w:right w:val="single" w:sz="4" w:space="0" w:color="auto"/>
            </w:tcBorders>
            <w:noWrap/>
            <w:vAlign w:val="bottom"/>
          </w:tcPr>
          <w:p w:rsidR="00662946" w:rsidRDefault="00662946">
            <w:pPr>
              <w:spacing w:after="120"/>
              <w:ind w:left="-57" w:right="-57"/>
              <w:jc w:val="both"/>
            </w:pPr>
            <w:r>
              <w:rPr>
                <w:rtl/>
              </w:rPr>
              <w:t>2001</w:t>
            </w:r>
            <w:r>
              <w:t>/</w:t>
            </w:r>
            <w:r>
              <w:rPr>
                <w:rtl/>
              </w:rPr>
              <w:t>02</w:t>
            </w:r>
          </w:p>
        </w:tc>
        <w:tc>
          <w:tcPr>
            <w:tcW w:w="1330" w:type="dxa"/>
            <w:tcBorders>
              <w:top w:val="nil"/>
              <w:left w:val="nil"/>
              <w:bottom w:val="single" w:sz="4" w:space="0" w:color="auto"/>
              <w:right w:val="single" w:sz="4" w:space="0" w:color="auto"/>
            </w:tcBorders>
            <w:noWrap/>
            <w:vAlign w:val="bottom"/>
          </w:tcPr>
          <w:p w:rsidR="00662946" w:rsidRDefault="00662946">
            <w:pPr>
              <w:spacing w:after="120"/>
              <w:ind w:left="-57" w:right="-57"/>
              <w:jc w:val="center"/>
            </w:pPr>
            <w:r>
              <w:rPr>
                <w:rtl/>
              </w:rPr>
              <w:t>82</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120</w:t>
            </w:r>
          </w:p>
        </w:tc>
        <w:tc>
          <w:tcPr>
            <w:tcW w:w="824" w:type="dxa"/>
            <w:tcBorders>
              <w:top w:val="nil"/>
              <w:left w:val="nil"/>
              <w:bottom w:val="single" w:sz="4" w:space="0" w:color="auto"/>
              <w:right w:val="single" w:sz="4" w:space="0" w:color="auto"/>
            </w:tcBorders>
            <w:vAlign w:val="bottom"/>
          </w:tcPr>
          <w:p w:rsidR="00662946" w:rsidRDefault="00662946">
            <w:pPr>
              <w:spacing w:after="120"/>
              <w:ind w:left="-57" w:right="-57"/>
              <w:jc w:val="both"/>
            </w:pPr>
            <w:r>
              <w:rPr>
                <w:rtl/>
              </w:rPr>
              <w:t>706</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50</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186</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170</w:t>
            </w:r>
          </w:p>
        </w:tc>
        <w:tc>
          <w:tcPr>
            <w:tcW w:w="824"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892</w:t>
            </w:r>
          </w:p>
        </w:tc>
        <w:tc>
          <w:tcPr>
            <w:tcW w:w="1236" w:type="dxa"/>
            <w:tcBorders>
              <w:top w:val="nil"/>
              <w:left w:val="nil"/>
              <w:bottom w:val="single" w:sz="4" w:space="0" w:color="auto"/>
              <w:right w:val="single" w:sz="4" w:space="0" w:color="auto"/>
            </w:tcBorders>
            <w:noWrap/>
            <w:vAlign w:val="bottom"/>
          </w:tcPr>
          <w:p w:rsidR="00662946" w:rsidRDefault="00662946">
            <w:pPr>
              <w:spacing w:after="120"/>
              <w:ind w:left="-57" w:right="-57"/>
              <w:jc w:val="both"/>
              <w:rPr>
                <w:rFonts w:hint="cs"/>
              </w:rPr>
            </w:pPr>
            <w:r>
              <w:rPr>
                <w:rtl/>
              </w:rPr>
              <w:t>062</w:t>
            </w:r>
            <w:r>
              <w:rPr>
                <w:rFonts w:hint="cs"/>
                <w:rtl/>
              </w:rPr>
              <w:t xml:space="preserve"> 1</w:t>
            </w:r>
          </w:p>
        </w:tc>
        <w:tc>
          <w:tcPr>
            <w:tcW w:w="721" w:type="dxa"/>
            <w:tcBorders>
              <w:top w:val="nil"/>
              <w:left w:val="nil"/>
              <w:bottom w:val="single" w:sz="4" w:space="0" w:color="auto"/>
              <w:right w:val="single" w:sz="4" w:space="0" w:color="auto"/>
            </w:tcBorders>
            <w:noWrap/>
            <w:vAlign w:val="bottom"/>
          </w:tcPr>
          <w:p w:rsidR="00662946" w:rsidRDefault="00662946">
            <w:pPr>
              <w:spacing w:after="120"/>
              <w:ind w:left="-57" w:right="-57"/>
              <w:jc w:val="both"/>
            </w:pPr>
            <w:r>
              <w:rPr>
                <w:rtl/>
              </w:rPr>
              <w:t>16</w:t>
            </w:r>
          </w:p>
        </w:tc>
        <w:tc>
          <w:tcPr>
            <w:tcW w:w="697" w:type="dxa"/>
            <w:tcBorders>
              <w:top w:val="single" w:sz="4" w:space="0" w:color="auto"/>
              <w:left w:val="nil"/>
              <w:bottom w:val="single" w:sz="4" w:space="0" w:color="auto"/>
              <w:right w:val="single" w:sz="4" w:space="0" w:color="auto"/>
            </w:tcBorders>
            <w:noWrap/>
            <w:vAlign w:val="bottom"/>
          </w:tcPr>
          <w:p w:rsidR="00662946" w:rsidRDefault="00662946">
            <w:pPr>
              <w:spacing w:after="120"/>
              <w:ind w:left="-57" w:right="-57"/>
              <w:jc w:val="both"/>
            </w:pPr>
            <w:r>
              <w:rPr>
                <w:rtl/>
              </w:rPr>
              <w:t>84</w:t>
            </w:r>
          </w:p>
        </w:tc>
      </w:tr>
      <w:tr w:rsidR="00662946">
        <w:trPr>
          <w:gridAfter w:val="1"/>
          <w:wAfter w:w="78" w:type="dxa"/>
          <w:trHeight w:val="255"/>
          <w:jc w:val="center"/>
        </w:trPr>
        <w:tc>
          <w:tcPr>
            <w:tcW w:w="9802" w:type="dxa"/>
            <w:gridSpan w:val="11"/>
            <w:tcBorders>
              <w:top w:val="single" w:sz="4" w:space="0" w:color="auto"/>
              <w:left w:val="single" w:sz="4" w:space="0" w:color="auto"/>
              <w:bottom w:val="single" w:sz="4" w:space="0" w:color="auto"/>
              <w:right w:val="single" w:sz="4" w:space="0" w:color="auto"/>
            </w:tcBorders>
            <w:noWrap/>
            <w:vAlign w:val="bottom"/>
          </w:tcPr>
          <w:p w:rsidR="00662946" w:rsidRDefault="00662946">
            <w:pPr>
              <w:spacing w:after="120"/>
              <w:ind w:left="-57" w:right="-57"/>
              <w:jc w:val="both"/>
              <w:rPr>
                <w:rFonts w:hint="cs"/>
              </w:rPr>
            </w:pPr>
            <w:r>
              <w:rPr>
                <w:rFonts w:hint="cs"/>
                <w:rtl/>
              </w:rPr>
              <w:t>المصدر: وزارة التعليم.</w:t>
            </w:r>
          </w:p>
        </w:tc>
      </w:tr>
    </w:tbl>
    <w:p w:rsidR="00662946" w:rsidRDefault="00662946">
      <w:pPr>
        <w:pStyle w:val="SingleTxt"/>
        <w:tabs>
          <w:tab w:val="left" w:pos="374"/>
        </w:tabs>
        <w:ind w:left="1264" w:right="1264"/>
        <w:jc w:val="both"/>
        <w:rPr>
          <w:rFonts w:hint="cs"/>
          <w:rtl/>
          <w:lang w:bidi="ar-EG"/>
        </w:rPr>
      </w:pPr>
    </w:p>
    <w:p w:rsidR="00662946" w:rsidRDefault="00662946">
      <w:pPr>
        <w:pStyle w:val="SingleTxt"/>
        <w:tabs>
          <w:tab w:val="left" w:pos="374"/>
        </w:tabs>
        <w:ind w:left="1264" w:right="1264"/>
        <w:jc w:val="both"/>
        <w:rPr>
          <w:rFonts w:hint="cs"/>
          <w:rtl/>
          <w:lang w:bidi="ar-EG"/>
        </w:rPr>
      </w:pPr>
    </w:p>
    <w:sectPr w:rsidR="0066294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707F3" w:rsidRDefault="000707F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NO&gt;&gt;N0552110A&lt;&lt;ODS JOB NO&gt;&gt;</w:t>
      </w:r>
    </w:p>
    <w:p w:rsidR="000707F3" w:rsidRDefault="000707F3">
      <w:pPr>
        <w:pStyle w:val="CommentText"/>
      </w:pPr>
      <w:r>
        <w:t>&lt;&lt;ODS DOC SYMBOL1&gt;&gt;CEDAW/C/LCA/1-6&lt;&lt;ODS DOC SYMBOL1&gt;&gt;</w:t>
      </w:r>
    </w:p>
    <w:p w:rsidR="000707F3" w:rsidRDefault="000707F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7F3" w:rsidRDefault="000707F3">
      <w:pPr>
        <w:jc w:val="both"/>
      </w:pPr>
      <w:r>
        <w:separator/>
      </w:r>
    </w:p>
  </w:endnote>
  <w:endnote w:type="continuationSeparator" w:id="0">
    <w:p w:rsidR="000707F3" w:rsidRDefault="000707F3">
      <w:pPr>
        <w:jc w:val="bot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07F3">
      <w:tblPrEx>
        <w:tblCellMar>
          <w:top w:w="0" w:type="dxa"/>
          <w:bottom w:w="0" w:type="dxa"/>
        </w:tblCellMar>
      </w:tblPrEx>
      <w:tc>
        <w:tcPr>
          <w:tcW w:w="5033" w:type="dxa"/>
        </w:tcPr>
        <w:p w:rsidR="000707F3" w:rsidRDefault="000707F3">
          <w:pPr>
            <w:pStyle w:val="Footer"/>
            <w:jc w:val="right"/>
            <w:rPr>
              <w:w w:val="103"/>
            </w:rPr>
          </w:pPr>
          <w:r>
            <w:rPr>
              <w:w w:val="103"/>
            </w:rPr>
            <w:fldChar w:fldCharType="begin"/>
          </w:r>
          <w:r>
            <w:rPr>
              <w:w w:val="103"/>
            </w:rPr>
            <w:instrText xml:space="preserve"> PAGE  \* MERGEFORMAT </w:instrText>
          </w:r>
          <w:r>
            <w:rPr>
              <w:w w:val="103"/>
            </w:rPr>
            <w:fldChar w:fldCharType="separate"/>
          </w:r>
          <w:r w:rsidR="00132394">
            <w:rPr>
              <w:w w:val="103"/>
            </w:rPr>
            <w:t>2</w:t>
          </w:r>
          <w:r>
            <w:rPr>
              <w:w w:val="103"/>
            </w:rPr>
            <w:fldChar w:fldCharType="end"/>
          </w:r>
        </w:p>
      </w:tc>
      <w:tc>
        <w:tcPr>
          <w:tcW w:w="5033" w:type="dxa"/>
        </w:tcPr>
        <w:p w:rsidR="000707F3" w:rsidRDefault="000707F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05-52110</w:t>
          </w:r>
          <w:r>
            <w:rPr>
              <w:b w:val="0"/>
              <w:w w:val="103"/>
            </w:rPr>
            <w:fldChar w:fldCharType="end"/>
          </w:r>
        </w:p>
      </w:tc>
    </w:tr>
  </w:tbl>
  <w:p w:rsidR="000707F3" w:rsidRDefault="000707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07F3">
      <w:tblPrEx>
        <w:tblCellMar>
          <w:top w:w="0" w:type="dxa"/>
          <w:bottom w:w="0" w:type="dxa"/>
        </w:tblCellMar>
      </w:tblPrEx>
      <w:tc>
        <w:tcPr>
          <w:tcW w:w="5033" w:type="dxa"/>
        </w:tcPr>
        <w:p w:rsidR="000707F3" w:rsidRDefault="000707F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05-52110</w:t>
          </w:r>
          <w:r>
            <w:rPr>
              <w:b w:val="0"/>
              <w:w w:val="103"/>
            </w:rPr>
            <w:fldChar w:fldCharType="end"/>
          </w:r>
        </w:p>
      </w:tc>
      <w:tc>
        <w:tcPr>
          <w:tcW w:w="5033" w:type="dxa"/>
        </w:tcPr>
        <w:p w:rsidR="000707F3" w:rsidRDefault="000707F3">
          <w:pPr>
            <w:pStyle w:val="Footer"/>
            <w:rPr>
              <w:w w:val="103"/>
            </w:rPr>
          </w:pPr>
          <w:r>
            <w:rPr>
              <w:w w:val="103"/>
            </w:rPr>
            <w:fldChar w:fldCharType="begin"/>
          </w:r>
          <w:r>
            <w:rPr>
              <w:w w:val="103"/>
            </w:rPr>
            <w:instrText xml:space="preserve"> PAGE  \* MERGEFORMAT </w:instrText>
          </w:r>
          <w:r>
            <w:rPr>
              <w:w w:val="103"/>
            </w:rPr>
            <w:fldChar w:fldCharType="separate"/>
          </w:r>
          <w:r w:rsidR="00132394">
            <w:rPr>
              <w:w w:val="103"/>
            </w:rPr>
            <w:t>3</w:t>
          </w:r>
          <w:r>
            <w:rPr>
              <w:w w:val="103"/>
            </w:rPr>
            <w:fldChar w:fldCharType="end"/>
          </w:r>
        </w:p>
      </w:tc>
    </w:tr>
  </w:tbl>
  <w:p w:rsidR="000707F3" w:rsidRDefault="000707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7F3" w:rsidRDefault="000707F3">
    <w:pPr>
      <w:pStyle w:val="Footer"/>
    </w:pPr>
  </w:p>
  <w:p w:rsidR="000707F3" w:rsidRDefault="000707F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05-52110 (A)</w:t>
    </w:r>
    <w:r>
      <w:rPr>
        <w:rFonts w:cs="Times New Roman"/>
        <w:b w:val="0"/>
        <w:w w:val="103"/>
        <w:sz w:val="20"/>
      </w:rPr>
      <w:fldChar w:fldCharType="end"/>
    </w:r>
  </w:p>
  <w:p w:rsidR="000707F3" w:rsidRDefault="000707F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*0552110*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7F3" w:rsidRDefault="000707F3">
      <w:pPr>
        <w:jc w:val="both"/>
      </w:pPr>
      <w:r>
        <w:separator/>
      </w:r>
    </w:p>
  </w:footnote>
  <w:footnote w:type="continuationSeparator" w:id="0">
    <w:p w:rsidR="000707F3" w:rsidRDefault="000707F3">
      <w:pPr>
        <w:jc w:val="both"/>
      </w:pPr>
      <w:r>
        <w:continuationSeparator/>
      </w:r>
    </w:p>
  </w:footnote>
  <w:footnote w:id="1">
    <w:p w:rsidR="000707F3" w:rsidRDefault="000707F3">
      <w:pPr>
        <w:pStyle w:val="FootnoteText"/>
        <w:rPr>
          <w:rFonts w:hint="cs"/>
          <w:rtl/>
        </w:rPr>
      </w:pPr>
      <w:r>
        <w:rPr>
          <w:rFonts w:hint="cs"/>
          <w:rtl/>
        </w:rPr>
        <w:tab/>
      </w:r>
      <w:r>
        <w:rPr>
          <w:rFonts w:hint="cs"/>
          <w:rtl/>
        </w:rPr>
        <w:tab/>
      </w:r>
      <w:r>
        <w:rPr>
          <w:rStyle w:val="FootnoteReference"/>
          <w:rtl/>
        </w:rPr>
        <w:t>(1)</w:t>
      </w:r>
      <w:r>
        <w:rPr>
          <w:rtl/>
        </w:rPr>
        <w:t xml:space="preserve"> </w:t>
      </w:r>
      <w:r>
        <w:rPr>
          <w:rFonts w:hint="cs"/>
          <w:rtl/>
        </w:rPr>
        <w:tab/>
        <w:t xml:space="preserve">الأسس المشار إليها في البند الفرعي (1) هي </w:t>
      </w:r>
      <w:r>
        <w:rPr>
          <w:rtl/>
        </w:rPr>
        <w:t>–</w:t>
      </w:r>
    </w:p>
    <w:p w:rsidR="000707F3" w:rsidRDefault="000707F3">
      <w:pPr>
        <w:pStyle w:val="FootnoteText"/>
        <w:rPr>
          <w:rFonts w:hint="cs"/>
          <w:rtl/>
        </w:rPr>
      </w:pPr>
      <w:r>
        <w:rPr>
          <w:rFonts w:hint="cs"/>
          <w:rtl/>
        </w:rPr>
        <w:tab/>
      </w:r>
      <w:r>
        <w:rPr>
          <w:rFonts w:hint="cs"/>
          <w:rtl/>
        </w:rPr>
        <w:tab/>
      </w:r>
      <w:r>
        <w:rPr>
          <w:rFonts w:hint="cs"/>
          <w:rtl/>
        </w:rPr>
        <w:tab/>
      </w:r>
      <w:r>
        <w:rPr>
          <w:rFonts w:hint="cs"/>
          <w:rtl/>
        </w:rPr>
        <w:tab/>
        <w:t>(أ)</w:t>
      </w:r>
      <w:r>
        <w:rPr>
          <w:rFonts w:hint="cs"/>
          <w:rtl/>
        </w:rPr>
        <w:tab/>
        <w:t xml:space="preserve">العرق أو الجنس أو الدِين أو اللون أو الأصل الإثني أو المسؤوليات الأسرية أو الحمل أو الحالة الاجتماعية أو </w:t>
      </w:r>
      <w:r>
        <w:rPr>
          <w:rFonts w:hint="cs"/>
          <w:rtl/>
        </w:rPr>
        <w:tab/>
      </w:r>
      <w:r>
        <w:rPr>
          <w:rFonts w:hint="cs"/>
          <w:rtl/>
        </w:rPr>
        <w:tab/>
      </w:r>
      <w:r>
        <w:rPr>
          <w:rFonts w:hint="cs"/>
          <w:rtl/>
        </w:rPr>
        <w:tab/>
        <w:t xml:space="preserve">السِن إلا لأغراض التقاعد والقيود المفروضة على عمل وتوظيف القُصَّر أو لحماية القُصَّر؛ أو </w:t>
      </w:r>
    </w:p>
    <w:p w:rsidR="000707F3" w:rsidRDefault="000707F3">
      <w:pPr>
        <w:pStyle w:val="FootnoteText"/>
        <w:rPr>
          <w:rFonts w:hint="cs"/>
          <w:lang w:bidi="ar-EG"/>
        </w:rPr>
      </w:pPr>
      <w:r>
        <w:rPr>
          <w:rFonts w:hint="cs"/>
          <w:rtl/>
        </w:rPr>
        <w:tab/>
      </w:r>
      <w:r>
        <w:rPr>
          <w:rFonts w:hint="cs"/>
          <w:rtl/>
        </w:rPr>
        <w:tab/>
      </w:r>
      <w:r>
        <w:rPr>
          <w:rFonts w:hint="cs"/>
          <w:rtl/>
        </w:rPr>
        <w:tab/>
      </w:r>
      <w:r>
        <w:rPr>
          <w:rFonts w:hint="cs"/>
          <w:rtl/>
        </w:rPr>
        <w:tab/>
        <w:t>(ب)</w:t>
      </w:r>
      <w:r>
        <w:rPr>
          <w:rFonts w:hint="cs"/>
          <w:rtl/>
        </w:rPr>
        <w:tab/>
        <w:t xml:space="preserve">أي خاصية تتعلق أو تعزى عموماً لأشخاص من عرق أو جنس أو دِين أو لون أو أصل إثني أو أصل </w:t>
      </w:r>
      <w:r>
        <w:rPr>
          <w:rFonts w:hint="cs"/>
          <w:rtl/>
        </w:rPr>
        <w:tab/>
      </w:r>
      <w:r>
        <w:rPr>
          <w:rFonts w:hint="cs"/>
          <w:rtl/>
        </w:rPr>
        <w:tab/>
      </w:r>
      <w:r>
        <w:rPr>
          <w:rFonts w:hint="cs"/>
          <w:rtl/>
        </w:rPr>
        <w:tab/>
        <w:t xml:space="preserve">اجتماعي أو آراء سياسية أو إعاقة أو مسؤوليات أسرية أو حالة حمل أو حالة اجتماعية أو سِن إلا لأغراض </w:t>
      </w:r>
      <w:r>
        <w:rPr>
          <w:rFonts w:hint="cs"/>
          <w:rtl/>
        </w:rPr>
        <w:tab/>
      </w:r>
      <w:r>
        <w:rPr>
          <w:rFonts w:hint="cs"/>
          <w:rtl/>
        </w:rPr>
        <w:tab/>
      </w:r>
      <w:r>
        <w:rPr>
          <w:rFonts w:hint="cs"/>
          <w:rtl/>
        </w:rPr>
        <w:tab/>
        <w:t>التقاعد والقيود المفروضة على عمل وتوظيف القُصَّر أو لحماية القُصَّر.</w:t>
      </w:r>
    </w:p>
  </w:footnote>
  <w:footnote w:id="2">
    <w:p w:rsidR="000707F3" w:rsidRDefault="000707F3">
      <w:pPr>
        <w:pStyle w:val="FootnoteText"/>
        <w:rPr>
          <w:rFonts w:hint="cs"/>
          <w:rtl/>
        </w:rPr>
      </w:pPr>
      <w:r>
        <w:rPr>
          <w:rFonts w:hint="cs"/>
          <w:rtl/>
        </w:rPr>
        <w:tab/>
      </w:r>
      <w:r>
        <w:rPr>
          <w:rFonts w:hint="cs"/>
          <w:rtl/>
        </w:rPr>
        <w:tab/>
      </w:r>
      <w:r>
        <w:rPr>
          <w:rStyle w:val="FootnoteReference"/>
          <w:rtl/>
        </w:rPr>
        <w:t>(2)</w:t>
      </w:r>
      <w:r>
        <w:rPr>
          <w:rtl/>
        </w:rPr>
        <w:t xml:space="preserve"> </w:t>
      </w:r>
      <w:r>
        <w:rPr>
          <w:rFonts w:hint="cs"/>
          <w:rtl/>
        </w:rPr>
        <w:tab/>
        <w:t>(1)</w:t>
      </w:r>
      <w:r>
        <w:rPr>
          <w:rFonts w:hint="cs"/>
          <w:rtl/>
        </w:rPr>
        <w:tab/>
        <w:t xml:space="preserve">ينطبق هذا القانون على جميع الموظفين وأصحاب العمل في القطاعين العام والخاص الذين توجد بينهم علاقة </w:t>
      </w:r>
      <w:r>
        <w:rPr>
          <w:rFonts w:hint="cs"/>
          <w:rtl/>
        </w:rPr>
        <w:tab/>
      </w:r>
      <w:r>
        <w:rPr>
          <w:rFonts w:hint="cs"/>
          <w:rtl/>
        </w:rPr>
        <w:tab/>
      </w:r>
      <w:r>
        <w:rPr>
          <w:rFonts w:hint="cs"/>
          <w:rtl/>
        </w:rPr>
        <w:tab/>
        <w:t>عمل.</w:t>
      </w:r>
    </w:p>
    <w:p w:rsidR="000707F3" w:rsidRDefault="000707F3">
      <w:pPr>
        <w:pStyle w:val="FootnoteText"/>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(2)</w:t>
      </w:r>
      <w:r>
        <w:rPr>
          <w:rFonts w:hint="cs"/>
          <w:rtl/>
          <w:lang w:bidi="ar-EG"/>
        </w:rPr>
        <w:tab/>
        <w:t>يحظر على أي فرد يكون صاحب عمل أو أي شخص يتصرف أو يزعم أنه يتصرف بالنيابة عن</w:t>
      </w:r>
      <w:r>
        <w:rPr>
          <w:rFonts w:hint="cs"/>
          <w:rtl/>
          <w:lang w:bidi="ar-EG"/>
        </w:rPr>
        <w:tab/>
      </w:r>
      <w:r>
        <w:rPr>
          <w:rFonts w:hint="cs"/>
          <w:rtl/>
          <w:lang w:bidi="ar-EG"/>
        </w:rPr>
        <w:tab/>
      </w:r>
      <w:r>
        <w:rPr>
          <w:rFonts w:hint="cs"/>
          <w:rtl/>
          <w:lang w:bidi="ar-EG"/>
        </w:rPr>
        <w:tab/>
        <w:t xml:space="preserve">صاحب عمل أن يقوم فيما يتعلق بتوظيف أو اختيار أو استخدام أي شخص آخر لأغراض التدريب أو </w:t>
      </w:r>
      <w:r>
        <w:rPr>
          <w:rFonts w:hint="cs"/>
          <w:rtl/>
          <w:lang w:bidi="ar-EG"/>
        </w:rPr>
        <w:tab/>
      </w:r>
      <w:r>
        <w:rPr>
          <w:rFonts w:hint="cs"/>
          <w:rtl/>
          <w:lang w:bidi="ar-EG"/>
        </w:rPr>
        <w:tab/>
      </w:r>
      <w:r>
        <w:rPr>
          <w:rFonts w:hint="cs"/>
          <w:rtl/>
          <w:lang w:bidi="ar-EG"/>
        </w:rPr>
        <w:tab/>
        <w:t xml:space="preserve">التلمذة الصناعية أو التوظيف بالتمييز ضد ذلك الشخص على الأسس المحددة في البند 3 (2) </w:t>
      </w:r>
      <w:r>
        <w:rPr>
          <w:rtl/>
          <w:lang w:bidi="ar-EG"/>
        </w:rPr>
        <w:t>–</w:t>
      </w:r>
    </w:p>
    <w:p w:rsidR="000707F3" w:rsidRDefault="000707F3">
      <w:pPr>
        <w:pStyle w:val="FootnoteText"/>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(أ)</w:t>
      </w:r>
      <w:r>
        <w:rPr>
          <w:rFonts w:hint="cs"/>
          <w:rtl/>
          <w:lang w:bidi="ar-EG"/>
        </w:rPr>
        <w:tab/>
        <w:t>في الإعلان عن الوظيفة؛</w:t>
      </w:r>
    </w:p>
    <w:p w:rsidR="000707F3" w:rsidRDefault="000707F3">
      <w:pPr>
        <w:pStyle w:val="FootnoteText"/>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(ب)</w:t>
      </w:r>
      <w:r>
        <w:rPr>
          <w:rFonts w:hint="cs"/>
          <w:rtl/>
          <w:lang w:bidi="ar-EG"/>
        </w:rPr>
        <w:tab/>
        <w:t>في الترتيبات المتخذة بغرض تحديد الشخص الذي سيعرض عليه هذا التوظيف؛</w:t>
      </w:r>
    </w:p>
    <w:p w:rsidR="000707F3" w:rsidRDefault="000707F3">
      <w:pPr>
        <w:pStyle w:val="FootnoteText"/>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(ج)</w:t>
      </w:r>
      <w:r>
        <w:rPr>
          <w:rFonts w:hint="cs"/>
          <w:rtl/>
          <w:lang w:bidi="ar-EG"/>
        </w:rPr>
        <w:tab/>
        <w:t>في تحديد الشخص الذي سيعرض عليه التوظيف؛</w:t>
      </w:r>
    </w:p>
    <w:p w:rsidR="000707F3" w:rsidRDefault="000707F3">
      <w:pPr>
        <w:pStyle w:val="FootnoteText"/>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(د)</w:t>
      </w:r>
      <w:r>
        <w:rPr>
          <w:rFonts w:hint="cs"/>
          <w:rtl/>
          <w:lang w:bidi="ar-EG"/>
        </w:rPr>
        <w:tab/>
        <w:t>في الأحكام أو الشروط التي ستعرض الوظيفة على أساسها؛</w:t>
      </w:r>
    </w:p>
    <w:p w:rsidR="000707F3" w:rsidRDefault="000707F3">
      <w:pPr>
        <w:pStyle w:val="FootnoteText"/>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(هـ)</w:t>
      </w:r>
      <w:r>
        <w:rPr>
          <w:rFonts w:hint="cs"/>
          <w:rtl/>
          <w:lang w:bidi="ar-EG"/>
        </w:rPr>
        <w:tab/>
        <w:t>في إنشاء أو تصنيف أو إلغاء الوظائف؛</w:t>
      </w:r>
    </w:p>
    <w:p w:rsidR="000707F3" w:rsidRDefault="000707F3">
      <w:pPr>
        <w:pStyle w:val="FootnoteText"/>
        <w:rPr>
          <w:rFonts w:hint="cs"/>
          <w:rtl/>
          <w:lang w:bidi="ar-EG"/>
        </w:rPr>
      </w:pPr>
      <w:r>
        <w:rPr>
          <w:rFonts w:hint="cs"/>
          <w:rtl/>
          <w:lang w:bidi="ar-EG"/>
        </w:rPr>
        <w:tab/>
      </w:r>
      <w:r>
        <w:rPr>
          <w:rFonts w:hint="cs"/>
          <w:rtl/>
          <w:lang w:bidi="ar-EG"/>
        </w:rPr>
        <w:tab/>
        <w:t>(3)</w:t>
      </w:r>
      <w:r>
        <w:rPr>
          <w:rFonts w:hint="cs"/>
          <w:rtl/>
          <w:lang w:bidi="ar-EG"/>
        </w:rPr>
        <w:tab/>
        <w:t xml:space="preserve">يحظر على أي صاحب عمل أن يميِّز ضد أي موظف على الأسس المحدَّدة في البند (3) (2) </w:t>
      </w:r>
      <w:r>
        <w:rPr>
          <w:rtl/>
          <w:lang w:bidi="ar-EG"/>
        </w:rPr>
        <w:t>–</w:t>
      </w:r>
    </w:p>
    <w:p w:rsidR="000707F3" w:rsidRDefault="000707F3">
      <w:pPr>
        <w:pStyle w:val="FootnoteText"/>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(أ)</w:t>
      </w:r>
      <w:r>
        <w:rPr>
          <w:rFonts w:hint="cs"/>
          <w:rtl/>
          <w:lang w:bidi="ar-EG"/>
        </w:rPr>
        <w:tab/>
        <w:t>في الأحكام والشروط المتعلقة بالتوظيف المعروض على ذلك الموظف من جانب صاحب العمل؛</w:t>
      </w:r>
    </w:p>
    <w:p w:rsidR="000707F3" w:rsidRDefault="000707F3">
      <w:pPr>
        <w:pStyle w:val="FootnoteText"/>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(ب)</w:t>
      </w:r>
      <w:r>
        <w:rPr>
          <w:rFonts w:hint="cs"/>
          <w:rtl/>
          <w:lang w:bidi="ar-EG"/>
        </w:rPr>
        <w:tab/>
        <w:t>في شروط العمل أو السلامة المهنية أو التدابير الصحية أو تدابير الصحة والسلامة المهنية؛</w:t>
      </w:r>
    </w:p>
    <w:p w:rsidR="000707F3" w:rsidRDefault="000707F3">
      <w:pPr>
        <w:pStyle w:val="FootnoteText"/>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(ج)</w:t>
      </w:r>
      <w:r>
        <w:rPr>
          <w:rFonts w:hint="cs"/>
          <w:rtl/>
          <w:lang w:bidi="ar-EG"/>
        </w:rPr>
        <w:tab/>
        <w:t>في تقييم التسهيلات المتعلقة بالتوظيف؛</w:t>
      </w:r>
    </w:p>
    <w:p w:rsidR="000707F3" w:rsidRDefault="000707F3">
      <w:pPr>
        <w:pStyle w:val="FootnoteText"/>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(د)</w:t>
      </w:r>
      <w:r>
        <w:rPr>
          <w:rFonts w:hint="cs"/>
          <w:rtl/>
          <w:lang w:bidi="ar-EG"/>
        </w:rPr>
        <w:tab/>
        <w:t xml:space="preserve">الحرمان أو الحدّ من الحصول على فرص التقدُّم أو الترقي أو النقل أو التدريب أو أي فائدة أو مزية أو خدمة </w:t>
      </w:r>
      <w:r>
        <w:rPr>
          <w:rFonts w:hint="cs"/>
          <w:rtl/>
          <w:lang w:bidi="ar-EG"/>
        </w:rPr>
        <w:tab/>
      </w:r>
      <w:r>
        <w:rPr>
          <w:rFonts w:hint="cs"/>
          <w:rtl/>
          <w:lang w:bidi="ar-EG"/>
        </w:rPr>
        <w:tab/>
      </w:r>
      <w:r>
        <w:rPr>
          <w:rFonts w:hint="cs"/>
          <w:rtl/>
          <w:lang w:bidi="ar-EG"/>
        </w:rPr>
        <w:tab/>
        <w:t>أخرى مرتبطة بالتوظيف؛</w:t>
      </w:r>
    </w:p>
    <w:p w:rsidR="000707F3" w:rsidRDefault="000707F3">
      <w:pPr>
        <w:pStyle w:val="FootnoteText"/>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t>(هـ)</w:t>
      </w:r>
      <w:r>
        <w:rPr>
          <w:rFonts w:hint="cs"/>
          <w:rtl/>
          <w:lang w:bidi="ar-EG"/>
        </w:rPr>
        <w:tab/>
        <w:t>برفد الموظف أو إلغاء وظيفته؛</w:t>
      </w:r>
    </w:p>
    <w:p w:rsidR="000707F3" w:rsidRDefault="000707F3">
      <w:pPr>
        <w:pStyle w:val="FootnoteText"/>
        <w:rPr>
          <w:rFonts w:hint="cs"/>
          <w:lang w:bidi="ar-EG"/>
        </w:rPr>
      </w:pPr>
      <w:r>
        <w:rPr>
          <w:rFonts w:hint="cs"/>
          <w:rtl/>
          <w:lang w:bidi="ar-EG"/>
        </w:rPr>
        <w:tab/>
      </w:r>
      <w:r>
        <w:rPr>
          <w:rFonts w:hint="cs"/>
          <w:rtl/>
          <w:lang w:bidi="ar-EG"/>
        </w:rPr>
        <w:tab/>
      </w:r>
      <w:r>
        <w:rPr>
          <w:rFonts w:hint="cs"/>
          <w:rtl/>
          <w:lang w:bidi="ar-EG"/>
        </w:rPr>
        <w:tab/>
      </w:r>
      <w:r>
        <w:rPr>
          <w:rFonts w:hint="cs"/>
          <w:rtl/>
          <w:lang w:bidi="ar-EG"/>
        </w:rPr>
        <w:tab/>
        <w:t>(و)</w:t>
      </w:r>
      <w:r>
        <w:rPr>
          <w:rFonts w:hint="cs"/>
          <w:rtl/>
          <w:lang w:bidi="ar-EG"/>
        </w:rPr>
        <w:tab/>
        <w:t>بتعريض الموظف لأي عيب آخر.</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707F3">
      <w:tblPrEx>
        <w:tblCellMar>
          <w:top w:w="0" w:type="dxa"/>
          <w:bottom w:w="0" w:type="dxa"/>
        </w:tblCellMar>
      </w:tblPrEx>
      <w:trPr>
        <w:trHeight w:hRule="exact" w:val="864"/>
        <w:jc w:val="center"/>
      </w:trPr>
      <w:tc>
        <w:tcPr>
          <w:tcW w:w="5033" w:type="dxa"/>
          <w:vAlign w:val="bottom"/>
        </w:tcPr>
        <w:p w:rsidR="000707F3" w:rsidRDefault="000707F3">
          <w:pPr>
            <w:pStyle w:val="Header"/>
            <w:bidi/>
            <w:jc w:val="right"/>
          </w:pPr>
        </w:p>
      </w:tc>
      <w:tc>
        <w:tcPr>
          <w:tcW w:w="5033" w:type="dxa"/>
          <w:vAlign w:val="bottom"/>
        </w:tcPr>
        <w:p w:rsidR="000707F3" w:rsidRDefault="000707F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CEDAW/C/LCA/1-6</w:t>
          </w:r>
          <w:r>
            <w:rPr>
              <w:w w:val="103"/>
            </w:rPr>
            <w:fldChar w:fldCharType="end"/>
          </w:r>
        </w:p>
      </w:tc>
    </w:tr>
  </w:tbl>
  <w:p w:rsidR="000707F3" w:rsidRDefault="000707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707F3">
      <w:tblPrEx>
        <w:tblCellMar>
          <w:top w:w="0" w:type="dxa"/>
          <w:bottom w:w="0" w:type="dxa"/>
        </w:tblCellMar>
      </w:tblPrEx>
      <w:trPr>
        <w:trHeight w:hRule="exact" w:val="864"/>
        <w:jc w:val="center"/>
      </w:trPr>
      <w:tc>
        <w:tcPr>
          <w:tcW w:w="5033" w:type="dxa"/>
          <w:vAlign w:val="bottom"/>
        </w:tcPr>
        <w:p w:rsidR="000707F3" w:rsidRDefault="000707F3">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CEDAW/C/LCA/1-6</w:t>
          </w:r>
          <w:r>
            <w:rPr>
              <w:w w:val="103"/>
              <w:rtl/>
            </w:rPr>
            <w:fldChar w:fldCharType="end"/>
          </w:r>
        </w:p>
      </w:tc>
      <w:tc>
        <w:tcPr>
          <w:tcW w:w="5033" w:type="dxa"/>
          <w:vAlign w:val="bottom"/>
        </w:tcPr>
        <w:p w:rsidR="000707F3" w:rsidRDefault="000707F3">
          <w:pPr>
            <w:pStyle w:val="Header"/>
          </w:pPr>
        </w:p>
      </w:tc>
    </w:tr>
  </w:tbl>
  <w:p w:rsidR="000707F3" w:rsidRDefault="000707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944"/>
      <w:gridCol w:w="1313"/>
      <w:gridCol w:w="2526"/>
      <w:gridCol w:w="185"/>
      <w:gridCol w:w="4602"/>
      <w:gridCol w:w="284"/>
    </w:tblGrid>
    <w:tr w:rsidR="000707F3">
      <w:tblPrEx>
        <w:tblCellMar>
          <w:top w:w="0" w:type="dxa"/>
          <w:bottom w:w="0" w:type="dxa"/>
        </w:tblCellMar>
      </w:tblPrEx>
      <w:trPr>
        <w:gridAfter w:val="1"/>
        <w:wAfter w:w="386" w:type="dxa"/>
        <w:trHeight w:hRule="exact" w:val="864"/>
      </w:trPr>
      <w:tc>
        <w:tcPr>
          <w:tcW w:w="1282" w:type="dxa"/>
          <w:tcBorders>
            <w:bottom w:val="single" w:sz="4" w:space="0" w:color="auto"/>
          </w:tcBorders>
          <w:vAlign w:val="bottom"/>
        </w:tcPr>
        <w:p w:rsidR="000707F3" w:rsidRDefault="000707F3">
          <w:pPr>
            <w:pStyle w:val="Header"/>
            <w:spacing w:after="120"/>
          </w:pPr>
        </w:p>
      </w:tc>
      <w:tc>
        <w:tcPr>
          <w:tcW w:w="1786" w:type="dxa"/>
          <w:tcBorders>
            <w:bottom w:val="single" w:sz="4" w:space="0" w:color="auto"/>
          </w:tcBorders>
          <w:vAlign w:val="bottom"/>
        </w:tcPr>
        <w:p w:rsidR="000707F3" w:rsidRDefault="000707F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rsidR="000707F3" w:rsidRDefault="000707F3">
          <w:pPr>
            <w:pStyle w:val="Header"/>
            <w:spacing w:after="120"/>
          </w:pPr>
        </w:p>
      </w:tc>
      <w:tc>
        <w:tcPr>
          <w:tcW w:w="6523" w:type="dxa"/>
          <w:gridSpan w:val="2"/>
          <w:tcBorders>
            <w:bottom w:val="single" w:sz="4" w:space="0" w:color="auto"/>
          </w:tcBorders>
          <w:vAlign w:val="bottom"/>
        </w:tcPr>
        <w:p w:rsidR="000707F3" w:rsidRDefault="000707F3">
          <w:pPr>
            <w:spacing w:line="380" w:lineRule="exact"/>
            <w:jc w:val="right"/>
          </w:pPr>
          <w:r>
            <w:rPr>
              <w:sz w:val="40"/>
            </w:rPr>
            <w:t>CEDAW</w:t>
          </w:r>
          <w:r>
            <w:t>/C/LCA/1-6</w:t>
          </w:r>
        </w:p>
      </w:tc>
    </w:tr>
    <w:tr w:rsidR="000707F3">
      <w:tblPrEx>
        <w:tblCellMar>
          <w:top w:w="0" w:type="dxa"/>
          <w:bottom w:w="0" w:type="dxa"/>
        </w:tblCellMar>
      </w:tblPrEx>
      <w:trPr>
        <w:trHeight w:hRule="exact" w:val="2880"/>
      </w:trPr>
      <w:tc>
        <w:tcPr>
          <w:tcW w:w="1282" w:type="dxa"/>
          <w:tcBorders>
            <w:top w:val="single" w:sz="4" w:space="0" w:color="auto"/>
            <w:bottom w:val="single" w:sz="12" w:space="0" w:color="auto"/>
          </w:tcBorders>
        </w:tcPr>
        <w:p w:rsidR="000707F3" w:rsidRDefault="000707F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707F3" w:rsidRDefault="000707F3">
          <w:pPr>
            <w:pStyle w:val="Header"/>
            <w:spacing w:before="109"/>
            <w:jc w:val="right"/>
          </w:pPr>
        </w:p>
      </w:tc>
      <w:tc>
        <w:tcPr>
          <w:tcW w:w="5227" w:type="dxa"/>
          <w:gridSpan w:val="2"/>
          <w:tcBorders>
            <w:top w:val="single" w:sz="4" w:space="0" w:color="auto"/>
            <w:bottom w:val="single" w:sz="12" w:space="0" w:color="auto"/>
          </w:tcBorders>
        </w:tcPr>
        <w:p w:rsidR="000707F3" w:rsidRDefault="000707F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tcPr>
        <w:p w:rsidR="000707F3" w:rsidRDefault="000707F3">
          <w:pPr>
            <w:pStyle w:val="Header"/>
            <w:spacing w:before="109"/>
          </w:pPr>
        </w:p>
      </w:tc>
      <w:tc>
        <w:tcPr>
          <w:tcW w:w="3100" w:type="dxa"/>
          <w:gridSpan w:val="2"/>
          <w:tcBorders>
            <w:top w:val="single" w:sz="4" w:space="0" w:color="auto"/>
            <w:bottom w:val="single" w:sz="12" w:space="0" w:color="auto"/>
          </w:tcBorders>
        </w:tcPr>
        <w:p w:rsidR="000707F3" w:rsidRDefault="000707F3">
          <w:pPr>
            <w:bidi w:val="0"/>
            <w:spacing w:before="240" w:line="240" w:lineRule="exact"/>
          </w:pPr>
          <w:r>
            <w:t>Distr.: General</w:t>
          </w:r>
        </w:p>
        <w:p w:rsidR="000707F3" w:rsidRDefault="000707F3">
          <w:pPr>
            <w:bidi w:val="0"/>
            <w:spacing w:line="240" w:lineRule="exact"/>
            <w:jc w:val="left"/>
          </w:pPr>
          <w:smartTag w:uri="urn:schemas-microsoft-com:office:smarttags" w:element="date">
            <w:smartTagPr>
              <w:attr w:name="Year" w:val="2005"/>
              <w:attr w:name="Day" w:val="12"/>
              <w:attr w:name="Month" w:val="9"/>
            </w:smartTagPr>
            <w:r>
              <w:t>12 September 2005</w:t>
            </w:r>
          </w:smartTag>
        </w:p>
        <w:p w:rsidR="000707F3" w:rsidRDefault="000707F3">
          <w:pPr>
            <w:bidi w:val="0"/>
            <w:spacing w:line="240" w:lineRule="exact"/>
            <w:jc w:val="left"/>
          </w:pPr>
          <w:r>
            <w:t>Arabic</w:t>
          </w:r>
        </w:p>
        <w:p w:rsidR="000707F3" w:rsidRDefault="000707F3">
          <w:pPr>
            <w:bidi w:val="0"/>
            <w:spacing w:line="240" w:lineRule="exact"/>
            <w:jc w:val="left"/>
          </w:pPr>
          <w:r>
            <w:t>Original: English</w:t>
          </w:r>
        </w:p>
      </w:tc>
    </w:tr>
  </w:tbl>
  <w:p w:rsidR="000707F3" w:rsidRDefault="000707F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3"/>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2110*"/>
    <w:docVar w:name="CreationDt" w:val="11/10/2005 08:031 م"/>
    <w:docVar w:name="DocCategory" w:val="Misc"/>
    <w:docVar w:name="DocType" w:val="Final"/>
    <w:docVar w:name="FooterJN" w:val="05-52110"/>
    <w:docVar w:name="jobn" w:val="05-52110 (A)"/>
    <w:docVar w:name="jobnDT" w:val="05-52110 (A)   111005"/>
    <w:docVar w:name="jobnDTDT" w:val="05-52110 (A)   111005   111005"/>
    <w:docVar w:name="JobNo" w:val="0552110A"/>
    <w:docVar w:name="OandT" w:val=" "/>
    <w:docVar w:name="sss1" w:val="CEDAW/C/LCA/1-6"/>
    <w:docVar w:name="sss2" w:val="-"/>
    <w:docVar w:name="Symbol1" w:val="CEDAW/C/LCA/1-6"/>
    <w:docVar w:name="Symbol2" w:val="-"/>
  </w:docVars>
  <w:rsids>
    <w:rsidRoot w:val="00662946"/>
    <w:rsid w:val="000707F3"/>
    <w:rsid w:val="00132394"/>
    <w:rsid w:val="005D3B2D"/>
    <w:rsid w:val="006629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line="400" w:lineRule="exact"/>
      <w:jc w:val="lowKashida"/>
    </w:pPr>
    <w:rPr>
      <w:w w:val="103"/>
      <w:kern w:val="14"/>
      <w:szCs w:val="30"/>
      <w:lang w:val="en-US" w:eastAsia="en-US"/>
    </w:rPr>
  </w:style>
  <w:style w:type="paragraph" w:styleId="Heading1">
    <w:name w:val="heading 1"/>
    <w:basedOn w:val="Normal"/>
    <w:next w:val="Normal"/>
    <w:qFormat/>
    <w:pPr>
      <w:keepNext/>
      <w:jc w:val="both"/>
      <w:outlineLvl w:val="0"/>
    </w:pPr>
    <w:rPr>
      <w:sz w:val="24"/>
      <w:szCs w:val="24"/>
    </w:rPr>
  </w:style>
  <w:style w:type="paragraph" w:styleId="Heading2">
    <w:name w:val="heading 2"/>
    <w:basedOn w:val="Normal"/>
    <w:next w:val="Normal"/>
    <w:qFormat/>
    <w:pPr>
      <w:keepNext/>
      <w:jc w:val="both"/>
      <w:outlineLvl w:val="1"/>
    </w:pPr>
    <w:rPr>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jc w:val="both"/>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jc w:val="both"/>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spacing w:val="-5"/>
      <w:w w:val="100"/>
      <w:position w:val="0"/>
      <w:sz w:val="17"/>
      <w:szCs w:val="26"/>
      <w:vertAlign w:val="superscript"/>
      <w:lang w:val="en-US" w:bidi="ar-SA"/>
    </w:rPr>
  </w:style>
  <w:style w:type="paragraph" w:styleId="Header">
    <w:name w:val="header"/>
    <w:pPr>
      <w:tabs>
        <w:tab w:val="center" w:pos="4320"/>
        <w:tab w:val="right" w:pos="8640"/>
      </w:tabs>
    </w:pPr>
    <w:rPr>
      <w:b/>
      <w:bCs/>
      <w:noProof/>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pPr>
      <w:jc w:val="both"/>
    </w:pPr>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jc w:val="both"/>
    </w:pPr>
  </w:style>
  <w:style w:type="paragraph" w:styleId="CommentText">
    <w:name w:val="annotation text"/>
    <w:basedOn w:val="Normal"/>
    <w:semiHidden/>
    <w:pPr>
      <w:jc w:val="both"/>
    </w:pPr>
    <w:rPr>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4</Pages>
  <Words>17489</Words>
  <Characters>99693</Characters>
  <Application>Microsoft Office Word</Application>
  <DocSecurity>4</DocSecurity>
  <Lines>830</Lines>
  <Paragraphs>233</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116949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CMS Installer</cp:lastModifiedBy>
  <cp:revision>6</cp:revision>
  <cp:lastPrinted>2006-01-18T09:38:00Z</cp:lastPrinted>
  <dcterms:created xsi:type="dcterms:W3CDTF">2006-01-18T09:38:00Z</dcterms:created>
  <dcterms:modified xsi:type="dcterms:W3CDTF">2006-01-18T09:41:00Z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0552110</vt:lpwstr>
  </property>
  <property fmtid="{D5CDD505-2E9C-101B-9397-08002B2CF9AE}" pid="3" name="Symbol1">
    <vt:lpwstr>CEDAW/C/LCA/1-6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