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A60D90" w14:textId="77777777" w:rsidR="00571984" w:rsidRPr="003B0B02" w:rsidRDefault="00571984" w:rsidP="00571984">
      <w:pPr>
        <w:spacing w:line="240" w:lineRule="auto"/>
        <w:rPr>
          <w:sz w:val="2"/>
        </w:rPr>
        <w:sectPr w:rsidR="00571984" w:rsidRPr="003B0B02" w:rsidSect="00C03E58">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08"/>
          <w:titlePg/>
          <w:docGrid w:linePitch="360"/>
        </w:sectPr>
      </w:pPr>
      <w:commentRangeStart w:id="0"/>
      <w:commentRangeEnd w:id="0"/>
      <w:r w:rsidRPr="003B0B02">
        <w:rPr>
          <w:rStyle w:val="CommentReference"/>
        </w:rPr>
        <w:commentReference w:id="0"/>
      </w:r>
    </w:p>
    <w:p w14:paraId="5823BC0C" w14:textId="77777777" w:rsidR="00C03E58" w:rsidRPr="003B0B02" w:rsidRDefault="00C03E58" w:rsidP="00C03E5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3B0B02">
        <w:rPr>
          <w:lang w:val="fr-FR"/>
        </w:rPr>
        <w:t>Comité pour l’élimination de la discrimination à l’égard des femmes</w:t>
      </w:r>
    </w:p>
    <w:p w14:paraId="23A0C333" w14:textId="77777777" w:rsidR="00C03E58" w:rsidRPr="003B0B02" w:rsidRDefault="00C03E58" w:rsidP="00C03E58">
      <w:pPr>
        <w:pStyle w:val="SingleTxt"/>
        <w:spacing w:after="0" w:line="120" w:lineRule="exact"/>
        <w:rPr>
          <w:b/>
          <w:sz w:val="10"/>
          <w:lang w:val="fr-FR"/>
        </w:rPr>
      </w:pPr>
    </w:p>
    <w:p w14:paraId="526D0A56" w14:textId="77777777" w:rsidR="00C03E58" w:rsidRPr="003B0B02" w:rsidRDefault="00C03E58" w:rsidP="00C03E58">
      <w:pPr>
        <w:pStyle w:val="SingleTxt"/>
        <w:spacing w:after="0" w:line="120" w:lineRule="exact"/>
        <w:rPr>
          <w:b/>
          <w:sz w:val="10"/>
          <w:lang w:val="fr-FR"/>
        </w:rPr>
      </w:pPr>
    </w:p>
    <w:p w14:paraId="7667986A" w14:textId="77777777" w:rsidR="00C03E58" w:rsidRPr="003B0B02" w:rsidRDefault="00C03E58" w:rsidP="00C03E58">
      <w:pPr>
        <w:pStyle w:val="SingleTxt"/>
        <w:spacing w:after="0" w:line="120" w:lineRule="exact"/>
        <w:rPr>
          <w:b/>
          <w:sz w:val="10"/>
          <w:lang w:val="fr-FR"/>
        </w:rPr>
      </w:pPr>
    </w:p>
    <w:p w14:paraId="212D5846" w14:textId="0D8F0EE7" w:rsidR="00C03E58" w:rsidRPr="003B0B02" w:rsidRDefault="00C03E58" w:rsidP="00C03E58">
      <w:pPr>
        <w:framePr w:w="9792" w:h="432" w:hSpace="180" w:wrap="around" w:vAnchor="page" w:hAnchor="page" w:x="1161" w:y="13624"/>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sz w:val="17"/>
          <w:szCs w:val="20"/>
        </w:rPr>
      </w:pPr>
      <w:r w:rsidRPr="003B0B02">
        <w:rPr>
          <w:noProof/>
          <w:w w:val="100"/>
        </w:rPr>
        <mc:AlternateContent>
          <mc:Choice Requires="wps">
            <w:drawing>
              <wp:anchor distT="0" distB="0" distL="114300" distR="114300" simplePos="0" relativeHeight="251659264" behindDoc="0" locked="0" layoutInCell="1" allowOverlap="1" wp14:anchorId="7A876AEA" wp14:editId="61E48D84">
                <wp:simplePos x="0" y="0"/>
                <wp:positionH relativeFrom="column">
                  <wp:posOffset>548640</wp:posOffset>
                </wp:positionH>
                <wp:positionV relativeFrom="paragraph">
                  <wp:posOffset>-12700</wp:posOffset>
                </wp:positionV>
                <wp:extent cx="914400" cy="0"/>
                <wp:effectExtent l="0" t="0" r="0" b="0"/>
                <wp:wrapNone/>
                <wp:docPr id="1072236407"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9EE3411"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3B0B02">
        <w:rPr>
          <w:spacing w:val="5"/>
          <w:w w:val="104"/>
          <w:sz w:val="17"/>
          <w:szCs w:val="20"/>
        </w:rPr>
        <w:tab/>
        <w:t>*</w:t>
      </w:r>
      <w:r w:rsidRPr="003B0B02">
        <w:rPr>
          <w:spacing w:val="5"/>
          <w:w w:val="104"/>
          <w:sz w:val="17"/>
          <w:szCs w:val="20"/>
        </w:rPr>
        <w:tab/>
      </w:r>
      <w:r w:rsidRPr="003B0B02">
        <w:rPr>
          <w:spacing w:val="5"/>
          <w:w w:val="104"/>
          <w:sz w:val="17"/>
          <w:szCs w:val="20"/>
          <w:lang w:val="fr-FR"/>
        </w:rPr>
        <w:t>La version originale du présent document n’a pas été revue par les services d’édition.</w:t>
      </w:r>
    </w:p>
    <w:p w14:paraId="6DF1F7AA" w14:textId="4D357772" w:rsidR="00C03E58" w:rsidRPr="003B0B02" w:rsidRDefault="00C03E58" w:rsidP="00C03E58">
      <w:pPr>
        <w:pStyle w:val="TitleHCH"/>
        <w:ind w:right="1260"/>
        <w:rPr>
          <w:lang w:val="fr-FR"/>
        </w:rPr>
      </w:pPr>
      <w:r w:rsidRPr="003B0B02">
        <w:rPr>
          <w:lang w:val="fr-FR"/>
        </w:rPr>
        <w:tab/>
      </w:r>
      <w:r w:rsidRPr="003B0B02">
        <w:rPr>
          <w:lang w:val="fr-FR"/>
        </w:rPr>
        <w:tab/>
        <w:t>Renseignements reçus du Pérou au sujet de la suite donnée aux observations finales concernant son neuvième rapport périodique</w:t>
      </w:r>
      <w:r w:rsidRPr="003B0B02">
        <w:rPr>
          <w:b w:val="0"/>
          <w:bCs/>
          <w:sz w:val="20"/>
          <w:szCs w:val="20"/>
          <w:lang w:val="fr-FR"/>
        </w:rPr>
        <w:t>*</w:t>
      </w:r>
    </w:p>
    <w:p w14:paraId="64129B04" w14:textId="77777777" w:rsidR="00C03E58" w:rsidRPr="003B0B02" w:rsidRDefault="00C03E58" w:rsidP="00C03E58">
      <w:pPr>
        <w:pStyle w:val="SingleTxt"/>
        <w:spacing w:after="0" w:line="120" w:lineRule="exact"/>
        <w:rPr>
          <w:sz w:val="10"/>
          <w:lang w:val="fr-FR"/>
        </w:rPr>
      </w:pPr>
    </w:p>
    <w:p w14:paraId="13D249C4" w14:textId="77777777" w:rsidR="00C03E58" w:rsidRPr="003B0B02" w:rsidRDefault="00C03E58" w:rsidP="00C03E58">
      <w:pPr>
        <w:pStyle w:val="SingleTxt"/>
        <w:spacing w:after="0" w:line="120" w:lineRule="exact"/>
        <w:rPr>
          <w:sz w:val="10"/>
          <w:lang w:val="fr-FR"/>
        </w:rPr>
      </w:pPr>
    </w:p>
    <w:p w14:paraId="13123CF9" w14:textId="005F4913" w:rsidR="00C03E58" w:rsidRPr="003B0B02" w:rsidRDefault="00C03E58" w:rsidP="00C03E58">
      <w:pPr>
        <w:pStyle w:val="SingleTxt"/>
        <w:jc w:val="right"/>
        <w:rPr>
          <w:lang w:val="fr-FR"/>
        </w:rPr>
      </w:pPr>
      <w:r w:rsidRPr="003B0B02">
        <w:rPr>
          <w:lang w:val="fr-FR"/>
        </w:rPr>
        <w:t>[Date de réception</w:t>
      </w:r>
      <w:r w:rsidR="00EA4BC8" w:rsidRPr="003B0B02">
        <w:rPr>
          <w:lang w:val="fr-FR"/>
        </w:rPr>
        <w:t xml:space="preserve"> </w:t>
      </w:r>
      <w:r w:rsidRPr="003B0B02">
        <w:rPr>
          <w:lang w:val="fr-FR"/>
        </w:rPr>
        <w:t>: 15</w:t>
      </w:r>
      <w:r w:rsidR="00EA4BC8" w:rsidRPr="003B0B02">
        <w:rPr>
          <w:lang w:val="fr-FR"/>
        </w:rPr>
        <w:t xml:space="preserve"> </w:t>
      </w:r>
      <w:r w:rsidRPr="003B0B02">
        <w:rPr>
          <w:lang w:val="fr-FR"/>
        </w:rPr>
        <w:t>août 2024]</w:t>
      </w:r>
    </w:p>
    <w:p w14:paraId="119F7B32" w14:textId="1832C810" w:rsidR="00C03E58" w:rsidRPr="003B0B02" w:rsidRDefault="00C03E58">
      <w:pPr>
        <w:spacing w:after="160" w:line="259" w:lineRule="auto"/>
        <w:rPr>
          <w:lang w:val="fr-FR"/>
        </w:rPr>
      </w:pPr>
      <w:r w:rsidRPr="003B0B02">
        <w:rPr>
          <w:lang w:val="fr-FR"/>
        </w:rPr>
        <w:br w:type="page"/>
      </w:r>
    </w:p>
    <w:p w14:paraId="131F03F8" w14:textId="77777777" w:rsidR="00C03E58" w:rsidRPr="003B0B02" w:rsidRDefault="00C03E58" w:rsidP="00C03E58">
      <w:pPr>
        <w:pStyle w:val="HCH"/>
        <w:spacing w:after="120"/>
      </w:pPr>
      <w:r w:rsidRPr="003B0B02">
        <w:lastRenderedPageBreak/>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C03E58" w:rsidRPr="003B0B02" w14:paraId="4ED25258" w14:textId="77777777" w:rsidTr="00C03E58">
        <w:tblPrEx>
          <w:tblCellMar>
            <w:top w:w="0" w:type="dxa"/>
            <w:bottom w:w="0" w:type="dxa"/>
          </w:tblCellMar>
        </w:tblPrEx>
        <w:tc>
          <w:tcPr>
            <w:tcW w:w="1060" w:type="dxa"/>
            <w:shd w:val="clear" w:color="auto" w:fill="auto"/>
          </w:tcPr>
          <w:p w14:paraId="06AF78F6" w14:textId="75B44F78" w:rsidR="00C03E58" w:rsidRPr="003B0B02" w:rsidRDefault="00C03E58" w:rsidP="00C03E58">
            <w:pPr>
              <w:spacing w:after="120" w:line="240" w:lineRule="auto"/>
              <w:jc w:val="right"/>
              <w:rPr>
                <w:i/>
                <w:sz w:val="14"/>
              </w:rPr>
            </w:pPr>
          </w:p>
        </w:tc>
        <w:tc>
          <w:tcPr>
            <w:tcW w:w="7315" w:type="dxa"/>
            <w:shd w:val="clear" w:color="auto" w:fill="auto"/>
          </w:tcPr>
          <w:p w14:paraId="14C026D3" w14:textId="77777777" w:rsidR="00C03E58" w:rsidRPr="003B0B02" w:rsidRDefault="00C03E58" w:rsidP="00C03E58">
            <w:pPr>
              <w:spacing w:after="120" w:line="240" w:lineRule="auto"/>
              <w:rPr>
                <w:i/>
                <w:sz w:val="14"/>
              </w:rPr>
            </w:pPr>
          </w:p>
        </w:tc>
        <w:tc>
          <w:tcPr>
            <w:tcW w:w="994" w:type="dxa"/>
            <w:shd w:val="clear" w:color="auto" w:fill="auto"/>
          </w:tcPr>
          <w:p w14:paraId="2A9E1BA2" w14:textId="2483F755" w:rsidR="00C03E58" w:rsidRPr="003B0B02" w:rsidRDefault="00C03E58" w:rsidP="00C03E58">
            <w:pPr>
              <w:spacing w:after="120" w:line="240" w:lineRule="auto"/>
              <w:jc w:val="right"/>
              <w:rPr>
                <w:i/>
                <w:sz w:val="14"/>
              </w:rPr>
            </w:pPr>
          </w:p>
        </w:tc>
        <w:tc>
          <w:tcPr>
            <w:tcW w:w="533" w:type="dxa"/>
            <w:shd w:val="clear" w:color="auto" w:fill="auto"/>
          </w:tcPr>
          <w:p w14:paraId="0E96EB6C" w14:textId="30CE413F" w:rsidR="00C03E58" w:rsidRPr="003B0B02" w:rsidRDefault="00C03E58" w:rsidP="00C03E58">
            <w:pPr>
              <w:spacing w:after="120" w:line="240" w:lineRule="auto"/>
              <w:jc w:val="right"/>
              <w:rPr>
                <w:i/>
                <w:sz w:val="14"/>
              </w:rPr>
            </w:pPr>
            <w:r w:rsidRPr="003B0B02">
              <w:rPr>
                <w:i/>
                <w:sz w:val="14"/>
              </w:rPr>
              <w:t>Page</w:t>
            </w:r>
          </w:p>
        </w:tc>
      </w:tr>
      <w:tr w:rsidR="00C03E58" w:rsidRPr="003B0B02" w14:paraId="1749C4FC" w14:textId="77777777" w:rsidTr="00C03E58">
        <w:tblPrEx>
          <w:tblCellMar>
            <w:top w:w="0" w:type="dxa"/>
            <w:bottom w:w="0" w:type="dxa"/>
          </w:tblCellMar>
        </w:tblPrEx>
        <w:tc>
          <w:tcPr>
            <w:tcW w:w="9369" w:type="dxa"/>
            <w:gridSpan w:val="3"/>
            <w:shd w:val="clear" w:color="auto" w:fill="auto"/>
          </w:tcPr>
          <w:p w14:paraId="3387B424" w14:textId="2681966D" w:rsidR="00C03E58" w:rsidRPr="003B0B02" w:rsidRDefault="00C03E58" w:rsidP="00986EF8">
            <w:pPr>
              <w:pStyle w:val="ListParagraph"/>
              <w:numPr>
                <w:ilvl w:val="0"/>
                <w:numId w:val="5"/>
              </w:numPr>
              <w:tabs>
                <w:tab w:val="left" w:pos="1296"/>
                <w:tab w:val="left" w:pos="1728"/>
                <w:tab w:val="left" w:pos="2160"/>
                <w:tab w:val="right" w:leader="dot" w:pos="9360"/>
              </w:tabs>
              <w:suppressAutoHyphens/>
              <w:spacing w:after="120"/>
              <w:ind w:hanging="173"/>
            </w:pPr>
            <w:r w:rsidRPr="003B0B02">
              <w:t>Introduction</w:t>
            </w:r>
            <w:r w:rsidRPr="003B0B02">
              <w:rPr>
                <w:spacing w:val="60"/>
                <w:sz w:val="17"/>
              </w:rPr>
              <w:tab/>
            </w:r>
          </w:p>
        </w:tc>
        <w:tc>
          <w:tcPr>
            <w:tcW w:w="533" w:type="dxa"/>
            <w:shd w:val="clear" w:color="auto" w:fill="auto"/>
            <w:vAlign w:val="bottom"/>
          </w:tcPr>
          <w:p w14:paraId="7816A1CA" w14:textId="31607E6A" w:rsidR="00C03E58" w:rsidRPr="003B0B02" w:rsidRDefault="003B0B02" w:rsidP="00C03E58">
            <w:pPr>
              <w:spacing w:after="120"/>
              <w:ind w:right="40"/>
              <w:jc w:val="right"/>
            </w:pPr>
            <w:r>
              <w:t>3</w:t>
            </w:r>
          </w:p>
        </w:tc>
      </w:tr>
      <w:tr w:rsidR="00C03E58" w:rsidRPr="003B0B02" w14:paraId="6DA96C72" w14:textId="77777777" w:rsidTr="00C03E58">
        <w:tblPrEx>
          <w:tblCellMar>
            <w:top w:w="0" w:type="dxa"/>
            <w:bottom w:w="0" w:type="dxa"/>
          </w:tblCellMar>
        </w:tblPrEx>
        <w:tc>
          <w:tcPr>
            <w:tcW w:w="9369" w:type="dxa"/>
            <w:gridSpan w:val="3"/>
            <w:shd w:val="clear" w:color="auto" w:fill="auto"/>
          </w:tcPr>
          <w:p w14:paraId="0818DF43" w14:textId="389FE37A" w:rsidR="00C03E58" w:rsidRPr="003B0B02" w:rsidRDefault="00C03E58" w:rsidP="00986EF8">
            <w:pPr>
              <w:pStyle w:val="ListParagraph"/>
              <w:numPr>
                <w:ilvl w:val="0"/>
                <w:numId w:val="5"/>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ind w:hanging="173"/>
            </w:pPr>
            <w:r w:rsidRPr="003B0B02">
              <w:t>Informations demandées au paragraphe 57 des observations finales</w:t>
            </w:r>
            <w:r w:rsidRPr="003B0B02">
              <w:rPr>
                <w:spacing w:val="60"/>
                <w:sz w:val="17"/>
              </w:rPr>
              <w:tab/>
            </w:r>
          </w:p>
        </w:tc>
        <w:tc>
          <w:tcPr>
            <w:tcW w:w="533" w:type="dxa"/>
            <w:shd w:val="clear" w:color="auto" w:fill="auto"/>
            <w:vAlign w:val="bottom"/>
          </w:tcPr>
          <w:p w14:paraId="3D39CE3A" w14:textId="5DDE7B01" w:rsidR="00C03E58" w:rsidRPr="003B0B02" w:rsidRDefault="003B0B02" w:rsidP="00C03E58">
            <w:pPr>
              <w:spacing w:after="120"/>
              <w:ind w:right="40"/>
              <w:jc w:val="right"/>
            </w:pPr>
            <w:r>
              <w:t>3</w:t>
            </w:r>
          </w:p>
        </w:tc>
      </w:tr>
      <w:tr w:rsidR="00C03E58" w:rsidRPr="003B0B02" w14:paraId="5B38084D" w14:textId="77777777" w:rsidTr="00C03E58">
        <w:tblPrEx>
          <w:tblCellMar>
            <w:top w:w="0" w:type="dxa"/>
            <w:bottom w:w="0" w:type="dxa"/>
          </w:tblCellMar>
        </w:tblPrEx>
        <w:tc>
          <w:tcPr>
            <w:tcW w:w="9369" w:type="dxa"/>
            <w:gridSpan w:val="3"/>
            <w:shd w:val="clear" w:color="auto" w:fill="auto"/>
          </w:tcPr>
          <w:p w14:paraId="16256761" w14:textId="5B407B2F" w:rsidR="00C03E58" w:rsidRPr="003B0B02" w:rsidRDefault="00C03E58" w:rsidP="00986EF8">
            <w:pPr>
              <w:pStyle w:val="ListParagraph"/>
              <w:numPr>
                <w:ilvl w:val="1"/>
                <w:numId w:val="5"/>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pPr>
            <w:r w:rsidRPr="003B0B02">
              <w:t>Stéréotype discriminatoire et pratiques préjudiciables</w:t>
            </w:r>
            <w:r w:rsidRPr="003B0B02">
              <w:rPr>
                <w:spacing w:val="60"/>
                <w:sz w:val="17"/>
              </w:rPr>
              <w:tab/>
            </w:r>
          </w:p>
        </w:tc>
        <w:tc>
          <w:tcPr>
            <w:tcW w:w="533" w:type="dxa"/>
            <w:shd w:val="clear" w:color="auto" w:fill="auto"/>
            <w:vAlign w:val="bottom"/>
          </w:tcPr>
          <w:p w14:paraId="33FBBABF" w14:textId="3B21AEAE" w:rsidR="00C03E58" w:rsidRPr="003B0B02" w:rsidRDefault="003B0B02" w:rsidP="00C03E58">
            <w:pPr>
              <w:spacing w:after="120"/>
              <w:ind w:right="40"/>
              <w:jc w:val="right"/>
            </w:pPr>
            <w:r>
              <w:t>3</w:t>
            </w:r>
          </w:p>
        </w:tc>
      </w:tr>
      <w:tr w:rsidR="00C03E58" w:rsidRPr="003B0B02" w14:paraId="4C54C059" w14:textId="77777777" w:rsidTr="00C03E58">
        <w:tblPrEx>
          <w:tblCellMar>
            <w:top w:w="0" w:type="dxa"/>
            <w:bottom w:w="0" w:type="dxa"/>
          </w:tblCellMar>
        </w:tblPrEx>
        <w:tc>
          <w:tcPr>
            <w:tcW w:w="9369" w:type="dxa"/>
            <w:gridSpan w:val="3"/>
            <w:shd w:val="clear" w:color="auto" w:fill="auto"/>
          </w:tcPr>
          <w:p w14:paraId="5F388BD3" w14:textId="55FFDE35" w:rsidR="00C03E58" w:rsidRPr="003B0B02" w:rsidRDefault="00C03E58" w:rsidP="00986EF8">
            <w:pPr>
              <w:pStyle w:val="ListParagraph"/>
              <w:numPr>
                <w:ilvl w:val="1"/>
                <w:numId w:val="5"/>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pPr>
            <w:r w:rsidRPr="003B0B02">
              <w:t>Violence à l’égard des femmes fondée sur le genre</w:t>
            </w:r>
            <w:r w:rsidRPr="003B0B02">
              <w:rPr>
                <w:spacing w:val="60"/>
                <w:sz w:val="17"/>
              </w:rPr>
              <w:tab/>
            </w:r>
          </w:p>
        </w:tc>
        <w:tc>
          <w:tcPr>
            <w:tcW w:w="533" w:type="dxa"/>
            <w:shd w:val="clear" w:color="auto" w:fill="auto"/>
            <w:vAlign w:val="bottom"/>
          </w:tcPr>
          <w:p w14:paraId="1758FFA9" w14:textId="4B314FA7" w:rsidR="00C03E58" w:rsidRPr="003B0B02" w:rsidRDefault="00B8666A" w:rsidP="00C03E58">
            <w:pPr>
              <w:spacing w:after="120"/>
              <w:ind w:right="40"/>
              <w:jc w:val="right"/>
            </w:pPr>
            <w:r>
              <w:t>4</w:t>
            </w:r>
          </w:p>
        </w:tc>
      </w:tr>
      <w:tr w:rsidR="00C03E58" w:rsidRPr="003B0B02" w14:paraId="20E56463" w14:textId="77777777" w:rsidTr="00C03E58">
        <w:tblPrEx>
          <w:tblCellMar>
            <w:top w:w="0" w:type="dxa"/>
            <w:bottom w:w="0" w:type="dxa"/>
          </w:tblCellMar>
        </w:tblPrEx>
        <w:tc>
          <w:tcPr>
            <w:tcW w:w="9369" w:type="dxa"/>
            <w:gridSpan w:val="3"/>
            <w:shd w:val="clear" w:color="auto" w:fill="auto"/>
          </w:tcPr>
          <w:p w14:paraId="4CC5C1C9" w14:textId="7C69ACD2" w:rsidR="00C03E58" w:rsidRPr="003B0B02" w:rsidRDefault="00C03E58" w:rsidP="00986EF8">
            <w:pPr>
              <w:pStyle w:val="ListParagraph"/>
              <w:numPr>
                <w:ilvl w:val="1"/>
                <w:numId w:val="5"/>
              </w:numPr>
              <w:tabs>
                <w:tab w:val="left" w:pos="1296"/>
                <w:tab w:val="left" w:pos="1728"/>
                <w:tab w:val="left" w:pos="2160"/>
                <w:tab w:val="left" w:pos="2592"/>
                <w:tab w:val="right" w:leader="dot" w:pos="9360"/>
              </w:tabs>
              <w:suppressAutoHyphens/>
              <w:spacing w:after="120"/>
            </w:pPr>
            <w:r w:rsidRPr="003B0B02">
              <w:t>Éducation</w:t>
            </w:r>
            <w:r w:rsidRPr="003B0B02">
              <w:rPr>
                <w:spacing w:val="60"/>
                <w:sz w:val="17"/>
              </w:rPr>
              <w:tab/>
            </w:r>
          </w:p>
        </w:tc>
        <w:tc>
          <w:tcPr>
            <w:tcW w:w="533" w:type="dxa"/>
            <w:shd w:val="clear" w:color="auto" w:fill="auto"/>
            <w:vAlign w:val="bottom"/>
          </w:tcPr>
          <w:p w14:paraId="59A81974" w14:textId="3DC99CB9" w:rsidR="00C03E58" w:rsidRPr="003B0B02" w:rsidRDefault="00B8666A" w:rsidP="00C03E58">
            <w:pPr>
              <w:spacing w:after="120"/>
              <w:ind w:right="40"/>
              <w:jc w:val="right"/>
            </w:pPr>
            <w:r>
              <w:t>7</w:t>
            </w:r>
          </w:p>
        </w:tc>
      </w:tr>
      <w:tr w:rsidR="00C03E58" w:rsidRPr="003B0B02" w14:paraId="3E2FF24B" w14:textId="77777777" w:rsidTr="00C03E58">
        <w:tblPrEx>
          <w:tblCellMar>
            <w:top w:w="0" w:type="dxa"/>
            <w:bottom w:w="0" w:type="dxa"/>
          </w:tblCellMar>
        </w:tblPrEx>
        <w:tc>
          <w:tcPr>
            <w:tcW w:w="9369" w:type="dxa"/>
            <w:gridSpan w:val="3"/>
            <w:shd w:val="clear" w:color="auto" w:fill="auto"/>
          </w:tcPr>
          <w:p w14:paraId="7B020D04" w14:textId="6AFD6F7D" w:rsidR="00C03E58" w:rsidRPr="003B0B02" w:rsidRDefault="00C03E58" w:rsidP="00986EF8">
            <w:pPr>
              <w:pStyle w:val="ListParagraph"/>
              <w:numPr>
                <w:ilvl w:val="1"/>
                <w:numId w:val="5"/>
              </w:numPr>
              <w:tabs>
                <w:tab w:val="left" w:pos="1296"/>
                <w:tab w:val="left" w:pos="1728"/>
                <w:tab w:val="left" w:pos="2160"/>
                <w:tab w:val="right" w:leader="dot" w:pos="9360"/>
              </w:tabs>
              <w:suppressAutoHyphens/>
              <w:spacing w:after="120"/>
            </w:pPr>
            <w:r w:rsidRPr="003B0B02">
              <w:t>Santé</w:t>
            </w:r>
            <w:r w:rsidRPr="003B0B02">
              <w:rPr>
                <w:spacing w:val="60"/>
                <w:sz w:val="17"/>
              </w:rPr>
              <w:tab/>
            </w:r>
          </w:p>
        </w:tc>
        <w:tc>
          <w:tcPr>
            <w:tcW w:w="533" w:type="dxa"/>
            <w:shd w:val="clear" w:color="auto" w:fill="auto"/>
            <w:vAlign w:val="bottom"/>
          </w:tcPr>
          <w:p w14:paraId="18BA4D30" w14:textId="7A8E43FD" w:rsidR="00C03E58" w:rsidRPr="003B0B02" w:rsidRDefault="00B8666A" w:rsidP="00C03E58">
            <w:pPr>
              <w:spacing w:after="120"/>
              <w:ind w:right="40"/>
              <w:jc w:val="right"/>
            </w:pPr>
            <w:r>
              <w:t>9</w:t>
            </w:r>
          </w:p>
        </w:tc>
      </w:tr>
      <w:tr w:rsidR="00C03E58" w:rsidRPr="003B0B02" w14:paraId="42575531" w14:textId="77777777" w:rsidTr="00C03E58">
        <w:tblPrEx>
          <w:tblCellMar>
            <w:top w:w="0" w:type="dxa"/>
            <w:bottom w:w="0" w:type="dxa"/>
          </w:tblCellMar>
        </w:tblPrEx>
        <w:tc>
          <w:tcPr>
            <w:tcW w:w="9369" w:type="dxa"/>
            <w:gridSpan w:val="3"/>
            <w:shd w:val="clear" w:color="auto" w:fill="auto"/>
          </w:tcPr>
          <w:p w14:paraId="536E9852" w14:textId="7221C057" w:rsidR="00C03E58" w:rsidRPr="003B0B02" w:rsidRDefault="00C03E58" w:rsidP="00986EF8">
            <w:pPr>
              <w:pStyle w:val="ListParagraph"/>
              <w:numPr>
                <w:ilvl w:val="0"/>
                <w:numId w:val="5"/>
              </w:numPr>
              <w:tabs>
                <w:tab w:val="left" w:pos="1296"/>
                <w:tab w:val="left" w:pos="1728"/>
                <w:tab w:val="left" w:pos="2160"/>
                <w:tab w:val="right" w:leader="dot" w:pos="9360"/>
              </w:tabs>
              <w:suppressAutoHyphens/>
              <w:spacing w:after="120"/>
              <w:ind w:hanging="173"/>
            </w:pPr>
            <w:r w:rsidRPr="003B0B02">
              <w:t>Conclusions</w:t>
            </w:r>
            <w:r w:rsidRPr="003B0B02">
              <w:rPr>
                <w:spacing w:val="60"/>
                <w:sz w:val="17"/>
              </w:rPr>
              <w:tab/>
            </w:r>
          </w:p>
        </w:tc>
        <w:tc>
          <w:tcPr>
            <w:tcW w:w="533" w:type="dxa"/>
            <w:shd w:val="clear" w:color="auto" w:fill="auto"/>
            <w:vAlign w:val="bottom"/>
          </w:tcPr>
          <w:p w14:paraId="54D6751A" w14:textId="3ED3387F" w:rsidR="00C03E58" w:rsidRPr="003B0B02" w:rsidRDefault="00B8666A" w:rsidP="00C03E58">
            <w:pPr>
              <w:spacing w:after="120"/>
              <w:ind w:right="40"/>
              <w:jc w:val="right"/>
            </w:pPr>
            <w:r>
              <w:t>9</w:t>
            </w:r>
          </w:p>
        </w:tc>
      </w:tr>
    </w:tbl>
    <w:p w14:paraId="6F31CB7A" w14:textId="67F5CFE2" w:rsidR="00C03E58" w:rsidRPr="003B0B02" w:rsidRDefault="00C03E58" w:rsidP="00C03E58"/>
    <w:p w14:paraId="5C3507DD" w14:textId="77777777" w:rsidR="00C03E58" w:rsidRPr="003B0B02" w:rsidRDefault="00C03E58">
      <w:pPr>
        <w:spacing w:after="160" w:line="259" w:lineRule="auto"/>
      </w:pPr>
      <w:r w:rsidRPr="003B0B02">
        <w:br w:type="page"/>
      </w:r>
    </w:p>
    <w:p w14:paraId="70A2C421" w14:textId="77777777" w:rsidR="00C03E58" w:rsidRPr="003B0B02" w:rsidRDefault="00C03E58" w:rsidP="00C03E5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B0B02">
        <w:rPr>
          <w:lang w:val="fr-FR"/>
        </w:rPr>
        <w:lastRenderedPageBreak/>
        <w:tab/>
        <w:t>I.</w:t>
      </w:r>
      <w:r w:rsidRPr="003B0B02">
        <w:rPr>
          <w:lang w:val="fr-FR"/>
        </w:rPr>
        <w:tab/>
        <w:t>Introduction</w:t>
      </w:r>
    </w:p>
    <w:p w14:paraId="0FA38BB4" w14:textId="77777777" w:rsidR="00C03E58" w:rsidRPr="003B0B02" w:rsidRDefault="00C03E58" w:rsidP="00C03E58">
      <w:pPr>
        <w:pStyle w:val="SingleTxt"/>
        <w:spacing w:after="0" w:line="120" w:lineRule="exact"/>
        <w:rPr>
          <w:sz w:val="10"/>
          <w:lang w:val="fr-FR"/>
        </w:rPr>
      </w:pPr>
    </w:p>
    <w:p w14:paraId="14E7A3AE" w14:textId="77777777" w:rsidR="00C03E58" w:rsidRPr="003B0B02" w:rsidRDefault="00C03E58" w:rsidP="00C03E58">
      <w:pPr>
        <w:pStyle w:val="SingleTxt"/>
        <w:spacing w:after="0" w:line="120" w:lineRule="exact"/>
        <w:rPr>
          <w:sz w:val="10"/>
          <w:lang w:val="fr-FR"/>
        </w:rPr>
      </w:pPr>
    </w:p>
    <w:p w14:paraId="2F4B08E5" w14:textId="23B3E34D" w:rsidR="00C03E58" w:rsidRPr="003B0B02" w:rsidRDefault="00C03E58" w:rsidP="00986EF8">
      <w:pPr>
        <w:pStyle w:val="SingleTxt"/>
        <w:numPr>
          <w:ilvl w:val="0"/>
          <w:numId w:val="6"/>
        </w:numPr>
        <w:spacing w:line="240" w:lineRule="exact"/>
        <w:rPr>
          <w:lang w:val="fr-FR"/>
        </w:rPr>
      </w:pPr>
      <w:r w:rsidRPr="003B0B02">
        <w:rPr>
          <w:lang w:val="fr-FR"/>
        </w:rPr>
        <w:t>Le Pérou a ratifié la Convention sur l’élimination de toutes les formes de discrimination à l’égard des femmes le 13</w:t>
      </w:r>
      <w:r w:rsidR="00EA4BC8" w:rsidRPr="003B0B02">
        <w:rPr>
          <w:lang w:val="fr-FR"/>
        </w:rPr>
        <w:t xml:space="preserve"> </w:t>
      </w:r>
      <w:r w:rsidRPr="003B0B02">
        <w:rPr>
          <w:lang w:val="fr-FR"/>
        </w:rPr>
        <w:t>septembre</w:t>
      </w:r>
      <w:r w:rsidR="00EA4BC8" w:rsidRPr="003B0B02">
        <w:rPr>
          <w:lang w:val="fr-FR"/>
        </w:rPr>
        <w:t xml:space="preserve"> </w:t>
      </w:r>
      <w:r w:rsidRPr="003B0B02">
        <w:rPr>
          <w:lang w:val="fr-FR"/>
        </w:rPr>
        <w:t>1982</w:t>
      </w:r>
      <w:r w:rsidRPr="003B0B02">
        <w:rPr>
          <w:vertAlign w:val="superscript"/>
          <w:lang w:val="fr-FR"/>
        </w:rPr>
        <w:footnoteReference w:id="1"/>
      </w:r>
      <w:r w:rsidRPr="003B0B02">
        <w:rPr>
          <w:lang w:val="fr-FR"/>
        </w:rPr>
        <w:t>. Conformément aux dispositions de l’article</w:t>
      </w:r>
      <w:r w:rsidR="00EA4BC8" w:rsidRPr="003B0B02">
        <w:rPr>
          <w:lang w:val="fr-FR"/>
        </w:rPr>
        <w:t xml:space="preserve"> </w:t>
      </w:r>
      <w:r w:rsidRPr="003B0B02">
        <w:rPr>
          <w:lang w:val="fr-FR"/>
        </w:rPr>
        <w:t>18 de la Convention, le Pérou présente son rapport de suivi des observations finales du Comité pour l’élimination de la discrimination à l’égard des femmes concernant son neuvième rapport périodique.</w:t>
      </w:r>
    </w:p>
    <w:p w14:paraId="6CA10A09" w14:textId="762AFE7C" w:rsidR="00C03E58" w:rsidRPr="003B0B02" w:rsidRDefault="00C03E58" w:rsidP="00986EF8">
      <w:pPr>
        <w:pStyle w:val="SingleTxt"/>
        <w:numPr>
          <w:ilvl w:val="0"/>
          <w:numId w:val="6"/>
        </w:numPr>
        <w:spacing w:line="240" w:lineRule="exact"/>
        <w:rPr>
          <w:lang w:val="fr-FR"/>
        </w:rPr>
      </w:pPr>
      <w:r w:rsidRPr="003B0B02">
        <w:rPr>
          <w:lang w:val="fr-FR"/>
        </w:rPr>
        <w:t>Au paragraphe</w:t>
      </w:r>
      <w:r w:rsidR="00EA4BC8" w:rsidRPr="003B0B02">
        <w:rPr>
          <w:lang w:val="fr-FR"/>
        </w:rPr>
        <w:t xml:space="preserve"> </w:t>
      </w:r>
      <w:r w:rsidRPr="003B0B02">
        <w:rPr>
          <w:lang w:val="fr-FR"/>
        </w:rPr>
        <w:t>57 des observations finales, le Comité a prié le Pérou de lui communiquer des informations sur les mesures qu’il aura prises pour appliquer les recommandations énoncées aux paragraphes 22</w:t>
      </w:r>
      <w:r w:rsidR="00EA4BC8" w:rsidRPr="003B0B02">
        <w:rPr>
          <w:lang w:val="fr-FR"/>
        </w:rPr>
        <w:t xml:space="preserve"> </w:t>
      </w:r>
      <w:r w:rsidRPr="003B0B02">
        <w:rPr>
          <w:lang w:val="fr-FR"/>
        </w:rPr>
        <w:t>b), 24 a), 34</w:t>
      </w:r>
      <w:r w:rsidR="00EA4BC8" w:rsidRPr="003B0B02">
        <w:rPr>
          <w:lang w:val="fr-FR"/>
        </w:rPr>
        <w:t xml:space="preserve"> </w:t>
      </w:r>
      <w:r w:rsidRPr="003B0B02">
        <w:rPr>
          <w:lang w:val="fr-FR"/>
        </w:rPr>
        <w:t>b) et 38</w:t>
      </w:r>
      <w:r w:rsidR="00EA4BC8" w:rsidRPr="003B0B02">
        <w:rPr>
          <w:lang w:val="fr-FR"/>
        </w:rPr>
        <w:t xml:space="preserve"> </w:t>
      </w:r>
      <w:r w:rsidRPr="003B0B02">
        <w:rPr>
          <w:lang w:val="fr-FR"/>
        </w:rPr>
        <w:t>c). Le présent document aborde donc de manière concrète les progrès réalisés et les difficultés rencontrées dans la mise en œuvre des recommandations énoncées aux paragraphes susmentionnés entre décembre 2021 et juillet 2024.</w:t>
      </w:r>
    </w:p>
    <w:p w14:paraId="790AFB18" w14:textId="5EC8C0D8" w:rsidR="00C03E58" w:rsidRPr="003B0B02" w:rsidRDefault="00C03E58" w:rsidP="00986EF8">
      <w:pPr>
        <w:pStyle w:val="SingleTxt"/>
        <w:numPr>
          <w:ilvl w:val="0"/>
          <w:numId w:val="6"/>
        </w:numPr>
        <w:spacing w:line="240" w:lineRule="exact"/>
        <w:rPr>
          <w:lang w:val="fr-FR"/>
        </w:rPr>
      </w:pPr>
      <w:r w:rsidRPr="003B0B02">
        <w:rPr>
          <w:lang w:val="fr-FR"/>
        </w:rPr>
        <w:t>Le 9</w:t>
      </w:r>
      <w:r w:rsidR="00EA4BC8" w:rsidRPr="003B0B02">
        <w:rPr>
          <w:lang w:val="fr-FR"/>
        </w:rPr>
        <w:t xml:space="preserve"> </w:t>
      </w:r>
      <w:r w:rsidRPr="003B0B02">
        <w:rPr>
          <w:lang w:val="fr-FR"/>
        </w:rPr>
        <w:t>août 2024, le rapport a été soumis au Conseil national des droits de l’homme, organe chargé d’émettre des avis techniques et de conseiller le pouvoir exécutif sur l’élaboration de politiques publiques, de programmes, de projets, de plans d’action et de stratégies dans le domaine des droits humains.</w:t>
      </w:r>
    </w:p>
    <w:p w14:paraId="08032BE7" w14:textId="77777777" w:rsidR="00C03E58" w:rsidRPr="003B0B02" w:rsidRDefault="00C03E58" w:rsidP="00C03E58">
      <w:pPr>
        <w:pStyle w:val="SingleTxt"/>
        <w:spacing w:after="0" w:line="120" w:lineRule="exact"/>
        <w:rPr>
          <w:b/>
          <w:bCs/>
          <w:sz w:val="10"/>
          <w:lang w:val="fr-FR"/>
        </w:rPr>
      </w:pPr>
    </w:p>
    <w:p w14:paraId="35F8D699" w14:textId="77777777" w:rsidR="00C03E58" w:rsidRPr="003B0B02" w:rsidRDefault="00C03E58" w:rsidP="00C03E58">
      <w:pPr>
        <w:pStyle w:val="SingleTxt"/>
        <w:spacing w:after="0" w:line="120" w:lineRule="exact"/>
        <w:rPr>
          <w:b/>
          <w:bCs/>
          <w:sz w:val="10"/>
          <w:lang w:val="fr-FR"/>
        </w:rPr>
      </w:pPr>
    </w:p>
    <w:p w14:paraId="354FC36D" w14:textId="65D5E598" w:rsidR="00C03E58" w:rsidRPr="003B0B02" w:rsidRDefault="00C03E58" w:rsidP="00C03E5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B0B02">
        <w:rPr>
          <w:lang w:val="fr-FR"/>
        </w:rPr>
        <w:tab/>
        <w:t>II.</w:t>
      </w:r>
      <w:r w:rsidRPr="003B0B02">
        <w:rPr>
          <w:lang w:val="fr-FR"/>
        </w:rPr>
        <w:tab/>
        <w:t>Informations demandées au paragraphe 57 des observations finales</w:t>
      </w:r>
      <w:bookmarkStart w:id="1" w:name="_heading=h.1fob9te" w:colFirst="0" w:colLast="0"/>
      <w:bookmarkEnd w:id="1"/>
    </w:p>
    <w:p w14:paraId="1BBA1D24" w14:textId="77777777" w:rsidR="00C03E58" w:rsidRPr="003B0B02" w:rsidRDefault="00C03E58" w:rsidP="00C03E58">
      <w:pPr>
        <w:pStyle w:val="SingleTxt"/>
        <w:spacing w:after="0" w:line="120" w:lineRule="exact"/>
        <w:rPr>
          <w:b/>
          <w:bCs/>
          <w:sz w:val="10"/>
          <w:lang w:val="fr-FR"/>
        </w:rPr>
      </w:pPr>
      <w:bookmarkStart w:id="2" w:name="_heading=h.3znysh7" w:colFirst="0" w:colLast="0"/>
      <w:bookmarkEnd w:id="2"/>
    </w:p>
    <w:p w14:paraId="399EED71" w14:textId="77777777" w:rsidR="00C03E58" w:rsidRPr="003B0B02" w:rsidRDefault="00C03E58" w:rsidP="00C03E58">
      <w:pPr>
        <w:pStyle w:val="SingleTxt"/>
        <w:spacing w:after="0" w:line="120" w:lineRule="exact"/>
        <w:rPr>
          <w:b/>
          <w:bCs/>
          <w:sz w:val="10"/>
          <w:lang w:val="fr-FR"/>
        </w:rPr>
      </w:pPr>
    </w:p>
    <w:p w14:paraId="5009023D" w14:textId="2470C072" w:rsidR="00C03E58" w:rsidRPr="003B0B02" w:rsidRDefault="00C03E58" w:rsidP="00C03E5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B0B02">
        <w:rPr>
          <w:lang w:val="fr-FR"/>
        </w:rPr>
        <w:tab/>
        <w:t>A.</w:t>
      </w:r>
      <w:r w:rsidRPr="003B0B02">
        <w:rPr>
          <w:lang w:val="fr-FR"/>
        </w:rPr>
        <w:tab/>
        <w:t>Stéréotype discriminatoire et pratiques préjudiciables</w:t>
      </w:r>
    </w:p>
    <w:p w14:paraId="1DB86AF5" w14:textId="77777777" w:rsidR="00C03E58" w:rsidRPr="003B0B02" w:rsidRDefault="00C03E58" w:rsidP="00EA4BC8">
      <w:pPr>
        <w:pStyle w:val="SingleTxt"/>
        <w:spacing w:after="0" w:line="120" w:lineRule="exact"/>
        <w:rPr>
          <w:sz w:val="10"/>
          <w:lang w:val="fr-FR"/>
        </w:rPr>
      </w:pPr>
    </w:p>
    <w:p w14:paraId="2AEB56D3" w14:textId="77777777" w:rsidR="00EA4BC8" w:rsidRPr="003B0B02" w:rsidRDefault="00EA4BC8" w:rsidP="00EA4BC8">
      <w:pPr>
        <w:pStyle w:val="SingleTxt"/>
        <w:spacing w:after="0" w:line="120" w:lineRule="exact"/>
        <w:rPr>
          <w:sz w:val="10"/>
          <w:lang w:val="fr-FR"/>
        </w:rPr>
      </w:pPr>
    </w:p>
    <w:p w14:paraId="04A7CF9B" w14:textId="351B6497" w:rsidR="00C03E58" w:rsidRPr="003B0B02" w:rsidRDefault="00C03E58" w:rsidP="00986EF8">
      <w:pPr>
        <w:pStyle w:val="SingleTxt"/>
        <w:numPr>
          <w:ilvl w:val="0"/>
          <w:numId w:val="6"/>
        </w:numPr>
        <w:spacing w:line="240" w:lineRule="exact"/>
        <w:rPr>
          <w:lang w:val="fr-FR"/>
        </w:rPr>
      </w:pPr>
      <w:r w:rsidRPr="003B0B02">
        <w:rPr>
          <w:lang w:val="fr-FR"/>
        </w:rPr>
        <w:t>En réponse au paragraphe 22</w:t>
      </w:r>
      <w:r w:rsidR="00EA4BC8" w:rsidRPr="003B0B02">
        <w:rPr>
          <w:lang w:val="fr-FR"/>
        </w:rPr>
        <w:t xml:space="preserve"> </w:t>
      </w:r>
      <w:r w:rsidRPr="003B0B02">
        <w:rPr>
          <w:lang w:val="fr-FR"/>
        </w:rPr>
        <w:t>b), le Pérou indique avoir adopté en 2023 la loi n</w:t>
      </w:r>
      <w:r w:rsidRPr="003B0B02">
        <w:rPr>
          <w:vertAlign w:val="superscript"/>
          <w:lang w:val="fr-FR"/>
        </w:rPr>
        <w:t>o</w:t>
      </w:r>
      <w:r w:rsidR="00EA4BC8" w:rsidRPr="003B0B02">
        <w:rPr>
          <w:lang w:val="fr-FR"/>
        </w:rPr>
        <w:t> </w:t>
      </w:r>
      <w:r w:rsidRPr="003B0B02">
        <w:rPr>
          <w:lang w:val="fr-FR"/>
        </w:rPr>
        <w:t>31945 portant modification du Code civil (décret législatif</w:t>
      </w:r>
      <w:r w:rsidR="00EA4BC8" w:rsidRPr="003B0B02">
        <w:rPr>
          <w:lang w:val="fr-FR"/>
        </w:rPr>
        <w:t xml:space="preserve"> </w:t>
      </w:r>
      <w:r w:rsidRPr="003B0B02">
        <w:rPr>
          <w:lang w:val="fr-FR"/>
        </w:rPr>
        <w:t>n</w:t>
      </w:r>
      <w:r w:rsidR="00CF115B" w:rsidRPr="003B0B02">
        <w:rPr>
          <w:vertAlign w:val="superscript"/>
          <w:lang w:val="fr-FR"/>
        </w:rPr>
        <w:t>o</w:t>
      </w:r>
      <w:r w:rsidR="00CF115B" w:rsidRPr="003B0B02">
        <w:rPr>
          <w:lang w:val="fr-FR"/>
        </w:rPr>
        <w:t> </w:t>
      </w:r>
      <w:r w:rsidRPr="003B0B02">
        <w:rPr>
          <w:lang w:val="fr-FR"/>
        </w:rPr>
        <w:t>295). Cette loi interdit le mariage d’enfants, d’adolescentes et d’adolescents</w:t>
      </w:r>
      <w:r w:rsidRPr="003B0B02">
        <w:rPr>
          <w:vertAlign w:val="superscript"/>
          <w:lang w:val="fr-FR"/>
        </w:rPr>
        <w:footnoteReference w:id="2"/>
      </w:r>
      <w:r w:rsidRPr="003B0B02">
        <w:rPr>
          <w:lang w:val="fr-FR"/>
        </w:rPr>
        <w:t>,</w:t>
      </w:r>
      <w:r w:rsidRPr="003B0B02">
        <w:rPr>
          <w:spacing w:val="0"/>
          <w:w w:val="102"/>
          <w:lang w:val="fr-FR"/>
        </w:rPr>
        <w:t xml:space="preserve"> sans exception, et reconnaît aux personnes concernées le droit de demander l’annulation des mariages contractés avant l’entrée en vigueur de la loi susmentionnée</w:t>
      </w:r>
      <w:r w:rsidRPr="003B0B02">
        <w:rPr>
          <w:spacing w:val="0"/>
          <w:w w:val="102"/>
          <w:vertAlign w:val="superscript"/>
          <w:lang w:val="fr-FR"/>
        </w:rPr>
        <w:footnoteReference w:id="3"/>
      </w:r>
      <w:r w:rsidRPr="003B0B02">
        <w:rPr>
          <w:spacing w:val="0"/>
          <w:w w:val="102"/>
          <w:lang w:val="fr-FR"/>
        </w:rPr>
        <w:t>, directement et sans intermédiaire.</w:t>
      </w:r>
    </w:p>
    <w:p w14:paraId="34D420EF" w14:textId="0B35766E" w:rsidR="00C03E58" w:rsidRPr="003B0B02" w:rsidRDefault="00C03E58" w:rsidP="00986EF8">
      <w:pPr>
        <w:pStyle w:val="SingleTxt"/>
        <w:numPr>
          <w:ilvl w:val="0"/>
          <w:numId w:val="6"/>
        </w:numPr>
        <w:spacing w:line="240" w:lineRule="exact"/>
        <w:rPr>
          <w:lang w:val="fr-FR"/>
        </w:rPr>
      </w:pPr>
      <w:r w:rsidRPr="003B0B02">
        <w:rPr>
          <w:lang w:val="fr-FR"/>
        </w:rPr>
        <w:t>Pour favoriser le respect de la loi, le Ministère de la femme et des populations vulnérables forme les fonctionnaires du Système national de protection de l’enfance et de l’adolescence depuis décembre 2023, et a promu la loi auprès des membres de la Commission multisectorielle permanente pour la mise en œuvre de la «</w:t>
      </w:r>
      <w:r w:rsidR="00EA4BC8" w:rsidRPr="003B0B02">
        <w:rPr>
          <w:lang w:val="fr-FR"/>
        </w:rPr>
        <w:t xml:space="preserve"> </w:t>
      </w:r>
      <w:r w:rsidRPr="003B0B02">
        <w:rPr>
          <w:lang w:val="fr-FR"/>
        </w:rPr>
        <w:t>politique nationale multisectorielle pour l’enfance et l’adolescence à l’horizon</w:t>
      </w:r>
      <w:r w:rsidR="00EA4BC8" w:rsidRPr="003B0B02">
        <w:rPr>
          <w:lang w:val="fr-FR"/>
        </w:rPr>
        <w:t xml:space="preserve"> </w:t>
      </w:r>
      <w:r w:rsidRPr="003B0B02">
        <w:rPr>
          <w:lang w:val="fr-FR"/>
        </w:rPr>
        <w:t>2030</w:t>
      </w:r>
      <w:r w:rsidR="00EA4BC8" w:rsidRPr="003B0B02">
        <w:rPr>
          <w:lang w:val="fr-FR"/>
        </w:rPr>
        <w:t xml:space="preserve"> </w:t>
      </w:r>
      <w:r w:rsidRPr="003B0B02">
        <w:rPr>
          <w:lang w:val="fr-FR"/>
        </w:rPr>
        <w:t>», d’entités publiques, d’organisations de communautés autochtones et amazoniennes et d’organisations de la société civile, ainsi que dans 195</w:t>
      </w:r>
      <w:r w:rsidR="00EA4BC8" w:rsidRPr="003B0B02">
        <w:rPr>
          <w:lang w:val="fr-FR"/>
        </w:rPr>
        <w:t xml:space="preserve"> </w:t>
      </w:r>
      <w:r w:rsidRPr="003B0B02">
        <w:rPr>
          <w:lang w:val="fr-FR"/>
        </w:rPr>
        <w:t>provinces du pays</w:t>
      </w:r>
      <w:r w:rsidRPr="003B0B02">
        <w:rPr>
          <w:vertAlign w:val="superscript"/>
          <w:lang w:val="fr-FR"/>
        </w:rPr>
        <w:footnoteReference w:id="4"/>
      </w:r>
      <w:r w:rsidRPr="003B0B02">
        <w:rPr>
          <w:lang w:val="fr-FR"/>
        </w:rPr>
        <w:t>.</w:t>
      </w:r>
    </w:p>
    <w:p w14:paraId="4900506F" w14:textId="6742E18E" w:rsidR="00C03E58" w:rsidRPr="003B0B02" w:rsidRDefault="00C03E58" w:rsidP="00986EF8">
      <w:pPr>
        <w:pStyle w:val="SingleTxt"/>
        <w:numPr>
          <w:ilvl w:val="0"/>
          <w:numId w:val="6"/>
        </w:numPr>
        <w:spacing w:line="240" w:lineRule="exact"/>
        <w:rPr>
          <w:spacing w:val="0"/>
          <w:w w:val="102"/>
          <w:lang w:val="fr-FR"/>
        </w:rPr>
      </w:pPr>
      <w:r w:rsidRPr="003B0B02">
        <w:rPr>
          <w:spacing w:val="0"/>
          <w:w w:val="102"/>
          <w:lang w:val="fr-FR"/>
        </w:rPr>
        <w:t>En 2024, 536</w:t>
      </w:r>
      <w:r w:rsidR="00EA4BC8" w:rsidRPr="003B0B02">
        <w:rPr>
          <w:spacing w:val="0"/>
          <w:w w:val="102"/>
          <w:lang w:val="fr-FR"/>
        </w:rPr>
        <w:t xml:space="preserve"> </w:t>
      </w:r>
      <w:r w:rsidRPr="003B0B02">
        <w:rPr>
          <w:spacing w:val="0"/>
          <w:w w:val="102"/>
          <w:lang w:val="fr-FR"/>
        </w:rPr>
        <w:t>médiatrices et médiateurs municipaux pour l’enfance et l’adolescence et fonctionnaires de l’administration régionale de Callao ont été formés au contenu de la loi n</w:t>
      </w:r>
      <w:r w:rsidRPr="003B0B02">
        <w:rPr>
          <w:spacing w:val="0"/>
          <w:w w:val="102"/>
          <w:vertAlign w:val="superscript"/>
          <w:lang w:val="fr-FR"/>
        </w:rPr>
        <w:t>o</w:t>
      </w:r>
      <w:r w:rsidR="00CF115B" w:rsidRPr="003B0B02">
        <w:rPr>
          <w:spacing w:val="0"/>
          <w:w w:val="102"/>
          <w:lang w:val="fr-FR"/>
        </w:rPr>
        <w:t> </w:t>
      </w:r>
      <w:r w:rsidRPr="003B0B02">
        <w:rPr>
          <w:spacing w:val="0"/>
          <w:w w:val="102"/>
          <w:lang w:val="fr-FR"/>
        </w:rPr>
        <w:t>31945</w:t>
      </w:r>
      <w:r w:rsidRPr="003B0B02">
        <w:rPr>
          <w:spacing w:val="0"/>
          <w:w w:val="102"/>
          <w:vertAlign w:val="superscript"/>
          <w:lang w:val="fr-FR"/>
        </w:rPr>
        <w:footnoteReference w:id="5"/>
      </w:r>
      <w:r w:rsidRPr="003B0B02">
        <w:rPr>
          <w:spacing w:val="0"/>
          <w:w w:val="102"/>
          <w:lang w:val="fr-FR"/>
        </w:rPr>
        <w:t>. En outre, le Ministère de la femme et des populations vulnérables a publié une vidéo informative intitulée «</w:t>
      </w:r>
      <w:r w:rsidR="00EA4BC8" w:rsidRPr="003B0B02">
        <w:rPr>
          <w:spacing w:val="0"/>
          <w:w w:val="102"/>
          <w:lang w:val="fr-FR"/>
        </w:rPr>
        <w:t xml:space="preserve"> </w:t>
      </w:r>
      <w:r w:rsidRPr="003B0B02">
        <w:rPr>
          <w:spacing w:val="0"/>
          <w:w w:val="102"/>
          <w:lang w:val="fr-FR"/>
        </w:rPr>
        <w:t>Le mariage des enfants est illégal</w:t>
      </w:r>
      <w:r w:rsidR="00EA4BC8" w:rsidRPr="003B0B02">
        <w:rPr>
          <w:spacing w:val="0"/>
          <w:w w:val="102"/>
          <w:lang w:val="fr-FR"/>
        </w:rPr>
        <w:t xml:space="preserve"> </w:t>
      </w:r>
      <w:r w:rsidRPr="003B0B02">
        <w:rPr>
          <w:spacing w:val="0"/>
          <w:w w:val="102"/>
          <w:lang w:val="fr-FR"/>
        </w:rPr>
        <w:t>»</w:t>
      </w:r>
      <w:r w:rsidRPr="003B0B02">
        <w:rPr>
          <w:spacing w:val="0"/>
          <w:w w:val="102"/>
          <w:vertAlign w:val="superscript"/>
          <w:lang w:val="fr-FR"/>
        </w:rPr>
        <w:footnoteReference w:id="6"/>
      </w:r>
      <w:r w:rsidRPr="003B0B02">
        <w:rPr>
          <w:spacing w:val="0"/>
          <w:w w:val="102"/>
          <w:lang w:val="fr-FR"/>
        </w:rPr>
        <w:t>.</w:t>
      </w:r>
    </w:p>
    <w:p w14:paraId="2C1A8379" w14:textId="3E368A06" w:rsidR="00C03E58" w:rsidRPr="003B0B02" w:rsidRDefault="00C03E58" w:rsidP="00986EF8">
      <w:pPr>
        <w:pStyle w:val="SingleTxt"/>
        <w:numPr>
          <w:ilvl w:val="0"/>
          <w:numId w:val="7"/>
        </w:numPr>
        <w:spacing w:line="240" w:lineRule="auto"/>
        <w:rPr>
          <w:lang w:val="fr-FR"/>
        </w:rPr>
      </w:pPr>
      <w:r w:rsidRPr="003B0B02">
        <w:rPr>
          <w:lang w:val="fr-FR"/>
        </w:rPr>
        <w:t>Le Registre national de l’identification et de l’état civil a quant à lui approuvé en novembre 2023 les lignes directrices relatives à l’«</w:t>
      </w:r>
      <w:r w:rsidR="00EA4BC8" w:rsidRPr="003B0B02">
        <w:rPr>
          <w:lang w:val="fr-FR"/>
        </w:rPr>
        <w:t xml:space="preserve"> </w:t>
      </w:r>
      <w:r w:rsidRPr="003B0B02">
        <w:rPr>
          <w:lang w:val="fr-FR"/>
        </w:rPr>
        <w:t xml:space="preserve">inscription au registre des </w:t>
      </w:r>
      <w:r w:rsidRPr="003B0B02">
        <w:rPr>
          <w:lang w:val="fr-FR"/>
        </w:rPr>
        <w:lastRenderedPageBreak/>
        <w:t>mariages de mineurs</w:t>
      </w:r>
      <w:r w:rsidR="00EA4BC8" w:rsidRPr="003B0B02">
        <w:rPr>
          <w:lang w:val="fr-FR"/>
        </w:rPr>
        <w:t xml:space="preserve"> </w:t>
      </w:r>
      <w:r w:rsidRPr="003B0B02">
        <w:rPr>
          <w:lang w:val="fr-FR"/>
        </w:rPr>
        <w:t>», qui établissent les dispositions applicables à la demande d’inscription d’un mariage au registre civil lorsque l’une ou deux des parties contractantes sont des enfants, des adolescentes ou des adolescents</w:t>
      </w:r>
      <w:r w:rsidRPr="003B0B02">
        <w:rPr>
          <w:vertAlign w:val="superscript"/>
          <w:lang w:val="fr-FR"/>
        </w:rPr>
        <w:footnoteReference w:id="7"/>
      </w:r>
      <w:r w:rsidRPr="003B0B02">
        <w:rPr>
          <w:lang w:val="fr-FR"/>
        </w:rPr>
        <w:t xml:space="preserve">. Conformément à la loi </w:t>
      </w:r>
      <w:r w:rsidR="0091491A" w:rsidRPr="003B0B02">
        <w:rPr>
          <w:lang w:val="fr-FR"/>
        </w:rPr>
        <w:t>n</w:t>
      </w:r>
      <w:r w:rsidR="0091491A" w:rsidRPr="003B0B02">
        <w:rPr>
          <w:vertAlign w:val="superscript"/>
          <w:lang w:val="fr-FR"/>
        </w:rPr>
        <w:t>o</w:t>
      </w:r>
      <w:r w:rsidR="0091491A" w:rsidRPr="003B0B02">
        <w:rPr>
          <w:lang w:val="fr-FR"/>
        </w:rPr>
        <w:t> </w:t>
      </w:r>
      <w:r w:rsidRPr="003B0B02">
        <w:rPr>
          <w:lang w:val="fr-FR"/>
        </w:rPr>
        <w:t>31945, les lignes directrices du Registre national interdisent d’enregistrer les mariages d’enfants, d’adolescentes et d’adolescents et prévoient l’émission d’une décision de refus et la transmission des informations recueillies au représentant ou à la représentante du Ministère public auprès du Registre national, en vue de l’adoption des mesures juridiques qui s’imposent</w:t>
      </w:r>
      <w:r w:rsidRPr="003B0B02">
        <w:rPr>
          <w:vertAlign w:val="superscript"/>
          <w:lang w:val="fr-FR"/>
        </w:rPr>
        <w:footnoteReference w:id="8"/>
      </w:r>
      <w:r w:rsidRPr="003B0B02">
        <w:rPr>
          <w:lang w:val="fr-FR"/>
        </w:rPr>
        <w:t>.</w:t>
      </w:r>
    </w:p>
    <w:p w14:paraId="103287EF" w14:textId="5DA8EA8E" w:rsidR="00C03E58" w:rsidRPr="003B0B02" w:rsidRDefault="00C03E58" w:rsidP="00986EF8">
      <w:pPr>
        <w:pStyle w:val="SingleTxt"/>
        <w:numPr>
          <w:ilvl w:val="0"/>
          <w:numId w:val="8"/>
        </w:numPr>
        <w:spacing w:line="240" w:lineRule="exact"/>
        <w:rPr>
          <w:lang w:val="fr-FR"/>
        </w:rPr>
      </w:pPr>
      <w:r w:rsidRPr="003B0B02">
        <w:rPr>
          <w:lang w:val="fr-FR"/>
        </w:rPr>
        <w:t>En mars 2024, le Registre national de l’identification et de l’état civil a approuvé les lignes directrices relatives à l’«</w:t>
      </w:r>
      <w:r w:rsidR="00EA4BC8" w:rsidRPr="003B0B02">
        <w:rPr>
          <w:lang w:val="fr-FR"/>
        </w:rPr>
        <w:t xml:space="preserve"> </w:t>
      </w:r>
      <w:r w:rsidRPr="003B0B02">
        <w:rPr>
          <w:lang w:val="fr-FR"/>
        </w:rPr>
        <w:t>annulation des actes de mariage des mineurs</w:t>
      </w:r>
      <w:r w:rsidR="00EA4BC8" w:rsidRPr="003B0B02">
        <w:rPr>
          <w:lang w:val="fr-FR"/>
        </w:rPr>
        <w:t xml:space="preserve"> </w:t>
      </w:r>
      <w:r w:rsidRPr="003B0B02">
        <w:rPr>
          <w:lang w:val="fr-FR"/>
        </w:rPr>
        <w:t>»</w:t>
      </w:r>
      <w:r w:rsidRPr="003B0B02">
        <w:rPr>
          <w:vertAlign w:val="superscript"/>
          <w:lang w:val="fr-FR"/>
        </w:rPr>
        <w:footnoteReference w:id="9"/>
      </w:r>
      <w:r w:rsidRPr="003B0B02">
        <w:rPr>
          <w:lang w:val="fr-FR"/>
        </w:rPr>
        <w:t xml:space="preserve">. Celles-ci prévoient, à compter de la date de promulgation de la loi </w:t>
      </w:r>
      <w:r w:rsidR="0091491A" w:rsidRPr="003B0B02">
        <w:rPr>
          <w:lang w:val="fr-FR"/>
        </w:rPr>
        <w:t>n</w:t>
      </w:r>
      <w:r w:rsidR="0091491A" w:rsidRPr="003B0B02">
        <w:rPr>
          <w:vertAlign w:val="superscript"/>
          <w:lang w:val="fr-FR"/>
        </w:rPr>
        <w:t>o</w:t>
      </w:r>
      <w:r w:rsidR="0091491A" w:rsidRPr="003B0B02">
        <w:rPr>
          <w:lang w:val="fr-FR"/>
        </w:rPr>
        <w:t> </w:t>
      </w:r>
      <w:r w:rsidRPr="003B0B02">
        <w:rPr>
          <w:lang w:val="fr-FR"/>
        </w:rPr>
        <w:t>31945, l’annulation administrative des actes de mariage dont une ou deux des parties sont des enfants, des adolescentes ou des adolescents. L’annulation intervient même en cas d’opposition des parties ou de tiers, et il appartient à la justice de trancher le litige qui pourrait survenir au sujet de l’acte de mariage ou de la célébration du mariage. En mars 2024, le Registre national a fait état de l’annulation de cinq actes de mariage en vertu de l’application de la loi et des lignes directrices susmentionnées</w:t>
      </w:r>
      <w:r w:rsidRPr="003B0B02">
        <w:rPr>
          <w:vertAlign w:val="superscript"/>
          <w:lang w:val="fr-FR"/>
        </w:rPr>
        <w:footnoteReference w:id="10"/>
      </w:r>
      <w:r w:rsidRPr="003B0B02">
        <w:rPr>
          <w:lang w:val="fr-FR"/>
        </w:rPr>
        <w:t>.</w:t>
      </w:r>
    </w:p>
    <w:p w14:paraId="7D95A088" w14:textId="68FE9269" w:rsidR="00C03E58" w:rsidRPr="003B0B02" w:rsidRDefault="00C03E58" w:rsidP="00986EF8">
      <w:pPr>
        <w:pStyle w:val="SingleTxt"/>
        <w:numPr>
          <w:ilvl w:val="0"/>
          <w:numId w:val="9"/>
        </w:numPr>
        <w:spacing w:line="240" w:lineRule="exact"/>
        <w:rPr>
          <w:lang w:val="fr-FR"/>
        </w:rPr>
      </w:pPr>
      <w:r w:rsidRPr="003B0B02">
        <w:rPr>
          <w:lang w:val="fr-FR"/>
        </w:rPr>
        <w:t>Par ailleurs, des communications ont été envoyées à diverses autorités, y compris aux représentantes et représentants des communautés autochtones et aux maires des municipalités, des districts et des agglomérations, afin de les informer de la portée des lignes directrices mentionnées aux paragraphes</w:t>
      </w:r>
      <w:r w:rsidR="00EA4BC8" w:rsidRPr="003B0B02">
        <w:rPr>
          <w:lang w:val="fr-FR"/>
        </w:rPr>
        <w:t xml:space="preserve"> </w:t>
      </w:r>
      <w:r w:rsidRPr="003B0B02">
        <w:rPr>
          <w:lang w:val="fr-FR"/>
        </w:rPr>
        <w:t>7 et 8 ci-dessus</w:t>
      </w:r>
      <w:r w:rsidRPr="003B0B02">
        <w:rPr>
          <w:vertAlign w:val="superscript"/>
          <w:lang w:val="fr-FR"/>
        </w:rPr>
        <w:footnoteReference w:id="11"/>
      </w:r>
      <w:r w:rsidRPr="003B0B02">
        <w:rPr>
          <w:lang w:val="fr-FR"/>
        </w:rPr>
        <w:t>.</w:t>
      </w:r>
    </w:p>
    <w:p w14:paraId="10308A8B" w14:textId="77777777" w:rsidR="007E3A90" w:rsidRPr="003B0B02" w:rsidRDefault="007E3A90" w:rsidP="007E3A90">
      <w:pPr>
        <w:pStyle w:val="SingleTxt"/>
        <w:spacing w:after="0" w:line="120" w:lineRule="exact"/>
        <w:rPr>
          <w:b/>
          <w:bCs/>
          <w:sz w:val="10"/>
          <w:lang w:val="fr-FR"/>
        </w:rPr>
      </w:pPr>
      <w:bookmarkStart w:id="3" w:name="_heading=h.2et92p0" w:colFirst="0" w:colLast="0"/>
      <w:bookmarkEnd w:id="3"/>
    </w:p>
    <w:p w14:paraId="7237A953" w14:textId="77777777" w:rsidR="007E3A90" w:rsidRPr="003B0B02" w:rsidRDefault="007E3A90" w:rsidP="007E3A90">
      <w:pPr>
        <w:pStyle w:val="SingleTxt"/>
        <w:spacing w:after="0" w:line="120" w:lineRule="exact"/>
        <w:rPr>
          <w:b/>
          <w:bCs/>
          <w:sz w:val="10"/>
          <w:lang w:val="fr-FR"/>
        </w:rPr>
      </w:pPr>
    </w:p>
    <w:p w14:paraId="703C70E6" w14:textId="5C67CE3C" w:rsidR="00C03E58" w:rsidRPr="003B0B02" w:rsidRDefault="007E3A90" w:rsidP="007E3A9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B0B02">
        <w:rPr>
          <w:lang w:val="fr-FR"/>
        </w:rPr>
        <w:tab/>
      </w:r>
      <w:r w:rsidR="00C03E58" w:rsidRPr="003B0B02">
        <w:rPr>
          <w:lang w:val="fr-FR"/>
        </w:rPr>
        <w:t>B.</w:t>
      </w:r>
      <w:r w:rsidR="00C03E58" w:rsidRPr="003B0B02">
        <w:rPr>
          <w:lang w:val="fr-FR"/>
        </w:rPr>
        <w:tab/>
        <w:t>Violence à l’égard des femmes fondée sur le genre</w:t>
      </w:r>
    </w:p>
    <w:p w14:paraId="2945074B" w14:textId="77777777" w:rsidR="007E3A90" w:rsidRPr="003B0B02" w:rsidRDefault="007E3A90" w:rsidP="007E3A90">
      <w:pPr>
        <w:pStyle w:val="SingleTxt"/>
        <w:spacing w:after="0" w:line="120" w:lineRule="exact"/>
        <w:rPr>
          <w:sz w:val="10"/>
          <w:lang w:val="fr-FR"/>
        </w:rPr>
      </w:pPr>
    </w:p>
    <w:p w14:paraId="2979F433" w14:textId="77777777" w:rsidR="007E3A90" w:rsidRPr="003B0B02" w:rsidRDefault="007E3A90" w:rsidP="007E3A90">
      <w:pPr>
        <w:pStyle w:val="SingleTxt"/>
        <w:spacing w:after="0" w:line="120" w:lineRule="exact"/>
        <w:rPr>
          <w:sz w:val="10"/>
          <w:lang w:val="fr-FR"/>
        </w:rPr>
      </w:pPr>
    </w:p>
    <w:p w14:paraId="59C40C2F" w14:textId="09883D38" w:rsidR="00C03E58" w:rsidRPr="003B0B02" w:rsidRDefault="00C03E58" w:rsidP="00986EF8">
      <w:pPr>
        <w:pStyle w:val="SingleTxt"/>
        <w:numPr>
          <w:ilvl w:val="0"/>
          <w:numId w:val="10"/>
        </w:numPr>
        <w:spacing w:line="240" w:lineRule="exact"/>
        <w:rPr>
          <w:lang w:val="fr-FR"/>
        </w:rPr>
      </w:pPr>
      <w:r w:rsidRPr="003B0B02">
        <w:rPr>
          <w:lang w:val="fr-FR"/>
        </w:rPr>
        <w:t>En réponse au paragraphe</w:t>
      </w:r>
      <w:r w:rsidR="00EA4BC8" w:rsidRPr="003B0B02">
        <w:rPr>
          <w:lang w:val="fr-FR"/>
        </w:rPr>
        <w:t xml:space="preserve"> </w:t>
      </w:r>
      <w:r w:rsidRPr="003B0B02">
        <w:rPr>
          <w:lang w:val="fr-FR"/>
        </w:rPr>
        <w:t>24 a), le Pérou indique que la politique nationale d’égalité des genres a pour premier objectif prioritaire de «</w:t>
      </w:r>
      <w:r w:rsidR="00EA4BC8" w:rsidRPr="003B0B02">
        <w:rPr>
          <w:lang w:val="fr-FR"/>
        </w:rPr>
        <w:t xml:space="preserve"> </w:t>
      </w:r>
      <w:r w:rsidRPr="003B0B02">
        <w:rPr>
          <w:lang w:val="fr-FR"/>
        </w:rPr>
        <w:t>réduire la violence à l’égard des femmes</w:t>
      </w:r>
      <w:r w:rsidR="00EA4BC8" w:rsidRPr="003B0B02">
        <w:rPr>
          <w:lang w:val="fr-FR"/>
        </w:rPr>
        <w:t xml:space="preserve"> </w:t>
      </w:r>
      <w:r w:rsidRPr="003B0B02">
        <w:rPr>
          <w:lang w:val="fr-FR"/>
        </w:rPr>
        <w:t>»</w:t>
      </w:r>
      <w:r w:rsidRPr="003B0B02">
        <w:rPr>
          <w:vertAlign w:val="superscript"/>
          <w:lang w:val="fr-FR"/>
        </w:rPr>
        <w:footnoteReference w:id="12"/>
      </w:r>
      <w:r w:rsidRPr="003B0B02">
        <w:rPr>
          <w:lang w:val="fr-FR"/>
        </w:rPr>
        <w:t>. Son exécution est garantie par le programme budgétaire axé sur les résultats pour la réduction de la violence à l’égard des femmes</w:t>
      </w:r>
      <w:r w:rsidRPr="003B0B02">
        <w:rPr>
          <w:vertAlign w:val="superscript"/>
          <w:lang w:val="fr-FR"/>
        </w:rPr>
        <w:footnoteReference w:id="13"/>
      </w:r>
      <w:r w:rsidRPr="003B0B02">
        <w:rPr>
          <w:lang w:val="fr-FR"/>
        </w:rPr>
        <w:t>, qui est un instrument technico-budgétaire de nature intersectorielle et intergouvernementale.</w:t>
      </w:r>
    </w:p>
    <w:p w14:paraId="51143ED1" w14:textId="60C74FD9" w:rsidR="00C03E58" w:rsidRPr="003B0B02" w:rsidRDefault="00C03E58" w:rsidP="00986EF8">
      <w:pPr>
        <w:pStyle w:val="SingleTxt"/>
        <w:numPr>
          <w:ilvl w:val="0"/>
          <w:numId w:val="10"/>
        </w:numPr>
        <w:spacing w:line="240" w:lineRule="exact"/>
        <w:rPr>
          <w:lang w:val="fr-FR"/>
        </w:rPr>
      </w:pPr>
      <w:r w:rsidRPr="003B0B02">
        <w:rPr>
          <w:lang w:val="fr-FR"/>
        </w:rPr>
        <w:t>Plusieurs instruments existent aux fins de l’application de la loi n</w:t>
      </w:r>
      <w:r w:rsidRPr="003B0B02">
        <w:rPr>
          <w:vertAlign w:val="superscript"/>
          <w:lang w:val="fr-FR"/>
        </w:rPr>
        <w:t>o</w:t>
      </w:r>
      <w:r w:rsidR="007E3A90" w:rsidRPr="003B0B02">
        <w:rPr>
          <w:lang w:val="fr-FR"/>
        </w:rPr>
        <w:t> </w:t>
      </w:r>
      <w:r w:rsidRPr="003B0B02">
        <w:rPr>
          <w:lang w:val="fr-FR"/>
        </w:rPr>
        <w:t>30364 relative à la prévention, la répression et l’élimination de la violence à l’égard des femmes et des membres du groupe familial, dont le Système national de prévention, de répression et d’élimination de la violence à l’égard des femmes et des membres du groupe familial</w:t>
      </w:r>
      <w:r w:rsidRPr="003B0B02">
        <w:rPr>
          <w:vertAlign w:val="superscript"/>
          <w:lang w:val="fr-FR"/>
        </w:rPr>
        <w:footnoteReference w:id="14"/>
      </w:r>
      <w:r w:rsidRPr="003B0B02">
        <w:rPr>
          <w:lang w:val="fr-FR"/>
        </w:rPr>
        <w:t>, et la Commission multisectorielle de haut niveau. Chargée du suivi de ce système, la Commission multisectorielle est composée de divers représentantes et représentants du pouvoir exécutif, du pouvoir judiciaire, du Ministère public-Bureau du Procureur général de la nation et du Bureau du Défenseur du peuple.</w:t>
      </w:r>
    </w:p>
    <w:p w14:paraId="10BAA64E" w14:textId="707FD56A" w:rsidR="00C03E58" w:rsidRPr="003B0B02" w:rsidRDefault="00C03E58" w:rsidP="003B0B02">
      <w:pPr>
        <w:pStyle w:val="SingleTxt"/>
        <w:numPr>
          <w:ilvl w:val="0"/>
          <w:numId w:val="31"/>
        </w:numPr>
        <w:spacing w:line="240" w:lineRule="exact"/>
        <w:rPr>
          <w:lang w:val="fr-FR"/>
        </w:rPr>
      </w:pPr>
      <w:r w:rsidRPr="003B0B02">
        <w:rPr>
          <w:szCs w:val="20"/>
          <w:lang w:val="fr-FR"/>
        </w:rPr>
        <w:t>Le</w:t>
      </w:r>
      <w:r w:rsidRPr="003B0B02">
        <w:rPr>
          <w:lang w:val="fr-FR"/>
        </w:rPr>
        <w:t xml:space="preserve"> Système national compte des organes de concertation au niveau des régions, des provinces et des districts dans l’ensemble du pays, dont la fonction est d’appliquer, de suivre, d’évaluer, de coordonner et d’articuler les politiques de lutte </w:t>
      </w:r>
      <w:r w:rsidRPr="003B0B02">
        <w:rPr>
          <w:lang w:val="fr-FR"/>
        </w:rPr>
        <w:lastRenderedPageBreak/>
        <w:t>contre la violence à l’égard des femmes et des membres du groupe familial, ainsi que de promouvoir et de garantir le respect de la loi n</w:t>
      </w:r>
      <w:r w:rsidRPr="003B0B02">
        <w:rPr>
          <w:vertAlign w:val="superscript"/>
          <w:lang w:val="fr-FR"/>
        </w:rPr>
        <w:t>o</w:t>
      </w:r>
      <w:r w:rsidR="00EA4BC8" w:rsidRPr="003B0B02">
        <w:rPr>
          <w:lang w:val="fr-FR"/>
        </w:rPr>
        <w:t xml:space="preserve"> </w:t>
      </w:r>
      <w:r w:rsidRPr="003B0B02">
        <w:rPr>
          <w:lang w:val="fr-FR"/>
        </w:rPr>
        <w:t>30364. Ces organes sont supervisés par la Commission multisectorielle de haut niveau.</w:t>
      </w:r>
    </w:p>
    <w:p w14:paraId="638AB1A9" w14:textId="0C5A8AD6" w:rsidR="00C03E58" w:rsidRPr="003B0B02" w:rsidRDefault="00C03E58" w:rsidP="003B0B02">
      <w:pPr>
        <w:pStyle w:val="SingleTxt"/>
        <w:numPr>
          <w:ilvl w:val="0"/>
          <w:numId w:val="31"/>
        </w:numPr>
        <w:spacing w:line="240" w:lineRule="exact"/>
        <w:rPr>
          <w:lang w:val="fr-FR"/>
        </w:rPr>
      </w:pPr>
      <w:r w:rsidRPr="003B0B02">
        <w:rPr>
          <w:lang w:val="fr-FR"/>
        </w:rPr>
        <w:t>Compte tenu de l’importance de ces organes, il a été décidé de les renforcer par l’adoption de la loi n</w:t>
      </w:r>
      <w:r w:rsidRPr="003B0B02">
        <w:rPr>
          <w:vertAlign w:val="superscript"/>
          <w:lang w:val="fr-FR"/>
        </w:rPr>
        <w:t>o</w:t>
      </w:r>
      <w:r w:rsidR="00EA4BC8" w:rsidRPr="003B0B02">
        <w:rPr>
          <w:lang w:val="fr-FR"/>
        </w:rPr>
        <w:t xml:space="preserve"> </w:t>
      </w:r>
      <w:r w:rsidRPr="003B0B02">
        <w:rPr>
          <w:lang w:val="fr-FR"/>
        </w:rPr>
        <w:t>31439, portant modification de la loi n</w:t>
      </w:r>
      <w:r w:rsidRPr="003B0B02">
        <w:rPr>
          <w:vertAlign w:val="superscript"/>
          <w:lang w:val="fr-FR"/>
        </w:rPr>
        <w:t>o</w:t>
      </w:r>
      <w:r w:rsidR="00CF115B" w:rsidRPr="003B0B02">
        <w:rPr>
          <w:lang w:val="fr-FR"/>
        </w:rPr>
        <w:t> </w:t>
      </w:r>
      <w:r w:rsidRPr="003B0B02">
        <w:rPr>
          <w:lang w:val="fr-FR"/>
        </w:rPr>
        <w:t>30364</w:t>
      </w:r>
      <w:r w:rsidRPr="003B0B02">
        <w:rPr>
          <w:vertAlign w:val="superscript"/>
          <w:lang w:val="fr-FR"/>
        </w:rPr>
        <w:footnoteReference w:id="15"/>
      </w:r>
      <w:r w:rsidRPr="003B0B02">
        <w:rPr>
          <w:lang w:val="fr-FR"/>
        </w:rPr>
        <w:t>, et par la publication des «</w:t>
      </w:r>
      <w:r w:rsidR="00EA4BC8" w:rsidRPr="003B0B02">
        <w:rPr>
          <w:lang w:val="fr-FR"/>
        </w:rPr>
        <w:t xml:space="preserve"> </w:t>
      </w:r>
      <w:r w:rsidRPr="003B0B02">
        <w:rPr>
          <w:lang w:val="fr-FR"/>
        </w:rPr>
        <w:t>lignes directrices pour l’assistance technique et le suivi de la création et du fonctionnement des organes de consultation régionaux, provinciaux et de district dans le cadre de la loi n</w:t>
      </w:r>
      <w:r w:rsidRPr="003B0B02">
        <w:rPr>
          <w:vertAlign w:val="superscript"/>
          <w:lang w:val="fr-FR"/>
        </w:rPr>
        <w:t>o</w:t>
      </w:r>
      <w:r w:rsidR="00EA4BC8" w:rsidRPr="003B0B02">
        <w:rPr>
          <w:lang w:val="fr-FR"/>
        </w:rPr>
        <w:t xml:space="preserve"> </w:t>
      </w:r>
      <w:r w:rsidRPr="003B0B02">
        <w:rPr>
          <w:lang w:val="fr-FR"/>
        </w:rPr>
        <w:t>30364</w:t>
      </w:r>
      <w:r w:rsidR="00EA4BC8" w:rsidRPr="003B0B02">
        <w:rPr>
          <w:lang w:val="fr-FR"/>
        </w:rPr>
        <w:t xml:space="preserve"> </w:t>
      </w:r>
      <w:r w:rsidRPr="003B0B02">
        <w:rPr>
          <w:lang w:val="fr-FR"/>
        </w:rPr>
        <w:t>»</w:t>
      </w:r>
      <w:r w:rsidRPr="003B0B02">
        <w:rPr>
          <w:vertAlign w:val="superscript"/>
          <w:lang w:val="fr-FR"/>
        </w:rPr>
        <w:footnoteReference w:id="16"/>
      </w:r>
      <w:r w:rsidRPr="003B0B02">
        <w:rPr>
          <w:lang w:val="fr-FR"/>
        </w:rPr>
        <w:t>. En juin 2024, on comptait 26</w:t>
      </w:r>
      <w:r w:rsidR="00EA4BC8" w:rsidRPr="003B0B02">
        <w:rPr>
          <w:lang w:val="fr-FR"/>
        </w:rPr>
        <w:t xml:space="preserve"> </w:t>
      </w:r>
      <w:r w:rsidRPr="003B0B02">
        <w:rPr>
          <w:lang w:val="fr-FR"/>
        </w:rPr>
        <w:t>organes de concertation régionaux (tous les gouvernements régionaux), 195</w:t>
      </w:r>
      <w:r w:rsidR="00EA4BC8" w:rsidRPr="003B0B02">
        <w:rPr>
          <w:lang w:val="fr-FR"/>
        </w:rPr>
        <w:t xml:space="preserve"> </w:t>
      </w:r>
      <w:r w:rsidRPr="003B0B02">
        <w:rPr>
          <w:lang w:val="fr-FR"/>
        </w:rPr>
        <w:t>organes de concertation provinciaux et 911</w:t>
      </w:r>
      <w:r w:rsidR="00EA4BC8" w:rsidRPr="003B0B02">
        <w:rPr>
          <w:lang w:val="fr-FR"/>
        </w:rPr>
        <w:t xml:space="preserve"> </w:t>
      </w:r>
      <w:r w:rsidRPr="003B0B02">
        <w:rPr>
          <w:lang w:val="fr-FR"/>
        </w:rPr>
        <w:t>organes de concertation de district</w:t>
      </w:r>
      <w:r w:rsidRPr="003B0B02">
        <w:rPr>
          <w:vertAlign w:val="superscript"/>
          <w:lang w:val="fr-FR"/>
        </w:rPr>
        <w:footnoteReference w:id="17"/>
      </w:r>
      <w:r w:rsidRPr="003B0B02">
        <w:rPr>
          <w:lang w:val="fr-FR"/>
        </w:rPr>
        <w:t>.</w:t>
      </w:r>
    </w:p>
    <w:p w14:paraId="5ACE8A7E" w14:textId="77777777" w:rsidR="00C03E58" w:rsidRPr="003B0B02" w:rsidRDefault="00C03E58" w:rsidP="003B0B02">
      <w:pPr>
        <w:pStyle w:val="SingleTxt"/>
        <w:numPr>
          <w:ilvl w:val="0"/>
          <w:numId w:val="31"/>
        </w:numPr>
        <w:spacing w:line="240" w:lineRule="exact"/>
        <w:rPr>
          <w:lang w:val="fr-FR"/>
        </w:rPr>
      </w:pPr>
      <w:r w:rsidRPr="003B0B02">
        <w:rPr>
          <w:lang w:val="fr-FR"/>
        </w:rPr>
        <w:t>En 2021, la Stratégie nationale pour la mise en œuvre du Système national de justice spécialisé dans la protection contre la violence à l’égard des femmes et des membres du groupe familial a été approuvée dans le but de promouvoir l’application stratégique et progressive du Système</w:t>
      </w:r>
      <w:r w:rsidRPr="003B0B02">
        <w:rPr>
          <w:vertAlign w:val="superscript"/>
          <w:lang w:val="fr-FR"/>
        </w:rPr>
        <w:footnoteReference w:id="18"/>
      </w:r>
      <w:r w:rsidRPr="003B0B02">
        <w:rPr>
          <w:lang w:val="fr-FR"/>
        </w:rPr>
        <w:t>. En mars 2024, ce système était opérationnel dans huit districts judiciaires du pays</w:t>
      </w:r>
      <w:r w:rsidRPr="003B0B02">
        <w:rPr>
          <w:vertAlign w:val="superscript"/>
          <w:lang w:val="fr-FR"/>
        </w:rPr>
        <w:footnoteReference w:id="19"/>
      </w:r>
      <w:r w:rsidRPr="003B0B02">
        <w:rPr>
          <w:lang w:val="fr-FR"/>
        </w:rPr>
        <w:t>.</w:t>
      </w:r>
    </w:p>
    <w:p w14:paraId="40A3E568" w14:textId="3B4BF6B0" w:rsidR="00C03E58" w:rsidRPr="003B0B02" w:rsidRDefault="00C03E58" w:rsidP="003B0B02">
      <w:pPr>
        <w:pStyle w:val="SingleTxt"/>
        <w:numPr>
          <w:ilvl w:val="0"/>
          <w:numId w:val="31"/>
        </w:numPr>
        <w:spacing w:line="240" w:lineRule="exact"/>
        <w:rPr>
          <w:lang w:val="fr-FR"/>
        </w:rPr>
      </w:pPr>
      <w:r w:rsidRPr="003B0B02">
        <w:rPr>
          <w:lang w:val="fr-FR"/>
        </w:rPr>
        <w:t>En 2022, le décret d’application de la loi n</w:t>
      </w:r>
      <w:r w:rsidRPr="003B0B02">
        <w:rPr>
          <w:vertAlign w:val="superscript"/>
          <w:lang w:val="fr-FR"/>
        </w:rPr>
        <w:t>o</w:t>
      </w:r>
      <w:r w:rsidR="00EA4BC8" w:rsidRPr="003B0B02">
        <w:rPr>
          <w:lang w:val="fr-FR"/>
        </w:rPr>
        <w:t xml:space="preserve"> </w:t>
      </w:r>
      <w:r w:rsidRPr="003B0B02">
        <w:rPr>
          <w:lang w:val="fr-FR"/>
        </w:rPr>
        <w:t>30364</w:t>
      </w:r>
      <w:r w:rsidRPr="003B0B02">
        <w:rPr>
          <w:vertAlign w:val="superscript"/>
          <w:lang w:val="fr-FR"/>
        </w:rPr>
        <w:footnoteReference w:id="20"/>
      </w:r>
      <w:r w:rsidRPr="003B0B02">
        <w:rPr>
          <w:lang w:val="fr-FR"/>
        </w:rPr>
        <w:t xml:space="preserve"> a été modifié de manière à reconnaître expressément quatre formes supplémentaires de violence à l’égard des femmes au sein de la famille, en plus de celles qui étaient déjà mentionnées</w:t>
      </w:r>
      <w:r w:rsidRPr="003B0B02">
        <w:rPr>
          <w:vertAlign w:val="superscript"/>
          <w:lang w:val="fr-FR"/>
        </w:rPr>
        <w:footnoteReference w:id="21"/>
      </w:r>
      <w:r w:rsidRPr="003B0B02">
        <w:rPr>
          <w:lang w:val="fr-FR"/>
        </w:rPr>
        <w:t>. Deux autres lois ont également été approuvées, à savoir la loi n</w:t>
      </w:r>
      <w:r w:rsidRPr="003B0B02">
        <w:rPr>
          <w:vertAlign w:val="superscript"/>
          <w:lang w:val="fr-FR"/>
        </w:rPr>
        <w:t>o</w:t>
      </w:r>
      <w:r w:rsidR="00EA4BC8" w:rsidRPr="003B0B02">
        <w:rPr>
          <w:lang w:val="fr-FR"/>
        </w:rPr>
        <w:t xml:space="preserve"> </w:t>
      </w:r>
      <w:r w:rsidRPr="003B0B02">
        <w:rPr>
          <w:lang w:val="fr-FR"/>
        </w:rPr>
        <w:t>31613, qui favorise l’accès au logement des femmes victimes de violence et oblige d’autres institutions publiques à affecter des biens immobiliers à des foyers d’accueil temporaire</w:t>
      </w:r>
      <w:r w:rsidRPr="003B0B02">
        <w:rPr>
          <w:vertAlign w:val="superscript"/>
          <w:lang w:val="fr-FR"/>
        </w:rPr>
        <w:footnoteReference w:id="22"/>
      </w:r>
      <w:r w:rsidRPr="003B0B02">
        <w:rPr>
          <w:lang w:val="fr-FR"/>
        </w:rPr>
        <w:t>, et la loi n</w:t>
      </w:r>
      <w:r w:rsidRPr="003B0B02">
        <w:rPr>
          <w:vertAlign w:val="superscript"/>
          <w:lang w:val="fr-FR"/>
        </w:rPr>
        <w:t>o</w:t>
      </w:r>
      <w:r w:rsidR="00EA4BC8" w:rsidRPr="003B0B02">
        <w:rPr>
          <w:lang w:val="fr-FR"/>
        </w:rPr>
        <w:t xml:space="preserve"> </w:t>
      </w:r>
      <w:r w:rsidRPr="003B0B02">
        <w:rPr>
          <w:lang w:val="fr-FR"/>
        </w:rPr>
        <w:t>31621, qui promeut les services de protection temporaire pour les victimes de violences familiales et sexuelles</w:t>
      </w:r>
      <w:r w:rsidRPr="003B0B02">
        <w:rPr>
          <w:vertAlign w:val="superscript"/>
          <w:lang w:val="fr-FR"/>
        </w:rPr>
        <w:footnoteReference w:id="23"/>
      </w:r>
      <w:r w:rsidRPr="003B0B02">
        <w:rPr>
          <w:lang w:val="fr-FR"/>
        </w:rPr>
        <w:t>.</w:t>
      </w:r>
    </w:p>
    <w:p w14:paraId="6AA49441" w14:textId="2EA9F124" w:rsidR="00C03E58" w:rsidRPr="003B0B02" w:rsidRDefault="00C03E58" w:rsidP="003B0B02">
      <w:pPr>
        <w:pStyle w:val="SingleTxt"/>
        <w:numPr>
          <w:ilvl w:val="0"/>
          <w:numId w:val="31"/>
        </w:numPr>
        <w:spacing w:line="240" w:lineRule="exact"/>
        <w:rPr>
          <w:lang w:val="fr-FR"/>
        </w:rPr>
      </w:pPr>
      <w:r w:rsidRPr="003B0B02">
        <w:rPr>
          <w:lang w:val="fr-FR"/>
        </w:rPr>
        <w:t>Au cours de la période couverte par le rapport, le Programme national de prévention de la violence à l’égard des femmes et des membres du groupe familial a pris en charge</w:t>
      </w:r>
      <w:r w:rsidR="00EA4BC8" w:rsidRPr="003B0B02">
        <w:rPr>
          <w:lang w:val="fr-FR"/>
        </w:rPr>
        <w:t xml:space="preserve"> </w:t>
      </w:r>
      <w:r w:rsidRPr="003B0B02">
        <w:rPr>
          <w:lang w:val="fr-FR"/>
        </w:rPr>
        <w:t>: i) 375 479 personnes par l’intermédiaire des centres d’urgence pour les femmes, dont 85</w:t>
      </w:r>
      <w:r w:rsidR="00CF115B" w:rsidRPr="003B0B02">
        <w:rPr>
          <w:lang w:val="fr-FR"/>
        </w:rPr>
        <w:t> %</w:t>
      </w:r>
      <w:r w:rsidRPr="003B0B02">
        <w:rPr>
          <w:lang w:val="fr-FR"/>
        </w:rPr>
        <w:t xml:space="preserve"> étaient des femmes</w:t>
      </w:r>
      <w:r w:rsidR="00CF115B" w:rsidRPr="003B0B02">
        <w:rPr>
          <w:lang w:val="fr-FR"/>
        </w:rPr>
        <w:t> ;</w:t>
      </w:r>
      <w:r w:rsidRPr="003B0B02">
        <w:rPr>
          <w:lang w:val="fr-FR"/>
        </w:rPr>
        <w:t xml:space="preserve"> ii) 17 332 personnes par l’intermédiaire du service d’aide d’urgence, dont 80,5</w:t>
      </w:r>
      <w:r w:rsidR="00CF115B" w:rsidRPr="003B0B02">
        <w:rPr>
          <w:lang w:val="fr-FR"/>
        </w:rPr>
        <w:t> %</w:t>
      </w:r>
      <w:r w:rsidRPr="003B0B02">
        <w:rPr>
          <w:lang w:val="fr-FR"/>
        </w:rPr>
        <w:t xml:space="preserve"> étaient des femmes</w:t>
      </w:r>
      <w:r w:rsidR="00CF115B" w:rsidRPr="003B0B02">
        <w:rPr>
          <w:lang w:val="fr-FR"/>
        </w:rPr>
        <w:t> ;</w:t>
      </w:r>
      <w:r w:rsidRPr="003B0B02">
        <w:rPr>
          <w:lang w:val="fr-FR"/>
        </w:rPr>
        <w:t xml:space="preserve"> iii) 7 253 personnes par l’intermédiaire du service d’assistance aux populations rurales, dont 87</w:t>
      </w:r>
      <w:r w:rsidR="00CF115B" w:rsidRPr="003B0B02">
        <w:rPr>
          <w:lang w:val="fr-FR"/>
        </w:rPr>
        <w:t> %</w:t>
      </w:r>
      <w:r w:rsidRPr="003B0B02">
        <w:rPr>
          <w:lang w:val="fr-FR"/>
        </w:rPr>
        <w:t xml:space="preserve"> étaient des femmes</w:t>
      </w:r>
      <w:r w:rsidR="00CF115B" w:rsidRPr="003B0B02">
        <w:rPr>
          <w:lang w:val="fr-FR"/>
        </w:rPr>
        <w:t> ;</w:t>
      </w:r>
      <w:r w:rsidRPr="003B0B02">
        <w:rPr>
          <w:lang w:val="fr-FR"/>
        </w:rPr>
        <w:t xml:space="preserve"> et iv) 806</w:t>
      </w:r>
      <w:r w:rsidR="00EA4BC8" w:rsidRPr="003B0B02">
        <w:rPr>
          <w:lang w:val="fr-FR"/>
        </w:rPr>
        <w:t xml:space="preserve"> </w:t>
      </w:r>
      <w:r w:rsidRPr="003B0B02">
        <w:rPr>
          <w:lang w:val="fr-FR"/>
        </w:rPr>
        <w:t>femmes dans les foyers d’accueil temporaire</w:t>
      </w:r>
      <w:r w:rsidRPr="003B0B02">
        <w:rPr>
          <w:vertAlign w:val="superscript"/>
          <w:lang w:val="fr-FR"/>
        </w:rPr>
        <w:footnoteReference w:id="24"/>
      </w:r>
      <w:r w:rsidRPr="003B0B02">
        <w:rPr>
          <w:lang w:val="fr-FR"/>
        </w:rPr>
        <w:t>.</w:t>
      </w:r>
    </w:p>
    <w:p w14:paraId="46D87AC6" w14:textId="29283412" w:rsidR="00C03E58" w:rsidRPr="003B0B02" w:rsidRDefault="00C03E58" w:rsidP="003B0B02">
      <w:pPr>
        <w:pStyle w:val="SingleTxt"/>
        <w:numPr>
          <w:ilvl w:val="0"/>
          <w:numId w:val="31"/>
        </w:numPr>
        <w:spacing w:line="240" w:lineRule="exact"/>
        <w:rPr>
          <w:lang w:val="fr-FR"/>
        </w:rPr>
      </w:pPr>
      <w:r w:rsidRPr="003B0B02">
        <w:rPr>
          <w:lang w:val="fr-FR"/>
        </w:rPr>
        <w:t xml:space="preserve">Pour renforcer l’attention portée au Programme national de prévention de la violence à l’égard des femmes et des membres du groupe familial, le Ministère de la femme </w:t>
      </w:r>
      <w:r w:rsidRPr="003B0B02">
        <w:rPr>
          <w:spacing w:val="0"/>
          <w:w w:val="102"/>
          <w:lang w:val="fr-FR"/>
        </w:rPr>
        <w:t xml:space="preserve">et des populations vulnérables a approuvé entre 2021 et 2024 des lignes directrices </w:t>
      </w:r>
      <w:r w:rsidRPr="003B0B02">
        <w:rPr>
          <w:spacing w:val="0"/>
          <w:w w:val="102"/>
          <w:lang w:val="fr-FR"/>
        </w:rPr>
        <w:lastRenderedPageBreak/>
        <w:t>pour la prévention de la violence à l’égard des travailleurs et travailleuses domestiques</w:t>
      </w:r>
      <w:r w:rsidRPr="003B0B02">
        <w:rPr>
          <w:spacing w:val="0"/>
          <w:w w:val="102"/>
          <w:vertAlign w:val="superscript"/>
          <w:lang w:val="fr-FR"/>
        </w:rPr>
        <w:footnoteReference w:id="25"/>
      </w:r>
      <w:r w:rsidRPr="003B0B02">
        <w:rPr>
          <w:spacing w:val="0"/>
          <w:w w:val="102"/>
          <w:lang w:val="fr-FR"/>
        </w:rPr>
        <w:t>,</w:t>
      </w:r>
      <w:r w:rsidRPr="003B0B02">
        <w:rPr>
          <w:lang w:val="fr-FR"/>
        </w:rPr>
        <w:t xml:space="preserve"> des personnes lesbiennes, gays, bisexuelles, transgenres et intersexes</w:t>
      </w:r>
      <w:r w:rsidRPr="003B0B02">
        <w:rPr>
          <w:vertAlign w:val="superscript"/>
          <w:lang w:val="fr-FR"/>
        </w:rPr>
        <w:footnoteReference w:id="26"/>
      </w:r>
      <w:r w:rsidRPr="003B0B02">
        <w:rPr>
          <w:lang w:val="fr-FR"/>
        </w:rPr>
        <w:t>, et des personnes âgées</w:t>
      </w:r>
      <w:r w:rsidRPr="003B0B02">
        <w:rPr>
          <w:vertAlign w:val="superscript"/>
          <w:lang w:val="fr-FR"/>
        </w:rPr>
        <w:footnoteReference w:id="27"/>
      </w:r>
      <w:r w:rsidRPr="003B0B02">
        <w:rPr>
          <w:lang w:val="fr-FR"/>
        </w:rPr>
        <w:t xml:space="preserve"> dans le cadre de la loi n</w:t>
      </w:r>
      <w:r w:rsidRPr="003B0B02">
        <w:rPr>
          <w:vertAlign w:val="superscript"/>
          <w:lang w:val="fr-FR"/>
        </w:rPr>
        <w:t>o</w:t>
      </w:r>
      <w:r w:rsidR="00EA4BC8" w:rsidRPr="003B0B02">
        <w:rPr>
          <w:lang w:val="fr-FR"/>
        </w:rPr>
        <w:t xml:space="preserve"> </w:t>
      </w:r>
      <w:r w:rsidRPr="003B0B02">
        <w:rPr>
          <w:lang w:val="fr-FR"/>
        </w:rPr>
        <w:t xml:space="preserve">30364. </w:t>
      </w:r>
    </w:p>
    <w:p w14:paraId="79EACCC0" w14:textId="59E7C00C" w:rsidR="00C03E58" w:rsidRPr="003B0B02" w:rsidRDefault="00C03E58" w:rsidP="003B0B02">
      <w:pPr>
        <w:pStyle w:val="SingleTxt"/>
        <w:numPr>
          <w:ilvl w:val="0"/>
          <w:numId w:val="31"/>
        </w:numPr>
        <w:spacing w:line="240" w:lineRule="exact"/>
        <w:rPr>
          <w:lang w:val="fr-FR"/>
        </w:rPr>
      </w:pPr>
      <w:r w:rsidRPr="003B0B02">
        <w:rPr>
          <w:lang w:val="fr-FR"/>
        </w:rPr>
        <w:t>Conformément à la stratégie nationale de prévention de la violence à l’égard des femmes intitulée «</w:t>
      </w:r>
      <w:r w:rsidR="00EA4BC8" w:rsidRPr="003B0B02">
        <w:rPr>
          <w:lang w:val="fr-FR"/>
        </w:rPr>
        <w:t xml:space="preserve"> </w:t>
      </w:r>
      <w:r w:rsidRPr="003B0B02">
        <w:rPr>
          <w:lang w:val="fr-FR"/>
        </w:rPr>
        <w:t>Femmes sans violence</w:t>
      </w:r>
      <w:r w:rsidR="00EA4BC8" w:rsidRPr="003B0B02">
        <w:rPr>
          <w:lang w:val="fr-FR"/>
        </w:rPr>
        <w:t xml:space="preserve"> </w:t>
      </w:r>
      <w:r w:rsidRPr="003B0B02">
        <w:rPr>
          <w:lang w:val="fr-FR"/>
        </w:rPr>
        <w:t>»</w:t>
      </w:r>
      <w:r w:rsidRPr="003B0B02">
        <w:rPr>
          <w:vertAlign w:val="superscript"/>
          <w:lang w:val="fr-FR"/>
        </w:rPr>
        <w:footnoteReference w:id="28"/>
      </w:r>
      <w:r w:rsidRPr="003B0B02">
        <w:rPr>
          <w:lang w:val="fr-FR"/>
        </w:rPr>
        <w:t>, il a été décidé de lancer une initiative de renforcement de la prévention au moyen d’une stratégie nationale articulée, afin de réaliser le droit des femmes à une vie exempte de violence et de discrimination fondée sur le genre au Pérou</w:t>
      </w:r>
      <w:r w:rsidRPr="003B0B02">
        <w:rPr>
          <w:vertAlign w:val="superscript"/>
          <w:lang w:val="fr-FR"/>
        </w:rPr>
        <w:footnoteReference w:id="29"/>
      </w:r>
      <w:r w:rsidRPr="003B0B02">
        <w:rPr>
          <w:lang w:val="fr-FR"/>
        </w:rPr>
        <w:t>. Dans le cadre de cette initiative, les lignes directrices pour la mise en œuvre, le suivi et l’évaluation de la Stratégie nationale de prévention de la violence à l’égard des femmes «</w:t>
      </w:r>
      <w:r w:rsidR="00EA4BC8" w:rsidRPr="003B0B02">
        <w:rPr>
          <w:lang w:val="fr-FR"/>
        </w:rPr>
        <w:t xml:space="preserve"> </w:t>
      </w:r>
      <w:r w:rsidRPr="003B0B02">
        <w:rPr>
          <w:lang w:val="fr-FR"/>
        </w:rPr>
        <w:t>Femmes sans violence</w:t>
      </w:r>
      <w:r w:rsidR="00EA4BC8" w:rsidRPr="003B0B02">
        <w:rPr>
          <w:lang w:val="fr-FR"/>
        </w:rPr>
        <w:t xml:space="preserve"> </w:t>
      </w:r>
      <w:r w:rsidRPr="003B0B02">
        <w:rPr>
          <w:lang w:val="fr-FR"/>
        </w:rPr>
        <w:t>» ont été approuvées</w:t>
      </w:r>
      <w:r w:rsidRPr="003B0B02">
        <w:rPr>
          <w:vertAlign w:val="superscript"/>
          <w:lang w:val="fr-FR"/>
        </w:rPr>
        <w:footnoteReference w:id="30"/>
      </w:r>
      <w:r w:rsidRPr="003B0B02">
        <w:rPr>
          <w:lang w:val="fr-FR"/>
        </w:rPr>
        <w:t>.</w:t>
      </w:r>
    </w:p>
    <w:p w14:paraId="3FBDE540" w14:textId="24A80686" w:rsidR="00C03E58" w:rsidRPr="003B0B02" w:rsidRDefault="00C03E58" w:rsidP="003B0B02">
      <w:pPr>
        <w:pStyle w:val="SingleTxt"/>
        <w:numPr>
          <w:ilvl w:val="0"/>
          <w:numId w:val="31"/>
        </w:numPr>
        <w:spacing w:line="240" w:lineRule="exact"/>
        <w:rPr>
          <w:lang w:val="fr-FR"/>
        </w:rPr>
      </w:pPr>
      <w:r w:rsidRPr="003B0B02">
        <w:rPr>
          <w:lang w:val="fr-FR"/>
        </w:rPr>
        <w:t>Un «</w:t>
      </w:r>
      <w:r w:rsidR="00EA4BC8" w:rsidRPr="003B0B02">
        <w:rPr>
          <w:lang w:val="fr-FR"/>
        </w:rPr>
        <w:t xml:space="preserve"> </w:t>
      </w:r>
      <w:r w:rsidRPr="003B0B02">
        <w:rPr>
          <w:lang w:val="fr-FR"/>
        </w:rPr>
        <w:t>Observatoire national du harcèlement politique à l’égard des femmes</w:t>
      </w:r>
      <w:r w:rsidR="00EA4BC8" w:rsidRPr="003B0B02">
        <w:rPr>
          <w:lang w:val="fr-FR"/>
        </w:rPr>
        <w:t xml:space="preserve"> </w:t>
      </w:r>
      <w:r w:rsidRPr="003B0B02">
        <w:rPr>
          <w:lang w:val="fr-FR"/>
        </w:rPr>
        <w:t xml:space="preserve">» et un système </w:t>
      </w:r>
      <w:r w:rsidRPr="003B0B02">
        <w:rPr>
          <w:spacing w:val="0"/>
          <w:w w:val="102"/>
          <w:lang w:val="fr-FR"/>
        </w:rPr>
        <w:t>d’alerte précoce ont également été mis en place dans le cadre de l’Observatoire national de la violence à l’égard des femmes et des membres du groupe familial</w:t>
      </w:r>
      <w:r w:rsidRPr="003B0B02">
        <w:rPr>
          <w:spacing w:val="0"/>
          <w:w w:val="102"/>
          <w:vertAlign w:val="superscript"/>
          <w:lang w:val="fr-FR"/>
        </w:rPr>
        <w:footnoteReference w:id="31"/>
      </w:r>
      <w:r w:rsidRPr="003B0B02">
        <w:rPr>
          <w:spacing w:val="0"/>
          <w:w w:val="102"/>
          <w:lang w:val="fr-FR"/>
        </w:rPr>
        <w:t>.</w:t>
      </w:r>
    </w:p>
    <w:p w14:paraId="731099B2" w14:textId="4EF56E13" w:rsidR="00C03E58" w:rsidRPr="003B0B02" w:rsidRDefault="00C03E58" w:rsidP="003B0B02">
      <w:pPr>
        <w:pStyle w:val="SingleTxt"/>
        <w:numPr>
          <w:ilvl w:val="0"/>
          <w:numId w:val="31"/>
        </w:numPr>
        <w:spacing w:line="240" w:lineRule="exact"/>
        <w:rPr>
          <w:lang w:val="fr-FR"/>
        </w:rPr>
      </w:pPr>
      <w:r w:rsidRPr="003B0B02">
        <w:rPr>
          <w:lang w:val="fr-FR"/>
        </w:rPr>
        <w:t>Pour sa part, le pouvoir judiciaire a indiqué avoir publié, entre décembre 2021 et mars 2024, des protocoles et des lignes directrices visant à garantir la qualité des procédures de tutelle spéciale dans les affaires de violence à l’égard des femmes et des membres du groupe familial</w:t>
      </w:r>
      <w:r w:rsidRPr="003B0B02">
        <w:rPr>
          <w:vertAlign w:val="superscript"/>
          <w:lang w:val="fr-FR"/>
        </w:rPr>
        <w:footnoteReference w:id="32"/>
      </w:r>
      <w:r w:rsidR="00CF115B" w:rsidRPr="003B0B02">
        <w:rPr>
          <w:lang w:val="fr-FR"/>
        </w:rPr>
        <w:t> ;</w:t>
      </w:r>
      <w:r w:rsidRPr="003B0B02">
        <w:rPr>
          <w:lang w:val="fr-FR"/>
        </w:rPr>
        <w:t xml:space="preserve"> assurer l’octroi de mesures de protection et de précaution conformément à la loi n</w:t>
      </w:r>
      <w:r w:rsidRPr="003B0B02">
        <w:rPr>
          <w:vertAlign w:val="superscript"/>
          <w:lang w:val="fr-FR"/>
        </w:rPr>
        <w:t>o</w:t>
      </w:r>
      <w:r w:rsidR="00EA4BC8" w:rsidRPr="003B0B02">
        <w:rPr>
          <w:lang w:val="fr-FR"/>
        </w:rPr>
        <w:t xml:space="preserve"> </w:t>
      </w:r>
      <w:r w:rsidRPr="003B0B02">
        <w:rPr>
          <w:lang w:val="fr-FR"/>
        </w:rPr>
        <w:t>30364</w:t>
      </w:r>
      <w:r w:rsidRPr="003B0B02">
        <w:rPr>
          <w:vertAlign w:val="superscript"/>
          <w:lang w:val="fr-FR"/>
        </w:rPr>
        <w:footnoteReference w:id="33"/>
      </w:r>
      <w:r w:rsidR="00CF115B" w:rsidRPr="003B0B02">
        <w:rPr>
          <w:lang w:val="fr-FR"/>
        </w:rPr>
        <w:t> ;</w:t>
      </w:r>
      <w:r w:rsidRPr="003B0B02">
        <w:rPr>
          <w:lang w:val="fr-FR"/>
        </w:rPr>
        <w:t xml:space="preserve"> veiller à ce que les tribunaux de paix appliquent la loi n</w:t>
      </w:r>
      <w:r w:rsidRPr="003B0B02">
        <w:rPr>
          <w:vertAlign w:val="superscript"/>
          <w:lang w:val="fr-FR"/>
        </w:rPr>
        <w:t>o</w:t>
      </w:r>
      <w:r w:rsidR="00EA4BC8" w:rsidRPr="003B0B02">
        <w:rPr>
          <w:lang w:val="fr-FR"/>
        </w:rPr>
        <w:t xml:space="preserve"> </w:t>
      </w:r>
      <w:r w:rsidRPr="003B0B02">
        <w:rPr>
          <w:lang w:val="fr-FR"/>
        </w:rPr>
        <w:t>30364</w:t>
      </w:r>
      <w:r w:rsidRPr="003B0B02">
        <w:rPr>
          <w:vertAlign w:val="superscript"/>
          <w:lang w:val="fr-FR"/>
        </w:rPr>
        <w:footnoteReference w:id="34"/>
      </w:r>
      <w:r w:rsidR="00CF115B" w:rsidRPr="003B0B02">
        <w:rPr>
          <w:lang w:val="fr-FR"/>
        </w:rPr>
        <w:t> ;</w:t>
      </w:r>
      <w:r w:rsidRPr="003B0B02">
        <w:rPr>
          <w:lang w:val="fr-FR"/>
        </w:rPr>
        <w:t xml:space="preserve"> et normaliser l’administration de la justice en tenant compte de l’égalité des genres</w:t>
      </w:r>
      <w:r w:rsidRPr="003B0B02">
        <w:rPr>
          <w:vertAlign w:val="superscript"/>
          <w:lang w:val="fr-FR"/>
        </w:rPr>
        <w:footnoteReference w:id="35"/>
      </w:r>
      <w:r w:rsidRPr="003B0B02">
        <w:rPr>
          <w:lang w:val="fr-FR"/>
        </w:rPr>
        <w:t>, entre autres dispositions visant à améliorer le service aux victimes d’infractions liées à la violence fondée sur le genre</w:t>
      </w:r>
      <w:r w:rsidRPr="003B0B02">
        <w:rPr>
          <w:vertAlign w:val="superscript"/>
          <w:lang w:val="fr-FR"/>
        </w:rPr>
        <w:footnoteReference w:id="36"/>
      </w:r>
      <w:r w:rsidRPr="003B0B02">
        <w:rPr>
          <w:lang w:val="fr-FR"/>
        </w:rPr>
        <w:t>.</w:t>
      </w:r>
    </w:p>
    <w:p w14:paraId="5EE52C83" w14:textId="77777777" w:rsidR="00C03E58" w:rsidRPr="003B0B02" w:rsidRDefault="00C03E58" w:rsidP="003B0B02">
      <w:pPr>
        <w:pStyle w:val="SingleTxt"/>
        <w:numPr>
          <w:ilvl w:val="0"/>
          <w:numId w:val="31"/>
        </w:numPr>
        <w:spacing w:line="240" w:lineRule="exact"/>
        <w:rPr>
          <w:lang w:val="fr-FR"/>
        </w:rPr>
      </w:pPr>
      <w:r w:rsidRPr="003B0B02">
        <w:rPr>
          <w:lang w:val="fr-FR"/>
        </w:rPr>
        <w:t>Dans le même sens, le Ministère public-Bureau du Procureur général de la nation a approuvé la Directive sur la réalisation d’enquêtes sur les violences à l’égard des femmes et les violences intrafamiliales tenant compte des questions de genre</w:t>
      </w:r>
      <w:r w:rsidRPr="003B0B02">
        <w:rPr>
          <w:vertAlign w:val="superscript"/>
          <w:lang w:val="fr-FR"/>
        </w:rPr>
        <w:footnoteReference w:id="37"/>
      </w:r>
      <w:r w:rsidRPr="003B0B02">
        <w:rPr>
          <w:lang w:val="fr-FR"/>
        </w:rPr>
        <w:t>. En outre, le réseau national de coordination des parquets spécialisés dans la violence à l’égard des femmes et des membres du groupe familial a contribué à l’approbation de quatre documents consultatifs établissant des normes visant à intégrer une perspective de genre dans les poursuites judiciaires</w:t>
      </w:r>
      <w:r w:rsidRPr="003B0B02">
        <w:rPr>
          <w:vertAlign w:val="superscript"/>
          <w:lang w:val="fr-FR"/>
        </w:rPr>
        <w:footnoteReference w:id="38"/>
      </w:r>
      <w:r w:rsidRPr="003B0B02">
        <w:rPr>
          <w:lang w:val="fr-FR"/>
        </w:rPr>
        <w:t xml:space="preserve">, et de deux guides didactiques </w:t>
      </w:r>
      <w:r w:rsidRPr="003B0B02">
        <w:rPr>
          <w:lang w:val="fr-FR"/>
        </w:rPr>
        <w:lastRenderedPageBreak/>
        <w:t>pour les enquêtes sur les actes de violence sexuelle</w:t>
      </w:r>
      <w:r w:rsidRPr="003B0B02">
        <w:rPr>
          <w:vertAlign w:val="superscript"/>
          <w:lang w:val="fr-FR"/>
        </w:rPr>
        <w:footnoteReference w:id="39"/>
      </w:r>
      <w:r w:rsidRPr="003B0B02">
        <w:rPr>
          <w:lang w:val="fr-FR"/>
        </w:rPr>
        <w:t xml:space="preserve"> et les agressions à l’égard des femmes</w:t>
      </w:r>
      <w:r w:rsidRPr="003B0B02">
        <w:rPr>
          <w:vertAlign w:val="superscript"/>
          <w:lang w:val="fr-FR"/>
        </w:rPr>
        <w:footnoteReference w:id="40"/>
      </w:r>
      <w:r w:rsidRPr="003B0B02">
        <w:rPr>
          <w:lang w:val="fr-FR"/>
        </w:rPr>
        <w:t>.</w:t>
      </w:r>
    </w:p>
    <w:p w14:paraId="0A209438" w14:textId="77777777" w:rsidR="007E3A90" w:rsidRPr="003B0B02" w:rsidRDefault="007E3A90" w:rsidP="003B0B02">
      <w:pPr>
        <w:pStyle w:val="SingleTxt"/>
        <w:spacing w:after="0" w:line="120" w:lineRule="exact"/>
        <w:rPr>
          <w:sz w:val="10"/>
          <w:lang w:val="fr-FR"/>
        </w:rPr>
      </w:pPr>
      <w:bookmarkStart w:id="4" w:name="_heading=h.tyjcwt" w:colFirst="0" w:colLast="0"/>
      <w:bookmarkEnd w:id="4"/>
    </w:p>
    <w:p w14:paraId="5DDEADA9" w14:textId="77777777" w:rsidR="0091491A" w:rsidRPr="003B0B02" w:rsidRDefault="0091491A" w:rsidP="003B0B02">
      <w:pPr>
        <w:pStyle w:val="SingleTxt"/>
        <w:spacing w:after="0" w:line="120" w:lineRule="exact"/>
        <w:rPr>
          <w:sz w:val="10"/>
          <w:lang w:val="fr-FR"/>
        </w:rPr>
      </w:pPr>
    </w:p>
    <w:p w14:paraId="18E97855" w14:textId="5B9B7DEF" w:rsidR="00C03E58" w:rsidRPr="003B0B02" w:rsidRDefault="007E3A90" w:rsidP="007E3A9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B0B02">
        <w:rPr>
          <w:lang w:val="fr-FR"/>
        </w:rPr>
        <w:tab/>
      </w:r>
      <w:r w:rsidR="00C03E58" w:rsidRPr="003B0B02">
        <w:rPr>
          <w:lang w:val="fr-FR"/>
        </w:rPr>
        <w:t>C.</w:t>
      </w:r>
      <w:r w:rsidR="00C03E58" w:rsidRPr="003B0B02">
        <w:rPr>
          <w:lang w:val="fr-FR"/>
        </w:rPr>
        <w:tab/>
        <w:t>Éducation</w:t>
      </w:r>
    </w:p>
    <w:p w14:paraId="5B6AC11E" w14:textId="77777777" w:rsidR="007E3A90" w:rsidRPr="003B0B02" w:rsidRDefault="007E3A90" w:rsidP="007E3A90">
      <w:pPr>
        <w:pStyle w:val="SingleTxt"/>
        <w:spacing w:after="0" w:line="120" w:lineRule="exact"/>
        <w:rPr>
          <w:sz w:val="10"/>
          <w:lang w:val="fr-FR"/>
        </w:rPr>
      </w:pPr>
    </w:p>
    <w:p w14:paraId="1BBF1E4D" w14:textId="77777777" w:rsidR="007E3A90" w:rsidRPr="003B0B02" w:rsidRDefault="007E3A90" w:rsidP="007E3A90">
      <w:pPr>
        <w:pStyle w:val="SingleTxt"/>
        <w:spacing w:after="0" w:line="120" w:lineRule="exact"/>
        <w:rPr>
          <w:sz w:val="10"/>
          <w:lang w:val="fr-FR"/>
        </w:rPr>
      </w:pPr>
    </w:p>
    <w:p w14:paraId="4FBA0715" w14:textId="55AD1B40" w:rsidR="00C03E58" w:rsidRPr="003B0B02" w:rsidRDefault="00C03E58" w:rsidP="003B0B02">
      <w:pPr>
        <w:pStyle w:val="SingleTxt"/>
        <w:numPr>
          <w:ilvl w:val="0"/>
          <w:numId w:val="31"/>
        </w:numPr>
        <w:spacing w:line="240" w:lineRule="exact"/>
        <w:rPr>
          <w:lang w:val="fr-FR"/>
        </w:rPr>
      </w:pPr>
      <w:r w:rsidRPr="003B0B02">
        <w:rPr>
          <w:lang w:val="fr-FR"/>
        </w:rPr>
        <w:t>En réponse au paragraphe</w:t>
      </w:r>
      <w:r w:rsidR="00EA4BC8" w:rsidRPr="003B0B02">
        <w:rPr>
          <w:lang w:val="fr-FR"/>
        </w:rPr>
        <w:t xml:space="preserve"> </w:t>
      </w:r>
      <w:r w:rsidRPr="003B0B02">
        <w:rPr>
          <w:lang w:val="fr-FR"/>
        </w:rPr>
        <w:t>34</w:t>
      </w:r>
      <w:r w:rsidR="00EA4BC8" w:rsidRPr="003B0B02">
        <w:rPr>
          <w:lang w:val="fr-FR"/>
        </w:rPr>
        <w:t xml:space="preserve"> </w:t>
      </w:r>
      <w:r w:rsidRPr="003B0B02">
        <w:rPr>
          <w:lang w:val="fr-FR"/>
        </w:rPr>
        <w:t>b), le Pérou tient à souligner l’adoption de la loi n</w:t>
      </w:r>
      <w:r w:rsidRPr="003B0B02">
        <w:rPr>
          <w:vertAlign w:val="superscript"/>
          <w:lang w:val="fr-FR"/>
        </w:rPr>
        <w:t>o</w:t>
      </w:r>
      <w:r w:rsidR="00EA4BC8" w:rsidRPr="003B0B02">
        <w:rPr>
          <w:lang w:val="fr-FR"/>
        </w:rPr>
        <w:t xml:space="preserve"> </w:t>
      </w:r>
      <w:r w:rsidRPr="003B0B02">
        <w:rPr>
          <w:lang w:val="fr-FR"/>
        </w:rPr>
        <w:t>29600 en 2010. Cette loi promeut la réinsertion scolaire en cas de grossesse</w:t>
      </w:r>
      <w:r w:rsidRPr="003B0B02">
        <w:rPr>
          <w:vertAlign w:val="superscript"/>
          <w:lang w:val="fr-FR"/>
        </w:rPr>
        <w:footnoteReference w:id="41"/>
      </w:r>
      <w:r w:rsidRPr="003B0B02">
        <w:rPr>
          <w:lang w:val="fr-FR"/>
        </w:rPr>
        <w:t xml:space="preserve"> et prévoit des mesures visant à promouvoir l’équité en matière d’éducation et à maintenir les étudiantes enceintes et mères étudiantes dans le système éducatif. Il convient de noter que la loi interdit d’expulser les étudiantes enceintes ou mères étudiantes ou de limiter leur accès à l’école. Elle oblige également les établissements d’enseignement à mettre au point des indicateurs sur les progrès réalisés dans la mise en œuvre de mesures visant à prévenir et à éliminer toute forme de discrimination fondée sur la grossesse ou la maternité</w:t>
      </w:r>
      <w:r w:rsidRPr="003B0B02">
        <w:rPr>
          <w:vertAlign w:val="superscript"/>
          <w:lang w:val="fr-FR"/>
        </w:rPr>
        <w:footnoteReference w:id="42"/>
      </w:r>
      <w:r w:rsidRPr="003B0B02">
        <w:rPr>
          <w:lang w:val="fr-FR"/>
        </w:rPr>
        <w:t>.</w:t>
      </w:r>
    </w:p>
    <w:p w14:paraId="2EAE7EEE" w14:textId="7F9F8F76" w:rsidR="00C03E58" w:rsidRPr="003B0B02" w:rsidRDefault="00C03E58" w:rsidP="003B0B02">
      <w:pPr>
        <w:pStyle w:val="SingleTxt"/>
        <w:numPr>
          <w:ilvl w:val="0"/>
          <w:numId w:val="31"/>
        </w:numPr>
        <w:spacing w:line="240" w:lineRule="exact"/>
        <w:rPr>
          <w:lang w:val="fr-FR"/>
        </w:rPr>
      </w:pPr>
      <w:r w:rsidRPr="003B0B02">
        <w:rPr>
          <w:lang w:val="fr-FR"/>
        </w:rPr>
        <w:t>En outre, le décret d’application de la loi générale sur l’éducation n</w:t>
      </w:r>
      <w:r w:rsidRPr="003B0B02">
        <w:rPr>
          <w:vertAlign w:val="superscript"/>
          <w:lang w:val="fr-FR"/>
        </w:rPr>
        <w:t>o</w:t>
      </w:r>
      <w:r w:rsidR="00EA4BC8" w:rsidRPr="003B0B02">
        <w:rPr>
          <w:lang w:val="fr-FR"/>
        </w:rPr>
        <w:t xml:space="preserve"> </w:t>
      </w:r>
      <w:r w:rsidRPr="003B0B02">
        <w:rPr>
          <w:lang w:val="fr-FR"/>
        </w:rPr>
        <w:t>28044</w:t>
      </w:r>
      <w:r w:rsidRPr="003B0B02">
        <w:rPr>
          <w:vertAlign w:val="superscript"/>
          <w:lang w:val="fr-FR"/>
        </w:rPr>
        <w:footnoteReference w:id="43"/>
      </w:r>
      <w:r w:rsidRPr="003B0B02">
        <w:rPr>
          <w:lang w:val="fr-FR"/>
        </w:rPr>
        <w:t xml:space="preserve"> établit expressément que les établissements d’enseignement ont le devoir de veiller à maintenir les adolescentes enceintes et les mères adolescentes</w:t>
      </w:r>
      <w:r w:rsidRPr="003B0B02">
        <w:rPr>
          <w:vertAlign w:val="superscript"/>
          <w:lang w:val="fr-FR"/>
        </w:rPr>
        <w:footnoteReference w:id="44"/>
      </w:r>
      <w:r w:rsidRPr="003B0B02">
        <w:rPr>
          <w:lang w:val="fr-FR"/>
        </w:rPr>
        <w:t xml:space="preserve"> dans le système scolaire et d’adopter des mesures garantissant leur accès à l’enseignement, leur maintien et leur réinsertion dans le système scolaire, et l’achèvement de leur parcours éducatif sans discrimination</w:t>
      </w:r>
      <w:r w:rsidRPr="003B0B02">
        <w:rPr>
          <w:vertAlign w:val="superscript"/>
          <w:lang w:val="fr-FR"/>
        </w:rPr>
        <w:footnoteReference w:id="45"/>
      </w:r>
      <w:r w:rsidRPr="003B0B02">
        <w:rPr>
          <w:lang w:val="fr-FR"/>
        </w:rPr>
        <w:t>.</w:t>
      </w:r>
    </w:p>
    <w:p w14:paraId="7748432E" w14:textId="77777777" w:rsidR="00C03E58" w:rsidRPr="003B0B02" w:rsidRDefault="00C03E58" w:rsidP="003B0B02">
      <w:pPr>
        <w:pStyle w:val="SingleTxt"/>
        <w:numPr>
          <w:ilvl w:val="0"/>
          <w:numId w:val="31"/>
        </w:numPr>
        <w:spacing w:line="240" w:lineRule="exact"/>
        <w:rPr>
          <w:lang w:val="fr-FR"/>
        </w:rPr>
      </w:pPr>
      <w:r w:rsidRPr="003B0B02">
        <w:rPr>
          <w:lang w:val="fr-FR"/>
        </w:rPr>
        <w:t>Sur le plan des politiques publiques, la politique nationale d’égalité des genres</w:t>
      </w:r>
      <w:r w:rsidRPr="003B0B02">
        <w:rPr>
          <w:vertAlign w:val="superscript"/>
          <w:lang w:val="fr-FR"/>
        </w:rPr>
        <w:footnoteReference w:id="46"/>
      </w:r>
      <w:r w:rsidRPr="003B0B02">
        <w:rPr>
          <w:lang w:val="fr-FR"/>
        </w:rPr>
        <w:t xml:space="preserve"> et la politique nationale multisectorielle sur les enfants, les adolescentes et les adolescents</w:t>
      </w:r>
      <w:r w:rsidRPr="003B0B02">
        <w:rPr>
          <w:vertAlign w:val="superscript"/>
          <w:lang w:val="fr-FR"/>
        </w:rPr>
        <w:footnoteReference w:id="47"/>
      </w:r>
      <w:r w:rsidRPr="003B0B02">
        <w:rPr>
          <w:lang w:val="fr-FR"/>
        </w:rPr>
        <w:t xml:space="preserve"> prévoient toutes deux des services visant à promouvoir une éducation complète à la sexualité dans les établissements d’enseignement de base.</w:t>
      </w:r>
    </w:p>
    <w:p w14:paraId="2A4629EF" w14:textId="130C04DB" w:rsidR="00C03E58" w:rsidRPr="003B0B02" w:rsidRDefault="00C03E58" w:rsidP="003B0B02">
      <w:pPr>
        <w:pStyle w:val="SingleTxt"/>
        <w:numPr>
          <w:ilvl w:val="0"/>
          <w:numId w:val="31"/>
        </w:numPr>
        <w:spacing w:line="240" w:lineRule="exact"/>
        <w:rPr>
          <w:lang w:val="fr-FR"/>
        </w:rPr>
      </w:pPr>
      <w:r w:rsidRPr="003B0B02">
        <w:rPr>
          <w:lang w:val="fr-FR"/>
        </w:rPr>
        <w:t>Il convient également de noter que le Ministère de la femme et des populations vulnérables a approuvé le «</w:t>
      </w:r>
      <w:r w:rsidR="00EA4BC8" w:rsidRPr="003B0B02">
        <w:rPr>
          <w:lang w:val="fr-FR"/>
        </w:rPr>
        <w:t xml:space="preserve"> </w:t>
      </w:r>
      <w:r w:rsidRPr="003B0B02">
        <w:rPr>
          <w:lang w:val="fr-FR"/>
        </w:rPr>
        <w:t>Protocole d’accès aux soins de santé pour les filles et les adolescentes enceintes privées de protection parentale ou en risque de l’être</w:t>
      </w:r>
      <w:r w:rsidR="00EA4BC8" w:rsidRPr="003B0B02">
        <w:rPr>
          <w:lang w:val="fr-FR"/>
        </w:rPr>
        <w:t xml:space="preserve"> </w:t>
      </w:r>
      <w:r w:rsidRPr="003B0B02">
        <w:rPr>
          <w:lang w:val="fr-FR"/>
        </w:rPr>
        <w:t>»</w:t>
      </w:r>
      <w:r w:rsidRPr="003B0B02">
        <w:rPr>
          <w:vertAlign w:val="superscript"/>
          <w:lang w:val="fr-FR"/>
        </w:rPr>
        <w:footnoteReference w:id="48"/>
      </w:r>
      <w:r w:rsidRPr="003B0B02">
        <w:rPr>
          <w:lang w:val="fr-FR"/>
        </w:rPr>
        <w:t xml:space="preserve"> afin d’aborder les mesures spécifiques applicables dans ces cas pour garantir les droits des filles et des adolescentes enceintes, y compris la garantie de la continuité de l’éducation. Ainsi, à l’échelle nationale, un total de 1 150</w:t>
      </w:r>
      <w:r w:rsidR="00EA4BC8" w:rsidRPr="003B0B02">
        <w:rPr>
          <w:lang w:val="fr-FR"/>
        </w:rPr>
        <w:t xml:space="preserve"> </w:t>
      </w:r>
      <w:r w:rsidRPr="003B0B02">
        <w:rPr>
          <w:lang w:val="fr-FR"/>
        </w:rPr>
        <w:t xml:space="preserve">filles et adolescentes </w:t>
      </w:r>
      <w:r w:rsidRPr="003B0B02">
        <w:rPr>
          <w:lang w:val="fr-FR"/>
        </w:rPr>
        <w:lastRenderedPageBreak/>
        <w:t>enceintes</w:t>
      </w:r>
      <w:r w:rsidRPr="003B0B02">
        <w:rPr>
          <w:vertAlign w:val="superscript"/>
          <w:lang w:val="fr-FR"/>
        </w:rPr>
        <w:footnoteReference w:id="49"/>
      </w:r>
      <w:r w:rsidRPr="003B0B02">
        <w:rPr>
          <w:lang w:val="fr-FR"/>
        </w:rPr>
        <w:t xml:space="preserve"> et un total de 1 767</w:t>
      </w:r>
      <w:r w:rsidR="00EA4BC8" w:rsidRPr="003B0B02">
        <w:rPr>
          <w:lang w:val="fr-FR"/>
        </w:rPr>
        <w:t xml:space="preserve"> </w:t>
      </w:r>
      <w:r w:rsidRPr="003B0B02">
        <w:rPr>
          <w:lang w:val="fr-FR"/>
        </w:rPr>
        <w:t>mères mineures</w:t>
      </w:r>
      <w:r w:rsidRPr="003B0B02">
        <w:rPr>
          <w:vertAlign w:val="superscript"/>
          <w:lang w:val="fr-FR"/>
        </w:rPr>
        <w:footnoteReference w:id="50"/>
      </w:r>
      <w:r w:rsidRPr="003B0B02">
        <w:rPr>
          <w:lang w:val="fr-FR"/>
        </w:rPr>
        <w:t xml:space="preserve"> ont bénéficié de l’assistance des unités de protection spéciale au cours de la période couverte par le rapport. </w:t>
      </w:r>
    </w:p>
    <w:p w14:paraId="60C370CB" w14:textId="7A48A9AB" w:rsidR="00C03E58" w:rsidRPr="003B0B02" w:rsidRDefault="00C03E58" w:rsidP="003B0B02">
      <w:pPr>
        <w:pStyle w:val="SingleTxt"/>
        <w:numPr>
          <w:ilvl w:val="0"/>
          <w:numId w:val="31"/>
        </w:numPr>
        <w:spacing w:line="240" w:lineRule="exact"/>
        <w:rPr>
          <w:lang w:val="fr-FR"/>
        </w:rPr>
      </w:pPr>
      <w:r w:rsidRPr="003B0B02">
        <w:rPr>
          <w:lang w:val="fr-FR"/>
        </w:rPr>
        <w:t>Pour sa part, le Ministère de l’éducation a approuvé plusieurs normes sectorielles visant à promouvoir l’éducation complète à la sexualité, notamment les «</w:t>
      </w:r>
      <w:r w:rsidR="007E3A90" w:rsidRPr="003B0B02">
        <w:rPr>
          <w:lang w:val="fr-FR"/>
        </w:rPr>
        <w:t> </w:t>
      </w:r>
      <w:r w:rsidRPr="003B0B02">
        <w:rPr>
          <w:lang w:val="fr-FR"/>
        </w:rPr>
        <w:t>Lignes directrices pour une éducation complète à la sexualité dans l’enseignement de base</w:t>
      </w:r>
      <w:r w:rsidR="00EA4BC8" w:rsidRPr="003B0B02">
        <w:rPr>
          <w:lang w:val="fr-FR"/>
        </w:rPr>
        <w:t xml:space="preserve"> </w:t>
      </w:r>
      <w:r w:rsidRPr="003B0B02">
        <w:rPr>
          <w:lang w:val="fr-FR"/>
        </w:rPr>
        <w:t>»</w:t>
      </w:r>
      <w:r w:rsidRPr="003B0B02">
        <w:rPr>
          <w:vertAlign w:val="superscript"/>
          <w:lang w:val="fr-FR"/>
        </w:rPr>
        <w:footnoteReference w:id="51"/>
      </w:r>
      <w:r w:rsidRPr="003B0B02">
        <w:rPr>
          <w:lang w:val="fr-FR"/>
        </w:rPr>
        <w:t>. D’autres outils pédagogiques ont également vu le jour, dont le «</w:t>
      </w:r>
      <w:r w:rsidR="00EA4BC8" w:rsidRPr="003B0B02">
        <w:rPr>
          <w:lang w:val="fr-FR"/>
        </w:rPr>
        <w:t xml:space="preserve"> </w:t>
      </w:r>
      <w:r w:rsidRPr="003B0B02">
        <w:rPr>
          <w:lang w:val="fr-FR"/>
        </w:rPr>
        <w:t>Guide de promotion de la continuité pédagogique des élèves en situation de grossesse ou de maternité précoce destiné au corps professoral de l’enseignement de base ordinaire, dans le cadre de la fourniture de services d’orientation et de conseil pédagogiques</w:t>
      </w:r>
      <w:r w:rsidR="00EA4BC8" w:rsidRPr="003B0B02">
        <w:rPr>
          <w:lang w:val="fr-FR"/>
        </w:rPr>
        <w:t xml:space="preserve"> </w:t>
      </w:r>
      <w:r w:rsidRPr="003B0B02">
        <w:rPr>
          <w:lang w:val="fr-FR"/>
        </w:rPr>
        <w:t>»</w:t>
      </w:r>
      <w:r w:rsidRPr="003B0B02">
        <w:rPr>
          <w:vertAlign w:val="superscript"/>
          <w:lang w:val="fr-FR"/>
        </w:rPr>
        <w:footnoteReference w:id="52"/>
      </w:r>
      <w:r w:rsidRPr="003B0B02">
        <w:rPr>
          <w:lang w:val="fr-FR"/>
        </w:rPr>
        <w:t>.</w:t>
      </w:r>
    </w:p>
    <w:p w14:paraId="44CAF3B6" w14:textId="1BCF62DB" w:rsidR="00C03E58" w:rsidRPr="003B0B02" w:rsidRDefault="00C03E58" w:rsidP="003B0B02">
      <w:pPr>
        <w:pStyle w:val="SingleTxt"/>
        <w:numPr>
          <w:ilvl w:val="0"/>
          <w:numId w:val="31"/>
        </w:numPr>
        <w:spacing w:line="240" w:lineRule="exact"/>
        <w:rPr>
          <w:lang w:val="fr-FR"/>
        </w:rPr>
      </w:pPr>
      <w:r w:rsidRPr="003B0B02">
        <w:rPr>
          <w:lang w:val="fr-FR"/>
        </w:rPr>
        <w:t xml:space="preserve">En outre, entre 2022 et 2023, huit activités de renforcement des capacités de mise en œuvre de l’éducation complète à la sexualité en tant que mécanisme de prévention des violences sexuelles et des grossesses précoces ont été conçues à l’intention du personnel éducatif à l’échelle nationale. En ce qui concerne les activités destinées aux étudiants pour promouvoir l’éducation complète à la sexualité, le Ministère de l’éducation a indiqué qu’en 2023, </w:t>
      </w:r>
      <w:r w:rsidRPr="003B0B02">
        <w:rPr>
          <w:spacing w:val="0"/>
          <w:w w:val="102"/>
          <w:lang w:val="fr-FR"/>
        </w:rPr>
        <w:t>l’éducation complète à la sexualité avait été introduite dans 45</w:t>
      </w:r>
      <w:r w:rsidR="00EA4BC8" w:rsidRPr="003B0B02">
        <w:rPr>
          <w:spacing w:val="0"/>
          <w:w w:val="102"/>
          <w:lang w:val="fr-FR"/>
        </w:rPr>
        <w:t xml:space="preserve"> </w:t>
      </w:r>
      <w:r w:rsidRPr="003B0B02">
        <w:rPr>
          <w:spacing w:val="0"/>
          <w:w w:val="102"/>
          <w:lang w:val="fr-FR"/>
        </w:rPr>
        <w:t>écoles secondaires dans les régions urbaines de Lima, Ancash, Ayacucho, Loreto, Piura et Ucayali, et que 6 166</w:t>
      </w:r>
      <w:r w:rsidR="00EA4BC8" w:rsidRPr="003B0B02">
        <w:rPr>
          <w:spacing w:val="0"/>
          <w:w w:val="102"/>
          <w:lang w:val="fr-FR"/>
        </w:rPr>
        <w:t xml:space="preserve"> </w:t>
      </w:r>
      <w:r w:rsidRPr="003B0B02">
        <w:rPr>
          <w:spacing w:val="0"/>
          <w:w w:val="102"/>
          <w:lang w:val="fr-FR"/>
        </w:rPr>
        <w:t>élèves en avaient bénéficié</w:t>
      </w:r>
      <w:r w:rsidRPr="003B0B02">
        <w:rPr>
          <w:spacing w:val="0"/>
          <w:w w:val="102"/>
          <w:vertAlign w:val="superscript"/>
          <w:lang w:val="fr-FR"/>
        </w:rPr>
        <w:footnoteReference w:id="53"/>
      </w:r>
      <w:r w:rsidRPr="003B0B02">
        <w:rPr>
          <w:spacing w:val="0"/>
          <w:w w:val="102"/>
          <w:lang w:val="fr-FR"/>
        </w:rPr>
        <w:t>.</w:t>
      </w:r>
    </w:p>
    <w:p w14:paraId="38F47066" w14:textId="1F43E697" w:rsidR="00C03E58" w:rsidRPr="003B0B02" w:rsidRDefault="00C03E58" w:rsidP="003B0B02">
      <w:pPr>
        <w:pStyle w:val="SingleTxt"/>
        <w:numPr>
          <w:ilvl w:val="0"/>
          <w:numId w:val="31"/>
        </w:numPr>
        <w:spacing w:line="240" w:lineRule="exact"/>
        <w:rPr>
          <w:lang w:val="fr-FR"/>
        </w:rPr>
      </w:pPr>
      <w:r w:rsidRPr="003B0B02">
        <w:rPr>
          <w:lang w:val="fr-FR"/>
        </w:rPr>
        <w:t xml:space="preserve">En milieu rural, on encourage la mise en œuvre de services d’enseignement ordinaire de base différenciés, afin d’améliorer l’accès et l’achèvement en temps voulu de la trajectoire éducative en fonction du contexte des enfants et des jeunes. </w:t>
      </w:r>
      <w:r w:rsidRPr="003B0B02">
        <w:rPr>
          <w:spacing w:val="0"/>
          <w:w w:val="102"/>
          <w:lang w:val="fr-FR"/>
        </w:rPr>
        <w:t>C’est dans cette optique qu’en 2022, le Ministère de l’éducation a élaboré la proposition «</w:t>
      </w:r>
      <w:r w:rsidR="0084575B">
        <w:rPr>
          <w:spacing w:val="0"/>
          <w:w w:val="102"/>
          <w:lang w:val="fr-FR"/>
        </w:rPr>
        <w:t> </w:t>
      </w:r>
      <w:r w:rsidRPr="003B0B02">
        <w:rPr>
          <w:spacing w:val="0"/>
          <w:w w:val="102"/>
          <w:lang w:val="fr-FR"/>
        </w:rPr>
        <w:t>Itinéraire pour garantir la continuité de l’éducation des étudiantes enceintes et des mères étudiantes dans les modèles de services éducatifs des zones rurales</w:t>
      </w:r>
      <w:r w:rsidR="00EA4BC8" w:rsidRPr="003B0B02">
        <w:rPr>
          <w:spacing w:val="0"/>
          <w:w w:val="102"/>
          <w:lang w:val="fr-FR"/>
        </w:rPr>
        <w:t xml:space="preserve"> </w:t>
      </w:r>
      <w:r w:rsidRPr="003B0B02">
        <w:rPr>
          <w:spacing w:val="0"/>
          <w:w w:val="102"/>
          <w:lang w:val="fr-FR"/>
        </w:rPr>
        <w:t>»</w:t>
      </w:r>
      <w:r w:rsidRPr="003B0B02">
        <w:rPr>
          <w:spacing w:val="0"/>
          <w:w w:val="102"/>
          <w:vertAlign w:val="superscript"/>
          <w:lang w:val="fr-FR"/>
        </w:rPr>
        <w:footnoteReference w:id="54"/>
      </w:r>
      <w:r w:rsidRPr="003B0B02">
        <w:rPr>
          <w:spacing w:val="0"/>
          <w:w w:val="102"/>
          <w:lang w:val="fr-FR"/>
        </w:rPr>
        <w:t>.</w:t>
      </w:r>
    </w:p>
    <w:p w14:paraId="1488C662" w14:textId="77777777" w:rsidR="00C03E58" w:rsidRPr="003B0B02" w:rsidRDefault="00C03E58" w:rsidP="003B0B02">
      <w:pPr>
        <w:pStyle w:val="SingleTxt"/>
        <w:numPr>
          <w:ilvl w:val="0"/>
          <w:numId w:val="31"/>
        </w:numPr>
        <w:spacing w:line="240" w:lineRule="exact"/>
        <w:rPr>
          <w:lang w:val="fr-FR"/>
        </w:rPr>
      </w:pPr>
      <w:r w:rsidRPr="003B0B02">
        <w:rPr>
          <w:lang w:val="fr-FR"/>
        </w:rPr>
        <w:t>S’agissant du renforcement des capacités, le Ministère de l’éducation a mis en œuvre six activités d’assistance technique sur la prévention de la violence et de la grossesse à l’intention des établissements d’enseignement en milieu rural en 2023</w:t>
      </w:r>
      <w:r w:rsidRPr="003B0B02">
        <w:rPr>
          <w:vertAlign w:val="superscript"/>
          <w:lang w:val="fr-FR"/>
        </w:rPr>
        <w:footnoteReference w:id="55"/>
      </w:r>
      <w:r w:rsidRPr="003B0B02">
        <w:rPr>
          <w:lang w:val="fr-FR"/>
        </w:rPr>
        <w:t>.</w:t>
      </w:r>
    </w:p>
    <w:p w14:paraId="5E2F6276" w14:textId="626CD0E0" w:rsidR="00C03E58" w:rsidRPr="003B0B02" w:rsidRDefault="00C03E58" w:rsidP="003B0B02">
      <w:pPr>
        <w:pStyle w:val="SingleTxt"/>
        <w:numPr>
          <w:ilvl w:val="0"/>
          <w:numId w:val="31"/>
        </w:numPr>
        <w:spacing w:line="240" w:lineRule="exact"/>
        <w:rPr>
          <w:lang w:val="fr-FR"/>
        </w:rPr>
      </w:pPr>
      <w:r w:rsidRPr="003B0B02">
        <w:rPr>
          <w:lang w:val="fr-FR"/>
        </w:rPr>
        <w:t>D’autre part, les «</w:t>
      </w:r>
      <w:r w:rsidR="00EA4BC8" w:rsidRPr="003B0B02">
        <w:rPr>
          <w:lang w:val="fr-FR"/>
        </w:rPr>
        <w:t xml:space="preserve"> </w:t>
      </w:r>
      <w:r w:rsidRPr="003B0B02">
        <w:rPr>
          <w:lang w:val="fr-FR"/>
        </w:rPr>
        <w:t>lignes directrices pour la fourniture de services pédagogiques dans les établissements et les programmes d’enseignement de base pour l’année</w:t>
      </w:r>
      <w:r w:rsidR="00EA4BC8" w:rsidRPr="003B0B02">
        <w:rPr>
          <w:lang w:val="fr-FR"/>
        </w:rPr>
        <w:t xml:space="preserve"> </w:t>
      </w:r>
      <w:r w:rsidRPr="003B0B02">
        <w:rPr>
          <w:lang w:val="fr-FR"/>
        </w:rPr>
        <w:t>2024</w:t>
      </w:r>
      <w:r w:rsidR="007E3A90" w:rsidRPr="003B0B02">
        <w:rPr>
          <w:lang w:val="fr-FR"/>
        </w:rPr>
        <w:t> </w:t>
      </w:r>
      <w:r w:rsidRPr="003B0B02">
        <w:rPr>
          <w:lang w:val="fr-FR"/>
        </w:rPr>
        <w:t>»</w:t>
      </w:r>
      <w:r w:rsidRPr="003B0B02">
        <w:rPr>
          <w:vertAlign w:val="superscript"/>
          <w:lang w:val="fr-FR"/>
        </w:rPr>
        <w:footnoteReference w:id="56"/>
      </w:r>
      <w:r w:rsidRPr="003B0B02">
        <w:rPr>
          <w:lang w:val="fr-FR"/>
        </w:rPr>
        <w:t xml:space="preserve"> ont été approuvées dans le cadre des règlements spécifiques applicables aux «</w:t>
      </w:r>
      <w:r w:rsidR="00EA4BC8" w:rsidRPr="003B0B02">
        <w:rPr>
          <w:lang w:val="fr-FR"/>
        </w:rPr>
        <w:t xml:space="preserve"> </w:t>
      </w:r>
      <w:r w:rsidRPr="003B0B02">
        <w:rPr>
          <w:lang w:val="fr-FR"/>
        </w:rPr>
        <w:t>écoles de hautes performances</w:t>
      </w:r>
      <w:r w:rsidR="00EA4BC8" w:rsidRPr="003B0B02">
        <w:rPr>
          <w:lang w:val="fr-FR"/>
        </w:rPr>
        <w:t xml:space="preserve"> </w:t>
      </w:r>
      <w:r w:rsidRPr="003B0B02">
        <w:rPr>
          <w:lang w:val="fr-FR"/>
        </w:rPr>
        <w:t>» (Colegios de Alto Rendimiento, COAR). Elles définissent les responsabilités du corps enseignant et des tuteurs et tutrices dans l’identification des élèves à risque d’abandon scolaire et la coordination des mesures nécessaires pour leur offrir des opportunités d’apprentissage et des outils permettant la continuité du service pédagogique</w:t>
      </w:r>
      <w:r w:rsidRPr="003B0B02">
        <w:rPr>
          <w:vertAlign w:val="superscript"/>
          <w:lang w:val="fr-FR"/>
        </w:rPr>
        <w:footnoteReference w:id="57"/>
      </w:r>
      <w:r w:rsidRPr="003B0B02">
        <w:rPr>
          <w:lang w:val="fr-FR"/>
        </w:rPr>
        <w:t>.</w:t>
      </w:r>
    </w:p>
    <w:p w14:paraId="5AE11FEF" w14:textId="67AB03E5" w:rsidR="00C03E58" w:rsidRPr="003B0B02" w:rsidRDefault="00C03E58" w:rsidP="003B0B02">
      <w:pPr>
        <w:pStyle w:val="SingleTxt"/>
        <w:numPr>
          <w:ilvl w:val="0"/>
          <w:numId w:val="31"/>
        </w:numPr>
        <w:spacing w:line="240" w:lineRule="exact"/>
        <w:rPr>
          <w:lang w:val="fr-FR"/>
        </w:rPr>
      </w:pPr>
      <w:r w:rsidRPr="003B0B02">
        <w:rPr>
          <w:lang w:val="fr-FR"/>
        </w:rPr>
        <w:t>De même, le «</w:t>
      </w:r>
      <w:r w:rsidR="00986EF8" w:rsidRPr="003B0B02">
        <w:rPr>
          <w:lang w:val="fr-FR"/>
        </w:rPr>
        <w:t> </w:t>
      </w:r>
      <w:r w:rsidRPr="003B0B02">
        <w:rPr>
          <w:lang w:val="fr-FR"/>
        </w:rPr>
        <w:t>Modèle de service pédagogique pour les élèves aux capacités exceptionnelles</w:t>
      </w:r>
      <w:r w:rsidR="00986EF8" w:rsidRPr="003B0B02">
        <w:rPr>
          <w:lang w:val="fr-FR"/>
        </w:rPr>
        <w:t> </w:t>
      </w:r>
      <w:r w:rsidRPr="003B0B02">
        <w:rPr>
          <w:lang w:val="fr-FR"/>
        </w:rPr>
        <w:t>»</w:t>
      </w:r>
      <w:r w:rsidRPr="003B0B02">
        <w:rPr>
          <w:vertAlign w:val="superscript"/>
          <w:lang w:val="fr-FR"/>
        </w:rPr>
        <w:footnoteReference w:id="58"/>
      </w:r>
      <w:r w:rsidRPr="003B0B02">
        <w:rPr>
          <w:lang w:val="fr-FR"/>
        </w:rPr>
        <w:t xml:space="preserve"> prévoit des mesures spécifiques pour garantir le maintien des filles enceintes et des jeunes mères dans les écoles de hautes performances, conformément à la loi n</w:t>
      </w:r>
      <w:r w:rsidRPr="003B0B02">
        <w:rPr>
          <w:vertAlign w:val="superscript"/>
          <w:lang w:val="fr-FR"/>
        </w:rPr>
        <w:t>o</w:t>
      </w:r>
      <w:r w:rsidR="00EA4BC8" w:rsidRPr="003B0B02">
        <w:rPr>
          <w:lang w:val="fr-FR"/>
        </w:rPr>
        <w:t xml:space="preserve"> </w:t>
      </w:r>
      <w:r w:rsidRPr="003B0B02">
        <w:rPr>
          <w:lang w:val="fr-FR"/>
        </w:rPr>
        <w:t xml:space="preserve">29600. Ces mesures comprennent notamment l’élaboration </w:t>
      </w:r>
      <w:r w:rsidRPr="003B0B02">
        <w:rPr>
          <w:lang w:val="fr-FR"/>
        </w:rPr>
        <w:lastRenderedPageBreak/>
        <w:t>de programmes d’enseignement individualisés pour l’étudiante enceinte ou la mère étudiante, un assouplissement de la participation aux cours en présentiel lorsque l’étudiante le souhaite, la collaboration avec les centres de santé locaux pour permettre aux étudiantes enceintes ou aux mères adolescentes de se rendre dans les établissements de santé pour des contrôles et des examens réguliers, et un travail pédagogique avec les familles pour renforcer les liens et les mécanismes de représentation afin de suivre l’apprentissage de l’étudiante, entre autres</w:t>
      </w:r>
      <w:r w:rsidRPr="003B0B02">
        <w:rPr>
          <w:vertAlign w:val="superscript"/>
          <w:lang w:val="fr-FR"/>
        </w:rPr>
        <w:footnoteReference w:id="59"/>
      </w:r>
      <w:r w:rsidRPr="003B0B02">
        <w:rPr>
          <w:lang w:val="fr-FR"/>
        </w:rPr>
        <w:t>.</w:t>
      </w:r>
    </w:p>
    <w:p w14:paraId="30533D7C" w14:textId="77777777" w:rsidR="00986EF8" w:rsidRPr="003B0B02" w:rsidRDefault="00986EF8" w:rsidP="00986EF8">
      <w:pPr>
        <w:pStyle w:val="SingleTxt"/>
        <w:spacing w:after="0" w:line="120" w:lineRule="exact"/>
        <w:rPr>
          <w:sz w:val="10"/>
          <w:lang w:val="fr-FR"/>
        </w:rPr>
      </w:pPr>
    </w:p>
    <w:p w14:paraId="5C23D112" w14:textId="77777777" w:rsidR="00986EF8" w:rsidRPr="003B0B02" w:rsidRDefault="00986EF8" w:rsidP="00986EF8">
      <w:pPr>
        <w:pStyle w:val="SingleTxt"/>
        <w:spacing w:after="0" w:line="120" w:lineRule="exact"/>
        <w:rPr>
          <w:sz w:val="10"/>
          <w:lang w:val="fr-FR"/>
        </w:rPr>
      </w:pPr>
    </w:p>
    <w:p w14:paraId="0992F037" w14:textId="2DF605DE" w:rsidR="00C03E58" w:rsidRPr="003B0B02" w:rsidRDefault="00986EF8" w:rsidP="00986EF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5" w:name="_heading=h.1t3h5sf" w:colFirst="0" w:colLast="0"/>
      <w:bookmarkEnd w:id="5"/>
      <w:r w:rsidRPr="003B0B02">
        <w:rPr>
          <w:lang w:val="fr-FR"/>
        </w:rPr>
        <w:tab/>
      </w:r>
      <w:r w:rsidR="00C03E58" w:rsidRPr="003B0B02">
        <w:rPr>
          <w:lang w:val="fr-FR"/>
        </w:rPr>
        <w:t>D.</w:t>
      </w:r>
      <w:r w:rsidR="00C03E58" w:rsidRPr="003B0B02">
        <w:rPr>
          <w:lang w:val="fr-FR"/>
        </w:rPr>
        <w:tab/>
        <w:t>Santé</w:t>
      </w:r>
    </w:p>
    <w:p w14:paraId="3B6FD716" w14:textId="77777777" w:rsidR="00986EF8" w:rsidRPr="003B0B02" w:rsidRDefault="00986EF8" w:rsidP="00986EF8">
      <w:pPr>
        <w:pStyle w:val="SingleTxt"/>
        <w:spacing w:after="0" w:line="120" w:lineRule="exact"/>
        <w:rPr>
          <w:sz w:val="10"/>
          <w:lang w:val="fr-FR"/>
        </w:rPr>
      </w:pPr>
    </w:p>
    <w:p w14:paraId="781EFF0F" w14:textId="77777777" w:rsidR="00986EF8" w:rsidRPr="003B0B02" w:rsidRDefault="00986EF8" w:rsidP="00986EF8">
      <w:pPr>
        <w:pStyle w:val="SingleTxt"/>
        <w:spacing w:after="0" w:line="120" w:lineRule="exact"/>
        <w:rPr>
          <w:sz w:val="10"/>
          <w:lang w:val="fr-FR"/>
        </w:rPr>
      </w:pPr>
    </w:p>
    <w:p w14:paraId="65162008" w14:textId="510ACBEC" w:rsidR="00C03E58" w:rsidRPr="003B0B02" w:rsidRDefault="00C03E58" w:rsidP="003B0B02">
      <w:pPr>
        <w:pStyle w:val="SingleTxt"/>
        <w:numPr>
          <w:ilvl w:val="0"/>
          <w:numId w:val="31"/>
        </w:numPr>
        <w:spacing w:line="240" w:lineRule="exact"/>
        <w:rPr>
          <w:lang w:val="fr-FR"/>
        </w:rPr>
      </w:pPr>
      <w:r w:rsidRPr="003B0B02">
        <w:rPr>
          <w:lang w:val="fr-FR"/>
        </w:rPr>
        <w:t>En réponse au paragraphe 38</w:t>
      </w:r>
      <w:r w:rsidR="00EA4BC8" w:rsidRPr="003B0B02">
        <w:rPr>
          <w:lang w:val="fr-FR"/>
        </w:rPr>
        <w:t xml:space="preserve"> </w:t>
      </w:r>
      <w:r w:rsidRPr="003B0B02">
        <w:rPr>
          <w:lang w:val="fr-FR"/>
        </w:rPr>
        <w:t>c), sur le renforcement des capacités du personnel de santé à appliquer le «</w:t>
      </w:r>
      <w:r w:rsidR="00EA4BC8" w:rsidRPr="003B0B02">
        <w:rPr>
          <w:lang w:val="fr-FR"/>
        </w:rPr>
        <w:t xml:space="preserve"> </w:t>
      </w:r>
      <w:r w:rsidRPr="003B0B02">
        <w:rPr>
          <w:lang w:val="fr-FR"/>
        </w:rPr>
        <w:t>Guide technique national pour la normalisation de la procédure de prise en charge intégrale de la femme enceinte dans les situations d’interruption volontaire pour indication thérapeutique d’une grossesse de moins de vingt-deux semaines</w:t>
      </w:r>
      <w:r w:rsidR="00EA4BC8" w:rsidRPr="003B0B02">
        <w:rPr>
          <w:lang w:val="fr-FR"/>
        </w:rPr>
        <w:t xml:space="preserve"> </w:t>
      </w:r>
      <w:r w:rsidRPr="003B0B02">
        <w:rPr>
          <w:lang w:val="fr-FR"/>
        </w:rPr>
        <w:t>»</w:t>
      </w:r>
      <w:r w:rsidRPr="003B0B02">
        <w:rPr>
          <w:vertAlign w:val="superscript"/>
          <w:lang w:val="fr-FR"/>
        </w:rPr>
        <w:footnoteReference w:id="60"/>
      </w:r>
      <w:r w:rsidRPr="003B0B02">
        <w:rPr>
          <w:lang w:val="fr-FR"/>
        </w:rPr>
        <w:t>, approuvé par la décision ministérielle 486-2014-MINSA, le Ministère de la santé a indiqué qu’entre décembre 2021 et mars 2024, 213</w:t>
      </w:r>
      <w:r w:rsidR="00EA4BC8" w:rsidRPr="003B0B02">
        <w:rPr>
          <w:lang w:val="fr-FR"/>
        </w:rPr>
        <w:t xml:space="preserve"> </w:t>
      </w:r>
      <w:r w:rsidRPr="003B0B02">
        <w:rPr>
          <w:lang w:val="fr-FR"/>
        </w:rPr>
        <w:t>professionnels de santé ont été formés dans 8</w:t>
      </w:r>
      <w:r w:rsidR="00EA4BC8" w:rsidRPr="003B0B02">
        <w:rPr>
          <w:lang w:val="fr-FR"/>
        </w:rPr>
        <w:t xml:space="preserve"> </w:t>
      </w:r>
      <w:r w:rsidRPr="003B0B02">
        <w:rPr>
          <w:lang w:val="fr-FR"/>
        </w:rPr>
        <w:t>hôpitaux du pays, situés dans les régions d’Apurímac, d’Ayacucho, d’Ayacucho, de Callao, de Huánuco, de Lima, de Moquegua, de Piura et de Tumbes</w:t>
      </w:r>
      <w:r w:rsidRPr="003B0B02">
        <w:rPr>
          <w:vertAlign w:val="superscript"/>
          <w:lang w:val="fr-FR"/>
        </w:rPr>
        <w:footnoteReference w:id="61"/>
      </w:r>
      <w:r w:rsidRPr="003B0B02">
        <w:rPr>
          <w:lang w:val="fr-FR"/>
        </w:rPr>
        <w:t>.</w:t>
      </w:r>
    </w:p>
    <w:p w14:paraId="1CD7B9A3" w14:textId="71C85C5F" w:rsidR="00C03E58" w:rsidRPr="003B0B02" w:rsidRDefault="00C03E58" w:rsidP="003B0B02">
      <w:pPr>
        <w:pStyle w:val="SingleTxt"/>
        <w:numPr>
          <w:ilvl w:val="0"/>
          <w:numId w:val="31"/>
        </w:numPr>
        <w:spacing w:line="240" w:lineRule="exact"/>
        <w:rPr>
          <w:lang w:val="fr-FR"/>
        </w:rPr>
      </w:pPr>
      <w:r w:rsidRPr="003B0B02">
        <w:rPr>
          <w:lang w:val="fr-FR"/>
        </w:rPr>
        <w:t>Au cours de cette même période, le Guide technique a été appliqué dans 373</w:t>
      </w:r>
      <w:r w:rsidR="00EA4BC8" w:rsidRPr="003B0B02">
        <w:rPr>
          <w:lang w:val="fr-FR"/>
        </w:rPr>
        <w:t xml:space="preserve"> </w:t>
      </w:r>
      <w:r w:rsidRPr="003B0B02">
        <w:rPr>
          <w:lang w:val="fr-FR"/>
        </w:rPr>
        <w:t>cas. Il convient de signaler que l’application de cet instrument a progressivement augmenté dans le pays, ce qui témoigne du processus de renforcement des capacités du personnel de santé à l’égard de l’avortement pour raison médicale et du contenu du Guide technique. Ainsi, rien qu’entre 2022 (106 cas déclarés) et 2023 (244 cas déclarés), le nombre de filles, d’adolescentes et de femmes ayant eu recours à l’interruption médicale de grossesse en raison d’un risque grave pour leur vie ou pour leur santé a augmenté de 130</w:t>
      </w:r>
      <w:r w:rsidR="00CF115B" w:rsidRPr="003B0B02">
        <w:rPr>
          <w:lang w:val="fr-FR"/>
        </w:rPr>
        <w:t> %</w:t>
      </w:r>
      <w:r w:rsidRPr="003B0B02">
        <w:rPr>
          <w:lang w:val="fr-FR"/>
        </w:rPr>
        <w:t xml:space="preserve"> à l’échelle nationale</w:t>
      </w:r>
      <w:r w:rsidRPr="003B0B02">
        <w:rPr>
          <w:vertAlign w:val="superscript"/>
          <w:lang w:val="fr-FR"/>
        </w:rPr>
        <w:footnoteReference w:id="62"/>
      </w:r>
      <w:r w:rsidRPr="003B0B02">
        <w:rPr>
          <w:lang w:val="fr-FR"/>
        </w:rPr>
        <w:t>.</w:t>
      </w:r>
    </w:p>
    <w:p w14:paraId="1AF956D1" w14:textId="43977A01" w:rsidR="00C03E58" w:rsidRPr="003B0B02" w:rsidRDefault="00C03E58" w:rsidP="003B0B02">
      <w:pPr>
        <w:pStyle w:val="SingleTxt"/>
        <w:numPr>
          <w:ilvl w:val="0"/>
          <w:numId w:val="31"/>
        </w:numPr>
        <w:spacing w:line="240" w:lineRule="exact"/>
        <w:rPr>
          <w:lang w:val="fr-FR"/>
        </w:rPr>
      </w:pPr>
      <w:r w:rsidRPr="003B0B02">
        <w:rPr>
          <w:lang w:val="fr-FR"/>
        </w:rPr>
        <w:t>En outre, il convient de mentionner qu’une proposition de «</w:t>
      </w:r>
      <w:r w:rsidR="00EA4BC8" w:rsidRPr="003B0B02">
        <w:rPr>
          <w:lang w:val="fr-FR"/>
        </w:rPr>
        <w:t xml:space="preserve"> </w:t>
      </w:r>
      <w:r w:rsidRPr="003B0B02">
        <w:rPr>
          <w:lang w:val="fr-FR"/>
        </w:rPr>
        <w:t>Guide technique complémentaire pour l’application de la procédure établie dans la décision 486-2014/MINSA</w:t>
      </w:r>
      <w:r w:rsidR="00EA4BC8" w:rsidRPr="003B0B02">
        <w:rPr>
          <w:lang w:val="fr-FR"/>
        </w:rPr>
        <w:t xml:space="preserve"> </w:t>
      </w:r>
      <w:r w:rsidRPr="003B0B02">
        <w:rPr>
          <w:lang w:val="fr-FR"/>
        </w:rPr>
        <w:t>» est en cours d’évaluation. Ce guide complémentaire devrait contribuer à la prise en charge différenciée des filles et des adolescentes qui doivent recourir à l’interruption de grossesse</w:t>
      </w:r>
      <w:r w:rsidRPr="003B0B02">
        <w:rPr>
          <w:vertAlign w:val="superscript"/>
          <w:lang w:val="fr-FR"/>
        </w:rPr>
        <w:footnoteReference w:id="63"/>
      </w:r>
      <w:r w:rsidRPr="003B0B02">
        <w:rPr>
          <w:lang w:val="fr-FR"/>
        </w:rPr>
        <w:t>.</w:t>
      </w:r>
    </w:p>
    <w:p w14:paraId="5984A4BF" w14:textId="77777777" w:rsidR="00986EF8" w:rsidRPr="003B0B02" w:rsidRDefault="00986EF8" w:rsidP="00986EF8">
      <w:pPr>
        <w:pStyle w:val="SingleTxt"/>
        <w:spacing w:after="0" w:line="120" w:lineRule="exact"/>
        <w:rPr>
          <w:b/>
          <w:bCs/>
          <w:sz w:val="10"/>
          <w:lang w:val="fr-FR"/>
        </w:rPr>
      </w:pPr>
      <w:bookmarkStart w:id="6" w:name="_heading=h.4d34og8" w:colFirst="0" w:colLast="0"/>
      <w:bookmarkEnd w:id="6"/>
    </w:p>
    <w:p w14:paraId="3277E5B4" w14:textId="77777777" w:rsidR="00986EF8" w:rsidRPr="003B0B02" w:rsidRDefault="00986EF8" w:rsidP="00986EF8">
      <w:pPr>
        <w:pStyle w:val="SingleTxt"/>
        <w:spacing w:after="0" w:line="120" w:lineRule="exact"/>
        <w:rPr>
          <w:b/>
          <w:bCs/>
          <w:sz w:val="10"/>
          <w:lang w:val="fr-FR"/>
        </w:rPr>
      </w:pPr>
    </w:p>
    <w:p w14:paraId="6A845708" w14:textId="3CB3E7D5" w:rsidR="00C03E58" w:rsidRPr="003B0B02" w:rsidRDefault="00986EF8" w:rsidP="00986EF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B0B02">
        <w:rPr>
          <w:lang w:val="fr-FR"/>
        </w:rPr>
        <w:tab/>
      </w:r>
      <w:r w:rsidR="00C03E58" w:rsidRPr="003B0B02">
        <w:rPr>
          <w:lang w:val="fr-FR"/>
        </w:rPr>
        <w:t>III.</w:t>
      </w:r>
      <w:r w:rsidR="00C03E58" w:rsidRPr="003B0B02">
        <w:rPr>
          <w:lang w:val="fr-FR"/>
        </w:rPr>
        <w:tab/>
        <w:t>Conclusions</w:t>
      </w:r>
    </w:p>
    <w:p w14:paraId="1BD497CC" w14:textId="77777777" w:rsidR="00986EF8" w:rsidRPr="003B0B02" w:rsidRDefault="00986EF8" w:rsidP="00986EF8">
      <w:pPr>
        <w:pStyle w:val="SingleTxt"/>
        <w:spacing w:after="0" w:line="120" w:lineRule="exact"/>
        <w:rPr>
          <w:sz w:val="10"/>
          <w:lang w:val="fr-FR"/>
        </w:rPr>
      </w:pPr>
    </w:p>
    <w:p w14:paraId="5F72EA26" w14:textId="77777777" w:rsidR="00986EF8" w:rsidRPr="003B0B02" w:rsidRDefault="00986EF8" w:rsidP="00986EF8">
      <w:pPr>
        <w:pStyle w:val="SingleTxt"/>
        <w:spacing w:after="0" w:line="120" w:lineRule="exact"/>
        <w:rPr>
          <w:sz w:val="10"/>
          <w:lang w:val="fr-FR"/>
        </w:rPr>
      </w:pPr>
    </w:p>
    <w:p w14:paraId="061ED59E" w14:textId="45D0344B" w:rsidR="00C03E58" w:rsidRPr="003B0B02" w:rsidRDefault="00C03E58" w:rsidP="003B0B02">
      <w:pPr>
        <w:pStyle w:val="SingleTxt"/>
        <w:numPr>
          <w:ilvl w:val="0"/>
          <w:numId w:val="31"/>
        </w:numPr>
        <w:spacing w:line="240" w:lineRule="exact"/>
      </w:pPr>
      <w:r w:rsidRPr="003B0B02">
        <w:rPr>
          <w:lang w:val="fr-FR"/>
        </w:rPr>
        <w:t>L’État péruvien a pris diverses mesures pour se conformer aux recommandations du Comité pour l’élimination de la discrimination à l’égard des femmes, notamment l’approbation de la loi n</w:t>
      </w:r>
      <w:r w:rsidRPr="003B0B02">
        <w:rPr>
          <w:vertAlign w:val="superscript"/>
          <w:lang w:val="fr-FR"/>
        </w:rPr>
        <w:t>o</w:t>
      </w:r>
      <w:r w:rsidR="00EA4BC8" w:rsidRPr="003B0B02">
        <w:rPr>
          <w:lang w:val="fr-FR"/>
        </w:rPr>
        <w:t xml:space="preserve"> </w:t>
      </w:r>
      <w:r w:rsidRPr="003B0B02">
        <w:rPr>
          <w:lang w:val="fr-FR"/>
        </w:rPr>
        <w:t>31945 interdisant le mariage d’enfants, des mesures préventives et judiciaires pour l’application de la loi n</w:t>
      </w:r>
      <w:r w:rsidRPr="003B0B02">
        <w:rPr>
          <w:vertAlign w:val="superscript"/>
          <w:lang w:val="fr-FR"/>
        </w:rPr>
        <w:t>o</w:t>
      </w:r>
      <w:r w:rsidR="00EA4BC8" w:rsidRPr="003B0B02">
        <w:rPr>
          <w:lang w:val="fr-FR"/>
        </w:rPr>
        <w:t xml:space="preserve"> </w:t>
      </w:r>
      <w:r w:rsidRPr="003B0B02">
        <w:rPr>
          <w:lang w:val="fr-FR"/>
        </w:rPr>
        <w:t>30364, la promotion du maintien des étudiantes enceintes et des mères étudiantes dans le système éducatif, et le renforcement des capacités d’application effective du «</w:t>
      </w:r>
      <w:r w:rsidR="00EA4BC8" w:rsidRPr="003B0B02">
        <w:rPr>
          <w:lang w:val="fr-FR"/>
        </w:rPr>
        <w:t xml:space="preserve"> </w:t>
      </w:r>
      <w:r w:rsidRPr="003B0B02">
        <w:rPr>
          <w:lang w:val="fr-FR"/>
        </w:rPr>
        <w:t>Guide technique national pour la normalisation de la procédure de prise en charge intégrale de la femme enceinte dans les situations d’interruption volontaire pour indication thérapeutique d’une grossesse de moins de vingt-deux semaines</w:t>
      </w:r>
      <w:r w:rsidR="00EA4BC8" w:rsidRPr="003B0B02">
        <w:rPr>
          <w:lang w:val="fr-FR"/>
        </w:rPr>
        <w:t xml:space="preserve"> </w:t>
      </w:r>
      <w:r w:rsidRPr="003B0B02">
        <w:rPr>
          <w:lang w:val="fr-FR"/>
        </w:rPr>
        <w:t>».</w:t>
      </w:r>
    </w:p>
    <w:p w14:paraId="73B50D91" w14:textId="51821A97" w:rsidR="00986EF8" w:rsidRPr="003B0B02" w:rsidRDefault="00986EF8" w:rsidP="00986EF8">
      <w:pPr>
        <w:pStyle w:val="SingleTxt"/>
        <w:spacing w:after="0" w:line="240" w:lineRule="auto"/>
      </w:pPr>
      <w:r w:rsidRPr="003B0B02">
        <w:rPr>
          <w:noProof/>
          <w:w w:val="100"/>
        </w:rPr>
        <mc:AlternateContent>
          <mc:Choice Requires="wps">
            <w:drawing>
              <wp:anchor distT="0" distB="0" distL="114300" distR="114300" simplePos="0" relativeHeight="251660288" behindDoc="0" locked="0" layoutInCell="1" allowOverlap="1" wp14:anchorId="0742F6D0" wp14:editId="2E555F4D">
                <wp:simplePos x="0" y="0"/>
                <wp:positionH relativeFrom="page">
                  <wp:posOffset>3429000</wp:posOffset>
                </wp:positionH>
                <wp:positionV relativeFrom="paragraph">
                  <wp:posOffset>304800</wp:posOffset>
                </wp:positionV>
                <wp:extent cx="914400" cy="0"/>
                <wp:effectExtent l="0" t="0" r="0" b="0"/>
                <wp:wrapNone/>
                <wp:docPr id="1038397024" name="Straight Connector 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1A93C42" id="Straight Connector 1"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986EF8" w:rsidRPr="003B0B02" w:rsidSect="00C03E58">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08-29T13:42:00Z" w:initials="Start">
    <w:p w14:paraId="17221DE6" w14:textId="77777777" w:rsidR="00571984" w:rsidRDefault="00571984">
      <w:pPr>
        <w:pStyle w:val="CommentText"/>
      </w:pPr>
      <w:r>
        <w:rPr>
          <w:rStyle w:val="CommentReference"/>
        </w:rPr>
        <w:annotationRef/>
      </w:r>
      <w:r>
        <w:t>&lt;&lt;ODS JOB NO&gt;&gt;N2424215F&lt;&lt;ODS JOB NO&gt;&gt;</w:t>
      </w:r>
    </w:p>
    <w:p w14:paraId="796AF590" w14:textId="77777777" w:rsidR="00571984" w:rsidRDefault="00571984">
      <w:pPr>
        <w:pStyle w:val="CommentText"/>
      </w:pPr>
      <w:r>
        <w:t>&lt;&lt;ODS DOC SYMBOL1&gt;&gt;CEDAW/C/PER/FCO/9&lt;&lt;ODS DOC SYMBOL1&gt;&gt;</w:t>
      </w:r>
    </w:p>
    <w:p w14:paraId="043B8F67" w14:textId="175B9D16" w:rsidR="00571984" w:rsidRDefault="0057198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043B8F6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24BA546D" w16cex:dateUtc="2024-08-29T17:4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043B8F67" w16cid:durableId="24BA546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F07F51" w14:textId="77777777" w:rsidR="000C44EC" w:rsidRDefault="000C44EC" w:rsidP="00CE36B6">
      <w:pPr>
        <w:spacing w:line="240" w:lineRule="auto"/>
      </w:pPr>
      <w:r>
        <w:separator/>
      </w:r>
    </w:p>
  </w:endnote>
  <w:endnote w:type="continuationSeparator" w:id="0">
    <w:p w14:paraId="5FEA58DC" w14:textId="77777777" w:rsidR="000C44EC" w:rsidRDefault="000C44EC"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71984" w14:paraId="64000324" w14:textId="77777777" w:rsidTr="00571984">
      <w:tblPrEx>
        <w:tblCellMar>
          <w:top w:w="0" w:type="dxa"/>
          <w:bottom w:w="0" w:type="dxa"/>
        </w:tblCellMar>
      </w:tblPrEx>
      <w:tc>
        <w:tcPr>
          <w:tcW w:w="4920" w:type="dxa"/>
          <w:shd w:val="clear" w:color="auto" w:fill="auto"/>
        </w:tcPr>
        <w:p w14:paraId="254DDC07" w14:textId="08C601FA" w:rsidR="00571984" w:rsidRPr="00571984" w:rsidRDefault="00571984" w:rsidP="0057198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40BF3">
            <w:rPr>
              <w:b w:val="0"/>
              <w:w w:val="103"/>
              <w:sz w:val="14"/>
            </w:rPr>
            <w:t>24-14754</w:t>
          </w:r>
          <w:r>
            <w:rPr>
              <w:b w:val="0"/>
              <w:w w:val="103"/>
              <w:sz w:val="14"/>
            </w:rPr>
            <w:fldChar w:fldCharType="end"/>
          </w:r>
        </w:p>
      </w:tc>
      <w:tc>
        <w:tcPr>
          <w:tcW w:w="4920" w:type="dxa"/>
          <w:shd w:val="clear" w:color="auto" w:fill="auto"/>
        </w:tcPr>
        <w:p w14:paraId="36FEB204" w14:textId="77777777" w:rsidR="00571984" w:rsidRPr="00571984" w:rsidRDefault="00571984" w:rsidP="00571984">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6F85650D" w14:textId="77777777" w:rsidR="00571984" w:rsidRPr="00571984" w:rsidRDefault="00571984" w:rsidP="0057198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71984" w14:paraId="478DD0F6" w14:textId="77777777" w:rsidTr="00571984">
      <w:tblPrEx>
        <w:tblCellMar>
          <w:top w:w="0" w:type="dxa"/>
          <w:bottom w:w="0" w:type="dxa"/>
        </w:tblCellMar>
      </w:tblPrEx>
      <w:tc>
        <w:tcPr>
          <w:tcW w:w="4920" w:type="dxa"/>
          <w:shd w:val="clear" w:color="auto" w:fill="auto"/>
        </w:tcPr>
        <w:p w14:paraId="0AD80F4E" w14:textId="77777777" w:rsidR="00571984" w:rsidRPr="00571984" w:rsidRDefault="00571984" w:rsidP="00571984">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1DCFCA3A" w14:textId="42846078" w:rsidR="00571984" w:rsidRPr="00571984" w:rsidRDefault="00571984" w:rsidP="0057198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40BF3">
            <w:rPr>
              <w:b w:val="0"/>
              <w:w w:val="103"/>
              <w:sz w:val="14"/>
            </w:rPr>
            <w:t>24-14754</w:t>
          </w:r>
          <w:r>
            <w:rPr>
              <w:b w:val="0"/>
              <w:w w:val="103"/>
              <w:sz w:val="14"/>
            </w:rPr>
            <w:fldChar w:fldCharType="end"/>
          </w:r>
        </w:p>
      </w:tc>
    </w:tr>
  </w:tbl>
  <w:p w14:paraId="2696488F" w14:textId="77777777" w:rsidR="00571984" w:rsidRPr="00571984" w:rsidRDefault="00571984" w:rsidP="005719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865EC8" w14:textId="77777777" w:rsidR="00571984" w:rsidRDefault="00571984">
    <w:pPr>
      <w:pStyle w:val="Footer"/>
    </w:pPr>
    <w:r>
      <w:rPr>
        <w:noProof/>
      </w:rPr>
      <w:drawing>
        <wp:anchor distT="0" distB="0" distL="114300" distR="114300" simplePos="0" relativeHeight="251658240" behindDoc="0" locked="0" layoutInCell="1" allowOverlap="1" wp14:anchorId="2AA9774C" wp14:editId="42525EE6">
          <wp:simplePos x="0" y="0"/>
          <wp:positionH relativeFrom="column">
            <wp:posOffset>5532120</wp:posOffset>
          </wp:positionH>
          <wp:positionV relativeFrom="paragraph">
            <wp:posOffset>-228600</wp:posOffset>
          </wp:positionV>
          <wp:extent cx="694690" cy="694690"/>
          <wp:effectExtent l="0" t="0" r="0" b="0"/>
          <wp:wrapNone/>
          <wp:docPr id="57919300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571984" w14:paraId="5E58DF2B" w14:textId="77777777" w:rsidTr="00571984">
      <w:tblPrEx>
        <w:tblCellMar>
          <w:top w:w="0" w:type="dxa"/>
          <w:bottom w:w="0" w:type="dxa"/>
        </w:tblCellMar>
      </w:tblPrEx>
      <w:tc>
        <w:tcPr>
          <w:tcW w:w="3758" w:type="dxa"/>
        </w:tcPr>
        <w:p w14:paraId="62EF108C" w14:textId="1B3A51F8" w:rsidR="00571984" w:rsidRDefault="00571984" w:rsidP="00571984">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740BF3">
            <w:rPr>
              <w:b w:val="0"/>
              <w:sz w:val="20"/>
            </w:rPr>
            <w:t>24-14754 (F)</w:t>
          </w:r>
          <w:r>
            <w:rPr>
              <w:b w:val="0"/>
              <w:sz w:val="20"/>
            </w:rPr>
            <w:fldChar w:fldCharType="end"/>
          </w:r>
          <w:r>
            <w:rPr>
              <w:b w:val="0"/>
              <w:sz w:val="20"/>
            </w:rPr>
            <w:t xml:space="preserve">    290824    </w:t>
          </w:r>
          <w:r w:rsidR="00C03E58">
            <w:rPr>
              <w:b w:val="0"/>
              <w:sz w:val="20"/>
            </w:rPr>
            <w:t>06</w:t>
          </w:r>
          <w:r>
            <w:rPr>
              <w:b w:val="0"/>
              <w:sz w:val="20"/>
            </w:rPr>
            <w:t>0</w:t>
          </w:r>
          <w:r w:rsidR="00C03E58">
            <w:rPr>
              <w:b w:val="0"/>
              <w:sz w:val="20"/>
            </w:rPr>
            <w:t>9</w:t>
          </w:r>
          <w:r>
            <w:rPr>
              <w:b w:val="0"/>
              <w:sz w:val="20"/>
            </w:rPr>
            <w:t>24</w:t>
          </w:r>
        </w:p>
        <w:p w14:paraId="085AA84C" w14:textId="40F51117" w:rsidR="00571984" w:rsidRPr="00571984" w:rsidRDefault="00571984" w:rsidP="00571984">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740BF3">
            <w:rPr>
              <w:rFonts w:ascii="Barcode 3 of 9 by request" w:hAnsi="Barcode 3 of 9 by request"/>
              <w:spacing w:val="0"/>
              <w:w w:val="100"/>
              <w:sz w:val="24"/>
            </w:rPr>
            <w:t>*2414754*</w:t>
          </w:r>
          <w:r>
            <w:rPr>
              <w:rFonts w:ascii="Barcode 3 of 9 by request" w:hAnsi="Barcode 3 of 9 by request"/>
              <w:spacing w:val="0"/>
              <w:w w:val="100"/>
              <w:sz w:val="24"/>
            </w:rPr>
            <w:fldChar w:fldCharType="end"/>
          </w:r>
        </w:p>
      </w:tc>
      <w:tc>
        <w:tcPr>
          <w:tcW w:w="4920" w:type="dxa"/>
        </w:tcPr>
        <w:p w14:paraId="18F7327F" w14:textId="77777777" w:rsidR="00571984" w:rsidRDefault="00571984" w:rsidP="00571984">
          <w:pPr>
            <w:pStyle w:val="Footer"/>
            <w:spacing w:line="240" w:lineRule="atLeast"/>
            <w:jc w:val="right"/>
            <w:rPr>
              <w:b w:val="0"/>
              <w:sz w:val="20"/>
            </w:rPr>
          </w:pPr>
          <w:r>
            <w:rPr>
              <w:b w:val="0"/>
              <w:noProof/>
              <w:sz w:val="20"/>
            </w:rPr>
            <w:drawing>
              <wp:inline distT="0" distB="0" distL="0" distR="0" wp14:anchorId="6D0F718C" wp14:editId="0483F974">
                <wp:extent cx="1109474" cy="231648"/>
                <wp:effectExtent l="0" t="0" r="0" b="0"/>
                <wp:docPr id="252179161" name="Picture 2"/>
                <wp:cNvGraphicFramePr/>
                <a:graphic xmlns:a="http://schemas.openxmlformats.org/drawingml/2006/main">
                  <a:graphicData uri="http://schemas.openxmlformats.org/drawingml/2006/picture">
                    <pic:pic xmlns:pic="http://schemas.openxmlformats.org/drawingml/2006/picture">
                      <pic:nvPicPr>
                        <pic:cNvPr id="252179161" name=""/>
                        <pic:cNvPicPr/>
                      </pic:nvPicPr>
                      <pic:blipFill>
                        <a:blip r:embed="rId2"/>
                        <a:stretch>
                          <a:fillRect/>
                        </a:stretch>
                      </pic:blipFill>
                      <pic:spPr>
                        <a:xfrm>
                          <a:off x="0" y="0"/>
                          <a:ext cx="1109474" cy="231648"/>
                        </a:xfrm>
                        <a:prstGeom prst="rect">
                          <a:avLst/>
                        </a:prstGeom>
                      </pic:spPr>
                    </pic:pic>
                  </a:graphicData>
                </a:graphic>
              </wp:inline>
            </w:drawing>
          </w:r>
        </w:p>
      </w:tc>
    </w:tr>
  </w:tbl>
  <w:p w14:paraId="127654D5" w14:textId="77777777" w:rsidR="00571984" w:rsidRPr="00571984" w:rsidRDefault="00571984" w:rsidP="00571984">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21937A" w14:textId="2241EDB4" w:rsidR="000C44EC" w:rsidRPr="00EA4BC8" w:rsidRDefault="00EA4BC8" w:rsidP="00EA4BC8">
      <w:pPr>
        <w:pStyle w:val="Footer"/>
        <w:spacing w:after="80"/>
        <w:ind w:left="792"/>
        <w:rPr>
          <w:sz w:val="16"/>
        </w:rPr>
      </w:pPr>
      <w:r w:rsidRPr="00EA4BC8">
        <w:rPr>
          <w:sz w:val="16"/>
        </w:rPr>
        <w:t>__________________</w:t>
      </w:r>
    </w:p>
  </w:footnote>
  <w:footnote w:type="continuationSeparator" w:id="0">
    <w:p w14:paraId="1B4ACB42" w14:textId="414BC247" w:rsidR="000C44EC" w:rsidRPr="00EA4BC8" w:rsidRDefault="00EA4BC8" w:rsidP="00EA4BC8">
      <w:pPr>
        <w:pStyle w:val="Footer"/>
        <w:spacing w:after="80"/>
        <w:ind w:left="792"/>
        <w:rPr>
          <w:sz w:val="16"/>
        </w:rPr>
      </w:pPr>
      <w:r w:rsidRPr="00EA4BC8">
        <w:rPr>
          <w:sz w:val="16"/>
        </w:rPr>
        <w:t>__________________</w:t>
      </w:r>
    </w:p>
  </w:footnote>
  <w:footnote w:id="1">
    <w:p w14:paraId="4659E319" w14:textId="1B043837" w:rsidR="00C03E58" w:rsidRPr="00EA4BC8" w:rsidRDefault="00C03E58" w:rsidP="00EA4BC8">
      <w:pPr>
        <w:pStyle w:val="FootnoteText"/>
        <w:tabs>
          <w:tab w:val="right" w:pos="1195"/>
          <w:tab w:val="left" w:pos="1267"/>
          <w:tab w:val="left" w:pos="1742"/>
          <w:tab w:val="left" w:pos="2218"/>
          <w:tab w:val="left" w:pos="2693"/>
        </w:tabs>
        <w:ind w:left="1267" w:right="1260" w:hanging="576"/>
        <w:rPr>
          <w:lang w:val="fr-FR"/>
        </w:rPr>
      </w:pPr>
      <w:r>
        <w:rPr>
          <w:lang w:val="fr-FR"/>
        </w:rPr>
        <w:tab/>
      </w:r>
      <w:r w:rsidRPr="00EA4BC8">
        <w:rPr>
          <w:vertAlign w:val="superscript"/>
          <w:lang w:val="fr-FR"/>
        </w:rPr>
        <w:footnoteRef/>
      </w:r>
      <w:r w:rsidRPr="00EA4BC8">
        <w:rPr>
          <w:lang w:val="fr-FR"/>
        </w:rPr>
        <w:tab/>
        <w:t>La Convention a été ratifiée à la suite de la décision législative</w:t>
      </w:r>
      <w:r w:rsidR="00EA4BC8">
        <w:rPr>
          <w:lang w:val="fr-FR"/>
        </w:rPr>
        <w:t xml:space="preserve"> </w:t>
      </w:r>
      <w:r w:rsidRPr="00EA4BC8">
        <w:rPr>
          <w:lang w:val="fr-FR"/>
        </w:rPr>
        <w:t>23432 du 5</w:t>
      </w:r>
      <w:r w:rsidR="00EA4BC8">
        <w:rPr>
          <w:lang w:val="fr-FR"/>
        </w:rPr>
        <w:t xml:space="preserve"> </w:t>
      </w:r>
      <w:r w:rsidRPr="00EA4BC8">
        <w:rPr>
          <w:lang w:val="fr-FR"/>
        </w:rPr>
        <w:t>juin 1982.</w:t>
      </w:r>
    </w:p>
  </w:footnote>
  <w:footnote w:id="2">
    <w:p w14:paraId="016A19D1" w14:textId="2ADA561D" w:rsidR="00C03E58" w:rsidRPr="00EA4BC8" w:rsidRDefault="00C03E58" w:rsidP="00EA4BC8">
      <w:pPr>
        <w:pStyle w:val="FootnoteText"/>
        <w:tabs>
          <w:tab w:val="right" w:pos="1195"/>
          <w:tab w:val="left" w:pos="1267"/>
          <w:tab w:val="left" w:pos="1742"/>
          <w:tab w:val="left" w:pos="2218"/>
          <w:tab w:val="left" w:pos="2693"/>
        </w:tabs>
        <w:ind w:left="1267" w:right="1260" w:hanging="576"/>
        <w:rPr>
          <w:szCs w:val="18"/>
          <w:lang w:val="fr-FR"/>
        </w:rPr>
      </w:pPr>
      <w:r>
        <w:rPr>
          <w:lang w:val="fr-FR"/>
        </w:rPr>
        <w:tab/>
      </w:r>
      <w:r w:rsidRPr="00EA4BC8">
        <w:rPr>
          <w:vertAlign w:val="superscript"/>
          <w:lang w:val="fr-FR"/>
        </w:rPr>
        <w:footnoteRef/>
      </w:r>
      <w:r w:rsidRPr="00EA4BC8">
        <w:rPr>
          <w:lang w:val="fr-FR"/>
        </w:rPr>
        <w:tab/>
        <w:t>Congrès de la République. Loi n</w:t>
      </w:r>
      <w:r w:rsidRPr="00EA4BC8">
        <w:rPr>
          <w:vertAlign w:val="superscript"/>
          <w:lang w:val="fr-FR"/>
        </w:rPr>
        <w:t>o</w:t>
      </w:r>
      <w:r w:rsidR="00EA4BC8">
        <w:rPr>
          <w:lang w:val="fr-FR"/>
        </w:rPr>
        <w:t xml:space="preserve"> </w:t>
      </w:r>
      <w:r w:rsidRPr="00EA4BC8">
        <w:rPr>
          <w:lang w:val="fr-FR"/>
        </w:rPr>
        <w:t>31945 du 25</w:t>
      </w:r>
      <w:r w:rsidR="00EA4BC8">
        <w:rPr>
          <w:lang w:val="fr-FR"/>
        </w:rPr>
        <w:t xml:space="preserve"> </w:t>
      </w:r>
      <w:r w:rsidRPr="00EA4BC8">
        <w:rPr>
          <w:lang w:val="fr-FR"/>
        </w:rPr>
        <w:t>novembre 2023.</w:t>
      </w:r>
    </w:p>
  </w:footnote>
  <w:footnote w:id="3">
    <w:p w14:paraId="5E6D1155" w14:textId="0CB6C100" w:rsidR="00C03E58" w:rsidRPr="00EA4BC8" w:rsidRDefault="00C03E58" w:rsidP="00EA4BC8">
      <w:pPr>
        <w:pStyle w:val="FootnoteText"/>
        <w:tabs>
          <w:tab w:val="right" w:pos="1195"/>
          <w:tab w:val="left" w:pos="1267"/>
          <w:tab w:val="left" w:pos="1742"/>
          <w:tab w:val="left" w:pos="2218"/>
          <w:tab w:val="left" w:pos="2693"/>
        </w:tabs>
        <w:ind w:left="1267" w:right="1260" w:hanging="576"/>
        <w:rPr>
          <w:szCs w:val="18"/>
          <w:lang w:val="fr-FR"/>
        </w:rPr>
      </w:pPr>
      <w:r>
        <w:rPr>
          <w:lang w:val="fr-FR"/>
        </w:rPr>
        <w:tab/>
      </w:r>
      <w:r w:rsidRPr="00EA4BC8">
        <w:rPr>
          <w:vertAlign w:val="superscript"/>
          <w:lang w:val="fr-FR"/>
        </w:rPr>
        <w:footnoteRef/>
      </w:r>
      <w:r w:rsidRPr="00EA4BC8">
        <w:rPr>
          <w:lang w:val="fr-FR"/>
        </w:rPr>
        <w:tab/>
        <w:t>Ministère de la femme et des populations vulnérables. Communication 261-2024-MIMP-DGNNA du 12</w:t>
      </w:r>
      <w:r w:rsidR="00EA4BC8">
        <w:rPr>
          <w:lang w:val="fr-FR"/>
        </w:rPr>
        <w:t xml:space="preserve"> </w:t>
      </w:r>
      <w:r w:rsidRPr="00EA4BC8">
        <w:rPr>
          <w:lang w:val="fr-FR"/>
        </w:rPr>
        <w:t>avril</w:t>
      </w:r>
      <w:r w:rsidR="00EA4BC8">
        <w:rPr>
          <w:lang w:val="fr-FR"/>
        </w:rPr>
        <w:t xml:space="preserve"> </w:t>
      </w:r>
      <w:r w:rsidRPr="00EA4BC8">
        <w:rPr>
          <w:lang w:val="fr-FR"/>
        </w:rPr>
        <w:t>2024.</w:t>
      </w:r>
    </w:p>
  </w:footnote>
  <w:footnote w:id="4">
    <w:p w14:paraId="193EE2BE" w14:textId="77777777" w:rsidR="00C03E58" w:rsidRPr="00EA4BC8" w:rsidRDefault="00C03E58" w:rsidP="00EA4BC8">
      <w:pPr>
        <w:pStyle w:val="FootnoteText"/>
        <w:tabs>
          <w:tab w:val="right" w:pos="1195"/>
          <w:tab w:val="left" w:pos="1267"/>
          <w:tab w:val="left" w:pos="1742"/>
          <w:tab w:val="left" w:pos="2218"/>
          <w:tab w:val="left" w:pos="2693"/>
        </w:tabs>
        <w:ind w:left="1267" w:right="1260" w:hanging="576"/>
        <w:rPr>
          <w:szCs w:val="18"/>
          <w:lang w:val="fr-FR"/>
        </w:rPr>
      </w:pPr>
      <w:r>
        <w:rPr>
          <w:lang w:val="fr-FR"/>
        </w:rPr>
        <w:tab/>
      </w:r>
      <w:r w:rsidRPr="00EA4BC8">
        <w:rPr>
          <w:vertAlign w:val="superscript"/>
          <w:lang w:val="fr-FR"/>
        </w:rPr>
        <w:footnoteRef/>
      </w:r>
      <w:r w:rsidRPr="00EA4BC8">
        <w:rPr>
          <w:lang w:val="fr-FR"/>
        </w:rPr>
        <w:tab/>
        <w:t>Ibid.</w:t>
      </w:r>
    </w:p>
  </w:footnote>
  <w:footnote w:id="5">
    <w:p w14:paraId="1C8D5171" w14:textId="77777777" w:rsidR="00C03E58" w:rsidRPr="00EA4BC8" w:rsidRDefault="00C03E58" w:rsidP="00EA4BC8">
      <w:pPr>
        <w:pStyle w:val="FootnoteText"/>
        <w:tabs>
          <w:tab w:val="right" w:pos="1195"/>
          <w:tab w:val="left" w:pos="1267"/>
          <w:tab w:val="left" w:pos="1742"/>
          <w:tab w:val="left" w:pos="2218"/>
          <w:tab w:val="left" w:pos="2693"/>
        </w:tabs>
        <w:ind w:left="1267" w:right="1260" w:hanging="576"/>
        <w:rPr>
          <w:szCs w:val="18"/>
          <w:lang w:val="fr-FR"/>
        </w:rPr>
      </w:pPr>
      <w:r>
        <w:rPr>
          <w:lang w:val="fr-FR"/>
        </w:rPr>
        <w:tab/>
      </w:r>
      <w:r w:rsidRPr="00EA4BC8">
        <w:rPr>
          <w:vertAlign w:val="superscript"/>
          <w:lang w:val="fr-FR"/>
        </w:rPr>
        <w:footnoteRef/>
      </w:r>
      <w:r w:rsidRPr="00EA4BC8">
        <w:rPr>
          <w:lang w:val="fr-FR"/>
        </w:rPr>
        <w:tab/>
        <w:t>Ibid.</w:t>
      </w:r>
    </w:p>
  </w:footnote>
  <w:footnote w:id="6">
    <w:p w14:paraId="747A1B4A" w14:textId="149D7873" w:rsidR="00C03E58" w:rsidRPr="00EA4BC8" w:rsidRDefault="00C03E58" w:rsidP="00EA4BC8">
      <w:pPr>
        <w:pStyle w:val="FootnoteText"/>
        <w:tabs>
          <w:tab w:val="right" w:pos="1195"/>
          <w:tab w:val="left" w:pos="1267"/>
          <w:tab w:val="left" w:pos="1742"/>
          <w:tab w:val="left" w:pos="2218"/>
          <w:tab w:val="left" w:pos="2693"/>
        </w:tabs>
        <w:ind w:left="1267" w:right="1260" w:hanging="576"/>
        <w:rPr>
          <w:szCs w:val="18"/>
          <w:lang w:val="fr-FR"/>
        </w:rPr>
      </w:pPr>
      <w:r>
        <w:rPr>
          <w:lang w:val="fr-FR"/>
        </w:rPr>
        <w:tab/>
      </w:r>
      <w:r w:rsidRPr="00EA4BC8">
        <w:rPr>
          <w:vertAlign w:val="superscript"/>
          <w:lang w:val="fr-FR"/>
        </w:rPr>
        <w:footnoteRef/>
      </w:r>
      <w:r w:rsidRPr="00EA4BC8">
        <w:rPr>
          <w:lang w:val="fr-FR"/>
        </w:rPr>
        <w:tab/>
        <w:t>La vidéo est disponible (en espagnol) à l’adresse suivante</w:t>
      </w:r>
      <w:r w:rsidR="00EA4BC8">
        <w:rPr>
          <w:lang w:val="fr-FR"/>
        </w:rPr>
        <w:t xml:space="preserve"> </w:t>
      </w:r>
      <w:r w:rsidRPr="00EA4BC8">
        <w:rPr>
          <w:lang w:val="fr-FR"/>
        </w:rPr>
        <w:t xml:space="preserve">: </w:t>
      </w:r>
      <w:hyperlink r:id="rId1" w:history="1">
        <w:r w:rsidR="007E3A90" w:rsidRPr="000B4B7A">
          <w:rPr>
            <w:rStyle w:val="Hyperlink"/>
            <w:lang w:val="fr-FR"/>
          </w:rPr>
          <w:t>https://www.youtube.com/shorts/</w:t>
        </w:r>
        <w:r w:rsidR="007E3A90" w:rsidRPr="000B4B7A">
          <w:rPr>
            <w:rStyle w:val="Hyperlink"/>
            <w:lang w:val="fr-FR"/>
          </w:rPr>
          <w:br/>
          <w:t>OaHAmBnZ-_k</w:t>
        </w:r>
      </w:hyperlink>
      <w:r w:rsidRPr="00EA4BC8">
        <w:rPr>
          <w:lang w:val="fr-FR"/>
        </w:rPr>
        <w:t>.</w:t>
      </w:r>
    </w:p>
  </w:footnote>
  <w:footnote w:id="7">
    <w:p w14:paraId="0B75CB6A" w14:textId="0DC5E2EF" w:rsidR="00C03E58" w:rsidRPr="00EA4BC8" w:rsidRDefault="00C03E58" w:rsidP="00EA4BC8">
      <w:pPr>
        <w:pStyle w:val="FootnoteText"/>
        <w:tabs>
          <w:tab w:val="right" w:pos="1195"/>
          <w:tab w:val="left" w:pos="1267"/>
          <w:tab w:val="left" w:pos="1742"/>
          <w:tab w:val="left" w:pos="2218"/>
          <w:tab w:val="left" w:pos="2693"/>
        </w:tabs>
        <w:ind w:left="1267" w:right="1260" w:hanging="576"/>
        <w:rPr>
          <w:lang w:val="fr-FR"/>
        </w:rPr>
      </w:pPr>
      <w:r w:rsidRPr="006B70C5">
        <w:rPr>
          <w:lang w:val="fr-FR"/>
        </w:rPr>
        <w:tab/>
      </w:r>
      <w:r w:rsidRPr="00EA4BC8">
        <w:rPr>
          <w:vertAlign w:val="superscript"/>
          <w:lang w:val="fr-FR"/>
        </w:rPr>
        <w:footnoteRef/>
      </w:r>
      <w:r w:rsidR="007E3A90">
        <w:rPr>
          <w:lang w:val="fr-FR"/>
        </w:rPr>
        <w:t xml:space="preserve"> </w:t>
      </w:r>
      <w:r w:rsidRPr="00EA4BC8">
        <w:rPr>
          <w:lang w:val="fr-FR"/>
        </w:rPr>
        <w:tab/>
        <w:t>Registre national de l’identification et de l’état civil. Décision 564-2023/DRC/RENIEC du 29</w:t>
      </w:r>
      <w:r w:rsidR="007E3A90">
        <w:rPr>
          <w:lang w:val="fr-FR"/>
        </w:rPr>
        <w:t> </w:t>
      </w:r>
      <w:r w:rsidRPr="00EA4BC8">
        <w:rPr>
          <w:lang w:val="fr-FR"/>
        </w:rPr>
        <w:t>novembre</w:t>
      </w:r>
      <w:r w:rsidR="00EA4BC8">
        <w:rPr>
          <w:lang w:val="fr-FR"/>
        </w:rPr>
        <w:t xml:space="preserve"> </w:t>
      </w:r>
      <w:r w:rsidRPr="00EA4BC8">
        <w:rPr>
          <w:lang w:val="fr-FR"/>
        </w:rPr>
        <w:t>2023.</w:t>
      </w:r>
    </w:p>
  </w:footnote>
  <w:footnote w:id="8">
    <w:p w14:paraId="410959C7" w14:textId="7B9F966E" w:rsidR="00C03E58" w:rsidRPr="00EA4BC8" w:rsidRDefault="00C03E58" w:rsidP="00EA4BC8">
      <w:pPr>
        <w:pStyle w:val="FootnoteText"/>
        <w:tabs>
          <w:tab w:val="right" w:pos="1195"/>
          <w:tab w:val="left" w:pos="1267"/>
          <w:tab w:val="left" w:pos="1742"/>
          <w:tab w:val="left" w:pos="2218"/>
          <w:tab w:val="left" w:pos="2693"/>
        </w:tabs>
        <w:ind w:left="1267" w:right="1260" w:hanging="576"/>
        <w:rPr>
          <w:lang w:val="fr-FR"/>
        </w:rPr>
      </w:pPr>
      <w:r>
        <w:rPr>
          <w:lang w:val="fr-FR"/>
        </w:rPr>
        <w:tab/>
      </w:r>
      <w:r w:rsidRPr="00EA4BC8">
        <w:rPr>
          <w:vertAlign w:val="superscript"/>
          <w:lang w:val="fr-FR"/>
        </w:rPr>
        <w:footnoteRef/>
      </w:r>
      <w:r w:rsidR="007E3A90">
        <w:rPr>
          <w:lang w:val="fr-FR"/>
        </w:rPr>
        <w:t xml:space="preserve"> </w:t>
      </w:r>
      <w:r w:rsidRPr="00EA4BC8">
        <w:rPr>
          <w:lang w:val="fr-FR"/>
        </w:rPr>
        <w:tab/>
        <w:t>Registre national de l’identification et de l’état civil. Communication 1362-2024/SGEN/RENIEC du 8</w:t>
      </w:r>
      <w:r w:rsidR="00EA4BC8">
        <w:rPr>
          <w:lang w:val="fr-FR"/>
        </w:rPr>
        <w:t xml:space="preserve"> </w:t>
      </w:r>
      <w:r w:rsidRPr="00EA4BC8">
        <w:rPr>
          <w:lang w:val="fr-FR"/>
        </w:rPr>
        <w:t>juillet</w:t>
      </w:r>
      <w:r w:rsidR="00EA4BC8">
        <w:rPr>
          <w:lang w:val="fr-FR"/>
        </w:rPr>
        <w:t xml:space="preserve"> </w:t>
      </w:r>
      <w:r w:rsidRPr="00EA4BC8">
        <w:rPr>
          <w:lang w:val="fr-FR"/>
        </w:rPr>
        <w:t>2024.</w:t>
      </w:r>
    </w:p>
  </w:footnote>
  <w:footnote w:id="9">
    <w:p w14:paraId="1EC610F2" w14:textId="345AEF3A" w:rsidR="00C03E58" w:rsidRPr="00EA4BC8" w:rsidRDefault="00C03E58" w:rsidP="00EA4BC8">
      <w:pPr>
        <w:pStyle w:val="FootnoteText"/>
        <w:tabs>
          <w:tab w:val="right" w:pos="1195"/>
          <w:tab w:val="left" w:pos="1267"/>
          <w:tab w:val="left" w:pos="1742"/>
          <w:tab w:val="left" w:pos="2218"/>
          <w:tab w:val="left" w:pos="2693"/>
        </w:tabs>
        <w:ind w:left="1267" w:right="1260" w:hanging="576"/>
        <w:rPr>
          <w:lang w:val="fr-FR"/>
        </w:rPr>
      </w:pPr>
      <w:r w:rsidRPr="006B70C5">
        <w:rPr>
          <w:lang w:val="fr-FR"/>
        </w:rPr>
        <w:tab/>
      </w:r>
      <w:r w:rsidRPr="00EA4BC8">
        <w:rPr>
          <w:vertAlign w:val="superscript"/>
          <w:lang w:val="fr-FR"/>
        </w:rPr>
        <w:footnoteRef/>
      </w:r>
      <w:r w:rsidR="007E3A90">
        <w:rPr>
          <w:lang w:val="fr-FR"/>
        </w:rPr>
        <w:t xml:space="preserve"> </w:t>
      </w:r>
      <w:r w:rsidRPr="00EA4BC8">
        <w:rPr>
          <w:lang w:val="fr-FR"/>
        </w:rPr>
        <w:tab/>
        <w:t>Registre national de l’identification et de l’état civil. Décision 154-2024/DRC/RENIEC du 14</w:t>
      </w:r>
      <w:r w:rsidR="007E3A90">
        <w:rPr>
          <w:lang w:val="fr-FR"/>
        </w:rPr>
        <w:t> </w:t>
      </w:r>
      <w:r w:rsidRPr="00EA4BC8">
        <w:rPr>
          <w:lang w:val="fr-FR"/>
        </w:rPr>
        <w:t>novembre 2024.</w:t>
      </w:r>
    </w:p>
  </w:footnote>
  <w:footnote w:id="10">
    <w:p w14:paraId="2F84CBBD" w14:textId="1F9841E3" w:rsidR="00C03E58" w:rsidRPr="00EA4BC8" w:rsidRDefault="00C03E58" w:rsidP="00EA4BC8">
      <w:pPr>
        <w:pStyle w:val="FootnoteText"/>
        <w:tabs>
          <w:tab w:val="right" w:pos="1195"/>
          <w:tab w:val="left" w:pos="1267"/>
          <w:tab w:val="left" w:pos="1742"/>
          <w:tab w:val="left" w:pos="2218"/>
          <w:tab w:val="left" w:pos="2693"/>
        </w:tabs>
        <w:ind w:left="1267" w:right="1260" w:hanging="576"/>
        <w:rPr>
          <w:lang w:val="fr-FR"/>
        </w:rPr>
      </w:pPr>
      <w:r>
        <w:rPr>
          <w:lang w:val="fr-FR"/>
        </w:rPr>
        <w:tab/>
      </w:r>
      <w:r w:rsidRPr="00EA4BC8">
        <w:rPr>
          <w:vertAlign w:val="superscript"/>
          <w:lang w:val="fr-FR"/>
        </w:rPr>
        <w:footnoteRef/>
      </w:r>
      <w:r w:rsidR="007E3A90">
        <w:rPr>
          <w:lang w:val="fr-FR"/>
        </w:rPr>
        <w:t xml:space="preserve"> </w:t>
      </w:r>
      <w:r w:rsidRPr="00EA4BC8">
        <w:rPr>
          <w:lang w:val="fr-FR"/>
        </w:rPr>
        <w:tab/>
        <w:t>Registre national de l’identification et de l’état civil. Communication 1362-2024/DRC/RENIEC du 8</w:t>
      </w:r>
      <w:r w:rsidR="00EA4BC8">
        <w:rPr>
          <w:lang w:val="fr-FR"/>
        </w:rPr>
        <w:t xml:space="preserve"> </w:t>
      </w:r>
      <w:r w:rsidRPr="00EA4BC8">
        <w:rPr>
          <w:lang w:val="fr-FR"/>
        </w:rPr>
        <w:t>juillet 2024.</w:t>
      </w:r>
    </w:p>
  </w:footnote>
  <w:footnote w:id="11">
    <w:p w14:paraId="1488D181" w14:textId="2F2475B0" w:rsidR="00C03E58" w:rsidRPr="00EA4BC8" w:rsidRDefault="00C03E58" w:rsidP="00EA4BC8">
      <w:pPr>
        <w:pStyle w:val="FootnoteText"/>
        <w:tabs>
          <w:tab w:val="right" w:pos="1195"/>
          <w:tab w:val="left" w:pos="1267"/>
          <w:tab w:val="left" w:pos="1742"/>
          <w:tab w:val="left" w:pos="2218"/>
          <w:tab w:val="left" w:pos="2693"/>
        </w:tabs>
        <w:ind w:left="1267" w:right="1260" w:hanging="576"/>
        <w:rPr>
          <w:lang w:val="fr-FR"/>
        </w:rPr>
      </w:pPr>
      <w:r>
        <w:rPr>
          <w:lang w:val="fr-FR"/>
        </w:rPr>
        <w:tab/>
      </w:r>
      <w:r w:rsidRPr="00EA4BC8">
        <w:rPr>
          <w:vertAlign w:val="superscript"/>
          <w:lang w:val="fr-FR"/>
        </w:rPr>
        <w:footnoteRef/>
      </w:r>
      <w:r w:rsidR="007E3A90">
        <w:rPr>
          <w:lang w:val="fr-FR"/>
        </w:rPr>
        <w:t xml:space="preserve"> </w:t>
      </w:r>
      <w:r w:rsidRPr="00EA4BC8">
        <w:rPr>
          <w:lang w:val="fr-FR"/>
        </w:rPr>
        <w:tab/>
        <w:t>Ibid.</w:t>
      </w:r>
    </w:p>
  </w:footnote>
  <w:footnote w:id="12">
    <w:p w14:paraId="5FD9EC0C" w14:textId="24C39AB6" w:rsidR="00C03E58" w:rsidRPr="00EA4BC8" w:rsidRDefault="00C03E58" w:rsidP="00EA4BC8">
      <w:pPr>
        <w:pStyle w:val="FootnoteText"/>
        <w:tabs>
          <w:tab w:val="right" w:pos="1195"/>
          <w:tab w:val="left" w:pos="1267"/>
          <w:tab w:val="left" w:pos="1742"/>
          <w:tab w:val="left" w:pos="2218"/>
          <w:tab w:val="left" w:pos="2693"/>
        </w:tabs>
        <w:ind w:left="1267" w:right="1260" w:hanging="576"/>
        <w:rPr>
          <w:lang w:val="fr-FR"/>
        </w:rPr>
      </w:pPr>
      <w:r>
        <w:rPr>
          <w:lang w:val="fr-FR"/>
        </w:rPr>
        <w:tab/>
      </w:r>
      <w:r w:rsidRPr="00EA4BC8">
        <w:rPr>
          <w:vertAlign w:val="superscript"/>
          <w:lang w:val="fr-FR"/>
        </w:rPr>
        <w:footnoteRef/>
      </w:r>
      <w:r w:rsidR="007E3A90">
        <w:rPr>
          <w:lang w:val="fr-FR"/>
        </w:rPr>
        <w:t xml:space="preserve"> </w:t>
      </w:r>
      <w:r w:rsidRPr="00EA4BC8">
        <w:rPr>
          <w:lang w:val="fr-FR"/>
        </w:rPr>
        <w:tab/>
        <w:t>Ministère de la femme et des populations vulnérables. Décret suprême n</w:t>
      </w:r>
      <w:r w:rsidRPr="00EA4BC8">
        <w:rPr>
          <w:vertAlign w:val="superscript"/>
          <w:lang w:val="fr-FR"/>
        </w:rPr>
        <w:t>o</w:t>
      </w:r>
      <w:r w:rsidRPr="00EA4BC8">
        <w:rPr>
          <w:lang w:val="fr-FR"/>
        </w:rPr>
        <w:t xml:space="preserve"> 008-2019-MIMP du 4</w:t>
      </w:r>
      <w:r w:rsidR="007E3A90">
        <w:rPr>
          <w:lang w:val="fr-FR"/>
        </w:rPr>
        <w:t> </w:t>
      </w:r>
      <w:r w:rsidRPr="00EA4BC8">
        <w:rPr>
          <w:lang w:val="fr-FR"/>
        </w:rPr>
        <w:t>avril</w:t>
      </w:r>
      <w:r w:rsidR="00EA4BC8">
        <w:rPr>
          <w:lang w:val="fr-FR"/>
        </w:rPr>
        <w:t xml:space="preserve"> </w:t>
      </w:r>
      <w:r w:rsidRPr="00EA4BC8">
        <w:rPr>
          <w:lang w:val="fr-FR"/>
        </w:rPr>
        <w:t>2019.</w:t>
      </w:r>
    </w:p>
  </w:footnote>
  <w:footnote w:id="13">
    <w:p w14:paraId="46416C50" w14:textId="7F12ED50" w:rsidR="00C03E58" w:rsidRPr="00EA4BC8" w:rsidRDefault="00C03E58" w:rsidP="00EA4BC8">
      <w:pPr>
        <w:pStyle w:val="FootnoteText"/>
        <w:tabs>
          <w:tab w:val="right" w:pos="1195"/>
          <w:tab w:val="left" w:pos="1267"/>
          <w:tab w:val="left" w:pos="1742"/>
          <w:tab w:val="left" w:pos="2218"/>
          <w:tab w:val="left" w:pos="2693"/>
        </w:tabs>
        <w:ind w:left="1267" w:right="1260" w:hanging="576"/>
        <w:rPr>
          <w:lang w:val="fr-FR"/>
        </w:rPr>
      </w:pPr>
      <w:r>
        <w:rPr>
          <w:lang w:val="fr-FR"/>
        </w:rPr>
        <w:tab/>
      </w:r>
      <w:r w:rsidRPr="00EA4BC8">
        <w:rPr>
          <w:vertAlign w:val="superscript"/>
          <w:lang w:val="fr-FR"/>
        </w:rPr>
        <w:footnoteRef/>
      </w:r>
      <w:r w:rsidR="007E3A90">
        <w:rPr>
          <w:lang w:val="fr-FR"/>
        </w:rPr>
        <w:t xml:space="preserve"> </w:t>
      </w:r>
      <w:r w:rsidRPr="00EA4BC8">
        <w:rPr>
          <w:lang w:val="fr-FR"/>
        </w:rPr>
        <w:tab/>
        <w:t>Ministère de l’économie et des finances. Décret suprême n</w:t>
      </w:r>
      <w:r w:rsidRPr="00EA4BC8">
        <w:rPr>
          <w:vertAlign w:val="superscript"/>
          <w:lang w:val="fr-FR"/>
        </w:rPr>
        <w:t>o</w:t>
      </w:r>
      <w:r w:rsidRPr="00EA4BC8">
        <w:rPr>
          <w:lang w:val="fr-FR"/>
        </w:rPr>
        <w:t xml:space="preserve"> 024-2019-EF du 30</w:t>
      </w:r>
      <w:r w:rsidR="00EA4BC8">
        <w:rPr>
          <w:lang w:val="fr-FR"/>
        </w:rPr>
        <w:t xml:space="preserve"> </w:t>
      </w:r>
      <w:r w:rsidRPr="00EA4BC8">
        <w:rPr>
          <w:lang w:val="fr-FR"/>
        </w:rPr>
        <w:t>décembre</w:t>
      </w:r>
      <w:r w:rsidR="00EA4BC8">
        <w:rPr>
          <w:lang w:val="fr-FR"/>
        </w:rPr>
        <w:t xml:space="preserve"> </w:t>
      </w:r>
      <w:r w:rsidRPr="00EA4BC8">
        <w:rPr>
          <w:lang w:val="fr-FR"/>
        </w:rPr>
        <w:t>2019.</w:t>
      </w:r>
    </w:p>
  </w:footnote>
  <w:footnote w:id="14">
    <w:p w14:paraId="56E51EBD" w14:textId="5D6CE636" w:rsidR="00C03E58" w:rsidRPr="00EA4BC8" w:rsidRDefault="00C03E58" w:rsidP="00EA4BC8">
      <w:pPr>
        <w:pStyle w:val="FootnoteText"/>
        <w:tabs>
          <w:tab w:val="right" w:pos="1195"/>
          <w:tab w:val="left" w:pos="1267"/>
          <w:tab w:val="left" w:pos="1742"/>
          <w:tab w:val="left" w:pos="2218"/>
          <w:tab w:val="left" w:pos="2693"/>
        </w:tabs>
        <w:ind w:left="1267" w:right="1260" w:hanging="576"/>
        <w:rPr>
          <w:lang w:val="fr-FR"/>
        </w:rPr>
      </w:pPr>
      <w:r>
        <w:rPr>
          <w:lang w:val="fr-FR"/>
        </w:rPr>
        <w:tab/>
      </w:r>
      <w:r w:rsidRPr="00EA4BC8">
        <w:rPr>
          <w:vertAlign w:val="superscript"/>
          <w:lang w:val="fr-FR"/>
        </w:rPr>
        <w:footnoteRef/>
      </w:r>
      <w:r w:rsidR="007E3A90">
        <w:rPr>
          <w:lang w:val="fr-FR"/>
        </w:rPr>
        <w:t xml:space="preserve"> </w:t>
      </w:r>
      <w:r w:rsidRPr="00EA4BC8">
        <w:rPr>
          <w:lang w:val="fr-FR"/>
        </w:rPr>
        <w:tab/>
        <w:t>Le décret suprême n°</w:t>
      </w:r>
      <w:r w:rsidR="00CF115B">
        <w:rPr>
          <w:lang w:val="fr-FR"/>
        </w:rPr>
        <w:t> </w:t>
      </w:r>
      <w:r w:rsidRPr="00EA4BC8">
        <w:rPr>
          <w:lang w:val="fr-FR"/>
        </w:rPr>
        <w:t>097-2022-PCM a accordé à ce système le statut de «</w:t>
      </w:r>
      <w:r w:rsidR="00EA4BC8">
        <w:rPr>
          <w:lang w:val="fr-FR"/>
        </w:rPr>
        <w:t xml:space="preserve"> </w:t>
      </w:r>
      <w:r w:rsidRPr="00EA4BC8">
        <w:rPr>
          <w:lang w:val="fr-FR"/>
        </w:rPr>
        <w:t>système fonctionnel</w:t>
      </w:r>
      <w:r w:rsidR="00EA4BC8">
        <w:rPr>
          <w:lang w:val="fr-FR"/>
        </w:rPr>
        <w:t xml:space="preserve"> </w:t>
      </w:r>
      <w:r w:rsidRPr="00EA4BC8">
        <w:rPr>
          <w:lang w:val="fr-FR"/>
        </w:rPr>
        <w:t>».</w:t>
      </w:r>
    </w:p>
  </w:footnote>
  <w:footnote w:id="15">
    <w:p w14:paraId="2ED92528" w14:textId="58FC6C65" w:rsidR="00C03E58" w:rsidRPr="00EA4BC8" w:rsidRDefault="00C03E58" w:rsidP="00EA4BC8">
      <w:pPr>
        <w:pStyle w:val="FootnoteText"/>
        <w:tabs>
          <w:tab w:val="right" w:pos="1195"/>
          <w:tab w:val="left" w:pos="1267"/>
          <w:tab w:val="left" w:pos="1742"/>
          <w:tab w:val="left" w:pos="2218"/>
          <w:tab w:val="left" w:pos="2693"/>
        </w:tabs>
        <w:ind w:left="1267" w:right="1260" w:hanging="576"/>
        <w:rPr>
          <w:lang w:val="fr-FR"/>
        </w:rPr>
      </w:pPr>
      <w:r>
        <w:rPr>
          <w:lang w:val="fr-FR"/>
        </w:rPr>
        <w:tab/>
      </w:r>
      <w:r w:rsidRPr="00EA4BC8">
        <w:rPr>
          <w:rStyle w:val="FootnoteReference"/>
          <w:rFonts w:eastAsia="Times New Roman"/>
          <w:spacing w:val="4"/>
          <w:szCs w:val="16"/>
          <w:lang w:val="fr-FR"/>
        </w:rPr>
        <w:footnoteRef/>
      </w:r>
      <w:r w:rsidRPr="00EA4BC8">
        <w:rPr>
          <w:lang w:val="fr-FR"/>
        </w:rPr>
        <w:tab/>
        <w:t>Congrès de la République. Loi n</w:t>
      </w:r>
      <w:r w:rsidRPr="00EA4BC8">
        <w:rPr>
          <w:vertAlign w:val="superscript"/>
          <w:lang w:val="fr-FR"/>
        </w:rPr>
        <w:t>o</w:t>
      </w:r>
      <w:r w:rsidR="00EA4BC8">
        <w:rPr>
          <w:lang w:val="fr-FR"/>
        </w:rPr>
        <w:t xml:space="preserve"> </w:t>
      </w:r>
      <w:r w:rsidRPr="00EA4BC8">
        <w:rPr>
          <w:lang w:val="fr-FR"/>
        </w:rPr>
        <w:t>31439 du 7</w:t>
      </w:r>
      <w:r w:rsidR="00EA4BC8">
        <w:rPr>
          <w:lang w:val="fr-FR"/>
        </w:rPr>
        <w:t xml:space="preserve"> </w:t>
      </w:r>
      <w:r w:rsidRPr="00EA4BC8">
        <w:rPr>
          <w:lang w:val="fr-FR"/>
        </w:rPr>
        <w:t>avril</w:t>
      </w:r>
      <w:r w:rsidR="00EA4BC8">
        <w:rPr>
          <w:lang w:val="fr-FR"/>
        </w:rPr>
        <w:t xml:space="preserve"> </w:t>
      </w:r>
      <w:r w:rsidRPr="00EA4BC8">
        <w:rPr>
          <w:lang w:val="fr-FR"/>
        </w:rPr>
        <w:t>2022.</w:t>
      </w:r>
    </w:p>
  </w:footnote>
  <w:footnote w:id="16">
    <w:p w14:paraId="5B7349F8" w14:textId="40909C3C" w:rsidR="00C03E58" w:rsidRPr="00EA4BC8" w:rsidRDefault="00C03E58" w:rsidP="00EA4BC8">
      <w:pPr>
        <w:pStyle w:val="FootnoteText"/>
        <w:tabs>
          <w:tab w:val="right" w:pos="1195"/>
          <w:tab w:val="left" w:pos="1267"/>
          <w:tab w:val="left" w:pos="1742"/>
          <w:tab w:val="left" w:pos="2218"/>
          <w:tab w:val="left" w:pos="2693"/>
        </w:tabs>
        <w:ind w:left="1267" w:right="1260" w:hanging="576"/>
        <w:rPr>
          <w:lang w:val="fr-FR"/>
        </w:rPr>
      </w:pPr>
      <w:r>
        <w:rPr>
          <w:lang w:val="fr-FR"/>
        </w:rPr>
        <w:tab/>
      </w:r>
      <w:r w:rsidRPr="00EA4BC8">
        <w:rPr>
          <w:rStyle w:val="FootnoteReference"/>
          <w:rFonts w:eastAsia="Times New Roman"/>
          <w:spacing w:val="4"/>
          <w:szCs w:val="16"/>
          <w:lang w:val="fr-FR"/>
        </w:rPr>
        <w:footnoteRef/>
      </w:r>
      <w:r w:rsidRPr="00EA4BC8">
        <w:rPr>
          <w:lang w:val="fr-FR"/>
        </w:rPr>
        <w:tab/>
        <w:t>Ministère de la femme et des populations vulnérables. Décision ministérielle 288-2023-MIMP du</w:t>
      </w:r>
      <w:r w:rsidR="00EA4BC8">
        <w:rPr>
          <w:lang w:val="fr-FR"/>
        </w:rPr>
        <w:t xml:space="preserve"> </w:t>
      </w:r>
      <w:r w:rsidRPr="00EA4BC8">
        <w:rPr>
          <w:lang w:val="fr-FR"/>
        </w:rPr>
        <w:t>16</w:t>
      </w:r>
      <w:r w:rsidR="00EA4BC8">
        <w:rPr>
          <w:lang w:val="fr-FR"/>
        </w:rPr>
        <w:t xml:space="preserve"> </w:t>
      </w:r>
      <w:r w:rsidRPr="00EA4BC8">
        <w:rPr>
          <w:lang w:val="fr-FR"/>
        </w:rPr>
        <w:t>août</w:t>
      </w:r>
      <w:r w:rsidR="00EA4BC8">
        <w:rPr>
          <w:lang w:val="fr-FR"/>
        </w:rPr>
        <w:t xml:space="preserve"> </w:t>
      </w:r>
      <w:r w:rsidRPr="00EA4BC8">
        <w:rPr>
          <w:lang w:val="fr-FR"/>
        </w:rPr>
        <w:t>2023.</w:t>
      </w:r>
    </w:p>
  </w:footnote>
  <w:footnote w:id="17">
    <w:p w14:paraId="70E99225" w14:textId="44BE8272" w:rsidR="00C03E58" w:rsidRPr="00EA4BC8" w:rsidRDefault="00C03E58" w:rsidP="00EA4BC8">
      <w:pPr>
        <w:pStyle w:val="FootnoteText"/>
        <w:tabs>
          <w:tab w:val="right" w:pos="1195"/>
          <w:tab w:val="left" w:pos="1267"/>
          <w:tab w:val="left" w:pos="1742"/>
          <w:tab w:val="left" w:pos="2218"/>
          <w:tab w:val="left" w:pos="2693"/>
        </w:tabs>
        <w:ind w:left="1267" w:right="1260" w:hanging="576"/>
        <w:rPr>
          <w:lang w:val="fr-FR"/>
        </w:rPr>
      </w:pPr>
      <w:r>
        <w:rPr>
          <w:lang w:val="fr-FR"/>
        </w:rPr>
        <w:tab/>
      </w:r>
      <w:r w:rsidRPr="00EA4BC8">
        <w:rPr>
          <w:rStyle w:val="FootnoteReference"/>
          <w:rFonts w:eastAsia="Times New Roman"/>
          <w:spacing w:val="4"/>
          <w:szCs w:val="16"/>
          <w:lang w:val="fr-FR"/>
        </w:rPr>
        <w:footnoteRef/>
      </w:r>
      <w:r w:rsidRPr="00EA4BC8">
        <w:rPr>
          <w:lang w:val="fr-FR"/>
        </w:rPr>
        <w:tab/>
        <w:t>Ministère de la femme et des populations vulnérables. Communication 205-2024-MIMP-DGCVG du 27</w:t>
      </w:r>
      <w:r w:rsidR="00EA4BC8">
        <w:rPr>
          <w:lang w:val="fr-FR"/>
        </w:rPr>
        <w:t xml:space="preserve"> </w:t>
      </w:r>
      <w:r w:rsidRPr="00EA4BC8">
        <w:rPr>
          <w:lang w:val="fr-FR"/>
        </w:rPr>
        <w:t>juin</w:t>
      </w:r>
      <w:r w:rsidR="00EA4BC8">
        <w:rPr>
          <w:lang w:val="fr-FR"/>
        </w:rPr>
        <w:t xml:space="preserve"> </w:t>
      </w:r>
      <w:r w:rsidRPr="00EA4BC8">
        <w:rPr>
          <w:lang w:val="fr-FR"/>
        </w:rPr>
        <w:t>2024.</w:t>
      </w:r>
    </w:p>
  </w:footnote>
  <w:footnote w:id="18">
    <w:p w14:paraId="4B989A97" w14:textId="65F260A2" w:rsidR="00C03E58" w:rsidRPr="00EA4BC8" w:rsidRDefault="00C03E58" w:rsidP="00EA4BC8">
      <w:pPr>
        <w:pStyle w:val="FootnoteText"/>
        <w:tabs>
          <w:tab w:val="right" w:pos="1195"/>
          <w:tab w:val="left" w:pos="1267"/>
          <w:tab w:val="left" w:pos="1742"/>
          <w:tab w:val="left" w:pos="2218"/>
          <w:tab w:val="left" w:pos="2693"/>
        </w:tabs>
        <w:ind w:left="1267" w:right="1260" w:hanging="576"/>
        <w:rPr>
          <w:lang w:val="fr-FR"/>
        </w:rPr>
      </w:pPr>
      <w:r>
        <w:rPr>
          <w:lang w:val="fr-FR"/>
        </w:rPr>
        <w:tab/>
      </w:r>
      <w:r w:rsidRPr="00EA4BC8">
        <w:rPr>
          <w:rStyle w:val="FootnoteReference"/>
          <w:rFonts w:eastAsia="Times New Roman"/>
          <w:spacing w:val="4"/>
          <w:szCs w:val="16"/>
          <w:lang w:val="fr-FR"/>
        </w:rPr>
        <w:footnoteRef/>
      </w:r>
      <w:r w:rsidRPr="00EA4BC8">
        <w:rPr>
          <w:lang w:val="fr-FR"/>
        </w:rPr>
        <w:tab/>
        <w:t>Ministère de la femme et des populations vulnérables. Décret suprême n</w:t>
      </w:r>
      <w:r w:rsidRPr="00EA4BC8">
        <w:rPr>
          <w:vertAlign w:val="superscript"/>
          <w:lang w:val="fr-FR"/>
        </w:rPr>
        <w:t>o</w:t>
      </w:r>
      <w:r w:rsidRPr="00EA4BC8">
        <w:rPr>
          <w:lang w:val="fr-FR"/>
        </w:rPr>
        <w:t xml:space="preserve"> 011-2021-MIMP du 10</w:t>
      </w:r>
      <w:r w:rsidR="007E3A90">
        <w:rPr>
          <w:lang w:val="fr-FR"/>
        </w:rPr>
        <w:t> </w:t>
      </w:r>
      <w:r w:rsidRPr="00EA4BC8">
        <w:rPr>
          <w:lang w:val="fr-FR"/>
        </w:rPr>
        <w:t>juillet</w:t>
      </w:r>
      <w:r w:rsidR="00EA4BC8">
        <w:rPr>
          <w:lang w:val="fr-FR"/>
        </w:rPr>
        <w:t xml:space="preserve"> </w:t>
      </w:r>
      <w:r w:rsidRPr="00EA4BC8">
        <w:rPr>
          <w:lang w:val="fr-FR"/>
        </w:rPr>
        <w:t xml:space="preserve">2021. </w:t>
      </w:r>
    </w:p>
  </w:footnote>
  <w:footnote w:id="19">
    <w:p w14:paraId="386F6427" w14:textId="50E5BCAF" w:rsidR="00C03E58" w:rsidRPr="00EA4BC8" w:rsidRDefault="00C03E58" w:rsidP="00EA4BC8">
      <w:pPr>
        <w:pStyle w:val="FootnoteText"/>
        <w:tabs>
          <w:tab w:val="right" w:pos="1195"/>
          <w:tab w:val="left" w:pos="1267"/>
          <w:tab w:val="left" w:pos="1742"/>
          <w:tab w:val="left" w:pos="2218"/>
          <w:tab w:val="left" w:pos="2693"/>
        </w:tabs>
        <w:ind w:left="1267" w:right="1260" w:hanging="576"/>
        <w:rPr>
          <w:lang w:val="fr-FR"/>
        </w:rPr>
      </w:pPr>
      <w:r>
        <w:rPr>
          <w:lang w:val="fr-FR"/>
        </w:rPr>
        <w:tab/>
      </w:r>
      <w:r w:rsidRPr="00EA4BC8">
        <w:rPr>
          <w:rStyle w:val="FootnoteReference"/>
          <w:rFonts w:eastAsia="Times New Roman"/>
          <w:spacing w:val="4"/>
          <w:szCs w:val="16"/>
          <w:lang w:val="fr-FR"/>
        </w:rPr>
        <w:footnoteRef/>
      </w:r>
      <w:r w:rsidRPr="00EA4BC8">
        <w:rPr>
          <w:lang w:val="fr-FR"/>
        </w:rPr>
        <w:tab/>
        <w:t>Les districts judiciaires où le Système national a été mis en œuvre sont les suivants</w:t>
      </w:r>
      <w:r w:rsidR="00EA4BC8">
        <w:rPr>
          <w:lang w:val="fr-FR"/>
        </w:rPr>
        <w:t xml:space="preserve"> </w:t>
      </w:r>
      <w:r w:rsidRPr="00EA4BC8">
        <w:rPr>
          <w:lang w:val="fr-FR"/>
        </w:rPr>
        <w:t xml:space="preserve">: Ancash, Arequipa, Callao, Cuzco, Junín, Lima Est, Lima Nord, Puente Piedra </w:t>
      </w:r>
      <w:r w:rsidR="007E3A90" w:rsidRPr="00056171">
        <w:t>–</w:t>
      </w:r>
      <w:r w:rsidRPr="00EA4BC8">
        <w:rPr>
          <w:lang w:val="fr-FR"/>
        </w:rPr>
        <w:t xml:space="preserve"> Ventanilla.</w:t>
      </w:r>
    </w:p>
  </w:footnote>
  <w:footnote w:id="20">
    <w:p w14:paraId="24620915" w14:textId="2C66937D" w:rsidR="00C03E58" w:rsidRPr="00EA4BC8" w:rsidRDefault="00C03E58" w:rsidP="00EA4BC8">
      <w:pPr>
        <w:pStyle w:val="FootnoteText"/>
        <w:tabs>
          <w:tab w:val="right" w:pos="1195"/>
          <w:tab w:val="left" w:pos="1267"/>
          <w:tab w:val="left" w:pos="1742"/>
          <w:tab w:val="left" w:pos="2218"/>
          <w:tab w:val="left" w:pos="2693"/>
        </w:tabs>
        <w:ind w:left="1267" w:right="1260" w:hanging="576"/>
        <w:rPr>
          <w:lang w:val="fr-FR"/>
        </w:rPr>
      </w:pPr>
      <w:r>
        <w:rPr>
          <w:lang w:val="fr-FR"/>
        </w:rPr>
        <w:tab/>
      </w:r>
      <w:r w:rsidRPr="00EA4BC8">
        <w:rPr>
          <w:vertAlign w:val="superscript"/>
          <w:lang w:val="fr-FR"/>
        </w:rPr>
        <w:footnoteRef/>
      </w:r>
      <w:r w:rsidRPr="00EA4BC8">
        <w:rPr>
          <w:lang w:val="fr-FR"/>
        </w:rPr>
        <w:tab/>
        <w:t>Ministère de la femme et des populations vulnérables. Décret suprême n</w:t>
      </w:r>
      <w:r w:rsidRPr="00EA4BC8">
        <w:rPr>
          <w:vertAlign w:val="superscript"/>
          <w:lang w:val="fr-FR"/>
        </w:rPr>
        <w:t>o</w:t>
      </w:r>
      <w:r w:rsidRPr="00EA4BC8">
        <w:rPr>
          <w:lang w:val="fr-FR"/>
        </w:rPr>
        <w:t xml:space="preserve"> 005-2022-MIMP du</w:t>
      </w:r>
      <w:r w:rsidR="00EA4BC8">
        <w:rPr>
          <w:lang w:val="fr-FR"/>
        </w:rPr>
        <w:t xml:space="preserve"> </w:t>
      </w:r>
      <w:r w:rsidRPr="00EA4BC8">
        <w:rPr>
          <w:lang w:val="fr-FR"/>
        </w:rPr>
        <w:t>4</w:t>
      </w:r>
      <w:r w:rsidR="007E3A90">
        <w:rPr>
          <w:lang w:val="fr-FR"/>
        </w:rPr>
        <w:t> </w:t>
      </w:r>
      <w:r w:rsidRPr="00EA4BC8">
        <w:rPr>
          <w:lang w:val="fr-FR"/>
        </w:rPr>
        <w:t>avril</w:t>
      </w:r>
      <w:r w:rsidR="00EA4BC8">
        <w:rPr>
          <w:lang w:val="fr-FR"/>
        </w:rPr>
        <w:t xml:space="preserve"> </w:t>
      </w:r>
      <w:r w:rsidRPr="00EA4BC8">
        <w:rPr>
          <w:lang w:val="fr-FR"/>
        </w:rPr>
        <w:t>2022.</w:t>
      </w:r>
    </w:p>
  </w:footnote>
  <w:footnote w:id="21">
    <w:p w14:paraId="60032718" w14:textId="0AA173DF" w:rsidR="00C03E58" w:rsidRPr="00EA4BC8" w:rsidRDefault="00C03E58" w:rsidP="00EA4BC8">
      <w:pPr>
        <w:pStyle w:val="FootnoteText"/>
        <w:tabs>
          <w:tab w:val="right" w:pos="1195"/>
          <w:tab w:val="left" w:pos="1267"/>
          <w:tab w:val="left" w:pos="1742"/>
          <w:tab w:val="left" w:pos="2218"/>
          <w:tab w:val="left" w:pos="2693"/>
        </w:tabs>
        <w:ind w:left="1267" w:right="1260" w:hanging="576"/>
        <w:rPr>
          <w:lang w:val="fr-FR"/>
        </w:rPr>
      </w:pPr>
      <w:r>
        <w:rPr>
          <w:lang w:val="fr-FR"/>
        </w:rPr>
        <w:tab/>
      </w:r>
      <w:r w:rsidRPr="00EA4BC8">
        <w:rPr>
          <w:vertAlign w:val="superscript"/>
          <w:lang w:val="fr-FR"/>
        </w:rPr>
        <w:footnoteRef/>
      </w:r>
      <w:r w:rsidRPr="00EA4BC8">
        <w:rPr>
          <w:lang w:val="fr-FR"/>
        </w:rPr>
        <w:tab/>
        <w:t>Les formes de violence visées à l’article</w:t>
      </w:r>
      <w:r w:rsidR="00EA4BC8">
        <w:rPr>
          <w:lang w:val="fr-FR"/>
        </w:rPr>
        <w:t xml:space="preserve"> </w:t>
      </w:r>
      <w:r w:rsidRPr="00EA4BC8">
        <w:rPr>
          <w:lang w:val="fr-FR"/>
        </w:rPr>
        <w:t>8 du décret d’application de la loi n</w:t>
      </w:r>
      <w:r w:rsidRPr="00EA4BC8">
        <w:rPr>
          <w:vertAlign w:val="superscript"/>
          <w:lang w:val="fr-FR"/>
        </w:rPr>
        <w:t>o</w:t>
      </w:r>
      <w:r w:rsidR="00EA4BC8">
        <w:rPr>
          <w:lang w:val="fr-FR"/>
        </w:rPr>
        <w:t xml:space="preserve"> </w:t>
      </w:r>
      <w:r w:rsidRPr="00EA4BC8">
        <w:rPr>
          <w:lang w:val="fr-FR"/>
        </w:rPr>
        <w:t>30364 sont les suivantes</w:t>
      </w:r>
      <w:r w:rsidR="00EA4BC8">
        <w:rPr>
          <w:lang w:val="fr-FR"/>
        </w:rPr>
        <w:t xml:space="preserve"> </w:t>
      </w:r>
      <w:r w:rsidRPr="00EA4BC8">
        <w:rPr>
          <w:lang w:val="fr-FR"/>
        </w:rPr>
        <w:t>: i) l’exploitation sexuelle des enfants, des adolescentes et des adolescents, ii) la violence dans les services de santé sexuelle et reproductive, iii) le harcèlement dans le cadre de la procédure judiciaire et iv) les disparitions forcées.</w:t>
      </w:r>
    </w:p>
  </w:footnote>
  <w:footnote w:id="22">
    <w:p w14:paraId="73FFB3F5" w14:textId="1F803AD7" w:rsidR="00C03E58" w:rsidRPr="00EA4BC8" w:rsidRDefault="00C03E58" w:rsidP="00EA4BC8">
      <w:pPr>
        <w:pStyle w:val="FootnoteText"/>
        <w:tabs>
          <w:tab w:val="right" w:pos="1195"/>
          <w:tab w:val="left" w:pos="1267"/>
          <w:tab w:val="left" w:pos="1742"/>
          <w:tab w:val="left" w:pos="2218"/>
          <w:tab w:val="left" w:pos="2693"/>
        </w:tabs>
        <w:ind w:left="1267" w:right="1260" w:hanging="576"/>
        <w:rPr>
          <w:lang w:val="fr-FR"/>
        </w:rPr>
      </w:pPr>
      <w:r>
        <w:rPr>
          <w:lang w:val="fr-FR"/>
        </w:rPr>
        <w:tab/>
      </w:r>
      <w:r w:rsidRPr="00EA4BC8">
        <w:rPr>
          <w:vertAlign w:val="superscript"/>
          <w:lang w:val="fr-FR"/>
        </w:rPr>
        <w:footnoteRef/>
      </w:r>
      <w:r w:rsidRPr="00EA4BC8">
        <w:rPr>
          <w:lang w:val="fr-FR"/>
        </w:rPr>
        <w:tab/>
        <w:t>Congrès de la République. Loi n</w:t>
      </w:r>
      <w:r w:rsidRPr="00EA4BC8">
        <w:rPr>
          <w:vertAlign w:val="superscript"/>
          <w:lang w:val="fr-FR"/>
        </w:rPr>
        <w:t>o</w:t>
      </w:r>
      <w:r w:rsidR="00EA4BC8">
        <w:rPr>
          <w:lang w:val="fr-FR"/>
        </w:rPr>
        <w:t xml:space="preserve"> </w:t>
      </w:r>
      <w:r w:rsidRPr="00EA4BC8">
        <w:rPr>
          <w:lang w:val="fr-FR"/>
        </w:rPr>
        <w:t>31613 11</w:t>
      </w:r>
      <w:r w:rsidR="00EA4BC8">
        <w:rPr>
          <w:lang w:val="fr-FR"/>
        </w:rPr>
        <w:t xml:space="preserve"> </w:t>
      </w:r>
      <w:r w:rsidRPr="00EA4BC8">
        <w:rPr>
          <w:lang w:val="fr-FR"/>
        </w:rPr>
        <w:t>novembre 2022.</w:t>
      </w:r>
    </w:p>
  </w:footnote>
  <w:footnote w:id="23">
    <w:p w14:paraId="33A7C1F4" w14:textId="3888F72E" w:rsidR="00C03E58" w:rsidRPr="00EA4BC8" w:rsidRDefault="00C03E58" w:rsidP="00EA4BC8">
      <w:pPr>
        <w:pStyle w:val="FootnoteText"/>
        <w:tabs>
          <w:tab w:val="right" w:pos="1195"/>
          <w:tab w:val="left" w:pos="1267"/>
          <w:tab w:val="left" w:pos="1742"/>
          <w:tab w:val="left" w:pos="2218"/>
          <w:tab w:val="left" w:pos="2693"/>
        </w:tabs>
        <w:ind w:left="1267" w:right="1260" w:hanging="576"/>
        <w:rPr>
          <w:lang w:val="fr-FR"/>
        </w:rPr>
      </w:pPr>
      <w:r>
        <w:rPr>
          <w:lang w:val="fr-FR"/>
        </w:rPr>
        <w:tab/>
      </w:r>
      <w:r w:rsidRPr="00EA4BC8">
        <w:rPr>
          <w:vertAlign w:val="superscript"/>
          <w:lang w:val="fr-FR"/>
        </w:rPr>
        <w:footnoteRef/>
      </w:r>
      <w:r w:rsidRPr="00EA4BC8">
        <w:rPr>
          <w:lang w:val="fr-FR"/>
        </w:rPr>
        <w:tab/>
        <w:t>Congrès de la République. Loi n</w:t>
      </w:r>
      <w:r w:rsidRPr="00EA4BC8">
        <w:rPr>
          <w:vertAlign w:val="superscript"/>
          <w:lang w:val="fr-FR"/>
        </w:rPr>
        <w:t>o</w:t>
      </w:r>
      <w:r w:rsidR="00EA4BC8">
        <w:rPr>
          <w:lang w:val="fr-FR"/>
        </w:rPr>
        <w:t xml:space="preserve"> </w:t>
      </w:r>
      <w:r w:rsidRPr="00EA4BC8">
        <w:rPr>
          <w:lang w:val="fr-FR"/>
        </w:rPr>
        <w:t>31621 du 15</w:t>
      </w:r>
      <w:r w:rsidR="00EA4BC8">
        <w:rPr>
          <w:lang w:val="fr-FR"/>
        </w:rPr>
        <w:t xml:space="preserve"> </w:t>
      </w:r>
      <w:r w:rsidRPr="00EA4BC8">
        <w:rPr>
          <w:lang w:val="fr-FR"/>
        </w:rPr>
        <w:t>novembre 2022.</w:t>
      </w:r>
    </w:p>
  </w:footnote>
  <w:footnote w:id="24">
    <w:p w14:paraId="45C88289" w14:textId="54A10F7B" w:rsidR="00C03E58" w:rsidRPr="00EA4BC8" w:rsidRDefault="00C03E58" w:rsidP="00EA4BC8">
      <w:pPr>
        <w:pStyle w:val="FootnoteText"/>
        <w:tabs>
          <w:tab w:val="right" w:pos="1195"/>
          <w:tab w:val="left" w:pos="1267"/>
          <w:tab w:val="left" w:pos="1742"/>
          <w:tab w:val="left" w:pos="2218"/>
          <w:tab w:val="left" w:pos="2693"/>
        </w:tabs>
        <w:ind w:left="1267" w:right="1260" w:hanging="576"/>
        <w:rPr>
          <w:lang w:val="fr-FR"/>
        </w:rPr>
      </w:pPr>
      <w:r>
        <w:rPr>
          <w:lang w:val="fr-FR"/>
        </w:rPr>
        <w:tab/>
      </w:r>
      <w:r w:rsidRPr="00EA4BC8">
        <w:rPr>
          <w:vertAlign w:val="superscript"/>
          <w:lang w:val="fr-FR"/>
        </w:rPr>
        <w:footnoteRef/>
      </w:r>
      <w:r w:rsidRPr="00EA4BC8">
        <w:rPr>
          <w:lang w:val="fr-FR"/>
        </w:rPr>
        <w:tab/>
        <w:t>Ministère de la femme et des populations vulnérables. Communication 659-2024-MIMP-AURORA-DE du 18</w:t>
      </w:r>
      <w:r w:rsidR="00EA4BC8">
        <w:rPr>
          <w:lang w:val="fr-FR"/>
        </w:rPr>
        <w:t xml:space="preserve"> </w:t>
      </w:r>
      <w:r w:rsidRPr="00EA4BC8">
        <w:rPr>
          <w:lang w:val="fr-FR"/>
        </w:rPr>
        <w:t>avril</w:t>
      </w:r>
      <w:r w:rsidR="00EA4BC8">
        <w:rPr>
          <w:lang w:val="fr-FR"/>
        </w:rPr>
        <w:t xml:space="preserve"> </w:t>
      </w:r>
      <w:r w:rsidRPr="00EA4BC8">
        <w:rPr>
          <w:lang w:val="fr-FR"/>
        </w:rPr>
        <w:t>2024.</w:t>
      </w:r>
    </w:p>
  </w:footnote>
  <w:footnote w:id="25">
    <w:p w14:paraId="384493E4" w14:textId="3F332E52" w:rsidR="00C03E58" w:rsidRPr="00EA4BC8" w:rsidRDefault="00C03E58" w:rsidP="00EA4BC8">
      <w:pPr>
        <w:pStyle w:val="FootnoteText"/>
        <w:tabs>
          <w:tab w:val="right" w:pos="1195"/>
          <w:tab w:val="left" w:pos="1267"/>
          <w:tab w:val="left" w:pos="1742"/>
          <w:tab w:val="left" w:pos="2218"/>
          <w:tab w:val="left" w:pos="2693"/>
        </w:tabs>
        <w:ind w:left="1267" w:right="1260" w:hanging="576"/>
        <w:rPr>
          <w:lang w:val="fr-FR"/>
        </w:rPr>
      </w:pPr>
      <w:r>
        <w:rPr>
          <w:lang w:val="fr-FR"/>
        </w:rPr>
        <w:tab/>
      </w:r>
      <w:r w:rsidRPr="00EA4BC8">
        <w:rPr>
          <w:rStyle w:val="FootnoteReference"/>
          <w:rFonts w:eastAsia="Times New Roman"/>
          <w:spacing w:val="4"/>
          <w:szCs w:val="16"/>
          <w:lang w:val="fr-FR"/>
        </w:rPr>
        <w:footnoteRef/>
      </w:r>
      <w:r w:rsidRPr="00EA4BC8">
        <w:rPr>
          <w:lang w:val="fr-FR"/>
        </w:rPr>
        <w:tab/>
        <w:t>Ministère de la femme et des populations vulnérables. Décision</w:t>
      </w:r>
      <w:r w:rsidR="00EA4BC8">
        <w:rPr>
          <w:lang w:val="fr-FR"/>
        </w:rPr>
        <w:t xml:space="preserve"> </w:t>
      </w:r>
      <w:r w:rsidRPr="00EA4BC8">
        <w:rPr>
          <w:lang w:val="fr-FR"/>
        </w:rPr>
        <w:t>ministérielle 336-2021-MIMP-AURORA-DE du 31</w:t>
      </w:r>
      <w:r w:rsidR="00EA4BC8">
        <w:rPr>
          <w:lang w:val="fr-FR"/>
        </w:rPr>
        <w:t xml:space="preserve"> </w:t>
      </w:r>
      <w:r w:rsidRPr="00EA4BC8">
        <w:rPr>
          <w:lang w:val="fr-FR"/>
        </w:rPr>
        <w:t>décembre</w:t>
      </w:r>
      <w:r w:rsidR="00EA4BC8">
        <w:rPr>
          <w:lang w:val="fr-FR"/>
        </w:rPr>
        <w:t xml:space="preserve"> </w:t>
      </w:r>
      <w:r w:rsidRPr="00EA4BC8">
        <w:rPr>
          <w:lang w:val="fr-FR"/>
        </w:rPr>
        <w:t>2021.</w:t>
      </w:r>
    </w:p>
  </w:footnote>
  <w:footnote w:id="26">
    <w:p w14:paraId="39EA6EAA" w14:textId="6A1B2D08" w:rsidR="00C03E58" w:rsidRPr="00EA4BC8" w:rsidRDefault="00C03E58" w:rsidP="00EA4BC8">
      <w:pPr>
        <w:pStyle w:val="FootnoteText"/>
        <w:tabs>
          <w:tab w:val="right" w:pos="1195"/>
          <w:tab w:val="left" w:pos="1267"/>
          <w:tab w:val="left" w:pos="1742"/>
          <w:tab w:val="left" w:pos="2218"/>
          <w:tab w:val="left" w:pos="2693"/>
        </w:tabs>
        <w:ind w:left="1267" w:right="1260" w:hanging="576"/>
        <w:rPr>
          <w:lang w:val="fr-FR"/>
        </w:rPr>
      </w:pPr>
      <w:r>
        <w:rPr>
          <w:lang w:val="fr-FR"/>
        </w:rPr>
        <w:tab/>
      </w:r>
      <w:r w:rsidRPr="00EA4BC8">
        <w:rPr>
          <w:rStyle w:val="FootnoteReference"/>
          <w:rFonts w:eastAsia="Times New Roman"/>
          <w:spacing w:val="4"/>
          <w:szCs w:val="16"/>
          <w:lang w:val="fr-FR"/>
        </w:rPr>
        <w:footnoteRef/>
      </w:r>
      <w:r w:rsidRPr="00EA4BC8">
        <w:rPr>
          <w:lang w:val="fr-FR"/>
        </w:rPr>
        <w:tab/>
        <w:t>Ministère de la femme et des populations vulnérables. Décision ministérielle 133-2022-MIMP-AURORA-DE du 8</w:t>
      </w:r>
      <w:r w:rsidR="00EA4BC8">
        <w:rPr>
          <w:lang w:val="fr-FR"/>
        </w:rPr>
        <w:t xml:space="preserve"> </w:t>
      </w:r>
      <w:r w:rsidRPr="00EA4BC8">
        <w:rPr>
          <w:lang w:val="fr-FR"/>
        </w:rPr>
        <w:t>juin</w:t>
      </w:r>
      <w:r w:rsidR="00EA4BC8">
        <w:rPr>
          <w:lang w:val="fr-FR"/>
        </w:rPr>
        <w:t xml:space="preserve"> </w:t>
      </w:r>
      <w:r w:rsidRPr="00EA4BC8">
        <w:rPr>
          <w:lang w:val="fr-FR"/>
        </w:rPr>
        <w:t>2022.</w:t>
      </w:r>
    </w:p>
  </w:footnote>
  <w:footnote w:id="27">
    <w:p w14:paraId="71A44B9E" w14:textId="03A30F4E" w:rsidR="00C03E58" w:rsidRPr="00EA4BC8" w:rsidRDefault="00C03E58" w:rsidP="00EA4BC8">
      <w:pPr>
        <w:pStyle w:val="FootnoteText"/>
        <w:tabs>
          <w:tab w:val="right" w:pos="1195"/>
          <w:tab w:val="left" w:pos="1267"/>
          <w:tab w:val="left" w:pos="1742"/>
          <w:tab w:val="left" w:pos="2218"/>
          <w:tab w:val="left" w:pos="2693"/>
        </w:tabs>
        <w:ind w:left="1267" w:right="1260" w:hanging="576"/>
        <w:rPr>
          <w:lang w:val="fr-FR"/>
        </w:rPr>
      </w:pPr>
      <w:r>
        <w:rPr>
          <w:lang w:val="fr-FR"/>
        </w:rPr>
        <w:tab/>
      </w:r>
      <w:r w:rsidRPr="00EA4BC8">
        <w:rPr>
          <w:rStyle w:val="FootnoteReference"/>
          <w:rFonts w:eastAsia="Times New Roman"/>
          <w:spacing w:val="4"/>
          <w:szCs w:val="16"/>
          <w:lang w:val="fr-FR"/>
        </w:rPr>
        <w:footnoteRef/>
      </w:r>
      <w:r w:rsidRPr="00EA4BC8">
        <w:rPr>
          <w:lang w:val="fr-FR"/>
        </w:rPr>
        <w:tab/>
        <w:t>Ministère de la femme et des populations vulnérables. Décision ministérielle 136-2022-MIMP-AURORA-DE du 16</w:t>
      </w:r>
      <w:r w:rsidR="00EA4BC8">
        <w:rPr>
          <w:lang w:val="fr-FR"/>
        </w:rPr>
        <w:t xml:space="preserve"> </w:t>
      </w:r>
      <w:r w:rsidRPr="00EA4BC8">
        <w:rPr>
          <w:lang w:val="fr-FR"/>
        </w:rPr>
        <w:t>juin</w:t>
      </w:r>
      <w:r w:rsidR="00EA4BC8">
        <w:rPr>
          <w:lang w:val="fr-FR"/>
        </w:rPr>
        <w:t xml:space="preserve"> </w:t>
      </w:r>
      <w:r w:rsidRPr="00EA4BC8">
        <w:rPr>
          <w:lang w:val="fr-FR"/>
        </w:rPr>
        <w:t>2022.</w:t>
      </w:r>
    </w:p>
  </w:footnote>
  <w:footnote w:id="28">
    <w:p w14:paraId="46F5E0C3" w14:textId="27FB9F56" w:rsidR="00C03E58" w:rsidRPr="00EA4BC8" w:rsidRDefault="00C03E58" w:rsidP="00EA4BC8">
      <w:pPr>
        <w:pStyle w:val="FootnoteText"/>
        <w:tabs>
          <w:tab w:val="right" w:pos="1195"/>
          <w:tab w:val="left" w:pos="1267"/>
          <w:tab w:val="left" w:pos="1742"/>
          <w:tab w:val="left" w:pos="2218"/>
          <w:tab w:val="left" w:pos="2693"/>
        </w:tabs>
        <w:ind w:left="1267" w:right="1260" w:hanging="576"/>
        <w:rPr>
          <w:lang w:val="fr-FR"/>
        </w:rPr>
      </w:pPr>
      <w:r>
        <w:rPr>
          <w:lang w:val="fr-FR"/>
        </w:rPr>
        <w:tab/>
      </w:r>
      <w:r w:rsidRPr="00EA4BC8">
        <w:rPr>
          <w:rStyle w:val="FootnoteReference"/>
          <w:rFonts w:eastAsia="Times New Roman"/>
          <w:spacing w:val="4"/>
          <w:szCs w:val="16"/>
          <w:lang w:val="fr-FR"/>
        </w:rPr>
        <w:footnoteRef/>
      </w:r>
      <w:r w:rsidRPr="00EA4BC8">
        <w:rPr>
          <w:lang w:val="fr-FR"/>
        </w:rPr>
        <w:tab/>
        <w:t>Ministère de la femme et des populations vulnérables. Décret suprême n</w:t>
      </w:r>
      <w:r w:rsidRPr="00EA4BC8">
        <w:rPr>
          <w:vertAlign w:val="superscript"/>
          <w:lang w:val="fr-FR"/>
        </w:rPr>
        <w:t>o</w:t>
      </w:r>
      <w:r w:rsidRPr="00EA4BC8">
        <w:rPr>
          <w:lang w:val="fr-FR"/>
        </w:rPr>
        <w:t xml:space="preserve"> 022-2021-MIMP du 24</w:t>
      </w:r>
      <w:r w:rsidR="007E3A90">
        <w:rPr>
          <w:lang w:val="fr-FR"/>
        </w:rPr>
        <w:t> </w:t>
      </w:r>
      <w:r w:rsidRPr="00EA4BC8">
        <w:rPr>
          <w:lang w:val="fr-FR"/>
        </w:rPr>
        <w:t>juillet</w:t>
      </w:r>
      <w:r w:rsidR="00EA4BC8">
        <w:rPr>
          <w:lang w:val="fr-FR"/>
        </w:rPr>
        <w:t xml:space="preserve"> </w:t>
      </w:r>
      <w:r w:rsidRPr="00EA4BC8">
        <w:rPr>
          <w:lang w:val="fr-FR"/>
        </w:rPr>
        <w:t>2021.</w:t>
      </w:r>
    </w:p>
  </w:footnote>
  <w:footnote w:id="29">
    <w:p w14:paraId="61BC7620" w14:textId="095EFFA2" w:rsidR="00C03E58" w:rsidRPr="00EA4BC8" w:rsidRDefault="00C03E58" w:rsidP="00EA4BC8">
      <w:pPr>
        <w:pStyle w:val="FootnoteText"/>
        <w:tabs>
          <w:tab w:val="right" w:pos="1195"/>
          <w:tab w:val="left" w:pos="1267"/>
          <w:tab w:val="left" w:pos="1742"/>
          <w:tab w:val="left" w:pos="2218"/>
          <w:tab w:val="left" w:pos="2693"/>
        </w:tabs>
        <w:ind w:left="1267" w:right="1260" w:hanging="576"/>
        <w:rPr>
          <w:lang w:val="fr-FR"/>
        </w:rPr>
      </w:pPr>
      <w:r>
        <w:rPr>
          <w:lang w:val="fr-FR"/>
        </w:rPr>
        <w:tab/>
      </w:r>
      <w:r w:rsidRPr="00EA4BC8">
        <w:rPr>
          <w:rStyle w:val="FootnoteReference"/>
          <w:rFonts w:eastAsia="Times New Roman"/>
          <w:spacing w:val="4"/>
          <w:szCs w:val="16"/>
          <w:lang w:val="fr-FR"/>
        </w:rPr>
        <w:footnoteRef/>
      </w:r>
      <w:r w:rsidRPr="00EA4BC8">
        <w:rPr>
          <w:lang w:val="fr-FR"/>
        </w:rPr>
        <w:tab/>
        <w:t>Ministère de la femme et des populations vulnérables. Communication 134-2024-MIMP-DGCVG du</w:t>
      </w:r>
      <w:r w:rsidR="00EA4BC8">
        <w:rPr>
          <w:lang w:val="fr-FR"/>
        </w:rPr>
        <w:t xml:space="preserve"> </w:t>
      </w:r>
      <w:r w:rsidRPr="00EA4BC8">
        <w:rPr>
          <w:lang w:val="fr-FR"/>
        </w:rPr>
        <w:t>16</w:t>
      </w:r>
      <w:r w:rsidR="00EA4BC8">
        <w:rPr>
          <w:lang w:val="fr-FR"/>
        </w:rPr>
        <w:t xml:space="preserve"> </w:t>
      </w:r>
      <w:r w:rsidRPr="00EA4BC8">
        <w:rPr>
          <w:lang w:val="fr-FR"/>
        </w:rPr>
        <w:t>avril</w:t>
      </w:r>
      <w:r w:rsidR="00EA4BC8">
        <w:rPr>
          <w:lang w:val="fr-FR"/>
        </w:rPr>
        <w:t xml:space="preserve"> </w:t>
      </w:r>
      <w:r w:rsidRPr="00EA4BC8">
        <w:rPr>
          <w:lang w:val="fr-FR"/>
        </w:rPr>
        <w:t>2024.</w:t>
      </w:r>
    </w:p>
  </w:footnote>
  <w:footnote w:id="30">
    <w:p w14:paraId="160C88F0" w14:textId="26BFCE81" w:rsidR="00C03E58" w:rsidRPr="00EA4BC8" w:rsidRDefault="00C03E58" w:rsidP="00EA4BC8">
      <w:pPr>
        <w:pStyle w:val="FootnoteText"/>
        <w:tabs>
          <w:tab w:val="right" w:pos="1195"/>
          <w:tab w:val="left" w:pos="1267"/>
          <w:tab w:val="left" w:pos="1742"/>
          <w:tab w:val="left" w:pos="2218"/>
          <w:tab w:val="left" w:pos="2693"/>
        </w:tabs>
        <w:ind w:left="1267" w:right="1260" w:hanging="576"/>
        <w:rPr>
          <w:lang w:val="fr-FR"/>
        </w:rPr>
      </w:pPr>
      <w:r>
        <w:rPr>
          <w:lang w:val="fr-FR"/>
        </w:rPr>
        <w:tab/>
      </w:r>
      <w:r w:rsidRPr="00EA4BC8">
        <w:rPr>
          <w:rStyle w:val="FootnoteReference"/>
          <w:rFonts w:eastAsia="Times New Roman"/>
          <w:spacing w:val="4"/>
          <w:szCs w:val="16"/>
          <w:lang w:val="fr-FR"/>
        </w:rPr>
        <w:footnoteRef/>
      </w:r>
      <w:r w:rsidRPr="00EA4BC8">
        <w:rPr>
          <w:lang w:val="fr-FR"/>
        </w:rPr>
        <w:tab/>
        <w:t>Ministère de la femme et des populations vulnérables. Décision ministérielle 064-2022-MIMP du</w:t>
      </w:r>
      <w:r w:rsidR="00EA4BC8">
        <w:rPr>
          <w:lang w:val="fr-FR"/>
        </w:rPr>
        <w:t xml:space="preserve"> </w:t>
      </w:r>
      <w:r w:rsidRPr="00EA4BC8">
        <w:rPr>
          <w:lang w:val="fr-FR"/>
        </w:rPr>
        <w:t>25</w:t>
      </w:r>
      <w:r w:rsidR="00EA4BC8">
        <w:rPr>
          <w:lang w:val="fr-FR"/>
        </w:rPr>
        <w:t xml:space="preserve"> </w:t>
      </w:r>
      <w:r w:rsidRPr="00EA4BC8">
        <w:rPr>
          <w:lang w:val="fr-FR"/>
        </w:rPr>
        <w:t>février</w:t>
      </w:r>
      <w:r w:rsidR="00EA4BC8">
        <w:rPr>
          <w:lang w:val="fr-FR"/>
        </w:rPr>
        <w:t xml:space="preserve"> </w:t>
      </w:r>
      <w:r w:rsidRPr="00EA4BC8">
        <w:rPr>
          <w:lang w:val="fr-FR"/>
        </w:rPr>
        <w:t>2022.</w:t>
      </w:r>
    </w:p>
  </w:footnote>
  <w:footnote w:id="31">
    <w:p w14:paraId="79EE1475" w14:textId="6A40DAD2" w:rsidR="00C03E58" w:rsidRPr="00EA4BC8" w:rsidRDefault="00C03E58" w:rsidP="00EA4BC8">
      <w:pPr>
        <w:pStyle w:val="FootnoteText"/>
        <w:tabs>
          <w:tab w:val="right" w:pos="1195"/>
          <w:tab w:val="left" w:pos="1267"/>
          <w:tab w:val="left" w:pos="1742"/>
          <w:tab w:val="left" w:pos="2218"/>
          <w:tab w:val="left" w:pos="2693"/>
        </w:tabs>
        <w:ind w:left="1267" w:right="1260" w:hanging="576"/>
        <w:rPr>
          <w:lang w:val="fr-FR"/>
        </w:rPr>
      </w:pPr>
      <w:r>
        <w:rPr>
          <w:lang w:val="fr-FR"/>
        </w:rPr>
        <w:tab/>
      </w:r>
      <w:r w:rsidRPr="00EA4BC8">
        <w:rPr>
          <w:rStyle w:val="FootnoteReference"/>
          <w:rFonts w:eastAsia="Times New Roman"/>
          <w:spacing w:val="4"/>
          <w:szCs w:val="16"/>
          <w:lang w:val="fr-FR"/>
        </w:rPr>
        <w:footnoteRef/>
      </w:r>
      <w:r w:rsidRPr="00EA4BC8">
        <w:rPr>
          <w:lang w:val="fr-FR"/>
        </w:rPr>
        <w:tab/>
        <w:t>Ministère de la femme et des populations vulnérables. Communication 134-2024-MIMP-DGCVG du</w:t>
      </w:r>
      <w:r w:rsidR="00EA4BC8">
        <w:rPr>
          <w:lang w:val="fr-FR"/>
        </w:rPr>
        <w:t xml:space="preserve"> </w:t>
      </w:r>
      <w:r w:rsidRPr="00EA4BC8">
        <w:rPr>
          <w:lang w:val="fr-FR"/>
        </w:rPr>
        <w:t>16</w:t>
      </w:r>
      <w:r w:rsidR="00EA4BC8">
        <w:rPr>
          <w:lang w:val="fr-FR"/>
        </w:rPr>
        <w:t xml:space="preserve"> </w:t>
      </w:r>
      <w:r w:rsidRPr="00EA4BC8">
        <w:rPr>
          <w:lang w:val="fr-FR"/>
        </w:rPr>
        <w:t>avril 2024.</w:t>
      </w:r>
    </w:p>
  </w:footnote>
  <w:footnote w:id="32">
    <w:p w14:paraId="3D93D254" w14:textId="74E6348E" w:rsidR="00C03E58" w:rsidRPr="00EA4BC8" w:rsidRDefault="00C03E58" w:rsidP="00EA4BC8">
      <w:pPr>
        <w:pStyle w:val="FootnoteText"/>
        <w:tabs>
          <w:tab w:val="right" w:pos="1195"/>
          <w:tab w:val="left" w:pos="1267"/>
          <w:tab w:val="left" w:pos="1742"/>
          <w:tab w:val="left" w:pos="2218"/>
          <w:tab w:val="left" w:pos="2693"/>
        </w:tabs>
        <w:ind w:left="1267" w:right="1260" w:hanging="576"/>
        <w:rPr>
          <w:lang w:val="fr-FR"/>
        </w:rPr>
      </w:pPr>
      <w:r>
        <w:rPr>
          <w:lang w:val="fr-FR"/>
        </w:rPr>
        <w:tab/>
      </w:r>
      <w:r w:rsidRPr="00EA4BC8">
        <w:rPr>
          <w:vertAlign w:val="superscript"/>
          <w:lang w:val="fr-FR"/>
        </w:rPr>
        <w:footnoteRef/>
      </w:r>
      <w:r w:rsidRPr="00EA4BC8">
        <w:rPr>
          <w:lang w:val="fr-FR"/>
        </w:rPr>
        <w:tab/>
        <w:t>Pouvoir judiciaire. Décision administrative</w:t>
      </w:r>
      <w:r w:rsidR="00EA4BC8">
        <w:rPr>
          <w:lang w:val="fr-FR"/>
        </w:rPr>
        <w:t xml:space="preserve"> </w:t>
      </w:r>
      <w:r w:rsidRPr="00EA4BC8">
        <w:rPr>
          <w:lang w:val="fr-FR"/>
        </w:rPr>
        <w:t>038-2022-CE-PE du 14</w:t>
      </w:r>
      <w:r w:rsidR="00EA4BC8">
        <w:rPr>
          <w:lang w:val="fr-FR"/>
        </w:rPr>
        <w:t xml:space="preserve"> </w:t>
      </w:r>
      <w:r w:rsidRPr="00EA4BC8">
        <w:rPr>
          <w:lang w:val="fr-FR"/>
        </w:rPr>
        <w:t>février</w:t>
      </w:r>
      <w:r w:rsidR="00EA4BC8">
        <w:rPr>
          <w:lang w:val="fr-FR"/>
        </w:rPr>
        <w:t xml:space="preserve"> </w:t>
      </w:r>
      <w:r w:rsidRPr="00EA4BC8">
        <w:rPr>
          <w:lang w:val="fr-FR"/>
        </w:rPr>
        <w:t>2022.</w:t>
      </w:r>
    </w:p>
  </w:footnote>
  <w:footnote w:id="33">
    <w:p w14:paraId="6AF8A3E0" w14:textId="440A0616" w:rsidR="00C03E58" w:rsidRPr="00EA4BC8" w:rsidRDefault="00C03E58" w:rsidP="00EA4BC8">
      <w:pPr>
        <w:pStyle w:val="FootnoteText"/>
        <w:tabs>
          <w:tab w:val="right" w:pos="1195"/>
          <w:tab w:val="left" w:pos="1267"/>
          <w:tab w:val="left" w:pos="1742"/>
          <w:tab w:val="left" w:pos="2218"/>
          <w:tab w:val="left" w:pos="2693"/>
        </w:tabs>
        <w:ind w:left="1267" w:right="1260" w:hanging="576"/>
        <w:rPr>
          <w:lang w:val="fr-FR"/>
        </w:rPr>
      </w:pPr>
      <w:r>
        <w:rPr>
          <w:lang w:val="fr-FR"/>
        </w:rPr>
        <w:tab/>
      </w:r>
      <w:r w:rsidRPr="00EA4BC8">
        <w:rPr>
          <w:vertAlign w:val="superscript"/>
          <w:lang w:val="fr-FR"/>
        </w:rPr>
        <w:footnoteRef/>
      </w:r>
      <w:r w:rsidRPr="00EA4BC8">
        <w:rPr>
          <w:lang w:val="fr-FR"/>
        </w:rPr>
        <w:tab/>
        <w:t>Pouvoir judiciaire. Décision administrative 071-2022-CE-PJ du 7</w:t>
      </w:r>
      <w:r w:rsidR="00EA4BC8">
        <w:rPr>
          <w:lang w:val="fr-FR"/>
        </w:rPr>
        <w:t xml:space="preserve"> </w:t>
      </w:r>
      <w:r w:rsidRPr="00EA4BC8">
        <w:rPr>
          <w:lang w:val="fr-FR"/>
        </w:rPr>
        <w:t>mars</w:t>
      </w:r>
      <w:r w:rsidR="00EA4BC8">
        <w:rPr>
          <w:lang w:val="fr-FR"/>
        </w:rPr>
        <w:t xml:space="preserve"> </w:t>
      </w:r>
      <w:r w:rsidRPr="00EA4BC8">
        <w:rPr>
          <w:lang w:val="fr-FR"/>
        </w:rPr>
        <w:t>2022.</w:t>
      </w:r>
    </w:p>
  </w:footnote>
  <w:footnote w:id="34">
    <w:p w14:paraId="5FB3AD87" w14:textId="1F62403F" w:rsidR="00C03E58" w:rsidRPr="00EA4BC8" w:rsidRDefault="00C03E58" w:rsidP="00EA4BC8">
      <w:pPr>
        <w:pStyle w:val="FootnoteText"/>
        <w:tabs>
          <w:tab w:val="right" w:pos="1195"/>
          <w:tab w:val="left" w:pos="1267"/>
          <w:tab w:val="left" w:pos="1742"/>
          <w:tab w:val="left" w:pos="2218"/>
          <w:tab w:val="left" w:pos="2693"/>
        </w:tabs>
        <w:ind w:left="1267" w:right="1260" w:hanging="576"/>
        <w:rPr>
          <w:lang w:val="fr-FR"/>
        </w:rPr>
      </w:pPr>
      <w:r>
        <w:rPr>
          <w:lang w:val="fr-FR"/>
        </w:rPr>
        <w:tab/>
      </w:r>
      <w:r w:rsidRPr="00EA4BC8">
        <w:rPr>
          <w:vertAlign w:val="superscript"/>
          <w:lang w:val="fr-FR"/>
        </w:rPr>
        <w:footnoteRef/>
      </w:r>
      <w:r w:rsidRPr="00EA4BC8">
        <w:rPr>
          <w:lang w:val="fr-FR"/>
        </w:rPr>
        <w:tab/>
        <w:t>Pouvoir judiciaire. Décision administrative 211-2022-CE-PJ du 10</w:t>
      </w:r>
      <w:r w:rsidR="00EA4BC8">
        <w:rPr>
          <w:lang w:val="fr-FR"/>
        </w:rPr>
        <w:t xml:space="preserve"> </w:t>
      </w:r>
      <w:r w:rsidRPr="00EA4BC8">
        <w:rPr>
          <w:lang w:val="fr-FR"/>
        </w:rPr>
        <w:t>juin 2022.</w:t>
      </w:r>
    </w:p>
  </w:footnote>
  <w:footnote w:id="35">
    <w:p w14:paraId="0B14F647" w14:textId="53A30397" w:rsidR="00C03E58" w:rsidRPr="00EA4BC8" w:rsidRDefault="00C03E58" w:rsidP="00EA4BC8">
      <w:pPr>
        <w:pStyle w:val="FootnoteText"/>
        <w:tabs>
          <w:tab w:val="right" w:pos="1195"/>
          <w:tab w:val="left" w:pos="1267"/>
          <w:tab w:val="left" w:pos="1742"/>
          <w:tab w:val="left" w:pos="2218"/>
          <w:tab w:val="left" w:pos="2693"/>
        </w:tabs>
        <w:ind w:left="1267" w:right="1260" w:hanging="576"/>
        <w:rPr>
          <w:lang w:val="fr-FR"/>
        </w:rPr>
      </w:pPr>
      <w:r>
        <w:rPr>
          <w:lang w:val="fr-FR"/>
        </w:rPr>
        <w:tab/>
      </w:r>
      <w:r w:rsidRPr="00EA4BC8">
        <w:rPr>
          <w:vertAlign w:val="superscript"/>
          <w:lang w:val="fr-FR"/>
        </w:rPr>
        <w:footnoteRef/>
      </w:r>
      <w:r w:rsidRPr="00EA4BC8">
        <w:rPr>
          <w:lang w:val="fr-FR"/>
        </w:rPr>
        <w:tab/>
        <w:t>Pouvoir judiciaire. Décision administrative 114-2022-P-CE-PJ du 14</w:t>
      </w:r>
      <w:r w:rsidR="00EA4BC8">
        <w:rPr>
          <w:lang w:val="fr-FR"/>
        </w:rPr>
        <w:t xml:space="preserve"> </w:t>
      </w:r>
      <w:r w:rsidRPr="00EA4BC8">
        <w:rPr>
          <w:lang w:val="fr-FR"/>
        </w:rPr>
        <w:t>novembre</w:t>
      </w:r>
      <w:r w:rsidR="00EA4BC8">
        <w:rPr>
          <w:lang w:val="fr-FR"/>
        </w:rPr>
        <w:t xml:space="preserve"> </w:t>
      </w:r>
      <w:r w:rsidRPr="00EA4BC8">
        <w:rPr>
          <w:lang w:val="fr-FR"/>
        </w:rPr>
        <w:t>2022.</w:t>
      </w:r>
    </w:p>
  </w:footnote>
  <w:footnote w:id="36">
    <w:p w14:paraId="3E38BA4A" w14:textId="5B009C1D" w:rsidR="00C03E58" w:rsidRPr="00EA4BC8" w:rsidRDefault="00C03E58" w:rsidP="00EA4BC8">
      <w:pPr>
        <w:pStyle w:val="FootnoteText"/>
        <w:tabs>
          <w:tab w:val="right" w:pos="1195"/>
          <w:tab w:val="left" w:pos="1267"/>
          <w:tab w:val="left" w:pos="1742"/>
          <w:tab w:val="left" w:pos="2218"/>
          <w:tab w:val="left" w:pos="2693"/>
        </w:tabs>
        <w:ind w:left="1267" w:right="1260" w:hanging="576"/>
        <w:rPr>
          <w:lang w:val="fr-FR"/>
        </w:rPr>
      </w:pPr>
      <w:r>
        <w:rPr>
          <w:lang w:val="fr-FR"/>
        </w:rPr>
        <w:tab/>
      </w:r>
      <w:r w:rsidRPr="00EA4BC8">
        <w:rPr>
          <w:vertAlign w:val="superscript"/>
          <w:lang w:val="fr-FR"/>
        </w:rPr>
        <w:footnoteRef/>
      </w:r>
      <w:r w:rsidRPr="00EA4BC8">
        <w:rPr>
          <w:lang w:val="fr-FR"/>
        </w:rPr>
        <w:tab/>
        <w:t>Pouvoir judiciaire. Décision administrative 443-2022-CE-PJ du 22</w:t>
      </w:r>
      <w:r w:rsidR="00EA4BC8">
        <w:rPr>
          <w:lang w:val="fr-FR"/>
        </w:rPr>
        <w:t xml:space="preserve"> </w:t>
      </w:r>
      <w:r w:rsidRPr="00EA4BC8">
        <w:rPr>
          <w:lang w:val="fr-FR"/>
        </w:rPr>
        <w:t>décembre</w:t>
      </w:r>
      <w:r w:rsidR="00EA4BC8">
        <w:rPr>
          <w:lang w:val="fr-FR"/>
        </w:rPr>
        <w:t xml:space="preserve"> </w:t>
      </w:r>
      <w:r w:rsidRPr="00EA4BC8">
        <w:rPr>
          <w:lang w:val="fr-FR"/>
        </w:rPr>
        <w:t>2022.</w:t>
      </w:r>
    </w:p>
  </w:footnote>
  <w:footnote w:id="37">
    <w:p w14:paraId="214F8113" w14:textId="41E78971" w:rsidR="00C03E58" w:rsidRPr="00CF115B" w:rsidRDefault="00C03E58" w:rsidP="00EA4BC8">
      <w:pPr>
        <w:pStyle w:val="FootnoteText"/>
        <w:tabs>
          <w:tab w:val="right" w:pos="1195"/>
          <w:tab w:val="left" w:pos="1267"/>
          <w:tab w:val="left" w:pos="1742"/>
          <w:tab w:val="left" w:pos="2218"/>
          <w:tab w:val="left" w:pos="2693"/>
        </w:tabs>
        <w:ind w:left="1267" w:right="1260" w:hanging="576"/>
        <w:rPr>
          <w:spacing w:val="0"/>
          <w:w w:val="101"/>
          <w:lang w:val="fr-FR"/>
        </w:rPr>
      </w:pPr>
      <w:r w:rsidRPr="00CF115B">
        <w:rPr>
          <w:spacing w:val="0"/>
          <w:w w:val="101"/>
          <w:lang w:val="fr-FR"/>
        </w:rPr>
        <w:tab/>
      </w:r>
      <w:r w:rsidRPr="00CF115B">
        <w:rPr>
          <w:rStyle w:val="FootnoteReference"/>
          <w:rFonts w:eastAsia="Times New Roman"/>
          <w:spacing w:val="0"/>
          <w:w w:val="101"/>
          <w:szCs w:val="16"/>
          <w:lang w:val="fr-FR"/>
        </w:rPr>
        <w:footnoteRef/>
      </w:r>
      <w:r w:rsidRPr="00CF115B">
        <w:rPr>
          <w:spacing w:val="0"/>
          <w:w w:val="101"/>
          <w:lang w:val="fr-FR"/>
        </w:rPr>
        <w:tab/>
        <w:t>Ministère public-Bureau du Procureur général de la nation. Décision</w:t>
      </w:r>
      <w:r w:rsidR="00EA4BC8" w:rsidRPr="00CF115B">
        <w:rPr>
          <w:spacing w:val="0"/>
          <w:w w:val="101"/>
          <w:lang w:val="fr-FR"/>
        </w:rPr>
        <w:t xml:space="preserve"> </w:t>
      </w:r>
      <w:r w:rsidRPr="00CF115B">
        <w:rPr>
          <w:spacing w:val="0"/>
          <w:w w:val="101"/>
          <w:lang w:val="fr-FR"/>
        </w:rPr>
        <w:t>432-2022-MP-FN du</w:t>
      </w:r>
      <w:r w:rsidR="00EA4BC8" w:rsidRPr="00CF115B">
        <w:rPr>
          <w:spacing w:val="0"/>
          <w:w w:val="101"/>
          <w:lang w:val="fr-FR"/>
        </w:rPr>
        <w:t xml:space="preserve"> </w:t>
      </w:r>
      <w:r w:rsidRPr="00CF115B">
        <w:rPr>
          <w:spacing w:val="0"/>
          <w:w w:val="101"/>
          <w:lang w:val="fr-FR"/>
        </w:rPr>
        <w:t>25</w:t>
      </w:r>
      <w:r w:rsidR="00EA4BC8" w:rsidRPr="00CF115B">
        <w:rPr>
          <w:spacing w:val="0"/>
          <w:w w:val="101"/>
          <w:lang w:val="fr-FR"/>
        </w:rPr>
        <w:t xml:space="preserve"> </w:t>
      </w:r>
      <w:r w:rsidRPr="00CF115B">
        <w:rPr>
          <w:spacing w:val="0"/>
          <w:w w:val="101"/>
          <w:lang w:val="fr-FR"/>
        </w:rPr>
        <w:t>mars</w:t>
      </w:r>
      <w:r w:rsidR="00EA4BC8" w:rsidRPr="00CF115B">
        <w:rPr>
          <w:spacing w:val="0"/>
          <w:w w:val="101"/>
          <w:lang w:val="fr-FR"/>
        </w:rPr>
        <w:t xml:space="preserve"> </w:t>
      </w:r>
      <w:r w:rsidRPr="00CF115B">
        <w:rPr>
          <w:spacing w:val="0"/>
          <w:w w:val="101"/>
          <w:lang w:val="fr-FR"/>
        </w:rPr>
        <w:t>2022.</w:t>
      </w:r>
    </w:p>
  </w:footnote>
  <w:footnote w:id="38">
    <w:p w14:paraId="021787BA" w14:textId="095729F6" w:rsidR="00C03E58" w:rsidRPr="00EA4BC8" w:rsidRDefault="00C03E58" w:rsidP="00EA4BC8">
      <w:pPr>
        <w:pStyle w:val="FootnoteText"/>
        <w:tabs>
          <w:tab w:val="right" w:pos="1195"/>
          <w:tab w:val="left" w:pos="1267"/>
          <w:tab w:val="left" w:pos="1742"/>
          <w:tab w:val="left" w:pos="2218"/>
          <w:tab w:val="left" w:pos="2693"/>
        </w:tabs>
        <w:ind w:left="1267" w:right="1260" w:hanging="576"/>
        <w:rPr>
          <w:lang w:val="fr-FR"/>
        </w:rPr>
      </w:pPr>
      <w:r>
        <w:rPr>
          <w:lang w:val="fr-FR"/>
        </w:rPr>
        <w:tab/>
      </w:r>
      <w:r w:rsidRPr="00EA4BC8">
        <w:rPr>
          <w:rStyle w:val="FootnoteReference"/>
          <w:rFonts w:eastAsia="Times New Roman"/>
          <w:spacing w:val="4"/>
          <w:szCs w:val="16"/>
          <w:lang w:val="fr-FR"/>
        </w:rPr>
        <w:footnoteRef/>
      </w:r>
      <w:r w:rsidRPr="00EA4BC8">
        <w:rPr>
          <w:lang w:val="fr-FR"/>
        </w:rPr>
        <w:tab/>
        <w:t>Ministère public-Bureau du Procureur général de la nation. Rapport n</w:t>
      </w:r>
      <w:r w:rsidRPr="00EA4BC8">
        <w:rPr>
          <w:vertAlign w:val="superscript"/>
          <w:lang w:val="fr-FR"/>
        </w:rPr>
        <w:t>o</w:t>
      </w:r>
      <w:r w:rsidRPr="00EA4BC8">
        <w:rPr>
          <w:lang w:val="fr-FR"/>
        </w:rPr>
        <w:t xml:space="preserve"> 212-2024-MP-FN-CFSN-FPS-DHI du 09</w:t>
      </w:r>
      <w:r w:rsidR="00EA4BC8">
        <w:rPr>
          <w:lang w:val="fr-FR"/>
        </w:rPr>
        <w:t xml:space="preserve"> </w:t>
      </w:r>
      <w:r w:rsidRPr="00EA4BC8">
        <w:rPr>
          <w:lang w:val="fr-FR"/>
        </w:rPr>
        <w:t>août</w:t>
      </w:r>
      <w:r w:rsidR="00EA4BC8">
        <w:rPr>
          <w:lang w:val="fr-FR"/>
        </w:rPr>
        <w:t xml:space="preserve"> </w:t>
      </w:r>
      <w:r w:rsidRPr="00EA4BC8">
        <w:rPr>
          <w:lang w:val="fr-FR"/>
        </w:rPr>
        <w:t>2024.</w:t>
      </w:r>
    </w:p>
  </w:footnote>
  <w:footnote w:id="39">
    <w:p w14:paraId="5BBEAB88" w14:textId="77777777" w:rsidR="00C03E58" w:rsidRPr="00EA4BC8" w:rsidRDefault="00C03E58" w:rsidP="00EA4BC8">
      <w:pPr>
        <w:pStyle w:val="FootnoteText"/>
        <w:tabs>
          <w:tab w:val="right" w:pos="1195"/>
          <w:tab w:val="left" w:pos="1267"/>
          <w:tab w:val="left" w:pos="1742"/>
          <w:tab w:val="left" w:pos="2218"/>
          <w:tab w:val="left" w:pos="2693"/>
        </w:tabs>
        <w:ind w:left="1267" w:right="1260" w:hanging="576"/>
        <w:rPr>
          <w:lang w:val="fr-FR"/>
        </w:rPr>
      </w:pPr>
      <w:r>
        <w:rPr>
          <w:lang w:val="fr-FR"/>
        </w:rPr>
        <w:tab/>
      </w:r>
      <w:r w:rsidRPr="00EA4BC8">
        <w:rPr>
          <w:rStyle w:val="FootnoteReference"/>
          <w:rFonts w:eastAsia="Times New Roman"/>
          <w:spacing w:val="4"/>
          <w:szCs w:val="16"/>
          <w:lang w:val="fr-FR"/>
        </w:rPr>
        <w:footnoteRef/>
      </w:r>
      <w:r w:rsidRPr="00EA4BC8">
        <w:rPr>
          <w:lang w:val="fr-FR"/>
        </w:rPr>
        <w:tab/>
        <w:t>Ministère public-Bureau du Procureur général de la nation (2022). Guide didactique sur la façon de mener des poursuites judiciaires dans le cadre des enquêtes sur les actes de violence sexuelle à l’encontre des femmes.</w:t>
      </w:r>
    </w:p>
  </w:footnote>
  <w:footnote w:id="40">
    <w:p w14:paraId="3CC76CC1" w14:textId="77777777" w:rsidR="00C03E58" w:rsidRPr="003B0B02" w:rsidRDefault="00C03E58" w:rsidP="00EA4BC8">
      <w:pPr>
        <w:pStyle w:val="FootnoteText"/>
        <w:tabs>
          <w:tab w:val="right" w:pos="1195"/>
          <w:tab w:val="left" w:pos="1267"/>
          <w:tab w:val="left" w:pos="1742"/>
          <w:tab w:val="left" w:pos="2218"/>
          <w:tab w:val="left" w:pos="2693"/>
        </w:tabs>
        <w:ind w:left="1267" w:right="1260" w:hanging="576"/>
        <w:rPr>
          <w:spacing w:val="0"/>
          <w:w w:val="102"/>
          <w:lang w:val="fr-FR"/>
        </w:rPr>
      </w:pPr>
      <w:r>
        <w:rPr>
          <w:lang w:val="fr-FR"/>
        </w:rPr>
        <w:tab/>
      </w:r>
      <w:r w:rsidRPr="003B0B02">
        <w:rPr>
          <w:rStyle w:val="FootnoteReference"/>
          <w:rFonts w:eastAsia="Times New Roman"/>
          <w:spacing w:val="0"/>
          <w:w w:val="102"/>
          <w:szCs w:val="16"/>
          <w:lang w:val="fr-FR"/>
        </w:rPr>
        <w:footnoteRef/>
      </w:r>
      <w:r w:rsidRPr="003B0B02">
        <w:rPr>
          <w:spacing w:val="0"/>
          <w:w w:val="102"/>
          <w:lang w:val="fr-FR"/>
        </w:rPr>
        <w:tab/>
        <w:t>Ministère public-Bureau du Procureur général de la nation (2022). Guide didactique sur la façon de mener des poursuites judiciaires dans le cadre des enquêtes sur les agressions à l’égard des femmes.</w:t>
      </w:r>
    </w:p>
  </w:footnote>
  <w:footnote w:id="41">
    <w:p w14:paraId="49A40B9E" w14:textId="34184B46" w:rsidR="00C03E58" w:rsidRPr="00EA4BC8" w:rsidRDefault="00C03E58" w:rsidP="00EA4BC8">
      <w:pPr>
        <w:pStyle w:val="FootnoteText"/>
        <w:tabs>
          <w:tab w:val="right" w:pos="1195"/>
          <w:tab w:val="left" w:pos="1267"/>
          <w:tab w:val="left" w:pos="1742"/>
          <w:tab w:val="left" w:pos="2218"/>
          <w:tab w:val="left" w:pos="2693"/>
        </w:tabs>
        <w:ind w:left="1267" w:right="1260" w:hanging="576"/>
        <w:rPr>
          <w:lang w:val="fr-FR"/>
        </w:rPr>
      </w:pPr>
      <w:r>
        <w:rPr>
          <w:lang w:val="fr-FR"/>
        </w:rPr>
        <w:tab/>
      </w:r>
      <w:r w:rsidRPr="00EA4BC8">
        <w:rPr>
          <w:vertAlign w:val="superscript"/>
          <w:lang w:val="fr-FR"/>
        </w:rPr>
        <w:footnoteRef/>
      </w:r>
      <w:r w:rsidRPr="00EA4BC8">
        <w:rPr>
          <w:lang w:val="fr-FR"/>
        </w:rPr>
        <w:tab/>
        <w:t>Congrès de la République. Loi n</w:t>
      </w:r>
      <w:r w:rsidRPr="00EA4BC8">
        <w:rPr>
          <w:vertAlign w:val="superscript"/>
          <w:lang w:val="fr-FR"/>
        </w:rPr>
        <w:t>o</w:t>
      </w:r>
      <w:r w:rsidR="00EA4BC8">
        <w:rPr>
          <w:lang w:val="fr-FR"/>
        </w:rPr>
        <w:t xml:space="preserve"> </w:t>
      </w:r>
      <w:r w:rsidRPr="00EA4BC8">
        <w:rPr>
          <w:lang w:val="fr-FR"/>
        </w:rPr>
        <w:t>29600 du 15</w:t>
      </w:r>
      <w:r w:rsidR="00EA4BC8">
        <w:rPr>
          <w:lang w:val="fr-FR"/>
        </w:rPr>
        <w:t xml:space="preserve"> </w:t>
      </w:r>
      <w:r w:rsidRPr="00EA4BC8">
        <w:rPr>
          <w:lang w:val="fr-FR"/>
        </w:rPr>
        <w:t>octobre</w:t>
      </w:r>
      <w:r w:rsidR="00EA4BC8">
        <w:rPr>
          <w:lang w:val="fr-FR"/>
        </w:rPr>
        <w:t xml:space="preserve"> </w:t>
      </w:r>
      <w:r w:rsidRPr="00EA4BC8">
        <w:rPr>
          <w:lang w:val="fr-FR"/>
        </w:rPr>
        <w:t>2010.</w:t>
      </w:r>
    </w:p>
  </w:footnote>
  <w:footnote w:id="42">
    <w:p w14:paraId="355E8EA1" w14:textId="524CD210" w:rsidR="00C03E58" w:rsidRPr="00EA4BC8" w:rsidRDefault="00C03E58" w:rsidP="00EA4BC8">
      <w:pPr>
        <w:pStyle w:val="FootnoteText"/>
        <w:tabs>
          <w:tab w:val="right" w:pos="1195"/>
          <w:tab w:val="left" w:pos="1267"/>
          <w:tab w:val="left" w:pos="1742"/>
          <w:tab w:val="left" w:pos="2218"/>
          <w:tab w:val="left" w:pos="2693"/>
        </w:tabs>
        <w:ind w:left="1267" w:right="1260" w:hanging="576"/>
        <w:rPr>
          <w:lang w:val="fr-FR"/>
        </w:rPr>
      </w:pPr>
      <w:r>
        <w:rPr>
          <w:lang w:val="fr-FR"/>
        </w:rPr>
        <w:tab/>
      </w:r>
      <w:r w:rsidRPr="00EA4BC8">
        <w:rPr>
          <w:vertAlign w:val="superscript"/>
          <w:lang w:val="fr-FR"/>
        </w:rPr>
        <w:footnoteRef/>
      </w:r>
      <w:r w:rsidRPr="00EA4BC8">
        <w:rPr>
          <w:lang w:val="fr-FR"/>
        </w:rPr>
        <w:tab/>
        <w:t>Article</w:t>
      </w:r>
      <w:r w:rsidR="00EA4BC8">
        <w:rPr>
          <w:lang w:val="fr-FR"/>
        </w:rPr>
        <w:t xml:space="preserve"> </w:t>
      </w:r>
      <w:r w:rsidRPr="00EA4BC8">
        <w:rPr>
          <w:lang w:val="fr-FR"/>
        </w:rPr>
        <w:t>2 de la loi n</w:t>
      </w:r>
      <w:r w:rsidRPr="00EA4BC8">
        <w:rPr>
          <w:vertAlign w:val="superscript"/>
          <w:lang w:val="fr-FR"/>
        </w:rPr>
        <w:t>o</w:t>
      </w:r>
      <w:r w:rsidR="00EA4BC8">
        <w:rPr>
          <w:lang w:val="fr-FR"/>
        </w:rPr>
        <w:t xml:space="preserve"> </w:t>
      </w:r>
      <w:r w:rsidRPr="00EA4BC8">
        <w:rPr>
          <w:lang w:val="fr-FR"/>
        </w:rPr>
        <w:t>29600.</w:t>
      </w:r>
    </w:p>
  </w:footnote>
  <w:footnote w:id="43">
    <w:p w14:paraId="0792955A" w14:textId="332561A6" w:rsidR="00C03E58" w:rsidRPr="00EA4BC8" w:rsidRDefault="00C03E58" w:rsidP="00EA4BC8">
      <w:pPr>
        <w:pStyle w:val="FootnoteText"/>
        <w:tabs>
          <w:tab w:val="right" w:pos="1195"/>
          <w:tab w:val="left" w:pos="1267"/>
          <w:tab w:val="left" w:pos="1742"/>
          <w:tab w:val="left" w:pos="2218"/>
          <w:tab w:val="left" w:pos="2693"/>
        </w:tabs>
        <w:ind w:left="1267" w:right="1260" w:hanging="576"/>
        <w:rPr>
          <w:lang w:val="fr-FR"/>
        </w:rPr>
      </w:pPr>
      <w:r>
        <w:rPr>
          <w:lang w:val="fr-FR"/>
        </w:rPr>
        <w:tab/>
      </w:r>
      <w:r w:rsidRPr="00EA4BC8">
        <w:rPr>
          <w:vertAlign w:val="superscript"/>
          <w:lang w:val="fr-FR"/>
        </w:rPr>
        <w:footnoteRef/>
      </w:r>
      <w:r w:rsidRPr="00EA4BC8">
        <w:rPr>
          <w:lang w:val="fr-FR"/>
        </w:rPr>
        <w:tab/>
        <w:t>Ministère de l’éducation. Décret suprême n</w:t>
      </w:r>
      <w:r w:rsidRPr="00EA4BC8">
        <w:rPr>
          <w:vertAlign w:val="superscript"/>
          <w:lang w:val="fr-FR"/>
        </w:rPr>
        <w:t>o</w:t>
      </w:r>
      <w:r w:rsidR="00EA4BC8">
        <w:rPr>
          <w:lang w:val="fr-FR"/>
        </w:rPr>
        <w:t xml:space="preserve"> </w:t>
      </w:r>
      <w:r w:rsidRPr="00EA4BC8">
        <w:rPr>
          <w:lang w:val="fr-FR"/>
        </w:rPr>
        <w:t>011-2012-ED du 7</w:t>
      </w:r>
      <w:r w:rsidR="00EA4BC8">
        <w:rPr>
          <w:lang w:val="fr-FR"/>
        </w:rPr>
        <w:t xml:space="preserve"> </w:t>
      </w:r>
      <w:r w:rsidRPr="00EA4BC8">
        <w:rPr>
          <w:lang w:val="fr-FR"/>
        </w:rPr>
        <w:t>juillet</w:t>
      </w:r>
      <w:r w:rsidR="00EA4BC8">
        <w:rPr>
          <w:lang w:val="fr-FR"/>
        </w:rPr>
        <w:t xml:space="preserve"> </w:t>
      </w:r>
      <w:r w:rsidRPr="00EA4BC8">
        <w:rPr>
          <w:lang w:val="fr-FR"/>
        </w:rPr>
        <w:t>2012, modifié par le décret suprême n</w:t>
      </w:r>
      <w:r w:rsidRPr="00EA4BC8">
        <w:rPr>
          <w:vertAlign w:val="superscript"/>
          <w:lang w:val="fr-FR"/>
        </w:rPr>
        <w:t>o</w:t>
      </w:r>
      <w:r w:rsidR="00EA4BC8">
        <w:rPr>
          <w:lang w:val="fr-FR"/>
        </w:rPr>
        <w:t xml:space="preserve"> </w:t>
      </w:r>
      <w:r w:rsidRPr="00EA4BC8">
        <w:rPr>
          <w:lang w:val="fr-FR"/>
        </w:rPr>
        <w:t>007-2021-MINEDU du 11</w:t>
      </w:r>
      <w:r w:rsidR="00EA4BC8">
        <w:rPr>
          <w:lang w:val="fr-FR"/>
        </w:rPr>
        <w:t xml:space="preserve"> </w:t>
      </w:r>
      <w:r w:rsidRPr="00EA4BC8">
        <w:rPr>
          <w:lang w:val="fr-FR"/>
        </w:rPr>
        <w:t>mai</w:t>
      </w:r>
      <w:r w:rsidR="00EA4BC8">
        <w:rPr>
          <w:lang w:val="fr-FR"/>
        </w:rPr>
        <w:t xml:space="preserve"> </w:t>
      </w:r>
      <w:r w:rsidRPr="00EA4BC8">
        <w:rPr>
          <w:lang w:val="fr-FR"/>
        </w:rPr>
        <w:t>2021.</w:t>
      </w:r>
    </w:p>
  </w:footnote>
  <w:footnote w:id="44">
    <w:p w14:paraId="1D784F86" w14:textId="320E2FF8" w:rsidR="00C03E58" w:rsidRPr="00EA4BC8" w:rsidRDefault="00C03E58" w:rsidP="00EA4BC8">
      <w:pPr>
        <w:pStyle w:val="FootnoteText"/>
        <w:tabs>
          <w:tab w:val="right" w:pos="1195"/>
          <w:tab w:val="left" w:pos="1267"/>
          <w:tab w:val="left" w:pos="1742"/>
          <w:tab w:val="left" w:pos="2218"/>
          <w:tab w:val="left" w:pos="2693"/>
        </w:tabs>
        <w:ind w:left="1267" w:right="1260" w:hanging="576"/>
        <w:rPr>
          <w:lang w:val="fr-FR"/>
        </w:rPr>
      </w:pPr>
      <w:r>
        <w:rPr>
          <w:lang w:val="fr-FR"/>
        </w:rPr>
        <w:tab/>
      </w:r>
      <w:r w:rsidRPr="00EA4BC8">
        <w:rPr>
          <w:vertAlign w:val="superscript"/>
          <w:lang w:val="fr-FR"/>
        </w:rPr>
        <w:footnoteRef/>
      </w:r>
      <w:r w:rsidRPr="00EA4BC8">
        <w:rPr>
          <w:lang w:val="fr-FR"/>
        </w:rPr>
        <w:tab/>
        <w:t>Article 2</w:t>
      </w:r>
      <w:r w:rsidR="00EA4BC8">
        <w:rPr>
          <w:lang w:val="fr-FR"/>
        </w:rPr>
        <w:t xml:space="preserve"> </w:t>
      </w:r>
      <w:r w:rsidRPr="00EA4BC8">
        <w:rPr>
          <w:lang w:val="fr-FR"/>
        </w:rPr>
        <w:t>b) du décret suprême n</w:t>
      </w:r>
      <w:r w:rsidRPr="00EA4BC8">
        <w:rPr>
          <w:vertAlign w:val="superscript"/>
          <w:lang w:val="fr-FR"/>
        </w:rPr>
        <w:t>o</w:t>
      </w:r>
      <w:r w:rsidRPr="00EA4BC8">
        <w:rPr>
          <w:lang w:val="fr-FR"/>
        </w:rPr>
        <w:t xml:space="preserve"> 011-2012-ED.</w:t>
      </w:r>
    </w:p>
  </w:footnote>
  <w:footnote w:id="45">
    <w:p w14:paraId="2B8F9981" w14:textId="77777777" w:rsidR="00C03E58" w:rsidRPr="00EA4BC8" w:rsidRDefault="00C03E58" w:rsidP="00EA4BC8">
      <w:pPr>
        <w:pStyle w:val="FootnoteText"/>
        <w:tabs>
          <w:tab w:val="right" w:pos="1195"/>
          <w:tab w:val="left" w:pos="1267"/>
          <w:tab w:val="left" w:pos="1742"/>
          <w:tab w:val="left" w:pos="2218"/>
          <w:tab w:val="left" w:pos="2693"/>
        </w:tabs>
        <w:ind w:left="1267" w:right="1260" w:hanging="576"/>
        <w:rPr>
          <w:lang w:val="fr-FR"/>
        </w:rPr>
      </w:pPr>
      <w:r>
        <w:rPr>
          <w:lang w:val="fr-FR"/>
        </w:rPr>
        <w:tab/>
      </w:r>
      <w:r w:rsidRPr="00EA4BC8">
        <w:rPr>
          <w:vertAlign w:val="superscript"/>
          <w:lang w:val="fr-FR"/>
        </w:rPr>
        <w:footnoteRef/>
      </w:r>
      <w:r w:rsidRPr="00EA4BC8">
        <w:rPr>
          <w:lang w:val="fr-FR"/>
        </w:rPr>
        <w:tab/>
        <w:t>Article 11 a) du décret suprême n</w:t>
      </w:r>
      <w:r w:rsidRPr="00EA4BC8">
        <w:rPr>
          <w:vertAlign w:val="superscript"/>
          <w:lang w:val="fr-FR"/>
        </w:rPr>
        <w:t>o</w:t>
      </w:r>
      <w:r w:rsidRPr="00EA4BC8">
        <w:rPr>
          <w:lang w:val="fr-FR"/>
        </w:rPr>
        <w:t xml:space="preserve"> 011-2012-ED.</w:t>
      </w:r>
    </w:p>
  </w:footnote>
  <w:footnote w:id="46">
    <w:p w14:paraId="3F00AAD4" w14:textId="6E0E42AB" w:rsidR="00C03E58" w:rsidRPr="00EA4BC8" w:rsidRDefault="00C03E58" w:rsidP="00EA4BC8">
      <w:pPr>
        <w:pStyle w:val="FootnoteText"/>
        <w:tabs>
          <w:tab w:val="right" w:pos="1195"/>
          <w:tab w:val="left" w:pos="1267"/>
          <w:tab w:val="left" w:pos="1742"/>
          <w:tab w:val="left" w:pos="2218"/>
          <w:tab w:val="left" w:pos="2693"/>
        </w:tabs>
        <w:ind w:left="1267" w:right="1260" w:hanging="576"/>
        <w:rPr>
          <w:lang w:val="fr-FR"/>
        </w:rPr>
      </w:pPr>
      <w:r>
        <w:rPr>
          <w:lang w:val="fr-FR"/>
        </w:rPr>
        <w:tab/>
      </w:r>
      <w:r w:rsidRPr="00EA4BC8">
        <w:rPr>
          <w:vertAlign w:val="superscript"/>
          <w:lang w:val="fr-FR"/>
        </w:rPr>
        <w:footnoteRef/>
      </w:r>
      <w:r w:rsidRPr="00EA4BC8">
        <w:rPr>
          <w:lang w:val="fr-FR"/>
        </w:rPr>
        <w:tab/>
        <w:t>Ministère de la femme et des populations vulnérables. Décret suprême n</w:t>
      </w:r>
      <w:r w:rsidRPr="00EA4BC8">
        <w:rPr>
          <w:vertAlign w:val="superscript"/>
          <w:lang w:val="fr-FR"/>
        </w:rPr>
        <w:t>o</w:t>
      </w:r>
      <w:r w:rsidRPr="00EA4BC8">
        <w:rPr>
          <w:lang w:val="fr-FR"/>
        </w:rPr>
        <w:t xml:space="preserve"> 008-2019-MIMP du</w:t>
      </w:r>
      <w:r w:rsidR="00EA4BC8">
        <w:rPr>
          <w:lang w:val="fr-FR"/>
        </w:rPr>
        <w:t xml:space="preserve"> </w:t>
      </w:r>
      <w:r w:rsidRPr="00EA4BC8">
        <w:rPr>
          <w:lang w:val="fr-FR"/>
        </w:rPr>
        <w:t>4</w:t>
      </w:r>
      <w:r w:rsidR="007E3A90">
        <w:rPr>
          <w:lang w:val="fr-FR"/>
        </w:rPr>
        <w:t> </w:t>
      </w:r>
      <w:r w:rsidRPr="00EA4BC8">
        <w:rPr>
          <w:lang w:val="fr-FR"/>
        </w:rPr>
        <w:t>avril</w:t>
      </w:r>
      <w:r w:rsidR="00EA4BC8">
        <w:rPr>
          <w:lang w:val="fr-FR"/>
        </w:rPr>
        <w:t xml:space="preserve"> </w:t>
      </w:r>
      <w:r w:rsidRPr="00EA4BC8">
        <w:rPr>
          <w:lang w:val="fr-FR"/>
        </w:rPr>
        <w:t>2019.</w:t>
      </w:r>
    </w:p>
  </w:footnote>
  <w:footnote w:id="47">
    <w:p w14:paraId="17A64D00" w14:textId="5EBC7747" w:rsidR="00C03E58" w:rsidRPr="00EA4BC8" w:rsidRDefault="00C03E58" w:rsidP="00EA4BC8">
      <w:pPr>
        <w:pStyle w:val="FootnoteText"/>
        <w:tabs>
          <w:tab w:val="right" w:pos="1195"/>
          <w:tab w:val="left" w:pos="1267"/>
          <w:tab w:val="left" w:pos="1742"/>
          <w:tab w:val="left" w:pos="2218"/>
          <w:tab w:val="left" w:pos="2693"/>
        </w:tabs>
        <w:ind w:left="1267" w:right="1260" w:hanging="576"/>
        <w:rPr>
          <w:lang w:val="fr-FR"/>
        </w:rPr>
      </w:pPr>
      <w:r>
        <w:rPr>
          <w:lang w:val="fr-FR"/>
        </w:rPr>
        <w:tab/>
      </w:r>
      <w:r w:rsidRPr="00EA4BC8">
        <w:rPr>
          <w:vertAlign w:val="superscript"/>
          <w:lang w:val="fr-FR"/>
        </w:rPr>
        <w:footnoteRef/>
      </w:r>
      <w:r w:rsidRPr="00EA4BC8">
        <w:rPr>
          <w:lang w:val="fr-FR"/>
        </w:rPr>
        <w:tab/>
        <w:t>Ministère de la femme et des populations vulnérables. Décret suprême n</w:t>
      </w:r>
      <w:r w:rsidRPr="00EA4BC8">
        <w:rPr>
          <w:vertAlign w:val="superscript"/>
          <w:lang w:val="fr-FR"/>
        </w:rPr>
        <w:t>o</w:t>
      </w:r>
      <w:r w:rsidRPr="00EA4BC8">
        <w:rPr>
          <w:lang w:val="fr-FR"/>
        </w:rPr>
        <w:t xml:space="preserve"> 008-2021-MIMP du</w:t>
      </w:r>
      <w:r w:rsidR="00EA4BC8">
        <w:rPr>
          <w:lang w:val="fr-FR"/>
        </w:rPr>
        <w:t xml:space="preserve"> </w:t>
      </w:r>
      <w:r w:rsidRPr="00EA4BC8">
        <w:rPr>
          <w:lang w:val="fr-FR"/>
        </w:rPr>
        <w:t>25</w:t>
      </w:r>
      <w:r w:rsidR="007E3A90">
        <w:rPr>
          <w:lang w:val="fr-FR"/>
        </w:rPr>
        <w:t> </w:t>
      </w:r>
      <w:r w:rsidRPr="00EA4BC8">
        <w:rPr>
          <w:lang w:val="fr-FR"/>
        </w:rPr>
        <w:t>juin</w:t>
      </w:r>
      <w:r w:rsidR="00EA4BC8">
        <w:rPr>
          <w:lang w:val="fr-FR"/>
        </w:rPr>
        <w:t xml:space="preserve"> </w:t>
      </w:r>
      <w:r w:rsidRPr="00EA4BC8">
        <w:rPr>
          <w:lang w:val="fr-FR"/>
        </w:rPr>
        <w:t>2021.</w:t>
      </w:r>
    </w:p>
  </w:footnote>
  <w:footnote w:id="48">
    <w:p w14:paraId="61E4C580" w14:textId="41F563A6" w:rsidR="00C03E58" w:rsidRPr="00EA4BC8" w:rsidRDefault="00C03E58" w:rsidP="00EA4BC8">
      <w:pPr>
        <w:pStyle w:val="FootnoteText"/>
        <w:tabs>
          <w:tab w:val="right" w:pos="1195"/>
          <w:tab w:val="left" w:pos="1267"/>
          <w:tab w:val="left" w:pos="1742"/>
          <w:tab w:val="left" w:pos="2218"/>
          <w:tab w:val="left" w:pos="2693"/>
        </w:tabs>
        <w:ind w:left="1267" w:right="1260" w:hanging="576"/>
        <w:rPr>
          <w:b/>
          <w:bCs/>
          <w:lang w:val="fr-FR"/>
        </w:rPr>
      </w:pPr>
      <w:r w:rsidRPr="006B70C5">
        <w:rPr>
          <w:lang w:val="fr-FR"/>
        </w:rPr>
        <w:tab/>
      </w:r>
      <w:r w:rsidRPr="00EA4BC8">
        <w:rPr>
          <w:vertAlign w:val="superscript"/>
          <w:lang w:val="fr-FR"/>
        </w:rPr>
        <w:footnoteRef/>
      </w:r>
      <w:r w:rsidRPr="00EA4BC8">
        <w:rPr>
          <w:lang w:val="fr-FR"/>
        </w:rPr>
        <w:tab/>
        <w:t>Ministère de la femme et des populations vulnérables. Décision</w:t>
      </w:r>
      <w:r w:rsidR="00EA4BC8">
        <w:rPr>
          <w:lang w:val="fr-FR"/>
        </w:rPr>
        <w:t xml:space="preserve"> </w:t>
      </w:r>
      <w:r w:rsidRPr="00EA4BC8">
        <w:rPr>
          <w:lang w:val="fr-FR"/>
        </w:rPr>
        <w:t>153-2023-MIMP/DGNNA du</w:t>
      </w:r>
      <w:r w:rsidR="00EA4BC8">
        <w:rPr>
          <w:lang w:val="fr-FR"/>
        </w:rPr>
        <w:t xml:space="preserve"> </w:t>
      </w:r>
      <w:r w:rsidRPr="00EA4BC8">
        <w:rPr>
          <w:lang w:val="fr-FR"/>
        </w:rPr>
        <w:t>28</w:t>
      </w:r>
      <w:r w:rsidR="007E3A90">
        <w:rPr>
          <w:lang w:val="fr-FR"/>
        </w:rPr>
        <w:t> </w:t>
      </w:r>
      <w:r w:rsidRPr="00EA4BC8">
        <w:rPr>
          <w:lang w:val="fr-FR"/>
        </w:rPr>
        <w:t>décembre 2023.</w:t>
      </w:r>
    </w:p>
  </w:footnote>
  <w:footnote w:id="49">
    <w:p w14:paraId="2079AACD" w14:textId="78228620" w:rsidR="00C03E58" w:rsidRPr="00EA4BC8" w:rsidRDefault="00C03E58" w:rsidP="00EA4BC8">
      <w:pPr>
        <w:pStyle w:val="FootnoteText"/>
        <w:tabs>
          <w:tab w:val="right" w:pos="1195"/>
          <w:tab w:val="left" w:pos="1267"/>
          <w:tab w:val="left" w:pos="1742"/>
          <w:tab w:val="left" w:pos="2218"/>
          <w:tab w:val="left" w:pos="2693"/>
        </w:tabs>
        <w:ind w:left="1267" w:right="1260" w:hanging="576"/>
        <w:rPr>
          <w:lang w:val="fr-FR"/>
        </w:rPr>
      </w:pPr>
      <w:r>
        <w:rPr>
          <w:lang w:val="fr-FR"/>
        </w:rPr>
        <w:tab/>
      </w:r>
      <w:r w:rsidRPr="00EA4BC8">
        <w:rPr>
          <w:vertAlign w:val="superscript"/>
          <w:lang w:val="fr-FR"/>
        </w:rPr>
        <w:footnoteRef/>
      </w:r>
      <w:r w:rsidRPr="00EA4BC8">
        <w:rPr>
          <w:lang w:val="fr-FR"/>
        </w:rPr>
        <w:tab/>
        <w:t>Ministère de la femme et des populations vulnérables. Communication électronique de la Direction générale de l’enfance et de l’adolescence (</w:t>
      </w:r>
      <w:hyperlink r:id="rId2" w:history="1">
        <w:r w:rsidR="00986EF8" w:rsidRPr="000B4B7A">
          <w:rPr>
            <w:rStyle w:val="Hyperlink"/>
            <w:lang w:val="fr-FR"/>
          </w:rPr>
          <w:t>haguilera@mimp.gob.pe</w:t>
        </w:r>
      </w:hyperlink>
      <w:r w:rsidRPr="00EA4BC8">
        <w:rPr>
          <w:lang w:val="fr-FR"/>
        </w:rPr>
        <w:t>), en date du 9</w:t>
      </w:r>
      <w:r w:rsidR="00EA4BC8">
        <w:rPr>
          <w:lang w:val="fr-FR"/>
        </w:rPr>
        <w:t xml:space="preserve"> </w:t>
      </w:r>
      <w:r w:rsidRPr="00EA4BC8">
        <w:rPr>
          <w:lang w:val="fr-FR"/>
        </w:rPr>
        <w:t>août 2024. Selon la répartition indiquée, le chiffre se décompose comme suit</w:t>
      </w:r>
      <w:r w:rsidR="00EA4BC8">
        <w:rPr>
          <w:lang w:val="fr-FR"/>
        </w:rPr>
        <w:t xml:space="preserve"> </w:t>
      </w:r>
      <w:r w:rsidRPr="00EA4BC8">
        <w:rPr>
          <w:lang w:val="fr-FR"/>
        </w:rPr>
        <w:t>: 2021 (278)</w:t>
      </w:r>
      <w:r w:rsidR="00CF115B">
        <w:rPr>
          <w:lang w:val="fr-FR"/>
        </w:rPr>
        <w:t> ;</w:t>
      </w:r>
      <w:r w:rsidRPr="00EA4BC8">
        <w:rPr>
          <w:lang w:val="fr-FR"/>
        </w:rPr>
        <w:t xml:space="preserve"> 2022</w:t>
      </w:r>
      <w:r w:rsidR="00986EF8">
        <w:rPr>
          <w:lang w:val="fr-FR"/>
        </w:rPr>
        <w:t> </w:t>
      </w:r>
      <w:r w:rsidRPr="00EA4BC8">
        <w:rPr>
          <w:lang w:val="fr-FR"/>
        </w:rPr>
        <w:t>(314)</w:t>
      </w:r>
      <w:r w:rsidR="00CF115B">
        <w:rPr>
          <w:lang w:val="fr-FR"/>
        </w:rPr>
        <w:t> ;</w:t>
      </w:r>
      <w:r w:rsidRPr="00EA4BC8">
        <w:rPr>
          <w:lang w:val="fr-FR"/>
        </w:rPr>
        <w:t xml:space="preserve"> 2023 (369)</w:t>
      </w:r>
      <w:r w:rsidR="00CF115B">
        <w:rPr>
          <w:lang w:val="fr-FR"/>
        </w:rPr>
        <w:t> ;</w:t>
      </w:r>
      <w:r w:rsidRPr="00EA4BC8">
        <w:rPr>
          <w:lang w:val="fr-FR"/>
        </w:rPr>
        <w:t xml:space="preserve"> 2024 (189). </w:t>
      </w:r>
    </w:p>
  </w:footnote>
  <w:footnote w:id="50">
    <w:p w14:paraId="769A3224" w14:textId="0B334A3E" w:rsidR="00C03E58" w:rsidRPr="00EA4BC8" w:rsidRDefault="00C03E58" w:rsidP="00EA4BC8">
      <w:pPr>
        <w:pStyle w:val="FootnoteText"/>
        <w:tabs>
          <w:tab w:val="right" w:pos="1195"/>
          <w:tab w:val="left" w:pos="1267"/>
          <w:tab w:val="left" w:pos="1742"/>
          <w:tab w:val="left" w:pos="2218"/>
          <w:tab w:val="left" w:pos="2693"/>
        </w:tabs>
        <w:ind w:left="1267" w:right="1260" w:hanging="576"/>
        <w:rPr>
          <w:lang w:val="fr-FR"/>
        </w:rPr>
      </w:pPr>
      <w:r>
        <w:rPr>
          <w:lang w:val="fr-FR"/>
        </w:rPr>
        <w:tab/>
      </w:r>
      <w:r w:rsidRPr="00EA4BC8">
        <w:rPr>
          <w:vertAlign w:val="superscript"/>
          <w:lang w:val="fr-FR"/>
        </w:rPr>
        <w:footnoteRef/>
      </w:r>
      <w:r w:rsidRPr="00EA4BC8">
        <w:rPr>
          <w:lang w:val="fr-FR"/>
        </w:rPr>
        <w:tab/>
        <w:t>Ibid. Les chiffres sont ventilés comme suit</w:t>
      </w:r>
      <w:r w:rsidR="00EA4BC8">
        <w:rPr>
          <w:lang w:val="fr-FR"/>
        </w:rPr>
        <w:t xml:space="preserve"> </w:t>
      </w:r>
      <w:r w:rsidRPr="00EA4BC8">
        <w:rPr>
          <w:lang w:val="fr-FR"/>
        </w:rPr>
        <w:t>: 2021 (517)</w:t>
      </w:r>
      <w:r w:rsidR="00CF115B">
        <w:rPr>
          <w:lang w:val="fr-FR"/>
        </w:rPr>
        <w:t> ;</w:t>
      </w:r>
      <w:r w:rsidRPr="00EA4BC8">
        <w:rPr>
          <w:lang w:val="fr-FR"/>
        </w:rPr>
        <w:t xml:space="preserve"> 2022 (493)</w:t>
      </w:r>
      <w:r w:rsidR="00CF115B">
        <w:rPr>
          <w:lang w:val="fr-FR"/>
        </w:rPr>
        <w:t> ;</w:t>
      </w:r>
      <w:r w:rsidRPr="00EA4BC8">
        <w:rPr>
          <w:lang w:val="fr-FR"/>
        </w:rPr>
        <w:t xml:space="preserve"> 2023 (516)</w:t>
      </w:r>
      <w:r w:rsidR="00CF115B">
        <w:rPr>
          <w:lang w:val="fr-FR"/>
        </w:rPr>
        <w:t> ;</w:t>
      </w:r>
      <w:r w:rsidRPr="00EA4BC8">
        <w:rPr>
          <w:lang w:val="fr-FR"/>
        </w:rPr>
        <w:t xml:space="preserve"> 2024 (241). </w:t>
      </w:r>
    </w:p>
  </w:footnote>
  <w:footnote w:id="51">
    <w:p w14:paraId="14828DB6" w14:textId="6B3BDF1D" w:rsidR="00C03E58" w:rsidRPr="00EA4BC8" w:rsidRDefault="00C03E58" w:rsidP="00EA4BC8">
      <w:pPr>
        <w:pStyle w:val="FootnoteText"/>
        <w:tabs>
          <w:tab w:val="right" w:pos="1195"/>
          <w:tab w:val="left" w:pos="1267"/>
          <w:tab w:val="left" w:pos="1742"/>
          <w:tab w:val="left" w:pos="2218"/>
          <w:tab w:val="left" w:pos="2693"/>
        </w:tabs>
        <w:ind w:left="1267" w:right="1260" w:hanging="576"/>
        <w:rPr>
          <w:lang w:val="fr-FR"/>
        </w:rPr>
      </w:pPr>
      <w:r w:rsidRPr="006B70C5">
        <w:rPr>
          <w:lang w:val="fr-FR"/>
        </w:rPr>
        <w:tab/>
      </w:r>
      <w:r w:rsidRPr="00EA4BC8">
        <w:rPr>
          <w:vertAlign w:val="superscript"/>
          <w:lang w:val="fr-FR"/>
        </w:rPr>
        <w:footnoteRef/>
      </w:r>
      <w:r w:rsidRPr="00EA4BC8">
        <w:rPr>
          <w:lang w:val="fr-FR"/>
        </w:rPr>
        <w:tab/>
        <w:t>Ministère de l’éducation. Décision vice-ministérielle</w:t>
      </w:r>
      <w:r w:rsidR="00EA4BC8">
        <w:rPr>
          <w:lang w:val="fr-FR"/>
        </w:rPr>
        <w:t xml:space="preserve"> </w:t>
      </w:r>
      <w:r w:rsidRPr="00EA4BC8">
        <w:rPr>
          <w:lang w:val="fr-FR"/>
        </w:rPr>
        <w:t>169-2021-MINEDU du 3</w:t>
      </w:r>
      <w:r w:rsidR="00EA4BC8">
        <w:rPr>
          <w:lang w:val="fr-FR"/>
        </w:rPr>
        <w:t xml:space="preserve"> </w:t>
      </w:r>
      <w:r w:rsidRPr="00EA4BC8">
        <w:rPr>
          <w:lang w:val="fr-FR"/>
        </w:rPr>
        <w:t>juin</w:t>
      </w:r>
      <w:r w:rsidR="00EA4BC8">
        <w:rPr>
          <w:lang w:val="fr-FR"/>
        </w:rPr>
        <w:t xml:space="preserve"> </w:t>
      </w:r>
      <w:r w:rsidRPr="00EA4BC8">
        <w:rPr>
          <w:lang w:val="fr-FR"/>
        </w:rPr>
        <w:t>2021.</w:t>
      </w:r>
    </w:p>
  </w:footnote>
  <w:footnote w:id="52">
    <w:p w14:paraId="6F8331B1" w14:textId="5F807C39" w:rsidR="00C03E58" w:rsidRPr="00EA4BC8" w:rsidRDefault="00C03E58" w:rsidP="00EA4BC8">
      <w:pPr>
        <w:pStyle w:val="FootnoteText"/>
        <w:tabs>
          <w:tab w:val="right" w:pos="1195"/>
          <w:tab w:val="left" w:pos="1267"/>
          <w:tab w:val="left" w:pos="1742"/>
          <w:tab w:val="left" w:pos="2218"/>
          <w:tab w:val="left" w:pos="2693"/>
        </w:tabs>
        <w:ind w:left="1267" w:right="1260" w:hanging="576"/>
        <w:rPr>
          <w:lang w:val="fr-FR"/>
        </w:rPr>
      </w:pPr>
      <w:r>
        <w:rPr>
          <w:lang w:val="fr-FR"/>
        </w:rPr>
        <w:tab/>
      </w:r>
      <w:r w:rsidRPr="00EA4BC8">
        <w:rPr>
          <w:vertAlign w:val="superscript"/>
          <w:lang w:val="fr-FR"/>
        </w:rPr>
        <w:footnoteRef/>
      </w:r>
      <w:r w:rsidRPr="00EA4BC8">
        <w:rPr>
          <w:lang w:val="fr-FR"/>
        </w:rPr>
        <w:tab/>
        <w:t>Le Guide est disponible (en espagnol) à l’adresse suivante</w:t>
      </w:r>
      <w:r w:rsidR="00EA4BC8">
        <w:rPr>
          <w:lang w:val="fr-FR"/>
        </w:rPr>
        <w:t xml:space="preserve"> </w:t>
      </w:r>
      <w:r w:rsidRPr="00EA4BC8">
        <w:rPr>
          <w:lang w:val="fr-FR"/>
        </w:rPr>
        <w:t xml:space="preserve">: </w:t>
      </w:r>
      <w:hyperlink r:id="rId3" w:history="1">
        <w:r w:rsidR="003A02D5" w:rsidRPr="000B4B7A">
          <w:rPr>
            <w:rStyle w:val="Hyperlink"/>
            <w:lang w:val="fr-FR"/>
          </w:rPr>
          <w:t>https://repositorio.minedu.gob.pe/</w:t>
        </w:r>
        <w:r w:rsidR="003A02D5" w:rsidRPr="000B4B7A">
          <w:rPr>
            <w:rStyle w:val="Hyperlink"/>
            <w:lang w:val="fr-FR"/>
          </w:rPr>
          <w:br/>
          <w:t>handle/20.500.12799/7639</w:t>
        </w:r>
      </w:hyperlink>
      <w:r w:rsidRPr="00EA4BC8">
        <w:rPr>
          <w:lang w:val="fr-FR"/>
        </w:rPr>
        <w:t>.</w:t>
      </w:r>
    </w:p>
  </w:footnote>
  <w:footnote w:id="53">
    <w:p w14:paraId="17164472" w14:textId="1DA882AB" w:rsidR="00C03E58" w:rsidRPr="00EA4BC8" w:rsidRDefault="00C03E58" w:rsidP="00EA4BC8">
      <w:pPr>
        <w:pStyle w:val="FootnoteText"/>
        <w:tabs>
          <w:tab w:val="right" w:pos="1195"/>
          <w:tab w:val="left" w:pos="1267"/>
          <w:tab w:val="left" w:pos="1742"/>
          <w:tab w:val="left" w:pos="2218"/>
          <w:tab w:val="left" w:pos="2693"/>
        </w:tabs>
        <w:ind w:left="1267" w:right="1260" w:hanging="576"/>
        <w:rPr>
          <w:lang w:val="fr-FR"/>
        </w:rPr>
      </w:pPr>
      <w:r>
        <w:rPr>
          <w:lang w:val="fr-FR"/>
        </w:rPr>
        <w:tab/>
      </w:r>
      <w:r w:rsidRPr="00EA4BC8">
        <w:rPr>
          <w:vertAlign w:val="superscript"/>
          <w:lang w:val="fr-FR"/>
        </w:rPr>
        <w:footnoteRef/>
      </w:r>
      <w:r w:rsidRPr="00EA4BC8">
        <w:rPr>
          <w:lang w:val="fr-FR"/>
        </w:rPr>
        <w:tab/>
        <w:t>Ministère de l’éducation. Communication</w:t>
      </w:r>
      <w:r w:rsidR="00EA4BC8">
        <w:rPr>
          <w:lang w:val="fr-FR"/>
        </w:rPr>
        <w:t xml:space="preserve"> </w:t>
      </w:r>
      <w:r w:rsidRPr="00EA4BC8">
        <w:rPr>
          <w:lang w:val="fr-FR"/>
        </w:rPr>
        <w:t>1350-2024-MINEDU/SG du 29</w:t>
      </w:r>
      <w:r w:rsidR="00EA4BC8">
        <w:rPr>
          <w:lang w:val="fr-FR"/>
        </w:rPr>
        <w:t xml:space="preserve"> </w:t>
      </w:r>
      <w:r w:rsidRPr="00EA4BC8">
        <w:rPr>
          <w:lang w:val="fr-FR"/>
        </w:rPr>
        <w:t>mai</w:t>
      </w:r>
      <w:r w:rsidR="00EA4BC8">
        <w:rPr>
          <w:lang w:val="fr-FR"/>
        </w:rPr>
        <w:t xml:space="preserve"> </w:t>
      </w:r>
      <w:r w:rsidRPr="00EA4BC8">
        <w:rPr>
          <w:lang w:val="fr-FR"/>
        </w:rPr>
        <w:t>2024.</w:t>
      </w:r>
    </w:p>
  </w:footnote>
  <w:footnote w:id="54">
    <w:p w14:paraId="4C4C87AE" w14:textId="57C571C8" w:rsidR="00C03E58" w:rsidRPr="00986EF8" w:rsidRDefault="00C03E58" w:rsidP="00EA4BC8">
      <w:pPr>
        <w:pStyle w:val="FootnoteText"/>
        <w:tabs>
          <w:tab w:val="right" w:pos="1195"/>
          <w:tab w:val="left" w:pos="1267"/>
          <w:tab w:val="left" w:pos="1742"/>
          <w:tab w:val="left" w:pos="2218"/>
          <w:tab w:val="left" w:pos="2693"/>
        </w:tabs>
        <w:ind w:left="1267" w:right="1260" w:hanging="576"/>
        <w:rPr>
          <w:spacing w:val="0"/>
          <w:w w:val="101"/>
          <w:lang w:val="fr-FR"/>
        </w:rPr>
      </w:pPr>
      <w:r w:rsidRPr="00986EF8">
        <w:rPr>
          <w:spacing w:val="0"/>
          <w:w w:val="101"/>
          <w:lang w:val="fr-FR"/>
        </w:rPr>
        <w:tab/>
      </w:r>
      <w:r w:rsidRPr="00986EF8">
        <w:rPr>
          <w:spacing w:val="0"/>
          <w:w w:val="101"/>
          <w:vertAlign w:val="superscript"/>
          <w:lang w:val="fr-FR"/>
        </w:rPr>
        <w:footnoteRef/>
      </w:r>
      <w:r w:rsidRPr="00986EF8">
        <w:rPr>
          <w:spacing w:val="0"/>
          <w:w w:val="101"/>
          <w:lang w:val="fr-FR"/>
        </w:rPr>
        <w:tab/>
        <w:t>Ministère de l’éducation. Communication 283-2024-MINEDU/VMGP-DIGEIBIRA du 23</w:t>
      </w:r>
      <w:r w:rsidR="00EA4BC8" w:rsidRPr="00986EF8">
        <w:rPr>
          <w:spacing w:val="0"/>
          <w:w w:val="101"/>
          <w:lang w:val="fr-FR"/>
        </w:rPr>
        <w:t xml:space="preserve"> </w:t>
      </w:r>
      <w:r w:rsidRPr="00986EF8">
        <w:rPr>
          <w:spacing w:val="0"/>
          <w:w w:val="101"/>
          <w:lang w:val="fr-FR"/>
        </w:rPr>
        <w:t>avril</w:t>
      </w:r>
      <w:r w:rsidR="00EA4BC8" w:rsidRPr="00986EF8">
        <w:rPr>
          <w:spacing w:val="0"/>
          <w:w w:val="101"/>
          <w:lang w:val="fr-FR"/>
        </w:rPr>
        <w:t xml:space="preserve"> </w:t>
      </w:r>
      <w:r w:rsidRPr="00986EF8">
        <w:rPr>
          <w:spacing w:val="0"/>
          <w:w w:val="101"/>
          <w:lang w:val="fr-FR"/>
        </w:rPr>
        <w:t>2024.</w:t>
      </w:r>
    </w:p>
  </w:footnote>
  <w:footnote w:id="55">
    <w:p w14:paraId="2EFDF5E1" w14:textId="77777777" w:rsidR="00C03E58" w:rsidRPr="00EA4BC8" w:rsidRDefault="00C03E58" w:rsidP="00EA4BC8">
      <w:pPr>
        <w:pStyle w:val="FootnoteText"/>
        <w:tabs>
          <w:tab w:val="right" w:pos="1195"/>
          <w:tab w:val="left" w:pos="1267"/>
          <w:tab w:val="left" w:pos="1742"/>
          <w:tab w:val="left" w:pos="2218"/>
          <w:tab w:val="left" w:pos="2693"/>
        </w:tabs>
        <w:ind w:left="1267" w:right="1260" w:hanging="576"/>
        <w:rPr>
          <w:lang w:val="fr-FR"/>
        </w:rPr>
      </w:pPr>
      <w:r>
        <w:rPr>
          <w:lang w:val="fr-FR"/>
        </w:rPr>
        <w:tab/>
      </w:r>
      <w:r w:rsidRPr="00EA4BC8">
        <w:rPr>
          <w:vertAlign w:val="superscript"/>
          <w:lang w:val="fr-FR"/>
        </w:rPr>
        <w:footnoteRef/>
      </w:r>
      <w:r w:rsidRPr="00EA4BC8">
        <w:rPr>
          <w:lang w:val="fr-FR"/>
        </w:rPr>
        <w:tab/>
        <w:t>Ibid.</w:t>
      </w:r>
    </w:p>
  </w:footnote>
  <w:footnote w:id="56">
    <w:p w14:paraId="5FCE8025" w14:textId="629DDEE3" w:rsidR="00C03E58" w:rsidRPr="00EA4BC8" w:rsidRDefault="00C03E58" w:rsidP="00EA4BC8">
      <w:pPr>
        <w:pStyle w:val="FootnoteText"/>
        <w:tabs>
          <w:tab w:val="right" w:pos="1195"/>
          <w:tab w:val="left" w:pos="1267"/>
          <w:tab w:val="left" w:pos="1742"/>
          <w:tab w:val="left" w:pos="2218"/>
          <w:tab w:val="left" w:pos="2693"/>
        </w:tabs>
        <w:ind w:left="1267" w:right="1260" w:hanging="576"/>
        <w:rPr>
          <w:lang w:val="fr-FR"/>
        </w:rPr>
      </w:pPr>
      <w:r>
        <w:rPr>
          <w:lang w:val="fr-FR"/>
        </w:rPr>
        <w:tab/>
      </w:r>
      <w:r w:rsidRPr="00EA4BC8">
        <w:rPr>
          <w:vertAlign w:val="superscript"/>
          <w:lang w:val="fr-FR"/>
        </w:rPr>
        <w:footnoteRef/>
      </w:r>
      <w:r w:rsidRPr="00EA4BC8">
        <w:rPr>
          <w:lang w:val="fr-FR"/>
        </w:rPr>
        <w:tab/>
        <w:t>Ministère de l’éducation. Décision ministérielle 587-2023-MINEDU du 3</w:t>
      </w:r>
      <w:r w:rsidR="00EA4BC8">
        <w:rPr>
          <w:lang w:val="fr-FR"/>
        </w:rPr>
        <w:t xml:space="preserve"> </w:t>
      </w:r>
      <w:r w:rsidRPr="00EA4BC8">
        <w:rPr>
          <w:lang w:val="fr-FR"/>
        </w:rPr>
        <w:t>novembre</w:t>
      </w:r>
      <w:r w:rsidR="00EA4BC8">
        <w:rPr>
          <w:lang w:val="fr-FR"/>
        </w:rPr>
        <w:t xml:space="preserve"> </w:t>
      </w:r>
      <w:r w:rsidRPr="00EA4BC8">
        <w:rPr>
          <w:lang w:val="fr-FR"/>
        </w:rPr>
        <w:t>2023.</w:t>
      </w:r>
    </w:p>
  </w:footnote>
  <w:footnote w:id="57">
    <w:p w14:paraId="1016E941" w14:textId="2A2F2772" w:rsidR="00C03E58" w:rsidRPr="00EA4BC8" w:rsidRDefault="00C03E58" w:rsidP="00EA4BC8">
      <w:pPr>
        <w:pStyle w:val="FootnoteText"/>
        <w:tabs>
          <w:tab w:val="right" w:pos="1195"/>
          <w:tab w:val="left" w:pos="1267"/>
          <w:tab w:val="left" w:pos="1742"/>
          <w:tab w:val="left" w:pos="2218"/>
          <w:tab w:val="left" w:pos="2693"/>
        </w:tabs>
        <w:ind w:left="1267" w:right="1260" w:hanging="576"/>
        <w:rPr>
          <w:lang w:val="fr-FR"/>
        </w:rPr>
      </w:pPr>
      <w:r>
        <w:rPr>
          <w:lang w:val="fr-FR"/>
        </w:rPr>
        <w:tab/>
      </w:r>
      <w:r w:rsidRPr="00EA4BC8">
        <w:rPr>
          <w:vertAlign w:val="superscript"/>
          <w:lang w:val="fr-FR"/>
        </w:rPr>
        <w:footnoteRef/>
      </w:r>
      <w:r w:rsidRPr="00EA4BC8">
        <w:rPr>
          <w:lang w:val="fr-FR"/>
        </w:rPr>
        <w:tab/>
        <w:t>Ministère de l’éducation. Communication 356-2024-MINEDU/VMGP-DIGESE du</w:t>
      </w:r>
      <w:r w:rsidR="00EA4BC8">
        <w:rPr>
          <w:lang w:val="fr-FR"/>
        </w:rPr>
        <w:t xml:space="preserve"> </w:t>
      </w:r>
      <w:r w:rsidRPr="00EA4BC8">
        <w:rPr>
          <w:lang w:val="fr-FR"/>
        </w:rPr>
        <w:t>21</w:t>
      </w:r>
      <w:r w:rsidR="00EA4BC8">
        <w:rPr>
          <w:lang w:val="fr-FR"/>
        </w:rPr>
        <w:t xml:space="preserve"> </w:t>
      </w:r>
      <w:r w:rsidRPr="00EA4BC8">
        <w:rPr>
          <w:lang w:val="fr-FR"/>
        </w:rPr>
        <w:t>mai</w:t>
      </w:r>
      <w:r w:rsidR="00EA4BC8">
        <w:rPr>
          <w:lang w:val="fr-FR"/>
        </w:rPr>
        <w:t xml:space="preserve"> </w:t>
      </w:r>
      <w:r w:rsidRPr="00EA4BC8">
        <w:rPr>
          <w:lang w:val="fr-FR"/>
        </w:rPr>
        <w:t>2024.</w:t>
      </w:r>
    </w:p>
  </w:footnote>
  <w:footnote w:id="58">
    <w:p w14:paraId="59FF25F9" w14:textId="44AF377F" w:rsidR="00C03E58" w:rsidRPr="00EA4BC8" w:rsidRDefault="00C03E58" w:rsidP="00EA4BC8">
      <w:pPr>
        <w:pStyle w:val="FootnoteText"/>
        <w:tabs>
          <w:tab w:val="right" w:pos="1195"/>
          <w:tab w:val="left" w:pos="1267"/>
          <w:tab w:val="left" w:pos="1742"/>
          <w:tab w:val="left" w:pos="2218"/>
          <w:tab w:val="left" w:pos="2693"/>
        </w:tabs>
        <w:ind w:left="1267" w:right="1260" w:hanging="576"/>
        <w:rPr>
          <w:lang w:val="fr-FR"/>
        </w:rPr>
      </w:pPr>
      <w:r>
        <w:rPr>
          <w:lang w:val="fr-FR"/>
        </w:rPr>
        <w:tab/>
      </w:r>
      <w:r w:rsidRPr="00EA4BC8">
        <w:rPr>
          <w:vertAlign w:val="superscript"/>
          <w:lang w:val="fr-FR"/>
        </w:rPr>
        <w:footnoteRef/>
      </w:r>
      <w:r w:rsidRPr="00EA4BC8">
        <w:rPr>
          <w:lang w:val="fr-FR"/>
        </w:rPr>
        <w:tab/>
        <w:t>Ministère de l’éducation. Décision ministérielle 139-2023-MINEDU du 1</w:t>
      </w:r>
      <w:r w:rsidRPr="00EA4BC8">
        <w:rPr>
          <w:vertAlign w:val="superscript"/>
          <w:lang w:val="fr-FR"/>
        </w:rPr>
        <w:t>er</w:t>
      </w:r>
      <w:r w:rsidR="00EA4BC8">
        <w:rPr>
          <w:lang w:val="fr-FR"/>
        </w:rPr>
        <w:t xml:space="preserve"> </w:t>
      </w:r>
      <w:r w:rsidRPr="00EA4BC8">
        <w:rPr>
          <w:lang w:val="fr-FR"/>
        </w:rPr>
        <w:t>mars</w:t>
      </w:r>
      <w:r w:rsidR="00EA4BC8">
        <w:rPr>
          <w:lang w:val="fr-FR"/>
        </w:rPr>
        <w:t xml:space="preserve"> </w:t>
      </w:r>
      <w:r w:rsidRPr="00EA4BC8">
        <w:rPr>
          <w:lang w:val="fr-FR"/>
        </w:rPr>
        <w:t>2023.</w:t>
      </w:r>
    </w:p>
  </w:footnote>
  <w:footnote w:id="59">
    <w:p w14:paraId="2C60A69D" w14:textId="050C57F9" w:rsidR="00C03E58" w:rsidRPr="00EA4BC8" w:rsidRDefault="00C03E58" w:rsidP="00EA4BC8">
      <w:pPr>
        <w:pStyle w:val="FootnoteText"/>
        <w:tabs>
          <w:tab w:val="right" w:pos="1195"/>
          <w:tab w:val="left" w:pos="1267"/>
          <w:tab w:val="left" w:pos="1742"/>
          <w:tab w:val="left" w:pos="2218"/>
          <w:tab w:val="left" w:pos="2693"/>
        </w:tabs>
        <w:ind w:left="1267" w:right="1260" w:hanging="576"/>
        <w:rPr>
          <w:lang w:val="fr-FR"/>
        </w:rPr>
      </w:pPr>
      <w:r>
        <w:rPr>
          <w:lang w:val="fr-FR"/>
        </w:rPr>
        <w:tab/>
      </w:r>
      <w:r w:rsidRPr="00EA4BC8">
        <w:rPr>
          <w:vertAlign w:val="superscript"/>
          <w:lang w:val="fr-FR"/>
        </w:rPr>
        <w:footnoteRef/>
      </w:r>
      <w:r w:rsidRPr="00EA4BC8">
        <w:rPr>
          <w:lang w:val="fr-FR"/>
        </w:rPr>
        <w:tab/>
        <w:t>Ministère de l’éducation. Communication 356-2024-MINEDU/VMGP-DIGESE du 21</w:t>
      </w:r>
      <w:r w:rsidR="00EA4BC8">
        <w:rPr>
          <w:lang w:val="fr-FR"/>
        </w:rPr>
        <w:t xml:space="preserve"> </w:t>
      </w:r>
      <w:r w:rsidRPr="00EA4BC8">
        <w:rPr>
          <w:lang w:val="fr-FR"/>
        </w:rPr>
        <w:t>mai 2024.</w:t>
      </w:r>
    </w:p>
  </w:footnote>
  <w:footnote w:id="60">
    <w:p w14:paraId="12E490C2" w14:textId="62072788" w:rsidR="00C03E58" w:rsidRPr="00EA4BC8" w:rsidRDefault="00C03E58" w:rsidP="00EA4BC8">
      <w:pPr>
        <w:pStyle w:val="FootnoteText"/>
        <w:tabs>
          <w:tab w:val="right" w:pos="1195"/>
          <w:tab w:val="left" w:pos="1267"/>
          <w:tab w:val="left" w:pos="1742"/>
          <w:tab w:val="left" w:pos="2218"/>
          <w:tab w:val="left" w:pos="2693"/>
        </w:tabs>
        <w:ind w:left="1267" w:right="1260" w:hanging="576"/>
        <w:rPr>
          <w:lang w:val="fr-FR"/>
        </w:rPr>
      </w:pPr>
      <w:r>
        <w:rPr>
          <w:lang w:val="fr-FR"/>
        </w:rPr>
        <w:tab/>
      </w:r>
      <w:r w:rsidRPr="00EA4BC8">
        <w:rPr>
          <w:vertAlign w:val="superscript"/>
          <w:lang w:val="fr-FR"/>
        </w:rPr>
        <w:footnoteRef/>
      </w:r>
      <w:r w:rsidRPr="00EA4BC8">
        <w:rPr>
          <w:lang w:val="fr-FR"/>
        </w:rPr>
        <w:tab/>
        <w:t>Ministère de la santé. Décision ministérielle 486-2014-MINSA du 27</w:t>
      </w:r>
      <w:r w:rsidR="00EA4BC8">
        <w:rPr>
          <w:lang w:val="fr-FR"/>
        </w:rPr>
        <w:t xml:space="preserve"> </w:t>
      </w:r>
      <w:r w:rsidRPr="00EA4BC8">
        <w:rPr>
          <w:lang w:val="fr-FR"/>
        </w:rPr>
        <w:t>juin 2014.</w:t>
      </w:r>
    </w:p>
  </w:footnote>
  <w:footnote w:id="61">
    <w:p w14:paraId="65920D09" w14:textId="393F9A49" w:rsidR="00C03E58" w:rsidRPr="00EA4BC8" w:rsidRDefault="00C03E58" w:rsidP="00EA4BC8">
      <w:pPr>
        <w:pStyle w:val="FootnoteText"/>
        <w:tabs>
          <w:tab w:val="right" w:pos="1195"/>
          <w:tab w:val="left" w:pos="1267"/>
          <w:tab w:val="left" w:pos="1742"/>
          <w:tab w:val="left" w:pos="2218"/>
          <w:tab w:val="left" w:pos="2693"/>
        </w:tabs>
        <w:ind w:left="1267" w:right="1260" w:hanging="576"/>
        <w:rPr>
          <w:lang w:val="fr-FR"/>
        </w:rPr>
      </w:pPr>
      <w:r>
        <w:rPr>
          <w:lang w:val="fr-FR"/>
        </w:rPr>
        <w:tab/>
      </w:r>
      <w:r w:rsidRPr="00EA4BC8">
        <w:rPr>
          <w:vertAlign w:val="superscript"/>
          <w:lang w:val="fr-FR"/>
        </w:rPr>
        <w:footnoteRef/>
      </w:r>
      <w:r w:rsidRPr="00EA4BC8">
        <w:rPr>
          <w:lang w:val="fr-FR"/>
        </w:rPr>
        <w:tab/>
        <w:t>Ministère de la santé. Communication</w:t>
      </w:r>
      <w:r w:rsidR="00EA4BC8">
        <w:rPr>
          <w:lang w:val="fr-FR"/>
        </w:rPr>
        <w:t xml:space="preserve"> </w:t>
      </w:r>
      <w:r w:rsidRPr="00EA4BC8">
        <w:rPr>
          <w:lang w:val="fr-FR"/>
        </w:rPr>
        <w:t>1148-2024-DGIESP-MINSA du 17</w:t>
      </w:r>
      <w:r w:rsidR="00EA4BC8">
        <w:rPr>
          <w:lang w:val="fr-FR"/>
        </w:rPr>
        <w:t xml:space="preserve"> </w:t>
      </w:r>
      <w:r w:rsidRPr="00EA4BC8">
        <w:rPr>
          <w:lang w:val="fr-FR"/>
        </w:rPr>
        <w:t>avril</w:t>
      </w:r>
      <w:r w:rsidR="00EA4BC8">
        <w:rPr>
          <w:lang w:val="fr-FR"/>
        </w:rPr>
        <w:t xml:space="preserve"> </w:t>
      </w:r>
      <w:r w:rsidRPr="00EA4BC8">
        <w:rPr>
          <w:lang w:val="fr-FR"/>
        </w:rPr>
        <w:t>2024.</w:t>
      </w:r>
    </w:p>
  </w:footnote>
  <w:footnote w:id="62">
    <w:p w14:paraId="2F0AF2B4" w14:textId="77777777" w:rsidR="00C03E58" w:rsidRPr="00EA4BC8" w:rsidRDefault="00C03E58" w:rsidP="00EA4BC8">
      <w:pPr>
        <w:pStyle w:val="FootnoteText"/>
        <w:tabs>
          <w:tab w:val="right" w:pos="1195"/>
          <w:tab w:val="left" w:pos="1267"/>
          <w:tab w:val="left" w:pos="1742"/>
          <w:tab w:val="left" w:pos="2218"/>
          <w:tab w:val="left" w:pos="2693"/>
        </w:tabs>
        <w:ind w:left="1267" w:right="1260" w:hanging="576"/>
        <w:rPr>
          <w:lang w:val="fr-FR"/>
        </w:rPr>
      </w:pPr>
      <w:r>
        <w:rPr>
          <w:lang w:val="fr-FR"/>
        </w:rPr>
        <w:tab/>
      </w:r>
      <w:r w:rsidRPr="00EA4BC8">
        <w:rPr>
          <w:vertAlign w:val="superscript"/>
          <w:lang w:val="fr-FR"/>
        </w:rPr>
        <w:footnoteRef/>
      </w:r>
      <w:r w:rsidRPr="00EA4BC8">
        <w:rPr>
          <w:lang w:val="fr-FR"/>
        </w:rPr>
        <w:tab/>
        <w:t>Ibid.</w:t>
      </w:r>
    </w:p>
  </w:footnote>
  <w:footnote w:id="63">
    <w:p w14:paraId="520DB476" w14:textId="44D92F93" w:rsidR="00C03E58" w:rsidRPr="00EA4BC8" w:rsidRDefault="00C03E58" w:rsidP="00EA4BC8">
      <w:pPr>
        <w:pStyle w:val="FootnoteText"/>
        <w:tabs>
          <w:tab w:val="right" w:pos="1195"/>
          <w:tab w:val="left" w:pos="1267"/>
          <w:tab w:val="left" w:pos="1742"/>
          <w:tab w:val="left" w:pos="2218"/>
          <w:tab w:val="left" w:pos="2693"/>
        </w:tabs>
        <w:ind w:left="1267" w:right="1260" w:hanging="576"/>
        <w:rPr>
          <w:lang w:val="fr-FR"/>
        </w:rPr>
      </w:pPr>
      <w:r>
        <w:rPr>
          <w:lang w:val="fr-FR"/>
        </w:rPr>
        <w:tab/>
      </w:r>
      <w:r w:rsidRPr="00EA4BC8">
        <w:rPr>
          <w:vertAlign w:val="superscript"/>
          <w:lang w:val="fr-FR"/>
        </w:rPr>
        <w:footnoteRef/>
      </w:r>
      <w:r w:rsidRPr="00EA4BC8">
        <w:rPr>
          <w:lang w:val="fr-FR"/>
        </w:rPr>
        <w:tab/>
        <w:t>Ministère de la femme et des populations vulnérables. Communication 261-2024-MIMP-DGNNA du 12</w:t>
      </w:r>
      <w:r w:rsidR="00EA4BC8">
        <w:rPr>
          <w:lang w:val="fr-FR"/>
        </w:rPr>
        <w:t xml:space="preserve"> </w:t>
      </w:r>
      <w:r w:rsidRPr="00EA4BC8">
        <w:rPr>
          <w:lang w:val="fr-FR"/>
        </w:rPr>
        <w:t>avril 2024.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571984" w14:paraId="22E6F921" w14:textId="77777777" w:rsidTr="00571984">
      <w:tblPrEx>
        <w:tblCellMar>
          <w:top w:w="0" w:type="dxa"/>
          <w:bottom w:w="0" w:type="dxa"/>
        </w:tblCellMar>
      </w:tblPrEx>
      <w:trPr>
        <w:trHeight w:hRule="exact" w:val="864"/>
      </w:trPr>
      <w:tc>
        <w:tcPr>
          <w:tcW w:w="4920" w:type="dxa"/>
          <w:shd w:val="clear" w:color="auto" w:fill="auto"/>
          <w:vAlign w:val="bottom"/>
        </w:tcPr>
        <w:p w14:paraId="44B76DE3" w14:textId="03A8C140" w:rsidR="00571984" w:rsidRPr="00571984" w:rsidRDefault="00571984" w:rsidP="00571984">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40BF3">
            <w:rPr>
              <w:b/>
              <w:color w:val="000000"/>
            </w:rPr>
            <w:t>CEDAW/C/PER/FCO/9</w:t>
          </w:r>
          <w:r>
            <w:rPr>
              <w:b/>
              <w:color w:val="000000"/>
            </w:rPr>
            <w:fldChar w:fldCharType="end"/>
          </w:r>
        </w:p>
      </w:tc>
      <w:tc>
        <w:tcPr>
          <w:tcW w:w="4920" w:type="dxa"/>
          <w:shd w:val="clear" w:color="auto" w:fill="auto"/>
          <w:vAlign w:val="bottom"/>
        </w:tcPr>
        <w:p w14:paraId="4BFF798D" w14:textId="77777777" w:rsidR="00571984" w:rsidRDefault="00571984" w:rsidP="00571984">
          <w:pPr>
            <w:pStyle w:val="Header"/>
          </w:pPr>
        </w:p>
      </w:tc>
    </w:tr>
  </w:tbl>
  <w:p w14:paraId="11F037D7" w14:textId="77777777" w:rsidR="00571984" w:rsidRPr="00571984" w:rsidRDefault="00571984" w:rsidP="00571984">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571984" w14:paraId="38A9937F" w14:textId="77777777" w:rsidTr="00571984">
      <w:tblPrEx>
        <w:tblCellMar>
          <w:top w:w="0" w:type="dxa"/>
          <w:bottom w:w="0" w:type="dxa"/>
        </w:tblCellMar>
      </w:tblPrEx>
      <w:trPr>
        <w:trHeight w:hRule="exact" w:val="864"/>
      </w:trPr>
      <w:tc>
        <w:tcPr>
          <w:tcW w:w="4920" w:type="dxa"/>
          <w:shd w:val="clear" w:color="auto" w:fill="auto"/>
          <w:vAlign w:val="bottom"/>
        </w:tcPr>
        <w:p w14:paraId="1C7E5473" w14:textId="77777777" w:rsidR="00571984" w:rsidRDefault="00571984" w:rsidP="00571984">
          <w:pPr>
            <w:pStyle w:val="Header"/>
          </w:pPr>
        </w:p>
      </w:tc>
      <w:tc>
        <w:tcPr>
          <w:tcW w:w="4920" w:type="dxa"/>
          <w:shd w:val="clear" w:color="auto" w:fill="auto"/>
          <w:vAlign w:val="bottom"/>
        </w:tcPr>
        <w:p w14:paraId="357A8769" w14:textId="338DFB06" w:rsidR="00571984" w:rsidRPr="00571984" w:rsidRDefault="00571984" w:rsidP="00571984">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40BF3">
            <w:rPr>
              <w:b/>
              <w:color w:val="000000"/>
            </w:rPr>
            <w:t>CEDAW/C/PER/FCO/9</w:t>
          </w:r>
          <w:r>
            <w:rPr>
              <w:b/>
              <w:color w:val="000000"/>
            </w:rPr>
            <w:fldChar w:fldCharType="end"/>
          </w:r>
        </w:p>
      </w:tc>
    </w:tr>
  </w:tbl>
  <w:p w14:paraId="5C8C4C7F" w14:textId="77777777" w:rsidR="00571984" w:rsidRPr="00571984" w:rsidRDefault="00571984" w:rsidP="00571984">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571984" w14:paraId="5DEC494B" w14:textId="77777777" w:rsidTr="00571984">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7EE30884" w14:textId="77777777" w:rsidR="00571984" w:rsidRDefault="00571984" w:rsidP="00571984">
          <w:pPr>
            <w:pStyle w:val="Header"/>
            <w:spacing w:after="120"/>
          </w:pPr>
        </w:p>
      </w:tc>
      <w:tc>
        <w:tcPr>
          <w:tcW w:w="2059" w:type="dxa"/>
          <w:tcBorders>
            <w:bottom w:val="single" w:sz="4" w:space="0" w:color="auto"/>
          </w:tcBorders>
          <w:shd w:val="clear" w:color="auto" w:fill="auto"/>
          <w:vAlign w:val="bottom"/>
        </w:tcPr>
        <w:p w14:paraId="66CAAB5C" w14:textId="77777777" w:rsidR="00571984" w:rsidRPr="00571984" w:rsidRDefault="00571984" w:rsidP="00571984">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081CC88F" w14:textId="77777777" w:rsidR="00571984" w:rsidRDefault="00571984" w:rsidP="00571984">
          <w:pPr>
            <w:pStyle w:val="Header"/>
            <w:spacing w:after="120"/>
          </w:pPr>
        </w:p>
      </w:tc>
      <w:tc>
        <w:tcPr>
          <w:tcW w:w="6466" w:type="dxa"/>
          <w:gridSpan w:val="3"/>
          <w:tcBorders>
            <w:bottom w:val="single" w:sz="4" w:space="0" w:color="auto"/>
          </w:tcBorders>
          <w:shd w:val="clear" w:color="auto" w:fill="auto"/>
          <w:vAlign w:val="bottom"/>
        </w:tcPr>
        <w:p w14:paraId="5346CB26" w14:textId="77777777" w:rsidR="00571984" w:rsidRPr="00571984" w:rsidRDefault="00571984" w:rsidP="00571984">
          <w:pPr>
            <w:spacing w:after="80" w:line="240" w:lineRule="auto"/>
            <w:jc w:val="right"/>
            <w:rPr>
              <w:position w:val="-4"/>
            </w:rPr>
          </w:pPr>
          <w:r>
            <w:rPr>
              <w:position w:val="-4"/>
              <w:sz w:val="40"/>
            </w:rPr>
            <w:t>CEDAW</w:t>
          </w:r>
          <w:r>
            <w:rPr>
              <w:position w:val="-4"/>
            </w:rPr>
            <w:t>/C/PER/FCO/9</w:t>
          </w:r>
        </w:p>
      </w:tc>
    </w:tr>
    <w:tr w:rsidR="00571984" w:rsidRPr="00571984" w14:paraId="1675C5FC" w14:textId="77777777" w:rsidTr="00571984">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4CC4AFF1" w14:textId="77777777" w:rsidR="00571984" w:rsidRPr="00571984" w:rsidRDefault="00571984" w:rsidP="00571984">
          <w:pPr>
            <w:pStyle w:val="Header"/>
            <w:spacing w:before="120" w:line="240" w:lineRule="auto"/>
            <w:ind w:left="-72"/>
            <w:jc w:val="center"/>
          </w:pPr>
          <w:r>
            <w:t xml:space="preserve">  </w:t>
          </w:r>
          <w:r>
            <w:rPr>
              <w:noProof/>
            </w:rPr>
            <w:drawing>
              <wp:inline distT="0" distB="0" distL="0" distR="0" wp14:anchorId="6B619523" wp14:editId="19A35967">
                <wp:extent cx="713232" cy="594360"/>
                <wp:effectExtent l="0" t="0" r="0" b="0"/>
                <wp:docPr id="504806690" name="Picture 1"/>
                <wp:cNvGraphicFramePr/>
                <a:graphic xmlns:a="http://schemas.openxmlformats.org/drawingml/2006/main">
                  <a:graphicData uri="http://schemas.openxmlformats.org/drawingml/2006/picture">
                    <pic:pic xmlns:pic="http://schemas.openxmlformats.org/drawingml/2006/picture">
                      <pic:nvPicPr>
                        <pic:cNvPr id="50480669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09E8765" w14:textId="77777777" w:rsidR="00571984" w:rsidRPr="00571984" w:rsidRDefault="00571984" w:rsidP="00571984">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4CBCF52C" w14:textId="77777777" w:rsidR="00571984" w:rsidRPr="00C03E58" w:rsidRDefault="00571984" w:rsidP="00571984">
          <w:pPr>
            <w:pStyle w:val="Header"/>
            <w:spacing w:before="109"/>
            <w:rPr>
              <w:lang w:val="fr-FR"/>
            </w:rPr>
          </w:pPr>
        </w:p>
      </w:tc>
      <w:tc>
        <w:tcPr>
          <w:tcW w:w="3110" w:type="dxa"/>
          <w:tcBorders>
            <w:top w:val="single" w:sz="4" w:space="0" w:color="auto"/>
            <w:bottom w:val="single" w:sz="12" w:space="0" w:color="auto"/>
          </w:tcBorders>
          <w:shd w:val="clear" w:color="auto" w:fill="auto"/>
        </w:tcPr>
        <w:p w14:paraId="08167DC4" w14:textId="77777777" w:rsidR="00571984" w:rsidRPr="00C03E58" w:rsidRDefault="00571984" w:rsidP="00571984">
          <w:pPr>
            <w:pStyle w:val="Distribution"/>
            <w:rPr>
              <w:color w:val="000000"/>
              <w:lang w:val="fr-FR"/>
            </w:rPr>
          </w:pPr>
          <w:r w:rsidRPr="00C03E58">
            <w:rPr>
              <w:color w:val="000000"/>
              <w:lang w:val="fr-FR"/>
            </w:rPr>
            <w:t>Distr. générale</w:t>
          </w:r>
        </w:p>
        <w:p w14:paraId="61E38771" w14:textId="77777777" w:rsidR="00571984" w:rsidRPr="00C03E58" w:rsidRDefault="00571984" w:rsidP="00571984">
          <w:pPr>
            <w:pStyle w:val="Publication"/>
            <w:rPr>
              <w:color w:val="000000"/>
              <w:lang w:val="fr-FR"/>
            </w:rPr>
          </w:pPr>
          <w:r w:rsidRPr="00C03E58">
            <w:rPr>
              <w:color w:val="000000"/>
              <w:lang w:val="fr-FR"/>
            </w:rPr>
            <w:t>15 août 2024</w:t>
          </w:r>
        </w:p>
        <w:p w14:paraId="70CFDF93" w14:textId="77777777" w:rsidR="00571984" w:rsidRPr="00C03E58" w:rsidRDefault="00571984" w:rsidP="00571984">
          <w:pPr>
            <w:rPr>
              <w:lang w:val="fr-FR"/>
            </w:rPr>
          </w:pPr>
          <w:r w:rsidRPr="00C03E58">
            <w:rPr>
              <w:lang w:val="fr-FR"/>
            </w:rPr>
            <w:t>Français</w:t>
          </w:r>
        </w:p>
        <w:p w14:paraId="1D11A06F" w14:textId="77777777" w:rsidR="00571984" w:rsidRDefault="00571984" w:rsidP="00571984">
          <w:pPr>
            <w:pStyle w:val="Original"/>
            <w:rPr>
              <w:color w:val="000000"/>
              <w:lang w:val="fr-FR"/>
            </w:rPr>
          </w:pPr>
          <w:r w:rsidRPr="00C03E58">
            <w:rPr>
              <w:color w:val="000000"/>
              <w:lang w:val="fr-FR"/>
            </w:rPr>
            <w:t>Original : espagnol</w:t>
          </w:r>
        </w:p>
        <w:p w14:paraId="71C10F53" w14:textId="04EF5095" w:rsidR="00C03E58" w:rsidRPr="00C03E58" w:rsidRDefault="00C03E58" w:rsidP="00C03E58">
          <w:pPr>
            <w:rPr>
              <w:lang w:val="fr-FR"/>
            </w:rPr>
          </w:pPr>
          <w:r w:rsidRPr="00C03E58">
            <w:rPr>
              <w:lang w:val="fr-FR"/>
            </w:rPr>
            <w:t>Anglais, espagnol et français seulement</w:t>
          </w:r>
        </w:p>
      </w:tc>
    </w:tr>
  </w:tbl>
  <w:p w14:paraId="3F391E80" w14:textId="77777777" w:rsidR="00571984" w:rsidRPr="00C03E58" w:rsidRDefault="00571984" w:rsidP="00571984">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5BD7C26"/>
    <w:multiLevelType w:val="singleLevel"/>
    <w:tmpl w:val="C0B0A7DE"/>
    <w:lvl w:ilvl="0">
      <w:start w:val="8"/>
      <w:numFmt w:val="decimal"/>
      <w:lvlRestart w:val="0"/>
      <w:lvlText w:val="%1."/>
      <w:lvlJc w:val="left"/>
      <w:pPr>
        <w:tabs>
          <w:tab w:val="num" w:pos="1742"/>
        </w:tabs>
        <w:ind w:left="1267" w:firstLine="0"/>
      </w:pPr>
      <w:rPr>
        <w:w w:val="100"/>
      </w:rPr>
    </w:lvl>
  </w:abstractNum>
  <w:abstractNum w:abstractNumId="4" w15:restartNumberingAfterBreak="0">
    <w:nsid w:val="2A6D5E7C"/>
    <w:multiLevelType w:val="singleLevel"/>
    <w:tmpl w:val="161A46B0"/>
    <w:lvl w:ilvl="0">
      <w:start w:val="12"/>
      <w:numFmt w:val="decimal"/>
      <w:lvlRestart w:val="0"/>
      <w:lvlText w:val="%1."/>
      <w:lvlJc w:val="left"/>
      <w:pPr>
        <w:tabs>
          <w:tab w:val="num" w:pos="1742"/>
        </w:tabs>
        <w:ind w:left="1267" w:firstLine="0"/>
      </w:pPr>
      <w:rPr>
        <w:w w:val="100"/>
      </w:rPr>
    </w:lvl>
  </w:abstractNum>
  <w:abstractNum w:abstractNumId="5" w15:restartNumberingAfterBreak="0">
    <w:nsid w:val="303F2601"/>
    <w:multiLevelType w:val="singleLevel"/>
    <w:tmpl w:val="7B446FFA"/>
    <w:lvl w:ilvl="0">
      <w:start w:val="8"/>
      <w:numFmt w:val="decimal"/>
      <w:lvlRestart w:val="0"/>
      <w:lvlText w:val="%1."/>
      <w:lvlJc w:val="left"/>
      <w:pPr>
        <w:tabs>
          <w:tab w:val="num" w:pos="1742"/>
        </w:tabs>
        <w:ind w:left="1267" w:firstLine="0"/>
      </w:pPr>
      <w:rPr>
        <w:w w:val="100"/>
      </w:rPr>
    </w:lvl>
  </w:abstractNum>
  <w:abstractNum w:abstractNumId="6"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0760DED"/>
    <w:multiLevelType w:val="multilevel"/>
    <w:tmpl w:val="4E102290"/>
    <w:name w:val="TOC"/>
    <w:lvl w:ilvl="0">
      <w:start w:val="1"/>
      <w:numFmt w:val="upperRoman"/>
      <w:lvlText w:val="%1."/>
      <w:lvlJc w:val="right"/>
      <w:pPr>
        <w:tabs>
          <w:tab w:val="num" w:pos="1296"/>
        </w:tabs>
        <w:ind w:left="1296" w:hanging="29"/>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7BC74C74"/>
    <w:multiLevelType w:val="singleLevel"/>
    <w:tmpl w:val="A19678DA"/>
    <w:lvl w:ilvl="0">
      <w:start w:val="7"/>
      <w:numFmt w:val="decimal"/>
      <w:lvlRestart w:val="0"/>
      <w:lvlText w:val="%1."/>
      <w:lvlJc w:val="left"/>
      <w:pPr>
        <w:tabs>
          <w:tab w:val="num" w:pos="1742"/>
        </w:tabs>
        <w:ind w:left="1267" w:firstLine="0"/>
      </w:pPr>
      <w:rPr>
        <w:w w:val="100"/>
      </w:rPr>
    </w:lvl>
  </w:abstractNum>
  <w:abstractNum w:abstractNumId="9" w15:restartNumberingAfterBreak="0">
    <w:nsid w:val="7CCD0DAD"/>
    <w:multiLevelType w:val="singleLevel"/>
    <w:tmpl w:val="D78CC736"/>
    <w:lvl w:ilvl="0">
      <w:start w:val="1"/>
      <w:numFmt w:val="decimal"/>
      <w:lvlRestart w:val="0"/>
      <w:lvlText w:val="%1."/>
      <w:lvlJc w:val="left"/>
      <w:pPr>
        <w:tabs>
          <w:tab w:val="num" w:pos="1742"/>
        </w:tabs>
        <w:ind w:left="1267" w:firstLine="0"/>
      </w:pPr>
      <w:rPr>
        <w:w w:val="100"/>
      </w:rPr>
    </w:lvl>
  </w:abstractNum>
  <w:num w:numId="1" w16cid:durableId="1337421691">
    <w:abstractNumId w:val="2"/>
  </w:num>
  <w:num w:numId="2" w16cid:durableId="1117288448">
    <w:abstractNumId w:val="6"/>
  </w:num>
  <w:num w:numId="3" w16cid:durableId="1608347317">
    <w:abstractNumId w:val="0"/>
  </w:num>
  <w:num w:numId="4" w16cid:durableId="113643597">
    <w:abstractNumId w:val="1"/>
  </w:num>
  <w:num w:numId="5" w16cid:durableId="1783114439">
    <w:abstractNumId w:val="7"/>
  </w:num>
  <w:num w:numId="6" w16cid:durableId="1832286257">
    <w:abstractNumId w:val="9"/>
    <w:lvlOverride w:ilvl="0">
      <w:lvl w:ilvl="0">
        <w:start w:val="1"/>
        <w:numFmt w:val="decimal"/>
        <w:lvlRestart w:val="0"/>
        <w:lvlText w:val="%1."/>
        <w:lvlJc w:val="left"/>
        <w:pPr>
          <w:tabs>
            <w:tab w:val="num" w:pos="1742"/>
          </w:tabs>
          <w:ind w:left="1267" w:firstLine="0"/>
        </w:pPr>
        <w:rPr>
          <w:rFonts w:ascii="Times New Roman" w:hAnsi="Times New Roman" w:cs="Times New Roman"/>
          <w:b w:val="0"/>
          <w:w w:val="100"/>
          <w:sz w:val="20"/>
        </w:rPr>
      </w:lvl>
    </w:lvlOverride>
  </w:num>
  <w:num w:numId="7" w16cid:durableId="194467108">
    <w:abstractNumId w:val="8"/>
  </w:num>
  <w:num w:numId="8" w16cid:durableId="1850557176">
    <w:abstractNumId w:val="5"/>
    <w:lvlOverride w:ilvl="0">
      <w:lvl w:ilvl="0">
        <w:start w:val="8"/>
        <w:numFmt w:val="decimal"/>
        <w:lvlRestart w:val="0"/>
        <w:lvlText w:val="%1."/>
        <w:lvlJc w:val="left"/>
        <w:pPr>
          <w:tabs>
            <w:tab w:val="num" w:pos="1742"/>
          </w:tabs>
          <w:ind w:left="1267" w:firstLine="0"/>
        </w:pPr>
        <w:rPr>
          <w:w w:val="100"/>
        </w:rPr>
      </w:lvl>
    </w:lvlOverride>
  </w:num>
  <w:num w:numId="9" w16cid:durableId="37170568">
    <w:abstractNumId w:val="5"/>
    <w:lvlOverride w:ilvl="0">
      <w:lvl w:ilvl="0">
        <w:start w:val="8"/>
        <w:numFmt w:val="decimal"/>
        <w:lvlRestart w:val="0"/>
        <w:lvlText w:val="%1."/>
        <w:lvlJc w:val="left"/>
        <w:pPr>
          <w:tabs>
            <w:tab w:val="num" w:pos="1742"/>
          </w:tabs>
          <w:ind w:left="1267" w:firstLine="0"/>
        </w:pPr>
        <w:rPr>
          <w:w w:val="100"/>
        </w:rPr>
      </w:lvl>
    </w:lvlOverride>
  </w:num>
  <w:num w:numId="10" w16cid:durableId="559487299">
    <w:abstractNumId w:val="5"/>
    <w:lvlOverride w:ilvl="0">
      <w:lvl w:ilvl="0">
        <w:start w:val="8"/>
        <w:numFmt w:val="decimal"/>
        <w:lvlRestart w:val="0"/>
        <w:lvlText w:val="%1."/>
        <w:lvlJc w:val="left"/>
        <w:pPr>
          <w:tabs>
            <w:tab w:val="num" w:pos="1742"/>
          </w:tabs>
          <w:ind w:left="1267" w:firstLine="0"/>
        </w:pPr>
        <w:rPr>
          <w:rFonts w:ascii="Times New Roman" w:hAnsi="Times New Roman" w:cs="Times New Roman"/>
          <w:b w:val="0"/>
          <w:w w:val="100"/>
          <w:sz w:val="20"/>
        </w:rPr>
      </w:lvl>
    </w:lvlOverride>
  </w:num>
  <w:num w:numId="11" w16cid:durableId="1670016456">
    <w:abstractNumId w:val="3"/>
    <w:lvlOverride w:ilvl="0">
      <w:lvl w:ilvl="0">
        <w:start w:val="8"/>
        <w:numFmt w:val="decimal"/>
        <w:lvlRestart w:val="0"/>
        <w:lvlText w:val="%1."/>
        <w:lvlJc w:val="left"/>
        <w:pPr>
          <w:tabs>
            <w:tab w:val="num" w:pos="1742"/>
          </w:tabs>
          <w:ind w:left="1267" w:firstLine="0"/>
        </w:pPr>
        <w:rPr>
          <w:w w:val="100"/>
        </w:rPr>
      </w:lvl>
    </w:lvlOverride>
  </w:num>
  <w:num w:numId="12" w16cid:durableId="387998427">
    <w:abstractNumId w:val="3"/>
    <w:lvlOverride w:ilvl="0">
      <w:lvl w:ilvl="0">
        <w:start w:val="8"/>
        <w:numFmt w:val="decimal"/>
        <w:lvlRestart w:val="0"/>
        <w:lvlText w:val="%1."/>
        <w:lvlJc w:val="left"/>
        <w:pPr>
          <w:tabs>
            <w:tab w:val="num" w:pos="1742"/>
          </w:tabs>
          <w:ind w:left="1267" w:firstLine="0"/>
        </w:pPr>
        <w:rPr>
          <w:w w:val="100"/>
        </w:rPr>
      </w:lvl>
    </w:lvlOverride>
  </w:num>
  <w:num w:numId="13" w16cid:durableId="1732657225">
    <w:abstractNumId w:val="3"/>
    <w:lvlOverride w:ilvl="0">
      <w:lvl w:ilvl="0">
        <w:start w:val="8"/>
        <w:numFmt w:val="decimal"/>
        <w:lvlRestart w:val="0"/>
        <w:lvlText w:val="%1."/>
        <w:lvlJc w:val="left"/>
        <w:pPr>
          <w:tabs>
            <w:tab w:val="num" w:pos="1742"/>
          </w:tabs>
          <w:ind w:left="1267" w:firstLine="0"/>
        </w:pPr>
        <w:rPr>
          <w:w w:val="100"/>
        </w:rPr>
      </w:lvl>
    </w:lvlOverride>
  </w:num>
  <w:num w:numId="14" w16cid:durableId="1135442904">
    <w:abstractNumId w:val="3"/>
    <w:lvlOverride w:ilvl="0">
      <w:lvl w:ilvl="0">
        <w:start w:val="8"/>
        <w:numFmt w:val="decimal"/>
        <w:lvlRestart w:val="0"/>
        <w:lvlText w:val="%1."/>
        <w:lvlJc w:val="left"/>
        <w:pPr>
          <w:tabs>
            <w:tab w:val="num" w:pos="1742"/>
          </w:tabs>
          <w:ind w:left="1267" w:firstLine="0"/>
        </w:pPr>
        <w:rPr>
          <w:w w:val="100"/>
        </w:rPr>
      </w:lvl>
    </w:lvlOverride>
  </w:num>
  <w:num w:numId="15" w16cid:durableId="1563054028">
    <w:abstractNumId w:val="3"/>
    <w:lvlOverride w:ilvl="0">
      <w:lvl w:ilvl="0">
        <w:start w:val="8"/>
        <w:numFmt w:val="decimal"/>
        <w:lvlRestart w:val="0"/>
        <w:lvlText w:val="%1."/>
        <w:lvlJc w:val="left"/>
        <w:pPr>
          <w:tabs>
            <w:tab w:val="num" w:pos="1742"/>
          </w:tabs>
          <w:ind w:left="1267" w:firstLine="0"/>
        </w:pPr>
        <w:rPr>
          <w:w w:val="100"/>
        </w:rPr>
      </w:lvl>
    </w:lvlOverride>
  </w:num>
  <w:num w:numId="16" w16cid:durableId="626393866">
    <w:abstractNumId w:val="3"/>
    <w:lvlOverride w:ilvl="0">
      <w:lvl w:ilvl="0">
        <w:start w:val="8"/>
        <w:numFmt w:val="decimal"/>
        <w:lvlRestart w:val="0"/>
        <w:lvlText w:val="%1."/>
        <w:lvlJc w:val="left"/>
        <w:pPr>
          <w:tabs>
            <w:tab w:val="num" w:pos="1742"/>
          </w:tabs>
          <w:ind w:left="1267" w:firstLine="0"/>
        </w:pPr>
        <w:rPr>
          <w:w w:val="100"/>
        </w:rPr>
      </w:lvl>
    </w:lvlOverride>
  </w:num>
  <w:num w:numId="17" w16cid:durableId="1243301089">
    <w:abstractNumId w:val="3"/>
    <w:lvlOverride w:ilvl="0">
      <w:lvl w:ilvl="0">
        <w:start w:val="8"/>
        <w:numFmt w:val="decimal"/>
        <w:lvlRestart w:val="0"/>
        <w:lvlText w:val="%1."/>
        <w:lvlJc w:val="left"/>
        <w:pPr>
          <w:tabs>
            <w:tab w:val="num" w:pos="1742"/>
          </w:tabs>
          <w:ind w:left="1267" w:firstLine="0"/>
        </w:pPr>
        <w:rPr>
          <w:w w:val="100"/>
        </w:rPr>
      </w:lvl>
    </w:lvlOverride>
  </w:num>
  <w:num w:numId="18" w16cid:durableId="2027975895">
    <w:abstractNumId w:val="3"/>
    <w:lvlOverride w:ilvl="0">
      <w:lvl w:ilvl="0">
        <w:start w:val="8"/>
        <w:numFmt w:val="decimal"/>
        <w:lvlRestart w:val="0"/>
        <w:lvlText w:val="%1."/>
        <w:lvlJc w:val="left"/>
        <w:pPr>
          <w:tabs>
            <w:tab w:val="num" w:pos="1742"/>
          </w:tabs>
          <w:ind w:left="1267" w:firstLine="0"/>
        </w:pPr>
        <w:rPr>
          <w:w w:val="100"/>
        </w:rPr>
      </w:lvl>
    </w:lvlOverride>
  </w:num>
  <w:num w:numId="19" w16cid:durableId="120733937">
    <w:abstractNumId w:val="3"/>
    <w:lvlOverride w:ilvl="0">
      <w:lvl w:ilvl="0">
        <w:start w:val="8"/>
        <w:numFmt w:val="decimal"/>
        <w:lvlRestart w:val="0"/>
        <w:lvlText w:val="%1."/>
        <w:lvlJc w:val="left"/>
        <w:pPr>
          <w:tabs>
            <w:tab w:val="num" w:pos="1742"/>
          </w:tabs>
          <w:ind w:left="1267" w:firstLine="0"/>
        </w:pPr>
        <w:rPr>
          <w:w w:val="100"/>
        </w:rPr>
      </w:lvl>
    </w:lvlOverride>
  </w:num>
  <w:num w:numId="20" w16cid:durableId="2033146899">
    <w:abstractNumId w:val="3"/>
    <w:lvlOverride w:ilvl="0">
      <w:lvl w:ilvl="0">
        <w:start w:val="8"/>
        <w:numFmt w:val="decimal"/>
        <w:lvlRestart w:val="0"/>
        <w:lvlText w:val="%1."/>
        <w:lvlJc w:val="left"/>
        <w:pPr>
          <w:tabs>
            <w:tab w:val="num" w:pos="1742"/>
          </w:tabs>
          <w:ind w:left="1267" w:firstLine="0"/>
        </w:pPr>
        <w:rPr>
          <w:w w:val="100"/>
        </w:rPr>
      </w:lvl>
    </w:lvlOverride>
  </w:num>
  <w:num w:numId="21" w16cid:durableId="1731346311">
    <w:abstractNumId w:val="3"/>
    <w:lvlOverride w:ilvl="0">
      <w:lvl w:ilvl="0">
        <w:start w:val="8"/>
        <w:numFmt w:val="decimal"/>
        <w:lvlRestart w:val="0"/>
        <w:lvlText w:val="%1."/>
        <w:lvlJc w:val="left"/>
        <w:pPr>
          <w:tabs>
            <w:tab w:val="num" w:pos="1742"/>
          </w:tabs>
          <w:ind w:left="1267" w:firstLine="0"/>
        </w:pPr>
        <w:rPr>
          <w:w w:val="100"/>
        </w:rPr>
      </w:lvl>
    </w:lvlOverride>
  </w:num>
  <w:num w:numId="22" w16cid:durableId="1939017378">
    <w:abstractNumId w:val="3"/>
    <w:lvlOverride w:ilvl="0">
      <w:lvl w:ilvl="0">
        <w:start w:val="8"/>
        <w:numFmt w:val="decimal"/>
        <w:lvlRestart w:val="0"/>
        <w:lvlText w:val="%1."/>
        <w:lvlJc w:val="left"/>
        <w:pPr>
          <w:tabs>
            <w:tab w:val="num" w:pos="1742"/>
          </w:tabs>
          <w:ind w:left="1267" w:firstLine="0"/>
        </w:pPr>
        <w:rPr>
          <w:w w:val="100"/>
        </w:rPr>
      </w:lvl>
    </w:lvlOverride>
  </w:num>
  <w:num w:numId="23" w16cid:durableId="971397607">
    <w:abstractNumId w:val="3"/>
    <w:lvlOverride w:ilvl="0">
      <w:lvl w:ilvl="0">
        <w:start w:val="8"/>
        <w:numFmt w:val="decimal"/>
        <w:lvlRestart w:val="0"/>
        <w:lvlText w:val="%1."/>
        <w:lvlJc w:val="left"/>
        <w:pPr>
          <w:tabs>
            <w:tab w:val="num" w:pos="1742"/>
          </w:tabs>
          <w:ind w:left="1267" w:firstLine="0"/>
        </w:pPr>
        <w:rPr>
          <w:w w:val="100"/>
        </w:rPr>
      </w:lvl>
    </w:lvlOverride>
  </w:num>
  <w:num w:numId="24" w16cid:durableId="1044333495">
    <w:abstractNumId w:val="3"/>
    <w:lvlOverride w:ilvl="0">
      <w:lvl w:ilvl="0">
        <w:start w:val="8"/>
        <w:numFmt w:val="decimal"/>
        <w:lvlRestart w:val="0"/>
        <w:lvlText w:val="%1."/>
        <w:lvlJc w:val="left"/>
        <w:pPr>
          <w:tabs>
            <w:tab w:val="num" w:pos="1742"/>
          </w:tabs>
          <w:ind w:left="1267" w:firstLine="0"/>
        </w:pPr>
        <w:rPr>
          <w:w w:val="100"/>
        </w:rPr>
      </w:lvl>
    </w:lvlOverride>
  </w:num>
  <w:num w:numId="25" w16cid:durableId="236742516">
    <w:abstractNumId w:val="3"/>
    <w:lvlOverride w:ilvl="0">
      <w:lvl w:ilvl="0">
        <w:start w:val="8"/>
        <w:numFmt w:val="decimal"/>
        <w:lvlRestart w:val="0"/>
        <w:lvlText w:val="%1."/>
        <w:lvlJc w:val="left"/>
        <w:pPr>
          <w:tabs>
            <w:tab w:val="num" w:pos="1742"/>
          </w:tabs>
          <w:ind w:left="1267" w:firstLine="0"/>
        </w:pPr>
        <w:rPr>
          <w:w w:val="100"/>
        </w:rPr>
      </w:lvl>
    </w:lvlOverride>
  </w:num>
  <w:num w:numId="26" w16cid:durableId="953561118">
    <w:abstractNumId w:val="3"/>
    <w:lvlOverride w:ilvl="0">
      <w:lvl w:ilvl="0">
        <w:start w:val="8"/>
        <w:numFmt w:val="decimal"/>
        <w:lvlRestart w:val="0"/>
        <w:lvlText w:val="%1."/>
        <w:lvlJc w:val="left"/>
        <w:pPr>
          <w:tabs>
            <w:tab w:val="num" w:pos="1742"/>
          </w:tabs>
          <w:ind w:left="1267" w:firstLine="0"/>
        </w:pPr>
        <w:rPr>
          <w:w w:val="100"/>
        </w:rPr>
      </w:lvl>
    </w:lvlOverride>
  </w:num>
  <w:num w:numId="27" w16cid:durableId="362363456">
    <w:abstractNumId w:val="3"/>
    <w:lvlOverride w:ilvl="0">
      <w:lvl w:ilvl="0">
        <w:start w:val="8"/>
        <w:numFmt w:val="decimal"/>
        <w:lvlRestart w:val="0"/>
        <w:lvlText w:val="%1."/>
        <w:lvlJc w:val="left"/>
        <w:pPr>
          <w:tabs>
            <w:tab w:val="num" w:pos="1742"/>
          </w:tabs>
          <w:ind w:left="1267" w:firstLine="0"/>
        </w:pPr>
        <w:rPr>
          <w:w w:val="100"/>
        </w:rPr>
      </w:lvl>
    </w:lvlOverride>
  </w:num>
  <w:num w:numId="28" w16cid:durableId="377779258">
    <w:abstractNumId w:val="3"/>
    <w:lvlOverride w:ilvl="0">
      <w:lvl w:ilvl="0">
        <w:start w:val="8"/>
        <w:numFmt w:val="decimal"/>
        <w:lvlRestart w:val="0"/>
        <w:lvlText w:val="%1."/>
        <w:lvlJc w:val="left"/>
        <w:pPr>
          <w:tabs>
            <w:tab w:val="num" w:pos="1742"/>
          </w:tabs>
          <w:ind w:left="1267" w:firstLine="0"/>
        </w:pPr>
        <w:rPr>
          <w:w w:val="100"/>
        </w:rPr>
      </w:lvl>
    </w:lvlOverride>
  </w:num>
  <w:num w:numId="29" w16cid:durableId="1213687632">
    <w:abstractNumId w:val="3"/>
    <w:lvlOverride w:ilvl="0">
      <w:lvl w:ilvl="0">
        <w:start w:val="8"/>
        <w:numFmt w:val="decimal"/>
        <w:lvlRestart w:val="0"/>
        <w:lvlText w:val="%1."/>
        <w:lvlJc w:val="left"/>
        <w:pPr>
          <w:tabs>
            <w:tab w:val="num" w:pos="1742"/>
          </w:tabs>
          <w:ind w:left="1267" w:firstLine="0"/>
        </w:pPr>
        <w:rPr>
          <w:w w:val="100"/>
        </w:rPr>
      </w:lvl>
    </w:lvlOverride>
  </w:num>
  <w:num w:numId="30" w16cid:durableId="2072389079">
    <w:abstractNumId w:val="3"/>
    <w:lvlOverride w:ilvl="0">
      <w:lvl w:ilvl="0">
        <w:start w:val="8"/>
        <w:numFmt w:val="decimal"/>
        <w:lvlRestart w:val="0"/>
        <w:lvlText w:val="%1."/>
        <w:lvlJc w:val="left"/>
        <w:pPr>
          <w:tabs>
            <w:tab w:val="num" w:pos="1742"/>
          </w:tabs>
          <w:ind w:left="1267" w:firstLine="0"/>
        </w:pPr>
        <w:rPr>
          <w:w w:val="100"/>
        </w:rPr>
      </w:lvl>
    </w:lvlOverride>
  </w:num>
  <w:num w:numId="31" w16cid:durableId="750349767">
    <w:abstractNumId w:val="4"/>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embedSystemFont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4754*"/>
    <w:docVar w:name="CreationDt" w:val="29/08/2024 1:42: PM"/>
    <w:docVar w:name="DocCategory" w:val="Doc"/>
    <w:docVar w:name="DocType" w:val="Final"/>
    <w:docVar w:name="DutyStation" w:val="New York"/>
    <w:docVar w:name="FooterJN" w:val="24-14754"/>
    <w:docVar w:name="jobn" w:val="24-14754 (F)"/>
    <w:docVar w:name="jobnDT" w:val="24-14754 (F)   290824"/>
    <w:docVar w:name="jobnDTDT" w:val="24-14754 (F)   290824   290824"/>
    <w:docVar w:name="JobNo" w:val="2414754F"/>
    <w:docVar w:name="JobNo2" w:val="2424215F"/>
    <w:docVar w:name="LocalDrive" w:val="-1"/>
    <w:docVar w:name="OandT" w:val="Ago"/>
    <w:docVar w:name="sss1" w:val="CEDAW/C/PER/FCO/9"/>
    <w:docVar w:name="sss2" w:val="-"/>
    <w:docVar w:name="Symbol1" w:val="CEDAW/C/PER/FCO/9"/>
    <w:docVar w:name="Symbol2" w:val="-"/>
    <w:docVar w:name="Title1" w:val="_x0009__x0009_Renseignements reçus du Pérou au sujet de la suite donnée aux observations finales concernant son neuvième rapport périodique*_x000d_"/>
  </w:docVars>
  <w:rsids>
    <w:rsidRoot w:val="000C44EC"/>
    <w:rsid w:val="00022525"/>
    <w:rsid w:val="00051B74"/>
    <w:rsid w:val="00075C42"/>
    <w:rsid w:val="000C44EC"/>
    <w:rsid w:val="001B45EF"/>
    <w:rsid w:val="001D438E"/>
    <w:rsid w:val="00204E16"/>
    <w:rsid w:val="002219C2"/>
    <w:rsid w:val="00226A00"/>
    <w:rsid w:val="00226D47"/>
    <w:rsid w:val="00351061"/>
    <w:rsid w:val="003638AE"/>
    <w:rsid w:val="00380485"/>
    <w:rsid w:val="003831BF"/>
    <w:rsid w:val="003A02D5"/>
    <w:rsid w:val="003B0B02"/>
    <w:rsid w:val="004D6BE2"/>
    <w:rsid w:val="00522762"/>
    <w:rsid w:val="00571984"/>
    <w:rsid w:val="005A0701"/>
    <w:rsid w:val="005A7498"/>
    <w:rsid w:val="005F2E83"/>
    <w:rsid w:val="0063400C"/>
    <w:rsid w:val="00740BF3"/>
    <w:rsid w:val="00750C4E"/>
    <w:rsid w:val="00774F9F"/>
    <w:rsid w:val="007E3A90"/>
    <w:rsid w:val="007E6A0A"/>
    <w:rsid w:val="007F11B6"/>
    <w:rsid w:val="0083220F"/>
    <w:rsid w:val="0084374D"/>
    <w:rsid w:val="0084575B"/>
    <w:rsid w:val="0091491A"/>
    <w:rsid w:val="00986EF8"/>
    <w:rsid w:val="009B2FDC"/>
    <w:rsid w:val="00A3283E"/>
    <w:rsid w:val="00A4017D"/>
    <w:rsid w:val="00A7508B"/>
    <w:rsid w:val="00AA2CC2"/>
    <w:rsid w:val="00B726A1"/>
    <w:rsid w:val="00B73BA9"/>
    <w:rsid w:val="00B779D6"/>
    <w:rsid w:val="00B8666A"/>
    <w:rsid w:val="00BA3CFA"/>
    <w:rsid w:val="00BF07E5"/>
    <w:rsid w:val="00C03E58"/>
    <w:rsid w:val="00C23F57"/>
    <w:rsid w:val="00CC7ABD"/>
    <w:rsid w:val="00CD3B74"/>
    <w:rsid w:val="00CD5A4C"/>
    <w:rsid w:val="00CE36B6"/>
    <w:rsid w:val="00CF115B"/>
    <w:rsid w:val="00D4634C"/>
    <w:rsid w:val="00E27D3C"/>
    <w:rsid w:val="00E762F6"/>
    <w:rsid w:val="00EA2132"/>
    <w:rsid w:val="00EA4BC8"/>
    <w:rsid w:val="00EF347E"/>
    <w:rsid w:val="00F1695A"/>
    <w:rsid w:val="00FC54A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6555F73"/>
  <w15:chartTrackingRefBased/>
  <w15:docId w15:val="{CA991C2E-4AFB-4A7D-A88C-874962223C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7E6A0A"/>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E6A0A"/>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E6A0A"/>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7E6A0A"/>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7E6A0A"/>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7E6A0A"/>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7E6A0A"/>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E6A0A"/>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7E6A0A"/>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rsid w:val="007E6A0A"/>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link w:val="Header"/>
    <w:uiPriority w:val="99"/>
    <w:rsid w:val="007E6A0A"/>
    <w:rPr>
      <w:rFonts w:ascii="Times New Roman" w:eastAsiaTheme="minorHAnsi" w:hAnsi="Times New Roman" w:cs="Times New Roman"/>
      <w:spacing w:val="3"/>
      <w:w w:val="105"/>
      <w:sz w:val="17"/>
      <w:lang w:eastAsia="en-US"/>
    </w:rPr>
  </w:style>
  <w:style w:type="paragraph" w:styleId="Footer">
    <w:name w:val="footer"/>
    <w:link w:val="FooterChar"/>
    <w:uiPriority w:val="99"/>
    <w:qFormat/>
    <w:rsid w:val="007E6A0A"/>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link w:val="Footer"/>
    <w:uiPriority w:val="99"/>
    <w:rsid w:val="007E6A0A"/>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7E6A0A"/>
    <w:pPr>
      <w:keepNext/>
      <w:keepLines/>
      <w:suppressAutoHyphens/>
      <w:spacing w:line="270" w:lineRule="exact"/>
      <w:outlineLvl w:val="0"/>
    </w:pPr>
    <w:rPr>
      <w:b/>
      <w:sz w:val="24"/>
    </w:rPr>
  </w:style>
  <w:style w:type="paragraph" w:customStyle="1" w:styleId="HCH">
    <w:name w:val="_ H _CH"/>
    <w:basedOn w:val="H1"/>
    <w:next w:val="SingleTxt"/>
    <w:qFormat/>
    <w:rsid w:val="007E6A0A"/>
    <w:pPr>
      <w:spacing w:line="300" w:lineRule="exact"/>
    </w:pPr>
    <w:rPr>
      <w:spacing w:val="-2"/>
      <w:sz w:val="28"/>
    </w:rPr>
  </w:style>
  <w:style w:type="paragraph" w:customStyle="1" w:styleId="HM">
    <w:name w:val="_ H __M"/>
    <w:basedOn w:val="HCH"/>
    <w:next w:val="Normal"/>
    <w:qFormat/>
    <w:rsid w:val="007E6A0A"/>
    <w:pPr>
      <w:spacing w:line="360" w:lineRule="exact"/>
    </w:pPr>
    <w:rPr>
      <w:spacing w:val="-3"/>
      <w:w w:val="99"/>
      <w:sz w:val="34"/>
    </w:rPr>
  </w:style>
  <w:style w:type="paragraph" w:customStyle="1" w:styleId="H23">
    <w:name w:val="_ H_2/3"/>
    <w:basedOn w:val="H1"/>
    <w:next w:val="Normal"/>
    <w:qFormat/>
    <w:rsid w:val="007E6A0A"/>
    <w:pPr>
      <w:spacing w:line="240" w:lineRule="exact"/>
      <w:outlineLvl w:val="1"/>
    </w:pPr>
    <w:rPr>
      <w:spacing w:val="2"/>
      <w:sz w:val="20"/>
    </w:rPr>
  </w:style>
  <w:style w:type="paragraph" w:customStyle="1" w:styleId="H4">
    <w:name w:val="_ H_4"/>
    <w:basedOn w:val="Normal"/>
    <w:next w:val="Normal"/>
    <w:qFormat/>
    <w:rsid w:val="007E6A0A"/>
    <w:pPr>
      <w:keepNext/>
      <w:keepLines/>
      <w:tabs>
        <w:tab w:val="right" w:pos="360"/>
      </w:tabs>
      <w:suppressAutoHyphens/>
      <w:outlineLvl w:val="3"/>
    </w:pPr>
    <w:rPr>
      <w:i/>
      <w:spacing w:val="3"/>
    </w:rPr>
  </w:style>
  <w:style w:type="paragraph" w:customStyle="1" w:styleId="H56">
    <w:name w:val="_ H_5/6"/>
    <w:basedOn w:val="Normal"/>
    <w:next w:val="Normal"/>
    <w:qFormat/>
    <w:rsid w:val="007E6A0A"/>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E6A0A"/>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E6A0A"/>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E6A0A"/>
    <w:pPr>
      <w:spacing w:line="540" w:lineRule="exact"/>
    </w:pPr>
    <w:rPr>
      <w:spacing w:val="-8"/>
      <w:w w:val="96"/>
      <w:sz w:val="57"/>
    </w:rPr>
  </w:style>
  <w:style w:type="paragraph" w:customStyle="1" w:styleId="SS">
    <w:name w:val="__S_S"/>
    <w:basedOn w:val="HCH"/>
    <w:next w:val="Normal"/>
    <w:qFormat/>
    <w:rsid w:val="007E6A0A"/>
    <w:pPr>
      <w:ind w:left="1267" w:right="1267"/>
    </w:pPr>
  </w:style>
  <w:style w:type="paragraph" w:customStyle="1" w:styleId="SingleTxt">
    <w:name w:val="__Single Txt"/>
    <w:basedOn w:val="Normal"/>
    <w:qFormat/>
    <w:rsid w:val="007E6A0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7E6A0A"/>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E6A0A"/>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E6A0A"/>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E6A0A"/>
    <w:pPr>
      <w:numPr>
        <w:numId w:val="1"/>
      </w:numPr>
      <w:spacing w:after="120"/>
      <w:ind w:right="1267"/>
      <w:jc w:val="both"/>
    </w:pPr>
  </w:style>
  <w:style w:type="paragraph" w:customStyle="1" w:styleId="Bullet2">
    <w:name w:val="Bullet 2"/>
    <w:basedOn w:val="Normal"/>
    <w:qFormat/>
    <w:rsid w:val="007E6A0A"/>
    <w:pPr>
      <w:numPr>
        <w:numId w:val="2"/>
      </w:numPr>
      <w:spacing w:after="120"/>
      <w:ind w:right="1264"/>
      <w:jc w:val="both"/>
    </w:pPr>
  </w:style>
  <w:style w:type="paragraph" w:customStyle="1" w:styleId="Bullet3">
    <w:name w:val="Bullet 3"/>
    <w:basedOn w:val="SingleTxt"/>
    <w:qFormat/>
    <w:rsid w:val="007E6A0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7E6A0A"/>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basedOn w:val="DefaultParagraphFont"/>
    <w:uiPriority w:val="99"/>
    <w:semiHidden/>
    <w:rsid w:val="007E6A0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7E6A0A"/>
    <w:pPr>
      <w:spacing w:line="210" w:lineRule="exact"/>
    </w:pPr>
    <w:rPr>
      <w:sz w:val="17"/>
      <w:szCs w:val="20"/>
    </w:rPr>
  </w:style>
  <w:style w:type="character" w:customStyle="1" w:styleId="EndnoteTextChar">
    <w:name w:val="Endnote Text Char"/>
    <w:link w:val="EndnoteText"/>
    <w:uiPriority w:val="99"/>
    <w:semiHidden/>
    <w:rsid w:val="007E6A0A"/>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uiPriority w:val="99"/>
    <w:rsid w:val="007E6A0A"/>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7E6A0A"/>
    <w:pPr>
      <w:spacing w:line="210" w:lineRule="exact"/>
    </w:pPr>
    <w:rPr>
      <w:sz w:val="17"/>
      <w:szCs w:val="20"/>
    </w:rPr>
  </w:style>
  <w:style w:type="character" w:customStyle="1" w:styleId="FootnoteTextChar">
    <w:name w:val="Footnote Text Char"/>
    <w:link w:val="FootnoteText"/>
    <w:uiPriority w:val="99"/>
    <w:rsid w:val="007E6A0A"/>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link w:val="Heading1"/>
    <w:uiPriority w:val="9"/>
    <w:rsid w:val="007E6A0A"/>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7E6A0A"/>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7E6A0A"/>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7E6A0A"/>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7E6A0A"/>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7E6A0A"/>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7E6A0A"/>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7E6A0A"/>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7E6A0A"/>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E6A0A"/>
    <w:rPr>
      <w:sz w:val="14"/>
    </w:rPr>
  </w:style>
  <w:style w:type="paragraph" w:styleId="ListParagraph">
    <w:name w:val="List Paragraph"/>
    <w:basedOn w:val="Normal"/>
    <w:uiPriority w:val="34"/>
    <w:rsid w:val="007E6A0A"/>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7E6A0A"/>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7E6A0A"/>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7E6A0A"/>
    <w:pPr>
      <w:tabs>
        <w:tab w:val="right" w:pos="9965"/>
      </w:tabs>
      <w:spacing w:line="210" w:lineRule="exact"/>
    </w:pPr>
    <w:rPr>
      <w:spacing w:val="5"/>
      <w:w w:val="104"/>
      <w:sz w:val="17"/>
    </w:rPr>
  </w:style>
  <w:style w:type="paragraph" w:customStyle="1" w:styleId="SmallX">
    <w:name w:val="SmallX"/>
    <w:basedOn w:val="Small"/>
    <w:next w:val="Normal"/>
    <w:qFormat/>
    <w:rsid w:val="007E6A0A"/>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7E6A0A"/>
    <w:rPr>
      <w:b/>
      <w:bCs/>
    </w:rPr>
  </w:style>
  <w:style w:type="paragraph" w:customStyle="1" w:styleId="Style1">
    <w:name w:val="Style1"/>
    <w:basedOn w:val="Normal"/>
    <w:qFormat/>
    <w:rsid w:val="007E6A0A"/>
  </w:style>
  <w:style w:type="paragraph" w:customStyle="1" w:styleId="Style2">
    <w:name w:val="Style2"/>
    <w:basedOn w:val="Normal"/>
    <w:autoRedefine/>
    <w:qFormat/>
    <w:rsid w:val="007E6A0A"/>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7E6A0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E6A0A"/>
    <w:pPr>
      <w:tabs>
        <w:tab w:val="right" w:pos="360"/>
      </w:tabs>
      <w:spacing w:line="390" w:lineRule="exact"/>
    </w:pPr>
    <w:rPr>
      <w:spacing w:val="-4"/>
      <w:w w:val="98"/>
      <w:sz w:val="40"/>
    </w:rPr>
  </w:style>
  <w:style w:type="paragraph" w:customStyle="1" w:styleId="BlueHeadingH1">
    <w:name w:val="Blue_Heading_H1"/>
    <w:basedOn w:val="Normal"/>
    <w:next w:val="Normal"/>
    <w:qFormat/>
    <w:rsid w:val="00CD3B74"/>
    <w:pPr>
      <w:keepNext/>
      <w:keepLines/>
      <w:suppressAutoHyphens/>
      <w:spacing w:line="270" w:lineRule="exact"/>
      <w:outlineLvl w:val="0"/>
    </w:pPr>
    <w:rPr>
      <w:b/>
      <w:color w:val="0000FF"/>
      <w:sz w:val="24"/>
    </w:rPr>
  </w:style>
  <w:style w:type="paragraph" w:customStyle="1" w:styleId="BlueHeadingH2">
    <w:name w:val="Blue_Heading_H2"/>
    <w:basedOn w:val="BlueHeadingH1"/>
    <w:next w:val="Normal"/>
    <w:qFormat/>
    <w:rsid w:val="00CD3B74"/>
    <w:pPr>
      <w:spacing w:line="240" w:lineRule="exact"/>
      <w:outlineLvl w:val="1"/>
    </w:pPr>
    <w:rPr>
      <w:spacing w:val="2"/>
      <w:sz w:val="20"/>
    </w:rPr>
  </w:style>
  <w:style w:type="paragraph" w:styleId="Title">
    <w:name w:val="Title"/>
    <w:basedOn w:val="Normal"/>
    <w:next w:val="Normal"/>
    <w:link w:val="TitleChar"/>
    <w:uiPriority w:val="10"/>
    <w:qFormat/>
    <w:rsid w:val="000C44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44EC"/>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0C44EC"/>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44EC"/>
    <w:rPr>
      <w:rFonts w:eastAsiaTheme="majorEastAsia" w:cstheme="majorBidi"/>
      <w:color w:val="595959" w:themeColor="text1" w:themeTint="A6"/>
      <w:spacing w:val="15"/>
      <w:w w:val="103"/>
      <w:kern w:val="14"/>
      <w:sz w:val="28"/>
      <w:szCs w:val="28"/>
      <w:lang w:val="fr-CA" w:eastAsia="en-US"/>
    </w:rPr>
  </w:style>
  <w:style w:type="paragraph" w:styleId="Quote">
    <w:name w:val="Quote"/>
    <w:basedOn w:val="Normal"/>
    <w:next w:val="Normal"/>
    <w:link w:val="QuoteChar"/>
    <w:uiPriority w:val="29"/>
    <w:qFormat/>
    <w:rsid w:val="000C44E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C44EC"/>
    <w:rPr>
      <w:rFonts w:ascii="Times New Roman" w:eastAsiaTheme="minorHAnsi" w:hAnsi="Times New Roman" w:cs="Times New Roman"/>
      <w:i/>
      <w:iCs/>
      <w:color w:val="404040" w:themeColor="text1" w:themeTint="BF"/>
      <w:spacing w:val="4"/>
      <w:w w:val="103"/>
      <w:kern w:val="14"/>
      <w:sz w:val="20"/>
      <w:lang w:val="fr-CA" w:eastAsia="en-US"/>
    </w:rPr>
  </w:style>
  <w:style w:type="character" w:styleId="IntenseEmphasis">
    <w:name w:val="Intense Emphasis"/>
    <w:basedOn w:val="DefaultParagraphFont"/>
    <w:uiPriority w:val="21"/>
    <w:qFormat/>
    <w:rsid w:val="000C44EC"/>
    <w:rPr>
      <w:i/>
      <w:iCs/>
      <w:color w:val="2F5496" w:themeColor="accent1" w:themeShade="BF"/>
    </w:rPr>
  </w:style>
  <w:style w:type="paragraph" w:styleId="IntenseQuote">
    <w:name w:val="Intense Quote"/>
    <w:basedOn w:val="Normal"/>
    <w:next w:val="Normal"/>
    <w:link w:val="IntenseQuoteChar"/>
    <w:uiPriority w:val="30"/>
    <w:qFormat/>
    <w:rsid w:val="000C44E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C44EC"/>
    <w:rPr>
      <w:rFonts w:ascii="Times New Roman" w:eastAsiaTheme="minorHAnsi" w:hAnsi="Times New Roman" w:cs="Times New Roman"/>
      <w:i/>
      <w:iCs/>
      <w:color w:val="2F5496" w:themeColor="accent1" w:themeShade="BF"/>
      <w:spacing w:val="4"/>
      <w:w w:val="103"/>
      <w:kern w:val="14"/>
      <w:sz w:val="20"/>
      <w:lang w:val="fr-CA" w:eastAsia="en-US"/>
    </w:rPr>
  </w:style>
  <w:style w:type="character" w:styleId="IntenseReference">
    <w:name w:val="Intense Reference"/>
    <w:basedOn w:val="DefaultParagraphFont"/>
    <w:uiPriority w:val="32"/>
    <w:qFormat/>
    <w:rsid w:val="000C44EC"/>
    <w:rPr>
      <w:b/>
      <w:bCs/>
      <w:smallCaps/>
      <w:color w:val="2F5496" w:themeColor="accent1" w:themeShade="BF"/>
      <w:spacing w:val="5"/>
    </w:rPr>
  </w:style>
  <w:style w:type="character" w:styleId="CommentReference">
    <w:name w:val="annotation reference"/>
    <w:basedOn w:val="DefaultParagraphFont"/>
    <w:uiPriority w:val="99"/>
    <w:semiHidden/>
    <w:unhideWhenUsed/>
    <w:rsid w:val="00571984"/>
    <w:rPr>
      <w:sz w:val="16"/>
      <w:szCs w:val="16"/>
    </w:rPr>
  </w:style>
  <w:style w:type="paragraph" w:styleId="CommentText">
    <w:name w:val="annotation text"/>
    <w:basedOn w:val="Normal"/>
    <w:link w:val="CommentTextChar"/>
    <w:uiPriority w:val="99"/>
    <w:semiHidden/>
    <w:unhideWhenUsed/>
    <w:rsid w:val="00571984"/>
    <w:pPr>
      <w:spacing w:line="240" w:lineRule="auto"/>
    </w:pPr>
    <w:rPr>
      <w:szCs w:val="20"/>
    </w:rPr>
  </w:style>
  <w:style w:type="character" w:customStyle="1" w:styleId="CommentTextChar">
    <w:name w:val="Comment Text Char"/>
    <w:basedOn w:val="DefaultParagraphFont"/>
    <w:link w:val="CommentText"/>
    <w:uiPriority w:val="99"/>
    <w:semiHidden/>
    <w:rsid w:val="00571984"/>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571984"/>
    <w:rPr>
      <w:b/>
      <w:bCs/>
    </w:rPr>
  </w:style>
  <w:style w:type="character" w:customStyle="1" w:styleId="CommentSubjectChar">
    <w:name w:val="Comment Subject Char"/>
    <w:basedOn w:val="CommentTextChar"/>
    <w:link w:val="CommentSubject"/>
    <w:uiPriority w:val="99"/>
    <w:semiHidden/>
    <w:rsid w:val="00571984"/>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7E3A90"/>
    <w:rPr>
      <w:color w:val="0000FF"/>
      <w:u w:val="none"/>
    </w:rPr>
  </w:style>
  <w:style w:type="character" w:styleId="UnresolvedMention">
    <w:name w:val="Unresolved Mention"/>
    <w:basedOn w:val="DefaultParagraphFont"/>
    <w:uiPriority w:val="99"/>
    <w:semiHidden/>
    <w:unhideWhenUsed/>
    <w:rsid w:val="007E3A90"/>
    <w:rPr>
      <w:color w:val="605E5C"/>
      <w:shd w:val="clear" w:color="auto" w:fill="E1DFDD"/>
    </w:rPr>
  </w:style>
  <w:style w:type="paragraph" w:styleId="Revision">
    <w:name w:val="Revision"/>
    <w:hidden/>
    <w:uiPriority w:val="99"/>
    <w:semiHidden/>
    <w:rsid w:val="00226D47"/>
    <w:pPr>
      <w:spacing w:after="0" w:line="240" w:lineRule="auto"/>
    </w:pPr>
    <w:rPr>
      <w:rFonts w:ascii="Times New Roman" w:eastAsiaTheme="minorHAnsi" w:hAnsi="Times New Roman" w:cs="Times New Roman"/>
      <w:spacing w:val="4"/>
      <w:w w:val="103"/>
      <w:kern w:val="14"/>
      <w:sz w:val="20"/>
      <w:lang w:val="fr-CA" w:eastAsia="en-US"/>
    </w:rPr>
  </w:style>
  <w:style w:type="character" w:styleId="FollowedHyperlink">
    <w:name w:val="FollowedHyperlink"/>
    <w:basedOn w:val="DefaultParagraphFont"/>
    <w:uiPriority w:val="99"/>
    <w:semiHidden/>
    <w:unhideWhenUsed/>
    <w:rsid w:val="003B0B02"/>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repositorio.minedu.gob.pe/handle/20.500.12799/7639" TargetMode="External"/><Relationship Id="rId2" Type="http://schemas.openxmlformats.org/officeDocument/2006/relationships/hyperlink" Target="mailto:haguilera@mimp.gob.pe" TargetMode="External"/><Relationship Id="rId1" Type="http://schemas.openxmlformats.org/officeDocument/2006/relationships/hyperlink" Target="https://www.youtube.com/shorts/OaHAmBnZ-_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Props1.xml><?xml version="1.0" encoding="utf-8"?>
<ds:datastoreItem xmlns:ds="http://schemas.openxmlformats.org/officeDocument/2006/customXml" ds:itemID="{44AEB978-16A5-4198-AAC2-CD758B1797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228DDD9-55C6-4FF8-837A-7A9D7D7D3ACB}">
  <ds:schemaRefs>
    <ds:schemaRef ds:uri="http://schemas.microsoft.com/sharepoint/v3/contenttype/forms"/>
  </ds:schemaRefs>
</ds:datastoreItem>
</file>

<file path=customXml/itemProps3.xml><?xml version="1.0" encoding="utf-8"?>
<ds:datastoreItem xmlns:ds="http://schemas.openxmlformats.org/officeDocument/2006/customXml" ds:itemID="{408B4AFD-2946-4472-A60F-B3C9B791CBD3}">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2908</Words>
  <Characters>16576</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Adoum Goulgue</dc:creator>
  <cp:keywords/>
  <dc:description/>
  <cp:lastModifiedBy>Adoum Goulgue</cp:lastModifiedBy>
  <cp:revision>3</cp:revision>
  <cp:lastPrinted>2024-08-29T20:31:00Z</cp:lastPrinted>
  <dcterms:created xsi:type="dcterms:W3CDTF">2024-08-29T20:31:00Z</dcterms:created>
  <dcterms:modified xsi:type="dcterms:W3CDTF">2024-08-29T20:31:00Z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2414754F</vt:lpwstr>
  </property>
  <property fmtid="{D5CDD505-2E9C-101B-9397-08002B2CF9AE}" pid="3" name="ODSRefJobNo">
    <vt:lpwstr>2424215F</vt:lpwstr>
  </property>
  <property fmtid="{D5CDD505-2E9C-101B-9397-08002B2CF9AE}" pid="4" name="Symbol1">
    <vt:lpwstr>CEDAW/C/PER/FCO/9</vt:lpwstr>
  </property>
  <property fmtid="{D5CDD505-2E9C-101B-9397-08002B2CF9AE}" pid="5" name="Symbol2">
    <vt:lpwstr/>
  </property>
  <property fmtid="{D5CDD505-2E9C-101B-9397-08002B2CF9AE}" pid="6" name="Translator">
    <vt:lpwstr/>
  </property>
  <property fmtid="{D5CDD505-2E9C-101B-9397-08002B2CF9AE}" pid="7" name="Operator">
    <vt:lpwstr>Ago</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Renseignements reçus du Pérou au sujet de la suite donnée aux observations finales concernant son neuvième rapport périodique*_x000d_</vt:lpwstr>
  </property>
</Properties>
</file>