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C2E11">
        <w:trPr>
          <w:trHeight w:hRule="exact" w:val="851"/>
        </w:trPr>
        <w:tc>
          <w:tcPr>
            <w:tcW w:w="1280" w:type="dxa"/>
            <w:tcBorders>
              <w:bottom w:val="single" w:sz="4" w:space="0" w:color="auto"/>
            </w:tcBorders>
          </w:tcPr>
          <w:p w:rsidR="003C2E11" w:rsidRDefault="003C2E11">
            <w:pPr>
              <w:rPr>
                <w:rFonts w:hint="eastAsia"/>
              </w:rPr>
            </w:pPr>
          </w:p>
        </w:tc>
        <w:tc>
          <w:tcPr>
            <w:tcW w:w="2273" w:type="dxa"/>
            <w:tcBorders>
              <w:bottom w:val="single" w:sz="4" w:space="0" w:color="auto"/>
            </w:tcBorders>
            <w:vAlign w:val="bottom"/>
          </w:tcPr>
          <w:p w:rsidR="003C2E11" w:rsidRDefault="003C2E1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3C2E11" w:rsidRDefault="003C2E11">
            <w:pPr>
              <w:spacing w:line="240" w:lineRule="atLeast"/>
              <w:jc w:val="right"/>
              <w:rPr>
                <w:szCs w:val="21"/>
              </w:rPr>
            </w:pPr>
            <w:r>
              <w:rPr>
                <w:sz w:val="40"/>
                <w:szCs w:val="40"/>
              </w:rPr>
              <w:t>CED</w:t>
            </w:r>
            <w:r>
              <w:rPr>
                <w:sz w:val="20"/>
              </w:rPr>
              <w:t>/C/ESP/1</w:t>
            </w:r>
          </w:p>
        </w:tc>
      </w:tr>
      <w:tr w:rsidR="003C2E11">
        <w:trPr>
          <w:trHeight w:hRule="exact" w:val="2835"/>
        </w:trPr>
        <w:tc>
          <w:tcPr>
            <w:tcW w:w="1280" w:type="dxa"/>
            <w:tcBorders>
              <w:top w:val="single" w:sz="4" w:space="0" w:color="auto"/>
              <w:bottom w:val="single" w:sz="12" w:space="0" w:color="auto"/>
            </w:tcBorders>
          </w:tcPr>
          <w:p w:rsidR="003C2E11" w:rsidRDefault="003C2E11">
            <w:pPr>
              <w:spacing w:line="120" w:lineRule="atLeast"/>
              <w:rPr>
                <w:sz w:val="10"/>
                <w:szCs w:val="10"/>
              </w:rPr>
            </w:pPr>
          </w:p>
          <w:p w:rsidR="003C2E11" w:rsidRDefault="003C2E1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3C2E11" w:rsidRDefault="003C2E11">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强迫失踪国际公约</w:t>
            </w:r>
          </w:p>
        </w:tc>
        <w:tc>
          <w:tcPr>
            <w:tcW w:w="2819" w:type="dxa"/>
            <w:tcBorders>
              <w:top w:val="single" w:sz="4" w:space="0" w:color="auto"/>
              <w:bottom w:val="single" w:sz="12" w:space="0" w:color="auto"/>
            </w:tcBorders>
          </w:tcPr>
          <w:p w:rsidR="003C2E11" w:rsidRDefault="003C2E11">
            <w:pPr>
              <w:spacing w:before="240" w:line="240" w:lineRule="atLeast"/>
              <w:rPr>
                <w:sz w:val="20"/>
              </w:rPr>
            </w:pPr>
            <w:r>
              <w:rPr>
                <w:sz w:val="20"/>
              </w:rPr>
              <w:t>Distr.: General</w:t>
            </w:r>
          </w:p>
          <w:p w:rsidR="003C2E11" w:rsidRDefault="003C2E11">
            <w:pPr>
              <w:spacing w:line="240" w:lineRule="atLeast"/>
              <w:rPr>
                <w:rFonts w:hint="eastAsia"/>
                <w:sz w:val="20"/>
              </w:rPr>
            </w:pPr>
            <w:r>
              <w:rPr>
                <w:sz w:val="20"/>
                <w:lang w:val="en-GB"/>
              </w:rPr>
              <w:t>28 January 2013</w:t>
            </w:r>
          </w:p>
          <w:p w:rsidR="003C2E11" w:rsidRDefault="003C2E11">
            <w:pPr>
              <w:spacing w:line="240" w:lineRule="atLeast"/>
              <w:rPr>
                <w:sz w:val="20"/>
              </w:rPr>
            </w:pPr>
            <w:r>
              <w:rPr>
                <w:sz w:val="20"/>
              </w:rPr>
              <w:t>Chinese</w:t>
            </w:r>
          </w:p>
          <w:p w:rsidR="003C2E11" w:rsidRDefault="003C2E11">
            <w:pPr>
              <w:spacing w:line="240" w:lineRule="atLeast"/>
              <w:rPr>
                <w:rFonts w:hint="eastAsia"/>
                <w:sz w:val="20"/>
              </w:rPr>
            </w:pPr>
            <w:r>
              <w:rPr>
                <w:sz w:val="20"/>
              </w:rPr>
              <w:t xml:space="preserve">Original: </w:t>
            </w:r>
            <w:r>
              <w:rPr>
                <w:rFonts w:hint="eastAsia"/>
                <w:sz w:val="20"/>
              </w:rPr>
              <w:t>Spanish</w:t>
            </w:r>
          </w:p>
        </w:tc>
      </w:tr>
    </w:tbl>
    <w:p w:rsidR="003C2E11" w:rsidRDefault="003C2E11">
      <w:pPr>
        <w:spacing w:before="120"/>
        <w:rPr>
          <w:rFonts w:eastAsia="SimHei"/>
          <w:spacing w:val="10"/>
          <w:sz w:val="24"/>
          <w:szCs w:val="24"/>
        </w:rPr>
      </w:pPr>
      <w:r>
        <w:rPr>
          <w:rFonts w:eastAsia="SimHei" w:hint="eastAsia"/>
          <w:spacing w:val="10"/>
          <w:sz w:val="24"/>
          <w:szCs w:val="24"/>
        </w:rPr>
        <w:t>强迫失踪问题委员会</w:t>
      </w:r>
    </w:p>
    <w:p w:rsidR="003C2E11" w:rsidRDefault="003C2E11">
      <w:pPr>
        <w:pStyle w:val="HMGC"/>
      </w:pPr>
      <w:r>
        <w:rPr>
          <w:rFonts w:hint="eastAsia"/>
          <w:lang w:val="fr-CH"/>
        </w:rPr>
        <w:tab/>
      </w:r>
      <w:r>
        <w:rPr>
          <w:rFonts w:hint="eastAsia"/>
          <w:lang w:val="fr-CH"/>
        </w:rPr>
        <w:tab/>
      </w:r>
      <w:r>
        <w:rPr>
          <w:rFonts w:hint="eastAsia"/>
        </w:rPr>
        <w:t>审议缔约国根据《公约》第二十九条提交的报告</w:t>
      </w:r>
    </w:p>
    <w:p w:rsidR="003C2E11" w:rsidRDefault="003C2E11">
      <w:pPr>
        <w:pStyle w:val="HChGC"/>
      </w:pPr>
      <w:r>
        <w:tab/>
      </w:r>
      <w:r>
        <w:tab/>
      </w:r>
      <w:r>
        <w:rPr>
          <w:rFonts w:hint="eastAsia"/>
        </w:rPr>
        <w:t>缔约国根据第二十九条第一款应在</w:t>
      </w:r>
      <w:r>
        <w:rPr>
          <w:rFonts w:hint="eastAsia"/>
        </w:rPr>
        <w:t>2012</w:t>
      </w:r>
      <w:r>
        <w:rPr>
          <w:rFonts w:hint="eastAsia"/>
        </w:rPr>
        <w:t>年提交的报告</w:t>
      </w:r>
    </w:p>
    <w:p w:rsidR="003C2E11" w:rsidRDefault="003C2E11">
      <w:pPr>
        <w:pStyle w:val="HMGC"/>
        <w:rPr>
          <w:rStyle w:val="FootnoteReference"/>
        </w:rPr>
      </w:pPr>
      <w:r>
        <w:rPr>
          <w:lang w:val="fr-CH"/>
        </w:rPr>
        <w:tab/>
      </w:r>
      <w:r>
        <w:rPr>
          <w:lang w:val="fr-CH"/>
        </w:rPr>
        <w:tab/>
      </w:r>
      <w:r>
        <w:rPr>
          <w:rFonts w:hint="eastAsia"/>
        </w:rPr>
        <w:t>西班牙</w:t>
      </w:r>
      <w:r>
        <w:rPr>
          <w:rStyle w:val="FootnoteReference"/>
          <w:position w:val="6"/>
          <w:sz w:val="34"/>
          <w:szCs w:val="34"/>
          <w:vertAlign w:val="baseline"/>
        </w:rPr>
        <w:footnoteReference w:customMarkFollows="1" w:id="1"/>
        <w:t>*</w:t>
      </w:r>
    </w:p>
    <w:p w:rsidR="003C2E11" w:rsidRDefault="003C2E11">
      <w:pPr>
        <w:tabs>
          <w:tab w:val="clear" w:pos="431"/>
        </w:tabs>
        <w:suppressAutoHyphens/>
        <w:overflowPunct/>
        <w:adjustRightInd/>
        <w:snapToGrid/>
        <w:spacing w:line="240" w:lineRule="atLeast"/>
        <w:ind w:right="1134"/>
        <w:jc w:val="right"/>
        <w:rPr>
          <w:rFonts w:hint="eastAsia"/>
          <w:lang w:val="fr-CH"/>
        </w:rPr>
      </w:pPr>
      <w:r>
        <w:rPr>
          <w:rFonts w:hint="eastAsia"/>
          <w:color w:val="000000"/>
          <w:szCs w:val="21"/>
          <w:lang w:val="fr-FR"/>
        </w:rPr>
        <w:t>［</w:t>
      </w:r>
      <w:smartTag w:uri="urn:schemas-microsoft-com:office:smarttags" w:element="chsdate">
        <w:smartTagPr>
          <w:attr w:name="Year" w:val="2012"/>
          <w:attr w:name="Month" w:val="12"/>
          <w:attr w:name="Day" w:val="26"/>
          <w:attr w:name="IsLunarDate" w:val="False"/>
          <w:attr w:name="IsROCDate" w:val="False"/>
        </w:smartTagPr>
        <w:r>
          <w:rPr>
            <w:rFonts w:hint="eastAsia"/>
            <w:snapToGrid/>
            <w:color w:val="000000"/>
            <w:szCs w:val="21"/>
            <w:lang w:val="fr-FR"/>
          </w:rPr>
          <w:t>2012</w:t>
        </w:r>
        <w:r>
          <w:rPr>
            <w:rFonts w:hint="eastAsia"/>
            <w:snapToGrid/>
            <w:color w:val="000000"/>
            <w:szCs w:val="21"/>
            <w:lang w:val="fr-FR"/>
          </w:rPr>
          <w:t>年</w:t>
        </w:r>
        <w:r>
          <w:rPr>
            <w:rFonts w:hint="eastAsia"/>
            <w:snapToGrid/>
            <w:color w:val="000000"/>
            <w:szCs w:val="21"/>
            <w:lang w:val="fr-FR"/>
          </w:rPr>
          <w:t>12</w:t>
        </w:r>
        <w:r>
          <w:rPr>
            <w:rFonts w:hint="eastAsia"/>
            <w:snapToGrid/>
            <w:color w:val="000000"/>
            <w:szCs w:val="21"/>
            <w:lang w:val="fr-FR"/>
          </w:rPr>
          <w:t>月</w:t>
        </w:r>
        <w:r>
          <w:rPr>
            <w:rFonts w:hint="eastAsia"/>
            <w:snapToGrid/>
            <w:color w:val="000000"/>
            <w:szCs w:val="21"/>
            <w:lang w:val="fr-FR"/>
          </w:rPr>
          <w:t>26</w:t>
        </w:r>
        <w:r>
          <w:rPr>
            <w:rFonts w:hint="eastAsia"/>
            <w:color w:val="000000"/>
            <w:szCs w:val="21"/>
            <w:lang w:val="fr-FR"/>
          </w:rPr>
          <w:t>日</w:t>
        </w:r>
      </w:smartTag>
      <w:r>
        <w:rPr>
          <w:rFonts w:hint="eastAsia"/>
          <w:color w:val="000000"/>
          <w:szCs w:val="21"/>
          <w:lang w:val="fr-FR"/>
        </w:rPr>
        <w:t>］</w:t>
      </w: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lang w:val="fr-CH"/>
        </w:rPr>
      </w:pPr>
    </w:p>
    <w:p w:rsidR="003C2E11" w:rsidRDefault="003C2E11">
      <w:pPr>
        <w:pStyle w:val="SingleTxtGC"/>
        <w:rPr>
          <w:rFonts w:hint="eastAsia"/>
          <w:lang w:val="fr-CH"/>
        </w:rPr>
      </w:pPr>
    </w:p>
    <w:p w:rsidR="003C2E11" w:rsidRDefault="003C2E11">
      <w:pPr>
        <w:pStyle w:val="SingleTxtGC"/>
        <w:rPr>
          <w:rFonts w:hint="eastAsia"/>
          <w:lang w:val="fr-CH"/>
        </w:rPr>
      </w:pPr>
    </w:p>
    <w:p w:rsidR="003C2E11" w:rsidRDefault="003C2E11">
      <w:pPr>
        <w:spacing w:after="120"/>
        <w:rPr>
          <w:sz w:val="28"/>
          <w:szCs w:val="28"/>
        </w:rPr>
      </w:pPr>
      <w:r>
        <w:rPr>
          <w:rFonts w:hint="eastAsia"/>
          <w:sz w:val="28"/>
          <w:szCs w:val="28"/>
        </w:rPr>
        <w:t>目录</w:t>
      </w:r>
    </w:p>
    <w:p w:rsidR="003C2E11" w:rsidRDefault="003C2E11">
      <w:pPr>
        <w:tabs>
          <w:tab w:val="right" w:pos="8789"/>
          <w:tab w:val="right" w:pos="9639"/>
        </w:tabs>
        <w:spacing w:after="120"/>
        <w:ind w:left="488"/>
        <w:rPr>
          <w:rFonts w:eastAsia="KaiTi_GB2312"/>
          <w:sz w:val="23"/>
          <w:szCs w:val="23"/>
        </w:rPr>
      </w:pPr>
      <w:r>
        <w:rPr>
          <w:rFonts w:eastAsia="KaiTi_GB2312"/>
          <w:sz w:val="18"/>
          <w:szCs w:val="18"/>
          <w:lang w:val="fr-CH"/>
        </w:rPr>
        <w:tab/>
      </w:r>
      <w:r>
        <w:rPr>
          <w:rFonts w:eastAsia="KaiTi_GB2312" w:hint="eastAsia"/>
          <w:sz w:val="18"/>
          <w:szCs w:val="18"/>
        </w:rPr>
        <w:t>段次</w:t>
      </w:r>
      <w:r>
        <w:rPr>
          <w:rFonts w:eastAsia="KaiTi_GB2312"/>
          <w:sz w:val="23"/>
          <w:szCs w:val="23"/>
        </w:rPr>
        <w:tab/>
      </w:r>
      <w:r>
        <w:rPr>
          <w:rFonts w:eastAsia="KaiTi_GB2312" w:hint="eastAsia"/>
          <w:sz w:val="18"/>
          <w:szCs w:val="18"/>
        </w:rPr>
        <w:t>页次</w:t>
      </w:r>
    </w:p>
    <w:p w:rsidR="003C2E11" w:rsidRDefault="003C2E11">
      <w:pPr>
        <w:pStyle w:val="a1"/>
        <w:spacing w:line="240" w:lineRule="exact"/>
        <w:ind w:right="2488"/>
        <w:rPr>
          <w:rFonts w:hint="eastAsia"/>
        </w:rPr>
      </w:pPr>
      <w:r>
        <w:tab/>
      </w:r>
      <w:r>
        <w:rPr>
          <w:rFonts w:hint="eastAsia"/>
        </w:rPr>
        <w:t>一</w:t>
      </w:r>
      <w:r>
        <w:rPr>
          <w:rFonts w:hint="eastAsia"/>
        </w:rPr>
        <w:t>.</w:t>
      </w:r>
      <w:r>
        <w:tab/>
      </w:r>
      <w:r>
        <w:rPr>
          <w:rFonts w:hint="eastAsia"/>
        </w:rPr>
        <w:t>导言</w:t>
      </w:r>
      <w:r>
        <w:t>...........................................................</w:t>
      </w:r>
      <w:r>
        <w:tab/>
      </w:r>
      <w:r>
        <w:tab/>
      </w:r>
      <w:r>
        <w:rPr>
          <w:rFonts w:hint="eastAsia"/>
        </w:rPr>
        <w:t>1-40</w:t>
      </w:r>
      <w:r>
        <w:rPr>
          <w:rFonts w:hint="eastAsia"/>
        </w:rPr>
        <w:tab/>
        <w:t>4</w:t>
      </w:r>
    </w:p>
    <w:p w:rsidR="003C2E11" w:rsidRDefault="003C2E11">
      <w:pPr>
        <w:pStyle w:val="a1"/>
        <w:spacing w:line="240" w:lineRule="exact"/>
        <w:ind w:right="2488"/>
        <w:rPr>
          <w:rFonts w:hint="eastAsia"/>
        </w:rPr>
      </w:pPr>
      <w:r>
        <w:tab/>
      </w:r>
      <w:r>
        <w:tab/>
      </w:r>
      <w:r>
        <w:rPr>
          <w:rFonts w:hint="eastAsia"/>
        </w:rPr>
        <w:t>A.</w:t>
      </w:r>
      <w:r>
        <w:tab/>
      </w:r>
      <w:r>
        <w:rPr>
          <w:rFonts w:hint="eastAsia"/>
        </w:rPr>
        <w:t>报告编制的初步考虑和程序</w:t>
      </w:r>
      <w:r>
        <w:rPr>
          <w:rFonts w:hint="eastAsia"/>
        </w:rPr>
        <w:tab/>
      </w:r>
      <w:r>
        <w:rPr>
          <w:rFonts w:hint="eastAsia"/>
        </w:rPr>
        <w:tab/>
        <w:t>1-13</w:t>
      </w:r>
      <w:r>
        <w:rPr>
          <w:rFonts w:hint="eastAsia"/>
        </w:rPr>
        <w:tab/>
        <w:t>4</w:t>
      </w:r>
    </w:p>
    <w:p w:rsidR="003C2E11" w:rsidRDefault="003C2E11">
      <w:pPr>
        <w:pStyle w:val="a1"/>
        <w:spacing w:line="240" w:lineRule="exact"/>
        <w:ind w:right="2488"/>
        <w:rPr>
          <w:rFonts w:hint="eastAsia"/>
        </w:rPr>
      </w:pPr>
      <w:r>
        <w:tab/>
      </w:r>
      <w:r>
        <w:rPr>
          <w:rFonts w:hint="eastAsia"/>
        </w:rPr>
        <w:tab/>
        <w:t>B.</w:t>
      </w:r>
      <w:r>
        <w:rPr>
          <w:rFonts w:hint="eastAsia"/>
        </w:rPr>
        <w:tab/>
      </w:r>
      <w:r>
        <w:rPr>
          <w:rFonts w:hint="eastAsia"/>
        </w:rPr>
        <w:t>概述</w:t>
      </w:r>
      <w:r>
        <w:rPr>
          <w:rFonts w:hint="eastAsia"/>
        </w:rPr>
        <w:tab/>
      </w:r>
      <w:r>
        <w:t>........................................</w:t>
      </w:r>
      <w:r>
        <w:tab/>
      </w:r>
      <w:r>
        <w:tab/>
      </w:r>
      <w:r>
        <w:rPr>
          <w:rFonts w:hint="eastAsia"/>
        </w:rPr>
        <w:t>14-40</w:t>
      </w:r>
      <w:r>
        <w:rPr>
          <w:rFonts w:hint="eastAsia"/>
        </w:rPr>
        <w:tab/>
        <w:t>5</w:t>
      </w:r>
    </w:p>
    <w:p w:rsidR="003C2E11" w:rsidRDefault="003C2E11">
      <w:pPr>
        <w:pStyle w:val="a1"/>
        <w:spacing w:line="240" w:lineRule="exact"/>
        <w:ind w:right="2488"/>
        <w:rPr>
          <w:rFonts w:hint="eastAsia"/>
        </w:rPr>
      </w:pPr>
      <w:r>
        <w:tab/>
      </w:r>
      <w:r>
        <w:rPr>
          <w:rFonts w:hint="eastAsia"/>
        </w:rPr>
        <w:t>二</w:t>
      </w:r>
      <w:r>
        <w:rPr>
          <w:rFonts w:hint="eastAsia"/>
        </w:rPr>
        <w:t>.</w:t>
      </w:r>
      <w:r>
        <w:rPr>
          <w:rFonts w:hint="eastAsia"/>
        </w:rPr>
        <w:tab/>
      </w:r>
      <w:r>
        <w:rPr>
          <w:rFonts w:hint="eastAsia"/>
        </w:rPr>
        <w:t>据以禁止强迫失踪的总体法律框架</w:t>
      </w:r>
      <w:r>
        <w:rPr>
          <w:rFonts w:hint="eastAsia"/>
        </w:rPr>
        <w:tab/>
      </w:r>
      <w:r>
        <w:rPr>
          <w:rFonts w:hint="eastAsia"/>
        </w:rPr>
        <w:tab/>
        <w:t>41</w:t>
      </w:r>
      <w:r>
        <w:rPr>
          <w:rFonts w:hint="eastAsia"/>
        </w:rPr>
        <w:tab/>
        <w:t>10</w:t>
      </w:r>
    </w:p>
    <w:p w:rsidR="003C2E11" w:rsidRDefault="003C2E11">
      <w:pPr>
        <w:pStyle w:val="a1"/>
        <w:spacing w:line="240" w:lineRule="exact"/>
        <w:ind w:right="2488"/>
      </w:pPr>
      <w:r>
        <w:rPr>
          <w:rFonts w:hint="eastAsia"/>
        </w:rPr>
        <w:tab/>
      </w:r>
      <w:r>
        <w:rPr>
          <w:rFonts w:hint="eastAsia"/>
        </w:rPr>
        <w:t>三</w:t>
      </w:r>
      <w:r>
        <w:rPr>
          <w:rFonts w:hint="eastAsia"/>
        </w:rPr>
        <w:t>.</w:t>
      </w:r>
      <w:r>
        <w:rPr>
          <w:rFonts w:hint="eastAsia"/>
        </w:rPr>
        <w:tab/>
      </w:r>
      <w:r>
        <w:rPr>
          <w:rFonts w:hint="eastAsia"/>
        </w:rPr>
        <w:t>与《公约》各项实质性条款有关的资料</w:t>
      </w:r>
      <w:r>
        <w:rPr>
          <w:rFonts w:hint="eastAsia"/>
        </w:rPr>
        <w:tab/>
      </w:r>
      <w:r>
        <w:rPr>
          <w:rFonts w:hint="eastAsia"/>
        </w:rPr>
        <w:tab/>
        <w:t>42-267</w:t>
      </w:r>
      <w:r>
        <w:rPr>
          <w:rFonts w:hint="eastAsia"/>
        </w:rPr>
        <w:tab/>
        <w:t>1</w:t>
      </w:r>
      <w:r>
        <w:t>1</w:t>
      </w:r>
    </w:p>
    <w:p w:rsidR="003C2E11" w:rsidRDefault="003C2E11">
      <w:pPr>
        <w:pStyle w:val="a1"/>
        <w:spacing w:line="240" w:lineRule="exact"/>
        <w:ind w:right="2488"/>
      </w:pPr>
      <w:r>
        <w:rPr>
          <w:rFonts w:hint="eastAsia"/>
        </w:rPr>
        <w:tab/>
      </w:r>
      <w:r>
        <w:rPr>
          <w:rFonts w:hint="eastAsia"/>
        </w:rPr>
        <w:tab/>
      </w:r>
      <w:r>
        <w:rPr>
          <w:rFonts w:hint="eastAsia"/>
        </w:rPr>
        <w:t>第一条：目的</w:t>
      </w:r>
      <w:r>
        <w:rPr>
          <w:rFonts w:hint="eastAsia"/>
        </w:rPr>
        <w:tab/>
      </w:r>
      <w:r>
        <w:rPr>
          <w:rFonts w:hint="eastAsia"/>
        </w:rPr>
        <w:tab/>
        <w:t>42-47</w:t>
      </w:r>
      <w:r>
        <w:rPr>
          <w:rFonts w:hint="eastAsia"/>
        </w:rPr>
        <w:tab/>
        <w:t>1</w:t>
      </w:r>
      <w:r>
        <w:t>1</w:t>
      </w:r>
    </w:p>
    <w:p w:rsidR="003C2E11" w:rsidRDefault="003C2E11">
      <w:pPr>
        <w:pStyle w:val="a1"/>
        <w:spacing w:line="240" w:lineRule="exact"/>
        <w:ind w:right="2488"/>
      </w:pPr>
      <w:r>
        <w:rPr>
          <w:rFonts w:hint="eastAsia"/>
        </w:rPr>
        <w:tab/>
      </w:r>
      <w:r>
        <w:rPr>
          <w:rFonts w:hint="eastAsia"/>
        </w:rPr>
        <w:tab/>
      </w:r>
      <w:r>
        <w:rPr>
          <w:rFonts w:hint="eastAsia"/>
        </w:rPr>
        <w:t>第二条和第三条：“强迫失踪”的定义；总体原则</w:t>
      </w:r>
      <w:r>
        <w:rPr>
          <w:rFonts w:hint="eastAsia"/>
        </w:rPr>
        <w:tab/>
      </w:r>
      <w:r>
        <w:rPr>
          <w:rFonts w:hint="eastAsia"/>
        </w:rPr>
        <w:tab/>
        <w:t>48-53</w:t>
      </w:r>
      <w:r>
        <w:rPr>
          <w:rFonts w:hint="eastAsia"/>
        </w:rPr>
        <w:tab/>
        <w:t>1</w:t>
      </w:r>
      <w:r>
        <w:t>2</w:t>
      </w:r>
    </w:p>
    <w:p w:rsidR="003C2E11" w:rsidRDefault="003C2E11">
      <w:pPr>
        <w:pStyle w:val="a1"/>
        <w:spacing w:line="240" w:lineRule="exact"/>
        <w:ind w:right="2488"/>
        <w:rPr>
          <w:rFonts w:hint="eastAsia"/>
        </w:rPr>
      </w:pPr>
      <w:r>
        <w:rPr>
          <w:rFonts w:hint="eastAsia"/>
        </w:rPr>
        <w:tab/>
      </w:r>
      <w:r>
        <w:rPr>
          <w:rFonts w:hint="eastAsia"/>
        </w:rPr>
        <w:tab/>
      </w:r>
      <w:r>
        <w:rPr>
          <w:rFonts w:hint="eastAsia"/>
        </w:rPr>
        <w:t>第四条：缔约国的总体义务</w:t>
      </w:r>
      <w:r>
        <w:rPr>
          <w:rFonts w:hint="eastAsia"/>
        </w:rPr>
        <w:tab/>
      </w:r>
      <w:r>
        <w:rPr>
          <w:rFonts w:hint="eastAsia"/>
        </w:rPr>
        <w:tab/>
        <w:t>54-60</w:t>
      </w:r>
      <w:r>
        <w:rPr>
          <w:rFonts w:hint="eastAsia"/>
        </w:rPr>
        <w:tab/>
        <w:t>12</w:t>
      </w:r>
    </w:p>
    <w:p w:rsidR="003C2E11" w:rsidRDefault="003C2E11">
      <w:pPr>
        <w:pStyle w:val="a1"/>
        <w:spacing w:line="240" w:lineRule="exact"/>
        <w:ind w:right="2488"/>
      </w:pPr>
      <w:r>
        <w:rPr>
          <w:rFonts w:hint="eastAsia"/>
        </w:rPr>
        <w:tab/>
      </w:r>
      <w:r>
        <w:rPr>
          <w:rFonts w:hint="eastAsia"/>
        </w:rPr>
        <w:tab/>
      </w:r>
      <w:r>
        <w:rPr>
          <w:rFonts w:hint="eastAsia"/>
        </w:rPr>
        <w:t>第五条：将“强迫失踪”认定为犯罪</w:t>
      </w:r>
      <w:r>
        <w:rPr>
          <w:rFonts w:hint="eastAsia"/>
        </w:rPr>
        <w:tab/>
      </w:r>
      <w:r>
        <w:rPr>
          <w:rFonts w:hint="eastAsia"/>
        </w:rPr>
        <w:tab/>
        <w:t>61-66</w:t>
      </w:r>
      <w:r>
        <w:rPr>
          <w:rFonts w:hint="eastAsia"/>
        </w:rPr>
        <w:tab/>
        <w:t>1</w:t>
      </w:r>
      <w:r>
        <w:t>5</w:t>
      </w:r>
    </w:p>
    <w:p w:rsidR="003C2E11" w:rsidRDefault="003C2E11">
      <w:pPr>
        <w:pStyle w:val="a1"/>
        <w:spacing w:line="240" w:lineRule="exact"/>
        <w:ind w:right="2488"/>
      </w:pPr>
      <w:r>
        <w:rPr>
          <w:rFonts w:hint="eastAsia"/>
        </w:rPr>
        <w:tab/>
      </w:r>
      <w:r>
        <w:rPr>
          <w:rFonts w:hint="eastAsia"/>
        </w:rPr>
        <w:tab/>
      </w:r>
      <w:r>
        <w:rPr>
          <w:rFonts w:hint="eastAsia"/>
        </w:rPr>
        <w:t>第六条：刑事责任</w:t>
      </w:r>
      <w:r>
        <w:rPr>
          <w:rFonts w:hint="eastAsia"/>
        </w:rPr>
        <w:tab/>
      </w:r>
      <w:r>
        <w:rPr>
          <w:rFonts w:hint="eastAsia"/>
        </w:rPr>
        <w:tab/>
        <w:t>67-86</w:t>
      </w:r>
      <w:r>
        <w:rPr>
          <w:rFonts w:hint="eastAsia"/>
        </w:rPr>
        <w:tab/>
        <w:t>1</w:t>
      </w:r>
      <w:r>
        <w:t>6</w:t>
      </w:r>
    </w:p>
    <w:p w:rsidR="003C2E11" w:rsidRDefault="003C2E11">
      <w:pPr>
        <w:pStyle w:val="a1"/>
        <w:spacing w:line="240" w:lineRule="exact"/>
        <w:ind w:right="2488"/>
        <w:rPr>
          <w:rFonts w:hint="eastAsia"/>
        </w:rPr>
      </w:pPr>
      <w:r>
        <w:rPr>
          <w:rFonts w:hint="eastAsia"/>
        </w:rPr>
        <w:tab/>
      </w:r>
      <w:r>
        <w:rPr>
          <w:rFonts w:hint="eastAsia"/>
        </w:rPr>
        <w:tab/>
      </w:r>
      <w:r>
        <w:rPr>
          <w:rFonts w:hint="eastAsia"/>
        </w:rPr>
        <w:t>第七条：处罚</w:t>
      </w:r>
      <w:r>
        <w:rPr>
          <w:rFonts w:hint="eastAsia"/>
        </w:rPr>
        <w:tab/>
      </w:r>
      <w:r>
        <w:rPr>
          <w:rFonts w:hint="eastAsia"/>
        </w:rPr>
        <w:tab/>
        <w:t>87-94</w:t>
      </w:r>
      <w:r>
        <w:rPr>
          <w:rFonts w:hint="eastAsia"/>
        </w:rPr>
        <w:tab/>
        <w:t>19</w:t>
      </w:r>
    </w:p>
    <w:p w:rsidR="003C2E11" w:rsidRDefault="003C2E11">
      <w:pPr>
        <w:pStyle w:val="a1"/>
        <w:spacing w:line="240" w:lineRule="exact"/>
        <w:ind w:right="2488"/>
      </w:pPr>
      <w:r>
        <w:rPr>
          <w:rFonts w:hint="eastAsia"/>
        </w:rPr>
        <w:tab/>
      </w:r>
      <w:r>
        <w:rPr>
          <w:rFonts w:hint="eastAsia"/>
        </w:rPr>
        <w:tab/>
      </w:r>
      <w:r>
        <w:rPr>
          <w:rFonts w:hint="eastAsia"/>
        </w:rPr>
        <w:t>第八条：诉讼时效</w:t>
      </w:r>
      <w:r>
        <w:rPr>
          <w:rFonts w:hint="eastAsia"/>
        </w:rPr>
        <w:tab/>
      </w:r>
      <w:r>
        <w:rPr>
          <w:rFonts w:hint="eastAsia"/>
        </w:rPr>
        <w:tab/>
        <w:t>95-102</w:t>
      </w:r>
      <w:r>
        <w:rPr>
          <w:rFonts w:hint="eastAsia"/>
        </w:rPr>
        <w:tab/>
        <w:t>2</w:t>
      </w:r>
      <w:r>
        <w:t>1</w:t>
      </w:r>
    </w:p>
    <w:p w:rsidR="003C2E11" w:rsidRDefault="003C2E11">
      <w:pPr>
        <w:pStyle w:val="a1"/>
        <w:spacing w:line="240" w:lineRule="exact"/>
        <w:ind w:right="2488"/>
      </w:pPr>
      <w:r>
        <w:rPr>
          <w:rFonts w:hint="eastAsia"/>
        </w:rPr>
        <w:tab/>
      </w:r>
      <w:r>
        <w:rPr>
          <w:rFonts w:hint="eastAsia"/>
        </w:rPr>
        <w:tab/>
      </w:r>
      <w:r>
        <w:rPr>
          <w:rFonts w:hint="eastAsia"/>
        </w:rPr>
        <w:t>第九条：刑事管辖权</w:t>
      </w:r>
      <w:r>
        <w:rPr>
          <w:rFonts w:hint="eastAsia"/>
        </w:rPr>
        <w:tab/>
      </w:r>
      <w:r>
        <w:rPr>
          <w:rFonts w:hint="eastAsia"/>
        </w:rPr>
        <w:tab/>
        <w:t>103-110</w:t>
      </w:r>
      <w:r>
        <w:rPr>
          <w:rFonts w:hint="eastAsia"/>
        </w:rPr>
        <w:tab/>
        <w:t>2</w:t>
      </w:r>
      <w:r>
        <w:t>2</w:t>
      </w:r>
    </w:p>
    <w:p w:rsidR="003C2E11" w:rsidRDefault="003C2E11">
      <w:pPr>
        <w:pStyle w:val="a1"/>
        <w:spacing w:line="240" w:lineRule="exact"/>
        <w:ind w:right="2488"/>
      </w:pPr>
      <w:r>
        <w:rPr>
          <w:rFonts w:hint="eastAsia"/>
        </w:rPr>
        <w:tab/>
      </w:r>
      <w:r>
        <w:rPr>
          <w:rFonts w:hint="eastAsia"/>
        </w:rPr>
        <w:tab/>
      </w:r>
      <w:r>
        <w:rPr>
          <w:rFonts w:hint="eastAsia"/>
        </w:rPr>
        <w:t>第十条：拘留</w:t>
      </w:r>
      <w:r>
        <w:rPr>
          <w:rFonts w:hint="eastAsia"/>
        </w:rPr>
        <w:tab/>
      </w:r>
      <w:r>
        <w:rPr>
          <w:rFonts w:hint="eastAsia"/>
        </w:rPr>
        <w:tab/>
        <w:t>111-117</w:t>
      </w:r>
      <w:r>
        <w:rPr>
          <w:rFonts w:hint="eastAsia"/>
        </w:rPr>
        <w:tab/>
        <w:t>2</w:t>
      </w:r>
      <w:r>
        <w:t>4</w:t>
      </w:r>
    </w:p>
    <w:p w:rsidR="003C2E11" w:rsidRDefault="003C2E11">
      <w:pPr>
        <w:pStyle w:val="a1"/>
        <w:spacing w:line="240" w:lineRule="exact"/>
        <w:ind w:right="2488"/>
      </w:pPr>
      <w:r>
        <w:rPr>
          <w:rFonts w:hint="eastAsia"/>
        </w:rPr>
        <w:tab/>
      </w:r>
      <w:r>
        <w:rPr>
          <w:rFonts w:hint="eastAsia"/>
        </w:rPr>
        <w:tab/>
      </w:r>
      <w:r>
        <w:rPr>
          <w:rFonts w:hint="eastAsia"/>
        </w:rPr>
        <w:t>第十一条：刑事起诉</w:t>
      </w:r>
      <w:r>
        <w:rPr>
          <w:rFonts w:hint="eastAsia"/>
        </w:rPr>
        <w:tab/>
      </w:r>
      <w:r>
        <w:rPr>
          <w:rFonts w:hint="eastAsia"/>
        </w:rPr>
        <w:tab/>
        <w:t>118-119</w:t>
      </w:r>
      <w:r>
        <w:rPr>
          <w:rFonts w:hint="eastAsia"/>
        </w:rPr>
        <w:tab/>
        <w:t>2</w:t>
      </w:r>
      <w:r>
        <w:t>5</w:t>
      </w:r>
    </w:p>
    <w:p w:rsidR="003C2E11" w:rsidRDefault="003C2E11">
      <w:pPr>
        <w:pStyle w:val="a1"/>
        <w:spacing w:line="240" w:lineRule="exact"/>
        <w:ind w:right="2488"/>
        <w:rPr>
          <w:rFonts w:hint="eastAsia"/>
        </w:rPr>
      </w:pPr>
      <w:r>
        <w:rPr>
          <w:rFonts w:hint="eastAsia"/>
        </w:rPr>
        <w:tab/>
      </w:r>
      <w:r>
        <w:rPr>
          <w:rFonts w:hint="eastAsia"/>
        </w:rPr>
        <w:tab/>
      </w:r>
      <w:r>
        <w:rPr>
          <w:rFonts w:hint="eastAsia"/>
        </w:rPr>
        <w:t>第十二条：报案和调查</w:t>
      </w:r>
      <w:r>
        <w:rPr>
          <w:rFonts w:hint="eastAsia"/>
        </w:rPr>
        <w:tab/>
      </w:r>
      <w:r>
        <w:rPr>
          <w:rFonts w:hint="eastAsia"/>
        </w:rPr>
        <w:tab/>
        <w:t>120-124</w:t>
      </w:r>
      <w:r>
        <w:rPr>
          <w:rFonts w:hint="eastAsia"/>
        </w:rPr>
        <w:tab/>
        <w:t>25</w:t>
      </w:r>
    </w:p>
    <w:p w:rsidR="003C2E11" w:rsidRDefault="003C2E11">
      <w:pPr>
        <w:pStyle w:val="a1"/>
        <w:spacing w:line="240" w:lineRule="exact"/>
        <w:ind w:right="2488"/>
      </w:pPr>
      <w:r>
        <w:rPr>
          <w:rFonts w:hint="eastAsia"/>
        </w:rPr>
        <w:tab/>
      </w:r>
      <w:r>
        <w:rPr>
          <w:rFonts w:hint="eastAsia"/>
        </w:rPr>
        <w:tab/>
      </w:r>
      <w:r>
        <w:rPr>
          <w:rFonts w:hint="eastAsia"/>
        </w:rPr>
        <w:t>第十三条：对强迫失踪罪给予引渡</w:t>
      </w:r>
      <w:r>
        <w:rPr>
          <w:rFonts w:hint="eastAsia"/>
        </w:rPr>
        <w:tab/>
      </w:r>
      <w:r>
        <w:rPr>
          <w:rFonts w:hint="eastAsia"/>
        </w:rPr>
        <w:tab/>
        <w:t>125-130</w:t>
      </w:r>
      <w:r>
        <w:rPr>
          <w:rFonts w:hint="eastAsia"/>
        </w:rPr>
        <w:tab/>
        <w:t>2</w:t>
      </w:r>
      <w:r>
        <w:t>6</w:t>
      </w:r>
    </w:p>
    <w:p w:rsidR="003C2E11" w:rsidRDefault="003C2E11">
      <w:pPr>
        <w:pStyle w:val="a1"/>
        <w:spacing w:line="240" w:lineRule="exact"/>
        <w:ind w:right="2488"/>
      </w:pPr>
      <w:r>
        <w:rPr>
          <w:rFonts w:hint="eastAsia"/>
        </w:rPr>
        <w:tab/>
      </w:r>
      <w:r>
        <w:rPr>
          <w:rFonts w:hint="eastAsia"/>
        </w:rPr>
        <w:tab/>
      </w:r>
      <w:r>
        <w:rPr>
          <w:rFonts w:hint="eastAsia"/>
        </w:rPr>
        <w:t>第十四条：司法协助</w:t>
      </w:r>
      <w:r>
        <w:rPr>
          <w:rFonts w:hint="eastAsia"/>
        </w:rPr>
        <w:tab/>
      </w:r>
      <w:r>
        <w:rPr>
          <w:rFonts w:hint="eastAsia"/>
        </w:rPr>
        <w:tab/>
        <w:t>131-132</w:t>
      </w:r>
      <w:r>
        <w:rPr>
          <w:rFonts w:hint="eastAsia"/>
        </w:rPr>
        <w:tab/>
        <w:t>2</w:t>
      </w:r>
      <w:r>
        <w:t>7</w:t>
      </w:r>
    </w:p>
    <w:p w:rsidR="003C2E11" w:rsidRDefault="003C2E11">
      <w:pPr>
        <w:pStyle w:val="a1"/>
        <w:spacing w:line="240" w:lineRule="exact"/>
        <w:ind w:right="2488"/>
      </w:pPr>
      <w:r>
        <w:rPr>
          <w:rFonts w:hint="eastAsia"/>
        </w:rPr>
        <w:tab/>
      </w:r>
      <w:r>
        <w:rPr>
          <w:rFonts w:hint="eastAsia"/>
        </w:rPr>
        <w:tab/>
      </w:r>
      <w:r>
        <w:rPr>
          <w:rFonts w:hint="eastAsia"/>
        </w:rPr>
        <w:t>第十五条：缔约国之间的司法合作</w:t>
      </w:r>
      <w:r>
        <w:rPr>
          <w:rFonts w:hint="eastAsia"/>
        </w:rPr>
        <w:tab/>
      </w:r>
      <w:r>
        <w:rPr>
          <w:rFonts w:hint="eastAsia"/>
        </w:rPr>
        <w:tab/>
        <w:t>133-134</w:t>
      </w:r>
      <w:r>
        <w:rPr>
          <w:rFonts w:hint="eastAsia"/>
        </w:rPr>
        <w:tab/>
        <w:t>2</w:t>
      </w:r>
      <w:r>
        <w:t>7</w:t>
      </w:r>
    </w:p>
    <w:p w:rsidR="003C2E11" w:rsidRDefault="003C2E11">
      <w:pPr>
        <w:pStyle w:val="a1"/>
        <w:spacing w:line="240" w:lineRule="exact"/>
        <w:ind w:right="2488"/>
        <w:rPr>
          <w:rFonts w:hint="eastAsia"/>
        </w:rPr>
      </w:pPr>
      <w:r>
        <w:rPr>
          <w:rFonts w:hint="eastAsia"/>
        </w:rPr>
        <w:tab/>
      </w:r>
      <w:r>
        <w:rPr>
          <w:rFonts w:hint="eastAsia"/>
        </w:rPr>
        <w:tab/>
      </w:r>
      <w:r>
        <w:rPr>
          <w:rFonts w:hint="eastAsia"/>
        </w:rPr>
        <w:t>第十六条：对人员的驱逐、送返、移交或引渡</w:t>
      </w:r>
      <w:r>
        <w:rPr>
          <w:rFonts w:hint="eastAsia"/>
        </w:rPr>
        <w:tab/>
      </w:r>
      <w:r>
        <w:rPr>
          <w:rFonts w:hint="eastAsia"/>
        </w:rPr>
        <w:tab/>
        <w:t>135-142</w:t>
      </w:r>
      <w:r>
        <w:rPr>
          <w:rFonts w:hint="eastAsia"/>
        </w:rPr>
        <w:tab/>
        <w:t>27</w:t>
      </w:r>
    </w:p>
    <w:p w:rsidR="003C2E11" w:rsidRDefault="003C2E11">
      <w:pPr>
        <w:pStyle w:val="a1"/>
        <w:spacing w:line="240" w:lineRule="exact"/>
        <w:ind w:right="2488"/>
      </w:pPr>
      <w:r>
        <w:rPr>
          <w:rFonts w:hint="eastAsia"/>
        </w:rPr>
        <w:tab/>
      </w:r>
      <w:r>
        <w:rPr>
          <w:rFonts w:hint="eastAsia"/>
        </w:rPr>
        <w:tab/>
      </w:r>
      <w:r>
        <w:rPr>
          <w:rFonts w:hint="eastAsia"/>
        </w:rPr>
        <w:t>第十七条：拘留和剥夺自由</w:t>
      </w:r>
      <w:r>
        <w:rPr>
          <w:rFonts w:hint="eastAsia"/>
        </w:rPr>
        <w:tab/>
      </w:r>
      <w:r>
        <w:rPr>
          <w:rFonts w:hint="eastAsia"/>
        </w:rPr>
        <w:tab/>
        <w:t>143-174</w:t>
      </w:r>
      <w:r>
        <w:rPr>
          <w:rFonts w:hint="eastAsia"/>
        </w:rPr>
        <w:tab/>
        <w:t>2</w:t>
      </w:r>
      <w:r>
        <w:t>9</w:t>
      </w:r>
    </w:p>
    <w:p w:rsidR="003C2E11" w:rsidRDefault="003C2E11">
      <w:pPr>
        <w:pStyle w:val="a1"/>
        <w:spacing w:line="240" w:lineRule="exact"/>
        <w:ind w:right="2488"/>
      </w:pPr>
      <w:r>
        <w:rPr>
          <w:rFonts w:hint="eastAsia"/>
        </w:rPr>
        <w:tab/>
      </w:r>
      <w:r>
        <w:rPr>
          <w:rFonts w:hint="eastAsia"/>
        </w:rPr>
        <w:tab/>
      </w:r>
      <w:r>
        <w:rPr>
          <w:rFonts w:hint="eastAsia"/>
        </w:rPr>
        <w:t>第十八条：保障</w:t>
      </w:r>
      <w:r>
        <w:rPr>
          <w:rFonts w:hint="eastAsia"/>
        </w:rPr>
        <w:tab/>
      </w:r>
      <w:r>
        <w:rPr>
          <w:rFonts w:hint="eastAsia"/>
        </w:rPr>
        <w:tab/>
        <w:t>175-186</w:t>
      </w:r>
      <w:r>
        <w:rPr>
          <w:rFonts w:hint="eastAsia"/>
        </w:rPr>
        <w:tab/>
        <w:t>3</w:t>
      </w:r>
      <w:r>
        <w:t>5</w:t>
      </w:r>
    </w:p>
    <w:p w:rsidR="003C2E11" w:rsidRDefault="003C2E11">
      <w:pPr>
        <w:pStyle w:val="a1"/>
        <w:spacing w:line="240" w:lineRule="exact"/>
        <w:ind w:right="2488"/>
      </w:pPr>
      <w:r>
        <w:rPr>
          <w:rFonts w:hint="eastAsia"/>
        </w:rPr>
        <w:tab/>
      </w:r>
      <w:r>
        <w:rPr>
          <w:rFonts w:hint="eastAsia"/>
        </w:rPr>
        <w:tab/>
      </w:r>
      <w:r>
        <w:rPr>
          <w:rFonts w:hint="eastAsia"/>
        </w:rPr>
        <w:t>第十九条：被剥夺自由人员的个人信息</w:t>
      </w:r>
      <w:r>
        <w:rPr>
          <w:rFonts w:hint="eastAsia"/>
        </w:rPr>
        <w:tab/>
      </w:r>
      <w:r>
        <w:rPr>
          <w:rFonts w:hint="eastAsia"/>
        </w:rPr>
        <w:tab/>
        <w:t>187-196</w:t>
      </w:r>
      <w:r>
        <w:rPr>
          <w:rFonts w:hint="eastAsia"/>
        </w:rPr>
        <w:tab/>
        <w:t>3</w:t>
      </w:r>
      <w:r>
        <w:t>6</w:t>
      </w:r>
    </w:p>
    <w:p w:rsidR="003C2E11" w:rsidRDefault="003C2E11">
      <w:pPr>
        <w:pStyle w:val="a1"/>
        <w:spacing w:line="240" w:lineRule="exact"/>
        <w:ind w:right="2488"/>
      </w:pPr>
      <w:r>
        <w:rPr>
          <w:rFonts w:hint="eastAsia"/>
        </w:rPr>
        <w:tab/>
      </w:r>
      <w:r>
        <w:rPr>
          <w:rFonts w:hint="eastAsia"/>
        </w:rPr>
        <w:tab/>
      </w:r>
      <w:r>
        <w:rPr>
          <w:rFonts w:hint="eastAsia"/>
        </w:rPr>
        <w:t>第二十条：被剥夺自由人员的信息权</w:t>
      </w:r>
      <w:r>
        <w:rPr>
          <w:rFonts w:hint="eastAsia"/>
        </w:rPr>
        <w:tab/>
      </w:r>
      <w:r>
        <w:rPr>
          <w:rFonts w:hint="eastAsia"/>
        </w:rPr>
        <w:tab/>
        <w:t>197-204</w:t>
      </w:r>
      <w:r>
        <w:rPr>
          <w:rFonts w:hint="eastAsia"/>
        </w:rPr>
        <w:tab/>
        <w:t>3</w:t>
      </w:r>
      <w:r>
        <w:t>8</w:t>
      </w:r>
    </w:p>
    <w:p w:rsidR="003C2E11" w:rsidRDefault="003C2E11">
      <w:pPr>
        <w:pStyle w:val="a1"/>
        <w:spacing w:line="240" w:lineRule="exact"/>
        <w:ind w:right="2488"/>
      </w:pPr>
      <w:r>
        <w:rPr>
          <w:rFonts w:hint="eastAsia"/>
        </w:rPr>
        <w:tab/>
      </w:r>
      <w:r>
        <w:rPr>
          <w:rFonts w:hint="eastAsia"/>
        </w:rPr>
        <w:tab/>
      </w:r>
      <w:r>
        <w:rPr>
          <w:rFonts w:hint="eastAsia"/>
        </w:rPr>
        <w:t>第二十一条：释放</w:t>
      </w:r>
      <w:r>
        <w:rPr>
          <w:rFonts w:hint="eastAsia"/>
        </w:rPr>
        <w:tab/>
      </w:r>
      <w:r>
        <w:rPr>
          <w:rFonts w:hint="eastAsia"/>
        </w:rPr>
        <w:tab/>
        <w:t>205-210</w:t>
      </w:r>
      <w:r>
        <w:rPr>
          <w:rFonts w:hint="eastAsia"/>
        </w:rPr>
        <w:tab/>
        <w:t>3</w:t>
      </w:r>
      <w:r>
        <w:t>9</w:t>
      </w:r>
    </w:p>
    <w:p w:rsidR="003C2E11" w:rsidRDefault="003C2E11">
      <w:pPr>
        <w:pStyle w:val="a1"/>
        <w:spacing w:line="240" w:lineRule="exact"/>
        <w:ind w:right="2488"/>
      </w:pPr>
      <w:r>
        <w:rPr>
          <w:rFonts w:hint="eastAsia"/>
        </w:rPr>
        <w:tab/>
      </w:r>
      <w:r>
        <w:rPr>
          <w:rFonts w:hint="eastAsia"/>
        </w:rPr>
        <w:tab/>
      </w:r>
      <w:r>
        <w:rPr>
          <w:rFonts w:hint="eastAsia"/>
        </w:rPr>
        <w:t>第二十二条：对非法剥夺自由的预防和惩处措施</w:t>
      </w:r>
      <w:r>
        <w:rPr>
          <w:rFonts w:hint="eastAsia"/>
        </w:rPr>
        <w:tab/>
      </w:r>
      <w:r>
        <w:rPr>
          <w:rFonts w:hint="eastAsia"/>
        </w:rPr>
        <w:tab/>
        <w:t>211-218</w:t>
      </w:r>
      <w:r>
        <w:rPr>
          <w:rFonts w:hint="eastAsia"/>
        </w:rPr>
        <w:tab/>
      </w:r>
      <w:r>
        <w:t>40</w:t>
      </w:r>
    </w:p>
    <w:p w:rsidR="003C2E11" w:rsidRDefault="003C2E11">
      <w:pPr>
        <w:pStyle w:val="a1"/>
        <w:tabs>
          <w:tab w:val="clear" w:pos="1134"/>
          <w:tab w:val="left" w:pos="1300"/>
        </w:tabs>
        <w:spacing w:line="240" w:lineRule="exact"/>
        <w:ind w:right="2488"/>
      </w:pPr>
      <w:r>
        <w:rPr>
          <w:rFonts w:hint="eastAsia"/>
        </w:rPr>
        <w:tab/>
      </w:r>
      <w:r>
        <w:rPr>
          <w:rFonts w:hint="eastAsia"/>
        </w:rPr>
        <w:tab/>
      </w:r>
      <w:r>
        <w:rPr>
          <w:rFonts w:hint="eastAsia"/>
        </w:rPr>
        <w:t>第二十三条：</w:t>
      </w:r>
      <w:r>
        <w:rPr>
          <w:rFonts w:hint="eastAsia"/>
          <w:spacing w:val="-16"/>
        </w:rPr>
        <w:t>对警务人员、军事人员、医务人员和文职人员的培训</w:t>
      </w:r>
      <w:r>
        <w:rPr>
          <w:rFonts w:hint="eastAsia"/>
        </w:rPr>
        <w:t>............</w:t>
      </w:r>
      <w:r>
        <w:rPr>
          <w:rFonts w:hint="eastAsia"/>
        </w:rPr>
        <w:tab/>
      </w:r>
      <w:r>
        <w:rPr>
          <w:rFonts w:hint="eastAsia"/>
        </w:rPr>
        <w:tab/>
        <w:t>219-238</w:t>
      </w:r>
      <w:r>
        <w:rPr>
          <w:rFonts w:hint="eastAsia"/>
        </w:rPr>
        <w:tab/>
        <w:t>4</w:t>
      </w:r>
      <w:r>
        <w:t>1</w:t>
      </w:r>
    </w:p>
    <w:p w:rsidR="003C2E11" w:rsidRDefault="003C2E11">
      <w:pPr>
        <w:pStyle w:val="a1"/>
        <w:spacing w:line="240" w:lineRule="exact"/>
        <w:ind w:right="2488"/>
      </w:pPr>
      <w:r>
        <w:rPr>
          <w:rFonts w:hint="eastAsia"/>
        </w:rPr>
        <w:tab/>
      </w:r>
      <w:r>
        <w:rPr>
          <w:rFonts w:hint="eastAsia"/>
        </w:rPr>
        <w:tab/>
      </w:r>
      <w:r>
        <w:rPr>
          <w:rFonts w:hint="eastAsia"/>
        </w:rPr>
        <w:t>第二十四条：受害者的权利和保障</w:t>
      </w:r>
      <w:r>
        <w:rPr>
          <w:rFonts w:hint="eastAsia"/>
        </w:rPr>
        <w:tab/>
      </w:r>
      <w:r>
        <w:rPr>
          <w:rFonts w:hint="eastAsia"/>
        </w:rPr>
        <w:tab/>
        <w:t>239-252</w:t>
      </w:r>
      <w:r>
        <w:rPr>
          <w:rFonts w:hint="eastAsia"/>
        </w:rPr>
        <w:tab/>
        <w:t>4</w:t>
      </w:r>
      <w:r>
        <w:t>4</w:t>
      </w:r>
    </w:p>
    <w:p w:rsidR="003C2E11" w:rsidRDefault="003C2E11">
      <w:pPr>
        <w:pStyle w:val="a1"/>
        <w:spacing w:line="240" w:lineRule="exact"/>
        <w:ind w:right="2488"/>
      </w:pPr>
      <w:r>
        <w:rPr>
          <w:rFonts w:hint="eastAsia"/>
        </w:rPr>
        <w:tab/>
      </w:r>
      <w:r>
        <w:rPr>
          <w:rFonts w:hint="eastAsia"/>
        </w:rPr>
        <w:tab/>
      </w:r>
      <w:r>
        <w:rPr>
          <w:rFonts w:hint="eastAsia"/>
        </w:rPr>
        <w:t>第二十五条：刑事预防和惩处措施</w:t>
      </w:r>
      <w:r>
        <w:rPr>
          <w:rFonts w:hint="eastAsia"/>
        </w:rPr>
        <w:tab/>
      </w:r>
      <w:r>
        <w:rPr>
          <w:rFonts w:hint="eastAsia"/>
        </w:rPr>
        <w:tab/>
        <w:t>253-267</w:t>
      </w:r>
      <w:r>
        <w:rPr>
          <w:rFonts w:hint="eastAsia"/>
        </w:rPr>
        <w:tab/>
        <w:t>4</w:t>
      </w:r>
      <w:r>
        <w:t>6</w:t>
      </w:r>
    </w:p>
    <w:p w:rsidR="003C2E11" w:rsidRDefault="003C2E11">
      <w:pPr>
        <w:spacing w:line="240" w:lineRule="exact"/>
        <w:rPr>
          <w:rFonts w:hint="eastAsia"/>
        </w:rPr>
      </w:pPr>
      <w:r>
        <w:tab/>
      </w:r>
      <w:r>
        <w:rPr>
          <w:rFonts w:hint="eastAsia"/>
        </w:rPr>
        <w:t>附件</w:t>
      </w:r>
    </w:p>
    <w:p w:rsidR="003C2E11" w:rsidRDefault="003C2E11">
      <w:pPr>
        <w:pStyle w:val="a2"/>
        <w:spacing w:line="240" w:lineRule="exact"/>
        <w:rPr>
          <w:rFonts w:hint="eastAsia"/>
        </w:rPr>
      </w:pPr>
      <w:r>
        <w:tab/>
      </w:r>
      <w:r>
        <w:rPr>
          <w:rFonts w:hint="eastAsia"/>
        </w:rPr>
        <w:t>一</w:t>
      </w:r>
      <w:r>
        <w:rPr>
          <w:rFonts w:hint="eastAsia"/>
        </w:rPr>
        <w:t>.</w:t>
      </w:r>
      <w:r>
        <w:rPr>
          <w:rFonts w:hint="eastAsia"/>
        </w:rPr>
        <w:tab/>
      </w:r>
      <w:r>
        <w:rPr>
          <w:rFonts w:hint="eastAsia"/>
        </w:rPr>
        <w:t>国家安全部的第</w:t>
      </w:r>
      <w:r>
        <w:rPr>
          <w:rFonts w:hint="eastAsia"/>
        </w:rPr>
        <w:t>12/2007</w:t>
      </w:r>
      <w:r>
        <w:rPr>
          <w:rFonts w:hint="eastAsia"/>
        </w:rPr>
        <w:t>号指令</w:t>
      </w:r>
    </w:p>
    <w:p w:rsidR="003C2E11" w:rsidRDefault="003C2E11">
      <w:pPr>
        <w:pStyle w:val="a2"/>
        <w:spacing w:line="240" w:lineRule="exact"/>
        <w:rPr>
          <w:rFonts w:hint="eastAsia"/>
        </w:rPr>
      </w:pPr>
      <w:r>
        <w:tab/>
      </w:r>
      <w:r>
        <w:rPr>
          <w:rFonts w:hint="eastAsia"/>
        </w:rPr>
        <w:t>二</w:t>
      </w:r>
      <w:r>
        <w:rPr>
          <w:rFonts w:hint="eastAsia"/>
        </w:rPr>
        <w:t>.</w:t>
      </w:r>
      <w:r>
        <w:rPr>
          <w:rFonts w:hint="eastAsia"/>
        </w:rPr>
        <w:tab/>
      </w:r>
      <w:r>
        <w:rPr>
          <w:rFonts w:hint="eastAsia"/>
        </w:rPr>
        <w:t>国家安全部的第</w:t>
      </w:r>
      <w:r>
        <w:rPr>
          <w:rFonts w:hint="eastAsia"/>
        </w:rPr>
        <w:t>12/2009</w:t>
      </w:r>
      <w:r>
        <w:rPr>
          <w:rFonts w:hint="eastAsia"/>
        </w:rPr>
        <w:t>号指令</w:t>
      </w:r>
    </w:p>
    <w:p w:rsidR="003C2E11" w:rsidRDefault="003C2E11">
      <w:pPr>
        <w:pStyle w:val="H1GC"/>
        <w:rPr>
          <w:rFonts w:hint="eastAsia"/>
        </w:rPr>
      </w:pPr>
      <w:r>
        <w:br w:type="page"/>
      </w:r>
      <w:r>
        <w:rPr>
          <w:rFonts w:hint="eastAsia"/>
        </w:rPr>
        <w:tab/>
      </w:r>
      <w:r>
        <w:rPr>
          <w:rFonts w:hint="eastAsia"/>
        </w:rPr>
        <w:tab/>
      </w:r>
      <w:r>
        <w:rPr>
          <w:rFonts w:hint="eastAsia"/>
        </w:rPr>
        <w:t>缩略语</w:t>
      </w:r>
    </w:p>
    <w:p w:rsidR="003C2E11" w:rsidRDefault="003C2E11">
      <w:pPr>
        <w:pStyle w:val="SingleTxtGC"/>
        <w:tabs>
          <w:tab w:val="clear" w:pos="431"/>
          <w:tab w:val="clear" w:pos="1134"/>
          <w:tab w:val="clear" w:pos="1565"/>
          <w:tab w:val="clear" w:pos="1996"/>
          <w:tab w:val="clear" w:pos="2427"/>
          <w:tab w:val="left" w:pos="2860"/>
        </w:tabs>
        <w:ind w:left="2860" w:hanging="1726"/>
      </w:pPr>
      <w:r>
        <w:t>CE</w:t>
      </w:r>
      <w:r>
        <w:tab/>
      </w:r>
      <w:smartTag w:uri="urn:schemas-microsoft-com:office:smarttags" w:element="chsdate">
        <w:smartTagPr>
          <w:attr w:name="Year" w:val="1978"/>
          <w:attr w:name="Month" w:val="12"/>
          <w:attr w:name="Day" w:val="27"/>
          <w:attr w:name="IsLunarDate" w:val="False"/>
          <w:attr w:name="IsROCDate" w:val="False"/>
        </w:smartTagPr>
        <w:r>
          <w:rPr>
            <w:rFonts w:hint="eastAsia"/>
          </w:rPr>
          <w:t>1978</w:t>
        </w:r>
        <w:r>
          <w:rPr>
            <w:rFonts w:hint="eastAsia"/>
          </w:rPr>
          <w:t>年</w:t>
        </w:r>
        <w:r>
          <w:rPr>
            <w:rFonts w:hint="eastAsia"/>
          </w:rPr>
          <w:t>12</w:t>
        </w:r>
        <w:r>
          <w:rPr>
            <w:rFonts w:hint="eastAsia"/>
          </w:rPr>
          <w:t>月</w:t>
        </w:r>
        <w:r>
          <w:rPr>
            <w:rFonts w:hint="eastAsia"/>
          </w:rPr>
          <w:t>27</w:t>
        </w:r>
        <w:r>
          <w:rPr>
            <w:rFonts w:hint="eastAsia"/>
          </w:rPr>
          <w:t>日</w:t>
        </w:r>
      </w:smartTag>
      <w:r>
        <w:rPr>
          <w:rFonts w:hint="eastAsia"/>
        </w:rPr>
        <w:t>版《西班牙宪法》</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CP</w:t>
      </w:r>
      <w:r>
        <w:rPr>
          <w:lang w:val="en-GB"/>
        </w:rPr>
        <w:tab/>
      </w:r>
      <w:smartTag w:uri="urn:schemas-microsoft-com:office:smarttags" w:element="chsdate">
        <w:smartTagPr>
          <w:attr w:name="Year" w:val="1995"/>
          <w:attr w:name="Month" w:val="11"/>
          <w:attr w:name="Day" w:val="23"/>
          <w:attr w:name="IsLunarDate" w:val="False"/>
          <w:attr w:name="IsROCDate" w:val="False"/>
        </w:smartTagPr>
        <w:r>
          <w:rPr>
            <w:rFonts w:hint="eastAsia"/>
            <w:lang w:val="en-GB"/>
          </w:rPr>
          <w:t>1995</w:t>
        </w:r>
        <w:r>
          <w:rPr>
            <w:rFonts w:hint="eastAsia"/>
            <w:lang w:val="en-GB"/>
          </w:rPr>
          <w:t>年</w:t>
        </w:r>
        <w:r>
          <w:rPr>
            <w:rFonts w:hint="eastAsia"/>
            <w:lang w:val="en-GB"/>
          </w:rPr>
          <w:t>11</w:t>
        </w:r>
        <w:r>
          <w:rPr>
            <w:rFonts w:hint="eastAsia"/>
            <w:lang w:val="en-GB"/>
          </w:rPr>
          <w:t>月</w:t>
        </w:r>
        <w:r>
          <w:rPr>
            <w:rFonts w:hint="eastAsia"/>
            <w:lang w:val="en-GB"/>
          </w:rPr>
          <w:t>23</w:t>
        </w:r>
        <w:r>
          <w:rPr>
            <w:rFonts w:hint="eastAsia"/>
            <w:lang w:val="en-GB"/>
          </w:rPr>
          <w:t>日</w:t>
        </w:r>
      </w:smartTag>
      <w:r>
        <w:rPr>
          <w:rFonts w:hint="eastAsia"/>
          <w:lang w:val="en-GB"/>
        </w:rPr>
        <w:t>的第</w:t>
      </w:r>
      <w:r>
        <w:rPr>
          <w:rFonts w:hint="eastAsia"/>
          <w:lang w:val="en-GB"/>
        </w:rPr>
        <w:t>10/1995</w:t>
      </w:r>
      <w:r>
        <w:rPr>
          <w:rFonts w:hint="eastAsia"/>
          <w:lang w:val="en-GB"/>
        </w:rPr>
        <w:t>号组织法；《刑法典》</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EOMF</w:t>
      </w:r>
      <w:r>
        <w:rPr>
          <w:lang w:val="en-GB"/>
        </w:rPr>
        <w:tab/>
      </w:r>
      <w:smartTag w:uri="urn:schemas-microsoft-com:office:smarttags" w:element="chsdate">
        <w:smartTagPr>
          <w:attr w:name="Year" w:val="1981"/>
          <w:attr w:name="Month" w:val="12"/>
          <w:attr w:name="Day" w:val="30"/>
          <w:attr w:name="IsLunarDate" w:val="False"/>
          <w:attr w:name="IsROCDate" w:val="False"/>
        </w:smartTagPr>
        <w:r>
          <w:rPr>
            <w:rFonts w:hint="eastAsia"/>
            <w:lang w:val="en-GB"/>
          </w:rPr>
          <w:t>1981</w:t>
        </w:r>
        <w:r>
          <w:rPr>
            <w:rFonts w:hint="eastAsia"/>
            <w:lang w:val="en-GB"/>
          </w:rPr>
          <w:t>年</w:t>
        </w:r>
        <w:r>
          <w:rPr>
            <w:rFonts w:hint="eastAsia"/>
            <w:lang w:val="en-GB"/>
          </w:rPr>
          <w:t>12</w:t>
        </w:r>
        <w:r>
          <w:rPr>
            <w:rFonts w:hint="eastAsia"/>
            <w:lang w:val="en-GB"/>
          </w:rPr>
          <w:t>月</w:t>
        </w:r>
        <w:r>
          <w:rPr>
            <w:rFonts w:hint="eastAsia"/>
            <w:lang w:val="en-GB"/>
          </w:rPr>
          <w:t>30</w:t>
        </w:r>
        <w:r>
          <w:rPr>
            <w:rFonts w:hint="eastAsia"/>
            <w:lang w:val="en-GB"/>
          </w:rPr>
          <w:t>日</w:t>
        </w:r>
      </w:smartTag>
      <w:r>
        <w:rPr>
          <w:rFonts w:hint="eastAsia"/>
          <w:lang w:val="en-GB"/>
        </w:rPr>
        <w:t>的第</w:t>
      </w:r>
      <w:r>
        <w:rPr>
          <w:rFonts w:hint="eastAsia"/>
          <w:lang w:val="en-GB"/>
        </w:rPr>
        <w:t>50/1981</w:t>
      </w:r>
      <w:r>
        <w:rPr>
          <w:rFonts w:hint="eastAsia"/>
          <w:lang w:val="en-GB"/>
        </w:rPr>
        <w:t>号法律；《检察机关组织章程法》</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LECrim</w:t>
      </w:r>
      <w:r>
        <w:rPr>
          <w:lang w:val="en-GB"/>
        </w:rPr>
        <w:tab/>
      </w:r>
      <w:r>
        <w:rPr>
          <w:rFonts w:hint="eastAsia"/>
          <w:lang w:val="en-GB"/>
        </w:rPr>
        <w:t>经</w:t>
      </w:r>
      <w:smartTag w:uri="urn:schemas-microsoft-com:office:smarttags" w:element="chsdate">
        <w:smartTagPr>
          <w:attr w:name="Year" w:val="1882"/>
          <w:attr w:name="Month" w:val="9"/>
          <w:attr w:name="Day" w:val="14"/>
          <w:attr w:name="IsLunarDate" w:val="False"/>
          <w:attr w:name="IsROCDate" w:val="False"/>
        </w:smartTagPr>
        <w:r>
          <w:rPr>
            <w:rFonts w:hint="eastAsia"/>
            <w:lang w:val="en-GB"/>
          </w:rPr>
          <w:t>1882</w:t>
        </w:r>
        <w:r>
          <w:rPr>
            <w:rFonts w:hint="eastAsia"/>
            <w:lang w:val="en-GB"/>
          </w:rPr>
          <w:t>年</w:t>
        </w:r>
        <w:r>
          <w:rPr>
            <w:rFonts w:hint="eastAsia"/>
            <w:lang w:val="en-GB"/>
          </w:rPr>
          <w:t>9</w:t>
        </w:r>
        <w:r>
          <w:rPr>
            <w:rFonts w:hint="eastAsia"/>
            <w:lang w:val="en-GB"/>
          </w:rPr>
          <w:t>月</w:t>
        </w:r>
        <w:r>
          <w:rPr>
            <w:rFonts w:hint="eastAsia"/>
            <w:lang w:val="en-GB"/>
          </w:rPr>
          <w:t>14</w:t>
        </w:r>
        <w:r>
          <w:rPr>
            <w:rFonts w:hint="eastAsia"/>
            <w:lang w:val="en-GB"/>
          </w:rPr>
          <w:t>日</w:t>
        </w:r>
      </w:smartTag>
      <w:r>
        <w:rPr>
          <w:rFonts w:hint="eastAsia"/>
          <w:lang w:val="en-GB"/>
        </w:rPr>
        <w:t>的皇家法令核准的《刑事审判法》</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LExtr</w:t>
      </w:r>
      <w:r>
        <w:rPr>
          <w:lang w:val="en-GB"/>
        </w:rPr>
        <w:tab/>
      </w:r>
      <w:smartTag w:uri="urn:schemas-microsoft-com:office:smarttags" w:element="chsdate">
        <w:smartTagPr>
          <w:attr w:name="Year" w:val="1985"/>
          <w:attr w:name="Month" w:val="3"/>
          <w:attr w:name="Day" w:val="21"/>
          <w:attr w:name="IsLunarDate" w:val="False"/>
          <w:attr w:name="IsROCDate" w:val="False"/>
        </w:smartTagPr>
        <w:r>
          <w:rPr>
            <w:rFonts w:hint="eastAsia"/>
            <w:lang w:val="en-GB"/>
          </w:rPr>
          <w:t>1985</w:t>
        </w:r>
        <w:r>
          <w:rPr>
            <w:rFonts w:hint="eastAsia"/>
            <w:lang w:val="en-GB"/>
          </w:rPr>
          <w:t>年</w:t>
        </w:r>
        <w:r>
          <w:rPr>
            <w:rFonts w:hint="eastAsia"/>
            <w:lang w:val="en-GB"/>
          </w:rPr>
          <w:t>3</w:t>
        </w:r>
        <w:r>
          <w:rPr>
            <w:rFonts w:hint="eastAsia"/>
            <w:lang w:val="en-GB"/>
          </w:rPr>
          <w:t>月</w:t>
        </w:r>
        <w:r>
          <w:rPr>
            <w:rFonts w:hint="eastAsia"/>
            <w:lang w:val="en-GB"/>
          </w:rPr>
          <w:t>21</w:t>
        </w:r>
        <w:r>
          <w:rPr>
            <w:rFonts w:hint="eastAsia"/>
            <w:lang w:val="en-GB"/>
          </w:rPr>
          <w:t>日</w:t>
        </w:r>
      </w:smartTag>
      <w:r>
        <w:rPr>
          <w:rFonts w:hint="eastAsia"/>
          <w:lang w:val="en-GB"/>
        </w:rPr>
        <w:t>的第</w:t>
      </w:r>
      <w:r>
        <w:rPr>
          <w:lang w:val="en-GB"/>
        </w:rPr>
        <w:t>4/1985</w:t>
      </w:r>
      <w:r>
        <w:rPr>
          <w:rFonts w:hint="eastAsia"/>
          <w:lang w:val="en-GB"/>
        </w:rPr>
        <w:t>号法律；《被动引渡法》</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LJCA</w:t>
      </w:r>
      <w:r>
        <w:rPr>
          <w:lang w:val="en-GB"/>
        </w:rPr>
        <w:tab/>
      </w:r>
      <w:smartTag w:uri="urn:schemas-microsoft-com:office:smarttags" w:element="chsdate">
        <w:smartTagPr>
          <w:attr w:name="Year" w:val="1998"/>
          <w:attr w:name="Month" w:val="7"/>
          <w:attr w:name="Day" w:val="13"/>
          <w:attr w:name="IsLunarDate" w:val="False"/>
          <w:attr w:name="IsROCDate" w:val="False"/>
        </w:smartTagPr>
        <w:r>
          <w:rPr>
            <w:rFonts w:hint="eastAsia"/>
            <w:lang w:val="en-GB"/>
          </w:rPr>
          <w:t>1998</w:t>
        </w:r>
        <w:r>
          <w:rPr>
            <w:rFonts w:hint="eastAsia"/>
            <w:lang w:val="en-GB"/>
          </w:rPr>
          <w:t>年</w:t>
        </w:r>
        <w:r>
          <w:rPr>
            <w:rFonts w:hint="eastAsia"/>
            <w:lang w:val="en-GB"/>
          </w:rPr>
          <w:t>7</w:t>
        </w:r>
        <w:r>
          <w:rPr>
            <w:rFonts w:hint="eastAsia"/>
            <w:lang w:val="en-GB"/>
          </w:rPr>
          <w:t>月</w:t>
        </w:r>
        <w:r>
          <w:rPr>
            <w:rFonts w:hint="eastAsia"/>
            <w:lang w:val="en-GB"/>
          </w:rPr>
          <w:t>13</w:t>
        </w:r>
        <w:r>
          <w:rPr>
            <w:rFonts w:hint="eastAsia"/>
            <w:lang w:val="en-GB"/>
          </w:rPr>
          <w:t>日</w:t>
        </w:r>
      </w:smartTag>
      <w:r>
        <w:rPr>
          <w:rFonts w:hint="eastAsia"/>
          <w:lang w:val="en-GB"/>
        </w:rPr>
        <w:t>的第</w:t>
      </w:r>
      <w:r>
        <w:rPr>
          <w:rFonts w:hint="eastAsia"/>
          <w:lang w:val="en-GB"/>
        </w:rPr>
        <w:t>29/1998</w:t>
      </w:r>
      <w:r>
        <w:rPr>
          <w:rFonts w:hint="eastAsia"/>
          <w:lang w:val="en-GB"/>
        </w:rPr>
        <w:t>号法律；《行政诉讼法》</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LOHC</w:t>
      </w:r>
      <w:r>
        <w:rPr>
          <w:lang w:val="en-GB"/>
        </w:rPr>
        <w:tab/>
      </w:r>
      <w:smartTag w:uri="urn:schemas-microsoft-com:office:smarttags" w:element="chsdate">
        <w:smartTagPr>
          <w:attr w:name="Year" w:val="1984"/>
          <w:attr w:name="Month" w:val="5"/>
          <w:attr w:name="Day" w:val="24"/>
          <w:attr w:name="IsLunarDate" w:val="False"/>
          <w:attr w:name="IsROCDate" w:val="False"/>
        </w:smartTagPr>
        <w:r>
          <w:rPr>
            <w:rFonts w:hint="eastAsia"/>
            <w:lang w:val="en-GB"/>
          </w:rPr>
          <w:t>1984</w:t>
        </w:r>
        <w:r>
          <w:rPr>
            <w:rFonts w:hint="eastAsia"/>
            <w:lang w:val="en-GB"/>
          </w:rPr>
          <w:t>年</w:t>
        </w:r>
        <w:r>
          <w:rPr>
            <w:rFonts w:hint="eastAsia"/>
            <w:lang w:val="en-GB"/>
          </w:rPr>
          <w:t>5</w:t>
        </w:r>
        <w:r>
          <w:rPr>
            <w:rFonts w:hint="eastAsia"/>
            <w:lang w:val="en-GB"/>
          </w:rPr>
          <w:t>月</w:t>
        </w:r>
        <w:r>
          <w:rPr>
            <w:rFonts w:hint="eastAsia"/>
            <w:lang w:val="en-GB"/>
          </w:rPr>
          <w:t>24</w:t>
        </w:r>
        <w:r>
          <w:rPr>
            <w:rFonts w:hint="eastAsia"/>
            <w:lang w:val="en-GB"/>
          </w:rPr>
          <w:t>日</w:t>
        </w:r>
      </w:smartTag>
      <w:r>
        <w:rPr>
          <w:rFonts w:hint="eastAsia"/>
          <w:lang w:val="en-GB"/>
        </w:rPr>
        <w:t>的第</w:t>
      </w:r>
      <w:r>
        <w:rPr>
          <w:rFonts w:hint="eastAsia"/>
          <w:lang w:val="en-GB"/>
        </w:rPr>
        <w:t>6/1984</w:t>
      </w:r>
      <w:r>
        <w:rPr>
          <w:rFonts w:hint="eastAsia"/>
          <w:lang w:val="en-GB"/>
        </w:rPr>
        <w:t>号组织法；《人身保护法》</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LOPD</w:t>
      </w:r>
      <w:r>
        <w:rPr>
          <w:lang w:val="en-GB"/>
        </w:rPr>
        <w:tab/>
      </w:r>
      <w:smartTag w:uri="urn:schemas-microsoft-com:office:smarttags" w:element="chsdate">
        <w:smartTagPr>
          <w:attr w:name="Year" w:val="1999"/>
          <w:attr w:name="Month" w:val="12"/>
          <w:attr w:name="Day" w:val="13"/>
          <w:attr w:name="IsLunarDate" w:val="False"/>
          <w:attr w:name="IsROCDate" w:val="False"/>
        </w:smartTagPr>
        <w:r>
          <w:rPr>
            <w:rFonts w:hint="eastAsia"/>
            <w:lang w:val="en-GB"/>
          </w:rPr>
          <w:t>1999</w:t>
        </w:r>
        <w:r>
          <w:rPr>
            <w:rFonts w:hint="eastAsia"/>
            <w:lang w:val="en-GB"/>
          </w:rPr>
          <w:t>年</w:t>
        </w:r>
        <w:r>
          <w:rPr>
            <w:rFonts w:hint="eastAsia"/>
            <w:lang w:val="en-GB"/>
          </w:rPr>
          <w:t>12</w:t>
        </w:r>
        <w:r>
          <w:rPr>
            <w:rFonts w:hint="eastAsia"/>
            <w:lang w:val="en-GB"/>
          </w:rPr>
          <w:t>月</w:t>
        </w:r>
        <w:r>
          <w:rPr>
            <w:rFonts w:hint="eastAsia"/>
            <w:lang w:val="en-GB"/>
          </w:rPr>
          <w:t>13</w:t>
        </w:r>
        <w:r>
          <w:rPr>
            <w:rFonts w:hint="eastAsia"/>
            <w:lang w:val="en-GB"/>
          </w:rPr>
          <w:t>日</w:t>
        </w:r>
      </w:smartTag>
      <w:r>
        <w:rPr>
          <w:rFonts w:hint="eastAsia"/>
          <w:lang w:val="en-GB"/>
        </w:rPr>
        <w:t>的第</w:t>
      </w:r>
      <w:r>
        <w:rPr>
          <w:rFonts w:hint="eastAsia"/>
          <w:lang w:val="en-GB"/>
        </w:rPr>
        <w:t>15/1999</w:t>
      </w:r>
      <w:r>
        <w:rPr>
          <w:rFonts w:hint="eastAsia"/>
          <w:lang w:val="en-GB"/>
        </w:rPr>
        <w:t>号组织法；《个人资料保护法》</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LOPJ</w:t>
      </w:r>
      <w:r>
        <w:rPr>
          <w:lang w:val="en-GB"/>
        </w:rPr>
        <w:tab/>
      </w:r>
      <w:smartTag w:uri="urn:schemas-microsoft-com:office:smarttags" w:element="chsdate">
        <w:smartTagPr>
          <w:attr w:name="Year" w:val="1995"/>
          <w:attr w:name="Month" w:val="7"/>
          <w:attr w:name="Day" w:val="1"/>
          <w:attr w:name="IsLunarDate" w:val="False"/>
          <w:attr w:name="IsROCDate" w:val="False"/>
        </w:smartTagPr>
        <w:r>
          <w:rPr>
            <w:rFonts w:hint="eastAsia"/>
            <w:lang w:val="en-GB"/>
          </w:rPr>
          <w:t>1995</w:t>
        </w:r>
        <w:r>
          <w:rPr>
            <w:rFonts w:hint="eastAsia"/>
            <w:lang w:val="en-GB"/>
          </w:rPr>
          <w:t>年</w:t>
        </w:r>
        <w:r>
          <w:rPr>
            <w:rFonts w:hint="eastAsia"/>
            <w:lang w:val="en-GB"/>
          </w:rPr>
          <w:t>7</w:t>
        </w:r>
        <w:r>
          <w:rPr>
            <w:rFonts w:hint="eastAsia"/>
            <w:lang w:val="en-GB"/>
          </w:rPr>
          <w:t>月</w:t>
        </w:r>
        <w:r>
          <w:rPr>
            <w:rFonts w:hint="eastAsia"/>
            <w:lang w:val="en-GB"/>
          </w:rPr>
          <w:t>1</w:t>
        </w:r>
        <w:r>
          <w:rPr>
            <w:rFonts w:hint="eastAsia"/>
            <w:lang w:val="en-GB"/>
          </w:rPr>
          <w:t>日</w:t>
        </w:r>
      </w:smartTag>
      <w:r>
        <w:rPr>
          <w:rFonts w:hint="eastAsia"/>
          <w:lang w:val="en-GB"/>
        </w:rPr>
        <w:t>的第</w:t>
      </w:r>
      <w:r>
        <w:rPr>
          <w:rFonts w:hint="eastAsia"/>
          <w:lang w:val="en-GB"/>
        </w:rPr>
        <w:t>6/1995</w:t>
      </w:r>
      <w:r>
        <w:rPr>
          <w:rFonts w:hint="eastAsia"/>
          <w:lang w:val="en-GB"/>
        </w:rPr>
        <w:t>号组织法；《司法机关法》</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LRJAP y PAC</w:t>
      </w:r>
      <w:r>
        <w:rPr>
          <w:lang w:val="en-GB"/>
        </w:rPr>
        <w:tab/>
      </w:r>
      <w:smartTag w:uri="urn:schemas-microsoft-com:office:smarttags" w:element="chsdate">
        <w:smartTagPr>
          <w:attr w:name="Year" w:val="1992"/>
          <w:attr w:name="Month" w:val="11"/>
          <w:attr w:name="Day" w:val="26"/>
          <w:attr w:name="IsLunarDate" w:val="False"/>
          <w:attr w:name="IsROCDate" w:val="False"/>
        </w:smartTagPr>
        <w:r>
          <w:rPr>
            <w:rFonts w:hint="eastAsia"/>
            <w:lang w:val="en-GB"/>
          </w:rPr>
          <w:t>1992</w:t>
        </w:r>
        <w:r>
          <w:rPr>
            <w:rFonts w:hint="eastAsia"/>
            <w:lang w:val="en-GB"/>
          </w:rPr>
          <w:t>年</w:t>
        </w:r>
        <w:r>
          <w:rPr>
            <w:rFonts w:hint="eastAsia"/>
            <w:lang w:val="en-GB"/>
          </w:rPr>
          <w:t>11</w:t>
        </w:r>
        <w:r>
          <w:rPr>
            <w:rFonts w:hint="eastAsia"/>
            <w:lang w:val="en-GB"/>
          </w:rPr>
          <w:t>月</w:t>
        </w:r>
        <w:r>
          <w:rPr>
            <w:rFonts w:hint="eastAsia"/>
            <w:lang w:val="en-GB"/>
          </w:rPr>
          <w:t>26</w:t>
        </w:r>
        <w:r>
          <w:rPr>
            <w:rFonts w:hint="eastAsia"/>
            <w:lang w:val="en-GB"/>
          </w:rPr>
          <w:t>日</w:t>
        </w:r>
      </w:smartTag>
      <w:r>
        <w:rPr>
          <w:rFonts w:hint="eastAsia"/>
          <w:lang w:val="en-GB"/>
        </w:rPr>
        <w:t>的第</w:t>
      </w:r>
      <w:r>
        <w:rPr>
          <w:rFonts w:hint="eastAsia"/>
          <w:lang w:val="en-GB"/>
        </w:rPr>
        <w:t>30/1992</w:t>
      </w:r>
      <w:r>
        <w:rPr>
          <w:rFonts w:hint="eastAsia"/>
          <w:lang w:val="en-GB"/>
        </w:rPr>
        <w:t>号法律；《公共管理法律制度和公共行政诉讼法》</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STC</w:t>
      </w:r>
      <w:r>
        <w:rPr>
          <w:lang w:val="en-GB"/>
        </w:rPr>
        <w:tab/>
      </w:r>
      <w:r>
        <w:rPr>
          <w:rFonts w:hint="eastAsia"/>
          <w:lang w:val="en-GB"/>
        </w:rPr>
        <w:t>宪法法院的判决</w:t>
      </w:r>
    </w:p>
    <w:p w:rsidR="003C2E11" w:rsidRDefault="003C2E11">
      <w:pPr>
        <w:pStyle w:val="SingleTxtGC"/>
        <w:tabs>
          <w:tab w:val="clear" w:pos="431"/>
          <w:tab w:val="clear" w:pos="1134"/>
          <w:tab w:val="clear" w:pos="1565"/>
          <w:tab w:val="clear" w:pos="1996"/>
          <w:tab w:val="clear" w:pos="2427"/>
          <w:tab w:val="left" w:pos="2860"/>
        </w:tabs>
        <w:ind w:left="2860" w:hanging="1726"/>
        <w:rPr>
          <w:lang w:val="en-GB"/>
        </w:rPr>
      </w:pPr>
      <w:r>
        <w:rPr>
          <w:lang w:val="en-GB"/>
        </w:rPr>
        <w:t>STS</w:t>
      </w:r>
      <w:r>
        <w:rPr>
          <w:lang w:val="en-GB"/>
        </w:rPr>
        <w:tab/>
      </w:r>
      <w:r>
        <w:rPr>
          <w:rFonts w:hint="eastAsia"/>
          <w:lang w:val="en-GB"/>
        </w:rPr>
        <w:t>最高法院的判决</w:t>
      </w:r>
    </w:p>
    <w:p w:rsidR="003C2E11" w:rsidRDefault="003C2E11">
      <w:pPr>
        <w:pStyle w:val="HChGC"/>
      </w:pPr>
      <w:r>
        <w:br w:type="page"/>
      </w:r>
      <w:r>
        <w:tab/>
      </w:r>
      <w:bookmarkStart w:id="0" w:name="_Toc351380588"/>
      <w:r>
        <w:rPr>
          <w:rFonts w:hint="eastAsia"/>
        </w:rPr>
        <w:t>一</w:t>
      </w:r>
      <w:r>
        <w:rPr>
          <w:rFonts w:hint="eastAsia"/>
        </w:rPr>
        <w:t>.</w:t>
      </w:r>
      <w:r>
        <w:tab/>
      </w:r>
      <w:r>
        <w:rPr>
          <w:rFonts w:hint="eastAsia"/>
        </w:rPr>
        <w:t>导言</w:t>
      </w:r>
      <w:bookmarkEnd w:id="0"/>
    </w:p>
    <w:p w:rsidR="003C2E11" w:rsidRDefault="003C2E11">
      <w:pPr>
        <w:pStyle w:val="H1GC"/>
      </w:pPr>
      <w:r>
        <w:tab/>
      </w:r>
      <w:bookmarkStart w:id="1" w:name="_Toc351380589"/>
      <w:r>
        <w:t>A</w:t>
      </w:r>
      <w:r>
        <w:rPr>
          <w:rFonts w:hint="eastAsia"/>
        </w:rPr>
        <w:t>.</w:t>
      </w:r>
      <w:r>
        <w:tab/>
      </w:r>
      <w:r>
        <w:rPr>
          <w:rFonts w:hint="eastAsia"/>
        </w:rPr>
        <w:t>报告编制的初步考虑和程序</w:t>
      </w:r>
      <w:bookmarkEnd w:id="1"/>
    </w:p>
    <w:p w:rsidR="003C2E11" w:rsidRDefault="003C2E11">
      <w:pPr>
        <w:pStyle w:val="SingleTxtGC"/>
      </w:pPr>
      <w:r>
        <w:t xml:space="preserve">1.  </w:t>
      </w:r>
      <w:r>
        <w:rPr>
          <w:rFonts w:hint="eastAsia"/>
        </w:rPr>
        <w:t>西班牙王国第一次根据《保护所有人免遭强迫失踪国际公约》第二十九条提交本报告，该公约于</w:t>
      </w:r>
      <w:smartTag w:uri="urn:schemas-microsoft-com:office:smarttags" w:element="chsdate">
        <w:smartTagPr>
          <w:attr w:name="Year" w:val="2010"/>
          <w:attr w:name="Month" w:val="12"/>
          <w:attr w:name="Day" w:val="23"/>
          <w:attr w:name="IsLunarDate" w:val="False"/>
          <w:attr w:name="IsROCDate" w:val="False"/>
        </w:smartTagPr>
        <w:r>
          <w:rPr>
            <w:rFonts w:hint="eastAsia"/>
          </w:rPr>
          <w:t>2010</w:t>
        </w:r>
        <w:r>
          <w:rPr>
            <w:rFonts w:hint="eastAsia"/>
          </w:rPr>
          <w:t>年</w:t>
        </w:r>
        <w:r>
          <w:rPr>
            <w:rFonts w:hint="eastAsia"/>
          </w:rPr>
          <w:t>12</w:t>
        </w:r>
        <w:r>
          <w:rPr>
            <w:rFonts w:hint="eastAsia"/>
          </w:rPr>
          <w:t>月</w:t>
        </w:r>
        <w:r>
          <w:rPr>
            <w:rFonts w:hint="eastAsia"/>
          </w:rPr>
          <w:t>23</w:t>
        </w:r>
        <w:r>
          <w:rPr>
            <w:rFonts w:hint="eastAsia"/>
          </w:rPr>
          <w:t>日</w:t>
        </w:r>
      </w:smartTag>
      <w:r>
        <w:rPr>
          <w:rFonts w:hint="eastAsia"/>
        </w:rPr>
        <w:t>在西班牙生效。</w:t>
      </w:r>
    </w:p>
    <w:p w:rsidR="003C2E11" w:rsidRDefault="003C2E11">
      <w:pPr>
        <w:pStyle w:val="SingleTxtGC"/>
      </w:pPr>
      <w:r>
        <w:t xml:space="preserve">2.  </w:t>
      </w:r>
      <w:r>
        <w:rPr>
          <w:rFonts w:hint="eastAsia"/>
        </w:rPr>
        <w:t>本份初次报告的编制目的就是审议自《公约》在西班牙生效之后，在西班牙境内或其管辖范围内对《公约》所载的各项权利的落实情况。</w:t>
      </w:r>
    </w:p>
    <w:p w:rsidR="003C2E11" w:rsidRDefault="003C2E11">
      <w:pPr>
        <w:pStyle w:val="SingleTxtGC"/>
      </w:pPr>
      <w:r>
        <w:t xml:space="preserve">3.  </w:t>
      </w:r>
      <w:r>
        <w:rPr>
          <w:rFonts w:hint="eastAsia"/>
        </w:rPr>
        <w:t>需要提请注意的是，《公约》在西班牙获得批准并生效使得某些组织</w:t>
      </w:r>
      <w:r>
        <w:rPr>
          <w:rFonts w:hint="eastAsia"/>
          <w:spacing w:val="-60"/>
        </w:rPr>
        <w:t>―</w:t>
      </w:r>
      <w:r>
        <w:rPr>
          <w:rFonts w:hint="eastAsia"/>
          <w:spacing w:val="10"/>
        </w:rPr>
        <w:t>―</w:t>
      </w:r>
      <w:r>
        <w:rPr>
          <w:rFonts w:hint="eastAsia"/>
        </w:rPr>
        <w:t>非政府组织和协会，不管有无咨商地位</w:t>
      </w:r>
      <w:r>
        <w:rPr>
          <w:rFonts w:hint="eastAsia"/>
          <w:spacing w:val="-60"/>
        </w:rPr>
        <w:t>―</w:t>
      </w:r>
      <w:r>
        <w:rPr>
          <w:rFonts w:hint="eastAsia"/>
          <w:spacing w:val="10"/>
        </w:rPr>
        <w:t>―</w:t>
      </w:r>
      <w:r>
        <w:rPr>
          <w:rFonts w:hint="eastAsia"/>
        </w:rPr>
        <w:t>提议将这一文书适用于在内战和弗朗哥独裁期间在西班牙发生的强迫失踪事件，并呼吁有必要废除或不再采用</w:t>
      </w:r>
      <w:smartTag w:uri="urn:schemas-microsoft-com:office:smarttags" w:element="chsdate">
        <w:smartTagPr>
          <w:attr w:name="Year" w:val="1977"/>
          <w:attr w:name="Month" w:val="10"/>
          <w:attr w:name="Day" w:val="15"/>
          <w:attr w:name="IsLunarDate" w:val="False"/>
          <w:attr w:name="IsROCDate" w:val="False"/>
        </w:smartTagPr>
        <w:r>
          <w:rPr>
            <w:rFonts w:hint="eastAsia"/>
          </w:rPr>
          <w:t>1977</w:t>
        </w:r>
        <w:r>
          <w:rPr>
            <w:rFonts w:hint="eastAsia"/>
          </w:rPr>
          <w:t>年</w:t>
        </w:r>
        <w:r>
          <w:rPr>
            <w:rFonts w:hint="eastAsia"/>
          </w:rPr>
          <w:t>10</w:t>
        </w:r>
        <w:r>
          <w:rPr>
            <w:rFonts w:hint="eastAsia"/>
          </w:rPr>
          <w:t>月</w:t>
        </w:r>
        <w:r>
          <w:rPr>
            <w:rFonts w:hint="eastAsia"/>
          </w:rPr>
          <w:t>15</w:t>
        </w:r>
        <w:r>
          <w:rPr>
            <w:rFonts w:hint="eastAsia"/>
          </w:rPr>
          <w:t>日</w:t>
        </w:r>
      </w:smartTag>
      <w:r>
        <w:rPr>
          <w:rFonts w:hint="eastAsia"/>
        </w:rPr>
        <w:t>的第</w:t>
      </w:r>
      <w:r>
        <w:rPr>
          <w:rFonts w:hint="eastAsia"/>
        </w:rPr>
        <w:t>46/1977</w:t>
      </w:r>
      <w:r>
        <w:rPr>
          <w:rFonts w:hint="eastAsia"/>
        </w:rPr>
        <w:t>号关于大赦的法律。</w:t>
      </w:r>
    </w:p>
    <w:p w:rsidR="003C2E11" w:rsidRDefault="003C2E11">
      <w:pPr>
        <w:pStyle w:val="SingleTxtGC"/>
      </w:pPr>
      <w:r>
        <w:t xml:space="preserve">4.  </w:t>
      </w:r>
      <w:r>
        <w:rPr>
          <w:rFonts w:hint="eastAsia"/>
        </w:rPr>
        <w:t>对此，应当注意的是《公约》第三十五条第一款规定：“委员会的管辖权仅限于本公约生效后发生的强迫失踪案件”。</w:t>
      </w:r>
    </w:p>
    <w:p w:rsidR="003C2E11" w:rsidRDefault="003C2E11">
      <w:pPr>
        <w:pStyle w:val="SingleTxtGC"/>
      </w:pPr>
      <w:r>
        <w:t xml:space="preserve">5.  </w:t>
      </w:r>
      <w:r>
        <w:rPr>
          <w:rFonts w:hint="eastAsia"/>
        </w:rPr>
        <w:t>如前所述，这一公约在西班牙的生效日期为</w:t>
      </w:r>
      <w:smartTag w:uri="urn:schemas-microsoft-com:office:smarttags" w:element="chsdate">
        <w:smartTagPr>
          <w:attr w:name="Year" w:val="2010"/>
          <w:attr w:name="Month" w:val="12"/>
          <w:attr w:name="Day" w:val="23"/>
          <w:attr w:name="IsLunarDate" w:val="False"/>
          <w:attr w:name="IsROCDate" w:val="False"/>
        </w:smartTagPr>
        <w:r>
          <w:rPr>
            <w:rFonts w:hint="eastAsia"/>
          </w:rPr>
          <w:t>2010</w:t>
        </w:r>
        <w:r>
          <w:rPr>
            <w:rFonts w:hint="eastAsia"/>
          </w:rPr>
          <w:t>年</w:t>
        </w:r>
        <w:r>
          <w:rPr>
            <w:rFonts w:hint="eastAsia"/>
          </w:rPr>
          <w:t>12</w:t>
        </w:r>
        <w:r>
          <w:rPr>
            <w:rFonts w:hint="eastAsia"/>
          </w:rPr>
          <w:t>月</w:t>
        </w:r>
        <w:r>
          <w:rPr>
            <w:rFonts w:hint="eastAsia"/>
          </w:rPr>
          <w:t>23</w:t>
        </w:r>
        <w:r>
          <w:rPr>
            <w:rFonts w:hint="eastAsia"/>
          </w:rPr>
          <w:t>日</w:t>
        </w:r>
      </w:smartTag>
      <w:r>
        <w:rPr>
          <w:rFonts w:hint="eastAsia"/>
        </w:rPr>
        <w:t>，因此委员会无权审议在此日期之前发生的强迫失踪事件。</w:t>
      </w:r>
    </w:p>
    <w:p w:rsidR="003C2E11" w:rsidRDefault="003C2E11">
      <w:pPr>
        <w:pStyle w:val="SingleTxtGC"/>
      </w:pPr>
      <w:r>
        <w:t xml:space="preserve">6.  </w:t>
      </w:r>
      <w:r>
        <w:rPr>
          <w:rFonts w:hint="eastAsia"/>
        </w:rPr>
        <w:t>根据这一情况，在本次报告中就每一条文的落实情况所报告的事项，仅限于发生在</w:t>
      </w:r>
      <w:smartTag w:uri="urn:schemas-microsoft-com:office:smarttags" w:element="chsdate">
        <w:smartTagPr>
          <w:attr w:name="Year" w:val="2010"/>
          <w:attr w:name="Month" w:val="12"/>
          <w:attr w:name="Day" w:val="23"/>
          <w:attr w:name="IsLunarDate" w:val="False"/>
          <w:attr w:name="IsROCDate" w:val="False"/>
        </w:smartTagPr>
        <w:r>
          <w:rPr>
            <w:rFonts w:hint="eastAsia"/>
          </w:rPr>
          <w:t>2010</w:t>
        </w:r>
        <w:r>
          <w:rPr>
            <w:rFonts w:hint="eastAsia"/>
          </w:rPr>
          <w:t>年</w:t>
        </w:r>
        <w:r>
          <w:rPr>
            <w:rFonts w:hint="eastAsia"/>
          </w:rPr>
          <w:t>12</w:t>
        </w:r>
        <w:r>
          <w:rPr>
            <w:rFonts w:hint="eastAsia"/>
          </w:rPr>
          <w:t>月</w:t>
        </w:r>
        <w:r>
          <w:rPr>
            <w:rFonts w:hint="eastAsia"/>
          </w:rPr>
          <w:t>23</w:t>
        </w:r>
        <w:r>
          <w:rPr>
            <w:rFonts w:hint="eastAsia"/>
          </w:rPr>
          <w:t>日</w:t>
        </w:r>
      </w:smartTag>
      <w:r>
        <w:rPr>
          <w:rFonts w:hint="eastAsia"/>
        </w:rPr>
        <w:t>之后的“强迫失踪”事件。</w:t>
      </w:r>
    </w:p>
    <w:p w:rsidR="003C2E11" w:rsidRDefault="003C2E11">
      <w:pPr>
        <w:pStyle w:val="SingleTxtGC"/>
      </w:pPr>
      <w:r>
        <w:t xml:space="preserve">7.  </w:t>
      </w:r>
      <w:r>
        <w:rPr>
          <w:rFonts w:hint="eastAsia"/>
        </w:rPr>
        <w:t>在报告的编制中已经采用了报告编制的协调准则以及向委员会提交报告的具体准则</w:t>
      </w:r>
      <w:r>
        <w:rPr>
          <w:rFonts w:hint="eastAsia"/>
        </w:rPr>
        <w:t>(</w:t>
      </w:r>
      <w:r>
        <w:t>CED/C/2</w:t>
      </w:r>
      <w:r>
        <w:rPr>
          <w:rFonts w:hint="eastAsia"/>
        </w:rPr>
        <w:t>)</w:t>
      </w:r>
      <w:r>
        <w:rPr>
          <w:rFonts w:hint="eastAsia"/>
        </w:rPr>
        <w:t>。</w:t>
      </w:r>
    </w:p>
    <w:p w:rsidR="003C2E11" w:rsidRDefault="003C2E11">
      <w:pPr>
        <w:pStyle w:val="SingleTxtGC"/>
      </w:pPr>
      <w:r>
        <w:t xml:space="preserve">8.  </w:t>
      </w:r>
      <w:r>
        <w:rPr>
          <w:rFonts w:hint="eastAsia"/>
        </w:rPr>
        <w:t>依照这些准则的规定，在接下来报告的第</w:t>
      </w:r>
      <w:r>
        <w:rPr>
          <w:rFonts w:hint="eastAsia"/>
        </w:rPr>
        <w:t>9</w:t>
      </w:r>
      <w:r>
        <w:rPr>
          <w:rFonts w:hint="eastAsia"/>
        </w:rPr>
        <w:t>段中介绍了报告编制的协商进程。在报告编制工作中严格遵循在西班牙核心文件第</w:t>
      </w:r>
      <w:r>
        <w:rPr>
          <w:rFonts w:hint="eastAsia"/>
        </w:rPr>
        <w:t>132</w:t>
      </w:r>
      <w:r>
        <w:rPr>
          <w:rFonts w:hint="eastAsia"/>
        </w:rPr>
        <w:t>段至</w:t>
      </w:r>
      <w:r>
        <w:rPr>
          <w:rFonts w:hint="eastAsia"/>
        </w:rPr>
        <w:t>134</w:t>
      </w:r>
      <w:r>
        <w:rPr>
          <w:rFonts w:hint="eastAsia"/>
        </w:rPr>
        <w:t>段中指出的报告编制程序</w:t>
      </w:r>
      <w:r>
        <w:rPr>
          <w:rFonts w:hint="eastAsia"/>
        </w:rPr>
        <w:t>(</w:t>
      </w:r>
      <w:r>
        <w:t>HRI/CORE/ESP/2010</w:t>
      </w:r>
      <w:r>
        <w:rPr>
          <w:rFonts w:hint="eastAsia"/>
        </w:rPr>
        <w:t>)</w:t>
      </w:r>
      <w:r>
        <w:rPr>
          <w:rFonts w:hint="eastAsia"/>
        </w:rPr>
        <w:t>，在此特别要提到司法部、内政部和国防部的参与，他们在外交与合作事务部的配合下为报告的编制做出了重大贡献。</w:t>
      </w:r>
    </w:p>
    <w:p w:rsidR="003C2E11" w:rsidRDefault="003C2E11">
      <w:pPr>
        <w:pStyle w:val="SingleTxtGC"/>
      </w:pPr>
      <w:r>
        <w:t xml:space="preserve">9.  </w:t>
      </w:r>
      <w:r>
        <w:rPr>
          <w:rFonts w:hint="eastAsia"/>
        </w:rPr>
        <w:t>在保护和增进人权的国家机构方面，西班牙的主管部门为护民官办公室，办公室全程了解报告编制信息，以及报告的内容，受邀为报告编制做出了相应贡献。</w:t>
      </w:r>
    </w:p>
    <w:p w:rsidR="003C2E11" w:rsidRDefault="003C2E11">
      <w:pPr>
        <w:pStyle w:val="SingleTxtGC"/>
      </w:pPr>
      <w:r>
        <w:t xml:space="preserve">10.  </w:t>
      </w:r>
      <w:r>
        <w:rPr>
          <w:rFonts w:hint="eastAsia"/>
        </w:rPr>
        <w:t>在民间社会方面，报告初稿刚刚出炉，就开启了协商进程。民间社会组织或者以自发方式，或者以响应外交与合作事务部来文的方式参与这一进程，纷纷建言献策。</w:t>
      </w:r>
    </w:p>
    <w:p w:rsidR="003C2E11" w:rsidRDefault="003C2E11">
      <w:pPr>
        <w:pStyle w:val="SingleTxtGC"/>
      </w:pPr>
      <w:r>
        <w:t xml:space="preserve">11.  </w:t>
      </w:r>
      <w:r>
        <w:rPr>
          <w:rFonts w:hint="eastAsia"/>
        </w:rPr>
        <w:t>对民间社会的参与没有设置任何限制，并努力尝试召集与强迫失踪问题利益攸关的组织参与其中。为此，已经从人权角度接受了若干代表性组织的意见，以协调与强迫失踪问题利益攸关的各家机构在这方面的工作。</w:t>
      </w:r>
    </w:p>
    <w:p w:rsidR="003C2E11" w:rsidRDefault="003C2E11">
      <w:pPr>
        <w:pStyle w:val="SingleTxtGC"/>
        <w:rPr>
          <w:rFonts w:hint="eastAsia"/>
        </w:rPr>
      </w:pPr>
      <w:r>
        <w:t xml:space="preserve">12.  </w:t>
      </w:r>
      <w:r>
        <w:rPr>
          <w:rFonts w:hint="eastAsia"/>
        </w:rPr>
        <w:t>本报告最终被上报至国会众议院的外交事务委员会。</w:t>
      </w:r>
    </w:p>
    <w:p w:rsidR="003C2E11" w:rsidRDefault="003C2E11">
      <w:pPr>
        <w:pStyle w:val="SingleTxtGC"/>
      </w:pPr>
      <w:r>
        <w:t xml:space="preserve">13.  </w:t>
      </w:r>
      <w:r>
        <w:rPr>
          <w:rFonts w:hint="eastAsia"/>
        </w:rPr>
        <w:t>本报告分为三部分，开篇的导言包括一系列的初步考虑以及一节概述，随后就是禁止强迫失踪的总体法律框架，之后引出第三部分，也就是最后一部分，包含与《公约》每一条实质性条文有关的信息。报告的最后列出了文中采用的缩略语的清单。</w:t>
      </w:r>
    </w:p>
    <w:p w:rsidR="003C2E11" w:rsidRDefault="003C2E11">
      <w:pPr>
        <w:pStyle w:val="H1GC"/>
      </w:pPr>
      <w:r>
        <w:tab/>
      </w:r>
      <w:bookmarkStart w:id="2" w:name="_Toc351380590"/>
      <w:r>
        <w:t>B</w:t>
      </w:r>
      <w:r>
        <w:rPr>
          <w:rFonts w:hint="eastAsia"/>
        </w:rPr>
        <w:t>.</w:t>
      </w:r>
      <w:r>
        <w:tab/>
      </w:r>
      <w:r>
        <w:rPr>
          <w:rFonts w:hint="eastAsia"/>
        </w:rPr>
        <w:t>概述</w:t>
      </w:r>
      <w:bookmarkEnd w:id="2"/>
    </w:p>
    <w:p w:rsidR="003C2E11" w:rsidRDefault="003C2E11">
      <w:pPr>
        <w:pStyle w:val="H23GC"/>
      </w:pPr>
      <w:r>
        <w:tab/>
        <w:t>1.</w:t>
      </w:r>
      <w:r>
        <w:tab/>
      </w:r>
      <w:r>
        <w:rPr>
          <w:rFonts w:hint="eastAsia"/>
        </w:rPr>
        <w:t>西班牙批准《公约》</w:t>
      </w:r>
    </w:p>
    <w:p w:rsidR="003C2E11" w:rsidRDefault="003C2E11">
      <w:pPr>
        <w:pStyle w:val="SingleTxtGC"/>
      </w:pPr>
      <w:r>
        <w:t xml:space="preserve">14.  </w:t>
      </w:r>
      <w:r>
        <w:rPr>
          <w:rFonts w:hint="eastAsia"/>
        </w:rPr>
        <w:t>《保护所有人免遭强迫失踪国际公约》</w:t>
      </w:r>
      <w:r>
        <w:rPr>
          <w:rFonts w:hint="eastAsia"/>
        </w:rPr>
        <w:t>(</w:t>
      </w:r>
      <w:r>
        <w:rPr>
          <w:rFonts w:hint="eastAsia"/>
        </w:rPr>
        <w:t>以下称《公约》</w:t>
      </w:r>
      <w:r>
        <w:rPr>
          <w:rFonts w:hint="eastAsia"/>
        </w:rPr>
        <w:t>)</w:t>
      </w:r>
      <w:r>
        <w:rPr>
          <w:rFonts w:hint="eastAsia"/>
        </w:rPr>
        <w:t>于</w:t>
      </w:r>
      <w:smartTag w:uri="urn:schemas-microsoft-com:office:smarttags" w:element="chsdate">
        <w:smartTagPr>
          <w:attr w:name="Year" w:val="2006"/>
          <w:attr w:name="Month" w:val="12"/>
          <w:attr w:name="Day" w:val="20"/>
          <w:attr w:name="IsLunarDate" w:val="False"/>
          <w:attr w:name="IsROCDate" w:val="False"/>
        </w:smartTagPr>
        <w:r>
          <w:rPr>
            <w:rFonts w:hint="eastAsia"/>
          </w:rPr>
          <w:t>2006</w:t>
        </w:r>
        <w:r>
          <w:rPr>
            <w:rFonts w:hint="eastAsia"/>
          </w:rPr>
          <w:t>年</w:t>
        </w:r>
        <w:r>
          <w:rPr>
            <w:rFonts w:hint="eastAsia"/>
          </w:rPr>
          <w:t>12</w:t>
        </w:r>
        <w:r>
          <w:rPr>
            <w:rFonts w:hint="eastAsia"/>
          </w:rPr>
          <w:t>月</w:t>
        </w:r>
        <w:r>
          <w:rPr>
            <w:rFonts w:hint="eastAsia"/>
          </w:rPr>
          <w:t>20</w:t>
        </w:r>
        <w:r>
          <w:rPr>
            <w:rFonts w:hint="eastAsia"/>
          </w:rPr>
          <w:t>日</w:t>
        </w:r>
      </w:smartTag>
      <w:r>
        <w:rPr>
          <w:rFonts w:hint="eastAsia"/>
        </w:rPr>
        <w:t>得到联合国大会第</w:t>
      </w:r>
      <w:r>
        <w:rPr>
          <w:rFonts w:hint="eastAsia"/>
        </w:rPr>
        <w:t>61/177</w:t>
      </w:r>
      <w:r>
        <w:rPr>
          <w:rFonts w:hint="eastAsia"/>
        </w:rPr>
        <w:t>号决议核准，西班牙全权代表于</w:t>
      </w:r>
      <w:smartTag w:uri="urn:schemas-microsoft-com:office:smarttags" w:element="chsdate">
        <w:smartTagPr>
          <w:attr w:name="Year" w:val="2007"/>
          <w:attr w:name="Month" w:val="9"/>
          <w:attr w:name="Day" w:val="27"/>
          <w:attr w:name="IsLunarDate" w:val="False"/>
          <w:attr w:name="IsROCDate" w:val="False"/>
        </w:smartTagPr>
        <w:r>
          <w:rPr>
            <w:rFonts w:hint="eastAsia"/>
          </w:rPr>
          <w:t>2007</w:t>
        </w:r>
        <w:r>
          <w:rPr>
            <w:rFonts w:hint="eastAsia"/>
          </w:rPr>
          <w:t>年</w:t>
        </w:r>
        <w:r>
          <w:rPr>
            <w:rFonts w:hint="eastAsia"/>
          </w:rPr>
          <w:t>9</w:t>
        </w:r>
        <w:r>
          <w:rPr>
            <w:rFonts w:hint="eastAsia"/>
          </w:rPr>
          <w:t>月</w:t>
        </w:r>
        <w:r>
          <w:rPr>
            <w:rFonts w:hint="eastAsia"/>
          </w:rPr>
          <w:t>27</w:t>
        </w:r>
        <w:r>
          <w:rPr>
            <w:rFonts w:hint="eastAsia"/>
          </w:rPr>
          <w:t>日</w:t>
        </w:r>
      </w:smartTag>
      <w:r>
        <w:rPr>
          <w:rFonts w:hint="eastAsia"/>
        </w:rPr>
        <w:t>在纽约签署了这一文书。</w:t>
      </w:r>
    </w:p>
    <w:p w:rsidR="003C2E11" w:rsidRDefault="003C2E11">
      <w:pPr>
        <w:pStyle w:val="SingleTxtGC"/>
        <w:rPr>
          <w:rFonts w:hint="eastAsia"/>
        </w:rPr>
      </w:pPr>
      <w:r>
        <w:t xml:space="preserve">15.  </w:t>
      </w:r>
      <w:r>
        <w:rPr>
          <w:rFonts w:hint="eastAsia"/>
        </w:rPr>
        <w:t>之后，西班牙议会</w:t>
      </w:r>
      <w:r>
        <w:rPr>
          <w:rFonts w:hint="eastAsia"/>
        </w:rPr>
        <w:t>(Cortes Generales)</w:t>
      </w:r>
      <w:r>
        <w:rPr>
          <w:rFonts w:hint="eastAsia"/>
        </w:rPr>
        <w:t>批准将其纳入到</w:t>
      </w:r>
      <w:smartTag w:uri="urn:schemas-microsoft-com:office:smarttags" w:element="chsdate">
        <w:smartTagPr>
          <w:attr w:name="Year" w:val="1978"/>
          <w:attr w:name="Month" w:val="12"/>
          <w:attr w:name="Day" w:val="27"/>
          <w:attr w:name="IsLunarDate" w:val="False"/>
          <w:attr w:name="IsROCDate" w:val="False"/>
        </w:smartTagPr>
        <w:r>
          <w:rPr>
            <w:rFonts w:hint="eastAsia"/>
          </w:rPr>
          <w:t>1978</w:t>
        </w:r>
        <w:r>
          <w:rPr>
            <w:rFonts w:hint="eastAsia"/>
          </w:rPr>
          <w:t>年</w:t>
        </w:r>
        <w:r>
          <w:rPr>
            <w:rFonts w:hint="eastAsia"/>
          </w:rPr>
          <w:t>12</w:t>
        </w:r>
        <w:r>
          <w:rPr>
            <w:rFonts w:hint="eastAsia"/>
          </w:rPr>
          <w:t>月</w:t>
        </w:r>
        <w:r>
          <w:rPr>
            <w:rFonts w:hint="eastAsia"/>
          </w:rPr>
          <w:t>27</w:t>
        </w:r>
        <w:r>
          <w:rPr>
            <w:rFonts w:hint="eastAsia"/>
          </w:rPr>
          <w:t>日</w:t>
        </w:r>
      </w:smartTag>
      <w:r>
        <w:rPr>
          <w:rFonts w:hint="eastAsia"/>
        </w:rPr>
        <w:t>版的《西班牙宪法》中，列为第</w:t>
      </w:r>
      <w:r>
        <w:rPr>
          <w:rFonts w:hint="eastAsia"/>
        </w:rPr>
        <w:t>94.1</w:t>
      </w:r>
      <w:r>
        <w:rPr>
          <w:rFonts w:hint="eastAsia"/>
        </w:rPr>
        <w:t>条</w:t>
      </w:r>
      <w:r>
        <w:rPr>
          <w:rFonts w:hint="eastAsia"/>
        </w:rPr>
        <w:t>(</w:t>
      </w:r>
      <w:r>
        <w:rPr>
          <w:rFonts w:hint="eastAsia"/>
        </w:rPr>
        <w:t>“在下列情况下，国家通过条约或协定承担义务需经总议会批准：</w:t>
      </w:r>
      <w:r>
        <w:rPr>
          <w:rFonts w:hint="eastAsia"/>
        </w:rPr>
        <w:t xml:space="preserve">(a) </w:t>
      </w:r>
      <w:r>
        <w:rPr>
          <w:rFonts w:hint="eastAsia"/>
        </w:rPr>
        <w:t>政治性条约；</w:t>
      </w:r>
      <w:r>
        <w:rPr>
          <w:rFonts w:hint="eastAsia"/>
        </w:rPr>
        <w:t xml:space="preserve">(b) </w:t>
      </w:r>
      <w:r>
        <w:rPr>
          <w:rFonts w:hint="eastAsia"/>
        </w:rPr>
        <w:t>军事性条约或协定；</w:t>
      </w:r>
      <w:r>
        <w:rPr>
          <w:rFonts w:hint="eastAsia"/>
        </w:rPr>
        <w:t xml:space="preserve">(c) </w:t>
      </w:r>
      <w:r>
        <w:rPr>
          <w:rFonts w:hint="eastAsia"/>
        </w:rPr>
        <w:t>涉及国家领土完整或第一章中所规定的基本权利和义务之条约或协定；</w:t>
      </w:r>
      <w:r>
        <w:rPr>
          <w:rFonts w:hint="eastAsia"/>
        </w:rPr>
        <w:t xml:space="preserve">(d) </w:t>
      </w:r>
      <w:r>
        <w:rPr>
          <w:rFonts w:hint="eastAsia"/>
        </w:rPr>
        <w:t>导致公共财政承担财政义务的条约或协定；</w:t>
      </w:r>
      <w:r>
        <w:rPr>
          <w:rFonts w:hint="eastAsia"/>
        </w:rPr>
        <w:t xml:space="preserve">(e) </w:t>
      </w:r>
      <w:r>
        <w:rPr>
          <w:rFonts w:hint="eastAsia"/>
        </w:rPr>
        <w:t>意味着修改或废除某项法律或要求采取立法措施的条约或协定。”</w:t>
      </w:r>
      <w:r>
        <w:rPr>
          <w:rFonts w:hint="eastAsia"/>
        </w:rPr>
        <w:t>)</w:t>
      </w:r>
      <w:r>
        <w:rPr>
          <w:rFonts w:hint="eastAsia"/>
        </w:rPr>
        <w:t>，于</w:t>
      </w:r>
      <w:smartTag w:uri="urn:schemas-microsoft-com:office:smarttags" w:element="chsdate">
        <w:smartTagPr>
          <w:attr w:name="Year" w:val="2009"/>
          <w:attr w:name="Month" w:val="7"/>
          <w:attr w:name="Day" w:val="14"/>
          <w:attr w:name="IsLunarDate" w:val="False"/>
          <w:attr w:name="IsROCDate" w:val="False"/>
        </w:smartTagPr>
        <w:r>
          <w:rPr>
            <w:rFonts w:hint="eastAsia"/>
          </w:rPr>
          <w:t>2009</w:t>
        </w:r>
        <w:r>
          <w:rPr>
            <w:rFonts w:hint="eastAsia"/>
          </w:rPr>
          <w:t>年</w:t>
        </w:r>
        <w:r>
          <w:rPr>
            <w:rFonts w:hint="eastAsia"/>
          </w:rPr>
          <w:t>7</w:t>
        </w:r>
        <w:r>
          <w:rPr>
            <w:rFonts w:hint="eastAsia"/>
          </w:rPr>
          <w:t>月</w:t>
        </w:r>
        <w:r>
          <w:rPr>
            <w:rFonts w:hint="eastAsia"/>
          </w:rPr>
          <w:t>14</w:t>
        </w:r>
        <w:r>
          <w:rPr>
            <w:rFonts w:hint="eastAsia"/>
          </w:rPr>
          <w:t>日</w:t>
        </w:r>
      </w:smartTag>
      <w:r>
        <w:rPr>
          <w:rFonts w:hint="eastAsia"/>
        </w:rPr>
        <w:t>签署了批准文书，并于</w:t>
      </w:r>
      <w:smartTag w:uri="urn:schemas-microsoft-com:office:smarttags" w:element="chsdate">
        <w:smartTagPr>
          <w:attr w:name="Year" w:val="2009"/>
          <w:attr w:name="Month" w:val="9"/>
          <w:attr w:name="Day" w:val="24"/>
          <w:attr w:name="IsLunarDate" w:val="False"/>
          <w:attr w:name="IsROCDate" w:val="False"/>
        </w:smartTagPr>
        <w:r>
          <w:rPr>
            <w:rFonts w:hint="eastAsia"/>
          </w:rPr>
          <w:t>2009</w:t>
        </w:r>
        <w:r>
          <w:rPr>
            <w:rFonts w:hint="eastAsia"/>
          </w:rPr>
          <w:t>年</w:t>
        </w:r>
        <w:r>
          <w:rPr>
            <w:rFonts w:hint="eastAsia"/>
          </w:rPr>
          <w:t>9</w:t>
        </w:r>
        <w:r>
          <w:rPr>
            <w:rFonts w:hint="eastAsia"/>
          </w:rPr>
          <w:t>月</w:t>
        </w:r>
        <w:r>
          <w:rPr>
            <w:rFonts w:hint="eastAsia"/>
          </w:rPr>
          <w:t>24</w:t>
        </w:r>
        <w:r>
          <w:rPr>
            <w:rFonts w:hint="eastAsia"/>
          </w:rPr>
          <w:t>日</w:t>
        </w:r>
      </w:smartTag>
      <w:r>
        <w:rPr>
          <w:rFonts w:hint="eastAsia"/>
        </w:rPr>
        <w:t>交存。最后，批准文书于</w:t>
      </w:r>
      <w:smartTag w:uri="urn:schemas-microsoft-com:office:smarttags" w:element="chsdate">
        <w:smartTagPr>
          <w:attr w:name="Year" w:val="2011"/>
          <w:attr w:name="Month" w:val="2"/>
          <w:attr w:name="Day" w:val="18"/>
          <w:attr w:name="IsLunarDate" w:val="False"/>
          <w:attr w:name="IsROCDate" w:val="False"/>
        </w:smartTagPr>
        <w:r>
          <w:rPr>
            <w:rFonts w:hint="eastAsia"/>
          </w:rPr>
          <w:t>2011</w:t>
        </w:r>
        <w:r>
          <w:rPr>
            <w:rFonts w:hint="eastAsia"/>
          </w:rPr>
          <w:t>年</w:t>
        </w:r>
        <w:r>
          <w:rPr>
            <w:rFonts w:hint="eastAsia"/>
          </w:rPr>
          <w:t>2</w:t>
        </w:r>
        <w:r>
          <w:rPr>
            <w:rFonts w:hint="eastAsia"/>
          </w:rPr>
          <w:t>月</w:t>
        </w:r>
        <w:r>
          <w:rPr>
            <w:rFonts w:hint="eastAsia"/>
          </w:rPr>
          <w:t>18</w:t>
        </w:r>
        <w:r>
          <w:rPr>
            <w:rFonts w:hint="eastAsia"/>
          </w:rPr>
          <w:t>日</w:t>
        </w:r>
      </w:smartTag>
      <w:r>
        <w:rPr>
          <w:rFonts w:hint="eastAsia"/>
        </w:rPr>
        <w:t>被发布在官方日报</w:t>
      </w:r>
      <w:r>
        <w:rPr>
          <w:rFonts w:hint="eastAsia"/>
          <w:spacing w:val="-60"/>
        </w:rPr>
        <w:t>―</w:t>
      </w:r>
      <w:r>
        <w:rPr>
          <w:rFonts w:hint="eastAsia"/>
          <w:spacing w:val="10"/>
        </w:rPr>
        <w:t>―</w:t>
      </w:r>
      <w:r>
        <w:rPr>
          <w:rFonts w:hint="eastAsia"/>
        </w:rPr>
        <w:t>《国家官方公报》</w:t>
      </w:r>
      <w:r>
        <w:rPr>
          <w:rFonts w:hint="eastAsia"/>
          <w:spacing w:val="-60"/>
        </w:rPr>
        <w:t>―</w:t>
      </w:r>
      <w:r>
        <w:rPr>
          <w:rFonts w:hint="eastAsia"/>
          <w:spacing w:val="10"/>
        </w:rPr>
        <w:t>―</w:t>
      </w:r>
      <w:r>
        <w:rPr>
          <w:rFonts w:hint="eastAsia"/>
        </w:rPr>
        <w:t>上。</w:t>
      </w:r>
    </w:p>
    <w:p w:rsidR="003C2E11" w:rsidRDefault="003C2E11">
      <w:pPr>
        <w:pStyle w:val="SingleTxtGC"/>
      </w:pPr>
      <w:r>
        <w:t xml:space="preserve">16.  </w:t>
      </w:r>
      <w:r>
        <w:rPr>
          <w:rFonts w:hint="eastAsia"/>
        </w:rPr>
        <w:t>根据这一进展时间表可以看出，西班牙王国在联合国系统内增进和保护人权的政策框架内，作为前二十个交存批准文书的联合国会员国，已经以实际行动加入《公约》并在</w:t>
      </w:r>
      <w:smartTag w:uri="urn:schemas-microsoft-com:office:smarttags" w:element="chsdate">
        <w:smartTagPr>
          <w:attr w:name="Year" w:val="2010"/>
          <w:attr w:name="Month" w:val="12"/>
          <w:attr w:name="Day" w:val="23"/>
          <w:attr w:name="IsLunarDate" w:val="False"/>
          <w:attr w:name="IsROCDate" w:val="False"/>
        </w:smartTagPr>
        <w:r>
          <w:rPr>
            <w:rFonts w:hint="eastAsia"/>
          </w:rPr>
          <w:t>2010</w:t>
        </w:r>
        <w:r>
          <w:rPr>
            <w:rFonts w:hint="eastAsia"/>
          </w:rPr>
          <w:t>年</w:t>
        </w:r>
        <w:r>
          <w:rPr>
            <w:rFonts w:hint="eastAsia"/>
          </w:rPr>
          <w:t>12</w:t>
        </w:r>
        <w:r>
          <w:rPr>
            <w:rFonts w:hint="eastAsia"/>
          </w:rPr>
          <w:t>月</w:t>
        </w:r>
        <w:r>
          <w:rPr>
            <w:rFonts w:hint="eastAsia"/>
          </w:rPr>
          <w:t>23</w:t>
        </w:r>
        <w:r>
          <w:rPr>
            <w:rFonts w:hint="eastAsia"/>
          </w:rPr>
          <w:t>日</w:t>
        </w:r>
      </w:smartTag>
      <w:r>
        <w:rPr>
          <w:rFonts w:hint="eastAsia"/>
        </w:rPr>
        <w:t>生效后受其约束，从而使《公约》按照第三十九条第一款关于公约条文的生效条款具备效力。</w:t>
      </w:r>
    </w:p>
    <w:p w:rsidR="003C2E11" w:rsidRDefault="003C2E11">
      <w:pPr>
        <w:pStyle w:val="H23GC"/>
      </w:pPr>
      <w:r>
        <w:tab/>
        <w:t>2.</w:t>
      </w:r>
      <w:r>
        <w:tab/>
      </w:r>
      <w:r>
        <w:rPr>
          <w:rFonts w:hint="eastAsia"/>
        </w:rPr>
        <w:t>西班牙基本人权体系以及这一体系与国际人权体系的接轨</w:t>
      </w:r>
    </w:p>
    <w:p w:rsidR="003C2E11" w:rsidRDefault="003C2E11">
      <w:pPr>
        <w:pStyle w:val="SingleTxtGC"/>
      </w:pPr>
      <w:r>
        <w:t xml:space="preserve">17.  </w:t>
      </w:r>
      <w:smartTag w:uri="urn:schemas-microsoft-com:office:smarttags" w:element="chsdate">
        <w:smartTagPr>
          <w:attr w:name="Year" w:val="1978"/>
          <w:attr w:name="Month" w:val="12"/>
          <w:attr w:name="Day" w:val="27"/>
          <w:attr w:name="IsLunarDate" w:val="False"/>
          <w:attr w:name="IsROCDate" w:val="False"/>
        </w:smartTagPr>
        <w:r>
          <w:rPr>
            <w:rFonts w:hint="eastAsia"/>
          </w:rPr>
          <w:t>1978</w:t>
        </w:r>
        <w:r>
          <w:rPr>
            <w:rFonts w:hint="eastAsia"/>
          </w:rPr>
          <w:t>年</w:t>
        </w:r>
        <w:r>
          <w:rPr>
            <w:rFonts w:hint="eastAsia"/>
          </w:rPr>
          <w:t>12</w:t>
        </w:r>
        <w:r>
          <w:rPr>
            <w:rFonts w:hint="eastAsia"/>
          </w:rPr>
          <w:t>月</w:t>
        </w:r>
        <w:r>
          <w:rPr>
            <w:rFonts w:hint="eastAsia"/>
          </w:rPr>
          <w:t>27</w:t>
        </w:r>
        <w:r>
          <w:rPr>
            <w:rFonts w:hint="eastAsia"/>
          </w:rPr>
          <w:t>日</w:t>
        </w:r>
      </w:smartTag>
      <w:r>
        <w:rPr>
          <w:rFonts w:hint="eastAsia"/>
        </w:rPr>
        <w:t>的《西班牙宪法》</w:t>
      </w:r>
      <w:r>
        <w:rPr>
          <w:rFonts w:hint="eastAsia"/>
        </w:rPr>
        <w:t>(</w:t>
      </w:r>
      <w:r>
        <w:rPr>
          <w:rFonts w:hint="eastAsia"/>
        </w:rPr>
        <w:t>以下称《西班牙宪法》</w:t>
      </w:r>
      <w:r>
        <w:rPr>
          <w:rFonts w:hint="eastAsia"/>
        </w:rPr>
        <w:t>)</w:t>
      </w:r>
      <w:r>
        <w:rPr>
          <w:rFonts w:hint="eastAsia"/>
        </w:rPr>
        <w:t>巩固了西班牙作为一个法治国家的发展进程，终结了历时长久的独裁统治</w:t>
      </w:r>
      <w:r>
        <w:rPr>
          <w:rFonts w:hint="eastAsia"/>
        </w:rPr>
        <w:t>(1939-1975</w:t>
      </w:r>
      <w:r>
        <w:rPr>
          <w:rFonts w:hint="eastAsia"/>
        </w:rPr>
        <w:t>年</w:t>
      </w:r>
      <w:r>
        <w:rPr>
          <w:rFonts w:hint="eastAsia"/>
        </w:rPr>
        <w:t>)</w:t>
      </w:r>
      <w:r>
        <w:rPr>
          <w:rFonts w:hint="eastAsia"/>
        </w:rPr>
        <w:t>并克服了在</w:t>
      </w:r>
      <w:r>
        <w:rPr>
          <w:rFonts w:hint="eastAsia"/>
        </w:rPr>
        <w:t>1936-1939</w:t>
      </w:r>
      <w:r>
        <w:rPr>
          <w:rFonts w:hint="eastAsia"/>
        </w:rPr>
        <w:t>年期间的内战中由西班牙人民之间的敌对冲突所造成的不良影响。</w:t>
      </w:r>
    </w:p>
    <w:p w:rsidR="003C2E11" w:rsidRDefault="003C2E11">
      <w:pPr>
        <w:pStyle w:val="SingleTxtGC"/>
      </w:pPr>
      <w:r>
        <w:t xml:space="preserve">18.  </w:t>
      </w:r>
      <w:r>
        <w:rPr>
          <w:rFonts w:hint="eastAsia"/>
        </w:rPr>
        <w:t>《宪法》力图克服西班牙人之间的历史冲突，其中最为突出的是：国家的政治区划和政权设置；民权在军权面前的弱势；民权与宗教之间的关系，为此创立了一个体系，尽管该体系存在着种种问题和不足，但起码已经使西班牙社会享受到了长达</w:t>
      </w:r>
      <w:r>
        <w:rPr>
          <w:rFonts w:hint="eastAsia"/>
        </w:rPr>
        <w:t>35</w:t>
      </w:r>
      <w:r>
        <w:rPr>
          <w:rFonts w:hint="eastAsia"/>
        </w:rPr>
        <w:t>年的民主，这是西班牙历史上最长的一个民主时期。</w:t>
      </w:r>
    </w:p>
    <w:p w:rsidR="003C2E11" w:rsidRDefault="003C2E11">
      <w:pPr>
        <w:pStyle w:val="SingleTxtGC"/>
      </w:pPr>
      <w:r>
        <w:t xml:space="preserve">19.  </w:t>
      </w:r>
      <w:r>
        <w:rPr>
          <w:rFonts w:hint="eastAsia"/>
        </w:rPr>
        <w:t>为此，作为限制和约束国家机器，实现国家与公民和平共处的一项工具，《西班牙宪法》已经在其第一篇中</w:t>
      </w:r>
      <w:r>
        <w:rPr>
          <w:rFonts w:hint="eastAsia"/>
        </w:rPr>
        <w:t>(</w:t>
      </w:r>
      <w:r>
        <w:rPr>
          <w:rFonts w:hint="eastAsia"/>
        </w:rPr>
        <w:t>第</w:t>
      </w:r>
      <w:r>
        <w:rPr>
          <w:rFonts w:hint="eastAsia"/>
        </w:rPr>
        <w:t>10</w:t>
      </w:r>
      <w:r>
        <w:rPr>
          <w:rFonts w:hint="eastAsia"/>
        </w:rPr>
        <w:t>至</w:t>
      </w:r>
      <w:r>
        <w:rPr>
          <w:rFonts w:hint="eastAsia"/>
        </w:rPr>
        <w:t>55</w:t>
      </w:r>
      <w:r>
        <w:rPr>
          <w:rFonts w:hint="eastAsia"/>
        </w:rPr>
        <w:t>条</w:t>
      </w:r>
      <w:r>
        <w:rPr>
          <w:rFonts w:hint="eastAsia"/>
        </w:rPr>
        <w:t>)</w:t>
      </w:r>
      <w:r>
        <w:rPr>
          <w:rFonts w:hint="eastAsia"/>
        </w:rPr>
        <w:t>就权利和自由的定义和保护问题建立了一套完整体系，标题为“基本权利和义务”，沿袭了传统类宪法以及最为先进的现代宪法中的规定，此外，还明确承认了西班牙王国批准的与基本权利或自由相关的国际条约和协议所具备的激励和解释效力。</w:t>
      </w:r>
    </w:p>
    <w:p w:rsidR="003C2E11" w:rsidRDefault="003C2E11">
      <w:pPr>
        <w:pStyle w:val="SingleTxtGC"/>
      </w:pPr>
      <w:r>
        <w:t xml:space="preserve">20.  </w:t>
      </w:r>
      <w:r>
        <w:rPr>
          <w:rFonts w:hint="eastAsia"/>
        </w:rPr>
        <w:t>在这方面，《西班牙宪法》第</w:t>
      </w:r>
      <w:r>
        <w:rPr>
          <w:rFonts w:hint="eastAsia"/>
        </w:rPr>
        <w:t>10</w:t>
      </w:r>
      <w:r>
        <w:rPr>
          <w:rFonts w:hint="eastAsia"/>
        </w:rPr>
        <w:t>条规定：</w:t>
      </w:r>
    </w:p>
    <w:p w:rsidR="003C2E11" w:rsidRDefault="003C2E11">
      <w:pPr>
        <w:pStyle w:val="SingleTxtGC"/>
        <w:tabs>
          <w:tab w:val="clear" w:pos="1565"/>
          <w:tab w:val="left" w:pos="1560"/>
        </w:tabs>
        <w:ind w:left="1565"/>
        <w:rPr>
          <w:rFonts w:hint="eastAsia"/>
        </w:rPr>
      </w:pPr>
      <w:r>
        <w:rPr>
          <w:rFonts w:hint="eastAsia"/>
        </w:rPr>
        <w:t>“</w:t>
      </w:r>
      <w:r>
        <w:rPr>
          <w:rFonts w:hint="eastAsia"/>
        </w:rPr>
        <w:t xml:space="preserve">1.  </w:t>
      </w:r>
      <w:r>
        <w:rPr>
          <w:rFonts w:hint="eastAsia"/>
        </w:rPr>
        <w:t>人的尊严，人固有的不可侵犯的个人权利，个性的自由发展，尊重法律和尊重他人的权利，是政治秩序和社会和平的基础。</w:t>
      </w:r>
    </w:p>
    <w:p w:rsidR="003C2E11" w:rsidRDefault="003C2E11">
      <w:pPr>
        <w:pStyle w:val="SingleTxtGC"/>
        <w:ind w:left="1565"/>
      </w:pPr>
      <w:r>
        <w:rPr>
          <w:rFonts w:hint="eastAsia"/>
        </w:rPr>
        <w:t xml:space="preserve">2.  </w:t>
      </w:r>
      <w:r>
        <w:rPr>
          <w:rFonts w:hint="eastAsia"/>
        </w:rPr>
        <w:t>宪法所承认之与基本权利和自由有关的准则将根据西班牙所批准之《世界人权宣言》及内容类似的国际条约和协议进行解释。”</w:t>
      </w:r>
    </w:p>
    <w:p w:rsidR="003C2E11" w:rsidRDefault="003C2E11">
      <w:pPr>
        <w:pStyle w:val="SingleTxtGC"/>
      </w:pPr>
      <w:r>
        <w:t xml:space="preserve">21.  </w:t>
      </w:r>
      <w:r>
        <w:rPr>
          <w:rFonts w:hint="eastAsia"/>
        </w:rPr>
        <w:t>《西班牙宪法》详细完整地列出了各项基本权利和自由，这是由于其颁布日期为</w:t>
      </w:r>
      <w:r>
        <w:rPr>
          <w:rFonts w:hint="eastAsia"/>
        </w:rPr>
        <w:t>1978</w:t>
      </w:r>
      <w:r>
        <w:rPr>
          <w:rFonts w:hint="eastAsia"/>
        </w:rPr>
        <w:t>年，已经是发达民主社会中颁布日期较晚的宪法之一，这使得在其中可以纳入所有与基本权利有关的宪法、法律和学说方面的所有进步成果。</w:t>
      </w:r>
    </w:p>
    <w:p w:rsidR="003C2E11" w:rsidRDefault="003C2E11">
      <w:pPr>
        <w:pStyle w:val="SingleTxtGC"/>
      </w:pPr>
      <w:r>
        <w:t xml:space="preserve">22.  </w:t>
      </w:r>
      <w:r>
        <w:rPr>
          <w:rFonts w:hint="eastAsia"/>
        </w:rPr>
        <w:t>对于《西班牙宪法》第</w:t>
      </w:r>
      <w:r>
        <w:rPr>
          <w:rFonts w:hint="eastAsia"/>
        </w:rPr>
        <w:t>10.2</w:t>
      </w:r>
      <w:r>
        <w:rPr>
          <w:rFonts w:hint="eastAsia"/>
        </w:rPr>
        <w:t>条提到的关联性，已经通过所有学说进行阐述并通过宪法法院的贯彻落实，将西班牙法律向国际人权法开放，这样，国际人权法就必然会成为对《宪法》所赋的一切基本权利和自由的解释标准和原则。特别需要强调的是，《西班牙宪法》第</w:t>
      </w:r>
      <w:r>
        <w:rPr>
          <w:rFonts w:hint="eastAsia"/>
        </w:rPr>
        <w:t>10.2</w:t>
      </w:r>
      <w:r>
        <w:rPr>
          <w:rFonts w:hint="eastAsia"/>
        </w:rPr>
        <w:t>条并不是要使国际条约和协议中所载的基本权利和自由具备宪制地位；而是将其转变为认识和解释《西班牙宪法》所赋各项权利和自由的依据，正如我们前面所说的，由此全面涵盖了国际人权法所承认的各项权利和自由。</w:t>
      </w:r>
    </w:p>
    <w:p w:rsidR="003C2E11" w:rsidRDefault="003C2E11">
      <w:pPr>
        <w:pStyle w:val="SingleTxtGC"/>
      </w:pPr>
      <w:r>
        <w:t xml:space="preserve">23.  </w:t>
      </w:r>
      <w:r>
        <w:rPr>
          <w:rFonts w:hint="eastAsia"/>
        </w:rPr>
        <w:t>为正确理解《西班牙宪法》与国际人权法之间的这种融合，可以援引宪法法院的若干判决加以印证，宪法法院是西班牙司法体系中对于《宪法》的最高解释机关，也是通过审理保护宪法权利的诉讼来针对由于公共权力机关、其官员及代理人所下达的指令、作为、不作为或者在一般执政过程中对基本权利和自由的侵犯采取相应保护的宪法机构。还可以援引最高法院第</w:t>
      </w:r>
      <w:r>
        <w:rPr>
          <w:rFonts w:hint="eastAsia"/>
        </w:rPr>
        <w:t>2</w:t>
      </w:r>
      <w:r>
        <w:rPr>
          <w:rFonts w:hint="eastAsia"/>
        </w:rPr>
        <w:t>庭，即刑事审判庭的判决，最高法院是按照各种序列排列之最高司法机关，但宪法保障性条款规定之事项除外。</w:t>
      </w:r>
    </w:p>
    <w:p w:rsidR="003C2E11" w:rsidRDefault="003C2E11">
      <w:pPr>
        <w:pStyle w:val="SingleTxtGC"/>
      </w:pPr>
      <w:r>
        <w:t xml:space="preserve">24.  </w:t>
      </w:r>
      <w:r>
        <w:rPr>
          <w:rFonts w:hint="eastAsia"/>
        </w:rPr>
        <w:t>宪法法院宣称：</w:t>
      </w:r>
    </w:p>
    <w:p w:rsidR="003C2E11" w:rsidRDefault="003C2E11">
      <w:pPr>
        <w:pStyle w:val="SingleTxtGC"/>
        <w:ind w:left="1565"/>
        <w:rPr>
          <w:rFonts w:hint="eastAsia"/>
        </w:rPr>
      </w:pPr>
      <w:r>
        <w:rPr>
          <w:rFonts w:hint="eastAsia"/>
        </w:rPr>
        <w:t>“［……］本法规［《西班牙宪法》第</w:t>
      </w:r>
      <w:r>
        <w:rPr>
          <w:rFonts w:hint="eastAsia"/>
        </w:rPr>
        <w:t>10.2</w:t>
      </w:r>
      <w:r>
        <w:rPr>
          <w:rFonts w:hint="eastAsia"/>
        </w:rPr>
        <w:t>条］仅限于确立西班牙自身的基本权利和自由体系与西班牙作为缔约国批准的这方面的国际公约和条约之间的联系。这些国际上承认的权利和自由并不具备宪制地位，因为它们并不是由西班牙宪法本身所赋予的，但是必须依照这些条约或公约的内容来对宪法所承认的这方面的准则进行解释，因此在实践中，这一内容已经在某种形式上转变为宪法规定，与西班牙宪法第一篇第二章中所列的权利和自由相一致……”</w:t>
      </w:r>
      <w:r>
        <w:rPr>
          <w:rFonts w:hint="eastAsia"/>
        </w:rPr>
        <w:t>(</w:t>
      </w:r>
      <w:r>
        <w:rPr>
          <w:rFonts w:hint="eastAsia"/>
        </w:rPr>
        <w:t>宪法法院</w:t>
      </w:r>
      <w:smartTag w:uri="urn:schemas-microsoft-com:office:smarttags" w:element="chsdate">
        <w:smartTagPr>
          <w:attr w:name="Year" w:val="1991"/>
          <w:attr w:name="Month" w:val="2"/>
          <w:attr w:name="Day" w:val="14"/>
          <w:attr w:name="IsLunarDate" w:val="False"/>
          <w:attr w:name="IsROCDate" w:val="False"/>
        </w:smartTagPr>
        <w:r>
          <w:rPr>
            <w:rFonts w:hint="eastAsia"/>
          </w:rPr>
          <w:t>1991</w:t>
        </w:r>
        <w:r>
          <w:rPr>
            <w:rFonts w:hint="eastAsia"/>
          </w:rPr>
          <w:t>年</w:t>
        </w:r>
        <w:r>
          <w:rPr>
            <w:rFonts w:hint="eastAsia"/>
          </w:rPr>
          <w:t>2</w:t>
        </w:r>
        <w:r>
          <w:rPr>
            <w:rFonts w:hint="eastAsia"/>
          </w:rPr>
          <w:t>月</w:t>
        </w:r>
        <w:r>
          <w:rPr>
            <w:rFonts w:hint="eastAsia"/>
          </w:rPr>
          <w:t>14</w:t>
        </w:r>
        <w:r>
          <w:rPr>
            <w:rFonts w:hint="eastAsia"/>
          </w:rPr>
          <w:t>日</w:t>
        </w:r>
      </w:smartTag>
      <w:r>
        <w:rPr>
          <w:rFonts w:hint="eastAsia"/>
        </w:rPr>
        <w:t>的第</w:t>
      </w:r>
      <w:r>
        <w:rPr>
          <w:rFonts w:hint="eastAsia"/>
        </w:rPr>
        <w:t>36/1991</w:t>
      </w:r>
      <w:r>
        <w:rPr>
          <w:rFonts w:hint="eastAsia"/>
        </w:rPr>
        <w:t>号判决</w:t>
      </w:r>
      <w:r>
        <w:rPr>
          <w:rFonts w:hint="eastAsia"/>
        </w:rPr>
        <w:t>)</w:t>
      </w:r>
      <w:r>
        <w:rPr>
          <w:rFonts w:hint="eastAsia"/>
        </w:rPr>
        <w:t>。</w:t>
      </w:r>
    </w:p>
    <w:p w:rsidR="003C2E11" w:rsidRDefault="003C2E11">
      <w:pPr>
        <w:pStyle w:val="SingleTxtGC"/>
      </w:pPr>
      <w:r>
        <w:t xml:space="preserve">25.  </w:t>
      </w:r>
      <w:r>
        <w:rPr>
          <w:rFonts w:hint="eastAsia"/>
        </w:rPr>
        <w:t>同时还确认：</w:t>
      </w:r>
    </w:p>
    <w:p w:rsidR="003C2E11" w:rsidRDefault="003C2E11">
      <w:pPr>
        <w:pStyle w:val="SingleTxtGC"/>
        <w:ind w:left="1565"/>
      </w:pPr>
      <w:r>
        <w:rPr>
          <w:rFonts w:hint="eastAsia"/>
        </w:rPr>
        <w:t>“保护宪法权利诉讼是由宪法规定并由立法者设定的，作为一项用于要求保护《西班牙宪法》第</w:t>
      </w:r>
      <w:r>
        <w:rPr>
          <w:rFonts w:hint="eastAsia"/>
        </w:rPr>
        <w:t>14</w:t>
      </w:r>
      <w:r>
        <w:rPr>
          <w:rFonts w:hint="eastAsia"/>
        </w:rPr>
        <w:t>条至第</w:t>
      </w:r>
      <w:r>
        <w:rPr>
          <w:rFonts w:hint="eastAsia"/>
        </w:rPr>
        <w:t>50</w:t>
      </w:r>
      <w:r>
        <w:rPr>
          <w:rFonts w:hint="eastAsia"/>
        </w:rPr>
        <w:t>条所赋予权利和自由的救济手段［……］且其唯一目的就是恢复或保护这些权利和自由［……］。因此，唯一适用于此类保护宪法权利的诉讼和《西班牙宪法》第</w:t>
      </w:r>
      <w:r>
        <w:rPr>
          <w:rFonts w:hint="eastAsia"/>
        </w:rPr>
        <w:t>53.2</w:t>
      </w:r>
      <w:r>
        <w:rPr>
          <w:rFonts w:hint="eastAsia"/>
        </w:rPr>
        <w:t>条规定的</w:t>
      </w:r>
      <w:r>
        <w:t>优先从速审理原则为基础的初审法庭</w:t>
      </w:r>
      <w:r>
        <w:rPr>
          <w:rFonts w:hint="eastAsia"/>
        </w:rPr>
        <w:t>有权过问的诉讼案件的审理方法就是遵照《西班牙宪法》对此类基本权利和公共自由的承认的相应规定执行，但是，其内容和范围应当按照《西班牙宪法》第</w:t>
      </w:r>
      <w:r>
        <w:rPr>
          <w:rFonts w:hint="eastAsia"/>
        </w:rPr>
        <w:t>10.2</w:t>
      </w:r>
      <w:r>
        <w:rPr>
          <w:rFonts w:hint="eastAsia"/>
        </w:rPr>
        <w:t>条所提到的国际公约和条约进行解释。”</w:t>
      </w:r>
    </w:p>
    <w:p w:rsidR="003C2E11" w:rsidRDefault="003C2E11">
      <w:pPr>
        <w:pStyle w:val="SingleTxtGC"/>
        <w:ind w:left="1565"/>
        <w:rPr>
          <w:rFonts w:hint="eastAsia"/>
        </w:rPr>
      </w:pPr>
      <w:r>
        <w:rPr>
          <w:rFonts w:hint="eastAsia"/>
        </w:rPr>
        <w:t>“依照上面提到的《宪法》第</w:t>
      </w:r>
      <w:r>
        <w:rPr>
          <w:rFonts w:hint="eastAsia"/>
        </w:rPr>
        <w:t>10.2</w:t>
      </w:r>
      <w:r>
        <w:rPr>
          <w:rFonts w:hint="eastAsia"/>
        </w:rPr>
        <w:t>条进行解释，并不是说这些国际条约或协议会自动转化为在基本权利方面对公权力机关的规定或行为进行评判的准则。如果发生这种情况，那么就是此类权利已经超出了宪法规定的界限了，因此，只需要将宪法条文与国际人权宣言，或者总的来说，将西班牙签署的涉及到基本权利和公共自由的各项条约保持一致即可。相反，一旦提起了要求宪法保护的诉讼，毫无疑问，这些被诉的规定或行动的有效性应当仅依照对此类诉讼所涉及的权利和自由予以承认的宪法规定，以</w:t>
      </w:r>
      <w:r>
        <w:t>优先从速审理原则</w:t>
      </w:r>
      <w:r>
        <w:rPr>
          <w:rFonts w:hint="eastAsia"/>
        </w:rPr>
        <w:t>进行评判，而在《西班牙宪法》第</w:t>
      </w:r>
      <w:r>
        <w:rPr>
          <w:rFonts w:hint="eastAsia"/>
        </w:rPr>
        <w:t>10.2</w:t>
      </w:r>
      <w:r>
        <w:rPr>
          <w:rFonts w:hint="eastAsia"/>
        </w:rPr>
        <w:t>条中所提到的国际条约和协议就成为了这方面的解释依据，有助于更好地界定提请本宪法法院对要求庇护的权利的内容进行界定［……］”</w:t>
      </w:r>
      <w:r>
        <w:rPr>
          <w:rFonts w:hint="eastAsia"/>
        </w:rPr>
        <w:t>(</w:t>
      </w:r>
      <w:r>
        <w:rPr>
          <w:rFonts w:hint="eastAsia"/>
        </w:rPr>
        <w:t>宪法法院</w:t>
      </w:r>
      <w:smartTag w:uri="urn:schemas-microsoft-com:office:smarttags" w:element="chsdate">
        <w:smartTagPr>
          <w:attr w:name="Year" w:val="1991"/>
          <w:attr w:name="Month" w:val="3"/>
          <w:attr w:name="Day" w:val="22"/>
          <w:attr w:name="IsLunarDate" w:val="False"/>
          <w:attr w:name="IsROCDate" w:val="False"/>
        </w:smartTagPr>
        <w:r>
          <w:rPr>
            <w:rFonts w:hint="eastAsia"/>
          </w:rPr>
          <w:t>1991</w:t>
        </w:r>
        <w:r>
          <w:rPr>
            <w:rFonts w:hint="eastAsia"/>
          </w:rPr>
          <w:t>年</w:t>
        </w:r>
        <w:r>
          <w:rPr>
            <w:rFonts w:hint="eastAsia"/>
          </w:rPr>
          <w:t>3</w:t>
        </w:r>
        <w:r>
          <w:rPr>
            <w:rFonts w:hint="eastAsia"/>
          </w:rPr>
          <w:t>月</w:t>
        </w:r>
        <w:r>
          <w:rPr>
            <w:rFonts w:hint="eastAsia"/>
          </w:rPr>
          <w:t>22</w:t>
        </w:r>
        <w:r>
          <w:rPr>
            <w:rFonts w:hint="eastAsia"/>
          </w:rPr>
          <w:t>日</w:t>
        </w:r>
      </w:smartTag>
      <w:r>
        <w:rPr>
          <w:rFonts w:hint="eastAsia"/>
        </w:rPr>
        <w:t>的第</w:t>
      </w:r>
      <w:r>
        <w:rPr>
          <w:rFonts w:hint="eastAsia"/>
        </w:rPr>
        <w:t>64/1991</w:t>
      </w:r>
      <w:r>
        <w:rPr>
          <w:rFonts w:hint="eastAsia"/>
        </w:rPr>
        <w:t>号判决</w:t>
      </w:r>
      <w:r>
        <w:rPr>
          <w:rFonts w:hint="eastAsia"/>
        </w:rPr>
        <w:t>)</w:t>
      </w:r>
      <w:r>
        <w:rPr>
          <w:rFonts w:hint="eastAsia"/>
        </w:rPr>
        <w:t>。</w:t>
      </w:r>
    </w:p>
    <w:p w:rsidR="003C2E11" w:rsidRDefault="003C2E11">
      <w:pPr>
        <w:pStyle w:val="SingleTxtGC"/>
      </w:pPr>
      <w:r>
        <w:t xml:space="preserve">26.  </w:t>
      </w:r>
      <w:r>
        <w:rPr>
          <w:rFonts w:hint="eastAsia"/>
        </w:rPr>
        <w:t>此类陈述已经被法院在其判决中不断重申，其中包括宪法法院</w:t>
      </w:r>
      <w:smartTag w:uri="urn:schemas-microsoft-com:office:smarttags" w:element="chsdate">
        <w:smartTagPr>
          <w:attr w:name="Year" w:val="1993"/>
          <w:attr w:name="Month" w:val="12"/>
          <w:attr w:name="Day" w:val="13"/>
          <w:attr w:name="IsLunarDate" w:val="False"/>
          <w:attr w:name="IsROCDate" w:val="False"/>
        </w:smartTagPr>
        <w:r>
          <w:rPr>
            <w:rFonts w:hint="eastAsia"/>
          </w:rPr>
          <w:t>1993</w:t>
        </w:r>
        <w:r>
          <w:rPr>
            <w:rFonts w:hint="eastAsia"/>
          </w:rPr>
          <w:t>年</w:t>
        </w:r>
        <w:r>
          <w:rPr>
            <w:rFonts w:hint="eastAsia"/>
          </w:rPr>
          <w:t>12</w:t>
        </w:r>
        <w:r>
          <w:rPr>
            <w:rFonts w:hint="eastAsia"/>
          </w:rPr>
          <w:t>月</w:t>
        </w:r>
        <w:r>
          <w:rPr>
            <w:rFonts w:hint="eastAsia"/>
          </w:rPr>
          <w:t>13</w:t>
        </w:r>
        <w:r>
          <w:rPr>
            <w:rFonts w:hint="eastAsia"/>
          </w:rPr>
          <w:t>日</w:t>
        </w:r>
      </w:smartTag>
      <w:r>
        <w:rPr>
          <w:rFonts w:hint="eastAsia"/>
        </w:rPr>
        <w:t>的第</w:t>
      </w:r>
      <w:r>
        <w:t>372/1993</w:t>
      </w:r>
      <w:r>
        <w:rPr>
          <w:rFonts w:hint="eastAsia"/>
        </w:rPr>
        <w:t>号判决；宪法法院</w:t>
      </w:r>
      <w:smartTag w:uri="urn:schemas-microsoft-com:office:smarttags" w:element="chsdate">
        <w:smartTagPr>
          <w:attr w:name="Year" w:val="2002"/>
          <w:attr w:name="Month" w:val="2"/>
          <w:attr w:name="Day" w:val="25"/>
          <w:attr w:name="IsLunarDate" w:val="False"/>
          <w:attr w:name="IsROCDate" w:val="False"/>
        </w:smartTagPr>
        <w:r>
          <w:rPr>
            <w:rFonts w:hint="eastAsia"/>
          </w:rPr>
          <w:t>2002</w:t>
        </w:r>
        <w:r>
          <w:rPr>
            <w:rFonts w:hint="eastAsia"/>
          </w:rPr>
          <w:t>年</w:t>
        </w:r>
        <w:r>
          <w:rPr>
            <w:rFonts w:hint="eastAsia"/>
          </w:rPr>
          <w:t>2</w:t>
        </w:r>
        <w:r>
          <w:rPr>
            <w:rFonts w:hint="eastAsia"/>
          </w:rPr>
          <w:t>月</w:t>
        </w:r>
        <w:r>
          <w:rPr>
            <w:rFonts w:hint="eastAsia"/>
          </w:rPr>
          <w:t>25</w:t>
        </w:r>
        <w:r>
          <w:rPr>
            <w:rFonts w:hint="eastAsia"/>
          </w:rPr>
          <w:t>日</w:t>
        </w:r>
      </w:smartTag>
      <w:r>
        <w:rPr>
          <w:rFonts w:hint="eastAsia"/>
        </w:rPr>
        <w:t>的第</w:t>
      </w:r>
      <w:r>
        <w:t>41/2002</w:t>
      </w:r>
      <w:r>
        <w:rPr>
          <w:rFonts w:hint="eastAsia"/>
        </w:rPr>
        <w:t>号判决；宪法法院</w:t>
      </w:r>
      <w:smartTag w:uri="urn:schemas-microsoft-com:office:smarttags" w:element="chsdate">
        <w:smartTagPr>
          <w:attr w:name="Year" w:val="2007"/>
          <w:attr w:name="Month" w:val="11"/>
          <w:attr w:name="Day" w:val="7"/>
          <w:attr w:name="IsLunarDate" w:val="False"/>
          <w:attr w:name="IsROCDate" w:val="False"/>
        </w:smartTagPr>
        <w:r>
          <w:rPr>
            <w:rFonts w:hint="eastAsia"/>
          </w:rPr>
          <w:t>2007</w:t>
        </w:r>
        <w:r>
          <w:rPr>
            <w:rFonts w:hint="eastAsia"/>
          </w:rPr>
          <w:t>年</w:t>
        </w:r>
        <w:r>
          <w:rPr>
            <w:rFonts w:hint="eastAsia"/>
          </w:rPr>
          <w:t>11</w:t>
        </w:r>
        <w:r>
          <w:rPr>
            <w:rFonts w:hint="eastAsia"/>
          </w:rPr>
          <w:t>月</w:t>
        </w:r>
        <w:r>
          <w:rPr>
            <w:rFonts w:hint="eastAsia"/>
          </w:rPr>
          <w:t>7</w:t>
        </w:r>
        <w:r>
          <w:rPr>
            <w:rFonts w:hint="eastAsia"/>
          </w:rPr>
          <w:t>日</w:t>
        </w:r>
      </w:smartTag>
      <w:r>
        <w:rPr>
          <w:rFonts w:hint="eastAsia"/>
        </w:rPr>
        <w:t>的第</w:t>
      </w:r>
      <w:r>
        <w:t>236/2007</w:t>
      </w:r>
      <w:r>
        <w:rPr>
          <w:rFonts w:hint="eastAsia"/>
        </w:rPr>
        <w:t>号判决以及宪法法院</w:t>
      </w:r>
      <w:smartTag w:uri="urn:schemas-microsoft-com:office:smarttags" w:element="chsdate">
        <w:smartTagPr>
          <w:attr w:name="Year" w:val="2010"/>
          <w:attr w:name="Month" w:val="10"/>
          <w:attr w:name="Day" w:val="26"/>
          <w:attr w:name="IsLunarDate" w:val="False"/>
          <w:attr w:name="IsROCDate" w:val="False"/>
        </w:smartTagPr>
        <w:r>
          <w:rPr>
            <w:rFonts w:hint="eastAsia"/>
          </w:rPr>
          <w:t>2010</w:t>
        </w:r>
        <w:r>
          <w:rPr>
            <w:rFonts w:hint="eastAsia"/>
          </w:rPr>
          <w:t>年</w:t>
        </w:r>
        <w:r>
          <w:rPr>
            <w:rFonts w:hint="eastAsia"/>
          </w:rPr>
          <w:t>10</w:t>
        </w:r>
        <w:r>
          <w:rPr>
            <w:rFonts w:hint="eastAsia"/>
          </w:rPr>
          <w:t>月</w:t>
        </w:r>
        <w:r>
          <w:rPr>
            <w:rFonts w:hint="eastAsia"/>
          </w:rPr>
          <w:t>26</w:t>
        </w:r>
        <w:r>
          <w:rPr>
            <w:rFonts w:hint="eastAsia"/>
          </w:rPr>
          <w:t>日</w:t>
        </w:r>
      </w:smartTag>
      <w:r>
        <w:rPr>
          <w:rFonts w:hint="eastAsia"/>
        </w:rPr>
        <w:t>的第</w:t>
      </w:r>
      <w:r>
        <w:t>80/2010</w:t>
      </w:r>
      <w:r>
        <w:rPr>
          <w:rFonts w:hint="eastAsia"/>
        </w:rPr>
        <w:t>号判决，由此我们可以将其所依据的学说理论归结如下：“［……］在解决保护宪法权利的诉讼中唯一允许遵循的准则就是宪法针对被指控受到侵犯的权利或自由所作的规定，就这些规定或行为的违宪诉讼而言，这方面的相关国际法规仅能作为验证相应的侵权或侵犯自由的事实是否成立的一项附加因素［……］”。</w:t>
      </w:r>
    </w:p>
    <w:p w:rsidR="003C2E11" w:rsidRDefault="003C2E11">
      <w:pPr>
        <w:pStyle w:val="SingleTxtGC"/>
      </w:pPr>
      <w:r>
        <w:t xml:space="preserve">27.  </w:t>
      </w:r>
      <w:r>
        <w:rPr>
          <w:rFonts w:hint="eastAsia"/>
        </w:rPr>
        <w:t>最高法院在这方面也别无选择地秉持相同立场。为了解其理论学说，可以援引最高法院</w:t>
      </w:r>
      <w:smartTag w:uri="urn:schemas-microsoft-com:office:smarttags" w:element="chsdate">
        <w:smartTagPr>
          <w:attr w:name="Year" w:val="2007"/>
          <w:attr w:name="Month" w:val="10"/>
          <w:attr w:name="Day" w:val="1"/>
          <w:attr w:name="IsLunarDate" w:val="False"/>
          <w:attr w:name="IsROCDate" w:val="False"/>
        </w:smartTagPr>
        <w:r>
          <w:rPr>
            <w:rFonts w:hint="eastAsia"/>
          </w:rPr>
          <w:t>2007</w:t>
        </w:r>
        <w:r>
          <w:rPr>
            <w:rFonts w:hint="eastAsia"/>
          </w:rPr>
          <w:t>年</w:t>
        </w:r>
        <w:r>
          <w:rPr>
            <w:rFonts w:hint="eastAsia"/>
          </w:rPr>
          <w:t>10</w:t>
        </w:r>
        <w:r>
          <w:rPr>
            <w:rFonts w:hint="eastAsia"/>
          </w:rPr>
          <w:t>月</w:t>
        </w:r>
        <w:r>
          <w:rPr>
            <w:rFonts w:hint="eastAsia"/>
          </w:rPr>
          <w:t>1</w:t>
        </w:r>
        <w:r>
          <w:rPr>
            <w:rFonts w:hint="eastAsia"/>
          </w:rPr>
          <w:t>日</w:t>
        </w:r>
      </w:smartTag>
      <w:r>
        <w:rPr>
          <w:rFonts w:hint="eastAsia"/>
        </w:rPr>
        <w:t>就斯西林格</w:t>
      </w:r>
      <w:r>
        <w:rPr>
          <w:rFonts w:hint="eastAsia"/>
        </w:rPr>
        <w:t>(</w:t>
      </w:r>
      <w:r>
        <w:t>Scilingo</w:t>
      </w:r>
      <w:r>
        <w:rPr>
          <w:rFonts w:hint="eastAsia"/>
        </w:rPr>
        <w:t>)</w:t>
      </w:r>
      <w:r>
        <w:rPr>
          <w:rFonts w:hint="eastAsia"/>
        </w:rPr>
        <w:t>案所做的第</w:t>
      </w:r>
      <w:r>
        <w:rPr>
          <w:rFonts w:hint="eastAsia"/>
        </w:rPr>
        <w:t>798/2007</w:t>
      </w:r>
      <w:r>
        <w:rPr>
          <w:rFonts w:hint="eastAsia"/>
        </w:rPr>
        <w:t>号判决以及</w:t>
      </w:r>
      <w:smartTag w:uri="urn:schemas-microsoft-com:office:smarttags" w:element="chsdate">
        <w:smartTagPr>
          <w:attr w:name="Year" w:val="2012"/>
          <w:attr w:name="Month" w:val="2"/>
          <w:attr w:name="Day" w:val="27"/>
          <w:attr w:name="IsLunarDate" w:val="False"/>
          <w:attr w:name="IsROCDate" w:val="False"/>
        </w:smartTagPr>
        <w:r>
          <w:rPr>
            <w:rFonts w:hint="eastAsia"/>
          </w:rPr>
          <w:t>2012</w:t>
        </w:r>
        <w:r>
          <w:rPr>
            <w:rFonts w:hint="eastAsia"/>
          </w:rPr>
          <w:t>年</w:t>
        </w:r>
        <w:r>
          <w:rPr>
            <w:rFonts w:hint="eastAsia"/>
          </w:rPr>
          <w:t>2</w:t>
        </w:r>
        <w:r>
          <w:rPr>
            <w:rFonts w:hint="eastAsia"/>
          </w:rPr>
          <w:t>月</w:t>
        </w:r>
        <w:r>
          <w:rPr>
            <w:rFonts w:hint="eastAsia"/>
          </w:rPr>
          <w:t>27</w:t>
        </w:r>
        <w:r>
          <w:rPr>
            <w:rFonts w:hint="eastAsia"/>
          </w:rPr>
          <w:t>日</w:t>
        </w:r>
      </w:smartTag>
      <w:r>
        <w:rPr>
          <w:rFonts w:hint="eastAsia"/>
        </w:rPr>
        <w:t>就加尔松</w:t>
      </w:r>
      <w:r>
        <w:rPr>
          <w:rFonts w:hint="eastAsia"/>
        </w:rPr>
        <w:t>(</w:t>
      </w:r>
      <w:r>
        <w:t>Garzón</w:t>
      </w:r>
      <w:r>
        <w:rPr>
          <w:rFonts w:hint="eastAsia"/>
        </w:rPr>
        <w:t>)</w:t>
      </w:r>
      <w:r>
        <w:rPr>
          <w:rFonts w:hint="eastAsia"/>
        </w:rPr>
        <w:t>案所做的第</w:t>
      </w:r>
      <w:r>
        <w:t>101/2012</w:t>
      </w:r>
      <w:r>
        <w:rPr>
          <w:rFonts w:hint="eastAsia"/>
        </w:rPr>
        <w:t>号判决，后者沿袭了前一判决所持的立场。</w:t>
      </w:r>
    </w:p>
    <w:p w:rsidR="003C2E11" w:rsidRDefault="003C2E11">
      <w:pPr>
        <w:pStyle w:val="SingleTxtGC"/>
        <w:rPr>
          <w:rFonts w:hint="eastAsia"/>
        </w:rPr>
      </w:pPr>
      <w:r>
        <w:t xml:space="preserve">28.  </w:t>
      </w:r>
      <w:r>
        <w:rPr>
          <w:rFonts w:hint="eastAsia"/>
        </w:rPr>
        <w:t>在第一例判决中可以看到，针对这一案件判令采用国际刑事法之规定：“［……］有必要根据国内法在操作上进行准确的转换，至少要在像西班牙这类国际法规对其没有直接效力的国内法体系中实现转换［……］”并认为“［……］从我国法律的角度来看，国际习惯法并不适合用来设定可以直接由西班牙法院采用的完整的各类刑事犯罪划分［……］”。</w:t>
      </w:r>
    </w:p>
    <w:p w:rsidR="003C2E11" w:rsidRDefault="003C2E11">
      <w:pPr>
        <w:pStyle w:val="SingleTxtGC"/>
      </w:pPr>
      <w:r>
        <w:t xml:space="preserve">29.  </w:t>
      </w:r>
      <w:r>
        <w:rPr>
          <w:rFonts w:hint="eastAsia"/>
        </w:rPr>
        <w:t>在第二例判决中，判决书中赦免了被指控犯有《刑法典》第</w:t>
      </w:r>
      <w:r>
        <w:rPr>
          <w:rFonts w:hint="eastAsia"/>
        </w:rPr>
        <w:t>446.3</w:t>
      </w:r>
      <w:r>
        <w:rPr>
          <w:rFonts w:hint="eastAsia"/>
        </w:rPr>
        <w:t>条所指的司法渎职罪的司法当局的责任</w:t>
      </w:r>
      <w:r>
        <w:rPr>
          <w:rFonts w:hint="eastAsia"/>
        </w:rPr>
        <w:t>(</w:t>
      </w:r>
      <w:r>
        <w:rPr>
          <w:rFonts w:hint="eastAsia"/>
        </w:rPr>
        <w:t>“法官或司法当局故意对犯罪人作出不公正的判决，将予以如下惩处……”</w:t>
      </w:r>
      <w:r>
        <w:rPr>
          <w:rFonts w:hint="eastAsia"/>
        </w:rPr>
        <w:t>)</w:t>
      </w:r>
      <w:r>
        <w:rPr>
          <w:rFonts w:hint="eastAsia"/>
        </w:rPr>
        <w:t>判决理由如下：“《西班牙宪法》在其第</w:t>
      </w:r>
      <w:r>
        <w:rPr>
          <w:rFonts w:hint="eastAsia"/>
        </w:rPr>
        <w:t>93</w:t>
      </w:r>
      <w:r>
        <w:rPr>
          <w:rFonts w:hint="eastAsia"/>
        </w:rPr>
        <w:t>条及以后诸条中规定了将国际条约纳入到国内法中的方式，以便赋予其《大宪章》</w:t>
      </w:r>
      <w:r>
        <w:rPr>
          <w:rFonts w:hint="eastAsia"/>
        </w:rPr>
        <w:t>(</w:t>
      </w:r>
      <w:r>
        <w:rPr>
          <w:rFonts w:hint="eastAsia"/>
        </w:rPr>
        <w:t>《宪法》</w:t>
      </w:r>
      <w:r>
        <w:rPr>
          <w:rFonts w:hint="eastAsia"/>
        </w:rPr>
        <w:t>)</w:t>
      </w:r>
      <w:r>
        <w:rPr>
          <w:rFonts w:hint="eastAsia"/>
        </w:rPr>
        <w:t>第</w:t>
      </w:r>
      <w:r>
        <w:rPr>
          <w:rFonts w:hint="eastAsia"/>
        </w:rPr>
        <w:t>10.2</w:t>
      </w:r>
      <w:r>
        <w:rPr>
          <w:rFonts w:hint="eastAsia"/>
        </w:rPr>
        <w:t>条所赋效力［……］，这不妨碍［此处指国际习惯法］将其视作依照在犯罪事实发生之时有效的《刑法典》所设定的犯罪类型而对犯罪进行国际诉讼并依照具体情况处以相应惩罚的解释标准和背景要素。这就是对危害人类罪诉诸法律，通过国际途径进行审判的背景，此外，考虑到了在依照具体案情处以相应惩罚的权限，而无需对此重新划定分类［……］”。</w:t>
      </w:r>
    </w:p>
    <w:p w:rsidR="003C2E11" w:rsidRDefault="003C2E11">
      <w:pPr>
        <w:pStyle w:val="SingleTxtGC"/>
      </w:pPr>
      <w:r>
        <w:t xml:space="preserve">30.  </w:t>
      </w:r>
      <w:r>
        <w:rPr>
          <w:rFonts w:hint="eastAsia"/>
        </w:rPr>
        <w:t>这一判决还肯定了其立场：“我们在第</w:t>
      </w:r>
      <w:r>
        <w:rPr>
          <w:rFonts w:hint="eastAsia"/>
        </w:rPr>
        <w:t>798/2007</w:t>
      </w:r>
      <w:r>
        <w:rPr>
          <w:rFonts w:hint="eastAsia"/>
        </w:rPr>
        <w:t>号判决中是这样说的，现在我们还是这样说，即如果要让罪刑法定原则成为西班牙法治制度的有效要素，就要让国际法根据《宪法》规定的方式融入到国内法中并具备宪法所规定的效力。如果在国内法中没有包含相应的定罪量刑规定，那么定罪量刑原则就不可能按照关于刑事案件的国际习惯法所载的规定加以适用，最多被理论界的某些学者所支持。如果以后在国内法中加入了相应规定，那么相应的定罪量刑只有在规定颁布之后方可适用。罪刑法定原则赋予了相应的保障，对个人权利不利的惩罚规定不具追溯效力</w:t>
      </w:r>
      <w:r>
        <w:rPr>
          <w:rFonts w:hint="eastAsia"/>
        </w:rPr>
        <w:t>(</w:t>
      </w:r>
      <w:r>
        <w:rPr>
          <w:rFonts w:hint="eastAsia"/>
        </w:rPr>
        <w:t>《西班牙宪法》第</w:t>
      </w:r>
      <w:r>
        <w:rPr>
          <w:rFonts w:hint="eastAsia"/>
        </w:rPr>
        <w:t>9.3</w:t>
      </w:r>
      <w:r>
        <w:rPr>
          <w:rFonts w:hint="eastAsia"/>
        </w:rPr>
        <w:t>条</w:t>
      </w:r>
      <w:r>
        <w:rPr>
          <w:rFonts w:hint="eastAsia"/>
        </w:rPr>
        <w:t>)</w:t>
      </w:r>
      <w:r>
        <w:rPr>
          <w:rFonts w:hint="eastAsia"/>
        </w:rPr>
        <w:t>禁止依据后颁布的法律来追溯在法律生效前发生的事实，在这方面无一例外</w:t>
      </w:r>
      <w:r>
        <w:rPr>
          <w:rFonts w:hint="eastAsia"/>
        </w:rPr>
        <w:t>(</w:t>
      </w:r>
      <w:r>
        <w:rPr>
          <w:rFonts w:hint="eastAsia"/>
        </w:rPr>
        <w:t>《刑法典》第</w:t>
      </w:r>
      <w:r>
        <w:rPr>
          <w:rFonts w:hint="eastAsia"/>
        </w:rPr>
        <w:t>1</w:t>
      </w:r>
      <w:r>
        <w:rPr>
          <w:rFonts w:hint="eastAsia"/>
        </w:rPr>
        <w:t>条和第</w:t>
      </w:r>
      <w:r>
        <w:rPr>
          <w:rFonts w:hint="eastAsia"/>
        </w:rPr>
        <w:t>2</w:t>
      </w:r>
      <w:r>
        <w:rPr>
          <w:rFonts w:hint="eastAsia"/>
        </w:rPr>
        <w:t>条也做出了类似的规定</w:t>
      </w:r>
      <w:r>
        <w:rPr>
          <w:rFonts w:hint="eastAsia"/>
        </w:rPr>
        <w:t>)</w:t>
      </w:r>
      <w:r>
        <w:rPr>
          <w:rFonts w:hint="eastAsia"/>
        </w:rPr>
        <w:t>。对罪刑法定原则的要求适用于常规性和习惯性的国际刑事法，但是这并不妨碍将之用作一项对保护人权文化的解释性规则，其内容应当体现出在法律上的更新……。”</w:t>
      </w:r>
    </w:p>
    <w:p w:rsidR="003C2E11" w:rsidRDefault="003C2E11">
      <w:pPr>
        <w:pStyle w:val="SingleTxtGC"/>
      </w:pPr>
      <w:r>
        <w:t xml:space="preserve">31.  </w:t>
      </w:r>
      <w:r>
        <w:rPr>
          <w:rFonts w:hint="eastAsia"/>
        </w:rPr>
        <w:t>该判决的下文中仍然不断引证这一论点，指出“……由最高法院和宪法法院一脉相承的多项判决所形成的判例，已经形成了针对罪刑法定原则的严格概念，并依次遵循前置法、确定法、严格法和成文法的效力。西班牙《刑法典》在其前四条中设定了罪刑法定原则，并在《宪法》第</w:t>
      </w:r>
      <w:r>
        <w:rPr>
          <w:rFonts w:hint="eastAsia"/>
        </w:rPr>
        <w:t>25.1</w:t>
      </w:r>
      <w:r>
        <w:rPr>
          <w:rFonts w:hint="eastAsia"/>
        </w:rPr>
        <w:t>条和第</w:t>
      </w:r>
      <w:r>
        <w:rPr>
          <w:rFonts w:hint="eastAsia"/>
        </w:rPr>
        <w:t>9.3</w:t>
      </w:r>
      <w:r>
        <w:rPr>
          <w:rFonts w:hint="eastAsia"/>
        </w:rPr>
        <w:t>条中展开论述，任何一项判例都揭示了对这一原则的严格设定……。”</w:t>
      </w:r>
    </w:p>
    <w:p w:rsidR="003C2E11" w:rsidRDefault="003C2E11">
      <w:pPr>
        <w:pStyle w:val="SingleTxtGC"/>
        <w:rPr>
          <w:rFonts w:hint="eastAsia"/>
        </w:rPr>
      </w:pPr>
      <w:r>
        <w:t xml:space="preserve">32.  </w:t>
      </w:r>
      <w:r>
        <w:rPr>
          <w:rFonts w:hint="eastAsia"/>
        </w:rPr>
        <w:t>判决在最后援引了一些由国际人权保护机构所发布的决议，这些决议都裁定要遵守罪刑法定原则，以此作为落实常规法和法律标准的条件，并由此认为“……其存在</w:t>
      </w:r>
      <w:r>
        <w:rPr>
          <w:rFonts w:hint="eastAsia"/>
          <w:spacing w:val="-60"/>
        </w:rPr>
        <w:t>―</w:t>
      </w:r>
      <w:r>
        <w:rPr>
          <w:rFonts w:hint="eastAsia"/>
          <w:spacing w:val="10"/>
        </w:rPr>
        <w:t>―</w:t>
      </w:r>
      <w:r>
        <w:rPr>
          <w:rFonts w:hint="eastAsia"/>
        </w:rPr>
        <w:t>在这里指罪刑法定原则</w:t>
      </w:r>
      <w:r>
        <w:rPr>
          <w:rFonts w:hint="eastAsia"/>
          <w:spacing w:val="-60"/>
        </w:rPr>
        <w:t>―</w:t>
      </w:r>
      <w:r>
        <w:rPr>
          <w:rFonts w:hint="eastAsia"/>
          <w:spacing w:val="10"/>
        </w:rPr>
        <w:t>―</w:t>
      </w:r>
      <w:r>
        <w:rPr>
          <w:rFonts w:hint="eastAsia"/>
        </w:rPr>
        <w:t>与国际法并不相悖，因为这一原则也被联合国的人权委员会所采纳。因此，裁定公约对阿根廷的多例失踪案件不具追溯力</w:t>
      </w:r>
      <w:r>
        <w:rPr>
          <w:rFonts w:hint="eastAsia"/>
        </w:rPr>
        <w:t>(</w:t>
      </w:r>
      <w:r>
        <w:rPr>
          <w:rFonts w:hint="eastAsia"/>
        </w:rPr>
        <w:t>第</w:t>
      </w:r>
      <w:r>
        <w:rPr>
          <w:rFonts w:hint="eastAsia"/>
        </w:rPr>
        <w:t>275/1988</w:t>
      </w:r>
      <w:r>
        <w:rPr>
          <w:rFonts w:hint="eastAsia"/>
        </w:rPr>
        <w:t>号决议：阿根廷，</w:t>
      </w:r>
      <w:smartTag w:uri="urn:schemas-microsoft-com:office:smarttags" w:element="chsdate">
        <w:smartTagPr>
          <w:attr w:name="Year" w:val="1990"/>
          <w:attr w:name="Month" w:val="4"/>
          <w:attr w:name="Day" w:val="4"/>
          <w:attr w:name="IsLunarDate" w:val="False"/>
          <w:attr w:name="IsROCDate" w:val="False"/>
        </w:smartTagPr>
        <w:r>
          <w:rPr>
            <w:rFonts w:hint="eastAsia"/>
          </w:rPr>
          <w:t>1990</w:t>
        </w:r>
        <w:r>
          <w:rPr>
            <w:rFonts w:hint="eastAsia"/>
          </w:rPr>
          <w:t>年</w:t>
        </w:r>
        <w:r>
          <w:rPr>
            <w:rFonts w:hint="eastAsia"/>
          </w:rPr>
          <w:t>4</w:t>
        </w:r>
        <w:r>
          <w:rPr>
            <w:rFonts w:hint="eastAsia"/>
          </w:rPr>
          <w:t>月</w:t>
        </w:r>
        <w:r>
          <w:rPr>
            <w:rFonts w:hint="eastAsia"/>
          </w:rPr>
          <w:t>4</w:t>
        </w:r>
        <w:r>
          <w:rPr>
            <w:rFonts w:hint="eastAsia"/>
          </w:rPr>
          <w:t>日</w:t>
        </w:r>
      </w:smartTag>
      <w:r>
        <w:rPr>
          <w:rFonts w:hint="eastAsia"/>
        </w:rPr>
        <w:t>及第</w:t>
      </w:r>
      <w:r>
        <w:rPr>
          <w:rFonts w:hint="eastAsia"/>
        </w:rPr>
        <w:t>343</w:t>
      </w:r>
      <w:r>
        <w:rPr>
          <w:rFonts w:hint="eastAsia"/>
        </w:rPr>
        <w:t>、</w:t>
      </w:r>
      <w:r>
        <w:rPr>
          <w:rFonts w:hint="eastAsia"/>
        </w:rPr>
        <w:t>344</w:t>
      </w:r>
      <w:r>
        <w:rPr>
          <w:rFonts w:hint="eastAsia"/>
        </w:rPr>
        <w:t>和</w:t>
      </w:r>
      <w:r>
        <w:rPr>
          <w:rFonts w:hint="eastAsia"/>
        </w:rPr>
        <w:t>345/1988</w:t>
      </w:r>
      <w:r>
        <w:rPr>
          <w:rFonts w:hint="eastAsia"/>
        </w:rPr>
        <w:t>号决议：阿根廷，</w:t>
      </w:r>
      <w:r>
        <w:rPr>
          <w:rFonts w:hint="eastAsia"/>
        </w:rPr>
        <w:t>1990</w:t>
      </w:r>
      <w:r>
        <w:rPr>
          <w:rFonts w:hint="eastAsia"/>
        </w:rPr>
        <w:t>年</w:t>
      </w:r>
      <w:r>
        <w:rPr>
          <w:rFonts w:hint="eastAsia"/>
        </w:rPr>
        <w:t>4</w:t>
      </w:r>
      <w:r>
        <w:rPr>
          <w:rFonts w:hint="eastAsia"/>
        </w:rPr>
        <w:t>月</w:t>
      </w:r>
      <w:r>
        <w:rPr>
          <w:rFonts w:hint="eastAsia"/>
        </w:rPr>
        <w:t>5</w:t>
      </w:r>
      <w:r>
        <w:rPr>
          <w:rFonts w:hint="eastAsia"/>
        </w:rPr>
        <w:t>日</w:t>
      </w:r>
      <w:r>
        <w:rPr>
          <w:rFonts w:hint="eastAsia"/>
        </w:rPr>
        <w:t>)</w:t>
      </w:r>
      <w:r>
        <w:rPr>
          <w:rFonts w:hint="eastAsia"/>
        </w:rPr>
        <w:t>。在《公民权利和政治权利国际公约》的适用时效方面，委员会提请注意的是，这两项文书都是在</w:t>
      </w:r>
      <w:smartTag w:uri="urn:schemas-microsoft-com:office:smarttags" w:element="chsdate">
        <w:smartTagPr>
          <w:attr w:name="Year" w:val="1986"/>
          <w:attr w:name="Month" w:val="11"/>
          <w:attr w:name="Day" w:val="8"/>
          <w:attr w:name="IsLunarDate" w:val="False"/>
          <w:attr w:name="IsROCDate" w:val="False"/>
        </w:smartTagPr>
        <w:r>
          <w:rPr>
            <w:rFonts w:hint="eastAsia"/>
          </w:rPr>
          <w:t>1986</w:t>
        </w:r>
        <w:r>
          <w:rPr>
            <w:rFonts w:hint="eastAsia"/>
          </w:rPr>
          <w:t>年</w:t>
        </w:r>
        <w:r>
          <w:rPr>
            <w:rFonts w:hint="eastAsia"/>
          </w:rPr>
          <w:t>11</w:t>
        </w:r>
        <w:r>
          <w:rPr>
            <w:rFonts w:hint="eastAsia"/>
          </w:rPr>
          <w:t>月</w:t>
        </w:r>
        <w:r>
          <w:rPr>
            <w:rFonts w:hint="eastAsia"/>
          </w:rPr>
          <w:t>8</w:t>
        </w:r>
        <w:r>
          <w:rPr>
            <w:rFonts w:hint="eastAsia"/>
          </w:rPr>
          <w:t>日</w:t>
        </w:r>
      </w:smartTag>
      <w:r>
        <w:rPr>
          <w:rFonts w:hint="eastAsia"/>
        </w:rPr>
        <w:t>生效。可以看到，《公约》不具备追溯效力，且委员会针对在《公约》生效之前发生的可能侵权的案件已经不具备属时管辖权［……］”。</w:t>
      </w:r>
    </w:p>
    <w:p w:rsidR="003C2E11" w:rsidRDefault="003C2E11">
      <w:pPr>
        <w:pStyle w:val="H23GC"/>
      </w:pPr>
      <w:r>
        <w:tab/>
        <w:t>3.</w:t>
      </w:r>
      <w:r>
        <w:tab/>
      </w:r>
      <w:r>
        <w:rPr>
          <w:rFonts w:hint="eastAsia"/>
        </w:rPr>
        <w:t>由西班牙批准的与基本权利和自由相关的国际条约和协议</w:t>
      </w:r>
    </w:p>
    <w:p w:rsidR="003C2E11" w:rsidRDefault="003C2E11">
      <w:pPr>
        <w:pStyle w:val="SingleTxtGC"/>
      </w:pPr>
      <w:r>
        <w:t xml:space="preserve">33.  </w:t>
      </w:r>
      <w:r>
        <w:rPr>
          <w:rFonts w:hint="eastAsia"/>
        </w:rPr>
        <w:t>正如迄今所表述的那样，国际人权法对于西班牙体系至关重要，是用于界定《西班牙宪法》所赋予的各项权利和自由的适用范围和内容的解释性标准，但是，为了让这一解释作用切实有效，一个重要的前提就是这一国际法通过批准来被纳入到西班牙法律制度中。</w:t>
      </w:r>
    </w:p>
    <w:p w:rsidR="003C2E11" w:rsidRDefault="003C2E11">
      <w:pPr>
        <w:pStyle w:val="SingleTxtGC"/>
      </w:pPr>
      <w:r>
        <w:t xml:space="preserve">34.  </w:t>
      </w:r>
      <w:r>
        <w:rPr>
          <w:rFonts w:hint="eastAsia"/>
        </w:rPr>
        <w:t>事实上，《西班牙宪法》第</w:t>
      </w:r>
      <w:r>
        <w:rPr>
          <w:rFonts w:hint="eastAsia"/>
        </w:rPr>
        <w:t>10.2</w:t>
      </w:r>
      <w:r>
        <w:rPr>
          <w:rFonts w:hint="eastAsia"/>
        </w:rPr>
        <w:t>条明确提到了《世界人权宣言》以及由西班牙批准的涉及到基本权利和自由的各项国际条约和协议。这样，问题就在于确定哪些国际人权文书能够作为解释与落实《西班牙宪法》所承认的各项权利和自由有关的参照标准。</w:t>
      </w:r>
    </w:p>
    <w:p w:rsidR="003C2E11" w:rsidRDefault="003C2E11">
      <w:pPr>
        <w:pStyle w:val="SingleTxtGC"/>
      </w:pPr>
      <w:r>
        <w:t xml:space="preserve">35.  </w:t>
      </w:r>
      <w:r>
        <w:rPr>
          <w:rFonts w:hint="eastAsia"/>
        </w:rPr>
        <w:t>为甄别这方面的文书，应当指出的是，国际人权法已经完成了《西班牙宪法》第</w:t>
      </w:r>
      <w:r>
        <w:rPr>
          <w:rFonts w:hint="eastAsia"/>
        </w:rPr>
        <w:t>96.1</w:t>
      </w:r>
      <w:r>
        <w:rPr>
          <w:rFonts w:hint="eastAsia"/>
        </w:rPr>
        <w:t>条所规定的批准</w:t>
      </w:r>
      <w:r>
        <w:rPr>
          <w:rFonts w:hint="eastAsia"/>
        </w:rPr>
        <w:t>/</w:t>
      </w:r>
      <w:r>
        <w:rPr>
          <w:rFonts w:hint="eastAsia"/>
        </w:rPr>
        <w:t>融合程序，该条规定：“</w:t>
      </w:r>
      <w:r>
        <w:t>有效签订的国际条约一经在西班牙正式公布，将成为国内法制的组成部分</w:t>
      </w:r>
      <w:r>
        <w:rPr>
          <w:rFonts w:hint="eastAsia"/>
        </w:rPr>
        <w:t>。</w:t>
      </w:r>
      <w:r>
        <w:t>条约内容的废除、修改或中止只能按国际条约本身规定的方式或根据国际法</w:t>
      </w:r>
      <w:r>
        <w:rPr>
          <w:rFonts w:hint="eastAsia"/>
        </w:rPr>
        <w:t>的</w:t>
      </w:r>
      <w:r>
        <w:t>普遍准则进行</w:t>
      </w:r>
      <w:r>
        <w:rPr>
          <w:rFonts w:hint="eastAsia"/>
        </w:rPr>
        <w:t>”</w:t>
      </w:r>
      <w:r>
        <w:t>。</w:t>
      </w:r>
    </w:p>
    <w:p w:rsidR="003C2E11" w:rsidRDefault="003C2E11">
      <w:pPr>
        <w:pStyle w:val="SingleTxtGC"/>
      </w:pPr>
      <w:r>
        <w:t xml:space="preserve">36.  </w:t>
      </w:r>
      <w:r>
        <w:rPr>
          <w:rFonts w:hint="eastAsia"/>
        </w:rPr>
        <w:t>如上所述，可以列举以下属于《西班牙宪法》第</w:t>
      </w:r>
      <w:r>
        <w:rPr>
          <w:rFonts w:hint="eastAsia"/>
        </w:rPr>
        <w:t>10.2</w:t>
      </w:r>
      <w:r>
        <w:rPr>
          <w:rFonts w:hint="eastAsia"/>
        </w:rPr>
        <w:t>条所指的在总体或世界范围内</w:t>
      </w:r>
      <w:r>
        <w:rPr>
          <w:rFonts w:hint="eastAsia"/>
          <w:spacing w:val="-60"/>
        </w:rPr>
        <w:t>―</w:t>
      </w:r>
      <w:r>
        <w:rPr>
          <w:rFonts w:hint="eastAsia"/>
          <w:spacing w:val="10"/>
        </w:rPr>
        <w:t>―</w:t>
      </w:r>
      <w:r>
        <w:rPr>
          <w:rFonts w:hint="eastAsia"/>
        </w:rPr>
        <w:t>联合国范围内</w:t>
      </w:r>
      <w:r>
        <w:rPr>
          <w:rFonts w:hint="eastAsia"/>
          <w:spacing w:val="-60"/>
        </w:rPr>
        <w:t>―</w:t>
      </w:r>
      <w:r>
        <w:rPr>
          <w:rFonts w:hint="eastAsia"/>
          <w:spacing w:val="10"/>
        </w:rPr>
        <w:t>―</w:t>
      </w:r>
      <w:r>
        <w:rPr>
          <w:rFonts w:hint="eastAsia"/>
        </w:rPr>
        <w:t>以及区域范围内的主要条约：</w:t>
      </w:r>
    </w:p>
    <w:p w:rsidR="003C2E11" w:rsidRDefault="003C2E11">
      <w:pPr>
        <w:pStyle w:val="SingleTxtGC"/>
        <w:numPr>
          <w:ilvl w:val="0"/>
          <w:numId w:val="20"/>
        </w:numPr>
        <w:rPr>
          <w:rFonts w:hint="eastAsia"/>
        </w:rPr>
      </w:pPr>
      <w:r>
        <w:rPr>
          <w:rFonts w:hint="eastAsia"/>
        </w:rPr>
        <w:t>《宪法》明确提到的，联合国大会在其</w:t>
      </w:r>
      <w:smartTag w:uri="urn:schemas-microsoft-com:office:smarttags" w:element="chsdate">
        <w:smartTagPr>
          <w:attr w:name="Year" w:val="1948"/>
          <w:attr w:name="Month" w:val="12"/>
          <w:attr w:name="Day" w:val="10"/>
          <w:attr w:name="IsLunarDate" w:val="False"/>
          <w:attr w:name="IsROCDate" w:val="False"/>
        </w:smartTagPr>
        <w:r>
          <w:rPr>
            <w:rFonts w:hint="eastAsia"/>
          </w:rPr>
          <w:t>1948</w:t>
        </w:r>
        <w:r>
          <w:rPr>
            <w:rFonts w:hint="eastAsia"/>
          </w:rPr>
          <w:t>年</w:t>
        </w:r>
        <w:r>
          <w:rPr>
            <w:rFonts w:hint="eastAsia"/>
          </w:rPr>
          <w:t>12</w:t>
        </w:r>
        <w:r>
          <w:rPr>
            <w:rFonts w:hint="eastAsia"/>
          </w:rPr>
          <w:t>月</w:t>
        </w:r>
        <w:r>
          <w:rPr>
            <w:rFonts w:hint="eastAsia"/>
          </w:rPr>
          <w:t>10</w:t>
        </w:r>
        <w:r>
          <w:rPr>
            <w:rFonts w:hint="eastAsia"/>
          </w:rPr>
          <w:t>日</w:t>
        </w:r>
      </w:smartTag>
      <w:r>
        <w:rPr>
          <w:rFonts w:hint="eastAsia"/>
        </w:rPr>
        <w:t>的第</w:t>
      </w:r>
      <w:r>
        <w:rPr>
          <w:rFonts w:hint="eastAsia"/>
        </w:rPr>
        <w:t>217 A(III)</w:t>
      </w:r>
      <w:r>
        <w:rPr>
          <w:rFonts w:hint="eastAsia"/>
        </w:rPr>
        <w:t>号决议中采纳并颁布的《世界人权宣言》。</w:t>
      </w:r>
    </w:p>
    <w:p w:rsidR="003C2E11" w:rsidRDefault="003C2E11">
      <w:pPr>
        <w:pStyle w:val="SingleTxtGC"/>
        <w:numPr>
          <w:ilvl w:val="0"/>
          <w:numId w:val="20"/>
        </w:numPr>
      </w:pPr>
      <w:r>
        <w:rPr>
          <w:rFonts w:hint="eastAsia"/>
        </w:rPr>
        <w:t>在世界范围内：在西班牙核心文件</w:t>
      </w:r>
      <w:r>
        <w:rPr>
          <w:rFonts w:hint="eastAsia"/>
        </w:rPr>
        <w:t>(</w:t>
      </w:r>
      <w:r>
        <w:t>HRI/CORE/ESP/2010</w:t>
      </w:r>
      <w:r>
        <w:rPr>
          <w:rFonts w:hint="eastAsia"/>
        </w:rPr>
        <w:t>)</w:t>
      </w:r>
      <w:r>
        <w:rPr>
          <w:rFonts w:hint="eastAsia"/>
        </w:rPr>
        <w:t>第</w:t>
      </w:r>
      <w:r>
        <w:rPr>
          <w:rFonts w:hint="eastAsia"/>
        </w:rPr>
        <w:t>109</w:t>
      </w:r>
      <w:r>
        <w:rPr>
          <w:rFonts w:hint="eastAsia"/>
        </w:rPr>
        <w:t>段中提到的各项条约，并补充若干更新规定：</w:t>
      </w:r>
    </w:p>
    <w:p w:rsidR="003C2E11" w:rsidRDefault="003C2E11">
      <w:pPr>
        <w:pStyle w:val="SingleTxtGC"/>
        <w:numPr>
          <w:ilvl w:val="0"/>
          <w:numId w:val="21"/>
        </w:numPr>
        <w:tabs>
          <w:tab w:val="clear" w:pos="431"/>
          <w:tab w:val="clear" w:pos="1134"/>
          <w:tab w:val="clear" w:pos="1565"/>
          <w:tab w:val="clear" w:pos="1996"/>
          <w:tab w:val="clear" w:pos="2426"/>
        </w:tabs>
        <w:ind w:left="2730" w:hanging="780"/>
      </w:pPr>
      <w:r>
        <w:rPr>
          <w:rFonts w:hint="eastAsia"/>
        </w:rPr>
        <w:t>《经济、社会、文化权利国际公约任择议定书》，</w:t>
      </w:r>
      <w:smartTag w:uri="urn:schemas-microsoft-com:office:smarttags" w:element="chsdate">
        <w:smartTagPr>
          <w:attr w:name="Year" w:val="2010"/>
          <w:attr w:name="Month" w:val="9"/>
          <w:attr w:name="Day" w:val="23"/>
          <w:attr w:name="IsLunarDate" w:val="False"/>
          <w:attr w:name="IsROCDate" w:val="False"/>
        </w:smartTagPr>
        <w:r>
          <w:rPr>
            <w:rFonts w:hint="eastAsia"/>
          </w:rPr>
          <w:t>2010</w:t>
        </w:r>
        <w:r>
          <w:rPr>
            <w:rFonts w:hint="eastAsia"/>
          </w:rPr>
          <w:t>年</w:t>
        </w:r>
        <w:r>
          <w:rPr>
            <w:rFonts w:hint="eastAsia"/>
          </w:rPr>
          <w:t>9</w:t>
        </w:r>
        <w:r>
          <w:rPr>
            <w:rFonts w:hint="eastAsia"/>
          </w:rPr>
          <w:t>月</w:t>
        </w:r>
        <w:r>
          <w:rPr>
            <w:rFonts w:hint="eastAsia"/>
          </w:rPr>
          <w:t>23</w:t>
        </w:r>
        <w:r>
          <w:rPr>
            <w:rFonts w:hint="eastAsia"/>
          </w:rPr>
          <w:t>日</w:t>
        </w:r>
      </w:smartTag>
      <w:r>
        <w:rPr>
          <w:rFonts w:hint="eastAsia"/>
        </w:rPr>
        <w:t>的批准文书</w:t>
      </w:r>
      <w:r>
        <w:rPr>
          <w:rFonts w:hint="eastAsia"/>
        </w:rPr>
        <w:t>(</w:t>
      </w:r>
      <w:r>
        <w:rPr>
          <w:rFonts w:hint="eastAsia"/>
        </w:rPr>
        <w:t>尚未生效</w:t>
      </w:r>
      <w:r>
        <w:rPr>
          <w:rFonts w:hint="eastAsia"/>
        </w:rPr>
        <w:t>)</w:t>
      </w:r>
      <w:r>
        <w:rPr>
          <w:rFonts w:hint="eastAsia"/>
        </w:rPr>
        <w:t>；</w:t>
      </w:r>
    </w:p>
    <w:p w:rsidR="003C2E11" w:rsidRDefault="003C2E11">
      <w:pPr>
        <w:pStyle w:val="SingleTxtGC"/>
        <w:numPr>
          <w:ilvl w:val="0"/>
          <w:numId w:val="21"/>
        </w:numPr>
        <w:tabs>
          <w:tab w:val="clear" w:pos="431"/>
          <w:tab w:val="clear" w:pos="1134"/>
          <w:tab w:val="clear" w:pos="1565"/>
          <w:tab w:val="clear" w:pos="1996"/>
          <w:tab w:val="clear" w:pos="2426"/>
        </w:tabs>
        <w:ind w:left="2600" w:hanging="650"/>
      </w:pPr>
      <w:r>
        <w:rPr>
          <w:rFonts w:hint="eastAsia"/>
        </w:rPr>
        <w:t>国际劳工组织</w:t>
      </w:r>
      <w:r>
        <w:rPr>
          <w:rFonts w:hint="eastAsia"/>
        </w:rPr>
        <w:t>(</w:t>
      </w:r>
      <w:r>
        <w:rPr>
          <w:rFonts w:hint="eastAsia"/>
        </w:rPr>
        <w:t>劳工组织</w:t>
      </w:r>
      <w:r>
        <w:rPr>
          <w:rFonts w:hint="eastAsia"/>
        </w:rPr>
        <w:t>)</w:t>
      </w:r>
      <w:r>
        <w:rPr>
          <w:rFonts w:hint="eastAsia"/>
        </w:rPr>
        <w:t>的各项公约，主要涉及到劳动者权利领域的事务。</w:t>
      </w:r>
    </w:p>
    <w:p w:rsidR="003C2E11" w:rsidRDefault="003C2E11">
      <w:pPr>
        <w:pStyle w:val="SingleTxtGC"/>
        <w:numPr>
          <w:ilvl w:val="0"/>
          <w:numId w:val="20"/>
        </w:numPr>
      </w:pPr>
      <w:r>
        <w:rPr>
          <w:rFonts w:hint="eastAsia"/>
        </w:rPr>
        <w:t>在地区范围内：</w:t>
      </w:r>
      <w:r>
        <w:rPr>
          <w:rFonts w:hint="eastAsia"/>
        </w:rPr>
        <w:t>(</w:t>
      </w:r>
      <w:r>
        <w:rPr>
          <w:rFonts w:hint="eastAsia"/>
        </w:rPr>
        <w:t>除西班牙核心文件第</w:t>
      </w:r>
      <w:r>
        <w:rPr>
          <w:rFonts w:hint="eastAsia"/>
        </w:rPr>
        <w:t>109</w:t>
      </w:r>
      <w:r>
        <w:rPr>
          <w:rFonts w:hint="eastAsia"/>
        </w:rPr>
        <w:t>段列出的条约外，还阐述了对西班牙加入的若干文书的意见</w:t>
      </w:r>
      <w:r>
        <w:rPr>
          <w:rFonts w:hint="eastAsia"/>
        </w:rPr>
        <w:t>)</w:t>
      </w:r>
    </w:p>
    <w:p w:rsidR="003C2E11" w:rsidRDefault="003C2E11">
      <w:pPr>
        <w:pStyle w:val="SingleTxtGC"/>
        <w:numPr>
          <w:ilvl w:val="2"/>
          <w:numId w:val="22"/>
        </w:numPr>
        <w:tabs>
          <w:tab w:val="clear" w:pos="431"/>
          <w:tab w:val="clear" w:pos="1134"/>
          <w:tab w:val="clear" w:pos="1486"/>
          <w:tab w:val="clear" w:pos="1565"/>
          <w:tab w:val="clear" w:pos="1996"/>
          <w:tab w:val="clear" w:pos="2427"/>
          <w:tab w:val="left" w:pos="2211"/>
        </w:tabs>
        <w:ind w:left="2596"/>
      </w:pPr>
      <w:smartTag w:uri="urn:schemas-microsoft-com:office:smarttags" w:element="chsdate">
        <w:smartTagPr>
          <w:attr w:name="Year" w:val="1950"/>
          <w:attr w:name="Month" w:val="11"/>
          <w:attr w:name="Day" w:val="4"/>
          <w:attr w:name="IsLunarDate" w:val="False"/>
          <w:attr w:name="IsROCDate" w:val="False"/>
        </w:smartTagPr>
        <w:r>
          <w:rPr>
            <w:rFonts w:hint="eastAsia"/>
          </w:rPr>
          <w:t>1950</w:t>
        </w:r>
        <w:r>
          <w:rPr>
            <w:rFonts w:hint="eastAsia"/>
          </w:rPr>
          <w:t>年</w:t>
        </w:r>
        <w:r>
          <w:rPr>
            <w:rFonts w:hint="eastAsia"/>
          </w:rPr>
          <w:t>11</w:t>
        </w:r>
        <w:r>
          <w:rPr>
            <w:rFonts w:hint="eastAsia"/>
          </w:rPr>
          <w:t>月</w:t>
        </w:r>
        <w:r>
          <w:rPr>
            <w:rFonts w:hint="eastAsia"/>
          </w:rPr>
          <w:t>4</w:t>
        </w:r>
        <w:r>
          <w:rPr>
            <w:rFonts w:hint="eastAsia"/>
          </w:rPr>
          <w:t>日</w:t>
        </w:r>
      </w:smartTag>
      <w:r>
        <w:rPr>
          <w:rFonts w:hint="eastAsia"/>
        </w:rPr>
        <w:t>在罗马出台的《保护人权和基本自由公约》。其批准文书发布日期为</w:t>
      </w:r>
      <w:r>
        <w:rPr>
          <w:rFonts w:hint="eastAsia"/>
        </w:rPr>
        <w:t>1979</w:t>
      </w:r>
      <w:r>
        <w:rPr>
          <w:rFonts w:hint="eastAsia"/>
        </w:rPr>
        <w:t>年</w:t>
      </w:r>
      <w:r>
        <w:rPr>
          <w:rFonts w:hint="eastAsia"/>
        </w:rPr>
        <w:t>9</w:t>
      </w:r>
      <w:r>
        <w:rPr>
          <w:rFonts w:hint="eastAsia"/>
        </w:rPr>
        <w:t>月</w:t>
      </w:r>
      <w:r>
        <w:rPr>
          <w:rFonts w:hint="eastAsia"/>
        </w:rPr>
        <w:t>26</w:t>
      </w:r>
      <w:r>
        <w:rPr>
          <w:rFonts w:hint="eastAsia"/>
        </w:rPr>
        <w:t>日</w:t>
      </w:r>
      <w:r>
        <w:rPr>
          <w:rFonts w:hint="eastAsia"/>
        </w:rPr>
        <w:t>(1979</w:t>
      </w:r>
      <w:r>
        <w:rPr>
          <w:rFonts w:hint="eastAsia"/>
        </w:rPr>
        <w:t>年</w:t>
      </w:r>
      <w:r>
        <w:rPr>
          <w:rFonts w:hint="eastAsia"/>
        </w:rPr>
        <w:t>10</w:t>
      </w:r>
      <w:r>
        <w:rPr>
          <w:rFonts w:hint="eastAsia"/>
        </w:rPr>
        <w:t>月</w:t>
      </w:r>
      <w:r>
        <w:rPr>
          <w:rFonts w:hint="eastAsia"/>
        </w:rPr>
        <w:t>10</w:t>
      </w:r>
      <w:r>
        <w:rPr>
          <w:rFonts w:hint="eastAsia"/>
        </w:rPr>
        <w:t>日的第</w:t>
      </w:r>
      <w:r>
        <w:rPr>
          <w:rFonts w:hint="eastAsia"/>
        </w:rPr>
        <w:t>243</w:t>
      </w:r>
      <w:r>
        <w:rPr>
          <w:rFonts w:hint="eastAsia"/>
        </w:rPr>
        <w:t>期西班牙官方公报</w:t>
      </w:r>
      <w:r>
        <w:rPr>
          <w:rFonts w:hint="eastAsia"/>
        </w:rPr>
        <w:t>)</w:t>
      </w:r>
      <w:r>
        <w:rPr>
          <w:rFonts w:hint="eastAsia"/>
        </w:rPr>
        <w:t>。无疑这一文书在对权利和自由的解释方面发挥了重要作用，被西班牙宪法法院在一百八十多例判决中进行了援引。此外还需要强调的是，这一《公约》也被欧洲人权法院多次援引，因此宪法法院通常将其作为这方面的判例，用来明确各项权利和自由的内容和限制。</w:t>
      </w:r>
    </w:p>
    <w:p w:rsidR="003C2E11" w:rsidRDefault="003C2E11">
      <w:pPr>
        <w:pStyle w:val="SingleTxtGC"/>
        <w:numPr>
          <w:ilvl w:val="2"/>
          <w:numId w:val="22"/>
        </w:numPr>
        <w:tabs>
          <w:tab w:val="clear" w:pos="431"/>
          <w:tab w:val="clear" w:pos="1134"/>
          <w:tab w:val="clear" w:pos="1486"/>
          <w:tab w:val="clear" w:pos="1565"/>
          <w:tab w:val="clear" w:pos="1996"/>
          <w:tab w:val="clear" w:pos="2427"/>
          <w:tab w:val="left" w:pos="2211"/>
        </w:tabs>
        <w:ind w:left="2596"/>
        <w:rPr>
          <w:rFonts w:hint="eastAsia"/>
        </w:rPr>
      </w:pPr>
      <w:r>
        <w:rPr>
          <w:rFonts w:hint="eastAsia"/>
        </w:rPr>
        <w:t>《保护人权和基本自由公约第二附加议定书》，巴黎，</w:t>
      </w:r>
      <w:smartTag w:uri="urn:schemas-microsoft-com:office:smarttags" w:element="chsdate">
        <w:smartTagPr>
          <w:attr w:name="Year" w:val="1952"/>
          <w:attr w:name="Month" w:val="3"/>
          <w:attr w:name="Day" w:val="20"/>
          <w:attr w:name="IsLunarDate" w:val="False"/>
          <w:attr w:name="IsROCDate" w:val="False"/>
        </w:smartTagPr>
        <w:r>
          <w:rPr>
            <w:rFonts w:hint="eastAsia"/>
          </w:rPr>
          <w:t>1952</w:t>
        </w:r>
        <w:r>
          <w:rPr>
            <w:rFonts w:hint="eastAsia"/>
          </w:rPr>
          <w:t>年</w:t>
        </w:r>
        <w:r>
          <w:rPr>
            <w:rFonts w:hint="eastAsia"/>
          </w:rPr>
          <w:t>3</w:t>
        </w:r>
        <w:r>
          <w:rPr>
            <w:rFonts w:hint="eastAsia"/>
          </w:rPr>
          <w:t>月</w:t>
        </w:r>
        <w:r>
          <w:rPr>
            <w:rFonts w:hint="eastAsia"/>
          </w:rPr>
          <w:t>20</w:t>
        </w:r>
        <w:r>
          <w:rPr>
            <w:rFonts w:hint="eastAsia"/>
          </w:rPr>
          <w:t>日</w:t>
        </w:r>
      </w:smartTag>
      <w:r>
        <w:rPr>
          <w:rFonts w:hint="eastAsia"/>
        </w:rPr>
        <w:t>。其批准文书发布日期为</w:t>
      </w:r>
      <w:r>
        <w:rPr>
          <w:rFonts w:hint="eastAsia"/>
        </w:rPr>
        <w:t>1990</w:t>
      </w:r>
      <w:r>
        <w:rPr>
          <w:rFonts w:hint="eastAsia"/>
        </w:rPr>
        <w:t>年</w:t>
      </w:r>
      <w:r>
        <w:rPr>
          <w:rFonts w:hint="eastAsia"/>
        </w:rPr>
        <w:t>11</w:t>
      </w:r>
      <w:r>
        <w:rPr>
          <w:rFonts w:hint="eastAsia"/>
        </w:rPr>
        <w:t>月</w:t>
      </w:r>
      <w:r>
        <w:rPr>
          <w:rFonts w:hint="eastAsia"/>
        </w:rPr>
        <w:t>27</w:t>
      </w:r>
      <w:r>
        <w:rPr>
          <w:rFonts w:hint="eastAsia"/>
        </w:rPr>
        <w:t>日</w:t>
      </w:r>
      <w:r>
        <w:rPr>
          <w:rFonts w:hint="eastAsia"/>
        </w:rPr>
        <w:t>(1991</w:t>
      </w:r>
      <w:r>
        <w:rPr>
          <w:rFonts w:hint="eastAsia"/>
        </w:rPr>
        <w:t>年</w:t>
      </w:r>
      <w:r>
        <w:rPr>
          <w:rFonts w:hint="eastAsia"/>
        </w:rPr>
        <w:t>1</w:t>
      </w:r>
      <w:r>
        <w:rPr>
          <w:rFonts w:hint="eastAsia"/>
        </w:rPr>
        <w:t>月</w:t>
      </w:r>
      <w:r>
        <w:rPr>
          <w:rFonts w:hint="eastAsia"/>
        </w:rPr>
        <w:t>12</w:t>
      </w:r>
      <w:r>
        <w:rPr>
          <w:rFonts w:hint="eastAsia"/>
        </w:rPr>
        <w:t>日的第</w:t>
      </w:r>
      <w:r>
        <w:rPr>
          <w:rFonts w:hint="eastAsia"/>
        </w:rPr>
        <w:t>11</w:t>
      </w:r>
      <w:r>
        <w:rPr>
          <w:rFonts w:hint="eastAsia"/>
        </w:rPr>
        <w:t>期西班牙《官方公报》</w:t>
      </w:r>
      <w:r>
        <w:rPr>
          <w:rFonts w:hint="eastAsia"/>
        </w:rPr>
        <w:t>)</w:t>
      </w:r>
      <w:r>
        <w:rPr>
          <w:rFonts w:hint="eastAsia"/>
        </w:rPr>
        <w:t>。</w:t>
      </w:r>
    </w:p>
    <w:p w:rsidR="003C2E11" w:rsidRDefault="003C2E11">
      <w:pPr>
        <w:pStyle w:val="H23GC"/>
      </w:pPr>
      <w:r>
        <w:tab/>
        <w:t>4.</w:t>
      </w:r>
      <w:r>
        <w:tab/>
      </w:r>
      <w:r>
        <w:rPr>
          <w:rFonts w:hint="eastAsia"/>
        </w:rPr>
        <w:t>法律和体制框架。西班牙的人权保护体系</w:t>
      </w:r>
    </w:p>
    <w:p w:rsidR="003C2E11" w:rsidRDefault="003C2E11">
      <w:pPr>
        <w:pStyle w:val="SingleTxtGC"/>
      </w:pPr>
      <w:r>
        <w:t xml:space="preserve">37.  </w:t>
      </w:r>
      <w:r>
        <w:rPr>
          <w:rFonts w:hint="eastAsia"/>
        </w:rPr>
        <w:t>除了在上面提到的西班牙核心文件第</w:t>
      </w:r>
      <w:r>
        <w:rPr>
          <w:rFonts w:hint="eastAsia"/>
        </w:rPr>
        <w:t>111</w:t>
      </w:r>
      <w:r>
        <w:rPr>
          <w:rFonts w:hint="eastAsia"/>
        </w:rPr>
        <w:t>段中所指出的内容外，保护人权的基本框架还体现在《西班牙宪法》中，在其中设定了一个相当完善的保障体系：</w:t>
      </w:r>
    </w:p>
    <w:p w:rsidR="003C2E11" w:rsidRDefault="003C2E11">
      <w:pPr>
        <w:pStyle w:val="SingleTxtGC"/>
        <w:numPr>
          <w:ilvl w:val="0"/>
          <w:numId w:val="24"/>
        </w:numPr>
      </w:pPr>
      <w:r>
        <w:rPr>
          <w:rFonts w:hint="eastAsia"/>
        </w:rPr>
        <w:t>立法：《西班牙宪法》第</w:t>
      </w:r>
      <w:r>
        <w:rPr>
          <w:rFonts w:hint="eastAsia"/>
        </w:rPr>
        <w:t>53.1</w:t>
      </w:r>
      <w:r>
        <w:rPr>
          <w:rFonts w:hint="eastAsia"/>
        </w:rPr>
        <w:t>条规定：“唯有根据法律，且在任何情况下都尊重其实质内容，才可以调整上述权利和自由的行使”。另外，《西班牙宪法》第</w:t>
      </w:r>
      <w:r>
        <w:rPr>
          <w:rFonts w:hint="eastAsia"/>
        </w:rPr>
        <w:t>81</w:t>
      </w:r>
      <w:r>
        <w:rPr>
          <w:rFonts w:hint="eastAsia"/>
        </w:rPr>
        <w:t>条规定有关基本权利和公共自由的发展的法律具有组织法性质，其批准、修改或废除须经众议院在对整个草案的最后表决中以绝对多数通过；</w:t>
      </w:r>
    </w:p>
    <w:p w:rsidR="003C2E11" w:rsidRDefault="003C2E11">
      <w:pPr>
        <w:pStyle w:val="SingleTxtGC"/>
        <w:numPr>
          <w:ilvl w:val="0"/>
          <w:numId w:val="24"/>
        </w:numPr>
      </w:pPr>
      <w:r>
        <w:rPr>
          <w:rFonts w:hint="eastAsia"/>
        </w:rPr>
        <w:t>司法：《西班牙宪法》第</w:t>
      </w:r>
      <w:r>
        <w:rPr>
          <w:rFonts w:hint="eastAsia"/>
        </w:rPr>
        <w:t>53.2</w:t>
      </w:r>
      <w:r>
        <w:rPr>
          <w:rFonts w:hint="eastAsia"/>
        </w:rPr>
        <w:t>条规定了强制性保障，即任何公民有权在以优先从速审理原则为基础的初审法庭上，得到第</w:t>
      </w:r>
      <w:r>
        <w:rPr>
          <w:rFonts w:hint="eastAsia"/>
        </w:rPr>
        <w:t>14</w:t>
      </w:r>
      <w:r>
        <w:rPr>
          <w:rFonts w:hint="eastAsia"/>
        </w:rPr>
        <w:t>条和第</w:t>
      </w:r>
      <w:r>
        <w:rPr>
          <w:rFonts w:hint="eastAsia"/>
        </w:rPr>
        <w:t>2</w:t>
      </w:r>
      <w:r>
        <w:rPr>
          <w:rFonts w:hint="eastAsia"/>
        </w:rPr>
        <w:t>章第</w:t>
      </w:r>
      <w:r>
        <w:rPr>
          <w:rFonts w:hint="eastAsia"/>
        </w:rPr>
        <w:t>1</w:t>
      </w:r>
      <w:r>
        <w:rPr>
          <w:rFonts w:hint="eastAsia"/>
        </w:rPr>
        <w:t>节所承认的对自由和权利的庇护。应由独立公正的司法机关来行使司法管辖职能，这些机关被特别赋予保护和庇护人权的职能；</w:t>
      </w:r>
    </w:p>
    <w:p w:rsidR="003C2E11" w:rsidRDefault="003C2E11">
      <w:pPr>
        <w:pStyle w:val="SingleTxtGC"/>
        <w:numPr>
          <w:ilvl w:val="0"/>
          <w:numId w:val="24"/>
        </w:numPr>
      </w:pPr>
      <w:r>
        <w:rPr>
          <w:rFonts w:hint="eastAsia"/>
        </w:rPr>
        <w:t>宪法：一旦用竭普通司法救济手段，可向宪法法院要求保护</w:t>
      </w:r>
      <w:r>
        <w:rPr>
          <w:rFonts w:hint="eastAsia"/>
        </w:rPr>
        <w:t>(</w:t>
      </w:r>
      <w:r>
        <w:rPr>
          <w:rFonts w:hint="eastAsia"/>
        </w:rPr>
        <w:t>行使</w:t>
      </w:r>
      <w:r>
        <w:rPr>
          <w:rFonts w:hint="eastAsia"/>
        </w:rPr>
        <w:t>)</w:t>
      </w:r>
      <w:r>
        <w:rPr>
          <w:rFonts w:hint="eastAsia"/>
        </w:rPr>
        <w:t>宪法权利；</w:t>
      </w:r>
    </w:p>
    <w:p w:rsidR="003C2E11" w:rsidRDefault="003C2E11">
      <w:pPr>
        <w:pStyle w:val="SingleTxtGC"/>
        <w:numPr>
          <w:ilvl w:val="0"/>
          <w:numId w:val="24"/>
        </w:numPr>
        <w:rPr>
          <w:rFonts w:hint="eastAsia"/>
        </w:rPr>
      </w:pPr>
      <w:r>
        <w:rPr>
          <w:rFonts w:hint="eastAsia"/>
        </w:rPr>
        <w:t>机构保障，可通过以下机构，即护民官、检察机关及众议院的议会委员会来主张行使这一保障。</w:t>
      </w:r>
    </w:p>
    <w:p w:rsidR="003C2E11" w:rsidRDefault="003C2E11">
      <w:pPr>
        <w:pStyle w:val="SingleTxtGC"/>
      </w:pPr>
      <w:r>
        <w:t xml:space="preserve">38.  </w:t>
      </w:r>
      <w:r>
        <w:rPr>
          <w:rFonts w:hint="eastAsia"/>
        </w:rPr>
        <w:t>另一方面，《西班牙宪法》第</w:t>
      </w:r>
      <w:r>
        <w:rPr>
          <w:rFonts w:hint="eastAsia"/>
        </w:rPr>
        <w:t>54</w:t>
      </w:r>
      <w:r>
        <w:rPr>
          <w:rFonts w:hint="eastAsia"/>
        </w:rPr>
        <w:t>条将护民官定义为“总</w:t>
      </w:r>
      <w:r>
        <w:t>议会</w:t>
      </w:r>
      <w:r>
        <w:rPr>
          <w:rFonts w:hint="eastAsia"/>
        </w:rPr>
        <w:t>的</w:t>
      </w:r>
      <w:r>
        <w:t>高级</w:t>
      </w:r>
      <w:r>
        <w:rPr>
          <w:rFonts w:hint="eastAsia"/>
        </w:rPr>
        <w:t>专员</w:t>
      </w:r>
      <w:r>
        <w:t>，由</w:t>
      </w:r>
      <w:r>
        <w:rPr>
          <w:rFonts w:hint="eastAsia"/>
        </w:rPr>
        <w:t>总</w:t>
      </w:r>
      <w:r>
        <w:t>议会委任</w:t>
      </w:r>
      <w:r>
        <w:rPr>
          <w:rFonts w:hint="eastAsia"/>
        </w:rPr>
        <w:t>来</w:t>
      </w:r>
      <w:r>
        <w:t>维护</w:t>
      </w:r>
      <w:r>
        <w:rPr>
          <w:rFonts w:hint="eastAsia"/>
        </w:rPr>
        <w:t>宪法第一篇</w:t>
      </w:r>
      <w:r>
        <w:t>所包含的权利，</w:t>
      </w:r>
      <w:r>
        <w:rPr>
          <w:rFonts w:hint="eastAsia"/>
        </w:rPr>
        <w:t>为此</w:t>
      </w:r>
      <w:r>
        <w:t>可对政府的活动进行监督，并向</w:t>
      </w:r>
      <w:r>
        <w:rPr>
          <w:rFonts w:hint="eastAsia"/>
        </w:rPr>
        <w:t>总</w:t>
      </w:r>
      <w:r>
        <w:t>议会汇报情况</w:t>
      </w:r>
      <w:r>
        <w:rPr>
          <w:rFonts w:hint="eastAsia"/>
        </w:rPr>
        <w:t>”。除了对政府活动具备的监管职能外，护民官，作为个人权利的捍卫者，具有合法权限来提出针对个人权利的保护性上诉</w:t>
      </w:r>
      <w:r>
        <w:rPr>
          <w:rFonts w:hint="eastAsia"/>
        </w:rPr>
        <w:t>(</w:t>
      </w:r>
      <w:r>
        <w:rPr>
          <w:rFonts w:hint="eastAsia"/>
        </w:rPr>
        <w:t>《宪法》第</w:t>
      </w:r>
      <w:r>
        <w:rPr>
          <w:rFonts w:hint="eastAsia"/>
        </w:rPr>
        <w:t>162</w:t>
      </w:r>
      <w:r>
        <w:rPr>
          <w:rFonts w:hint="eastAsia"/>
        </w:rPr>
        <w:t>条和《宪法法院组织法》第</w:t>
      </w:r>
      <w:r>
        <w:rPr>
          <w:rFonts w:hint="eastAsia"/>
        </w:rPr>
        <w:t>46</w:t>
      </w:r>
      <w:r>
        <w:rPr>
          <w:rFonts w:hint="eastAsia"/>
        </w:rPr>
        <w:t>条</w:t>
      </w:r>
      <w:r>
        <w:rPr>
          <w:rFonts w:hint="eastAsia"/>
        </w:rPr>
        <w:t>)</w:t>
      </w:r>
      <w:r>
        <w:rPr>
          <w:rFonts w:hint="eastAsia"/>
        </w:rPr>
        <w:t>。除此之外，护民官还被依法授予提起违宪上诉的特殊权限，即依照《宪法》第</w:t>
      </w:r>
      <w:r>
        <w:rPr>
          <w:rFonts w:hint="eastAsia"/>
        </w:rPr>
        <w:t>162</w:t>
      </w:r>
      <w:r>
        <w:rPr>
          <w:rFonts w:hint="eastAsia"/>
        </w:rPr>
        <w:t>条之规定，对法律和法规的合宪性提起上诉，并具备特别权限来向普通法院提起申请保护行使宪法权利的诉讼。</w:t>
      </w:r>
    </w:p>
    <w:p w:rsidR="003C2E11" w:rsidRDefault="003C2E11">
      <w:pPr>
        <w:pStyle w:val="SingleTxtGC"/>
      </w:pPr>
      <w:r>
        <w:t xml:space="preserve">39.  </w:t>
      </w:r>
      <w:r>
        <w:rPr>
          <w:rFonts w:hint="eastAsia"/>
        </w:rPr>
        <w:t>在西班牙的法律制度中，检察机关被赋予的一项职能就是维护法制和保障公民权利，《西班牙宪法》第</w:t>
      </w:r>
      <w:r>
        <w:rPr>
          <w:rFonts w:hint="eastAsia"/>
        </w:rPr>
        <w:t>124</w:t>
      </w:r>
      <w:r>
        <w:rPr>
          <w:rFonts w:hint="eastAsia"/>
        </w:rPr>
        <w:t>条对此规定如下：“其职责是为维护法制、保障公民权利和受法律保护的公共利益而依职责或者根据当事人的请求开展司法活动，并保障法院的独立性，向法院争取满足社会利益”。检察机关也有权向宪法法院提起保护诉讼，此外，还具备向普通司法管辖机关提起申请保护宪法权利诉讼的法定职权。</w:t>
      </w:r>
    </w:p>
    <w:p w:rsidR="003C2E11" w:rsidRDefault="003C2E11">
      <w:pPr>
        <w:pStyle w:val="SingleTxtGC"/>
      </w:pPr>
      <w:r>
        <w:t xml:space="preserve">40.  </w:t>
      </w:r>
      <w:r>
        <w:rPr>
          <w:rFonts w:hint="eastAsia"/>
        </w:rPr>
        <w:t>议会委员会：</w:t>
      </w:r>
      <w:smartTag w:uri="urn:schemas-microsoft-com:office:smarttags" w:element="chsdate">
        <w:smartTagPr>
          <w:attr w:name="Year" w:val="1982"/>
          <w:attr w:name="Month" w:val="2"/>
          <w:attr w:name="Day" w:val="10"/>
          <w:attr w:name="IsLunarDate" w:val="False"/>
          <w:attr w:name="IsROCDate" w:val="False"/>
        </w:smartTagPr>
        <w:r>
          <w:rPr>
            <w:rFonts w:hint="eastAsia"/>
          </w:rPr>
          <w:t>1982</w:t>
        </w:r>
        <w:r>
          <w:rPr>
            <w:rFonts w:hint="eastAsia"/>
          </w:rPr>
          <w:t>年</w:t>
        </w:r>
        <w:r>
          <w:rPr>
            <w:rFonts w:hint="eastAsia"/>
          </w:rPr>
          <w:t>2</w:t>
        </w:r>
        <w:r>
          <w:rPr>
            <w:rFonts w:hint="eastAsia"/>
          </w:rPr>
          <w:t>月</w:t>
        </w:r>
        <w:r>
          <w:rPr>
            <w:rFonts w:hint="eastAsia"/>
          </w:rPr>
          <w:t>10</w:t>
        </w:r>
        <w:r>
          <w:rPr>
            <w:rFonts w:hint="eastAsia"/>
          </w:rPr>
          <w:t>日</w:t>
        </w:r>
      </w:smartTag>
      <w:r>
        <w:rPr>
          <w:rFonts w:hint="eastAsia"/>
        </w:rPr>
        <w:t>颁布的众议院管理条例</w:t>
      </w:r>
      <w:r>
        <w:rPr>
          <w:rFonts w:hint="eastAsia"/>
        </w:rPr>
        <w:t>(</w:t>
      </w:r>
      <w:r>
        <w:rPr>
          <w:rFonts w:hint="eastAsia"/>
        </w:rPr>
        <w:t>第</w:t>
      </w:r>
      <w:r>
        <w:rPr>
          <w:rFonts w:hint="eastAsia"/>
        </w:rPr>
        <w:t>40</w:t>
      </w:r>
      <w:r>
        <w:rPr>
          <w:rFonts w:hint="eastAsia"/>
        </w:rPr>
        <w:t>至</w:t>
      </w:r>
      <w:r>
        <w:rPr>
          <w:rFonts w:hint="eastAsia"/>
        </w:rPr>
        <w:t>53</w:t>
      </w:r>
      <w:r>
        <w:rPr>
          <w:rFonts w:hint="eastAsia"/>
        </w:rPr>
        <w:t>条</w:t>
      </w:r>
      <w:r>
        <w:rPr>
          <w:rFonts w:hint="eastAsia"/>
        </w:rPr>
        <w:t>)</w:t>
      </w:r>
      <w:r>
        <w:rPr>
          <w:rFonts w:hint="eastAsia"/>
        </w:rPr>
        <w:t>规范了主管宪法事务的常设委员会以及主管请愿事务的常设委员会的职权，授予后者审议提交至众议院的个人请愿和集体请愿的职权。</w:t>
      </w:r>
    </w:p>
    <w:p w:rsidR="003C2E11" w:rsidRDefault="003C2E11">
      <w:pPr>
        <w:pStyle w:val="HChGC"/>
      </w:pPr>
      <w:r>
        <w:tab/>
      </w:r>
      <w:bookmarkStart w:id="3" w:name="_Toc351380591"/>
      <w:r>
        <w:rPr>
          <w:rFonts w:hint="eastAsia"/>
        </w:rPr>
        <w:t>二</w:t>
      </w:r>
      <w:r>
        <w:rPr>
          <w:rFonts w:hint="eastAsia"/>
        </w:rPr>
        <w:t>.</w:t>
      </w:r>
      <w:r>
        <w:tab/>
      </w:r>
      <w:r>
        <w:rPr>
          <w:rFonts w:hint="eastAsia"/>
        </w:rPr>
        <w:t>据以禁止强迫失踪的总体法律框架</w:t>
      </w:r>
      <w:bookmarkEnd w:id="3"/>
    </w:p>
    <w:p w:rsidR="003C2E11" w:rsidRDefault="003C2E11">
      <w:pPr>
        <w:pStyle w:val="SingleTxtGC"/>
      </w:pPr>
      <w:r>
        <w:t xml:space="preserve">41.  </w:t>
      </w:r>
      <w:r>
        <w:rPr>
          <w:rFonts w:hint="eastAsia"/>
        </w:rPr>
        <w:t>委员会在其特别指导方针中建议专门纳入一章与《公约》的执行相关的具体资料。为此在第一至四条中已经展开论述了与这一法律框架对应的信息，可以认定在其中包含了这方面的具体信息。</w:t>
      </w:r>
    </w:p>
    <w:p w:rsidR="003C2E11" w:rsidRDefault="003C2E11">
      <w:pPr>
        <w:pStyle w:val="HChGC"/>
        <w:rPr>
          <w:kern w:val="32"/>
        </w:rPr>
      </w:pPr>
      <w:r>
        <w:tab/>
      </w:r>
      <w:bookmarkStart w:id="4" w:name="_Toc351380592"/>
      <w:r>
        <w:rPr>
          <w:rFonts w:hint="eastAsia"/>
        </w:rPr>
        <w:t>三</w:t>
      </w:r>
      <w:r>
        <w:rPr>
          <w:rFonts w:hint="eastAsia"/>
        </w:rPr>
        <w:t>.</w:t>
      </w:r>
      <w:r>
        <w:tab/>
      </w:r>
      <w:r>
        <w:rPr>
          <w:rFonts w:hint="eastAsia"/>
        </w:rPr>
        <w:t>与《公约》各项实质性条款有关的资料</w:t>
      </w:r>
      <w:bookmarkEnd w:id="4"/>
    </w:p>
    <w:p w:rsidR="003C2E11" w:rsidRDefault="003C2E11">
      <w:pPr>
        <w:pStyle w:val="H1GC"/>
      </w:pPr>
      <w:r>
        <w:tab/>
      </w:r>
      <w:r>
        <w:tab/>
      </w:r>
      <w:bookmarkStart w:id="5" w:name="_Toc351380593"/>
      <w:r>
        <w:rPr>
          <w:rFonts w:hint="eastAsia"/>
        </w:rPr>
        <w:t>第一条</w:t>
      </w:r>
      <w:r>
        <w:rPr>
          <w:rFonts w:hint="eastAsia"/>
        </w:rPr>
        <w:br/>
      </w:r>
      <w:r>
        <w:rPr>
          <w:rFonts w:hint="eastAsia"/>
        </w:rPr>
        <w:t>目的</w:t>
      </w:r>
      <w:bookmarkEnd w:id="5"/>
    </w:p>
    <w:p w:rsidR="003C2E11" w:rsidRDefault="003C2E11">
      <w:pPr>
        <w:pStyle w:val="SingleTxtGC"/>
      </w:pPr>
      <w:r>
        <w:t xml:space="preserve">42.  </w:t>
      </w:r>
      <w:r>
        <w:rPr>
          <w:rFonts w:hint="eastAsia"/>
        </w:rPr>
        <w:t>考虑到强迫失踪并不是在过去特有的现象，相反，是一项当前面临的全球性的问题，这在被强迫或非自愿失踪问题工作组自</w:t>
      </w:r>
      <w:r>
        <w:rPr>
          <w:rFonts w:hint="eastAsia"/>
        </w:rPr>
        <w:t>1980</w:t>
      </w:r>
      <w:r>
        <w:rPr>
          <w:rFonts w:hint="eastAsia"/>
        </w:rPr>
        <w:t>年成立以来开展的各类研究以及编制的各项报告中都进行了表述，此外，考虑到强迫失踪是一种极端恶劣的事件，应当在全球范围内被认定为犯罪，而且在特定情况下可能构成危害人类罪，联合国已经推动了一项进程来呼吁全球与这一现象作斗争。</w:t>
      </w:r>
    </w:p>
    <w:p w:rsidR="003C2E11" w:rsidRDefault="003C2E11">
      <w:pPr>
        <w:pStyle w:val="SingleTxtGC"/>
      </w:pPr>
      <w:r>
        <w:t xml:space="preserve">43.  </w:t>
      </w:r>
      <w:r>
        <w:rPr>
          <w:rFonts w:hint="eastAsia"/>
        </w:rPr>
        <w:t>自</w:t>
      </w:r>
      <w:r>
        <w:rPr>
          <w:rFonts w:hint="eastAsia"/>
        </w:rPr>
        <w:t>1992</w:t>
      </w:r>
      <w:r>
        <w:rPr>
          <w:rFonts w:hint="eastAsia"/>
        </w:rPr>
        <w:t>年出台的联合国《保护所有人不遭受强迫失踪宣言》被核准以来，强迫失踪就被认定为一种致使各项基本权利</w:t>
      </w:r>
      <w:r>
        <w:rPr>
          <w:rFonts w:hint="eastAsia"/>
        </w:rPr>
        <w:t>(</w:t>
      </w:r>
      <w:r>
        <w:rPr>
          <w:rFonts w:hint="eastAsia"/>
        </w:rPr>
        <w:t>自由和安全的权利；生命权；免遭拘留或任意剥夺自由的权利；免遭酷刑或其他残忍、不人道或有辱人格的待遇或处罚的权利；等等</w:t>
      </w:r>
      <w:r>
        <w:rPr>
          <w:rFonts w:hint="eastAsia"/>
        </w:rPr>
        <w:t>)</w:t>
      </w:r>
      <w:r>
        <w:rPr>
          <w:rFonts w:hint="eastAsia"/>
        </w:rPr>
        <w:t>遭到侵犯的复杂现象，但是由于《宣言》对于各缔约国没有强制约束效力，因此其实质上仅相当于一项公约的草案。</w:t>
      </w:r>
    </w:p>
    <w:p w:rsidR="003C2E11" w:rsidRDefault="003C2E11">
      <w:pPr>
        <w:pStyle w:val="SingleTxtGC"/>
        <w:rPr>
          <w:rFonts w:hint="eastAsia"/>
        </w:rPr>
      </w:pPr>
      <w:r>
        <w:t xml:space="preserve">44.  </w:t>
      </w:r>
      <w:r>
        <w:rPr>
          <w:rFonts w:hint="eastAsia"/>
        </w:rPr>
        <w:t>人权委员会在其第</w:t>
      </w:r>
      <w:r>
        <w:rPr>
          <w:rFonts w:hint="eastAsia"/>
        </w:rPr>
        <w:t>2001/46</w:t>
      </w:r>
      <w:r>
        <w:rPr>
          <w:rFonts w:hint="eastAsia"/>
        </w:rPr>
        <w:t>号决议中指出“［……］对世界各地的被强迫或非自愿失踪案件成倍增长，以及针对强迫失踪案件的证人或失踪者家人的报复骚扰、虐待和恐吓深表关切［……］”并启动了一项研究、编制报告和讨论的进程，由此核准了</w:t>
      </w:r>
      <w:r>
        <w:rPr>
          <w:rFonts w:hint="eastAsia"/>
        </w:rPr>
        <w:t>2006</w:t>
      </w:r>
      <w:r>
        <w:rPr>
          <w:rFonts w:hint="eastAsia"/>
        </w:rPr>
        <w:t>年的《国际公约》，并在本报告中将之与西班牙王国的法律制度进行了分析、研究和比较。在这方面不容忽视的是，强迫失踪仍是一个全球性的恶性问题，从近期来看，以</w:t>
      </w:r>
      <w:r>
        <w:rPr>
          <w:rFonts w:hint="eastAsia"/>
        </w:rPr>
        <w:t>2009</w:t>
      </w:r>
      <w:r>
        <w:rPr>
          <w:rFonts w:hint="eastAsia"/>
        </w:rPr>
        <w:t>年为例，已经通报到联合国的就有</w:t>
      </w:r>
      <w:r>
        <w:rPr>
          <w:rFonts w:hint="eastAsia"/>
        </w:rPr>
        <w:t>476</w:t>
      </w:r>
      <w:r>
        <w:rPr>
          <w:rFonts w:hint="eastAsia"/>
        </w:rPr>
        <w:t>起新增案件，这些案件发生在多个国家中</w:t>
      </w:r>
      <w:r>
        <w:rPr>
          <w:rStyle w:val="FootnoteReference"/>
        </w:rPr>
        <w:footnoteReference w:id="2"/>
      </w:r>
      <w:r>
        <w:rPr>
          <w:rFonts w:hint="eastAsia"/>
        </w:rPr>
        <w:t>。</w:t>
      </w:r>
    </w:p>
    <w:p w:rsidR="003C2E11" w:rsidRDefault="003C2E11">
      <w:pPr>
        <w:pStyle w:val="SingleTxtGC"/>
        <w:rPr>
          <w:lang w:val="es-MX"/>
        </w:rPr>
      </w:pPr>
      <w:r>
        <w:t xml:space="preserve">45.  </w:t>
      </w:r>
      <w:r>
        <w:rPr>
          <w:rFonts w:hint="eastAsia"/>
        </w:rPr>
        <w:t>批准《公约》并禁止强迫失踪使得一项全新的、更为广义的实质性内容获得了承认，并使得人格尊严与自由的基本权利也被整合到各项基本权利中，这样，尽管在西班牙法律体系中并没有像在第</w:t>
      </w:r>
      <w:r>
        <w:rPr>
          <w:rFonts w:hint="eastAsia"/>
        </w:rPr>
        <w:t>22</w:t>
      </w:r>
      <w:r>
        <w:rPr>
          <w:rFonts w:hint="eastAsia"/>
        </w:rPr>
        <w:t>段及以后诸段中所述的那样通过批准国际公约的方式将新的基本权利赋予宪制地位，但是确实通过解释性的方式纳入了全新的更为广泛的内容。</w:t>
      </w:r>
    </w:p>
    <w:p w:rsidR="003C2E11" w:rsidRDefault="003C2E11">
      <w:pPr>
        <w:pStyle w:val="SingleTxtGC"/>
      </w:pPr>
      <w:r>
        <w:t>46.</w:t>
      </w:r>
      <w:r>
        <w:rPr>
          <w:rFonts w:hint="eastAsia"/>
        </w:rPr>
        <w:t xml:space="preserve"> </w:t>
      </w:r>
      <w:r>
        <w:t xml:space="preserve"> </w:t>
      </w:r>
      <w:r>
        <w:rPr>
          <w:rFonts w:hint="eastAsia"/>
        </w:rPr>
        <w:t>第二款规定了不遭受强迫失踪的权利不得受到减损的原则，强调不管出于任何状况，即使是极端异常或例外的状况，也不得用来作为强迫失踪的辩护理由。在西班牙的法律制度中并没有任何情况或极端状况被获准成为强迫失踪的辩护理由或庇护理由。强迫失踪被认定为一种犯罪，这一事实确保了此类权利不会受到减损。</w:t>
      </w:r>
    </w:p>
    <w:p w:rsidR="003C2E11" w:rsidRDefault="003C2E11">
      <w:pPr>
        <w:pStyle w:val="SingleTxtGC"/>
      </w:pPr>
      <w:r>
        <w:t xml:space="preserve">47.  </w:t>
      </w:r>
      <w:r>
        <w:rPr>
          <w:rFonts w:hint="eastAsia"/>
        </w:rPr>
        <w:t>《西班牙宪法》第</w:t>
      </w:r>
      <w:r>
        <w:rPr>
          <w:rFonts w:hint="eastAsia"/>
        </w:rPr>
        <w:t>55</w:t>
      </w:r>
      <w:r>
        <w:rPr>
          <w:rFonts w:hint="eastAsia"/>
        </w:rPr>
        <w:t>条规定在特殊情况下</w:t>
      </w:r>
      <w:r>
        <w:rPr>
          <w:rFonts w:hint="eastAsia"/>
        </w:rPr>
        <w:t>(</w:t>
      </w:r>
      <w:r>
        <w:rPr>
          <w:rFonts w:hint="eastAsia"/>
        </w:rPr>
        <w:t>公共灾害、基本公共服务中断、暴动、战争……</w:t>
      </w:r>
      <w:r>
        <w:rPr>
          <w:rFonts w:hint="eastAsia"/>
        </w:rPr>
        <w:t>)</w:t>
      </w:r>
      <w:r>
        <w:rPr>
          <w:rFonts w:hint="eastAsia"/>
        </w:rPr>
        <w:t>相应的权利或自由可被迫中止</w:t>
      </w:r>
      <w:r>
        <w:rPr>
          <w:rFonts w:hint="eastAsia"/>
        </w:rPr>
        <w:t>(</w:t>
      </w:r>
      <w:r>
        <w:rPr>
          <w:rFonts w:hint="eastAsia"/>
        </w:rPr>
        <w:t>“［……］被承认的权利［……］凡在宪法规定的范围内宣布特别状态和戒严时，可被中止［……］”</w:t>
      </w:r>
      <w:r>
        <w:rPr>
          <w:rFonts w:hint="eastAsia"/>
        </w:rPr>
        <w:t>)</w:t>
      </w:r>
      <w:r>
        <w:rPr>
          <w:rFonts w:hint="eastAsia"/>
        </w:rPr>
        <w:t>且在</w:t>
      </w:r>
      <w:smartTag w:uri="urn:schemas-microsoft-com:office:smarttags" w:element="chsdate">
        <w:smartTagPr>
          <w:attr w:name="Year" w:val="1981"/>
          <w:attr w:name="Month" w:val="6"/>
          <w:attr w:name="Day" w:val="1"/>
          <w:attr w:name="IsLunarDate" w:val="False"/>
          <w:attr w:name="IsROCDate" w:val="False"/>
        </w:smartTagPr>
        <w:r>
          <w:rPr>
            <w:rFonts w:hint="eastAsia"/>
          </w:rPr>
          <w:t>1981</w:t>
        </w:r>
        <w:r>
          <w:rPr>
            <w:rFonts w:hint="eastAsia"/>
          </w:rPr>
          <w:t>年</w:t>
        </w:r>
        <w:r>
          <w:rPr>
            <w:rFonts w:hint="eastAsia"/>
          </w:rPr>
          <w:t>6</w:t>
        </w:r>
        <w:r>
          <w:rPr>
            <w:rFonts w:hint="eastAsia"/>
          </w:rPr>
          <w:t>月</w:t>
        </w:r>
        <w:r>
          <w:rPr>
            <w:rFonts w:hint="eastAsia"/>
          </w:rPr>
          <w:t>1</w:t>
        </w:r>
        <w:r>
          <w:rPr>
            <w:rFonts w:hint="eastAsia"/>
          </w:rPr>
          <w:t>日</w:t>
        </w:r>
      </w:smartTag>
      <w:r>
        <w:rPr>
          <w:rFonts w:hint="eastAsia"/>
        </w:rPr>
        <w:t>的第</w:t>
      </w:r>
      <w:r>
        <w:rPr>
          <w:rFonts w:hint="eastAsia"/>
        </w:rPr>
        <w:t>4/1981</w:t>
      </w:r>
      <w:r>
        <w:rPr>
          <w:rFonts w:hint="eastAsia"/>
        </w:rPr>
        <w:t>号组织法《警戒状态、特别状态和戒严状态组织法》中对此进行了引申发展，应当指出的是，强迫失踪是被西班牙宪法制度允许或者说在法律上可行的，或者说强迫失踪作为一项犯罪行为的认定或惩处规定可能受到减损。</w:t>
      </w:r>
    </w:p>
    <w:p w:rsidR="003C2E11" w:rsidRDefault="003C2E11">
      <w:pPr>
        <w:pStyle w:val="H1GC"/>
      </w:pPr>
      <w:r>
        <w:tab/>
      </w:r>
      <w:r>
        <w:tab/>
      </w:r>
      <w:bookmarkStart w:id="6" w:name="_Toc351380594"/>
      <w:r>
        <w:rPr>
          <w:rFonts w:hint="eastAsia"/>
        </w:rPr>
        <w:t>第二条和第三条</w:t>
      </w:r>
      <w:r>
        <w:rPr>
          <w:rFonts w:hint="eastAsia"/>
        </w:rPr>
        <w:br/>
      </w:r>
      <w:r>
        <w:rPr>
          <w:rFonts w:eastAsia="SimSun" w:hint="eastAsia"/>
        </w:rPr>
        <w:t>“</w:t>
      </w:r>
      <w:r>
        <w:rPr>
          <w:rFonts w:hint="eastAsia"/>
        </w:rPr>
        <w:t>强迫失踪</w:t>
      </w:r>
      <w:r>
        <w:rPr>
          <w:rFonts w:eastAsia="SimSun" w:hint="eastAsia"/>
        </w:rPr>
        <w:t>”</w:t>
      </w:r>
      <w:r>
        <w:rPr>
          <w:rFonts w:hint="eastAsia"/>
        </w:rPr>
        <w:t>的定义；总体原则</w:t>
      </w:r>
      <w:bookmarkEnd w:id="6"/>
    </w:p>
    <w:p w:rsidR="003C2E11" w:rsidRDefault="003C2E11">
      <w:pPr>
        <w:pStyle w:val="SingleTxtGC"/>
      </w:pPr>
      <w:r>
        <w:t xml:space="preserve">48.  </w:t>
      </w:r>
      <w:r>
        <w:rPr>
          <w:rFonts w:hint="eastAsia"/>
        </w:rPr>
        <w:t>针对这两条内容一并进行答复。</w:t>
      </w:r>
    </w:p>
    <w:p w:rsidR="003C2E11" w:rsidRDefault="003C2E11">
      <w:pPr>
        <w:pStyle w:val="SingleTxtGC"/>
      </w:pPr>
      <w:r>
        <w:t xml:space="preserve">49.  </w:t>
      </w:r>
      <w:r>
        <w:rPr>
          <w:rFonts w:hint="eastAsia"/>
        </w:rPr>
        <w:t>应当注意的是，《公约》第二条给出的“强迫失踪”的定义强调了国家直接或间接地参与其中这一必要前提，将之视为在严格的技术法律意义上发生“强迫失踪”的不可或缺的必要因素。这一参与可以通过国家自身的代理人或者通过准国家、准军事、敢死队等代理人的行动实施。</w:t>
      </w:r>
    </w:p>
    <w:p w:rsidR="003C2E11" w:rsidRDefault="003C2E11">
      <w:pPr>
        <w:pStyle w:val="SingleTxtGC"/>
        <w:rPr>
          <w:rFonts w:hint="eastAsia"/>
        </w:rPr>
      </w:pPr>
      <w:r>
        <w:t xml:space="preserve">50.  </w:t>
      </w:r>
      <w:r>
        <w:rPr>
          <w:rFonts w:hint="eastAsia"/>
        </w:rPr>
        <w:t>除上述情况外，《公约》第三条规定了国家采取措施调查和追踪个人或组织在国家未干预的情况下所犯下的强迫失踪罪行的义务。可以与此相呼应的是，在</w:t>
      </w:r>
      <w:smartTag w:uri="urn:schemas-microsoft-com:office:smarttags" w:element="chsdate">
        <w:smartTagPr>
          <w:attr w:name="Year" w:val="1995"/>
          <w:attr w:name="Month" w:val="11"/>
          <w:attr w:name="Day" w:val="23"/>
          <w:attr w:name="IsLunarDate" w:val="False"/>
          <w:attr w:name="IsROCDate" w:val="False"/>
        </w:smartTagPr>
        <w:r>
          <w:rPr>
            <w:rFonts w:hint="eastAsia"/>
          </w:rPr>
          <w:t>1995</w:t>
        </w:r>
        <w:r>
          <w:rPr>
            <w:rFonts w:hint="eastAsia"/>
          </w:rPr>
          <w:t>年</w:t>
        </w:r>
        <w:r>
          <w:rPr>
            <w:rFonts w:hint="eastAsia"/>
          </w:rPr>
          <w:t>11</w:t>
        </w:r>
        <w:r>
          <w:rPr>
            <w:rFonts w:hint="eastAsia"/>
          </w:rPr>
          <w:t>月</w:t>
        </w:r>
        <w:r>
          <w:rPr>
            <w:rFonts w:hint="eastAsia"/>
          </w:rPr>
          <w:t>23</w:t>
        </w:r>
        <w:r>
          <w:rPr>
            <w:rFonts w:hint="eastAsia"/>
          </w:rPr>
          <w:t>日</w:t>
        </w:r>
      </w:smartTag>
      <w:r>
        <w:rPr>
          <w:rFonts w:hint="eastAsia"/>
        </w:rPr>
        <w:t>的第</w:t>
      </w:r>
      <w:r>
        <w:rPr>
          <w:rFonts w:hint="eastAsia"/>
        </w:rPr>
        <w:t>10/1995</w:t>
      </w:r>
      <w:r>
        <w:rPr>
          <w:rFonts w:hint="eastAsia"/>
        </w:rPr>
        <w:t>号组织法《刑法典》</w:t>
      </w:r>
      <w:r>
        <w:rPr>
          <w:rFonts w:hint="eastAsia"/>
        </w:rPr>
        <w:t>(</w:t>
      </w:r>
      <w:r>
        <w:rPr>
          <w:rFonts w:hint="eastAsia"/>
        </w:rPr>
        <w:t>以下称《刑法典》</w:t>
      </w:r>
      <w:r>
        <w:rPr>
          <w:rFonts w:hint="eastAsia"/>
        </w:rPr>
        <w:t>)</w:t>
      </w:r>
      <w:r>
        <w:rPr>
          <w:rFonts w:hint="eastAsia"/>
        </w:rPr>
        <w:t>中对此做出了规定，我们将在下一条的论述中具体阐述，其中将三类非法行为认定为非法拘禁</w:t>
      </w:r>
      <w:r>
        <w:rPr>
          <w:rFonts w:hint="eastAsia"/>
        </w:rPr>
        <w:t>/</w:t>
      </w:r>
      <w:r>
        <w:rPr>
          <w:rFonts w:hint="eastAsia"/>
        </w:rPr>
        <w:t>绑架导致失踪罪或“强迫失踪”罪：</w:t>
      </w:r>
      <w:r>
        <w:rPr>
          <w:rFonts w:hint="eastAsia"/>
        </w:rPr>
        <w:t>a)</w:t>
      </w:r>
      <w:r>
        <w:rPr>
          <w:rFonts w:hint="eastAsia"/>
        </w:rPr>
        <w:t>由个人实施的此类犯罪；</w:t>
      </w:r>
      <w:r>
        <w:rPr>
          <w:rFonts w:hint="eastAsia"/>
        </w:rPr>
        <w:t>b)</w:t>
      </w:r>
      <w:r>
        <w:rPr>
          <w:rFonts w:hint="eastAsia"/>
        </w:rPr>
        <w:t>直接或者通过国家实施的此类犯罪；</w:t>
      </w:r>
      <w:r>
        <w:rPr>
          <w:rFonts w:hint="eastAsia"/>
        </w:rPr>
        <w:t>c)</w:t>
      </w:r>
      <w:r>
        <w:rPr>
          <w:rFonts w:hint="eastAsia"/>
        </w:rPr>
        <w:t>构成危害人类罪的犯罪。</w:t>
      </w:r>
    </w:p>
    <w:p w:rsidR="003C2E11" w:rsidRDefault="003C2E11">
      <w:pPr>
        <w:pStyle w:val="SingleTxtGC"/>
      </w:pPr>
      <w:r>
        <w:t xml:space="preserve">51.  </w:t>
      </w:r>
      <w:r>
        <w:rPr>
          <w:rFonts w:hint="eastAsia"/>
        </w:rPr>
        <w:t>在提交本报告时还应当考虑到在提到西班牙刑法所界定的“非法拘禁</w:t>
      </w:r>
      <w:r>
        <w:rPr>
          <w:rFonts w:hint="eastAsia"/>
        </w:rPr>
        <w:t>/</w:t>
      </w:r>
      <w:r>
        <w:rPr>
          <w:rFonts w:hint="eastAsia"/>
        </w:rPr>
        <w:t>绑架导致失踪”罪时，采用了与《公约》对“强迫失踪”的定义相同的说法。</w:t>
      </w:r>
    </w:p>
    <w:p w:rsidR="003C2E11" w:rsidRDefault="003C2E11">
      <w:pPr>
        <w:pStyle w:val="SingleTxtGC"/>
      </w:pPr>
      <w:r>
        <w:t xml:space="preserve">52.  </w:t>
      </w:r>
      <w:r>
        <w:rPr>
          <w:rFonts w:hint="eastAsia"/>
        </w:rPr>
        <w:t>我们在就《公约》第四条进行论述时也会提到，西班牙对由国家直接或间接干预的非法拘禁</w:t>
      </w:r>
      <w:r>
        <w:rPr>
          <w:rFonts w:hint="eastAsia"/>
        </w:rPr>
        <w:t>/</w:t>
      </w:r>
      <w:r>
        <w:rPr>
          <w:rFonts w:hint="eastAsia"/>
        </w:rPr>
        <w:t>绑架导致失踪或者“强迫失踪”的刑事责任认定与国际刑事法的相应要求一致，而由个人实施的非法拘禁</w:t>
      </w:r>
      <w:r>
        <w:rPr>
          <w:rFonts w:hint="eastAsia"/>
        </w:rPr>
        <w:t>/</w:t>
      </w:r>
      <w:r>
        <w:rPr>
          <w:rFonts w:hint="eastAsia"/>
        </w:rPr>
        <w:t>绑架导致失踪或者“强迫失踪”同样在《刑法典》中被认定为犯罪行为，因此，将通过相应的司法诉讼程序来界定并追究相应的刑事责任。</w:t>
      </w:r>
    </w:p>
    <w:p w:rsidR="003C2E11" w:rsidRDefault="003C2E11">
      <w:pPr>
        <w:pStyle w:val="SingleTxtGC"/>
      </w:pPr>
      <w:r>
        <w:t xml:space="preserve">53.  </w:t>
      </w:r>
      <w:r>
        <w:rPr>
          <w:rFonts w:hint="eastAsia"/>
        </w:rPr>
        <w:t>我们在就《公约》第十条进行论述时同样也可以看到，在任何情况下，此类行为属于公共性质的犯罪，应当仅按照其犯罪事实开展侦缉并通过一切手段来掌握与之相关的信息。</w:t>
      </w:r>
    </w:p>
    <w:p w:rsidR="003C2E11" w:rsidRDefault="003C2E11">
      <w:pPr>
        <w:pStyle w:val="H1GC"/>
      </w:pPr>
      <w:r>
        <w:tab/>
      </w:r>
      <w:r>
        <w:tab/>
      </w:r>
      <w:bookmarkStart w:id="7" w:name="_Toc351380595"/>
      <w:r>
        <w:rPr>
          <w:rFonts w:hint="eastAsia"/>
        </w:rPr>
        <w:t>第四条</w:t>
      </w:r>
      <w:r>
        <w:rPr>
          <w:rFonts w:hint="eastAsia"/>
        </w:rPr>
        <w:br/>
      </w:r>
      <w:r>
        <w:rPr>
          <w:rFonts w:hint="eastAsia"/>
        </w:rPr>
        <w:t>缔约国的总体义务</w:t>
      </w:r>
      <w:bookmarkEnd w:id="7"/>
    </w:p>
    <w:p w:rsidR="003C2E11" w:rsidRDefault="003C2E11">
      <w:pPr>
        <w:pStyle w:val="SingleTxtGC"/>
      </w:pPr>
      <w:r>
        <w:t xml:space="preserve">54.  </w:t>
      </w:r>
      <w:r>
        <w:rPr>
          <w:rFonts w:hint="eastAsia"/>
        </w:rPr>
        <w:t>首先，需要援引《刑法典》对非法拘禁和绑架罪进行刑事认定和规范的相应规定，以便在之后审议这些规定是否与国际刑事法保持一致，也就是说，正如我们刚刚提到的，为确认此类犯罪是否就是《公约》所界定的“强迫失踪”，需要在西班牙法律制度中对此进行规范。</w:t>
      </w:r>
    </w:p>
    <w:p w:rsidR="003C2E11" w:rsidRDefault="003C2E11">
      <w:pPr>
        <w:pStyle w:val="H23GC"/>
        <w:rPr>
          <w:rFonts w:hint="eastAsia"/>
        </w:rPr>
      </w:pPr>
      <w:r>
        <w:tab/>
        <w:t>1.</w:t>
      </w:r>
      <w:r>
        <w:tab/>
      </w:r>
      <w:r>
        <w:rPr>
          <w:rFonts w:hint="eastAsia"/>
        </w:rPr>
        <w:t>《刑法典》的规定</w:t>
      </w:r>
    </w:p>
    <w:p w:rsidR="003C2E11" w:rsidRDefault="003C2E11">
      <w:pPr>
        <w:pStyle w:val="SingleTxtGC"/>
      </w:pPr>
      <w:r>
        <w:t xml:space="preserve">55.  </w:t>
      </w:r>
      <w:r>
        <w:rPr>
          <w:rFonts w:hint="eastAsia"/>
        </w:rPr>
        <w:t>在《刑法典》第二卷第六篇第</w:t>
      </w:r>
      <w:r>
        <w:rPr>
          <w:rFonts w:hint="eastAsia"/>
        </w:rPr>
        <w:t>163</w:t>
      </w:r>
      <w:r>
        <w:rPr>
          <w:rFonts w:hint="eastAsia"/>
        </w:rPr>
        <w:t>条至第</w:t>
      </w:r>
      <w:r>
        <w:rPr>
          <w:rFonts w:hint="eastAsia"/>
        </w:rPr>
        <w:t>172</w:t>
      </w:r>
      <w:r>
        <w:rPr>
          <w:rFonts w:hint="eastAsia"/>
        </w:rPr>
        <w:t>条关于“侵犯自由罪”的一系列规定中，对“非法拘禁和绑架罪”做出了规定</w:t>
      </w:r>
      <w:r>
        <w:rPr>
          <w:rFonts w:hint="eastAsia"/>
        </w:rPr>
        <w:t>(</w:t>
      </w:r>
      <w:r>
        <w:rPr>
          <w:rFonts w:hint="eastAsia"/>
        </w:rPr>
        <w:t>第</w:t>
      </w:r>
      <w:r>
        <w:rPr>
          <w:rFonts w:hint="eastAsia"/>
        </w:rPr>
        <w:t>163</w:t>
      </w:r>
      <w:r>
        <w:rPr>
          <w:rFonts w:hint="eastAsia"/>
        </w:rPr>
        <w:t>条至</w:t>
      </w:r>
      <w:r>
        <w:rPr>
          <w:rFonts w:hint="eastAsia"/>
        </w:rPr>
        <w:t>168</w:t>
      </w:r>
      <w:r>
        <w:rPr>
          <w:rFonts w:hint="eastAsia"/>
        </w:rPr>
        <w:t>条</w:t>
      </w:r>
      <w:r>
        <w:rPr>
          <w:rFonts w:hint="eastAsia"/>
        </w:rPr>
        <w:t>)</w:t>
      </w:r>
      <w:r>
        <w:rPr>
          <w:rFonts w:hint="eastAsia"/>
        </w:rPr>
        <w:t>。</w:t>
      </w:r>
    </w:p>
    <w:p w:rsidR="003C2E11" w:rsidRDefault="003C2E11">
      <w:pPr>
        <w:pStyle w:val="SingleTxtGC"/>
      </w:pPr>
      <w:r>
        <w:t xml:space="preserve">56.  </w:t>
      </w:r>
      <w:r>
        <w:rPr>
          <w:rFonts w:hint="eastAsia"/>
        </w:rPr>
        <w:t>具体来说，《刑法典》第</w:t>
      </w:r>
      <w:r>
        <w:rPr>
          <w:rFonts w:hint="eastAsia"/>
        </w:rPr>
        <w:t>166</w:t>
      </w:r>
      <w:r>
        <w:rPr>
          <w:rFonts w:hint="eastAsia"/>
        </w:rPr>
        <w:t>条规定：“非法拘禁或者绑架他人且未提供被害人下落，也没有释放受害人的，视其情况，根据本章以上各条规定加重处罚”。这一规定将被当前正处于研究讨论阶段的关于改革《刑法典》的组织法草案进行修订。在这一改革案中，继续保持其刑事类别，但是规定在本报告就《公约》第七条的论述中所指的情况下加重刑罚。</w:t>
      </w:r>
    </w:p>
    <w:p w:rsidR="003C2E11" w:rsidRDefault="003C2E11">
      <w:pPr>
        <w:pStyle w:val="SingleTxtGC"/>
      </w:pPr>
      <w:r>
        <w:t xml:space="preserve">57.  </w:t>
      </w:r>
      <w:r>
        <w:rPr>
          <w:rFonts w:hint="eastAsia"/>
        </w:rPr>
        <w:t>鉴于此类规定的出台使得《刑法典》本身具备了对非法拘禁或绑架罪的认定标准，因此需要提到这些规定：</w:t>
      </w:r>
    </w:p>
    <w:p w:rsidR="003C2E11" w:rsidRDefault="003C2E11">
      <w:pPr>
        <w:pStyle w:val="SingleTxtGC"/>
        <w:numPr>
          <w:ilvl w:val="0"/>
          <w:numId w:val="26"/>
        </w:numPr>
      </w:pPr>
      <w:r>
        <w:rPr>
          <w:rFonts w:hint="eastAsia"/>
        </w:rPr>
        <w:t>《刑法典》第</w:t>
      </w:r>
      <w:r>
        <w:rPr>
          <w:rFonts w:hint="eastAsia"/>
        </w:rPr>
        <w:t>163</w:t>
      </w:r>
      <w:r>
        <w:rPr>
          <w:rFonts w:hint="eastAsia"/>
        </w:rPr>
        <w:t>条规定：</w:t>
      </w:r>
    </w:p>
    <w:p w:rsidR="003C2E11" w:rsidRDefault="003C2E11">
      <w:pPr>
        <w:pStyle w:val="SingleTxtGC"/>
        <w:ind w:left="1996"/>
        <w:rPr>
          <w:rFonts w:hint="eastAsia"/>
        </w:rPr>
      </w:pPr>
      <w:r>
        <w:rPr>
          <w:rFonts w:hint="eastAsia"/>
        </w:rPr>
        <w:t>“私人拘禁或者绑架他人，剥夺他人自由权的，处</w:t>
      </w:r>
      <w:r>
        <w:rPr>
          <w:rFonts w:hint="eastAsia"/>
        </w:rPr>
        <w:t>4</w:t>
      </w:r>
      <w:r>
        <w:rPr>
          <w:rFonts w:hint="eastAsia"/>
        </w:rPr>
        <w:t>年以上</w:t>
      </w:r>
      <w:r>
        <w:rPr>
          <w:rFonts w:hint="eastAsia"/>
        </w:rPr>
        <w:t>6</w:t>
      </w:r>
      <w:r>
        <w:rPr>
          <w:rFonts w:hint="eastAsia"/>
        </w:rPr>
        <w:t>年以下徒刑。</w:t>
      </w:r>
    </w:p>
    <w:p w:rsidR="003C2E11" w:rsidRDefault="003C2E11">
      <w:pPr>
        <w:pStyle w:val="SingleTxtGC"/>
        <w:ind w:left="1996"/>
        <w:rPr>
          <w:rFonts w:hint="eastAsia"/>
        </w:rPr>
      </w:pPr>
      <w:r>
        <w:rPr>
          <w:rFonts w:hint="eastAsia"/>
        </w:rPr>
        <w:t>罪犯在</w:t>
      </w:r>
      <w:r>
        <w:rPr>
          <w:rFonts w:hint="eastAsia"/>
        </w:rPr>
        <w:t>3</w:t>
      </w:r>
      <w:r>
        <w:rPr>
          <w:rFonts w:hint="eastAsia"/>
        </w:rPr>
        <w:t>天内释放被监禁或者被拘留者但未遂的，减轻一级处刑罚。</w:t>
      </w:r>
    </w:p>
    <w:p w:rsidR="003C2E11" w:rsidRDefault="003C2E11">
      <w:pPr>
        <w:pStyle w:val="SingleTxtGC"/>
        <w:ind w:left="1996"/>
        <w:rPr>
          <w:rFonts w:hint="eastAsia"/>
        </w:rPr>
      </w:pPr>
      <w:r>
        <w:rPr>
          <w:rFonts w:hint="eastAsia"/>
        </w:rPr>
        <w:t>拘禁或者绑架他人超过</w:t>
      </w:r>
      <w:r>
        <w:rPr>
          <w:rFonts w:hint="eastAsia"/>
        </w:rPr>
        <w:t>15</w:t>
      </w:r>
      <w:r>
        <w:rPr>
          <w:rFonts w:hint="eastAsia"/>
        </w:rPr>
        <w:t>天的，处</w:t>
      </w:r>
      <w:r>
        <w:rPr>
          <w:rFonts w:hint="eastAsia"/>
        </w:rPr>
        <w:t>5</w:t>
      </w:r>
      <w:r>
        <w:rPr>
          <w:rFonts w:hint="eastAsia"/>
        </w:rPr>
        <w:t>年以上</w:t>
      </w:r>
      <w:r>
        <w:rPr>
          <w:rFonts w:hint="eastAsia"/>
        </w:rPr>
        <w:t>8</w:t>
      </w:r>
      <w:r>
        <w:rPr>
          <w:rFonts w:hint="eastAsia"/>
        </w:rPr>
        <w:t>年以下徒刑。</w:t>
      </w:r>
    </w:p>
    <w:p w:rsidR="003C2E11" w:rsidRDefault="003C2E11">
      <w:pPr>
        <w:pStyle w:val="SingleTxtGC"/>
        <w:ind w:left="1996"/>
      </w:pPr>
      <w:r>
        <w:rPr>
          <w:rFonts w:hint="eastAsia"/>
        </w:rPr>
        <w:t>私人以不法手段监禁或者拘留他人并立刻送往当局的，处以三至六个月罚金。”</w:t>
      </w:r>
    </w:p>
    <w:p w:rsidR="003C2E11" w:rsidRDefault="003C2E11">
      <w:pPr>
        <w:pStyle w:val="SingleTxtGC"/>
        <w:numPr>
          <w:ilvl w:val="0"/>
          <w:numId w:val="26"/>
        </w:numPr>
      </w:pPr>
      <w:r>
        <w:rPr>
          <w:rFonts w:hint="eastAsia"/>
        </w:rPr>
        <w:t>《刑法典》第</w:t>
      </w:r>
      <w:r>
        <w:rPr>
          <w:rFonts w:hint="eastAsia"/>
        </w:rPr>
        <w:t>164</w:t>
      </w:r>
      <w:r>
        <w:rPr>
          <w:rFonts w:hint="eastAsia"/>
        </w:rPr>
        <w:t>条规定如下：“对释放被绑架人员提出条件的，处</w:t>
      </w:r>
      <w:r>
        <w:rPr>
          <w:rFonts w:hint="eastAsia"/>
        </w:rPr>
        <w:t>6</w:t>
      </w:r>
      <w:r>
        <w:rPr>
          <w:rFonts w:hint="eastAsia"/>
        </w:rPr>
        <w:t>年以上</w:t>
      </w:r>
      <w:r>
        <w:rPr>
          <w:rFonts w:hint="eastAsia"/>
        </w:rPr>
        <w:t>10</w:t>
      </w:r>
      <w:r>
        <w:rPr>
          <w:rFonts w:hint="eastAsia"/>
        </w:rPr>
        <w:t>年以下徒刑。符合第</w:t>
      </w:r>
      <w:r>
        <w:rPr>
          <w:rFonts w:hint="eastAsia"/>
        </w:rPr>
        <w:t>163</w:t>
      </w:r>
      <w:r>
        <w:rPr>
          <w:rFonts w:hint="eastAsia"/>
        </w:rPr>
        <w:t>条第</w:t>
      </w:r>
      <w:r>
        <w:rPr>
          <w:rFonts w:hint="eastAsia"/>
        </w:rPr>
        <w:t>3</w:t>
      </w:r>
      <w:r>
        <w:rPr>
          <w:rFonts w:hint="eastAsia"/>
        </w:rPr>
        <w:t>款规定情节的，加重一级处罚；符合第</w:t>
      </w:r>
      <w:r>
        <w:rPr>
          <w:rFonts w:hint="eastAsia"/>
        </w:rPr>
        <w:t>163</w:t>
      </w:r>
      <w:r>
        <w:rPr>
          <w:rFonts w:hint="eastAsia"/>
        </w:rPr>
        <w:t>条第</w:t>
      </w:r>
      <w:r>
        <w:rPr>
          <w:rFonts w:hint="eastAsia"/>
        </w:rPr>
        <w:t>2</w:t>
      </w:r>
      <w:r>
        <w:rPr>
          <w:rFonts w:hint="eastAsia"/>
        </w:rPr>
        <w:t>款规定情节的，减轻一级处罚。”</w:t>
      </w:r>
    </w:p>
    <w:p w:rsidR="003C2E11" w:rsidRDefault="003C2E11">
      <w:pPr>
        <w:pStyle w:val="SingleTxtGC"/>
        <w:numPr>
          <w:ilvl w:val="0"/>
          <w:numId w:val="26"/>
        </w:numPr>
      </w:pPr>
      <w:r>
        <w:rPr>
          <w:rFonts w:hint="eastAsia"/>
        </w:rPr>
        <w:t>《刑法典》第</w:t>
      </w:r>
      <w:r>
        <w:rPr>
          <w:rFonts w:hint="eastAsia"/>
        </w:rPr>
        <w:t>165</w:t>
      </w:r>
      <w:r>
        <w:rPr>
          <w:rFonts w:hint="eastAsia"/>
        </w:rPr>
        <w:t>条规定：“冒充当局或者公务员非法拘禁或者绑架，或非法拘禁或者绑架未成年人、无行为能力人和执行公务的公务员，在法定量刑幅度内取较重半幅度处罚。”</w:t>
      </w:r>
    </w:p>
    <w:p w:rsidR="003C2E11" w:rsidRDefault="003C2E11">
      <w:pPr>
        <w:pStyle w:val="SingleTxtGC"/>
        <w:numPr>
          <w:ilvl w:val="0"/>
          <w:numId w:val="26"/>
        </w:numPr>
      </w:pPr>
      <w:r>
        <w:rPr>
          <w:rFonts w:hint="eastAsia"/>
        </w:rPr>
        <w:t>针对由公务员、代理或公职人员犯下上述罪行的情况，《刑法典》第</w:t>
      </w:r>
      <w:r>
        <w:rPr>
          <w:rFonts w:hint="eastAsia"/>
        </w:rPr>
        <w:t>167</w:t>
      </w:r>
      <w:r>
        <w:rPr>
          <w:rFonts w:hint="eastAsia"/>
        </w:rPr>
        <w:t>条规定：“当局或者公务员非因法律允许而违反以上各条规定的，无论其犯罪原因，在法定量刑幅度内取较重半幅度处罚，并完全剥夺权利</w:t>
      </w:r>
      <w:r>
        <w:rPr>
          <w:rFonts w:hint="eastAsia"/>
        </w:rPr>
        <w:t>8</w:t>
      </w:r>
      <w:r>
        <w:rPr>
          <w:rFonts w:hint="eastAsia"/>
        </w:rPr>
        <w:t>至</w:t>
      </w:r>
      <w:r>
        <w:rPr>
          <w:rFonts w:hint="eastAsia"/>
        </w:rPr>
        <w:t>12</w:t>
      </w:r>
      <w:r>
        <w:rPr>
          <w:rFonts w:hint="eastAsia"/>
        </w:rPr>
        <w:t>年”。</w:t>
      </w:r>
    </w:p>
    <w:p w:rsidR="003C2E11" w:rsidRDefault="003C2E11">
      <w:pPr>
        <w:pStyle w:val="SingleTxtGC"/>
      </w:pPr>
      <w:r>
        <w:t xml:space="preserve">58.  </w:t>
      </w:r>
      <w:r>
        <w:rPr>
          <w:rFonts w:hint="eastAsia"/>
        </w:rPr>
        <w:t>另一方面，《刑法典》还针对公务人员所犯下的侵犯自由罪进行了界定并在第</w:t>
      </w:r>
      <w:r>
        <w:rPr>
          <w:rFonts w:hint="eastAsia"/>
        </w:rPr>
        <w:t>530</w:t>
      </w:r>
      <w:r>
        <w:rPr>
          <w:rFonts w:hint="eastAsia"/>
        </w:rPr>
        <w:t>条中做出了具体规定。该条规定：“参与刑事案件审理，对逮捕、拘禁或者受审人员判决、实施或者延长任何剥夺自由权的当局或者公务员，侵犯时间规定或者其他宪法、法律规定应予保护的权利的，剥夺其从事职业或者担任公职的权利</w:t>
      </w:r>
      <w:r>
        <w:rPr>
          <w:rFonts w:hint="eastAsia"/>
        </w:rPr>
        <w:t>4</w:t>
      </w:r>
      <w:r>
        <w:rPr>
          <w:rFonts w:hint="eastAsia"/>
        </w:rPr>
        <w:t>至</w:t>
      </w:r>
      <w:r>
        <w:rPr>
          <w:rFonts w:hint="eastAsia"/>
        </w:rPr>
        <w:t>8</w:t>
      </w:r>
      <w:r>
        <w:rPr>
          <w:rFonts w:hint="eastAsia"/>
        </w:rPr>
        <w:t>年。”</w:t>
      </w:r>
    </w:p>
    <w:p w:rsidR="003C2E11" w:rsidRDefault="003C2E11">
      <w:pPr>
        <w:pStyle w:val="H23GC"/>
      </w:pPr>
      <w:r>
        <w:tab/>
        <w:t>2.</w:t>
      </w:r>
      <w:r>
        <w:tab/>
      </w:r>
      <w:r>
        <w:rPr>
          <w:rFonts w:hint="eastAsia"/>
        </w:rPr>
        <w:t>《刑法典》与《公约》接轨</w:t>
      </w:r>
    </w:p>
    <w:p w:rsidR="003C2E11" w:rsidRDefault="003C2E11">
      <w:pPr>
        <w:pStyle w:val="SingleTxtGC"/>
        <w:rPr>
          <w:rFonts w:hint="eastAsia"/>
        </w:rPr>
      </w:pPr>
      <w:r>
        <w:t xml:space="preserve">59.  </w:t>
      </w:r>
      <w:r>
        <w:rPr>
          <w:rFonts w:hint="eastAsia"/>
        </w:rPr>
        <w:t>通过阅读这些规定可以看出，就“强迫失踪”而言，正如《公约》第二条对这一现象的定义一样，在《刑法典》中将之认定为表现为非法拘禁</w:t>
      </w:r>
      <w:r>
        <w:rPr>
          <w:rFonts w:hint="eastAsia"/>
        </w:rPr>
        <w:t>/</w:t>
      </w:r>
      <w:r>
        <w:rPr>
          <w:rFonts w:hint="eastAsia"/>
        </w:rPr>
        <w:t>绑架导致失踪形式的犯罪。事实上，我们看到《公约》第二条将“强迫失踪”定义为由国家代理人或者准国家代理人实施的剥夺自由的行为，并拒绝承认剥夺自由之实情，隐瞒失踪者的命运或下落，致使失踪者不能得到法律体系赋予所有被剥夺自由者的保护。</w:t>
      </w:r>
    </w:p>
    <w:p w:rsidR="003C2E11" w:rsidRDefault="003C2E11">
      <w:pPr>
        <w:pStyle w:val="SingleTxtGC"/>
      </w:pPr>
      <w:r>
        <w:t xml:space="preserve">60.  </w:t>
      </w:r>
      <w:r>
        <w:rPr>
          <w:rFonts w:hint="eastAsia"/>
        </w:rPr>
        <w:t>而前面提到的《刑法典》的规定反映出：</w:t>
      </w:r>
    </w:p>
    <w:p w:rsidR="003C2E11" w:rsidRDefault="003C2E11">
      <w:pPr>
        <w:pStyle w:val="SingleTxtGC"/>
        <w:numPr>
          <w:ilvl w:val="3"/>
          <w:numId w:val="27"/>
        </w:numPr>
        <w:ind w:left="1134"/>
      </w:pPr>
      <w:r>
        <w:rPr>
          <w:rFonts w:hint="eastAsia"/>
        </w:rPr>
        <w:t>由私人实施的剥夺他人</w:t>
      </w:r>
      <w:r>
        <w:rPr>
          <w:rFonts w:hint="eastAsia"/>
        </w:rPr>
        <w:t>/</w:t>
      </w:r>
      <w:r>
        <w:rPr>
          <w:rFonts w:hint="eastAsia"/>
        </w:rPr>
        <w:t>受害人自由的行为，不管其形式为何，均构成非法拘禁罪</w:t>
      </w:r>
      <w:r>
        <w:rPr>
          <w:rFonts w:hint="eastAsia"/>
        </w:rPr>
        <w:t>(</w:t>
      </w:r>
      <w:r>
        <w:rPr>
          <w:rFonts w:hint="eastAsia"/>
        </w:rPr>
        <w:t>《刑法典》第</w:t>
      </w:r>
      <w:r>
        <w:rPr>
          <w:rFonts w:hint="eastAsia"/>
        </w:rPr>
        <w:t>163</w:t>
      </w:r>
      <w:r>
        <w:rPr>
          <w:rFonts w:hint="eastAsia"/>
        </w:rPr>
        <w:t>条</w:t>
      </w:r>
      <w:r>
        <w:rPr>
          <w:rFonts w:hint="eastAsia"/>
        </w:rPr>
        <w:t>)</w:t>
      </w:r>
      <w:r>
        <w:rPr>
          <w:rFonts w:hint="eastAsia"/>
        </w:rPr>
        <w:t>，如果剥夺他人自由的实施者对释放提出条件的，构成绑架罪</w:t>
      </w:r>
      <w:r>
        <w:rPr>
          <w:rFonts w:hint="eastAsia"/>
        </w:rPr>
        <w:t>(</w:t>
      </w:r>
      <w:r>
        <w:rPr>
          <w:rFonts w:hint="eastAsia"/>
        </w:rPr>
        <w:t>第</w:t>
      </w:r>
      <w:r>
        <w:rPr>
          <w:rFonts w:hint="eastAsia"/>
        </w:rPr>
        <w:t>164</w:t>
      </w:r>
      <w:r>
        <w:rPr>
          <w:rFonts w:hint="eastAsia"/>
        </w:rPr>
        <w:t>条</w:t>
      </w:r>
      <w:r>
        <w:rPr>
          <w:rFonts w:hint="eastAsia"/>
        </w:rPr>
        <w:t>)</w:t>
      </w:r>
      <w:r>
        <w:rPr>
          <w:rFonts w:hint="eastAsia"/>
        </w:rPr>
        <w:t>；</w:t>
      </w:r>
    </w:p>
    <w:p w:rsidR="003C2E11" w:rsidRDefault="003C2E11">
      <w:pPr>
        <w:pStyle w:val="SingleTxtGC"/>
        <w:numPr>
          <w:ilvl w:val="3"/>
          <w:numId w:val="27"/>
        </w:numPr>
        <w:ind w:left="1134"/>
        <w:rPr>
          <w:rFonts w:hint="eastAsia"/>
        </w:rPr>
      </w:pPr>
      <w:r>
        <w:rPr>
          <w:rFonts w:hint="eastAsia"/>
        </w:rPr>
        <w:t>如果非法拘禁或绑架的责任人拒绝提供被拘禁人或被绑架人下落的，其犯罪情节应予加重，也就是说，在针对非法拘禁或绑架罪规定的刑罚基础上加重处罚</w:t>
      </w:r>
      <w:r>
        <w:rPr>
          <w:rFonts w:hint="eastAsia"/>
        </w:rPr>
        <w:t>(</w:t>
      </w:r>
      <w:r>
        <w:rPr>
          <w:rFonts w:hint="eastAsia"/>
        </w:rPr>
        <w:t>《刑法典》第</w:t>
      </w:r>
      <w:r>
        <w:rPr>
          <w:rFonts w:hint="eastAsia"/>
        </w:rPr>
        <w:t>166</w:t>
      </w:r>
      <w:r>
        <w:rPr>
          <w:rFonts w:hint="eastAsia"/>
        </w:rPr>
        <w:t>条</w:t>
      </w:r>
      <w:r>
        <w:rPr>
          <w:rFonts w:hint="eastAsia"/>
        </w:rPr>
        <w:t>)</w:t>
      </w:r>
      <w:r>
        <w:rPr>
          <w:rFonts w:hint="eastAsia"/>
        </w:rPr>
        <w:t>。需要提醒注意的是当前正处于研究讨论阶段的改革案也提出了对此类犯罪加重处罚。可见，西班牙《刑法典》规定当此类行为是由未经国家授权的个人实施时，将之认定为与“强迫失踪”同等性质的行为。这一性质认定满足了《公约》第三条的要求；</w:t>
      </w:r>
    </w:p>
    <w:p w:rsidR="003C2E11" w:rsidRDefault="003C2E11">
      <w:pPr>
        <w:pStyle w:val="SingleTxtGC"/>
        <w:numPr>
          <w:ilvl w:val="3"/>
          <w:numId w:val="27"/>
        </w:numPr>
        <w:ind w:left="1134"/>
      </w:pPr>
      <w:r>
        <w:rPr>
          <w:rFonts w:hint="eastAsia"/>
        </w:rPr>
        <w:t>当非法拘禁或绑架的实施人是公务员或当局</w:t>
      </w:r>
      <w:r>
        <w:rPr>
          <w:rFonts w:hint="eastAsia"/>
          <w:spacing w:val="-60"/>
        </w:rPr>
        <w:t>―</w:t>
      </w:r>
      <w:r>
        <w:rPr>
          <w:rFonts w:hint="eastAsia"/>
          <w:spacing w:val="10"/>
        </w:rPr>
        <w:t>―</w:t>
      </w:r>
      <w:r>
        <w:rPr>
          <w:rFonts w:hint="eastAsia"/>
        </w:rPr>
        <w:t>也就是说，属于国家代理人</w:t>
      </w:r>
      <w:r>
        <w:rPr>
          <w:rFonts w:hint="eastAsia"/>
          <w:spacing w:val="-60"/>
        </w:rPr>
        <w:t>―</w:t>
      </w:r>
      <w:r>
        <w:rPr>
          <w:rFonts w:hint="eastAsia"/>
          <w:spacing w:val="10"/>
        </w:rPr>
        <w:t>―</w:t>
      </w:r>
      <w:r>
        <w:rPr>
          <w:rFonts w:hint="eastAsia"/>
        </w:rPr>
        <w:t>时，或者其拒绝提供被拘禁人员下落的，不管其犯罪原因为何，此类代理人应在针对个人实施的强迫失踪规定的刑罚基础上加重处罚</w:t>
      </w:r>
      <w:r>
        <w:rPr>
          <w:rFonts w:hint="eastAsia"/>
        </w:rPr>
        <w:t>(</w:t>
      </w:r>
      <w:r>
        <w:rPr>
          <w:rFonts w:hint="eastAsia"/>
        </w:rPr>
        <w:t>通常取法定刑罚幅度中较重的半幅度</w:t>
      </w:r>
      <w:r>
        <w:rPr>
          <w:rFonts w:hint="eastAsia"/>
        </w:rPr>
        <w:t>)</w:t>
      </w:r>
      <w:r>
        <w:rPr>
          <w:rFonts w:hint="eastAsia"/>
        </w:rPr>
        <w:t>并处以剥夺权利的惩罚</w:t>
      </w:r>
      <w:r>
        <w:rPr>
          <w:rFonts w:hint="eastAsia"/>
        </w:rPr>
        <w:t>(</w:t>
      </w:r>
      <w:r>
        <w:rPr>
          <w:rFonts w:hint="eastAsia"/>
        </w:rPr>
        <w:t>《刑法典》第</w:t>
      </w:r>
      <w:r>
        <w:rPr>
          <w:rFonts w:hint="eastAsia"/>
        </w:rPr>
        <w:t>167</w:t>
      </w:r>
      <w:r>
        <w:rPr>
          <w:rFonts w:hint="eastAsia"/>
        </w:rPr>
        <w:t>条</w:t>
      </w:r>
      <w:r>
        <w:rPr>
          <w:rFonts w:hint="eastAsia"/>
        </w:rPr>
        <w:t>)</w:t>
      </w:r>
      <w:r>
        <w:rPr>
          <w:rFonts w:hint="eastAsia"/>
        </w:rPr>
        <w:t>。这一规定满足了《公约》第四条中与《公约》第二条相关的要求；</w:t>
      </w:r>
    </w:p>
    <w:p w:rsidR="003C2E11" w:rsidRDefault="003C2E11">
      <w:pPr>
        <w:pStyle w:val="SingleTxtGC"/>
        <w:numPr>
          <w:ilvl w:val="3"/>
          <w:numId w:val="27"/>
        </w:numPr>
        <w:ind w:left="1134"/>
      </w:pPr>
      <w:r>
        <w:rPr>
          <w:rFonts w:hint="eastAsia"/>
        </w:rPr>
        <w:t>当非法拘禁或绑架的实施人冒充当局或者公务员犯罪的，应在法定刑罚幅度内取较重半幅度处罚</w:t>
      </w:r>
      <w:r>
        <w:rPr>
          <w:rFonts w:hint="eastAsia"/>
        </w:rPr>
        <w:t>(</w:t>
      </w:r>
      <w:r>
        <w:rPr>
          <w:rFonts w:hint="eastAsia"/>
        </w:rPr>
        <w:t>《刑法典》第</w:t>
      </w:r>
      <w:r>
        <w:rPr>
          <w:rFonts w:hint="eastAsia"/>
        </w:rPr>
        <w:t>165</w:t>
      </w:r>
      <w:r>
        <w:rPr>
          <w:rFonts w:hint="eastAsia"/>
        </w:rPr>
        <w:t>条</w:t>
      </w:r>
      <w:r>
        <w:rPr>
          <w:rFonts w:hint="eastAsia"/>
        </w:rPr>
        <w:t>)</w:t>
      </w:r>
      <w:r>
        <w:rPr>
          <w:rFonts w:hint="eastAsia"/>
        </w:rPr>
        <w:t>。这一规定同样也满足了《公约》第四条中与《公约》第二条相关的要求；</w:t>
      </w:r>
    </w:p>
    <w:p w:rsidR="003C2E11" w:rsidRDefault="003C2E11">
      <w:pPr>
        <w:pStyle w:val="SingleTxtGC"/>
        <w:numPr>
          <w:ilvl w:val="3"/>
          <w:numId w:val="27"/>
        </w:numPr>
        <w:ind w:left="1134"/>
      </w:pPr>
      <w:r>
        <w:rPr>
          <w:rFonts w:hint="eastAsia"/>
        </w:rPr>
        <w:t>在刑事案件审理中出现违规行为，也就是说，在开始时剥夺个人自由是由国家代理人依法实施的，并没有触犯上面</w:t>
      </w:r>
      <w:r>
        <w:rPr>
          <w:rFonts w:hint="eastAsia"/>
        </w:rPr>
        <w:t>c</w:t>
      </w:r>
      <w:r>
        <w:rPr>
          <w:rFonts w:hint="eastAsia"/>
        </w:rPr>
        <w:t>项所列罪行，但是实施过程中侵犯了被拘留或监禁者的任何保障权的，该代理人将被暂时剥夺从事职权或担任公职的权利</w:t>
      </w:r>
      <w:r>
        <w:rPr>
          <w:rFonts w:hint="eastAsia"/>
        </w:rPr>
        <w:t>(</w:t>
      </w:r>
      <w:r>
        <w:rPr>
          <w:rFonts w:hint="eastAsia"/>
        </w:rPr>
        <w:t>《刑法典》第</w:t>
      </w:r>
      <w:r>
        <w:rPr>
          <w:rFonts w:hint="eastAsia"/>
        </w:rPr>
        <w:t>530</w:t>
      </w:r>
      <w:r>
        <w:rPr>
          <w:rFonts w:hint="eastAsia"/>
        </w:rPr>
        <w:t>条</w:t>
      </w:r>
      <w:r>
        <w:rPr>
          <w:rFonts w:hint="eastAsia"/>
        </w:rPr>
        <w:t>)</w:t>
      </w:r>
      <w:r>
        <w:rPr>
          <w:rFonts w:hint="eastAsia"/>
        </w:rPr>
        <w:t>；</w:t>
      </w:r>
    </w:p>
    <w:p w:rsidR="003C2E11" w:rsidRDefault="003C2E11">
      <w:pPr>
        <w:pStyle w:val="SingleTxtGC"/>
        <w:numPr>
          <w:ilvl w:val="3"/>
          <w:numId w:val="27"/>
        </w:numPr>
        <w:ind w:left="1134"/>
      </w:pPr>
      <w:r>
        <w:rPr>
          <w:rFonts w:hint="eastAsia"/>
        </w:rPr>
        <w:t>最后，我们接下来马上就可以看到，《刑法典》第</w:t>
      </w:r>
      <w:r>
        <w:rPr>
          <w:rFonts w:hint="eastAsia"/>
        </w:rPr>
        <w:t>607</w:t>
      </w:r>
      <w:r>
        <w:rPr>
          <w:rFonts w:hint="eastAsia"/>
        </w:rPr>
        <w:t>条之二规定的刑罚标准满足了《公约》第五条的要求，考虑到了在某些情况下强迫失踪可能会构成危害人类罪。</w:t>
      </w:r>
    </w:p>
    <w:p w:rsidR="003C2E11" w:rsidRDefault="003C2E11">
      <w:pPr>
        <w:pStyle w:val="H1GC"/>
      </w:pPr>
      <w:r>
        <w:tab/>
      </w:r>
      <w:r>
        <w:tab/>
      </w:r>
      <w:bookmarkStart w:id="8" w:name="_Toc351380596"/>
      <w:r>
        <w:rPr>
          <w:rFonts w:hint="eastAsia"/>
        </w:rPr>
        <w:t>第五条</w:t>
      </w:r>
      <w:r>
        <w:rPr>
          <w:rFonts w:hint="eastAsia"/>
        </w:rPr>
        <w:br/>
      </w:r>
      <w:r>
        <w:rPr>
          <w:rFonts w:hint="eastAsia"/>
        </w:rPr>
        <w:t>将</w:t>
      </w:r>
      <w:r>
        <w:rPr>
          <w:rFonts w:eastAsia="SimSun" w:hint="eastAsia"/>
        </w:rPr>
        <w:t>“</w:t>
      </w:r>
      <w:r>
        <w:rPr>
          <w:rFonts w:hint="eastAsia"/>
        </w:rPr>
        <w:t>强迫失踪</w:t>
      </w:r>
      <w:r>
        <w:rPr>
          <w:rFonts w:eastAsia="SimSun" w:hint="eastAsia"/>
        </w:rPr>
        <w:t>”</w:t>
      </w:r>
      <w:r>
        <w:rPr>
          <w:rFonts w:hint="eastAsia"/>
        </w:rPr>
        <w:t>认定为犯罪</w:t>
      </w:r>
      <w:bookmarkEnd w:id="8"/>
    </w:p>
    <w:p w:rsidR="003C2E11" w:rsidRDefault="003C2E11">
      <w:pPr>
        <w:pStyle w:val="SingleTxtGC"/>
      </w:pPr>
      <w:r>
        <w:t xml:space="preserve">61.  </w:t>
      </w:r>
      <w:r>
        <w:rPr>
          <w:rFonts w:hint="eastAsia"/>
        </w:rPr>
        <w:t>现行的《西班牙刑法典》当前在第</w:t>
      </w:r>
      <w:r>
        <w:rPr>
          <w:rFonts w:hint="eastAsia"/>
        </w:rPr>
        <w:t>607</w:t>
      </w:r>
      <w:r>
        <w:rPr>
          <w:rFonts w:hint="eastAsia"/>
        </w:rPr>
        <w:t>条之二关于“危害人类罪”的内容中对危害人类罪所作的定义与</w:t>
      </w:r>
      <w:smartTag w:uri="urn:schemas-microsoft-com:office:smarttags" w:element="chsdate">
        <w:smartTagPr>
          <w:attr w:name="Year" w:val="1998"/>
          <w:attr w:name="Month" w:val="7"/>
          <w:attr w:name="Day" w:val="17"/>
          <w:attr w:name="IsLunarDate" w:val="False"/>
          <w:attr w:name="IsROCDate" w:val="False"/>
        </w:smartTagPr>
        <w:r>
          <w:rPr>
            <w:rFonts w:hint="eastAsia"/>
          </w:rPr>
          <w:t>1998</w:t>
        </w:r>
        <w:r>
          <w:rPr>
            <w:rFonts w:hint="eastAsia"/>
          </w:rPr>
          <w:t>年</w:t>
        </w:r>
        <w:r>
          <w:rPr>
            <w:rFonts w:hint="eastAsia"/>
          </w:rPr>
          <w:t>7</w:t>
        </w:r>
        <w:r>
          <w:rPr>
            <w:rFonts w:hint="eastAsia"/>
          </w:rPr>
          <w:t>月</w:t>
        </w:r>
        <w:r>
          <w:rPr>
            <w:rFonts w:hint="eastAsia"/>
          </w:rPr>
          <w:t>17</w:t>
        </w:r>
        <w:r>
          <w:rPr>
            <w:rFonts w:hint="eastAsia"/>
          </w:rPr>
          <w:t>日</w:t>
        </w:r>
      </w:smartTag>
      <w:r>
        <w:rPr>
          <w:rFonts w:hint="eastAsia"/>
        </w:rPr>
        <w:t>的《国际刑事法院罗马规约》中所作的定义一致。西班牙于</w:t>
      </w:r>
      <w:r>
        <w:rPr>
          <w:rFonts w:hint="eastAsia"/>
        </w:rPr>
        <w:t>2000</w:t>
      </w:r>
      <w:r>
        <w:rPr>
          <w:rFonts w:hint="eastAsia"/>
        </w:rPr>
        <w:t>年批准了这一规约，并据以修订了本国法律制度，通过</w:t>
      </w:r>
      <w:smartTag w:uri="urn:schemas-microsoft-com:office:smarttags" w:element="chsdate">
        <w:smartTagPr>
          <w:attr w:name="Year" w:val="2003"/>
          <w:attr w:name="Month" w:val="11"/>
          <w:attr w:name="Day" w:val="25"/>
          <w:attr w:name="IsLunarDate" w:val="False"/>
          <w:attr w:name="IsROCDate" w:val="False"/>
        </w:smartTagPr>
        <w:r>
          <w:rPr>
            <w:rFonts w:hint="eastAsia"/>
          </w:rPr>
          <w:t>2003</w:t>
        </w:r>
        <w:r>
          <w:rPr>
            <w:rFonts w:hint="eastAsia"/>
          </w:rPr>
          <w:t>年</w:t>
        </w:r>
        <w:r>
          <w:rPr>
            <w:rFonts w:hint="eastAsia"/>
          </w:rPr>
          <w:t>11</w:t>
        </w:r>
        <w:r>
          <w:rPr>
            <w:rFonts w:hint="eastAsia"/>
          </w:rPr>
          <w:t>月</w:t>
        </w:r>
        <w:r>
          <w:rPr>
            <w:rFonts w:hint="eastAsia"/>
          </w:rPr>
          <w:t>25</w:t>
        </w:r>
        <w:r>
          <w:rPr>
            <w:rFonts w:hint="eastAsia"/>
          </w:rPr>
          <w:t>日</w:t>
        </w:r>
      </w:smartTag>
      <w:r>
        <w:rPr>
          <w:rFonts w:hint="eastAsia"/>
        </w:rPr>
        <w:t>的第</w:t>
      </w:r>
      <w:r>
        <w:rPr>
          <w:rFonts w:hint="eastAsia"/>
        </w:rPr>
        <w:t>15/2003</w:t>
      </w:r>
      <w:r>
        <w:rPr>
          <w:rFonts w:hint="eastAsia"/>
        </w:rPr>
        <w:t>号关于改革《刑法典》的组织法加入了该条规定。</w:t>
      </w:r>
    </w:p>
    <w:p w:rsidR="003C2E11" w:rsidRDefault="003C2E11">
      <w:pPr>
        <w:pStyle w:val="SingleTxtGC"/>
      </w:pPr>
      <w:r>
        <w:t xml:space="preserve">62.  </w:t>
      </w:r>
      <w:r>
        <w:rPr>
          <w:rFonts w:hint="eastAsia"/>
        </w:rPr>
        <w:t>针对危害人类罪做出相应规定的目的就是保护个人的基本合法权利，避免法律上或者事实上的政治势力在参与或容忍广泛或有系统地针对任何平民人口进行的攻击中对此类权利造成侵害。</w:t>
      </w:r>
    </w:p>
    <w:p w:rsidR="003C2E11" w:rsidRDefault="003C2E11">
      <w:pPr>
        <w:pStyle w:val="SingleTxtGC"/>
      </w:pPr>
      <w:r>
        <w:t xml:space="preserve">63.  </w:t>
      </w:r>
      <w:r>
        <w:rPr>
          <w:rFonts w:hint="eastAsia"/>
        </w:rPr>
        <w:t>《刑法典》第</w:t>
      </w:r>
      <w:r>
        <w:rPr>
          <w:rFonts w:hint="eastAsia"/>
        </w:rPr>
        <w:t>607</w:t>
      </w:r>
      <w:r>
        <w:rPr>
          <w:rFonts w:hint="eastAsia"/>
        </w:rPr>
        <w:t>条之二在其第一款中规定：</w:t>
      </w:r>
    </w:p>
    <w:p w:rsidR="003C2E11" w:rsidRDefault="003C2E11">
      <w:pPr>
        <w:pStyle w:val="SingleTxtGC"/>
        <w:ind w:left="1565"/>
        <w:rPr>
          <w:rFonts w:hint="eastAsia"/>
        </w:rPr>
      </w:pPr>
      <w:r>
        <w:rPr>
          <w:rFonts w:hint="eastAsia"/>
        </w:rPr>
        <w:t>“危害人类罪的犯罪实施人是指在广泛或有系统地针对任何平民人口进行的攻击中，在明知这一攻击的情况下，作为攻击的一部分而实施的下一款中所列的事实的人员。在任何情况下，犯有此类事实即被认为构成危害人类罪：</w:t>
      </w:r>
    </w:p>
    <w:p w:rsidR="003C2E11" w:rsidRDefault="003C2E11">
      <w:pPr>
        <w:pStyle w:val="SingleTxtGC"/>
        <w:ind w:left="1996" w:hanging="306"/>
        <w:rPr>
          <w:rFonts w:hint="eastAsia"/>
        </w:rPr>
      </w:pPr>
      <w:r>
        <w:rPr>
          <w:szCs w:val="21"/>
        </w:rPr>
        <w:t xml:space="preserve">1.  </w:t>
      </w:r>
      <w:r>
        <w:rPr>
          <w:rFonts w:hint="eastAsia"/>
        </w:rPr>
        <w:t>基于政治、种族、民族、族裔、文化、宗教、性别或根据公认为国际法不容的其他理由，对任何可以识别的团体或集体进行迫害。</w:t>
      </w:r>
    </w:p>
    <w:p w:rsidR="003C2E11" w:rsidRDefault="003C2E11">
      <w:pPr>
        <w:pStyle w:val="SingleTxtGC"/>
        <w:ind w:left="1996" w:hanging="306"/>
        <w:rPr>
          <w:rFonts w:hint="eastAsia"/>
        </w:rPr>
      </w:pPr>
      <w:r>
        <w:rPr>
          <w:szCs w:val="21"/>
        </w:rPr>
        <w:t xml:space="preserve">2.  </w:t>
      </w:r>
      <w:r>
        <w:rPr>
          <w:rFonts w:hint="eastAsia"/>
          <w:spacing w:val="-2"/>
        </w:rPr>
        <w:t>在一个有计划地实行压迫和统治的体制化制度下，由一个种族团体对任何其他一个或多个种族团体实施压迫和统治，以维持该制度的存在。”</w:t>
      </w:r>
    </w:p>
    <w:p w:rsidR="003C2E11" w:rsidRDefault="003C2E11">
      <w:pPr>
        <w:pStyle w:val="SingleTxtGC"/>
      </w:pPr>
      <w:r>
        <w:t xml:space="preserve">64.  </w:t>
      </w:r>
      <w:r>
        <w:rPr>
          <w:rFonts w:hint="eastAsia"/>
        </w:rPr>
        <w:t>这一规定说明了构成危害人类罪的行为所依托的形势或背景。参与针对任何平民人口进行的攻击是指根据国家或组织攻击平民人口的政策，或为了推行这种政策，针对任何平民人口多次实施此类行为的行为过程</w:t>
      </w:r>
      <w:r>
        <w:rPr>
          <w:rFonts w:hint="eastAsia"/>
        </w:rPr>
        <w:t>(</w:t>
      </w:r>
      <w:r>
        <w:rPr>
          <w:rFonts w:hint="eastAsia"/>
        </w:rPr>
        <w:t>《规约》补充文件，第</w:t>
      </w:r>
      <w:r>
        <w:rPr>
          <w:rFonts w:hint="eastAsia"/>
        </w:rPr>
        <w:t>7</w:t>
      </w:r>
      <w:r>
        <w:rPr>
          <w:rFonts w:hint="eastAsia"/>
        </w:rPr>
        <w:t>条“犯罪因素”。导言，第</w:t>
      </w:r>
      <w:r>
        <w:rPr>
          <w:rFonts w:hint="eastAsia"/>
        </w:rPr>
        <w:t>3</w:t>
      </w:r>
      <w:r>
        <w:rPr>
          <w:rFonts w:hint="eastAsia"/>
        </w:rPr>
        <w:t>点</w:t>
      </w:r>
      <w:r>
        <w:rPr>
          <w:rFonts w:hint="eastAsia"/>
        </w:rPr>
        <w:t>)</w:t>
      </w:r>
      <w:r>
        <w:rPr>
          <w:rFonts w:hint="eastAsia"/>
        </w:rPr>
        <w:t>。然而，此类攻击并不意味着存在战争或武装冲突，因为当前危害人类罪或反人类罪的概念并不依附于战争状态。</w:t>
      </w:r>
    </w:p>
    <w:p w:rsidR="003C2E11" w:rsidRDefault="003C2E11">
      <w:pPr>
        <w:pStyle w:val="SingleTxtGC"/>
      </w:pPr>
      <w:r>
        <w:t xml:space="preserve">65.  </w:t>
      </w:r>
      <w:r>
        <w:rPr>
          <w:rFonts w:hint="eastAsia"/>
        </w:rPr>
        <w:t>随后《刑法典》第</w:t>
      </w:r>
      <w:r>
        <w:rPr>
          <w:rFonts w:hint="eastAsia"/>
        </w:rPr>
        <w:t>607</w:t>
      </w:r>
      <w:r>
        <w:rPr>
          <w:rFonts w:hint="eastAsia"/>
        </w:rPr>
        <w:t>条之二列出了构成危害人类罪的具体行为或模式，其中包括非法拘禁导致失踪或者强迫失踪。在这方面，该条第</w:t>
      </w:r>
      <w:r>
        <w:rPr>
          <w:rFonts w:hint="eastAsia"/>
        </w:rPr>
        <w:t>2</w:t>
      </w:r>
      <w:r>
        <w:rPr>
          <w:rFonts w:hint="eastAsia"/>
        </w:rPr>
        <w:t>款的第</w:t>
      </w:r>
      <w:r>
        <w:rPr>
          <w:rFonts w:hint="eastAsia"/>
        </w:rPr>
        <w:t>6</w:t>
      </w:r>
      <w:r>
        <w:rPr>
          <w:rFonts w:hint="eastAsia"/>
        </w:rPr>
        <w:t>项和第</w:t>
      </w:r>
      <w:r>
        <w:rPr>
          <w:rFonts w:hint="eastAsia"/>
        </w:rPr>
        <w:t>7</w:t>
      </w:r>
      <w:r>
        <w:rPr>
          <w:rFonts w:hint="eastAsia"/>
        </w:rPr>
        <w:t>项规定如下：</w:t>
      </w:r>
    </w:p>
    <w:p w:rsidR="003C2E11" w:rsidRDefault="003C2E11">
      <w:pPr>
        <w:pStyle w:val="SingleTxtGC"/>
        <w:ind w:left="1565"/>
        <w:rPr>
          <w:rFonts w:hint="eastAsia"/>
        </w:rPr>
      </w:pPr>
      <w:r>
        <w:rPr>
          <w:rFonts w:hint="eastAsia"/>
        </w:rPr>
        <w:t>“危害人类罪的犯罪实施人应受到以下处罚：</w:t>
      </w:r>
    </w:p>
    <w:p w:rsidR="003C2E11" w:rsidRDefault="003C2E11">
      <w:pPr>
        <w:pStyle w:val="SingleTxtGC"/>
        <w:ind w:left="1565"/>
        <w:rPr>
          <w:rFonts w:hint="eastAsia"/>
        </w:rPr>
      </w:pPr>
      <w:r>
        <w:rPr>
          <w:rFonts w:hint="eastAsia"/>
        </w:rPr>
        <w:t>［……］</w:t>
      </w:r>
    </w:p>
    <w:p w:rsidR="003C2E11" w:rsidRDefault="003C2E11">
      <w:pPr>
        <w:pStyle w:val="SingleTxtGC"/>
        <w:ind w:left="1996" w:hanging="306"/>
        <w:rPr>
          <w:rFonts w:hint="eastAsia"/>
        </w:rPr>
      </w:pPr>
      <w:r>
        <w:rPr>
          <w:rFonts w:hint="eastAsia"/>
        </w:rPr>
        <w:t xml:space="preserve">6.  </w:t>
      </w:r>
      <w:r>
        <w:rPr>
          <w:rFonts w:hint="eastAsia"/>
        </w:rPr>
        <w:t>对他人实施拘禁且拒绝承认这一剥夺自由行为或者拒不释放或提供被害人下落的，处以</w:t>
      </w:r>
      <w:r>
        <w:rPr>
          <w:rFonts w:hint="eastAsia"/>
        </w:rPr>
        <w:t>12</w:t>
      </w:r>
      <w:r>
        <w:rPr>
          <w:rFonts w:hint="eastAsia"/>
        </w:rPr>
        <w:t>年以上</w:t>
      </w:r>
      <w:r>
        <w:rPr>
          <w:rFonts w:hint="eastAsia"/>
        </w:rPr>
        <w:t>15</w:t>
      </w:r>
      <w:r>
        <w:rPr>
          <w:rFonts w:hint="eastAsia"/>
        </w:rPr>
        <w:t>年以下徒刑。</w:t>
      </w:r>
    </w:p>
    <w:p w:rsidR="003C2E11" w:rsidRDefault="003C2E11">
      <w:pPr>
        <w:pStyle w:val="SingleTxtGC"/>
        <w:ind w:left="1996" w:hanging="306"/>
        <w:rPr>
          <w:rFonts w:hint="eastAsia"/>
        </w:rPr>
      </w:pPr>
      <w:r>
        <w:rPr>
          <w:rFonts w:hint="eastAsia"/>
        </w:rPr>
        <w:t xml:space="preserve">7.  </w:t>
      </w:r>
      <w:r>
        <w:rPr>
          <w:rFonts w:hint="eastAsia"/>
        </w:rPr>
        <w:t>如果拘禁他人、剥夺自由的行为违反国际上关于拘禁的规定的，处以</w:t>
      </w:r>
      <w:r>
        <w:rPr>
          <w:rFonts w:hint="eastAsia"/>
        </w:rPr>
        <w:t>8</w:t>
      </w:r>
      <w:r>
        <w:rPr>
          <w:rFonts w:hint="eastAsia"/>
        </w:rPr>
        <w:t>年以上</w:t>
      </w:r>
      <w:r>
        <w:rPr>
          <w:rFonts w:hint="eastAsia"/>
        </w:rPr>
        <w:t>12</w:t>
      </w:r>
      <w:r>
        <w:rPr>
          <w:rFonts w:hint="eastAsia"/>
        </w:rPr>
        <w:t>年以下徒刑。</w:t>
      </w:r>
    </w:p>
    <w:p w:rsidR="003C2E11" w:rsidRDefault="003C2E11">
      <w:pPr>
        <w:pStyle w:val="SingleTxtGC"/>
        <w:ind w:left="1996" w:hanging="306"/>
        <w:rPr>
          <w:rFonts w:hint="eastAsia"/>
        </w:rPr>
      </w:pPr>
      <w:r>
        <w:rPr>
          <w:rFonts w:hint="eastAsia"/>
        </w:rPr>
        <w:t>如果拘禁期不足</w:t>
      </w:r>
      <w:r>
        <w:rPr>
          <w:rFonts w:hint="eastAsia"/>
        </w:rPr>
        <w:t>15</w:t>
      </w:r>
      <w:r>
        <w:rPr>
          <w:rFonts w:hint="eastAsia"/>
        </w:rPr>
        <w:t>天，将减轻判处刑罚。</w:t>
      </w:r>
    </w:p>
    <w:p w:rsidR="003C2E11" w:rsidRDefault="003C2E11">
      <w:pPr>
        <w:pStyle w:val="SingleTxtGC"/>
        <w:ind w:left="1996" w:hanging="306"/>
        <w:rPr>
          <w:rFonts w:hint="eastAsia"/>
        </w:rPr>
      </w:pPr>
      <w:r>
        <w:rPr>
          <w:rFonts w:hint="eastAsia"/>
        </w:rPr>
        <w:t>［……］”</w:t>
      </w:r>
    </w:p>
    <w:p w:rsidR="003C2E11" w:rsidRDefault="003C2E11">
      <w:pPr>
        <w:pStyle w:val="SingleTxtGC"/>
      </w:pPr>
      <w:r>
        <w:t xml:space="preserve">66.  </w:t>
      </w:r>
      <w:r>
        <w:rPr>
          <w:rFonts w:hint="eastAsia"/>
        </w:rPr>
        <w:t>对此类刑事罪的定义以及在对此类犯罪下定义时对国际法的参照，表明西班牙国内司法制度与这方面的国际刑事法的绝对一致性和相关性。</w:t>
      </w:r>
    </w:p>
    <w:p w:rsidR="003C2E11" w:rsidRDefault="003C2E11">
      <w:pPr>
        <w:pStyle w:val="H1GC"/>
      </w:pPr>
      <w:r>
        <w:tab/>
      </w:r>
      <w:r>
        <w:tab/>
      </w:r>
      <w:bookmarkStart w:id="9" w:name="_Toc351380597"/>
      <w:r>
        <w:rPr>
          <w:rFonts w:hint="eastAsia"/>
        </w:rPr>
        <w:t>第六条</w:t>
      </w:r>
      <w:r>
        <w:rPr>
          <w:rFonts w:hint="eastAsia"/>
        </w:rPr>
        <w:br/>
      </w:r>
      <w:r>
        <w:rPr>
          <w:rFonts w:hint="eastAsia"/>
        </w:rPr>
        <w:t>刑事责任</w:t>
      </w:r>
      <w:bookmarkEnd w:id="9"/>
    </w:p>
    <w:p w:rsidR="003C2E11" w:rsidRDefault="003C2E11">
      <w:pPr>
        <w:pStyle w:val="SingleTxtGC"/>
      </w:pPr>
      <w:r>
        <w:t xml:space="preserve">67.  </w:t>
      </w:r>
      <w:r>
        <w:rPr>
          <w:rFonts w:hint="eastAsia"/>
        </w:rPr>
        <w:t>应当指出的是，根据《宪法》第</w:t>
      </w:r>
      <w:r>
        <w:rPr>
          <w:rFonts w:hint="eastAsia"/>
        </w:rPr>
        <w:t>17</w:t>
      </w:r>
      <w:r>
        <w:rPr>
          <w:rFonts w:hint="eastAsia"/>
        </w:rPr>
        <w:t>条以及将非法拘禁或绑架列为犯罪的规定，针对在《公约》这一条中所列举的行为在普通刑事法</w:t>
      </w:r>
      <w:r>
        <w:rPr>
          <w:rFonts w:hint="eastAsia"/>
        </w:rPr>
        <w:t>(</w:t>
      </w:r>
      <w:r>
        <w:rPr>
          <w:rFonts w:hint="eastAsia"/>
        </w:rPr>
        <w:t>《刑法典》</w:t>
      </w:r>
      <w:r>
        <w:rPr>
          <w:rFonts w:hint="eastAsia"/>
        </w:rPr>
        <w:t>)</w:t>
      </w:r>
      <w:r>
        <w:rPr>
          <w:rFonts w:hint="eastAsia"/>
        </w:rPr>
        <w:t>和军方的刑事法</w:t>
      </w:r>
      <w:r>
        <w:rPr>
          <w:rFonts w:hint="eastAsia"/>
        </w:rPr>
        <w:t>(</w:t>
      </w:r>
      <w:r>
        <w:rPr>
          <w:rFonts w:hint="eastAsia"/>
        </w:rPr>
        <w:t>《军事刑法典》</w:t>
      </w:r>
      <w:r>
        <w:rPr>
          <w:rFonts w:hint="eastAsia"/>
        </w:rPr>
        <w:t>)</w:t>
      </w:r>
      <w:r>
        <w:rPr>
          <w:rFonts w:hint="eastAsia"/>
        </w:rPr>
        <w:t>中都做出了规定。</w:t>
      </w:r>
    </w:p>
    <w:p w:rsidR="003C2E11" w:rsidRDefault="003C2E11">
      <w:pPr>
        <w:pStyle w:val="SingleTxtGC"/>
      </w:pPr>
      <w:r>
        <w:t xml:space="preserve">68.  </w:t>
      </w:r>
      <w:r>
        <w:rPr>
          <w:rFonts w:hint="eastAsia"/>
        </w:rPr>
        <w:t>对于《刑法典》</w:t>
      </w:r>
      <w:r>
        <w:rPr>
          <w:rFonts w:hint="eastAsia"/>
        </w:rPr>
        <w:t>(</w:t>
      </w:r>
      <w:smartTag w:uri="urn:schemas-microsoft-com:office:smarttags" w:element="chsdate">
        <w:smartTagPr>
          <w:attr w:name="Year" w:val="1995"/>
          <w:attr w:name="Month" w:val="11"/>
          <w:attr w:name="Day" w:val="23"/>
          <w:attr w:name="IsLunarDate" w:val="False"/>
          <w:attr w:name="IsROCDate" w:val="False"/>
        </w:smartTagPr>
        <w:r>
          <w:rPr>
            <w:rFonts w:hint="eastAsia"/>
          </w:rPr>
          <w:t>1995</w:t>
        </w:r>
        <w:r>
          <w:rPr>
            <w:rFonts w:hint="eastAsia"/>
          </w:rPr>
          <w:t>年</w:t>
        </w:r>
        <w:r>
          <w:rPr>
            <w:rFonts w:hint="eastAsia"/>
          </w:rPr>
          <w:t>11</w:t>
        </w:r>
        <w:r>
          <w:rPr>
            <w:rFonts w:hint="eastAsia"/>
          </w:rPr>
          <w:t>月</w:t>
        </w:r>
        <w:r>
          <w:rPr>
            <w:rFonts w:hint="eastAsia"/>
          </w:rPr>
          <w:t>23</w:t>
        </w:r>
        <w:r>
          <w:rPr>
            <w:rFonts w:hint="eastAsia"/>
          </w:rPr>
          <w:t>日</w:t>
        </w:r>
      </w:smartTag>
      <w:r>
        <w:rPr>
          <w:rFonts w:hint="eastAsia"/>
        </w:rPr>
        <w:t>的第</w:t>
      </w:r>
      <w:r>
        <w:rPr>
          <w:rFonts w:hint="eastAsia"/>
        </w:rPr>
        <w:t>10/1995</w:t>
      </w:r>
      <w:r>
        <w:rPr>
          <w:rFonts w:hint="eastAsia"/>
        </w:rPr>
        <w:t>号组织法</w:t>
      </w:r>
      <w:r>
        <w:rPr>
          <w:rFonts w:hint="eastAsia"/>
        </w:rPr>
        <w:t>)</w:t>
      </w:r>
      <w:r>
        <w:rPr>
          <w:rFonts w:hint="eastAsia"/>
        </w:rPr>
        <w:t>，首先要讨论其第六篇的内容。在该篇第一章关于侵犯自由罪的内容中，提到了非法拘禁和绑架罪。主要体现在以下条款中：</w:t>
      </w:r>
    </w:p>
    <w:p w:rsidR="003C2E11" w:rsidRDefault="003C2E11">
      <w:pPr>
        <w:pStyle w:val="Bullet1GC"/>
        <w:rPr>
          <w:rFonts w:hint="eastAsia"/>
        </w:rPr>
      </w:pPr>
      <w:r>
        <w:rPr>
          <w:rFonts w:hint="eastAsia"/>
        </w:rPr>
        <w:t>第</w:t>
      </w:r>
      <w:r>
        <w:rPr>
          <w:rFonts w:hint="eastAsia"/>
        </w:rPr>
        <w:t>163</w:t>
      </w:r>
      <w:r>
        <w:rPr>
          <w:rFonts w:hint="eastAsia"/>
        </w:rPr>
        <w:t>条：</w:t>
      </w:r>
      <w:r>
        <w:rPr>
          <w:rFonts w:hint="eastAsia"/>
        </w:rPr>
        <w:t xml:space="preserve">1. </w:t>
      </w:r>
      <w:r>
        <w:rPr>
          <w:rFonts w:hint="eastAsia"/>
        </w:rPr>
        <w:t>私人拘禁或者绑架他人，剥夺他人自由权的，处</w:t>
      </w:r>
      <w:r>
        <w:rPr>
          <w:rFonts w:hint="eastAsia"/>
        </w:rPr>
        <w:t>4</w:t>
      </w:r>
      <w:r>
        <w:rPr>
          <w:rFonts w:hint="eastAsia"/>
        </w:rPr>
        <w:t>年以上</w:t>
      </w:r>
      <w:r>
        <w:rPr>
          <w:rFonts w:hint="eastAsia"/>
        </w:rPr>
        <w:t>6</w:t>
      </w:r>
      <w:r>
        <w:rPr>
          <w:rFonts w:hint="eastAsia"/>
        </w:rPr>
        <w:t>年以下徒刑。</w:t>
      </w:r>
      <w:r>
        <w:rPr>
          <w:rFonts w:hint="eastAsia"/>
        </w:rPr>
        <w:t>2 .</w:t>
      </w:r>
      <w:r>
        <w:rPr>
          <w:rFonts w:hint="eastAsia"/>
        </w:rPr>
        <w:t>罪犯在</w:t>
      </w:r>
      <w:r>
        <w:rPr>
          <w:rFonts w:hint="eastAsia"/>
        </w:rPr>
        <w:t>3</w:t>
      </w:r>
      <w:r>
        <w:rPr>
          <w:rFonts w:hint="eastAsia"/>
        </w:rPr>
        <w:t>天内释放被监禁或者被拘留者但未遂的，减轻一级处刑罚。</w:t>
      </w:r>
      <w:r>
        <w:rPr>
          <w:rFonts w:hint="eastAsia"/>
        </w:rPr>
        <w:t>3 .</w:t>
      </w:r>
      <w:r>
        <w:rPr>
          <w:rFonts w:hint="eastAsia"/>
        </w:rPr>
        <w:t>拘禁或者绑架他人超过</w:t>
      </w:r>
      <w:r>
        <w:rPr>
          <w:rFonts w:hint="eastAsia"/>
        </w:rPr>
        <w:t>15</w:t>
      </w:r>
      <w:r>
        <w:rPr>
          <w:rFonts w:hint="eastAsia"/>
        </w:rPr>
        <w:t>天的，处</w:t>
      </w:r>
      <w:r>
        <w:rPr>
          <w:rFonts w:hint="eastAsia"/>
        </w:rPr>
        <w:t>5</w:t>
      </w:r>
      <w:r>
        <w:rPr>
          <w:rFonts w:hint="eastAsia"/>
        </w:rPr>
        <w:t>年以上</w:t>
      </w:r>
      <w:r>
        <w:rPr>
          <w:rFonts w:hint="eastAsia"/>
        </w:rPr>
        <w:t>8</w:t>
      </w:r>
      <w:r>
        <w:rPr>
          <w:rFonts w:hint="eastAsia"/>
        </w:rPr>
        <w:t>年以下徒刑。</w:t>
      </w:r>
      <w:r>
        <w:rPr>
          <w:rFonts w:hint="eastAsia"/>
        </w:rPr>
        <w:t>4 .</w:t>
      </w:r>
      <w:r>
        <w:rPr>
          <w:rFonts w:hint="eastAsia"/>
        </w:rPr>
        <w:t>私人以不法手段监禁或者拘留他人并立刻送往当局的，处以三至六个月罚金。”</w:t>
      </w:r>
    </w:p>
    <w:p w:rsidR="003C2E11" w:rsidRDefault="003C2E11">
      <w:pPr>
        <w:pStyle w:val="Bullet1GC"/>
        <w:rPr>
          <w:rFonts w:hint="eastAsia"/>
        </w:rPr>
      </w:pPr>
      <w:r>
        <w:rPr>
          <w:rFonts w:hint="eastAsia"/>
        </w:rPr>
        <w:t>第</w:t>
      </w:r>
      <w:r>
        <w:rPr>
          <w:rFonts w:hint="eastAsia"/>
        </w:rPr>
        <w:t>164</w:t>
      </w:r>
      <w:r>
        <w:rPr>
          <w:rFonts w:hint="eastAsia"/>
        </w:rPr>
        <w:t>条：对释放被绑架人员提出条件的，处</w:t>
      </w:r>
      <w:r>
        <w:rPr>
          <w:rFonts w:hint="eastAsia"/>
        </w:rPr>
        <w:t>6</w:t>
      </w:r>
      <w:r>
        <w:rPr>
          <w:rFonts w:hint="eastAsia"/>
        </w:rPr>
        <w:t>年以上</w:t>
      </w:r>
      <w:r>
        <w:rPr>
          <w:rFonts w:hint="eastAsia"/>
        </w:rPr>
        <w:t>10</w:t>
      </w:r>
      <w:r>
        <w:rPr>
          <w:rFonts w:hint="eastAsia"/>
        </w:rPr>
        <w:t>年以下徒刑。符合第</w:t>
      </w:r>
      <w:r>
        <w:rPr>
          <w:rFonts w:hint="eastAsia"/>
        </w:rPr>
        <w:t>163</w:t>
      </w:r>
      <w:r>
        <w:rPr>
          <w:rFonts w:hint="eastAsia"/>
        </w:rPr>
        <w:t>条第</w:t>
      </w:r>
      <w:r>
        <w:rPr>
          <w:rFonts w:hint="eastAsia"/>
        </w:rPr>
        <w:t>3</w:t>
      </w:r>
      <w:r>
        <w:rPr>
          <w:rFonts w:hint="eastAsia"/>
        </w:rPr>
        <w:t>款规定情节的，加重一级处罚；符合第</w:t>
      </w:r>
      <w:r>
        <w:rPr>
          <w:rFonts w:hint="eastAsia"/>
        </w:rPr>
        <w:t>163</w:t>
      </w:r>
      <w:r>
        <w:rPr>
          <w:rFonts w:hint="eastAsia"/>
        </w:rPr>
        <w:t>条第</w:t>
      </w:r>
      <w:r>
        <w:rPr>
          <w:rFonts w:hint="eastAsia"/>
        </w:rPr>
        <w:t>2</w:t>
      </w:r>
      <w:r>
        <w:rPr>
          <w:rFonts w:hint="eastAsia"/>
        </w:rPr>
        <w:t>款规定情节的，减轻一级处罚。</w:t>
      </w:r>
    </w:p>
    <w:p w:rsidR="003C2E11" w:rsidRDefault="003C2E11">
      <w:pPr>
        <w:pStyle w:val="Bullet1GC"/>
      </w:pPr>
      <w:r>
        <w:rPr>
          <w:rFonts w:hint="eastAsia"/>
        </w:rPr>
        <w:t>第</w:t>
      </w:r>
      <w:r>
        <w:rPr>
          <w:rFonts w:hint="eastAsia"/>
        </w:rPr>
        <w:t>165</w:t>
      </w:r>
      <w:r>
        <w:rPr>
          <w:rFonts w:hint="eastAsia"/>
        </w:rPr>
        <w:t>条：冒充当局或者公务员非法拘禁或者绑架，或非法拘禁或者绑架未成年人、无行为能力人和执行公务的公务员，在法定量刑幅度内取较重半幅度处罚。</w:t>
      </w:r>
    </w:p>
    <w:p w:rsidR="003C2E11" w:rsidRDefault="003C2E11">
      <w:pPr>
        <w:pStyle w:val="Bullet1GC"/>
        <w:rPr>
          <w:rFonts w:hint="eastAsia"/>
        </w:rPr>
      </w:pPr>
      <w:r>
        <w:rPr>
          <w:rFonts w:hint="eastAsia"/>
        </w:rPr>
        <w:t>第</w:t>
      </w:r>
      <w:r>
        <w:rPr>
          <w:rFonts w:hint="eastAsia"/>
        </w:rPr>
        <w:t>166</w:t>
      </w:r>
      <w:r>
        <w:rPr>
          <w:rFonts w:hint="eastAsia"/>
        </w:rPr>
        <w:t>条：非法拘禁或者绑架他人且未提供被害人下落，也没有释放受害人的，视其情况，根据本章以上各条规定加重处罚。</w:t>
      </w:r>
    </w:p>
    <w:p w:rsidR="003C2E11" w:rsidRDefault="003C2E11">
      <w:pPr>
        <w:pStyle w:val="Bullet1GC"/>
        <w:rPr>
          <w:rFonts w:hint="eastAsia"/>
        </w:rPr>
      </w:pPr>
      <w:r>
        <w:rPr>
          <w:rFonts w:hint="eastAsia"/>
        </w:rPr>
        <w:t>第</w:t>
      </w:r>
      <w:r>
        <w:rPr>
          <w:rFonts w:hint="eastAsia"/>
        </w:rPr>
        <w:t>167</w:t>
      </w:r>
      <w:r>
        <w:rPr>
          <w:rFonts w:hint="eastAsia"/>
        </w:rPr>
        <w:t>条：当局或者公务员非因法律允许而违反以上各条规定的，无论其犯罪原因，在法定量刑幅度内取较重半幅度处罚，并完全剥夺权利</w:t>
      </w:r>
      <w:r>
        <w:rPr>
          <w:rFonts w:hint="eastAsia"/>
        </w:rPr>
        <w:t>8</w:t>
      </w:r>
      <w:r>
        <w:rPr>
          <w:rFonts w:hint="eastAsia"/>
        </w:rPr>
        <w:t>至</w:t>
      </w:r>
      <w:r>
        <w:rPr>
          <w:rFonts w:hint="eastAsia"/>
        </w:rPr>
        <w:t>12</w:t>
      </w:r>
      <w:r>
        <w:rPr>
          <w:rFonts w:hint="eastAsia"/>
        </w:rPr>
        <w:t>年。</w:t>
      </w:r>
    </w:p>
    <w:p w:rsidR="003C2E11" w:rsidRDefault="003C2E11">
      <w:pPr>
        <w:pStyle w:val="Bullet1GC"/>
        <w:rPr>
          <w:rFonts w:hint="eastAsia"/>
        </w:rPr>
      </w:pPr>
      <w:r>
        <w:rPr>
          <w:rFonts w:hint="eastAsia"/>
        </w:rPr>
        <w:t>第</w:t>
      </w:r>
      <w:r>
        <w:rPr>
          <w:rFonts w:hint="eastAsia"/>
        </w:rPr>
        <w:t>168</w:t>
      </w:r>
      <w:r>
        <w:rPr>
          <w:rFonts w:hint="eastAsia"/>
        </w:rPr>
        <w:t>条：唆使、煽动他人实施或者合谋实施本章规定之罪的，分别按照各条规定减轻一至两级判处刑罚。</w:t>
      </w:r>
    </w:p>
    <w:p w:rsidR="003C2E11" w:rsidRDefault="003C2E11">
      <w:pPr>
        <w:pStyle w:val="SingleTxtGC"/>
      </w:pPr>
      <w:r>
        <w:t xml:space="preserve">69.  </w:t>
      </w:r>
      <w:r>
        <w:rPr>
          <w:rFonts w:hint="eastAsia"/>
        </w:rPr>
        <w:t>另一方面，第二十一篇“违反宪法罪”第五章第一节提到了由公务员实施的侵犯个人自由罪。在这方面，需要强调的是第</w:t>
      </w:r>
      <w:r>
        <w:rPr>
          <w:rFonts w:hint="eastAsia"/>
        </w:rPr>
        <w:t>530</w:t>
      </w:r>
      <w:r>
        <w:rPr>
          <w:rFonts w:hint="eastAsia"/>
        </w:rPr>
        <w:t>条，该条规定：“参与刑事案件审理，对逮捕、拘禁或者受审人员判决、实施或者延长任何剥夺自由权的当局或者公务员，侵犯时间规定或者其他宪法、法律规定应予保护的权利的，剥夺其从事职业或者担任公职的权利四至八年。”</w:t>
      </w:r>
    </w:p>
    <w:p w:rsidR="003C2E11" w:rsidRDefault="003C2E11">
      <w:pPr>
        <w:pStyle w:val="SingleTxtGC"/>
      </w:pPr>
      <w:r>
        <w:t xml:space="preserve">70.  </w:t>
      </w:r>
      <w:r>
        <w:rPr>
          <w:rFonts w:hint="eastAsia"/>
        </w:rPr>
        <w:t>同样还应当着重强调以下规定。对此，《西班牙刑法典》第</w:t>
      </w:r>
      <w:r>
        <w:rPr>
          <w:rFonts w:hint="eastAsia"/>
        </w:rPr>
        <w:t>6.1</w:t>
      </w:r>
      <w:r>
        <w:rPr>
          <w:rFonts w:hint="eastAsia"/>
        </w:rPr>
        <w:t>条认为应对犯罪及过失的行为人及其同伙追究刑事责任。</w:t>
      </w:r>
    </w:p>
    <w:p w:rsidR="003C2E11" w:rsidRDefault="003C2E11">
      <w:pPr>
        <w:pStyle w:val="SingleTxtGC"/>
      </w:pPr>
      <w:r>
        <w:t xml:space="preserve">71.  </w:t>
      </w:r>
      <w:r>
        <w:rPr>
          <w:rFonts w:hint="eastAsia"/>
        </w:rPr>
        <w:t>《刑法典》第</w:t>
      </w:r>
      <w:r>
        <w:rPr>
          <w:rFonts w:hint="eastAsia"/>
        </w:rPr>
        <w:t>28</w:t>
      </w:r>
      <w:r>
        <w:rPr>
          <w:rFonts w:hint="eastAsia"/>
        </w:rPr>
        <w:t>条对主犯的定义如下：“独自、伙同他人以及将他人作为工具利用其事实犯罪的，为主犯。以下行为人也被认定为主犯：</w:t>
      </w:r>
      <w:r>
        <w:rPr>
          <w:rFonts w:hint="eastAsia"/>
        </w:rPr>
        <w:t>a)</w:t>
      </w:r>
      <w:r>
        <w:rPr>
          <w:rFonts w:hint="eastAsia"/>
        </w:rPr>
        <w:t>直接诱使他人或者多人实施犯罪的。</w:t>
      </w:r>
      <w:r>
        <w:rPr>
          <w:rFonts w:hint="eastAsia"/>
        </w:rPr>
        <w:t>b)</w:t>
      </w:r>
      <w:r>
        <w:rPr>
          <w:rFonts w:hint="eastAsia"/>
        </w:rPr>
        <w:t>以一种完成犯罪事实不可或缺的行为与他人合作完成犯罪行为的。”</w:t>
      </w:r>
    </w:p>
    <w:p w:rsidR="003C2E11" w:rsidRDefault="003C2E11">
      <w:pPr>
        <w:pStyle w:val="SingleTxtGC"/>
      </w:pPr>
      <w:r>
        <w:t xml:space="preserve">72.  </w:t>
      </w:r>
      <w:r>
        <w:rPr>
          <w:rFonts w:hint="eastAsia"/>
        </w:rPr>
        <w:t>这一系列的规定表明，《刑法典》从严格意义上限定了犯罪行为人的概念，即实施非法行为的人员，而从广义上说，犯罪行为人是指被认定为实施犯罪的人员，法律没有明确规定的不应被视为犯罪行为人。</w:t>
      </w:r>
    </w:p>
    <w:p w:rsidR="003C2E11" w:rsidRDefault="003C2E11">
      <w:pPr>
        <w:pStyle w:val="SingleTxtGC"/>
        <w:rPr>
          <w:rFonts w:hint="eastAsia"/>
        </w:rPr>
      </w:pPr>
      <w:r>
        <w:t xml:space="preserve">73.  </w:t>
      </w:r>
      <w:r>
        <w:rPr>
          <w:rFonts w:hint="eastAsia"/>
        </w:rPr>
        <w:t>严格意义上的主犯是指独自或者伙同他人实施犯罪行为的，或者将他人作为工具利用其事实犯罪的。</w:t>
      </w:r>
    </w:p>
    <w:p w:rsidR="003C2E11" w:rsidRDefault="003C2E11">
      <w:pPr>
        <w:pStyle w:val="SingleTxtGC"/>
      </w:pPr>
      <w:r>
        <w:t xml:space="preserve">74.  </w:t>
      </w:r>
      <w:r>
        <w:rPr>
          <w:rFonts w:hint="eastAsia"/>
        </w:rPr>
        <w:t>广义上，或者法律上认定的主犯还包括教唆犯罪或合作犯罪的行为人。为此确立了最高法院审理中对教唆犯罪的认定要求：</w:t>
      </w:r>
      <w:r>
        <w:rPr>
          <w:rFonts w:hint="eastAsia"/>
        </w:rPr>
        <w:t xml:space="preserve">(a) </w:t>
      </w:r>
      <w:r>
        <w:rPr>
          <w:rFonts w:hint="eastAsia"/>
        </w:rPr>
        <w:t>教唆人对被教唆人的影响是否导致非法行为的发生；</w:t>
      </w:r>
      <w:r>
        <w:rPr>
          <w:rFonts w:hint="eastAsia"/>
        </w:rPr>
        <w:t xml:space="preserve">(b) </w:t>
      </w:r>
      <w:r>
        <w:rPr>
          <w:rFonts w:hint="eastAsia"/>
        </w:rPr>
        <w:t>是否以适当方式密集性实施思想渗透教唆；</w:t>
      </w:r>
      <w:r>
        <w:rPr>
          <w:rFonts w:hint="eastAsia"/>
        </w:rPr>
        <w:t xml:space="preserve">(c) </w:t>
      </w:r>
      <w:r>
        <w:rPr>
          <w:rFonts w:hint="eastAsia"/>
        </w:rPr>
        <w:t>是否诱导教唆对象使之最终犯下不法行为；</w:t>
      </w:r>
      <w:r>
        <w:rPr>
          <w:rFonts w:hint="eastAsia"/>
        </w:rPr>
        <w:t xml:space="preserve">(d) </w:t>
      </w:r>
      <w:r>
        <w:rPr>
          <w:rFonts w:hint="eastAsia"/>
        </w:rPr>
        <w:t>是否教唆导致犯罪事实的发生；</w:t>
      </w:r>
      <w:r>
        <w:rPr>
          <w:rFonts w:hint="eastAsia"/>
        </w:rPr>
        <w:t xml:space="preserve">(e) </w:t>
      </w:r>
      <w:r>
        <w:rPr>
          <w:rFonts w:hint="eastAsia"/>
        </w:rPr>
        <w:t>教唆犯是否出于诱导教唆对象做出犯罪决定并最终实施犯罪的双重目的实施教唆</w:t>
      </w:r>
      <w:r>
        <w:rPr>
          <w:rFonts w:hint="eastAsia"/>
        </w:rPr>
        <w:t>(</w:t>
      </w:r>
      <w:r>
        <w:rPr>
          <w:rFonts w:hint="eastAsia"/>
        </w:rPr>
        <w:t>援引自最高司法法院</w:t>
      </w:r>
      <w:smartTag w:uri="urn:schemas-microsoft-com:office:smarttags" w:element="chsdate">
        <w:smartTagPr>
          <w:attr w:name="Year" w:val="1988"/>
          <w:attr w:name="Month" w:val="5"/>
          <w:attr w:name="Day" w:val="5"/>
          <w:attr w:name="IsLunarDate" w:val="False"/>
          <w:attr w:name="IsROCDate" w:val="False"/>
        </w:smartTagPr>
        <w:r>
          <w:rPr>
            <w:rFonts w:hint="eastAsia"/>
          </w:rPr>
          <w:t>1988</w:t>
        </w:r>
        <w:r>
          <w:rPr>
            <w:rFonts w:hint="eastAsia"/>
          </w:rPr>
          <w:t>年</w:t>
        </w:r>
        <w:r>
          <w:rPr>
            <w:rFonts w:hint="eastAsia"/>
          </w:rPr>
          <w:t>5</w:t>
        </w:r>
        <w:r>
          <w:rPr>
            <w:rFonts w:hint="eastAsia"/>
          </w:rPr>
          <w:t>月</w:t>
        </w:r>
        <w:r>
          <w:rPr>
            <w:rFonts w:hint="eastAsia"/>
          </w:rPr>
          <w:t>5</w:t>
        </w:r>
        <w:r>
          <w:rPr>
            <w:rFonts w:hint="eastAsia"/>
          </w:rPr>
          <w:t>日</w:t>
        </w:r>
      </w:smartTag>
      <w:r>
        <w:rPr>
          <w:rFonts w:hint="eastAsia"/>
        </w:rPr>
        <w:t>、</w:t>
      </w:r>
      <w:smartTag w:uri="urn:schemas-microsoft-com:office:smarttags" w:element="chsdate">
        <w:smartTagPr>
          <w:attr w:name="Year" w:val="1993"/>
          <w:attr w:name="Month" w:val="6"/>
          <w:attr w:name="Day" w:val="30"/>
          <w:attr w:name="IsLunarDate" w:val="False"/>
          <w:attr w:name="IsROCDate" w:val="False"/>
        </w:smartTagPr>
        <w:r>
          <w:rPr>
            <w:rFonts w:hint="eastAsia"/>
          </w:rPr>
          <w:t>1993</w:t>
        </w:r>
        <w:r>
          <w:rPr>
            <w:rFonts w:hint="eastAsia"/>
          </w:rPr>
          <w:t>年</w:t>
        </w:r>
        <w:r>
          <w:rPr>
            <w:rFonts w:hint="eastAsia"/>
          </w:rPr>
          <w:t>6</w:t>
        </w:r>
        <w:r>
          <w:rPr>
            <w:rFonts w:hint="eastAsia"/>
          </w:rPr>
          <w:t>月</w:t>
        </w:r>
        <w:r>
          <w:rPr>
            <w:rFonts w:hint="eastAsia"/>
          </w:rPr>
          <w:t>30</w:t>
        </w:r>
        <w:r>
          <w:rPr>
            <w:rFonts w:hint="eastAsia"/>
          </w:rPr>
          <w:t>日</w:t>
        </w:r>
      </w:smartTag>
      <w:r>
        <w:rPr>
          <w:rFonts w:hint="eastAsia"/>
        </w:rPr>
        <w:t>和</w:t>
      </w:r>
      <w:smartTag w:uri="urn:schemas-microsoft-com:office:smarttags" w:element="chsdate">
        <w:smartTagPr>
          <w:attr w:name="Year" w:val="2007"/>
          <w:attr w:name="Month" w:val="4"/>
          <w:attr w:name="Day" w:val="27"/>
          <w:attr w:name="IsLunarDate" w:val="False"/>
          <w:attr w:name="IsROCDate" w:val="False"/>
        </w:smartTagPr>
        <w:r>
          <w:rPr>
            <w:rFonts w:hint="eastAsia"/>
          </w:rPr>
          <w:t>2007</w:t>
        </w:r>
        <w:r>
          <w:rPr>
            <w:rFonts w:hint="eastAsia"/>
          </w:rPr>
          <w:t>年</w:t>
        </w:r>
        <w:r>
          <w:rPr>
            <w:rFonts w:hint="eastAsia"/>
          </w:rPr>
          <w:t>4</w:t>
        </w:r>
        <w:r>
          <w:rPr>
            <w:rFonts w:hint="eastAsia"/>
          </w:rPr>
          <w:t>月</w:t>
        </w:r>
        <w:r>
          <w:rPr>
            <w:rFonts w:hint="eastAsia"/>
          </w:rPr>
          <w:t>27</w:t>
        </w:r>
        <w:r>
          <w:rPr>
            <w:rFonts w:hint="eastAsia"/>
          </w:rPr>
          <w:t>日</w:t>
        </w:r>
      </w:smartTag>
      <w:r>
        <w:rPr>
          <w:rFonts w:hint="eastAsia"/>
        </w:rPr>
        <w:t>的判决</w:t>
      </w:r>
      <w:r>
        <w:rPr>
          <w:rFonts w:hint="eastAsia"/>
        </w:rPr>
        <w:t>)</w:t>
      </w:r>
      <w:r>
        <w:rPr>
          <w:rFonts w:hint="eastAsia"/>
        </w:rPr>
        <w:t>。</w:t>
      </w:r>
    </w:p>
    <w:p w:rsidR="003C2E11" w:rsidRDefault="003C2E11">
      <w:pPr>
        <w:pStyle w:val="SingleTxtGC"/>
      </w:pPr>
      <w:r>
        <w:t xml:space="preserve">75.  </w:t>
      </w:r>
      <w:r>
        <w:rPr>
          <w:rFonts w:hint="eastAsia"/>
        </w:rPr>
        <w:t>另一方面，合作犯罪成立的决定性因素就是合作实施的最终结果的有效性、必要性及影响力</w:t>
      </w:r>
      <w:r>
        <w:rPr>
          <w:rFonts w:hint="eastAsia"/>
        </w:rPr>
        <w:t>(</w:t>
      </w:r>
      <w:r>
        <w:rPr>
          <w:rFonts w:hint="eastAsia"/>
        </w:rPr>
        <w:t>援引自最高司法法院</w:t>
      </w:r>
      <w:smartTag w:uri="urn:schemas-microsoft-com:office:smarttags" w:element="chsdate">
        <w:smartTagPr>
          <w:attr w:name="Year" w:val="1991"/>
          <w:attr w:name="Month" w:val="1"/>
          <w:attr w:name="Day" w:val="28"/>
          <w:attr w:name="IsLunarDate" w:val="False"/>
          <w:attr w:name="IsROCDate" w:val="False"/>
        </w:smartTagPr>
        <w:r>
          <w:rPr>
            <w:rFonts w:hint="eastAsia"/>
          </w:rPr>
          <w:t>1991</w:t>
        </w:r>
        <w:r>
          <w:rPr>
            <w:rFonts w:hint="eastAsia"/>
          </w:rPr>
          <w:t>年</w:t>
        </w:r>
        <w:r>
          <w:rPr>
            <w:rFonts w:hint="eastAsia"/>
          </w:rPr>
          <w:t>1</w:t>
        </w:r>
        <w:r>
          <w:rPr>
            <w:rFonts w:hint="eastAsia"/>
          </w:rPr>
          <w:t>月</w:t>
        </w:r>
        <w:r>
          <w:rPr>
            <w:rFonts w:hint="eastAsia"/>
          </w:rPr>
          <w:t>28</w:t>
        </w:r>
        <w:r>
          <w:rPr>
            <w:rFonts w:hint="eastAsia"/>
          </w:rPr>
          <w:t>日</w:t>
        </w:r>
      </w:smartTag>
      <w:r>
        <w:rPr>
          <w:rFonts w:hint="eastAsia"/>
        </w:rPr>
        <w:t>和</w:t>
      </w:r>
      <w:smartTag w:uri="urn:schemas-microsoft-com:office:smarttags" w:element="chsdate">
        <w:smartTagPr>
          <w:attr w:name="Year" w:val="1991"/>
          <w:attr w:name="Month" w:val="6"/>
          <w:attr w:name="Day" w:val="16"/>
          <w:attr w:name="IsLunarDate" w:val="False"/>
          <w:attr w:name="IsROCDate" w:val="False"/>
        </w:smartTagPr>
        <w:r>
          <w:rPr>
            <w:rFonts w:hint="eastAsia"/>
          </w:rPr>
          <w:t>1991</w:t>
        </w:r>
        <w:r>
          <w:rPr>
            <w:rFonts w:hint="eastAsia"/>
          </w:rPr>
          <w:t>年</w:t>
        </w:r>
        <w:r>
          <w:rPr>
            <w:rFonts w:hint="eastAsia"/>
          </w:rPr>
          <w:t>6</w:t>
        </w:r>
        <w:r>
          <w:rPr>
            <w:rFonts w:hint="eastAsia"/>
          </w:rPr>
          <w:t>月</w:t>
        </w:r>
        <w:r>
          <w:rPr>
            <w:rFonts w:hint="eastAsia"/>
          </w:rPr>
          <w:t>16</w:t>
        </w:r>
        <w:r>
          <w:rPr>
            <w:rFonts w:hint="eastAsia"/>
          </w:rPr>
          <w:t>日</w:t>
        </w:r>
      </w:smartTag>
      <w:r>
        <w:rPr>
          <w:rFonts w:hint="eastAsia"/>
        </w:rPr>
        <w:t>的判决</w:t>
      </w:r>
      <w:r>
        <w:rPr>
          <w:rFonts w:hint="eastAsia"/>
        </w:rPr>
        <w:t>)</w:t>
      </w:r>
      <w:r>
        <w:rPr>
          <w:rFonts w:hint="eastAsia"/>
        </w:rPr>
        <w:t>，规定以一种完成犯罪事实不可或缺的行为与他人直接合作完成犯罪行为的；或者通过提供不容易通过其他方式获得的要素完成犯罪的；或者合作方如果退出则犯罪将不会发生的，应按照主犯级别实施处罚</w:t>
      </w:r>
      <w:r>
        <w:rPr>
          <w:rFonts w:hint="eastAsia"/>
        </w:rPr>
        <w:t>(</w:t>
      </w:r>
      <w:r>
        <w:rPr>
          <w:rFonts w:hint="eastAsia"/>
        </w:rPr>
        <w:t>援引自最高司法法院</w:t>
      </w:r>
      <w:smartTag w:uri="urn:schemas-microsoft-com:office:smarttags" w:element="chsdate">
        <w:smartTagPr>
          <w:attr w:name="Year" w:val="2004"/>
          <w:attr w:name="Month" w:val="10"/>
          <w:attr w:name="Day" w:val="28"/>
          <w:attr w:name="IsLunarDate" w:val="False"/>
          <w:attr w:name="IsROCDate" w:val="False"/>
        </w:smartTagPr>
        <w:r>
          <w:rPr>
            <w:rFonts w:hint="eastAsia"/>
          </w:rPr>
          <w:t>2004</w:t>
        </w:r>
        <w:r>
          <w:rPr>
            <w:rFonts w:hint="eastAsia"/>
          </w:rPr>
          <w:t>年</w:t>
        </w:r>
        <w:r>
          <w:rPr>
            <w:rFonts w:hint="eastAsia"/>
          </w:rPr>
          <w:t>10</w:t>
        </w:r>
        <w:r>
          <w:rPr>
            <w:rFonts w:hint="eastAsia"/>
          </w:rPr>
          <w:t>月</w:t>
        </w:r>
        <w:r>
          <w:rPr>
            <w:rFonts w:hint="eastAsia"/>
          </w:rPr>
          <w:t>28</w:t>
        </w:r>
        <w:r>
          <w:rPr>
            <w:rFonts w:hint="eastAsia"/>
          </w:rPr>
          <w:t>日</w:t>
        </w:r>
      </w:smartTag>
      <w:r>
        <w:rPr>
          <w:rFonts w:hint="eastAsia"/>
        </w:rPr>
        <w:t>的判决</w:t>
      </w:r>
      <w:r>
        <w:rPr>
          <w:rFonts w:hint="eastAsia"/>
        </w:rPr>
        <w:t>)</w:t>
      </w:r>
      <w:r>
        <w:rPr>
          <w:rFonts w:hint="eastAsia"/>
        </w:rPr>
        <w:t>。</w:t>
      </w:r>
    </w:p>
    <w:p w:rsidR="003C2E11" w:rsidRDefault="003C2E11">
      <w:pPr>
        <w:pStyle w:val="SingleTxtGC"/>
      </w:pPr>
      <w:r>
        <w:t xml:space="preserve">76.  </w:t>
      </w:r>
      <w:r>
        <w:rPr>
          <w:rFonts w:hint="eastAsia"/>
        </w:rPr>
        <w:t>《刑法典》第</w:t>
      </w:r>
      <w:r>
        <w:rPr>
          <w:rFonts w:hint="eastAsia"/>
        </w:rPr>
        <w:t>29</w:t>
      </w:r>
      <w:r>
        <w:rPr>
          <w:rFonts w:hint="eastAsia"/>
        </w:rPr>
        <w:t>条对从犯的认定标准如下：“所谓从犯，是指不满足前条规定，但是事先或者同时以行动合作参与完成犯罪事实的行为人”。</w:t>
      </w:r>
    </w:p>
    <w:p w:rsidR="003C2E11" w:rsidRDefault="003C2E11">
      <w:pPr>
        <w:pStyle w:val="SingleTxtGC"/>
        <w:rPr>
          <w:rFonts w:hint="eastAsia"/>
        </w:rPr>
      </w:pPr>
      <w:r>
        <w:t xml:space="preserve">77.  </w:t>
      </w:r>
      <w:r>
        <w:rPr>
          <w:rFonts w:hint="eastAsia"/>
        </w:rPr>
        <w:t>在判例中将从犯认定为非必然的偶然性参与，属于从属或次要性质，因其对行为的掌控地位异于共犯，且通过提供必要的次要性质的合作促成了犯罪事实的发生</w:t>
      </w:r>
      <w:r>
        <w:rPr>
          <w:rFonts w:hint="eastAsia"/>
        </w:rPr>
        <w:t>(</w:t>
      </w:r>
      <w:r>
        <w:rPr>
          <w:rFonts w:hint="eastAsia"/>
        </w:rPr>
        <w:t>援引自最高司法法院</w:t>
      </w:r>
      <w:smartTag w:uri="urn:schemas-microsoft-com:office:smarttags" w:element="chsdate">
        <w:smartTagPr>
          <w:attr w:name="Year" w:val="2006"/>
          <w:attr w:name="Month" w:val="12"/>
          <w:attr w:name="Day" w:val="13"/>
          <w:attr w:name="IsLunarDate" w:val="False"/>
          <w:attr w:name="IsROCDate" w:val="False"/>
        </w:smartTagPr>
        <w:r>
          <w:rPr>
            <w:rFonts w:hint="eastAsia"/>
          </w:rPr>
          <w:t>2006</w:t>
        </w:r>
        <w:r>
          <w:rPr>
            <w:rFonts w:hint="eastAsia"/>
          </w:rPr>
          <w:t>年</w:t>
        </w:r>
        <w:r>
          <w:rPr>
            <w:rFonts w:hint="eastAsia"/>
          </w:rPr>
          <w:t>12</w:t>
        </w:r>
        <w:r>
          <w:rPr>
            <w:rFonts w:hint="eastAsia"/>
          </w:rPr>
          <w:t>月</w:t>
        </w:r>
        <w:r>
          <w:rPr>
            <w:rFonts w:hint="eastAsia"/>
          </w:rPr>
          <w:t>13</w:t>
        </w:r>
        <w:r>
          <w:rPr>
            <w:rFonts w:hint="eastAsia"/>
          </w:rPr>
          <w:t>日</w:t>
        </w:r>
      </w:smartTag>
      <w:r>
        <w:rPr>
          <w:rFonts w:hint="eastAsia"/>
        </w:rPr>
        <w:t>的判决</w:t>
      </w:r>
      <w:r>
        <w:rPr>
          <w:rFonts w:hint="eastAsia"/>
        </w:rPr>
        <w:t>)</w:t>
      </w:r>
      <w:r>
        <w:rPr>
          <w:rFonts w:hint="eastAsia"/>
        </w:rPr>
        <w:t>。</w:t>
      </w:r>
    </w:p>
    <w:p w:rsidR="003C2E11" w:rsidRDefault="003C2E11">
      <w:pPr>
        <w:pStyle w:val="SingleTxtGC"/>
      </w:pPr>
      <w:r>
        <w:t xml:space="preserve">78.  </w:t>
      </w:r>
      <w:r>
        <w:rPr>
          <w:rFonts w:hint="eastAsia"/>
        </w:rPr>
        <w:t>此外，还应注意到，在西班牙法律中，无论是既遂犯还是未遂犯都应受到惩罚</w:t>
      </w:r>
      <w:r>
        <w:rPr>
          <w:rFonts w:hint="eastAsia"/>
        </w:rPr>
        <w:t>(</w:t>
      </w:r>
      <w:r>
        <w:rPr>
          <w:rFonts w:hint="eastAsia"/>
        </w:rPr>
        <w:t>《刑法典》第</w:t>
      </w:r>
      <w:r>
        <w:rPr>
          <w:rFonts w:hint="eastAsia"/>
        </w:rPr>
        <w:t>15</w:t>
      </w:r>
      <w:r>
        <w:rPr>
          <w:rFonts w:hint="eastAsia"/>
        </w:rPr>
        <w:t>和</w:t>
      </w:r>
      <w:r>
        <w:rPr>
          <w:rFonts w:hint="eastAsia"/>
        </w:rPr>
        <w:t>16</w:t>
      </w:r>
      <w:r>
        <w:rPr>
          <w:rFonts w:hint="eastAsia"/>
        </w:rPr>
        <w:t>条</w:t>
      </w:r>
      <w:r>
        <w:rPr>
          <w:rFonts w:hint="eastAsia"/>
        </w:rPr>
        <w:t>)</w:t>
      </w:r>
      <w:r>
        <w:rPr>
          <w:rFonts w:hint="eastAsia"/>
        </w:rPr>
        <w:t>。同时还规定合谋犯、建议犯和煽动犯只有在法律有特别规定时才给予惩罚</w:t>
      </w:r>
      <w:r>
        <w:rPr>
          <w:rFonts w:hint="eastAsia"/>
        </w:rPr>
        <w:t>(</w:t>
      </w:r>
      <w:r>
        <w:rPr>
          <w:rFonts w:hint="eastAsia"/>
        </w:rPr>
        <w:t>《刑法典》第</w:t>
      </w:r>
      <w:r>
        <w:rPr>
          <w:rFonts w:hint="eastAsia"/>
        </w:rPr>
        <w:t>17</w:t>
      </w:r>
      <w:r>
        <w:rPr>
          <w:rFonts w:hint="eastAsia"/>
        </w:rPr>
        <w:t>和</w:t>
      </w:r>
      <w:r>
        <w:rPr>
          <w:rFonts w:hint="eastAsia"/>
        </w:rPr>
        <w:t>18</w:t>
      </w:r>
      <w:r>
        <w:rPr>
          <w:rFonts w:hint="eastAsia"/>
        </w:rPr>
        <w:t>条</w:t>
      </w:r>
      <w:r>
        <w:rPr>
          <w:rFonts w:hint="eastAsia"/>
        </w:rPr>
        <w:t>)</w:t>
      </w:r>
      <w:r>
        <w:rPr>
          <w:rFonts w:hint="eastAsia"/>
        </w:rPr>
        <w:t>，这一规定明确将非法拘禁</w:t>
      </w:r>
      <w:r>
        <w:rPr>
          <w:rFonts w:hint="eastAsia"/>
        </w:rPr>
        <w:t>/</w:t>
      </w:r>
      <w:r>
        <w:rPr>
          <w:rFonts w:hint="eastAsia"/>
        </w:rPr>
        <w:t>绑架纳入其适用范围，这是因为《刑法典》第</w:t>
      </w:r>
      <w:r>
        <w:rPr>
          <w:rFonts w:hint="eastAsia"/>
        </w:rPr>
        <w:t>168</w:t>
      </w:r>
      <w:r>
        <w:rPr>
          <w:rFonts w:hint="eastAsia"/>
        </w:rPr>
        <w:t>条规定：“唆使、煽动他人实施或者合谋实施本章</w:t>
      </w:r>
      <w:r>
        <w:rPr>
          <w:rFonts w:hint="eastAsia"/>
        </w:rPr>
        <w:t>(</w:t>
      </w:r>
      <w:r>
        <w:rPr>
          <w:rFonts w:hint="eastAsia"/>
        </w:rPr>
        <w:t>第一章：非法拘禁和绑架，第</w:t>
      </w:r>
      <w:r>
        <w:rPr>
          <w:rFonts w:hint="eastAsia"/>
        </w:rPr>
        <w:t>163</w:t>
      </w:r>
      <w:r>
        <w:rPr>
          <w:rFonts w:hint="eastAsia"/>
        </w:rPr>
        <w:t>至</w:t>
      </w:r>
      <w:r>
        <w:rPr>
          <w:rFonts w:hint="eastAsia"/>
        </w:rPr>
        <w:t>168</w:t>
      </w:r>
      <w:r>
        <w:rPr>
          <w:rFonts w:hint="eastAsia"/>
        </w:rPr>
        <w:t>条</w:t>
      </w:r>
      <w:r>
        <w:rPr>
          <w:rFonts w:hint="eastAsia"/>
        </w:rPr>
        <w:t>)</w:t>
      </w:r>
      <w:r>
        <w:rPr>
          <w:rFonts w:hint="eastAsia"/>
        </w:rPr>
        <w:t>规定之罪的，分别按照各条规定减轻一至两级判处刑罚”。</w:t>
      </w:r>
    </w:p>
    <w:p w:rsidR="003C2E11" w:rsidRDefault="003C2E11">
      <w:pPr>
        <w:pStyle w:val="SingleTxtGC"/>
      </w:pPr>
      <w:r>
        <w:t xml:space="preserve">79.  </w:t>
      </w:r>
      <w:r>
        <w:rPr>
          <w:rFonts w:hint="eastAsia"/>
        </w:rPr>
        <w:t>根据这一系列的规定以及与之相关的判例和理论规定可以得出的结论是，《刑法典》提供了一个完善的框架，在对犯罪行为人的刑事责任认定方面与《公约》对“强迫失踪”的描述保持了一致。在关于处罚的规定中考虑到了加重刑罚，并根据实际情况明确了主犯、共犯或从犯，以及煽动犯的相应刑事责任等级。所有这些并不影响根据实际情况针对在制止犯罪或调查犯罪中出现的不作为适用其他相应的惩处措施。</w:t>
      </w:r>
    </w:p>
    <w:p w:rsidR="003C2E11" w:rsidRDefault="003C2E11">
      <w:pPr>
        <w:pStyle w:val="SingleTxtGC"/>
      </w:pPr>
      <w:r>
        <w:t xml:space="preserve">80.  </w:t>
      </w:r>
      <w:r>
        <w:rPr>
          <w:rFonts w:hint="eastAsia"/>
        </w:rPr>
        <w:t>最后，《刑法典》第</w:t>
      </w:r>
      <w:r>
        <w:rPr>
          <w:rFonts w:hint="eastAsia"/>
        </w:rPr>
        <w:t>11</w:t>
      </w:r>
      <w:r>
        <w:rPr>
          <w:rFonts w:hint="eastAsia"/>
        </w:rPr>
        <w:t>条规定了一项用于认定当事人在违反了一项</w:t>
      </w:r>
      <w:r>
        <w:rPr>
          <w:rFonts w:hint="eastAsia"/>
        </w:rPr>
        <w:t>(</w:t>
      </w:r>
      <w:r>
        <w:rPr>
          <w:rFonts w:hint="eastAsia"/>
        </w:rPr>
        <w:t>依法或者因合同或者因先前的危险性行动而产生的</w:t>
      </w:r>
      <w:r>
        <w:rPr>
          <w:rFonts w:hint="eastAsia"/>
        </w:rPr>
        <w:t>)</w:t>
      </w:r>
      <w:r>
        <w:rPr>
          <w:rFonts w:hint="eastAsia"/>
        </w:rPr>
        <w:t>特定义务时，同样构成过失罪。在此类情况下，无论当事人作为或不作为，均由其结果决定过失罪是否成立。《刑法典》第</w:t>
      </w:r>
      <w:r>
        <w:rPr>
          <w:rFonts w:hint="eastAsia"/>
        </w:rPr>
        <w:t>11</w:t>
      </w:r>
      <w:r>
        <w:rPr>
          <w:rFonts w:hint="eastAsia"/>
        </w:rPr>
        <w:t>条规定：“当事人依法律规定负有特定的法律义务，但因过失而未能避免造成法益损害的违法行为，亦构成犯罪或过失罪。类似的还包括：</w:t>
      </w:r>
      <w:r>
        <w:rPr>
          <w:rFonts w:hint="eastAsia"/>
        </w:rPr>
        <w:t>A)</w:t>
      </w:r>
      <w:r>
        <w:rPr>
          <w:rFonts w:hint="eastAsia"/>
        </w:rPr>
        <w:t>依法或者因合同产生了特殊的义务。</w:t>
      </w:r>
      <w:r>
        <w:t>B</w:t>
      </w:r>
      <w:r>
        <w:rPr>
          <w:rFonts w:hint="eastAsia"/>
        </w:rPr>
        <w:t>)</w:t>
      </w:r>
      <w:r>
        <w:rPr>
          <w:rFonts w:hint="eastAsia"/>
        </w:rPr>
        <w:t>先前的作为或者不作为有使法益处于危险状态的可能。”</w:t>
      </w:r>
    </w:p>
    <w:p w:rsidR="003C2E11" w:rsidRDefault="003C2E11">
      <w:pPr>
        <w:pStyle w:val="SingleTxtGC"/>
      </w:pPr>
      <w:r>
        <w:t xml:space="preserve">81.  </w:t>
      </w:r>
      <w:r>
        <w:rPr>
          <w:rFonts w:hint="eastAsia"/>
        </w:rPr>
        <w:t>此外，应当指出第六条第二款的内容，其中表明：当局的代理人或公务员都分属于不同的组织结构，这些组织都遵循严格的上下级原则，因此代理人或公务员都必须遵纪守法，服从其收到的命令和指示并严格落实这些命令和指示，履行其应尽职务。</w:t>
      </w:r>
    </w:p>
    <w:p w:rsidR="003C2E11" w:rsidRDefault="003C2E11">
      <w:pPr>
        <w:pStyle w:val="SingleTxtGC"/>
      </w:pPr>
      <w:r>
        <w:t xml:space="preserve">82.  </w:t>
      </w:r>
      <w:r>
        <w:rPr>
          <w:rFonts w:hint="eastAsia"/>
        </w:rPr>
        <w:t>尽管如此，这些上下级原则和服从原则不得被援引用于作为其不法行为的辩护理由。无论是在一般性行政制度领域还是在行政纪律领域以及刑事领域的西班牙法律都反映了这一观点。</w:t>
      </w:r>
    </w:p>
    <w:p w:rsidR="003C2E11" w:rsidRDefault="003C2E11">
      <w:pPr>
        <w:pStyle w:val="SingleTxtGC"/>
      </w:pPr>
      <w:r>
        <w:t xml:space="preserve">83.  </w:t>
      </w:r>
      <w:r>
        <w:rPr>
          <w:rFonts w:hint="eastAsia"/>
        </w:rPr>
        <w:t>我们可以看到接下来的一系列规定都指出了这一点：</w:t>
      </w:r>
    </w:p>
    <w:p w:rsidR="003C2E11" w:rsidRDefault="003C2E11">
      <w:pPr>
        <w:pStyle w:val="SingleTxtGC"/>
        <w:numPr>
          <w:ilvl w:val="0"/>
          <w:numId w:val="31"/>
        </w:numPr>
        <w:rPr>
          <w:rFonts w:hint="eastAsia"/>
        </w:rPr>
      </w:pPr>
      <w:smartTag w:uri="urn:schemas-microsoft-com:office:smarttags" w:element="chsdate">
        <w:smartTagPr>
          <w:attr w:name="Year" w:val="1992"/>
          <w:attr w:name="Month" w:val="11"/>
          <w:attr w:name="Day" w:val="26"/>
          <w:attr w:name="IsLunarDate" w:val="False"/>
          <w:attr w:name="IsROCDate" w:val="False"/>
        </w:smartTagPr>
        <w:r>
          <w:rPr>
            <w:rFonts w:hint="eastAsia"/>
          </w:rPr>
          <w:t>1992</w:t>
        </w:r>
        <w:r>
          <w:rPr>
            <w:rFonts w:hint="eastAsia"/>
          </w:rPr>
          <w:t>年</w:t>
        </w:r>
        <w:r>
          <w:rPr>
            <w:rFonts w:hint="eastAsia"/>
          </w:rPr>
          <w:t>11</w:t>
        </w:r>
        <w:r>
          <w:rPr>
            <w:rFonts w:hint="eastAsia"/>
          </w:rPr>
          <w:t>月</w:t>
        </w:r>
        <w:r>
          <w:rPr>
            <w:rFonts w:hint="eastAsia"/>
          </w:rPr>
          <w:t>26</w:t>
        </w:r>
        <w:r>
          <w:rPr>
            <w:rFonts w:hint="eastAsia"/>
          </w:rPr>
          <w:t>日</w:t>
        </w:r>
      </w:smartTag>
      <w:r>
        <w:rPr>
          <w:rFonts w:hint="eastAsia"/>
        </w:rPr>
        <w:t>的第</w:t>
      </w:r>
      <w:r>
        <w:rPr>
          <w:rFonts w:hint="eastAsia"/>
        </w:rPr>
        <w:t>30/1992</w:t>
      </w:r>
      <w:r>
        <w:rPr>
          <w:rFonts w:hint="eastAsia"/>
        </w:rPr>
        <w:t>号关于公共管理法律制度和公共行政诉讼的法律</w:t>
      </w:r>
      <w:r>
        <w:rPr>
          <w:rFonts w:hint="eastAsia"/>
        </w:rPr>
        <w:t>(</w:t>
      </w:r>
      <w:r>
        <w:rPr>
          <w:rFonts w:hint="eastAsia"/>
        </w:rPr>
        <w:t>以下简称《公共管理法律制度和公共行政诉讼法》</w:t>
      </w:r>
      <w:r>
        <w:rPr>
          <w:rFonts w:hint="eastAsia"/>
        </w:rPr>
        <w:t>)</w:t>
      </w:r>
      <w:r>
        <w:rPr>
          <w:rFonts w:hint="eastAsia"/>
        </w:rPr>
        <w:t>，规定了法律制度、公共行政诉讼以及西班牙所有公共行政部门的责任体系应遵循的原则，其依据为《西班牙宪法》第</w:t>
      </w:r>
      <w:r>
        <w:rPr>
          <w:rFonts w:hint="eastAsia"/>
        </w:rPr>
        <w:t>103.1</w:t>
      </w:r>
      <w:r>
        <w:rPr>
          <w:rFonts w:hint="eastAsia"/>
        </w:rPr>
        <w:t>条，该条规定：“</w:t>
      </w:r>
      <w:r>
        <w:t>公共行政客观地为总</w:t>
      </w:r>
      <w:r>
        <w:rPr>
          <w:rFonts w:hint="eastAsia"/>
        </w:rPr>
        <w:t>体</w:t>
      </w:r>
      <w:r>
        <w:t>利益服务，按效能、等级、权力下放、分散和协调的原则行事，完全服从于法律和法</w:t>
      </w:r>
      <w:r>
        <w:rPr>
          <w:rFonts w:hint="eastAsia"/>
        </w:rPr>
        <w:t>制”。在该法中针对行政行为的无效性进行了规范，规定行政部门的犯罪行为完全无效。“完全无效。</w:t>
      </w:r>
      <w:r>
        <w:rPr>
          <w:rFonts w:hint="eastAsia"/>
        </w:rPr>
        <w:t xml:space="preserve">1. </w:t>
      </w:r>
      <w:r>
        <w:rPr>
          <w:rFonts w:hint="eastAsia"/>
        </w:rPr>
        <w:t>公共行政部门的行为在下列情况下完全无效：</w:t>
      </w:r>
      <w:r>
        <w:rPr>
          <w:rFonts w:hint="eastAsia"/>
        </w:rPr>
        <w:t xml:space="preserve">(a) </w:t>
      </w:r>
      <w:r>
        <w:rPr>
          <w:rFonts w:hint="eastAsia"/>
        </w:rPr>
        <w:t>损害《宪法》保护的各项权利和自由的行为。</w:t>
      </w:r>
      <w:r>
        <w:rPr>
          <w:rFonts w:hint="eastAsia"/>
        </w:rPr>
        <w:t>(</w:t>
      </w:r>
      <w:r>
        <w:rPr>
          <w:rFonts w:hint="eastAsia"/>
        </w:rPr>
        <w:t>……</w:t>
      </w:r>
      <w:r>
        <w:rPr>
          <w:rFonts w:hint="eastAsia"/>
        </w:rPr>
        <w:t xml:space="preserve">)d) </w:t>
      </w:r>
      <w:r>
        <w:rPr>
          <w:rFonts w:hint="eastAsia"/>
        </w:rPr>
        <w:t>构成刑事犯罪的行为或者其行为导致刑事犯罪的行为。</w:t>
      </w:r>
      <w:r>
        <w:rPr>
          <w:rFonts w:hint="eastAsia"/>
        </w:rPr>
        <w:t>(</w:t>
      </w:r>
      <w:r>
        <w:rPr>
          <w:rFonts w:hint="eastAsia"/>
        </w:rPr>
        <w:t>……</w:t>
      </w:r>
      <w:r>
        <w:rPr>
          <w:rFonts w:hint="eastAsia"/>
        </w:rPr>
        <w:t xml:space="preserve">)2. </w:t>
      </w:r>
      <w:r>
        <w:rPr>
          <w:rFonts w:hint="eastAsia"/>
        </w:rPr>
        <w:t>违反《宪法》、法律的行政规定同样完全无效……”</w:t>
      </w:r>
      <w:r>
        <w:rPr>
          <w:rFonts w:hint="eastAsia"/>
        </w:rPr>
        <w:t>(</w:t>
      </w:r>
      <w:r>
        <w:rPr>
          <w:rFonts w:hint="eastAsia"/>
        </w:rPr>
        <w:t>《公共管理法律制度和公共行政诉讼法》第</w:t>
      </w:r>
      <w:r>
        <w:rPr>
          <w:rFonts w:hint="eastAsia"/>
        </w:rPr>
        <w:t>62</w:t>
      </w:r>
      <w:r>
        <w:rPr>
          <w:rFonts w:hint="eastAsia"/>
        </w:rPr>
        <w:t>条</w:t>
      </w:r>
      <w:r>
        <w:rPr>
          <w:rFonts w:hint="eastAsia"/>
        </w:rPr>
        <w:t>)</w:t>
      </w:r>
      <w:r>
        <w:rPr>
          <w:rFonts w:hint="eastAsia"/>
        </w:rPr>
        <w:t>。</w:t>
      </w:r>
    </w:p>
    <w:p w:rsidR="003C2E11" w:rsidRDefault="003C2E11">
      <w:pPr>
        <w:pStyle w:val="SingleTxtGC"/>
        <w:numPr>
          <w:ilvl w:val="0"/>
          <w:numId w:val="31"/>
        </w:numPr>
      </w:pPr>
      <w:smartTag w:uri="urn:schemas-microsoft-com:office:smarttags" w:element="chsdate">
        <w:smartTagPr>
          <w:attr w:name="Year" w:val="2007"/>
          <w:attr w:name="Month" w:val="4"/>
          <w:attr w:name="Day" w:val="2"/>
          <w:attr w:name="IsLunarDate" w:val="False"/>
          <w:attr w:name="IsROCDate" w:val="False"/>
        </w:smartTagPr>
        <w:r>
          <w:rPr>
            <w:rFonts w:hint="eastAsia"/>
          </w:rPr>
          <w:t>2007</w:t>
        </w:r>
        <w:r>
          <w:rPr>
            <w:rFonts w:hint="eastAsia"/>
          </w:rPr>
          <w:t>年</w:t>
        </w:r>
        <w:r>
          <w:rPr>
            <w:rFonts w:hint="eastAsia"/>
          </w:rPr>
          <w:t>4</w:t>
        </w:r>
        <w:r>
          <w:rPr>
            <w:rFonts w:hint="eastAsia"/>
          </w:rPr>
          <w:t>月</w:t>
        </w:r>
        <w:r>
          <w:rPr>
            <w:rFonts w:hint="eastAsia"/>
          </w:rPr>
          <w:t>2</w:t>
        </w:r>
        <w:r>
          <w:rPr>
            <w:rFonts w:hint="eastAsia"/>
          </w:rPr>
          <w:t>日</w:t>
        </w:r>
      </w:smartTag>
      <w:r>
        <w:rPr>
          <w:rFonts w:hint="eastAsia"/>
        </w:rPr>
        <w:t>的第</w:t>
      </w:r>
      <w:r>
        <w:rPr>
          <w:rFonts w:hint="eastAsia"/>
        </w:rPr>
        <w:t>7/2007</w:t>
      </w:r>
      <w:r>
        <w:rPr>
          <w:rFonts w:hint="eastAsia"/>
        </w:rPr>
        <w:t>号关于公共雇员基本章程的法律，在规范所有文职公共雇员的行为准则时规定：“……应服从上级的专业命令，但是违反法律规定的情况除外，在此类情况下应立即通知相应的监察机构”</w:t>
      </w:r>
      <w:r>
        <w:rPr>
          <w:rFonts w:hint="eastAsia"/>
        </w:rPr>
        <w:t>(</w:t>
      </w:r>
      <w:r>
        <w:rPr>
          <w:rFonts w:hint="eastAsia"/>
        </w:rPr>
        <w:t>第</w:t>
      </w:r>
      <w:r>
        <w:rPr>
          <w:rFonts w:hint="eastAsia"/>
        </w:rPr>
        <w:t>54.3</w:t>
      </w:r>
      <w:r>
        <w:rPr>
          <w:rFonts w:hint="eastAsia"/>
        </w:rPr>
        <w:t>条</w:t>
      </w:r>
      <w:r>
        <w:rPr>
          <w:rFonts w:hint="eastAsia"/>
        </w:rPr>
        <w:t>)</w:t>
      </w:r>
      <w:r>
        <w:rPr>
          <w:rFonts w:hint="eastAsia"/>
        </w:rPr>
        <w:t>。</w:t>
      </w:r>
    </w:p>
    <w:p w:rsidR="003C2E11" w:rsidRDefault="003C2E11">
      <w:pPr>
        <w:pStyle w:val="SingleTxtGC"/>
        <w:numPr>
          <w:ilvl w:val="0"/>
          <w:numId w:val="31"/>
        </w:numPr>
        <w:rPr>
          <w:rFonts w:hint="eastAsia"/>
        </w:rPr>
      </w:pPr>
      <w:smartTag w:uri="urn:schemas-microsoft-com:office:smarttags" w:element="chsdate">
        <w:smartTagPr>
          <w:attr w:name="Year" w:val="2009"/>
          <w:attr w:name="Month" w:val="2"/>
          <w:attr w:name="Day" w:val="6"/>
          <w:attr w:name="IsLunarDate" w:val="False"/>
          <w:attr w:name="IsROCDate" w:val="False"/>
        </w:smartTagPr>
        <w:r>
          <w:rPr>
            <w:rFonts w:hint="eastAsia"/>
          </w:rPr>
          <w:t>2009</w:t>
        </w:r>
        <w:r>
          <w:rPr>
            <w:rFonts w:hint="eastAsia"/>
          </w:rPr>
          <w:t>年</w:t>
        </w:r>
        <w:r>
          <w:rPr>
            <w:rFonts w:hint="eastAsia"/>
          </w:rPr>
          <w:t>2</w:t>
        </w:r>
        <w:r>
          <w:rPr>
            <w:rFonts w:hint="eastAsia"/>
          </w:rPr>
          <w:t>月</w:t>
        </w:r>
        <w:r>
          <w:rPr>
            <w:rFonts w:hint="eastAsia"/>
          </w:rPr>
          <w:t>6</w:t>
        </w:r>
        <w:r>
          <w:rPr>
            <w:rFonts w:hint="eastAsia"/>
          </w:rPr>
          <w:t>日</w:t>
        </w:r>
      </w:smartTag>
      <w:r>
        <w:rPr>
          <w:rFonts w:hint="eastAsia"/>
        </w:rPr>
        <w:t>的第</w:t>
      </w:r>
      <w:r>
        <w:rPr>
          <w:rFonts w:hint="eastAsia"/>
        </w:rPr>
        <w:t>96/2009</w:t>
      </w:r>
      <w:r>
        <w:rPr>
          <w:rFonts w:hint="eastAsia"/>
        </w:rPr>
        <w:t>号皇家法令，据以核准了武装部队的皇家条例，其中规定：“如果命令的执行会导致犯罪的［……］军人无需遵守此类命令。在任何情况下对其不当作为或不作为应承担重责”</w:t>
      </w:r>
      <w:r>
        <w:rPr>
          <w:rFonts w:hint="eastAsia"/>
        </w:rPr>
        <w:t>(</w:t>
      </w:r>
      <w:r>
        <w:rPr>
          <w:rFonts w:hint="eastAsia"/>
        </w:rPr>
        <w:t>第</w:t>
      </w:r>
      <w:r>
        <w:rPr>
          <w:rFonts w:hint="eastAsia"/>
        </w:rPr>
        <w:t>48</w:t>
      </w:r>
      <w:r>
        <w:rPr>
          <w:rFonts w:hint="eastAsia"/>
        </w:rPr>
        <w:t>条</w:t>
      </w:r>
      <w:r>
        <w:rPr>
          <w:rFonts w:hint="eastAsia"/>
        </w:rPr>
        <w:t>)</w:t>
      </w:r>
      <w:r>
        <w:rPr>
          <w:rFonts w:hint="eastAsia"/>
        </w:rPr>
        <w:t>。</w:t>
      </w:r>
    </w:p>
    <w:p w:rsidR="003C2E11" w:rsidRDefault="003C2E11">
      <w:pPr>
        <w:pStyle w:val="SingleTxtGC"/>
        <w:numPr>
          <w:ilvl w:val="0"/>
          <w:numId w:val="31"/>
        </w:numPr>
      </w:pPr>
      <w:r>
        <w:rPr>
          <w:rFonts w:hint="eastAsia"/>
        </w:rPr>
        <w:t>在《刑法典》中，对于不服从罪的规定如下：“</w:t>
      </w:r>
      <w:r>
        <w:rPr>
          <w:rFonts w:hint="eastAsia"/>
        </w:rPr>
        <w:t xml:space="preserve">1. </w:t>
      </w:r>
      <w:r>
        <w:rPr>
          <w:rFonts w:hint="eastAsia"/>
        </w:rPr>
        <w:t>当局或者公务员公开拒绝履行上级就其职权范围内合理的判决、决议或者命令的，处三至十二个月罚金，并剥夺其从事职业或者担任公职的权利六个月至两年。</w:t>
      </w:r>
      <w:r>
        <w:rPr>
          <w:rFonts w:hint="eastAsia"/>
        </w:rPr>
        <w:t xml:space="preserve">2. </w:t>
      </w:r>
      <w:r>
        <w:rPr>
          <w:rFonts w:hint="eastAsia"/>
        </w:rPr>
        <w:t>上级命令依法律或者其他通则性质的规定公开、清楚、明确地构成犯罪的，下级拒绝执行的不需负有刑事责任”</w:t>
      </w:r>
      <w:r>
        <w:rPr>
          <w:rFonts w:hint="eastAsia"/>
        </w:rPr>
        <w:t>(</w:t>
      </w:r>
      <w:r>
        <w:rPr>
          <w:rFonts w:hint="eastAsia"/>
        </w:rPr>
        <w:t>《刑法典》第</w:t>
      </w:r>
      <w:r>
        <w:rPr>
          <w:rFonts w:hint="eastAsia"/>
        </w:rPr>
        <w:t>410</w:t>
      </w:r>
      <w:r>
        <w:rPr>
          <w:rFonts w:hint="eastAsia"/>
        </w:rPr>
        <w:t>条</w:t>
      </w:r>
      <w:r>
        <w:rPr>
          <w:rFonts w:hint="eastAsia"/>
        </w:rPr>
        <w:t>)</w:t>
      </w:r>
      <w:r>
        <w:rPr>
          <w:rFonts w:hint="eastAsia"/>
        </w:rPr>
        <w:t>。</w:t>
      </w:r>
    </w:p>
    <w:p w:rsidR="003C2E11" w:rsidRDefault="003C2E11">
      <w:pPr>
        <w:pStyle w:val="SingleTxtGC"/>
      </w:pPr>
      <w:r>
        <w:t xml:space="preserve">84.  </w:t>
      </w:r>
      <w:r>
        <w:rPr>
          <w:rFonts w:hint="eastAsia"/>
        </w:rPr>
        <w:t>根据前面的论述，可以看出在西班牙法律中，涉嫌构成犯罪</w:t>
      </w:r>
      <w:r>
        <w:rPr>
          <w:rFonts w:hint="eastAsia"/>
          <w:spacing w:val="-60"/>
        </w:rPr>
        <w:t>―</w:t>
      </w:r>
      <w:r>
        <w:rPr>
          <w:rFonts w:hint="eastAsia"/>
          <w:spacing w:val="10"/>
        </w:rPr>
        <w:t>―</w:t>
      </w:r>
      <w:r>
        <w:rPr>
          <w:rFonts w:hint="eastAsia"/>
        </w:rPr>
        <w:t>在此我们特别指非法拘禁</w:t>
      </w:r>
      <w:r>
        <w:rPr>
          <w:rFonts w:hint="eastAsia"/>
        </w:rPr>
        <w:t>/</w:t>
      </w:r>
      <w:r>
        <w:rPr>
          <w:rFonts w:hint="eastAsia"/>
        </w:rPr>
        <w:t>绑架</w:t>
      </w:r>
      <w:r>
        <w:rPr>
          <w:rFonts w:hint="eastAsia"/>
        </w:rPr>
        <w:t>/</w:t>
      </w:r>
      <w:r>
        <w:rPr>
          <w:rFonts w:hint="eastAsia"/>
        </w:rPr>
        <w:t>强迫失踪罪</w:t>
      </w:r>
      <w:r>
        <w:rPr>
          <w:rFonts w:hint="eastAsia"/>
          <w:spacing w:val="-60"/>
        </w:rPr>
        <w:t>―</w:t>
      </w:r>
      <w:r>
        <w:rPr>
          <w:rFonts w:hint="eastAsia"/>
          <w:spacing w:val="10"/>
        </w:rPr>
        <w:t>―</w:t>
      </w:r>
      <w:r>
        <w:rPr>
          <w:rFonts w:hint="eastAsia"/>
        </w:rPr>
        <w:t>的法规、命令和指示，从根本上来说是无效的；国家代理人、当局和公务员对此拒绝执行的不需承担任何责任。此外，因执行此类命令而构成犯罪的，不能免除其相应的责任。</w:t>
      </w:r>
    </w:p>
    <w:p w:rsidR="003C2E11" w:rsidRDefault="003C2E11">
      <w:pPr>
        <w:pStyle w:val="SingleTxtGC"/>
      </w:pPr>
      <w:r>
        <w:t xml:space="preserve">85.  </w:t>
      </w:r>
      <w:r>
        <w:rPr>
          <w:rFonts w:hint="eastAsia"/>
        </w:rPr>
        <w:t>在军事制度方面，我们接下来将提到的是《军事刑法典》</w:t>
      </w:r>
      <w:r>
        <w:rPr>
          <w:rFonts w:hint="eastAsia"/>
        </w:rPr>
        <w:t>(</w:t>
      </w:r>
      <w:r>
        <w:rPr>
          <w:rFonts w:hint="eastAsia"/>
        </w:rPr>
        <w:t>第</w:t>
      </w:r>
      <w:r>
        <w:rPr>
          <w:rFonts w:hint="eastAsia"/>
        </w:rPr>
        <w:t>13/1985</w:t>
      </w:r>
      <w:r>
        <w:rPr>
          <w:rFonts w:hint="eastAsia"/>
        </w:rPr>
        <w:t>号组织法</w:t>
      </w:r>
      <w:r>
        <w:rPr>
          <w:rFonts w:hint="eastAsia"/>
        </w:rPr>
        <w:t>)</w:t>
      </w:r>
      <w:r>
        <w:rPr>
          <w:rFonts w:hint="eastAsia"/>
        </w:rPr>
        <w:t>的内容。其第二篇“违反法律罪和战争罪”对此规定如下：第</w:t>
      </w:r>
      <w:r>
        <w:rPr>
          <w:rFonts w:hint="eastAsia"/>
        </w:rPr>
        <w:t>77</w:t>
      </w:r>
      <w:r>
        <w:rPr>
          <w:rFonts w:hint="eastAsia"/>
        </w:rPr>
        <w:t>条：符合下列情节的，将被判处二至八年军事监禁徒刑：“</w:t>
      </w:r>
      <w:r>
        <w:rPr>
          <w:rFonts w:hint="eastAsia"/>
        </w:rPr>
        <w:t xml:space="preserve">6. </w:t>
      </w:r>
      <w:r>
        <w:rPr>
          <w:rFonts w:hint="eastAsia"/>
        </w:rPr>
        <w:t>针对与西班牙对战的某个国家的平民犯下的非法驱除或非法转移、非法拘禁、绑架人质、强迫其在敌对武装中服务或者剥夺其合法权利的行为。”因此，可以认为西班牙的法律法规符合《公约》第六条，包括该条第二款的规定</w:t>
      </w:r>
      <w:r>
        <w:rPr>
          <w:rFonts w:hint="eastAsia"/>
        </w:rPr>
        <w:t>(</w:t>
      </w:r>
      <w:r>
        <w:rPr>
          <w:rFonts w:hint="eastAsia"/>
        </w:rPr>
        <w:t>公共当局没有发布过任何可能被认定为构成强迫失踪罪的命令</w:t>
      </w:r>
      <w:r>
        <w:rPr>
          <w:rFonts w:hint="eastAsia"/>
        </w:rPr>
        <w:t>)</w:t>
      </w:r>
      <w:r>
        <w:rPr>
          <w:rFonts w:hint="eastAsia"/>
        </w:rPr>
        <w:t>，因为没有任何规定可以据以免除或减轻由于服从上级的命令或者指示而构成这一犯罪的行为所应负的刑事责任。</w:t>
      </w:r>
    </w:p>
    <w:p w:rsidR="003C2E11" w:rsidRDefault="003C2E11">
      <w:pPr>
        <w:pStyle w:val="SingleTxtGC"/>
      </w:pPr>
      <w:r>
        <w:t xml:space="preserve">86.  </w:t>
      </w:r>
      <w:r>
        <w:rPr>
          <w:rFonts w:hint="eastAsia"/>
        </w:rPr>
        <w:t>针对最后一种情况，应当特别提到下列重要规定：</w:t>
      </w:r>
    </w:p>
    <w:p w:rsidR="003C2E11" w:rsidRDefault="003C2E11">
      <w:pPr>
        <w:pStyle w:val="SingleTxtGC"/>
        <w:numPr>
          <w:ilvl w:val="0"/>
          <w:numId w:val="33"/>
        </w:numPr>
      </w:pPr>
      <w:smartTag w:uri="urn:schemas-microsoft-com:office:smarttags" w:element="chsdate">
        <w:smartTagPr>
          <w:attr w:name="IsROCDate" w:val="False"/>
          <w:attr w:name="IsLunarDate" w:val="False"/>
          <w:attr w:name="Day" w:val="13"/>
          <w:attr w:name="Month" w:val="3"/>
          <w:attr w:name="Year" w:val="1896"/>
        </w:smartTagPr>
        <w:r>
          <w:rPr>
            <w:rFonts w:hint="eastAsia"/>
          </w:rPr>
          <w:t>1896</w:t>
        </w:r>
        <w:r>
          <w:rPr>
            <w:rFonts w:hint="eastAsia"/>
          </w:rPr>
          <w:t>年</w:t>
        </w:r>
        <w:r>
          <w:rPr>
            <w:rFonts w:hint="eastAsia"/>
          </w:rPr>
          <w:t>3</w:t>
        </w:r>
        <w:r>
          <w:rPr>
            <w:rFonts w:hint="eastAsia"/>
          </w:rPr>
          <w:t>月</w:t>
        </w:r>
        <w:r>
          <w:rPr>
            <w:rFonts w:hint="eastAsia"/>
          </w:rPr>
          <w:t>13</w:t>
        </w:r>
        <w:r>
          <w:rPr>
            <w:rFonts w:hint="eastAsia"/>
          </w:rPr>
          <w:t>日</w:t>
        </w:r>
      </w:smartTag>
      <w:r>
        <w:rPr>
          <w:rFonts w:hint="eastAsia"/>
        </w:rPr>
        <w:t>的第</w:t>
      </w:r>
      <w:r>
        <w:rPr>
          <w:rFonts w:hint="eastAsia"/>
        </w:rPr>
        <w:t>2/1896</w:t>
      </w:r>
      <w:r>
        <w:rPr>
          <w:rFonts w:hint="eastAsia"/>
        </w:rPr>
        <w:t>号关于安全部队和治安机关的组织法，该法第</w:t>
      </w:r>
      <w:r>
        <w:rPr>
          <w:rFonts w:hint="eastAsia"/>
        </w:rPr>
        <w:t>5</w:t>
      </w:r>
      <w:r>
        <w:rPr>
          <w:rFonts w:hint="eastAsia"/>
        </w:rPr>
        <w:t>条规定：安全部队和治安机关成员的基本行为准则包括，在开展职业行动时必须遵守下级服从上级的原则，但是，在任何情况下服从命令都不得作为其执行行为明显构成犯罪或者违反宪法或法律的辩护理由。</w:t>
      </w:r>
    </w:p>
    <w:p w:rsidR="003C2E11" w:rsidRDefault="003C2E11">
      <w:pPr>
        <w:pStyle w:val="SingleTxtGC"/>
        <w:numPr>
          <w:ilvl w:val="0"/>
          <w:numId w:val="33"/>
        </w:numPr>
      </w:pPr>
      <w:smartTag w:uri="urn:schemas-microsoft-com:office:smarttags" w:element="chsdate">
        <w:smartTagPr>
          <w:attr w:name="IsROCDate" w:val="False"/>
          <w:attr w:name="IsLunarDate" w:val="False"/>
          <w:attr w:name="Day" w:val="20"/>
          <w:attr w:name="Month" w:val="3"/>
          <w:attr w:name="Year" w:val="2010"/>
        </w:smartTagPr>
        <w:r>
          <w:rPr>
            <w:rFonts w:hint="eastAsia"/>
          </w:rPr>
          <w:t>2010</w:t>
        </w:r>
        <w:r>
          <w:rPr>
            <w:rFonts w:hint="eastAsia"/>
          </w:rPr>
          <w:t>年</w:t>
        </w:r>
        <w:r>
          <w:rPr>
            <w:rFonts w:hint="eastAsia"/>
          </w:rPr>
          <w:t>3</w:t>
        </w:r>
        <w:r>
          <w:rPr>
            <w:rFonts w:hint="eastAsia"/>
          </w:rPr>
          <w:t>月</w:t>
        </w:r>
        <w:r>
          <w:rPr>
            <w:rFonts w:hint="eastAsia"/>
          </w:rPr>
          <w:t>20</w:t>
        </w:r>
        <w:r>
          <w:rPr>
            <w:rFonts w:hint="eastAsia"/>
          </w:rPr>
          <w:t>日</w:t>
        </w:r>
      </w:smartTag>
      <w:r>
        <w:rPr>
          <w:rFonts w:hint="eastAsia"/>
        </w:rPr>
        <w:t>的第</w:t>
      </w:r>
      <w:r>
        <w:rPr>
          <w:rFonts w:hint="eastAsia"/>
        </w:rPr>
        <w:t>4/2010</w:t>
      </w:r>
      <w:r>
        <w:rPr>
          <w:rFonts w:hint="eastAsia"/>
        </w:rPr>
        <w:t>号关于国家警察部队纪律制度的组织法，该法第</w:t>
      </w:r>
      <w:r>
        <w:rPr>
          <w:rFonts w:hint="eastAsia"/>
        </w:rPr>
        <w:t>8</w:t>
      </w:r>
      <w:r>
        <w:rPr>
          <w:rFonts w:hint="eastAsia"/>
        </w:rPr>
        <w:t>条规定：以下构成严重过失：</w:t>
      </w:r>
      <w:r>
        <w:rPr>
          <w:rFonts w:hint="eastAsia"/>
        </w:rPr>
        <w:t>b)</w:t>
      </w:r>
      <w:r>
        <w:rPr>
          <w:rFonts w:hint="eastAsia"/>
        </w:rPr>
        <w:t>不服从上级或者职务负责人下达的合法命令或决议，但是明显违反法律规定的情况除外。</w:t>
      </w:r>
    </w:p>
    <w:p w:rsidR="003C2E11" w:rsidRDefault="003C2E11">
      <w:pPr>
        <w:pStyle w:val="SingleTxtGC"/>
        <w:numPr>
          <w:ilvl w:val="0"/>
          <w:numId w:val="33"/>
        </w:numPr>
      </w:pPr>
      <w:smartTag w:uri="urn:schemas-microsoft-com:office:smarttags" w:element="chsdate">
        <w:smartTagPr>
          <w:attr w:name="IsROCDate" w:val="False"/>
          <w:attr w:name="IsLunarDate" w:val="False"/>
          <w:attr w:name="Day" w:val="22"/>
          <w:attr w:name="Month" w:val="10"/>
          <w:attr w:name="Year" w:val="2007"/>
        </w:smartTagPr>
        <w:r>
          <w:rPr>
            <w:rFonts w:hint="eastAsia"/>
          </w:rPr>
          <w:t>2007</w:t>
        </w:r>
        <w:r>
          <w:rPr>
            <w:rFonts w:hint="eastAsia"/>
          </w:rPr>
          <w:t>年</w:t>
        </w:r>
        <w:r>
          <w:rPr>
            <w:rFonts w:hint="eastAsia"/>
          </w:rPr>
          <w:t>10</w:t>
        </w:r>
        <w:r>
          <w:rPr>
            <w:rFonts w:hint="eastAsia"/>
          </w:rPr>
          <w:t>月</w:t>
        </w:r>
        <w:r>
          <w:rPr>
            <w:rFonts w:hint="eastAsia"/>
          </w:rPr>
          <w:t>22</w:t>
        </w:r>
        <w:r>
          <w:rPr>
            <w:rFonts w:hint="eastAsia"/>
          </w:rPr>
          <w:t>日</w:t>
        </w:r>
      </w:smartTag>
      <w:r>
        <w:rPr>
          <w:rFonts w:hint="eastAsia"/>
        </w:rPr>
        <w:t>的第</w:t>
      </w:r>
      <w:r>
        <w:rPr>
          <w:rFonts w:hint="eastAsia"/>
        </w:rPr>
        <w:t>12/2007</w:t>
      </w:r>
      <w:r>
        <w:rPr>
          <w:rFonts w:hint="eastAsia"/>
        </w:rPr>
        <w:t>号关于国民警卫队纪律制度的组织法，该法第</w:t>
      </w:r>
      <w:r>
        <w:rPr>
          <w:rFonts w:hint="eastAsia"/>
        </w:rPr>
        <w:t>7</w:t>
      </w:r>
      <w:r>
        <w:rPr>
          <w:rFonts w:hint="eastAsia"/>
        </w:rPr>
        <w:t>条规定：以下构成严重过失：</w:t>
      </w:r>
      <w:r>
        <w:rPr>
          <w:rFonts w:hint="eastAsia"/>
        </w:rPr>
        <w:t xml:space="preserve">15. </w:t>
      </w:r>
      <w:r>
        <w:rPr>
          <w:rFonts w:hint="eastAsia"/>
        </w:rPr>
        <w:t>严重不服从或者违反上级的命令或指示的，但是命令或者指示明显违反法律规定的情况除外。</w:t>
      </w:r>
    </w:p>
    <w:p w:rsidR="003C2E11" w:rsidRDefault="003C2E11">
      <w:pPr>
        <w:pStyle w:val="H1GC"/>
      </w:pPr>
      <w:r>
        <w:tab/>
      </w:r>
      <w:r>
        <w:tab/>
      </w:r>
      <w:bookmarkStart w:id="10" w:name="_Toc351380598"/>
      <w:r>
        <w:rPr>
          <w:rFonts w:hint="eastAsia"/>
        </w:rPr>
        <w:t>第七条</w:t>
      </w:r>
      <w:r>
        <w:rPr>
          <w:rFonts w:hint="eastAsia"/>
        </w:rPr>
        <w:br/>
      </w:r>
      <w:r>
        <w:rPr>
          <w:rFonts w:hint="eastAsia"/>
        </w:rPr>
        <w:t>处罚</w:t>
      </w:r>
      <w:bookmarkEnd w:id="10"/>
    </w:p>
    <w:p w:rsidR="003C2E11" w:rsidRDefault="003C2E11">
      <w:pPr>
        <w:pStyle w:val="SingleTxtGC"/>
      </w:pPr>
      <w:r>
        <w:t xml:space="preserve">87.  </w:t>
      </w:r>
      <w:r>
        <w:rPr>
          <w:rFonts w:hint="eastAsia"/>
        </w:rPr>
        <w:t>针对第七条第一款，《刑法典》在其第一卷第三篇的概述部分规定了刑罚体系，将此类行为认定为对法律规定的法定权益的剥夺或限制，并规定应由刑事司法领域的司法法庭通过审理程序予以定罪处罚。</w:t>
      </w:r>
    </w:p>
    <w:p w:rsidR="003C2E11" w:rsidRDefault="003C2E11">
      <w:pPr>
        <w:pStyle w:val="SingleTxtGC"/>
        <w:rPr>
          <w:rFonts w:hint="eastAsia"/>
        </w:rPr>
      </w:pPr>
      <w:r>
        <w:t xml:space="preserve">88.  </w:t>
      </w:r>
      <w:r>
        <w:rPr>
          <w:rFonts w:hint="eastAsia"/>
        </w:rPr>
        <w:t>在这一体系中，一方面，刑罚被分为剥夺自由、剥夺权利或者判处罚金</w:t>
      </w:r>
      <w:r>
        <w:rPr>
          <w:rFonts w:hint="eastAsia"/>
        </w:rPr>
        <w:t>(</w:t>
      </w:r>
      <w:r>
        <w:rPr>
          <w:rFonts w:hint="eastAsia"/>
        </w:rPr>
        <w:t>《刑法典》第</w:t>
      </w:r>
      <w:r>
        <w:rPr>
          <w:rFonts w:hint="eastAsia"/>
        </w:rPr>
        <w:t>32</w:t>
      </w:r>
      <w:r>
        <w:rPr>
          <w:rFonts w:hint="eastAsia"/>
        </w:rPr>
        <w:t>条和第</w:t>
      </w:r>
      <w:r>
        <w:rPr>
          <w:rFonts w:hint="eastAsia"/>
        </w:rPr>
        <w:t>33</w:t>
      </w:r>
      <w:r>
        <w:rPr>
          <w:rFonts w:hint="eastAsia"/>
        </w:rPr>
        <w:t>条</w:t>
      </w:r>
      <w:r>
        <w:rPr>
          <w:rFonts w:hint="eastAsia"/>
        </w:rPr>
        <w:t>)</w:t>
      </w:r>
      <w:r>
        <w:rPr>
          <w:rFonts w:hint="eastAsia"/>
        </w:rPr>
        <w:t>，另一方面，根据判处的刑期可分为重罚、较重罚和轻罚</w:t>
      </w:r>
      <w:r>
        <w:rPr>
          <w:rFonts w:hint="eastAsia"/>
        </w:rPr>
        <w:t>(</w:t>
      </w:r>
      <w:r>
        <w:rPr>
          <w:rFonts w:hint="eastAsia"/>
        </w:rPr>
        <w:t>第</w:t>
      </w:r>
      <w:r>
        <w:rPr>
          <w:rFonts w:hint="eastAsia"/>
        </w:rPr>
        <w:t>13</w:t>
      </w:r>
      <w:r>
        <w:rPr>
          <w:rFonts w:hint="eastAsia"/>
        </w:rPr>
        <w:t>条</w:t>
      </w:r>
      <w:r>
        <w:rPr>
          <w:rFonts w:hint="eastAsia"/>
        </w:rPr>
        <w:t>)</w:t>
      </w:r>
      <w:r>
        <w:rPr>
          <w:rFonts w:hint="eastAsia"/>
        </w:rPr>
        <w:t>。因而，《西班牙刑法典》针对非法拘禁</w:t>
      </w:r>
      <w:r>
        <w:rPr>
          <w:rFonts w:hint="eastAsia"/>
        </w:rPr>
        <w:t>/</w:t>
      </w:r>
      <w:r>
        <w:rPr>
          <w:rFonts w:hint="eastAsia"/>
        </w:rPr>
        <w:t>绑架导致失踪和强迫失踪所规定的刑罚体系符合《公约》的规定，因为正如我们所看到的，回顾在针对第四条的论述中所提到的对这些行为的性质界定，就《刑法典》第</w:t>
      </w:r>
      <w:r>
        <w:rPr>
          <w:rFonts w:hint="eastAsia"/>
        </w:rPr>
        <w:t>167</w:t>
      </w:r>
      <w:r>
        <w:rPr>
          <w:rFonts w:hint="eastAsia"/>
        </w:rPr>
        <w:t>条和第</w:t>
      </w:r>
      <w:r>
        <w:rPr>
          <w:rFonts w:hint="eastAsia"/>
        </w:rPr>
        <w:t>165</w:t>
      </w:r>
      <w:r>
        <w:rPr>
          <w:rFonts w:hint="eastAsia"/>
        </w:rPr>
        <w:t>条规定，当非法拘禁或者绑架的情节恶劣，具备对“强迫失踪”的认定所列举的特点的，应予以加重处罚。</w:t>
      </w:r>
    </w:p>
    <w:p w:rsidR="003C2E11" w:rsidRDefault="003C2E11">
      <w:pPr>
        <w:pStyle w:val="SingleTxtGC"/>
      </w:pPr>
      <w:r>
        <w:t xml:space="preserve">89.  </w:t>
      </w:r>
      <w:r>
        <w:rPr>
          <w:rFonts w:hint="eastAsia"/>
        </w:rPr>
        <w:t>事实上，非法拘禁和绑架在西班牙刑罚体系中被划定为重罪，因此，将被从重处罚，根据其犯罪情节判处</w:t>
      </w:r>
      <w:r>
        <w:rPr>
          <w:rFonts w:hint="eastAsia"/>
        </w:rPr>
        <w:t>4</w:t>
      </w:r>
      <w:r>
        <w:rPr>
          <w:rFonts w:hint="eastAsia"/>
        </w:rPr>
        <w:t>至</w:t>
      </w:r>
      <w:r>
        <w:rPr>
          <w:rFonts w:hint="eastAsia"/>
        </w:rPr>
        <w:t>8</w:t>
      </w:r>
      <w:r>
        <w:rPr>
          <w:rFonts w:hint="eastAsia"/>
        </w:rPr>
        <w:t>年乃至</w:t>
      </w:r>
      <w:r>
        <w:rPr>
          <w:rFonts w:hint="eastAsia"/>
        </w:rPr>
        <w:t>10</w:t>
      </w:r>
      <w:r>
        <w:rPr>
          <w:rFonts w:hint="eastAsia"/>
        </w:rPr>
        <w:t>年监禁徒刑</w:t>
      </w:r>
      <w:r>
        <w:rPr>
          <w:rFonts w:hint="eastAsia"/>
        </w:rPr>
        <w:t>(</w:t>
      </w:r>
      <w:r>
        <w:rPr>
          <w:rFonts w:hint="eastAsia"/>
        </w:rPr>
        <w:t>相当于针对凶杀罪所判处</w:t>
      </w:r>
      <w:r>
        <w:rPr>
          <w:rFonts w:hint="eastAsia"/>
        </w:rPr>
        <w:t>10</w:t>
      </w:r>
      <w:r>
        <w:rPr>
          <w:rFonts w:hint="eastAsia"/>
        </w:rPr>
        <w:t>至</w:t>
      </w:r>
      <w:r>
        <w:rPr>
          <w:rFonts w:hint="eastAsia"/>
        </w:rPr>
        <w:t>15</w:t>
      </w:r>
      <w:r>
        <w:rPr>
          <w:rFonts w:hint="eastAsia"/>
        </w:rPr>
        <w:t>年监禁徒刑中的最低刑期</w:t>
      </w:r>
      <w:r>
        <w:rPr>
          <w:rFonts w:hint="eastAsia"/>
        </w:rPr>
        <w:t>)</w:t>
      </w:r>
      <w:r>
        <w:rPr>
          <w:rFonts w:hint="eastAsia"/>
        </w:rPr>
        <w:t>；对于非法拘禁或者绑架他人且未提供被害人下落，也没有释放受害人的，视其情况，根据前述规定加重处罚</w:t>
      </w:r>
      <w:r>
        <w:rPr>
          <w:rFonts w:hint="eastAsia"/>
        </w:rPr>
        <w:t>(</w:t>
      </w:r>
      <w:r>
        <w:rPr>
          <w:rFonts w:hint="eastAsia"/>
        </w:rPr>
        <w:t>《刑法典》第</w:t>
      </w:r>
      <w:r>
        <w:rPr>
          <w:rFonts w:hint="eastAsia"/>
        </w:rPr>
        <w:t>166</w:t>
      </w:r>
      <w:r>
        <w:rPr>
          <w:rFonts w:hint="eastAsia"/>
        </w:rPr>
        <w:t>条</w:t>
      </w:r>
      <w:r>
        <w:rPr>
          <w:rFonts w:hint="eastAsia"/>
        </w:rPr>
        <w:t>)</w:t>
      </w:r>
      <w:r>
        <w:rPr>
          <w:rFonts w:hint="eastAsia"/>
        </w:rPr>
        <w:t>；最后，国家代理人或者冒充国家代理人实施犯罪的，在法定量刑幅度内取较重半幅度处罚，此外，完全剥夺其从业权利</w:t>
      </w:r>
      <w:r>
        <w:rPr>
          <w:rFonts w:hint="eastAsia"/>
        </w:rPr>
        <w:t>(</w:t>
      </w:r>
      <w:r>
        <w:rPr>
          <w:rFonts w:hint="eastAsia"/>
        </w:rPr>
        <w:t>剥夺一切从业、荣誉和担任公职的资格以及被选举权</w:t>
      </w:r>
      <w:r>
        <w:rPr>
          <w:rFonts w:hint="eastAsia"/>
        </w:rPr>
        <w:t>)8</w:t>
      </w:r>
      <w:r>
        <w:rPr>
          <w:rFonts w:hint="eastAsia"/>
        </w:rPr>
        <w:t>至</w:t>
      </w:r>
      <w:r>
        <w:rPr>
          <w:rFonts w:hint="eastAsia"/>
        </w:rPr>
        <w:t>12</w:t>
      </w:r>
      <w:r>
        <w:rPr>
          <w:rFonts w:hint="eastAsia"/>
        </w:rPr>
        <w:t>年。</w:t>
      </w:r>
    </w:p>
    <w:p w:rsidR="003C2E11" w:rsidRDefault="003C2E11">
      <w:pPr>
        <w:pStyle w:val="SingleTxtGC"/>
      </w:pPr>
      <w:r>
        <w:t xml:space="preserve">90.  </w:t>
      </w:r>
      <w:r>
        <w:rPr>
          <w:rFonts w:hint="eastAsia"/>
        </w:rPr>
        <w:t>最高法院已经指出</w:t>
      </w:r>
      <w:r>
        <w:rPr>
          <w:rFonts w:hint="eastAsia"/>
        </w:rPr>
        <w:t>(</w:t>
      </w:r>
      <w:r>
        <w:rPr>
          <w:rFonts w:hint="eastAsia"/>
        </w:rPr>
        <w:t>援引自最高法院</w:t>
      </w:r>
      <w:smartTag w:uri="urn:schemas-microsoft-com:office:smarttags" w:element="chsdate">
        <w:smartTagPr>
          <w:attr w:name="Year" w:val="1999"/>
          <w:attr w:name="Month" w:val="1"/>
          <w:attr w:name="Day" w:val="18"/>
          <w:attr w:name="IsLunarDate" w:val="False"/>
          <w:attr w:name="IsROCDate" w:val="False"/>
        </w:smartTagPr>
        <w:r>
          <w:rPr>
            <w:rFonts w:hint="eastAsia"/>
          </w:rPr>
          <w:t>1999</w:t>
        </w:r>
        <w:r>
          <w:rPr>
            <w:rFonts w:hint="eastAsia"/>
          </w:rPr>
          <w:t>年</w:t>
        </w:r>
        <w:r>
          <w:rPr>
            <w:rFonts w:hint="eastAsia"/>
          </w:rPr>
          <w:t>1</w:t>
        </w:r>
        <w:r>
          <w:rPr>
            <w:rFonts w:hint="eastAsia"/>
          </w:rPr>
          <w:t>月</w:t>
        </w:r>
        <w:r>
          <w:rPr>
            <w:rFonts w:hint="eastAsia"/>
          </w:rPr>
          <w:t>18</w:t>
        </w:r>
        <w:r>
          <w:rPr>
            <w:rFonts w:hint="eastAsia"/>
          </w:rPr>
          <w:t>日</w:t>
        </w:r>
      </w:smartTag>
      <w:r>
        <w:rPr>
          <w:rFonts w:hint="eastAsia"/>
        </w:rPr>
        <w:t>和</w:t>
      </w:r>
      <w:smartTag w:uri="urn:schemas-microsoft-com:office:smarttags" w:element="chsdate">
        <w:smartTagPr>
          <w:attr w:name="Year" w:val="2003"/>
          <w:attr w:name="Month" w:val="9"/>
          <w:attr w:name="Day" w:val="25"/>
          <w:attr w:name="IsLunarDate" w:val="False"/>
          <w:attr w:name="IsROCDate" w:val="False"/>
        </w:smartTagPr>
        <w:r>
          <w:rPr>
            <w:rFonts w:hint="eastAsia"/>
          </w:rPr>
          <w:t>2003</w:t>
        </w:r>
        <w:r>
          <w:rPr>
            <w:rFonts w:hint="eastAsia"/>
          </w:rPr>
          <w:t>年</w:t>
        </w:r>
        <w:r>
          <w:rPr>
            <w:rFonts w:hint="eastAsia"/>
          </w:rPr>
          <w:t>9</w:t>
        </w:r>
        <w:r>
          <w:rPr>
            <w:rFonts w:hint="eastAsia"/>
          </w:rPr>
          <w:t>月</w:t>
        </w:r>
        <w:r>
          <w:rPr>
            <w:rFonts w:hint="eastAsia"/>
          </w:rPr>
          <w:t>25</w:t>
        </w:r>
        <w:r>
          <w:rPr>
            <w:rFonts w:hint="eastAsia"/>
          </w:rPr>
          <w:t>日</w:t>
        </w:r>
      </w:smartTag>
      <w:r>
        <w:rPr>
          <w:rFonts w:hint="eastAsia"/>
        </w:rPr>
        <w:t>的判决</w:t>
      </w:r>
      <w:r>
        <w:rPr>
          <w:rFonts w:hint="eastAsia"/>
        </w:rPr>
        <w:t>)</w:t>
      </w:r>
      <w:r>
        <w:rPr>
          <w:rFonts w:hint="eastAsia"/>
        </w:rPr>
        <w:t>，非法拘禁和绑架与《西班牙宪法》第</w:t>
      </w:r>
      <w:r>
        <w:rPr>
          <w:rFonts w:hint="eastAsia"/>
        </w:rPr>
        <w:t>17</w:t>
      </w:r>
      <w:r>
        <w:rPr>
          <w:rFonts w:hint="eastAsia"/>
        </w:rPr>
        <w:t>条的规定直接相关</w:t>
      </w:r>
      <w:r>
        <w:rPr>
          <w:rFonts w:hint="eastAsia"/>
        </w:rPr>
        <w:t>(</w:t>
      </w:r>
      <w:r>
        <w:rPr>
          <w:rFonts w:hint="eastAsia"/>
        </w:rPr>
        <w:t>“</w:t>
      </w:r>
      <w:r>
        <w:rPr>
          <w:rFonts w:hint="eastAsia"/>
        </w:rPr>
        <w:t xml:space="preserve">1. </w:t>
      </w:r>
      <w:r>
        <w:t>人人均享有自由和安全的权利。除执行本条款规定、在案件诉讼过程中及以法律规定的方式外，任何人不得被剥夺自由。</w:t>
      </w:r>
      <w:r>
        <w:rPr>
          <w:rFonts w:hint="eastAsia"/>
        </w:rPr>
        <w:t>”</w:t>
      </w:r>
      <w:r>
        <w:rPr>
          <w:rFonts w:hint="eastAsia"/>
        </w:rPr>
        <w:t>)</w:t>
      </w:r>
      <w:r>
        <w:rPr>
          <w:rFonts w:hint="eastAsia"/>
        </w:rPr>
        <w:t>，这意味着对受害者的自由权利的直接剥夺，例如限制了受害者出于自身意愿从某地迁移的可能性，这意味着对合法行动权的限制，进而限制了其个人交际自由意愿。这一理由决定并解释了为什么会对此类罪行采用如此重罚。</w:t>
      </w:r>
    </w:p>
    <w:p w:rsidR="003C2E11" w:rsidRDefault="003C2E11">
      <w:pPr>
        <w:pStyle w:val="SingleTxtGC"/>
      </w:pPr>
      <w:r>
        <w:t xml:space="preserve">91.  </w:t>
      </w:r>
      <w:r>
        <w:rPr>
          <w:rFonts w:hint="eastAsia"/>
        </w:rPr>
        <w:t>考虑到“强迫失踪”根据《刑法典》第</w:t>
      </w:r>
      <w:r>
        <w:rPr>
          <w:rFonts w:hint="eastAsia"/>
        </w:rPr>
        <w:t>607</w:t>
      </w:r>
      <w:r>
        <w:rPr>
          <w:rFonts w:hint="eastAsia"/>
        </w:rPr>
        <w:t>条之二的规定被认定为一项危害人类罪</w:t>
      </w:r>
      <w:r>
        <w:rPr>
          <w:rFonts w:hint="eastAsia"/>
        </w:rPr>
        <w:t>(</w:t>
      </w:r>
      <w:r>
        <w:rPr>
          <w:rFonts w:hint="eastAsia"/>
        </w:rPr>
        <w:t>参见上文针对《公约》第五条的论述</w:t>
      </w:r>
      <w:r>
        <w:rPr>
          <w:rFonts w:hint="eastAsia"/>
        </w:rPr>
        <w:t>)</w:t>
      </w:r>
      <w:r>
        <w:rPr>
          <w:rFonts w:hint="eastAsia"/>
        </w:rPr>
        <w:t>，应在前面提到的惩罚的基础上加重处罚，规定比照属于普通刑事罪性质的侵害法益罪对应的刑罚加重一级处罚。具体来说，《刑法典》规定对此处以剥夺</w:t>
      </w:r>
      <w:r>
        <w:rPr>
          <w:rFonts w:hint="eastAsia"/>
        </w:rPr>
        <w:t>8</w:t>
      </w:r>
      <w:r>
        <w:rPr>
          <w:rFonts w:hint="eastAsia"/>
        </w:rPr>
        <w:t>至</w:t>
      </w:r>
      <w:r>
        <w:rPr>
          <w:rFonts w:hint="eastAsia"/>
        </w:rPr>
        <w:t>15</w:t>
      </w:r>
      <w:r>
        <w:rPr>
          <w:rFonts w:hint="eastAsia"/>
        </w:rPr>
        <w:t>年自由的监禁徒刑。</w:t>
      </w:r>
    </w:p>
    <w:p w:rsidR="003C2E11" w:rsidRDefault="003C2E11">
      <w:pPr>
        <w:pStyle w:val="SingleTxtGC"/>
        <w:rPr>
          <w:rFonts w:hint="eastAsia"/>
        </w:rPr>
      </w:pPr>
      <w:r>
        <w:t xml:space="preserve">92.  </w:t>
      </w:r>
      <w:r>
        <w:rPr>
          <w:rFonts w:hint="eastAsia"/>
        </w:rPr>
        <w:t>针对第七条第二款，应当指出的是，针对此类犯罪的加刑和减刑情节的制度规定体现在《刑法典》概述部分的第</w:t>
      </w:r>
      <w:r>
        <w:rPr>
          <w:rFonts w:hint="eastAsia"/>
        </w:rPr>
        <w:t>21</w:t>
      </w:r>
      <w:r>
        <w:rPr>
          <w:rFonts w:hint="eastAsia"/>
        </w:rPr>
        <w:t>条和第</w:t>
      </w:r>
      <w:r>
        <w:rPr>
          <w:rFonts w:hint="eastAsia"/>
        </w:rPr>
        <w:t>22</w:t>
      </w:r>
      <w:r>
        <w:rPr>
          <w:rFonts w:hint="eastAsia"/>
        </w:rPr>
        <w:t>条中，其对相应情节的规定与《公约》的内容相符。因此，向当局自首供认其违反情节并对受害人的伤害做出赔偿</w:t>
      </w:r>
      <w:r>
        <w:rPr>
          <w:rFonts w:hint="eastAsia"/>
        </w:rPr>
        <w:t>(</w:t>
      </w:r>
      <w:r>
        <w:rPr>
          <w:rFonts w:hint="eastAsia"/>
        </w:rPr>
        <w:t>根据最高法院的观点，赔偿应当具有针对性和客观有效</w:t>
      </w:r>
      <w:r>
        <w:rPr>
          <w:rFonts w:hint="eastAsia"/>
        </w:rPr>
        <w:t>)</w:t>
      </w:r>
      <w:r>
        <w:rPr>
          <w:rFonts w:hint="eastAsia"/>
        </w:rPr>
        <w:t>或者减轻其行为后果的，属于减刑情节</w:t>
      </w:r>
      <w:r>
        <w:rPr>
          <w:rFonts w:hint="eastAsia"/>
        </w:rPr>
        <w:t>(</w:t>
      </w:r>
      <w:r>
        <w:rPr>
          <w:rFonts w:hint="eastAsia"/>
        </w:rPr>
        <w:t>《刑法典》第</w:t>
      </w:r>
      <w:r>
        <w:rPr>
          <w:rFonts w:hint="eastAsia"/>
        </w:rPr>
        <w:t>21</w:t>
      </w:r>
      <w:r>
        <w:rPr>
          <w:rFonts w:hint="eastAsia"/>
        </w:rPr>
        <w:t>条第</w:t>
      </w:r>
      <w:r>
        <w:rPr>
          <w:rFonts w:hint="eastAsia"/>
        </w:rPr>
        <w:t>5</w:t>
      </w:r>
      <w:r>
        <w:rPr>
          <w:rFonts w:hint="eastAsia"/>
        </w:rPr>
        <w:t>款和第</w:t>
      </w:r>
      <w:r>
        <w:rPr>
          <w:rFonts w:hint="eastAsia"/>
        </w:rPr>
        <w:t>6</w:t>
      </w:r>
      <w:r>
        <w:rPr>
          <w:rFonts w:hint="eastAsia"/>
        </w:rPr>
        <w:t>款</w:t>
      </w:r>
      <w:r>
        <w:rPr>
          <w:rFonts w:hint="eastAsia"/>
        </w:rPr>
        <w:t>)</w:t>
      </w:r>
      <w:r>
        <w:rPr>
          <w:rFonts w:hint="eastAsia"/>
        </w:rPr>
        <w:t>，而加刑情节中包含的一种情形就是利用受害人的特殊不利状况，例如当受害人是儿童、病人、残疾人等最高法院认定的特别弱势群体时所实施的犯罪事实</w:t>
      </w:r>
      <w:r>
        <w:rPr>
          <w:rFonts w:hint="eastAsia"/>
        </w:rPr>
        <w:t>(</w:t>
      </w:r>
      <w:r>
        <w:rPr>
          <w:rFonts w:hint="eastAsia"/>
        </w:rPr>
        <w:t>《刑法典》第</w:t>
      </w:r>
      <w:r>
        <w:rPr>
          <w:rFonts w:hint="eastAsia"/>
        </w:rPr>
        <w:t>22.1</w:t>
      </w:r>
      <w:r>
        <w:rPr>
          <w:rFonts w:hint="eastAsia"/>
        </w:rPr>
        <w:t>条</w:t>
      </w:r>
      <w:r>
        <w:rPr>
          <w:rFonts w:hint="eastAsia"/>
        </w:rPr>
        <w:t>)</w:t>
      </w:r>
      <w:r>
        <w:rPr>
          <w:rFonts w:hint="eastAsia"/>
        </w:rPr>
        <w:t>。</w:t>
      </w:r>
    </w:p>
    <w:p w:rsidR="003C2E11" w:rsidRDefault="003C2E11">
      <w:pPr>
        <w:pStyle w:val="SingleTxtGC"/>
      </w:pPr>
      <w:r>
        <w:t xml:space="preserve">93.  </w:t>
      </w:r>
      <w:r>
        <w:rPr>
          <w:rFonts w:hint="eastAsia"/>
        </w:rPr>
        <w:t>另一方面，应当注意到，针对失踪人员死亡的情况，最高法院规定：《刑法典》第</w:t>
      </w:r>
      <w:r>
        <w:rPr>
          <w:rFonts w:hint="eastAsia"/>
        </w:rPr>
        <w:t>166</w:t>
      </w:r>
      <w:r>
        <w:rPr>
          <w:rFonts w:hint="eastAsia"/>
        </w:rPr>
        <w:t>条所列的犯罪事实，在现行的法律文本中不构成怀疑或推定致死罪</w:t>
      </w:r>
      <w:r>
        <w:rPr>
          <w:rFonts w:hint="eastAsia"/>
        </w:rPr>
        <w:t>(</w:t>
      </w:r>
      <w:r>
        <w:rPr>
          <w:rFonts w:hint="eastAsia"/>
        </w:rPr>
        <w:t>最高法院</w:t>
      </w:r>
      <w:smartTag w:uri="urn:schemas-microsoft-com:office:smarttags" w:element="chsdate">
        <w:smartTagPr>
          <w:attr w:name="Year" w:val="1990"/>
          <w:attr w:name="Month" w:val="6"/>
          <w:attr w:name="Day" w:val="25"/>
          <w:attr w:name="IsLunarDate" w:val="False"/>
          <w:attr w:name="IsROCDate" w:val="False"/>
        </w:smartTagPr>
        <w:r>
          <w:rPr>
            <w:rFonts w:hint="eastAsia"/>
          </w:rPr>
          <w:t>1990</w:t>
        </w:r>
        <w:r>
          <w:rPr>
            <w:rFonts w:hint="eastAsia"/>
          </w:rPr>
          <w:t>年</w:t>
        </w:r>
        <w:r>
          <w:rPr>
            <w:rFonts w:hint="eastAsia"/>
          </w:rPr>
          <w:t>6</w:t>
        </w:r>
        <w:r>
          <w:rPr>
            <w:rFonts w:hint="eastAsia"/>
          </w:rPr>
          <w:t>月</w:t>
        </w:r>
        <w:r>
          <w:rPr>
            <w:rFonts w:hint="eastAsia"/>
          </w:rPr>
          <w:t>25</w:t>
        </w:r>
        <w:r>
          <w:rPr>
            <w:rFonts w:hint="eastAsia"/>
          </w:rPr>
          <w:t>日</w:t>
        </w:r>
      </w:smartTag>
      <w:r>
        <w:rPr>
          <w:rFonts w:hint="eastAsia"/>
        </w:rPr>
        <w:t>的判决</w:t>
      </w:r>
      <w:r>
        <w:rPr>
          <w:rFonts w:hint="eastAsia"/>
        </w:rPr>
        <w:t>)</w:t>
      </w:r>
      <w:r>
        <w:rPr>
          <w:rFonts w:hint="eastAsia"/>
        </w:rPr>
        <w:t>，而是属于谋杀罪，根据犯罪迹象，当非法拘禁行为随后引致被拘禁者死亡时，被证明实施非法拘禁的犯罪行为人即被认定为谋杀犯</w:t>
      </w:r>
      <w:r>
        <w:rPr>
          <w:rFonts w:hint="eastAsia"/>
        </w:rPr>
        <w:t>(</w:t>
      </w:r>
      <w:r>
        <w:rPr>
          <w:rFonts w:hint="eastAsia"/>
        </w:rPr>
        <w:t>最高法院</w:t>
      </w:r>
      <w:smartTag w:uri="urn:schemas-microsoft-com:office:smarttags" w:element="chsdate">
        <w:smartTagPr>
          <w:attr w:name="Year" w:val="2002"/>
          <w:attr w:name="Month" w:val="7"/>
          <w:attr w:name="Day" w:val="22"/>
          <w:attr w:name="IsLunarDate" w:val="False"/>
          <w:attr w:name="IsROCDate" w:val="False"/>
        </w:smartTagPr>
        <w:r>
          <w:rPr>
            <w:rFonts w:hint="eastAsia"/>
          </w:rPr>
          <w:t>2002</w:t>
        </w:r>
        <w:r>
          <w:rPr>
            <w:rFonts w:hint="eastAsia"/>
          </w:rPr>
          <w:t>年</w:t>
        </w:r>
        <w:r>
          <w:rPr>
            <w:rFonts w:hint="eastAsia"/>
          </w:rPr>
          <w:t>7</w:t>
        </w:r>
        <w:r>
          <w:rPr>
            <w:rFonts w:hint="eastAsia"/>
          </w:rPr>
          <w:t>月</w:t>
        </w:r>
        <w:r>
          <w:rPr>
            <w:rFonts w:hint="eastAsia"/>
          </w:rPr>
          <w:t>22</w:t>
        </w:r>
        <w:r>
          <w:rPr>
            <w:rFonts w:hint="eastAsia"/>
          </w:rPr>
          <w:t>日</w:t>
        </w:r>
      </w:smartTag>
      <w:r>
        <w:rPr>
          <w:rFonts w:hint="eastAsia"/>
        </w:rPr>
        <w:t>的判决</w:t>
      </w:r>
      <w:r>
        <w:rPr>
          <w:rFonts w:hint="eastAsia"/>
        </w:rPr>
        <w:t>)</w:t>
      </w:r>
      <w:r>
        <w:rPr>
          <w:rFonts w:hint="eastAsia"/>
        </w:rPr>
        <w:t>。</w:t>
      </w:r>
    </w:p>
    <w:p w:rsidR="003C2E11" w:rsidRDefault="003C2E11">
      <w:pPr>
        <w:pStyle w:val="SingleTxtGC"/>
        <w:rPr>
          <w:rFonts w:hint="eastAsia"/>
        </w:rPr>
      </w:pPr>
      <w:r>
        <w:t xml:space="preserve">94.  </w:t>
      </w:r>
      <w:r>
        <w:rPr>
          <w:rFonts w:hint="eastAsia"/>
        </w:rPr>
        <w:t>在不影响上述规定的情况下，应当指出，司法部已经宣布，在即将提交议会讨论的《刑法典改革提案》中，将加重对非法拘禁导致失踪行为的刑事责任级别</w:t>
      </w:r>
      <w:r>
        <w:rPr>
          <w:rFonts w:hint="eastAsia"/>
        </w:rPr>
        <w:t>(</w:t>
      </w:r>
      <w:r>
        <w:rPr>
          <w:rFonts w:hint="eastAsia"/>
        </w:rPr>
        <w:t>参见</w:t>
      </w:r>
      <w:smartTag w:uri="urn:schemas-microsoft-com:office:smarttags" w:element="chsdate">
        <w:smartTagPr>
          <w:attr w:name="Year" w:val="2012"/>
          <w:attr w:name="Month" w:val="7"/>
          <w:attr w:name="Day" w:val="16"/>
          <w:attr w:name="IsLunarDate" w:val="False"/>
          <w:attr w:name="IsROCDate" w:val="False"/>
        </w:smartTagPr>
        <w:r>
          <w:rPr>
            <w:rFonts w:hint="eastAsia"/>
          </w:rPr>
          <w:t>2012</w:t>
        </w:r>
        <w:r>
          <w:rPr>
            <w:rFonts w:hint="eastAsia"/>
          </w:rPr>
          <w:t>年</w:t>
        </w:r>
        <w:r>
          <w:rPr>
            <w:rFonts w:hint="eastAsia"/>
          </w:rPr>
          <w:t>7</w:t>
        </w:r>
        <w:r>
          <w:rPr>
            <w:rFonts w:hint="eastAsia"/>
          </w:rPr>
          <w:t>月</w:t>
        </w:r>
        <w:r>
          <w:rPr>
            <w:rFonts w:hint="eastAsia"/>
          </w:rPr>
          <w:t>16</w:t>
        </w:r>
        <w:r>
          <w:rPr>
            <w:rFonts w:hint="eastAsia"/>
          </w:rPr>
          <w:t>日</w:t>
        </w:r>
      </w:smartTag>
      <w:r>
        <w:rPr>
          <w:rFonts w:hint="eastAsia"/>
        </w:rPr>
        <w:t>的关于对</w:t>
      </w:r>
      <w:smartTag w:uri="urn:schemas-microsoft-com:office:smarttags" w:element="chsdate">
        <w:smartTagPr>
          <w:attr w:name="Year" w:val="1995"/>
          <w:attr w:name="Month" w:val="11"/>
          <w:attr w:name="Day" w:val="23"/>
          <w:attr w:name="IsLunarDate" w:val="False"/>
          <w:attr w:name="IsROCDate" w:val="False"/>
        </w:smartTagPr>
        <w:r>
          <w:rPr>
            <w:rFonts w:hint="eastAsia"/>
          </w:rPr>
          <w:t>1995</w:t>
        </w:r>
        <w:r>
          <w:rPr>
            <w:rFonts w:hint="eastAsia"/>
          </w:rPr>
          <w:t>年</w:t>
        </w:r>
        <w:r>
          <w:rPr>
            <w:rFonts w:hint="eastAsia"/>
          </w:rPr>
          <w:t>11</w:t>
        </w:r>
        <w:r>
          <w:rPr>
            <w:rFonts w:hint="eastAsia"/>
          </w:rPr>
          <w:t>月</w:t>
        </w:r>
        <w:r>
          <w:rPr>
            <w:rFonts w:hint="eastAsia"/>
          </w:rPr>
          <w:t>23</w:t>
        </w:r>
        <w:r>
          <w:rPr>
            <w:rFonts w:hint="eastAsia"/>
          </w:rPr>
          <w:t>日</w:t>
        </w:r>
      </w:smartTag>
      <w:r>
        <w:rPr>
          <w:rFonts w:hint="eastAsia"/>
        </w:rPr>
        <w:t>的第</w:t>
      </w:r>
      <w:r>
        <w:rPr>
          <w:rFonts w:hint="eastAsia"/>
        </w:rPr>
        <w:t>10/1995</w:t>
      </w:r>
      <w:r>
        <w:rPr>
          <w:rFonts w:hint="eastAsia"/>
        </w:rPr>
        <w:t>号组织法：《刑法典》的修订草案</w:t>
      </w:r>
      <w:r>
        <w:rPr>
          <w:rFonts w:hint="eastAsia"/>
        </w:rPr>
        <w:t>)</w:t>
      </w:r>
      <w:r>
        <w:rPr>
          <w:rFonts w:hint="eastAsia"/>
        </w:rPr>
        <w:t>，将刑罚提高至</w:t>
      </w:r>
      <w:r>
        <w:rPr>
          <w:rFonts w:hint="eastAsia"/>
        </w:rPr>
        <w:t>10</w:t>
      </w:r>
      <w:r>
        <w:rPr>
          <w:rFonts w:hint="eastAsia"/>
        </w:rPr>
        <w:t>至</w:t>
      </w:r>
      <w:r>
        <w:rPr>
          <w:rFonts w:hint="eastAsia"/>
        </w:rPr>
        <w:t>15</w:t>
      </w:r>
      <w:r>
        <w:rPr>
          <w:rFonts w:hint="eastAsia"/>
        </w:rPr>
        <w:t>年监禁徒刑，此外还规定了两种加刑情节，一种适用于受害人是未成年人的案件，另一种适用于出于性目的实施犯罪，或者犯罪行为人随后实施性侵犯行为的案件。在该改革提案中还提到加入一种新的加刑规定，内容如下：“第</w:t>
      </w:r>
      <w:r>
        <w:rPr>
          <w:rFonts w:hint="eastAsia"/>
        </w:rPr>
        <w:t>168</w:t>
      </w:r>
      <w:r>
        <w:rPr>
          <w:rFonts w:hint="eastAsia"/>
        </w:rPr>
        <w:t>条之二：除了本章</w:t>
      </w:r>
      <w:r>
        <w:rPr>
          <w:rFonts w:hint="eastAsia"/>
        </w:rPr>
        <w:t>(</w:t>
      </w:r>
      <w:r>
        <w:rPr>
          <w:rFonts w:hint="eastAsia"/>
        </w:rPr>
        <w:t>指“关于非法拘禁和绑架”一章</w:t>
      </w:r>
      <w:r>
        <w:rPr>
          <w:rFonts w:hint="eastAsia"/>
        </w:rPr>
        <w:t>)</w:t>
      </w:r>
      <w:r>
        <w:rPr>
          <w:rFonts w:hint="eastAsia"/>
        </w:rPr>
        <w:t>所包含的一种或多种犯罪对应的处罚外，还可以对当事人处以保安监管措施”。</w:t>
      </w:r>
    </w:p>
    <w:p w:rsidR="003C2E11" w:rsidRDefault="003C2E11">
      <w:pPr>
        <w:pStyle w:val="H1GC"/>
      </w:pPr>
      <w:r>
        <w:tab/>
      </w:r>
      <w:r>
        <w:tab/>
      </w:r>
      <w:bookmarkStart w:id="11" w:name="_Toc351380599"/>
      <w:r>
        <w:rPr>
          <w:rFonts w:hint="eastAsia"/>
        </w:rPr>
        <w:t>第八条</w:t>
      </w:r>
      <w:r>
        <w:rPr>
          <w:rFonts w:hint="eastAsia"/>
        </w:rPr>
        <w:br/>
      </w:r>
      <w:r>
        <w:rPr>
          <w:rFonts w:hint="eastAsia"/>
        </w:rPr>
        <w:t>诉讼时效</w:t>
      </w:r>
      <w:bookmarkEnd w:id="11"/>
    </w:p>
    <w:p w:rsidR="003C2E11" w:rsidRDefault="003C2E11">
      <w:pPr>
        <w:pStyle w:val="SingleTxtGC"/>
        <w:rPr>
          <w:rFonts w:hint="eastAsia"/>
        </w:rPr>
      </w:pPr>
      <w:r>
        <w:t xml:space="preserve">95.  </w:t>
      </w:r>
      <w:r>
        <w:rPr>
          <w:rFonts w:hint="eastAsia"/>
        </w:rPr>
        <w:t>在第一段中就阐明了针对《公约》第五条</w:t>
      </w:r>
      <w:r>
        <w:rPr>
          <w:rFonts w:hint="eastAsia"/>
        </w:rPr>
        <w:t>(</w:t>
      </w:r>
      <w:r>
        <w:rPr>
          <w:rFonts w:hint="eastAsia"/>
        </w:rPr>
        <w:t>危害人类罪</w:t>
      </w:r>
      <w:r>
        <w:rPr>
          <w:rFonts w:hint="eastAsia"/>
        </w:rPr>
        <w:t>)</w:t>
      </w:r>
      <w:r>
        <w:rPr>
          <w:rFonts w:hint="eastAsia"/>
        </w:rPr>
        <w:t>的规定，应当看到，西班牙法律对这方面的规定体现在《刑法典》第</w:t>
      </w:r>
      <w:r>
        <w:rPr>
          <w:rFonts w:hint="eastAsia"/>
        </w:rPr>
        <w:t>131.4</w:t>
      </w:r>
      <w:r>
        <w:rPr>
          <w:rFonts w:hint="eastAsia"/>
        </w:rPr>
        <w:t>条中，内容是：“危害人类罪［……］的相应责任在任何情况下均不会失效”。因此，当强迫失踪构成危害人类罪时</w:t>
      </w:r>
      <w:r>
        <w:rPr>
          <w:rFonts w:hint="eastAsia"/>
          <w:spacing w:val="-60"/>
        </w:rPr>
        <w:t>―</w:t>
      </w:r>
      <w:r>
        <w:rPr>
          <w:rFonts w:hint="eastAsia"/>
          <w:spacing w:val="10"/>
        </w:rPr>
        <w:t>―</w:t>
      </w:r>
      <w:r>
        <w:rPr>
          <w:rFonts w:hint="eastAsia"/>
        </w:rPr>
        <w:t>《刑法典》第</w:t>
      </w:r>
      <w:r>
        <w:rPr>
          <w:rFonts w:hint="eastAsia"/>
        </w:rPr>
        <w:t>607</w:t>
      </w:r>
      <w:r>
        <w:rPr>
          <w:rFonts w:hint="eastAsia"/>
        </w:rPr>
        <w:t>条之二第</w:t>
      </w:r>
      <w:r>
        <w:rPr>
          <w:rFonts w:hint="eastAsia"/>
        </w:rPr>
        <w:t>6</w:t>
      </w:r>
      <w:r>
        <w:rPr>
          <w:rFonts w:hint="eastAsia"/>
        </w:rPr>
        <w:t>款和第</w:t>
      </w:r>
      <w:r>
        <w:rPr>
          <w:rFonts w:hint="eastAsia"/>
        </w:rPr>
        <w:t>7</w:t>
      </w:r>
      <w:r>
        <w:rPr>
          <w:rFonts w:hint="eastAsia"/>
        </w:rPr>
        <w:t>款</w:t>
      </w:r>
      <w:r>
        <w:rPr>
          <w:rFonts w:hint="eastAsia"/>
          <w:spacing w:val="-60"/>
        </w:rPr>
        <w:t>―</w:t>
      </w:r>
      <w:r>
        <w:rPr>
          <w:rFonts w:hint="eastAsia"/>
          <w:spacing w:val="10"/>
        </w:rPr>
        <w:t>―</w:t>
      </w:r>
      <w:r>
        <w:rPr>
          <w:rFonts w:hint="eastAsia"/>
        </w:rPr>
        <w:t>应当被认定为不受诉讼时效限制的犯罪。</w:t>
      </w:r>
    </w:p>
    <w:p w:rsidR="003C2E11" w:rsidRDefault="003C2E11">
      <w:pPr>
        <w:pStyle w:val="SingleTxtGC"/>
      </w:pPr>
      <w:r>
        <w:t xml:space="preserve">96.  </w:t>
      </w:r>
      <w:r>
        <w:rPr>
          <w:rFonts w:hint="eastAsia"/>
        </w:rPr>
        <w:t>针对第八条第一款，应当指出，其他的关于非法拘禁</w:t>
      </w:r>
      <w:r>
        <w:rPr>
          <w:rFonts w:hint="eastAsia"/>
        </w:rPr>
        <w:t>/</w:t>
      </w:r>
      <w:r>
        <w:rPr>
          <w:rFonts w:hint="eastAsia"/>
        </w:rPr>
        <w:t>绑架导致失踪或“强迫失踪”的情节均适用《刑法典》概述中所规定的普遍适用的诉讼时效制度</w:t>
      </w:r>
      <w:r>
        <w:rPr>
          <w:rFonts w:hint="eastAsia"/>
        </w:rPr>
        <w:t>(</w:t>
      </w:r>
      <w:r>
        <w:rPr>
          <w:rFonts w:hint="eastAsia"/>
        </w:rPr>
        <w:t>第</w:t>
      </w:r>
      <w:r>
        <w:rPr>
          <w:rFonts w:hint="eastAsia"/>
        </w:rPr>
        <w:t>130.6</w:t>
      </w:r>
      <w:r>
        <w:rPr>
          <w:rFonts w:hint="eastAsia"/>
        </w:rPr>
        <w:t>条；第</w:t>
      </w:r>
      <w:r>
        <w:rPr>
          <w:rFonts w:hint="eastAsia"/>
        </w:rPr>
        <w:t>131</w:t>
      </w:r>
      <w:r>
        <w:rPr>
          <w:rFonts w:hint="eastAsia"/>
        </w:rPr>
        <w:t>和</w:t>
      </w:r>
      <w:r>
        <w:rPr>
          <w:rFonts w:hint="eastAsia"/>
        </w:rPr>
        <w:t>132</w:t>
      </w:r>
      <w:r>
        <w:rPr>
          <w:rFonts w:hint="eastAsia"/>
        </w:rPr>
        <w:t>条</w:t>
      </w:r>
      <w:r>
        <w:rPr>
          <w:rFonts w:hint="eastAsia"/>
        </w:rPr>
        <w:t>)</w:t>
      </w:r>
      <w:r>
        <w:rPr>
          <w:rFonts w:hint="eastAsia"/>
        </w:rPr>
        <w:t>。</w:t>
      </w:r>
    </w:p>
    <w:p w:rsidR="003C2E11" w:rsidRDefault="003C2E11">
      <w:pPr>
        <w:pStyle w:val="SingleTxtGC"/>
      </w:pPr>
      <w:r>
        <w:t xml:space="preserve">97.  </w:t>
      </w:r>
      <w:r>
        <w:rPr>
          <w:rFonts w:hint="eastAsia"/>
        </w:rPr>
        <w:t>考虑到对刑事诉讼实行诉讼时效就</w:t>
      </w:r>
      <w:r>
        <w:rPr>
          <w:rFonts w:cs="Arial"/>
          <w:lang w:eastAsia="zh-Hans"/>
        </w:rPr>
        <w:t>是指当时效期间届满时</w:t>
      </w:r>
      <w:r>
        <w:rPr>
          <w:rFonts w:cs="Arial" w:hint="eastAsia"/>
        </w:rPr>
        <w:t>，国家即放弃对刑事责任的追究，原因是距离事件发生已经超出了社会对于其违反情节的记忆及其造成的影响的记忆，因此可以明确的是诉讼时效应当取决于犯罪情节的严重程度。因此《刑法典》规定了对这一犯罪的诉讼时效应适用《刑法典》针对此类犯罪规定的最高刑期。</w:t>
      </w:r>
    </w:p>
    <w:p w:rsidR="003C2E11" w:rsidRDefault="003C2E11">
      <w:pPr>
        <w:pStyle w:val="SingleTxtGC"/>
      </w:pPr>
      <w:r>
        <w:t xml:space="preserve">98.  </w:t>
      </w:r>
      <w:r>
        <w:rPr>
          <w:rFonts w:hint="eastAsia"/>
        </w:rPr>
        <w:t>在针对《公约》第七条的论述中已经指出了西班牙法律对于非法拘禁</w:t>
      </w:r>
      <w:r>
        <w:rPr>
          <w:rFonts w:hint="eastAsia"/>
        </w:rPr>
        <w:t>/</w:t>
      </w:r>
      <w:r>
        <w:rPr>
          <w:rFonts w:hint="eastAsia"/>
        </w:rPr>
        <w:t>绑架罪的刑事责任认定以及对于引致失踪或者“强迫失踪”罪行的从重处罚，现在需要说明的是，当犯罪应处以</w:t>
      </w:r>
      <w:r>
        <w:rPr>
          <w:rFonts w:hint="eastAsia"/>
        </w:rPr>
        <w:t>10</w:t>
      </w:r>
      <w:r>
        <w:rPr>
          <w:rFonts w:hint="eastAsia"/>
        </w:rPr>
        <w:t>年以上</w:t>
      </w:r>
      <w:r>
        <w:rPr>
          <w:rFonts w:hint="eastAsia"/>
        </w:rPr>
        <w:t>15</w:t>
      </w:r>
      <w:r>
        <w:rPr>
          <w:rFonts w:hint="eastAsia"/>
        </w:rPr>
        <w:t>年以下徒刑时，诉讼时效为</w:t>
      </w:r>
      <w:r>
        <w:rPr>
          <w:rFonts w:hint="eastAsia"/>
        </w:rPr>
        <w:t>15</w:t>
      </w:r>
      <w:r>
        <w:rPr>
          <w:rFonts w:hint="eastAsia"/>
        </w:rPr>
        <w:t>年，同时还可根据所犯罪行的严重程度按照加刑比例对诉讼时效予以延长。</w:t>
      </w:r>
    </w:p>
    <w:p w:rsidR="003C2E11" w:rsidRDefault="003C2E11">
      <w:pPr>
        <w:pStyle w:val="SingleTxtGC"/>
        <w:rPr>
          <w:rFonts w:hint="eastAsia"/>
        </w:rPr>
      </w:pPr>
      <w:r>
        <w:t xml:space="preserve">99.  </w:t>
      </w:r>
      <w:r>
        <w:rPr>
          <w:rFonts w:hint="eastAsia"/>
        </w:rPr>
        <w:t>对于诉讼时效的起算日或者说开始日来说，应当假设犯罪一直持续，根据最后一次犯罪行为的实施，也就是说，当犯罪行为终止之时开始起算。这就是说，作为</w:t>
      </w:r>
      <w:r>
        <w:t>有连续或者继续状态的</w:t>
      </w:r>
      <w:r>
        <w:rPr>
          <w:rFonts w:hint="eastAsia"/>
        </w:rPr>
        <w:t>非法拘禁，应当自被非法拘禁人员结束这一受害状态之日起算。对此《刑法典》第</w:t>
      </w:r>
      <w:r>
        <w:rPr>
          <w:rFonts w:hint="eastAsia"/>
        </w:rPr>
        <w:t>132.1</w:t>
      </w:r>
      <w:r>
        <w:rPr>
          <w:rFonts w:hint="eastAsia"/>
        </w:rPr>
        <w:t>条做出了解释性的规定：“追诉时效期限自犯罪之日起计算。继续犯和连续犯，以及构成习惯性侵害的犯罪，其追诉时效期限自最后一次实施犯罪、停止犯罪状态之时起算”。</w:t>
      </w:r>
    </w:p>
    <w:p w:rsidR="003C2E11" w:rsidRDefault="003C2E11">
      <w:pPr>
        <w:pStyle w:val="SingleTxtGC"/>
        <w:rPr>
          <w:rFonts w:hint="eastAsia"/>
        </w:rPr>
      </w:pPr>
      <w:r>
        <w:t xml:space="preserve">100.  </w:t>
      </w:r>
      <w:r>
        <w:rPr>
          <w:rFonts w:hint="eastAsia"/>
        </w:rPr>
        <w:t>在意图谋杀罪以及非法堕胎罪、伤害罪、侵犯自由罪、酷刑罪、违反道德操守罪、侵犯性自由和性赔偿罪、侵犯隐私罪、侵害肖像权和侵犯住宅权罪中，如果受害人未成年，则诉讼时效应自其成年之日起算，如果在成年之前死亡的，则自其死亡之日起算。这是最高法院在其判例中做出的规定</w:t>
      </w:r>
      <w:r>
        <w:rPr>
          <w:rFonts w:hint="eastAsia"/>
        </w:rPr>
        <w:t>(</w:t>
      </w:r>
      <w:r>
        <w:rPr>
          <w:rFonts w:hint="eastAsia"/>
        </w:rPr>
        <w:t>援引自最高法院</w:t>
      </w:r>
      <w:smartTag w:uri="urn:schemas-microsoft-com:office:smarttags" w:element="chsdate">
        <w:smartTagPr>
          <w:attr w:name="Year" w:val="2008"/>
          <w:attr w:name="Month" w:val="9"/>
          <w:attr w:name="Day" w:val="30"/>
          <w:attr w:name="IsLunarDate" w:val="False"/>
          <w:attr w:name="IsROCDate" w:val="False"/>
        </w:smartTagPr>
        <w:r>
          <w:rPr>
            <w:rFonts w:hint="eastAsia"/>
          </w:rPr>
          <w:t>2008</w:t>
        </w:r>
        <w:r>
          <w:rPr>
            <w:rFonts w:hint="eastAsia"/>
          </w:rPr>
          <w:t>年</w:t>
        </w:r>
        <w:r>
          <w:rPr>
            <w:rFonts w:hint="eastAsia"/>
          </w:rPr>
          <w:t>9</w:t>
        </w:r>
        <w:r>
          <w:rPr>
            <w:rFonts w:hint="eastAsia"/>
          </w:rPr>
          <w:t>月</w:t>
        </w:r>
        <w:r>
          <w:rPr>
            <w:rFonts w:hint="eastAsia"/>
          </w:rPr>
          <w:t>30</w:t>
        </w:r>
        <w:r>
          <w:rPr>
            <w:rFonts w:hint="eastAsia"/>
          </w:rPr>
          <w:t>日</w:t>
        </w:r>
      </w:smartTag>
      <w:r>
        <w:rPr>
          <w:rFonts w:hint="eastAsia"/>
        </w:rPr>
        <w:t>和</w:t>
      </w:r>
      <w:smartTag w:uri="urn:schemas-microsoft-com:office:smarttags" w:element="chsdate">
        <w:smartTagPr>
          <w:attr w:name="Year" w:val="2008"/>
          <w:attr w:name="Month" w:val="11"/>
          <w:attr w:name="Day" w:val="5"/>
          <w:attr w:name="IsLunarDate" w:val="False"/>
          <w:attr w:name="IsROCDate" w:val="False"/>
        </w:smartTagPr>
        <w:r>
          <w:rPr>
            <w:rFonts w:hint="eastAsia"/>
          </w:rPr>
          <w:t>2008</w:t>
        </w:r>
        <w:r>
          <w:rPr>
            <w:rFonts w:hint="eastAsia"/>
          </w:rPr>
          <w:t>年</w:t>
        </w:r>
        <w:r>
          <w:rPr>
            <w:rFonts w:hint="eastAsia"/>
          </w:rPr>
          <w:t>11</w:t>
        </w:r>
        <w:r>
          <w:rPr>
            <w:rFonts w:hint="eastAsia"/>
          </w:rPr>
          <w:t>月</w:t>
        </w:r>
        <w:r>
          <w:rPr>
            <w:rFonts w:hint="eastAsia"/>
          </w:rPr>
          <w:t>5</w:t>
        </w:r>
        <w:r>
          <w:rPr>
            <w:rFonts w:hint="eastAsia"/>
          </w:rPr>
          <w:t>日</w:t>
        </w:r>
      </w:smartTag>
      <w:r>
        <w:rPr>
          <w:rFonts w:hint="eastAsia"/>
        </w:rPr>
        <w:t>的判决</w:t>
      </w:r>
      <w:r>
        <w:rPr>
          <w:rFonts w:hint="eastAsia"/>
        </w:rPr>
        <w:t>)</w:t>
      </w:r>
      <w:r>
        <w:rPr>
          <w:rFonts w:hint="eastAsia"/>
        </w:rPr>
        <w:t>。</w:t>
      </w:r>
    </w:p>
    <w:p w:rsidR="003C2E11" w:rsidRDefault="003C2E11">
      <w:pPr>
        <w:pStyle w:val="SingleTxtGC"/>
        <w:rPr>
          <w:rFonts w:hint="eastAsia"/>
        </w:rPr>
      </w:pPr>
      <w:r>
        <w:t xml:space="preserve">101.  </w:t>
      </w:r>
      <w:r>
        <w:rPr>
          <w:rFonts w:hint="eastAsia"/>
        </w:rPr>
        <w:t>最后应当指出，在西班牙的国内法中将《公约》中所指的持续罪认定为长期罪。在西班牙法律中，对于“持续罪”在技术层面上的认定是指一种不同的情况，即利用特定场合，在限定的时间和情景等情况下同时实施多项犯罪遵循特别的刑事定罪规则。</w:t>
      </w:r>
    </w:p>
    <w:p w:rsidR="003C2E11" w:rsidRDefault="003C2E11">
      <w:pPr>
        <w:pStyle w:val="SingleTxtGC"/>
      </w:pPr>
      <w:r>
        <w:t xml:space="preserve">102.  </w:t>
      </w:r>
      <w:r>
        <w:rPr>
          <w:rFonts w:hint="eastAsia"/>
        </w:rPr>
        <w:t>对于第八条第二款，应当指出，只要犯罪未超出诉讼时效</w:t>
      </w:r>
      <w:r>
        <w:rPr>
          <w:rFonts w:hint="eastAsia"/>
          <w:spacing w:val="-60"/>
        </w:rPr>
        <w:t>―</w:t>
      </w:r>
      <w:r>
        <w:rPr>
          <w:rFonts w:hint="eastAsia"/>
          <w:spacing w:val="10"/>
        </w:rPr>
        <w:t>―</w:t>
      </w:r>
      <w:r>
        <w:rPr>
          <w:rFonts w:hint="eastAsia"/>
        </w:rPr>
        <w:t>前面我们已经对诉讼时效以及自非法拘禁</w:t>
      </w:r>
      <w:r>
        <w:rPr>
          <w:rFonts w:hint="eastAsia"/>
        </w:rPr>
        <w:t>/</w:t>
      </w:r>
      <w:r>
        <w:rPr>
          <w:rFonts w:hint="eastAsia"/>
        </w:rPr>
        <w:t>绑架终止之时开始起算的时效计算规则进行了说明</w:t>
      </w:r>
      <w:r>
        <w:rPr>
          <w:rFonts w:hint="eastAsia"/>
          <w:spacing w:val="-60"/>
        </w:rPr>
        <w:t>―</w:t>
      </w:r>
      <w:r>
        <w:rPr>
          <w:rFonts w:hint="eastAsia"/>
          <w:spacing w:val="10"/>
        </w:rPr>
        <w:t>―</w:t>
      </w:r>
      <w:r>
        <w:rPr>
          <w:rFonts w:hint="eastAsia"/>
        </w:rPr>
        <w:t>就可以不受任何限制地提起刑事诉讼，受害人有权提起个人诉讼，同时不妨碍检察机关依据《宪法》赋予其的职责就相关犯罪提起公诉。</w:t>
      </w:r>
    </w:p>
    <w:p w:rsidR="003C2E11" w:rsidRDefault="003C2E11">
      <w:pPr>
        <w:pStyle w:val="H1GC"/>
      </w:pPr>
      <w:r>
        <w:tab/>
      </w:r>
      <w:r>
        <w:tab/>
      </w:r>
      <w:bookmarkStart w:id="12" w:name="_Toc351380600"/>
      <w:r>
        <w:rPr>
          <w:rFonts w:hint="eastAsia"/>
        </w:rPr>
        <w:t>第九条</w:t>
      </w:r>
      <w:r>
        <w:rPr>
          <w:rFonts w:hint="eastAsia"/>
        </w:rPr>
        <w:br/>
      </w:r>
      <w:r>
        <w:rPr>
          <w:rFonts w:hint="eastAsia"/>
        </w:rPr>
        <w:t>刑事管辖权</w:t>
      </w:r>
      <w:bookmarkEnd w:id="12"/>
    </w:p>
    <w:p w:rsidR="003C2E11" w:rsidRDefault="003C2E11">
      <w:pPr>
        <w:pStyle w:val="SingleTxtGC"/>
      </w:pPr>
      <w:r>
        <w:t xml:space="preserve">103.  </w:t>
      </w:r>
      <w:r>
        <w:rPr>
          <w:rFonts w:hint="eastAsia"/>
        </w:rPr>
        <w:t>西班牙法律制度在其</w:t>
      </w:r>
      <w:smartTag w:uri="urn:schemas-microsoft-com:office:smarttags" w:element="chsdate">
        <w:smartTagPr>
          <w:attr w:name="Year" w:val="1985"/>
          <w:attr w:name="Month" w:val="7"/>
          <w:attr w:name="Day" w:val="1"/>
          <w:attr w:name="IsLunarDate" w:val="False"/>
          <w:attr w:name="IsROCDate" w:val="False"/>
        </w:smartTagPr>
        <w:r>
          <w:rPr>
            <w:rFonts w:hint="eastAsia"/>
          </w:rPr>
          <w:t>1985</w:t>
        </w:r>
        <w:r>
          <w:rPr>
            <w:rFonts w:hint="eastAsia"/>
          </w:rPr>
          <w:t>年</w:t>
        </w:r>
        <w:r>
          <w:rPr>
            <w:rFonts w:hint="eastAsia"/>
          </w:rPr>
          <w:t>7</w:t>
        </w:r>
        <w:r>
          <w:rPr>
            <w:rFonts w:hint="eastAsia"/>
          </w:rPr>
          <w:t>月</w:t>
        </w:r>
        <w:r>
          <w:rPr>
            <w:rFonts w:hint="eastAsia"/>
          </w:rPr>
          <w:t>1</w:t>
        </w:r>
        <w:r>
          <w:rPr>
            <w:rFonts w:hint="eastAsia"/>
          </w:rPr>
          <w:t>日</w:t>
        </w:r>
      </w:smartTag>
      <w:r>
        <w:rPr>
          <w:rFonts w:hint="eastAsia"/>
        </w:rPr>
        <w:t>的第</w:t>
      </w:r>
      <w:r>
        <w:rPr>
          <w:rFonts w:hint="eastAsia"/>
        </w:rPr>
        <w:t>6/1985</w:t>
      </w:r>
      <w:r>
        <w:rPr>
          <w:rFonts w:hint="eastAsia"/>
        </w:rPr>
        <w:t>号关于司法机关的组织法</w:t>
      </w:r>
      <w:r>
        <w:rPr>
          <w:rFonts w:hint="eastAsia"/>
        </w:rPr>
        <w:t>(</w:t>
      </w:r>
      <w:r>
        <w:rPr>
          <w:rFonts w:hint="eastAsia"/>
        </w:rPr>
        <w:t>以下简称《司法机关法》</w:t>
      </w:r>
      <w:r>
        <w:rPr>
          <w:rFonts w:hint="eastAsia"/>
        </w:rPr>
        <w:t>)</w:t>
      </w:r>
      <w:r>
        <w:rPr>
          <w:rFonts w:hint="eastAsia"/>
        </w:rPr>
        <w:t>中确定并规范了法院等司法机关的管辖权范围和界限。特别是对刑事管辖权进行了明确，同时还应当看到，通过</w:t>
      </w:r>
      <w:smartTag w:uri="urn:schemas-microsoft-com:office:smarttags" w:element="chsdate">
        <w:smartTagPr>
          <w:attr w:name="Year" w:val="1882"/>
          <w:attr w:name="Month" w:val="9"/>
          <w:attr w:name="Day" w:val="14"/>
          <w:attr w:name="IsLunarDate" w:val="False"/>
          <w:attr w:name="IsROCDate" w:val="False"/>
        </w:smartTagPr>
        <w:r>
          <w:rPr>
            <w:rFonts w:hint="eastAsia"/>
          </w:rPr>
          <w:t>1882</w:t>
        </w:r>
        <w:r>
          <w:rPr>
            <w:rFonts w:hint="eastAsia"/>
          </w:rPr>
          <w:t>年</w:t>
        </w:r>
        <w:r>
          <w:rPr>
            <w:rFonts w:hint="eastAsia"/>
          </w:rPr>
          <w:t>9</w:t>
        </w:r>
        <w:r>
          <w:rPr>
            <w:rFonts w:hint="eastAsia"/>
          </w:rPr>
          <w:t>月</w:t>
        </w:r>
        <w:r>
          <w:rPr>
            <w:rFonts w:hint="eastAsia"/>
          </w:rPr>
          <w:t>14</w:t>
        </w:r>
        <w:r>
          <w:rPr>
            <w:rFonts w:hint="eastAsia"/>
          </w:rPr>
          <w:t>日</w:t>
        </w:r>
      </w:smartTag>
      <w:r>
        <w:rPr>
          <w:rFonts w:hint="eastAsia"/>
        </w:rPr>
        <w:t>的皇家法令颁布的《刑事审判法》</w:t>
      </w:r>
      <w:r>
        <w:rPr>
          <w:rFonts w:hint="eastAsia"/>
        </w:rPr>
        <w:t>(</w:t>
      </w:r>
      <w:r>
        <w:rPr>
          <w:rFonts w:hint="eastAsia"/>
        </w:rPr>
        <w:t>以下简称《刑事审判法》</w:t>
      </w:r>
      <w:r>
        <w:rPr>
          <w:rFonts w:hint="eastAsia"/>
        </w:rPr>
        <w:t>)</w:t>
      </w:r>
      <w:r>
        <w:rPr>
          <w:rFonts w:hint="eastAsia"/>
        </w:rPr>
        <w:t>第一卷第二篇第</w:t>
      </w:r>
      <w:r>
        <w:rPr>
          <w:rFonts w:hint="eastAsia"/>
        </w:rPr>
        <w:t>8</w:t>
      </w:r>
      <w:r>
        <w:rPr>
          <w:rFonts w:hint="eastAsia"/>
        </w:rPr>
        <w:t>条及以后诸条中对于法院等司法机关的管辖权的界定已经被多次修订</w:t>
      </w:r>
      <w:r>
        <w:rPr>
          <w:rFonts w:hint="eastAsia"/>
        </w:rPr>
        <w:t>(</w:t>
      </w:r>
      <w:r>
        <w:rPr>
          <w:rFonts w:hint="eastAsia"/>
        </w:rPr>
        <w:t>对此进行修改的法律有</w:t>
      </w:r>
      <w:r>
        <w:rPr>
          <w:rFonts w:hint="eastAsia"/>
        </w:rPr>
        <w:t>43</w:t>
      </w:r>
      <w:r>
        <w:rPr>
          <w:rFonts w:hint="eastAsia"/>
        </w:rPr>
        <w:t>则之多，其中</w:t>
      </w:r>
      <w:r>
        <w:rPr>
          <w:rFonts w:hint="eastAsia"/>
        </w:rPr>
        <w:t>27</w:t>
      </w:r>
      <w:r>
        <w:rPr>
          <w:rFonts w:hint="eastAsia"/>
        </w:rPr>
        <w:t>则属于组织法</w:t>
      </w:r>
      <w:r>
        <w:rPr>
          <w:rFonts w:hint="eastAsia"/>
        </w:rPr>
        <w:t>)</w:t>
      </w:r>
      <w:r>
        <w:rPr>
          <w:rFonts w:hint="eastAsia"/>
        </w:rPr>
        <w:t>。在这些法律中，特别是在《司法机关法》中，应当指出在下文将引述的相关规定针对《公约》的要求界定了西班牙法院在这方面的管辖权。</w:t>
      </w:r>
    </w:p>
    <w:p w:rsidR="003C2E11" w:rsidRDefault="003C2E11">
      <w:pPr>
        <w:pStyle w:val="SingleTxtGC"/>
        <w:rPr>
          <w:rFonts w:hint="eastAsia"/>
        </w:rPr>
      </w:pPr>
      <w:r>
        <w:t xml:space="preserve">104.  </w:t>
      </w:r>
      <w:r>
        <w:rPr>
          <w:rFonts w:hint="eastAsia"/>
        </w:rPr>
        <w:t>从总体上规定如下：“唯有法律和国际条约认定的法院和法庭有权行使管辖权，做出判决和责令执行判决”</w:t>
      </w:r>
      <w:r>
        <w:rPr>
          <w:rFonts w:hint="eastAsia"/>
        </w:rPr>
        <w:t>(</w:t>
      </w:r>
      <w:r>
        <w:rPr>
          <w:rFonts w:hint="eastAsia"/>
        </w:rPr>
        <w:t>《司法机关法》第</w:t>
      </w:r>
      <w:r>
        <w:rPr>
          <w:rFonts w:hint="eastAsia"/>
        </w:rPr>
        <w:t>2.1</w:t>
      </w:r>
      <w:r>
        <w:rPr>
          <w:rFonts w:hint="eastAsia"/>
        </w:rPr>
        <w:t>条</w:t>
      </w:r>
      <w:r>
        <w:rPr>
          <w:rFonts w:hint="eastAsia"/>
        </w:rPr>
        <w:t>)</w:t>
      </w:r>
      <w:r>
        <w:rPr>
          <w:rFonts w:hint="eastAsia"/>
        </w:rPr>
        <w:t>，此外规定：“西班牙法院和法庭有权依照本法以及西班牙加入的国际公约和条约之规定，审理在西班牙境内发生的，西班牙人之间、外国人与西班牙人之间以及外国人之间的案件”</w:t>
      </w:r>
      <w:r>
        <w:rPr>
          <w:rFonts w:hint="eastAsia"/>
        </w:rPr>
        <w:t>(</w:t>
      </w:r>
      <w:r>
        <w:rPr>
          <w:rFonts w:hint="eastAsia"/>
        </w:rPr>
        <w:t>第</w:t>
      </w:r>
      <w:r>
        <w:rPr>
          <w:rFonts w:hint="eastAsia"/>
        </w:rPr>
        <w:t>21.1</w:t>
      </w:r>
      <w:r>
        <w:rPr>
          <w:rFonts w:hint="eastAsia"/>
        </w:rPr>
        <w:t>条</w:t>
      </w:r>
      <w:r>
        <w:rPr>
          <w:rFonts w:hint="eastAsia"/>
        </w:rPr>
        <w:t>)</w:t>
      </w:r>
      <w:r>
        <w:rPr>
          <w:rFonts w:hint="eastAsia"/>
        </w:rPr>
        <w:t>。</w:t>
      </w:r>
    </w:p>
    <w:p w:rsidR="003C2E11" w:rsidRDefault="003C2E11">
      <w:pPr>
        <w:pStyle w:val="SingleTxtGC"/>
      </w:pPr>
      <w:r>
        <w:t xml:space="preserve">105.  </w:t>
      </w:r>
      <w:r>
        <w:rPr>
          <w:rFonts w:hint="eastAsia"/>
        </w:rPr>
        <w:t>《司法机关法》通过第</w:t>
      </w:r>
      <w:r>
        <w:rPr>
          <w:rFonts w:hint="eastAsia"/>
        </w:rPr>
        <w:t>23</w:t>
      </w:r>
      <w:r>
        <w:rPr>
          <w:rFonts w:hint="eastAsia"/>
        </w:rPr>
        <w:t>条更加具体地明确了西班牙刑事法院的管辖权，其主要内容援引如下：</w:t>
      </w:r>
    </w:p>
    <w:p w:rsidR="003C2E11" w:rsidRDefault="003C2E11">
      <w:pPr>
        <w:pStyle w:val="SingleTxtGC"/>
        <w:ind w:left="1565"/>
        <w:rPr>
          <w:rFonts w:hint="eastAsia"/>
        </w:rPr>
      </w:pPr>
      <w:r>
        <w:rPr>
          <w:rFonts w:hint="eastAsia"/>
        </w:rPr>
        <w:t>“</w:t>
      </w:r>
      <w:r>
        <w:rPr>
          <w:rFonts w:hint="eastAsia"/>
        </w:rPr>
        <w:t xml:space="preserve">1.  </w:t>
      </w:r>
      <w:r>
        <w:rPr>
          <w:rFonts w:hint="eastAsia"/>
        </w:rPr>
        <w:t>在刑事领域，西班牙刑事法院享有审理在西班牙领土上、西班牙籍船只或飞机上发生的犯罪或过失的管辖权，同时不妨碍适用西班牙加入的国际公约和条约的规定。</w:t>
      </w:r>
    </w:p>
    <w:p w:rsidR="003C2E11" w:rsidRDefault="003C2E11">
      <w:pPr>
        <w:pStyle w:val="SingleTxtGC"/>
        <w:ind w:left="1565"/>
        <w:rPr>
          <w:rFonts w:hint="eastAsia"/>
        </w:rPr>
      </w:pPr>
      <w:r>
        <w:rPr>
          <w:rFonts w:hint="eastAsia"/>
        </w:rPr>
        <w:t xml:space="preserve">2.  </w:t>
      </w:r>
      <w:r>
        <w:rPr>
          <w:rFonts w:hint="eastAsia"/>
        </w:rPr>
        <w:t>此外，法院有权审理被西班牙法律认定为犯罪的事实，即使事实发生在西班牙境外，只要犯罪行为人为西班牙人或者在实施犯罪之后取得西班牙国籍的外国人且符合以下要求：</w:t>
      </w:r>
      <w:r>
        <w:rPr>
          <w:rFonts w:hint="eastAsia"/>
        </w:rPr>
        <w:t xml:space="preserve">(a) </w:t>
      </w:r>
      <w:r>
        <w:rPr>
          <w:rFonts w:hint="eastAsia"/>
        </w:rPr>
        <w:t>可在执行地点追究犯罪的刑事责任，但是，西班牙加入的国际条约或者由西班牙加入的国际组织所发布的法令规定无需落实这一要求的情况除外。</w:t>
      </w:r>
      <w:r>
        <w:rPr>
          <w:rFonts w:hint="eastAsia"/>
        </w:rPr>
        <w:t xml:space="preserve">(b) </w:t>
      </w:r>
      <w:r>
        <w:rPr>
          <w:rFonts w:hint="eastAsia"/>
        </w:rPr>
        <w:t>受害人或者检察机关向西班牙法院提起诉讼的。</w:t>
      </w:r>
      <w:r>
        <w:rPr>
          <w:rFonts w:hint="eastAsia"/>
        </w:rPr>
        <w:t xml:space="preserve">(c) </w:t>
      </w:r>
      <w:r>
        <w:rPr>
          <w:rFonts w:hint="eastAsia"/>
        </w:rPr>
        <w:t>犯罪行为人在国外未被追究刑事责任或免于刑罚，或者，被判刑但未在国外服满刑期的。如果仅执行了部分刑期，应当将已服刑期按比例予以扣除。</w:t>
      </w:r>
    </w:p>
    <w:p w:rsidR="003C2E11" w:rsidRDefault="003C2E11">
      <w:pPr>
        <w:pStyle w:val="SingleTxtGC"/>
        <w:ind w:left="1565"/>
        <w:rPr>
          <w:rFonts w:hint="eastAsia"/>
        </w:rPr>
      </w:pPr>
      <w:r>
        <w:rPr>
          <w:rFonts w:hint="eastAsia"/>
        </w:rPr>
        <w:t>［……］</w:t>
      </w:r>
    </w:p>
    <w:p w:rsidR="003C2E11" w:rsidRDefault="003C2E11">
      <w:pPr>
        <w:pStyle w:val="SingleTxtGC"/>
        <w:ind w:left="1565"/>
        <w:rPr>
          <w:rFonts w:hint="eastAsia"/>
        </w:rPr>
      </w:pPr>
      <w:r>
        <w:rPr>
          <w:rFonts w:hint="eastAsia"/>
        </w:rPr>
        <w:t xml:space="preserve">4.  </w:t>
      </w:r>
      <w:r>
        <w:rPr>
          <w:rFonts w:hint="eastAsia"/>
        </w:rPr>
        <w:t>西班牙司法机关同样有权审理由西班牙人或者外国人在境外实施但是根据西班牙法律可被国内法院审理的犯罪，例如下列一些罪行：</w:t>
      </w:r>
      <w:r>
        <w:rPr>
          <w:rFonts w:hint="eastAsia"/>
        </w:rPr>
        <w:t xml:space="preserve">(a) </w:t>
      </w:r>
      <w:r>
        <w:rPr>
          <w:rFonts w:hint="eastAsia"/>
        </w:rPr>
        <w:t>种族灭绝和危害人类罪［……］；</w:t>
      </w:r>
      <w:r>
        <w:rPr>
          <w:rFonts w:hint="eastAsia"/>
        </w:rPr>
        <w:t xml:space="preserve">(h) </w:t>
      </w:r>
      <w:r>
        <w:rPr>
          <w:rFonts w:hint="eastAsia"/>
        </w:rPr>
        <w:t>根据国际公约和条约，特别是关于国际人道主义法和保护人权的各类公约规定可由西班牙过问的任何其他犯罪。同时不妨碍西班牙加入的各项国际公约和条约所规定的由西班牙法院负责审理涉及到被证实犯罪行为人正在西班牙境内或者存在西班牙籍受害者的上述类型的犯罪［……］。”</w:t>
      </w:r>
    </w:p>
    <w:p w:rsidR="003C2E11" w:rsidRDefault="003C2E11">
      <w:pPr>
        <w:pStyle w:val="SingleTxtGC"/>
        <w:rPr>
          <w:rFonts w:hint="eastAsia"/>
        </w:rPr>
      </w:pPr>
      <w:r>
        <w:t xml:space="preserve">106.  </w:t>
      </w:r>
      <w:r>
        <w:rPr>
          <w:rFonts w:hint="eastAsia"/>
        </w:rPr>
        <w:t>西班牙法院对于《公约》第九条第一款第三项提到的在“失踪人为其国民且缔约国认为适当的情况下”对强迫失踪罪行使管辖权时，应当符合《</w:t>
      </w:r>
      <w:r>
        <w:t>禁止酷刑和其他残忍、不人道或有辱人格的待遇或处罚公约</w:t>
      </w:r>
      <w:r>
        <w:rPr>
          <w:rFonts w:hint="eastAsia"/>
        </w:rPr>
        <w:t>》第五条的规定。根据这一条的规定，西班牙法院的管辖权应当依照《司法机关法》第</w:t>
      </w:r>
      <w:r>
        <w:rPr>
          <w:rFonts w:hint="eastAsia"/>
        </w:rPr>
        <w:t>23.4.h)</w:t>
      </w:r>
      <w:r>
        <w:rPr>
          <w:rFonts w:hint="eastAsia"/>
        </w:rPr>
        <w:t>条的规定进行理解，该条规定西班牙法院对于“其它任何根据国际条约和公约，特别是关于国际人道主义法和保护人权的各类公约的规定应在西班牙起诉的犯罪”均享有管辖权。</w:t>
      </w:r>
    </w:p>
    <w:p w:rsidR="003C2E11" w:rsidRDefault="003C2E11">
      <w:pPr>
        <w:pStyle w:val="SingleTxtGC"/>
      </w:pPr>
      <w:r>
        <w:t xml:space="preserve">107.  </w:t>
      </w:r>
      <w:r>
        <w:rPr>
          <w:rFonts w:hint="eastAsia"/>
        </w:rPr>
        <w:t>考虑到前面提到的《禁止酷刑和其他残忍、不人道或有辱人格的待遇或处罚公约》第五条的内容，应当指出，根据《司法机关法》第</w:t>
      </w:r>
      <w:r>
        <w:rPr>
          <w:rFonts w:hint="eastAsia"/>
        </w:rPr>
        <w:t>23.4.h)</w:t>
      </w:r>
      <w:r>
        <w:rPr>
          <w:rFonts w:hint="eastAsia"/>
        </w:rPr>
        <w:t>条之规定，承认西班牙法院对于西班牙国民在境外遭受酷刑或者被外国人实施酷刑的案件具有管辖权。例如，可以参看最高法院在</w:t>
      </w:r>
      <w:smartTag w:uri="urn:schemas-microsoft-com:office:smarttags" w:element="chsdate">
        <w:smartTagPr>
          <w:attr w:name="Year" w:val="2003"/>
          <w:attr w:name="Month" w:val="2"/>
          <w:attr w:name="Day" w:val="25"/>
          <w:attr w:name="IsLunarDate" w:val="False"/>
          <w:attr w:name="IsROCDate" w:val="False"/>
        </w:smartTagPr>
        <w:r>
          <w:rPr>
            <w:rFonts w:hint="eastAsia"/>
          </w:rPr>
          <w:t>2003</w:t>
        </w:r>
        <w:r>
          <w:rPr>
            <w:rFonts w:hint="eastAsia"/>
          </w:rPr>
          <w:t>年</w:t>
        </w:r>
        <w:r>
          <w:rPr>
            <w:rFonts w:hint="eastAsia"/>
          </w:rPr>
          <w:t>2</w:t>
        </w:r>
        <w:r>
          <w:rPr>
            <w:rFonts w:hint="eastAsia"/>
          </w:rPr>
          <w:t>月</w:t>
        </w:r>
        <w:r>
          <w:rPr>
            <w:rFonts w:hint="eastAsia"/>
          </w:rPr>
          <w:t>25</w:t>
        </w:r>
        <w:r>
          <w:rPr>
            <w:rFonts w:hint="eastAsia"/>
          </w:rPr>
          <w:t>日</w:t>
        </w:r>
      </w:smartTag>
      <w:r>
        <w:rPr>
          <w:rFonts w:hint="eastAsia"/>
        </w:rPr>
        <w:t>就西班牙国民在危地马拉遭受酷刑一案所做的判决，判决认为其管辖权仅限于涉及到其国民的情况：“在酷刑问题上，西班牙和危地马拉都是</w:t>
      </w:r>
      <w:r>
        <w:rPr>
          <w:rFonts w:hint="eastAsia"/>
        </w:rPr>
        <w:t>1984</w:t>
      </w:r>
      <w:r>
        <w:rPr>
          <w:rFonts w:hint="eastAsia"/>
        </w:rPr>
        <w:t>年的《公约》的缔约国，其中纳入了被动属人管辖权原则，当失踪人为其国民时，允许缔约国在认为适当的情况下行使管辖权。诉讼涉及到西班牙公民在西班牙大使馆中死亡的事件，危地马拉政府已经承认这违反了《维也纳外交关系公约》，并接受由此引发的后果，同时还就四名西班牙神父死亡事件提起了诉讼，这四人被指控以政府官员或者履行公共职能的其他人士的身份行事，为此，西班牙法院对这两次事件均享有管辖权”。之后宪法法院在其</w:t>
      </w:r>
      <w:smartTag w:uri="urn:schemas-microsoft-com:office:smarttags" w:element="chsdate">
        <w:smartTagPr>
          <w:attr w:name="Year" w:val="2005"/>
          <w:attr w:name="Month" w:val="9"/>
          <w:attr w:name="Day" w:val="26"/>
          <w:attr w:name="IsLunarDate" w:val="False"/>
          <w:attr w:name="IsROCDate" w:val="False"/>
        </w:smartTagPr>
        <w:r>
          <w:rPr>
            <w:rFonts w:hint="eastAsia"/>
          </w:rPr>
          <w:t>2005</w:t>
        </w:r>
        <w:r>
          <w:rPr>
            <w:rFonts w:hint="eastAsia"/>
          </w:rPr>
          <w:t>年</w:t>
        </w:r>
        <w:r>
          <w:rPr>
            <w:rFonts w:hint="eastAsia"/>
          </w:rPr>
          <w:t>9</w:t>
        </w:r>
        <w:r>
          <w:rPr>
            <w:rFonts w:hint="eastAsia"/>
          </w:rPr>
          <w:t>月</w:t>
        </w:r>
        <w:r>
          <w:rPr>
            <w:rFonts w:hint="eastAsia"/>
          </w:rPr>
          <w:t>26</w:t>
        </w:r>
        <w:r>
          <w:rPr>
            <w:rFonts w:hint="eastAsia"/>
          </w:rPr>
          <w:t>日</w:t>
        </w:r>
      </w:smartTag>
      <w:r>
        <w:rPr>
          <w:rFonts w:hint="eastAsia"/>
        </w:rPr>
        <w:t>的第</w:t>
      </w:r>
      <w:r>
        <w:rPr>
          <w:rFonts w:hint="eastAsia"/>
        </w:rPr>
        <w:t>237/2005</w:t>
      </w:r>
      <w:r>
        <w:rPr>
          <w:rFonts w:hint="eastAsia"/>
        </w:rPr>
        <w:t>号判决中不仅肯定了其管辖权，而且还将这一管辖权扩展到了控方所指控的其他案件及犯罪中。</w:t>
      </w:r>
    </w:p>
    <w:p w:rsidR="003C2E11" w:rsidRDefault="003C2E11">
      <w:pPr>
        <w:pStyle w:val="SingleTxtGC"/>
        <w:rPr>
          <w:rFonts w:hint="eastAsia"/>
        </w:rPr>
      </w:pPr>
      <w:r>
        <w:t xml:space="preserve">108.  </w:t>
      </w:r>
      <w:r>
        <w:rPr>
          <w:rFonts w:hint="eastAsia"/>
        </w:rPr>
        <w:t>这一标准还被运用在最高法院在</w:t>
      </w:r>
      <w:smartTag w:uri="urn:schemas-microsoft-com:office:smarttags" w:element="chsdate">
        <w:smartTagPr>
          <w:attr w:name="Year" w:val="2007"/>
          <w:attr w:name="Month" w:val="12"/>
          <w:attr w:name="Day" w:val="27"/>
          <w:attr w:name="IsLunarDate" w:val="False"/>
          <w:attr w:name="IsROCDate" w:val="False"/>
        </w:smartTagPr>
        <w:r>
          <w:rPr>
            <w:rFonts w:hint="eastAsia"/>
          </w:rPr>
          <w:t>2007</w:t>
        </w:r>
        <w:r>
          <w:rPr>
            <w:rFonts w:hint="eastAsia"/>
          </w:rPr>
          <w:t>年</w:t>
        </w:r>
        <w:r>
          <w:rPr>
            <w:rFonts w:hint="eastAsia"/>
          </w:rPr>
          <w:t>12</w:t>
        </w:r>
        <w:r>
          <w:rPr>
            <w:rFonts w:hint="eastAsia"/>
          </w:rPr>
          <w:t>月</w:t>
        </w:r>
        <w:r>
          <w:rPr>
            <w:rFonts w:hint="eastAsia"/>
          </w:rPr>
          <w:t>27</w:t>
        </w:r>
        <w:r>
          <w:rPr>
            <w:rFonts w:hint="eastAsia"/>
          </w:rPr>
          <w:t>日</w:t>
        </w:r>
      </w:smartTag>
      <w:r>
        <w:rPr>
          <w:rFonts w:hint="eastAsia"/>
        </w:rPr>
        <w:t>做出的另一项判决，即第</w:t>
      </w:r>
      <w:r>
        <w:rPr>
          <w:rFonts w:hint="eastAsia"/>
        </w:rPr>
        <w:t>1092/2007</w:t>
      </w:r>
      <w:r>
        <w:rPr>
          <w:rFonts w:hint="eastAsia"/>
        </w:rPr>
        <w:t>号判决中，考虑到</w:t>
      </w:r>
      <w:smartTag w:uri="urn:schemas-microsoft-com:office:smarttags" w:element="chsdate">
        <w:smartTagPr>
          <w:attr w:name="Year" w:val="2000"/>
          <w:attr w:name="Month" w:val="11"/>
          <w:attr w:name="Day" w:val="15"/>
          <w:attr w:name="IsLunarDate" w:val="False"/>
          <w:attr w:name="IsROCDate" w:val="False"/>
        </w:smartTagPr>
        <w:r>
          <w:rPr>
            <w:rFonts w:hint="eastAsia"/>
          </w:rPr>
          <w:t>2000</w:t>
        </w:r>
        <w:r>
          <w:rPr>
            <w:rFonts w:hint="eastAsia"/>
          </w:rPr>
          <w:t>年</w:t>
        </w:r>
        <w:r>
          <w:rPr>
            <w:rFonts w:hint="eastAsia"/>
          </w:rPr>
          <w:t>11</w:t>
        </w:r>
        <w:r>
          <w:rPr>
            <w:rFonts w:hint="eastAsia"/>
          </w:rPr>
          <w:t>月</w:t>
        </w:r>
        <w:r>
          <w:rPr>
            <w:rFonts w:hint="eastAsia"/>
          </w:rPr>
          <w:t>15</w:t>
        </w:r>
        <w:r>
          <w:rPr>
            <w:rFonts w:hint="eastAsia"/>
          </w:rPr>
          <w:t>日</w:t>
        </w:r>
      </w:smartTag>
      <w:r>
        <w:rPr>
          <w:rFonts w:hint="eastAsia"/>
        </w:rPr>
        <w:t>在纽约出台的《</w:t>
      </w:r>
      <w:r>
        <w:t>联合国打击跨国有组织犯罪公约关于打击陆、海、空偷运移民的补充议定书</w:t>
      </w:r>
      <w:r>
        <w:rPr>
          <w:rFonts w:hint="eastAsia"/>
        </w:rPr>
        <w:t>》第八条第七款与《司法机关法》第</w:t>
      </w:r>
      <w:r>
        <w:rPr>
          <w:rFonts w:hint="eastAsia"/>
        </w:rPr>
        <w:t>23.4.h)</w:t>
      </w:r>
      <w:r>
        <w:rPr>
          <w:rFonts w:hint="eastAsia"/>
        </w:rPr>
        <w:t>条“赋予其管辖权，以便能够根据国内法的规定采取相应措施，包括安全部队及时进行解救，并使得西班牙司法机关有充分的理由过问此类事件”。</w:t>
      </w:r>
    </w:p>
    <w:p w:rsidR="003C2E11" w:rsidRDefault="003C2E11">
      <w:pPr>
        <w:pStyle w:val="SingleTxtGC"/>
      </w:pPr>
      <w:r>
        <w:t xml:space="preserve">109.  </w:t>
      </w:r>
      <w:r>
        <w:rPr>
          <w:rFonts w:hint="eastAsia"/>
        </w:rPr>
        <w:t>《司法机关法》第</w:t>
      </w:r>
      <w:r>
        <w:rPr>
          <w:rFonts w:hint="eastAsia"/>
        </w:rPr>
        <w:t>23.4.(a)</w:t>
      </w:r>
      <w:r>
        <w:rPr>
          <w:rFonts w:hint="eastAsia"/>
        </w:rPr>
        <w:t>条直接确立了西班牙对于危害人类罪的全面管辖权，其中包括对《公约》第五条所指的大规模或有组织的强迫失踪行为的管辖权，针对其他情况，该条</w:t>
      </w:r>
      <w:r>
        <w:rPr>
          <w:rFonts w:hint="eastAsia"/>
        </w:rPr>
        <w:t>(h)</w:t>
      </w:r>
      <w:r>
        <w:rPr>
          <w:rFonts w:hint="eastAsia"/>
        </w:rPr>
        <w:t>款规定西班牙法院对于“其它任何根据国际条约和公约，特别是关于国际人道主义法和保护人权的各类公约的规定应在西班牙起诉的犯罪”均享有管辖权，并将之扩展到</w:t>
      </w:r>
      <w:r>
        <w:rPr>
          <w:rFonts w:hint="eastAsia"/>
          <w:spacing w:val="-60"/>
        </w:rPr>
        <w:t>―</w:t>
      </w:r>
      <w:r>
        <w:rPr>
          <w:rFonts w:hint="eastAsia"/>
          <w:spacing w:val="10"/>
        </w:rPr>
        <w:t>―</w:t>
      </w:r>
      <w:r>
        <w:rPr>
          <w:rFonts w:hint="eastAsia"/>
        </w:rPr>
        <w:t>根据现行的法理标准</w:t>
      </w:r>
      <w:r>
        <w:rPr>
          <w:rFonts w:hint="eastAsia"/>
          <w:spacing w:val="-60"/>
        </w:rPr>
        <w:t>―</w:t>
      </w:r>
      <w:r>
        <w:rPr>
          <w:rFonts w:hint="eastAsia"/>
          <w:spacing w:val="10"/>
        </w:rPr>
        <w:t>―</w:t>
      </w:r>
      <w:r>
        <w:rPr>
          <w:rFonts w:hint="eastAsia"/>
        </w:rPr>
        <w:t>西班牙国民在境外发生的或者被外国人实施的强迫失踪或非自愿失踪的一般性情况。</w:t>
      </w:r>
    </w:p>
    <w:p w:rsidR="003C2E11" w:rsidRDefault="003C2E11">
      <w:pPr>
        <w:pStyle w:val="SingleTxtGC"/>
      </w:pPr>
      <w:r>
        <w:t xml:space="preserve">110.  </w:t>
      </w:r>
      <w:r>
        <w:rPr>
          <w:rFonts w:hint="eastAsia"/>
        </w:rPr>
        <w:t>总之，根据上述规定，可以清楚表明《公约》的各项规定均得到了落实，特别需要强调的是，《司法机关法》对于扩展刑事领域的管辖权的规定始终与国际人权和人道主义法的规定保持着统一。</w:t>
      </w:r>
    </w:p>
    <w:p w:rsidR="003C2E11" w:rsidRDefault="003C2E11">
      <w:pPr>
        <w:pStyle w:val="H1GC"/>
      </w:pPr>
      <w:r>
        <w:tab/>
      </w:r>
      <w:r>
        <w:tab/>
      </w:r>
      <w:bookmarkStart w:id="13" w:name="_Toc351380601"/>
      <w:r>
        <w:rPr>
          <w:rFonts w:hint="eastAsia"/>
        </w:rPr>
        <w:t>第十条</w:t>
      </w:r>
      <w:r>
        <w:br/>
      </w:r>
      <w:r>
        <w:rPr>
          <w:rFonts w:hint="eastAsia"/>
        </w:rPr>
        <w:t>拘留</w:t>
      </w:r>
      <w:bookmarkEnd w:id="13"/>
    </w:p>
    <w:p w:rsidR="003C2E11" w:rsidRDefault="003C2E11">
      <w:pPr>
        <w:pStyle w:val="SingleTxtGC"/>
      </w:pPr>
      <w:r>
        <w:t xml:space="preserve">111.  </w:t>
      </w:r>
      <w:r>
        <w:rPr>
          <w:rFonts w:hint="eastAsia"/>
          <w:spacing w:val="-2"/>
        </w:rPr>
        <w:t>从对《公约》第九条的论述中可以看出，在任何情况下，西班牙法院对于发生在西班牙管辖的领土上，或发生在在西班牙注册的船只或飞机上的非法拘禁</w:t>
      </w:r>
      <w:r>
        <w:rPr>
          <w:rFonts w:hint="eastAsia"/>
          <w:spacing w:val="-2"/>
        </w:rPr>
        <w:t>/</w:t>
      </w:r>
      <w:r>
        <w:rPr>
          <w:rFonts w:hint="eastAsia"/>
          <w:spacing w:val="-2"/>
        </w:rPr>
        <w:t>绑架导致失踪或“强迫失踪”罪都享有管辖权。在这些情况下，如果获知此类犯罪的犯罪嫌疑人正在西班牙境内，可由国家安全部队和治安机关实施逮捕并移交司法机关处置，这样，一旦通过起诉启动刑事程序，司法机关即履行其应尽职责。</w:t>
      </w:r>
    </w:p>
    <w:p w:rsidR="003C2E11" w:rsidRDefault="003C2E11">
      <w:pPr>
        <w:pStyle w:val="SingleTxtGC"/>
      </w:pPr>
      <w:r>
        <w:t xml:space="preserve">112.  </w:t>
      </w:r>
      <w:r>
        <w:rPr>
          <w:rFonts w:hint="eastAsia"/>
        </w:rPr>
        <w:t>当犯罪行为发生在西班牙境外，但是犯罪嫌疑人为西班牙人并符合前面提到的《司法机关法》第</w:t>
      </w:r>
      <w:r>
        <w:rPr>
          <w:rFonts w:hint="eastAsia"/>
        </w:rPr>
        <w:t>23.2</w:t>
      </w:r>
      <w:r>
        <w:rPr>
          <w:rFonts w:hint="eastAsia"/>
        </w:rPr>
        <w:t>条规定的其他情形的，同样可采取这一行动协议。在这种情况下</w:t>
      </w:r>
      <w:r>
        <w:rPr>
          <w:rFonts w:hint="eastAsia"/>
          <w:spacing w:val="-60"/>
        </w:rPr>
        <w:t>―</w:t>
      </w:r>
      <w:r>
        <w:rPr>
          <w:rFonts w:hint="eastAsia"/>
          <w:spacing w:val="10"/>
        </w:rPr>
        <w:t>―</w:t>
      </w:r>
      <w:r>
        <w:rPr>
          <w:rFonts w:hint="eastAsia"/>
        </w:rPr>
        <w:t>犯罪行为发生在西班牙境外</w:t>
      </w:r>
      <w:r>
        <w:rPr>
          <w:rFonts w:hint="eastAsia"/>
          <w:spacing w:val="-60"/>
        </w:rPr>
        <w:t>―</w:t>
      </w:r>
      <w:r>
        <w:rPr>
          <w:rFonts w:hint="eastAsia"/>
          <w:spacing w:val="10"/>
        </w:rPr>
        <w:t>―</w:t>
      </w:r>
      <w:r>
        <w:rPr>
          <w:rFonts w:hint="eastAsia"/>
        </w:rPr>
        <w:t>西班牙可针对《司法机关法》第</w:t>
      </w:r>
      <w:r>
        <w:rPr>
          <w:rFonts w:hint="eastAsia"/>
        </w:rPr>
        <w:t>23.4</w:t>
      </w:r>
      <w:r>
        <w:rPr>
          <w:rFonts w:hint="eastAsia"/>
        </w:rPr>
        <w:t>条的情况扩展其对于外国人的管辖权。</w:t>
      </w:r>
    </w:p>
    <w:p w:rsidR="003C2E11" w:rsidRDefault="003C2E11">
      <w:pPr>
        <w:pStyle w:val="SingleTxtGC"/>
      </w:pPr>
      <w:r>
        <w:t xml:space="preserve">113.  </w:t>
      </w:r>
      <w:r>
        <w:rPr>
          <w:rFonts w:hint="eastAsia"/>
        </w:rPr>
        <w:t>如果案件超出了西班牙的管辖权，则可以应其他缔约国或者获得其承认的国际刑事机关，特别是国际刑事法院的请求或要求，在国际司法合作的框架内，根据</w:t>
      </w:r>
      <w:smartTag w:uri="urn:schemas-microsoft-com:office:smarttags" w:element="chsdate">
        <w:smartTagPr>
          <w:attr w:name="Year" w:val="1985"/>
          <w:attr w:name="Month" w:val="3"/>
          <w:attr w:name="Day" w:val="21"/>
          <w:attr w:name="IsLunarDate" w:val="False"/>
          <w:attr w:name="IsROCDate" w:val="False"/>
        </w:smartTagPr>
        <w:r>
          <w:rPr>
            <w:rFonts w:hint="eastAsia"/>
          </w:rPr>
          <w:t>1985</w:t>
        </w:r>
        <w:r>
          <w:rPr>
            <w:rFonts w:hint="eastAsia"/>
          </w:rPr>
          <w:t>年</w:t>
        </w:r>
        <w:r>
          <w:rPr>
            <w:rFonts w:hint="eastAsia"/>
          </w:rPr>
          <w:t>3</w:t>
        </w:r>
        <w:r>
          <w:rPr>
            <w:rFonts w:hint="eastAsia"/>
          </w:rPr>
          <w:t>月</w:t>
        </w:r>
        <w:r>
          <w:rPr>
            <w:rFonts w:hint="eastAsia"/>
          </w:rPr>
          <w:t>21</w:t>
        </w:r>
        <w:r>
          <w:rPr>
            <w:rFonts w:hint="eastAsia"/>
          </w:rPr>
          <w:t>日</w:t>
        </w:r>
      </w:smartTag>
      <w:r>
        <w:rPr>
          <w:rFonts w:hint="eastAsia"/>
        </w:rPr>
        <w:t>的第</w:t>
      </w:r>
      <w:r>
        <w:rPr>
          <w:rFonts w:hint="eastAsia"/>
        </w:rPr>
        <w:t>4/1985</w:t>
      </w:r>
      <w:r>
        <w:rPr>
          <w:rFonts w:hint="eastAsia"/>
        </w:rPr>
        <w:t>号法律关于被动引渡的规定对犯罪嫌疑人实施逮捕，以便在西班牙法院</w:t>
      </w:r>
      <w:r>
        <w:rPr>
          <w:rFonts w:hint="eastAsia"/>
          <w:spacing w:val="-60"/>
        </w:rPr>
        <w:t>―</w:t>
      </w:r>
      <w:r>
        <w:rPr>
          <w:rFonts w:hint="eastAsia"/>
          <w:spacing w:val="10"/>
        </w:rPr>
        <w:t>―</w:t>
      </w:r>
      <w:r>
        <w:rPr>
          <w:rFonts w:hint="eastAsia"/>
        </w:rPr>
        <w:t>国家刑事审判法庭</w:t>
      </w:r>
      <w:r>
        <w:rPr>
          <w:rFonts w:hint="eastAsia"/>
          <w:spacing w:val="-60"/>
        </w:rPr>
        <w:t>―</w:t>
      </w:r>
      <w:r>
        <w:rPr>
          <w:rFonts w:hint="eastAsia"/>
          <w:spacing w:val="10"/>
        </w:rPr>
        <w:t>―</w:t>
      </w:r>
      <w:r>
        <w:rPr>
          <w:rFonts w:hint="eastAsia"/>
        </w:rPr>
        <w:t>介入干预后，视情况移交犯罪嫌疑人。</w:t>
      </w:r>
    </w:p>
    <w:p w:rsidR="003C2E11" w:rsidRDefault="003C2E11">
      <w:pPr>
        <w:pStyle w:val="SingleTxtGC"/>
      </w:pPr>
      <w:r>
        <w:t xml:space="preserve">114.  </w:t>
      </w:r>
      <w:r>
        <w:rPr>
          <w:rFonts w:hint="eastAsia"/>
        </w:rPr>
        <w:t>无论根据西班牙法院的管辖权还是出于引渡目的对犯罪嫌疑人实施逮捕，以及可能采取的预防性措施，例如审前羁押，都必须依照通用制度执行，充分保障犯罪嫌疑人根据《刑事审判法》</w:t>
      </w:r>
      <w:r>
        <w:rPr>
          <w:rFonts w:hint="eastAsia"/>
        </w:rPr>
        <w:t>(</w:t>
      </w:r>
      <w:r>
        <w:rPr>
          <w:rFonts w:hint="eastAsia"/>
        </w:rPr>
        <w:t>第</w:t>
      </w:r>
      <w:r>
        <w:rPr>
          <w:rFonts w:hint="eastAsia"/>
        </w:rPr>
        <w:t>118</w:t>
      </w:r>
      <w:r>
        <w:rPr>
          <w:rFonts w:hint="eastAsia"/>
        </w:rPr>
        <w:t>条及以后诸条</w:t>
      </w:r>
      <w:r>
        <w:rPr>
          <w:rFonts w:hint="eastAsia"/>
        </w:rPr>
        <w:t>)</w:t>
      </w:r>
      <w:r>
        <w:rPr>
          <w:rFonts w:hint="eastAsia"/>
        </w:rPr>
        <w:t>和《被动引渡法》对所有犯罪的辩护权。</w:t>
      </w:r>
    </w:p>
    <w:p w:rsidR="003C2E11" w:rsidRDefault="003C2E11">
      <w:pPr>
        <w:pStyle w:val="SingleTxtGC"/>
      </w:pPr>
      <w:r>
        <w:t xml:space="preserve">115.  </w:t>
      </w:r>
      <w:r>
        <w:rPr>
          <w:rFonts w:hint="eastAsia"/>
        </w:rPr>
        <w:t>正如在对《公约》第二条和第三条的论述中已经提到的那样，非法拘禁</w:t>
      </w:r>
      <w:r>
        <w:rPr>
          <w:rFonts w:hint="eastAsia"/>
        </w:rPr>
        <w:t>/</w:t>
      </w:r>
      <w:r>
        <w:rPr>
          <w:rFonts w:hint="eastAsia"/>
        </w:rPr>
        <w:t>绑架导致失踪或“强迫失踪”属于公共性质的犯罪，无论通过哪种途径，只要得知犯罪事实的发生，即可展开调查和进行审理，无需犯罪受害者亲自报案或者通过个人起诉来启动刑事诉讼程序。对此在针对《公约》第十一条和第十二条的论述中进行了详细说明。</w:t>
      </w:r>
    </w:p>
    <w:p w:rsidR="003C2E11" w:rsidRDefault="003C2E11">
      <w:pPr>
        <w:pStyle w:val="SingleTxtGC"/>
        <w:rPr>
          <w:rFonts w:hint="eastAsia"/>
        </w:rPr>
      </w:pPr>
      <w:r>
        <w:t xml:space="preserve">116.  </w:t>
      </w:r>
      <w:r>
        <w:rPr>
          <w:rFonts w:hint="eastAsia"/>
        </w:rPr>
        <w:t>为保障落实此类调查和惩治，《刑法典》规定对当局或公务员放弃其制止犯罪行为、追捕犯罪行为人的职责的行为施以惩处</w:t>
      </w:r>
      <w:r>
        <w:rPr>
          <w:rFonts w:hint="eastAsia"/>
        </w:rPr>
        <w:t>(</w:t>
      </w:r>
      <w:r>
        <w:rPr>
          <w:rFonts w:hint="eastAsia"/>
        </w:rPr>
        <w:t>《刑法典》第</w:t>
      </w:r>
      <w:r>
        <w:rPr>
          <w:rFonts w:hint="eastAsia"/>
        </w:rPr>
        <w:t>407</w:t>
      </w:r>
      <w:r>
        <w:rPr>
          <w:rFonts w:hint="eastAsia"/>
        </w:rPr>
        <w:t>条</w:t>
      </w:r>
      <w:r>
        <w:rPr>
          <w:rFonts w:hint="eastAsia"/>
        </w:rPr>
        <w:t>)</w:t>
      </w:r>
      <w:r>
        <w:rPr>
          <w:rFonts w:hint="eastAsia"/>
        </w:rPr>
        <w:t>，同样规定对当局或者公务员不履行其职责，蓄意放弃追捕罪犯或实施调查的行为施以惩处</w:t>
      </w:r>
      <w:r>
        <w:rPr>
          <w:rFonts w:hint="eastAsia"/>
        </w:rPr>
        <w:t>(</w:t>
      </w:r>
      <w:r>
        <w:rPr>
          <w:rFonts w:hint="eastAsia"/>
        </w:rPr>
        <w:t>第</w:t>
      </w:r>
      <w:r>
        <w:rPr>
          <w:rFonts w:hint="eastAsia"/>
        </w:rPr>
        <w:t>408</w:t>
      </w:r>
      <w:r>
        <w:rPr>
          <w:rFonts w:hint="eastAsia"/>
        </w:rPr>
        <w:t>条</w:t>
      </w:r>
      <w:r>
        <w:rPr>
          <w:rFonts w:hint="eastAsia"/>
        </w:rPr>
        <w:t>)</w:t>
      </w:r>
      <w:r>
        <w:rPr>
          <w:rFonts w:hint="eastAsia"/>
        </w:rPr>
        <w:t>。</w:t>
      </w:r>
    </w:p>
    <w:p w:rsidR="003C2E11" w:rsidRDefault="003C2E11">
      <w:pPr>
        <w:pStyle w:val="SingleTxtGC"/>
      </w:pPr>
      <w:r>
        <w:t xml:space="preserve">117.  </w:t>
      </w:r>
      <w:r>
        <w:rPr>
          <w:rFonts w:hint="eastAsia"/>
        </w:rPr>
        <w:t>预审法官、检察机关、国家安全部队和治安机关应当开展尽职调查，以查明案件事实，具体而言，检察机关</w:t>
      </w:r>
      <w:r>
        <w:rPr>
          <w:rFonts w:hint="eastAsia"/>
          <w:spacing w:val="-60"/>
        </w:rPr>
        <w:t>―</w:t>
      </w:r>
      <w:r>
        <w:rPr>
          <w:rFonts w:hint="eastAsia"/>
          <w:spacing w:val="10"/>
        </w:rPr>
        <w:t>―</w:t>
      </w:r>
      <w:r>
        <w:rPr>
          <w:rFonts w:hint="eastAsia"/>
        </w:rPr>
        <w:t>作为在刑事领域开展公共行动的主管单位</w:t>
      </w:r>
      <w:r>
        <w:rPr>
          <w:rFonts w:hint="eastAsia"/>
          <w:spacing w:val="-60"/>
        </w:rPr>
        <w:t>―</w:t>
      </w:r>
      <w:r>
        <w:rPr>
          <w:rFonts w:hint="eastAsia"/>
          <w:spacing w:val="10"/>
        </w:rPr>
        <w:t>―</w:t>
      </w:r>
      <w:r>
        <w:rPr>
          <w:rFonts w:hint="eastAsia"/>
        </w:rPr>
        <w:t>必须履行其职责，为此仅能依照合法、公正的原则行事，不得依照机会原则，也不得服从于违反合法公正原则的任何命令或指示，其行动依据为</w:t>
      </w:r>
      <w:smartTag w:uri="urn:schemas-microsoft-com:office:smarttags" w:element="chsdate">
        <w:smartTagPr>
          <w:attr w:name="Year" w:val="1981"/>
          <w:attr w:name="Month" w:val="12"/>
          <w:attr w:name="Day" w:val="30"/>
          <w:attr w:name="IsLunarDate" w:val="False"/>
          <w:attr w:name="IsROCDate" w:val="False"/>
        </w:smartTagPr>
        <w:r>
          <w:rPr>
            <w:rFonts w:hint="eastAsia"/>
          </w:rPr>
          <w:t>1981</w:t>
        </w:r>
        <w:r>
          <w:rPr>
            <w:rFonts w:hint="eastAsia"/>
          </w:rPr>
          <w:t>年</w:t>
        </w:r>
        <w:r>
          <w:rPr>
            <w:rFonts w:hint="eastAsia"/>
          </w:rPr>
          <w:t>12</w:t>
        </w:r>
        <w:r>
          <w:rPr>
            <w:rFonts w:hint="eastAsia"/>
          </w:rPr>
          <w:t>月</w:t>
        </w:r>
        <w:r>
          <w:rPr>
            <w:rFonts w:hint="eastAsia"/>
          </w:rPr>
          <w:t>30</w:t>
        </w:r>
        <w:r>
          <w:rPr>
            <w:rFonts w:hint="eastAsia"/>
          </w:rPr>
          <w:t>日</w:t>
        </w:r>
      </w:smartTag>
      <w:r>
        <w:rPr>
          <w:rFonts w:hint="eastAsia"/>
        </w:rPr>
        <w:t>的第</w:t>
      </w:r>
      <w:r>
        <w:rPr>
          <w:rFonts w:hint="eastAsia"/>
        </w:rPr>
        <w:t>50/1981</w:t>
      </w:r>
      <w:r>
        <w:rPr>
          <w:rFonts w:hint="eastAsia"/>
        </w:rPr>
        <w:t>号法律，即《检察机关组织章程法》，该法律依据</w:t>
      </w:r>
      <w:smartTag w:uri="urn:schemas-microsoft-com:office:smarttags" w:element="chsdate">
        <w:smartTagPr>
          <w:attr w:name="Year" w:val="2007"/>
          <w:attr w:name="Month" w:val="10"/>
          <w:attr w:name="Day" w:val="9"/>
          <w:attr w:name="IsLunarDate" w:val="False"/>
          <w:attr w:name="IsROCDate" w:val="False"/>
        </w:smartTagPr>
        <w:r>
          <w:rPr>
            <w:rFonts w:hint="eastAsia"/>
          </w:rPr>
          <w:t>2007</w:t>
        </w:r>
        <w:r>
          <w:rPr>
            <w:rFonts w:hint="eastAsia"/>
          </w:rPr>
          <w:t>年</w:t>
        </w:r>
        <w:r>
          <w:rPr>
            <w:rFonts w:hint="eastAsia"/>
          </w:rPr>
          <w:t>10</w:t>
        </w:r>
        <w:r>
          <w:rPr>
            <w:rFonts w:hint="eastAsia"/>
          </w:rPr>
          <w:t>月</w:t>
        </w:r>
        <w:r>
          <w:rPr>
            <w:rFonts w:hint="eastAsia"/>
          </w:rPr>
          <w:t>9</w:t>
        </w:r>
        <w:r>
          <w:rPr>
            <w:rFonts w:hint="eastAsia"/>
          </w:rPr>
          <w:t>日</w:t>
        </w:r>
      </w:smartTag>
      <w:r>
        <w:rPr>
          <w:rFonts w:hint="eastAsia"/>
        </w:rPr>
        <w:t>的第</w:t>
      </w:r>
      <w:r>
        <w:rPr>
          <w:rFonts w:hint="eastAsia"/>
        </w:rPr>
        <w:t>24/2007</w:t>
      </w:r>
      <w:r>
        <w:rPr>
          <w:rFonts w:hint="eastAsia"/>
        </w:rPr>
        <w:t>号法律进行了修订</w:t>
      </w:r>
    </w:p>
    <w:p w:rsidR="003C2E11" w:rsidRDefault="003C2E11">
      <w:pPr>
        <w:pStyle w:val="H1GC"/>
      </w:pPr>
      <w:r>
        <w:tab/>
      </w:r>
      <w:r>
        <w:tab/>
      </w:r>
      <w:bookmarkStart w:id="14" w:name="_Toc351380602"/>
      <w:r>
        <w:rPr>
          <w:rFonts w:hint="eastAsia"/>
        </w:rPr>
        <w:t>第十一条</w:t>
      </w:r>
      <w:r>
        <w:rPr>
          <w:rFonts w:hint="eastAsia"/>
        </w:rPr>
        <w:br/>
      </w:r>
      <w:r>
        <w:rPr>
          <w:rFonts w:hint="eastAsia"/>
        </w:rPr>
        <w:t>刑事起诉</w:t>
      </w:r>
      <w:bookmarkEnd w:id="14"/>
    </w:p>
    <w:p w:rsidR="003C2E11" w:rsidRDefault="003C2E11">
      <w:pPr>
        <w:pStyle w:val="SingleTxtGC"/>
      </w:pPr>
      <w:r>
        <w:t xml:space="preserve">118.  </w:t>
      </w:r>
      <w:r>
        <w:rPr>
          <w:rFonts w:hint="eastAsia"/>
        </w:rPr>
        <w:t>《公约》第十一条第一款的规定已经在前文关于第九条和第十条的论述中展开说明。在此我们不再赘述。</w:t>
      </w:r>
    </w:p>
    <w:p w:rsidR="003C2E11" w:rsidRDefault="003C2E11">
      <w:pPr>
        <w:pStyle w:val="SingleTxtGC"/>
      </w:pPr>
      <w:r>
        <w:t xml:space="preserve">119.  </w:t>
      </w:r>
      <w:r>
        <w:rPr>
          <w:rFonts w:hint="eastAsia"/>
        </w:rPr>
        <w:t>对于《公约》第二款和第三款的规定，应当指出，无论是由《刑法典》在其第</w:t>
      </w:r>
      <w:r>
        <w:rPr>
          <w:rFonts w:hint="eastAsia"/>
        </w:rPr>
        <w:t>167</w:t>
      </w:r>
      <w:r>
        <w:rPr>
          <w:rFonts w:hint="eastAsia"/>
        </w:rPr>
        <w:t>条中认定的由非法拘禁</w:t>
      </w:r>
      <w:r>
        <w:rPr>
          <w:rFonts w:hint="eastAsia"/>
        </w:rPr>
        <w:t>/</w:t>
      </w:r>
      <w:r>
        <w:rPr>
          <w:rFonts w:hint="eastAsia"/>
        </w:rPr>
        <w:t>绑架导致的失踪罪或者“强迫失踪”罪还是由《刑法典》在其第</w:t>
      </w:r>
      <w:r>
        <w:rPr>
          <w:rFonts w:hint="eastAsia"/>
        </w:rPr>
        <w:t>607</w:t>
      </w:r>
      <w:r>
        <w:rPr>
          <w:rFonts w:hint="eastAsia"/>
        </w:rPr>
        <w:t>条之二中认定的强迫失踪</w:t>
      </w:r>
      <w:r>
        <w:rPr>
          <w:rFonts w:hint="eastAsia"/>
        </w:rPr>
        <w:t>/</w:t>
      </w:r>
      <w:r>
        <w:rPr>
          <w:rFonts w:hint="eastAsia"/>
        </w:rPr>
        <w:t>危害人类罪，都属于重罪，在审理过程中，犯罪嫌疑人享有与其他任何类型犯罪的被告在刑事诉讼程序中相同的权利和保障，确保在起诉的各个阶段采用西班牙刑事诉讼程序所保障的所有原则和规则。</w:t>
      </w:r>
    </w:p>
    <w:p w:rsidR="003C2E11" w:rsidRDefault="003C2E11">
      <w:pPr>
        <w:pStyle w:val="H1GC"/>
      </w:pPr>
      <w:r>
        <w:tab/>
      </w:r>
      <w:r>
        <w:tab/>
      </w:r>
      <w:bookmarkStart w:id="15" w:name="_Toc351380603"/>
      <w:r>
        <w:rPr>
          <w:rFonts w:hint="eastAsia"/>
        </w:rPr>
        <w:t>第十二条</w:t>
      </w:r>
      <w:r>
        <w:rPr>
          <w:rFonts w:hint="eastAsia"/>
        </w:rPr>
        <w:br/>
      </w:r>
      <w:r>
        <w:rPr>
          <w:rFonts w:hint="eastAsia"/>
        </w:rPr>
        <w:t>报案和调查</w:t>
      </w:r>
      <w:bookmarkEnd w:id="15"/>
    </w:p>
    <w:p w:rsidR="003C2E11" w:rsidRDefault="003C2E11">
      <w:pPr>
        <w:pStyle w:val="SingleTxtGC"/>
      </w:pPr>
      <w:r>
        <w:t xml:space="preserve">120.  </w:t>
      </w:r>
      <w:r>
        <w:rPr>
          <w:rFonts w:hint="eastAsia"/>
        </w:rPr>
        <w:t>在西班牙刑事诉讼体系</w:t>
      </w:r>
      <w:r>
        <w:rPr>
          <w:rFonts w:hint="eastAsia"/>
        </w:rPr>
        <w:t>(</w:t>
      </w:r>
      <w:r>
        <w:rPr>
          <w:rFonts w:hint="eastAsia"/>
        </w:rPr>
        <w:t>《刑事审判法》</w:t>
      </w:r>
      <w:r>
        <w:rPr>
          <w:rFonts w:hint="eastAsia"/>
        </w:rPr>
        <w:t>)</w:t>
      </w:r>
      <w:r>
        <w:rPr>
          <w:rFonts w:hint="eastAsia"/>
        </w:rPr>
        <w:t>中，任何人无论通过何种方式了解到任何犯罪迹象，应当向国家安全部队和治安机关、检察机关或司法法院报告案情</w:t>
      </w:r>
      <w:r>
        <w:rPr>
          <w:rFonts w:hint="eastAsia"/>
        </w:rPr>
        <w:t>(</w:t>
      </w:r>
      <w:r>
        <w:rPr>
          <w:rFonts w:hint="eastAsia"/>
        </w:rPr>
        <w:t>《刑事审判法》第</w:t>
      </w:r>
      <w:r>
        <w:rPr>
          <w:rFonts w:hint="eastAsia"/>
        </w:rPr>
        <w:t>264</w:t>
      </w:r>
      <w:r>
        <w:rPr>
          <w:rFonts w:hint="eastAsia"/>
        </w:rPr>
        <w:t>条</w:t>
      </w:r>
      <w:r>
        <w:rPr>
          <w:rFonts w:hint="eastAsia"/>
        </w:rPr>
        <w:t>)</w:t>
      </w:r>
      <w:r>
        <w:rPr>
          <w:rFonts w:hint="eastAsia"/>
        </w:rPr>
        <w:t>。公民的这项举报义务属于强制性义务，如果有人见证了任何犯罪的发生，或者由于其职务、专业或职责原因了解到任何犯罪的发生，但对案情隐瞒不报的，将受到相应处罚</w:t>
      </w:r>
      <w:r>
        <w:rPr>
          <w:rFonts w:hint="eastAsia"/>
        </w:rPr>
        <w:t>(</w:t>
      </w:r>
      <w:r>
        <w:rPr>
          <w:rFonts w:hint="eastAsia"/>
        </w:rPr>
        <w:t>第</w:t>
      </w:r>
      <w:r>
        <w:rPr>
          <w:rFonts w:hint="eastAsia"/>
        </w:rPr>
        <w:t>259</w:t>
      </w:r>
      <w:r>
        <w:rPr>
          <w:rFonts w:hint="eastAsia"/>
        </w:rPr>
        <w:t>条和第</w:t>
      </w:r>
      <w:r>
        <w:rPr>
          <w:rFonts w:hint="eastAsia"/>
        </w:rPr>
        <w:t>262</w:t>
      </w:r>
      <w:r>
        <w:rPr>
          <w:rFonts w:hint="eastAsia"/>
        </w:rPr>
        <w:t>条</w:t>
      </w:r>
      <w:r>
        <w:rPr>
          <w:rFonts w:hint="eastAsia"/>
        </w:rPr>
        <w:t>)</w:t>
      </w:r>
      <w:r>
        <w:rPr>
          <w:rFonts w:hint="eastAsia"/>
        </w:rPr>
        <w:t>。</w:t>
      </w:r>
    </w:p>
    <w:p w:rsidR="003C2E11" w:rsidRDefault="003C2E11">
      <w:pPr>
        <w:pStyle w:val="SingleTxtGC"/>
      </w:pPr>
      <w:r>
        <w:t xml:space="preserve">121.  </w:t>
      </w:r>
      <w:r>
        <w:rPr>
          <w:rFonts w:hint="eastAsia"/>
        </w:rPr>
        <w:t>报告案情可通过任何方式进行，一旦报案，有关部门应立即对举报的案情予以核实，除非举报内容明显是虚假的或者举报的事实不具备犯罪性质</w:t>
      </w:r>
      <w:r>
        <w:rPr>
          <w:rFonts w:hint="eastAsia"/>
        </w:rPr>
        <w:t>(</w:t>
      </w:r>
      <w:r>
        <w:rPr>
          <w:rFonts w:hint="eastAsia"/>
        </w:rPr>
        <w:t>《刑事审判法》第</w:t>
      </w:r>
      <w:r>
        <w:rPr>
          <w:rFonts w:hint="eastAsia"/>
        </w:rPr>
        <w:t>265</w:t>
      </w:r>
      <w:r>
        <w:rPr>
          <w:rFonts w:hint="eastAsia"/>
        </w:rPr>
        <w:t>条和第</w:t>
      </w:r>
      <w:r>
        <w:rPr>
          <w:rFonts w:hint="eastAsia"/>
        </w:rPr>
        <w:t>269</w:t>
      </w:r>
      <w:r>
        <w:rPr>
          <w:rFonts w:hint="eastAsia"/>
        </w:rPr>
        <w:t>条</w:t>
      </w:r>
      <w:r>
        <w:rPr>
          <w:rFonts w:hint="eastAsia"/>
        </w:rPr>
        <w:t>)</w:t>
      </w:r>
      <w:r>
        <w:rPr>
          <w:rFonts w:hint="eastAsia"/>
        </w:rPr>
        <w:t>。</w:t>
      </w:r>
    </w:p>
    <w:p w:rsidR="003C2E11" w:rsidRDefault="003C2E11">
      <w:pPr>
        <w:pStyle w:val="SingleTxtGC"/>
      </w:pPr>
      <w:r>
        <w:t xml:space="preserve">122.  </w:t>
      </w:r>
      <w:r>
        <w:rPr>
          <w:rFonts w:hint="eastAsia"/>
        </w:rPr>
        <w:t>报告案情就意味着刑事程序的启动，同时不影响所有公民有权通过提起诉讼成为刑事诉讼中的当事方，或者是以个人名义提起控诉，或者是行使公诉权，同时不影响检察机关依职责提起公诉，正如我们在规定中所看到的</w:t>
      </w:r>
      <w:r>
        <w:rPr>
          <w:rFonts w:hint="eastAsia"/>
        </w:rPr>
        <w:t>(</w:t>
      </w:r>
      <w:r>
        <w:rPr>
          <w:rFonts w:hint="eastAsia"/>
        </w:rPr>
        <w:t>《刑事审判法》第</w:t>
      </w:r>
      <w:r>
        <w:rPr>
          <w:rFonts w:hint="eastAsia"/>
        </w:rPr>
        <w:t>270</w:t>
      </w:r>
      <w:r>
        <w:rPr>
          <w:rFonts w:hint="eastAsia"/>
        </w:rPr>
        <w:t>条、第</w:t>
      </w:r>
      <w:r>
        <w:rPr>
          <w:rFonts w:hint="eastAsia"/>
        </w:rPr>
        <w:t>271</w:t>
      </w:r>
      <w:r>
        <w:rPr>
          <w:rFonts w:hint="eastAsia"/>
        </w:rPr>
        <w:t>条及以后诸条</w:t>
      </w:r>
      <w:r>
        <w:rPr>
          <w:rFonts w:hint="eastAsia"/>
        </w:rPr>
        <w:t>)</w:t>
      </w:r>
      <w:r>
        <w:rPr>
          <w:rFonts w:hint="eastAsia"/>
        </w:rPr>
        <w:t>。</w:t>
      </w:r>
    </w:p>
    <w:p w:rsidR="003C2E11" w:rsidRDefault="003C2E11">
      <w:pPr>
        <w:pStyle w:val="SingleTxtGC"/>
      </w:pPr>
      <w:r>
        <w:t xml:space="preserve">123.  </w:t>
      </w:r>
      <w:r>
        <w:rPr>
          <w:rFonts w:hint="eastAsia"/>
        </w:rPr>
        <w:t>西班牙刑事诉讼体系确保有关部门依职责对举报案件进行调查，清除一切可能针对预审法官的障碍或压力，同时不影响检察机关介入干预，指导调查并对调查的合法性进行监控。</w:t>
      </w:r>
    </w:p>
    <w:p w:rsidR="003C2E11" w:rsidRDefault="003C2E11">
      <w:pPr>
        <w:pStyle w:val="SingleTxtGC"/>
      </w:pPr>
      <w:r>
        <w:t xml:space="preserve">124.  </w:t>
      </w:r>
      <w:r>
        <w:rPr>
          <w:rFonts w:hint="eastAsia"/>
        </w:rPr>
        <w:t>上述一系列规定均适用于非法拘禁</w:t>
      </w:r>
      <w:r>
        <w:rPr>
          <w:rFonts w:hint="eastAsia"/>
        </w:rPr>
        <w:t>/</w:t>
      </w:r>
      <w:r>
        <w:rPr>
          <w:rFonts w:hint="eastAsia"/>
        </w:rPr>
        <w:t>绑架导致受害人下落不明的案件，没有任何例外。</w:t>
      </w:r>
    </w:p>
    <w:p w:rsidR="003C2E11" w:rsidRDefault="003C2E11">
      <w:pPr>
        <w:pStyle w:val="H1GC"/>
      </w:pPr>
      <w:r>
        <w:tab/>
      </w:r>
      <w:r>
        <w:tab/>
      </w:r>
      <w:bookmarkStart w:id="16" w:name="_Toc351380604"/>
      <w:r>
        <w:rPr>
          <w:rFonts w:hint="eastAsia"/>
        </w:rPr>
        <w:t>第十三条</w:t>
      </w:r>
      <w:r>
        <w:rPr>
          <w:rFonts w:hint="eastAsia"/>
        </w:rPr>
        <w:br/>
      </w:r>
      <w:r>
        <w:rPr>
          <w:rFonts w:hint="eastAsia"/>
        </w:rPr>
        <w:t>对强迫失踪罪给予引渡</w:t>
      </w:r>
      <w:bookmarkEnd w:id="16"/>
    </w:p>
    <w:p w:rsidR="003C2E11" w:rsidRDefault="003C2E11">
      <w:pPr>
        <w:pStyle w:val="SingleTxtGC"/>
      </w:pPr>
      <w:r>
        <w:t xml:space="preserve">125.  </w:t>
      </w:r>
      <w:r>
        <w:rPr>
          <w:rFonts w:hint="eastAsia"/>
        </w:rPr>
        <w:t>《西班牙宪法》第</w:t>
      </w:r>
      <w:r>
        <w:rPr>
          <w:rFonts w:hint="eastAsia"/>
        </w:rPr>
        <w:t>13.3</w:t>
      </w:r>
      <w:r>
        <w:rPr>
          <w:rFonts w:hint="eastAsia"/>
        </w:rPr>
        <w:t>条规定：“</w:t>
      </w:r>
      <w:r>
        <w:t>引渡仅依据条约或法律并根据对等原则而实行。政治犯罪不予引渡，恐怖</w:t>
      </w:r>
      <w:r>
        <w:rPr>
          <w:rFonts w:hint="eastAsia"/>
        </w:rPr>
        <w:t>主义行为</w:t>
      </w:r>
      <w:r>
        <w:t>不被认为是政治犯罪。</w:t>
      </w:r>
      <w:r>
        <w:rPr>
          <w:rFonts w:hint="eastAsia"/>
        </w:rPr>
        <w:t>”</w:t>
      </w:r>
    </w:p>
    <w:p w:rsidR="003C2E11" w:rsidRDefault="003C2E11">
      <w:pPr>
        <w:pStyle w:val="SingleTxtGC"/>
      </w:pPr>
      <w:r>
        <w:t xml:space="preserve">126.  </w:t>
      </w:r>
      <w:r>
        <w:rPr>
          <w:rFonts w:hint="eastAsia"/>
        </w:rPr>
        <w:t>另一方面，《被动引渡法》第四条第一款规定：“下列情况不得实施引渡：</w:t>
      </w:r>
      <w:r>
        <w:rPr>
          <w:rFonts w:hint="eastAsia"/>
        </w:rPr>
        <w:t xml:space="preserve">1. </w:t>
      </w:r>
      <w:r>
        <w:rPr>
          <w:rFonts w:hint="eastAsia"/>
        </w:rPr>
        <w:t>当犯罪性质属于政治犯罪的，但恐怖主义行为、危害人类罪［……］以及意图杀害国家首脑或其家庭成员的犯罪不被认为是政治犯罪。”</w:t>
      </w:r>
    </w:p>
    <w:p w:rsidR="003C2E11" w:rsidRDefault="003C2E11">
      <w:pPr>
        <w:pStyle w:val="SingleTxtGC"/>
      </w:pPr>
      <w:r>
        <w:t xml:space="preserve">127.  </w:t>
      </w:r>
      <w:r>
        <w:rPr>
          <w:rFonts w:hint="eastAsia"/>
        </w:rPr>
        <w:t>在上述援引的内容中，并没有包含对政治犯罪的定义，但是《被动引渡法》第一条明文规定：“被动引渡的条件、程序以及效果应依照本法之规定执行，但是西班牙加入的条约中有明确规定的除外”。</w:t>
      </w:r>
    </w:p>
    <w:p w:rsidR="003C2E11" w:rsidRDefault="003C2E11">
      <w:pPr>
        <w:pStyle w:val="SingleTxtGC"/>
      </w:pPr>
      <w:r>
        <w:t xml:space="preserve">128.  </w:t>
      </w:r>
      <w:r>
        <w:rPr>
          <w:rFonts w:hint="eastAsia"/>
        </w:rPr>
        <w:t>这一系列的规定表明，西班牙国内法律明显倾向于采用西班牙已经批准的各项国际条约或公约中与引渡有关的规定。因此，考虑到在《公约》中规定了不应将非法拘禁</w:t>
      </w:r>
      <w:r>
        <w:rPr>
          <w:rFonts w:hint="eastAsia"/>
        </w:rPr>
        <w:t>/</w:t>
      </w:r>
      <w:r>
        <w:rPr>
          <w:rFonts w:hint="eastAsia"/>
        </w:rPr>
        <w:t>绑架导致失踪或者说“强迫失踪”视为政治犯罪，无疑国内法也采用了这一禁止规定并使之切实有效。</w:t>
      </w:r>
    </w:p>
    <w:p w:rsidR="003C2E11" w:rsidRDefault="003C2E11">
      <w:pPr>
        <w:pStyle w:val="SingleTxtGC"/>
      </w:pPr>
      <w:r>
        <w:t xml:space="preserve">129.  </w:t>
      </w:r>
      <w:r>
        <w:rPr>
          <w:rFonts w:hint="eastAsia"/>
        </w:rPr>
        <w:t>基于同样的论点和理由，可以认定此项规定中所包含的每一项任务都被纳入到国内法中并成为国内法的依据，无论是通过批准还是通过将《公约》规定明确引入到《被动引渡法》中。</w:t>
      </w:r>
    </w:p>
    <w:p w:rsidR="003C2E11" w:rsidRDefault="003C2E11">
      <w:pPr>
        <w:pStyle w:val="SingleTxtGC"/>
        <w:rPr>
          <w:rFonts w:hint="eastAsia"/>
        </w:rPr>
      </w:pPr>
      <w:r>
        <w:t xml:space="preserve">130.  </w:t>
      </w:r>
      <w:r>
        <w:rPr>
          <w:rFonts w:hint="eastAsia"/>
        </w:rPr>
        <w:t>最后，需要强调的是，根据</w:t>
      </w:r>
      <w:smartTag w:uri="urn:schemas-microsoft-com:office:smarttags" w:element="chsdate">
        <w:smartTagPr>
          <w:attr w:name="Year" w:val="1985"/>
          <w:attr w:name="Month" w:val="3"/>
          <w:attr w:name="Day" w:val="24"/>
          <w:attr w:name="IsLunarDate" w:val="False"/>
          <w:attr w:name="IsROCDate" w:val="False"/>
        </w:smartTagPr>
        <w:r>
          <w:rPr>
            <w:rFonts w:hint="eastAsia"/>
          </w:rPr>
          <w:t>1985</w:t>
        </w:r>
        <w:r>
          <w:rPr>
            <w:rFonts w:hint="eastAsia"/>
          </w:rPr>
          <w:t>年</w:t>
        </w:r>
        <w:r>
          <w:rPr>
            <w:rFonts w:hint="eastAsia"/>
          </w:rPr>
          <w:t>3</w:t>
        </w:r>
        <w:r>
          <w:rPr>
            <w:rFonts w:hint="eastAsia"/>
          </w:rPr>
          <w:t>月</w:t>
        </w:r>
        <w:r>
          <w:rPr>
            <w:rFonts w:hint="eastAsia"/>
          </w:rPr>
          <w:t>24</w:t>
        </w:r>
        <w:r>
          <w:rPr>
            <w:rFonts w:hint="eastAsia"/>
          </w:rPr>
          <w:t>日</w:t>
        </w:r>
      </w:smartTag>
      <w:r>
        <w:rPr>
          <w:rFonts w:hint="eastAsia"/>
        </w:rPr>
        <w:t>的第</w:t>
      </w:r>
      <w:r>
        <w:rPr>
          <w:rFonts w:hint="eastAsia"/>
        </w:rPr>
        <w:t>4/1985</w:t>
      </w:r>
      <w:r>
        <w:rPr>
          <w:rFonts w:hint="eastAsia"/>
        </w:rPr>
        <w:t>号法律第</w:t>
      </w:r>
      <w:r>
        <w:rPr>
          <w:rFonts w:hint="eastAsia"/>
        </w:rPr>
        <w:t>2</w:t>
      </w:r>
      <w:r>
        <w:rPr>
          <w:rFonts w:hint="eastAsia"/>
        </w:rPr>
        <w:t>条关于被动引渡的规定：“</w:t>
      </w:r>
      <w:r>
        <w:t>为了提起刑事诉讼而请求引渡的，根据</w:t>
      </w:r>
      <w:r>
        <w:rPr>
          <w:rFonts w:hint="eastAsia"/>
        </w:rPr>
        <w:t>西班牙</w:t>
      </w:r>
      <w:r>
        <w:t>法律和请求国法律，对于引渡请求所指的犯罪均可判处一年以上有期徒刑或者其他更重的刑罚；为了执行刑罚</w:t>
      </w:r>
      <w:r>
        <w:rPr>
          <w:rFonts w:hint="eastAsia"/>
        </w:rPr>
        <w:t>或保安措施</w:t>
      </w:r>
      <w:r>
        <w:t>而请求引渡的，在提出引渡请求时，被请求引渡人</w:t>
      </w:r>
      <w:r>
        <w:rPr>
          <w:rFonts w:hint="eastAsia"/>
        </w:rPr>
        <w:t>按照西班牙法律</w:t>
      </w:r>
      <w:r>
        <w:t>尚未服完的刑期至少为</w:t>
      </w:r>
      <w:r>
        <w:rPr>
          <w:rFonts w:hint="eastAsia"/>
        </w:rPr>
        <w:t>四</w:t>
      </w:r>
      <w:r>
        <w:t>个月</w:t>
      </w:r>
      <w:r>
        <w:rPr>
          <w:rFonts w:hint="eastAsia"/>
        </w:rPr>
        <w:t>”</w:t>
      </w:r>
      <w:r>
        <w:t>。</w:t>
      </w:r>
      <w:r>
        <w:rPr>
          <w:rFonts w:hint="eastAsia"/>
        </w:rPr>
        <w:t>由此可见，针对此类犯罪所规定的刑期甚至要比《公约》第十三条的规定还要严格。另一方面，根据本报告所指的情况，由于在西班牙的国内法律中对强迫失踪行为的认定是通过对一些其他并没有被严格命名为“强迫失踪”的罪行来实现的，但是这绝不意味着西班牙当局可能会以刑事定罪的双重标准为由拒绝对此类犯罪提供司法协助或者拒绝引渡请求。西班牙法院在这方面有明确的惯例可循，并应重申，采用双重定罪标准并不是说在罪名说法上的不一致，而是表现在提出引渡要求或司法协助要求方面，依照西班牙法律，这一点也较为典型。</w:t>
      </w:r>
    </w:p>
    <w:p w:rsidR="003C2E11" w:rsidRDefault="003C2E11">
      <w:pPr>
        <w:pStyle w:val="H1GC"/>
      </w:pPr>
      <w:r>
        <w:tab/>
      </w:r>
      <w:r>
        <w:tab/>
      </w:r>
      <w:bookmarkStart w:id="17" w:name="_Toc351380605"/>
      <w:r>
        <w:rPr>
          <w:rFonts w:hint="eastAsia"/>
        </w:rPr>
        <w:t>第十四条</w:t>
      </w:r>
      <w:r>
        <w:rPr>
          <w:rFonts w:hint="eastAsia"/>
        </w:rPr>
        <w:br/>
      </w:r>
      <w:r>
        <w:rPr>
          <w:rFonts w:hint="eastAsia"/>
        </w:rPr>
        <w:t>司法协助</w:t>
      </w:r>
      <w:bookmarkEnd w:id="17"/>
    </w:p>
    <w:p w:rsidR="003C2E11" w:rsidRDefault="003C2E11">
      <w:pPr>
        <w:pStyle w:val="SingleTxtGC"/>
      </w:pPr>
      <w:r>
        <w:t xml:space="preserve">131.  </w:t>
      </w:r>
      <w:r>
        <w:rPr>
          <w:rFonts w:hint="eastAsia"/>
        </w:rPr>
        <w:t>国际司法协助制度被广泛引入到《司法机关组织法》</w:t>
      </w:r>
      <w:r>
        <w:rPr>
          <w:rFonts w:hint="eastAsia"/>
        </w:rPr>
        <w:t>(</w:t>
      </w:r>
      <w:r>
        <w:rPr>
          <w:rFonts w:hint="eastAsia"/>
        </w:rPr>
        <w:t>第</w:t>
      </w:r>
      <w:r>
        <w:rPr>
          <w:rFonts w:hint="eastAsia"/>
        </w:rPr>
        <w:t>276</w:t>
      </w:r>
      <w:r>
        <w:rPr>
          <w:rFonts w:hint="eastAsia"/>
        </w:rPr>
        <w:t>条至第</w:t>
      </w:r>
      <w:r>
        <w:rPr>
          <w:rFonts w:hint="eastAsia"/>
        </w:rPr>
        <w:t>278</w:t>
      </w:r>
      <w:r>
        <w:rPr>
          <w:rFonts w:hint="eastAsia"/>
        </w:rPr>
        <w:t>条</w:t>
      </w:r>
      <w:r>
        <w:rPr>
          <w:rFonts w:hint="eastAsia"/>
        </w:rPr>
        <w:t>)</w:t>
      </w:r>
      <w:r>
        <w:rPr>
          <w:rFonts w:hint="eastAsia"/>
        </w:rPr>
        <w:t>中，其中既包括主动国际合作，也包括被动国际合作，同时此类合作应当遵照西班牙加入的国际条约和公约的规定执行。对此规定，对于主动国际合作：“国际合作请求应由最高法院、高等司法法院或者主管法庭提交至司法部，并由其或者通过领事或外交途径，或者根据相应条约或公约的规定直接转达给被请求国的主管当局”</w:t>
      </w:r>
      <w:r>
        <w:rPr>
          <w:rFonts w:hint="eastAsia"/>
        </w:rPr>
        <w:t>(</w:t>
      </w:r>
      <w:r>
        <w:rPr>
          <w:rFonts w:hint="eastAsia"/>
        </w:rPr>
        <w:t>《司法机关组织法》第</w:t>
      </w:r>
      <w:r>
        <w:rPr>
          <w:rFonts w:hint="eastAsia"/>
        </w:rPr>
        <w:t>276</w:t>
      </w:r>
      <w:r>
        <w:rPr>
          <w:rFonts w:hint="eastAsia"/>
        </w:rPr>
        <w:t>条</w:t>
      </w:r>
      <w:r>
        <w:rPr>
          <w:rFonts w:hint="eastAsia"/>
        </w:rPr>
        <w:t>)</w:t>
      </w:r>
      <w:r>
        <w:rPr>
          <w:rFonts w:hint="eastAsia"/>
        </w:rPr>
        <w:t>。</w:t>
      </w:r>
    </w:p>
    <w:p w:rsidR="003C2E11" w:rsidRDefault="003C2E11">
      <w:pPr>
        <w:pStyle w:val="SingleTxtGC"/>
      </w:pPr>
      <w:r>
        <w:t xml:space="preserve">132.  </w:t>
      </w:r>
      <w:r>
        <w:rPr>
          <w:rFonts w:hint="eastAsia"/>
        </w:rPr>
        <w:t>而针对被动合作，该法规定：西班牙法院或法庭应尽责处理外国司法当局向其提出的合作请求，以便根据西班牙加入的国际条约和公约的规定行使其管辖职能，对于未加入相应条约或公约的国家，应当基于互惠立场根据下一条之规定执行。由此确保了充分落实《公约》就合作问题所作的规定。</w:t>
      </w:r>
    </w:p>
    <w:p w:rsidR="003C2E11" w:rsidRDefault="003C2E11">
      <w:pPr>
        <w:pStyle w:val="H1GC"/>
      </w:pPr>
      <w:r>
        <w:tab/>
      </w:r>
      <w:r>
        <w:tab/>
      </w:r>
      <w:bookmarkStart w:id="18" w:name="_Toc351380606"/>
      <w:r>
        <w:rPr>
          <w:rFonts w:hint="eastAsia"/>
        </w:rPr>
        <w:t>第十五条</w:t>
      </w:r>
      <w:r>
        <w:rPr>
          <w:rFonts w:hint="eastAsia"/>
        </w:rPr>
        <w:br/>
      </w:r>
      <w:r>
        <w:rPr>
          <w:rFonts w:hint="eastAsia"/>
        </w:rPr>
        <w:t>缔约国之间的司法合作</w:t>
      </w:r>
      <w:bookmarkEnd w:id="18"/>
    </w:p>
    <w:p w:rsidR="003C2E11" w:rsidRDefault="003C2E11">
      <w:pPr>
        <w:pStyle w:val="SingleTxtGC"/>
      </w:pPr>
      <w:r>
        <w:t xml:space="preserve">133.  </w:t>
      </w:r>
      <w:r>
        <w:rPr>
          <w:rFonts w:hint="eastAsia"/>
        </w:rPr>
        <w:t>对于在司法诉讼过程中需要提供的司法协助，可以参见我们刚在上文针对《公约》第十四条的论述中的说明，从中我们可以看出，西班牙王国将完全依照《公约》之规定提供所需要的司法协助。</w:t>
      </w:r>
    </w:p>
    <w:p w:rsidR="003C2E11" w:rsidRDefault="003C2E11">
      <w:pPr>
        <w:pStyle w:val="SingleTxtGC"/>
      </w:pPr>
      <w:r>
        <w:t xml:space="preserve">134.  </w:t>
      </w:r>
      <w:r>
        <w:rPr>
          <w:rFonts w:hint="eastAsia"/>
        </w:rPr>
        <w:t>此外，对于缔约国之间就受害者问题所开展的合作，西班牙正酝酿出台这方面的一则指令，当前指令初稿已编制完成并且在去年</w:t>
      </w:r>
      <w:r>
        <w:rPr>
          <w:rFonts w:hint="eastAsia"/>
        </w:rPr>
        <w:t>9</w:t>
      </w:r>
      <w:r>
        <w:rPr>
          <w:rFonts w:hint="eastAsia"/>
        </w:rPr>
        <w:t>月</w:t>
      </w:r>
      <w:r>
        <w:rPr>
          <w:rFonts w:hint="eastAsia"/>
        </w:rPr>
        <w:t>12</w:t>
      </w:r>
      <w:r>
        <w:rPr>
          <w:rFonts w:hint="eastAsia"/>
        </w:rPr>
        <w:t>日得到欧洲议会的核准，当前尚待欧洲理事会的核准，根据这一指令</w:t>
      </w:r>
      <w:r>
        <w:rPr>
          <w:rFonts w:hint="eastAsia"/>
        </w:rPr>
        <w:t>(</w:t>
      </w:r>
      <w:r>
        <w:rPr>
          <w:rFonts w:hint="eastAsia"/>
        </w:rPr>
        <w:t>第</w:t>
      </w:r>
      <w:r>
        <w:rPr>
          <w:rFonts w:hint="eastAsia"/>
        </w:rPr>
        <w:t>26</w:t>
      </w:r>
      <w:r>
        <w:rPr>
          <w:rFonts w:hint="eastAsia"/>
        </w:rPr>
        <w:t>条</w:t>
      </w:r>
      <w:r>
        <w:rPr>
          <w:rFonts w:hint="eastAsia"/>
        </w:rPr>
        <w:t>)</w:t>
      </w:r>
      <w:r>
        <w:rPr>
          <w:rFonts w:hint="eastAsia"/>
        </w:rPr>
        <w:t>，应当就承认和保护受害者开展合作。在这方面，这一指令正逐步取代现行的第</w:t>
      </w:r>
      <w:r>
        <w:t>220/2001 JAI</w:t>
      </w:r>
      <w:r>
        <w:rPr>
          <w:rFonts w:hint="eastAsia"/>
        </w:rPr>
        <w:t>号框架决议。当前，为确定指令的最终文本，正在拟定一则受害者章程法草案，在其中一方面根据《公约》第二十四条第一款的规定给出了受害者和间接受害者的广义上的定义，另一方面，根据犯罪性质、犯罪情节的严重程度以及对受害者事先评估所确定的具体的个人情况和家庭情况确定了受害者应享有哪些权利，同时还规定了在这方面的国际合作事宜。</w:t>
      </w:r>
    </w:p>
    <w:p w:rsidR="003C2E11" w:rsidRDefault="003C2E11">
      <w:pPr>
        <w:pStyle w:val="H1GC"/>
      </w:pPr>
      <w:r>
        <w:tab/>
      </w:r>
      <w:r>
        <w:tab/>
      </w:r>
      <w:bookmarkStart w:id="19" w:name="_Toc351380607"/>
      <w:r>
        <w:rPr>
          <w:rFonts w:hint="eastAsia"/>
        </w:rPr>
        <w:t>第十六条</w:t>
      </w:r>
      <w:r>
        <w:rPr>
          <w:rFonts w:hint="eastAsia"/>
        </w:rPr>
        <w:br/>
      </w:r>
      <w:r>
        <w:rPr>
          <w:rFonts w:hint="eastAsia"/>
        </w:rPr>
        <w:t>对人员的驱逐、送返、移交或引渡</w:t>
      </w:r>
      <w:bookmarkEnd w:id="19"/>
    </w:p>
    <w:p w:rsidR="003C2E11" w:rsidRDefault="003C2E11">
      <w:pPr>
        <w:pStyle w:val="SingleTxtGC"/>
        <w:rPr>
          <w:rFonts w:hint="eastAsia"/>
        </w:rPr>
      </w:pPr>
      <w:r>
        <w:t xml:space="preserve">135.  </w:t>
      </w:r>
      <w:r>
        <w:rPr>
          <w:rFonts w:hint="eastAsia"/>
        </w:rPr>
        <w:t>在西班牙的法律制度和司法实践中已经出台了许多保障措施，试图避免并且切实避免了应某一国家要求将当事人送返或者移交的行为使此人面临基本权利和自由遭受侵犯的危险的可能性，包括成为由国家的直接或间接行动造成的犯罪的受害人的危险，例如遭遇强迫失踪。</w:t>
      </w:r>
    </w:p>
    <w:p w:rsidR="003C2E11" w:rsidRDefault="003C2E11">
      <w:pPr>
        <w:pStyle w:val="SingleTxtGC"/>
      </w:pPr>
      <w:r>
        <w:t xml:space="preserve">136.  </w:t>
      </w:r>
      <w:r>
        <w:rPr>
          <w:rFonts w:hint="eastAsia"/>
        </w:rPr>
        <w:t>因此，在《被动引渡法》中规定，在被动引渡中被引渡者的移交对于西班牙来说并非是一项强制性义务</w:t>
      </w:r>
      <w:r>
        <w:rPr>
          <w:rFonts w:hint="eastAsia"/>
        </w:rPr>
        <w:t>(</w:t>
      </w:r>
      <w:r>
        <w:rPr>
          <w:rFonts w:hint="eastAsia"/>
        </w:rPr>
        <w:t>第</w:t>
      </w:r>
      <w:r>
        <w:rPr>
          <w:rFonts w:hint="eastAsia"/>
        </w:rPr>
        <w:t>2</w:t>
      </w:r>
      <w:r>
        <w:rPr>
          <w:rFonts w:hint="eastAsia"/>
        </w:rPr>
        <w:t>条</w:t>
      </w:r>
      <w:r>
        <w:rPr>
          <w:rFonts w:hint="eastAsia"/>
        </w:rPr>
        <w:t>)</w:t>
      </w:r>
      <w:r>
        <w:rPr>
          <w:rFonts w:hint="eastAsia"/>
        </w:rPr>
        <w:t>；在引渡程序中，只要就此类人员的自由提出质疑，应当确保听取被引渡者的意见并由司法当局和检察机关介入干预</w:t>
      </w:r>
      <w:r>
        <w:rPr>
          <w:rFonts w:hint="eastAsia"/>
        </w:rPr>
        <w:t>(</w:t>
      </w:r>
      <w:r>
        <w:rPr>
          <w:rFonts w:hint="eastAsia"/>
        </w:rPr>
        <w:t>第</w:t>
      </w:r>
      <w:r>
        <w:rPr>
          <w:rFonts w:hint="eastAsia"/>
        </w:rPr>
        <w:t>6</w:t>
      </w:r>
      <w:r>
        <w:rPr>
          <w:rFonts w:hint="eastAsia"/>
        </w:rPr>
        <w:t>、</w:t>
      </w:r>
      <w:r>
        <w:rPr>
          <w:rFonts w:hint="eastAsia"/>
        </w:rPr>
        <w:t>11</w:t>
      </w:r>
      <w:r>
        <w:rPr>
          <w:rFonts w:hint="eastAsia"/>
        </w:rPr>
        <w:t>、</w:t>
      </w:r>
      <w:r>
        <w:rPr>
          <w:rFonts w:hint="eastAsia"/>
        </w:rPr>
        <w:t>12</w:t>
      </w:r>
      <w:r>
        <w:rPr>
          <w:rFonts w:hint="eastAsia"/>
        </w:rPr>
        <w:t>条及以后诸条</w:t>
      </w:r>
      <w:r>
        <w:rPr>
          <w:rFonts w:hint="eastAsia"/>
        </w:rPr>
        <w:t>)</w:t>
      </w:r>
      <w:r>
        <w:rPr>
          <w:rFonts w:hint="eastAsia"/>
        </w:rPr>
        <w:t>；并规定对政治犯</w:t>
      </w:r>
      <w:r>
        <w:rPr>
          <w:rFonts w:hint="eastAsia"/>
        </w:rPr>
        <w:t>/</w:t>
      </w:r>
      <w:r>
        <w:rPr>
          <w:rFonts w:hint="eastAsia"/>
        </w:rPr>
        <w:t>思想犯或者因见解问题被追捕的人员拒绝引渡，对请求国不能保证被引渡人员不受刑罚或者不人道或有辱人格的待遇或者可能危害其人身完整性的刑罚，或者有正当理由认为被引渡人权利可能遭到侵害的案件不予引渡。</w:t>
      </w:r>
    </w:p>
    <w:p w:rsidR="003C2E11" w:rsidRDefault="003C2E11">
      <w:pPr>
        <w:pStyle w:val="SingleTxtGC"/>
      </w:pPr>
      <w:r>
        <w:t xml:space="preserve">137.  </w:t>
      </w:r>
      <w:r>
        <w:rPr>
          <w:rFonts w:hint="eastAsia"/>
        </w:rPr>
        <w:t>欧洲逮捕令和欧盟成员国之间的移交程序</w:t>
      </w:r>
      <w:r>
        <w:rPr>
          <w:rFonts w:hint="eastAsia"/>
        </w:rPr>
        <w:t>(</w:t>
      </w:r>
      <w:r>
        <w:rPr>
          <w:rFonts w:hint="eastAsia"/>
        </w:rPr>
        <w:t>理事会第</w:t>
      </w:r>
      <w:r>
        <w:t>2002/584/JAI</w:t>
      </w:r>
      <w:r>
        <w:rPr>
          <w:rFonts w:hint="eastAsia"/>
        </w:rPr>
        <w:t>号框架决议</w:t>
      </w:r>
      <w:r>
        <w:rPr>
          <w:rFonts w:hint="eastAsia"/>
        </w:rPr>
        <w:t>)</w:t>
      </w:r>
      <w:r>
        <w:rPr>
          <w:rFonts w:hint="eastAsia"/>
        </w:rPr>
        <w:t>规定欧盟成员国之间相互承认其司法决议而无需行政机关</w:t>
      </w:r>
      <w:r>
        <w:rPr>
          <w:rFonts w:hint="eastAsia"/>
        </w:rPr>
        <w:t>/</w:t>
      </w:r>
      <w:r>
        <w:rPr>
          <w:rFonts w:hint="eastAsia"/>
        </w:rPr>
        <w:t>政府的干预。在西班牙，根据</w:t>
      </w:r>
      <w:smartTag w:uri="urn:schemas-microsoft-com:office:smarttags" w:element="chsdate">
        <w:smartTagPr>
          <w:attr w:name="Year" w:val="2003"/>
          <w:attr w:name="Month" w:val="3"/>
          <w:attr w:name="Day" w:val="14"/>
          <w:attr w:name="IsLunarDate" w:val="False"/>
          <w:attr w:name="IsROCDate" w:val="False"/>
        </w:smartTagPr>
        <w:r>
          <w:rPr>
            <w:rFonts w:hint="eastAsia"/>
          </w:rPr>
          <w:t>2003</w:t>
        </w:r>
        <w:r>
          <w:rPr>
            <w:rFonts w:hint="eastAsia"/>
          </w:rPr>
          <w:t>年</w:t>
        </w:r>
        <w:r>
          <w:rPr>
            <w:rFonts w:hint="eastAsia"/>
          </w:rPr>
          <w:t>3</w:t>
        </w:r>
        <w:r>
          <w:rPr>
            <w:rFonts w:hint="eastAsia"/>
          </w:rPr>
          <w:t>月</w:t>
        </w:r>
        <w:r>
          <w:rPr>
            <w:rFonts w:hint="eastAsia"/>
          </w:rPr>
          <w:t>14</w:t>
        </w:r>
        <w:r>
          <w:rPr>
            <w:rFonts w:hint="eastAsia"/>
          </w:rPr>
          <w:t>日</w:t>
        </w:r>
      </w:smartTag>
      <w:r>
        <w:rPr>
          <w:rFonts w:hint="eastAsia"/>
        </w:rPr>
        <w:t>的第</w:t>
      </w:r>
      <w:r>
        <w:rPr>
          <w:rFonts w:hint="eastAsia"/>
        </w:rPr>
        <w:t>3/2003</w:t>
      </w:r>
      <w:r>
        <w:rPr>
          <w:rFonts w:hint="eastAsia"/>
        </w:rPr>
        <w:t>号关于逮捕和移交的欧盟指令的法律，这一规定被纳入到国内法中，作为一项在欧盟范围内实施引渡的替代机制。</w:t>
      </w:r>
    </w:p>
    <w:p w:rsidR="003C2E11" w:rsidRDefault="003C2E11">
      <w:pPr>
        <w:pStyle w:val="SingleTxtGC"/>
      </w:pPr>
      <w:r>
        <w:t xml:space="preserve">138.  </w:t>
      </w:r>
      <w:r>
        <w:rPr>
          <w:rFonts w:hint="eastAsia"/>
        </w:rPr>
        <w:t>自欧盟决定将自身打造成一个自由、安全和公正的共同空间，在其中公民的各项权利，包括自由权得到法律的保障和法院的切实保护之时起，这一体系就得以建立，其理由是因为在所有欧盟成员国中，遵照条约的规定建立起了统一的制度来承认、保护和保障各项基本权利和自由。另一方面，应当考虑到在可能依法引致移交的各项事实中就包括“绑架、非法拘禁和劫持人质”</w:t>
      </w:r>
      <w:r>
        <w:rPr>
          <w:rFonts w:hint="eastAsia"/>
        </w:rPr>
        <w:t>(</w:t>
      </w:r>
      <w:r>
        <w:rPr>
          <w:rFonts w:hint="eastAsia"/>
        </w:rPr>
        <w:t>第</w:t>
      </w:r>
      <w:r>
        <w:rPr>
          <w:rFonts w:hint="eastAsia"/>
        </w:rPr>
        <w:t>9.1</w:t>
      </w:r>
      <w:r>
        <w:rPr>
          <w:rFonts w:hint="eastAsia"/>
        </w:rPr>
        <w:t>条</w:t>
      </w:r>
      <w:r>
        <w:rPr>
          <w:rFonts w:hint="eastAsia"/>
        </w:rPr>
        <w:t>)</w:t>
      </w:r>
      <w:r>
        <w:rPr>
          <w:rFonts w:hint="eastAsia"/>
        </w:rPr>
        <w:t>。</w:t>
      </w:r>
    </w:p>
    <w:p w:rsidR="003C2E11" w:rsidRDefault="003C2E11">
      <w:pPr>
        <w:pStyle w:val="SingleTxtGC"/>
      </w:pPr>
      <w:r>
        <w:t xml:space="preserve">139.  </w:t>
      </w:r>
      <w:r>
        <w:rPr>
          <w:rFonts w:hint="eastAsia"/>
        </w:rPr>
        <w:t>西班牙关于外国人事务的现行立法是通过</w:t>
      </w:r>
      <w:smartTag w:uri="urn:schemas-microsoft-com:office:smarttags" w:element="chsdate">
        <w:smartTagPr>
          <w:attr w:name="Year" w:val="2000"/>
          <w:attr w:name="Month" w:val="1"/>
          <w:attr w:name="Day" w:val="11"/>
          <w:attr w:name="IsLunarDate" w:val="False"/>
          <w:attr w:name="IsROCDate" w:val="False"/>
        </w:smartTagPr>
        <w:r>
          <w:rPr>
            <w:rFonts w:hint="eastAsia"/>
          </w:rPr>
          <w:t>2000</w:t>
        </w:r>
        <w:r>
          <w:rPr>
            <w:rFonts w:hint="eastAsia"/>
          </w:rPr>
          <w:t>年</w:t>
        </w:r>
        <w:r>
          <w:rPr>
            <w:rFonts w:hint="eastAsia"/>
          </w:rPr>
          <w:t>1</w:t>
        </w:r>
        <w:r>
          <w:rPr>
            <w:rFonts w:hint="eastAsia"/>
          </w:rPr>
          <w:t>月</w:t>
        </w:r>
        <w:r>
          <w:rPr>
            <w:rFonts w:hint="eastAsia"/>
          </w:rPr>
          <w:t>11</w:t>
        </w:r>
        <w:r>
          <w:rPr>
            <w:rFonts w:hint="eastAsia"/>
          </w:rPr>
          <w:t>日</w:t>
        </w:r>
      </w:smartTag>
      <w:r>
        <w:rPr>
          <w:rFonts w:hint="eastAsia"/>
        </w:rPr>
        <w:t>的第</w:t>
      </w:r>
      <w:r>
        <w:rPr>
          <w:rFonts w:hint="eastAsia"/>
        </w:rPr>
        <w:t>4/2000</w:t>
      </w:r>
      <w:r>
        <w:rPr>
          <w:rFonts w:hint="eastAsia"/>
        </w:rPr>
        <w:t>号关于在西班牙的外国人的权利和自由及其社会融合的组织法</w:t>
      </w:r>
      <w:r>
        <w:rPr>
          <w:rFonts w:hint="eastAsia"/>
        </w:rPr>
        <w:t>(</w:t>
      </w:r>
      <w:r>
        <w:rPr>
          <w:rFonts w:hint="eastAsia"/>
        </w:rPr>
        <w:t>《被动引渡法》</w:t>
      </w:r>
      <w:r>
        <w:rPr>
          <w:rFonts w:hint="eastAsia"/>
        </w:rPr>
        <w:t>)</w:t>
      </w:r>
      <w:r>
        <w:rPr>
          <w:rFonts w:hint="eastAsia"/>
        </w:rPr>
        <w:t>确立的，并历经了多次修订</w:t>
      </w:r>
      <w:r>
        <w:rPr>
          <w:rFonts w:hint="eastAsia"/>
        </w:rPr>
        <w:t>(</w:t>
      </w:r>
      <w:r>
        <w:rPr>
          <w:rFonts w:hint="eastAsia"/>
        </w:rPr>
        <w:t>第</w:t>
      </w:r>
      <w:r>
        <w:rPr>
          <w:rFonts w:hint="eastAsia"/>
        </w:rPr>
        <w:t>8/2000</w:t>
      </w:r>
      <w:r>
        <w:rPr>
          <w:rFonts w:hint="eastAsia"/>
        </w:rPr>
        <w:t>号组织法；第</w:t>
      </w:r>
      <w:r>
        <w:rPr>
          <w:rFonts w:hint="eastAsia"/>
        </w:rPr>
        <w:t>14/2003</w:t>
      </w:r>
      <w:r>
        <w:rPr>
          <w:rFonts w:hint="eastAsia"/>
        </w:rPr>
        <w:t>号组织法；第</w:t>
      </w:r>
      <w:r>
        <w:rPr>
          <w:rFonts w:hint="eastAsia"/>
        </w:rPr>
        <w:t>2/2009</w:t>
      </w:r>
      <w:r>
        <w:rPr>
          <w:rFonts w:hint="eastAsia"/>
        </w:rPr>
        <w:t>号组织法；第</w:t>
      </w:r>
      <w:r>
        <w:rPr>
          <w:rFonts w:hint="eastAsia"/>
        </w:rPr>
        <w:t>10/2011</w:t>
      </w:r>
      <w:r>
        <w:rPr>
          <w:rFonts w:hint="eastAsia"/>
        </w:rPr>
        <w:t>号组织法</w:t>
      </w:r>
      <w:r>
        <w:rPr>
          <w:rFonts w:hint="eastAsia"/>
        </w:rPr>
        <w:t>)</w:t>
      </w:r>
      <w:r>
        <w:rPr>
          <w:rFonts w:hint="eastAsia"/>
        </w:rPr>
        <w:t>和宪法法院的数次重要澄清。在这一法律中规定了作为对严重违反或非常严重违反法律法规的惩罚措施或者作为对某些剥夺自由刑罚的替代措施而实施的驱逐的相关情况。</w:t>
      </w:r>
    </w:p>
    <w:p w:rsidR="003C2E11" w:rsidRDefault="003C2E11">
      <w:pPr>
        <w:pStyle w:val="SingleTxtGC"/>
        <w:rPr>
          <w:rFonts w:hint="eastAsia"/>
        </w:rPr>
      </w:pPr>
      <w:r>
        <w:t xml:space="preserve">140.  </w:t>
      </w:r>
      <w:r>
        <w:rPr>
          <w:rFonts w:hint="eastAsia"/>
        </w:rPr>
        <w:t>考虑到驱逐可能会危及外国人的基本权利和自由，或者出于其他考虑，此类驱逐措施可能会受到某些收容、庇护和保护措施的限制。</w:t>
      </w:r>
    </w:p>
    <w:p w:rsidR="003C2E11" w:rsidRDefault="003C2E11">
      <w:pPr>
        <w:pStyle w:val="SingleTxtGC"/>
      </w:pPr>
      <w:r>
        <w:t xml:space="preserve">141.  </w:t>
      </w:r>
      <w:r>
        <w:rPr>
          <w:rFonts w:hint="eastAsia"/>
        </w:rPr>
        <w:t>考虑到上述情况，最后应当对西班牙关于收容和庇护的法律规定加以说明。在这方面的法律是</w:t>
      </w:r>
      <w:smartTag w:uri="urn:schemas-microsoft-com:office:smarttags" w:element="chsdate">
        <w:smartTagPr>
          <w:attr w:name="Year" w:val="2009"/>
          <w:attr w:name="Month" w:val="10"/>
          <w:attr w:name="Day" w:val="30"/>
          <w:attr w:name="IsLunarDate" w:val="False"/>
          <w:attr w:name="IsROCDate" w:val="False"/>
        </w:smartTagPr>
        <w:r>
          <w:rPr>
            <w:rFonts w:hint="eastAsia"/>
          </w:rPr>
          <w:t>2009</w:t>
        </w:r>
        <w:r>
          <w:rPr>
            <w:rFonts w:hint="eastAsia"/>
          </w:rPr>
          <w:t>年</w:t>
        </w:r>
        <w:r>
          <w:rPr>
            <w:rFonts w:hint="eastAsia"/>
          </w:rPr>
          <w:t>10</w:t>
        </w:r>
        <w:r>
          <w:rPr>
            <w:rFonts w:hint="eastAsia"/>
          </w:rPr>
          <w:t>月</w:t>
        </w:r>
        <w:r>
          <w:rPr>
            <w:rFonts w:hint="eastAsia"/>
          </w:rPr>
          <w:t>30</w:t>
        </w:r>
        <w:r>
          <w:rPr>
            <w:rFonts w:hint="eastAsia"/>
          </w:rPr>
          <w:t>日</w:t>
        </w:r>
      </w:smartTag>
      <w:r>
        <w:rPr>
          <w:rFonts w:hint="eastAsia"/>
        </w:rPr>
        <w:t>的第</w:t>
      </w:r>
      <w:r>
        <w:rPr>
          <w:rFonts w:hint="eastAsia"/>
        </w:rPr>
        <w:t>12/2009</w:t>
      </w:r>
      <w:r>
        <w:rPr>
          <w:rFonts w:hint="eastAsia"/>
        </w:rPr>
        <w:t>号关于规范收容权和辅助保护的法律。该法律确立了一个完善的保护被庇护者的基本权利的体系，其依据为由</w:t>
      </w:r>
      <w:r>
        <w:rPr>
          <w:rFonts w:hint="eastAsia"/>
        </w:rPr>
        <w:t>1951</w:t>
      </w:r>
      <w:r>
        <w:rPr>
          <w:rFonts w:hint="eastAsia"/>
        </w:rPr>
        <w:t>年的《日内瓦公约》、</w:t>
      </w:r>
      <w:r>
        <w:rPr>
          <w:rFonts w:hint="eastAsia"/>
        </w:rPr>
        <w:t>1967</w:t>
      </w:r>
      <w:r>
        <w:rPr>
          <w:rFonts w:hint="eastAsia"/>
        </w:rPr>
        <w:t>年的《纽约议定书》和第</w:t>
      </w:r>
      <w:r>
        <w:t>2003/86/CE</w:t>
      </w:r>
      <w:r>
        <w:rPr>
          <w:rFonts w:hint="eastAsia"/>
        </w:rPr>
        <w:t>号、第</w:t>
      </w:r>
      <w:r>
        <w:t>2004/83/CE</w:t>
      </w:r>
      <w:r>
        <w:rPr>
          <w:rFonts w:hint="eastAsia"/>
        </w:rPr>
        <w:t>号和第</w:t>
      </w:r>
      <w:r>
        <w:t>2005/85/CE</w:t>
      </w:r>
      <w:r>
        <w:rPr>
          <w:rFonts w:hint="eastAsia"/>
        </w:rPr>
        <w:t>号决议所构成的保护框架。该法禁止对被承认为难民</w:t>
      </w:r>
      <w:r>
        <w:rPr>
          <w:rFonts w:hint="eastAsia"/>
        </w:rPr>
        <w:t>(</w:t>
      </w:r>
      <w:r>
        <w:rPr>
          <w:rFonts w:hint="eastAsia"/>
        </w:rPr>
        <w:t>第</w:t>
      </w:r>
      <w:r>
        <w:rPr>
          <w:rFonts w:hint="eastAsia"/>
        </w:rPr>
        <w:t>3</w:t>
      </w:r>
      <w:r>
        <w:rPr>
          <w:rFonts w:hint="eastAsia"/>
        </w:rPr>
        <w:t>条</w:t>
      </w:r>
      <w:r>
        <w:rPr>
          <w:rFonts w:hint="eastAsia"/>
        </w:rPr>
        <w:t>)</w:t>
      </w:r>
      <w:r>
        <w:rPr>
          <w:rFonts w:hint="eastAsia"/>
        </w:rPr>
        <w:t>或者受到辅助保护者</w:t>
      </w:r>
      <w:r>
        <w:rPr>
          <w:rFonts w:hint="eastAsia"/>
        </w:rPr>
        <w:t>(</w:t>
      </w:r>
      <w:r>
        <w:rPr>
          <w:rFonts w:hint="eastAsia"/>
        </w:rPr>
        <w:t>第</w:t>
      </w:r>
      <w:r>
        <w:rPr>
          <w:rFonts w:hint="eastAsia"/>
        </w:rPr>
        <w:t>4</w:t>
      </w:r>
      <w:r>
        <w:rPr>
          <w:rFonts w:hint="eastAsia"/>
        </w:rPr>
        <w:t>条</w:t>
      </w:r>
      <w:r>
        <w:rPr>
          <w:rFonts w:hint="eastAsia"/>
        </w:rPr>
        <w:t>)</w:t>
      </w:r>
      <w:r>
        <w:rPr>
          <w:rFonts w:hint="eastAsia"/>
        </w:rPr>
        <w:t>的人员进行移交。</w:t>
      </w:r>
    </w:p>
    <w:p w:rsidR="003C2E11" w:rsidRDefault="003C2E11">
      <w:pPr>
        <w:pStyle w:val="SingleTxtGC"/>
        <w:rPr>
          <w:rFonts w:hint="eastAsia"/>
        </w:rPr>
      </w:pPr>
      <w:r>
        <w:t xml:space="preserve">142.  </w:t>
      </w:r>
      <w:r>
        <w:rPr>
          <w:rFonts w:hint="eastAsia"/>
        </w:rPr>
        <w:t>最后需要指出的是，以侵犯基本权利或自由的风险为由要求将由于前述任何理由或者由于诉讼而被牵涉到诉讼程序中的当事人移交或者引渡到其他国家的，将由司法法院依照公正审慎的原则通过程序手段对案情进行审查，并据以对举证事实的真实性或合理性下达紧急决议，并在其认为必要的情况下即令中止移交</w:t>
      </w:r>
      <w:r>
        <w:rPr>
          <w:rFonts w:hint="eastAsia"/>
          <w:spacing w:val="-60"/>
        </w:rPr>
        <w:t>―</w:t>
      </w:r>
      <w:r>
        <w:rPr>
          <w:rFonts w:hint="eastAsia"/>
          <w:spacing w:val="10"/>
        </w:rPr>
        <w:t>―</w:t>
      </w:r>
      <w:r>
        <w:rPr>
          <w:rFonts w:hint="eastAsia"/>
        </w:rPr>
        <w:t>1998</w:t>
      </w:r>
      <w:r>
        <w:rPr>
          <w:rFonts w:hint="eastAsia"/>
        </w:rPr>
        <w:t>年</w:t>
      </w:r>
      <w:r>
        <w:rPr>
          <w:rFonts w:hint="eastAsia"/>
        </w:rPr>
        <w:t>7</w:t>
      </w:r>
      <w:r>
        <w:rPr>
          <w:rFonts w:hint="eastAsia"/>
        </w:rPr>
        <w:t>月</w:t>
      </w:r>
      <w:r>
        <w:rPr>
          <w:rFonts w:hint="eastAsia"/>
        </w:rPr>
        <w:t>13</w:t>
      </w:r>
      <w:r>
        <w:rPr>
          <w:rFonts w:hint="eastAsia"/>
        </w:rPr>
        <w:t>日的第</w:t>
      </w:r>
      <w:r>
        <w:rPr>
          <w:rFonts w:hint="eastAsia"/>
        </w:rPr>
        <w:t>29/1998</w:t>
      </w:r>
      <w:r>
        <w:rPr>
          <w:rFonts w:hint="eastAsia"/>
        </w:rPr>
        <w:t>号关于规范行政自由裁量权的法律</w:t>
      </w:r>
      <w:r>
        <w:rPr>
          <w:rFonts w:hint="eastAsia"/>
        </w:rPr>
        <w:t>(</w:t>
      </w:r>
      <w:r>
        <w:rPr>
          <w:rFonts w:hint="eastAsia"/>
        </w:rPr>
        <w:t>《行政诉讼法》</w:t>
      </w:r>
      <w:r>
        <w:rPr>
          <w:rFonts w:hint="eastAsia"/>
        </w:rPr>
        <w:t>)</w:t>
      </w:r>
      <w:r>
        <w:rPr>
          <w:rFonts w:hint="eastAsia"/>
        </w:rPr>
        <w:t>，该法规定了一项优先从速审理的特别程序，用以保护个人的基本权利不受公共行政当局的行动侵害</w:t>
      </w:r>
      <w:r>
        <w:rPr>
          <w:rFonts w:hint="eastAsia"/>
          <w:spacing w:val="-60"/>
        </w:rPr>
        <w:t>―</w:t>
      </w:r>
      <w:r>
        <w:rPr>
          <w:rFonts w:hint="eastAsia"/>
          <w:spacing w:val="10"/>
        </w:rPr>
        <w:t>―</w:t>
      </w:r>
      <w:r>
        <w:rPr>
          <w:rFonts w:hint="eastAsia"/>
        </w:rPr>
        <w:t>第</w:t>
      </w:r>
      <w:r>
        <w:rPr>
          <w:rFonts w:hint="eastAsia"/>
        </w:rPr>
        <w:t>114</w:t>
      </w:r>
      <w:r>
        <w:rPr>
          <w:rFonts w:hint="eastAsia"/>
        </w:rPr>
        <w:t>条及以后诸条</w:t>
      </w:r>
      <w:r>
        <w:rPr>
          <w:rFonts w:hint="eastAsia"/>
          <w:spacing w:val="-60"/>
        </w:rPr>
        <w:t>―</w:t>
      </w:r>
      <w:r>
        <w:rPr>
          <w:rFonts w:hint="eastAsia"/>
          <w:spacing w:val="10"/>
        </w:rPr>
        <w:t>―</w:t>
      </w:r>
      <w:r>
        <w:rPr>
          <w:rFonts w:hint="eastAsia"/>
        </w:rPr>
        <w:t>，据以实施《西班牙宪法》第</w:t>
      </w:r>
      <w:r>
        <w:rPr>
          <w:rFonts w:hint="eastAsia"/>
        </w:rPr>
        <w:t>53.2</w:t>
      </w:r>
      <w:r>
        <w:rPr>
          <w:rFonts w:hint="eastAsia"/>
        </w:rPr>
        <w:t>条</w:t>
      </w:r>
      <w:r>
        <w:rPr>
          <w:rFonts w:hint="eastAsia"/>
        </w:rPr>
        <w:t>(</w:t>
      </w:r>
      <w:r>
        <w:rPr>
          <w:rFonts w:hint="eastAsia"/>
        </w:rPr>
        <w:t>在本报告第</w:t>
      </w:r>
      <w:r>
        <w:rPr>
          <w:rFonts w:hint="eastAsia"/>
        </w:rPr>
        <w:t>37</w:t>
      </w:r>
      <w:r>
        <w:rPr>
          <w:rFonts w:hint="eastAsia"/>
        </w:rPr>
        <w:t>至</w:t>
      </w:r>
      <w:r>
        <w:rPr>
          <w:rFonts w:hint="eastAsia"/>
        </w:rPr>
        <w:t>40</w:t>
      </w:r>
      <w:r>
        <w:rPr>
          <w:rFonts w:hint="eastAsia"/>
        </w:rPr>
        <w:t>段已就此进行了论述</w:t>
      </w:r>
      <w:r>
        <w:rPr>
          <w:rFonts w:hint="eastAsia"/>
        </w:rPr>
        <w:t>)</w:t>
      </w:r>
      <w:r>
        <w:rPr>
          <w:rFonts w:hint="eastAsia"/>
        </w:rPr>
        <w:t>。</w:t>
      </w:r>
    </w:p>
    <w:p w:rsidR="003C2E11" w:rsidRDefault="003C2E11">
      <w:pPr>
        <w:pStyle w:val="H1GC"/>
      </w:pPr>
      <w:r>
        <w:tab/>
      </w:r>
      <w:r>
        <w:tab/>
      </w:r>
      <w:bookmarkStart w:id="20" w:name="_Toc351380608"/>
      <w:r>
        <w:rPr>
          <w:rFonts w:hint="eastAsia"/>
        </w:rPr>
        <w:t>第十七条</w:t>
      </w:r>
      <w:r>
        <w:rPr>
          <w:rFonts w:hint="eastAsia"/>
        </w:rPr>
        <w:br/>
      </w:r>
      <w:r>
        <w:rPr>
          <w:rFonts w:hint="eastAsia"/>
        </w:rPr>
        <w:t>拘留和剥夺自由</w:t>
      </w:r>
      <w:bookmarkEnd w:id="20"/>
    </w:p>
    <w:p w:rsidR="003C2E11" w:rsidRDefault="003C2E11">
      <w:pPr>
        <w:pStyle w:val="SingleTxtGC"/>
        <w:rPr>
          <w:rFonts w:hint="eastAsia"/>
        </w:rPr>
      </w:pPr>
      <w:r>
        <w:t xml:space="preserve">143.  </w:t>
      </w:r>
      <w:r>
        <w:rPr>
          <w:rFonts w:hint="eastAsia"/>
        </w:rPr>
        <w:t>本条以如下声明开篇明义：任何人都不应受到秘密监禁。并在接下来规定了缔约各国应在其相应的立法中规定一系列在剥夺自由问题方面的义务。此外，规定要编制并维持一份或数份被剥夺自由者的最新官方登记册和</w:t>
      </w:r>
      <w:r>
        <w:rPr>
          <w:rFonts w:hint="eastAsia"/>
        </w:rPr>
        <w:t>/</w:t>
      </w:r>
      <w:r>
        <w:rPr>
          <w:rFonts w:hint="eastAsia"/>
        </w:rPr>
        <w:t>或记录，并列出了其中至少应当包含的内容。针对本条所展开的论述分为四个部分：</w:t>
      </w:r>
      <w:r>
        <w:rPr>
          <w:rFonts w:hint="eastAsia"/>
        </w:rPr>
        <w:t xml:space="preserve">(a) </w:t>
      </w:r>
      <w:r>
        <w:rPr>
          <w:rFonts w:hint="eastAsia"/>
        </w:rPr>
        <w:t>关于剥夺自由；</w:t>
      </w:r>
      <w:r>
        <w:rPr>
          <w:rFonts w:hint="eastAsia"/>
        </w:rPr>
        <w:t xml:space="preserve">(b) </w:t>
      </w:r>
      <w:r>
        <w:rPr>
          <w:rFonts w:hint="eastAsia"/>
        </w:rPr>
        <w:t>关于登记记录；</w:t>
      </w:r>
      <w:r>
        <w:rPr>
          <w:rFonts w:hint="eastAsia"/>
        </w:rPr>
        <w:t xml:space="preserve">(c) </w:t>
      </w:r>
      <w:r>
        <w:rPr>
          <w:rFonts w:hint="eastAsia"/>
        </w:rPr>
        <w:t>关于对关押地点进行检查的独立机制；</w:t>
      </w:r>
      <w:r>
        <w:rPr>
          <w:rFonts w:hint="eastAsia"/>
        </w:rPr>
        <w:t xml:space="preserve">(d) </w:t>
      </w:r>
      <w:r>
        <w:rPr>
          <w:rFonts w:hint="eastAsia"/>
        </w:rPr>
        <w:t>关于检查监狱机构的主管机关。</w:t>
      </w:r>
    </w:p>
    <w:p w:rsidR="003C2E11" w:rsidRDefault="003C2E11">
      <w:pPr>
        <w:pStyle w:val="H23GC"/>
        <w:rPr>
          <w:rFonts w:hint="eastAsia"/>
        </w:rPr>
      </w:pPr>
      <w:r>
        <w:tab/>
        <w:t>1.</w:t>
      </w:r>
      <w:r>
        <w:tab/>
      </w:r>
      <w:r>
        <w:rPr>
          <w:rFonts w:hint="eastAsia"/>
        </w:rPr>
        <w:t>剥夺自由</w:t>
      </w:r>
    </w:p>
    <w:p w:rsidR="003C2E11" w:rsidRDefault="003C2E11">
      <w:pPr>
        <w:pStyle w:val="SingleTxtGC"/>
      </w:pPr>
      <w:r>
        <w:t xml:space="preserve">144.  </w:t>
      </w:r>
      <w:r>
        <w:rPr>
          <w:rFonts w:hint="eastAsia"/>
        </w:rPr>
        <w:t>《西班牙宪法》将个人自由视为其法律秩序的最高价值，在第</w:t>
      </w:r>
      <w:r>
        <w:rPr>
          <w:rFonts w:hint="eastAsia"/>
        </w:rPr>
        <w:t>1.1</w:t>
      </w:r>
      <w:r>
        <w:rPr>
          <w:rFonts w:hint="eastAsia"/>
        </w:rPr>
        <w:t>条中规定“西班牙是一个民主法治的社会性国家，维护自由、正义、平等和政治多元化为其法律秩序的最高价值”，据此，已经在《宪法》本身以及各类组织法和普通法中设定了相应的监管框架，其目的是保障公民的个人自由并规范在剥夺个人自由问题上应当遵循的保护性措施。</w:t>
      </w:r>
    </w:p>
    <w:p w:rsidR="003C2E11" w:rsidRDefault="003C2E11">
      <w:pPr>
        <w:pStyle w:val="SingleTxtGC"/>
      </w:pPr>
      <w:r>
        <w:t xml:space="preserve">145.  </w:t>
      </w:r>
      <w:r>
        <w:rPr>
          <w:rFonts w:hint="eastAsia"/>
        </w:rPr>
        <w:t>在《西班牙宪法》第</w:t>
      </w:r>
      <w:r>
        <w:rPr>
          <w:rFonts w:hint="eastAsia"/>
        </w:rPr>
        <w:t>17</w:t>
      </w:r>
      <w:r>
        <w:rPr>
          <w:rFonts w:hint="eastAsia"/>
        </w:rPr>
        <w:t>条的基础上，唯有确认犯下刑事罪行，或者出于保障公民安全目的实施预防性拘捕，不管其目的是预防犯罪还是调查行政违规行为，在上述的情况下安全部队及治安机关的公务员方可实施拘捕，并应遵守《宪法》和法律规定的所有保障，具体的法律规定将在下一条中予以阐述。</w:t>
      </w:r>
    </w:p>
    <w:p w:rsidR="003C2E11" w:rsidRDefault="003C2E11">
      <w:pPr>
        <w:pStyle w:val="SingleTxtGC"/>
      </w:pPr>
      <w:r>
        <w:t xml:space="preserve">146.  </w:t>
      </w:r>
      <w:r>
        <w:rPr>
          <w:rFonts w:hint="eastAsia"/>
        </w:rPr>
        <w:t>为落实《西班牙宪法》在这方面的要求，共在五方面出台了相应规定，其目的是维护个人自由，禁止和追查任意拘留。这些规定分别是：</w:t>
      </w:r>
    </w:p>
    <w:p w:rsidR="003C2E11" w:rsidRDefault="003C2E11">
      <w:pPr>
        <w:pStyle w:val="H23GC"/>
      </w:pPr>
      <w:r>
        <w:tab/>
      </w:r>
      <w:r>
        <w:rPr>
          <w:rFonts w:hint="eastAsia"/>
        </w:rPr>
        <w:t>(</w:t>
      </w:r>
      <w:r>
        <w:t>a)</w:t>
      </w:r>
      <w:r>
        <w:tab/>
      </w:r>
      <w:r>
        <w:rPr>
          <w:rFonts w:hint="eastAsia"/>
        </w:rPr>
        <w:t>刑事审判法</w:t>
      </w:r>
    </w:p>
    <w:p w:rsidR="003C2E11" w:rsidRDefault="003C2E11">
      <w:pPr>
        <w:pStyle w:val="SingleTxtGC"/>
      </w:pPr>
      <w:r>
        <w:t xml:space="preserve">147.  </w:t>
      </w:r>
      <w:r>
        <w:rPr>
          <w:rFonts w:hint="eastAsia"/>
        </w:rPr>
        <w:t>《刑事审判法》规定唯有在用尽其他救济方式后方可实施“审前传唤、逮捕和监禁”</w:t>
      </w:r>
      <w:r>
        <w:rPr>
          <w:rFonts w:hint="eastAsia"/>
        </w:rPr>
        <w:t>(</w:t>
      </w:r>
      <w:r>
        <w:rPr>
          <w:rFonts w:hint="eastAsia"/>
        </w:rPr>
        <w:t>第</w:t>
      </w:r>
      <w:r>
        <w:rPr>
          <w:rFonts w:hint="eastAsia"/>
        </w:rPr>
        <w:t>486</w:t>
      </w:r>
      <w:r>
        <w:rPr>
          <w:rFonts w:hint="eastAsia"/>
        </w:rPr>
        <w:t>至</w:t>
      </w:r>
      <w:r>
        <w:rPr>
          <w:rFonts w:hint="eastAsia"/>
        </w:rPr>
        <w:t>519</w:t>
      </w:r>
      <w:r>
        <w:rPr>
          <w:rFonts w:hint="eastAsia"/>
        </w:rPr>
        <w:t>条</w:t>
      </w:r>
      <w:r>
        <w:rPr>
          <w:rFonts w:hint="eastAsia"/>
        </w:rPr>
        <w:t>)</w:t>
      </w:r>
      <w:r>
        <w:rPr>
          <w:rFonts w:hint="eastAsia"/>
        </w:rPr>
        <w:t>并规定“无论是西班牙人还是外国人，除非依照法律规定的情形及方式，否则不得被剥夺自由”</w:t>
      </w:r>
      <w:r>
        <w:rPr>
          <w:rFonts w:hint="eastAsia"/>
        </w:rPr>
        <w:t>(</w:t>
      </w:r>
      <w:r>
        <w:rPr>
          <w:rFonts w:hint="eastAsia"/>
        </w:rPr>
        <w:t>第</w:t>
      </w:r>
      <w:r>
        <w:rPr>
          <w:rFonts w:hint="eastAsia"/>
        </w:rPr>
        <w:t>489</w:t>
      </w:r>
      <w:r>
        <w:rPr>
          <w:rFonts w:hint="eastAsia"/>
        </w:rPr>
        <w:t>条</w:t>
      </w:r>
      <w:r>
        <w:rPr>
          <w:rFonts w:hint="eastAsia"/>
        </w:rPr>
        <w:t>)</w:t>
      </w:r>
      <w:r>
        <w:rPr>
          <w:rFonts w:hint="eastAsia"/>
        </w:rPr>
        <w:t>。同时规定被拘捕对象仅限定为罪犯或者逃犯，一般来说，只有当局有充分合理的理由认定当事人的行为构成犯罪或者参与犯罪时，方可实施逮捕</w:t>
      </w:r>
      <w:r>
        <w:rPr>
          <w:rFonts w:hint="eastAsia"/>
        </w:rPr>
        <w:t>(</w:t>
      </w:r>
      <w:r>
        <w:rPr>
          <w:rFonts w:hint="eastAsia"/>
        </w:rPr>
        <w:t>第</w:t>
      </w:r>
      <w:r>
        <w:rPr>
          <w:rFonts w:hint="eastAsia"/>
        </w:rPr>
        <w:t>492</w:t>
      </w:r>
      <w:r>
        <w:rPr>
          <w:rFonts w:hint="eastAsia"/>
        </w:rPr>
        <w:t>条</w:t>
      </w:r>
      <w:r>
        <w:rPr>
          <w:rFonts w:hint="eastAsia"/>
        </w:rPr>
        <w:t>)</w:t>
      </w:r>
      <w:r>
        <w:rPr>
          <w:rFonts w:hint="eastAsia"/>
        </w:rPr>
        <w:t>。拘捕应由当局或司法警察实施，但是作为例外，在现行犯、逃跑或者反抗的情况下，可由个人实施逮捕</w:t>
      </w:r>
      <w:r>
        <w:rPr>
          <w:rFonts w:hint="eastAsia"/>
        </w:rPr>
        <w:t>(</w:t>
      </w:r>
      <w:r>
        <w:rPr>
          <w:rFonts w:hint="eastAsia"/>
        </w:rPr>
        <w:t>第</w:t>
      </w:r>
      <w:r>
        <w:rPr>
          <w:rFonts w:hint="eastAsia"/>
        </w:rPr>
        <w:t>490</w:t>
      </w:r>
      <w:r>
        <w:rPr>
          <w:rFonts w:hint="eastAsia"/>
        </w:rPr>
        <w:t>条</w:t>
      </w:r>
      <w:r>
        <w:rPr>
          <w:rFonts w:hint="eastAsia"/>
        </w:rPr>
        <w:t>)</w:t>
      </w:r>
      <w:r>
        <w:rPr>
          <w:rFonts w:hint="eastAsia"/>
        </w:rPr>
        <w:t>并立即将被拘捕者移交给主管当局。</w:t>
      </w:r>
    </w:p>
    <w:p w:rsidR="003C2E11" w:rsidRDefault="003C2E11">
      <w:pPr>
        <w:pStyle w:val="SingleTxtGC"/>
      </w:pPr>
      <w:r>
        <w:t xml:space="preserve">148.  </w:t>
      </w:r>
      <w:r>
        <w:rPr>
          <w:rFonts w:hint="eastAsia"/>
        </w:rPr>
        <w:t>《刑事审判法》规定，被拘捕人员应当被立即以其可以理解的方式告知对其实施拘捕的理由以及其享有的义务</w:t>
      </w:r>
      <w:r>
        <w:rPr>
          <w:rFonts w:hint="eastAsia"/>
        </w:rPr>
        <w:t>(</w:t>
      </w:r>
      <w:r>
        <w:rPr>
          <w:rFonts w:hint="eastAsia"/>
        </w:rPr>
        <w:t>第</w:t>
      </w:r>
      <w:r>
        <w:rPr>
          <w:rFonts w:hint="eastAsia"/>
        </w:rPr>
        <w:t>520.2</w:t>
      </w:r>
      <w:r>
        <w:rPr>
          <w:rFonts w:hint="eastAsia"/>
        </w:rPr>
        <w:t>条</w:t>
      </w:r>
      <w:r>
        <w:rPr>
          <w:rFonts w:hint="eastAsia"/>
        </w:rPr>
        <w:t>)</w:t>
      </w:r>
      <w:r>
        <w:rPr>
          <w:rFonts w:hint="eastAsia"/>
        </w:rPr>
        <w:t>。在其享有的各项权利中</w:t>
      </w:r>
      <w:r>
        <w:rPr>
          <w:rFonts w:hint="eastAsia"/>
        </w:rPr>
        <w:t>(</w:t>
      </w:r>
      <w:r>
        <w:rPr>
          <w:rFonts w:hint="eastAsia"/>
        </w:rPr>
        <w:t>显然，有权保持沉默、有权不供认、有权不认罪等权利并不在本报告的讨论范围内</w:t>
      </w:r>
      <w:r>
        <w:rPr>
          <w:rFonts w:hint="eastAsia"/>
        </w:rPr>
        <w:t>)</w:t>
      </w:r>
      <w:r>
        <w:rPr>
          <w:rFonts w:hint="eastAsia"/>
        </w:rPr>
        <w:t>，涉及到《公约》内容的权利有：向其家人或指定人员告知其被拘捕事实以及看守地点的权利，如果是外国人，则应通知其所在国的领事机构</w:t>
      </w:r>
      <w:r>
        <w:rPr>
          <w:rFonts w:hint="eastAsia"/>
        </w:rPr>
        <w:t>(</w:t>
      </w:r>
      <w:r>
        <w:rPr>
          <w:rFonts w:hint="eastAsia"/>
        </w:rPr>
        <w:t>第</w:t>
      </w:r>
      <w:r>
        <w:rPr>
          <w:rFonts w:hint="eastAsia"/>
        </w:rPr>
        <w:t>520.2.d</w:t>
      </w:r>
      <w:r>
        <w:rPr>
          <w:rFonts w:hint="eastAsia"/>
        </w:rPr>
        <w:t>条</w:t>
      </w:r>
      <w:r>
        <w:rPr>
          <w:rFonts w:hint="eastAsia"/>
        </w:rPr>
        <w:t>)</w:t>
      </w:r>
      <w:r>
        <w:rPr>
          <w:rFonts w:hint="eastAsia"/>
        </w:rPr>
        <w:t>以及申请在面对所有警察机关和司法机关的程序中由律师陪同参与的权利</w:t>
      </w:r>
      <w:r>
        <w:rPr>
          <w:rFonts w:hint="eastAsia"/>
        </w:rPr>
        <w:t>(</w:t>
      </w:r>
      <w:r>
        <w:rPr>
          <w:rFonts w:hint="eastAsia"/>
        </w:rPr>
        <w:t>第</w:t>
      </w:r>
      <w:r>
        <w:rPr>
          <w:rFonts w:hint="eastAsia"/>
        </w:rPr>
        <w:t>520.c</w:t>
      </w:r>
      <w:r>
        <w:rPr>
          <w:rFonts w:hint="eastAsia"/>
        </w:rPr>
        <w:t>条</w:t>
      </w:r>
      <w:r>
        <w:rPr>
          <w:rFonts w:hint="eastAsia"/>
        </w:rPr>
        <w:t>)</w:t>
      </w:r>
      <w:r>
        <w:rPr>
          <w:rFonts w:hint="eastAsia"/>
        </w:rPr>
        <w:t>，如果当事人未提出这一要求，则应由官方为其指定辩护律师。</w:t>
      </w:r>
    </w:p>
    <w:p w:rsidR="003C2E11" w:rsidRDefault="003C2E11">
      <w:pPr>
        <w:pStyle w:val="SingleTxtGC"/>
      </w:pPr>
      <w:r>
        <w:t xml:space="preserve">149.  </w:t>
      </w:r>
      <w:r>
        <w:rPr>
          <w:rFonts w:hint="eastAsia"/>
        </w:rPr>
        <w:t>上述一系列权利都避免了秘密拘捕。</w:t>
      </w:r>
    </w:p>
    <w:p w:rsidR="003C2E11" w:rsidRDefault="003C2E11">
      <w:pPr>
        <w:pStyle w:val="H23GC"/>
        <w:rPr>
          <w:rFonts w:hint="eastAsia"/>
        </w:rPr>
      </w:pPr>
      <w:r>
        <w:tab/>
      </w:r>
      <w:r>
        <w:rPr>
          <w:rFonts w:hint="eastAsia"/>
        </w:rPr>
        <w:t>(</w:t>
      </w:r>
      <w:r>
        <w:t>b)</w:t>
      </w:r>
      <w:r>
        <w:tab/>
      </w:r>
      <w:r>
        <w:rPr>
          <w:rFonts w:hint="eastAsia"/>
        </w:rPr>
        <w:t>保障宪法权利的法律</w:t>
      </w:r>
    </w:p>
    <w:p w:rsidR="003C2E11" w:rsidRDefault="003C2E11">
      <w:pPr>
        <w:pStyle w:val="SingleTxtGC"/>
      </w:pPr>
      <w:r>
        <w:t xml:space="preserve">150.  </w:t>
      </w:r>
      <w:r>
        <w:rPr>
          <w:rFonts w:hint="eastAsia"/>
        </w:rPr>
        <w:t>另一方面，针对非法拘禁问题，为落实《宪法》第</w:t>
      </w:r>
      <w:r>
        <w:rPr>
          <w:rFonts w:hint="eastAsia"/>
        </w:rPr>
        <w:t>17.4</w:t>
      </w:r>
      <w:r>
        <w:rPr>
          <w:rFonts w:hint="eastAsia"/>
        </w:rPr>
        <w:t>条之规定，在</w:t>
      </w:r>
      <w:smartTag w:uri="urn:schemas-microsoft-com:office:smarttags" w:element="chsdate">
        <w:smartTagPr>
          <w:attr w:name="Year" w:val="1984"/>
          <w:attr w:name="Month" w:val="5"/>
          <w:attr w:name="Day" w:val="24"/>
          <w:attr w:name="IsLunarDate" w:val="False"/>
          <w:attr w:name="IsROCDate" w:val="False"/>
        </w:smartTagPr>
        <w:r>
          <w:rPr>
            <w:rFonts w:hint="eastAsia"/>
          </w:rPr>
          <w:t>1984</w:t>
        </w:r>
        <w:r>
          <w:rPr>
            <w:rFonts w:hint="eastAsia"/>
          </w:rPr>
          <w:t>年</w:t>
        </w:r>
        <w:r>
          <w:rPr>
            <w:rFonts w:hint="eastAsia"/>
          </w:rPr>
          <w:t>5</w:t>
        </w:r>
        <w:r>
          <w:rPr>
            <w:rFonts w:hint="eastAsia"/>
          </w:rPr>
          <w:t>月</w:t>
        </w:r>
        <w:r>
          <w:rPr>
            <w:rFonts w:hint="eastAsia"/>
          </w:rPr>
          <w:t>24</w:t>
        </w:r>
        <w:r>
          <w:rPr>
            <w:rFonts w:hint="eastAsia"/>
          </w:rPr>
          <w:t>日</w:t>
        </w:r>
      </w:smartTag>
      <w:r>
        <w:rPr>
          <w:rFonts w:hint="eastAsia"/>
        </w:rPr>
        <w:t>的第</w:t>
      </w:r>
      <w:r>
        <w:rPr>
          <w:rFonts w:hint="eastAsia"/>
        </w:rPr>
        <w:t>6/1984</w:t>
      </w:r>
      <w:r>
        <w:rPr>
          <w:rFonts w:hint="eastAsia"/>
        </w:rPr>
        <w:t>号组织法中对“人身保护”诉讼进行了规范</w:t>
      </w:r>
      <w:r>
        <w:rPr>
          <w:rStyle w:val="FootnoteReference"/>
        </w:rPr>
        <w:footnoteReference w:id="3"/>
      </w:r>
      <w:r>
        <w:rPr>
          <w:rFonts w:hint="eastAsia"/>
        </w:rPr>
        <w:t>。具体规定体现在该法第</w:t>
      </w:r>
      <w:r>
        <w:rPr>
          <w:rFonts w:hint="eastAsia"/>
        </w:rPr>
        <w:t>1</w:t>
      </w:r>
      <w:r>
        <w:rPr>
          <w:rFonts w:hint="eastAsia"/>
        </w:rPr>
        <w:t>、</w:t>
      </w:r>
      <w:r>
        <w:rPr>
          <w:rFonts w:hint="eastAsia"/>
        </w:rPr>
        <w:t>3</w:t>
      </w:r>
      <w:r>
        <w:rPr>
          <w:rFonts w:hint="eastAsia"/>
        </w:rPr>
        <w:t>、</w:t>
      </w:r>
      <w:r>
        <w:rPr>
          <w:rFonts w:hint="eastAsia"/>
        </w:rPr>
        <w:t>5</w:t>
      </w:r>
      <w:r>
        <w:rPr>
          <w:rFonts w:hint="eastAsia"/>
        </w:rPr>
        <w:t>、</w:t>
      </w:r>
      <w:r>
        <w:rPr>
          <w:rFonts w:hint="eastAsia"/>
        </w:rPr>
        <w:t>6</w:t>
      </w:r>
      <w:r>
        <w:rPr>
          <w:rFonts w:hint="eastAsia"/>
        </w:rPr>
        <w:t>、</w:t>
      </w:r>
      <w:r>
        <w:rPr>
          <w:rFonts w:hint="eastAsia"/>
        </w:rPr>
        <w:t>7</w:t>
      </w:r>
      <w:r>
        <w:rPr>
          <w:rFonts w:hint="eastAsia"/>
        </w:rPr>
        <w:t>和</w:t>
      </w:r>
      <w:r>
        <w:rPr>
          <w:rFonts w:hint="eastAsia"/>
        </w:rPr>
        <w:t>8</w:t>
      </w:r>
      <w:r>
        <w:rPr>
          <w:rFonts w:hint="eastAsia"/>
        </w:rPr>
        <w:t>条中。该法规定了具有普遍适用性的非正式速审简易程序</w:t>
      </w:r>
      <w:r>
        <w:rPr>
          <w:rFonts w:hint="eastAsia"/>
        </w:rPr>
        <w:t>(24</w:t>
      </w:r>
      <w:r>
        <w:rPr>
          <w:rFonts w:hint="eastAsia"/>
        </w:rPr>
        <w:t>小时</w:t>
      </w:r>
      <w:r>
        <w:rPr>
          <w:rFonts w:hint="eastAsia"/>
        </w:rPr>
        <w:t>)</w:t>
      </w:r>
      <w:r>
        <w:rPr>
          <w:rFonts w:hint="eastAsia"/>
        </w:rPr>
        <w:t>，以便预审法官能够判定是否存在由过度滥用职权造成的非法拘留或任意拘留，并立即终结此类情况。此外还规定预审法官应立案调查，也就是说，启动刑事诉讼程序，以便对下列实施非法拘禁或者负责看守被剥夺自由人员的责任人所犯罪行进行调查并予以惩治。负责看管被拘捕者的人员，如果没有立即办理被拘捕者向法官提出的人身保护申请的，也应承担相同责任。</w:t>
      </w:r>
    </w:p>
    <w:p w:rsidR="003C2E11" w:rsidRDefault="003C2E11">
      <w:pPr>
        <w:pStyle w:val="SingleTxtGC"/>
        <w:rPr>
          <w:rFonts w:hint="eastAsia"/>
        </w:rPr>
      </w:pPr>
      <w:r>
        <w:t xml:space="preserve">151.  </w:t>
      </w:r>
      <w:r>
        <w:rPr>
          <w:rFonts w:hint="eastAsia"/>
        </w:rPr>
        <w:t>诉讼程序可由法官依职责启动，或者依当事方申请启动，法律上对有权提出申请的当事方资格要求十分宽泛，可以是被剥夺自由者、其配偶或者具有类似关系的人员；其后代、长辈、兄弟姐妹，如果涉及到未成年人和残疾人，还可以是其合法代理人。护民官和检察机关也具有这方面的合法资格</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3C2E11" w:rsidRDefault="003C2E11">
      <w:pPr>
        <w:pStyle w:val="SingleTxtGC"/>
      </w:pPr>
      <w:r>
        <w:t xml:space="preserve">152.  </w:t>
      </w:r>
      <w:r>
        <w:rPr>
          <w:rFonts w:hint="eastAsia"/>
        </w:rPr>
        <w:t>考虑到被剥夺自由者为自己辩护的合法性，为使之不是一个纯粹在法律形式上的假设而是一项切实可行的真实权利，内政部安全国务秘书处的第</w:t>
      </w:r>
      <w:r>
        <w:rPr>
          <w:rFonts w:hint="eastAsia"/>
        </w:rPr>
        <w:t>12/2007</w:t>
      </w:r>
      <w:r>
        <w:rPr>
          <w:rFonts w:hint="eastAsia"/>
        </w:rPr>
        <w:t>号指令在关于被拘捕者权利一节中规定，安全部队和治安机关成员应承担的一项义务是“向</w:t>
      </w:r>
      <w:r>
        <w:rPr>
          <w:rFonts w:hint="eastAsia"/>
        </w:rPr>
        <w:t>(</w:t>
      </w:r>
      <w:r>
        <w:rPr>
          <w:rFonts w:hint="eastAsia"/>
        </w:rPr>
        <w:t>被拘捕人员</w:t>
      </w:r>
      <w:r>
        <w:rPr>
          <w:rFonts w:hint="eastAsia"/>
        </w:rPr>
        <w:t>)</w:t>
      </w:r>
      <w:r>
        <w:rPr>
          <w:rFonts w:hint="eastAsia"/>
        </w:rPr>
        <w:t>告知依据《宪法》规定，在认为对其的拘捕没有正当的法律依据或者有违法情节时，可依照附件中的申请表格式提起人身保护申请”</w:t>
      </w:r>
      <w:r>
        <w:rPr>
          <w:rFonts w:hint="eastAsia"/>
        </w:rPr>
        <w:t>(</w:t>
      </w:r>
      <w:r>
        <w:rPr>
          <w:rFonts w:hint="eastAsia"/>
        </w:rPr>
        <w:t>参见附件一，安全国务秘书处第</w:t>
      </w:r>
      <w:r>
        <w:rPr>
          <w:rFonts w:hint="eastAsia"/>
        </w:rPr>
        <w:t>12/2007</w:t>
      </w:r>
      <w:r>
        <w:rPr>
          <w:rFonts w:hint="eastAsia"/>
        </w:rPr>
        <w:t>号指令</w:t>
      </w:r>
      <w:r>
        <w:rPr>
          <w:rFonts w:hint="eastAsia"/>
        </w:rPr>
        <w:t>)</w:t>
      </w:r>
      <w:r>
        <w:rPr>
          <w:rFonts w:hint="eastAsia"/>
        </w:rPr>
        <w:t>。</w:t>
      </w:r>
    </w:p>
    <w:p w:rsidR="003C2E11" w:rsidRDefault="003C2E11">
      <w:pPr>
        <w:pStyle w:val="H23GC"/>
      </w:pPr>
      <w:r>
        <w:tab/>
      </w:r>
      <w:r>
        <w:rPr>
          <w:rFonts w:hint="eastAsia"/>
        </w:rPr>
        <w:t>(</w:t>
      </w:r>
      <w:r>
        <w:t>c)</w:t>
      </w:r>
      <w:r>
        <w:tab/>
      </w:r>
      <w:r>
        <w:rPr>
          <w:rFonts w:hint="eastAsia"/>
        </w:rPr>
        <w:t>保护公民安全以及安全部队和治安机关的法律</w:t>
      </w:r>
    </w:p>
    <w:p w:rsidR="003C2E11" w:rsidRDefault="003C2E11">
      <w:pPr>
        <w:pStyle w:val="SingleTxtGC"/>
      </w:pPr>
      <w:r>
        <w:t xml:space="preserve">153.  </w:t>
      </w:r>
      <w:smartTag w:uri="urn:schemas-microsoft-com:office:smarttags" w:element="chsdate">
        <w:smartTagPr>
          <w:attr w:name="Year" w:val="1992"/>
          <w:attr w:name="Month" w:val="2"/>
          <w:attr w:name="Day" w:val="21"/>
          <w:attr w:name="IsLunarDate" w:val="False"/>
          <w:attr w:name="IsROCDate" w:val="False"/>
        </w:smartTagPr>
        <w:r>
          <w:rPr>
            <w:rFonts w:hint="eastAsia"/>
          </w:rPr>
          <w:t>1992</w:t>
        </w:r>
        <w:r>
          <w:rPr>
            <w:rFonts w:hint="eastAsia"/>
          </w:rPr>
          <w:t>年</w:t>
        </w:r>
        <w:r>
          <w:rPr>
            <w:rFonts w:hint="eastAsia"/>
          </w:rPr>
          <w:t>2</w:t>
        </w:r>
        <w:r>
          <w:rPr>
            <w:rFonts w:hint="eastAsia"/>
          </w:rPr>
          <w:t>月</w:t>
        </w:r>
        <w:r>
          <w:rPr>
            <w:rFonts w:hint="eastAsia"/>
          </w:rPr>
          <w:t>21</w:t>
        </w:r>
        <w:r>
          <w:rPr>
            <w:rFonts w:hint="eastAsia"/>
          </w:rPr>
          <w:t>日</w:t>
        </w:r>
      </w:smartTag>
      <w:r>
        <w:rPr>
          <w:rFonts w:hint="eastAsia"/>
        </w:rPr>
        <w:t>的第</w:t>
      </w:r>
      <w:r>
        <w:rPr>
          <w:rFonts w:hint="eastAsia"/>
        </w:rPr>
        <w:t>1/1992</w:t>
      </w:r>
      <w:r>
        <w:rPr>
          <w:rFonts w:hint="eastAsia"/>
        </w:rPr>
        <w:t>号关于保护公民安全的组织法规定了安全部队和治安机关对公民涉嫌犯罪的调查取证义务</w:t>
      </w:r>
      <w:r>
        <w:rPr>
          <w:rFonts w:hint="eastAsia"/>
        </w:rPr>
        <w:t>(</w:t>
      </w:r>
      <w:r>
        <w:rPr>
          <w:rFonts w:hint="eastAsia"/>
        </w:rPr>
        <w:t>第</w:t>
      </w:r>
      <w:r>
        <w:rPr>
          <w:rFonts w:hint="eastAsia"/>
        </w:rPr>
        <w:t>20</w:t>
      </w:r>
      <w:r>
        <w:rPr>
          <w:rFonts w:hint="eastAsia"/>
        </w:rPr>
        <w:t>条</w:t>
      </w:r>
      <w:r>
        <w:rPr>
          <w:rFonts w:hint="eastAsia"/>
        </w:rPr>
        <w:t>)</w:t>
      </w:r>
      <w:r>
        <w:rPr>
          <w:rFonts w:hint="eastAsia"/>
        </w:rPr>
        <w:t>，并规定了之后可能依照《刑事审判法》的要求实施拘捕的情形。</w:t>
      </w:r>
    </w:p>
    <w:p w:rsidR="003C2E11" w:rsidRDefault="003C2E11">
      <w:pPr>
        <w:pStyle w:val="SingleTxtGC"/>
      </w:pPr>
      <w:r>
        <w:t xml:space="preserve">154.  </w:t>
      </w:r>
      <w:r>
        <w:rPr>
          <w:rFonts w:hint="eastAsia"/>
        </w:rPr>
        <w:t>同样在</w:t>
      </w:r>
      <w:smartTag w:uri="urn:schemas-microsoft-com:office:smarttags" w:element="chsdate">
        <w:smartTagPr>
          <w:attr w:name="Year" w:val="1986"/>
          <w:attr w:name="Month" w:val="3"/>
          <w:attr w:name="Day" w:val="13"/>
          <w:attr w:name="IsLunarDate" w:val="False"/>
          <w:attr w:name="IsROCDate" w:val="False"/>
        </w:smartTagPr>
        <w:r>
          <w:rPr>
            <w:rFonts w:hint="eastAsia"/>
          </w:rPr>
          <w:t>1986</w:t>
        </w:r>
        <w:r>
          <w:rPr>
            <w:rFonts w:hint="eastAsia"/>
          </w:rPr>
          <w:t>年</w:t>
        </w:r>
        <w:r>
          <w:rPr>
            <w:rFonts w:hint="eastAsia"/>
          </w:rPr>
          <w:t>3</w:t>
        </w:r>
        <w:r>
          <w:rPr>
            <w:rFonts w:hint="eastAsia"/>
          </w:rPr>
          <w:t>月</w:t>
        </w:r>
        <w:r>
          <w:rPr>
            <w:rFonts w:hint="eastAsia"/>
          </w:rPr>
          <w:t>13</w:t>
        </w:r>
        <w:r>
          <w:rPr>
            <w:rFonts w:hint="eastAsia"/>
          </w:rPr>
          <w:t>日</w:t>
        </w:r>
      </w:smartTag>
      <w:r>
        <w:rPr>
          <w:rFonts w:hint="eastAsia"/>
        </w:rPr>
        <w:t>的第</w:t>
      </w:r>
      <w:r>
        <w:rPr>
          <w:rFonts w:hint="eastAsia"/>
        </w:rPr>
        <w:t>2/1986</w:t>
      </w:r>
      <w:r>
        <w:rPr>
          <w:rFonts w:hint="eastAsia"/>
        </w:rPr>
        <w:t>号关于安全部队和治安机关的组织法中也进行了相应的规定，在其第</w:t>
      </w:r>
      <w:r>
        <w:rPr>
          <w:rFonts w:hint="eastAsia"/>
        </w:rPr>
        <w:t>5</w:t>
      </w:r>
      <w:r>
        <w:rPr>
          <w:rFonts w:hint="eastAsia"/>
        </w:rPr>
        <w:t>条中强调了这方面的重要性，内容如下：</w:t>
      </w:r>
    </w:p>
    <w:p w:rsidR="003C2E11" w:rsidRDefault="003C2E11">
      <w:pPr>
        <w:pStyle w:val="SingleTxtGC"/>
        <w:ind w:left="1565"/>
        <w:rPr>
          <w:rFonts w:hint="eastAsia"/>
        </w:rPr>
      </w:pPr>
      <w:r>
        <w:rPr>
          <w:rFonts w:hint="eastAsia"/>
        </w:rPr>
        <w:t>“在对被拘捕人员的处置方面，安全部队和治安机关成员应遵照以下基本行动原则执行：</w:t>
      </w:r>
    </w:p>
    <w:p w:rsidR="003C2E11" w:rsidRDefault="003C2E11">
      <w:pPr>
        <w:pStyle w:val="SingleTxtGC"/>
        <w:ind w:left="1565"/>
        <w:rPr>
          <w:rFonts w:hint="eastAsia"/>
        </w:rPr>
      </w:pPr>
      <w:r>
        <w:rPr>
          <w:rFonts w:hint="eastAsia"/>
        </w:rPr>
        <w:t>［……］</w:t>
      </w:r>
    </w:p>
    <w:p w:rsidR="003C2E11" w:rsidRDefault="003C2E11">
      <w:pPr>
        <w:pStyle w:val="SingleTxtGC"/>
        <w:ind w:left="1565"/>
        <w:rPr>
          <w:rFonts w:hint="eastAsia"/>
        </w:rPr>
      </w:pPr>
      <w:r>
        <w:rPr>
          <w:rFonts w:hint="eastAsia"/>
        </w:rPr>
        <w:t>(</w:t>
      </w:r>
      <w:r>
        <w:t>a)</w:t>
      </w:r>
      <w:r>
        <w:tab/>
      </w:r>
      <w:r>
        <w:rPr>
          <w:rFonts w:hint="eastAsia"/>
        </w:rPr>
        <w:t>安全部队和治安机关的成员应当在实施拘捕时依程序核实当事人身份；</w:t>
      </w:r>
    </w:p>
    <w:p w:rsidR="003C2E11" w:rsidRDefault="003C2E11">
      <w:pPr>
        <w:pStyle w:val="SingleTxtGC"/>
        <w:ind w:left="1565"/>
        <w:rPr>
          <w:rFonts w:hint="eastAsia"/>
        </w:rPr>
      </w:pPr>
      <w:r>
        <w:rPr>
          <w:rFonts w:hint="eastAsia"/>
        </w:rPr>
        <w:t>(</w:t>
      </w:r>
      <w:r>
        <w:t>b)</w:t>
      </w:r>
      <w:r>
        <w:tab/>
      </w:r>
      <w:r>
        <w:rPr>
          <w:rFonts w:hint="eastAsia"/>
        </w:rPr>
        <w:t>应保障被拘捕人员或者置于其看守下的人员的生命安全和人身完整性，并尊重当事人的荣誉和尊严；</w:t>
      </w:r>
    </w:p>
    <w:p w:rsidR="003C2E11" w:rsidRDefault="003C2E11">
      <w:pPr>
        <w:pStyle w:val="SingleTxtGC"/>
        <w:ind w:left="1565"/>
      </w:pPr>
      <w:r>
        <w:rPr>
          <w:rFonts w:hint="eastAsia"/>
        </w:rPr>
        <w:t>(</w:t>
      </w:r>
      <w:r>
        <w:t>c)</w:t>
      </w:r>
      <w:r>
        <w:tab/>
      </w:r>
      <w:r>
        <w:rPr>
          <w:rFonts w:hint="eastAsia"/>
        </w:rPr>
        <w:t>遵照法律制度规定的正当办案程序、期限和要求条件实施对人员的拘捕程序。”</w:t>
      </w:r>
    </w:p>
    <w:p w:rsidR="003C2E11" w:rsidRDefault="003C2E11">
      <w:pPr>
        <w:pStyle w:val="SingleTxtGC"/>
      </w:pPr>
      <w:r>
        <w:t xml:space="preserve">155.  </w:t>
      </w:r>
      <w:r>
        <w:rPr>
          <w:rFonts w:hint="eastAsia"/>
        </w:rPr>
        <w:t>内政部通过安全国务秘书处的若干指令对这一规定进行了补充。具体来说，针对被拘捕人员在警察机关的处置和关押情况，颁布了安全国务秘书处为保障被警方拘捕或羁押的人员的权利发布的对于安全部队和治安机关成员行为要求的第</w:t>
      </w:r>
      <w:r>
        <w:rPr>
          <w:rFonts w:hint="eastAsia"/>
        </w:rPr>
        <w:t>12/2007</w:t>
      </w:r>
      <w:r>
        <w:rPr>
          <w:rFonts w:hint="eastAsia"/>
        </w:rPr>
        <w:t>号指令</w:t>
      </w:r>
      <w:r>
        <w:rPr>
          <w:rFonts w:hint="eastAsia"/>
        </w:rPr>
        <w:t>(</w:t>
      </w:r>
      <w:r>
        <w:rPr>
          <w:rFonts w:hint="eastAsia"/>
        </w:rPr>
        <w:t>请再参见前文提到的附件一</w:t>
      </w:r>
      <w:r>
        <w:rPr>
          <w:rFonts w:hint="eastAsia"/>
        </w:rPr>
        <w:t>)</w:t>
      </w:r>
      <w:r>
        <w:rPr>
          <w:rFonts w:hint="eastAsia"/>
        </w:rPr>
        <w:t>。</w:t>
      </w:r>
    </w:p>
    <w:p w:rsidR="003C2E11" w:rsidRDefault="003C2E11">
      <w:pPr>
        <w:pStyle w:val="H23GC"/>
      </w:pPr>
      <w:r>
        <w:tab/>
      </w:r>
      <w:r>
        <w:rPr>
          <w:rFonts w:hint="eastAsia"/>
        </w:rPr>
        <w:t>(</w:t>
      </w:r>
      <w:r>
        <w:t>d)</w:t>
      </w:r>
      <w:r>
        <w:tab/>
      </w:r>
      <w:r>
        <w:rPr>
          <w:rFonts w:hint="eastAsia"/>
        </w:rPr>
        <w:t>关于在西班牙的外国人的权利和自由以及其社会融合的法律</w:t>
      </w:r>
    </w:p>
    <w:p w:rsidR="003C2E11" w:rsidRDefault="003C2E11">
      <w:pPr>
        <w:pStyle w:val="SingleTxtGC"/>
      </w:pPr>
      <w:r>
        <w:t xml:space="preserve">156.  </w:t>
      </w:r>
      <w:smartTag w:uri="urn:schemas-microsoft-com:office:smarttags" w:element="chsdate">
        <w:smartTagPr>
          <w:attr w:name="Year" w:val="2000"/>
          <w:attr w:name="Month" w:val="1"/>
          <w:attr w:name="Day" w:val="11"/>
          <w:attr w:name="IsLunarDate" w:val="False"/>
          <w:attr w:name="IsROCDate" w:val="False"/>
        </w:smartTagPr>
        <w:r>
          <w:rPr>
            <w:rFonts w:hint="eastAsia"/>
          </w:rPr>
          <w:t>2000</w:t>
        </w:r>
        <w:r>
          <w:rPr>
            <w:rFonts w:hint="eastAsia"/>
          </w:rPr>
          <w:t>年</w:t>
        </w:r>
        <w:r>
          <w:rPr>
            <w:rFonts w:hint="eastAsia"/>
          </w:rPr>
          <w:t>1</w:t>
        </w:r>
        <w:r>
          <w:rPr>
            <w:rFonts w:hint="eastAsia"/>
          </w:rPr>
          <w:t>月</w:t>
        </w:r>
        <w:r>
          <w:rPr>
            <w:rFonts w:hint="eastAsia"/>
          </w:rPr>
          <w:t>11</w:t>
        </w:r>
        <w:r>
          <w:rPr>
            <w:rFonts w:hint="eastAsia"/>
          </w:rPr>
          <w:t>日</w:t>
        </w:r>
      </w:smartTag>
      <w:r>
        <w:rPr>
          <w:rFonts w:hint="eastAsia"/>
        </w:rPr>
        <w:t>的第</w:t>
      </w:r>
      <w:r>
        <w:rPr>
          <w:rFonts w:hint="eastAsia"/>
        </w:rPr>
        <w:t>4/2000</w:t>
      </w:r>
      <w:r>
        <w:rPr>
          <w:rFonts w:hint="eastAsia"/>
        </w:rPr>
        <w:t>号组织法以及根据</w:t>
      </w:r>
      <w:smartTag w:uri="urn:schemas-microsoft-com:office:smarttags" w:element="chsdate">
        <w:smartTagPr>
          <w:attr w:name="Year" w:val="2011"/>
          <w:attr w:name="Month" w:val="4"/>
          <w:attr w:name="Day" w:val="20"/>
          <w:attr w:name="IsLunarDate" w:val="False"/>
          <w:attr w:name="IsROCDate" w:val="False"/>
        </w:smartTagPr>
        <w:r>
          <w:rPr>
            <w:rFonts w:hint="eastAsia"/>
          </w:rPr>
          <w:t>2011</w:t>
        </w:r>
        <w:r>
          <w:rPr>
            <w:rFonts w:hint="eastAsia"/>
          </w:rPr>
          <w:t>年</w:t>
        </w:r>
        <w:r>
          <w:rPr>
            <w:rFonts w:hint="eastAsia"/>
          </w:rPr>
          <w:t>4</w:t>
        </w:r>
        <w:r>
          <w:rPr>
            <w:rFonts w:hint="eastAsia"/>
          </w:rPr>
          <w:t>月</w:t>
        </w:r>
        <w:r>
          <w:rPr>
            <w:rFonts w:hint="eastAsia"/>
          </w:rPr>
          <w:t>20</w:t>
        </w:r>
        <w:r>
          <w:rPr>
            <w:rFonts w:hint="eastAsia"/>
          </w:rPr>
          <w:t>日</w:t>
        </w:r>
      </w:smartTag>
      <w:r>
        <w:rPr>
          <w:rFonts w:hint="eastAsia"/>
        </w:rPr>
        <w:t>的第</w:t>
      </w:r>
      <w:r>
        <w:rPr>
          <w:rFonts w:hint="eastAsia"/>
        </w:rPr>
        <w:t>557/2011</w:t>
      </w:r>
      <w:r>
        <w:rPr>
          <w:rFonts w:hint="eastAsia"/>
        </w:rPr>
        <w:t>号法律核准的该法的实施条例规定了在特定情况下因外国人的违法情节严重或特别严重而应实施逮捕时，应当由预审法官下发批捕决议，并承认被收押到外国人专门收押机构中的外国人享有一系列与上述被拘捕人员相同的权利。</w:t>
      </w:r>
    </w:p>
    <w:p w:rsidR="003C2E11" w:rsidRDefault="003C2E11">
      <w:pPr>
        <w:pStyle w:val="H23GC"/>
        <w:rPr>
          <w:rFonts w:hint="eastAsia"/>
        </w:rPr>
      </w:pPr>
      <w:r>
        <w:tab/>
      </w:r>
      <w:r>
        <w:rPr>
          <w:rFonts w:hint="eastAsia"/>
        </w:rPr>
        <w:t>(</w:t>
      </w:r>
      <w:r>
        <w:t>e)</w:t>
      </w:r>
      <w:r>
        <w:tab/>
      </w:r>
      <w:r>
        <w:rPr>
          <w:rFonts w:hint="eastAsia"/>
        </w:rPr>
        <w:t>刑法典</w:t>
      </w:r>
    </w:p>
    <w:p w:rsidR="003C2E11" w:rsidRDefault="003C2E11">
      <w:pPr>
        <w:pStyle w:val="SingleTxtGC"/>
      </w:pPr>
      <w:r>
        <w:t xml:space="preserve">157.  </w:t>
      </w:r>
      <w:r>
        <w:rPr>
          <w:rFonts w:hint="eastAsia"/>
        </w:rPr>
        <w:t>最后，正如我们在前文中提到的，《刑法典》规定了各类表现形式的非法拘捕</w:t>
      </w:r>
      <w:r>
        <w:rPr>
          <w:rFonts w:hint="eastAsia"/>
        </w:rPr>
        <w:t>/</w:t>
      </w:r>
      <w:r>
        <w:rPr>
          <w:rFonts w:hint="eastAsia"/>
        </w:rPr>
        <w:t>绑架罪，并将《公约》对强迫失踪罪的定义纳入其中。</w:t>
      </w:r>
    </w:p>
    <w:p w:rsidR="003C2E11" w:rsidRDefault="003C2E11">
      <w:pPr>
        <w:pStyle w:val="H23GC"/>
      </w:pPr>
      <w:r>
        <w:tab/>
        <w:t>2.</w:t>
      </w:r>
      <w:r>
        <w:tab/>
      </w:r>
      <w:r>
        <w:rPr>
          <w:rFonts w:hint="eastAsia"/>
        </w:rPr>
        <w:t>登记机关</w:t>
      </w:r>
    </w:p>
    <w:p w:rsidR="003C2E11" w:rsidRDefault="003C2E11">
      <w:pPr>
        <w:pStyle w:val="SingleTxtGC"/>
      </w:pPr>
      <w:r>
        <w:t xml:space="preserve">158.  </w:t>
      </w:r>
      <w:r>
        <w:rPr>
          <w:rFonts w:hint="eastAsia"/>
        </w:rPr>
        <w:t>作为对上述规定的补充，被拘捕人员在警察机关关押期间的任何情况都应当记录在相应的被捕人员登记册中，相应的登记册可由司法机关随时调阅。在这方面值得一提的是安全国务秘书处的第</w:t>
      </w:r>
      <w:r>
        <w:rPr>
          <w:rFonts w:hint="eastAsia"/>
        </w:rPr>
        <w:t>12/2009</w:t>
      </w:r>
      <w:r>
        <w:rPr>
          <w:rFonts w:hint="eastAsia"/>
        </w:rPr>
        <w:t>号关于规范“被拘捕人员登记和看守事项”的指令。这条指令旨在全面规范与被拘捕人员被收押到警察机关、看守流程、释放或者移交司法机关处置的相应文件记录，规定应将《公约》第十七条第三款中要求的信息全部记录到登记册中</w:t>
      </w:r>
      <w:r>
        <w:rPr>
          <w:rFonts w:hint="eastAsia"/>
        </w:rPr>
        <w:t>(</w:t>
      </w:r>
      <w:r>
        <w:rPr>
          <w:rFonts w:hint="eastAsia"/>
        </w:rPr>
        <w:t>参见附件二：安全国务秘书处第</w:t>
      </w:r>
      <w:r>
        <w:rPr>
          <w:rFonts w:hint="eastAsia"/>
        </w:rPr>
        <w:t>12/2009</w:t>
      </w:r>
      <w:r>
        <w:rPr>
          <w:rFonts w:hint="eastAsia"/>
        </w:rPr>
        <w:t>号指令</w:t>
      </w:r>
      <w:r>
        <w:rPr>
          <w:rFonts w:hint="eastAsia"/>
        </w:rPr>
        <w:t>)</w:t>
      </w:r>
      <w:r>
        <w:rPr>
          <w:rFonts w:hint="eastAsia"/>
        </w:rPr>
        <w:t>。</w:t>
      </w:r>
    </w:p>
    <w:p w:rsidR="003C2E11" w:rsidRDefault="003C2E11">
      <w:pPr>
        <w:pStyle w:val="SingleTxtGC"/>
      </w:pPr>
      <w:r>
        <w:t xml:space="preserve">159.  </w:t>
      </w:r>
      <w:r>
        <w:rPr>
          <w:rFonts w:hint="eastAsia"/>
        </w:rPr>
        <w:t>此外，安全国务秘书处还编制了特别登记册，用于记录单纯出于身份验证目的被传唤到警察机关的人员、被拘捕的未成年人以及处于风险状况中的未成年人或者残疾人的相关登记信息，这在第</w:t>
      </w:r>
      <w:r>
        <w:rPr>
          <w:rFonts w:hint="eastAsia"/>
        </w:rPr>
        <w:t>12/2009</w:t>
      </w:r>
      <w:r>
        <w:rPr>
          <w:rFonts w:hint="eastAsia"/>
        </w:rPr>
        <w:t>号指令的第四项指示中做出了规定。</w:t>
      </w:r>
    </w:p>
    <w:p w:rsidR="003C2E11" w:rsidRDefault="003C2E11">
      <w:pPr>
        <w:pStyle w:val="SingleTxtGC"/>
      </w:pPr>
      <w:r>
        <w:t xml:space="preserve">160.  </w:t>
      </w:r>
      <w:r>
        <w:rPr>
          <w:rFonts w:hint="eastAsia"/>
        </w:rPr>
        <w:t>通过此类指令，使得所有负责实施拘捕的警察机关都编制了官方登记册，记录信息真实可靠，在此类登记册中记录了与被剥夺自由者身份及其被逮捕情况；实施拘捕的当局；提供的医疗救助；提供的药物治疗；法律援助；收押被拘捕人员的当局或司法机关；接到的探视，释放日期和时间；以及其他任何重要的事件或情况有关的信息。此类登记册在法院和法庭以及检察机关依法履行职责、对案件进行侦查或者依法要求相关情报时可以随时调阅。</w:t>
      </w:r>
    </w:p>
    <w:p w:rsidR="003C2E11" w:rsidRDefault="003C2E11">
      <w:pPr>
        <w:pStyle w:val="SingleTxtGC"/>
      </w:pPr>
      <w:r>
        <w:t xml:space="preserve">161.  </w:t>
      </w:r>
      <w:r>
        <w:rPr>
          <w:rFonts w:hint="eastAsia"/>
        </w:rPr>
        <w:t>在上述机关中还根据需要编制了与前面提到的登记册</w:t>
      </w:r>
      <w:r>
        <w:rPr>
          <w:rFonts w:hint="eastAsia"/>
        </w:rPr>
        <w:t>/</w:t>
      </w:r>
      <w:r>
        <w:rPr>
          <w:rFonts w:hint="eastAsia"/>
        </w:rPr>
        <w:t>档案不同且互为补充的身份信息登记册，在其中载明了依照</w:t>
      </w:r>
      <w:smartTag w:uri="urn:schemas-microsoft-com:office:smarttags" w:element="chsdate">
        <w:smartTagPr>
          <w:attr w:name="Year" w:val="1992"/>
          <w:attr w:name="Month" w:val="2"/>
          <w:attr w:name="Day" w:val="21"/>
          <w:attr w:name="IsLunarDate" w:val="False"/>
          <w:attr w:name="IsROCDate" w:val="False"/>
        </w:smartTagPr>
        <w:r>
          <w:rPr>
            <w:rFonts w:hint="eastAsia"/>
          </w:rPr>
          <w:t>1992</w:t>
        </w:r>
        <w:r>
          <w:rPr>
            <w:rFonts w:hint="eastAsia"/>
          </w:rPr>
          <w:t>年</w:t>
        </w:r>
        <w:r>
          <w:rPr>
            <w:rFonts w:hint="eastAsia"/>
          </w:rPr>
          <w:t>2</w:t>
        </w:r>
        <w:r>
          <w:rPr>
            <w:rFonts w:hint="eastAsia"/>
          </w:rPr>
          <w:t>月</w:t>
        </w:r>
        <w:r>
          <w:rPr>
            <w:rFonts w:hint="eastAsia"/>
          </w:rPr>
          <w:t>21</w:t>
        </w:r>
        <w:r>
          <w:rPr>
            <w:rFonts w:hint="eastAsia"/>
          </w:rPr>
          <w:t>日</w:t>
        </w:r>
      </w:smartTag>
      <w:r>
        <w:rPr>
          <w:rFonts w:hint="eastAsia"/>
        </w:rPr>
        <w:t>的第</w:t>
      </w:r>
      <w:r>
        <w:rPr>
          <w:rFonts w:hint="eastAsia"/>
        </w:rPr>
        <w:t>1/1992</w:t>
      </w:r>
      <w:r>
        <w:rPr>
          <w:rFonts w:hint="eastAsia"/>
        </w:rPr>
        <w:t>号关于保护公民安全的组织法</w:t>
      </w:r>
      <w:r>
        <w:rPr>
          <w:rFonts w:hint="eastAsia"/>
        </w:rPr>
        <w:t>(</w:t>
      </w:r>
      <w:r>
        <w:rPr>
          <w:rFonts w:hint="eastAsia"/>
        </w:rPr>
        <w:t>第</w:t>
      </w:r>
      <w:r>
        <w:rPr>
          <w:rFonts w:hint="eastAsia"/>
        </w:rPr>
        <w:t>20.3</w:t>
      </w:r>
      <w:r>
        <w:rPr>
          <w:rFonts w:hint="eastAsia"/>
        </w:rPr>
        <w:t>条</w:t>
      </w:r>
      <w:r>
        <w:rPr>
          <w:rFonts w:hint="eastAsia"/>
        </w:rPr>
        <w:t>)</w:t>
      </w:r>
      <w:r>
        <w:rPr>
          <w:rFonts w:hint="eastAsia"/>
        </w:rPr>
        <w:t>应当记录的与案件有关的所有细节信息，这些信息同样可由法院和法庭及检察机关调阅。</w:t>
      </w:r>
    </w:p>
    <w:p w:rsidR="003C2E11" w:rsidRDefault="003C2E11">
      <w:pPr>
        <w:pStyle w:val="SingleTxtGC"/>
      </w:pPr>
      <w:r>
        <w:t xml:space="preserve">162.  </w:t>
      </w:r>
      <w:r>
        <w:rPr>
          <w:rFonts w:hint="eastAsia"/>
        </w:rPr>
        <w:t>根据相应的司法决议认定必须被关押在监狱或看守场所的人员，应当遵守</w:t>
      </w:r>
      <w:smartTag w:uri="urn:schemas-microsoft-com:office:smarttags" w:element="chsdate">
        <w:smartTagPr>
          <w:attr w:name="Year" w:val="1979"/>
          <w:attr w:name="Month" w:val="9"/>
          <w:attr w:name="Day" w:val="26"/>
          <w:attr w:name="IsLunarDate" w:val="False"/>
          <w:attr w:name="IsROCDate" w:val="False"/>
        </w:smartTagPr>
        <w:r>
          <w:rPr>
            <w:rFonts w:hint="eastAsia"/>
          </w:rPr>
          <w:t>1979</w:t>
        </w:r>
        <w:r>
          <w:rPr>
            <w:rFonts w:hint="eastAsia"/>
          </w:rPr>
          <w:t>年</w:t>
        </w:r>
        <w:r>
          <w:rPr>
            <w:rFonts w:hint="eastAsia"/>
          </w:rPr>
          <w:t>9</w:t>
        </w:r>
        <w:r>
          <w:rPr>
            <w:rFonts w:hint="eastAsia"/>
          </w:rPr>
          <w:t>月</w:t>
        </w:r>
        <w:r>
          <w:rPr>
            <w:rFonts w:hint="eastAsia"/>
          </w:rPr>
          <w:t>26</w:t>
        </w:r>
        <w:r>
          <w:rPr>
            <w:rFonts w:hint="eastAsia"/>
          </w:rPr>
          <w:t>日</w:t>
        </w:r>
      </w:smartTag>
      <w:r>
        <w:rPr>
          <w:rFonts w:hint="eastAsia"/>
        </w:rPr>
        <w:t>的第</w:t>
      </w:r>
      <w:r>
        <w:rPr>
          <w:rFonts w:hint="eastAsia"/>
        </w:rPr>
        <w:t>1/1979</w:t>
      </w:r>
      <w:r>
        <w:rPr>
          <w:rFonts w:hint="eastAsia"/>
        </w:rPr>
        <w:t>号监狱通则组织法以及根据</w:t>
      </w:r>
      <w:smartTag w:uri="urn:schemas-microsoft-com:office:smarttags" w:element="chsdate">
        <w:smartTagPr>
          <w:attr w:name="Year" w:val="1996"/>
          <w:attr w:name="Month" w:val="2"/>
          <w:attr w:name="Day" w:val="9"/>
          <w:attr w:name="IsLunarDate" w:val="False"/>
          <w:attr w:name="IsROCDate" w:val="False"/>
        </w:smartTagPr>
        <w:r>
          <w:rPr>
            <w:rFonts w:hint="eastAsia"/>
          </w:rPr>
          <w:t>1996</w:t>
        </w:r>
        <w:r>
          <w:rPr>
            <w:rFonts w:hint="eastAsia"/>
          </w:rPr>
          <w:t>年</w:t>
        </w:r>
        <w:r>
          <w:rPr>
            <w:rFonts w:hint="eastAsia"/>
          </w:rPr>
          <w:t>2</w:t>
        </w:r>
        <w:r>
          <w:rPr>
            <w:rFonts w:hint="eastAsia"/>
          </w:rPr>
          <w:t>月</w:t>
        </w:r>
        <w:r>
          <w:rPr>
            <w:rFonts w:hint="eastAsia"/>
          </w:rPr>
          <w:t>9</w:t>
        </w:r>
        <w:r>
          <w:rPr>
            <w:rFonts w:hint="eastAsia"/>
          </w:rPr>
          <w:t>日</w:t>
        </w:r>
      </w:smartTag>
      <w:r>
        <w:rPr>
          <w:rFonts w:hint="eastAsia"/>
        </w:rPr>
        <w:t>的第</w:t>
      </w:r>
      <w:r>
        <w:rPr>
          <w:rFonts w:hint="eastAsia"/>
        </w:rPr>
        <w:t>190/1996</w:t>
      </w:r>
      <w:r>
        <w:rPr>
          <w:rFonts w:hint="eastAsia"/>
        </w:rPr>
        <w:t>号皇家法令核准的该法的实施条例之规定。</w:t>
      </w:r>
    </w:p>
    <w:p w:rsidR="003C2E11" w:rsidRDefault="003C2E11">
      <w:pPr>
        <w:pStyle w:val="SingleTxtGC"/>
        <w:numPr>
          <w:ilvl w:val="0"/>
          <w:numId w:val="35"/>
        </w:numPr>
        <w:rPr>
          <w:rFonts w:hint="eastAsia"/>
        </w:rPr>
      </w:pPr>
      <w:smartTag w:uri="urn:schemas-microsoft-com:office:smarttags" w:element="chsdate">
        <w:smartTagPr>
          <w:attr w:name="IsROCDate" w:val="False"/>
          <w:attr w:name="IsLunarDate" w:val="False"/>
          <w:attr w:name="Day" w:val="26"/>
          <w:attr w:name="Month" w:val="9"/>
          <w:attr w:name="Year" w:val="1979"/>
        </w:smartTagPr>
        <w:r>
          <w:rPr>
            <w:rFonts w:hint="eastAsia"/>
          </w:rPr>
          <w:t>1979</w:t>
        </w:r>
        <w:r>
          <w:rPr>
            <w:rFonts w:hint="eastAsia"/>
          </w:rPr>
          <w:t>年</w:t>
        </w:r>
        <w:r>
          <w:rPr>
            <w:rFonts w:hint="eastAsia"/>
          </w:rPr>
          <w:t>9</w:t>
        </w:r>
        <w:r>
          <w:rPr>
            <w:rFonts w:hint="eastAsia"/>
          </w:rPr>
          <w:t>月</w:t>
        </w:r>
        <w:r>
          <w:rPr>
            <w:rFonts w:hint="eastAsia"/>
          </w:rPr>
          <w:t>26</w:t>
        </w:r>
        <w:r>
          <w:rPr>
            <w:rFonts w:hint="eastAsia"/>
          </w:rPr>
          <w:t>日</w:t>
        </w:r>
      </w:smartTag>
      <w:r>
        <w:rPr>
          <w:rFonts w:hint="eastAsia"/>
        </w:rPr>
        <w:t>的第</w:t>
      </w:r>
      <w:r>
        <w:rPr>
          <w:rFonts w:hint="eastAsia"/>
        </w:rPr>
        <w:t>1/1979</w:t>
      </w:r>
      <w:r>
        <w:rPr>
          <w:rFonts w:hint="eastAsia"/>
        </w:rPr>
        <w:t>号《监狱通则组织法》。在其第</w:t>
      </w:r>
      <w:r>
        <w:rPr>
          <w:rFonts w:hint="eastAsia"/>
        </w:rPr>
        <w:t>15</w:t>
      </w:r>
      <w:r>
        <w:rPr>
          <w:rFonts w:hint="eastAsia"/>
        </w:rPr>
        <w:t>条中明确规定“</w:t>
      </w:r>
      <w:r>
        <w:rPr>
          <w:rFonts w:hint="eastAsia"/>
        </w:rPr>
        <w:t xml:space="preserve">1. </w:t>
      </w:r>
      <w:r>
        <w:rPr>
          <w:rFonts w:hint="eastAsia"/>
        </w:rPr>
        <w:t>将被逮捕、被拘留或被判刑人员收押入任何监狱机构的行为应当依照主管当局的指令或命令执行。</w:t>
      </w:r>
      <w:r>
        <w:rPr>
          <w:rFonts w:hint="eastAsia"/>
        </w:rPr>
        <w:t xml:space="preserve">2. </w:t>
      </w:r>
      <w:r>
        <w:rPr>
          <w:rFonts w:hint="eastAsia"/>
        </w:rPr>
        <w:t>应当针对每一名囚犯编制一份个人档案，其中包含囚犯有权了解的与审理状况和羁押状况有关的信息，应针对每一名服刑人员编制一份个人情报档案”。</w:t>
      </w:r>
    </w:p>
    <w:p w:rsidR="003C2E11" w:rsidRDefault="003C2E11">
      <w:pPr>
        <w:pStyle w:val="SingleTxtGC"/>
        <w:numPr>
          <w:ilvl w:val="0"/>
          <w:numId w:val="35"/>
        </w:numPr>
      </w:pPr>
      <w:smartTag w:uri="urn:schemas-microsoft-com:office:smarttags" w:element="chsdate">
        <w:smartTagPr>
          <w:attr w:name="IsROCDate" w:val="False"/>
          <w:attr w:name="IsLunarDate" w:val="False"/>
          <w:attr w:name="Day" w:val="9"/>
          <w:attr w:name="Month" w:val="2"/>
          <w:attr w:name="Year" w:val="1996"/>
        </w:smartTagPr>
        <w:r>
          <w:rPr>
            <w:rFonts w:hint="eastAsia"/>
          </w:rPr>
          <w:t>1996</w:t>
        </w:r>
        <w:r>
          <w:rPr>
            <w:rFonts w:hint="eastAsia"/>
          </w:rPr>
          <w:t>年</w:t>
        </w:r>
        <w:r>
          <w:rPr>
            <w:rFonts w:hint="eastAsia"/>
          </w:rPr>
          <w:t>2</w:t>
        </w:r>
        <w:r>
          <w:rPr>
            <w:rFonts w:hint="eastAsia"/>
          </w:rPr>
          <w:t>月</w:t>
        </w:r>
        <w:r>
          <w:rPr>
            <w:rFonts w:hint="eastAsia"/>
          </w:rPr>
          <w:t>9</w:t>
        </w:r>
        <w:r>
          <w:rPr>
            <w:rFonts w:hint="eastAsia"/>
          </w:rPr>
          <w:t>日</w:t>
        </w:r>
      </w:smartTag>
      <w:r>
        <w:rPr>
          <w:rFonts w:hint="eastAsia"/>
        </w:rPr>
        <w:t>的第</w:t>
      </w:r>
      <w:r>
        <w:rPr>
          <w:rFonts w:hint="eastAsia"/>
        </w:rPr>
        <w:t>190/1996</w:t>
      </w:r>
      <w:r>
        <w:rPr>
          <w:rFonts w:hint="eastAsia"/>
        </w:rPr>
        <w:t>号皇家法令，据以核准《监狱管理实施条例》，在其第</w:t>
      </w:r>
      <w:r>
        <w:rPr>
          <w:rFonts w:hint="eastAsia"/>
        </w:rPr>
        <w:t>15</w:t>
      </w:r>
      <w:r>
        <w:rPr>
          <w:rFonts w:hint="eastAsia"/>
        </w:rPr>
        <w:t>条和第</w:t>
      </w:r>
      <w:r>
        <w:rPr>
          <w:rFonts w:hint="eastAsia"/>
        </w:rPr>
        <w:t>18</w:t>
      </w:r>
      <w:r>
        <w:rPr>
          <w:rFonts w:hint="eastAsia"/>
        </w:rPr>
        <w:t>条中对此做出了具体规定。</w:t>
      </w:r>
      <w:r>
        <w:rPr>
          <w:rStyle w:val="FootnoteReference"/>
        </w:rPr>
        <w:footnoteReference w:id="4"/>
      </w:r>
      <w:r>
        <w:rPr>
          <w:rStyle w:val="FootnoteReference"/>
        </w:rPr>
        <w:t xml:space="preserve"> </w:t>
      </w:r>
      <w:r>
        <w:rPr>
          <w:rFonts w:hint="eastAsia"/>
        </w:rPr>
        <w:t>根据这一法规，监狱管理部门应当在将当事人收押到监狱中时办理以下手续：</w:t>
      </w:r>
    </w:p>
    <w:p w:rsidR="003C2E11" w:rsidRDefault="003C2E11">
      <w:pPr>
        <w:pStyle w:val="SingleTxtGC"/>
        <w:numPr>
          <w:ilvl w:val="0"/>
          <w:numId w:val="37"/>
        </w:numPr>
        <w:tabs>
          <w:tab w:val="clear" w:pos="431"/>
          <w:tab w:val="clear" w:pos="1134"/>
          <w:tab w:val="clear" w:pos="1565"/>
          <w:tab w:val="clear" w:pos="1996"/>
          <w:tab w:val="clear" w:pos="2426"/>
        </w:tabs>
        <w:ind w:left="1565"/>
      </w:pPr>
      <w:r>
        <w:rPr>
          <w:rFonts w:hint="eastAsia"/>
        </w:rPr>
        <w:t>个人情况确认：这一工作程序应当从验证个人身份入手，留存其签名、指纹和照片信息档案，这些信息将在被拘押人员因任何原因被转移到其他机关或者获释时用于验证其身份。签名和指纹信息仅在第一次收监时提取，鉴于这些信息具有不变性的特点，应当在释放或者移交当事人时存档留证，用于以后的类似情况，如果再被收监的话。</w:t>
      </w:r>
    </w:p>
    <w:p w:rsidR="003C2E11" w:rsidRDefault="003C2E11">
      <w:pPr>
        <w:pStyle w:val="SingleTxtGC"/>
        <w:numPr>
          <w:ilvl w:val="0"/>
          <w:numId w:val="37"/>
        </w:numPr>
        <w:tabs>
          <w:tab w:val="clear" w:pos="431"/>
          <w:tab w:val="clear" w:pos="1134"/>
          <w:tab w:val="clear" w:pos="1565"/>
          <w:tab w:val="clear" w:pos="1996"/>
          <w:tab w:val="clear" w:pos="2426"/>
        </w:tabs>
        <w:ind w:left="1565"/>
      </w:pPr>
      <w:r>
        <w:rPr>
          <w:rFonts w:hint="eastAsia"/>
        </w:rPr>
        <w:t>登记和开立档案：在将当事人信息记录到登记册中后，随后应开立个人档案，在其中按时间顺序记录所有在监狱中发生的事件。每次收监时应重新开立档案，档案信息应由当事人最新获释的监狱存档。被拘押人员有权随时取阅此类档案的内容。</w:t>
      </w:r>
    </w:p>
    <w:p w:rsidR="003C2E11" w:rsidRDefault="003C2E11">
      <w:pPr>
        <w:pStyle w:val="SingleTxtGC"/>
      </w:pPr>
      <w:r>
        <w:t xml:space="preserve">163.  </w:t>
      </w:r>
      <w:r>
        <w:rPr>
          <w:rFonts w:hint="eastAsia"/>
        </w:rPr>
        <w:t>根据预审法官下发的司法决议认定必须被关押到外国人专门收押机构中的外国人，收押期不得超过</w:t>
      </w:r>
      <w:r>
        <w:rPr>
          <w:rFonts w:hint="eastAsia"/>
        </w:rPr>
        <w:t>60</w:t>
      </w:r>
      <w:r>
        <w:rPr>
          <w:rFonts w:hint="eastAsia"/>
        </w:rPr>
        <w:t>天，并应遵照前面提到的第</w:t>
      </w:r>
      <w:r>
        <w:rPr>
          <w:rFonts w:hint="eastAsia"/>
        </w:rPr>
        <w:t>4/2000</w:t>
      </w:r>
      <w:r>
        <w:rPr>
          <w:rFonts w:hint="eastAsia"/>
        </w:rPr>
        <w:t>号组织法及根据第</w:t>
      </w:r>
      <w:r>
        <w:rPr>
          <w:rFonts w:hint="eastAsia"/>
        </w:rPr>
        <w:t>557/2011</w:t>
      </w:r>
      <w:r>
        <w:rPr>
          <w:rFonts w:hint="eastAsia"/>
        </w:rPr>
        <w:t>号皇家法令核准的实施条例之规定执行，并将其情况和所有事件进展信息都写入相应收押机构为每一名外籍囚犯编制的个人档案中，以及《条例》第</w:t>
      </w:r>
      <w:r>
        <w:rPr>
          <w:rFonts w:hint="eastAsia"/>
        </w:rPr>
        <w:t>213</w:t>
      </w:r>
      <w:r>
        <w:rPr>
          <w:rFonts w:hint="eastAsia"/>
        </w:rPr>
        <w:t>条所指的内政部下设的外国人事务中央登记处的档案中。</w:t>
      </w:r>
    </w:p>
    <w:p w:rsidR="003C2E11" w:rsidRDefault="003C2E11">
      <w:pPr>
        <w:pStyle w:val="SingleTxtGC"/>
      </w:pPr>
      <w:r>
        <w:t xml:space="preserve">164.  </w:t>
      </w:r>
      <w:r>
        <w:rPr>
          <w:rFonts w:hint="eastAsia"/>
        </w:rPr>
        <w:t>对我们一直提到的此类登记册</w:t>
      </w:r>
      <w:r>
        <w:rPr>
          <w:rFonts w:hint="eastAsia"/>
        </w:rPr>
        <w:t>/</w:t>
      </w:r>
      <w:r>
        <w:rPr>
          <w:rFonts w:hint="eastAsia"/>
        </w:rPr>
        <w:t>档案的编制、维持和保管不仅是一项行政纪律保障，也是一项刑事保障。事实上，此类文件具有《刑法典》第</w:t>
      </w:r>
      <w:r>
        <w:rPr>
          <w:rFonts w:hint="eastAsia"/>
        </w:rPr>
        <w:t>26</w:t>
      </w:r>
      <w:r>
        <w:rPr>
          <w:rFonts w:hint="eastAsia"/>
        </w:rPr>
        <w:t>条所规定的文件属性，规定内容为“本法典所称文件，是指所有表示或者提供具有证据或者其他重要司法意义的数据、事实或者材料”，因此此类文件的销毁、保管不当或者伪造构成刑事犯罪，对此《刑法典》第</w:t>
      </w:r>
      <w:r>
        <w:rPr>
          <w:rFonts w:hint="eastAsia"/>
        </w:rPr>
        <w:t>413</w:t>
      </w:r>
      <w:r>
        <w:rPr>
          <w:rFonts w:hint="eastAsia"/>
        </w:rPr>
        <w:t>条规定如下：“当局或者公务员故意转移、销毁、报废或者隐瞒因其职务而应该管辖的全部或者部分公文或者文书的，处</w:t>
      </w:r>
      <w:r>
        <w:rPr>
          <w:rFonts w:hint="eastAsia"/>
        </w:rPr>
        <w:t>1</w:t>
      </w:r>
      <w:r>
        <w:rPr>
          <w:rFonts w:hint="eastAsia"/>
        </w:rPr>
        <w:t>年以上</w:t>
      </w:r>
      <w:r>
        <w:rPr>
          <w:rFonts w:hint="eastAsia"/>
        </w:rPr>
        <w:t>4</w:t>
      </w:r>
      <w:r>
        <w:rPr>
          <w:rFonts w:hint="eastAsia"/>
        </w:rPr>
        <w:t>年以下徒刑，并处</w:t>
      </w:r>
      <w:r>
        <w:rPr>
          <w:rFonts w:hint="eastAsia"/>
        </w:rPr>
        <w:t>7</w:t>
      </w:r>
      <w:r>
        <w:rPr>
          <w:rFonts w:hint="eastAsia"/>
        </w:rPr>
        <w:t>个月至</w:t>
      </w:r>
      <w:r>
        <w:rPr>
          <w:rFonts w:hint="eastAsia"/>
        </w:rPr>
        <w:t>24</w:t>
      </w:r>
      <w:r>
        <w:rPr>
          <w:rFonts w:hint="eastAsia"/>
        </w:rPr>
        <w:t>个月罚金，并剥夺其从事职业或者担任公职的权利</w:t>
      </w:r>
      <w:r>
        <w:rPr>
          <w:rFonts w:hint="eastAsia"/>
        </w:rPr>
        <w:t>3</w:t>
      </w:r>
      <w:r>
        <w:rPr>
          <w:rFonts w:hint="eastAsia"/>
        </w:rPr>
        <w:t>至</w:t>
      </w:r>
      <w:r>
        <w:rPr>
          <w:rFonts w:hint="eastAsia"/>
        </w:rPr>
        <w:t>6</w:t>
      </w:r>
      <w:r>
        <w:rPr>
          <w:rFonts w:hint="eastAsia"/>
        </w:rPr>
        <w:t>年”。《刑法典》第</w:t>
      </w:r>
      <w:r>
        <w:rPr>
          <w:rFonts w:hint="eastAsia"/>
        </w:rPr>
        <w:t>390</w:t>
      </w:r>
      <w:r>
        <w:rPr>
          <w:rFonts w:hint="eastAsia"/>
        </w:rPr>
        <w:t>条规定：</w:t>
      </w:r>
    </w:p>
    <w:p w:rsidR="003C2E11" w:rsidRDefault="003C2E11">
      <w:pPr>
        <w:pStyle w:val="SingleTxtGC"/>
        <w:ind w:left="1565"/>
      </w:pPr>
      <w:r>
        <w:rPr>
          <w:rFonts w:hint="eastAsia"/>
        </w:rPr>
        <w:t>“</w:t>
      </w:r>
      <w:r>
        <w:rPr>
          <w:rFonts w:hint="eastAsia"/>
        </w:rPr>
        <w:t xml:space="preserve">1. </w:t>
      </w:r>
      <w:r>
        <w:t xml:space="preserve"> </w:t>
      </w:r>
      <w:r>
        <w:rPr>
          <w:rFonts w:hint="eastAsia"/>
        </w:rPr>
        <w:t>当局或者公务员滥用职权，实施以下伪造行为的，处</w:t>
      </w:r>
      <w:r>
        <w:rPr>
          <w:rFonts w:hint="eastAsia"/>
        </w:rPr>
        <w:t>3</w:t>
      </w:r>
      <w:r>
        <w:rPr>
          <w:rFonts w:hint="eastAsia"/>
        </w:rPr>
        <w:t>年以上</w:t>
      </w:r>
      <w:r>
        <w:rPr>
          <w:rFonts w:hint="eastAsia"/>
        </w:rPr>
        <w:t>6</w:t>
      </w:r>
      <w:r>
        <w:rPr>
          <w:rFonts w:hint="eastAsia"/>
        </w:rPr>
        <w:t>年以下徒刑，处</w:t>
      </w:r>
      <w:r>
        <w:rPr>
          <w:rFonts w:hint="eastAsia"/>
        </w:rPr>
        <w:t>6</w:t>
      </w:r>
      <w:r>
        <w:rPr>
          <w:rFonts w:hint="eastAsia"/>
        </w:rPr>
        <w:t>个月至</w:t>
      </w:r>
      <w:r>
        <w:rPr>
          <w:rFonts w:hint="eastAsia"/>
        </w:rPr>
        <w:t>24</w:t>
      </w:r>
      <w:r>
        <w:rPr>
          <w:rFonts w:hint="eastAsia"/>
        </w:rPr>
        <w:t>个月罚金并剥夺其担任公职权利</w:t>
      </w:r>
      <w:r>
        <w:rPr>
          <w:rFonts w:hint="eastAsia"/>
        </w:rPr>
        <w:t>2</w:t>
      </w:r>
      <w:r>
        <w:rPr>
          <w:rFonts w:hint="eastAsia"/>
        </w:rPr>
        <w:t>至</w:t>
      </w:r>
      <w:r>
        <w:rPr>
          <w:rFonts w:hint="eastAsia"/>
        </w:rPr>
        <w:t>6</w:t>
      </w:r>
      <w:r>
        <w:rPr>
          <w:rFonts w:hint="eastAsia"/>
        </w:rPr>
        <w:t>年：</w:t>
      </w:r>
    </w:p>
    <w:p w:rsidR="003C2E11" w:rsidRDefault="003C2E11">
      <w:pPr>
        <w:pStyle w:val="SingleTxtGC"/>
        <w:ind w:left="1996"/>
      </w:pPr>
      <w:r>
        <w:t xml:space="preserve">1.  </w:t>
      </w:r>
      <w:r>
        <w:rPr>
          <w:rFonts w:hint="eastAsia"/>
        </w:rPr>
        <w:t>篡改文书的实质性内容。</w:t>
      </w:r>
    </w:p>
    <w:p w:rsidR="003C2E11" w:rsidRDefault="003C2E11">
      <w:pPr>
        <w:pStyle w:val="SingleTxtGC"/>
        <w:ind w:left="1996"/>
        <w:rPr>
          <w:rFonts w:hint="eastAsia"/>
        </w:rPr>
      </w:pPr>
      <w:r>
        <w:t xml:space="preserve">2.  </w:t>
      </w:r>
      <w:r>
        <w:rPr>
          <w:rFonts w:hint="eastAsia"/>
        </w:rPr>
        <w:t>在文书全文或者部分内容中加入不实的文字。</w:t>
      </w:r>
    </w:p>
    <w:p w:rsidR="003C2E11" w:rsidRDefault="003C2E11">
      <w:pPr>
        <w:pStyle w:val="SingleTxtGC"/>
        <w:ind w:left="1996"/>
      </w:pPr>
      <w:r>
        <w:t xml:space="preserve">3.  </w:t>
      </w:r>
      <w:r>
        <w:rPr>
          <w:rFonts w:hint="eastAsia"/>
        </w:rPr>
        <w:t>在文书中捏造毫无关系的人；或者更改其宣言或者声明中对事件的描述，使其与真实情况不同。</w:t>
      </w:r>
    </w:p>
    <w:p w:rsidR="003C2E11" w:rsidRDefault="003C2E11">
      <w:pPr>
        <w:pStyle w:val="SingleTxtGC"/>
        <w:ind w:left="1996"/>
      </w:pPr>
      <w:r>
        <w:t xml:space="preserve">4.  </w:t>
      </w:r>
      <w:r>
        <w:rPr>
          <w:rFonts w:hint="eastAsia"/>
        </w:rPr>
        <w:t>对事件的叙述不实。［……］”</w:t>
      </w:r>
    </w:p>
    <w:p w:rsidR="003C2E11" w:rsidRDefault="003C2E11">
      <w:pPr>
        <w:pStyle w:val="H23GC"/>
      </w:pPr>
      <w:r>
        <w:tab/>
        <w:t>3.</w:t>
      </w:r>
      <w:r>
        <w:tab/>
      </w:r>
      <w:r>
        <w:rPr>
          <w:rFonts w:hint="eastAsia"/>
        </w:rPr>
        <w:t>对拘留场所检查的独立机制</w:t>
      </w:r>
    </w:p>
    <w:p w:rsidR="003C2E11" w:rsidRDefault="003C2E11">
      <w:pPr>
        <w:pStyle w:val="SingleTxtGC"/>
      </w:pPr>
      <w:r>
        <w:t xml:space="preserve">165.  </w:t>
      </w:r>
      <w:r>
        <w:rPr>
          <w:rFonts w:hint="eastAsia"/>
        </w:rPr>
        <w:t>同样根据公务透明原则，所有的人员拘留、羁押和看守场所均应接受以下机构的监管：</w:t>
      </w:r>
    </w:p>
    <w:p w:rsidR="003C2E11" w:rsidRDefault="003C2E11">
      <w:pPr>
        <w:pStyle w:val="H23GC"/>
      </w:pPr>
      <w:r>
        <w:tab/>
      </w:r>
      <w:r>
        <w:rPr>
          <w:rFonts w:hint="eastAsia"/>
        </w:rPr>
        <w:t>(</w:t>
      </w:r>
      <w:r>
        <w:t>a)</w:t>
      </w:r>
      <w:r>
        <w:tab/>
      </w:r>
      <w:r>
        <w:rPr>
          <w:rFonts w:hint="eastAsia"/>
        </w:rPr>
        <w:t>联合国禁止酷刑委员会和欧洲理事会禁止酷刑委员会</w:t>
      </w:r>
    </w:p>
    <w:p w:rsidR="003C2E11" w:rsidRDefault="003C2E11">
      <w:pPr>
        <w:pStyle w:val="SingleTxtGC"/>
      </w:pPr>
      <w:r>
        <w:t xml:space="preserve">166.  </w:t>
      </w:r>
      <w:r>
        <w:rPr>
          <w:rFonts w:hint="eastAsia"/>
        </w:rPr>
        <w:t>这两家委员会的代表有权随时申请对这些场所及其运作进行查访，正如之前多次开展的查访一样，不过在已进行的查访中从未涉及过人员失踪情况。</w:t>
      </w:r>
    </w:p>
    <w:p w:rsidR="003C2E11" w:rsidRDefault="003C2E11">
      <w:pPr>
        <w:pStyle w:val="SingleTxtGC"/>
      </w:pPr>
      <w:r>
        <w:t xml:space="preserve">167.  </w:t>
      </w:r>
      <w:r>
        <w:rPr>
          <w:rFonts w:hint="eastAsia"/>
        </w:rPr>
        <w:t>一旦提出申请，内政部将在</w:t>
      </w:r>
      <w:r>
        <w:rPr>
          <w:rFonts w:hint="eastAsia"/>
        </w:rPr>
        <w:t>48</w:t>
      </w:r>
      <w:r>
        <w:rPr>
          <w:rFonts w:hint="eastAsia"/>
        </w:rPr>
        <w:t>小时内签发批文，持批文可进入任何人员拘留、羁押和看守场所，同时内政部将指定一名联系人来为委员会开展工作提供必要的协助。</w:t>
      </w:r>
    </w:p>
    <w:p w:rsidR="003C2E11" w:rsidRDefault="003C2E11">
      <w:pPr>
        <w:pStyle w:val="SingleTxtGC"/>
      </w:pPr>
      <w:r>
        <w:t xml:space="preserve">168.  </w:t>
      </w:r>
      <w:r>
        <w:rPr>
          <w:rFonts w:hint="eastAsia"/>
        </w:rPr>
        <w:t>结束查访后应要求与主管当局会晤，向当局提出其初步结论，同时不影响其特别报告。</w:t>
      </w:r>
    </w:p>
    <w:p w:rsidR="003C2E11" w:rsidRDefault="003C2E11">
      <w:pPr>
        <w:pStyle w:val="SingleTxtGC"/>
      </w:pPr>
      <w:r>
        <w:t xml:space="preserve">169.  </w:t>
      </w:r>
      <w:r>
        <w:rPr>
          <w:rFonts w:hint="eastAsia"/>
        </w:rPr>
        <w:t>欧洲理事会禁止酷刑委员会对西班牙警察机关和监狱机构的最新一次查访是在</w:t>
      </w:r>
      <w:smartTag w:uri="urn:schemas-microsoft-com:office:smarttags" w:element="chsdate">
        <w:smartTagPr>
          <w:attr w:name="Year" w:val="2011"/>
          <w:attr w:name="Month" w:val="5"/>
          <w:attr w:name="Day" w:val="31"/>
          <w:attr w:name="IsLunarDate" w:val="False"/>
          <w:attr w:name="IsROCDate" w:val="False"/>
        </w:smartTagPr>
        <w:r>
          <w:rPr>
            <w:rFonts w:hint="eastAsia"/>
          </w:rPr>
          <w:t>2011</w:t>
        </w:r>
        <w:r>
          <w:rPr>
            <w:rFonts w:hint="eastAsia"/>
          </w:rPr>
          <w:t>年</w:t>
        </w:r>
        <w:r>
          <w:rPr>
            <w:rFonts w:hint="eastAsia"/>
          </w:rPr>
          <w:t>5</w:t>
        </w:r>
        <w:r>
          <w:rPr>
            <w:rFonts w:hint="eastAsia"/>
          </w:rPr>
          <w:t>月</w:t>
        </w:r>
        <w:r>
          <w:rPr>
            <w:rFonts w:hint="eastAsia"/>
          </w:rPr>
          <w:t>31</w:t>
        </w:r>
        <w:r>
          <w:rPr>
            <w:rFonts w:hint="eastAsia"/>
          </w:rPr>
          <w:t>日</w:t>
        </w:r>
      </w:smartTag>
      <w:r>
        <w:rPr>
          <w:rFonts w:hint="eastAsia"/>
        </w:rPr>
        <w:t>至</w:t>
      </w:r>
      <w:smartTag w:uri="urn:schemas-microsoft-com:office:smarttags" w:element="chsdate">
        <w:smartTagPr>
          <w:attr w:name="Year" w:val="2013"/>
          <w:attr w:name="Month" w:val="6"/>
          <w:attr w:name="Day" w:val="13"/>
          <w:attr w:name="IsLunarDate" w:val="False"/>
          <w:attr w:name="IsROCDate" w:val="False"/>
        </w:smartTagPr>
        <w:r>
          <w:rPr>
            <w:rFonts w:hint="eastAsia"/>
          </w:rPr>
          <w:t>6</w:t>
        </w:r>
        <w:r>
          <w:rPr>
            <w:rFonts w:hint="eastAsia"/>
          </w:rPr>
          <w:t>月</w:t>
        </w:r>
        <w:r>
          <w:rPr>
            <w:rFonts w:hint="eastAsia"/>
          </w:rPr>
          <w:t>13</w:t>
        </w:r>
        <w:r>
          <w:rPr>
            <w:rFonts w:hint="eastAsia"/>
          </w:rPr>
          <w:t>日</w:t>
        </w:r>
      </w:smartTag>
      <w:r>
        <w:rPr>
          <w:rFonts w:hint="eastAsia"/>
        </w:rPr>
        <w:t>期间开展的。</w:t>
      </w:r>
    </w:p>
    <w:p w:rsidR="003C2E11" w:rsidRDefault="003C2E11">
      <w:pPr>
        <w:pStyle w:val="H23GC"/>
      </w:pPr>
      <w:r>
        <w:tab/>
      </w:r>
      <w:r>
        <w:rPr>
          <w:rFonts w:hint="eastAsia"/>
        </w:rPr>
        <w:t>(</w:t>
      </w:r>
      <w:r>
        <w:t>b)</w:t>
      </w:r>
      <w:r>
        <w:tab/>
      </w:r>
      <w:r>
        <w:rPr>
          <w:rFonts w:hint="eastAsia"/>
        </w:rPr>
        <w:t>国家预防酷刑机制</w:t>
      </w:r>
    </w:p>
    <w:p w:rsidR="003C2E11" w:rsidRDefault="003C2E11">
      <w:pPr>
        <w:pStyle w:val="SingleTxtGC"/>
      </w:pPr>
      <w:r>
        <w:t xml:space="preserve">170. </w:t>
      </w:r>
      <w:r>
        <w:rPr>
          <w:rFonts w:hint="eastAsia"/>
        </w:rPr>
        <w:t xml:space="preserve"> </w:t>
      </w:r>
      <w:r>
        <w:rPr>
          <w:rFonts w:hint="eastAsia"/>
        </w:rPr>
        <w:t>第</w:t>
      </w:r>
      <w:r>
        <w:rPr>
          <w:rFonts w:hint="eastAsia"/>
        </w:rPr>
        <w:t>3/1981</w:t>
      </w:r>
      <w:r>
        <w:rPr>
          <w:rFonts w:hint="eastAsia"/>
        </w:rPr>
        <w:t>号组织法规定：</w:t>
      </w:r>
    </w:p>
    <w:p w:rsidR="003C2E11" w:rsidRDefault="003C2E11">
      <w:pPr>
        <w:pStyle w:val="SingleTxtGC"/>
        <w:ind w:left="1565"/>
        <w:rPr>
          <w:rFonts w:hint="eastAsia"/>
        </w:rPr>
      </w:pPr>
      <w:r>
        <w:rPr>
          <w:rFonts w:hint="eastAsia"/>
        </w:rPr>
        <w:t>“最终规定：国家预防酷刑机制。</w:t>
      </w:r>
    </w:p>
    <w:p w:rsidR="003C2E11" w:rsidRDefault="003C2E11">
      <w:pPr>
        <w:pStyle w:val="SingleTxtGC"/>
        <w:ind w:left="1565"/>
        <w:rPr>
          <w:rFonts w:hint="eastAsia"/>
        </w:rPr>
      </w:pPr>
      <w:r>
        <w:rPr>
          <w:rFonts w:hint="eastAsia"/>
        </w:rPr>
        <w:t>第一：护民官应遵照《宪法》、本法律以及《</w:t>
      </w:r>
      <w:r>
        <w:t>禁止酷刑和其他残忍、不人道或有辱人格的待遇或处罚公约任择议定书</w:t>
      </w:r>
      <w:r>
        <w:rPr>
          <w:rFonts w:hint="eastAsia"/>
        </w:rPr>
        <w:t>》的规定行使国家预防酷刑机制的职能。</w:t>
      </w:r>
    </w:p>
    <w:p w:rsidR="003C2E11" w:rsidRDefault="003C2E11">
      <w:pPr>
        <w:pStyle w:val="SingleTxtGC"/>
        <w:ind w:left="1565"/>
      </w:pPr>
      <w:r>
        <w:rPr>
          <w:rFonts w:hint="eastAsia"/>
        </w:rPr>
        <w:t>第二：设立一家咨询委员会，作为在行使国家预防酷刑机制职能方面的技术和法律合作机构，委员会主席由护民官助理担任，代行本规定所列职责。其组织结构、成员构成和运作管理通过实施条例规范”。</w:t>
      </w:r>
    </w:p>
    <w:p w:rsidR="003C2E11" w:rsidRDefault="003C2E11">
      <w:pPr>
        <w:pStyle w:val="SingleTxtGC"/>
      </w:pPr>
      <w:r>
        <w:t xml:space="preserve">171.  </w:t>
      </w:r>
      <w:r>
        <w:rPr>
          <w:rFonts w:hint="eastAsia"/>
        </w:rPr>
        <w:t>为落实这一规定，护民官比照联合国禁止酷刑小组委员会的做法，从预防角度开展工作。有鉴于此，护民官对关押被剥夺自由者的地点进行了秘密性常规检查，编制并发布年度报告并向负责机关建言献策，针对现行立法提出意见和提案，与联合国禁止酷刑问题小组委员会保持直接联系并敦促开展各类与国家预防酷刑机制的各项活动有关问题的宣传、推广和提高认识活动。</w:t>
      </w:r>
    </w:p>
    <w:p w:rsidR="003C2E11" w:rsidRDefault="003C2E11">
      <w:pPr>
        <w:pStyle w:val="SingleTxtGC"/>
        <w:rPr>
          <w:rStyle w:val="FootnoteReference"/>
        </w:rPr>
      </w:pPr>
      <w:r>
        <w:t xml:space="preserve">172.  </w:t>
      </w:r>
      <w:r>
        <w:rPr>
          <w:rFonts w:hint="eastAsia"/>
        </w:rPr>
        <w:t>在</w:t>
      </w:r>
      <w:r>
        <w:rPr>
          <w:rFonts w:hint="eastAsia"/>
        </w:rPr>
        <w:t>2010</w:t>
      </w:r>
      <w:r>
        <w:rPr>
          <w:rFonts w:hint="eastAsia"/>
        </w:rPr>
        <w:t>年期间，国家预防酷刑机制实施开展了多次查访，到</w:t>
      </w:r>
      <w:r>
        <w:rPr>
          <w:rFonts w:hint="eastAsia"/>
        </w:rPr>
        <w:t>2011</w:t>
      </w:r>
      <w:r>
        <w:rPr>
          <w:rFonts w:hint="eastAsia"/>
        </w:rPr>
        <w:t>年中期发布了首次年度报告，报告内容可在其网站上查阅。</w:t>
      </w:r>
      <w:r>
        <w:rPr>
          <w:rStyle w:val="FootnoteReference"/>
        </w:rPr>
        <w:footnoteReference w:id="5"/>
      </w:r>
    </w:p>
    <w:p w:rsidR="003C2E11" w:rsidRDefault="003C2E11">
      <w:pPr>
        <w:pStyle w:val="H23GC"/>
      </w:pPr>
      <w:r>
        <w:tab/>
      </w:r>
      <w:r>
        <w:rPr>
          <w:rFonts w:hint="eastAsia"/>
        </w:rPr>
        <w:t>(</w:t>
      </w:r>
      <w:r>
        <w:t>c)</w:t>
      </w:r>
      <w:r>
        <w:tab/>
      </w:r>
      <w:r>
        <w:rPr>
          <w:rFonts w:hint="eastAsia"/>
        </w:rPr>
        <w:t>监狱中心</w:t>
      </w:r>
    </w:p>
    <w:p w:rsidR="003C2E11" w:rsidRDefault="003C2E11">
      <w:pPr>
        <w:pStyle w:val="SingleTxtGC"/>
        <w:rPr>
          <w:rFonts w:hint="eastAsia"/>
        </w:rPr>
      </w:pPr>
      <w:r>
        <w:t xml:space="preserve">173.  </w:t>
      </w:r>
      <w:r>
        <w:rPr>
          <w:rFonts w:hint="eastAsia"/>
        </w:rPr>
        <w:t>应当指出：</w:t>
      </w:r>
    </w:p>
    <w:p w:rsidR="003C2E11" w:rsidRDefault="003C2E11">
      <w:pPr>
        <w:pStyle w:val="SingleTxtGC"/>
        <w:numPr>
          <w:ilvl w:val="0"/>
          <w:numId w:val="39"/>
        </w:numPr>
      </w:pPr>
      <w:r>
        <w:rPr>
          <w:rFonts w:hint="eastAsia"/>
        </w:rPr>
        <w:t>在不影响总体保障制度实施的情况下，《监狱通则》这一组织法赋予狱政监管法官以下主要职责：</w:t>
      </w:r>
    </w:p>
    <w:p w:rsidR="003C2E11" w:rsidRDefault="003C2E11">
      <w:pPr>
        <w:pStyle w:val="Bullet1GC"/>
        <w:tabs>
          <w:tab w:val="clear" w:pos="1996"/>
          <w:tab w:val="num" w:pos="2484"/>
        </w:tabs>
        <w:ind w:left="2484"/>
      </w:pPr>
      <w:r>
        <w:rPr>
          <w:rFonts w:hint="eastAsia"/>
          <w:color w:val="000000"/>
        </w:rPr>
        <w:t>保护囚犯的各项权利，纠正在落实狱政制度方面可能会发生的滥用职权和偏差行为。</w:t>
      </w:r>
    </w:p>
    <w:p w:rsidR="003C2E11" w:rsidRDefault="003C2E11">
      <w:pPr>
        <w:pStyle w:val="Bullet1GC"/>
        <w:tabs>
          <w:tab w:val="clear" w:pos="1996"/>
          <w:tab w:val="num" w:pos="2484"/>
        </w:tabs>
        <w:ind w:left="2484"/>
      </w:pPr>
      <w:r>
        <w:rPr>
          <w:rFonts w:hint="eastAsia"/>
        </w:rPr>
        <w:t>批准实施十四天以上的隔离监禁制裁。</w:t>
      </w:r>
    </w:p>
    <w:p w:rsidR="003C2E11" w:rsidRDefault="003C2E11">
      <w:pPr>
        <w:pStyle w:val="Bullet1GC"/>
        <w:tabs>
          <w:tab w:val="clear" w:pos="1996"/>
          <w:tab w:val="num" w:pos="2484"/>
        </w:tabs>
        <w:ind w:left="2484"/>
        <w:rPr>
          <w:rFonts w:hint="eastAsia"/>
        </w:rPr>
      </w:pPr>
      <w:r>
        <w:rPr>
          <w:rFonts w:hint="eastAsia"/>
        </w:rPr>
        <w:t>针对囚犯不服纪律惩治措施而提出申诉的情况做出决议。</w:t>
      </w:r>
    </w:p>
    <w:p w:rsidR="003C2E11" w:rsidRDefault="003C2E11">
      <w:pPr>
        <w:pStyle w:val="Bullet1GC"/>
        <w:tabs>
          <w:tab w:val="clear" w:pos="1996"/>
          <w:tab w:val="num" w:pos="2484"/>
        </w:tabs>
        <w:ind w:left="2484"/>
        <w:rPr>
          <w:rFonts w:hint="eastAsia"/>
        </w:rPr>
      </w:pPr>
      <w:r>
        <w:rPr>
          <w:rFonts w:hint="eastAsia"/>
        </w:rPr>
        <w:t>针对囚犯就监狱制度和监狱处置影响到囚犯的基本权利或者权益而提出的申诉或控告做出裁定。</w:t>
      </w:r>
    </w:p>
    <w:p w:rsidR="003C2E11" w:rsidRDefault="003C2E11">
      <w:pPr>
        <w:pStyle w:val="Bullet1GC"/>
        <w:tabs>
          <w:tab w:val="clear" w:pos="1996"/>
          <w:tab w:val="num" w:pos="2484"/>
        </w:tabs>
        <w:ind w:left="2484"/>
      </w:pPr>
      <w:r>
        <w:rPr>
          <w:rFonts w:hint="eastAsia"/>
        </w:rPr>
        <w:t>对《刑事审判法》所指的监狱场所进行查访。</w:t>
      </w:r>
    </w:p>
    <w:p w:rsidR="003C2E11" w:rsidRDefault="003C2E11">
      <w:pPr>
        <w:pStyle w:val="SingleTxtGC"/>
        <w:numPr>
          <w:ilvl w:val="0"/>
          <w:numId w:val="39"/>
        </w:numPr>
      </w:pPr>
      <w:r>
        <w:rPr>
          <w:rFonts w:hint="eastAsia"/>
        </w:rPr>
        <w:t>在实践中，狱政监管法官，作为司法机关的成员，不属于监狱管理机构的管辖范围，负责对监狱机构进行日常查访，其主要查访内容就是与囚犯进行交流并受理其申诉和请愿事项。</w:t>
      </w:r>
    </w:p>
    <w:p w:rsidR="003C2E11" w:rsidRDefault="003C2E11">
      <w:pPr>
        <w:pStyle w:val="SingleTxtGC"/>
        <w:numPr>
          <w:ilvl w:val="0"/>
          <w:numId w:val="39"/>
        </w:numPr>
      </w:pPr>
      <w:r>
        <w:rPr>
          <w:rFonts w:hint="eastAsia"/>
        </w:rPr>
        <w:t>监狱是一个互相影响的共存空间，相当于一个小型的社会，不同的非政府组织和机构通过合作的方式参与其中，承担对囚犯的改造和支持工作。这使得监狱成为面向家庭、律师、教会、联合会及各类团体开放的场所，这构成了监狱日常生活的一部分，同时，从逻辑上看，还构成了对监狱活动的保障。当前与监狱管理部门开展合作的有超过</w:t>
      </w:r>
      <w:r>
        <w:rPr>
          <w:rFonts w:hint="eastAsia"/>
        </w:rPr>
        <w:t>700</w:t>
      </w:r>
      <w:r>
        <w:rPr>
          <w:rFonts w:hint="eastAsia"/>
        </w:rPr>
        <w:t>家组织，外部合作伙伴的数量达到</w:t>
      </w:r>
      <w:r>
        <w:rPr>
          <w:rFonts w:hint="eastAsia"/>
        </w:rPr>
        <w:t>6,500</w:t>
      </w:r>
      <w:r>
        <w:rPr>
          <w:rFonts w:hint="eastAsia"/>
        </w:rPr>
        <w:t>个。</w:t>
      </w:r>
    </w:p>
    <w:p w:rsidR="003C2E11" w:rsidRDefault="003C2E11">
      <w:pPr>
        <w:pStyle w:val="H23GC"/>
      </w:pPr>
      <w:r>
        <w:tab/>
        <w:t>4.</w:t>
      </w:r>
      <w:r>
        <w:tab/>
      </w:r>
      <w:r>
        <w:rPr>
          <w:rFonts w:hint="eastAsia"/>
        </w:rPr>
        <w:t>对监狱中心进行检查的行政单位</w:t>
      </w:r>
    </w:p>
    <w:p w:rsidR="003C2E11" w:rsidRDefault="003C2E11">
      <w:pPr>
        <w:pStyle w:val="SingleTxtGC"/>
        <w:rPr>
          <w:rFonts w:hint="eastAsia"/>
        </w:rPr>
      </w:pPr>
      <w:r>
        <w:t xml:space="preserve">174.  </w:t>
      </w:r>
      <w:r>
        <w:rPr>
          <w:rFonts w:hint="eastAsia"/>
        </w:rPr>
        <w:t>对监狱事务实施监察的主管行政单位是内政部下设的狱政机关总秘书处，属于总局一级，行使对狱政服务、机关和单位的监管职能，特别是对监狱人员、工作程序、设施和配置，以及与该部门公务员的机密信息处理和纪律档案实施监察。总之，西班牙法律设立了一项针对剥夺自由的完善的保障体系，具有公务透明的特点，据以消除了一切《公约》第十七条所指的“秘密拘留”的可能性。</w:t>
      </w:r>
    </w:p>
    <w:p w:rsidR="003C2E11" w:rsidRDefault="003C2E11">
      <w:pPr>
        <w:pStyle w:val="H1GC"/>
      </w:pPr>
      <w:r>
        <w:tab/>
      </w:r>
      <w:r>
        <w:tab/>
      </w:r>
      <w:bookmarkStart w:id="21" w:name="_Toc351380609"/>
      <w:r>
        <w:rPr>
          <w:rFonts w:hint="eastAsia"/>
        </w:rPr>
        <w:t>第十八条</w:t>
      </w:r>
      <w:r>
        <w:rPr>
          <w:rFonts w:hint="eastAsia"/>
        </w:rPr>
        <w:br/>
      </w:r>
      <w:r>
        <w:rPr>
          <w:rFonts w:hint="eastAsia"/>
        </w:rPr>
        <w:t>保障</w:t>
      </w:r>
      <w:bookmarkEnd w:id="21"/>
    </w:p>
    <w:p w:rsidR="003C2E11" w:rsidRDefault="003C2E11">
      <w:pPr>
        <w:pStyle w:val="SingleTxtGC"/>
      </w:pPr>
      <w:r>
        <w:t xml:space="preserve">175.  </w:t>
      </w:r>
      <w:r>
        <w:rPr>
          <w:rFonts w:hint="eastAsia"/>
        </w:rPr>
        <w:t>需要指出的是，在对《公约》第十七条进行论述时，一开始就提到了相应的官方记录册，在其中强制性要求记录或者证实对当事人的侦查、拘捕、羁押、收押到官方机构或者监狱机构中的事实，以及与这一剥夺自由相关的一切事件和情节。</w:t>
      </w:r>
    </w:p>
    <w:p w:rsidR="003C2E11" w:rsidRDefault="003C2E11">
      <w:pPr>
        <w:pStyle w:val="SingleTxtGC"/>
      </w:pPr>
      <w:r>
        <w:t xml:space="preserve">176.  </w:t>
      </w:r>
      <w:r>
        <w:rPr>
          <w:rFonts w:hint="eastAsia"/>
        </w:rPr>
        <w:t>此类官方登记册可由主管法官和法庭以及检察机关调阅，上述机关和工作人员可以出于职责需要或者应具有合法资格的当事人要求对此类信息进行调阅。此外，被逮捕、监禁或收押人员的辩护律师也具有调阅资料的权限，可以采取一切行动来捍卫其客户利益，其中就包括申请或查阅上述文件。</w:t>
      </w:r>
    </w:p>
    <w:p w:rsidR="003C2E11" w:rsidRDefault="003C2E11">
      <w:pPr>
        <w:pStyle w:val="SingleTxtGC"/>
      </w:pPr>
      <w:r>
        <w:t xml:space="preserve">177.  </w:t>
      </w:r>
      <w:r>
        <w:rPr>
          <w:rFonts w:hint="eastAsia"/>
        </w:rPr>
        <w:t>本条第一款规定各缔约国应保证具有合法利益的所有人都有权获得与剥夺自由者相关的特定信息。</w:t>
      </w:r>
    </w:p>
    <w:p w:rsidR="003C2E11" w:rsidRDefault="003C2E11">
      <w:pPr>
        <w:pStyle w:val="SingleTxtGC"/>
      </w:pPr>
      <w:r>
        <w:t xml:space="preserve">178.  </w:t>
      </w:r>
      <w:r>
        <w:rPr>
          <w:rFonts w:hint="eastAsia"/>
        </w:rPr>
        <w:t>因此，应当指出在这方面可由被剥夺自由者本人申请</w:t>
      </w:r>
      <w:r>
        <w:rPr>
          <w:rFonts w:hint="eastAsia"/>
        </w:rPr>
        <w:t>(</w:t>
      </w:r>
      <w:r>
        <w:rPr>
          <w:rFonts w:hint="eastAsia"/>
        </w:rPr>
        <w:t>《人身保护法》第</w:t>
      </w:r>
      <w:r>
        <w:rPr>
          <w:rFonts w:hint="eastAsia"/>
        </w:rPr>
        <w:t>3.a</w:t>
      </w:r>
      <w:r>
        <w:rPr>
          <w:rFonts w:hint="eastAsia"/>
        </w:rPr>
        <w:t>条和第</w:t>
      </w:r>
      <w:r>
        <w:rPr>
          <w:rFonts w:hint="eastAsia"/>
        </w:rPr>
        <w:t>5</w:t>
      </w:r>
      <w:r>
        <w:rPr>
          <w:rFonts w:hint="eastAsia"/>
        </w:rPr>
        <w:t>条</w:t>
      </w:r>
      <w:r>
        <w:rPr>
          <w:rFonts w:hint="eastAsia"/>
        </w:rPr>
        <w:t>)</w:t>
      </w:r>
      <w:r>
        <w:rPr>
          <w:rFonts w:hint="eastAsia"/>
        </w:rPr>
        <w:t>或者由司法法院、护民官及检察机关依职责需要提起人身保护诉讼</w:t>
      </w:r>
      <w:r>
        <w:rPr>
          <w:rFonts w:hint="eastAsia"/>
        </w:rPr>
        <w:t>(</w:t>
      </w:r>
      <w:r>
        <w:rPr>
          <w:rFonts w:hint="eastAsia"/>
        </w:rPr>
        <w:t>遵照前面提到的第</w:t>
      </w:r>
      <w:r>
        <w:rPr>
          <w:rFonts w:hint="eastAsia"/>
        </w:rPr>
        <w:t>6/1984</w:t>
      </w:r>
      <w:r>
        <w:rPr>
          <w:rFonts w:hint="eastAsia"/>
        </w:rPr>
        <w:t>号组织法执行，该法旨在使任何遭遇非法拘禁的人员被立即释放或者交由司法机关处置</w:t>
      </w:r>
      <w:r>
        <w:rPr>
          <w:rFonts w:hint="eastAsia"/>
        </w:rPr>
        <w:t>)</w:t>
      </w:r>
      <w:r>
        <w:rPr>
          <w:rFonts w:hint="eastAsia"/>
        </w:rPr>
        <w:t>，此项举措已经在关于第十七条的论述中进行了说明，同时不妨碍依照由法律上规定的有合法利益的人，包括被剥夺自由者的配偶或者具有类似关系的人员、长辈、后辈、兄弟姐妹或者兄弟姐妹等亲属及其合法代理人提起此类诉讼</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3C2E11" w:rsidRDefault="003C2E11">
      <w:pPr>
        <w:pStyle w:val="SingleTxtGC"/>
      </w:pPr>
      <w:r>
        <w:t xml:space="preserve">179.  </w:t>
      </w:r>
      <w:r>
        <w:rPr>
          <w:rFonts w:hint="eastAsia"/>
        </w:rPr>
        <w:t>如果主管法官决定启动人身保护诉讼程序，则在这一程序中所有的上述人员和机构均有权接收法官认为与被拘捕者情况以及其被羁押在实施拘捕的警察机关中的情况有关的信息。</w:t>
      </w:r>
    </w:p>
    <w:p w:rsidR="003C2E11" w:rsidRDefault="003C2E11">
      <w:pPr>
        <w:pStyle w:val="SingleTxtGC"/>
      </w:pPr>
      <w:r>
        <w:t xml:space="preserve">180.  </w:t>
      </w:r>
      <w:r>
        <w:rPr>
          <w:rFonts w:hint="eastAsia"/>
        </w:rPr>
        <w:t>另一方面，在任何合法拘禁情况下，被拘捕人员的亲属、代表和律师应按照《刑事审判法》之规定完全了解与剥夺自由相关的信息</w:t>
      </w:r>
      <w:r>
        <w:rPr>
          <w:rFonts w:hint="eastAsia"/>
        </w:rPr>
        <w:t>(</w:t>
      </w:r>
      <w:r>
        <w:rPr>
          <w:rFonts w:hint="eastAsia"/>
        </w:rPr>
        <w:t>参见第</w:t>
      </w:r>
      <w:r>
        <w:rPr>
          <w:rFonts w:hint="eastAsia"/>
        </w:rPr>
        <w:t>520</w:t>
      </w:r>
      <w:r>
        <w:rPr>
          <w:rFonts w:hint="eastAsia"/>
        </w:rPr>
        <w:t>条</w:t>
      </w:r>
      <w:r>
        <w:rPr>
          <w:rFonts w:hint="eastAsia"/>
        </w:rPr>
        <w:t>)</w:t>
      </w:r>
      <w:r>
        <w:rPr>
          <w:rFonts w:hint="eastAsia"/>
        </w:rPr>
        <w:t>。</w:t>
      </w:r>
    </w:p>
    <w:p w:rsidR="003C2E11" w:rsidRDefault="003C2E11">
      <w:pPr>
        <w:pStyle w:val="SingleTxtGC"/>
      </w:pPr>
      <w:r>
        <w:t xml:space="preserve">181.  </w:t>
      </w:r>
      <w:r>
        <w:rPr>
          <w:rFonts w:hint="eastAsia"/>
        </w:rPr>
        <w:t>在向被拘捕者提供法律援助方面，也应当注意到《刑法典》第</w:t>
      </w:r>
      <w:r>
        <w:rPr>
          <w:rFonts w:hint="eastAsia"/>
        </w:rPr>
        <w:t>537</w:t>
      </w:r>
      <w:r>
        <w:rPr>
          <w:rFonts w:hint="eastAsia"/>
        </w:rPr>
        <w:t>条的规定</w:t>
      </w:r>
      <w:r>
        <w:rPr>
          <w:rFonts w:hint="eastAsia"/>
        </w:rPr>
        <w:t>(</w:t>
      </w:r>
      <w:r>
        <w:rPr>
          <w:rFonts w:hint="eastAsia"/>
        </w:rPr>
        <w:t>当局或者公务员利用职权或在其拘禁罪犯过程中，拒绝或者阻碍律师会见被告或者囚犯，或为造成以上结果提供便利或客观上造成了以上结果的，或不及时通报以上信息的，处四至十个月罚金，并剥夺从事职业或者担任公职的权利二至四年</w:t>
      </w:r>
      <w:r>
        <w:rPr>
          <w:rFonts w:hint="eastAsia"/>
        </w:rPr>
        <w:t>)</w:t>
      </w:r>
      <w:r>
        <w:rPr>
          <w:rFonts w:hint="eastAsia"/>
        </w:rPr>
        <w:t>。</w:t>
      </w:r>
    </w:p>
    <w:p w:rsidR="003C2E11" w:rsidRDefault="003C2E11">
      <w:pPr>
        <w:pStyle w:val="SingleTxtGC"/>
      </w:pPr>
      <w:r>
        <w:t xml:space="preserve">182.  </w:t>
      </w:r>
      <w:r>
        <w:rPr>
          <w:rFonts w:hint="eastAsia"/>
        </w:rPr>
        <w:t>此外，考虑到监狱环境的重要性，应援引</w:t>
      </w:r>
      <w:smartTag w:uri="urn:schemas-microsoft-com:office:smarttags" w:element="chsdate">
        <w:smartTagPr>
          <w:attr w:name="Year" w:val="1979"/>
          <w:attr w:name="Month" w:val="9"/>
          <w:attr w:name="Day" w:val="26"/>
          <w:attr w:name="IsLunarDate" w:val="False"/>
          <w:attr w:name="IsROCDate" w:val="False"/>
        </w:smartTagPr>
        <w:r>
          <w:rPr>
            <w:rFonts w:hint="eastAsia"/>
          </w:rPr>
          <w:t>1979</w:t>
        </w:r>
        <w:r>
          <w:rPr>
            <w:rFonts w:hint="eastAsia"/>
          </w:rPr>
          <w:t>年</w:t>
        </w:r>
        <w:r>
          <w:rPr>
            <w:rFonts w:hint="eastAsia"/>
          </w:rPr>
          <w:t>9</w:t>
        </w:r>
        <w:r>
          <w:rPr>
            <w:rFonts w:hint="eastAsia"/>
          </w:rPr>
          <w:t>月</w:t>
        </w:r>
        <w:r>
          <w:rPr>
            <w:rFonts w:hint="eastAsia"/>
          </w:rPr>
          <w:t>26</w:t>
        </w:r>
        <w:r>
          <w:rPr>
            <w:rFonts w:hint="eastAsia"/>
          </w:rPr>
          <w:t>日</w:t>
        </w:r>
      </w:smartTag>
      <w:r>
        <w:rPr>
          <w:rFonts w:hint="eastAsia"/>
        </w:rPr>
        <w:t>关于监狱通则的第</w:t>
      </w:r>
      <w:r>
        <w:rPr>
          <w:rFonts w:hint="eastAsia"/>
        </w:rPr>
        <w:t>1/1979</w:t>
      </w:r>
      <w:r>
        <w:rPr>
          <w:rFonts w:hint="eastAsia"/>
        </w:rPr>
        <w:t>号组织法第</w:t>
      </w:r>
      <w:r>
        <w:rPr>
          <w:rFonts w:hint="eastAsia"/>
        </w:rPr>
        <w:t>51</w:t>
      </w:r>
      <w:r>
        <w:rPr>
          <w:rFonts w:hint="eastAsia"/>
        </w:rPr>
        <w:t>条和第</w:t>
      </w:r>
      <w:r>
        <w:rPr>
          <w:rFonts w:hint="eastAsia"/>
        </w:rPr>
        <w:t>52</w:t>
      </w:r>
      <w:r>
        <w:rPr>
          <w:rFonts w:hint="eastAsia"/>
        </w:rPr>
        <w:t>条的规定：</w:t>
      </w:r>
    </w:p>
    <w:p w:rsidR="003C2E11" w:rsidRDefault="003C2E11">
      <w:pPr>
        <w:pStyle w:val="SingleTxtGC"/>
        <w:ind w:left="1565"/>
        <w:rPr>
          <w:rFonts w:hint="eastAsia"/>
        </w:rPr>
      </w:pPr>
      <w:r>
        <w:rPr>
          <w:rFonts w:hint="eastAsia"/>
        </w:rPr>
        <w:t>“第</w:t>
      </w:r>
      <w:r>
        <w:rPr>
          <w:rFonts w:hint="eastAsia"/>
        </w:rPr>
        <w:t>51</w:t>
      </w:r>
      <w:r>
        <w:rPr>
          <w:rFonts w:hint="eastAsia"/>
        </w:rPr>
        <w:t>条：</w:t>
      </w:r>
      <w:r>
        <w:rPr>
          <w:rFonts w:hint="eastAsia"/>
        </w:rPr>
        <w:t xml:space="preserve">1. </w:t>
      </w:r>
      <w:r>
        <w:rPr>
          <w:rFonts w:hint="eastAsia"/>
        </w:rPr>
        <w:t>囚犯应被批准以口头及书面方式，以其自身的语言与其家属、朋友以及监狱合作组织和机构允许的代表进行沟通，但法律规定断绝与外界联系的情况除外；</w:t>
      </w:r>
      <w:r>
        <w:rPr>
          <w:rFonts w:hint="eastAsia"/>
        </w:rPr>
        <w:t xml:space="preserve">2. </w:t>
      </w:r>
      <w:r>
        <w:rPr>
          <w:rFonts w:hint="eastAsia"/>
        </w:rPr>
        <w:t>囚犯与其辩护律师或者被明确指定为刑事诉讼辩护律师或者为其提供辩护的公设辩护人的会面应当在适当的场所进行，并不得被中断或干涉，但司法当局明令禁止或者涉嫌恐怖主义的情况除外；</w:t>
      </w:r>
      <w:r>
        <w:rPr>
          <w:rFonts w:hint="eastAsia"/>
        </w:rPr>
        <w:t xml:space="preserve">3. </w:t>
      </w:r>
      <w:r>
        <w:rPr>
          <w:rFonts w:hint="eastAsia"/>
        </w:rPr>
        <w:t>在指定的会面场所中，可以允许囚犯与相关的专业人士、社会工作者、牧师或者神职人员进行沟通；</w:t>
      </w:r>
      <w:r>
        <w:rPr>
          <w:rFonts w:hint="eastAsia"/>
        </w:rPr>
        <w:t xml:space="preserve">4. </w:t>
      </w:r>
      <w:r>
        <w:rPr>
          <w:rFonts w:hint="eastAsia"/>
        </w:rPr>
        <w:t>本条规定的沟通可通过电话方式进行。</w:t>
      </w:r>
    </w:p>
    <w:p w:rsidR="003C2E11" w:rsidRDefault="003C2E11">
      <w:pPr>
        <w:pStyle w:val="SingleTxtGC"/>
        <w:ind w:left="1565"/>
        <w:rPr>
          <w:rFonts w:hint="eastAsia"/>
        </w:rPr>
      </w:pPr>
      <w:r>
        <w:rPr>
          <w:rFonts w:hint="eastAsia"/>
        </w:rPr>
        <w:t>第</w:t>
      </w:r>
      <w:r>
        <w:rPr>
          <w:rFonts w:hint="eastAsia"/>
        </w:rPr>
        <w:t>52</w:t>
      </w:r>
      <w:r>
        <w:rPr>
          <w:rFonts w:hint="eastAsia"/>
        </w:rPr>
        <w:t>条：</w:t>
      </w:r>
      <w:r>
        <w:rPr>
          <w:rFonts w:hint="eastAsia"/>
        </w:rPr>
        <w:t xml:space="preserve">1. </w:t>
      </w:r>
      <w:r>
        <w:rPr>
          <w:rFonts w:hint="eastAsia"/>
        </w:rPr>
        <w:t>在囚犯死亡、患有严重疾病或者遭遇严重事故的情况下，当局应通知其近亲属或者囚犯指定的人员；</w:t>
      </w:r>
      <w:r>
        <w:rPr>
          <w:rFonts w:hint="eastAsia"/>
        </w:rPr>
        <w:t xml:space="preserve">2. </w:t>
      </w:r>
      <w:r>
        <w:rPr>
          <w:rFonts w:hint="eastAsia"/>
        </w:rPr>
        <w:t>同样，在囚犯的近亲属或者与其有亲密关系的人员死亡或者身患重病的情况下，也应向囚犯告知相应情况；</w:t>
      </w:r>
      <w:r>
        <w:rPr>
          <w:rFonts w:hint="eastAsia"/>
        </w:rPr>
        <w:t xml:space="preserve">3. </w:t>
      </w:r>
      <w:r>
        <w:rPr>
          <w:rFonts w:hint="eastAsia"/>
        </w:rPr>
        <w:t>所有的囚犯在被收押之时，均有权将其被拘捕情况，或者被移送到其他机关的情况立即告知其家属和律师。”</w:t>
      </w:r>
    </w:p>
    <w:p w:rsidR="003C2E11" w:rsidRDefault="003C2E11">
      <w:pPr>
        <w:pStyle w:val="SingleTxtGC"/>
        <w:rPr>
          <w:rFonts w:hint="eastAsia"/>
        </w:rPr>
      </w:pPr>
      <w:r>
        <w:t xml:space="preserve">183.  </w:t>
      </w:r>
      <w:r>
        <w:rPr>
          <w:rFonts w:hint="eastAsia"/>
        </w:rPr>
        <w:t>最后，需要指出的是，胁迫或虐待行为均属于法律制度禁止的行为，在任何情况下均应受到惩罚，肇事人甚至可能会被追究其刑事责任。</w:t>
      </w:r>
    </w:p>
    <w:p w:rsidR="003C2E11" w:rsidRDefault="003C2E11">
      <w:pPr>
        <w:pStyle w:val="SingleTxtGC"/>
      </w:pPr>
      <w:r>
        <w:t xml:space="preserve">184.  </w:t>
      </w:r>
      <w:r>
        <w:rPr>
          <w:rFonts w:hint="eastAsia"/>
        </w:rPr>
        <w:t>而《公约》第十八条第二款规定在必要时应采取适当措施保护第一款中讲到的参与调查或查寻被剥夺自由者的情况的人员。在此应当援引</w:t>
      </w:r>
      <w:smartTag w:uri="urn:schemas-microsoft-com:office:smarttags" w:element="chsdate">
        <w:smartTagPr>
          <w:attr w:name="Year" w:val="1994"/>
          <w:attr w:name="Month" w:val="12"/>
          <w:attr w:name="Day" w:val="23"/>
          <w:attr w:name="IsLunarDate" w:val="False"/>
          <w:attr w:name="IsROCDate" w:val="False"/>
        </w:smartTagPr>
        <w:r>
          <w:rPr>
            <w:rFonts w:hint="eastAsia"/>
          </w:rPr>
          <w:t>1994</w:t>
        </w:r>
        <w:r>
          <w:rPr>
            <w:rFonts w:hint="eastAsia"/>
          </w:rPr>
          <w:t>年</w:t>
        </w:r>
        <w:r>
          <w:rPr>
            <w:rFonts w:hint="eastAsia"/>
          </w:rPr>
          <w:t>12</w:t>
        </w:r>
        <w:r>
          <w:rPr>
            <w:rFonts w:hint="eastAsia"/>
          </w:rPr>
          <w:t>月</w:t>
        </w:r>
        <w:r>
          <w:rPr>
            <w:rFonts w:hint="eastAsia"/>
          </w:rPr>
          <w:t>23</w:t>
        </w:r>
        <w:r>
          <w:rPr>
            <w:rFonts w:hint="eastAsia"/>
          </w:rPr>
          <w:t>日</w:t>
        </w:r>
      </w:smartTag>
      <w:r>
        <w:rPr>
          <w:rFonts w:hint="eastAsia"/>
        </w:rPr>
        <w:t>的第</w:t>
      </w:r>
      <w:r>
        <w:rPr>
          <w:rFonts w:hint="eastAsia"/>
        </w:rPr>
        <w:t>19/1994</w:t>
      </w:r>
      <w:r>
        <w:rPr>
          <w:rFonts w:hint="eastAsia"/>
        </w:rPr>
        <w:t>号关于保护刑事案件的证人和专家的组织法中所提到的对生命安全和人身完整性的保障措施</w:t>
      </w:r>
      <w:r>
        <w:rPr>
          <w:rFonts w:hint="eastAsia"/>
        </w:rPr>
        <w:t>(</w:t>
      </w:r>
      <w:r>
        <w:rPr>
          <w:rFonts w:hint="eastAsia"/>
        </w:rPr>
        <w:t>在第</w:t>
      </w:r>
      <w:r>
        <w:rPr>
          <w:rFonts w:hint="eastAsia"/>
        </w:rPr>
        <w:t>1</w:t>
      </w:r>
      <w:r>
        <w:rPr>
          <w:rFonts w:hint="eastAsia"/>
        </w:rPr>
        <w:t>、</w:t>
      </w:r>
      <w:r>
        <w:rPr>
          <w:rFonts w:hint="eastAsia"/>
        </w:rPr>
        <w:t>2</w:t>
      </w:r>
      <w:r>
        <w:rPr>
          <w:rFonts w:hint="eastAsia"/>
        </w:rPr>
        <w:t>、</w:t>
      </w:r>
      <w:r>
        <w:rPr>
          <w:rFonts w:hint="eastAsia"/>
        </w:rPr>
        <w:t>3</w:t>
      </w:r>
      <w:r>
        <w:rPr>
          <w:rFonts w:hint="eastAsia"/>
        </w:rPr>
        <w:t>条中具体做出了规定</w:t>
      </w:r>
      <w:r>
        <w:rPr>
          <w:rFonts w:hint="eastAsia"/>
        </w:rPr>
        <w:t>)</w:t>
      </w:r>
      <w:r>
        <w:rPr>
          <w:rFonts w:hint="eastAsia"/>
        </w:rPr>
        <w:t>。</w:t>
      </w:r>
    </w:p>
    <w:p w:rsidR="003C2E11" w:rsidRDefault="003C2E11">
      <w:pPr>
        <w:pStyle w:val="SingleTxtGC"/>
      </w:pPr>
      <w:r>
        <w:t xml:space="preserve">185.  </w:t>
      </w:r>
      <w:r>
        <w:rPr>
          <w:rFonts w:hint="eastAsia"/>
        </w:rPr>
        <w:t>如果在偷运或贩运人口的有组织犯罪中，受害外国人协助司法当局或者警察机关办案，则人身保护措施就包括依照</w:t>
      </w:r>
      <w:smartTag w:uri="urn:schemas-microsoft-com:office:smarttags" w:element="chsdate">
        <w:smartTagPr>
          <w:attr w:name="Year" w:val="2000"/>
          <w:attr w:name="Month" w:val="1"/>
          <w:attr w:name="Day" w:val="11"/>
          <w:attr w:name="IsLunarDate" w:val="False"/>
          <w:attr w:name="IsROCDate" w:val="False"/>
        </w:smartTagPr>
        <w:r>
          <w:rPr>
            <w:rFonts w:hint="eastAsia"/>
          </w:rPr>
          <w:t>2000</w:t>
        </w:r>
        <w:r>
          <w:rPr>
            <w:rFonts w:hint="eastAsia"/>
          </w:rPr>
          <w:t>年</w:t>
        </w:r>
        <w:r>
          <w:rPr>
            <w:rFonts w:hint="eastAsia"/>
          </w:rPr>
          <w:t>1</w:t>
        </w:r>
        <w:r>
          <w:rPr>
            <w:rFonts w:hint="eastAsia"/>
          </w:rPr>
          <w:t>月</w:t>
        </w:r>
        <w:r>
          <w:rPr>
            <w:rFonts w:hint="eastAsia"/>
          </w:rPr>
          <w:t>11</w:t>
        </w:r>
        <w:r>
          <w:rPr>
            <w:rFonts w:hint="eastAsia"/>
          </w:rPr>
          <w:t>日</w:t>
        </w:r>
      </w:smartTag>
      <w:r>
        <w:rPr>
          <w:rFonts w:hint="eastAsia"/>
        </w:rPr>
        <w:t>的第</w:t>
      </w:r>
      <w:r>
        <w:rPr>
          <w:rFonts w:hint="eastAsia"/>
        </w:rPr>
        <w:t>4/2000</w:t>
      </w:r>
      <w:r>
        <w:rPr>
          <w:rFonts w:hint="eastAsia"/>
        </w:rPr>
        <w:t>号关于在西班牙的外国人的权利和自由及其社会融合的组织法第</w:t>
      </w:r>
      <w:r>
        <w:rPr>
          <w:rFonts w:hint="eastAsia"/>
        </w:rPr>
        <w:t>59</w:t>
      </w:r>
      <w:r>
        <w:rPr>
          <w:rFonts w:hint="eastAsia"/>
        </w:rPr>
        <w:t>条及第</w:t>
      </w:r>
      <w:r>
        <w:rPr>
          <w:rFonts w:hint="eastAsia"/>
        </w:rPr>
        <w:t>59</w:t>
      </w:r>
      <w:r>
        <w:rPr>
          <w:rFonts w:hint="eastAsia"/>
        </w:rPr>
        <w:t>条之二的规定，接受收容庇护或者遣返回原籍国。</w:t>
      </w:r>
    </w:p>
    <w:p w:rsidR="003C2E11" w:rsidRDefault="003C2E11">
      <w:pPr>
        <w:pStyle w:val="SingleTxtGC"/>
        <w:rPr>
          <w:rFonts w:hint="eastAsia"/>
        </w:rPr>
      </w:pPr>
      <w:r>
        <w:t xml:space="preserve">186.  </w:t>
      </w:r>
      <w:r>
        <w:rPr>
          <w:rFonts w:hint="eastAsia"/>
        </w:rPr>
        <w:t>综上所述，可以认定西班牙法律符合《公约》之规定。</w:t>
      </w:r>
    </w:p>
    <w:p w:rsidR="003C2E11" w:rsidRDefault="003C2E11">
      <w:pPr>
        <w:pStyle w:val="H1GC"/>
      </w:pPr>
      <w:r>
        <w:tab/>
      </w:r>
      <w:r>
        <w:tab/>
      </w:r>
      <w:bookmarkStart w:id="22" w:name="_Toc351380610"/>
      <w:r>
        <w:rPr>
          <w:rFonts w:hint="eastAsia"/>
        </w:rPr>
        <w:t>第十九条</w:t>
      </w:r>
      <w:r>
        <w:rPr>
          <w:rFonts w:hint="eastAsia"/>
        </w:rPr>
        <w:br/>
      </w:r>
      <w:r>
        <w:rPr>
          <w:rFonts w:hint="eastAsia"/>
        </w:rPr>
        <w:t>被剥夺自由人员的个人信息</w:t>
      </w:r>
      <w:bookmarkEnd w:id="22"/>
    </w:p>
    <w:p w:rsidR="003C2E11" w:rsidRDefault="003C2E11">
      <w:pPr>
        <w:pStyle w:val="SingleTxtGC"/>
      </w:pPr>
      <w:r>
        <w:t xml:space="preserve">187.  </w:t>
      </w:r>
      <w:r>
        <w:rPr>
          <w:rFonts w:hint="eastAsia"/>
        </w:rPr>
        <w:t>基于个人资料涉及到“隐私权”这一基本权利，西班牙针对个人资料的获取、保存、自动化处理、使用和转交出台了一整套完善的干预和保护体系，在这里，个人资料指的是任何与可以或者可能识别自然人身份的信息。</w:t>
      </w:r>
    </w:p>
    <w:p w:rsidR="003C2E11" w:rsidRDefault="003C2E11">
      <w:pPr>
        <w:pStyle w:val="SingleTxtGC"/>
      </w:pPr>
      <w:r>
        <w:t xml:space="preserve">188.  </w:t>
      </w:r>
      <w:r>
        <w:rPr>
          <w:rFonts w:hint="eastAsia"/>
        </w:rPr>
        <w:t>《公约》在个人资料上的使用限制和禁止性规定被纳入到了</w:t>
      </w:r>
      <w:smartTag w:uri="urn:schemas-microsoft-com:office:smarttags" w:element="chsdate">
        <w:smartTagPr>
          <w:attr w:name="Year" w:val="1999"/>
          <w:attr w:name="Month" w:val="12"/>
          <w:attr w:name="Day" w:val="13"/>
          <w:attr w:name="IsLunarDate" w:val="False"/>
          <w:attr w:name="IsROCDate" w:val="False"/>
        </w:smartTagPr>
        <w:r>
          <w:rPr>
            <w:rFonts w:hint="eastAsia"/>
          </w:rPr>
          <w:t>1999</w:t>
        </w:r>
        <w:r>
          <w:rPr>
            <w:rFonts w:hint="eastAsia"/>
          </w:rPr>
          <w:t>年</w:t>
        </w:r>
        <w:r>
          <w:rPr>
            <w:rFonts w:hint="eastAsia"/>
          </w:rPr>
          <w:t>12</w:t>
        </w:r>
        <w:r>
          <w:rPr>
            <w:rFonts w:hint="eastAsia"/>
          </w:rPr>
          <w:t>月</w:t>
        </w:r>
        <w:r>
          <w:rPr>
            <w:rFonts w:hint="eastAsia"/>
          </w:rPr>
          <w:t>13</w:t>
        </w:r>
        <w:r>
          <w:rPr>
            <w:rFonts w:hint="eastAsia"/>
          </w:rPr>
          <w:t>日</w:t>
        </w:r>
      </w:smartTag>
      <w:r>
        <w:rPr>
          <w:rFonts w:hint="eastAsia"/>
        </w:rPr>
        <w:t>的第</w:t>
      </w:r>
      <w:r>
        <w:rPr>
          <w:rFonts w:hint="eastAsia"/>
        </w:rPr>
        <w:t>15/1999</w:t>
      </w:r>
      <w:r>
        <w:rPr>
          <w:rFonts w:hint="eastAsia"/>
        </w:rPr>
        <w:t>号组织法，即《个人资料保护法》中，在这一方面对《西班牙宪法》第</w:t>
      </w:r>
      <w:r>
        <w:rPr>
          <w:rFonts w:hint="eastAsia"/>
        </w:rPr>
        <w:t>18.4</w:t>
      </w:r>
      <w:r>
        <w:rPr>
          <w:rFonts w:hint="eastAsia"/>
        </w:rPr>
        <w:t>条的规定进行了展开论述，该条规定“为保障公民的名誉、个人和家庭的隐私及其权利的充分实施，法律限制信息的使用”。</w:t>
      </w:r>
    </w:p>
    <w:p w:rsidR="003C2E11" w:rsidRDefault="003C2E11">
      <w:pPr>
        <w:pStyle w:val="SingleTxtGC"/>
      </w:pPr>
      <w:r>
        <w:t xml:space="preserve">189.  </w:t>
      </w:r>
      <w:r>
        <w:rPr>
          <w:rFonts w:hint="eastAsia"/>
        </w:rPr>
        <w:t>《公约》在这方面规定的限制也反映在《公共管理法律制度和公共行政诉讼法》第</w:t>
      </w:r>
      <w:r>
        <w:rPr>
          <w:rFonts w:hint="eastAsia"/>
        </w:rPr>
        <w:t>37</w:t>
      </w:r>
      <w:r>
        <w:rPr>
          <w:rFonts w:hint="eastAsia"/>
        </w:rPr>
        <w:t>条以及其他与规范公共部门建立的档案和记录中所载资料的获取和使用相关的规定中。</w:t>
      </w:r>
    </w:p>
    <w:p w:rsidR="003C2E11" w:rsidRDefault="003C2E11">
      <w:pPr>
        <w:pStyle w:val="SingleTxtGC"/>
      </w:pPr>
      <w:r>
        <w:t xml:space="preserve">190.  </w:t>
      </w:r>
      <w:r>
        <w:rPr>
          <w:rFonts w:hint="eastAsia"/>
        </w:rPr>
        <w:t>《公约》明确提到了在医学资料和遗传学资料的使用上的特别保护或者限制，而国内法也对此进行了特别规定，将之列为“特别保护资料”一级，这决定了此类资料可以受到法律制度的多重保障和保护</w:t>
      </w:r>
      <w:r>
        <w:rPr>
          <w:rFonts w:hint="eastAsia"/>
        </w:rPr>
        <w:t>(</w:t>
      </w:r>
      <w:r>
        <w:rPr>
          <w:rFonts w:hint="eastAsia"/>
        </w:rPr>
        <w:t>《个人资料保护法》第</w:t>
      </w:r>
      <w:r>
        <w:rPr>
          <w:rFonts w:hint="eastAsia"/>
        </w:rPr>
        <w:t>7.3</w:t>
      </w:r>
      <w:r>
        <w:rPr>
          <w:rFonts w:hint="eastAsia"/>
        </w:rPr>
        <w:t>条、第</w:t>
      </w:r>
      <w:r>
        <w:rPr>
          <w:rFonts w:hint="eastAsia"/>
        </w:rPr>
        <w:t>8</w:t>
      </w:r>
      <w:r>
        <w:rPr>
          <w:rFonts w:hint="eastAsia"/>
        </w:rPr>
        <w:t>条及相关条款</w:t>
      </w:r>
      <w:r>
        <w:rPr>
          <w:rFonts w:hint="eastAsia"/>
        </w:rPr>
        <w:t>)</w:t>
      </w:r>
      <w:r>
        <w:rPr>
          <w:rFonts w:hint="eastAsia"/>
        </w:rPr>
        <w:t>。</w:t>
      </w:r>
    </w:p>
    <w:p w:rsidR="003C2E11" w:rsidRDefault="003C2E11">
      <w:pPr>
        <w:pStyle w:val="SingleTxtGC"/>
      </w:pPr>
      <w:r>
        <w:t xml:space="preserve">191.  </w:t>
      </w:r>
      <w:r>
        <w:rPr>
          <w:rFonts w:hint="eastAsia"/>
        </w:rPr>
        <w:t>此外，需要指出的是相关资料在使用或者披露上的限制不应妨碍主管法官和法院对这些资料的调用，这在《个人资料保护法》第</w:t>
      </w:r>
      <w:r>
        <w:rPr>
          <w:rFonts w:hint="eastAsia"/>
        </w:rPr>
        <w:t>11.2.d)</w:t>
      </w:r>
      <w:r>
        <w:rPr>
          <w:rFonts w:hint="eastAsia"/>
        </w:rPr>
        <w:t>条以及其他多项规定中都有所体现。</w:t>
      </w:r>
    </w:p>
    <w:p w:rsidR="003C2E11" w:rsidRDefault="003C2E11">
      <w:pPr>
        <w:pStyle w:val="SingleTxtGC"/>
      </w:pPr>
      <w:r>
        <w:t xml:space="preserve">192.  </w:t>
      </w:r>
      <w:r>
        <w:rPr>
          <w:rFonts w:hint="eastAsia"/>
        </w:rPr>
        <w:t>最后，需要援引欧洲议会和理事会在</w:t>
      </w:r>
      <w:smartTag w:uri="urn:schemas-microsoft-com:office:smarttags" w:element="chsdate">
        <w:smartTagPr>
          <w:attr w:name="Year" w:val="1995"/>
          <w:attr w:name="Month" w:val="10"/>
          <w:attr w:name="Day" w:val="24"/>
          <w:attr w:name="IsLunarDate" w:val="False"/>
          <w:attr w:name="IsROCDate" w:val="False"/>
        </w:smartTagPr>
        <w:r>
          <w:rPr>
            <w:rFonts w:hint="eastAsia"/>
          </w:rPr>
          <w:t>1995</w:t>
        </w:r>
        <w:r>
          <w:rPr>
            <w:rFonts w:hint="eastAsia"/>
          </w:rPr>
          <w:t>年</w:t>
        </w:r>
        <w:r>
          <w:rPr>
            <w:rFonts w:hint="eastAsia"/>
          </w:rPr>
          <w:t>10</w:t>
        </w:r>
        <w:r>
          <w:rPr>
            <w:rFonts w:hint="eastAsia"/>
          </w:rPr>
          <w:t>月</w:t>
        </w:r>
        <w:r>
          <w:rPr>
            <w:rFonts w:hint="eastAsia"/>
          </w:rPr>
          <w:t>24</w:t>
        </w:r>
        <w:r>
          <w:rPr>
            <w:rFonts w:hint="eastAsia"/>
          </w:rPr>
          <w:t>日</w:t>
        </w:r>
      </w:smartTag>
      <w:r>
        <w:rPr>
          <w:rFonts w:hint="eastAsia"/>
        </w:rPr>
        <w:t>发布的一项与在个人资料处理和个人资料自由流通方面的自然人保护有关的指令，即现行有效的第</w:t>
      </w:r>
      <w:r>
        <w:t>95/46/CE</w:t>
      </w:r>
      <w:r>
        <w:rPr>
          <w:rFonts w:hint="eastAsia"/>
        </w:rPr>
        <w:t>号指令第</w:t>
      </w:r>
      <w:r>
        <w:rPr>
          <w:rFonts w:hint="eastAsia"/>
        </w:rPr>
        <w:t>7</w:t>
      </w:r>
      <w:r>
        <w:rPr>
          <w:rFonts w:hint="eastAsia"/>
        </w:rPr>
        <w:t>条的规定以及《资料保护组织法》和与健康有关的法律法规的相应规定。该指令第</w:t>
      </w:r>
      <w:r>
        <w:rPr>
          <w:rFonts w:hint="eastAsia"/>
        </w:rPr>
        <w:t>7</w:t>
      </w:r>
      <w:r>
        <w:rPr>
          <w:rFonts w:hint="eastAsia"/>
        </w:rPr>
        <w:t>条规定：“成员国应规定个人资料的处理仅能在以下情况下实施：［……］</w:t>
      </w:r>
      <w:r>
        <w:rPr>
          <w:rFonts w:hint="eastAsia"/>
        </w:rPr>
        <w:t xml:space="preserve">(e) </w:t>
      </w:r>
      <w:r>
        <w:rPr>
          <w:rFonts w:hint="eastAsia"/>
        </w:rPr>
        <w:t>出于公共利益或固有利益需要，由资料处理负责人员或者被授权公开资料的第三方依法履行公职任务。［……］</w:t>
      </w:r>
      <w:r>
        <w:rPr>
          <w:rFonts w:hint="eastAsia"/>
        </w:rPr>
        <w:t xml:space="preserve">(f) </w:t>
      </w:r>
      <w:r>
        <w:rPr>
          <w:rFonts w:hint="eastAsia"/>
        </w:rPr>
        <w:t>出于满足合法权益需要由资料处理负责人员或者被授权公开资料的第三方，只要不损害本指令第</w:t>
      </w:r>
      <w:r>
        <w:rPr>
          <w:rFonts w:hint="eastAsia"/>
        </w:rPr>
        <w:t>1</w:t>
      </w:r>
      <w:r>
        <w:rPr>
          <w:rFonts w:hint="eastAsia"/>
        </w:rPr>
        <w:t>条第</w:t>
      </w:r>
      <w:r>
        <w:rPr>
          <w:rFonts w:hint="eastAsia"/>
        </w:rPr>
        <w:t>1</w:t>
      </w:r>
      <w:r>
        <w:rPr>
          <w:rFonts w:hint="eastAsia"/>
        </w:rPr>
        <w:t>款规定需要保护的当事人的权益或者基本权利和自由。”</w:t>
      </w:r>
    </w:p>
    <w:p w:rsidR="003C2E11" w:rsidRDefault="003C2E11">
      <w:pPr>
        <w:pStyle w:val="SingleTxtGC"/>
      </w:pPr>
      <w:r>
        <w:t xml:space="preserve">193.  </w:t>
      </w:r>
      <w:r>
        <w:rPr>
          <w:rFonts w:hint="eastAsia"/>
        </w:rPr>
        <w:t>针对遗传学方面的资料，第</w:t>
      </w:r>
      <w:r>
        <w:rPr>
          <w:rFonts w:hint="eastAsia"/>
        </w:rPr>
        <w:t>15/1999</w:t>
      </w:r>
      <w:r>
        <w:rPr>
          <w:rFonts w:hint="eastAsia"/>
        </w:rPr>
        <w:t>号组织法第</w:t>
      </w:r>
      <w:r>
        <w:rPr>
          <w:rFonts w:hint="eastAsia"/>
        </w:rPr>
        <w:t>5.1.(g)</w:t>
      </w:r>
      <w:r>
        <w:rPr>
          <w:rFonts w:hint="eastAsia"/>
        </w:rPr>
        <w:t>条规定将“与个人在过去、现在及未来的身体或者精神健康相关的资料”认定为个人健康资料。因此，向第三方提供此类资料应在当事人事先知情同意的情况下进行，或者按照法律规定进行，在此种情况下，不妨碍依照《公约》第十九条规定的程序向刑事主管机关提供此类资料，除非是第</w:t>
      </w:r>
      <w:r>
        <w:rPr>
          <w:rFonts w:hint="eastAsia"/>
        </w:rPr>
        <w:t>15/1999</w:t>
      </w:r>
      <w:r>
        <w:rPr>
          <w:rFonts w:hint="eastAsia"/>
        </w:rPr>
        <w:t>号组织法第</w:t>
      </w:r>
      <w:r>
        <w:rPr>
          <w:rFonts w:hint="eastAsia"/>
        </w:rPr>
        <w:t>11.2</w:t>
      </w:r>
      <w:r>
        <w:rPr>
          <w:rFonts w:hint="eastAsia"/>
        </w:rPr>
        <w:t>条</w:t>
      </w:r>
      <w:r>
        <w:rPr>
          <w:rFonts w:hint="eastAsia"/>
        </w:rPr>
        <w:t>(a)</w:t>
      </w:r>
      <w:r>
        <w:rPr>
          <w:rFonts w:hint="eastAsia"/>
        </w:rPr>
        <w:t>款和</w:t>
      </w:r>
      <w:r>
        <w:rPr>
          <w:rFonts w:hint="eastAsia"/>
        </w:rPr>
        <w:t>(c)</w:t>
      </w:r>
      <w:r>
        <w:rPr>
          <w:rFonts w:hint="eastAsia"/>
        </w:rPr>
        <w:t>款至</w:t>
      </w:r>
      <w:r>
        <w:rPr>
          <w:rFonts w:hint="eastAsia"/>
        </w:rPr>
        <w:t>(f)</w:t>
      </w:r>
      <w:r>
        <w:rPr>
          <w:rFonts w:hint="eastAsia"/>
        </w:rPr>
        <w:t>款规定的例外情况，否则均应遵循获得资料所有人的事先知情同意这项一般规则。</w:t>
      </w:r>
    </w:p>
    <w:p w:rsidR="003C2E11" w:rsidRDefault="003C2E11">
      <w:pPr>
        <w:pStyle w:val="SingleTxtGC"/>
      </w:pPr>
      <w:r>
        <w:t xml:space="preserve">194.  </w:t>
      </w:r>
      <w:r>
        <w:rPr>
          <w:rFonts w:hint="eastAsia"/>
        </w:rPr>
        <w:t>另一方面，</w:t>
      </w:r>
      <w:smartTag w:uri="urn:schemas-microsoft-com:office:smarttags" w:element="chsdate">
        <w:smartTagPr>
          <w:attr w:name="Year" w:val="2007"/>
          <w:attr w:name="Month" w:val="10"/>
          <w:attr w:name="Day" w:val="8"/>
          <w:attr w:name="IsLunarDate" w:val="False"/>
          <w:attr w:name="IsROCDate" w:val="False"/>
        </w:smartTagPr>
        <w:r>
          <w:rPr>
            <w:rFonts w:hint="eastAsia"/>
          </w:rPr>
          <w:t>2007</w:t>
        </w:r>
        <w:r>
          <w:rPr>
            <w:rFonts w:hint="eastAsia"/>
          </w:rPr>
          <w:t>年</w:t>
        </w:r>
        <w:r>
          <w:rPr>
            <w:rFonts w:hint="eastAsia"/>
          </w:rPr>
          <w:t>10</w:t>
        </w:r>
        <w:r>
          <w:rPr>
            <w:rFonts w:hint="eastAsia"/>
          </w:rPr>
          <w:t>月</w:t>
        </w:r>
        <w:r>
          <w:rPr>
            <w:rFonts w:hint="eastAsia"/>
          </w:rPr>
          <w:t>8</w:t>
        </w:r>
        <w:r>
          <w:rPr>
            <w:rFonts w:hint="eastAsia"/>
          </w:rPr>
          <w:t>日</w:t>
        </w:r>
      </w:smartTag>
      <w:r>
        <w:rPr>
          <w:rFonts w:hint="eastAsia"/>
        </w:rPr>
        <w:t>的第</w:t>
      </w:r>
      <w:r>
        <w:rPr>
          <w:rFonts w:hint="eastAsia"/>
        </w:rPr>
        <w:t>10/2007</w:t>
      </w:r>
      <w:r>
        <w:rPr>
          <w:rFonts w:hint="eastAsia"/>
        </w:rPr>
        <w:t>号组织法规范了警方通过</w:t>
      </w:r>
      <w:r>
        <w:rPr>
          <w:rFonts w:hint="eastAsia"/>
        </w:rPr>
        <w:t>DNA</w:t>
      </w:r>
      <w:r>
        <w:rPr>
          <w:rFonts w:hint="eastAsia"/>
        </w:rPr>
        <w:t>识别而建立的数据库，规定如下：</w:t>
      </w:r>
    </w:p>
    <w:p w:rsidR="003C2E11" w:rsidRDefault="003C2E11">
      <w:pPr>
        <w:pStyle w:val="Bullet1GC"/>
      </w:pPr>
      <w:r>
        <w:rPr>
          <w:rFonts w:hint="eastAsia"/>
          <w:color w:val="000000"/>
        </w:rPr>
        <w:t>数据库中仅能包括专门用于揭示目标对象的身份特性和性别的</w:t>
      </w:r>
      <w:r>
        <w:rPr>
          <w:rFonts w:hint="eastAsia"/>
          <w:color w:val="000000"/>
        </w:rPr>
        <w:t>DNA</w:t>
      </w:r>
      <w:r>
        <w:rPr>
          <w:rFonts w:hint="eastAsia"/>
          <w:color w:val="000000"/>
        </w:rPr>
        <w:t>图谱。</w:t>
      </w:r>
    </w:p>
    <w:p w:rsidR="003C2E11" w:rsidRDefault="003C2E11">
      <w:pPr>
        <w:pStyle w:val="Bullet1GC"/>
      </w:pPr>
      <w:r>
        <w:rPr>
          <w:rFonts w:hint="eastAsia"/>
        </w:rPr>
        <w:t>资料的使用和提供应当遵照适用的法规，特别是遵照第</w:t>
      </w:r>
      <w:r>
        <w:rPr>
          <w:rFonts w:hint="eastAsia"/>
        </w:rPr>
        <w:t>10/2007</w:t>
      </w:r>
      <w:r>
        <w:rPr>
          <w:rFonts w:hint="eastAsia"/>
        </w:rPr>
        <w:t>号组织法第</w:t>
      </w:r>
      <w:r>
        <w:rPr>
          <w:rFonts w:hint="eastAsia"/>
        </w:rPr>
        <w:t>7.2</w:t>
      </w:r>
      <w:r>
        <w:rPr>
          <w:rFonts w:hint="eastAsia"/>
        </w:rPr>
        <w:t>条关于此类资料的登记档案之规定执行，因此，仅有在进行遗体辨别或者查找失踪人员下落，特别是在出生时遭窃，被迫离开其父母身边的儿童时，本法所指的数据库中所包含的资料方可被用于相应的调查中。</w:t>
      </w:r>
    </w:p>
    <w:p w:rsidR="003C2E11" w:rsidRDefault="003C2E11">
      <w:pPr>
        <w:pStyle w:val="Bullet1GC"/>
      </w:pPr>
      <w:r>
        <w:rPr>
          <w:rFonts w:hint="eastAsia"/>
        </w:rPr>
        <w:t>在生物学分析中提取的样本或者痕迹，应当被提交至经国家毒理学和法医学研究所认证的实验室中，并向司法当局申请对此类样本或痕迹的进一步保存。</w:t>
      </w:r>
    </w:p>
    <w:p w:rsidR="003C2E11" w:rsidRDefault="003C2E11">
      <w:pPr>
        <w:pStyle w:val="Bullet1GC"/>
      </w:pPr>
      <w:r>
        <w:rPr>
          <w:rFonts w:hint="eastAsia"/>
        </w:rPr>
        <w:t>资料应根据</w:t>
      </w:r>
      <w:smartTag w:uri="urn:schemas-microsoft-com:office:smarttags" w:element="chsdate">
        <w:smartTagPr>
          <w:attr w:name="Year" w:val="2007"/>
          <w:attr w:name="Month" w:val="10"/>
          <w:attr w:name="Day" w:val="8"/>
          <w:attr w:name="IsLunarDate" w:val="False"/>
          <w:attr w:name="IsROCDate" w:val="False"/>
        </w:smartTagPr>
        <w:r>
          <w:rPr>
            <w:rFonts w:hint="eastAsia"/>
          </w:rPr>
          <w:t>2007</w:t>
        </w:r>
        <w:r>
          <w:rPr>
            <w:rFonts w:hint="eastAsia"/>
          </w:rPr>
          <w:t>年</w:t>
        </w:r>
        <w:r>
          <w:rPr>
            <w:rFonts w:hint="eastAsia"/>
          </w:rPr>
          <w:t>10</w:t>
        </w:r>
        <w:r>
          <w:rPr>
            <w:rFonts w:hint="eastAsia"/>
          </w:rPr>
          <w:t>月</w:t>
        </w:r>
        <w:r>
          <w:rPr>
            <w:rFonts w:hint="eastAsia"/>
          </w:rPr>
          <w:t>8</w:t>
        </w:r>
        <w:r>
          <w:rPr>
            <w:rFonts w:hint="eastAsia"/>
          </w:rPr>
          <w:t>日</w:t>
        </w:r>
      </w:smartTag>
      <w:r>
        <w:rPr>
          <w:rFonts w:hint="eastAsia"/>
        </w:rPr>
        <w:t>的第</w:t>
      </w:r>
      <w:r>
        <w:rPr>
          <w:rFonts w:hint="eastAsia"/>
        </w:rPr>
        <w:t>10/2007</w:t>
      </w:r>
      <w:r>
        <w:rPr>
          <w:rFonts w:hint="eastAsia"/>
        </w:rPr>
        <w:t>号组织法第</w:t>
      </w:r>
      <w:r>
        <w:rPr>
          <w:rFonts w:hint="eastAsia"/>
        </w:rPr>
        <w:t>9.2</w:t>
      </w:r>
      <w:r>
        <w:rPr>
          <w:rFonts w:hint="eastAsia"/>
        </w:rPr>
        <w:t>条之规定保存，因此一旦数据库负责人员获悉有当事人死亡，与死亡人员相关的资料应予删除，但是第</w:t>
      </w:r>
      <w:r>
        <w:rPr>
          <w:rFonts w:hint="eastAsia"/>
        </w:rPr>
        <w:t>3.1.b</w:t>
      </w:r>
      <w:r>
        <w:rPr>
          <w:rFonts w:hint="eastAsia"/>
        </w:rPr>
        <w:t>条所指的涉及到关于遗体辨别或者查找失踪人员下落对应程序中所获得的身份识别资料除外，在这种情况下，如果相应资料属于结案的必要条件，则不得删除</w:t>
      </w:r>
    </w:p>
    <w:p w:rsidR="003C2E11" w:rsidRDefault="003C2E11">
      <w:pPr>
        <w:pStyle w:val="SingleTxtGC"/>
        <w:rPr>
          <w:rFonts w:hint="eastAsia"/>
        </w:rPr>
      </w:pPr>
      <w:r>
        <w:t xml:space="preserve">195.  </w:t>
      </w:r>
      <w:r>
        <w:rPr>
          <w:rFonts w:hint="eastAsia"/>
        </w:rPr>
        <w:t>在任何情况下，对遗传学资料数据库中数据的删除指的是清除</w:t>
      </w:r>
      <w:r>
        <w:rPr>
          <w:rFonts w:hint="eastAsia"/>
        </w:rPr>
        <w:t>DNA</w:t>
      </w:r>
      <w:r>
        <w:rPr>
          <w:rFonts w:hint="eastAsia"/>
        </w:rPr>
        <w:t>图谱以及销毁其原始生物学样本。</w:t>
      </w:r>
    </w:p>
    <w:p w:rsidR="003C2E11" w:rsidRDefault="003C2E11">
      <w:pPr>
        <w:pStyle w:val="SingleTxtGC"/>
      </w:pPr>
      <w:r>
        <w:t xml:space="preserve">196.  </w:t>
      </w:r>
      <w:r>
        <w:rPr>
          <w:rFonts w:hint="eastAsia"/>
        </w:rPr>
        <w:t>当前欧盟正酝酿出台一则《个人资料保护总体实施条例》，在其第</w:t>
      </w:r>
      <w:r>
        <w:rPr>
          <w:rFonts w:hint="eastAsia"/>
        </w:rPr>
        <w:t>58</w:t>
      </w:r>
      <w:r>
        <w:rPr>
          <w:rFonts w:hint="eastAsia"/>
        </w:rPr>
        <w:t>项考虑因素中，经西班牙司法部提议，拟在关于调查个人的自然特性和婚姻状况工作上的违规行为的官方调查中引入一项公共利益评估机制，这有助于将资料的用途和使用与资料所有人的合法权益进行权衡，以便在必要情况下在无须当事人事先知情同意的情况下提供此类资料。</w:t>
      </w:r>
    </w:p>
    <w:p w:rsidR="003C2E11" w:rsidRDefault="003C2E11">
      <w:pPr>
        <w:pStyle w:val="H1GC"/>
      </w:pPr>
      <w:r>
        <w:tab/>
      </w:r>
      <w:r>
        <w:tab/>
      </w:r>
      <w:bookmarkStart w:id="23" w:name="_Toc351380611"/>
      <w:r>
        <w:rPr>
          <w:rFonts w:hint="eastAsia"/>
        </w:rPr>
        <w:t>第二十条</w:t>
      </w:r>
      <w:r>
        <w:br/>
      </w:r>
      <w:r>
        <w:rPr>
          <w:rFonts w:hint="eastAsia"/>
        </w:rPr>
        <w:t>被剥夺自由人员的信息权</w:t>
      </w:r>
      <w:bookmarkEnd w:id="23"/>
    </w:p>
    <w:p w:rsidR="003C2E11" w:rsidRDefault="003C2E11">
      <w:pPr>
        <w:pStyle w:val="SingleTxtGC"/>
      </w:pPr>
      <w:r>
        <w:t xml:space="preserve">197.  </w:t>
      </w:r>
      <w:r>
        <w:rPr>
          <w:rFonts w:hint="eastAsia"/>
        </w:rPr>
        <w:t>依据本条，《公约》允许对第十八条提到的知情权设置例外，但是规定了获得司法补救的权利，这项权利在任何情况下都不得取消或受到限制。</w:t>
      </w:r>
    </w:p>
    <w:p w:rsidR="003C2E11" w:rsidRDefault="003C2E11">
      <w:pPr>
        <w:pStyle w:val="SingleTxtGC"/>
      </w:pPr>
      <w:r>
        <w:t xml:space="preserve">198.  </w:t>
      </w:r>
      <w:r>
        <w:rPr>
          <w:rFonts w:hint="eastAsia"/>
        </w:rPr>
        <w:t>这项规定意味着限制被拘留人员的知情权这一例外情况仅限定在个别的涉嫌犯有重罪的具体案件中，《刑事审判法》在其第</w:t>
      </w:r>
      <w:r>
        <w:rPr>
          <w:rFonts w:hint="eastAsia"/>
        </w:rPr>
        <w:t>520</w:t>
      </w:r>
      <w:r>
        <w:rPr>
          <w:rFonts w:hint="eastAsia"/>
        </w:rPr>
        <w:t>条之二规定了相应的限制情节以及保障：</w:t>
      </w:r>
    </w:p>
    <w:p w:rsidR="003C2E11" w:rsidRDefault="003C2E11">
      <w:pPr>
        <w:pStyle w:val="SingleTxtGC"/>
        <w:ind w:left="1565"/>
        <w:rPr>
          <w:rFonts w:hint="eastAsia"/>
        </w:rPr>
      </w:pPr>
      <w:r>
        <w:rPr>
          <w:rFonts w:hint="eastAsia"/>
        </w:rPr>
        <w:t>“</w:t>
      </w:r>
      <w:r>
        <w:rPr>
          <w:rFonts w:hint="eastAsia"/>
        </w:rPr>
        <w:t xml:space="preserve">1. </w:t>
      </w:r>
      <w:r>
        <w:rPr>
          <w:rFonts w:hint="eastAsia"/>
        </w:rPr>
        <w:t>所有因涉嫌参与第</w:t>
      </w:r>
      <w:r>
        <w:rPr>
          <w:rFonts w:hint="eastAsia"/>
        </w:rPr>
        <w:t>384</w:t>
      </w:r>
      <w:r>
        <w:rPr>
          <w:rFonts w:hint="eastAsia"/>
        </w:rPr>
        <w:t>条之二提到的某项犯罪</w:t>
      </w:r>
      <w:r>
        <w:rPr>
          <w:rFonts w:hint="eastAsia"/>
        </w:rPr>
        <w:t>(</w:t>
      </w:r>
      <w:r>
        <w:rPr>
          <w:rFonts w:hint="eastAsia"/>
        </w:rPr>
        <w:t>武装团伙、恐怖主义分子或叛乱分子的成员或同伙所犯罪行</w:t>
      </w:r>
      <w:r>
        <w:rPr>
          <w:rFonts w:hint="eastAsia"/>
        </w:rPr>
        <w:t>)</w:t>
      </w:r>
      <w:r>
        <w:rPr>
          <w:rFonts w:hint="eastAsia"/>
        </w:rPr>
        <w:t>而被逮捕者，应在被捕后七十二小时内移交主管法官处置。但是，可出于侦查需要将拘留时间最多再延长四十八小时，前提是在实施拘捕后四十八小时内已出具书面通知说明理由，申请延长拘留时间，且申请在接下来的二十四小时内获得法官的批准。法官对延长拘留时间的主张的采纳或驳回均应提供决议，明确说明理由。</w:t>
      </w:r>
    </w:p>
    <w:p w:rsidR="003C2E11" w:rsidRDefault="003C2E11">
      <w:pPr>
        <w:pStyle w:val="SingleTxtGC"/>
        <w:ind w:left="1565"/>
        <w:rPr>
          <w:rFonts w:hint="eastAsia"/>
        </w:rPr>
      </w:pPr>
      <w:r>
        <w:rPr>
          <w:rFonts w:hint="eastAsia"/>
        </w:rPr>
        <w:t xml:space="preserve">2.  </w:t>
      </w:r>
      <w:r>
        <w:rPr>
          <w:rFonts w:hint="eastAsia"/>
        </w:rPr>
        <w:t>由于上一款所列理由而实施拘捕时，可向法官申请对案情保密，法官如采纳其主张，可在二十四小时内下达决议并说明理由。申请对案情保密后，当事人在任何情况下均不得了解案情，但不妨碍其行使辩护权以及第</w:t>
      </w:r>
      <w:r>
        <w:rPr>
          <w:rFonts w:hint="eastAsia"/>
        </w:rPr>
        <w:t>520</w:t>
      </w:r>
      <w:r>
        <w:rPr>
          <w:rFonts w:hint="eastAsia"/>
        </w:rPr>
        <w:t>条和</w:t>
      </w:r>
      <w:r>
        <w:rPr>
          <w:rFonts w:hint="eastAsia"/>
        </w:rPr>
        <w:t>527</w:t>
      </w:r>
      <w:r>
        <w:rPr>
          <w:rFonts w:hint="eastAsia"/>
        </w:rPr>
        <w:t>条之规定，直至法官下达相关决议。</w:t>
      </w:r>
    </w:p>
    <w:p w:rsidR="003C2E11" w:rsidRDefault="003C2E11">
      <w:pPr>
        <w:pStyle w:val="SingleTxtGC"/>
        <w:ind w:left="1565"/>
        <w:rPr>
          <w:rFonts w:hint="eastAsia"/>
        </w:rPr>
      </w:pPr>
      <w:r>
        <w:rPr>
          <w:rFonts w:hint="eastAsia"/>
        </w:rPr>
        <w:t xml:space="preserve">3.  </w:t>
      </w:r>
      <w:r>
        <w:rPr>
          <w:rFonts w:hint="eastAsia"/>
        </w:rPr>
        <w:t>在拘留期间，法官可随时要求相关资料，并亲自或者通过代理人过问被捕人员的情况。”</w:t>
      </w:r>
    </w:p>
    <w:p w:rsidR="003C2E11" w:rsidRDefault="003C2E11">
      <w:pPr>
        <w:pStyle w:val="SingleTxtGC"/>
        <w:rPr>
          <w:rFonts w:hint="eastAsia"/>
        </w:rPr>
      </w:pPr>
      <w:r>
        <w:t xml:space="preserve">199.  </w:t>
      </w:r>
      <w:r>
        <w:rPr>
          <w:rFonts w:hint="eastAsia"/>
        </w:rPr>
        <w:t>《刑事审判法》第</w:t>
      </w:r>
      <w:r>
        <w:rPr>
          <w:rFonts w:hint="eastAsia"/>
        </w:rPr>
        <w:t>520</w:t>
      </w:r>
      <w:r>
        <w:rPr>
          <w:rFonts w:hint="eastAsia"/>
        </w:rPr>
        <w:t>条重申了对《公约》第十八条的陈述观点，但是同样在《刑事审判法》第</w:t>
      </w:r>
      <w:r>
        <w:rPr>
          <w:rFonts w:hint="eastAsia"/>
        </w:rPr>
        <w:t>527</w:t>
      </w:r>
      <w:r>
        <w:rPr>
          <w:rFonts w:hint="eastAsia"/>
        </w:rPr>
        <w:t>条中也指出：“被捕者或囚犯，如被限制知情权，则不得享有本章所列之各项权利，但第</w:t>
      </w:r>
      <w:r>
        <w:rPr>
          <w:rFonts w:hint="eastAsia"/>
        </w:rPr>
        <w:t>520</w:t>
      </w:r>
      <w:r>
        <w:rPr>
          <w:rFonts w:hint="eastAsia"/>
        </w:rPr>
        <w:t>条规定之权利例外，并修改如下：</w:t>
      </w:r>
      <w:r>
        <w:rPr>
          <w:rFonts w:hint="eastAsia"/>
        </w:rPr>
        <w:t xml:space="preserve">(a) </w:t>
      </w:r>
      <w:r>
        <w:rPr>
          <w:rFonts w:hint="eastAsia"/>
        </w:rPr>
        <w:t>在任何情况下，其辩护律师应由官方指定；</w:t>
      </w:r>
      <w:r>
        <w:rPr>
          <w:rFonts w:hint="eastAsia"/>
        </w:rPr>
        <w:t xml:space="preserve">(b) </w:t>
      </w:r>
      <w:r>
        <w:rPr>
          <w:rFonts w:hint="eastAsia"/>
        </w:rPr>
        <w:t>不享有第</w:t>
      </w:r>
      <w:r>
        <w:rPr>
          <w:rFonts w:hint="eastAsia"/>
        </w:rPr>
        <w:t>2</w:t>
      </w:r>
      <w:r>
        <w:rPr>
          <w:rFonts w:hint="eastAsia"/>
        </w:rPr>
        <w:t>款</w:t>
      </w:r>
      <w:r>
        <w:rPr>
          <w:rFonts w:hint="eastAsia"/>
        </w:rPr>
        <w:t>d)</w:t>
      </w:r>
      <w:r>
        <w:rPr>
          <w:rFonts w:hint="eastAsia"/>
        </w:rPr>
        <w:t>项规定的通信权；</w:t>
      </w:r>
      <w:r>
        <w:rPr>
          <w:rFonts w:hint="eastAsia"/>
        </w:rPr>
        <w:t xml:space="preserve">(c) </w:t>
      </w:r>
      <w:r>
        <w:rPr>
          <w:rFonts w:hint="eastAsia"/>
        </w:rPr>
        <w:t>不享有与其辩护律师会面的权利”。</w:t>
      </w:r>
    </w:p>
    <w:p w:rsidR="003C2E11" w:rsidRDefault="003C2E11">
      <w:pPr>
        <w:pStyle w:val="SingleTxtGC"/>
      </w:pPr>
      <w:r>
        <w:t xml:space="preserve">200.  </w:t>
      </w:r>
      <w:r>
        <w:rPr>
          <w:rFonts w:hint="eastAsia"/>
        </w:rPr>
        <w:t>对于违反上述规定的，应遵照《刑法典》第</w:t>
      </w:r>
      <w:r>
        <w:rPr>
          <w:rFonts w:hint="eastAsia"/>
        </w:rPr>
        <w:t>531</w:t>
      </w:r>
      <w:r>
        <w:rPr>
          <w:rFonts w:hint="eastAsia"/>
        </w:rPr>
        <w:t>条执行：“参与刑事案件审理，对逮捕、拘禁或者受审人员判决、实施或者延长与外界隔绝的当局或者公务员，违反时间规定或者侵犯其他宪法、法律规定而应予保护的权利的，剥夺其担任公职、从事职业的权利二至六年。”因此，在西班牙法律中，仅有涉嫌武装团伙或恐怖主义活动的犯罪方可限制知情权，但是，这需要长期接受司法当局的监控。因此，可以认为对知情权的限制是基于这一假设提出的，这与《公约》第二十条所允许的例外情况相吻合。</w:t>
      </w:r>
    </w:p>
    <w:p w:rsidR="003C2E11" w:rsidRDefault="003C2E11">
      <w:pPr>
        <w:pStyle w:val="SingleTxtGC"/>
      </w:pPr>
      <w:r>
        <w:t xml:space="preserve">201.  </w:t>
      </w:r>
      <w:r>
        <w:rPr>
          <w:rFonts w:hint="eastAsia"/>
        </w:rPr>
        <w:t>另一方面，在西班牙严格遵守《公约》第二十条的问题上，应当指出的是，在西班牙法律制度中，以保护个人隐私为由限制获取在强制性记录了与因被捕、被看管、限制自由、监禁或收押而被剥夺自由人员的所有情况和信息的登记簿、档案和个人文件中所含的资料或信息</w:t>
      </w:r>
      <w:r>
        <w:rPr>
          <w:rFonts w:hint="eastAsia"/>
        </w:rPr>
        <w:t>(</w:t>
      </w:r>
      <w:r>
        <w:rPr>
          <w:rFonts w:hint="eastAsia"/>
        </w:rPr>
        <w:t>参见对《公约》第十七条的论述</w:t>
      </w:r>
      <w:r>
        <w:rPr>
          <w:rFonts w:hint="eastAsia"/>
        </w:rPr>
        <w:t>)</w:t>
      </w:r>
      <w:r>
        <w:rPr>
          <w:rFonts w:hint="eastAsia"/>
        </w:rPr>
        <w:t>，主管当局出于保护基本权利和</w:t>
      </w:r>
      <w:r>
        <w:rPr>
          <w:rFonts w:hint="eastAsia"/>
        </w:rPr>
        <w:t>/</w:t>
      </w:r>
      <w:r>
        <w:rPr>
          <w:rFonts w:hint="eastAsia"/>
        </w:rPr>
        <w:t>或调查和惩办犯罪行为目的而对这一权利的限制不应受到谴责。</w:t>
      </w:r>
    </w:p>
    <w:p w:rsidR="003C2E11" w:rsidRDefault="003C2E11">
      <w:pPr>
        <w:pStyle w:val="SingleTxtGC"/>
      </w:pPr>
      <w:r>
        <w:t xml:space="preserve">202.  </w:t>
      </w:r>
      <w:r>
        <w:rPr>
          <w:rFonts w:hint="eastAsia"/>
        </w:rPr>
        <w:t>《个人资料保护法》第</w:t>
      </w:r>
      <w:r>
        <w:rPr>
          <w:rFonts w:hint="eastAsia"/>
        </w:rPr>
        <w:t>11</w:t>
      </w:r>
      <w:r>
        <w:rPr>
          <w:rFonts w:hint="eastAsia"/>
        </w:rPr>
        <w:t>条对此规定如下：</w:t>
      </w:r>
    </w:p>
    <w:p w:rsidR="003C2E11" w:rsidRDefault="003C2E11">
      <w:pPr>
        <w:pStyle w:val="SingleTxtGC"/>
        <w:ind w:left="1565"/>
        <w:rPr>
          <w:rFonts w:hint="eastAsia"/>
        </w:rPr>
      </w:pPr>
      <w:r>
        <w:rPr>
          <w:rFonts w:hint="eastAsia"/>
        </w:rPr>
        <w:t>“</w:t>
      </w:r>
      <w:r>
        <w:rPr>
          <w:rFonts w:hint="eastAsia"/>
        </w:rPr>
        <w:t xml:space="preserve">1. </w:t>
      </w:r>
      <w:r>
        <w:t xml:space="preserve"> </w:t>
      </w:r>
      <w:r>
        <w:rPr>
          <w:rFonts w:hint="eastAsia"/>
        </w:rPr>
        <w:t>个人资料［……］仅能在当事人事先知情同意的情况下提供［……］。</w:t>
      </w:r>
    </w:p>
    <w:p w:rsidR="003C2E11" w:rsidRDefault="003C2E11">
      <w:pPr>
        <w:pStyle w:val="SingleTxtGC"/>
        <w:ind w:left="1565"/>
        <w:rPr>
          <w:rFonts w:hint="eastAsia"/>
        </w:rPr>
      </w:pPr>
      <w:r>
        <w:rPr>
          <w:rFonts w:hint="eastAsia"/>
        </w:rPr>
        <w:t xml:space="preserve">2.  </w:t>
      </w:r>
      <w:r>
        <w:rPr>
          <w:rFonts w:hint="eastAsia"/>
        </w:rPr>
        <w:t>前一款所要求的知情同意不适用于：［……］当护民官、检察机关或法官及法庭［……］为行使其法定职权而获取信息时［……］”。</w:t>
      </w:r>
    </w:p>
    <w:p w:rsidR="003C2E11" w:rsidRDefault="003C2E11">
      <w:pPr>
        <w:pStyle w:val="SingleTxtGC"/>
      </w:pPr>
      <w:r>
        <w:t xml:space="preserve">203.  </w:t>
      </w:r>
      <w:r>
        <w:rPr>
          <w:rFonts w:hint="eastAsia"/>
        </w:rPr>
        <w:t>如果对此类资料的知情权的限制理由是出于安全原因或者妨碍刑事调查时，应由法官根据案件的具体情况决定是否加以限制，可采取保护或监管措施，例如，裁令不得透露案情</w:t>
      </w:r>
      <w:r>
        <w:rPr>
          <w:rFonts w:hint="eastAsia"/>
        </w:rPr>
        <w:t>(</w:t>
      </w:r>
      <w:r>
        <w:rPr>
          <w:rFonts w:hint="eastAsia"/>
        </w:rPr>
        <w:t>《刑事审判法》第</w:t>
      </w:r>
      <w:r>
        <w:rPr>
          <w:rFonts w:hint="eastAsia"/>
        </w:rPr>
        <w:t>301</w:t>
      </w:r>
      <w:r>
        <w:rPr>
          <w:rFonts w:hint="eastAsia"/>
        </w:rPr>
        <w:t>、</w:t>
      </w:r>
      <w:r>
        <w:rPr>
          <w:rFonts w:hint="eastAsia"/>
        </w:rPr>
        <w:t>302</w:t>
      </w:r>
      <w:r>
        <w:rPr>
          <w:rFonts w:hint="eastAsia"/>
        </w:rPr>
        <w:t>条及相关条款</w:t>
      </w:r>
      <w:r>
        <w:rPr>
          <w:rFonts w:hint="eastAsia"/>
        </w:rPr>
        <w:t>)</w:t>
      </w:r>
      <w:r>
        <w:rPr>
          <w:rFonts w:hint="eastAsia"/>
        </w:rPr>
        <w:t>。</w:t>
      </w:r>
    </w:p>
    <w:p w:rsidR="003C2E11" w:rsidRDefault="003C2E11">
      <w:pPr>
        <w:pStyle w:val="SingleTxtGC"/>
      </w:pPr>
      <w:r>
        <w:t xml:space="preserve">204.  </w:t>
      </w:r>
      <w:r>
        <w:rPr>
          <w:rFonts w:hint="eastAsia"/>
        </w:rPr>
        <w:t>针对司法或行政主管机关驳回有关方面向其要求获得拘禁信息的申请的情况，可依照法律途径采取如下救济措施：</w:t>
      </w:r>
    </w:p>
    <w:p w:rsidR="003C2E11" w:rsidRDefault="003C2E11">
      <w:pPr>
        <w:pStyle w:val="SingleTxtGC"/>
        <w:numPr>
          <w:ilvl w:val="0"/>
          <w:numId w:val="41"/>
        </w:numPr>
      </w:pPr>
      <w:r>
        <w:rPr>
          <w:rFonts w:hint="eastAsia"/>
        </w:rPr>
        <w:t>如果在刑事诉讼程序中驳回申请，则可以通过《刑事审判法》之规定提出申诉；</w:t>
      </w:r>
    </w:p>
    <w:p w:rsidR="003C2E11" w:rsidRDefault="003C2E11">
      <w:pPr>
        <w:pStyle w:val="SingleTxtGC"/>
        <w:numPr>
          <w:ilvl w:val="0"/>
          <w:numId w:val="41"/>
        </w:numPr>
      </w:pPr>
      <w:r>
        <w:rPr>
          <w:rFonts w:hint="eastAsia"/>
        </w:rPr>
        <w:t>如果由行政机关责令驳回申请，可依照《行政诉讼法》向驳回申请的当局申请复议，或者通过该法之规定提起特别诉讼程序以捍卫基本权利。如果行政机关</w:t>
      </w:r>
      <w:r>
        <w:rPr>
          <w:rFonts w:hint="eastAsia"/>
        </w:rPr>
        <w:t>(</w:t>
      </w:r>
      <w:r>
        <w:rPr>
          <w:rFonts w:hint="eastAsia"/>
        </w:rPr>
        <w:t>行政机关是指当局、其代理人、国家公务员或者责令或实施逮捕或负责看守的人员</w:t>
      </w:r>
      <w:r>
        <w:rPr>
          <w:rFonts w:hint="eastAsia"/>
        </w:rPr>
        <w:t>)</w:t>
      </w:r>
      <w:r>
        <w:rPr>
          <w:rFonts w:hint="eastAsia"/>
        </w:rPr>
        <w:t>驳回申请的行为引发了人身保护诉讼，则主管法官可以立即判令该驳回决议无效</w:t>
      </w:r>
      <w:r>
        <w:rPr>
          <w:rFonts w:hint="eastAsia"/>
        </w:rPr>
        <w:t>(</w:t>
      </w:r>
      <w:r>
        <w:rPr>
          <w:rFonts w:hint="eastAsia"/>
        </w:rPr>
        <w:t>《人身保护法》第</w:t>
      </w:r>
      <w:r>
        <w:rPr>
          <w:rFonts w:hint="eastAsia"/>
        </w:rPr>
        <w:t>5</w:t>
      </w:r>
      <w:r>
        <w:rPr>
          <w:rFonts w:hint="eastAsia"/>
        </w:rPr>
        <w:t>条、第</w:t>
      </w:r>
      <w:r>
        <w:rPr>
          <w:rFonts w:hint="eastAsia"/>
        </w:rPr>
        <w:t>7</w:t>
      </w:r>
      <w:r>
        <w:rPr>
          <w:rFonts w:hint="eastAsia"/>
        </w:rPr>
        <w:t>条及相关条款</w:t>
      </w:r>
      <w:r>
        <w:rPr>
          <w:rFonts w:hint="eastAsia"/>
        </w:rPr>
        <w:t>)</w:t>
      </w:r>
      <w:r>
        <w:rPr>
          <w:rFonts w:hint="eastAsia"/>
        </w:rPr>
        <w:t>。</w:t>
      </w:r>
    </w:p>
    <w:p w:rsidR="003C2E11" w:rsidRDefault="003C2E11">
      <w:pPr>
        <w:pStyle w:val="H1GC"/>
      </w:pPr>
      <w:r>
        <w:tab/>
      </w:r>
      <w:r>
        <w:tab/>
      </w:r>
      <w:bookmarkStart w:id="24" w:name="_Toc351380612"/>
      <w:r>
        <w:rPr>
          <w:rFonts w:hint="eastAsia"/>
        </w:rPr>
        <w:t>第二十一条</w:t>
      </w:r>
      <w:bookmarkEnd w:id="24"/>
      <w:r>
        <w:br/>
      </w:r>
      <w:r>
        <w:rPr>
          <w:rFonts w:hint="eastAsia"/>
        </w:rPr>
        <w:t>释放</w:t>
      </w:r>
    </w:p>
    <w:p w:rsidR="003C2E11" w:rsidRDefault="003C2E11">
      <w:pPr>
        <w:pStyle w:val="SingleTxtGC"/>
      </w:pPr>
      <w:r>
        <w:t xml:space="preserve">205.  </w:t>
      </w:r>
      <w:r>
        <w:rPr>
          <w:rFonts w:hint="eastAsia"/>
        </w:rPr>
        <w:t>本条规定应采取一切必要措施，确保被剥夺自由的人获释能得到可靠核实，即他们确实得到释放，并确保获释时这些人的身体健全并能完全行使他们的权利。在针对《公约》第十七条和第十八条所作的论述中，已经列出了国内法律制度在确保将禁止秘密拘禁落到实处方面出台的所有体制工具。要求早期司法干预</w:t>
      </w:r>
      <w:r>
        <w:rPr>
          <w:rFonts w:hint="eastAsia"/>
          <w:spacing w:val="-60"/>
        </w:rPr>
        <w:t>―</w:t>
      </w:r>
      <w:r>
        <w:rPr>
          <w:rFonts w:hint="eastAsia"/>
          <w:spacing w:val="10"/>
        </w:rPr>
        <w:t>―</w:t>
      </w:r>
      <w:r>
        <w:rPr>
          <w:rFonts w:hint="eastAsia"/>
        </w:rPr>
        <w:t>在人身保护令状案件中的即时性司法干预</w:t>
      </w:r>
      <w:r>
        <w:rPr>
          <w:rFonts w:hint="eastAsia"/>
          <w:spacing w:val="-60"/>
        </w:rPr>
        <w:t>―</w:t>
      </w:r>
      <w:r>
        <w:rPr>
          <w:rFonts w:hint="eastAsia"/>
          <w:spacing w:val="10"/>
        </w:rPr>
        <w:t>―</w:t>
      </w:r>
      <w:r>
        <w:rPr>
          <w:rFonts w:hint="eastAsia"/>
        </w:rPr>
        <w:t>对拘留、看管或监禁场所或机构的正式登记记录簿、文件和档案中可能影响到被拘留人员的所有手续都应当予以记录和可靠核实。</w:t>
      </w:r>
    </w:p>
    <w:p w:rsidR="003C2E11" w:rsidRDefault="003C2E11">
      <w:pPr>
        <w:pStyle w:val="SingleTxtGC"/>
      </w:pPr>
      <w:r>
        <w:t xml:space="preserve">206.  </w:t>
      </w:r>
      <w:r>
        <w:rPr>
          <w:rFonts w:hint="eastAsia"/>
        </w:rPr>
        <w:t>因而，这里提到的工具还有一项作用，就是可靠核实被剥夺自由者确实得到释放这一事实。在西班牙，对之前涉嫌遭到非法拘禁的被拘留人员获释的有效核实工作直接接受司法当局本身以及之前提到的第</w:t>
      </w:r>
      <w:r>
        <w:rPr>
          <w:rFonts w:hint="eastAsia"/>
        </w:rPr>
        <w:t>6/1984</w:t>
      </w:r>
      <w:r>
        <w:rPr>
          <w:rFonts w:hint="eastAsia"/>
        </w:rPr>
        <w:t>号关于人身保护令状的程序规范法的监管。事实上，被关押在任何拘留场所或监狱机构的人员或者被当局或其公务员羁押在拘留地点并等待后续司法处置的人员，都接受司法当局的介入干预，这样，就会在司法机关以及上述机构的文件记录档案中留下相应的日期、时间和地点的文件资料。这一记录和干预确保了获释情况的真实性和准确性。</w:t>
      </w:r>
    </w:p>
    <w:p w:rsidR="003C2E11" w:rsidRDefault="003C2E11">
      <w:pPr>
        <w:pStyle w:val="SingleTxtGC"/>
      </w:pPr>
      <w:r>
        <w:t xml:space="preserve">207.  </w:t>
      </w:r>
      <w:r>
        <w:rPr>
          <w:rFonts w:hint="eastAsia"/>
        </w:rPr>
        <w:t>如果当事人被立即释放而无需被羁押等候司法处置，则上述拘留场所的记录</w:t>
      </w:r>
      <w:r>
        <w:rPr>
          <w:rFonts w:hint="eastAsia"/>
        </w:rPr>
        <w:t>/</w:t>
      </w:r>
      <w:r>
        <w:rPr>
          <w:rFonts w:hint="eastAsia"/>
        </w:rPr>
        <w:t>文件</w:t>
      </w:r>
      <w:r>
        <w:rPr>
          <w:rFonts w:hint="eastAsia"/>
        </w:rPr>
        <w:t>/</w:t>
      </w:r>
      <w:r>
        <w:rPr>
          <w:rFonts w:hint="eastAsia"/>
        </w:rPr>
        <w:t>档案中也会留下文字证明材料，确保获释得到可靠核实。</w:t>
      </w:r>
    </w:p>
    <w:p w:rsidR="003C2E11" w:rsidRDefault="003C2E11">
      <w:pPr>
        <w:pStyle w:val="SingleTxtGC"/>
        <w:rPr>
          <w:rFonts w:hint="eastAsia"/>
        </w:rPr>
      </w:pPr>
      <w:r>
        <w:t xml:space="preserve">208.  </w:t>
      </w:r>
      <w:r>
        <w:rPr>
          <w:rFonts w:hint="eastAsia"/>
        </w:rPr>
        <w:t>最后，法律规定任何人一旦认为其身心完整性或权利遭到威胁，可以向国家安全部队和治安机关报案，并寻求保护。内政部在对案情和威胁的真实性进行分析后，将采取适当的安全措施。</w:t>
      </w:r>
    </w:p>
    <w:p w:rsidR="003C2E11" w:rsidRDefault="003C2E11">
      <w:pPr>
        <w:pStyle w:val="SingleTxtGC"/>
      </w:pPr>
      <w:r>
        <w:t xml:space="preserve">209.  </w:t>
      </w:r>
      <w:r>
        <w:rPr>
          <w:rFonts w:hint="eastAsia"/>
        </w:rPr>
        <w:t>此外，在合法拘留的情况下，我们对于警方对被拘留者的看管和释放也持与关于《公约》第十七条的论述中相同的观点。而在监狱环境问题上，需要强调的是</w:t>
      </w:r>
      <w:smartTag w:uri="urn:schemas-microsoft-com:office:smarttags" w:element="chsdate">
        <w:smartTagPr>
          <w:attr w:name="Year" w:val="1979"/>
          <w:attr w:name="Month" w:val="9"/>
          <w:attr w:name="Day" w:val="26"/>
          <w:attr w:name="IsLunarDate" w:val="False"/>
          <w:attr w:name="IsROCDate" w:val="False"/>
        </w:smartTagPr>
        <w:r>
          <w:rPr>
            <w:rFonts w:hint="eastAsia"/>
          </w:rPr>
          <w:t>1979</w:t>
        </w:r>
        <w:r>
          <w:rPr>
            <w:rFonts w:hint="eastAsia"/>
          </w:rPr>
          <w:t>年</w:t>
        </w:r>
        <w:r>
          <w:rPr>
            <w:rFonts w:hint="eastAsia"/>
          </w:rPr>
          <w:t>9</w:t>
        </w:r>
        <w:r>
          <w:rPr>
            <w:rFonts w:hint="eastAsia"/>
          </w:rPr>
          <w:t>月</w:t>
        </w:r>
        <w:r>
          <w:rPr>
            <w:rFonts w:hint="eastAsia"/>
          </w:rPr>
          <w:t>26</w:t>
        </w:r>
        <w:r>
          <w:rPr>
            <w:rFonts w:hint="eastAsia"/>
          </w:rPr>
          <w:t>日</w:t>
        </w:r>
      </w:smartTag>
      <w:r>
        <w:rPr>
          <w:rFonts w:hint="eastAsia"/>
        </w:rPr>
        <w:t>的第</w:t>
      </w:r>
      <w:r>
        <w:rPr>
          <w:rFonts w:hint="eastAsia"/>
        </w:rPr>
        <w:t>1/1979</w:t>
      </w:r>
      <w:r>
        <w:rPr>
          <w:rFonts w:hint="eastAsia"/>
        </w:rPr>
        <w:t>号组织法：《监狱通则》</w:t>
      </w:r>
      <w:r>
        <w:rPr>
          <w:rFonts w:hint="eastAsia"/>
        </w:rPr>
        <w:t>(</w:t>
      </w:r>
      <w:r>
        <w:rPr>
          <w:rFonts w:hint="eastAsia"/>
        </w:rPr>
        <w:t>特别是第</w:t>
      </w:r>
      <w:r>
        <w:rPr>
          <w:rFonts w:hint="eastAsia"/>
        </w:rPr>
        <w:t>17</w:t>
      </w:r>
      <w:r>
        <w:rPr>
          <w:rFonts w:hint="eastAsia"/>
        </w:rPr>
        <w:t>条</w:t>
      </w:r>
      <w:r>
        <w:rPr>
          <w:rFonts w:hint="eastAsia"/>
        </w:rPr>
        <w:t>)</w:t>
      </w:r>
      <w:r>
        <w:rPr>
          <w:rFonts w:hint="eastAsia"/>
        </w:rPr>
        <w:t>以及由</w:t>
      </w:r>
      <w:smartTag w:uri="urn:schemas-microsoft-com:office:smarttags" w:element="chsdate">
        <w:smartTagPr>
          <w:attr w:name="Year" w:val="1996"/>
          <w:attr w:name="Month" w:val="2"/>
          <w:attr w:name="Day" w:val="9"/>
          <w:attr w:name="IsLunarDate" w:val="False"/>
          <w:attr w:name="IsROCDate" w:val="False"/>
        </w:smartTagPr>
        <w:r>
          <w:rPr>
            <w:rFonts w:hint="eastAsia"/>
          </w:rPr>
          <w:t>1996</w:t>
        </w:r>
        <w:r>
          <w:rPr>
            <w:rFonts w:hint="eastAsia"/>
          </w:rPr>
          <w:t>年</w:t>
        </w:r>
        <w:r>
          <w:rPr>
            <w:rFonts w:hint="eastAsia"/>
          </w:rPr>
          <w:t>2</w:t>
        </w:r>
        <w:r>
          <w:rPr>
            <w:rFonts w:hint="eastAsia"/>
          </w:rPr>
          <w:t>月</w:t>
        </w:r>
        <w:r>
          <w:rPr>
            <w:rFonts w:hint="eastAsia"/>
          </w:rPr>
          <w:t>9</w:t>
        </w:r>
        <w:r>
          <w:rPr>
            <w:rFonts w:hint="eastAsia"/>
          </w:rPr>
          <w:t>日</w:t>
        </w:r>
      </w:smartTag>
      <w:r>
        <w:rPr>
          <w:rFonts w:hint="eastAsia"/>
        </w:rPr>
        <w:t>的第</w:t>
      </w:r>
      <w:r>
        <w:rPr>
          <w:rFonts w:hint="eastAsia"/>
        </w:rPr>
        <w:t>190/1996</w:t>
      </w:r>
      <w:r>
        <w:rPr>
          <w:rFonts w:hint="eastAsia"/>
        </w:rPr>
        <w:t>号皇家法令核准的《监狱管理条例》</w:t>
      </w:r>
      <w:r>
        <w:rPr>
          <w:rFonts w:hint="eastAsia"/>
        </w:rPr>
        <w:t>(</w:t>
      </w:r>
      <w:r>
        <w:rPr>
          <w:rFonts w:hint="eastAsia"/>
        </w:rPr>
        <w:t>第</w:t>
      </w:r>
      <w:r>
        <w:rPr>
          <w:rFonts w:hint="eastAsia"/>
        </w:rPr>
        <w:t>30</w:t>
      </w:r>
      <w:r>
        <w:rPr>
          <w:rFonts w:hint="eastAsia"/>
        </w:rPr>
        <w:t>条</w:t>
      </w:r>
      <w:r>
        <w:rPr>
          <w:rFonts w:hint="eastAsia"/>
        </w:rPr>
        <w:t>)</w:t>
      </w:r>
      <w:r>
        <w:rPr>
          <w:rFonts w:hint="eastAsia"/>
        </w:rPr>
        <w:t>。</w:t>
      </w:r>
    </w:p>
    <w:p w:rsidR="003C2E11" w:rsidRDefault="003C2E11">
      <w:pPr>
        <w:pStyle w:val="SingleTxtGC"/>
      </w:pPr>
      <w:r>
        <w:t xml:space="preserve">210.  </w:t>
      </w:r>
      <w:r>
        <w:rPr>
          <w:rFonts w:hint="eastAsia"/>
        </w:rPr>
        <w:t>如前所述，在任何情况下都可以通过文件记录可靠核实被拘留者是否获释或者交由法官处置，且其各项固有权利均有保障。</w:t>
      </w:r>
    </w:p>
    <w:p w:rsidR="003C2E11" w:rsidRDefault="003C2E11">
      <w:pPr>
        <w:pStyle w:val="H1GC"/>
      </w:pPr>
      <w:r>
        <w:tab/>
      </w:r>
      <w:r>
        <w:tab/>
      </w:r>
      <w:bookmarkStart w:id="25" w:name="_Toc351380613"/>
      <w:r>
        <w:rPr>
          <w:rFonts w:hint="eastAsia"/>
        </w:rPr>
        <w:t>第二十二条</w:t>
      </w:r>
      <w:r>
        <w:rPr>
          <w:rFonts w:hint="eastAsia"/>
        </w:rPr>
        <w:br/>
      </w:r>
      <w:r>
        <w:rPr>
          <w:rFonts w:hint="eastAsia"/>
        </w:rPr>
        <w:t>对非法剥夺自由的预防和惩处措施</w:t>
      </w:r>
      <w:bookmarkEnd w:id="25"/>
    </w:p>
    <w:p w:rsidR="003C2E11" w:rsidRDefault="003C2E11">
      <w:pPr>
        <w:pStyle w:val="SingleTxtGC"/>
      </w:pPr>
      <w:r>
        <w:t xml:space="preserve">211.  </w:t>
      </w:r>
      <w:r>
        <w:rPr>
          <w:rFonts w:hint="eastAsia"/>
        </w:rPr>
        <w:t>除规定缔约国有义务认定和追究犯有各类被认定为强迫失踪或非法拘禁</w:t>
      </w:r>
      <w:r>
        <w:rPr>
          <w:rFonts w:hint="eastAsia"/>
        </w:rPr>
        <w:t>/</w:t>
      </w:r>
      <w:r>
        <w:rPr>
          <w:rFonts w:hint="eastAsia"/>
        </w:rPr>
        <w:t>绑架导致失踪的行为的人员的责任外，《公约》要求缔约国应采取相应措施预防和惩处与此类失踪相似或相关的其他行为。</w:t>
      </w:r>
    </w:p>
    <w:p w:rsidR="003C2E11" w:rsidRDefault="003C2E11">
      <w:pPr>
        <w:pStyle w:val="SingleTxtGC"/>
      </w:pPr>
      <w:r>
        <w:t xml:space="preserve">212.  </w:t>
      </w:r>
      <w:r>
        <w:rPr>
          <w:rFonts w:hint="eastAsia"/>
        </w:rPr>
        <w:t>针对这方面的规定，对国内法律制度进行审查后可得出以下信息：</w:t>
      </w:r>
    </w:p>
    <w:p w:rsidR="003C2E11" w:rsidRDefault="003C2E11">
      <w:pPr>
        <w:pStyle w:val="SingleTxtGC"/>
        <w:rPr>
          <w:rFonts w:hint="eastAsia"/>
        </w:rPr>
      </w:pPr>
      <w:r>
        <w:t xml:space="preserve">213.  </w:t>
      </w:r>
      <w:r>
        <w:rPr>
          <w:rFonts w:hint="eastAsia"/>
        </w:rPr>
        <w:t>人身保护令状在西班牙履行《公约》第十七条第二款第</w:t>
      </w:r>
      <w:r>
        <w:rPr>
          <w:rFonts w:hint="eastAsia"/>
        </w:rPr>
        <w:t>(</w:t>
      </w:r>
      <w:r>
        <w:rPr>
          <w:rFonts w:hint="eastAsia"/>
        </w:rPr>
        <w:t>六</w:t>
      </w:r>
      <w:r>
        <w:rPr>
          <w:rFonts w:hint="eastAsia"/>
        </w:rPr>
        <w:t>)</w:t>
      </w:r>
      <w:r>
        <w:rPr>
          <w:rFonts w:hint="eastAsia"/>
        </w:rPr>
        <w:t>项规定的职能。预审法官在此类要求优先从速审理的诉讼中所下达的命令和决定应当立即在限定时间内</w:t>
      </w:r>
      <w:r>
        <w:rPr>
          <w:rFonts w:hint="eastAsia"/>
        </w:rPr>
        <w:t>(24</w:t>
      </w:r>
      <w:r>
        <w:rPr>
          <w:rFonts w:hint="eastAsia"/>
        </w:rPr>
        <w:t>小时内做出决议</w:t>
      </w:r>
      <w:r>
        <w:rPr>
          <w:rFonts w:hint="eastAsia"/>
        </w:rPr>
        <w:t>)</w:t>
      </w:r>
      <w:r>
        <w:rPr>
          <w:rFonts w:hint="eastAsia"/>
        </w:rPr>
        <w:t>从速执行，为此可责令立即清除任何阻碍审理与要求自由、在现场或在被拘留地点听取被捕人员陈述、听取实施和</w:t>
      </w:r>
      <w:r>
        <w:rPr>
          <w:rFonts w:hint="eastAsia"/>
        </w:rPr>
        <w:t>/</w:t>
      </w:r>
      <w:r>
        <w:rPr>
          <w:rFonts w:hint="eastAsia"/>
        </w:rPr>
        <w:t>或下令实施拘留的人员的陈述、进行必要取证来帮助做出决议和执行决议和</w:t>
      </w:r>
      <w:r>
        <w:rPr>
          <w:rFonts w:hint="eastAsia"/>
        </w:rPr>
        <w:t>/</w:t>
      </w:r>
      <w:r>
        <w:rPr>
          <w:rFonts w:hint="eastAsia"/>
        </w:rPr>
        <w:t>或责令执行所采纳决议有关事务的障碍。</w:t>
      </w:r>
    </w:p>
    <w:p w:rsidR="003C2E11" w:rsidRDefault="003C2E11">
      <w:pPr>
        <w:pStyle w:val="SingleTxtGC"/>
      </w:pPr>
      <w:r>
        <w:t xml:space="preserve">214.  </w:t>
      </w:r>
      <w:r>
        <w:rPr>
          <w:rFonts w:hint="eastAsia"/>
        </w:rPr>
        <w:t>对法官所作决议的不服从、抗拒或妨碍构成刑事犯罪，同时，正如在对《公约》第十七条的论述中所提到的，不妨碍追究妨碍执法的公务员或当局的记录责任。在这方面，《人身保护法》在第五条中做出了相应规定：“政府当局、政府代理人或公职人员有义务将置于其看管下的被剥夺自由人员所提出的人身保护申请立即告知主审法官。如果未履行这一义务，将由法官予以裁决，同时不妨碍追究其相应的刑事责任和违纪责任”。</w:t>
      </w:r>
    </w:p>
    <w:p w:rsidR="003C2E11" w:rsidRDefault="003C2E11">
      <w:pPr>
        <w:pStyle w:val="SingleTxtGC"/>
        <w:rPr>
          <w:rFonts w:hint="eastAsia"/>
        </w:rPr>
      </w:pPr>
      <w:r>
        <w:t xml:space="preserve">215.  </w:t>
      </w:r>
      <w:r>
        <w:rPr>
          <w:rFonts w:hint="eastAsia"/>
        </w:rPr>
        <w:t>在报告中就《公约》第二十条第二款的论述中，已经确定了针对在司法或行政机关中可能发生的拒绝提供拘留、看管或监禁场所或机构的档案</w:t>
      </w:r>
      <w:r>
        <w:rPr>
          <w:rFonts w:hint="eastAsia"/>
        </w:rPr>
        <w:t>-</w:t>
      </w:r>
      <w:r>
        <w:rPr>
          <w:rFonts w:hint="eastAsia"/>
        </w:rPr>
        <w:t>记录</w:t>
      </w:r>
      <w:r>
        <w:rPr>
          <w:rFonts w:hint="eastAsia"/>
        </w:rPr>
        <w:t>-</w:t>
      </w:r>
      <w:r>
        <w:rPr>
          <w:rFonts w:hint="eastAsia"/>
        </w:rPr>
        <w:t>文件中所包含资料的行为的处置办法。</w:t>
      </w:r>
    </w:p>
    <w:p w:rsidR="003C2E11" w:rsidRDefault="003C2E11">
      <w:pPr>
        <w:pStyle w:val="SingleTxtGC"/>
      </w:pPr>
      <w:r>
        <w:t xml:space="preserve">216.  </w:t>
      </w:r>
      <w:r>
        <w:rPr>
          <w:rFonts w:hint="eastAsia"/>
        </w:rPr>
        <w:t>通过《刑事审判法》和《行政诉讼法》的抗辩体系确立了此类办法，在这些法律中载有解决可能发生的拖延行为的措施。</w:t>
      </w:r>
    </w:p>
    <w:p w:rsidR="003C2E11" w:rsidRDefault="003C2E11">
      <w:pPr>
        <w:pStyle w:val="SingleTxtGC"/>
      </w:pPr>
      <w:r>
        <w:t xml:space="preserve">217.  </w:t>
      </w:r>
      <w:r>
        <w:rPr>
          <w:rFonts w:hint="eastAsia"/>
        </w:rPr>
        <w:t>如果当局或其代理人违反在相应的行政登记簿、文件和档案中正确记录和妥善保管一切与拘留或剥夺自由相关的资料的义务，则相关责任人构成行政违规，应追究其违纪责任。</w:t>
      </w:r>
    </w:p>
    <w:p w:rsidR="003C2E11" w:rsidRDefault="003C2E11">
      <w:pPr>
        <w:pStyle w:val="SingleTxtGC"/>
      </w:pPr>
      <w:r>
        <w:t xml:space="preserve">218.  </w:t>
      </w:r>
      <w:r>
        <w:rPr>
          <w:rFonts w:hint="eastAsia"/>
        </w:rPr>
        <w:t>当需要提供前一款所提到的文件中所包含的信息而未提供时，同样需要追究相关方的行政</w:t>
      </w:r>
      <w:r>
        <w:rPr>
          <w:rFonts w:hint="eastAsia"/>
        </w:rPr>
        <w:t>-</w:t>
      </w:r>
      <w:r>
        <w:rPr>
          <w:rFonts w:hint="eastAsia"/>
        </w:rPr>
        <w:t>纪律责任。</w:t>
      </w:r>
    </w:p>
    <w:p w:rsidR="003C2E11" w:rsidRDefault="003C2E11">
      <w:pPr>
        <w:pStyle w:val="H1GC"/>
      </w:pPr>
      <w:r>
        <w:tab/>
      </w:r>
      <w:r>
        <w:tab/>
      </w:r>
      <w:bookmarkStart w:id="26" w:name="_Toc351380614"/>
      <w:r>
        <w:rPr>
          <w:rFonts w:hint="eastAsia"/>
        </w:rPr>
        <w:t>第二十三条</w:t>
      </w:r>
      <w:r>
        <w:rPr>
          <w:rFonts w:hint="eastAsia"/>
        </w:rPr>
        <w:br/>
      </w:r>
      <w:r>
        <w:rPr>
          <w:rFonts w:hint="eastAsia"/>
        </w:rPr>
        <w:t>对警务人员、军事人员、医务人员和文职人员的培训</w:t>
      </w:r>
      <w:bookmarkEnd w:id="26"/>
    </w:p>
    <w:p w:rsidR="003C2E11" w:rsidRDefault="003C2E11">
      <w:pPr>
        <w:pStyle w:val="SingleTxtGC"/>
      </w:pPr>
      <w:r>
        <w:t xml:space="preserve">219.  </w:t>
      </w:r>
      <w:r>
        <w:rPr>
          <w:rFonts w:hint="eastAsia"/>
        </w:rPr>
        <w:t>通过本条第一款规定各缔约国应确保对所有负责执法的军事或文职人员，特别是可能参与监押或处置被剥夺自由者的人的培训，应包括对本《公约》相关规定的必要教育和信息。</w:t>
      </w:r>
    </w:p>
    <w:p w:rsidR="003C2E11" w:rsidRDefault="003C2E11">
      <w:pPr>
        <w:pStyle w:val="SingleTxtGC"/>
      </w:pPr>
      <w:r>
        <w:t xml:space="preserve">220.  </w:t>
      </w:r>
      <w:r>
        <w:rPr>
          <w:rFonts w:hint="eastAsia"/>
        </w:rPr>
        <w:t>对此应强调在内政部体制内，对长期开展针对其公职人员</w:t>
      </w:r>
      <w:r>
        <w:rPr>
          <w:rFonts w:hint="eastAsia"/>
        </w:rPr>
        <w:t>(</w:t>
      </w:r>
      <w:r>
        <w:rPr>
          <w:rFonts w:hint="eastAsia"/>
        </w:rPr>
        <w:t>普通公务员和特定部门的公务员</w:t>
      </w:r>
      <w:r>
        <w:rPr>
          <w:rFonts w:hint="eastAsia"/>
        </w:rPr>
        <w:t>)</w:t>
      </w:r>
      <w:r>
        <w:rPr>
          <w:rFonts w:hint="eastAsia"/>
        </w:rPr>
        <w:t>的培训的重视，为此采取了以下举措：</w:t>
      </w:r>
    </w:p>
    <w:p w:rsidR="003C2E11" w:rsidRDefault="003C2E11">
      <w:pPr>
        <w:pStyle w:val="SingleTxtGC"/>
        <w:numPr>
          <w:ilvl w:val="0"/>
          <w:numId w:val="43"/>
        </w:numPr>
      </w:pPr>
      <w:r>
        <w:rPr>
          <w:rFonts w:hint="eastAsia"/>
        </w:rPr>
        <w:t>自主设立的多所培训中心，直接隶属于警察总署和国民警卫总局，例如面向国家警察开办的“培训和发展处”以及针对国民警卫队设立的“教育处”，其职能仅限于对警务人员进行培训；</w:t>
      </w:r>
    </w:p>
    <w:p w:rsidR="003C2E11" w:rsidRDefault="003C2E11">
      <w:pPr>
        <w:pStyle w:val="SingleTxtGC"/>
        <w:numPr>
          <w:ilvl w:val="0"/>
          <w:numId w:val="43"/>
        </w:numPr>
      </w:pPr>
      <w:r>
        <w:rPr>
          <w:rFonts w:hint="eastAsia"/>
        </w:rPr>
        <w:t>对监狱机关总秘书处的公职人员进行了相应的培训。</w:t>
      </w:r>
    </w:p>
    <w:p w:rsidR="003C2E11" w:rsidRDefault="003C2E11">
      <w:pPr>
        <w:pStyle w:val="SingleTxtGC"/>
      </w:pPr>
      <w:r>
        <w:t xml:space="preserve">221.  </w:t>
      </w:r>
      <w:r>
        <w:rPr>
          <w:rFonts w:hint="eastAsia"/>
        </w:rPr>
        <w:t>国家安全部队和治安机关的成员，无论是在加入国家警察部队和国民警卫队之初还是在其整个职业生涯中都通过继续教育不断接受关于刑法和刑事诉讼法方面的专项教育，当然还包括关于对警察执法的法律要求，特别是关于实施拘捕以及对被剥夺自由人员的处理和监管方面的专门教育。同样，还特别重视在人权和使用武力方面的培训措施，目的是确保对国家代理人的指导符合讲诚信、有尊严和重效率的标准，并防止任何滥用职权、任意性和歧视性行为。</w:t>
      </w:r>
    </w:p>
    <w:p w:rsidR="003C2E11" w:rsidRDefault="003C2E11">
      <w:pPr>
        <w:pStyle w:val="SingleTxtGC"/>
      </w:pPr>
      <w:r>
        <w:t xml:space="preserve">222.  </w:t>
      </w:r>
      <w:r>
        <w:rPr>
          <w:rFonts w:hint="eastAsia"/>
        </w:rPr>
        <w:t>以国家警察部队的培训和发展处作为参照，可以将该机构划分为三类学习中心：</w:t>
      </w:r>
    </w:p>
    <w:p w:rsidR="003C2E11" w:rsidRDefault="003C2E11">
      <w:pPr>
        <w:pStyle w:val="SingleTxtGC"/>
        <w:numPr>
          <w:ilvl w:val="0"/>
          <w:numId w:val="45"/>
        </w:numPr>
        <w:rPr>
          <w:rFonts w:hint="eastAsia"/>
        </w:rPr>
      </w:pPr>
      <w:r>
        <w:rPr>
          <w:rFonts w:hint="eastAsia"/>
        </w:rPr>
        <w:t>入职培训中心：这些中心的一般培训内容围绕人权开展，将国民对安全的真正需求纳入其考虑范围，明确了对警务工作的要求和见解。而专项培训涉及到与道德伦理、职业道德和犯罪学等领域有关的内容。而在更进一步的补充性培训中，致力于树立正确的工作态度并将价值观内化到实际工作中，采取自由和开放的方式，具体来说，就是投入充沛的时间以及宽广的空间来强化尊重和宽容意识，特别关注有志投身警察事业的学生们的行为举止，重视开展检查并视情况对警务工作所不能容忍的种族主义、排外主义、威权主义、男性沙文主义或崇尚暴力的态度予以纠正；</w:t>
      </w:r>
    </w:p>
    <w:p w:rsidR="003C2E11" w:rsidRDefault="003C2E11">
      <w:pPr>
        <w:pStyle w:val="SingleTxtGC"/>
        <w:numPr>
          <w:ilvl w:val="0"/>
          <w:numId w:val="45"/>
        </w:numPr>
      </w:pPr>
      <w:r>
        <w:rPr>
          <w:rFonts w:hint="eastAsia"/>
        </w:rPr>
        <w:t>晋升和职业化培训中心：在人权领域的教育目标集中在：</w:t>
      </w:r>
    </w:p>
    <w:p w:rsidR="003C2E11" w:rsidRDefault="003C2E11">
      <w:pPr>
        <w:pStyle w:val="Bullet1GC"/>
        <w:tabs>
          <w:tab w:val="clear" w:pos="1996"/>
          <w:tab w:val="num" w:pos="2484"/>
        </w:tabs>
        <w:ind w:left="2484"/>
        <w:rPr>
          <w:rFonts w:hint="eastAsia"/>
        </w:rPr>
      </w:pPr>
      <w:r>
        <w:rPr>
          <w:rFonts w:hint="eastAsia"/>
          <w:color w:val="000000"/>
        </w:rPr>
        <w:t>充分落实尊重人权的思想教育；</w:t>
      </w:r>
    </w:p>
    <w:p w:rsidR="003C2E11" w:rsidRDefault="003C2E11">
      <w:pPr>
        <w:pStyle w:val="Bullet1GC"/>
        <w:tabs>
          <w:tab w:val="clear" w:pos="1996"/>
          <w:tab w:val="num" w:pos="2484"/>
        </w:tabs>
        <w:ind w:left="2484"/>
        <w:rPr>
          <w:rFonts w:hint="eastAsia"/>
          <w:spacing w:val="-6"/>
        </w:rPr>
      </w:pPr>
      <w:r>
        <w:rPr>
          <w:rFonts w:hint="eastAsia"/>
          <w:spacing w:val="-6"/>
        </w:rPr>
        <w:t>对影响到此类权利的法律理念、业务理念和心理学观念进行分析；</w:t>
      </w:r>
    </w:p>
    <w:p w:rsidR="003C2E11" w:rsidRDefault="003C2E11">
      <w:pPr>
        <w:pStyle w:val="Bullet1GC"/>
        <w:tabs>
          <w:tab w:val="clear" w:pos="1996"/>
          <w:tab w:val="num" w:pos="2484"/>
        </w:tabs>
        <w:ind w:left="2484"/>
        <w:rPr>
          <w:rFonts w:hint="eastAsia"/>
        </w:rPr>
      </w:pPr>
      <w:r>
        <w:rPr>
          <w:rFonts w:hint="eastAsia"/>
        </w:rPr>
        <w:t>提高警方在尊重基本权利的框架内依法实施逮捕的技能。</w:t>
      </w:r>
    </w:p>
    <w:p w:rsidR="003C2E11" w:rsidRDefault="003C2E11">
      <w:pPr>
        <w:pStyle w:val="SingleTxtGC"/>
        <w:numPr>
          <w:ilvl w:val="0"/>
          <w:numId w:val="45"/>
        </w:numPr>
      </w:pPr>
      <w:r>
        <w:rPr>
          <w:rFonts w:hint="eastAsia"/>
        </w:rPr>
        <w:t>宣讲中心：在这一中心内设立了三个涉及到人权领域的教学部门：</w:t>
      </w:r>
    </w:p>
    <w:p w:rsidR="003C2E11" w:rsidRDefault="003C2E11">
      <w:pPr>
        <w:pStyle w:val="Bullet1GC"/>
        <w:tabs>
          <w:tab w:val="clear" w:pos="1996"/>
          <w:tab w:val="num" w:pos="2484"/>
        </w:tabs>
        <w:ind w:left="2484"/>
      </w:pPr>
      <w:r>
        <w:rPr>
          <w:rFonts w:hint="eastAsia"/>
          <w:color w:val="000000"/>
        </w:rPr>
        <w:t>人力资源部门，集中在酷刑、歧视、虐待、种族主义、仇外心理和贩运儿童等课题上；</w:t>
      </w:r>
    </w:p>
    <w:p w:rsidR="003C2E11" w:rsidRDefault="003C2E11">
      <w:pPr>
        <w:pStyle w:val="Bullet1GC"/>
        <w:tabs>
          <w:tab w:val="clear" w:pos="1996"/>
          <w:tab w:val="num" w:pos="2484"/>
        </w:tabs>
        <w:ind w:left="2484"/>
      </w:pPr>
      <w:r>
        <w:rPr>
          <w:rFonts w:hint="eastAsia"/>
        </w:rPr>
        <w:t>法律部门，主要研究各项国际公约；</w:t>
      </w:r>
    </w:p>
    <w:p w:rsidR="003C2E11" w:rsidRDefault="003C2E11">
      <w:pPr>
        <w:pStyle w:val="Bullet1GC"/>
        <w:tabs>
          <w:tab w:val="clear" w:pos="1996"/>
          <w:tab w:val="num" w:pos="2484"/>
        </w:tabs>
        <w:ind w:left="2484"/>
      </w:pPr>
      <w:r>
        <w:rPr>
          <w:rFonts w:hint="eastAsia"/>
        </w:rPr>
        <w:t>警方侦查和防范部门，涉及到所有与犯罪受害人、实施逮捕的方式有关的问题，在自由集会和游行示威时采取相应的举措。</w:t>
      </w:r>
    </w:p>
    <w:p w:rsidR="003C2E11" w:rsidRDefault="003C2E11">
      <w:pPr>
        <w:pStyle w:val="SingleTxtGC"/>
      </w:pPr>
      <w:r>
        <w:t xml:space="preserve">223.  </w:t>
      </w:r>
      <w:r>
        <w:rPr>
          <w:rFonts w:hint="eastAsia"/>
        </w:rPr>
        <w:t>总之，内政部认为即使是个别警员所犯下的对人权的减损行为也意味着整个警察队伍的失败。</w:t>
      </w:r>
    </w:p>
    <w:p w:rsidR="003C2E11" w:rsidRDefault="003C2E11">
      <w:pPr>
        <w:pStyle w:val="SingleTxtGC"/>
      </w:pPr>
      <w:r>
        <w:t xml:space="preserve">224.  </w:t>
      </w:r>
      <w:r>
        <w:rPr>
          <w:rFonts w:hint="eastAsia"/>
        </w:rPr>
        <w:t>在对监狱机关总秘书处的公职人员的培训方面，加入狱政管理部门的公务员队伍就意味着除了要对刑法有相应的了解外，还要提前深入地了解与保护人权有关的问题，具体来说，就是要了解公务员在履行职责时可能会触犯的罪行，此外还要在实习期开展跟踪教育，在其中也包含一项关于人权的教学模块。特别是，考虑到看守人员这一在监狱机构中占多数且与囚犯接触最多的群体，考虑到其监视和看守的职能，针对他们开设了以下教学模块：“一般规定：与保护人权有关的保障和程序”、“监狱制度保障体系”、“和平解决冲突”和“对犯罪的社会学分析”。此外，在为期一年的实习期内，为学员明确指定“培训导师”，导师的任务就是对新入职人员进行跟踪考察并观察其是否具备了履行使命所必须的能力和态度。</w:t>
      </w:r>
    </w:p>
    <w:p w:rsidR="003C2E11" w:rsidRDefault="003C2E11">
      <w:pPr>
        <w:pStyle w:val="SingleTxtGC"/>
      </w:pPr>
      <w:r>
        <w:t xml:space="preserve">225.  </w:t>
      </w:r>
      <w:r>
        <w:rPr>
          <w:rFonts w:hint="eastAsia"/>
        </w:rPr>
        <w:t>一旦入职，即采用狱政管理部门所开发的一项针对公务员的长期培训计划，特别注重关于人权的培训以及价值观教育，其中应当重点提到的就是“自卫和正确使用强制手段”的课程，这项课程的授课对象为看守人员，课程逐步与国际相关法规接轨。课程目的就是让学员了解采用合法强制性措施的正确方式，以便以合理、谨慎和适当的方式采取此类措施，始终追求实现干预最小化，将之作为最后一种救济手段。</w:t>
      </w:r>
    </w:p>
    <w:p w:rsidR="003C2E11" w:rsidRDefault="003C2E11">
      <w:pPr>
        <w:pStyle w:val="SingleTxtGC"/>
      </w:pPr>
      <w:r>
        <w:t xml:space="preserve">226.  </w:t>
      </w:r>
      <w:r>
        <w:rPr>
          <w:rFonts w:hint="eastAsia"/>
        </w:rPr>
        <w:t>除了上面所说的，由于最近批准了针对强迫失踪问题的公约，可以认为所有的培训模块都可以通过引入和深化对这些新内容的研究而得到丰富，主管安全事务的国务秘书处已经就此作出了承诺。</w:t>
      </w:r>
    </w:p>
    <w:p w:rsidR="003C2E11" w:rsidRDefault="003C2E11">
      <w:pPr>
        <w:pStyle w:val="SingleTxtGC"/>
      </w:pPr>
      <w:r>
        <w:t xml:space="preserve">227.  </w:t>
      </w:r>
      <w:r>
        <w:rPr>
          <w:rFonts w:hint="eastAsia"/>
        </w:rPr>
        <w:t>最后，第二十三条第二款和第三款规定本条第一款所指的人员，如果拒绝遵守授权或鼓励制造强迫失踪的指令，不得受到惩罚，还规定当其获知强迫失踪案件已经发生或正在计划之中时，应当向上级或者主管当局进行报告。这两款内容被认为是对前面的条款的重申，因此可以认为在前面已经就此进行了答复。</w:t>
      </w:r>
    </w:p>
    <w:p w:rsidR="003C2E11" w:rsidRDefault="003C2E11">
      <w:pPr>
        <w:pStyle w:val="SingleTxtGC"/>
      </w:pPr>
      <w:r>
        <w:t xml:space="preserve">228.  </w:t>
      </w:r>
      <w:r>
        <w:rPr>
          <w:rFonts w:hint="eastAsia"/>
        </w:rPr>
        <w:t>关于在国防部的职权范围内落实本条规定的问题，特别值得一提的是《西班牙武装部队皇家法令》，作为所有军人应切实遵从的道德准则，在其序篇第</w:t>
      </w:r>
      <w:r>
        <w:rPr>
          <w:rFonts w:hint="eastAsia"/>
        </w:rPr>
        <w:t>11</w:t>
      </w:r>
      <w:r>
        <w:rPr>
          <w:rFonts w:hint="eastAsia"/>
        </w:rPr>
        <w:t>条</w:t>
      </w:r>
      <w:r>
        <w:rPr>
          <w:rFonts w:hint="eastAsia"/>
        </w:rPr>
        <w:t>(</w:t>
      </w:r>
      <w:r>
        <w:rPr>
          <w:rFonts w:hint="eastAsia"/>
        </w:rPr>
        <w:t>人的尊严</w:t>
      </w:r>
      <w:r>
        <w:rPr>
          <w:rFonts w:hint="eastAsia"/>
        </w:rPr>
        <w:t>)</w:t>
      </w:r>
      <w:r>
        <w:rPr>
          <w:rFonts w:hint="eastAsia"/>
        </w:rPr>
        <w:t>中规定“军队成员的行为举止应当尊重个人、符合共同利益并遵从适用于武装冲突的国际法”同时在第六章第</w:t>
      </w:r>
      <w:r>
        <w:rPr>
          <w:rFonts w:hint="eastAsia"/>
        </w:rPr>
        <w:t>112</w:t>
      </w:r>
      <w:r>
        <w:rPr>
          <w:rFonts w:hint="eastAsia"/>
        </w:rPr>
        <w:t>条</w:t>
      </w:r>
      <w:r>
        <w:rPr>
          <w:rFonts w:hint="eastAsia"/>
        </w:rPr>
        <w:t>(</w:t>
      </w:r>
      <w:r>
        <w:rPr>
          <w:rFonts w:hint="eastAsia"/>
        </w:rPr>
        <w:t>保护特别弱势群体</w:t>
      </w:r>
      <w:r>
        <w:rPr>
          <w:rFonts w:hint="eastAsia"/>
        </w:rPr>
        <w:t>)</w:t>
      </w:r>
      <w:r>
        <w:rPr>
          <w:rFonts w:hint="eastAsia"/>
        </w:rPr>
        <w:t>中规定“保护没有自卫能力和反抗能力的人员，特别是妇女和儿童免遭暴力侵害、强迫卖淫、不人道和有辱人格的待遇或者任何形式的剥削或性侵犯”。</w:t>
      </w:r>
    </w:p>
    <w:p w:rsidR="003C2E11" w:rsidRDefault="003C2E11">
      <w:pPr>
        <w:pStyle w:val="SingleTxtGC"/>
      </w:pPr>
      <w:r>
        <w:t xml:space="preserve">229.  </w:t>
      </w:r>
      <w:r>
        <w:rPr>
          <w:rFonts w:hint="eastAsia"/>
        </w:rPr>
        <w:t>强制性推行对国际人道主义法的教育，其中包括宣传《保护所有人免遭强迫失踪国际公约》，这一义务载于</w:t>
      </w:r>
      <w:smartTag w:uri="urn:schemas-microsoft-com:office:smarttags" w:element="chsdate">
        <w:smartTagPr>
          <w:attr w:name="Year" w:val="1977"/>
          <w:attr w:name="Month" w:val="6"/>
          <w:attr w:name="Day" w:val="8"/>
          <w:attr w:name="IsLunarDate" w:val="False"/>
          <w:attr w:name="IsROCDate" w:val="False"/>
        </w:smartTagPr>
        <w:r>
          <w:rPr>
            <w:rFonts w:hint="eastAsia"/>
          </w:rPr>
          <w:t>1977</w:t>
        </w:r>
        <w:r>
          <w:rPr>
            <w:rFonts w:hint="eastAsia"/>
          </w:rPr>
          <w:t>年</w:t>
        </w:r>
        <w:r>
          <w:rPr>
            <w:rFonts w:hint="eastAsia"/>
          </w:rPr>
          <w:t>6</w:t>
        </w:r>
        <w:r>
          <w:rPr>
            <w:rFonts w:hint="eastAsia"/>
          </w:rPr>
          <w:t>月</w:t>
        </w:r>
        <w:r>
          <w:rPr>
            <w:rFonts w:hint="eastAsia"/>
          </w:rPr>
          <w:t>8</w:t>
        </w:r>
        <w:r>
          <w:rPr>
            <w:rFonts w:hint="eastAsia"/>
          </w:rPr>
          <w:t>日</w:t>
        </w:r>
      </w:smartTag>
      <w:r>
        <w:rPr>
          <w:rFonts w:hint="eastAsia"/>
        </w:rPr>
        <w:t>的《日内瓦四公约第一附加议定书》第八十三条中</w:t>
      </w:r>
      <w:r>
        <w:rPr>
          <w:rFonts w:hint="eastAsia"/>
        </w:rPr>
        <w:t>(</w:t>
      </w:r>
      <w:r>
        <w:rPr>
          <w:rFonts w:hint="eastAsia"/>
        </w:rPr>
        <w:t>获得了西班牙的批准</w:t>
      </w:r>
      <w:r>
        <w:rPr>
          <w:rFonts w:hint="eastAsia"/>
        </w:rPr>
        <w:t>)</w:t>
      </w:r>
      <w:r>
        <w:rPr>
          <w:rFonts w:hint="eastAsia"/>
        </w:rPr>
        <w:t>，并成为了军事教育教学大纲的组成部分</w:t>
      </w:r>
      <w:r>
        <w:rPr>
          <w:rFonts w:hint="eastAsia"/>
        </w:rPr>
        <w:t>(</w:t>
      </w:r>
      <w:r>
        <w:rPr>
          <w:rFonts w:hint="eastAsia"/>
        </w:rPr>
        <w:t>培训、进修或国防事务高级别研究</w:t>
      </w:r>
      <w:r>
        <w:rPr>
          <w:rFonts w:hint="eastAsia"/>
        </w:rPr>
        <w:t>)</w:t>
      </w:r>
      <w:r>
        <w:rPr>
          <w:rFonts w:hint="eastAsia"/>
        </w:rPr>
        <w:t>。所有的培训课程都包含这方面的内容，同时大部分的进修和国防事务高级别研究课程也包含这方面的内容。</w:t>
      </w:r>
    </w:p>
    <w:p w:rsidR="003C2E11" w:rsidRDefault="003C2E11">
      <w:pPr>
        <w:pStyle w:val="SingleTxtGC"/>
      </w:pPr>
      <w:r>
        <w:t xml:space="preserve">230.  </w:t>
      </w:r>
      <w:r>
        <w:rPr>
          <w:rFonts w:hint="eastAsia"/>
        </w:rPr>
        <w:t>除了这些常规教育外，还开展了其他一些学术拓展或补充性拓展活动，例如研讨会、学术会议、讲座、课程班，等等，其中值得一提的是涉及到国际人道主义法的活动，这些活动是在红十字会等组织以及各所公立大学的合作下举办的，活动主题涉及到前面提到的内容以及与国防事务有关的问题。</w:t>
      </w:r>
    </w:p>
    <w:p w:rsidR="003C2E11" w:rsidRDefault="003C2E11">
      <w:pPr>
        <w:pStyle w:val="SingleTxtGC"/>
      </w:pPr>
      <w:r>
        <w:t xml:space="preserve">231.  </w:t>
      </w:r>
      <w:r>
        <w:rPr>
          <w:rFonts w:hint="eastAsia"/>
        </w:rPr>
        <w:t>西班牙武装部队中设有军事法律机构，其人员派驻在全国各地，从而确保能够对各级指挥部提供顾问服务。同样，针对部署在海外的分遣队，也指派了这一机构的工作人员，作为指挥部的法律顾问。</w:t>
      </w:r>
    </w:p>
    <w:p w:rsidR="003C2E11" w:rsidRDefault="003C2E11">
      <w:pPr>
        <w:pStyle w:val="SingleTxtGC"/>
      </w:pPr>
      <w:r>
        <w:t xml:space="preserve">232.  </w:t>
      </w:r>
      <w:r>
        <w:rPr>
          <w:rFonts w:hint="eastAsia"/>
        </w:rPr>
        <w:t>我们部署在海外的分遣队落实并敦促落实联合国安理会向武装冲突各方下达的决议，以此来保障对人员的保护、福祉和个人权利。</w:t>
      </w:r>
    </w:p>
    <w:p w:rsidR="003C2E11" w:rsidRDefault="003C2E11">
      <w:pPr>
        <w:pStyle w:val="SingleTxtGC"/>
      </w:pPr>
      <w:r>
        <w:t xml:space="preserve">233.  </w:t>
      </w:r>
      <w:r>
        <w:rPr>
          <w:rFonts w:hint="eastAsia"/>
        </w:rPr>
        <w:t>所有这些内容都包含在与国际人道主义法有关的模块中，这些模块构成了向西班牙部署在海外的武装分遣队进行培训的教学计划的组成部分。</w:t>
      </w:r>
    </w:p>
    <w:p w:rsidR="003C2E11" w:rsidRDefault="003C2E11">
      <w:pPr>
        <w:pStyle w:val="SingleTxtGC"/>
      </w:pPr>
      <w:r>
        <w:t xml:space="preserve">234.  </w:t>
      </w:r>
      <w:r>
        <w:rPr>
          <w:rFonts w:hint="eastAsia"/>
        </w:rPr>
        <w:t>针对《公约》第二十三条第二款和第三款，还应当指出，旨在促成、授权或鼓励犯罪的命令或指示，例如关于非法拘禁</w:t>
      </w:r>
      <w:r>
        <w:rPr>
          <w:rFonts w:hint="eastAsia"/>
        </w:rPr>
        <w:t>/</w:t>
      </w:r>
      <w:r>
        <w:rPr>
          <w:rFonts w:hint="eastAsia"/>
        </w:rPr>
        <w:t>绑架导致失踪或“强迫失踪”的命令或指示均不合法，其本身就构成了刑事犯罪，为此可根据命令或指示的发布者在命令或指示的编制、通知或实施工作中的参与度来追究其责任。</w:t>
      </w:r>
    </w:p>
    <w:p w:rsidR="003C2E11" w:rsidRDefault="003C2E11">
      <w:pPr>
        <w:pStyle w:val="SingleTxtGC"/>
      </w:pPr>
      <w:r>
        <w:t xml:space="preserve">235.  </w:t>
      </w:r>
      <w:r>
        <w:rPr>
          <w:rFonts w:hint="eastAsia"/>
        </w:rPr>
        <w:t>在西班牙法律中，将一种行为认定为《刑法典》中的犯罪行为是在法律上对这种行为最大的指责。</w:t>
      </w:r>
    </w:p>
    <w:p w:rsidR="003C2E11" w:rsidRDefault="003C2E11">
      <w:pPr>
        <w:pStyle w:val="SingleTxtGC"/>
      </w:pPr>
      <w:r>
        <w:t xml:space="preserve">236.  </w:t>
      </w:r>
      <w:r>
        <w:rPr>
          <w:rFonts w:hint="eastAsia"/>
        </w:rPr>
        <w:t>但是，除了刑事责任外，此类命令或指示从本质上来说是无效的，在这种情况下，行政当局的命令或规定不具备任何法律效力。《公共管理法律制度和公共行政诉讼法》就此作出了明文规定，这在上文关于《公约》第六条第二款的论述中已经进行了说明。</w:t>
      </w:r>
    </w:p>
    <w:p w:rsidR="003C2E11" w:rsidRDefault="003C2E11">
      <w:pPr>
        <w:pStyle w:val="SingleTxtGC"/>
      </w:pPr>
      <w:r>
        <w:t xml:space="preserve">237.  </w:t>
      </w:r>
      <w:r>
        <w:rPr>
          <w:rFonts w:hint="eastAsia"/>
        </w:rPr>
        <w:t>另一方面，同样是在关于《公约》第六条第二款的论述中，已经说明了应采用哪些法律制度手段来帮助当局、公务员和代理人向上级举报可能涉嫌犯罪的事实并说明法律制度赋予其的职权权限和免责范围，以便这些人员尽管由于其公务员身份与案件有所关联，但是不会牵涉到案件当中。</w:t>
      </w:r>
    </w:p>
    <w:p w:rsidR="003C2E11" w:rsidRDefault="003C2E11">
      <w:pPr>
        <w:pStyle w:val="SingleTxtGC"/>
      </w:pPr>
      <w:r>
        <w:t xml:space="preserve">238.  </w:t>
      </w:r>
      <w:r>
        <w:rPr>
          <w:rFonts w:hint="eastAsia"/>
        </w:rPr>
        <w:t>以上所有论述并不影响公务员在由于职务、职业或公务原因而掌握与公共罪行有关的情报或信息时需要履行的遵照《刑事审判法》第</w:t>
      </w:r>
      <w:r>
        <w:rPr>
          <w:rFonts w:hint="eastAsia"/>
        </w:rPr>
        <w:t>262</w:t>
      </w:r>
      <w:r>
        <w:rPr>
          <w:rFonts w:hint="eastAsia"/>
        </w:rPr>
        <w:t>条及其他相关条款的规定，向法官、检察机关或者国家安全部队和治安机关进行举报的责任和义务，这在关于《公约》第十条的论述中已经进行了详细讨论。</w:t>
      </w:r>
    </w:p>
    <w:p w:rsidR="003C2E11" w:rsidRDefault="003C2E11">
      <w:pPr>
        <w:pStyle w:val="H1GC"/>
      </w:pPr>
      <w:r>
        <w:tab/>
      </w:r>
      <w:r>
        <w:tab/>
      </w:r>
      <w:bookmarkStart w:id="27" w:name="_Toc351380615"/>
      <w:r>
        <w:rPr>
          <w:rFonts w:hint="eastAsia"/>
        </w:rPr>
        <w:t>第二十四条</w:t>
      </w:r>
      <w:r>
        <w:rPr>
          <w:rFonts w:hint="eastAsia"/>
        </w:rPr>
        <w:br/>
      </w:r>
      <w:r>
        <w:rPr>
          <w:rFonts w:hint="eastAsia"/>
        </w:rPr>
        <w:t>受害者的权利和保障</w:t>
      </w:r>
      <w:bookmarkEnd w:id="27"/>
    </w:p>
    <w:p w:rsidR="003C2E11" w:rsidRDefault="003C2E11">
      <w:pPr>
        <w:pStyle w:val="SingleTxtGC"/>
        <w:rPr>
          <w:rFonts w:hint="eastAsia"/>
        </w:rPr>
      </w:pPr>
      <w:r>
        <w:t xml:space="preserve">239.  </w:t>
      </w:r>
      <w:r>
        <w:rPr>
          <w:rFonts w:hint="eastAsia"/>
        </w:rPr>
        <w:t>从六个方面对本条内容进行答复：</w:t>
      </w:r>
    </w:p>
    <w:p w:rsidR="003C2E11" w:rsidRDefault="003C2E11">
      <w:pPr>
        <w:pStyle w:val="SingleTxtGC"/>
      </w:pPr>
      <w:r>
        <w:t xml:space="preserve">240.  </w:t>
      </w:r>
      <w:r>
        <w:rPr>
          <w:rFonts w:hint="eastAsia"/>
        </w:rPr>
        <w:t>首先，“实施法律规定的犯罪和过失罪，应当在法律规定的期限内赔偿对其造成的损失和损害”，《刑法典》第</w:t>
      </w:r>
      <w:r>
        <w:rPr>
          <w:rFonts w:hint="eastAsia"/>
        </w:rPr>
        <w:t>109</w:t>
      </w:r>
      <w:r>
        <w:rPr>
          <w:rFonts w:hint="eastAsia"/>
        </w:rPr>
        <w:t>条作出了这一规定，这是《刑法典》中关于规范犯罪和过失罪的民事责任的这一章节的第一项规定</w:t>
      </w:r>
      <w:r>
        <w:rPr>
          <w:rFonts w:hint="eastAsia"/>
        </w:rPr>
        <w:t>(</w:t>
      </w:r>
      <w:r>
        <w:rPr>
          <w:rFonts w:hint="eastAsia"/>
        </w:rPr>
        <w:t>第</w:t>
      </w:r>
      <w:r>
        <w:rPr>
          <w:rFonts w:hint="eastAsia"/>
        </w:rPr>
        <w:t>109</w:t>
      </w:r>
      <w:r>
        <w:rPr>
          <w:rFonts w:hint="eastAsia"/>
        </w:rPr>
        <w:t>至</w:t>
      </w:r>
      <w:r>
        <w:rPr>
          <w:rFonts w:hint="eastAsia"/>
        </w:rPr>
        <w:t>122</w:t>
      </w:r>
      <w:r>
        <w:rPr>
          <w:rFonts w:hint="eastAsia"/>
        </w:rPr>
        <w:t>条</w:t>
      </w:r>
      <w:r>
        <w:rPr>
          <w:rFonts w:hint="eastAsia"/>
        </w:rPr>
        <w:t>)</w:t>
      </w:r>
      <w:r>
        <w:rPr>
          <w:rFonts w:hint="eastAsia"/>
        </w:rPr>
        <w:t>。这一赔偿规定明确了对犯罪受害对象或者间接受到犯罪侵害的人员，也就是说，被非法拘留</w:t>
      </w:r>
      <w:r>
        <w:rPr>
          <w:rFonts w:hint="eastAsia"/>
        </w:rPr>
        <w:t>/</w:t>
      </w:r>
      <w:r>
        <w:rPr>
          <w:rFonts w:hint="eastAsia"/>
        </w:rPr>
        <w:t>绑架的失踪人员的认定工作。</w:t>
      </w:r>
    </w:p>
    <w:p w:rsidR="003C2E11" w:rsidRDefault="003C2E11">
      <w:pPr>
        <w:pStyle w:val="SingleTxtGC"/>
      </w:pPr>
      <w:r>
        <w:t xml:space="preserve">241.  </w:t>
      </w:r>
      <w:r>
        <w:rPr>
          <w:rFonts w:hint="eastAsia"/>
        </w:rPr>
        <w:t>但是，与此同时，法律也承认了可被纳入到受害者范围内的其他人的受赔偿权利。在这方面，《刑法典》规定对物质和精神伤害赔偿的范围不仅包括对被害人本人造成的伤害，还包括因犯罪引起的对被害人家人和第三人的伤害</w:t>
      </w:r>
      <w:r>
        <w:rPr>
          <w:rFonts w:hint="eastAsia"/>
        </w:rPr>
        <w:t>(</w:t>
      </w:r>
      <w:r>
        <w:rPr>
          <w:rFonts w:hint="eastAsia"/>
        </w:rPr>
        <w:t>《刑法典》第</w:t>
      </w:r>
      <w:r>
        <w:rPr>
          <w:rFonts w:hint="eastAsia"/>
        </w:rPr>
        <w:t>113</w:t>
      </w:r>
      <w:r>
        <w:rPr>
          <w:rFonts w:hint="eastAsia"/>
        </w:rPr>
        <w:t>条</w:t>
      </w:r>
      <w:r>
        <w:rPr>
          <w:rFonts w:hint="eastAsia"/>
        </w:rPr>
        <w:t>)</w:t>
      </w:r>
      <w:r>
        <w:rPr>
          <w:rFonts w:hint="eastAsia"/>
        </w:rPr>
        <w:t>。因此可以肯定的是，西班牙法律对受害人进行了宽泛的定义，将《公约》所载的受害人对应的所有法律假设情节所构成的犯罪都纳入其中。</w:t>
      </w:r>
    </w:p>
    <w:p w:rsidR="003C2E11" w:rsidRDefault="003C2E11">
      <w:pPr>
        <w:pStyle w:val="SingleTxtGC"/>
      </w:pPr>
      <w:r>
        <w:t xml:space="preserve">242.  </w:t>
      </w:r>
      <w:r>
        <w:rPr>
          <w:rFonts w:hint="eastAsia"/>
        </w:rPr>
        <w:t>其次，考虑到“强迫失踪”是一种犯罪，可以针对这一罪行行使受害人的刑事诉讼权利，且任何公民都有可能通过自诉来维护其各项权益，因此可以断定，所有当事人，如果有需要，就可以立即要求启动刑事诉讼程序，在这一刑事诉讼程序以及之后的审判过程中作为刑事诉讼的行为方，或者单纯地实施由这一犯罪所衍生出的民事诉讼。</w:t>
      </w:r>
    </w:p>
    <w:p w:rsidR="003C2E11" w:rsidRDefault="003C2E11">
      <w:pPr>
        <w:pStyle w:val="SingleTxtGC"/>
        <w:rPr>
          <w:rFonts w:hint="eastAsia"/>
        </w:rPr>
      </w:pPr>
      <w:r>
        <w:t xml:space="preserve">243.  </w:t>
      </w:r>
      <w:r>
        <w:rPr>
          <w:rFonts w:hint="eastAsia"/>
        </w:rPr>
        <w:t>此外法律制度</w:t>
      </w:r>
      <w:r>
        <w:rPr>
          <w:rFonts w:hint="eastAsia"/>
        </w:rPr>
        <w:t>(</w:t>
      </w:r>
      <w:r>
        <w:rPr>
          <w:rFonts w:hint="eastAsia"/>
        </w:rPr>
        <w:t>参见</w:t>
      </w:r>
      <w:smartTag w:uri="urn:schemas-microsoft-com:office:smarttags" w:element="chsdate">
        <w:smartTagPr>
          <w:attr w:name="Year" w:val="1995"/>
          <w:attr w:name="Month" w:val="12"/>
          <w:attr w:name="Day" w:val="11"/>
          <w:attr w:name="IsLunarDate" w:val="False"/>
          <w:attr w:name="IsROCDate" w:val="False"/>
        </w:smartTagPr>
        <w:r>
          <w:rPr>
            <w:rFonts w:hint="eastAsia"/>
          </w:rPr>
          <w:t>1995</w:t>
        </w:r>
        <w:r>
          <w:rPr>
            <w:rFonts w:hint="eastAsia"/>
          </w:rPr>
          <w:t>年</w:t>
        </w:r>
        <w:r>
          <w:rPr>
            <w:rFonts w:hint="eastAsia"/>
          </w:rPr>
          <w:t>12</w:t>
        </w:r>
        <w:r>
          <w:rPr>
            <w:rFonts w:hint="eastAsia"/>
          </w:rPr>
          <w:t>月</w:t>
        </w:r>
        <w:r>
          <w:rPr>
            <w:rFonts w:hint="eastAsia"/>
          </w:rPr>
          <w:t>11</w:t>
        </w:r>
        <w:r>
          <w:rPr>
            <w:rFonts w:hint="eastAsia"/>
          </w:rPr>
          <w:t>日</w:t>
        </w:r>
      </w:smartTag>
      <w:r>
        <w:rPr>
          <w:rFonts w:hint="eastAsia"/>
        </w:rPr>
        <w:t>的第</w:t>
      </w:r>
      <w:r>
        <w:rPr>
          <w:rFonts w:hint="eastAsia"/>
        </w:rPr>
        <w:t>35/1995</w:t>
      </w:r>
      <w:r>
        <w:rPr>
          <w:rFonts w:hint="eastAsia"/>
        </w:rPr>
        <w:t>号《暴力犯罪和侵犯性自由罪受害者帮扶和救助法》</w:t>
      </w:r>
      <w:r>
        <w:rPr>
          <w:rFonts w:hint="eastAsia"/>
        </w:rPr>
        <w:t>)</w:t>
      </w:r>
      <w:r>
        <w:rPr>
          <w:rFonts w:hint="eastAsia"/>
        </w:rPr>
        <w:t>还规定，警方应在不给受害人造成危险的前提下告知其调查进程，司法书记员也应向受害人告知其享有的伤害赔偿以及刑事诉讼基本进展的信息，即使受害者本人没有成为诉讼的当事方</w:t>
      </w:r>
      <w:r>
        <w:rPr>
          <w:rFonts w:hint="eastAsia"/>
        </w:rPr>
        <w:t>(</w:t>
      </w:r>
      <w:r>
        <w:rPr>
          <w:rFonts w:hint="eastAsia"/>
        </w:rPr>
        <w:t>第</w:t>
      </w:r>
      <w:r>
        <w:rPr>
          <w:rFonts w:hint="eastAsia"/>
        </w:rPr>
        <w:t>35/1995</w:t>
      </w:r>
      <w:r>
        <w:rPr>
          <w:rFonts w:hint="eastAsia"/>
        </w:rPr>
        <w:t>号法律第</w:t>
      </w:r>
      <w:r>
        <w:rPr>
          <w:rFonts w:hint="eastAsia"/>
        </w:rPr>
        <w:t>15.4</w:t>
      </w:r>
      <w:r>
        <w:rPr>
          <w:rFonts w:hint="eastAsia"/>
        </w:rPr>
        <w:t>条</w:t>
      </w:r>
      <w:r>
        <w:rPr>
          <w:rFonts w:hint="eastAsia"/>
        </w:rPr>
        <w:t>)</w:t>
      </w:r>
      <w:r>
        <w:rPr>
          <w:rFonts w:hint="eastAsia"/>
        </w:rPr>
        <w:t>。</w:t>
      </w:r>
    </w:p>
    <w:p w:rsidR="003C2E11" w:rsidRDefault="003C2E11">
      <w:pPr>
        <w:pStyle w:val="SingleTxtGC"/>
      </w:pPr>
      <w:r>
        <w:t xml:space="preserve">244. </w:t>
      </w:r>
      <w:r>
        <w:rPr>
          <w:rFonts w:hint="eastAsia"/>
        </w:rPr>
        <w:t xml:space="preserve"> </w:t>
      </w:r>
      <w:r>
        <w:rPr>
          <w:rFonts w:hint="eastAsia"/>
        </w:rPr>
        <w:t>第三，同样基于上述考虑，必须指出的是，对犯罪事实的调查涉及到方方面面的情况，在非法拘禁</w:t>
      </w:r>
      <w:r>
        <w:rPr>
          <w:rFonts w:hint="eastAsia"/>
        </w:rPr>
        <w:t>/</w:t>
      </w:r>
      <w:r>
        <w:rPr>
          <w:rFonts w:hint="eastAsia"/>
        </w:rPr>
        <w:t>绑架导致失踪案件中，国家机器的首要目标就是遏止犯罪，使得被剥夺自由人员获释，而如果受害人已经死亡，退而求其次，国家应当找到并向其家属归还死难者遗体。</w:t>
      </w:r>
    </w:p>
    <w:p w:rsidR="003C2E11" w:rsidRDefault="003C2E11">
      <w:pPr>
        <w:pStyle w:val="SingleTxtGC"/>
      </w:pPr>
      <w:r>
        <w:t xml:space="preserve">245. </w:t>
      </w:r>
      <w:r>
        <w:rPr>
          <w:rFonts w:hint="eastAsia"/>
        </w:rPr>
        <w:t xml:space="preserve"> </w:t>
      </w:r>
      <w:r>
        <w:rPr>
          <w:rFonts w:hint="eastAsia"/>
        </w:rPr>
        <w:t>第四，正如前面已经提到的，由于侵权行为引起的民事责任体系要为受害人争取由于不法行为而造成的伤害的赔偿，因此，尽管属于由民法机关过问的典型案件，但是《刑法典》也对此做出了规定。</w:t>
      </w:r>
    </w:p>
    <w:p w:rsidR="003C2E11" w:rsidRDefault="003C2E11">
      <w:pPr>
        <w:pStyle w:val="SingleTxtGC"/>
      </w:pPr>
      <w:r>
        <w:t xml:space="preserve">246.  </w:t>
      </w:r>
      <w:r>
        <w:rPr>
          <w:rFonts w:hint="eastAsia"/>
        </w:rPr>
        <w:t>《刑法典》对上文提到的前一条的民事责任所主张的赔偿权利扩展如下：</w:t>
      </w:r>
      <w:r>
        <w:rPr>
          <w:rFonts w:hint="eastAsia"/>
        </w:rPr>
        <w:t xml:space="preserve">1. </w:t>
      </w:r>
      <w:r>
        <w:rPr>
          <w:rFonts w:hint="eastAsia"/>
        </w:rPr>
        <w:t>恢复原状。</w:t>
      </w:r>
      <w:r>
        <w:rPr>
          <w:rFonts w:hint="eastAsia"/>
        </w:rPr>
        <w:t xml:space="preserve">2. </w:t>
      </w:r>
      <w:r>
        <w:rPr>
          <w:rFonts w:hint="eastAsia"/>
        </w:rPr>
        <w:t>赔偿造成的损失。</w:t>
      </w:r>
      <w:r>
        <w:rPr>
          <w:rFonts w:hint="eastAsia"/>
        </w:rPr>
        <w:t xml:space="preserve">3. </w:t>
      </w:r>
      <w:r>
        <w:rPr>
          <w:rFonts w:hint="eastAsia"/>
        </w:rPr>
        <w:t>对物质损害和精神损害进行赔偿。</w:t>
      </w:r>
      <w:r>
        <w:rPr>
          <w:rFonts w:hint="eastAsia"/>
        </w:rPr>
        <w:t>(</w:t>
      </w:r>
      <w:r>
        <w:rPr>
          <w:rFonts w:hint="eastAsia"/>
        </w:rPr>
        <w:t>《刑法典》第</w:t>
      </w:r>
      <w:r>
        <w:rPr>
          <w:rFonts w:hint="eastAsia"/>
        </w:rPr>
        <w:t>110</w:t>
      </w:r>
      <w:r>
        <w:rPr>
          <w:rFonts w:hint="eastAsia"/>
        </w:rPr>
        <w:t>条</w:t>
      </w:r>
      <w:r>
        <w:rPr>
          <w:rFonts w:hint="eastAsia"/>
        </w:rPr>
        <w:t>)</w:t>
      </w:r>
      <w:r>
        <w:rPr>
          <w:rFonts w:hint="eastAsia"/>
        </w:rPr>
        <w:t>。根据这一规定，可以推断出，民事责任可延伸到由犯罪所造成的所有物质伤害以及一切伤害影响，不管是实质性的还是理论上的还是精神伤害，因此，应当对受害人所遭受的伤害给予对等的满意赔偿。</w:t>
      </w:r>
    </w:p>
    <w:p w:rsidR="003C2E11" w:rsidRDefault="003C2E11">
      <w:pPr>
        <w:pStyle w:val="SingleTxtGC"/>
      </w:pPr>
      <w:r>
        <w:t xml:space="preserve">247.  </w:t>
      </w:r>
      <w:r>
        <w:rPr>
          <w:rFonts w:hint="eastAsia"/>
        </w:rPr>
        <w:t>另一方面，“强迫失踪”的受害人可以被包含在上面提到的第</w:t>
      </w:r>
      <w:r>
        <w:rPr>
          <w:rFonts w:hint="eastAsia"/>
        </w:rPr>
        <w:t>35/1995</w:t>
      </w:r>
      <w:r>
        <w:rPr>
          <w:rFonts w:hint="eastAsia"/>
        </w:rPr>
        <w:t>号组织法第</w:t>
      </w:r>
      <w:r>
        <w:rPr>
          <w:rFonts w:hint="eastAsia"/>
        </w:rPr>
        <w:t>1</w:t>
      </w:r>
      <w:r>
        <w:rPr>
          <w:rFonts w:hint="eastAsia"/>
        </w:rPr>
        <w:t>条所设定的对象范围内，“欺诈和暴力犯罪的直接或间接受害者……造成死亡或者严重的身体伤害，或者严重损害其身心健康”，在这种情况下可以求助于该法规定的公共救助制度。</w:t>
      </w:r>
    </w:p>
    <w:p w:rsidR="003C2E11" w:rsidRDefault="003C2E11">
      <w:pPr>
        <w:pStyle w:val="SingleTxtGC"/>
      </w:pPr>
      <w:r>
        <w:t xml:space="preserve">248. </w:t>
      </w:r>
      <w:r>
        <w:rPr>
          <w:rFonts w:hint="eastAsia"/>
        </w:rPr>
        <w:t xml:space="preserve"> </w:t>
      </w:r>
      <w:r>
        <w:rPr>
          <w:rFonts w:hint="eastAsia"/>
        </w:rPr>
        <w:t>第五，考虑到失踪人员未能在国家的搜救中被找到的情况，司法体系已经采取了相应的机制来确保其法律关系得到延续，并避免失踪可能对其造成的伤害。这方面的法律机制包括签发失踪声明书和死亡声明书。为此，《民法典》规定“在任何情况下，如果个人在从其住址或最后出现的地点消失后再没有任何消息</w:t>
      </w:r>
      <w:r>
        <w:rPr>
          <w:rFonts w:hint="eastAsia"/>
        </w:rPr>
        <w:t>(</w:t>
      </w:r>
      <w:r>
        <w:rPr>
          <w:rFonts w:hint="eastAsia"/>
        </w:rPr>
        <w:t>距离其最后一次行踪出现后一年或者在指定代理人或自愿代理人后失去音信三年</w:t>
      </w:r>
      <w:r>
        <w:rPr>
          <w:rFonts w:hint="eastAsia"/>
        </w:rPr>
        <w:t>)</w:t>
      </w:r>
      <w:r>
        <w:rPr>
          <w:rFonts w:hint="eastAsia"/>
        </w:rPr>
        <w:t>，法官可依利益攸关方或检察机关的要求，为失踪人员指定辩护人，以便在审理过程中保护失踪人员的权益，并处理不容耽搁的事项，避免造成严重损失。但是失踪人员具备合法代理人或自愿代理人的情况除外”</w:t>
      </w:r>
      <w:r>
        <w:rPr>
          <w:rFonts w:hint="eastAsia"/>
        </w:rPr>
        <w:t>(</w:t>
      </w:r>
      <w:r>
        <w:rPr>
          <w:rFonts w:hint="eastAsia"/>
        </w:rPr>
        <w:t>《民法典》第</w:t>
      </w:r>
      <w:r>
        <w:rPr>
          <w:rFonts w:hint="eastAsia"/>
        </w:rPr>
        <w:t>181</w:t>
      </w:r>
      <w:r>
        <w:rPr>
          <w:rFonts w:hint="eastAsia"/>
        </w:rPr>
        <w:t>条以及第</w:t>
      </w:r>
      <w:r>
        <w:rPr>
          <w:rFonts w:hint="eastAsia"/>
        </w:rPr>
        <w:t>183</w:t>
      </w:r>
      <w:r>
        <w:rPr>
          <w:rFonts w:hint="eastAsia"/>
        </w:rPr>
        <w:t>条</w:t>
      </w:r>
      <w:r>
        <w:rPr>
          <w:rFonts w:hint="eastAsia"/>
        </w:rPr>
        <w:t>)</w:t>
      </w:r>
      <w:r>
        <w:rPr>
          <w:rFonts w:hint="eastAsia"/>
        </w:rPr>
        <w:t>。失踪声明书签发后距离宣告失踪时间</w:t>
      </w:r>
      <w:r>
        <w:rPr>
          <w:rFonts w:hint="eastAsia"/>
        </w:rPr>
        <w:t>10</w:t>
      </w:r>
      <w:r>
        <w:rPr>
          <w:rFonts w:hint="eastAsia"/>
        </w:rPr>
        <w:t>年期届满，如果失踪人员年龄超过</w:t>
      </w:r>
      <w:r>
        <w:rPr>
          <w:rFonts w:hint="eastAsia"/>
        </w:rPr>
        <w:t>75</w:t>
      </w:r>
      <w:r>
        <w:rPr>
          <w:rFonts w:hint="eastAsia"/>
        </w:rPr>
        <w:t>岁，则设定为</w:t>
      </w:r>
      <w:r>
        <w:rPr>
          <w:rFonts w:hint="eastAsia"/>
        </w:rPr>
        <w:t>5</w:t>
      </w:r>
      <w:r>
        <w:rPr>
          <w:rFonts w:hint="eastAsia"/>
        </w:rPr>
        <w:t>年期限，对于因暴力导致失踪的，设定</w:t>
      </w:r>
      <w:r>
        <w:rPr>
          <w:rFonts w:hint="eastAsia"/>
        </w:rPr>
        <w:t>1</w:t>
      </w:r>
      <w:r>
        <w:rPr>
          <w:rFonts w:hint="eastAsia"/>
        </w:rPr>
        <w:t>年期限，到期则转化为死亡声明书</w:t>
      </w:r>
      <w:r>
        <w:rPr>
          <w:rFonts w:hint="eastAsia"/>
        </w:rPr>
        <w:t>(</w:t>
      </w:r>
      <w:r>
        <w:rPr>
          <w:rFonts w:hint="eastAsia"/>
        </w:rPr>
        <w:t>第</w:t>
      </w:r>
      <w:r>
        <w:rPr>
          <w:rFonts w:hint="eastAsia"/>
        </w:rPr>
        <w:t>193</w:t>
      </w:r>
      <w:r>
        <w:rPr>
          <w:rFonts w:hint="eastAsia"/>
        </w:rPr>
        <w:t>条及以后诸条</w:t>
      </w:r>
      <w:r>
        <w:rPr>
          <w:rFonts w:hint="eastAsia"/>
        </w:rPr>
        <w:t>)</w:t>
      </w:r>
      <w:r>
        <w:rPr>
          <w:rFonts w:hint="eastAsia"/>
        </w:rPr>
        <w:t>。</w:t>
      </w:r>
    </w:p>
    <w:p w:rsidR="003C2E11" w:rsidRDefault="003C2E11">
      <w:pPr>
        <w:pStyle w:val="SingleTxtGC"/>
      </w:pPr>
      <w:r>
        <w:t xml:space="preserve">249. </w:t>
      </w:r>
      <w:r>
        <w:rPr>
          <w:rFonts w:hint="eastAsia"/>
        </w:rPr>
        <w:t xml:space="preserve"> </w:t>
      </w:r>
      <w:r>
        <w:rPr>
          <w:rFonts w:hint="eastAsia"/>
        </w:rPr>
        <w:t>第六，《宪法》承认结社权这项基本权利，规定：</w:t>
      </w:r>
    </w:p>
    <w:p w:rsidR="003C2E11" w:rsidRDefault="003C2E11">
      <w:pPr>
        <w:pStyle w:val="SingleTxtGC"/>
        <w:ind w:left="1565"/>
        <w:rPr>
          <w:rFonts w:hint="eastAsia"/>
        </w:rPr>
      </w:pPr>
      <w:r>
        <w:rPr>
          <w:rFonts w:hint="eastAsia"/>
        </w:rPr>
        <w:t>“</w:t>
      </w:r>
      <w:r>
        <w:rPr>
          <w:rFonts w:hint="eastAsia"/>
        </w:rPr>
        <w:t xml:space="preserve">1. </w:t>
      </w:r>
      <w:r>
        <w:t xml:space="preserve"> </w:t>
      </w:r>
      <w:r>
        <w:rPr>
          <w:rFonts w:hint="eastAsia"/>
        </w:rPr>
        <w:t>承认结社自由。</w:t>
      </w:r>
    </w:p>
    <w:p w:rsidR="003C2E11" w:rsidRDefault="003C2E11">
      <w:pPr>
        <w:pStyle w:val="SingleTxtGC"/>
        <w:ind w:left="1565"/>
        <w:rPr>
          <w:rFonts w:hint="eastAsia"/>
        </w:rPr>
      </w:pPr>
      <w:r>
        <w:rPr>
          <w:rFonts w:hint="eastAsia"/>
        </w:rPr>
        <w:t xml:space="preserve">2.  </w:t>
      </w:r>
      <w:r>
        <w:rPr>
          <w:rFonts w:hint="eastAsia"/>
        </w:rPr>
        <w:t>出于犯罪目的或者采用犯罪手段实施的结社视为非法结社。</w:t>
      </w:r>
    </w:p>
    <w:p w:rsidR="003C2E11" w:rsidRDefault="003C2E11">
      <w:pPr>
        <w:pStyle w:val="SingleTxtGC"/>
        <w:ind w:left="1565"/>
        <w:rPr>
          <w:rFonts w:hint="eastAsia"/>
        </w:rPr>
      </w:pPr>
      <w:r>
        <w:rPr>
          <w:rFonts w:hint="eastAsia"/>
        </w:rPr>
        <w:t xml:space="preserve">3.  </w:t>
      </w:r>
      <w:r>
        <w:rPr>
          <w:rFonts w:hint="eastAsia"/>
        </w:rPr>
        <w:t>受本条庇护的社团应进行登记注册，登记信息仅供发布用途。</w:t>
      </w:r>
    </w:p>
    <w:p w:rsidR="003C2E11" w:rsidRDefault="003C2E11">
      <w:pPr>
        <w:pStyle w:val="SingleTxtGC"/>
        <w:ind w:left="1565"/>
        <w:rPr>
          <w:rFonts w:hint="eastAsia"/>
        </w:rPr>
      </w:pPr>
      <w:r>
        <w:rPr>
          <w:rFonts w:hint="eastAsia"/>
        </w:rPr>
        <w:t xml:space="preserve">4.  </w:t>
      </w:r>
      <w:r>
        <w:rPr>
          <w:rFonts w:hint="eastAsia"/>
        </w:rPr>
        <w:t>仅能依照出于合法理由的司法决议方可解散社团或中止其活动。</w:t>
      </w:r>
    </w:p>
    <w:p w:rsidR="003C2E11" w:rsidRDefault="003C2E11">
      <w:pPr>
        <w:pStyle w:val="SingleTxtGC"/>
        <w:ind w:left="1565"/>
        <w:rPr>
          <w:rFonts w:hint="eastAsia"/>
        </w:rPr>
      </w:pPr>
      <w:r>
        <w:rPr>
          <w:rFonts w:hint="eastAsia"/>
        </w:rPr>
        <w:t xml:space="preserve">5.  </w:t>
      </w:r>
      <w:r>
        <w:rPr>
          <w:rFonts w:hint="eastAsia"/>
        </w:rPr>
        <w:t>禁止秘密结社或准军事性质的结社”</w:t>
      </w:r>
      <w:r>
        <w:rPr>
          <w:rFonts w:hint="eastAsia"/>
        </w:rPr>
        <w:t>(</w:t>
      </w:r>
      <w:r>
        <w:rPr>
          <w:rFonts w:hint="eastAsia"/>
        </w:rPr>
        <w:t>《西班牙宪法》第</w:t>
      </w:r>
      <w:r>
        <w:rPr>
          <w:rFonts w:hint="eastAsia"/>
        </w:rPr>
        <w:t>22</w:t>
      </w:r>
      <w:r>
        <w:rPr>
          <w:rFonts w:hint="eastAsia"/>
        </w:rPr>
        <w:t>条</w:t>
      </w:r>
      <w:r>
        <w:rPr>
          <w:rFonts w:hint="eastAsia"/>
        </w:rPr>
        <w:t>)</w:t>
      </w:r>
      <w:r>
        <w:rPr>
          <w:rFonts w:hint="eastAsia"/>
        </w:rPr>
        <w:t>。</w:t>
      </w:r>
    </w:p>
    <w:p w:rsidR="003C2E11" w:rsidRDefault="003C2E11">
      <w:pPr>
        <w:pStyle w:val="SingleTxtGC"/>
      </w:pPr>
      <w:r>
        <w:t xml:space="preserve">250.  </w:t>
      </w:r>
      <w:smartTag w:uri="urn:schemas-microsoft-com:office:smarttags" w:element="chsdate">
        <w:smartTagPr>
          <w:attr w:name="Year" w:val="2002"/>
          <w:attr w:name="Month" w:val="3"/>
          <w:attr w:name="Day" w:val="22"/>
          <w:attr w:name="IsLunarDate" w:val="False"/>
          <w:attr w:name="IsROCDate" w:val="False"/>
        </w:smartTagPr>
        <w:r>
          <w:rPr>
            <w:rFonts w:hint="eastAsia"/>
          </w:rPr>
          <w:t>2002</w:t>
        </w:r>
        <w:r>
          <w:rPr>
            <w:rFonts w:hint="eastAsia"/>
          </w:rPr>
          <w:t>年</w:t>
        </w:r>
        <w:r>
          <w:rPr>
            <w:rFonts w:hint="eastAsia"/>
          </w:rPr>
          <w:t>3</w:t>
        </w:r>
        <w:r>
          <w:rPr>
            <w:rFonts w:hint="eastAsia"/>
          </w:rPr>
          <w:t>月</w:t>
        </w:r>
        <w:r>
          <w:rPr>
            <w:rFonts w:hint="eastAsia"/>
          </w:rPr>
          <w:t>22</w:t>
        </w:r>
        <w:r>
          <w:rPr>
            <w:rFonts w:hint="eastAsia"/>
          </w:rPr>
          <w:t>日</w:t>
        </w:r>
      </w:smartTag>
      <w:r>
        <w:rPr>
          <w:rFonts w:hint="eastAsia"/>
        </w:rPr>
        <w:t>的第</w:t>
      </w:r>
      <w:r>
        <w:rPr>
          <w:rFonts w:hint="eastAsia"/>
        </w:rPr>
        <w:t>1/2002</w:t>
      </w:r>
      <w:r>
        <w:rPr>
          <w:rFonts w:hint="eastAsia"/>
        </w:rPr>
        <w:t>号关于规范结社权的组织法对这一规定进行了发展。</w:t>
      </w:r>
    </w:p>
    <w:p w:rsidR="003C2E11" w:rsidRDefault="003C2E11">
      <w:pPr>
        <w:pStyle w:val="SingleTxtGC"/>
      </w:pPr>
      <w:r>
        <w:t xml:space="preserve">251.  </w:t>
      </w:r>
      <w:r>
        <w:rPr>
          <w:rFonts w:hint="eastAsia"/>
        </w:rPr>
        <w:t>从这一法律主体内容中可以看出，法律充分保证公民自由组织和参加有关组织和协会的权利，以求查明强迫失踪的案情和失踪者的下落并为强迫失踪受害人提供帮助，对此没有设定任何限制。</w:t>
      </w:r>
    </w:p>
    <w:p w:rsidR="003C2E11" w:rsidRDefault="003C2E11">
      <w:pPr>
        <w:pStyle w:val="SingleTxtGC"/>
      </w:pPr>
      <w:r>
        <w:t xml:space="preserve">252.  </w:t>
      </w:r>
      <w:r>
        <w:rPr>
          <w:rFonts w:hint="eastAsia"/>
        </w:rPr>
        <w:t>最后，需要特别提到的是，当前正在筹备一项《受害者章程法》草案，以发展去年</w:t>
      </w:r>
      <w:r>
        <w:rPr>
          <w:rFonts w:hint="eastAsia"/>
        </w:rPr>
        <w:t>9</w:t>
      </w:r>
      <w:r>
        <w:rPr>
          <w:rFonts w:hint="eastAsia"/>
        </w:rPr>
        <w:t>月</w:t>
      </w:r>
      <w:r>
        <w:rPr>
          <w:rFonts w:hint="eastAsia"/>
        </w:rPr>
        <w:t>12</w:t>
      </w:r>
      <w:r>
        <w:rPr>
          <w:rFonts w:hint="eastAsia"/>
        </w:rPr>
        <w:t>日首次面世的由欧洲议会全会批准的议会和理事会指导方针，并以之替代第</w:t>
      </w:r>
      <w:r>
        <w:t xml:space="preserve">220/2001 JAI </w:t>
      </w:r>
      <w:r>
        <w:rPr>
          <w:rFonts w:hint="eastAsia"/>
        </w:rPr>
        <w:t>号框架决议。在对受害者的认定方面，作为各项权利的受益者，将《公约》第二十四条的要求和权利纳入其中，且就特别弱势受害者的情况，在草案中特别提到了将非法拘禁和绑架等一般犯罪的受害者以及《公约》第五条所涉的危害人类罪受害者都纳入到《刑法典》第</w:t>
      </w:r>
      <w:r>
        <w:rPr>
          <w:rFonts w:hint="eastAsia"/>
        </w:rPr>
        <w:t>607</w:t>
      </w:r>
      <w:r>
        <w:rPr>
          <w:rFonts w:hint="eastAsia"/>
        </w:rPr>
        <w:t>条中，列为该条之二。</w:t>
      </w:r>
    </w:p>
    <w:p w:rsidR="003C2E11" w:rsidRDefault="003C2E11">
      <w:pPr>
        <w:pStyle w:val="H1GC"/>
      </w:pPr>
      <w:r>
        <w:tab/>
      </w:r>
      <w:r>
        <w:tab/>
      </w:r>
      <w:bookmarkStart w:id="28" w:name="_Toc351380616"/>
      <w:r>
        <w:rPr>
          <w:rFonts w:hint="eastAsia"/>
        </w:rPr>
        <w:t>第二十五条</w:t>
      </w:r>
      <w:r>
        <w:rPr>
          <w:rFonts w:hint="eastAsia"/>
        </w:rPr>
        <w:br/>
      </w:r>
      <w:r>
        <w:rPr>
          <w:rFonts w:hint="eastAsia"/>
        </w:rPr>
        <w:t>刑事预防和惩处措施</w:t>
      </w:r>
      <w:bookmarkEnd w:id="28"/>
    </w:p>
    <w:p w:rsidR="003C2E11" w:rsidRDefault="003C2E11">
      <w:pPr>
        <w:pStyle w:val="SingleTxtGC"/>
      </w:pPr>
      <w:r>
        <w:t xml:space="preserve">253.  </w:t>
      </w:r>
      <w:r>
        <w:rPr>
          <w:rFonts w:hint="eastAsia"/>
        </w:rPr>
        <w:t>针对第二十五条第一款，通过以下三小段进行答复：</w:t>
      </w:r>
    </w:p>
    <w:p w:rsidR="003C2E11" w:rsidRDefault="003C2E11">
      <w:pPr>
        <w:pStyle w:val="SingleTxtGC"/>
      </w:pPr>
      <w:r>
        <w:t xml:space="preserve">254.  </w:t>
      </w:r>
      <w:r>
        <w:rPr>
          <w:rFonts w:hint="eastAsia"/>
        </w:rPr>
        <w:t>在本报告的通篇，特别是在关于《公约》第四条的论述中，已经对《公约》符合所认定的“强迫失踪”的各类犯罪事实所属类型进行了阐述，并强调此类犯罪指的是在《刑法典》第二卷第六篇所涉的“侵犯自由罪”所包括的非法拘禁</w:t>
      </w:r>
      <w:r>
        <w:rPr>
          <w:rFonts w:hint="eastAsia"/>
        </w:rPr>
        <w:t>/</w:t>
      </w:r>
      <w:r>
        <w:rPr>
          <w:rFonts w:hint="eastAsia"/>
        </w:rPr>
        <w:t>绑架导致失踪。</w:t>
      </w:r>
    </w:p>
    <w:p w:rsidR="003C2E11" w:rsidRDefault="003C2E11">
      <w:pPr>
        <w:pStyle w:val="SingleTxtGC"/>
      </w:pPr>
      <w:r>
        <w:t xml:space="preserve">255.  </w:t>
      </w:r>
      <w:r>
        <w:rPr>
          <w:rFonts w:hint="eastAsia"/>
        </w:rPr>
        <w:t>同时还反映出，当强迫失踪的受害者是未成年人时，属于《刑法典》规定应加重处罚的情节：“针对以上各条</w:t>
      </w:r>
      <w:r>
        <w:rPr>
          <w:rFonts w:hint="eastAsia"/>
        </w:rPr>
        <w:t>(</w:t>
      </w:r>
      <w:r>
        <w:rPr>
          <w:rFonts w:hint="eastAsia"/>
        </w:rPr>
        <w:t>指非法拘留和绑架</w:t>
      </w:r>
      <w:r>
        <w:rPr>
          <w:rFonts w:hint="eastAsia"/>
        </w:rPr>
        <w:t>)</w:t>
      </w:r>
      <w:r>
        <w:rPr>
          <w:rFonts w:hint="eastAsia"/>
        </w:rPr>
        <w:t>所列罪行的惩处，如果［……］受害对象为未成年人［……］时，应在法定量刑幅度内取较重半幅度处罚”</w:t>
      </w:r>
      <w:r>
        <w:rPr>
          <w:rFonts w:hint="eastAsia"/>
        </w:rPr>
        <w:t>(</w:t>
      </w:r>
      <w:r>
        <w:rPr>
          <w:rFonts w:hint="eastAsia"/>
        </w:rPr>
        <w:t>《刑法典》第</w:t>
      </w:r>
      <w:r>
        <w:rPr>
          <w:rFonts w:hint="eastAsia"/>
        </w:rPr>
        <w:t>165</w:t>
      </w:r>
      <w:r>
        <w:rPr>
          <w:rFonts w:hint="eastAsia"/>
        </w:rPr>
        <w:t>条</w:t>
      </w:r>
      <w:r>
        <w:rPr>
          <w:rFonts w:hint="eastAsia"/>
        </w:rPr>
        <w:t>)</w:t>
      </w:r>
      <w:r>
        <w:rPr>
          <w:rFonts w:hint="eastAsia"/>
        </w:rPr>
        <w:t>。</w:t>
      </w:r>
    </w:p>
    <w:p w:rsidR="003C2E11" w:rsidRDefault="003C2E11">
      <w:pPr>
        <w:pStyle w:val="SingleTxtGC"/>
      </w:pPr>
      <w:r>
        <w:t xml:space="preserve">256.  </w:t>
      </w:r>
      <w:r>
        <w:rPr>
          <w:rFonts w:hint="eastAsia"/>
        </w:rPr>
        <w:t>除上述规定外，还指出，司法部门已经起草了一份《刑法典修订组织法》的草案，在草案中规定加重《刑法典》第</w:t>
      </w:r>
      <w:r>
        <w:rPr>
          <w:rFonts w:hint="eastAsia"/>
        </w:rPr>
        <w:t>166</w:t>
      </w:r>
      <w:r>
        <w:rPr>
          <w:rFonts w:hint="eastAsia"/>
        </w:rPr>
        <w:t>条所规定的对非法拘禁</w:t>
      </w:r>
      <w:r>
        <w:rPr>
          <w:rFonts w:hint="eastAsia"/>
        </w:rPr>
        <w:t>/</w:t>
      </w:r>
      <w:r>
        <w:rPr>
          <w:rFonts w:hint="eastAsia"/>
        </w:rPr>
        <w:t>绑架导致失踪罪的惩罚力度，规定处以</w:t>
      </w:r>
      <w:r>
        <w:rPr>
          <w:rFonts w:hint="eastAsia"/>
        </w:rPr>
        <w:t>10</w:t>
      </w:r>
      <w:r>
        <w:rPr>
          <w:rFonts w:hint="eastAsia"/>
        </w:rPr>
        <w:t>至</w:t>
      </w:r>
      <w:r>
        <w:rPr>
          <w:rFonts w:hint="eastAsia"/>
        </w:rPr>
        <w:t>15</w:t>
      </w:r>
      <w:r>
        <w:rPr>
          <w:rFonts w:hint="eastAsia"/>
        </w:rPr>
        <w:t>年的监禁徒刑，且当受害人是未成年人时，将刑罚力度提高至</w:t>
      </w:r>
      <w:r>
        <w:rPr>
          <w:rFonts w:hint="eastAsia"/>
        </w:rPr>
        <w:t>15</w:t>
      </w:r>
      <w:r>
        <w:rPr>
          <w:rFonts w:hint="eastAsia"/>
        </w:rPr>
        <w:t>至</w:t>
      </w:r>
      <w:r>
        <w:rPr>
          <w:rFonts w:hint="eastAsia"/>
        </w:rPr>
        <w:t>20</w:t>
      </w:r>
      <w:r>
        <w:rPr>
          <w:rFonts w:hint="eastAsia"/>
        </w:rPr>
        <w:t>年监禁徒刑。</w:t>
      </w:r>
    </w:p>
    <w:p w:rsidR="003C2E11" w:rsidRDefault="003C2E11">
      <w:pPr>
        <w:pStyle w:val="SingleTxtGC"/>
        <w:rPr>
          <w:rFonts w:hint="eastAsia"/>
        </w:rPr>
      </w:pPr>
      <w:r>
        <w:t xml:space="preserve">257.  </w:t>
      </w:r>
      <w:r>
        <w:rPr>
          <w:rFonts w:hint="eastAsia"/>
        </w:rPr>
        <w:t>最高法院在多项判决，包括最高法院</w:t>
      </w:r>
      <w:smartTag w:uri="urn:schemas-microsoft-com:office:smarttags" w:element="chsdate">
        <w:smartTagPr>
          <w:attr w:name="Year" w:val="2003"/>
          <w:attr w:name="Month" w:val="5"/>
          <w:attr w:name="Day" w:val="29"/>
          <w:attr w:name="IsLunarDate" w:val="False"/>
          <w:attr w:name="IsROCDate" w:val="False"/>
        </w:smartTagPr>
        <w:r>
          <w:rPr>
            <w:rFonts w:hint="eastAsia"/>
          </w:rPr>
          <w:t>2003</w:t>
        </w:r>
        <w:r>
          <w:rPr>
            <w:rFonts w:hint="eastAsia"/>
          </w:rPr>
          <w:t>年</w:t>
        </w:r>
        <w:r>
          <w:rPr>
            <w:rFonts w:hint="eastAsia"/>
          </w:rPr>
          <w:t>5</w:t>
        </w:r>
        <w:r>
          <w:rPr>
            <w:rFonts w:hint="eastAsia"/>
          </w:rPr>
          <w:t>月</w:t>
        </w:r>
        <w:r>
          <w:rPr>
            <w:rFonts w:hint="eastAsia"/>
          </w:rPr>
          <w:t>29</w:t>
        </w:r>
        <w:r>
          <w:rPr>
            <w:rFonts w:hint="eastAsia"/>
          </w:rPr>
          <w:t>日</w:t>
        </w:r>
      </w:smartTag>
      <w:r>
        <w:rPr>
          <w:rFonts w:hint="eastAsia"/>
        </w:rPr>
        <w:t>的第</w:t>
      </w:r>
      <w:r>
        <w:rPr>
          <w:rFonts w:hint="eastAsia"/>
        </w:rPr>
        <w:t>788/2003</w:t>
      </w:r>
      <w:r>
        <w:rPr>
          <w:rFonts w:hint="eastAsia"/>
        </w:rPr>
        <w:t>号判决；</w:t>
      </w:r>
      <w:smartTag w:uri="urn:schemas-microsoft-com:office:smarttags" w:element="chsdate">
        <w:smartTagPr>
          <w:attr w:name="Year" w:val="2007"/>
          <w:attr w:name="Month" w:val="6"/>
          <w:attr w:name="Day" w:val="7"/>
          <w:attr w:name="IsLunarDate" w:val="False"/>
          <w:attr w:name="IsROCDate" w:val="False"/>
        </w:smartTagPr>
        <w:r>
          <w:rPr>
            <w:rFonts w:hint="eastAsia"/>
          </w:rPr>
          <w:t>2007</w:t>
        </w:r>
        <w:r>
          <w:rPr>
            <w:rFonts w:hint="eastAsia"/>
          </w:rPr>
          <w:t>年</w:t>
        </w:r>
        <w:r>
          <w:rPr>
            <w:rFonts w:hint="eastAsia"/>
          </w:rPr>
          <w:t>6</w:t>
        </w:r>
        <w:r>
          <w:rPr>
            <w:rFonts w:hint="eastAsia"/>
          </w:rPr>
          <w:t>月</w:t>
        </w:r>
        <w:r>
          <w:rPr>
            <w:rFonts w:hint="eastAsia"/>
          </w:rPr>
          <w:t>7</w:t>
        </w:r>
        <w:r>
          <w:rPr>
            <w:rFonts w:hint="eastAsia"/>
          </w:rPr>
          <w:t>日</w:t>
        </w:r>
      </w:smartTag>
      <w:r>
        <w:rPr>
          <w:rFonts w:hint="eastAsia"/>
        </w:rPr>
        <w:t>的第</w:t>
      </w:r>
      <w:r>
        <w:rPr>
          <w:rFonts w:hint="eastAsia"/>
        </w:rPr>
        <w:t>492/2007</w:t>
      </w:r>
      <w:r>
        <w:rPr>
          <w:rFonts w:hint="eastAsia"/>
        </w:rPr>
        <w:t>号判决；及</w:t>
      </w:r>
      <w:smartTag w:uri="urn:schemas-microsoft-com:office:smarttags" w:element="chsdate">
        <w:smartTagPr>
          <w:attr w:name="Year" w:val="2010"/>
          <w:attr w:name="Month" w:val="11"/>
          <w:attr w:name="Day" w:val="10"/>
          <w:attr w:name="IsLunarDate" w:val="False"/>
          <w:attr w:name="IsROCDate" w:val="False"/>
        </w:smartTagPr>
        <w:r>
          <w:rPr>
            <w:rFonts w:hint="eastAsia"/>
          </w:rPr>
          <w:t>2010</w:t>
        </w:r>
        <w:r>
          <w:rPr>
            <w:rFonts w:hint="eastAsia"/>
          </w:rPr>
          <w:t>年</w:t>
        </w:r>
        <w:r>
          <w:rPr>
            <w:rFonts w:hint="eastAsia"/>
          </w:rPr>
          <w:t>11</w:t>
        </w:r>
        <w:r>
          <w:rPr>
            <w:rFonts w:hint="eastAsia"/>
          </w:rPr>
          <w:t>月</w:t>
        </w:r>
        <w:r>
          <w:rPr>
            <w:rFonts w:hint="eastAsia"/>
          </w:rPr>
          <w:t>10</w:t>
        </w:r>
        <w:r>
          <w:rPr>
            <w:rFonts w:hint="eastAsia"/>
          </w:rPr>
          <w:t>日</w:t>
        </w:r>
      </w:smartTag>
      <w:r>
        <w:rPr>
          <w:rFonts w:hint="eastAsia"/>
        </w:rPr>
        <w:t>的第</w:t>
      </w:r>
      <w:r>
        <w:rPr>
          <w:rFonts w:hint="eastAsia"/>
        </w:rPr>
        <w:t>1036/2010</w:t>
      </w:r>
      <w:r>
        <w:rPr>
          <w:rFonts w:hint="eastAsia"/>
        </w:rPr>
        <w:t>号判决中，将绑架未成年人认定为非法拘禁，表示“［……］被绑架对象可能是成年人或未成年人。未成年人无法照顾自己而需要其他人的照顾这一事实并不意味着未成年人不是其个人自由权利的主体，即使明确了需要第三方来帮助落实这一权利亦如此［……］对未成年人的非法拘禁也包括将未成年人与帮助行使未成年人的行动自由权利的人分离开来或者将此人拘留或隔离，在这种情况下，不仅该监护人的自身的自由无法行使，未成年人也被剥夺了自由”</w:t>
      </w:r>
      <w:r>
        <w:rPr>
          <w:rFonts w:hint="eastAsia"/>
        </w:rPr>
        <w:t>(</w:t>
      </w:r>
      <w:r>
        <w:rPr>
          <w:rFonts w:hint="eastAsia"/>
        </w:rPr>
        <w:t>最高法院第</w:t>
      </w:r>
      <w:r>
        <w:rPr>
          <w:rFonts w:hint="eastAsia"/>
        </w:rPr>
        <w:t>788/2003</w:t>
      </w:r>
      <w:r>
        <w:rPr>
          <w:rFonts w:hint="eastAsia"/>
        </w:rPr>
        <w:t>号判决</w:t>
      </w:r>
      <w:r>
        <w:rPr>
          <w:rFonts w:hint="eastAsia"/>
        </w:rPr>
        <w:t>)</w:t>
      </w:r>
      <w:r>
        <w:rPr>
          <w:rFonts w:hint="eastAsia"/>
        </w:rPr>
        <w:t>。</w:t>
      </w:r>
    </w:p>
    <w:p w:rsidR="003C2E11" w:rsidRDefault="003C2E11">
      <w:pPr>
        <w:pStyle w:val="SingleTxtGC"/>
      </w:pPr>
      <w:r>
        <w:t xml:space="preserve">258.  </w:t>
      </w:r>
      <w:r>
        <w:rPr>
          <w:rFonts w:hint="eastAsia"/>
        </w:rPr>
        <w:t>此外，最高法院</w:t>
      </w:r>
      <w:r>
        <w:rPr>
          <w:rFonts w:hint="eastAsia"/>
        </w:rPr>
        <w:t>(</w:t>
      </w:r>
      <w:smartTag w:uri="urn:schemas-microsoft-com:office:smarttags" w:element="chsdate">
        <w:smartTagPr>
          <w:attr w:name="Year" w:val="2007"/>
          <w:attr w:name="Month" w:val="6"/>
          <w:attr w:name="Day" w:val="7"/>
          <w:attr w:name="IsLunarDate" w:val="False"/>
          <w:attr w:name="IsROCDate" w:val="False"/>
        </w:smartTagPr>
        <w:r>
          <w:rPr>
            <w:rFonts w:hint="eastAsia"/>
          </w:rPr>
          <w:t>2007</w:t>
        </w:r>
        <w:r>
          <w:rPr>
            <w:rFonts w:hint="eastAsia"/>
          </w:rPr>
          <w:t>年</w:t>
        </w:r>
        <w:r>
          <w:rPr>
            <w:rFonts w:hint="eastAsia"/>
          </w:rPr>
          <w:t>6</w:t>
        </w:r>
        <w:r>
          <w:rPr>
            <w:rFonts w:hint="eastAsia"/>
          </w:rPr>
          <w:t>月</w:t>
        </w:r>
        <w:r>
          <w:rPr>
            <w:rFonts w:hint="eastAsia"/>
          </w:rPr>
          <w:t>7</w:t>
        </w:r>
        <w:r>
          <w:rPr>
            <w:rFonts w:hint="eastAsia"/>
          </w:rPr>
          <w:t>日</w:t>
        </w:r>
      </w:smartTag>
      <w:r>
        <w:rPr>
          <w:rFonts w:hint="eastAsia"/>
        </w:rPr>
        <w:t>的第</w:t>
      </w:r>
      <w:r>
        <w:rPr>
          <w:rFonts w:hint="eastAsia"/>
        </w:rPr>
        <w:t>492/2007</w:t>
      </w:r>
      <w:r>
        <w:rPr>
          <w:rFonts w:hint="eastAsia"/>
        </w:rPr>
        <w:t>号判决</w:t>
      </w:r>
      <w:r>
        <w:rPr>
          <w:rFonts w:hint="eastAsia"/>
        </w:rPr>
        <w:t>)</w:t>
      </w:r>
      <w:r>
        <w:rPr>
          <w:rFonts w:hint="eastAsia"/>
        </w:rPr>
        <w:t>还宣布非法拘禁罪与《刑法典》第</w:t>
      </w:r>
      <w:r>
        <w:rPr>
          <w:rFonts w:hint="eastAsia"/>
        </w:rPr>
        <w:t>220</w:t>
      </w:r>
      <w:r>
        <w:rPr>
          <w:rFonts w:hint="eastAsia"/>
        </w:rPr>
        <w:t>条所认定的伪造新生儿出生状况罪可数罪并罚。</w:t>
      </w:r>
    </w:p>
    <w:p w:rsidR="003C2E11" w:rsidRDefault="003C2E11">
      <w:pPr>
        <w:pStyle w:val="SingleTxtGC"/>
      </w:pPr>
      <w:r>
        <w:t xml:space="preserve">259.  </w:t>
      </w:r>
      <w:r>
        <w:rPr>
          <w:rFonts w:hint="eastAsia"/>
        </w:rPr>
        <w:t>在这方面，《刑法典》对非法收养儿童罪的认定如下：</w:t>
      </w:r>
    </w:p>
    <w:p w:rsidR="003C2E11" w:rsidRDefault="003C2E11">
      <w:pPr>
        <w:pStyle w:val="SingleTxtGC"/>
        <w:ind w:left="1565"/>
      </w:pPr>
      <w:r>
        <w:rPr>
          <w:rFonts w:hint="eastAsia"/>
        </w:rPr>
        <w:t>“</w:t>
      </w:r>
      <w:r>
        <w:t>1.</w:t>
      </w:r>
      <w:r>
        <w:rPr>
          <w:rFonts w:hint="eastAsia"/>
        </w:rPr>
        <w:t xml:space="preserve">  </w:t>
      </w:r>
      <w:r>
        <w:rPr>
          <w:rFonts w:hint="eastAsia"/>
        </w:rPr>
        <w:t>因经济原因，将子女、后代或者其他不具有亲缘或亲属关系的未成年人转让给其他人以获得经济补偿，不履行监护、抚养、收养义务的，判处</w:t>
      </w:r>
      <w:r>
        <w:rPr>
          <w:rFonts w:hint="eastAsia"/>
        </w:rPr>
        <w:t>1</w:t>
      </w:r>
      <w:r>
        <w:rPr>
          <w:rFonts w:hint="eastAsia"/>
        </w:rPr>
        <w:t>年以上</w:t>
      </w:r>
      <w:r>
        <w:rPr>
          <w:rFonts w:hint="eastAsia"/>
        </w:rPr>
        <w:t>5</w:t>
      </w:r>
      <w:r>
        <w:rPr>
          <w:rFonts w:hint="eastAsia"/>
        </w:rPr>
        <w:t>年以下徒刑，并剥夺监护权</w:t>
      </w:r>
      <w:r>
        <w:rPr>
          <w:rFonts w:hint="eastAsia"/>
        </w:rPr>
        <w:t>4</w:t>
      </w:r>
      <w:r>
        <w:rPr>
          <w:rFonts w:hint="eastAsia"/>
        </w:rPr>
        <w:t>至</w:t>
      </w:r>
      <w:r>
        <w:rPr>
          <w:rFonts w:hint="eastAsia"/>
        </w:rPr>
        <w:t>10</w:t>
      </w:r>
      <w:r>
        <w:rPr>
          <w:rFonts w:hint="eastAsia"/>
        </w:rPr>
        <w:t>年。</w:t>
      </w:r>
    </w:p>
    <w:p w:rsidR="003C2E11" w:rsidRDefault="003C2E11">
      <w:pPr>
        <w:pStyle w:val="SingleTxtGC"/>
        <w:ind w:left="1565"/>
      </w:pPr>
      <w:r>
        <w:t xml:space="preserve">2.  </w:t>
      </w:r>
      <w:r>
        <w:rPr>
          <w:rFonts w:hint="eastAsia"/>
        </w:rPr>
        <w:t>收养接收人和中间人，无论其犯罪行为是否发生在国外，应接受同样的惩处。</w:t>
      </w:r>
    </w:p>
    <w:p w:rsidR="003C2E11" w:rsidRDefault="003C2E11">
      <w:pPr>
        <w:pStyle w:val="SingleTxtGC"/>
        <w:ind w:left="1565"/>
        <w:rPr>
          <w:rFonts w:hint="eastAsia"/>
        </w:rPr>
      </w:pPr>
      <w:r>
        <w:t xml:space="preserve">3.  </w:t>
      </w:r>
      <w:r>
        <w:rPr>
          <w:rFonts w:hint="eastAsia"/>
        </w:rPr>
        <w:t>利用幼儿园、学校或者其他接收幼儿的公共场所或机构实施犯罪的，对犯罪责任人给予停止从业活动</w:t>
      </w:r>
      <w:r>
        <w:rPr>
          <w:rFonts w:hint="eastAsia"/>
        </w:rPr>
        <w:t>2</w:t>
      </w:r>
      <w:r>
        <w:rPr>
          <w:rFonts w:hint="eastAsia"/>
        </w:rPr>
        <w:t>至</w:t>
      </w:r>
      <w:r>
        <w:rPr>
          <w:rFonts w:hint="eastAsia"/>
        </w:rPr>
        <w:t>6</w:t>
      </w:r>
      <w:r>
        <w:rPr>
          <w:rFonts w:hint="eastAsia"/>
        </w:rPr>
        <w:t>年，并对相应机构给予暂时性或永久性停业的处罚。对于暂时性停业的，停业期限不得超过</w:t>
      </w:r>
      <w:r>
        <w:rPr>
          <w:rFonts w:hint="eastAsia"/>
        </w:rPr>
        <w:t>5</w:t>
      </w:r>
      <w:r>
        <w:rPr>
          <w:rFonts w:hint="eastAsia"/>
        </w:rPr>
        <w:t>年”</w:t>
      </w:r>
      <w:r>
        <w:rPr>
          <w:rFonts w:hint="eastAsia"/>
        </w:rPr>
        <w:t>(</w:t>
      </w:r>
      <w:r>
        <w:rPr>
          <w:rFonts w:hint="eastAsia"/>
        </w:rPr>
        <w:t>《刑法典》第</w:t>
      </w:r>
      <w:r>
        <w:rPr>
          <w:rFonts w:hint="eastAsia"/>
        </w:rPr>
        <w:t>221</w:t>
      </w:r>
      <w:r>
        <w:rPr>
          <w:rFonts w:hint="eastAsia"/>
        </w:rPr>
        <w:t>条</w:t>
      </w:r>
      <w:r>
        <w:rPr>
          <w:rFonts w:hint="eastAsia"/>
        </w:rPr>
        <w:t>)</w:t>
      </w:r>
      <w:r>
        <w:rPr>
          <w:rFonts w:hint="eastAsia"/>
        </w:rPr>
        <w:t>。</w:t>
      </w:r>
    </w:p>
    <w:p w:rsidR="003C2E11" w:rsidRDefault="003C2E11">
      <w:pPr>
        <w:pStyle w:val="SingleTxtGC"/>
      </w:pPr>
      <w:r>
        <w:t xml:space="preserve">260.  </w:t>
      </w:r>
      <w:r>
        <w:rPr>
          <w:rFonts w:hint="eastAsia"/>
        </w:rPr>
        <w:t>伪造、藏匿或销毁失踪儿童的身份文件或相关文件的，犯有伪造公共文书或公文罪，应按照《刑法典》第</w:t>
      </w:r>
      <w:r>
        <w:rPr>
          <w:rFonts w:hint="eastAsia"/>
        </w:rPr>
        <w:t>390</w:t>
      </w:r>
      <w:r>
        <w:rPr>
          <w:rFonts w:hint="eastAsia"/>
        </w:rPr>
        <w:t>条及以后诸条的规定予以定罪和处罚，这些条文已经在《公约》第十七条的论述中进行了援引。</w:t>
      </w:r>
    </w:p>
    <w:p w:rsidR="003C2E11" w:rsidRDefault="003C2E11">
      <w:pPr>
        <w:pStyle w:val="SingleTxtGC"/>
      </w:pPr>
      <w:r>
        <w:t xml:space="preserve">261.  </w:t>
      </w:r>
      <w:r>
        <w:rPr>
          <w:rFonts w:hint="eastAsia"/>
        </w:rPr>
        <w:t>针对第二十五条第二款，应当指出，为采用《公约》提到的各种方式来“认定被强迫失踪的儿童”，已经在国内法律制度中将此类行为认定为犯罪，对此我们在前面刚刚进行了论述，作为公共罪行，这些行为应当接受全面调查。</w:t>
      </w:r>
    </w:p>
    <w:p w:rsidR="003C2E11" w:rsidRDefault="003C2E11">
      <w:pPr>
        <w:pStyle w:val="SingleTxtGC"/>
      </w:pPr>
      <w:r>
        <w:t xml:space="preserve">262.  </w:t>
      </w:r>
      <w:r>
        <w:rPr>
          <w:rFonts w:hint="eastAsia"/>
        </w:rPr>
        <w:t>就这方面的职责而言</w:t>
      </w:r>
      <w:r>
        <w:rPr>
          <w:rFonts w:hint="eastAsia"/>
        </w:rPr>
        <w:t>(</w:t>
      </w:r>
      <w:r>
        <w:rPr>
          <w:rFonts w:hint="eastAsia"/>
        </w:rPr>
        <w:t>不妨碍存在个人和民众起诉</w:t>
      </w:r>
      <w:r>
        <w:rPr>
          <w:rFonts w:hint="eastAsia"/>
        </w:rPr>
        <w:t>)</w:t>
      </w:r>
      <w:r>
        <w:rPr>
          <w:rFonts w:hint="eastAsia"/>
        </w:rPr>
        <w:t>重点需要强调的就是检察机关所发挥的作用，遵照其部门规范条例</w:t>
      </w:r>
      <w:r>
        <w:rPr>
          <w:rFonts w:hint="eastAsia"/>
          <w:spacing w:val="-60"/>
        </w:rPr>
        <w:t>―</w:t>
      </w:r>
      <w:r>
        <w:rPr>
          <w:rFonts w:hint="eastAsia"/>
          <w:spacing w:val="10"/>
        </w:rPr>
        <w:t>―</w:t>
      </w:r>
      <w:r>
        <w:rPr>
          <w:rFonts w:hint="eastAsia"/>
        </w:rPr>
        <w:t>《检察机关组织章程法》</w:t>
      </w:r>
      <w:r>
        <w:rPr>
          <w:rFonts w:hint="eastAsia"/>
          <w:spacing w:val="-60"/>
        </w:rPr>
        <w:t>―</w:t>
      </w:r>
      <w:r>
        <w:rPr>
          <w:rFonts w:hint="eastAsia"/>
          <w:spacing w:val="10"/>
        </w:rPr>
        <w:t>―</w:t>
      </w:r>
      <w:r>
        <w:rPr>
          <w:rFonts w:hint="eastAsia"/>
        </w:rPr>
        <w:t>以此作为其独立性和公正性的保障，行使在刑事领域的公诉职能，并通过调查工作查明事实，之后根据需要通过刑事起诉来使案件接受审理。</w:t>
      </w:r>
    </w:p>
    <w:p w:rsidR="003C2E11" w:rsidRDefault="003C2E11">
      <w:pPr>
        <w:pStyle w:val="SingleTxtGC"/>
      </w:pPr>
      <w:r>
        <w:t xml:space="preserve">263.  </w:t>
      </w:r>
      <w:r>
        <w:rPr>
          <w:rFonts w:hint="eastAsia"/>
        </w:rPr>
        <w:t>在这方面，需要指出的是，鉴于涌现出大量关于认定儿童身份的案件，这些儿童可能牵涉到上世纪下半叶在西班牙发生的多起强迫失踪案，公权力机关已经采取了一系列措施，主要包括：</w:t>
      </w:r>
    </w:p>
    <w:p w:rsidR="003C2E11" w:rsidRDefault="003C2E11">
      <w:pPr>
        <w:pStyle w:val="Bullet1GC"/>
      </w:pPr>
      <w:r>
        <w:rPr>
          <w:rFonts w:hint="eastAsia"/>
          <w:color w:val="000000"/>
        </w:rPr>
        <w:t>创立了一个国家</w:t>
      </w:r>
      <w:r>
        <w:rPr>
          <w:rFonts w:hint="eastAsia"/>
          <w:color w:val="000000"/>
        </w:rPr>
        <w:t>DNA</w:t>
      </w:r>
      <w:r>
        <w:rPr>
          <w:rFonts w:hint="eastAsia"/>
          <w:color w:val="000000"/>
        </w:rPr>
        <w:t>库，隶属于司法部和国家毒理学和法医学研究所，目的是为创建数据库开展交叉核对工作来为识别当事人员之间的血缘关系提供便利。</w:t>
      </w:r>
    </w:p>
    <w:p w:rsidR="003C2E11" w:rsidRDefault="003C2E11">
      <w:pPr>
        <w:pStyle w:val="Bullet1GC"/>
      </w:pPr>
      <w:r>
        <w:rPr>
          <w:rFonts w:hint="eastAsia"/>
        </w:rPr>
        <w:t>开创了一项针对受被盗儿童影响波及的人员的普查。</w:t>
      </w:r>
    </w:p>
    <w:p w:rsidR="003C2E11" w:rsidRDefault="003C2E11">
      <w:pPr>
        <w:pStyle w:val="Bullet1GC"/>
      </w:pPr>
      <w:r>
        <w:rPr>
          <w:rFonts w:hint="eastAsia"/>
        </w:rPr>
        <w:t>由国家总检察长办公室制定了统一的标准，颁布了适用于全体检察机关的关于在打击拐骗儿童案件中的行动方式的指导方针。</w:t>
      </w:r>
    </w:p>
    <w:p w:rsidR="003C2E11" w:rsidRDefault="003C2E11">
      <w:pPr>
        <w:pStyle w:val="Bullet1GC"/>
      </w:pPr>
      <w:r>
        <w:rPr>
          <w:rFonts w:hint="eastAsia"/>
        </w:rPr>
        <w:t>开展了内政部、司法警察以及卫生部之间的协调联动。</w:t>
      </w:r>
    </w:p>
    <w:p w:rsidR="003C2E11" w:rsidRDefault="003C2E11">
      <w:pPr>
        <w:pStyle w:val="Bullet1GC"/>
      </w:pPr>
      <w:r>
        <w:rPr>
          <w:rFonts w:hint="eastAsia"/>
        </w:rPr>
        <w:t>成立了一家新生儿绑架事件波及人员信息服务局，通过这一服务局为可能的受害人员提供便利条件，帮助其从政府当局获得与其亲生子女有关的文件和信息，例如登记资料和体检档案。</w:t>
      </w:r>
    </w:p>
    <w:p w:rsidR="003C2E11" w:rsidRDefault="003C2E11">
      <w:pPr>
        <w:pStyle w:val="SingleTxtGC"/>
        <w:rPr>
          <w:rFonts w:hint="eastAsia"/>
        </w:rPr>
      </w:pPr>
      <w:r>
        <w:t xml:space="preserve">264.  </w:t>
      </w:r>
      <w:r>
        <w:rPr>
          <w:rFonts w:hint="eastAsia"/>
        </w:rPr>
        <w:t>当然，上述举措并不妨碍检察机关继续推进各项已经诉至各级主审法院的司法诉讼程序。</w:t>
      </w:r>
    </w:p>
    <w:p w:rsidR="003C2E11" w:rsidRDefault="003C2E11">
      <w:pPr>
        <w:pStyle w:val="SingleTxtGC"/>
      </w:pPr>
      <w:bookmarkStart w:id="29" w:name="_GoBack"/>
      <w:bookmarkEnd w:id="29"/>
      <w:r>
        <w:t xml:space="preserve">265.  </w:t>
      </w:r>
      <w:r>
        <w:rPr>
          <w:rFonts w:hint="eastAsia"/>
        </w:rPr>
        <w:t>关于第二十五条第三款，正如在关于《公约》第十四条和第十五条的论述中指出的那样，国内法制保障司法机关之间以及缔约国之间就对强迫失踪罪的追查工作相互协助和救济，进而查找、辨认和找到失踪儿童。</w:t>
      </w:r>
    </w:p>
    <w:p w:rsidR="003C2E11" w:rsidRDefault="003C2E11">
      <w:pPr>
        <w:pStyle w:val="SingleTxtGC"/>
      </w:pPr>
      <w:r>
        <w:t xml:space="preserve">266.  </w:t>
      </w:r>
      <w:r>
        <w:rPr>
          <w:rFonts w:hint="eastAsia"/>
        </w:rPr>
        <w:t>最后，针对第四款和第五款，西班牙的整套法律制度，无论是在家庭法领域，还是在刑事法领域，还是在其他法律领域，都遵循保护儿童的最佳利益原则，将之优先于其他任何利益首要考虑。这一首要考虑决定了应当根据儿童的理解程度来听取和考虑儿童对于所有与其切身相关的事务的意见，而在国家的各类举措中也应当考虑儿童的观点。</w:t>
      </w:r>
    </w:p>
    <w:p w:rsidR="003C2E11" w:rsidRDefault="003C2E11">
      <w:pPr>
        <w:pStyle w:val="SingleTxtGC"/>
      </w:pPr>
      <w:r>
        <w:t xml:space="preserve">267.  </w:t>
      </w:r>
      <w:r>
        <w:rPr>
          <w:rFonts w:hint="eastAsia"/>
        </w:rPr>
        <w:t>已经被认定为导致非法监护或领养的犯罪事件立案后，可以在受害人或检察机关的要求下对进行非法监护或领养的人员在婚姻状况上所受到的影响进行审查，依法审查领养安排。</w:t>
      </w:r>
    </w:p>
    <w:p w:rsidR="003C2E11" w:rsidRDefault="003C2E11">
      <w:pPr>
        <w:pStyle w:val="SingleTxtGC"/>
      </w:pPr>
    </w:p>
    <w:p w:rsidR="003C2E11" w:rsidRDefault="003C2E1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C2E1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16"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E11" w:rsidRDefault="003C2E11">
      <w:pPr>
        <w:pStyle w:val="Footer"/>
        <w:spacing w:after="240"/>
        <w:ind w:left="907"/>
        <w:rPr>
          <w:rFonts w:eastAsia="SimSun" w:hint="eastAsia"/>
          <w:lang w:eastAsia="zh-CN"/>
        </w:rPr>
      </w:pPr>
      <w:r>
        <w:rPr>
          <w:rFonts w:eastAsia="SimSun" w:hint="eastAsia"/>
          <w:lang w:eastAsia="zh-CN"/>
        </w:rPr>
        <w:t>注</w:t>
      </w:r>
    </w:p>
  </w:endnote>
  <w:endnote w:type="continuationSeparator" w:id="0">
    <w:p w:rsidR="003C2E11" w:rsidRDefault="003C2E1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0">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ACD" w:rsidRDefault="00177AC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7458D9">
      <w:rPr>
        <w:rStyle w:val="PageNumber"/>
        <w:noProof/>
      </w:rPr>
      <w:t>48</w:t>
    </w:r>
    <w:r>
      <w:rPr>
        <w:rStyle w:val="PageNumber"/>
      </w:rPr>
      <w:fldChar w:fldCharType="end"/>
    </w:r>
    <w:r>
      <w:rPr>
        <w:rStyle w:val="PageNumber"/>
        <w:rFonts w:eastAsia="SimSun" w:hint="eastAsia"/>
        <w:lang w:eastAsia="zh-CN"/>
      </w:rPr>
      <w:tab/>
    </w:r>
    <w:r>
      <w:rPr>
        <w:rFonts w:eastAsia="SimSun"/>
      </w:rPr>
      <w:t>GE.13-40606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ACD" w:rsidRDefault="00177ACD">
    <w:pPr>
      <w:pStyle w:val="Footer"/>
      <w:tabs>
        <w:tab w:val="right" w:pos="9639"/>
      </w:tabs>
    </w:pPr>
    <w:r>
      <w:rPr>
        <w:rFonts w:eastAsia="SimSun"/>
      </w:rPr>
      <w:t>GE.13-40606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7458D9">
      <w:rPr>
        <w:rStyle w:val="PageNumber"/>
        <w:noProof/>
      </w:rPr>
      <w:t>47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ACD" w:rsidRDefault="00177AC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w:t>
    </w:r>
    <w:r>
      <w:rPr>
        <w:rFonts w:eastAsia="SimSun"/>
        <w:sz w:val="20"/>
        <w:lang w:eastAsia="zh-CN"/>
      </w:rPr>
      <w:t>3-40606 (EXT)</w:t>
    </w:r>
    <w:r>
      <w:rPr>
        <w:rFonts w:eastAsia="SimSun"/>
        <w:sz w:val="20"/>
        <w:lang w:eastAsia="zh-CN"/>
      </w:rPr>
      <w:tab/>
    </w:r>
    <w:r>
      <w:rPr>
        <w:rFonts w:eastAsia="SimSun"/>
        <w:sz w:val="20"/>
        <w:lang w:eastAsia="zh-CN"/>
      </w:rPr>
      <w:tab/>
    </w:r>
    <w:r>
      <w:rPr>
        <w:rFonts w:eastAsia="SimSun"/>
        <w:sz w:val="20"/>
        <w:lang w:eastAsia="zh-CN"/>
      </w:rPr>
      <w:tab/>
    </w:r>
    <w:r>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E11" w:rsidRDefault="003C2E1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C2E11" w:rsidRDefault="003C2E1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77ACD" w:rsidRDefault="00177ACD">
      <w:pPr>
        <w:pStyle w:val="FootnoteText"/>
        <w:rPr>
          <w:lang w:val="zh-CN"/>
        </w:rPr>
      </w:pPr>
      <w:r>
        <w:rPr>
          <w:rFonts w:hint="eastAsia"/>
        </w:rPr>
        <w:tab/>
      </w:r>
      <w:r>
        <w:rPr>
          <w:rStyle w:val="FootnoteReference"/>
          <w:vertAlign w:val="baseline"/>
        </w:rPr>
        <w:t>*</w:t>
      </w:r>
      <w:r>
        <w:rPr>
          <w:rFonts w:hint="eastAsia"/>
        </w:rPr>
        <w:tab/>
      </w:r>
      <w:r>
        <w:rPr>
          <w:rFonts w:hint="eastAsia"/>
          <w:szCs w:val="18"/>
        </w:rPr>
        <w:t>根据发给各缔约国的关于缔约国报告处理办法的说明，本文件在送交联合国翻译部门前未经正式编辑。</w:t>
      </w:r>
    </w:p>
  </w:footnote>
  <w:footnote w:id="2">
    <w:p w:rsidR="00177ACD" w:rsidRDefault="00177ACD">
      <w:pPr>
        <w:pStyle w:val="FootnoteText"/>
        <w:rPr>
          <w:rFonts w:hint="eastAsia"/>
        </w:rPr>
      </w:pPr>
      <w:r>
        <w:rPr>
          <w:rFonts w:hint="eastAsia"/>
        </w:rPr>
        <w:tab/>
      </w:r>
      <w:r>
        <w:rPr>
          <w:rStyle w:val="FootnoteReference"/>
        </w:rPr>
        <w:footnoteRef/>
      </w:r>
      <w:r>
        <w:rPr>
          <w:rFonts w:hint="eastAsia"/>
        </w:rPr>
        <w:tab/>
      </w:r>
      <w:r>
        <w:rPr>
          <w:rFonts w:hint="eastAsia"/>
        </w:rPr>
        <w:t>参见被强迫或非自愿失踪问题工作组的报告</w:t>
      </w:r>
      <w:r>
        <w:rPr>
          <w:rFonts w:hint="eastAsia"/>
        </w:rPr>
        <w:t>(</w:t>
      </w:r>
      <w:r>
        <w:t>A/HRC/13/31</w:t>
      </w:r>
      <w:r>
        <w:rPr>
          <w:rFonts w:hint="eastAsia"/>
        </w:rPr>
        <w:t>)</w:t>
      </w:r>
      <w:r>
        <w:rPr>
          <w:rFonts w:hint="eastAsia"/>
        </w:rPr>
        <w:t>。</w:t>
      </w:r>
    </w:p>
  </w:footnote>
  <w:footnote w:id="3">
    <w:p w:rsidR="00177ACD" w:rsidRDefault="00177ACD">
      <w:pPr>
        <w:pStyle w:val="FootnoteText"/>
        <w:rPr>
          <w:rFonts w:hint="eastAsia"/>
        </w:rPr>
      </w:pPr>
      <w:r>
        <w:tab/>
      </w:r>
      <w:r>
        <w:rPr>
          <w:rStyle w:val="FootnoteReference"/>
        </w:rPr>
        <w:footnoteRef/>
      </w:r>
      <w:r>
        <w:tab/>
      </w:r>
      <w:r>
        <w:rPr>
          <w:rFonts w:hint="eastAsia"/>
        </w:rPr>
        <w:t>请参阅</w:t>
      </w:r>
      <w:hyperlink r:id="rId1" w:history="1">
        <w:r>
          <w:rPr>
            <w:rStyle w:val="Hyperlink"/>
            <w:color w:val="000000"/>
            <w:u w:val="none"/>
          </w:rPr>
          <w:t>www.boe.es/buscar/doc.php?id=BOE-A-1984-11620</w:t>
        </w:r>
      </w:hyperlink>
      <w:r>
        <w:rPr>
          <w:rFonts w:hint="eastAsia"/>
          <w:color w:val="000000"/>
        </w:rPr>
        <w:t>。</w:t>
      </w:r>
    </w:p>
  </w:footnote>
  <w:footnote w:id="4">
    <w:p w:rsidR="00177ACD" w:rsidRDefault="00177ACD">
      <w:pPr>
        <w:pStyle w:val="FootnoteText"/>
        <w:rPr>
          <w:rFonts w:hint="eastAsia"/>
        </w:rPr>
      </w:pPr>
      <w:r>
        <w:rPr>
          <w:rFonts w:hint="eastAsia"/>
        </w:rPr>
        <w:tab/>
      </w:r>
      <w:r>
        <w:rPr>
          <w:rStyle w:val="FootnoteReference"/>
        </w:rPr>
        <w:footnoteRef/>
      </w:r>
      <w:r>
        <w:rPr>
          <w:rFonts w:hint="eastAsia"/>
        </w:rPr>
        <w:tab/>
      </w:r>
      <w:r>
        <w:rPr>
          <w:rFonts w:hint="eastAsia"/>
          <w:lang w:val="en-GB"/>
        </w:rPr>
        <w:t>该皇家法令可在</w:t>
      </w:r>
      <w:hyperlink r:id="rId2" w:history="1">
        <w:r>
          <w:rPr>
            <w:rStyle w:val="Hyperlink"/>
            <w:color w:val="000000"/>
            <w:u w:val="none"/>
            <w:lang w:val="en-GB"/>
          </w:rPr>
          <w:t>www.boe.es/buscar/doc.php?id=BOE-A-1996-3307</w:t>
        </w:r>
      </w:hyperlink>
      <w:r>
        <w:rPr>
          <w:rFonts w:hint="eastAsia"/>
          <w:lang w:val="en-GB"/>
        </w:rPr>
        <w:t>网址查阅。</w:t>
      </w:r>
    </w:p>
  </w:footnote>
  <w:footnote w:id="5">
    <w:p w:rsidR="00177ACD" w:rsidRDefault="00177ACD">
      <w:pPr>
        <w:pStyle w:val="FootnoteText"/>
        <w:rPr>
          <w:rFonts w:hint="eastAsia"/>
        </w:rPr>
      </w:pPr>
      <w:r>
        <w:tab/>
      </w:r>
      <w:r>
        <w:rPr>
          <w:rStyle w:val="FootnoteReference"/>
        </w:rPr>
        <w:footnoteRef/>
      </w:r>
      <w:r>
        <w:tab/>
      </w:r>
      <w:r>
        <w:rPr>
          <w:rFonts w:hint="eastAsia"/>
        </w:rPr>
        <w:t>可参阅</w:t>
      </w:r>
      <w:hyperlink r:id="rId3" w:history="1">
        <w:r>
          <w:rPr>
            <w:rStyle w:val="Hyperlink"/>
            <w:color w:val="000000"/>
            <w:u w:val="none"/>
          </w:rPr>
          <w:t>http://mnp.defensordelpueblo.es/es/informes_anuales.html</w:t>
        </w:r>
      </w:hyperlink>
      <w:r>
        <w:rPr>
          <w:rFonts w:hint="eastAsia"/>
          <w:color w:val="000000"/>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ACD" w:rsidRDefault="00177ACD">
    <w:pPr>
      <w:pStyle w:val="Header"/>
    </w:pPr>
    <w:r>
      <w:t>CED/C/ESP/1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7ACD" w:rsidRDefault="00177ACD">
    <w:pPr>
      <w:pStyle w:val="Header"/>
      <w:jc w:val="right"/>
      <w:rPr>
        <w:rFonts w:hint="eastAsia"/>
        <w:lang w:eastAsia="zh-CN"/>
      </w:rPr>
    </w:pPr>
    <w:r>
      <w:rPr>
        <w:lang w:eastAsia="zh-CN"/>
      </w:rPr>
      <w:t>CED/C/ESP/1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lvl>
  </w:abstractNum>
  <w:abstractNum w:abstractNumId="1">
    <w:nsid w:val="02046F8A"/>
    <w:multiLevelType w:val="hybridMultilevel"/>
    <w:tmpl w:val="858CCE10"/>
    <w:lvl w:ilvl="0" w:tplc="C9F2FE6C">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3626BA1"/>
    <w:multiLevelType w:val="hybridMultilevel"/>
    <w:tmpl w:val="A52AA42C"/>
    <w:lvl w:ilvl="0" w:tplc="99861EC0">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3B44707"/>
    <w:multiLevelType w:val="hybridMultilevel"/>
    <w:tmpl w:val="2E0E3E52"/>
    <w:lvl w:ilvl="0" w:tplc="C3760A42">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3F2036B"/>
    <w:multiLevelType w:val="hybridMultilevel"/>
    <w:tmpl w:val="B22E0BFA"/>
    <w:lvl w:ilvl="0" w:tplc="FFFFFFFF">
      <w:start w:val="1"/>
      <w:numFmt w:val="bullet"/>
      <w:pStyle w:val="Bullet1G"/>
      <w:lvlText w:val="•"/>
      <w:lvlJc w:val="left"/>
      <w:pPr>
        <w:tabs>
          <w:tab w:val="num" w:pos="1701"/>
        </w:tabs>
        <w:ind w:left="1701"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4A029D9"/>
    <w:multiLevelType w:val="hybridMultilevel"/>
    <w:tmpl w:val="DC94C54C"/>
    <w:lvl w:ilvl="0" w:tplc="8B9EB10C">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56D21200">
      <w:start w:val="1"/>
      <w:numFmt w:val="chineseCountingThousand"/>
      <w:lvlRestart w:val="0"/>
      <w:lvlText w:val="(%3)"/>
      <w:lvlJc w:val="left"/>
      <w:pPr>
        <w:tabs>
          <w:tab w:val="num" w:pos="1486"/>
        </w:tabs>
        <w:ind w:left="1486" w:hanging="646"/>
      </w:pPr>
      <w:rPr>
        <w:rFonts w:ascii="Times New Roman" w:hAnsi="Times New Roman" w:cs="Times New Roman"/>
        <w:color w:val="auto"/>
        <w:sz w:val="21"/>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nsid w:val="076E499F"/>
    <w:multiLevelType w:val="hybridMultilevel"/>
    <w:tmpl w:val="BCDCC8B6"/>
    <w:lvl w:ilvl="0" w:tplc="F460C4BC">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F460C4BC">
      <w:start w:val="1"/>
      <w:numFmt w:val="lowerLetter"/>
      <w:lvlRestart w:val="0"/>
      <w:lvlText w:val="(%4)"/>
      <w:lvlJc w:val="left"/>
      <w:pPr>
        <w:tabs>
          <w:tab w:val="num" w:pos="2121"/>
        </w:tabs>
        <w:ind w:left="829" w:firstLine="431"/>
      </w:pPr>
      <w:rPr>
        <w:rFonts w:ascii="Times New Roman" w:hAnsi="Times New Roman" w:cs="Times New Roman"/>
        <w:b w:val="0"/>
        <w:i w:val="0"/>
        <w:color w:val="auto"/>
        <w:sz w:val="20"/>
        <w:u w:val="none"/>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89C0266"/>
    <w:multiLevelType w:val="hybridMultilevel"/>
    <w:tmpl w:val="595EDBE0"/>
    <w:lvl w:ilvl="0" w:tplc="C18491A2">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2F453A5"/>
    <w:multiLevelType w:val="hybridMultilevel"/>
    <w:tmpl w:val="3B103E72"/>
    <w:lvl w:ilvl="0" w:tplc="8B0853EE">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3D86AAA"/>
    <w:multiLevelType w:val="hybridMultilevel"/>
    <w:tmpl w:val="F272C782"/>
    <w:lvl w:ilvl="0" w:tplc="D9B0BDC6">
      <w:start w:val="1"/>
      <w:numFmt w:val="bullet"/>
      <w:pStyle w:val="Bullet2GC"/>
      <w:lvlText w:val=""/>
      <w:lvlJc w:val="left"/>
      <w:pPr>
        <w:tabs>
          <w:tab w:val="num" w:pos="1996"/>
        </w:tabs>
        <w:ind w:left="1996" w:hanging="380"/>
      </w:pPr>
      <w:rPr>
        <w:rFonts w:ascii="Symbol" w:hAnsi="Symbol" w:hint="default"/>
      </w:rPr>
    </w:lvl>
    <w:lvl w:ilvl="1" w:tplc="C2F0F87E">
      <w:start w:val="1"/>
      <w:numFmt w:val="lowerLetter"/>
      <w:lvlRestart w:val="0"/>
      <w:lvlText w:val="(%2)"/>
      <w:lvlJc w:val="left"/>
      <w:pPr>
        <w:tabs>
          <w:tab w:val="num" w:pos="1440"/>
        </w:tabs>
        <w:ind w:left="148" w:firstLine="431"/>
      </w:pPr>
      <w:rPr>
        <w:rFonts w:ascii="Times New Roman" w:hAnsi="Times New Roman" w:cs="Times New Roman" w:hint="default"/>
        <w:b w:val="0"/>
        <w:i w:val="0"/>
        <w:color w:val="auto"/>
        <w:sz w:val="20"/>
        <w:u w:val="none"/>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nsid w:val="146405DC"/>
    <w:multiLevelType w:val="hybridMultilevel"/>
    <w:tmpl w:val="F8C66370"/>
    <w:lvl w:ilvl="0" w:tplc="E8FA7D42">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56D21200">
      <w:start w:val="1"/>
      <w:numFmt w:val="chineseCountingThousand"/>
      <w:lvlRestart w:val="0"/>
      <w:lvlText w:val="(%2)"/>
      <w:lvlJc w:val="left"/>
      <w:pPr>
        <w:tabs>
          <w:tab w:val="num" w:pos="1066"/>
        </w:tabs>
        <w:ind w:left="1066" w:hanging="646"/>
      </w:pPr>
      <w:rPr>
        <w:rFonts w:ascii="Times New Roman" w:hAnsi="Times New Roman" w:cs="Times New Roman"/>
        <w:b w:val="0"/>
        <w:i w:val="0"/>
        <w:color w:val="auto"/>
        <w:sz w:val="21"/>
        <w:u w:val="none"/>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90216CE"/>
    <w:multiLevelType w:val="hybridMultilevel"/>
    <w:tmpl w:val="2B5CCBD4"/>
    <w:lvl w:ilvl="0" w:tplc="FFFFFFFF">
      <w:start w:val="1"/>
      <w:numFmt w:val="decimal"/>
      <w:lvlText w:val="%1."/>
      <w:lvlJc w:val="left"/>
      <w:pPr>
        <w:tabs>
          <w:tab w:val="num" w:pos="2062"/>
        </w:tabs>
        <w:ind w:left="2062" w:hanging="360"/>
      </w:pPr>
      <w:rPr>
        <w:rFonts w:ascii="Times New Roman" w:hAnsi="Times New Roman" w:cs="Times New Roman" w:hint="default"/>
        <w:sz w:val="21"/>
        <w:szCs w:val="21"/>
      </w:rPr>
    </w:lvl>
    <w:lvl w:ilvl="1" w:tplc="04090019" w:tentative="1">
      <w:start w:val="1"/>
      <w:numFmt w:val="lowerLetter"/>
      <w:lvlText w:val="%2)"/>
      <w:lvlJc w:val="left"/>
      <w:pPr>
        <w:tabs>
          <w:tab w:val="num" w:pos="2542"/>
        </w:tabs>
        <w:ind w:left="2542" w:hanging="420"/>
      </w:pPr>
    </w:lvl>
    <w:lvl w:ilvl="2" w:tplc="0409001B" w:tentative="1">
      <w:start w:val="1"/>
      <w:numFmt w:val="lowerRoman"/>
      <w:lvlText w:val="%3."/>
      <w:lvlJc w:val="right"/>
      <w:pPr>
        <w:tabs>
          <w:tab w:val="num" w:pos="2962"/>
        </w:tabs>
        <w:ind w:left="2962" w:hanging="420"/>
      </w:pPr>
    </w:lvl>
    <w:lvl w:ilvl="3" w:tplc="0409000F" w:tentative="1">
      <w:start w:val="1"/>
      <w:numFmt w:val="decimal"/>
      <w:lvlText w:val="%4."/>
      <w:lvlJc w:val="left"/>
      <w:pPr>
        <w:tabs>
          <w:tab w:val="num" w:pos="3382"/>
        </w:tabs>
        <w:ind w:left="3382" w:hanging="420"/>
      </w:pPr>
    </w:lvl>
    <w:lvl w:ilvl="4" w:tplc="04090019" w:tentative="1">
      <w:start w:val="1"/>
      <w:numFmt w:val="lowerLetter"/>
      <w:lvlText w:val="%5)"/>
      <w:lvlJc w:val="left"/>
      <w:pPr>
        <w:tabs>
          <w:tab w:val="num" w:pos="3802"/>
        </w:tabs>
        <w:ind w:left="3802" w:hanging="420"/>
      </w:pPr>
    </w:lvl>
    <w:lvl w:ilvl="5" w:tplc="0409001B" w:tentative="1">
      <w:start w:val="1"/>
      <w:numFmt w:val="lowerRoman"/>
      <w:lvlText w:val="%6."/>
      <w:lvlJc w:val="right"/>
      <w:pPr>
        <w:tabs>
          <w:tab w:val="num" w:pos="4222"/>
        </w:tabs>
        <w:ind w:left="4222" w:hanging="420"/>
      </w:pPr>
    </w:lvl>
    <w:lvl w:ilvl="6" w:tplc="0409000F" w:tentative="1">
      <w:start w:val="1"/>
      <w:numFmt w:val="decimal"/>
      <w:lvlText w:val="%7."/>
      <w:lvlJc w:val="left"/>
      <w:pPr>
        <w:tabs>
          <w:tab w:val="num" w:pos="4642"/>
        </w:tabs>
        <w:ind w:left="4642" w:hanging="420"/>
      </w:pPr>
    </w:lvl>
    <w:lvl w:ilvl="7" w:tplc="04090019" w:tentative="1">
      <w:start w:val="1"/>
      <w:numFmt w:val="lowerLetter"/>
      <w:lvlText w:val="%8)"/>
      <w:lvlJc w:val="left"/>
      <w:pPr>
        <w:tabs>
          <w:tab w:val="num" w:pos="5062"/>
        </w:tabs>
        <w:ind w:left="5062" w:hanging="420"/>
      </w:pPr>
    </w:lvl>
    <w:lvl w:ilvl="8" w:tplc="0409001B" w:tentative="1">
      <w:start w:val="1"/>
      <w:numFmt w:val="lowerRoman"/>
      <w:lvlText w:val="%9."/>
      <w:lvlJc w:val="right"/>
      <w:pPr>
        <w:tabs>
          <w:tab w:val="num" w:pos="5482"/>
        </w:tabs>
        <w:ind w:left="5482" w:hanging="420"/>
      </w:pPr>
    </w:lvl>
  </w:abstractNum>
  <w:abstractNum w:abstractNumId="15">
    <w:nsid w:val="1AF154CE"/>
    <w:multiLevelType w:val="hybridMultilevel"/>
    <w:tmpl w:val="7910F206"/>
    <w:lvl w:ilvl="0" w:tplc="DD4C46EC">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16">
    <w:nsid w:val="25D101EF"/>
    <w:multiLevelType w:val="hybridMultilevel"/>
    <w:tmpl w:val="D284B112"/>
    <w:lvl w:ilvl="0" w:tplc="708AFBBE">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nsid w:val="2B9D4F8B"/>
    <w:multiLevelType w:val="hybridMultilevel"/>
    <w:tmpl w:val="ABCA1938"/>
    <w:lvl w:ilvl="0" w:tplc="69FA0B24">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F6220F"/>
    <w:multiLevelType w:val="hybridMultilevel"/>
    <w:tmpl w:val="B4F6B250"/>
    <w:lvl w:ilvl="0" w:tplc="2C8EC9E4">
      <w:start w:val="1"/>
      <w:numFmt w:val="lowerLetter"/>
      <w:lvlText w:val="%1）"/>
      <w:lvlJc w:val="left"/>
      <w:pPr>
        <w:tabs>
          <w:tab w:val="num" w:pos="2631"/>
        </w:tabs>
        <w:ind w:left="2631" w:hanging="360"/>
      </w:pPr>
      <w:rPr>
        <w:rFonts w:hint="default"/>
      </w:rPr>
    </w:lvl>
    <w:lvl w:ilvl="1" w:tplc="04090019" w:tentative="1">
      <w:start w:val="1"/>
      <w:numFmt w:val="lowerLetter"/>
      <w:lvlText w:val="%2)"/>
      <w:lvlJc w:val="left"/>
      <w:pPr>
        <w:tabs>
          <w:tab w:val="num" w:pos="3111"/>
        </w:tabs>
        <w:ind w:left="3111" w:hanging="420"/>
      </w:pPr>
    </w:lvl>
    <w:lvl w:ilvl="2" w:tplc="0409001B" w:tentative="1">
      <w:start w:val="1"/>
      <w:numFmt w:val="lowerRoman"/>
      <w:lvlText w:val="%3."/>
      <w:lvlJc w:val="right"/>
      <w:pPr>
        <w:tabs>
          <w:tab w:val="num" w:pos="3531"/>
        </w:tabs>
        <w:ind w:left="3531" w:hanging="420"/>
      </w:pPr>
    </w:lvl>
    <w:lvl w:ilvl="3" w:tplc="0409000F" w:tentative="1">
      <w:start w:val="1"/>
      <w:numFmt w:val="decimal"/>
      <w:lvlText w:val="%4."/>
      <w:lvlJc w:val="left"/>
      <w:pPr>
        <w:tabs>
          <w:tab w:val="num" w:pos="3951"/>
        </w:tabs>
        <w:ind w:left="3951" w:hanging="420"/>
      </w:pPr>
    </w:lvl>
    <w:lvl w:ilvl="4" w:tplc="04090019" w:tentative="1">
      <w:start w:val="1"/>
      <w:numFmt w:val="lowerLetter"/>
      <w:lvlText w:val="%5)"/>
      <w:lvlJc w:val="left"/>
      <w:pPr>
        <w:tabs>
          <w:tab w:val="num" w:pos="4371"/>
        </w:tabs>
        <w:ind w:left="4371" w:hanging="420"/>
      </w:pPr>
    </w:lvl>
    <w:lvl w:ilvl="5" w:tplc="0409001B" w:tentative="1">
      <w:start w:val="1"/>
      <w:numFmt w:val="lowerRoman"/>
      <w:lvlText w:val="%6."/>
      <w:lvlJc w:val="right"/>
      <w:pPr>
        <w:tabs>
          <w:tab w:val="num" w:pos="4791"/>
        </w:tabs>
        <w:ind w:left="4791" w:hanging="420"/>
      </w:pPr>
    </w:lvl>
    <w:lvl w:ilvl="6" w:tplc="0409000F" w:tentative="1">
      <w:start w:val="1"/>
      <w:numFmt w:val="decimal"/>
      <w:lvlText w:val="%7."/>
      <w:lvlJc w:val="left"/>
      <w:pPr>
        <w:tabs>
          <w:tab w:val="num" w:pos="5211"/>
        </w:tabs>
        <w:ind w:left="5211" w:hanging="420"/>
      </w:pPr>
    </w:lvl>
    <w:lvl w:ilvl="7" w:tplc="04090019" w:tentative="1">
      <w:start w:val="1"/>
      <w:numFmt w:val="lowerLetter"/>
      <w:lvlText w:val="%8)"/>
      <w:lvlJc w:val="left"/>
      <w:pPr>
        <w:tabs>
          <w:tab w:val="num" w:pos="5631"/>
        </w:tabs>
        <w:ind w:left="5631" w:hanging="420"/>
      </w:pPr>
    </w:lvl>
    <w:lvl w:ilvl="8" w:tplc="0409001B" w:tentative="1">
      <w:start w:val="1"/>
      <w:numFmt w:val="lowerRoman"/>
      <w:lvlText w:val="%9."/>
      <w:lvlJc w:val="right"/>
      <w:pPr>
        <w:tabs>
          <w:tab w:val="num" w:pos="6051"/>
        </w:tabs>
        <w:ind w:left="6051" w:hanging="420"/>
      </w:pPr>
    </w:lvl>
  </w:abstractNum>
  <w:abstractNum w:abstractNumId="20">
    <w:nsid w:val="34653E76"/>
    <w:multiLevelType w:val="hybridMultilevel"/>
    <w:tmpl w:val="F28216E0"/>
    <w:lvl w:ilvl="0" w:tplc="C2F0F87E">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1">
    <w:nsid w:val="35B3545F"/>
    <w:multiLevelType w:val="hybridMultilevel"/>
    <w:tmpl w:val="25E2A558"/>
    <w:lvl w:ilvl="0" w:tplc="BED47282">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2">
    <w:nsid w:val="361E6130"/>
    <w:multiLevelType w:val="hybridMultilevel"/>
    <w:tmpl w:val="52982706"/>
    <w:lvl w:ilvl="0" w:tplc="BED47282">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F8A432FC">
      <w:start w:val="1"/>
      <w:numFmt w:val="chineseCountingThousand"/>
      <w:lvlRestart w:val="0"/>
      <w:lvlText w:val="(%2)"/>
      <w:lvlJc w:val="left"/>
      <w:pPr>
        <w:tabs>
          <w:tab w:val="num" w:pos="1066"/>
        </w:tabs>
        <w:ind w:left="1066" w:hanging="646"/>
      </w:pPr>
      <w:rPr>
        <w:rFonts w:ascii="Times New Roman" w:hAnsi="Times New Roman" w:cs="Times New Roman"/>
        <w:b w:val="0"/>
        <w:i w:val="0"/>
        <w:color w:val="auto"/>
        <w:sz w:val="21"/>
        <w:u w:val="none"/>
      </w:rPr>
    </w:lvl>
    <w:lvl w:ilvl="2" w:tplc="F9D88C20">
      <w:start w:val="1"/>
      <w:numFmt w:val="japaneseCounting"/>
      <w:lvlText w:val="%3)"/>
      <w:lvlJc w:val="left"/>
      <w:pPr>
        <w:tabs>
          <w:tab w:val="num" w:pos="3045"/>
        </w:tabs>
        <w:ind w:left="3045" w:hanging="2205"/>
      </w:pPr>
      <w:rPr>
        <w:rFonts w:hint="default"/>
      </w:rPr>
    </w:lvl>
    <w:lvl w:ilvl="3" w:tplc="C666C85A">
      <w:start w:val="1"/>
      <w:numFmt w:val="lowerLetter"/>
      <w:lvlText w:val="%4)"/>
      <w:lvlJc w:val="left"/>
      <w:pPr>
        <w:tabs>
          <w:tab w:val="num" w:pos="1680"/>
        </w:tabs>
        <w:ind w:left="1680" w:hanging="420"/>
      </w:pPr>
      <w:rPr>
        <w:rFonts w:hint="default"/>
      </w:rPr>
    </w:lvl>
    <w:lvl w:ilvl="4" w:tplc="5324077C">
      <w:numFmt w:val="bullet"/>
      <w:lvlText w:val="-"/>
      <w:lvlJc w:val="left"/>
      <w:pPr>
        <w:tabs>
          <w:tab w:val="num" w:pos="2040"/>
        </w:tabs>
        <w:ind w:left="2040" w:hanging="360"/>
      </w:pPr>
      <w:rPr>
        <w:rFonts w:ascii="Times New Roman" w:eastAsia="SimSun" w:hAnsi="Times New Roman" w:cs="Times New Roman" w:hint="default"/>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C76470F"/>
    <w:multiLevelType w:val="hybridMultilevel"/>
    <w:tmpl w:val="7BBEA3FE"/>
    <w:lvl w:ilvl="0" w:tplc="C2F0F87E">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147746C"/>
    <w:multiLevelType w:val="hybridMultilevel"/>
    <w:tmpl w:val="585AF6CC"/>
    <w:lvl w:ilvl="0" w:tplc="F460C4BC">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5">
    <w:nsid w:val="4BB06442"/>
    <w:multiLevelType w:val="hybridMultilevel"/>
    <w:tmpl w:val="EF82DB82"/>
    <w:lvl w:ilvl="0" w:tplc="09FC5BC4">
      <w:start w:val="1"/>
      <w:numFmt w:val="lowerLetter"/>
      <w:lvlText w:val="%1)"/>
      <w:lvlJc w:val="left"/>
      <w:pPr>
        <w:tabs>
          <w:tab w:val="num" w:pos="1554"/>
        </w:tabs>
        <w:ind w:left="1554" w:hanging="420"/>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26">
    <w:nsid w:val="4BD738E2"/>
    <w:multiLevelType w:val="hybridMultilevel"/>
    <w:tmpl w:val="E25C8540"/>
    <w:lvl w:ilvl="0" w:tplc="D9AAD568">
      <w:start w:val="1"/>
      <w:numFmt w:val="bullet"/>
      <w:lvlText w:val=""/>
      <w:lvlJc w:val="left"/>
      <w:pPr>
        <w:ind w:left="1951" w:hanging="420"/>
      </w:pPr>
      <w:rPr>
        <w:rFonts w:ascii="Wingdings" w:hAnsi="Wingdings" w:hint="default"/>
      </w:rPr>
    </w:lvl>
    <w:lvl w:ilvl="1" w:tplc="04090003" w:tentative="1">
      <w:start w:val="1"/>
      <w:numFmt w:val="bullet"/>
      <w:lvlText w:val=""/>
      <w:lvlJc w:val="left"/>
      <w:pPr>
        <w:ind w:left="2371" w:hanging="420"/>
      </w:pPr>
      <w:rPr>
        <w:rFonts w:ascii="Wingdings" w:hAnsi="Wingdings" w:hint="default"/>
      </w:rPr>
    </w:lvl>
    <w:lvl w:ilvl="2" w:tplc="04090005" w:tentative="1">
      <w:start w:val="1"/>
      <w:numFmt w:val="bullet"/>
      <w:lvlText w:val=""/>
      <w:lvlJc w:val="left"/>
      <w:pPr>
        <w:ind w:left="2791" w:hanging="420"/>
      </w:pPr>
      <w:rPr>
        <w:rFonts w:ascii="Wingdings" w:hAnsi="Wingdings" w:hint="default"/>
      </w:rPr>
    </w:lvl>
    <w:lvl w:ilvl="3" w:tplc="04090001" w:tentative="1">
      <w:start w:val="1"/>
      <w:numFmt w:val="bullet"/>
      <w:lvlText w:val=""/>
      <w:lvlJc w:val="left"/>
      <w:pPr>
        <w:ind w:left="3211" w:hanging="420"/>
      </w:pPr>
      <w:rPr>
        <w:rFonts w:ascii="Wingdings" w:hAnsi="Wingdings" w:hint="default"/>
      </w:rPr>
    </w:lvl>
    <w:lvl w:ilvl="4" w:tplc="04090003" w:tentative="1">
      <w:start w:val="1"/>
      <w:numFmt w:val="bullet"/>
      <w:lvlText w:val=""/>
      <w:lvlJc w:val="left"/>
      <w:pPr>
        <w:ind w:left="3631" w:hanging="420"/>
      </w:pPr>
      <w:rPr>
        <w:rFonts w:ascii="Wingdings" w:hAnsi="Wingdings" w:hint="default"/>
      </w:rPr>
    </w:lvl>
    <w:lvl w:ilvl="5" w:tplc="04090005" w:tentative="1">
      <w:start w:val="1"/>
      <w:numFmt w:val="bullet"/>
      <w:lvlText w:val=""/>
      <w:lvlJc w:val="left"/>
      <w:pPr>
        <w:ind w:left="4051" w:hanging="420"/>
      </w:pPr>
      <w:rPr>
        <w:rFonts w:ascii="Wingdings" w:hAnsi="Wingdings" w:hint="default"/>
      </w:rPr>
    </w:lvl>
    <w:lvl w:ilvl="6" w:tplc="04090001" w:tentative="1">
      <w:start w:val="1"/>
      <w:numFmt w:val="bullet"/>
      <w:lvlText w:val=""/>
      <w:lvlJc w:val="left"/>
      <w:pPr>
        <w:ind w:left="4471" w:hanging="420"/>
      </w:pPr>
      <w:rPr>
        <w:rFonts w:ascii="Wingdings" w:hAnsi="Wingdings" w:hint="default"/>
      </w:rPr>
    </w:lvl>
    <w:lvl w:ilvl="7" w:tplc="04090003" w:tentative="1">
      <w:start w:val="1"/>
      <w:numFmt w:val="bullet"/>
      <w:lvlText w:val=""/>
      <w:lvlJc w:val="left"/>
      <w:pPr>
        <w:ind w:left="4891" w:hanging="420"/>
      </w:pPr>
      <w:rPr>
        <w:rFonts w:ascii="Wingdings" w:hAnsi="Wingdings" w:hint="default"/>
      </w:rPr>
    </w:lvl>
    <w:lvl w:ilvl="8" w:tplc="04090005" w:tentative="1">
      <w:start w:val="1"/>
      <w:numFmt w:val="bullet"/>
      <w:lvlText w:val=""/>
      <w:lvlJc w:val="left"/>
      <w:pPr>
        <w:ind w:left="5311" w:hanging="420"/>
      </w:pPr>
      <w:rPr>
        <w:rFonts w:ascii="Wingdings" w:hAnsi="Wingdings" w:hint="default"/>
      </w:rPr>
    </w:lvl>
  </w:abstractNum>
  <w:abstractNum w:abstractNumId="27">
    <w:nsid w:val="4C035CC6"/>
    <w:multiLevelType w:val="hybridMultilevel"/>
    <w:tmpl w:val="D220B1A0"/>
    <w:lvl w:ilvl="0" w:tplc="F460C4BC">
      <w:start w:val="1"/>
      <w:numFmt w:val="lowerLetter"/>
      <w:lvlRestart w:val="0"/>
      <w:lvlText w:val="(%1)"/>
      <w:lvlJc w:val="left"/>
      <w:pPr>
        <w:tabs>
          <w:tab w:val="num" w:pos="2121"/>
        </w:tabs>
        <w:ind w:left="829"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535"/>
        </w:tabs>
        <w:ind w:left="535" w:hanging="420"/>
      </w:pPr>
    </w:lvl>
    <w:lvl w:ilvl="2" w:tplc="0409001B" w:tentative="1">
      <w:start w:val="1"/>
      <w:numFmt w:val="lowerRoman"/>
      <w:lvlText w:val="%3."/>
      <w:lvlJc w:val="right"/>
      <w:pPr>
        <w:tabs>
          <w:tab w:val="num" w:pos="955"/>
        </w:tabs>
        <w:ind w:left="955" w:hanging="420"/>
      </w:pPr>
    </w:lvl>
    <w:lvl w:ilvl="3" w:tplc="0409000F" w:tentative="1">
      <w:start w:val="1"/>
      <w:numFmt w:val="decimal"/>
      <w:lvlText w:val="%4."/>
      <w:lvlJc w:val="left"/>
      <w:pPr>
        <w:tabs>
          <w:tab w:val="num" w:pos="1375"/>
        </w:tabs>
        <w:ind w:left="1375" w:hanging="420"/>
      </w:pPr>
    </w:lvl>
    <w:lvl w:ilvl="4" w:tplc="04090019" w:tentative="1">
      <w:start w:val="1"/>
      <w:numFmt w:val="lowerLetter"/>
      <w:lvlText w:val="%5)"/>
      <w:lvlJc w:val="left"/>
      <w:pPr>
        <w:tabs>
          <w:tab w:val="num" w:pos="1795"/>
        </w:tabs>
        <w:ind w:left="1795" w:hanging="420"/>
      </w:pPr>
    </w:lvl>
    <w:lvl w:ilvl="5" w:tplc="0409001B" w:tentative="1">
      <w:start w:val="1"/>
      <w:numFmt w:val="lowerRoman"/>
      <w:lvlText w:val="%6."/>
      <w:lvlJc w:val="right"/>
      <w:pPr>
        <w:tabs>
          <w:tab w:val="num" w:pos="2215"/>
        </w:tabs>
        <w:ind w:left="2215" w:hanging="420"/>
      </w:pPr>
    </w:lvl>
    <w:lvl w:ilvl="6" w:tplc="0409000F" w:tentative="1">
      <w:start w:val="1"/>
      <w:numFmt w:val="decimal"/>
      <w:lvlText w:val="%7."/>
      <w:lvlJc w:val="left"/>
      <w:pPr>
        <w:tabs>
          <w:tab w:val="num" w:pos="2635"/>
        </w:tabs>
        <w:ind w:left="2635" w:hanging="420"/>
      </w:pPr>
    </w:lvl>
    <w:lvl w:ilvl="7" w:tplc="04090019" w:tentative="1">
      <w:start w:val="1"/>
      <w:numFmt w:val="lowerLetter"/>
      <w:lvlText w:val="%8)"/>
      <w:lvlJc w:val="left"/>
      <w:pPr>
        <w:tabs>
          <w:tab w:val="num" w:pos="3055"/>
        </w:tabs>
        <w:ind w:left="3055" w:hanging="420"/>
      </w:pPr>
    </w:lvl>
    <w:lvl w:ilvl="8" w:tplc="0409001B" w:tentative="1">
      <w:start w:val="1"/>
      <w:numFmt w:val="lowerRoman"/>
      <w:lvlText w:val="%9."/>
      <w:lvlJc w:val="right"/>
      <w:pPr>
        <w:tabs>
          <w:tab w:val="num" w:pos="3475"/>
        </w:tabs>
        <w:ind w:left="3475" w:hanging="420"/>
      </w:pPr>
    </w:lvl>
  </w:abstractNum>
  <w:abstractNum w:abstractNumId="28">
    <w:nsid w:val="4ED87281"/>
    <w:multiLevelType w:val="hybridMultilevel"/>
    <w:tmpl w:val="205CD2AA"/>
    <w:lvl w:ilvl="0" w:tplc="1926298A">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261115C"/>
    <w:multiLevelType w:val="hybridMultilevel"/>
    <w:tmpl w:val="4B046C90"/>
    <w:lvl w:ilvl="0" w:tplc="685CEE9E">
      <w:start w:val="1"/>
      <w:numFmt w:val="bullet"/>
      <w:lvlRestart w:val="0"/>
      <w:lvlText w:val=""/>
      <w:lvlJc w:val="left"/>
      <w:pPr>
        <w:tabs>
          <w:tab w:val="num" w:pos="3561"/>
        </w:tabs>
        <w:ind w:left="3561" w:hanging="380"/>
      </w:pPr>
      <w:rPr>
        <w:rFonts w:ascii="Symbol" w:hAnsi="Symbol" w:hint="default"/>
      </w:rPr>
    </w:lvl>
    <w:lvl w:ilvl="1" w:tplc="04090003" w:tentative="1">
      <w:start w:val="1"/>
      <w:numFmt w:val="bullet"/>
      <w:lvlText w:val=""/>
      <w:lvlJc w:val="left"/>
      <w:pPr>
        <w:tabs>
          <w:tab w:val="num" w:pos="2405"/>
        </w:tabs>
        <w:ind w:left="2405" w:hanging="420"/>
      </w:pPr>
      <w:rPr>
        <w:rFonts w:ascii="Wingdings" w:hAnsi="Wingdings" w:hint="default"/>
      </w:rPr>
    </w:lvl>
    <w:lvl w:ilvl="2" w:tplc="04090005" w:tentative="1">
      <w:start w:val="1"/>
      <w:numFmt w:val="bullet"/>
      <w:lvlText w:val=""/>
      <w:lvlJc w:val="left"/>
      <w:pPr>
        <w:tabs>
          <w:tab w:val="num" w:pos="2825"/>
        </w:tabs>
        <w:ind w:left="2825" w:hanging="420"/>
      </w:pPr>
      <w:rPr>
        <w:rFonts w:ascii="Wingdings" w:hAnsi="Wingdings" w:hint="default"/>
      </w:rPr>
    </w:lvl>
    <w:lvl w:ilvl="3" w:tplc="04090001" w:tentative="1">
      <w:start w:val="1"/>
      <w:numFmt w:val="bullet"/>
      <w:lvlText w:val=""/>
      <w:lvlJc w:val="left"/>
      <w:pPr>
        <w:tabs>
          <w:tab w:val="num" w:pos="3245"/>
        </w:tabs>
        <w:ind w:left="3245" w:hanging="420"/>
      </w:pPr>
      <w:rPr>
        <w:rFonts w:ascii="Wingdings" w:hAnsi="Wingdings" w:hint="default"/>
      </w:rPr>
    </w:lvl>
    <w:lvl w:ilvl="4" w:tplc="04090003">
      <w:start w:val="1"/>
      <w:numFmt w:val="bullet"/>
      <w:lvlText w:val=""/>
      <w:lvlJc w:val="left"/>
      <w:pPr>
        <w:tabs>
          <w:tab w:val="num" w:pos="3665"/>
        </w:tabs>
        <w:ind w:left="3665" w:hanging="420"/>
      </w:pPr>
      <w:rPr>
        <w:rFonts w:ascii="Wingdings" w:hAnsi="Wingdings" w:hint="default"/>
      </w:rPr>
    </w:lvl>
    <w:lvl w:ilvl="5" w:tplc="04090005" w:tentative="1">
      <w:start w:val="1"/>
      <w:numFmt w:val="bullet"/>
      <w:lvlText w:val=""/>
      <w:lvlJc w:val="left"/>
      <w:pPr>
        <w:tabs>
          <w:tab w:val="num" w:pos="4085"/>
        </w:tabs>
        <w:ind w:left="4085" w:hanging="420"/>
      </w:pPr>
      <w:rPr>
        <w:rFonts w:ascii="Wingdings" w:hAnsi="Wingdings" w:hint="default"/>
      </w:rPr>
    </w:lvl>
    <w:lvl w:ilvl="6" w:tplc="04090001" w:tentative="1">
      <w:start w:val="1"/>
      <w:numFmt w:val="bullet"/>
      <w:lvlText w:val=""/>
      <w:lvlJc w:val="left"/>
      <w:pPr>
        <w:tabs>
          <w:tab w:val="num" w:pos="4505"/>
        </w:tabs>
        <w:ind w:left="4505" w:hanging="420"/>
      </w:pPr>
      <w:rPr>
        <w:rFonts w:ascii="Wingdings" w:hAnsi="Wingdings" w:hint="default"/>
      </w:rPr>
    </w:lvl>
    <w:lvl w:ilvl="7" w:tplc="04090003" w:tentative="1">
      <w:start w:val="1"/>
      <w:numFmt w:val="bullet"/>
      <w:lvlText w:val=""/>
      <w:lvlJc w:val="left"/>
      <w:pPr>
        <w:tabs>
          <w:tab w:val="num" w:pos="4925"/>
        </w:tabs>
        <w:ind w:left="4925" w:hanging="420"/>
      </w:pPr>
      <w:rPr>
        <w:rFonts w:ascii="Wingdings" w:hAnsi="Wingdings" w:hint="default"/>
      </w:rPr>
    </w:lvl>
    <w:lvl w:ilvl="8" w:tplc="04090005" w:tentative="1">
      <w:start w:val="1"/>
      <w:numFmt w:val="bullet"/>
      <w:lvlText w:val=""/>
      <w:lvlJc w:val="left"/>
      <w:pPr>
        <w:tabs>
          <w:tab w:val="num" w:pos="5345"/>
        </w:tabs>
        <w:ind w:left="5345" w:hanging="420"/>
      </w:pPr>
      <w:rPr>
        <w:rFonts w:ascii="Wingdings" w:hAnsi="Wingdings" w:hint="default"/>
      </w:rPr>
    </w:lvl>
  </w:abstractNum>
  <w:abstractNum w:abstractNumId="30">
    <w:nsid w:val="52A5590A"/>
    <w:multiLevelType w:val="hybridMultilevel"/>
    <w:tmpl w:val="1E46DF22"/>
    <w:lvl w:ilvl="0" w:tplc="C9F2FE6C">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53D01DBB"/>
    <w:multiLevelType w:val="hybridMultilevel"/>
    <w:tmpl w:val="2F566E74"/>
    <w:lvl w:ilvl="0" w:tplc="C9F2FE6C">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4947DEA"/>
    <w:multiLevelType w:val="hybridMultilevel"/>
    <w:tmpl w:val="843A2BC6"/>
    <w:lvl w:ilvl="0" w:tplc="D9AAD568">
      <w:start w:val="1"/>
      <w:numFmt w:val="bullet"/>
      <w:lvlText w:val=""/>
      <w:lvlJc w:val="left"/>
      <w:pPr>
        <w:ind w:left="1951" w:hanging="420"/>
      </w:pPr>
      <w:rPr>
        <w:rFonts w:ascii="Wingdings" w:hAnsi="Wingdings" w:hint="default"/>
      </w:rPr>
    </w:lvl>
    <w:lvl w:ilvl="1" w:tplc="04090003" w:tentative="1">
      <w:start w:val="1"/>
      <w:numFmt w:val="bullet"/>
      <w:lvlText w:val=""/>
      <w:lvlJc w:val="left"/>
      <w:pPr>
        <w:ind w:left="2371" w:hanging="420"/>
      </w:pPr>
      <w:rPr>
        <w:rFonts w:ascii="Wingdings" w:hAnsi="Wingdings" w:hint="default"/>
      </w:rPr>
    </w:lvl>
    <w:lvl w:ilvl="2" w:tplc="04090005" w:tentative="1">
      <w:start w:val="1"/>
      <w:numFmt w:val="bullet"/>
      <w:lvlText w:val=""/>
      <w:lvlJc w:val="left"/>
      <w:pPr>
        <w:ind w:left="2791" w:hanging="420"/>
      </w:pPr>
      <w:rPr>
        <w:rFonts w:ascii="Wingdings" w:hAnsi="Wingdings" w:hint="default"/>
      </w:rPr>
    </w:lvl>
    <w:lvl w:ilvl="3" w:tplc="04090001" w:tentative="1">
      <w:start w:val="1"/>
      <w:numFmt w:val="bullet"/>
      <w:lvlText w:val=""/>
      <w:lvlJc w:val="left"/>
      <w:pPr>
        <w:ind w:left="3211" w:hanging="420"/>
      </w:pPr>
      <w:rPr>
        <w:rFonts w:ascii="Wingdings" w:hAnsi="Wingdings" w:hint="default"/>
      </w:rPr>
    </w:lvl>
    <w:lvl w:ilvl="4" w:tplc="04090003" w:tentative="1">
      <w:start w:val="1"/>
      <w:numFmt w:val="bullet"/>
      <w:lvlText w:val=""/>
      <w:lvlJc w:val="left"/>
      <w:pPr>
        <w:ind w:left="3631" w:hanging="420"/>
      </w:pPr>
      <w:rPr>
        <w:rFonts w:ascii="Wingdings" w:hAnsi="Wingdings" w:hint="default"/>
      </w:rPr>
    </w:lvl>
    <w:lvl w:ilvl="5" w:tplc="04090005" w:tentative="1">
      <w:start w:val="1"/>
      <w:numFmt w:val="bullet"/>
      <w:lvlText w:val=""/>
      <w:lvlJc w:val="left"/>
      <w:pPr>
        <w:ind w:left="4051" w:hanging="420"/>
      </w:pPr>
      <w:rPr>
        <w:rFonts w:ascii="Wingdings" w:hAnsi="Wingdings" w:hint="default"/>
      </w:rPr>
    </w:lvl>
    <w:lvl w:ilvl="6" w:tplc="04090001" w:tentative="1">
      <w:start w:val="1"/>
      <w:numFmt w:val="bullet"/>
      <w:lvlText w:val=""/>
      <w:lvlJc w:val="left"/>
      <w:pPr>
        <w:ind w:left="4471" w:hanging="420"/>
      </w:pPr>
      <w:rPr>
        <w:rFonts w:ascii="Wingdings" w:hAnsi="Wingdings" w:hint="default"/>
      </w:rPr>
    </w:lvl>
    <w:lvl w:ilvl="7" w:tplc="04090003" w:tentative="1">
      <w:start w:val="1"/>
      <w:numFmt w:val="bullet"/>
      <w:lvlText w:val=""/>
      <w:lvlJc w:val="left"/>
      <w:pPr>
        <w:ind w:left="4891" w:hanging="420"/>
      </w:pPr>
      <w:rPr>
        <w:rFonts w:ascii="Wingdings" w:hAnsi="Wingdings" w:hint="default"/>
      </w:rPr>
    </w:lvl>
    <w:lvl w:ilvl="8" w:tplc="04090005" w:tentative="1">
      <w:start w:val="1"/>
      <w:numFmt w:val="bullet"/>
      <w:lvlText w:val=""/>
      <w:lvlJc w:val="left"/>
      <w:pPr>
        <w:ind w:left="5311" w:hanging="420"/>
      </w:pPr>
      <w:rPr>
        <w:rFonts w:ascii="Wingdings" w:hAnsi="Wingdings" w:hint="default"/>
      </w:rPr>
    </w:lvl>
  </w:abstractNum>
  <w:abstractNum w:abstractNumId="33">
    <w:nsid w:val="57121CD5"/>
    <w:multiLevelType w:val="hybridMultilevel"/>
    <w:tmpl w:val="AA80A02E"/>
    <w:lvl w:ilvl="0" w:tplc="35C2DFE4">
      <w:start w:val="1"/>
      <w:numFmt w:val="lowerLetter"/>
      <w:lvlRestart w:val="0"/>
      <w:lvlText w:val="(%1)"/>
      <w:lvlJc w:val="left"/>
      <w:pPr>
        <w:tabs>
          <w:tab w:val="num" w:pos="2211"/>
        </w:tabs>
        <w:ind w:left="2211" w:hanging="646"/>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5796698D"/>
    <w:multiLevelType w:val="hybridMultilevel"/>
    <w:tmpl w:val="F12CDD1C"/>
    <w:lvl w:ilvl="0" w:tplc="B1E2ABCC">
      <w:start w:val="1"/>
      <w:numFmt w:val="bullet"/>
      <w:pStyle w:val="Aktivnosti"/>
      <w:lvlText w:val=""/>
      <w:lvlJc w:val="left"/>
      <w:pPr>
        <w:tabs>
          <w:tab w:val="num" w:pos="2340"/>
        </w:tabs>
        <w:ind w:left="2340" w:hanging="360"/>
      </w:pPr>
      <w:rPr>
        <w:rFonts w:ascii="Wingdings" w:hAnsi="Wingdings" w:hint="default"/>
        <w:lang w:val="fr-FR"/>
      </w:rPr>
    </w:lvl>
    <w:lvl w:ilvl="1" w:tplc="7012D0FE">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5">
    <w:nsid w:val="57DD1492"/>
    <w:multiLevelType w:val="hybridMultilevel"/>
    <w:tmpl w:val="B498E12E"/>
    <w:lvl w:ilvl="0" w:tplc="8EA8435C">
      <w:start w:val="1"/>
      <w:numFmt w:val="lowerLetter"/>
      <w:lvlRestart w:val="0"/>
      <w:lvlText w:val="(%1)"/>
      <w:lvlJc w:val="left"/>
      <w:pPr>
        <w:tabs>
          <w:tab w:val="num" w:pos="2426"/>
        </w:tabs>
        <w:ind w:left="1134"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5C43521E"/>
    <w:multiLevelType w:val="hybridMultilevel"/>
    <w:tmpl w:val="4230C100"/>
    <w:lvl w:ilvl="0" w:tplc="69FA0B24">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37">
    <w:nsid w:val="5F050FBB"/>
    <w:multiLevelType w:val="hybridMultilevel"/>
    <w:tmpl w:val="6EE6D344"/>
    <w:lvl w:ilvl="0" w:tplc="FFFFFFFF">
      <w:start w:val="1"/>
      <w:numFmt w:val="bullet"/>
      <w:pStyle w:val="Nabrajanje"/>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6853A4A"/>
    <w:multiLevelType w:val="hybridMultilevel"/>
    <w:tmpl w:val="DFF8C1C4"/>
    <w:lvl w:ilvl="0" w:tplc="F460C4BC">
      <w:start w:val="1"/>
      <w:numFmt w:val="lowerLetter"/>
      <w:lvlRestart w:val="0"/>
      <w:lvlText w:val="(%1)"/>
      <w:lvlJc w:val="left"/>
      <w:pPr>
        <w:tabs>
          <w:tab w:val="num" w:pos="2121"/>
        </w:tabs>
        <w:ind w:left="829"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535"/>
        </w:tabs>
        <w:ind w:left="535" w:hanging="420"/>
      </w:pPr>
    </w:lvl>
    <w:lvl w:ilvl="2" w:tplc="0409001B" w:tentative="1">
      <w:start w:val="1"/>
      <w:numFmt w:val="lowerRoman"/>
      <w:lvlText w:val="%3."/>
      <w:lvlJc w:val="right"/>
      <w:pPr>
        <w:tabs>
          <w:tab w:val="num" w:pos="955"/>
        </w:tabs>
        <w:ind w:left="955" w:hanging="420"/>
      </w:pPr>
    </w:lvl>
    <w:lvl w:ilvl="3" w:tplc="0409000F" w:tentative="1">
      <w:start w:val="1"/>
      <w:numFmt w:val="decimal"/>
      <w:lvlText w:val="%4."/>
      <w:lvlJc w:val="left"/>
      <w:pPr>
        <w:tabs>
          <w:tab w:val="num" w:pos="1375"/>
        </w:tabs>
        <w:ind w:left="1375" w:hanging="420"/>
      </w:pPr>
    </w:lvl>
    <w:lvl w:ilvl="4" w:tplc="04090019" w:tentative="1">
      <w:start w:val="1"/>
      <w:numFmt w:val="lowerLetter"/>
      <w:lvlText w:val="%5)"/>
      <w:lvlJc w:val="left"/>
      <w:pPr>
        <w:tabs>
          <w:tab w:val="num" w:pos="1795"/>
        </w:tabs>
        <w:ind w:left="1795" w:hanging="420"/>
      </w:pPr>
    </w:lvl>
    <w:lvl w:ilvl="5" w:tplc="0409001B" w:tentative="1">
      <w:start w:val="1"/>
      <w:numFmt w:val="lowerRoman"/>
      <w:lvlText w:val="%6."/>
      <w:lvlJc w:val="right"/>
      <w:pPr>
        <w:tabs>
          <w:tab w:val="num" w:pos="2215"/>
        </w:tabs>
        <w:ind w:left="2215" w:hanging="420"/>
      </w:pPr>
    </w:lvl>
    <w:lvl w:ilvl="6" w:tplc="0409000F" w:tentative="1">
      <w:start w:val="1"/>
      <w:numFmt w:val="decimal"/>
      <w:lvlText w:val="%7."/>
      <w:lvlJc w:val="left"/>
      <w:pPr>
        <w:tabs>
          <w:tab w:val="num" w:pos="2635"/>
        </w:tabs>
        <w:ind w:left="2635" w:hanging="420"/>
      </w:pPr>
    </w:lvl>
    <w:lvl w:ilvl="7" w:tplc="04090019" w:tentative="1">
      <w:start w:val="1"/>
      <w:numFmt w:val="lowerLetter"/>
      <w:lvlText w:val="%8)"/>
      <w:lvlJc w:val="left"/>
      <w:pPr>
        <w:tabs>
          <w:tab w:val="num" w:pos="3055"/>
        </w:tabs>
        <w:ind w:left="3055" w:hanging="420"/>
      </w:pPr>
    </w:lvl>
    <w:lvl w:ilvl="8" w:tplc="0409001B" w:tentative="1">
      <w:start w:val="1"/>
      <w:numFmt w:val="lowerRoman"/>
      <w:lvlText w:val="%9."/>
      <w:lvlJc w:val="right"/>
      <w:pPr>
        <w:tabs>
          <w:tab w:val="num" w:pos="3475"/>
        </w:tabs>
        <w:ind w:left="3475" w:hanging="420"/>
      </w:pPr>
    </w:lvl>
  </w:abstractNum>
  <w:abstractNum w:abstractNumId="40">
    <w:nsid w:val="66970858"/>
    <w:multiLevelType w:val="hybridMultilevel"/>
    <w:tmpl w:val="9CAA9B22"/>
    <w:lvl w:ilvl="0" w:tplc="8B9EB10C">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
    <w:nsid w:val="68862366"/>
    <w:multiLevelType w:val="hybridMultilevel"/>
    <w:tmpl w:val="523E6D94"/>
    <w:lvl w:ilvl="0" w:tplc="E550C08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3">
    <w:nsid w:val="68BD5A48"/>
    <w:multiLevelType w:val="hybridMultilevel"/>
    <w:tmpl w:val="20CC8CBC"/>
    <w:lvl w:ilvl="0" w:tplc="87B47E7C">
      <w:start w:val="1"/>
      <w:numFmt w:val="chineseCountingThousand"/>
      <w:lvlRestart w:val="0"/>
      <w:lvlText w:val="(%1)"/>
      <w:lvlJc w:val="left"/>
      <w:pPr>
        <w:tabs>
          <w:tab w:val="num" w:pos="2426"/>
        </w:tabs>
        <w:ind w:left="1134" w:firstLine="431"/>
      </w:pPr>
      <w:rPr>
        <w:rFonts w:ascii="Times New Roman" w:hAnsi="Times New Roman" w:cs="Times New Roman"/>
        <w:color w:val="auto"/>
        <w:sz w:val="21"/>
      </w:rPr>
    </w:lvl>
    <w:lvl w:ilvl="1" w:tplc="9A2CF77E">
      <w:start w:val="1"/>
      <w:numFmt w:val="chineseCountingThousand"/>
      <w:lvlRestart w:val="0"/>
      <w:lvlText w:val="(%2)"/>
      <w:lvlJc w:val="left"/>
      <w:pPr>
        <w:tabs>
          <w:tab w:val="num" w:pos="1066"/>
        </w:tabs>
        <w:ind w:left="1066" w:hanging="646"/>
      </w:pPr>
      <w:rPr>
        <w:rFonts w:ascii="Times New Roman" w:hAnsi="Times New Roman" w:cs="Times New Roman"/>
        <w:b w:val="0"/>
        <w:i w:val="0"/>
        <w:color w:val="auto"/>
        <w:sz w:val="21"/>
        <w:u w:val="none"/>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
    <w:nsid w:val="70B072BA"/>
    <w:multiLevelType w:val="hybridMultilevel"/>
    <w:tmpl w:val="24D8ED7E"/>
    <w:lvl w:ilvl="0" w:tplc="C9F2FE6C">
      <w:start w:val="1"/>
      <w:numFmt w:val="lowerLetter"/>
      <w:lvlRestart w:val="0"/>
      <w:lvlText w:val="(%1)"/>
      <w:lvlJc w:val="left"/>
      <w:pPr>
        <w:tabs>
          <w:tab w:val="num" w:pos="3560"/>
        </w:tabs>
        <w:ind w:left="2268" w:firstLine="431"/>
      </w:pPr>
      <w:rPr>
        <w:rFonts w:ascii="Times New Roman" w:hAnsi="Times New Roman" w:cs="Times New Roman"/>
        <w:b w:val="0"/>
        <w:i w:val="0"/>
        <w:color w:val="auto"/>
        <w:sz w:val="20"/>
        <w:u w:val="none"/>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abstractNum w:abstractNumId="45">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0"/>
  </w:num>
  <w:num w:numId="2">
    <w:abstractNumId w:val="10"/>
  </w:num>
  <w:num w:numId="3">
    <w:abstractNumId w:val="41"/>
  </w:num>
  <w:num w:numId="4">
    <w:abstractNumId w:val="12"/>
  </w:num>
  <w:num w:numId="5">
    <w:abstractNumId w:val="4"/>
  </w:num>
  <w:num w:numId="6">
    <w:abstractNumId w:val="42"/>
  </w:num>
  <w:num w:numId="7">
    <w:abstractNumId w:val="38"/>
  </w:num>
  <w:num w:numId="8">
    <w:abstractNumId w:val="13"/>
  </w:num>
  <w:num w:numId="9">
    <w:abstractNumId w:val="6"/>
  </w:num>
  <w:num w:numId="10">
    <w:abstractNumId w:val="45"/>
  </w:num>
  <w:num w:numId="11">
    <w:abstractNumId w:val="37"/>
  </w:num>
  <w:num w:numId="12">
    <w:abstractNumId w:val="34"/>
  </w:num>
  <w:num w:numId="13">
    <w:abstractNumId w:val="17"/>
  </w:num>
  <w:num w:numId="14">
    <w:abstractNumId w:val="19"/>
  </w:num>
  <w:num w:numId="15">
    <w:abstractNumId w:val="14"/>
  </w:num>
  <w:num w:numId="16">
    <w:abstractNumId w:val="32"/>
  </w:num>
  <w:num w:numId="17">
    <w:abstractNumId w:val="26"/>
  </w:num>
  <w:num w:numId="18">
    <w:abstractNumId w:val="15"/>
  </w:num>
  <w:num w:numId="19">
    <w:abstractNumId w:val="25"/>
  </w:num>
  <w:num w:numId="20">
    <w:abstractNumId w:val="22"/>
  </w:num>
  <w:num w:numId="21">
    <w:abstractNumId w:val="40"/>
  </w:num>
  <w:num w:numId="22">
    <w:abstractNumId w:val="5"/>
  </w:num>
  <w:num w:numId="23">
    <w:abstractNumId w:val="21"/>
  </w:num>
  <w:num w:numId="24">
    <w:abstractNumId w:val="18"/>
  </w:num>
  <w:num w:numId="25">
    <w:abstractNumId w:val="36"/>
  </w:num>
  <w:num w:numId="26">
    <w:abstractNumId w:val="33"/>
  </w:num>
  <w:num w:numId="27">
    <w:abstractNumId w:val="7"/>
  </w:num>
  <w:num w:numId="28">
    <w:abstractNumId w:val="24"/>
  </w:num>
  <w:num w:numId="29">
    <w:abstractNumId w:val="27"/>
  </w:num>
  <w:num w:numId="30">
    <w:abstractNumId w:val="39"/>
  </w:num>
  <w:num w:numId="31">
    <w:abstractNumId w:val="8"/>
  </w:num>
  <w:num w:numId="32">
    <w:abstractNumId w:val="35"/>
  </w:num>
  <w:num w:numId="33">
    <w:abstractNumId w:val="28"/>
  </w:num>
  <w:num w:numId="34">
    <w:abstractNumId w:val="9"/>
  </w:num>
  <w:num w:numId="35">
    <w:abstractNumId w:val="11"/>
  </w:num>
  <w:num w:numId="36">
    <w:abstractNumId w:val="43"/>
  </w:num>
  <w:num w:numId="37">
    <w:abstractNumId w:val="16"/>
  </w:num>
  <w:num w:numId="38">
    <w:abstractNumId w:val="2"/>
  </w:num>
  <w:num w:numId="39">
    <w:abstractNumId w:val="23"/>
  </w:num>
  <w:num w:numId="40">
    <w:abstractNumId w:val="20"/>
  </w:num>
  <w:num w:numId="41">
    <w:abstractNumId w:val="1"/>
  </w:num>
  <w:num w:numId="42">
    <w:abstractNumId w:val="3"/>
  </w:num>
  <w:num w:numId="43">
    <w:abstractNumId w:val="31"/>
  </w:num>
  <w:num w:numId="44">
    <w:abstractNumId w:val="44"/>
  </w:num>
  <w:num w:numId="45">
    <w:abstractNumId w:val="30"/>
  </w:num>
  <w:num w:numId="46">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3CF3"/>
    <w:rsid w:val="00177ACD"/>
    <w:rsid w:val="003C2E11"/>
    <w:rsid w:val="007458D9"/>
    <w:rsid w:val="00D43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Normal"/>
    <w:link w:val="Heading1Char"/>
    <w:qFormat/>
    <w:pPr>
      <w:keepNext/>
      <w:keepLines/>
      <w:widowControl w:val="0"/>
      <w:spacing w:after="320" w:line="288" w:lineRule="auto"/>
      <w:jc w:val="center"/>
      <w:outlineLvl w:val="0"/>
    </w:pPr>
    <w:rPr>
      <w:b/>
      <w:snapToGrid/>
      <w:kern w:val="32"/>
      <w:sz w:val="30"/>
    </w:rPr>
  </w:style>
  <w:style w:type="paragraph" w:styleId="Heading2">
    <w:name w:val="heading 2"/>
    <w:aliases w:val="Títol b"/>
    <w:basedOn w:val="Normal"/>
    <w:next w:val="Normal"/>
    <w:link w:val="Heading2Char"/>
    <w:qFormat/>
    <w:pPr>
      <w:keepNext/>
      <w:keepLines/>
      <w:widowControl w:val="0"/>
      <w:spacing w:after="320" w:line="288" w:lineRule="auto"/>
      <w:jc w:val="center"/>
      <w:outlineLvl w:val="1"/>
    </w:pPr>
    <w:rPr>
      <w:kern w:val="28"/>
      <w:sz w:val="28"/>
    </w:rPr>
  </w:style>
  <w:style w:type="paragraph" w:styleId="Heading3">
    <w:name w:val="heading 3"/>
    <w:aliases w:val="Titre 3 Car,Car19 Car"/>
    <w:basedOn w:val="Normal"/>
    <w:next w:val="Normal"/>
    <w:link w:val="Heading3Char"/>
    <w:qFormat/>
    <w:pPr>
      <w:keepNext/>
      <w:keepLines/>
      <w:widowControl w:val="0"/>
      <w:spacing w:after="320"/>
      <w:jc w:val="center"/>
      <w:outlineLvl w:val="2"/>
    </w:pPr>
    <w:rPr>
      <w:kern w:val="28"/>
      <w:u w:val="single"/>
    </w:rPr>
  </w:style>
  <w:style w:type="paragraph" w:styleId="Heading4">
    <w:name w:val="heading 4"/>
    <w:basedOn w:val="Normal"/>
    <w:next w:val="Normal"/>
    <w:link w:val="Heading4Char"/>
    <w:qFormat/>
    <w:pPr>
      <w:keepNext/>
      <w:keepLines/>
      <w:widowControl w:val="0"/>
      <w:spacing w:after="240"/>
      <w:outlineLvl w:val="3"/>
    </w:pPr>
    <w:rPr>
      <w:u w:val="single"/>
    </w:rPr>
  </w:style>
  <w:style w:type="paragraph" w:styleId="Heading5">
    <w:name w:val="heading 5"/>
    <w:basedOn w:val="Normal"/>
    <w:next w:val="Normal"/>
    <w:link w:val="Heading5Char"/>
    <w:qFormat/>
    <w:pPr>
      <w:spacing w:after="240"/>
      <w:outlineLvl w:val="4"/>
    </w:pPr>
    <w:rPr>
      <w:rFonts w:eastAsia="SimHei"/>
      <w:bCs/>
      <w:szCs w:val="36"/>
    </w:rPr>
  </w:style>
  <w:style w:type="paragraph" w:styleId="Heading6">
    <w:name w:val="heading 6"/>
    <w:aliases w:val="Antraštė 6 Diagrama1,Antraštė 6 Diagrama Diagrama"/>
    <w:basedOn w:val="Normal"/>
    <w:next w:val="Normal"/>
    <w:link w:val="Heading6Char"/>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link w:val="Heading7Char"/>
    <w:qFormat/>
    <w:pPr>
      <w:keepNext/>
      <w:keepLines/>
      <w:spacing w:before="240" w:after="64" w:line="320" w:lineRule="auto"/>
      <w:outlineLvl w:val="6"/>
    </w:pPr>
    <w:rPr>
      <w:b/>
      <w:bCs/>
      <w:szCs w:val="24"/>
    </w:rPr>
  </w:style>
  <w:style w:type="paragraph" w:styleId="Heading8">
    <w:name w:val="heading 8"/>
    <w:basedOn w:val="Normal"/>
    <w:next w:val="Normal"/>
    <w:link w:val="Heading8Char"/>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link w:val="Heading9Char"/>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pPr>
      <w:numPr>
        <w:numId w:val="4"/>
      </w:numPr>
    </w:pPr>
    <w:rPr>
      <w:lang w:val="fr-CH"/>
    </w:rPr>
  </w:style>
  <w:style w:type="paragraph" w:styleId="FootnoteText">
    <w:name w:val="footnote text"/>
    <w:basedOn w:val="Normal"/>
    <w:link w:val="FootnoteTextChar"/>
    <w:pPr>
      <w:keepLines/>
      <w:tabs>
        <w:tab w:val="clear" w:pos="431"/>
        <w:tab w:val="right" w:pos="1021"/>
      </w:tabs>
      <w:spacing w:after="120" w:line="240" w:lineRule="exact"/>
      <w:ind w:left="1134" w:right="1134" w:hanging="1134"/>
    </w:pPr>
    <w:rPr>
      <w:sz w:val="18"/>
    </w:rPr>
  </w:style>
  <w:style w:type="character" w:styleId="FootnoteReference">
    <w:name w:val="footnote reference"/>
    <w:rPr>
      <w:rFonts w:ascii="Times New Roman" w:hAnsi="Times New Roman"/>
      <w:dstrike w:val="0"/>
      <w:color w:val="0000FF"/>
      <w:spacing w:val="0"/>
      <w:w w:val="100"/>
      <w:kern w:val="0"/>
      <w:position w:val="0"/>
      <w:sz w:val="21"/>
      <w:vertAlign w:val="superscript"/>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customStyle="1" w:styleId="a">
    <w:name w:val="缩进正文"/>
    <w:basedOn w:val="SingleTxtGC"/>
    <w:pPr>
      <w:ind w:left="1565"/>
    </w:pPr>
  </w:style>
  <w:style w:type="paragraph" w:styleId="EndnoteText">
    <w:name w:val="endnote text"/>
    <w:basedOn w:val="FootnoteText"/>
    <w:pPr>
      <w:keepLines w:val="0"/>
      <w:tabs>
        <w:tab w:val="right" w:pos="1021"/>
      </w:tabs>
    </w:pPr>
  </w:style>
  <w:style w:type="character" w:styleId="EndnoteReference">
    <w:name w:val="endnote reference"/>
    <w:basedOn w:val="FootnoteReference"/>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pPr>
      <w:spacing w:before="80" w:after="80" w:line="200" w:lineRule="exact"/>
      <w:ind w:left="0" w:right="113"/>
    </w:pPr>
    <w:rPr>
      <w:rFonts w:eastAsia="KaiTi_GB2312"/>
      <w:sz w:val="18"/>
    </w:rPr>
  </w:style>
  <w:style w:type="paragraph" w:customStyle="1" w:styleId="a1">
    <w:name w:val="目录段页次"/>
    <w:basedOn w:val="Normal"/>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link w:val="FooterChar"/>
    <w:pPr>
      <w:spacing w:line="240" w:lineRule="auto"/>
    </w:pPr>
    <w:rPr>
      <w:rFonts w:eastAsia="Times New Roman"/>
      <w:sz w:val="16"/>
      <w:lang w:val="en-GB" w:eastAsia="en-US"/>
    </w:rPr>
  </w:style>
  <w:style w:type="character" w:styleId="PageNumber">
    <w:name w:val="page number"/>
    <w:rPr>
      <w:rFonts w:ascii="Times New Roman" w:hAnsi="Times New Roman"/>
      <w:b/>
      <w:spacing w:val="0"/>
      <w:kern w:val="0"/>
      <w:sz w:val="18"/>
    </w:rPr>
  </w:style>
  <w:style w:type="paragraph" w:styleId="Header">
    <w:name w:val="header"/>
    <w:basedOn w:val="Normal"/>
    <w:link w:val="HeaderChar"/>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pPr>
      <w:numPr>
        <w:numId w:val="2"/>
      </w:numPr>
      <w:spacing w:after="120"/>
      <w:ind w:right="1134"/>
    </w:pPr>
  </w:style>
  <w:style w:type="paragraph" w:customStyle="1" w:styleId="Bullet2GC">
    <w:name w:val="_Bullet 2_GC"/>
    <w:basedOn w:val="Normal"/>
    <w:pPr>
      <w:numPr>
        <w:numId w:val="3"/>
      </w:numPr>
      <w:tabs>
        <w:tab w:val="left" w:pos="1134"/>
        <w:tab w:val="left" w:pos="1565"/>
        <w:tab w:val="left" w:pos="1996"/>
      </w:tabs>
      <w:spacing w:after="120"/>
      <w:ind w:right="1134"/>
    </w:pPr>
  </w:style>
  <w:style w:type="paragraph" w:styleId="Title">
    <w:name w:val="Title"/>
    <w:basedOn w:val="Normal"/>
    <w:link w:val="TitleChar"/>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pPr>
      <w:tabs>
        <w:tab w:val="left" w:pos="1134"/>
        <w:tab w:val="left" w:pos="1565"/>
        <w:tab w:val="left" w:pos="1996"/>
        <w:tab w:val="left" w:pos="2427"/>
      </w:tabs>
      <w:spacing w:after="120"/>
      <w:ind w:left="1134" w:right="1134"/>
    </w:pPr>
  </w:style>
  <w:style w:type="paragraph" w:customStyle="1" w:styleId="SLGC">
    <w:name w:val="__S_L_GC"/>
    <w:basedOn w:val="Normal"/>
    <w:next w:val="SingleTxtG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pPr>
      <w:keepNext/>
      <w:keepLines/>
      <w:spacing w:before="240" w:after="240" w:line="420" w:lineRule="exact"/>
      <w:ind w:left="1134" w:right="1134"/>
      <w:jc w:val="left"/>
    </w:pPr>
    <w:rPr>
      <w:rFonts w:eastAsia="SimHei"/>
      <w:sz w:val="40"/>
    </w:rPr>
  </w:style>
  <w:style w:type="paragraph" w:customStyle="1" w:styleId="a3">
    <w:name w:val="悬挂"/>
    <w:basedOn w:val="SingleTxtGC"/>
    <w:pPr>
      <w:ind w:left="1565" w:hanging="431"/>
    </w:pPr>
  </w:style>
  <w:style w:type="paragraph" w:customStyle="1" w:styleId="a4">
    <w:name w:val="表中文字"/>
    <w:basedOn w:val="SingleTxtGC"/>
    <w:pPr>
      <w:spacing w:before="40" w:line="240" w:lineRule="atLeast"/>
      <w:ind w:left="0" w:right="113"/>
    </w:pPr>
    <w:rPr>
      <w:sz w:val="18"/>
    </w:rPr>
  </w:style>
  <w:style w:type="paragraph" w:customStyle="1" w:styleId="a5">
    <w:name w:val="表数文字"/>
    <w:basedOn w:val="SingleTxtGC"/>
    <w:pPr>
      <w:spacing w:before="40" w:after="40" w:line="240" w:lineRule="atLeast"/>
      <w:ind w:left="0" w:right="113"/>
    </w:pPr>
    <w:rPr>
      <w:sz w:val="18"/>
    </w:rPr>
  </w:style>
  <w:style w:type="paragraph" w:customStyle="1" w:styleId="HChG">
    <w:name w:val="_ H _Ch_G"/>
    <w:basedOn w:val="Normal"/>
    <w:next w:val="Normal"/>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ar"/>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FootnoteTextChar">
    <w:name w:val="Footnote Text Char"/>
    <w:link w:val="FootnoteText"/>
    <w:locked/>
    <w:rPr>
      <w:rFonts w:eastAsia="SimSun"/>
      <w:snapToGrid w:val="0"/>
      <w:sz w:val="18"/>
      <w:lang w:val="en-US" w:eastAsia="zh-CN" w:bidi="ar-SA"/>
    </w:rPr>
  </w:style>
  <w:style w:type="character" w:customStyle="1" w:styleId="HeaderChar">
    <w:name w:val="Header Char"/>
    <w:link w:val="Header"/>
    <w:rPr>
      <w:rFonts w:eastAsia="SimSun"/>
      <w:b/>
      <w:snapToGrid w:val="0"/>
      <w:sz w:val="18"/>
      <w:lang w:val="en-GB" w:eastAsia="en-US" w:bidi="ar-SA"/>
    </w:rPr>
  </w:style>
  <w:style w:type="character" w:customStyle="1" w:styleId="H1GCar">
    <w:name w:val="_ H_1_G Car"/>
    <w:link w:val="H1G"/>
    <w:rPr>
      <w:rFonts w:eastAsia="SimSun"/>
      <w:b/>
      <w:sz w:val="24"/>
      <w:lang w:val="en-GB" w:eastAsia="en-US" w:bidi="ar-SA"/>
    </w:rPr>
  </w:style>
  <w:style w:type="paragraph" w:customStyle="1" w:styleId="SingleTxtG">
    <w:name w:val="_ Single Txt_G"/>
    <w:basedOn w:val="Normal"/>
    <w:link w:val="SingleTxtGChar"/>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SMG">
    <w:name w:val="__S_M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H1">
    <w:name w:val="_ H_1"/>
    <w:basedOn w:val="Normal"/>
    <w:next w:val="Normal"/>
    <w:pPr>
      <w:keepNext/>
      <w:keepLines/>
      <w:tabs>
        <w:tab w:val="clear" w:pos="43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line="270" w:lineRule="exact"/>
      <w:ind w:left="1267" w:right="1267" w:hanging="1267"/>
      <w:jc w:val="left"/>
      <w:outlineLvl w:val="0"/>
    </w:pPr>
    <w:rPr>
      <w:b/>
      <w:snapToGrid/>
      <w:spacing w:val="4"/>
      <w:w w:val="103"/>
      <w:kern w:val="14"/>
      <w:sz w:val="24"/>
      <w:lang w:val="en-GB" w:eastAsia="en-US"/>
    </w:rPr>
  </w:style>
  <w:style w:type="paragraph" w:customStyle="1" w:styleId="H56G">
    <w:name w:val="_ H_5/6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paragraph" w:customStyle="1" w:styleId="H23G">
    <w:name w:val="_ H_2/3_G"/>
    <w:basedOn w:val="Normal"/>
    <w:next w:val="Normal"/>
    <w:link w:val="H23GChar"/>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Bullet1G">
    <w:name w:val="_Bullet 1_G"/>
    <w:basedOn w:val="Normal"/>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pPr>
      <w:numPr>
        <w:numId w:val="6"/>
      </w:numPr>
      <w:tabs>
        <w:tab w:val="clear" w:pos="431"/>
      </w:tabs>
      <w:suppressAutoHyphens/>
      <w:overflowPunct/>
      <w:adjustRightInd/>
      <w:snapToGrid/>
      <w:spacing w:after="120" w:line="240" w:lineRule="atLeast"/>
      <w:ind w:right="1134"/>
    </w:pPr>
    <w:rPr>
      <w:snapToGrid/>
      <w:sz w:val="20"/>
      <w:lang w:val="en-GB" w:eastAsia="en-US"/>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PlainText">
    <w:name w:val="Plain Text"/>
    <w:basedOn w:val="Normal"/>
    <w:semiHidden/>
    <w:pPr>
      <w:tabs>
        <w:tab w:val="clear" w:pos="431"/>
      </w:tabs>
      <w:suppressAutoHyphens/>
      <w:overflowPunct/>
      <w:adjustRightInd/>
      <w:snapToGrid/>
      <w:spacing w:line="240" w:lineRule="atLeast"/>
      <w:jc w:val="left"/>
    </w:pPr>
    <w:rPr>
      <w:rFonts w:cs="Courier New"/>
      <w:snapToGrid/>
      <w:sz w:val="20"/>
      <w:lang w:val="en-GB" w:eastAsia="en-US"/>
    </w:rPr>
  </w:style>
  <w:style w:type="paragraph" w:styleId="BodyText">
    <w:name w:val="Body Text"/>
    <w:aliases w:val="Corps de texte Car1,Corps de texte Car Car,Car12 Car Car,Corps de texte Car,Car12 Car"/>
    <w:basedOn w:val="Normal"/>
    <w:next w:val="Normal"/>
    <w:link w:val="BodyTextChar"/>
    <w:pPr>
      <w:tabs>
        <w:tab w:val="clear" w:pos="431"/>
      </w:tabs>
      <w:suppressAutoHyphens/>
      <w:overflowPunct/>
      <w:adjustRightInd/>
      <w:snapToGrid/>
      <w:spacing w:line="240" w:lineRule="atLeast"/>
      <w:jc w:val="left"/>
    </w:pPr>
    <w:rPr>
      <w:snapToGrid/>
      <w:sz w:val="20"/>
      <w:lang w:val="en-GB" w:eastAsia="en-US"/>
    </w:rPr>
  </w:style>
  <w:style w:type="paragraph" w:styleId="BodyTextIndent">
    <w:name w:val="Body Text Indent"/>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BlockText">
    <w:name w:val="Block Text"/>
    <w:basedOn w:val="Normal"/>
    <w:semiHidden/>
    <w:pPr>
      <w:tabs>
        <w:tab w:val="clear" w:pos="431"/>
      </w:tabs>
      <w:suppressAutoHyphens/>
      <w:overflowPunct/>
      <w:adjustRightInd/>
      <w:snapToGrid/>
      <w:spacing w:line="240" w:lineRule="atLeast"/>
      <w:ind w:left="1440" w:right="1440"/>
      <w:jc w:val="left"/>
    </w:pPr>
    <w:rPr>
      <w:snapToGrid/>
      <w:sz w:val="20"/>
      <w:lang w:val="en-GB" w:eastAsia="en-US"/>
    </w:rPr>
  </w:style>
  <w:style w:type="character" w:styleId="CommentReference">
    <w:name w:val="annotation reference"/>
    <w:rPr>
      <w:sz w:val="6"/>
    </w:rPr>
  </w:style>
  <w:style w:type="paragraph" w:styleId="CommentText">
    <w:name w:val="annotation text"/>
    <w:basedOn w:val="Normal"/>
    <w:link w:val="CommentTextChar"/>
    <w:pPr>
      <w:tabs>
        <w:tab w:val="clear" w:pos="431"/>
      </w:tabs>
      <w:suppressAutoHyphens/>
      <w:overflowPunct/>
      <w:adjustRightInd/>
      <w:snapToGrid/>
      <w:spacing w:line="240" w:lineRule="atLeast"/>
      <w:jc w:val="left"/>
    </w:pPr>
    <w:rPr>
      <w:snapToGrid/>
      <w:sz w:val="20"/>
      <w:lang w:val="en-GB" w:eastAsia="en-US"/>
    </w:rPr>
  </w:style>
  <w:style w:type="character" w:styleId="LineNumber">
    <w:name w:val="line number"/>
    <w:semiHidden/>
    <w:rPr>
      <w:sz w:val="14"/>
    </w:rPr>
  </w:style>
  <w:style w:type="numbering" w:styleId="111111">
    <w:name w:val="Outline List 2"/>
    <w:basedOn w:val="NoList"/>
    <w:semiHidden/>
    <w:pPr>
      <w:numPr>
        <w:numId w:val="7"/>
      </w:numPr>
    </w:pPr>
  </w:style>
  <w:style w:type="numbering" w:styleId="1ai">
    <w:name w:val="Outline List 1"/>
    <w:basedOn w:val="NoList"/>
    <w:semiHidden/>
    <w:pPr>
      <w:numPr>
        <w:numId w:val="8"/>
      </w:numPr>
    </w:pPr>
  </w:style>
  <w:style w:type="numbering" w:styleId="ArticleSection">
    <w:name w:val="Outline List 3"/>
    <w:basedOn w:val="NoList"/>
    <w:semiHidden/>
    <w:pPr>
      <w:numPr>
        <w:numId w:val="9"/>
      </w:numPr>
    </w:pPr>
  </w:style>
  <w:style w:type="paragraph" w:styleId="BodyText2">
    <w:name w:val="Body Text 2"/>
    <w:basedOn w:val="Normal"/>
    <w:link w:val="BodyText2Char"/>
    <w:pPr>
      <w:tabs>
        <w:tab w:val="clear" w:pos="431"/>
      </w:tabs>
      <w:suppressAutoHyphens/>
      <w:overflowPunct/>
      <w:adjustRightInd/>
      <w:snapToGrid/>
      <w:spacing w:after="120" w:line="480" w:lineRule="auto"/>
      <w:jc w:val="left"/>
    </w:pPr>
    <w:rPr>
      <w:snapToGrid/>
      <w:sz w:val="20"/>
      <w:lang w:val="en-GB" w:eastAsia="en-US"/>
    </w:rPr>
  </w:style>
  <w:style w:type="paragraph" w:styleId="BodyText3">
    <w:name w:val="Body Text 3"/>
    <w:aliases w:val=" Char Char1 Char Char"/>
    <w:basedOn w:val="Normal"/>
    <w:link w:val="BodyText3Char"/>
    <w:semiHidden/>
    <w:pPr>
      <w:tabs>
        <w:tab w:val="clear" w:pos="431"/>
      </w:tabs>
      <w:suppressAutoHyphens/>
      <w:overflowPunct/>
      <w:adjustRightInd/>
      <w:snapToGrid/>
      <w:spacing w:after="120" w:line="240" w:lineRule="atLeast"/>
      <w:jc w:val="left"/>
    </w:pPr>
    <w:rPr>
      <w:snapToGrid/>
      <w:sz w:val="16"/>
      <w:szCs w:val="16"/>
      <w:lang w:val="en-GB" w:eastAsia="en-US"/>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tabs>
        <w:tab w:val="clear" w:pos="431"/>
      </w:tabs>
      <w:suppressAutoHyphens/>
      <w:overflowPunct/>
      <w:adjustRightInd/>
      <w:snapToGrid/>
      <w:spacing w:after="120" w:line="480" w:lineRule="auto"/>
      <w:ind w:left="283"/>
      <w:jc w:val="left"/>
    </w:pPr>
    <w:rPr>
      <w:snapToGrid/>
      <w:sz w:val="20"/>
      <w:lang w:val="en-GB" w:eastAsia="en-US"/>
    </w:rPr>
  </w:style>
  <w:style w:type="paragraph" w:styleId="BodyTextIndent3">
    <w:name w:val="Body Text Indent 3"/>
    <w:basedOn w:val="Normal"/>
    <w:link w:val="BodyTextIndent3Char"/>
    <w:semiHidden/>
    <w:pPr>
      <w:tabs>
        <w:tab w:val="clear" w:pos="431"/>
      </w:tabs>
      <w:suppressAutoHyphens/>
      <w:overflowPunct/>
      <w:adjustRightInd/>
      <w:snapToGrid/>
      <w:spacing w:after="120" w:line="240" w:lineRule="atLeast"/>
      <w:ind w:left="283"/>
      <w:jc w:val="left"/>
    </w:pPr>
    <w:rPr>
      <w:snapToGrid/>
      <w:sz w:val="16"/>
      <w:szCs w:val="16"/>
      <w:lang w:val="en-GB" w:eastAsia="en-US"/>
    </w:rPr>
  </w:style>
  <w:style w:type="paragraph" w:styleId="Closing">
    <w:name w:val="Closing"/>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paragraph" w:styleId="Date">
    <w:name w:val="Date"/>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E-mailSignature">
    <w:name w:val="E-mail Signature"/>
    <w:basedOn w:val="Normal"/>
    <w:semiHidden/>
    <w:pPr>
      <w:tabs>
        <w:tab w:val="clear" w:pos="431"/>
      </w:tabs>
      <w:suppressAutoHyphens/>
      <w:overflowPunct/>
      <w:adjustRightInd/>
      <w:snapToGrid/>
      <w:spacing w:line="240" w:lineRule="atLeast"/>
      <w:jc w:val="left"/>
    </w:pPr>
    <w:rPr>
      <w:snapToGrid/>
      <w:sz w:val="20"/>
      <w:lang w:val="en-GB" w:eastAsia="en-US"/>
    </w:rPr>
  </w:style>
  <w:style w:type="character" w:styleId="Emphasis">
    <w:name w:val="Emphasis"/>
    <w:qFormat/>
    <w:rPr>
      <w:i/>
      <w:iCs/>
    </w:rPr>
  </w:style>
  <w:style w:type="paragraph" w:styleId="EnvelopeReturn">
    <w:name w:val="envelope return"/>
    <w:basedOn w:val="Normal"/>
    <w:semiHidden/>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semiHidden/>
  </w:style>
  <w:style w:type="paragraph" w:styleId="HTMLAddress">
    <w:name w:val="HTML Address"/>
    <w:basedOn w:val="Normal"/>
    <w:semiHidden/>
    <w:pPr>
      <w:tabs>
        <w:tab w:val="clear" w:pos="431"/>
      </w:tabs>
      <w:suppressAutoHyphens/>
      <w:overflowPunct/>
      <w:adjustRightInd/>
      <w:snapToGrid/>
      <w:spacing w:line="240" w:lineRule="atLeast"/>
      <w:jc w:val="left"/>
    </w:pPr>
    <w:rPr>
      <w:i/>
      <w:iCs/>
      <w:snapToGrid/>
      <w:sz w:val="20"/>
      <w:lang w:val="en-GB" w:eastAsia="en-U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pPr>
      <w:tabs>
        <w:tab w:val="clear" w:pos="431"/>
      </w:tabs>
      <w:suppressAutoHyphens/>
      <w:overflowPunct/>
      <w:adjustRightInd/>
      <w:snapToGrid/>
      <w:spacing w:line="240" w:lineRule="atLeast"/>
      <w:jc w:val="left"/>
    </w:pPr>
    <w:rPr>
      <w:rFonts w:ascii="Courier New" w:hAnsi="Courier New" w:cs="Courier New"/>
      <w:snapToGrid/>
      <w:sz w:val="20"/>
      <w:lang w:val="en-GB" w:eastAsia="en-US"/>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semiHidden/>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semiHidden/>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semiHidden/>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semiHidden/>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semiHidden/>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semiHidden/>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semiHidden/>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semiHidden/>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semiHidden/>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semiHidden/>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semiHidden/>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semiHidden/>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semiHidden/>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semiHidden/>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cs="Arial"/>
      <w:snapToGrid/>
      <w:sz w:val="24"/>
      <w:szCs w:val="24"/>
      <w:lang w:val="en-GB" w:eastAsia="en-US"/>
    </w:rPr>
  </w:style>
  <w:style w:type="paragraph" w:styleId="NormalWeb">
    <w:name w:val="Normal (Web)"/>
    <w:aliases w:val="Normal (Web) Char"/>
    <w:basedOn w:val="Normal"/>
    <w:semiHidden/>
    <w:pPr>
      <w:tabs>
        <w:tab w:val="clear" w:pos="431"/>
      </w:tabs>
      <w:suppressAutoHyphens/>
      <w:overflowPunct/>
      <w:adjustRightInd/>
      <w:snapToGrid/>
      <w:spacing w:line="240" w:lineRule="atLeast"/>
      <w:jc w:val="left"/>
    </w:pPr>
    <w:rPr>
      <w:snapToGrid/>
      <w:sz w:val="24"/>
      <w:szCs w:val="24"/>
      <w:lang w:val="en-GB" w:eastAsia="en-US"/>
    </w:rPr>
  </w:style>
  <w:style w:type="paragraph" w:styleId="NormalIndent">
    <w:name w:val="Normal Indent"/>
    <w:basedOn w:val="Normal"/>
    <w:semiHidden/>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alutation">
    <w:name w:val="Salutation"/>
    <w:basedOn w:val="Normal"/>
    <w:next w:val="Normal"/>
    <w:semiHidden/>
    <w:pPr>
      <w:tabs>
        <w:tab w:val="clear" w:pos="431"/>
      </w:tabs>
      <w:suppressAutoHyphens/>
      <w:overflowPunct/>
      <w:adjustRightInd/>
      <w:snapToGrid/>
      <w:spacing w:line="240" w:lineRule="atLeast"/>
      <w:jc w:val="left"/>
    </w:pPr>
    <w:rPr>
      <w:snapToGrid/>
      <w:sz w:val="20"/>
      <w:lang w:val="en-GB" w:eastAsia="en-US"/>
    </w:rPr>
  </w:style>
  <w:style w:type="paragraph" w:styleId="Signature">
    <w:name w:val="Signature"/>
    <w:basedOn w:val="Normal"/>
    <w:semiHidden/>
    <w:pPr>
      <w:tabs>
        <w:tab w:val="clear" w:pos="431"/>
      </w:tabs>
      <w:suppressAutoHyphens/>
      <w:overflowPunct/>
      <w:adjustRightInd/>
      <w:snapToGrid/>
      <w:spacing w:line="240" w:lineRule="atLeast"/>
      <w:ind w:left="4252"/>
      <w:jc w:val="left"/>
    </w:pPr>
    <w:rPr>
      <w:snapToGrid/>
      <w:sz w:val="20"/>
      <w:lang w:val="en-GB" w:eastAsia="en-US"/>
    </w:rPr>
  </w:style>
  <w:style w:type="character" w:styleId="Strong">
    <w:name w:val="Strong"/>
    <w:aliases w:val="Antraštė 6 Diagrama1 Char,Antraštė 6 Diagrama Diagrama Char Char"/>
    <w:qFormat/>
    <w:rPr>
      <w:b/>
      <w:bCs/>
    </w:rPr>
  </w:style>
  <w:style w:type="paragraph" w:styleId="Subtitle">
    <w:name w:val="Subtitle"/>
    <w:basedOn w:val="Normal"/>
    <w:qFormat/>
    <w:pPr>
      <w:tabs>
        <w:tab w:val="clear" w:pos="431"/>
      </w:tabs>
      <w:suppressAutoHyphens/>
      <w:overflowPunct/>
      <w:adjustRightInd/>
      <w:snapToGrid/>
      <w:spacing w:after="60" w:line="240" w:lineRule="atLeast"/>
      <w:jc w:val="center"/>
      <w:outlineLvl w:val="1"/>
    </w:pPr>
    <w:rPr>
      <w:rFonts w:ascii="Arial" w:hAnsi="Arial" w:cs="Arial"/>
      <w:snapToGrid/>
      <w:sz w:val="24"/>
      <w:szCs w:val="24"/>
      <w:lang w:val="en-GB" w:eastAsia="en-US"/>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character" w:customStyle="1" w:styleId="SingleTxtGChar">
    <w:name w:val="_ Single Txt_G Char"/>
    <w:link w:val="SingleTxtG"/>
    <w:rPr>
      <w:rFonts w:eastAsia="SimSun"/>
      <w:lang w:val="en-GB" w:eastAsia="en-US" w:bidi="ar-SA"/>
    </w:rPr>
  </w:style>
  <w:style w:type="character" w:customStyle="1" w:styleId="H23GChar">
    <w:name w:val="_ H_2/3_G Char"/>
    <w:link w:val="H23G"/>
    <w:rPr>
      <w:rFonts w:eastAsia="SimSun"/>
      <w:b/>
      <w:lang w:val="en-GB" w:eastAsia="en-US" w:bidi="ar-SA"/>
    </w:rPr>
  </w:style>
  <w:style w:type="character" w:customStyle="1" w:styleId="BodyTextChar">
    <w:name w:val="Body Text Char"/>
    <w:aliases w:val="Corps de texte Car1 Char1,Corps de texte Car Car Char1,Car12 Car Car Char1,Corps de texte Car Char1,Car12 Car Char"/>
    <w:link w:val="BodyText"/>
    <w:rPr>
      <w:rFonts w:eastAsia="SimSun"/>
      <w:lang w:val="en-GB" w:eastAsia="en-US" w:bidi="ar-SA"/>
    </w:rPr>
  </w:style>
  <w:style w:type="character" w:customStyle="1" w:styleId="apple-style-span">
    <w:name w:val="apple-style-span"/>
    <w:basedOn w:val="DefaultParagraphFont"/>
  </w:style>
  <w:style w:type="character" w:customStyle="1" w:styleId="apple-converted-space">
    <w:name w:val="apple-converted-space"/>
    <w:basedOn w:val="DefaultParagraphFont"/>
  </w:style>
  <w:style w:type="character" w:customStyle="1" w:styleId="Heading1Char">
    <w:name w:val="Heading 1 Char"/>
    <w:aliases w:val="Table_G Char"/>
    <w:link w:val="Heading1"/>
    <w:rPr>
      <w:rFonts w:eastAsia="SimSun"/>
      <w:b/>
      <w:kern w:val="32"/>
      <w:sz w:val="30"/>
      <w:lang w:val="en-US" w:eastAsia="zh-CN" w:bidi="ar-SA"/>
    </w:rPr>
  </w:style>
  <w:style w:type="character" w:customStyle="1" w:styleId="Heading2Char">
    <w:name w:val="Heading 2 Char"/>
    <w:aliases w:val="Títol b Char"/>
    <w:link w:val="Heading2"/>
    <w:rPr>
      <w:rFonts w:eastAsia="SimSun"/>
      <w:snapToGrid w:val="0"/>
      <w:kern w:val="28"/>
      <w:sz w:val="28"/>
      <w:lang w:val="en-US" w:eastAsia="zh-CN" w:bidi="ar-SA"/>
    </w:rPr>
  </w:style>
  <w:style w:type="character" w:customStyle="1" w:styleId="Heading3Char">
    <w:name w:val="Heading 3 Char"/>
    <w:aliases w:val="Titre 3 Car Char1,Car19 Car Char"/>
    <w:link w:val="Heading3"/>
    <w:rPr>
      <w:rFonts w:eastAsia="SimSun"/>
      <w:snapToGrid w:val="0"/>
      <w:kern w:val="28"/>
      <w:sz w:val="21"/>
      <w:u w:val="single"/>
      <w:lang w:val="en-US" w:eastAsia="zh-CN" w:bidi="ar-SA"/>
    </w:rPr>
  </w:style>
  <w:style w:type="character" w:customStyle="1" w:styleId="FooterChar">
    <w:name w:val="Footer Char"/>
    <w:link w:val="Footer"/>
    <w:rPr>
      <w:snapToGrid w:val="0"/>
      <w:sz w:val="16"/>
      <w:lang w:val="en-GB" w:eastAsia="en-US" w:bidi="ar-SA"/>
    </w:rPr>
  </w:style>
  <w:style w:type="paragraph" w:styleId="BalloonText">
    <w:name w:val="Balloon Text"/>
    <w:basedOn w:val="Normal"/>
    <w:link w:val="BalloonTextChar"/>
    <w:pPr>
      <w:tabs>
        <w:tab w:val="clear" w:pos="431"/>
      </w:tabs>
      <w:overflowPunct/>
      <w:adjustRightInd/>
      <w:snapToGrid/>
      <w:spacing w:line="240" w:lineRule="auto"/>
      <w:jc w:val="left"/>
    </w:pPr>
    <w:rPr>
      <w:rFonts w:ascii="Tahoma" w:hAnsi="Tahoma"/>
      <w:snapToGrid/>
      <w:sz w:val="16"/>
      <w:szCs w:val="16"/>
      <w:lang w:val="en-GB" w:eastAsia="en-US"/>
    </w:rPr>
  </w:style>
  <w:style w:type="paragraph" w:styleId="CommentSubject">
    <w:name w:val="annotation subject"/>
    <w:basedOn w:val="CommentText"/>
    <w:next w:val="CommentText"/>
    <w:link w:val="CommentSubjectChar"/>
    <w:pPr>
      <w:suppressAutoHyphens w:val="0"/>
      <w:spacing w:line="240" w:lineRule="auto"/>
    </w:pPr>
    <w:rPr>
      <w:rFonts w:ascii="Arial" w:hAnsi="Arial"/>
      <w:b/>
      <w:bCs/>
    </w:rPr>
  </w:style>
  <w:style w:type="character" w:customStyle="1" w:styleId="hps">
    <w:name w:val="hps"/>
    <w:basedOn w:val="DefaultParagraphFont"/>
  </w:style>
  <w:style w:type="paragraph" w:customStyle="1" w:styleId="SingleTxt">
    <w:name w:val="__Single Txt"/>
    <w:basedOn w:val="Normal"/>
    <w:pPr>
      <w:tabs>
        <w:tab w:val="clear" w:pos="431"/>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overflowPunct/>
      <w:adjustRightInd/>
      <w:snapToGrid/>
      <w:spacing w:after="120" w:line="240" w:lineRule="exact"/>
      <w:ind w:left="1267" w:right="1267"/>
    </w:pPr>
    <w:rPr>
      <w:rFonts w:eastAsia="Calibri"/>
      <w:snapToGrid/>
      <w:spacing w:val="4"/>
      <w:w w:val="103"/>
      <w:kern w:val="14"/>
      <w:sz w:val="20"/>
      <w:lang w:val="en-GB" w:eastAsia="en-US"/>
    </w:rPr>
  </w:style>
  <w:style w:type="paragraph" w:customStyle="1" w:styleId="footnotetext0">
    <w:name w:val="footnote text"/>
    <w:basedOn w:val="Normal"/>
    <w:pPr>
      <w:tabs>
        <w:tab w:val="clear" w:pos="431"/>
      </w:tabs>
      <w:suppressAutoHyphens/>
      <w:overflowPunct/>
      <w:adjustRightInd/>
      <w:snapToGrid/>
      <w:spacing w:line="240" w:lineRule="auto"/>
      <w:jc w:val="left"/>
    </w:pPr>
    <w:rPr>
      <w:snapToGrid/>
      <w:kern w:val="1"/>
      <w:sz w:val="20"/>
      <w:lang w:val="fr-FR" w:eastAsia="de-AT"/>
    </w:rPr>
  </w:style>
  <w:style w:type="character" w:customStyle="1" w:styleId="CharChar16">
    <w:name w:val="Char Char16"/>
    <w:locked/>
    <w:rPr>
      <w:rFonts w:cs="Times New Roman"/>
      <w:b/>
      <w:bCs/>
      <w:sz w:val="24"/>
      <w:szCs w:val="24"/>
    </w:rPr>
  </w:style>
  <w:style w:type="character" w:customStyle="1" w:styleId="CharChar15">
    <w:name w:val="Char Char15"/>
    <w:locked/>
    <w:rPr>
      <w:rFonts w:ascii="Arial" w:hAnsi="Arial" w:cs="Arial"/>
      <w:i/>
      <w:iCs/>
      <w:sz w:val="16"/>
      <w:szCs w:val="16"/>
      <w:lang w:val="en-GB"/>
    </w:rPr>
  </w:style>
  <w:style w:type="character" w:customStyle="1" w:styleId="CharChar14">
    <w:name w:val="Char Char14"/>
    <w:locked/>
    <w:rPr>
      <w:rFonts w:cs="Times New Roman"/>
      <w:b/>
      <w:bCs/>
      <w:sz w:val="22"/>
      <w:szCs w:val="22"/>
      <w:lang w:val="lt-LT"/>
    </w:rPr>
  </w:style>
  <w:style w:type="character" w:customStyle="1" w:styleId="CharChar13">
    <w:name w:val="Char Char13"/>
    <w:locked/>
    <w:rPr>
      <w:rFonts w:eastAsia="Times New Roman" w:cs="Times New Roman"/>
      <w:sz w:val="24"/>
      <w:szCs w:val="24"/>
      <w:lang w:val="lt-LT"/>
    </w:rPr>
  </w:style>
  <w:style w:type="character" w:customStyle="1" w:styleId="CharChar12">
    <w:name w:val="Char Char12"/>
    <w:locked/>
    <w:rPr>
      <w:rFonts w:ascii="Arial" w:hAnsi="Arial" w:cs="Arial"/>
      <w:sz w:val="16"/>
      <w:szCs w:val="16"/>
      <w:lang w:val="en-GB"/>
    </w:rPr>
  </w:style>
  <w:style w:type="character" w:customStyle="1" w:styleId="FootnoteCharChar">
    <w:name w:val="Footnote Char Char"/>
    <w:semiHidden/>
    <w:locked/>
    <w:rPr>
      <w:rFonts w:ascii="TimesLT" w:hAnsi="TimesLT" w:cs="TimesLT"/>
      <w:lang w:val="en-GB"/>
    </w:rPr>
  </w:style>
  <w:style w:type="paragraph" w:customStyle="1" w:styleId="Sraopastraipa">
    <w:name w:val="Sąrašo pastraipa"/>
    <w:basedOn w:val="Normal"/>
    <w:qFormat/>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CharChar11">
    <w:name w:val="Char Char11"/>
    <w:locked/>
    <w:rPr>
      <w:rFonts w:cs="Times New Roman"/>
      <w:sz w:val="24"/>
      <w:szCs w:val="24"/>
      <w:lang w:val="lt-LT"/>
    </w:rPr>
  </w:style>
  <w:style w:type="character" w:customStyle="1" w:styleId="Typewriter">
    <w:name w:val="Typewriter"/>
    <w:rPr>
      <w:rFonts w:ascii="Courier New" w:hAnsi="Courier New"/>
      <w:sz w:val="20"/>
    </w:rPr>
  </w:style>
  <w:style w:type="character" w:customStyle="1" w:styleId="FootnoteCharChar1">
    <w:name w:val="Footnote Char Char1"/>
    <w:locked/>
    <w:rPr>
      <w:rFonts w:cs="Times New Roman"/>
      <w:sz w:val="24"/>
      <w:szCs w:val="24"/>
      <w:lang w:val="x-none"/>
    </w:rPr>
  </w:style>
  <w:style w:type="paragraph" w:customStyle="1" w:styleId="hyperlink0">
    <w:name w:val="hyperlink"/>
    <w:basedOn w:val="Normal"/>
    <w:pPr>
      <w:tabs>
        <w:tab w:val="clear" w:pos="431"/>
      </w:tabs>
      <w:overflowPunct/>
      <w:autoSpaceDE w:val="0"/>
      <w:autoSpaceDN w:val="0"/>
      <w:adjustRightInd/>
      <w:snapToGrid/>
      <w:spacing w:line="297" w:lineRule="auto"/>
      <w:ind w:firstLine="312"/>
    </w:pPr>
    <w:rPr>
      <w:color w:val="000000"/>
      <w:sz w:val="20"/>
      <w:lang w:val="lt-LT" w:eastAsia="lt-LT"/>
    </w:rPr>
  </w:style>
  <w:style w:type="character" w:customStyle="1" w:styleId="CharChar9">
    <w:name w:val="Char Char9"/>
    <w:locked/>
    <w:rPr>
      <w:rFonts w:cs="Times New Roman"/>
      <w:b/>
      <w:bCs/>
      <w:sz w:val="24"/>
      <w:szCs w:val="24"/>
      <w:lang w:val="x-none"/>
    </w:rPr>
  </w:style>
  <w:style w:type="character" w:customStyle="1" w:styleId="CharChar8">
    <w:name w:val="Char Char8"/>
    <w:locked/>
    <w:rPr>
      <w:rFonts w:cs="Times New Roman"/>
      <w:sz w:val="16"/>
      <w:szCs w:val="16"/>
      <w:lang w:val="x-none"/>
    </w:rPr>
  </w:style>
  <w:style w:type="paragraph" w:customStyle="1" w:styleId="Textbody">
    <w:name w:val="Text body"/>
    <w:basedOn w:val="Normal"/>
    <w:pPr>
      <w:tabs>
        <w:tab w:val="clear" w:pos="431"/>
      </w:tabs>
      <w:suppressAutoHyphens/>
      <w:overflowPunct/>
      <w:autoSpaceDN w:val="0"/>
      <w:adjustRightInd/>
      <w:snapToGrid/>
      <w:spacing w:line="240" w:lineRule="auto"/>
      <w:textAlignment w:val="baseline"/>
    </w:pPr>
    <w:rPr>
      <w:kern w:val="3"/>
      <w:sz w:val="24"/>
      <w:szCs w:val="24"/>
      <w:lang w:val="lt-LT" w:eastAsia="lt-LT"/>
    </w:rPr>
  </w:style>
  <w:style w:type="paragraph" w:customStyle="1" w:styleId="bodytext0">
    <w:name w:val="bodytex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Default">
    <w:name w:val="Default"/>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Pr>
      <w:rFonts w:ascii="Courier New" w:hAnsi="Courier New" w:cs="Courier New"/>
    </w:rPr>
  </w:style>
  <w:style w:type="paragraph" w:customStyle="1" w:styleId="statymopavad">
    <w:name w:val="statymopavad"/>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6">
    <w:name w:val="Char Char6"/>
    <w:locked/>
    <w:rPr>
      <w:rFonts w:ascii="Times New Roman" w:hAnsi="Times New Roman" w:cs="Times New Roman"/>
      <w:sz w:val="16"/>
      <w:szCs w:val="16"/>
      <w:lang w:val="en-GB"/>
    </w:rPr>
  </w:style>
  <w:style w:type="paragraph" w:customStyle="1" w:styleId="Paragraph">
    <w:name w:val="Paragraph"/>
    <w:basedOn w:val="Default"/>
    <w:next w:val="Default"/>
    <w:pPr>
      <w:spacing w:before="120"/>
    </w:pPr>
    <w:rPr>
      <w:color w:val="auto"/>
    </w:rPr>
  </w:style>
  <w:style w:type="paragraph" w:customStyle="1" w:styleId="lentpavl">
    <w:name w:val="lentpavl"/>
    <w:basedOn w:val="Normal"/>
    <w:pPr>
      <w:numPr>
        <w:numId w:val="10"/>
      </w:numPr>
      <w:tabs>
        <w:tab w:val="clear" w:pos="431"/>
      </w:tabs>
      <w:overflowPunct/>
      <w:adjustRightInd/>
      <w:snapToGrid/>
      <w:spacing w:line="240" w:lineRule="auto"/>
      <w:jc w:val="left"/>
    </w:pPr>
    <w:rPr>
      <w:rFonts w:ascii="Arial" w:hAnsi="Arial" w:cs="Arial"/>
      <w:b/>
      <w:bCs/>
      <w:sz w:val="20"/>
      <w:lang w:val="lt-LT" w:eastAsia="lt-LT"/>
    </w:rPr>
  </w:style>
  <w:style w:type="paragraph" w:customStyle="1" w:styleId="lentpava">
    <w:name w:val="lentpava"/>
    <w:basedOn w:val="lentpavl"/>
    <w:pPr>
      <w:numPr>
        <w:numId w:val="0"/>
      </w:numPr>
      <w:tabs>
        <w:tab w:val="left" w:pos="425"/>
      </w:tabs>
      <w:spacing w:before="40"/>
    </w:pPr>
    <w:rPr>
      <w:i/>
      <w:iCs/>
      <w:sz w:val="18"/>
      <w:szCs w:val="18"/>
    </w:rPr>
  </w:style>
  <w:style w:type="paragraph" w:customStyle="1" w:styleId="galva">
    <w:name w:val="galva"/>
    <w:basedOn w:val="Normal"/>
    <w:pPr>
      <w:tabs>
        <w:tab w:val="clear" w:pos="431"/>
      </w:tabs>
      <w:overflowPunct/>
      <w:adjustRightInd/>
      <w:snapToGrid/>
      <w:spacing w:before="40" w:after="40" w:line="240" w:lineRule="auto"/>
      <w:ind w:left="57"/>
      <w:jc w:val="left"/>
    </w:pPr>
    <w:rPr>
      <w:rFonts w:ascii="Arial" w:hAnsi="Arial" w:cs="Arial"/>
      <w:sz w:val="16"/>
      <w:szCs w:val="16"/>
      <w:lang w:val="en-GB" w:eastAsia="lt-LT"/>
    </w:rPr>
  </w:style>
  <w:style w:type="paragraph" w:customStyle="1" w:styleId="lentpava1">
    <w:name w:val="lentpava1"/>
    <w:basedOn w:val="lentpava"/>
    <w:pPr>
      <w:spacing w:before="0" w:after="40"/>
    </w:pPr>
    <w:rPr>
      <w:b w:val="0"/>
      <w:bCs w:val="0"/>
      <w:sz w:val="16"/>
      <w:szCs w:val="16"/>
    </w:rPr>
  </w:style>
  <w:style w:type="paragraph" w:customStyle="1" w:styleId="lentpavl1">
    <w:name w:val="lentpavl1"/>
    <w:basedOn w:val="Normal"/>
    <w:pPr>
      <w:tabs>
        <w:tab w:val="clear" w:pos="431"/>
      </w:tabs>
      <w:overflowPunct/>
      <w:adjustRightInd/>
      <w:snapToGrid/>
      <w:spacing w:before="120" w:line="240" w:lineRule="auto"/>
      <w:jc w:val="left"/>
    </w:pPr>
    <w:rPr>
      <w:rFonts w:ascii="Arial" w:hAnsi="Arial" w:cs="Arial"/>
      <w:sz w:val="16"/>
      <w:szCs w:val="16"/>
      <w:lang w:val="lt-LT" w:eastAsia="lt-LT"/>
    </w:rPr>
  </w:style>
  <w:style w:type="character" w:customStyle="1" w:styleId="CharChar5">
    <w:name w:val="Char Char5"/>
    <w:locked/>
    <w:rPr>
      <w:rFonts w:ascii="Arial" w:hAnsi="Arial" w:cs="Arial"/>
      <w:sz w:val="16"/>
      <w:szCs w:val="16"/>
      <w:lang w:val="en-GB"/>
    </w:rPr>
  </w:style>
  <w:style w:type="paragraph" w:customStyle="1" w:styleId="galva1">
    <w:name w:val="galva1"/>
    <w:basedOn w:val="Normal"/>
    <w:pPr>
      <w:tabs>
        <w:tab w:val="clear" w:pos="431"/>
      </w:tabs>
      <w:overflowPunct/>
      <w:adjustRightInd/>
      <w:snapToGrid/>
      <w:spacing w:after="40" w:line="240" w:lineRule="auto"/>
      <w:ind w:left="57"/>
      <w:jc w:val="left"/>
    </w:pPr>
    <w:rPr>
      <w:rFonts w:ascii="Arial" w:hAnsi="Arial" w:cs="Arial"/>
      <w:i/>
      <w:iCs/>
      <w:sz w:val="16"/>
      <w:szCs w:val="16"/>
      <w:lang w:val="en-GB" w:eastAsia="lt-LT"/>
    </w:rPr>
  </w:style>
  <w:style w:type="paragraph" w:customStyle="1" w:styleId="0atit">
    <w:name w:val="0atit"/>
    <w:basedOn w:val="Normal"/>
    <w:pPr>
      <w:tabs>
        <w:tab w:val="clear" w:pos="431"/>
      </w:tabs>
      <w:overflowPunct/>
      <w:adjustRightInd/>
      <w:snapToGrid/>
      <w:spacing w:before="60" w:line="240" w:lineRule="auto"/>
      <w:jc w:val="left"/>
    </w:pPr>
    <w:rPr>
      <w:rFonts w:ascii="Arial" w:hAnsi="Arial" w:cs="Arial"/>
      <w:sz w:val="16"/>
      <w:szCs w:val="16"/>
      <w:lang w:val="en-GB" w:eastAsia="lt-LT"/>
    </w:rPr>
  </w:style>
  <w:style w:type="paragraph" w:customStyle="1" w:styleId="skaiciai">
    <w:name w:val="skaiciai"/>
    <w:basedOn w:val="Normal"/>
    <w:pPr>
      <w:tabs>
        <w:tab w:val="clear" w:pos="431"/>
      </w:tabs>
      <w:overflowPunct/>
      <w:adjustRightInd/>
      <w:snapToGrid/>
      <w:spacing w:line="240" w:lineRule="auto"/>
      <w:ind w:right="170"/>
      <w:jc w:val="right"/>
    </w:pPr>
    <w:rPr>
      <w:rFonts w:ascii="Arial" w:hAnsi="Arial" w:cs="Arial"/>
      <w:sz w:val="16"/>
      <w:szCs w:val="16"/>
      <w:lang w:val="en-GB" w:eastAsia="lt-LT"/>
    </w:rPr>
  </w:style>
  <w:style w:type="paragraph" w:customStyle="1" w:styleId="lentpav">
    <w:name w:val="lentpav"/>
    <w:basedOn w:val="Normal"/>
    <w:pPr>
      <w:tabs>
        <w:tab w:val="clear" w:pos="431"/>
        <w:tab w:val="left" w:pos="1985"/>
      </w:tabs>
      <w:overflowPunct/>
      <w:adjustRightInd/>
      <w:snapToGrid/>
      <w:spacing w:before="60" w:line="240" w:lineRule="auto"/>
      <w:jc w:val="center"/>
    </w:pPr>
    <w:rPr>
      <w:rFonts w:ascii="Arial" w:hAnsi="Arial" w:cs="Arial"/>
      <w:b/>
      <w:bCs/>
      <w:sz w:val="20"/>
      <w:lang w:eastAsia="lt-LT"/>
    </w:rPr>
  </w:style>
  <w:style w:type="paragraph" w:customStyle="1" w:styleId="popav">
    <w:name w:val="popav"/>
    <w:basedOn w:val="Normal"/>
    <w:pPr>
      <w:tabs>
        <w:tab w:val="clear" w:pos="431"/>
      </w:tabs>
      <w:overflowPunct/>
      <w:adjustRightInd/>
      <w:snapToGrid/>
      <w:spacing w:before="60" w:after="60" w:line="240" w:lineRule="auto"/>
      <w:jc w:val="left"/>
    </w:pPr>
    <w:rPr>
      <w:rFonts w:ascii="Arial" w:hAnsi="Arial" w:cs="Arial"/>
      <w:sz w:val="18"/>
      <w:szCs w:val="18"/>
      <w:lang w:val="lt-LT" w:eastAsia="lt-LT"/>
    </w:rPr>
  </w:style>
  <w:style w:type="paragraph" w:styleId="TOC1">
    <w:name w:val="toc 1"/>
    <w:aliases w:val="Turinys"/>
    <w:basedOn w:val="Normal"/>
    <w:next w:val="Normal"/>
    <w:autoRedefine/>
    <w:pPr>
      <w:tabs>
        <w:tab w:val="clear" w:pos="431"/>
        <w:tab w:val="left" w:pos="709"/>
        <w:tab w:val="left" w:pos="1134"/>
        <w:tab w:val="right" w:leader="dot" w:pos="9629"/>
      </w:tabs>
      <w:suppressAutoHyphens/>
      <w:overflowPunct/>
      <w:adjustRightInd/>
      <w:snapToGrid/>
      <w:spacing w:before="120" w:after="120" w:line="240" w:lineRule="atLeast"/>
      <w:ind w:leftChars="213" w:left="426"/>
      <w:jc w:val="left"/>
    </w:pPr>
    <w:rPr>
      <w:rFonts w:ascii="Calibri" w:hAnsi="Calibri" w:cs="Calibri"/>
      <w:b/>
      <w:bCs/>
      <w:caps/>
      <w:snapToGrid/>
      <w:sz w:val="20"/>
      <w:lang w:val="en-GB" w:eastAsia="en-US"/>
    </w:rPr>
  </w:style>
  <w:style w:type="paragraph" w:customStyle="1" w:styleId="1atit">
    <w:name w:val="1atit"/>
    <w:basedOn w:val="Normal"/>
    <w:pPr>
      <w:tabs>
        <w:tab w:val="clear" w:pos="431"/>
      </w:tabs>
      <w:overflowPunct/>
      <w:adjustRightInd/>
      <w:snapToGrid/>
      <w:spacing w:line="240" w:lineRule="auto"/>
      <w:ind w:left="113"/>
      <w:jc w:val="left"/>
    </w:pPr>
    <w:rPr>
      <w:rFonts w:ascii="Arial" w:hAnsi="Arial" w:cs="Arial"/>
      <w:sz w:val="16"/>
      <w:szCs w:val="16"/>
      <w:lang w:val="en-GB" w:eastAsia="lt-LT"/>
    </w:rPr>
  </w:style>
  <w:style w:type="paragraph" w:customStyle="1" w:styleId="skyrpava">
    <w:name w:val="skyrpava"/>
    <w:basedOn w:val="Normal"/>
    <w:pPr>
      <w:tabs>
        <w:tab w:val="clear" w:pos="431"/>
      </w:tabs>
      <w:overflowPunct/>
      <w:adjustRightInd/>
      <w:snapToGrid/>
      <w:spacing w:before="20" w:after="100" w:line="240" w:lineRule="auto"/>
      <w:jc w:val="center"/>
    </w:pPr>
    <w:rPr>
      <w:rFonts w:ascii="Arial" w:hAnsi="Arial" w:cs="Arial"/>
      <w:b/>
      <w:bCs/>
      <w:i/>
      <w:iCs/>
      <w:caps/>
      <w:sz w:val="18"/>
      <w:szCs w:val="18"/>
      <w:lang w:val="lt-LT" w:eastAsia="lt-LT"/>
    </w:rPr>
  </w:style>
  <w:style w:type="paragraph" w:customStyle="1" w:styleId="lentpavlt">
    <w:name w:val="lentpavlt"/>
    <w:basedOn w:val="Normal"/>
    <w:pPr>
      <w:tabs>
        <w:tab w:val="clear" w:pos="431"/>
      </w:tabs>
      <w:overflowPunct/>
      <w:adjustRightInd/>
      <w:snapToGrid/>
      <w:spacing w:before="120" w:line="240" w:lineRule="auto"/>
      <w:jc w:val="left"/>
    </w:pPr>
    <w:rPr>
      <w:rFonts w:ascii="Arial" w:hAnsi="Arial" w:cs="Arial"/>
      <w:b/>
      <w:bCs/>
      <w:sz w:val="20"/>
      <w:lang w:val="lt-LT" w:eastAsia="lt-LT"/>
    </w:rPr>
  </w:style>
  <w:style w:type="paragraph" w:customStyle="1" w:styleId="lentpavang">
    <w:name w:val="lentpavang"/>
    <w:basedOn w:val="Normal"/>
    <w:pPr>
      <w:tabs>
        <w:tab w:val="clear" w:pos="431"/>
      </w:tabs>
      <w:overflowPunct/>
      <w:adjustRightInd/>
      <w:snapToGrid/>
      <w:spacing w:before="60" w:after="80" w:line="240" w:lineRule="auto"/>
      <w:jc w:val="left"/>
    </w:pPr>
    <w:rPr>
      <w:rFonts w:ascii="Arial" w:hAnsi="Arial" w:cs="Arial"/>
      <w:b/>
      <w:bCs/>
      <w:i/>
      <w:iCs/>
      <w:sz w:val="18"/>
      <w:szCs w:val="18"/>
      <w:lang w:val="en-GB" w:eastAsia="lt-LT"/>
    </w:rPr>
  </w:style>
  <w:style w:type="paragraph" w:customStyle="1" w:styleId="StiliuslentpavlKairje0cmPirmojieilut0cm">
    <w:name w:val="Stilius lentpavl + Kairėje:  0 cm Pirmoji eilutė:  0 cm"/>
    <w:basedOn w:val="lentpavl"/>
    <w:pPr>
      <w:numPr>
        <w:numId w:val="0"/>
      </w:numPr>
      <w:tabs>
        <w:tab w:val="num" w:pos="425"/>
      </w:tabs>
      <w:ind w:left="425" w:hanging="425"/>
    </w:pPr>
  </w:style>
  <w:style w:type="paragraph" w:customStyle="1" w:styleId="skl">
    <w:name w:val="skl"/>
    <w:basedOn w:val="Normal"/>
    <w:pPr>
      <w:tabs>
        <w:tab w:val="clear" w:pos="431"/>
      </w:tabs>
      <w:overflowPunct/>
      <w:adjustRightInd/>
      <w:snapToGrid/>
      <w:spacing w:before="120" w:after="40" w:line="240" w:lineRule="auto"/>
      <w:jc w:val="left"/>
    </w:pPr>
    <w:rPr>
      <w:rFonts w:ascii="Arial" w:hAnsi="Arial" w:cs="Arial"/>
      <w:sz w:val="18"/>
      <w:szCs w:val="18"/>
      <w:lang w:val="lt-LT" w:eastAsia="lt-LT"/>
    </w:rPr>
  </w:style>
  <w:style w:type="paragraph" w:customStyle="1" w:styleId="galva-a">
    <w:name w:val="galva-a"/>
    <w:basedOn w:val="galva"/>
    <w:pPr>
      <w:widowControl w:val="0"/>
      <w:spacing w:before="0"/>
      <w:ind w:left="0" w:right="-85"/>
    </w:pPr>
    <w:rPr>
      <w:i/>
      <w:iCs/>
      <w:sz w:val="17"/>
      <w:szCs w:val="17"/>
      <w:lang w:val="en-US"/>
    </w:rPr>
  </w:style>
  <w:style w:type="paragraph" w:styleId="TOC2">
    <w:name w:val="toc 2"/>
    <w:basedOn w:val="Normal"/>
    <w:next w:val="Normal"/>
    <w:autoRedefine/>
    <w:pPr>
      <w:tabs>
        <w:tab w:val="clear" w:pos="431"/>
        <w:tab w:val="left" w:pos="1560"/>
        <w:tab w:val="right" w:leader="dot" w:pos="9629"/>
      </w:tabs>
      <w:suppressAutoHyphens/>
      <w:overflowPunct/>
      <w:adjustRightInd/>
      <w:snapToGrid/>
      <w:spacing w:after="60" w:line="240" w:lineRule="atLeast"/>
      <w:ind w:left="1134"/>
      <w:jc w:val="left"/>
    </w:pPr>
    <w:rPr>
      <w:rFonts w:ascii="Calibri" w:hAnsi="Calibri" w:cs="Calibri"/>
      <w:smallCaps/>
      <w:snapToGrid/>
      <w:sz w:val="20"/>
      <w:lang w:val="en-GB" w:eastAsia="en-US"/>
    </w:rPr>
  </w:style>
  <w:style w:type="paragraph" w:customStyle="1" w:styleId="Sraopastraipa1">
    <w:name w:val="Sąrašo pastraipa1"/>
    <w:basedOn w:val="Normal"/>
    <w:pPr>
      <w:tabs>
        <w:tab w:val="clear" w:pos="431"/>
      </w:tabs>
      <w:overflowPunct/>
      <w:adjustRightInd/>
      <w:snapToGrid/>
      <w:spacing w:line="240" w:lineRule="auto"/>
      <w:ind w:left="720"/>
      <w:jc w:val="left"/>
    </w:pPr>
    <w:rPr>
      <w:sz w:val="24"/>
      <w:szCs w:val="24"/>
      <w:lang w:val="lt-LT" w:eastAsia="lt-LT"/>
    </w:rPr>
  </w:style>
  <w:style w:type="character" w:customStyle="1" w:styleId="CharChar3">
    <w:name w:val="Char Char3"/>
    <w:locked/>
    <w:rPr>
      <w:rFonts w:cs="Times New Roman"/>
      <w:sz w:val="24"/>
      <w:szCs w:val="24"/>
    </w:rPr>
  </w:style>
  <w:style w:type="character" w:customStyle="1" w:styleId="dpav">
    <w:name w:val="dpav"/>
    <w:rPr>
      <w:rFonts w:cs="Times New Roman"/>
      <w:sz w:val="26"/>
      <w:szCs w:val="26"/>
    </w:rPr>
  </w:style>
  <w:style w:type="paragraph" w:customStyle="1" w:styleId="BodyTextIndent21">
    <w:name w:val="Body Text Indent 21"/>
    <w:basedOn w:val="Normal"/>
    <w:pPr>
      <w:tabs>
        <w:tab w:val="clear" w:pos="431"/>
      </w:tabs>
      <w:suppressAutoHyphens/>
      <w:overflowPunct/>
      <w:adjustRightInd/>
      <w:snapToGrid/>
      <w:spacing w:after="200" w:line="360" w:lineRule="auto"/>
      <w:ind w:firstLine="720"/>
    </w:pPr>
    <w:rPr>
      <w:rFonts w:ascii="TimesLT" w:hAnsi="TimesLT" w:cs="TimesLT"/>
      <w:sz w:val="24"/>
      <w:szCs w:val="24"/>
      <w:lang w:val="lt-LT" w:eastAsia="lt-LT"/>
    </w:rPr>
  </w:style>
  <w:style w:type="paragraph" w:customStyle="1" w:styleId="prastasistinklapis2">
    <w:name w:val="Įprastasis (tinklapis)2"/>
    <w:basedOn w:val="Normal"/>
    <w:pPr>
      <w:tabs>
        <w:tab w:val="clear" w:pos="431"/>
      </w:tabs>
      <w:overflowPunct/>
      <w:adjustRightInd/>
      <w:snapToGrid/>
      <w:spacing w:before="240" w:after="240" w:line="240" w:lineRule="auto"/>
      <w:jc w:val="left"/>
    </w:pPr>
    <w:rPr>
      <w:sz w:val="24"/>
      <w:szCs w:val="24"/>
      <w:lang w:val="lt-LT" w:eastAsia="lt-LT"/>
    </w:rPr>
  </w:style>
  <w:style w:type="paragraph" w:customStyle="1" w:styleId="Betarp1">
    <w:name w:val="Be tarpų1"/>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pPr>
      <w:tabs>
        <w:tab w:val="clear" w:pos="431"/>
      </w:tabs>
      <w:overflowPunct/>
      <w:adjustRightInd/>
      <w:snapToGrid/>
      <w:spacing w:after="160" w:line="240" w:lineRule="exact"/>
      <w:jc w:val="left"/>
    </w:pPr>
    <w:rPr>
      <w:sz w:val="20"/>
      <w:lang w:eastAsia="lt-LT"/>
    </w:rPr>
  </w:style>
  <w:style w:type="paragraph" w:customStyle="1" w:styleId="prastasistinklapis8">
    <w:name w:val="prastasistinklapis8"/>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paragraph" w:customStyle="1" w:styleId="fait">
    <w:name w:val="fait"/>
    <w:basedOn w:val="Normal"/>
    <w:pPr>
      <w:tabs>
        <w:tab w:val="clear" w:pos="431"/>
      </w:tabs>
      <w:overflowPunct/>
      <w:adjustRightInd/>
      <w:snapToGrid/>
      <w:spacing w:before="100" w:beforeAutospacing="1" w:after="100" w:afterAutospacing="1" w:line="240" w:lineRule="auto"/>
      <w:jc w:val="left"/>
    </w:pPr>
    <w:rPr>
      <w:sz w:val="24"/>
      <w:szCs w:val="24"/>
      <w:lang w:val="lt-LT" w:eastAsia="lt-LT"/>
    </w:rPr>
  </w:style>
  <w:style w:type="character" w:customStyle="1" w:styleId="CharChar2">
    <w:name w:val="Char Char2"/>
    <w:locked/>
    <w:rPr>
      <w:rFonts w:ascii="Courier New" w:hAnsi="Courier New" w:cs="Courier New"/>
      <w:lang w:val="x-none"/>
    </w:rPr>
  </w:style>
  <w:style w:type="character" w:customStyle="1" w:styleId="CharChar1">
    <w:name w:val="Char Char1"/>
    <w:locked/>
    <w:rPr>
      <w:rFonts w:cs="Times New Roman"/>
    </w:rPr>
  </w:style>
  <w:style w:type="character" w:customStyle="1" w:styleId="CharChar">
    <w:name w:val="Char Char"/>
    <w:locked/>
    <w:rPr>
      <w:rFonts w:cs="Times New Roman"/>
      <w:b/>
      <w:bCs/>
    </w:rPr>
  </w:style>
  <w:style w:type="paragraph" w:customStyle="1" w:styleId="Pagrindiniotekstopirmatrauka1">
    <w:name w:val="Pagrindinio teksto pirma įtrauka1"/>
    <w:basedOn w:val="Normal"/>
    <w:next w:val="hyperlink0"/>
    <w:pPr>
      <w:tabs>
        <w:tab w:val="clear" w:pos="431"/>
      </w:tabs>
      <w:suppressAutoHyphens/>
      <w:overflowPunct/>
      <w:adjustRightInd/>
      <w:snapToGrid/>
      <w:spacing w:after="120" w:line="240" w:lineRule="auto"/>
      <w:ind w:firstLine="210"/>
      <w:jc w:val="left"/>
    </w:pPr>
    <w:rPr>
      <w:rFonts w:ascii="TimesLT" w:hAnsi="TimesLT" w:cs="TimesLT"/>
      <w:sz w:val="20"/>
      <w:lang w:val="en-GB" w:eastAsia="lt-LT"/>
    </w:rPr>
  </w:style>
  <w:style w:type="paragraph" w:styleId="NoSpacing">
    <w:name w:val="No Spacing"/>
    <w:qFormat/>
    <w:rPr>
      <w:snapToGrid w:val="0"/>
      <w:sz w:val="24"/>
      <w:szCs w:val="24"/>
      <w:lang w:val="lt-LT" w:eastAsia="lt-LT"/>
    </w:rPr>
  </w:style>
  <w:style w:type="paragraph" w:customStyle="1" w:styleId="msolistparagraph0">
    <w:name w:val="msolistparagraph"/>
    <w:basedOn w:val="Normal"/>
    <w:pPr>
      <w:tabs>
        <w:tab w:val="clear" w:pos="431"/>
      </w:tabs>
      <w:overflowPunct/>
      <w:adjustRightInd/>
      <w:snapToGrid/>
      <w:spacing w:line="240" w:lineRule="auto"/>
      <w:ind w:left="720"/>
      <w:jc w:val="left"/>
    </w:pPr>
    <w:rPr>
      <w:sz w:val="24"/>
      <w:szCs w:val="24"/>
      <w:lang w:val="lt-LT" w:eastAsia="lt-LT"/>
    </w:rPr>
  </w:style>
  <w:style w:type="paragraph" w:customStyle="1" w:styleId="NormalWeb1">
    <w:name w:val="Normal (Web)1"/>
    <w:basedOn w:val="Normal"/>
    <w:pPr>
      <w:widowControl w:val="0"/>
      <w:tabs>
        <w:tab w:val="clear" w:pos="431"/>
      </w:tabs>
      <w:suppressAutoHyphens/>
      <w:overflowPunct/>
      <w:adjustRightInd/>
      <w:snapToGrid/>
      <w:spacing w:before="280" w:after="280" w:line="240" w:lineRule="auto"/>
      <w:jc w:val="left"/>
    </w:pPr>
    <w:rPr>
      <w:kern w:val="1"/>
      <w:sz w:val="24"/>
      <w:szCs w:val="24"/>
      <w:lang w:val="lt-LT" w:eastAsia="lt-LT"/>
    </w:rPr>
  </w:style>
  <w:style w:type="character" w:customStyle="1" w:styleId="tw4winMark">
    <w:name w:val="tw4winMark"/>
    <w:rPr>
      <w:rFonts w:ascii="Courier New" w:hAnsi="Courier New"/>
      <w:vanish/>
      <w:color w:val="800080"/>
      <w:sz w:val="24"/>
      <w:vertAlign w:val="subscript"/>
    </w:rPr>
  </w:style>
  <w:style w:type="paragraph" w:customStyle="1" w:styleId="Sraopastraipa0">
    <w:name w:val="S?ra?o pastraipa"/>
    <w:basedOn w:val="Normal"/>
    <w:next w:val="Sraopastraipa10"/>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paragraph" w:customStyle="1" w:styleId="Sraopastraipa10">
    <w:name w:val="S?ra?o pastraipa1"/>
    <w:basedOn w:val="Normal"/>
    <w:pPr>
      <w:tabs>
        <w:tab w:val="clear" w:pos="431"/>
      </w:tabs>
      <w:suppressAutoHyphens/>
      <w:overflowPunct/>
      <w:adjustRightInd/>
      <w:snapToGrid/>
      <w:spacing w:after="200" w:line="276" w:lineRule="auto"/>
      <w:ind w:left="720"/>
      <w:jc w:val="left"/>
    </w:pPr>
    <w:rPr>
      <w:rFonts w:ascii="Calibri" w:hAnsi="Calibri" w:cs="Calibri"/>
      <w:sz w:val="22"/>
      <w:szCs w:val="22"/>
      <w:lang w:val="lt-LT" w:eastAsia="lt-LT"/>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customStyle="1" w:styleId="BodyText21">
    <w:name w:val="Body Text 21"/>
    <w:basedOn w:val="Normal"/>
    <w:pPr>
      <w:tabs>
        <w:tab w:val="clear" w:pos="431"/>
      </w:tabs>
      <w:autoSpaceDE w:val="0"/>
      <w:autoSpaceDN w:val="0"/>
      <w:snapToGrid/>
      <w:spacing w:line="240" w:lineRule="auto"/>
      <w:textAlignment w:val="baseline"/>
    </w:pPr>
    <w:rPr>
      <w:snapToGrid/>
      <w:sz w:val="20"/>
      <w:lang w:val="hr-HR" w:eastAsia="en-US"/>
    </w:rPr>
  </w:style>
  <w:style w:type="paragraph" w:styleId="Caption">
    <w:name w:val="caption"/>
    <w:basedOn w:val="Normal"/>
    <w:next w:val="Normal"/>
    <w:qFormat/>
    <w:pPr>
      <w:tabs>
        <w:tab w:val="clear" w:pos="431"/>
      </w:tabs>
      <w:overflowPunct/>
      <w:adjustRightInd/>
      <w:snapToGrid/>
      <w:spacing w:line="240" w:lineRule="auto"/>
      <w:jc w:val="center"/>
    </w:pPr>
    <w:rPr>
      <w:rFonts w:ascii="Arial" w:hAnsi="Arial"/>
      <w:b/>
      <w:snapToGrid/>
      <w:sz w:val="24"/>
      <w:lang w:val="en-GB" w:eastAsia="en-US"/>
    </w:rPr>
  </w:style>
  <w:style w:type="paragraph" w:styleId="TOC3">
    <w:name w:val="toc 3"/>
    <w:basedOn w:val="Normal"/>
    <w:next w:val="Normal"/>
    <w:autoRedefine/>
    <w:pPr>
      <w:tabs>
        <w:tab w:val="clear" w:pos="431"/>
      </w:tabs>
      <w:suppressAutoHyphens/>
      <w:overflowPunct/>
      <w:adjustRightInd/>
      <w:snapToGrid/>
      <w:spacing w:line="240" w:lineRule="atLeast"/>
      <w:ind w:left="400"/>
      <w:jc w:val="left"/>
    </w:pPr>
    <w:rPr>
      <w:rFonts w:ascii="Calibri" w:hAnsi="Calibri" w:cs="Calibri"/>
      <w:i/>
      <w:iCs/>
      <w:snapToGrid/>
      <w:sz w:val="20"/>
      <w:lang w:val="en-GB" w:eastAsia="en-US"/>
    </w:rPr>
  </w:style>
  <w:style w:type="paragraph" w:styleId="TOC4">
    <w:name w:val="toc 4"/>
    <w:basedOn w:val="Normal"/>
    <w:next w:val="Normal"/>
    <w:autoRedefine/>
    <w:pPr>
      <w:tabs>
        <w:tab w:val="clear" w:pos="431"/>
      </w:tabs>
      <w:suppressAutoHyphens/>
      <w:overflowPunct/>
      <w:adjustRightInd/>
      <w:snapToGrid/>
      <w:spacing w:line="240" w:lineRule="atLeast"/>
      <w:ind w:left="600"/>
      <w:jc w:val="left"/>
    </w:pPr>
    <w:rPr>
      <w:rFonts w:ascii="Calibri" w:hAnsi="Calibri" w:cs="Calibri"/>
      <w:snapToGrid/>
      <w:sz w:val="18"/>
      <w:szCs w:val="18"/>
      <w:lang w:val="en-GB" w:eastAsia="en-US"/>
    </w:rPr>
  </w:style>
  <w:style w:type="paragraph" w:styleId="TOC5">
    <w:name w:val="toc 5"/>
    <w:basedOn w:val="Normal"/>
    <w:next w:val="Normal"/>
    <w:autoRedefine/>
    <w:semiHidden/>
    <w:pPr>
      <w:tabs>
        <w:tab w:val="clear" w:pos="431"/>
      </w:tabs>
      <w:suppressAutoHyphens/>
      <w:overflowPunct/>
      <w:adjustRightInd/>
      <w:snapToGrid/>
      <w:spacing w:line="240" w:lineRule="atLeast"/>
      <w:ind w:left="800"/>
      <w:jc w:val="left"/>
    </w:pPr>
    <w:rPr>
      <w:rFonts w:ascii="Calibri" w:hAnsi="Calibri" w:cs="Calibri"/>
      <w:snapToGrid/>
      <w:sz w:val="18"/>
      <w:szCs w:val="18"/>
      <w:lang w:val="en-GB" w:eastAsia="en-US"/>
    </w:rPr>
  </w:style>
  <w:style w:type="paragraph" w:styleId="TOC6">
    <w:name w:val="toc 6"/>
    <w:basedOn w:val="Normal"/>
    <w:next w:val="Normal"/>
    <w:autoRedefine/>
    <w:semiHidden/>
    <w:pPr>
      <w:tabs>
        <w:tab w:val="clear" w:pos="431"/>
      </w:tabs>
      <w:suppressAutoHyphens/>
      <w:overflowPunct/>
      <w:adjustRightInd/>
      <w:snapToGrid/>
      <w:spacing w:line="240" w:lineRule="atLeast"/>
      <w:ind w:left="1000"/>
      <w:jc w:val="left"/>
    </w:pPr>
    <w:rPr>
      <w:rFonts w:ascii="Calibri" w:hAnsi="Calibri" w:cs="Calibri"/>
      <w:snapToGrid/>
      <w:sz w:val="18"/>
      <w:szCs w:val="18"/>
      <w:lang w:val="en-GB" w:eastAsia="en-US"/>
    </w:rPr>
  </w:style>
  <w:style w:type="paragraph" w:styleId="TOC7">
    <w:name w:val="toc 7"/>
    <w:basedOn w:val="Normal"/>
    <w:next w:val="Normal"/>
    <w:autoRedefine/>
    <w:semiHidden/>
    <w:pPr>
      <w:tabs>
        <w:tab w:val="clear" w:pos="431"/>
      </w:tabs>
      <w:suppressAutoHyphens/>
      <w:overflowPunct/>
      <w:adjustRightInd/>
      <w:snapToGrid/>
      <w:spacing w:line="240" w:lineRule="atLeast"/>
      <w:ind w:left="1200"/>
      <w:jc w:val="left"/>
    </w:pPr>
    <w:rPr>
      <w:rFonts w:ascii="Calibri" w:hAnsi="Calibri" w:cs="Calibri"/>
      <w:snapToGrid/>
      <w:sz w:val="18"/>
      <w:szCs w:val="18"/>
      <w:lang w:val="en-GB" w:eastAsia="en-US"/>
    </w:rPr>
  </w:style>
  <w:style w:type="paragraph" w:styleId="TOC8">
    <w:name w:val="toc 8"/>
    <w:basedOn w:val="Normal"/>
    <w:next w:val="Normal"/>
    <w:autoRedefine/>
    <w:semiHidden/>
    <w:pPr>
      <w:tabs>
        <w:tab w:val="clear" w:pos="431"/>
      </w:tabs>
      <w:suppressAutoHyphens/>
      <w:overflowPunct/>
      <w:adjustRightInd/>
      <w:snapToGrid/>
      <w:spacing w:line="240" w:lineRule="atLeast"/>
      <w:ind w:left="1400"/>
      <w:jc w:val="left"/>
    </w:pPr>
    <w:rPr>
      <w:rFonts w:ascii="Calibri" w:hAnsi="Calibri" w:cs="Calibri"/>
      <w:snapToGrid/>
      <w:sz w:val="18"/>
      <w:szCs w:val="18"/>
      <w:lang w:val="en-GB" w:eastAsia="en-US"/>
    </w:rPr>
  </w:style>
  <w:style w:type="paragraph" w:styleId="TOC9">
    <w:name w:val="toc 9"/>
    <w:basedOn w:val="Normal"/>
    <w:next w:val="Normal"/>
    <w:autoRedefine/>
    <w:semiHidden/>
    <w:pPr>
      <w:tabs>
        <w:tab w:val="clear" w:pos="431"/>
      </w:tabs>
      <w:suppressAutoHyphens/>
      <w:overflowPunct/>
      <w:adjustRightInd/>
      <w:snapToGrid/>
      <w:spacing w:line="240" w:lineRule="atLeast"/>
      <w:ind w:left="1600"/>
      <w:jc w:val="left"/>
    </w:pPr>
    <w:rPr>
      <w:rFonts w:ascii="Calibri" w:hAnsi="Calibri" w:cs="Calibri"/>
      <w:snapToGrid/>
      <w:sz w:val="18"/>
      <w:szCs w:val="18"/>
      <w:lang w:val="en-GB" w:eastAsia="en-US"/>
    </w:rPr>
  </w:style>
  <w:style w:type="paragraph" w:styleId="Index2">
    <w:name w:val="index 2"/>
    <w:basedOn w:val="Normal"/>
    <w:next w:val="Normal"/>
    <w:autoRedefine/>
    <w:semiHidden/>
    <w:pPr>
      <w:tabs>
        <w:tab w:val="clear" w:pos="431"/>
      </w:tabs>
      <w:overflowPunct/>
      <w:adjustRightInd/>
      <w:snapToGrid/>
      <w:spacing w:line="240" w:lineRule="auto"/>
      <w:ind w:left="480" w:hanging="240"/>
      <w:jc w:val="left"/>
    </w:pPr>
    <w:rPr>
      <w:snapToGrid/>
      <w:sz w:val="24"/>
      <w:szCs w:val="24"/>
      <w:lang w:val="en-GB" w:eastAsia="en-US"/>
    </w:rPr>
  </w:style>
  <w:style w:type="paragraph" w:styleId="Index1">
    <w:name w:val="index 1"/>
    <w:basedOn w:val="Normal"/>
    <w:next w:val="Normal"/>
    <w:autoRedefine/>
    <w:semiHidden/>
    <w:pPr>
      <w:tabs>
        <w:tab w:val="clear" w:pos="431"/>
      </w:tabs>
      <w:overflowPunct/>
      <w:adjustRightInd/>
      <w:snapToGrid/>
      <w:spacing w:line="240" w:lineRule="auto"/>
      <w:ind w:left="240" w:hanging="240"/>
      <w:jc w:val="left"/>
    </w:pPr>
    <w:rPr>
      <w:snapToGrid/>
      <w:sz w:val="24"/>
      <w:szCs w:val="24"/>
      <w:lang w:val="en-GB" w:eastAsia="en-US"/>
    </w:rPr>
  </w:style>
  <w:style w:type="paragraph" w:styleId="Index3">
    <w:name w:val="index 3"/>
    <w:basedOn w:val="Normal"/>
    <w:next w:val="Normal"/>
    <w:autoRedefine/>
    <w:semiHidden/>
    <w:pPr>
      <w:tabs>
        <w:tab w:val="clear" w:pos="431"/>
      </w:tabs>
      <w:overflowPunct/>
      <w:adjustRightInd/>
      <w:snapToGrid/>
      <w:spacing w:line="240" w:lineRule="auto"/>
      <w:ind w:left="720" w:hanging="240"/>
      <w:jc w:val="left"/>
    </w:pPr>
    <w:rPr>
      <w:snapToGrid/>
      <w:sz w:val="24"/>
      <w:szCs w:val="24"/>
      <w:lang w:val="en-GB" w:eastAsia="en-US"/>
    </w:rPr>
  </w:style>
  <w:style w:type="paragraph" w:styleId="Index4">
    <w:name w:val="index 4"/>
    <w:basedOn w:val="Normal"/>
    <w:next w:val="Normal"/>
    <w:autoRedefine/>
    <w:semiHidden/>
    <w:pPr>
      <w:tabs>
        <w:tab w:val="clear" w:pos="431"/>
      </w:tabs>
      <w:overflowPunct/>
      <w:adjustRightInd/>
      <w:snapToGrid/>
      <w:spacing w:line="240" w:lineRule="auto"/>
      <w:ind w:left="960" w:hanging="240"/>
      <w:jc w:val="left"/>
    </w:pPr>
    <w:rPr>
      <w:snapToGrid/>
      <w:sz w:val="24"/>
      <w:szCs w:val="24"/>
      <w:lang w:val="en-GB" w:eastAsia="en-US"/>
    </w:rPr>
  </w:style>
  <w:style w:type="paragraph" w:styleId="Index5">
    <w:name w:val="index 5"/>
    <w:basedOn w:val="Normal"/>
    <w:next w:val="Normal"/>
    <w:autoRedefine/>
    <w:semiHidden/>
    <w:pPr>
      <w:tabs>
        <w:tab w:val="clear" w:pos="431"/>
      </w:tabs>
      <w:overflowPunct/>
      <w:adjustRightInd/>
      <w:snapToGrid/>
      <w:spacing w:line="240" w:lineRule="auto"/>
      <w:ind w:left="1200" w:hanging="240"/>
      <w:jc w:val="left"/>
    </w:pPr>
    <w:rPr>
      <w:snapToGrid/>
      <w:sz w:val="24"/>
      <w:szCs w:val="24"/>
      <w:lang w:val="en-GB" w:eastAsia="en-US"/>
    </w:rPr>
  </w:style>
  <w:style w:type="paragraph" w:styleId="Index6">
    <w:name w:val="index 6"/>
    <w:basedOn w:val="Normal"/>
    <w:next w:val="Normal"/>
    <w:autoRedefine/>
    <w:semiHidden/>
    <w:pPr>
      <w:tabs>
        <w:tab w:val="clear" w:pos="431"/>
      </w:tabs>
      <w:overflowPunct/>
      <w:adjustRightInd/>
      <w:snapToGrid/>
      <w:spacing w:line="240" w:lineRule="auto"/>
      <w:ind w:left="1440" w:hanging="240"/>
      <w:jc w:val="left"/>
    </w:pPr>
    <w:rPr>
      <w:snapToGrid/>
      <w:sz w:val="24"/>
      <w:szCs w:val="24"/>
      <w:lang w:val="en-GB" w:eastAsia="en-US"/>
    </w:rPr>
  </w:style>
  <w:style w:type="paragraph" w:styleId="Index7">
    <w:name w:val="index 7"/>
    <w:basedOn w:val="Normal"/>
    <w:next w:val="Normal"/>
    <w:autoRedefine/>
    <w:semiHidden/>
    <w:pPr>
      <w:tabs>
        <w:tab w:val="clear" w:pos="431"/>
      </w:tabs>
      <w:overflowPunct/>
      <w:adjustRightInd/>
      <w:snapToGrid/>
      <w:spacing w:line="240" w:lineRule="auto"/>
      <w:ind w:left="1680" w:hanging="240"/>
      <w:jc w:val="left"/>
    </w:pPr>
    <w:rPr>
      <w:snapToGrid/>
      <w:sz w:val="24"/>
      <w:szCs w:val="24"/>
      <w:lang w:val="en-GB" w:eastAsia="en-US"/>
    </w:rPr>
  </w:style>
  <w:style w:type="paragraph" w:styleId="Index8">
    <w:name w:val="index 8"/>
    <w:basedOn w:val="Normal"/>
    <w:next w:val="Normal"/>
    <w:autoRedefine/>
    <w:semiHidden/>
    <w:pPr>
      <w:tabs>
        <w:tab w:val="clear" w:pos="431"/>
      </w:tabs>
      <w:overflowPunct/>
      <w:adjustRightInd/>
      <w:snapToGrid/>
      <w:spacing w:line="240" w:lineRule="auto"/>
      <w:ind w:left="1920" w:hanging="240"/>
      <w:jc w:val="left"/>
    </w:pPr>
    <w:rPr>
      <w:snapToGrid/>
      <w:sz w:val="24"/>
      <w:szCs w:val="24"/>
      <w:lang w:val="en-GB" w:eastAsia="en-US"/>
    </w:rPr>
  </w:style>
  <w:style w:type="paragraph" w:styleId="Index9">
    <w:name w:val="index 9"/>
    <w:basedOn w:val="Normal"/>
    <w:next w:val="Normal"/>
    <w:autoRedefine/>
    <w:semiHidden/>
    <w:pPr>
      <w:tabs>
        <w:tab w:val="clear" w:pos="431"/>
      </w:tabs>
      <w:overflowPunct/>
      <w:adjustRightInd/>
      <w:snapToGrid/>
      <w:spacing w:line="240" w:lineRule="auto"/>
      <w:ind w:left="2160" w:hanging="240"/>
      <w:jc w:val="left"/>
    </w:pPr>
    <w:rPr>
      <w:snapToGrid/>
      <w:sz w:val="24"/>
      <w:szCs w:val="24"/>
      <w:lang w:val="en-GB" w:eastAsia="en-US"/>
    </w:rPr>
  </w:style>
  <w:style w:type="paragraph" w:styleId="IndexHeading">
    <w:name w:val="index heading"/>
    <w:basedOn w:val="Normal"/>
    <w:next w:val="Index1"/>
    <w:semiHidden/>
    <w:pPr>
      <w:tabs>
        <w:tab w:val="clear" w:pos="431"/>
      </w:tabs>
      <w:overflowPunct/>
      <w:adjustRightInd/>
      <w:snapToGrid/>
      <w:spacing w:line="240" w:lineRule="auto"/>
      <w:jc w:val="left"/>
    </w:pPr>
    <w:rPr>
      <w:snapToGrid/>
      <w:sz w:val="24"/>
      <w:szCs w:val="24"/>
      <w:lang w:val="en-GB" w:eastAsia="en-US"/>
    </w:rPr>
  </w:style>
  <w:style w:type="paragraph" w:customStyle="1" w:styleId="Tekst">
    <w:name w:val="Tekst"/>
    <w:basedOn w:val="Normal"/>
    <w:link w:val="TekstChar"/>
    <w:pPr>
      <w:tabs>
        <w:tab w:val="clear" w:pos="431"/>
      </w:tabs>
      <w:overflowPunct/>
      <w:adjustRightInd/>
      <w:snapToGrid/>
      <w:spacing w:before="120" w:line="240" w:lineRule="auto"/>
    </w:pPr>
    <w:rPr>
      <w:snapToGrid/>
      <w:sz w:val="24"/>
      <w:szCs w:val="24"/>
      <w:lang w:val="sr-Cyrl-CS" w:eastAsia="en-US"/>
    </w:rPr>
  </w:style>
  <w:style w:type="paragraph" w:customStyle="1" w:styleId="Podnaslov">
    <w:name w:val="Podnaslov"/>
    <w:basedOn w:val="Normal"/>
    <w:pPr>
      <w:tabs>
        <w:tab w:val="clear" w:pos="431"/>
      </w:tabs>
      <w:overflowPunct/>
      <w:adjustRightInd/>
      <w:snapToGrid/>
      <w:spacing w:line="240" w:lineRule="auto"/>
      <w:jc w:val="center"/>
    </w:pPr>
    <w:rPr>
      <w:rFonts w:ascii="Verdana" w:hAnsi="Verdana"/>
      <w:b/>
      <w:bCs/>
      <w:caps/>
      <w:snapToGrid/>
      <w:sz w:val="28"/>
      <w:szCs w:val="24"/>
      <w:lang w:val="sr-Latn-CS" w:eastAsia="en-U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Pr>
      <w:lang w:val="en-AU" w:eastAsia="en-US"/>
    </w:rPr>
  </w:style>
  <w:style w:type="paragraph" w:customStyle="1" w:styleId="Medunaslov">
    <w:name w:val="Medunaslov"/>
    <w:basedOn w:val="ListContinue"/>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pPr>
      <w:numPr>
        <w:numId w:val="11"/>
      </w:numPr>
      <w:tabs>
        <w:tab w:val="clear" w:pos="431"/>
      </w:tabs>
      <w:overflowPunct/>
      <w:adjustRightInd/>
      <w:snapToGrid/>
      <w:spacing w:line="240" w:lineRule="auto"/>
      <w:jc w:val="left"/>
    </w:pPr>
    <w:rPr>
      <w:snapToGrid/>
      <w:sz w:val="24"/>
      <w:szCs w:val="24"/>
      <w:lang w:val="en-GB" w:eastAsia="en-US"/>
    </w:rPr>
  </w:style>
  <w:style w:type="paragraph" w:customStyle="1" w:styleId="COEHeading5">
    <w:name w:val="COE_Heading5"/>
    <w:basedOn w:val="Normal"/>
    <w:next w:val="Normal"/>
    <w:pPr>
      <w:keepNext/>
      <w:tabs>
        <w:tab w:val="clear" w:pos="431"/>
        <w:tab w:val="left" w:pos="570"/>
        <w:tab w:val="right" w:pos="8892"/>
      </w:tabs>
      <w:overflowPunct/>
      <w:adjustRightInd/>
      <w:snapToGrid/>
      <w:spacing w:before="240" w:line="240" w:lineRule="auto"/>
      <w:ind w:left="567" w:hanging="567"/>
    </w:pPr>
    <w:rPr>
      <w:rFonts w:ascii="AvantGarde" w:hAnsi="AvantGarde"/>
      <w:bCs/>
      <w:snapToGrid/>
      <w:sz w:val="20"/>
      <w:szCs w:val="22"/>
      <w:u w:val="single"/>
      <w:lang w:val="en-GB" w:eastAsia="fr-FR"/>
    </w:rPr>
  </w:style>
  <w:style w:type="paragraph" w:customStyle="1" w:styleId="tekst0">
    <w:name w:val="tekst"/>
    <w:basedOn w:val="Normal"/>
    <w:link w:val="tekstChar0"/>
    <w:pPr>
      <w:tabs>
        <w:tab w:val="clear" w:pos="431"/>
      </w:tabs>
      <w:overflowPunct/>
      <w:adjustRightInd/>
      <w:snapToGrid/>
      <w:spacing w:before="240" w:line="240" w:lineRule="auto"/>
    </w:pPr>
    <w:rPr>
      <w:snapToGrid/>
      <w:sz w:val="22"/>
      <w:szCs w:val="24"/>
      <w:lang w:val="sr-Cyrl-BA" w:eastAsia="en-US"/>
    </w:rPr>
  </w:style>
  <w:style w:type="paragraph" w:customStyle="1" w:styleId="Aktivnosti">
    <w:name w:val="Aktivnosti"/>
    <w:basedOn w:val="TOC5"/>
    <w:next w:val="TOC3"/>
    <w:pPr>
      <w:numPr>
        <w:numId w:val="12"/>
      </w:numPr>
      <w:tabs>
        <w:tab w:val="clear" w:pos="2340"/>
      </w:tabs>
      <w:ind w:left="960" w:firstLine="0"/>
    </w:pPr>
  </w:style>
  <w:style w:type="paragraph" w:styleId="ListParagraph">
    <w:name w:val="List Paragraph"/>
    <w:basedOn w:val="Normal"/>
    <w:qFormat/>
    <w:pPr>
      <w:tabs>
        <w:tab w:val="clear" w:pos="431"/>
      </w:tabs>
      <w:overflowPunct/>
      <w:adjustRightInd/>
      <w:snapToGrid/>
      <w:spacing w:line="240" w:lineRule="auto"/>
      <w:ind w:left="720"/>
      <w:contextualSpacing/>
      <w:jc w:val="left"/>
    </w:pPr>
    <w:rPr>
      <w:snapToGrid/>
      <w:sz w:val="24"/>
      <w:szCs w:val="24"/>
      <w:lang w:val="sr-Cyrl-CS" w:eastAsia="hr-HR"/>
    </w:rPr>
  </w:style>
  <w:style w:type="character" w:customStyle="1" w:styleId="CharChar110">
    <w:name w:val=" Char Char11"/>
    <w:rPr>
      <w:rFonts w:ascii="Tahoma" w:hAnsi="Tahoma"/>
      <w:sz w:val="22"/>
      <w:lang w:val="sr-Cyrl-CS" w:eastAsia="en-US"/>
    </w:rPr>
  </w:style>
  <w:style w:type="character" w:customStyle="1" w:styleId="CharChar20">
    <w:name w:val=" Char Char20"/>
    <w:rPr>
      <w:rFonts w:ascii="Arial" w:eastAsia="Calibri" w:hAnsi="Arial" w:cs="Arial"/>
      <w:b/>
      <w:iCs/>
      <w:sz w:val="24"/>
      <w:szCs w:val="24"/>
      <w:lang w:val="hr-HR" w:eastAsia="hr-HR"/>
    </w:rPr>
  </w:style>
  <w:style w:type="paragraph" w:customStyle="1" w:styleId="Normal1">
    <w:name w:val="Normal+1"/>
    <w:basedOn w:val="Default"/>
    <w:next w:val="Default"/>
    <w:rPr>
      <w:rFonts w:ascii="Times New Roman" w:eastAsia="Calibri" w:hAnsi="Times New Roman" w:cs="Times New Roman"/>
      <w:snapToGrid/>
      <w:color w:val="auto"/>
      <w:lang w:val="hr-HR" w:eastAsia="en-US"/>
    </w:rPr>
  </w:style>
  <w:style w:type="character" w:customStyle="1" w:styleId="TekstChar">
    <w:name w:val="Tekst Char"/>
    <w:link w:val="Tekst"/>
    <w:rPr>
      <w:rFonts w:eastAsia="SimSun"/>
      <w:sz w:val="24"/>
      <w:szCs w:val="24"/>
      <w:lang w:val="sr-Cyrl-CS" w:eastAsia="en-US" w:bidi="ar-SA"/>
    </w:rPr>
  </w:style>
  <w:style w:type="character" w:customStyle="1" w:styleId="CharChar21">
    <w:name w:val=" Char Char21"/>
    <w:rPr>
      <w:rFonts w:ascii="Arial" w:hAnsi="Arial" w:cs="Arial"/>
      <w:b/>
      <w:iCs/>
      <w:color w:val="1F1A17"/>
      <w:sz w:val="24"/>
      <w:szCs w:val="24"/>
    </w:rPr>
  </w:style>
  <w:style w:type="character" w:customStyle="1" w:styleId="tekstChar0">
    <w:name w:val="tekst Char"/>
    <w:link w:val="tekst0"/>
    <w:rPr>
      <w:rFonts w:eastAsia="SimSun"/>
      <w:sz w:val="22"/>
      <w:szCs w:val="24"/>
      <w:lang w:val="sr-Cyrl-BA" w:eastAsia="en-US" w:bidi="ar-SA"/>
    </w:rPr>
  </w:style>
  <w:style w:type="paragraph" w:customStyle="1" w:styleId="StyleBodyTextBefore6pt">
    <w:name w:val="Style Body Text + Before:  6 pt"/>
    <w:basedOn w:val="BodyText"/>
    <w:pPr>
      <w:suppressAutoHyphens w:val="0"/>
      <w:spacing w:before="120" w:line="240" w:lineRule="auto"/>
      <w:jc w:val="both"/>
    </w:pPr>
    <w:rPr>
      <w:rFonts w:ascii="Calibri" w:hAnsi="Calibri"/>
      <w:sz w:val="22"/>
      <w:lang w:val="hr-HR"/>
    </w:rPr>
  </w:style>
  <w:style w:type="character" w:customStyle="1" w:styleId="CharChar22">
    <w:name w:val=" Char Char22"/>
    <w:rPr>
      <w:rFonts w:ascii="Arial" w:hAnsi="Arial" w:cs="Arial"/>
      <w:b/>
      <w:iCs/>
      <w:sz w:val="28"/>
      <w:szCs w:val="28"/>
      <w:u w:val="single"/>
      <w:lang w:val="hr-HR" w:eastAsia="hr-HR"/>
    </w:rPr>
  </w:style>
  <w:style w:type="character" w:customStyle="1" w:styleId="Heading4Char">
    <w:name w:val="Heading 4 Char"/>
    <w:link w:val="Heading4"/>
    <w:rPr>
      <w:rFonts w:eastAsia="SimSun"/>
      <w:snapToGrid w:val="0"/>
      <w:sz w:val="21"/>
      <w:u w:val="single"/>
      <w:lang w:val="en-US" w:eastAsia="zh-CN" w:bidi="ar-SA"/>
    </w:rPr>
  </w:style>
  <w:style w:type="character" w:customStyle="1" w:styleId="Heading5Char">
    <w:name w:val="Heading 5 Char"/>
    <w:link w:val="Heading5"/>
    <w:rPr>
      <w:rFonts w:eastAsia="SimHei"/>
      <w:bCs/>
      <w:snapToGrid w:val="0"/>
      <w:sz w:val="21"/>
      <w:szCs w:val="36"/>
      <w:lang w:val="en-US" w:eastAsia="zh-CN" w:bidi="ar-SA"/>
    </w:rPr>
  </w:style>
  <w:style w:type="character" w:customStyle="1" w:styleId="Heading6Char">
    <w:name w:val="Heading 6 Char"/>
    <w:aliases w:val="Antraštė 6 Diagrama1 Char1,Antraštė 6 Diagrama Diagrama Char"/>
    <w:link w:val="Heading6"/>
    <w:rPr>
      <w:rFonts w:ascii="Arial" w:eastAsia="SimHei" w:hAnsi="Arial"/>
      <w:b/>
      <w:bCs/>
      <w:snapToGrid w:val="0"/>
      <w:sz w:val="21"/>
      <w:szCs w:val="24"/>
      <w:lang w:val="en-US" w:eastAsia="zh-CN" w:bidi="ar-SA"/>
    </w:rPr>
  </w:style>
  <w:style w:type="character" w:customStyle="1" w:styleId="Heading7Char">
    <w:name w:val="Heading 7 Char"/>
    <w:link w:val="Heading7"/>
    <w:rPr>
      <w:rFonts w:eastAsia="SimSun"/>
      <w:b/>
      <w:bCs/>
      <w:snapToGrid w:val="0"/>
      <w:sz w:val="21"/>
      <w:szCs w:val="24"/>
      <w:lang w:val="en-US" w:eastAsia="zh-CN" w:bidi="ar-SA"/>
    </w:rPr>
  </w:style>
  <w:style w:type="character" w:customStyle="1" w:styleId="Heading8Char">
    <w:name w:val="Heading 8 Char"/>
    <w:link w:val="Heading8"/>
    <w:rPr>
      <w:rFonts w:ascii="Arial" w:eastAsia="SimHei" w:hAnsi="Arial"/>
      <w:snapToGrid w:val="0"/>
      <w:sz w:val="21"/>
      <w:szCs w:val="24"/>
      <w:lang w:val="en-US" w:eastAsia="zh-CN" w:bidi="ar-SA"/>
    </w:rPr>
  </w:style>
  <w:style w:type="character" w:customStyle="1" w:styleId="Heading9Char">
    <w:name w:val="Heading 9 Char"/>
    <w:link w:val="Heading9"/>
    <w:rPr>
      <w:rFonts w:ascii="Arial" w:eastAsia="SimHei" w:hAnsi="Arial"/>
      <w:snapToGrid w:val="0"/>
      <w:sz w:val="21"/>
      <w:szCs w:val="21"/>
      <w:lang w:val="en-US" w:eastAsia="zh-CN" w:bidi="ar-SA"/>
    </w:rPr>
  </w:style>
  <w:style w:type="character" w:customStyle="1" w:styleId="TitleChar">
    <w:name w:val="Title Char"/>
    <w:link w:val="Title"/>
    <w:rPr>
      <w:rFonts w:ascii="Arial" w:eastAsia="SimSun" w:hAnsi="Arial" w:cs="Arial"/>
      <w:b/>
      <w:bCs/>
      <w:snapToGrid w:val="0"/>
      <w:sz w:val="32"/>
      <w:szCs w:val="32"/>
      <w:lang w:val="en-US" w:eastAsia="zh-CN" w:bidi="ar-SA"/>
    </w:rPr>
  </w:style>
  <w:style w:type="character" w:customStyle="1" w:styleId="BodyText3Char">
    <w:name w:val="Body Text 3 Char"/>
    <w:aliases w:val=" Char Char1 Char Char Char"/>
    <w:link w:val="BodyText3"/>
    <w:rPr>
      <w:rFonts w:eastAsia="SimSun"/>
      <w:sz w:val="16"/>
      <w:szCs w:val="16"/>
      <w:lang w:val="en-GB" w:eastAsia="en-US" w:bidi="ar-SA"/>
    </w:rPr>
  </w:style>
  <w:style w:type="character" w:customStyle="1" w:styleId="BodyText2Char">
    <w:name w:val="Body Text 2 Char"/>
    <w:link w:val="BodyText2"/>
    <w:rPr>
      <w:rFonts w:eastAsia="SimSun"/>
      <w:lang w:val="en-GB" w:eastAsia="en-US" w:bidi="ar-SA"/>
    </w:rPr>
  </w:style>
  <w:style w:type="character" w:customStyle="1" w:styleId="BodyTextIndent3Char">
    <w:name w:val="Body Text Indent 3 Char"/>
    <w:link w:val="BodyTextIndent3"/>
    <w:rPr>
      <w:rFonts w:eastAsia="SimSun"/>
      <w:sz w:val="16"/>
      <w:szCs w:val="16"/>
      <w:lang w:val="en-GB" w:eastAsia="en-US" w:bidi="ar-SA"/>
    </w:rPr>
  </w:style>
  <w:style w:type="character" w:customStyle="1" w:styleId="CharChar80">
    <w:name w:val=" Char Char8"/>
    <w:rPr>
      <w:rFonts w:ascii="Arial" w:hAnsi="Arial"/>
      <w:sz w:val="24"/>
      <w:lang w:val="en-US" w:eastAsia="en-US"/>
    </w:rPr>
  </w:style>
  <w:style w:type="character" w:customStyle="1" w:styleId="CharChar70">
    <w:name w:val=" Char Char7"/>
    <w:rPr>
      <w:rFonts w:ascii="Arial" w:hAnsi="Arial"/>
      <w:sz w:val="24"/>
      <w:lang w:val="en-US" w:eastAsia="en-US"/>
    </w:rPr>
  </w:style>
  <w:style w:type="character" w:customStyle="1" w:styleId="text1">
    <w:name w:val="text1"/>
    <w:rPr>
      <w:rFonts w:ascii="Verdana" w:hAnsi="Verdana" w:hint="default"/>
      <w:b w:val="0"/>
      <w:bCs w:val="0"/>
      <w:i w:val="0"/>
      <w:iCs w:val="0"/>
      <w:caps w:val="0"/>
      <w:color w:val="000000"/>
      <w:sz w:val="15"/>
      <w:szCs w:val="15"/>
    </w:rPr>
  </w:style>
  <w:style w:type="numbering" w:customStyle="1" w:styleId="Style1">
    <w:name w:val="Style1"/>
    <w:pPr>
      <w:numPr>
        <w:numId w:val="13"/>
      </w:numPr>
    </w:pPr>
  </w:style>
  <w:style w:type="paragraph" w:styleId="Revision">
    <w:name w:val="Revision"/>
    <w:hidden/>
    <w:semiHidden/>
    <w:rPr>
      <w:sz w:val="24"/>
      <w:szCs w:val="24"/>
    </w:rPr>
  </w:style>
  <w:style w:type="paragraph" w:customStyle="1" w:styleId="StyleBody11ptJustified">
    <w:name w:val="Style +Body 11 pt Justified"/>
    <w:basedOn w:val="Normal"/>
    <w:pPr>
      <w:tabs>
        <w:tab w:val="clear" w:pos="431"/>
      </w:tabs>
      <w:overflowPunct/>
      <w:adjustRightInd/>
      <w:snapToGrid/>
      <w:spacing w:before="120" w:line="240" w:lineRule="auto"/>
    </w:pPr>
    <w:rPr>
      <w:rFonts w:ascii="Calibri" w:hAnsi="Calibri"/>
      <w:snapToGrid/>
      <w:sz w:val="22"/>
      <w:lang w:val="en-GB" w:eastAsia="en-US"/>
    </w:rPr>
  </w:style>
  <w:style w:type="paragraph" w:styleId="TOCHeading">
    <w:name w:val="TOC Heading"/>
    <w:basedOn w:val="Heading1"/>
    <w:next w:val="Normal"/>
    <w:qFormat/>
    <w:pPr>
      <w:widowControl/>
      <w:tabs>
        <w:tab w:val="clear" w:pos="431"/>
      </w:tabs>
      <w:overflowPunct/>
      <w:adjustRightInd/>
      <w:snapToGrid/>
      <w:spacing w:before="480" w:after="0" w:line="276" w:lineRule="auto"/>
      <w:jc w:val="left"/>
      <w:outlineLvl w:val="9"/>
    </w:pPr>
    <w:rPr>
      <w:rFonts w:ascii="Cambria" w:eastAsia="MS Gothic" w:hAnsi="Cambria"/>
      <w:bCs/>
      <w:color w:val="365F91"/>
      <w:kern w:val="0"/>
      <w:sz w:val="28"/>
      <w:szCs w:val="28"/>
      <w:lang w:eastAsia="ja-JP"/>
    </w:rPr>
  </w:style>
  <w:style w:type="character" w:customStyle="1" w:styleId="atn">
    <w:name w:val="atn"/>
    <w:basedOn w:val="DefaultParagraphFont"/>
  </w:style>
  <w:style w:type="character" w:customStyle="1" w:styleId="gt-icon-text">
    <w:name w:val="gt-icon-text"/>
    <w:basedOn w:val="DefaultParagraphFont"/>
  </w:style>
  <w:style w:type="paragraph" w:styleId="Quote">
    <w:name w:val="Quote"/>
    <w:basedOn w:val="Normal"/>
    <w:next w:val="Normal"/>
    <w:link w:val="QuoteChar"/>
    <w:qFormat/>
    <w:pPr>
      <w:tabs>
        <w:tab w:val="clear" w:pos="431"/>
      </w:tabs>
      <w:overflowPunct/>
      <w:adjustRightInd/>
      <w:snapToGrid/>
      <w:spacing w:after="200" w:line="288" w:lineRule="auto"/>
      <w:jc w:val="left"/>
    </w:pPr>
    <w:rPr>
      <w:rFonts w:ascii="Calibri" w:eastAsia="Calibri" w:hAnsi="Calibri" w:cs="Arial"/>
      <w:snapToGrid/>
      <w:color w:val="943634"/>
      <w:sz w:val="20"/>
      <w:lang w:eastAsia="en-US" w:bidi="en-US"/>
    </w:rPr>
  </w:style>
  <w:style w:type="character" w:customStyle="1" w:styleId="QuoteChar">
    <w:name w:val="Quote Char"/>
    <w:link w:val="Quote"/>
    <w:rPr>
      <w:rFonts w:ascii="Calibri" w:eastAsia="Calibri" w:hAnsi="Calibri" w:cs="Arial"/>
      <w:color w:val="943634"/>
      <w:lang w:val="en-US" w:eastAsia="en-US" w:bidi="en-US"/>
    </w:rPr>
  </w:style>
  <w:style w:type="paragraph" w:styleId="IntenseQuote">
    <w:name w:val="Intense Quote"/>
    <w:basedOn w:val="Normal"/>
    <w:next w:val="Normal"/>
    <w:link w:val="IntenseQuoteChar"/>
    <w:qFormat/>
    <w:pPr>
      <w:pBdr>
        <w:top w:val="dotted" w:sz="8" w:space="10" w:color="C0504D"/>
        <w:bottom w:val="dotted" w:sz="8" w:space="10" w:color="C0504D"/>
      </w:pBdr>
      <w:tabs>
        <w:tab w:val="clear" w:pos="431"/>
      </w:tabs>
      <w:overflowPunct/>
      <w:adjustRightInd/>
      <w:snapToGrid/>
      <w:spacing w:after="200" w:line="300" w:lineRule="auto"/>
      <w:ind w:left="2160" w:right="2160"/>
      <w:jc w:val="center"/>
    </w:pPr>
    <w:rPr>
      <w:rFonts w:ascii="Cambria" w:hAnsi="Cambria"/>
      <w:b/>
      <w:bCs/>
      <w:i/>
      <w:iCs/>
      <w:snapToGrid/>
      <w:color w:val="C0504D"/>
      <w:sz w:val="20"/>
      <w:lang w:eastAsia="en-US" w:bidi="en-US"/>
    </w:rPr>
  </w:style>
  <w:style w:type="character" w:customStyle="1" w:styleId="IntenseQuoteChar">
    <w:name w:val="Intense Quote Char"/>
    <w:link w:val="IntenseQuote"/>
    <w:rPr>
      <w:rFonts w:ascii="Cambria" w:eastAsia="SimSun" w:hAnsi="Cambria"/>
      <w:b/>
      <w:bCs/>
      <w:i/>
      <w:iCs/>
      <w:color w:val="C0504D"/>
      <w:lang w:val="en-US" w:eastAsia="en-US" w:bidi="en-US"/>
    </w:rPr>
  </w:style>
  <w:style w:type="character" w:styleId="SubtleEmphasis">
    <w:name w:val="Subtle Emphasis"/>
    <w:qFormat/>
    <w:rPr>
      <w:rFonts w:ascii="Cambria" w:eastAsia="Times New Roman" w:hAnsi="Cambria" w:cs="Times New Roman"/>
      <w:i/>
      <w:iCs/>
      <w:color w:val="C0504D"/>
    </w:rPr>
  </w:style>
  <w:style w:type="character" w:styleId="IntenseEmphasis">
    <w:name w:val="Intense Emphasis"/>
    <w:qFormat/>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Pr>
      <w:i/>
      <w:iCs/>
      <w:smallCaps/>
      <w:color w:val="C0504D"/>
      <w:u w:color="C0504D"/>
    </w:rPr>
  </w:style>
  <w:style w:type="character" w:styleId="IntenseReference">
    <w:name w:val="Intense Reference"/>
    <w:qFormat/>
    <w:rPr>
      <w:b/>
      <w:bCs/>
      <w:i/>
      <w:iCs/>
      <w:smallCaps/>
      <w:color w:val="C0504D"/>
      <w:u w:color="C0504D"/>
    </w:rPr>
  </w:style>
  <w:style w:type="character" w:styleId="BookTitle">
    <w:name w:val="Book Title"/>
    <w:qFormat/>
    <w:rPr>
      <w:rFonts w:ascii="Cambria" w:eastAsia="Times New Roman" w:hAnsi="Cambria" w:cs="Times New Roman"/>
      <w:b/>
      <w:bCs/>
      <w:i/>
      <w:iCs/>
      <w:smallCaps/>
      <w:color w:val="943634"/>
      <w:u w:val="single"/>
    </w:rPr>
  </w:style>
  <w:style w:type="table" w:styleId="MediumList1-Accent5">
    <w:name w:val="Medium List 1 Accent 5"/>
    <w:basedOn w:val="TableNormal"/>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pPr>
      <w:keepNext/>
      <w:tabs>
        <w:tab w:val="clear" w:pos="431"/>
        <w:tab w:val="right" w:pos="4536"/>
      </w:tabs>
      <w:overflowPunct/>
      <w:adjustRightInd/>
      <w:snapToGrid/>
      <w:spacing w:before="360" w:after="40" w:line="250" w:lineRule="exact"/>
    </w:pPr>
    <w:rPr>
      <w:rFonts w:ascii="GoudyOlSt BT" w:hAnsi="GoudyOlSt BT" w:cs="GoudyOlSt BT"/>
      <w:b/>
      <w:bCs/>
      <w:noProof/>
      <w:sz w:val="24"/>
      <w:szCs w:val="24"/>
      <w:lang w:val="ca-ES" w:eastAsia="fr-FR"/>
    </w:rPr>
  </w:style>
  <w:style w:type="paragraph" w:customStyle="1" w:styleId="Ttolc">
    <w:name w:val="Títol c"/>
    <w:basedOn w:val="Heading3"/>
    <w:link w:val="TtolcCar"/>
    <w:pPr>
      <w:keepLines w:val="0"/>
      <w:widowControl/>
      <w:tabs>
        <w:tab w:val="clear" w:pos="431"/>
      </w:tabs>
      <w:overflowPunct/>
      <w:adjustRightInd/>
      <w:snapToGrid/>
      <w:spacing w:after="0" w:line="360" w:lineRule="auto"/>
      <w:ind w:left="708"/>
      <w:jc w:val="both"/>
    </w:pPr>
    <w:rPr>
      <w:b/>
      <w:noProof/>
      <w:kern w:val="0"/>
      <w:sz w:val="24"/>
      <w:lang w:val="fr-FR" w:eastAsia="fr-FR"/>
    </w:rPr>
  </w:style>
  <w:style w:type="paragraph" w:customStyle="1" w:styleId="Ttola">
    <w:name w:val="Títol a"/>
    <w:basedOn w:val="Heading1"/>
    <w:link w:val="TtolaCar"/>
    <w:autoRedefine/>
    <w:pPr>
      <w:keepLines w:val="0"/>
      <w:widowControl/>
      <w:tabs>
        <w:tab w:val="clear" w:pos="431"/>
      </w:tabs>
      <w:overflowPunct/>
      <w:adjustRightInd/>
      <w:snapToGrid/>
      <w:spacing w:before="240" w:after="60" w:line="360" w:lineRule="auto"/>
      <w:ind w:left="435"/>
      <w:jc w:val="both"/>
    </w:pPr>
    <w:rPr>
      <w:bCs/>
      <w:caps/>
      <w:noProof/>
      <w:snapToGrid w:val="0"/>
      <w:sz w:val="28"/>
      <w:szCs w:val="28"/>
      <w:lang w:val="fr-FR" w:eastAsia="fr-FR"/>
    </w:rPr>
  </w:style>
  <w:style w:type="character" w:customStyle="1" w:styleId="TtolaCar">
    <w:name w:val="Títol a Car"/>
    <w:link w:val="Ttola"/>
    <w:rPr>
      <w:rFonts w:eastAsia="SimSun"/>
      <w:b/>
      <w:bCs/>
      <w:caps/>
      <w:noProof/>
      <w:snapToGrid w:val="0"/>
      <w:kern w:val="32"/>
      <w:sz w:val="28"/>
      <w:szCs w:val="28"/>
      <w:lang w:val="fr-FR" w:eastAsia="fr-FR" w:bidi="ar-SA"/>
    </w:rPr>
  </w:style>
  <w:style w:type="character" w:customStyle="1" w:styleId="TtolcCar">
    <w:name w:val="Títol c Car"/>
    <w:link w:val="Ttolc"/>
    <w:rPr>
      <w:rFonts w:eastAsia="SimSun"/>
      <w:b/>
      <w:noProof/>
      <w:snapToGrid w:val="0"/>
      <w:sz w:val="24"/>
      <w:u w:val="single"/>
      <w:lang w:val="fr-FR" w:eastAsia="fr-FR" w:bidi="ar-SA"/>
    </w:rPr>
  </w:style>
  <w:style w:type="paragraph" w:customStyle="1" w:styleId="Noparagraphstyle">
    <w:name w:val="[No paragraph style]"/>
    <w:pPr>
      <w:autoSpaceDE w:val="0"/>
      <w:autoSpaceDN w:val="0"/>
      <w:adjustRightInd w:val="0"/>
      <w:spacing w:line="288" w:lineRule="auto"/>
      <w:textAlignment w:val="center"/>
    </w:pPr>
    <w:rPr>
      <w:rFonts w:ascii="Times" w:hAnsi="Times" w:cs="Times"/>
      <w:snapToGrid w:val="0"/>
      <w:color w:val="000000"/>
      <w:sz w:val="24"/>
      <w:szCs w:val="24"/>
      <w:lang w:val="es-ES" w:eastAsia="fr-FR"/>
    </w:rPr>
  </w:style>
  <w:style w:type="paragraph" w:customStyle="1" w:styleId="textcom">
    <w:name w:val="text comú"/>
    <w:basedOn w:val="Noparagraphstyle"/>
    <w:next w:val="Noparagraphstyle"/>
    <w:autoRedefine/>
    <w:pPr>
      <w:keepLines/>
      <w:jc w:val="both"/>
      <w:textAlignment w:val="baseline"/>
    </w:pPr>
    <w:rPr>
      <w:rFonts w:ascii="Garamond" w:hAnsi="Garamond" w:cs="Garamond"/>
      <w:color w:val="auto"/>
      <w:sz w:val="20"/>
      <w:szCs w:val="20"/>
      <w:lang w:val="ca-ES"/>
    </w:rPr>
  </w:style>
  <w:style w:type="paragraph" w:customStyle="1" w:styleId="convenis">
    <w:name w:val="convenis"/>
    <w:basedOn w:val="Normal"/>
    <w:pPr>
      <w:tabs>
        <w:tab w:val="clear" w:pos="431"/>
      </w:tabs>
      <w:overflowPunct/>
      <w:adjustRightInd/>
      <w:snapToGrid/>
      <w:spacing w:before="24" w:after="24" w:line="240" w:lineRule="auto"/>
      <w:ind w:left="24" w:right="24"/>
    </w:pPr>
    <w:rPr>
      <w:noProof/>
      <w:sz w:val="24"/>
      <w:szCs w:val="24"/>
      <w:lang w:val="es-ES" w:eastAsia="fr-FR"/>
    </w:rPr>
  </w:style>
  <w:style w:type="paragraph" w:customStyle="1" w:styleId="QUADRE">
    <w:name w:val="QUADRE"/>
    <w:basedOn w:val="BodyText"/>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pPr>
      <w:tabs>
        <w:tab w:val="clear" w:pos="431"/>
      </w:tabs>
      <w:overflowPunct/>
      <w:adjustRightInd/>
      <w:snapToGrid/>
      <w:spacing w:before="100" w:beforeAutospacing="1" w:after="100" w:afterAutospacing="1" w:line="240" w:lineRule="auto"/>
      <w:jc w:val="left"/>
    </w:pPr>
    <w:rPr>
      <w:rFonts w:ascii="Arial0" w:eastAsia="Arial Unicode MS" w:hAnsi="Arial0" w:cs="Arial0"/>
      <w:noProof/>
      <w:snapToGrid/>
      <w:sz w:val="20"/>
      <w:lang w:val="es-ES" w:eastAsia="fr-FR"/>
    </w:rPr>
  </w:style>
  <w:style w:type="paragraph" w:customStyle="1" w:styleId="Justifi">
    <w:name w:val="Justifié"/>
    <w:aliases w:val="Avant : 12 pt Après : 12 pt Interligne : 1,5l"/>
    <w:basedOn w:val="Normal"/>
    <w:pPr>
      <w:tabs>
        <w:tab w:val="clear" w:pos="431"/>
      </w:tabs>
      <w:overflowPunct/>
      <w:adjustRightInd/>
      <w:snapToGrid/>
      <w:spacing w:before="240" w:after="240" w:line="360" w:lineRule="auto"/>
      <w:ind w:left="180"/>
    </w:pPr>
    <w:rPr>
      <w:noProof/>
      <w:sz w:val="24"/>
      <w:lang w:val="ca-ES" w:eastAsia="fr-FR"/>
    </w:rPr>
  </w:style>
  <w:style w:type="paragraph" w:customStyle="1" w:styleId="xl24">
    <w:name w:val="xl24"/>
    <w:basedOn w:val="Normal"/>
    <w:pPr>
      <w:tabs>
        <w:tab w:val="clear" w:pos="431"/>
      </w:tabs>
      <w:overflowPunct/>
      <w:adjustRightInd/>
      <w:snapToGrid/>
      <w:spacing w:before="100" w:beforeAutospacing="1" w:after="100" w:afterAutospacing="1" w:line="240" w:lineRule="auto"/>
      <w:jc w:val="left"/>
    </w:pPr>
    <w:rPr>
      <w:rFonts w:ascii="Arial" w:eastAsia="Arial Unicode MS" w:hAnsi="Arial" w:cs="Arial"/>
      <w:noProof/>
      <w:snapToGrid/>
      <w:sz w:val="24"/>
      <w:szCs w:val="24"/>
      <w:lang w:val="es-ES" w:eastAsia="es-ES"/>
    </w:rPr>
  </w:style>
  <w:style w:type="paragraph" w:customStyle="1" w:styleId="Ttol1Interlineat15lnies">
    <w:name w:val="Títol 1 + Interlineat:  15 línies"/>
    <w:basedOn w:val="Heading1"/>
    <w:pPr>
      <w:keepLines w:val="0"/>
      <w:widowControl/>
      <w:tabs>
        <w:tab w:val="clear" w:pos="431"/>
      </w:tabs>
      <w:overflowPunct/>
      <w:adjustRightInd/>
      <w:snapToGrid/>
      <w:spacing w:before="240" w:after="60" w:line="360" w:lineRule="auto"/>
      <w:jc w:val="both"/>
    </w:pPr>
    <w:rPr>
      <w:b w:val="0"/>
      <w:bCs/>
      <w:noProof/>
      <w:snapToGrid w:val="0"/>
      <w:sz w:val="28"/>
      <w:lang w:val="fr-FR" w:eastAsia="fr-FR"/>
    </w:rPr>
  </w:style>
  <w:style w:type="character" w:customStyle="1" w:styleId="Titre3CarChar">
    <w:name w:val="Titre 3 Car Char"/>
    <w:aliases w:val="Car19 Car Char Char"/>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Pr>
      <w:snapToGrid w:val="0"/>
      <w:lang w:val="fr-FR" w:eastAsia="fr-FR" w:bidi="ar-SA"/>
    </w:rPr>
  </w:style>
  <w:style w:type="paragraph" w:customStyle="1" w:styleId="Prrafodelista">
    <w:name w:val="Párrafo de lista"/>
    <w:basedOn w:val="Normal"/>
    <w:qFormat/>
    <w:pPr>
      <w:tabs>
        <w:tab w:val="clear" w:pos="431"/>
      </w:tabs>
      <w:overflowPunct/>
      <w:adjustRightInd/>
      <w:snapToGrid/>
      <w:spacing w:line="240" w:lineRule="auto"/>
      <w:ind w:left="708"/>
      <w:jc w:val="left"/>
    </w:pPr>
    <w:rPr>
      <w:noProof/>
      <w:sz w:val="24"/>
      <w:szCs w:val="24"/>
      <w:lang w:val="fr-FR" w:eastAsia="fr-FR"/>
    </w:rPr>
  </w:style>
  <w:style w:type="paragraph" w:customStyle="1" w:styleId="2">
    <w:name w:val="页眉2"/>
    <w:basedOn w:val="Normal"/>
    <w:pPr>
      <w:framePr w:w="6747" w:h="284" w:hRule="exact" w:hSpace="181" w:vSpace="181" w:wrap="notBeside" w:vAnchor="page" w:hAnchor="page" w:x="4310" w:y="1163" w:anchorLock="1"/>
      <w:tabs>
        <w:tab w:val="clear" w:pos="431"/>
        <w:tab w:val="left" w:pos="425"/>
      </w:tabs>
      <w:overflowPunct/>
      <w:snapToGrid/>
      <w:spacing w:line="300" w:lineRule="exact"/>
      <w:jc w:val="right"/>
      <w:textAlignment w:val="baseline"/>
    </w:pPr>
    <w:rPr>
      <w:snapToGrid/>
      <w:color w:val="000000"/>
      <w:kern w:val="19"/>
      <w:sz w:val="19"/>
    </w:rPr>
  </w:style>
  <w:style w:type="paragraph" w:customStyle="1" w:styleId="ParaNoG">
    <w:name w:val="_ParaNo._G"/>
    <w:basedOn w:val="SingleTxtG"/>
    <w:pPr>
      <w:numPr>
        <w:numId w:val="1"/>
      </w:numPr>
    </w:pPr>
  </w:style>
  <w:style w:type="paragraph" w:customStyle="1" w:styleId="H23GR">
    <w:name w:val="_ H_2/3_GR"/>
    <w:basedOn w:val="Normal"/>
    <w:next w:val="Normal"/>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pacing w:val="4"/>
      <w:w w:val="103"/>
      <w:kern w:val="14"/>
      <w:sz w:val="20"/>
      <w:lang w:val="ru-RU" w:eastAsia="ru-RU"/>
    </w:rPr>
  </w:style>
  <w:style w:type="character" w:customStyle="1" w:styleId="BalloonTextChar">
    <w:name w:val="Balloon Text Char"/>
    <w:link w:val="BalloonText"/>
    <w:rPr>
      <w:rFonts w:ascii="Tahoma" w:eastAsia="SimSun" w:hAnsi="Tahoma"/>
      <w:sz w:val="16"/>
      <w:szCs w:val="16"/>
      <w:lang w:val="en-GB" w:eastAsia="en-US" w:bidi="ar-SA"/>
    </w:rPr>
  </w:style>
  <w:style w:type="character" w:customStyle="1" w:styleId="CommentTextChar">
    <w:name w:val="Comment Text Char"/>
    <w:link w:val="CommentText"/>
    <w:rPr>
      <w:rFonts w:eastAsia="SimSun"/>
      <w:lang w:val="en-GB" w:eastAsia="en-US" w:bidi="ar-SA"/>
    </w:rPr>
  </w:style>
  <w:style w:type="character" w:customStyle="1" w:styleId="CommentSubjectChar">
    <w:name w:val="Comment Subject Char"/>
    <w:link w:val="CommentSubject"/>
    <w:rPr>
      <w:rFonts w:ascii="Arial" w:eastAsia="SimSun" w:hAnsi="Arial"/>
      <w:b/>
      <w:bCs/>
      <w:lang w:val="en-GB" w:eastAsia="en-US" w:bidi="ar-SA"/>
    </w:rPr>
  </w:style>
  <w:style w:type="numbering" w:customStyle="1" w:styleId="NoList1">
    <w:name w:val="No List1"/>
    <w:next w:val="NoList"/>
    <w:semiHidden/>
    <w:unhideWhenUsed/>
  </w:style>
  <w:style w:type="paragraph" w:styleId="DocumentMap">
    <w:name w:val="Document Map"/>
    <w:basedOn w:val="Normal"/>
    <w:link w:val="DocumentMapChar"/>
    <w:pPr>
      <w:shd w:val="clear" w:color="auto" w:fill="000080"/>
      <w:tabs>
        <w:tab w:val="clear" w:pos="431"/>
      </w:tabs>
      <w:overflowPunct/>
      <w:adjustRightInd/>
      <w:snapToGrid/>
      <w:spacing w:line="240" w:lineRule="auto"/>
      <w:jc w:val="left"/>
    </w:pPr>
    <w:rPr>
      <w:rFonts w:ascii="Tahoma" w:hAnsi="Tahoma"/>
      <w:snapToGrid/>
      <w:sz w:val="20"/>
      <w:lang w:val="es-ES" w:eastAsia="es-ES"/>
    </w:rPr>
  </w:style>
  <w:style w:type="character" w:customStyle="1" w:styleId="DocumentMapChar">
    <w:name w:val="Document Map Char"/>
    <w:link w:val="DocumentMap"/>
    <w:rPr>
      <w:rFonts w:ascii="Tahoma" w:eastAsia="SimSun" w:hAnsi="Tahoma"/>
      <w:lang w:val="es-ES" w:eastAsia="es-ES" w:bidi="ar-SA"/>
    </w:rPr>
  </w:style>
  <w:style w:type="character" w:customStyle="1" w:styleId="SingleTxtGCChar">
    <w:name w:val="_ Single Txt_GC Char"/>
    <w:link w:val="SingleTxtGC"/>
    <w:locked/>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mnp.defensordelpueblo.es/es/informes_anuales.html" TargetMode="External"/><Relationship Id="rId2" Type="http://schemas.openxmlformats.org/officeDocument/2006/relationships/hyperlink" Target="http://www.boe.es/buscar/doc.php?id=BOE-A-1996-3307" TargetMode="External"/><Relationship Id="rId1" Type="http://schemas.openxmlformats.org/officeDocument/2006/relationships/hyperlink" Target="http://www.boe.es/buscar/doc.php?id=BOE-A-1984-116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LATESNEW\C-D\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Template>
  <TotalTime>6</TotalTime>
  <Pages>1</Pages>
  <Words>7193</Words>
  <Characters>41002</Characters>
  <Application>Microsoft Office Word</Application>
  <DocSecurity>4</DocSecurity>
  <Lines>341</Lines>
  <Paragraphs>96</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48099</CharactersWithSpaces>
  <SharedDoc>false</SharedDoc>
  <HLinks>
    <vt:vector size="18" baseType="variant">
      <vt:variant>
        <vt:i4>6750290</vt:i4>
      </vt:variant>
      <vt:variant>
        <vt:i4>6</vt:i4>
      </vt:variant>
      <vt:variant>
        <vt:i4>0</vt:i4>
      </vt:variant>
      <vt:variant>
        <vt:i4>5</vt:i4>
      </vt:variant>
      <vt:variant>
        <vt:lpwstr>http://mnp.defensordelpueblo.es/es/informes_anuales.html</vt:lpwstr>
      </vt:variant>
      <vt:variant>
        <vt:lpwstr/>
      </vt:variant>
      <vt:variant>
        <vt:i4>3276863</vt:i4>
      </vt:variant>
      <vt:variant>
        <vt:i4>3</vt:i4>
      </vt:variant>
      <vt:variant>
        <vt:i4>0</vt:i4>
      </vt:variant>
      <vt:variant>
        <vt:i4>5</vt:i4>
      </vt:variant>
      <vt:variant>
        <vt:lpwstr>http://www.boe.es/buscar/doc.php?id=BOE-A-1996-3307</vt:lpwstr>
      </vt:variant>
      <vt:variant>
        <vt:lpwstr/>
      </vt:variant>
      <vt:variant>
        <vt:i4>262158</vt:i4>
      </vt:variant>
      <vt:variant>
        <vt:i4>0</vt:i4>
      </vt:variant>
      <vt:variant>
        <vt:i4>0</vt:i4>
      </vt:variant>
      <vt:variant>
        <vt:i4>5</vt:i4>
      </vt:variant>
      <vt:variant>
        <vt:lpwstr>http://www.boe.es/buscar/doc.php?id=BOE-A-1984-11620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niu</dc:creator>
  <cp:keywords/>
  <dc:description/>
  <cp:lastModifiedBy>CSD</cp:lastModifiedBy>
  <cp:revision>5</cp:revision>
  <cp:lastPrinted>2013-05-28T10:08:00Z</cp:lastPrinted>
  <dcterms:created xsi:type="dcterms:W3CDTF">2013-05-28T10:06:00Z</dcterms:created>
  <dcterms:modified xsi:type="dcterms:W3CDTF">2013-05-28T10:09:00Z</dcterms:modified>
</cp:coreProperties>
</file>