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27pt;z-index:1;mso-position-horizontal-relative:page" stroked="f">
            <v:textbox style="mso-next-textbox:#_x0000_s1028" inset="0,0,0,0">
              <w:txbxContent>
                <w:p w:rsidR="00000000" w:rsidRDefault="00000000">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44667</w:t>
                  </w:r>
                  <w:r>
                    <w:rPr>
                      <w:lang w:val="en-US"/>
                    </w:rPr>
                    <w:fldChar w:fldCharType="end"/>
                  </w:r>
                  <w:r>
                    <w:rPr>
                      <w:lang w:val="en-US"/>
                    </w:rPr>
                    <w:t xml:space="preserve">   (R)</w:t>
                  </w:r>
                  <w:r>
                    <w:t xml:space="preserve">    241002    311002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CERD/C/431/Add.4</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 October 2002</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rPr>
          <w:lang w:val="en-US"/>
        </w:rPr>
      </w:pPr>
    </w:p>
    <w:p w:rsidR="00000000" w:rsidRDefault="00000000">
      <w:pPr>
        <w:rPr>
          <w:lang w:val="en-US"/>
        </w:rPr>
      </w:pPr>
      <w:r>
        <w:t xml:space="preserve">КОМИТЕТ ПО ЛИКВИДАЦИИ </w:t>
      </w:r>
    </w:p>
    <w:p w:rsidR="00000000" w:rsidRDefault="00000000">
      <w:r>
        <w:t>РАСОВОЙ 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rPr>
          <w:b/>
          <w:bCs/>
        </w:rPr>
      </w:pPr>
      <w:r>
        <w:rPr>
          <w:b/>
          <w:bCs/>
        </w:rPr>
        <w:t>РАССМОТРЕНИЕ ДОКЛАДОВ, ПРЕДСТАВЛЕННЫХ ГОСУДАРСТВАМИ-УЧАСТНИКАМИ В СООТВЕТСТВИИ СО СТАТЬЕЙ 9 КОНВЕНЦИИ</w:t>
      </w:r>
    </w:p>
    <w:p w:rsidR="00000000" w:rsidRDefault="00000000">
      <w:pPr>
        <w:pStyle w:val="16"/>
      </w:pPr>
    </w:p>
    <w:p w:rsidR="00000000" w:rsidRDefault="00000000">
      <w:pPr>
        <w:pStyle w:val="11"/>
        <w:rPr>
          <w:u w:val="none"/>
        </w:rPr>
      </w:pPr>
      <w:r>
        <w:rPr>
          <w:u w:val="none"/>
        </w:rPr>
        <w:t>Семнадцатые периодические доклады, подлежавшие представлению</w:t>
      </w:r>
    </w:p>
    <w:p w:rsidR="00000000" w:rsidRDefault="00000000">
      <w:pPr>
        <w:pStyle w:val="11"/>
        <w:rPr>
          <w:u w:val="none"/>
        </w:rPr>
      </w:pPr>
      <w:r>
        <w:rPr>
          <w:u w:val="none"/>
        </w:rPr>
        <w:t>государствами-участниками в 2000 году</w:t>
      </w:r>
    </w:p>
    <w:p w:rsidR="00000000" w:rsidRDefault="00000000">
      <w:pPr>
        <w:pStyle w:val="11"/>
        <w:rPr>
          <w:u w:val="none"/>
        </w:rPr>
      </w:pPr>
    </w:p>
    <w:p w:rsidR="00000000" w:rsidRDefault="00000000">
      <w:pPr>
        <w:pStyle w:val="11"/>
        <w:rPr>
          <w:i/>
          <w:iCs/>
          <w:u w:val="none"/>
        </w:rPr>
      </w:pPr>
      <w:r>
        <w:rPr>
          <w:i/>
          <w:iCs/>
          <w:u w:val="none"/>
        </w:rPr>
        <w:t>Добавление</w:t>
      </w:r>
    </w:p>
    <w:p w:rsidR="00000000" w:rsidRDefault="00000000">
      <w:pPr>
        <w:pStyle w:val="11"/>
      </w:pPr>
    </w:p>
    <w:p w:rsidR="00000000" w:rsidRDefault="00000000">
      <w:pPr>
        <w:jc w:val="center"/>
      </w:pPr>
      <w:r>
        <w:t>ТУНИС</w:t>
      </w:r>
      <w:r>
        <w:rPr>
          <w:rStyle w:val="FootnoteReference"/>
        </w:rPr>
        <w:footnoteReference w:customMarkFollows="1" w:id="1"/>
        <w:t>*</w:t>
      </w:r>
    </w:p>
    <w:p w:rsidR="00000000" w:rsidRDefault="00000000">
      <w:pPr>
        <w:jc w:val="center"/>
      </w:pPr>
    </w:p>
    <w:p w:rsidR="00000000" w:rsidRDefault="00000000">
      <w:pPr>
        <w:jc w:val="right"/>
      </w:pPr>
      <w:r>
        <w:t>[5 июля 2002 года]</w:t>
      </w:r>
    </w:p>
    <w:p w:rsidR="00000000" w:rsidRDefault="00000000">
      <w:pPr>
        <w:jc w:val="right"/>
      </w:pPr>
    </w:p>
    <w:p w:rsidR="00000000" w:rsidRDefault="00000000">
      <w:pPr>
        <w:jc w:val="center"/>
      </w:pPr>
      <w:r>
        <w:br w:type="column"/>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759"/>
        </w:tabs>
      </w:pPr>
      <w:r>
        <w:tab/>
      </w:r>
      <w:r>
        <w:tab/>
      </w:r>
      <w:r>
        <w:tab/>
      </w:r>
      <w:r>
        <w:tab/>
      </w:r>
      <w:r>
        <w:tab/>
      </w:r>
      <w:r>
        <w:rPr>
          <w:u w:val="single"/>
        </w:rPr>
        <w:t>Пункты</w:t>
      </w:r>
    </w:p>
    <w:p w:rsidR="00000000" w:rsidRDefault="00000000">
      <w:pPr>
        <w:tabs>
          <w:tab w:val="clear" w:pos="6237"/>
          <w:tab w:val="left" w:pos="567"/>
          <w:tab w:val="left" w:pos="1134"/>
          <w:tab w:val="left" w:pos="1701"/>
          <w:tab w:val="left" w:pos="2268"/>
          <w:tab w:val="center" w:pos="8759"/>
        </w:tabs>
      </w:pPr>
    </w:p>
    <w:p w:rsidR="00000000" w:rsidRDefault="00000000">
      <w:pPr>
        <w:tabs>
          <w:tab w:val="clear" w:pos="6237"/>
          <w:tab w:val="decimal" w:pos="567"/>
          <w:tab w:val="left" w:pos="1134"/>
          <w:tab w:val="left" w:pos="1701"/>
          <w:tab w:val="left" w:pos="2268"/>
          <w:tab w:val="right" w:leader="dot" w:pos="7750"/>
          <w:tab w:val="center" w:pos="8759"/>
        </w:tabs>
      </w:pPr>
      <w:r>
        <w:t xml:space="preserve">Введение </w:t>
      </w:r>
      <w:r>
        <w:tab/>
      </w:r>
      <w:r>
        <w:tab/>
      </w:r>
      <w:r>
        <w:tab/>
      </w:r>
      <w:r>
        <w:tab/>
      </w:r>
      <w:r>
        <w:tab/>
        <w:t>1 - 2</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tabs>
          <w:tab w:val="clear" w:pos="6237"/>
          <w:tab w:val="decimal" w:pos="567"/>
          <w:tab w:val="left" w:pos="1134"/>
          <w:tab w:val="left" w:pos="1701"/>
          <w:tab w:val="left" w:pos="2268"/>
          <w:tab w:val="right" w:leader="dot" w:pos="7750"/>
          <w:tab w:val="center" w:pos="8759"/>
        </w:tabs>
      </w:pPr>
      <w:r>
        <w:tab/>
      </w:r>
      <w:r>
        <w:rPr>
          <w:lang w:val="en-US"/>
        </w:rPr>
        <w:t>I</w:t>
      </w:r>
      <w:r>
        <w:t>.</w:t>
      </w:r>
      <w:r>
        <w:tab/>
        <w:t>НЕКОТОРЫЕ НЕДАВНИЕ ДАННЫЕ О СОЦИАЛЬНО-</w:t>
      </w:r>
    </w:p>
    <w:p w:rsidR="00000000" w:rsidRDefault="00000000">
      <w:pPr>
        <w:tabs>
          <w:tab w:val="clear" w:pos="6237"/>
          <w:tab w:val="decimal" w:pos="567"/>
          <w:tab w:val="left" w:pos="1134"/>
          <w:tab w:val="left" w:pos="1701"/>
          <w:tab w:val="left" w:pos="2268"/>
          <w:tab w:val="right" w:leader="dot" w:pos="7750"/>
          <w:tab w:val="center" w:pos="8759"/>
        </w:tabs>
      </w:pPr>
      <w:r>
        <w:tab/>
      </w:r>
      <w:r>
        <w:tab/>
        <w:t xml:space="preserve">ЭКОНОМИЧЕСКОМ  РАЗВИТИИ ТУНИСА </w:t>
      </w:r>
      <w:r>
        <w:tab/>
      </w:r>
      <w:r>
        <w:tab/>
        <w:t>3 - 8</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tabs>
          <w:tab w:val="clear" w:pos="6237"/>
          <w:tab w:val="decimal" w:pos="567"/>
          <w:tab w:val="left" w:pos="1134"/>
          <w:tab w:val="left" w:pos="1701"/>
          <w:tab w:val="left" w:pos="2268"/>
          <w:tab w:val="right" w:leader="dot" w:pos="7750"/>
          <w:tab w:val="center" w:pos="8759"/>
        </w:tabs>
      </w:pPr>
      <w:r>
        <w:tab/>
      </w:r>
      <w:r>
        <w:rPr>
          <w:lang w:val="en-US"/>
        </w:rPr>
        <w:t>II</w:t>
      </w:r>
      <w:r>
        <w:t>.</w:t>
      </w:r>
      <w:r>
        <w:tab/>
        <w:t xml:space="preserve">СВЕДЕНИЯ, КАСАЮЩИЕСЯ СТАТЬИ 2 КОНВЕНЦИИ </w:t>
      </w:r>
      <w:r>
        <w:tab/>
      </w:r>
      <w:r>
        <w:tab/>
        <w:t>9 - 14</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tabs>
          <w:tab w:val="clear" w:pos="6237"/>
          <w:tab w:val="decimal" w:pos="567"/>
          <w:tab w:val="left" w:pos="1134"/>
          <w:tab w:val="left" w:pos="1701"/>
          <w:tab w:val="left" w:pos="2268"/>
          <w:tab w:val="right" w:leader="dot" w:pos="7750"/>
          <w:tab w:val="center" w:pos="8759"/>
        </w:tabs>
      </w:pPr>
      <w:r>
        <w:tab/>
      </w:r>
      <w:r>
        <w:rPr>
          <w:lang w:val="en-US"/>
        </w:rPr>
        <w:t>III</w:t>
      </w:r>
      <w:r>
        <w:t>.</w:t>
      </w:r>
      <w:r>
        <w:tab/>
        <w:t xml:space="preserve">СВЕДЕНИЯ, КАСАЮЩИЕСЯ СТАТЬИ 3 КОНВЕНЦИИ </w:t>
      </w:r>
      <w:r>
        <w:tab/>
      </w:r>
      <w:r>
        <w:tab/>
        <w:t>15 - 17</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tabs>
          <w:tab w:val="clear" w:pos="6237"/>
          <w:tab w:val="decimal" w:pos="567"/>
          <w:tab w:val="left" w:pos="1134"/>
          <w:tab w:val="left" w:pos="1701"/>
          <w:tab w:val="left" w:pos="2268"/>
          <w:tab w:val="right" w:leader="dot" w:pos="7750"/>
          <w:tab w:val="center" w:pos="8759"/>
        </w:tabs>
      </w:pPr>
      <w:r>
        <w:tab/>
      </w:r>
      <w:r>
        <w:rPr>
          <w:lang w:val="en-US"/>
        </w:rPr>
        <w:t>IV</w:t>
      </w:r>
      <w:r>
        <w:t>.</w:t>
      </w:r>
      <w:r>
        <w:tab/>
        <w:t xml:space="preserve">СВЕДЕНИЯ, КАСАЮЩИЕСЯ СТАТЬИ 4 КОНВЕНЦИИ </w:t>
      </w:r>
      <w:r>
        <w:tab/>
      </w:r>
      <w:r>
        <w:tab/>
        <w:t>18 - 29</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tabs>
          <w:tab w:val="clear" w:pos="6237"/>
          <w:tab w:val="decimal" w:pos="567"/>
          <w:tab w:val="left" w:pos="1134"/>
          <w:tab w:val="left" w:pos="1701"/>
          <w:tab w:val="left" w:pos="2268"/>
          <w:tab w:val="right" w:leader="dot" w:pos="7750"/>
          <w:tab w:val="center" w:pos="8759"/>
        </w:tabs>
      </w:pPr>
      <w:r>
        <w:tab/>
      </w:r>
      <w:r>
        <w:rPr>
          <w:lang w:val="en-US"/>
        </w:rPr>
        <w:t>V</w:t>
      </w:r>
      <w:r>
        <w:t>.</w:t>
      </w:r>
      <w:r>
        <w:tab/>
        <w:t xml:space="preserve">СВЕДЕНИЯ, КАСАЮЩИЕСЯ СТАТЬИ 5 КОНВЕНЦИИ </w:t>
      </w:r>
      <w:r>
        <w:tab/>
      </w:r>
      <w:r>
        <w:tab/>
        <w:t>30 - 74</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tabs>
          <w:tab w:val="clear" w:pos="6237"/>
          <w:tab w:val="decimal" w:pos="567"/>
          <w:tab w:val="left" w:pos="1134"/>
          <w:tab w:val="left" w:pos="1701"/>
          <w:tab w:val="left" w:pos="2268"/>
          <w:tab w:val="right" w:leader="dot" w:pos="7750"/>
          <w:tab w:val="center" w:pos="8759"/>
        </w:tabs>
      </w:pPr>
      <w:r>
        <w:tab/>
      </w:r>
      <w:r>
        <w:tab/>
        <w:t>А.</w:t>
      </w:r>
      <w:r>
        <w:tab/>
        <w:t>Право на равенство перед судом и всеми другими</w:t>
      </w:r>
    </w:p>
    <w:p w:rsidR="00000000" w:rsidRDefault="00000000">
      <w:pPr>
        <w:tabs>
          <w:tab w:val="clear" w:pos="6237"/>
          <w:tab w:val="decimal" w:pos="567"/>
          <w:tab w:val="left" w:pos="1134"/>
          <w:tab w:val="left" w:pos="1701"/>
          <w:tab w:val="left" w:pos="2268"/>
          <w:tab w:val="right" w:leader="dot" w:pos="7750"/>
          <w:tab w:val="center" w:pos="8759"/>
        </w:tabs>
      </w:pPr>
      <w:r>
        <w:tab/>
      </w:r>
      <w:r>
        <w:tab/>
      </w:r>
      <w:r>
        <w:tab/>
        <w:t xml:space="preserve">органами, отправляющими правосудие </w:t>
      </w:r>
      <w:r>
        <w:tab/>
      </w:r>
      <w:r>
        <w:tab/>
        <w:t>31 - 32</w:t>
      </w:r>
    </w:p>
    <w:p w:rsidR="00000000" w:rsidRDefault="00000000">
      <w:pPr>
        <w:tabs>
          <w:tab w:val="clear" w:pos="6237"/>
          <w:tab w:val="decimal" w:pos="567"/>
          <w:tab w:val="left" w:pos="1134"/>
          <w:tab w:val="left" w:pos="1701"/>
          <w:tab w:val="left" w:pos="2268"/>
          <w:tab w:val="right" w:leader="dot" w:pos="7750"/>
          <w:tab w:val="center" w:pos="8759"/>
        </w:tabs>
      </w:pPr>
      <w:r>
        <w:tab/>
      </w:r>
      <w:r>
        <w:tab/>
        <w:t>В.</w:t>
      </w:r>
      <w:r>
        <w:tab/>
        <w:t>Право на личную безопасность и защиту со стороны</w:t>
      </w:r>
    </w:p>
    <w:p w:rsidR="00000000" w:rsidRDefault="00000000">
      <w:pPr>
        <w:tabs>
          <w:tab w:val="clear" w:pos="6237"/>
          <w:tab w:val="decimal" w:pos="567"/>
          <w:tab w:val="left" w:pos="1134"/>
          <w:tab w:val="left" w:pos="1701"/>
          <w:tab w:val="left" w:pos="2268"/>
          <w:tab w:val="right" w:leader="dot" w:pos="7750"/>
          <w:tab w:val="center" w:pos="8759"/>
        </w:tabs>
      </w:pPr>
      <w:r>
        <w:tab/>
      </w:r>
      <w:r>
        <w:tab/>
      </w:r>
      <w:r>
        <w:tab/>
        <w:t xml:space="preserve">государства от насилия или жестокого обращения </w:t>
      </w:r>
      <w:r>
        <w:tab/>
      </w:r>
      <w:r>
        <w:tab/>
        <w:t>33</w:t>
      </w:r>
    </w:p>
    <w:p w:rsidR="00000000" w:rsidRDefault="00000000">
      <w:pPr>
        <w:tabs>
          <w:tab w:val="clear" w:pos="6237"/>
          <w:tab w:val="decimal" w:pos="567"/>
          <w:tab w:val="left" w:pos="1134"/>
          <w:tab w:val="left" w:pos="1701"/>
          <w:tab w:val="left" w:pos="2268"/>
          <w:tab w:val="right" w:leader="dot" w:pos="7750"/>
          <w:tab w:val="center" w:pos="8759"/>
        </w:tabs>
      </w:pPr>
      <w:r>
        <w:tab/>
      </w:r>
      <w:r>
        <w:tab/>
        <w:t xml:space="preserve">С. </w:t>
      </w:r>
      <w:r>
        <w:tab/>
        <w:t>Политические права, в частности право участвовать в</w:t>
      </w:r>
    </w:p>
    <w:p w:rsidR="00000000" w:rsidRDefault="00000000">
      <w:pPr>
        <w:tabs>
          <w:tab w:val="clear" w:pos="6237"/>
          <w:tab w:val="decimal" w:pos="567"/>
          <w:tab w:val="left" w:pos="1134"/>
          <w:tab w:val="left" w:pos="1701"/>
          <w:tab w:val="left" w:pos="2268"/>
          <w:tab w:val="right" w:leader="dot" w:pos="7750"/>
          <w:tab w:val="center" w:pos="8759"/>
        </w:tabs>
      </w:pPr>
      <w:r>
        <w:tab/>
      </w:r>
      <w:r>
        <w:tab/>
      </w:r>
      <w:r>
        <w:tab/>
        <w:t>выборах, голосовать и выставлять свою кандидатуру, право</w:t>
      </w:r>
    </w:p>
    <w:p w:rsidR="00000000" w:rsidRDefault="00000000">
      <w:pPr>
        <w:tabs>
          <w:tab w:val="clear" w:pos="6237"/>
          <w:tab w:val="decimal" w:pos="567"/>
          <w:tab w:val="left" w:pos="1134"/>
          <w:tab w:val="left" w:pos="1701"/>
          <w:tab w:val="left" w:pos="2268"/>
          <w:tab w:val="right" w:leader="dot" w:pos="7750"/>
          <w:tab w:val="center" w:pos="8759"/>
        </w:tabs>
      </w:pPr>
      <w:r>
        <w:tab/>
      </w:r>
      <w:r>
        <w:tab/>
      </w:r>
      <w:r>
        <w:tab/>
        <w:t>принимать участие в управлении страной и право равного</w:t>
      </w:r>
    </w:p>
    <w:p w:rsidR="00000000" w:rsidRDefault="00000000">
      <w:pPr>
        <w:tabs>
          <w:tab w:val="clear" w:pos="6237"/>
          <w:tab w:val="decimal" w:pos="567"/>
          <w:tab w:val="left" w:pos="1134"/>
          <w:tab w:val="left" w:pos="1701"/>
          <w:tab w:val="left" w:pos="2268"/>
          <w:tab w:val="right" w:leader="dot" w:pos="7750"/>
          <w:tab w:val="center" w:pos="8759"/>
        </w:tabs>
      </w:pPr>
      <w:r>
        <w:tab/>
      </w:r>
      <w:r>
        <w:tab/>
      </w:r>
      <w:r>
        <w:tab/>
        <w:t xml:space="preserve">доступа к государственной службе </w:t>
      </w:r>
      <w:r>
        <w:tab/>
      </w:r>
      <w:r>
        <w:tab/>
        <w:t>34 - 36</w:t>
      </w:r>
    </w:p>
    <w:p w:rsidR="00000000" w:rsidRDefault="00000000">
      <w:pPr>
        <w:tabs>
          <w:tab w:val="clear" w:pos="6237"/>
          <w:tab w:val="decimal" w:pos="567"/>
          <w:tab w:val="left" w:pos="1134"/>
          <w:tab w:val="left" w:pos="1701"/>
          <w:tab w:val="left" w:pos="2268"/>
          <w:tab w:val="right" w:leader="dot" w:pos="7750"/>
          <w:tab w:val="center" w:pos="8759"/>
        </w:tabs>
      </w:pPr>
      <w:r>
        <w:tab/>
      </w:r>
      <w:r>
        <w:tab/>
      </w:r>
      <w:r>
        <w:rPr>
          <w:lang w:val="en-US"/>
        </w:rPr>
        <w:t>D</w:t>
      </w:r>
      <w:r>
        <w:t>.</w:t>
      </w:r>
      <w:r>
        <w:tab/>
        <w:t xml:space="preserve">Осуществление других прав </w:t>
      </w:r>
      <w:r>
        <w:tab/>
      </w:r>
      <w:r>
        <w:tab/>
        <w:t>37 - 55</w:t>
      </w:r>
    </w:p>
    <w:p w:rsidR="00000000" w:rsidRDefault="00000000">
      <w:pPr>
        <w:tabs>
          <w:tab w:val="clear" w:pos="6237"/>
          <w:tab w:val="decimal" w:pos="567"/>
          <w:tab w:val="left" w:pos="1134"/>
          <w:tab w:val="left" w:pos="1701"/>
          <w:tab w:val="left" w:pos="2268"/>
          <w:tab w:val="right" w:leader="dot" w:pos="7750"/>
          <w:tab w:val="center" w:pos="8759"/>
        </w:tabs>
      </w:pPr>
      <w:r>
        <w:tab/>
      </w:r>
      <w:r>
        <w:tab/>
      </w:r>
      <w:r>
        <w:rPr>
          <w:lang w:val="en-US"/>
        </w:rPr>
        <w:t>E</w:t>
      </w:r>
      <w:r>
        <w:t>.</w:t>
      </w:r>
      <w:r>
        <w:tab/>
        <w:t xml:space="preserve">Экономические, социальные и культурные права </w:t>
      </w:r>
      <w:r>
        <w:tab/>
      </w:r>
      <w:r>
        <w:tab/>
        <w:t>56 - 74</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tabs>
          <w:tab w:val="clear" w:pos="6237"/>
          <w:tab w:val="decimal" w:pos="567"/>
          <w:tab w:val="left" w:pos="1134"/>
          <w:tab w:val="left" w:pos="1701"/>
          <w:tab w:val="left" w:pos="2268"/>
          <w:tab w:val="right" w:leader="dot" w:pos="7750"/>
          <w:tab w:val="center" w:pos="8759"/>
        </w:tabs>
      </w:pPr>
      <w:r>
        <w:tab/>
      </w:r>
      <w:r>
        <w:rPr>
          <w:lang w:val="en-US"/>
        </w:rPr>
        <w:t>VI</w:t>
      </w:r>
      <w:r>
        <w:t>.</w:t>
      </w:r>
      <w:r>
        <w:tab/>
        <w:t>СВЕДЕНИЯ, КАСАЮЩИЕСЯ СТАТЬИ 6 КОНВЕНЦИИ</w:t>
      </w:r>
      <w:r>
        <w:tab/>
      </w:r>
      <w:r>
        <w:tab/>
        <w:t>75 - 78</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tabs>
          <w:tab w:val="clear" w:pos="6237"/>
          <w:tab w:val="decimal" w:pos="567"/>
          <w:tab w:val="left" w:pos="1134"/>
          <w:tab w:val="left" w:pos="1701"/>
          <w:tab w:val="left" w:pos="2268"/>
          <w:tab w:val="right" w:leader="dot" w:pos="7750"/>
          <w:tab w:val="center" w:pos="8759"/>
        </w:tabs>
      </w:pPr>
      <w:r>
        <w:tab/>
      </w:r>
      <w:r>
        <w:rPr>
          <w:lang w:val="en-US"/>
        </w:rPr>
        <w:t>VII</w:t>
      </w:r>
      <w:r>
        <w:t>.</w:t>
      </w:r>
      <w:r>
        <w:tab/>
        <w:t xml:space="preserve">СВЕДЕНИЯ, КАСАЮЩИЕСЯ СТАТЬИ 7 КОНВЕНЦИИ </w:t>
      </w:r>
      <w:r>
        <w:tab/>
      </w:r>
      <w:r>
        <w:tab/>
        <w:t>79 - 88</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tabs>
          <w:tab w:val="clear" w:pos="6237"/>
          <w:tab w:val="decimal" w:pos="567"/>
          <w:tab w:val="left" w:pos="1134"/>
          <w:tab w:val="left" w:pos="1701"/>
          <w:tab w:val="left" w:pos="2268"/>
          <w:tab w:val="right" w:leader="dot" w:pos="7750"/>
          <w:tab w:val="center" w:pos="8759"/>
        </w:tabs>
      </w:pPr>
      <w:r>
        <w:tab/>
      </w:r>
      <w:r>
        <w:tab/>
        <w:t>А.</w:t>
      </w:r>
      <w:r>
        <w:tab/>
        <w:t xml:space="preserve">Преподавание и воспитание </w:t>
      </w:r>
      <w:r>
        <w:tab/>
      </w:r>
      <w:r>
        <w:tab/>
        <w:t>80 - 85</w:t>
      </w:r>
    </w:p>
    <w:p w:rsidR="00000000" w:rsidRDefault="00000000">
      <w:pPr>
        <w:tabs>
          <w:tab w:val="clear" w:pos="6237"/>
          <w:tab w:val="decimal" w:pos="567"/>
          <w:tab w:val="left" w:pos="1134"/>
          <w:tab w:val="left" w:pos="1701"/>
          <w:tab w:val="left" w:pos="2268"/>
          <w:tab w:val="right" w:leader="dot" w:pos="7750"/>
          <w:tab w:val="center" w:pos="8759"/>
        </w:tabs>
      </w:pPr>
      <w:r>
        <w:tab/>
      </w:r>
      <w:r>
        <w:tab/>
        <w:t>В.</w:t>
      </w:r>
      <w:r>
        <w:tab/>
        <w:t xml:space="preserve">Культура и информация </w:t>
      </w:r>
      <w:r>
        <w:tab/>
      </w:r>
      <w:r>
        <w:tab/>
        <w:t>86 - 88</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tabs>
          <w:tab w:val="clear" w:pos="6237"/>
          <w:tab w:val="decimal" w:pos="567"/>
          <w:tab w:val="left" w:pos="1134"/>
          <w:tab w:val="left" w:pos="1701"/>
          <w:tab w:val="left" w:pos="2268"/>
          <w:tab w:val="right" w:leader="dot" w:pos="7750"/>
          <w:tab w:val="center" w:pos="8759"/>
        </w:tabs>
      </w:pPr>
      <w:r>
        <w:t xml:space="preserve">Выводы </w:t>
      </w:r>
      <w:r>
        <w:tab/>
      </w:r>
      <w:r>
        <w:tab/>
      </w:r>
      <w:r>
        <w:tab/>
      </w:r>
      <w:r>
        <w:tab/>
      </w:r>
      <w:r>
        <w:tab/>
        <w:t>89</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jc w:val="center"/>
        <w:rPr>
          <w:b/>
          <w:bCs/>
        </w:rPr>
      </w:pPr>
      <w:r>
        <w:rPr>
          <w:b/>
          <w:bCs/>
        </w:rPr>
        <w:br w:type="page"/>
        <w:t>Введение</w:t>
      </w:r>
    </w:p>
    <w:p w:rsidR="00000000" w:rsidRDefault="00000000"/>
    <w:p w:rsidR="00000000" w:rsidRDefault="00000000">
      <w:r>
        <w:t>1.</w:t>
      </w:r>
      <w:r>
        <w:tab/>
        <w:t>Тунис разделяет цели и принципы Организации Объединенных Наций, провозглашенные в международных договорах, в частности в тех, которые касаются запрещения дискриминации по признакам расы, цвета кожи, родового, национального или этнического происхождения.  Эту позицию подтверждает ратификация Тунисом 12 января 1967 года Международной конвенции о ликвидации всех форм расовой дискриминации.  Явление расовой дискриминации всегда было чуждо для Туниса.  В стране перемешаны различные народы и цивилизации.  Принципы терпимости и уважения других глубоко укоренились в арабо-мусульманской цивилизации, к которой принадлежит Тунис и в обогащение которой он вносит значительный вклад, выступая в авангарде мировой цивилизации.  Исходя из этих основополагающих посылок, правительство Туниса представляет свой сводный периодический доклад об осуществлении упомянутой выше Конвенции.</w:t>
      </w:r>
    </w:p>
    <w:p w:rsidR="00000000" w:rsidRDefault="00000000"/>
    <w:p w:rsidR="00000000" w:rsidRDefault="00000000">
      <w:r>
        <w:t>2.</w:t>
      </w:r>
      <w:r>
        <w:tab/>
        <w:t>Настоящий доклад представлен Комитету по ликвидации расовой дискриминации в соответствии с пунктом 1 </w:t>
      </w:r>
      <w:r>
        <w:rPr>
          <w:lang w:val="en-US"/>
        </w:rPr>
        <w:t>b</w:t>
      </w:r>
      <w:r>
        <w:t>) статьи 9 Международной конвенции о ликвидации всех форм расовой дискриминации.  Охватывая период 1992-2001 годов, доклад представляет собой тринадцатый, четырнадцатый, пятнадцатый, шестнадцатый и семнадцатый периодические доклады и дополняет доклад от 6 апреля 1993 года (</w:t>
      </w:r>
      <w:r>
        <w:rPr>
          <w:lang w:val="en-US"/>
        </w:rPr>
        <w:t>CERD</w:t>
      </w:r>
      <w:r>
        <w:t>/</w:t>
      </w:r>
      <w:r>
        <w:rPr>
          <w:lang w:val="en-US"/>
        </w:rPr>
        <w:t>C</w:t>
      </w:r>
      <w:r>
        <w:t>/226/</w:t>
      </w:r>
      <w:r>
        <w:rPr>
          <w:lang w:val="en-US"/>
        </w:rPr>
        <w:t>Add</w:t>
      </w:r>
      <w:r>
        <w:t>.10).</w:t>
      </w:r>
    </w:p>
    <w:p w:rsidR="00000000" w:rsidRDefault="00000000"/>
    <w:p w:rsidR="00000000" w:rsidRDefault="00000000">
      <w:pPr>
        <w:jc w:val="center"/>
        <w:rPr>
          <w:b/>
          <w:bCs/>
        </w:rPr>
      </w:pPr>
      <w:r>
        <w:rPr>
          <w:b/>
          <w:bCs/>
          <w:lang w:val="en-US"/>
        </w:rPr>
        <w:t>I</w:t>
      </w:r>
      <w:r>
        <w:rPr>
          <w:b/>
          <w:bCs/>
        </w:rPr>
        <w:t>.</w:t>
      </w:r>
      <w:r>
        <w:rPr>
          <w:b/>
          <w:bCs/>
        </w:rPr>
        <w:tab/>
        <w:t>НЕКОТОРЫЕ НЕДАВНИЕ ДАННЫЕ О СОЦИАЛЬНО-</w:t>
      </w:r>
    </w:p>
    <w:p w:rsidR="00000000" w:rsidRDefault="00000000">
      <w:pPr>
        <w:jc w:val="center"/>
        <w:rPr>
          <w:b/>
          <w:bCs/>
        </w:rPr>
      </w:pPr>
      <w:r>
        <w:rPr>
          <w:b/>
          <w:bCs/>
        </w:rPr>
        <w:t>ЭКОНОМИЧЕСКОМ РАЗВИТИИ ТУНИСА</w:t>
      </w:r>
    </w:p>
    <w:p w:rsidR="00000000" w:rsidRDefault="00000000">
      <w:pPr>
        <w:rPr>
          <w:b/>
          <w:bCs/>
        </w:rPr>
      </w:pPr>
    </w:p>
    <w:p w:rsidR="00000000" w:rsidRDefault="00000000">
      <w:r>
        <w:t>3.</w:t>
      </w:r>
      <w:r>
        <w:tab/>
        <w:t xml:space="preserve">В 2001 году население Туниса составляло приблизительно 9,6 млн. человек.  Темпы демографического роста, установившиеся на уровне 1,14%, относятся к самым низким на Африканском континенте.  Доля городского населения составляет более 62%.  В 1999 году в БольшомТунисе - главном городе страны - проживало более 2 млн. человек. </w:t>
      </w:r>
    </w:p>
    <w:p w:rsidR="00000000" w:rsidRDefault="00000000"/>
    <w:p w:rsidR="00000000" w:rsidRDefault="00000000">
      <w:r>
        <w:t>4.</w:t>
      </w:r>
      <w:r>
        <w:tab/>
        <w:t>Демографические показатели свидетельствуют о том, что, начиная с 60</w:t>
      </w:r>
      <w:r>
        <w:noBreakHyphen/>
        <w:t>х годов, коэффициент рождаемости постоянно снижался в результате улучшения условий жизни, повышения уровня образования, возрастания роли женщины в обществе и особенно вследствие улучшения медицинского и социального обслуживания населения.  Последовательное снижение рождаемости и стабильный рост средней продолжительности жизни при рождении подтверждают особенности переходного демографического этапа, на котором находится Тунис в течение 40 лет, что явствует из следующих определяющих показателей:</w:t>
      </w:r>
    </w:p>
    <w:p w:rsidR="00000000" w:rsidRDefault="00000000"/>
    <w:p w:rsidR="00000000" w:rsidRDefault="00000000">
      <w:r>
        <w:tab/>
        <w:t>а)</w:t>
      </w:r>
      <w:r>
        <w:tab/>
        <w:t xml:space="preserve">сокращение доли детей, не доживающих до четырехлетнего возраста, по отношению ко всему населению с 18,6% в 1966 году до 11,1% в 1994 году и 9,0% в 1999 году;  </w:t>
      </w:r>
    </w:p>
    <w:p w:rsidR="00000000" w:rsidRDefault="00000000"/>
    <w:p w:rsidR="00000000" w:rsidRDefault="00000000">
      <w:r>
        <w:tab/>
      </w:r>
      <w:r>
        <w:rPr>
          <w:lang w:val="en-US"/>
        </w:rPr>
        <w:t>b</w:t>
      </w:r>
      <w:r>
        <w:t>)</w:t>
      </w:r>
      <w:r>
        <w:tab/>
        <w:t>рост численности экономически активного населения (в возрасте 15 лет и старше), которое увеличилось с 2 772 400 в 1994 году до 3 149 900 в 1999 году.  Доля мужчин среди экономически активного населения уменьшилась с 76,4% в 1994 году до 75,4%, а доля женщин возросла за тот же период с 23,6% до 24,6% (Национальный институт статистики, Обследование населения и занятости, 1999 год);</w:t>
      </w:r>
    </w:p>
    <w:p w:rsidR="00000000" w:rsidRDefault="00000000"/>
    <w:p w:rsidR="00000000" w:rsidRDefault="00000000">
      <w:r>
        <w:tab/>
        <w:t>с)</w:t>
      </w:r>
      <w:r>
        <w:tab/>
        <w:t>заметная эволюция доли населения в возрасте старше 60 лет, которая увеличилась с 5,5% от общей численности населения в 1996 году до 8,3% в 1995 году и 9,0% в 1999 году.</w:t>
      </w:r>
    </w:p>
    <w:p w:rsidR="00000000" w:rsidRDefault="00000000"/>
    <w:p w:rsidR="00000000" w:rsidRDefault="00000000">
      <w:r>
        <w:t>5.</w:t>
      </w:r>
      <w:r>
        <w:tab/>
        <w:t xml:space="preserve">В 2000 году тунисская община за границей составляла 698 108 человек против 659 892 в 1999 году.  Европейские страны привлекали около 85% тунисцев, проживающих за границей, в том числе 62% - Франция.  Исходя из того принципа, что проживающие за границей тунисцы являются неотъемлемой частью нации, правительство Туниса постоянно уделяло им особое приоритетное внимание в плане сохранения их прав и последовательного улучшения условий их жизни и благосостояния. </w:t>
      </w:r>
    </w:p>
    <w:p w:rsidR="00000000" w:rsidRDefault="00000000"/>
    <w:p w:rsidR="00000000" w:rsidRDefault="00000000">
      <w:r>
        <w:t>6.</w:t>
      </w:r>
      <w:r>
        <w:tab/>
        <w:t>Для периода 1992-2001 годов характерны активизация и продолжение крупномасштабных реформ, которые инициировал Президент Зин аль-Абидин бен Али в целях укрепления правового государства, поощрения демократии и защиты прав человека.</w:t>
      </w:r>
    </w:p>
    <w:p w:rsidR="00000000" w:rsidRDefault="00000000"/>
    <w:p w:rsidR="00000000" w:rsidRDefault="00000000">
      <w:r>
        <w:t>7.</w:t>
      </w:r>
      <w:r>
        <w:tab/>
        <w:t>Принцип равенства прав мужчин и женщин провозглашен и закреплен в Конституции и в других законодательных актах.  Статья 6 Конституции от 1 июня 1959 года гласит:  "Все граждане имеют одинаковые права и одинаковые обязанности.  Они равны перед законом".  Принятый 13 августа 1956 года Кодекс о личном статусе отменил многоженство, ввел порядок нотариального заключения брака, определил процедуру судебного расторжения брака, установил семнадцатилетний минимальный возраст для вступления в брак девочек с их согласия и предоставил матери, в случае смерти отца, право опеки над ее несовершеннолетними детьми.  За истекшее десятилетие приняты новые меры по закреплению достигнутого женщинами в установлении партнерских отношений между супругами.</w:t>
      </w:r>
    </w:p>
    <w:p w:rsidR="00000000" w:rsidRDefault="00000000"/>
    <w:p w:rsidR="00000000" w:rsidRDefault="00000000">
      <w:r>
        <w:t>8.</w:t>
      </w:r>
      <w:r>
        <w:tab/>
        <w:t xml:space="preserve">Благодаря этим мерам осуществление восьмого национального плана развития (1992-1996 годы), а затем и девятого плана (1997-2001 годы) стало для Туниса периодом беспрецедентного экономического роста, политической стабильности и социального мира.  В настоящее время средний класс составляет </w:t>
      </w:r>
      <w:proofErr w:type="spellStart"/>
      <w:r>
        <w:t>60%</w:t>
      </w:r>
      <w:proofErr w:type="spellEnd"/>
      <w:r>
        <w:t xml:space="preserve"> населения Туниса;  </w:t>
      </w:r>
      <w:proofErr w:type="spellStart"/>
      <w:r>
        <w:t>80%</w:t>
      </w:r>
      <w:proofErr w:type="spellEnd"/>
      <w:r>
        <w:t xml:space="preserve"> домашних хозяйств являются собственниками своего жилья.  Доля бедных сократилась с </w:t>
      </w:r>
      <w:proofErr w:type="spellStart"/>
      <w:r>
        <w:t>13%</w:t>
      </w:r>
      <w:proofErr w:type="spellEnd"/>
      <w:r>
        <w:t xml:space="preserve"> в 1980 году до </w:t>
      </w:r>
      <w:proofErr w:type="spellStart"/>
      <w:r>
        <w:t>6%</w:t>
      </w:r>
      <w:proofErr w:type="spellEnd"/>
      <w:r>
        <w:t xml:space="preserve"> в 1999 году и </w:t>
      </w:r>
      <w:proofErr w:type="spellStart"/>
      <w:r>
        <w:t>4%</w:t>
      </w:r>
      <w:proofErr w:type="spellEnd"/>
      <w:r>
        <w:t xml:space="preserve"> в 2000 году.  Доход на душу населения возрос с 927 динаров в 1984 году до 2 422 динаров в 1998 году и 2 701 динара в 2000 году.  В 2000 году уровень охвата обязательным школьным образованием шестилетних детей достиг </w:t>
      </w:r>
      <w:proofErr w:type="spellStart"/>
      <w:r>
        <w:t>99,1%</w:t>
      </w:r>
      <w:proofErr w:type="spellEnd"/>
      <w:r>
        <w:t>.  Показатель средней продолжительности жизни при рождении составил в 1999 году 72 года против 67 лет в 1987 году.</w:t>
      </w:r>
    </w:p>
    <w:p w:rsidR="00000000" w:rsidRDefault="00000000">
      <w:pPr>
        <w:rPr>
          <w:b/>
          <w:bCs/>
        </w:rPr>
      </w:pPr>
    </w:p>
    <w:p w:rsidR="00000000" w:rsidRDefault="00000000">
      <w:pPr>
        <w:jc w:val="center"/>
        <w:rPr>
          <w:b/>
          <w:bCs/>
        </w:rPr>
      </w:pPr>
      <w:r>
        <w:rPr>
          <w:b/>
          <w:bCs/>
          <w:lang w:val="en-US"/>
        </w:rPr>
        <w:t>II</w:t>
      </w:r>
      <w:r>
        <w:rPr>
          <w:b/>
          <w:bCs/>
        </w:rPr>
        <w:t>.</w:t>
      </w:r>
      <w:r>
        <w:rPr>
          <w:b/>
          <w:bCs/>
        </w:rPr>
        <w:tab/>
        <w:t>СВЕДЕНИЯ, КАСАЮЩИЕСЯ СТАТЬИ 2 КОНВЕНЦИИ</w:t>
      </w:r>
    </w:p>
    <w:p w:rsidR="00000000" w:rsidRDefault="00000000">
      <w:pPr>
        <w:jc w:val="center"/>
      </w:pPr>
    </w:p>
    <w:p w:rsidR="00000000" w:rsidRDefault="00000000">
      <w:r>
        <w:t>9.</w:t>
      </w:r>
      <w:r>
        <w:tab/>
        <w:t>В соответствии с этой статьей каждое государство-участник обязуется не совершать в отношении отдельных лиц, групп лиц или учреждений каких-либо актов или действий, связанных с расовой дискриминацией, и не поощрять подобные действия или практику;  принять, если это необходимо, законодательные меры по пресечению таких действий, принять необходимые меры для уничтожения расовых барьеров и обеспечения адекватной защиты отдельных расовых групп или лиц, к ним принадлежащих, с тем чтобы гарантировать им полное и равное использование прав человека и основных свобод.  Соответствующая информация на этот счет излагается ниже.</w:t>
      </w:r>
    </w:p>
    <w:p w:rsidR="00000000" w:rsidRDefault="00000000"/>
    <w:p w:rsidR="00000000" w:rsidRDefault="00000000">
      <w:r>
        <w:t>10.</w:t>
      </w:r>
      <w:r>
        <w:tab/>
        <w:t>В Тунисе никакие государственные или частные органы и учреждения не совершают действия, связанные с расовой дискриминацией или сегрегацией в отношении отдельных лиц или групп лиц, независимо от их цвета кожи, пола, вероисповедания и национальной принадлежности.</w:t>
      </w:r>
    </w:p>
    <w:p w:rsidR="00000000" w:rsidRDefault="00000000"/>
    <w:p w:rsidR="00000000" w:rsidRDefault="00000000">
      <w:r>
        <w:t>11.</w:t>
      </w:r>
      <w:r>
        <w:tab/>
        <w:t>В Тунисе нет отсталых расовых групп, положение которых потребовало бы принятия временных мер для обеспечения им пользования правами человека и основными свободами в экономической, социальной, культурной, политической и иных областях.</w:t>
      </w:r>
    </w:p>
    <w:p w:rsidR="00000000" w:rsidRDefault="00000000"/>
    <w:p w:rsidR="00000000" w:rsidRDefault="00000000">
      <w:r>
        <w:t>12.</w:t>
      </w:r>
      <w:r>
        <w:tab/>
        <w:t>Государство не поощряет, не защищает и не поддерживает расовую дискриминацию, отвергая ее на том основании, что она абсолютно несовместима с положениями Конституции, в частности со статьей 6.  Это конституционное положение находит свое отражение в законодательной и нормативной системе Туниса.</w:t>
      </w:r>
    </w:p>
    <w:p w:rsidR="00000000" w:rsidRDefault="00000000"/>
    <w:p w:rsidR="00000000" w:rsidRDefault="00000000">
      <w:r>
        <w:t>13.</w:t>
      </w:r>
      <w:r>
        <w:tab/>
        <w:t>В статье 44 Кодекса законов о печати говорится о том, что "лица, которые… непосредственно либо разжигают ненависть между расами, религиями или жителями, либо занимаются пропагандой идей, основанных на расовой сегрегации или религиозном экстремизме, караются лишением свободы на срок от двух месяцев до трех лет и штрафом в размере от 1 000 до 2 000 динаров…".</w:t>
      </w:r>
    </w:p>
    <w:p w:rsidR="00000000" w:rsidRDefault="00000000"/>
    <w:p w:rsidR="00000000" w:rsidRDefault="00000000">
      <w:r>
        <w:t>14.</w:t>
      </w:r>
      <w:r>
        <w:tab/>
        <w:t>Кроме того, в рамках борьбы против всех форм дискриминации в Уголовный кодекс (статья 52-бис), в соответствии с Законом 93-112 от 22 ноября 1993 года, было включено новое положение, которое гласит, что "лицо, совершившее правонарушение, квалифицируемое как террористическое, подлежит наказанию, предусмотренному за совершение такого правонарушения;  срок этого наказания не может быть снижен более чем на половину.  Как террористическое квалифицируется любое правонарушение, совершенное в отношении отдельного лица или группы лиц и имеющее своей целью посягательство на отдельных лиц или имущество посредством запугивания или террора.  Аналогичным образом квалифицируются действия, связанные с разжиганием ненависти, расового или религиозного фанатизма, независимо от того, какие средства при этом используются".</w:t>
      </w:r>
    </w:p>
    <w:p w:rsidR="00000000" w:rsidRDefault="00000000"/>
    <w:p w:rsidR="00000000" w:rsidRDefault="00000000">
      <w:pPr>
        <w:jc w:val="center"/>
        <w:rPr>
          <w:b/>
          <w:bCs/>
        </w:rPr>
      </w:pPr>
      <w:r>
        <w:rPr>
          <w:b/>
          <w:bCs/>
          <w:lang w:val="en-US"/>
        </w:rPr>
        <w:t>III</w:t>
      </w:r>
      <w:r>
        <w:rPr>
          <w:b/>
          <w:bCs/>
        </w:rPr>
        <w:t>.</w:t>
      </w:r>
      <w:r>
        <w:rPr>
          <w:b/>
          <w:bCs/>
        </w:rPr>
        <w:tab/>
        <w:t>СВЕДЕНИЯ, КАСАЮЩИЕСЯ СТАТЬИ 3 КОНВЕНЦИИ</w:t>
      </w:r>
    </w:p>
    <w:p w:rsidR="00000000" w:rsidRDefault="00000000">
      <w:pPr>
        <w:jc w:val="center"/>
      </w:pPr>
    </w:p>
    <w:p w:rsidR="00000000" w:rsidRDefault="00000000">
      <w:r>
        <w:t>15.</w:t>
      </w:r>
      <w:r>
        <w:tab/>
        <w:t>В соответствии с этой статьей государства-участники осуждают расовую сегрегацию и апартеид и обязуются предупреждать, запрещать и искоренять всякую практику такого характера на территориях, находящихся под их юрисдикцией.  Политика апартеида и практика расовой дискриминации чужды для тунисского общества.  Тунис всегда отвергал и осуждал подобную политику и практику.  Он постоянно выступает за диалог между различными цивилизациями и культурами.</w:t>
      </w:r>
    </w:p>
    <w:p w:rsidR="00000000" w:rsidRDefault="00000000"/>
    <w:p w:rsidR="00000000" w:rsidRDefault="00000000">
      <w:r>
        <w:t>16.</w:t>
      </w:r>
      <w:r>
        <w:tab/>
        <w:t>Тунис присоединился к Международной конвенции о пресечения преступления апартеида и наказании за него (закон о присоединении № 76/89 от 4 ноября 1976 года) и ратифицировал Международную конвенцию против апартеида в спорте (закон о ратификации № 89/2 от 27 февраля 1989 года).</w:t>
      </w:r>
    </w:p>
    <w:p w:rsidR="00000000" w:rsidRDefault="00000000"/>
    <w:p w:rsidR="00000000" w:rsidRDefault="00000000">
      <w:r>
        <w:t>17.</w:t>
      </w:r>
      <w:r>
        <w:tab/>
        <w:t xml:space="preserve">Тунис решительно осуждал систему апартеида, существовавшую в Южной Африке, и никогда не имел дипломатических или консульских отношений с этим режимом.  Тунис поощрял процесс примирения и воссоединения южноафриканского общества, который начался в Южной Африке благодаря проведению в 1994 году свободных всеобщих выборов.  </w:t>
      </w:r>
    </w:p>
    <w:p w:rsidR="00000000" w:rsidRDefault="00000000"/>
    <w:p w:rsidR="00000000" w:rsidRDefault="00000000">
      <w:pPr>
        <w:jc w:val="center"/>
        <w:rPr>
          <w:b/>
          <w:bCs/>
        </w:rPr>
      </w:pPr>
      <w:r>
        <w:rPr>
          <w:b/>
          <w:bCs/>
          <w:lang w:val="en-US"/>
        </w:rPr>
        <w:t>IV</w:t>
      </w:r>
      <w:r>
        <w:rPr>
          <w:b/>
          <w:bCs/>
        </w:rPr>
        <w:t>.</w:t>
      </w:r>
      <w:r>
        <w:rPr>
          <w:b/>
          <w:bCs/>
        </w:rPr>
        <w:tab/>
        <w:t>СВЕДЕНИЯ, КАСАЮЩИЕСЯ СТАТЬИ 4 КОНВЕНЦИИ</w:t>
      </w:r>
    </w:p>
    <w:p w:rsidR="00000000" w:rsidRDefault="00000000">
      <w:pPr>
        <w:jc w:val="center"/>
      </w:pPr>
    </w:p>
    <w:p w:rsidR="00000000" w:rsidRDefault="00000000">
      <w:r>
        <w:t>18.</w:t>
      </w:r>
      <w:r>
        <w:tab/>
        <w:t>В соответствии с этой статьей государства-участники обязуются предупреждать, запрещать и осуждать всякую пропаганду и все организации, основанные на идеях или теориях превосходства одной расы или группы лиц определенного цвета кожи или этнического происхождения либо пытающиеся оправдать или поощрять расовую ненависть и дискриминацию в какой бы то ни было форме, а также объявить противозаконными и карать всякую подобную пропаганду или организацию.</w:t>
      </w:r>
    </w:p>
    <w:p w:rsidR="00000000" w:rsidRDefault="00000000"/>
    <w:p w:rsidR="00000000" w:rsidRDefault="00000000">
      <w:r>
        <w:t>19.</w:t>
      </w:r>
      <w:r>
        <w:tab/>
        <w:t>Органы государственной власти и государственные учреждения в Тунисе не поддерживают, не поощряют расовую дискриминацию и не подстрекают к ней.  Тунисское законодательство запрещает любое подстрекательство к расовой дискриминации и содержит свод положений, в которых разжигание расовой ненависти и любые акты нетерпимости или расизма квалифицируются как караемые по закону преступления.</w:t>
      </w:r>
    </w:p>
    <w:p w:rsidR="00000000" w:rsidRDefault="00000000"/>
    <w:p w:rsidR="00000000" w:rsidRDefault="00000000">
      <w:r>
        <w:t>20.</w:t>
      </w:r>
      <w:r>
        <w:tab/>
        <w:t>В соответствии с (новой) статьей 44 Кодекса законов о печати с изменениями, внесенными на основании органического закона № 93-85 от 2 августа 1993 года, подлежат наказанию "лица, которые… непосредственно либо разжигают ненависть между расами, религиями или жителями, либо занимаются пропагандой идей, основанных на расовой сегрегации или религиозном экстремизме…".</w:t>
      </w:r>
    </w:p>
    <w:p w:rsidR="00000000" w:rsidRDefault="00000000"/>
    <w:p w:rsidR="00000000" w:rsidRDefault="00000000">
      <w:r>
        <w:t>21.</w:t>
      </w:r>
      <w:r>
        <w:tab/>
        <w:t>В статье 52-бис Уголовного кодекса, которая была включена в него на основании закона от 16 ноября 1993 года о внесении изменений в Уголовный кодекс, говорится о том, что "лицо, совершившее правонарушение, квалифицируемое как террористическое, подлежит наказанию, предусмотренному за совершение такого правонарушения;  срок этого наказания не может быть снижен более чем на половину.  Как террористическое квалифицируется любое правонарушение, совершенное в отношении отдельного лица или группы лиц и имеющее своей целью посягательство на отдельных лиц или имущество посредством запугивания или террора.  Аналогичным образом квалифицируются действия, связанные с разжиганием ненависти, расового или религиозного фанатизма, независимо от того, какие средства при этом используются".</w:t>
      </w:r>
    </w:p>
    <w:p w:rsidR="00000000" w:rsidRDefault="00000000"/>
    <w:p w:rsidR="00000000" w:rsidRDefault="00000000">
      <w:r>
        <w:t>22.</w:t>
      </w:r>
      <w:r>
        <w:tab/>
        <w:t>Кроме того, статья 161 Уголовного кодекса гласит, что "любое лицо, которое уничтожает, разрушает, повреждает, загрязняет или оскверняет здания, памятники, объекты или предметы, используемые для отправления культа, наказывается лишением свободы сроком на один год и штрафом".  Статья 163 того же Кодекса дополнительно предусматривает:  "Те же наказания применяются в отношении лиц, которые повреждают или уничтожают музейные экспонаты, книги или рукописи, хранящиеся в публичных библиотеках или религиозных зданиях, либо любые предметы или документы, хранящиеся в государственных фондах, архивах или на административных складах".</w:t>
      </w:r>
    </w:p>
    <w:p w:rsidR="00000000" w:rsidRDefault="00000000"/>
    <w:p w:rsidR="00000000" w:rsidRDefault="00000000">
      <w:r>
        <w:t>23.</w:t>
      </w:r>
      <w:r>
        <w:tab/>
        <w:t>Кроме того, в статье 165 Уголовного кодекса говорится о том, что "любое лицо, препятствующее отправлению религиозного культа или церемонии либо нарушающее их ход, наказывается лишением свободы на срок в шесть месяцев и штрафом, что не исключает применения более суровых наказаний, предусмотренных за оскорбление, насильственные действия или угрозы".  В соответствии со статьей 166 "любое лицо, которое, не имея никаких предусмотренным законом полномочий в отношении другого лица, принуждает его с помощью насилия или угроз к отправлению религиозного культа или заставляет его воздерживаться от такого отправления, подлежит наказанию в виде лишения свободы сроком на три месяца".</w:t>
      </w:r>
    </w:p>
    <w:p w:rsidR="00000000" w:rsidRDefault="00000000"/>
    <w:p w:rsidR="00000000" w:rsidRDefault="00000000">
      <w:r>
        <w:t>24.</w:t>
      </w:r>
      <w:r>
        <w:tab/>
        <w:t>Статья 53 Кодекса законов о печати предусматривает, что "диффамация в отношении частных лиц … карается тюремным заключением на срок от 16 суток до шести месяцев и штрафом, либо лишь одним из этих двух наказаний".  В той же статье добавляется, что "диффамация с помощью тех же средств в отношении группы лиц, не указываемых в настоящей статье, но принадлежащих, по своему происхождению, к одной определенной расе или религии, карается тюремным заключением на срок от одного месяца до одного года и штрафом, если она направлена на разжигание ненависти между гражданами или жителями".</w:t>
      </w:r>
    </w:p>
    <w:p w:rsidR="00000000" w:rsidRDefault="00000000"/>
    <w:p w:rsidR="00000000" w:rsidRDefault="00000000">
      <w:r>
        <w:t>25.</w:t>
      </w:r>
      <w:r>
        <w:tab/>
        <w:t>В пункте 4 статьи 54 Кодекса законов о печати предусматривается наказание в виде тюремного заключения на срок до одного года и штраф за оскорбление, которое с помощью тех же средств было нанесено группе лиц, принадлежащих, по своему происхождению, к одной определенной расе или религии, в целях разжигания ненависти между гражданами или жителями.</w:t>
      </w:r>
    </w:p>
    <w:p w:rsidR="00000000" w:rsidRDefault="00000000"/>
    <w:p w:rsidR="00000000" w:rsidRDefault="00000000">
      <w:r>
        <w:t>26.</w:t>
      </w:r>
      <w:r>
        <w:tab/>
        <w:t>В случае оглашения позорящих сведений или нанесения оскорбления частному лицу судебное преследование возбуждается лишь на основании жалобы потерпевшего.  В том случае, когда аналогичные акты совершены в отношении группы лиц, принадлежащих, в частности, к одной определенной расе или религии, в целях разжигания ненависти между гражданами или жителями, судебное преследование может быть возбуждено по инициативе Прокуратуры (статья 72 Кодекса законов о печати).</w:t>
      </w:r>
    </w:p>
    <w:p w:rsidR="00000000" w:rsidRDefault="00000000"/>
    <w:p w:rsidR="00000000" w:rsidRDefault="00000000">
      <w:r>
        <w:t>27.</w:t>
      </w:r>
      <w:r>
        <w:tab/>
        <w:t>В органическом законе № 88-32 от 3 мая 1988 года, который касается организации политических партий, уточнен порядок учреждения политических партий и управления ими.  Общей нормой является свобода учреждать политические партии в соответствии с процедурами, предусмотренными в упомянутом законе.  В то же время статья 2 закона обязывает политические партии уважать и защищать:</w:t>
      </w:r>
    </w:p>
    <w:p w:rsidR="00000000" w:rsidRDefault="00000000"/>
    <w:p w:rsidR="00000000" w:rsidRDefault="00000000">
      <w:r>
        <w:tab/>
        <w:t>а)</w:t>
      </w:r>
      <w:r>
        <w:tab/>
        <w:t xml:space="preserve">права человека, провозглашенные в Конституции и в международных конвенциях, ратифицированных Тунисом;  </w:t>
      </w:r>
    </w:p>
    <w:p w:rsidR="00000000" w:rsidRDefault="00000000"/>
    <w:p w:rsidR="00000000" w:rsidRDefault="00000000">
      <w:r>
        <w:tab/>
      </w:r>
      <w:r>
        <w:rPr>
          <w:lang w:val="en-US"/>
        </w:rPr>
        <w:t>b</w:t>
      </w:r>
      <w:r>
        <w:t>)</w:t>
      </w:r>
      <w:r>
        <w:tab/>
        <w:t>национальные достижения, в частности республиканский государственный строй и его основы, а также принцип закрепленного в Конституции суверенитета народа и принципы, определяющие личный статус;</w:t>
      </w:r>
    </w:p>
    <w:p w:rsidR="00000000" w:rsidRDefault="00000000"/>
    <w:p w:rsidR="00000000" w:rsidRDefault="00000000">
      <w:r>
        <w:tab/>
        <w:t>с)</w:t>
      </w:r>
      <w:r>
        <w:tab/>
        <w:t>отказ от любых форм насилия, а также от фанатизма, расизма и любых иных форм дискриминации.</w:t>
      </w:r>
    </w:p>
    <w:p w:rsidR="00000000" w:rsidRDefault="00000000"/>
    <w:p w:rsidR="00000000" w:rsidRDefault="00000000">
      <w:r>
        <w:t>28.</w:t>
      </w:r>
      <w:r>
        <w:tab/>
        <w:t xml:space="preserve">Кроме того, в статье 3 того же закона предусматривается, что "политические партии не могут основывать свои принципы, цели, деятельность и программы на критериях религии, языка, расы, пола или местожительства.  </w:t>
      </w:r>
    </w:p>
    <w:p w:rsidR="00000000" w:rsidRDefault="00000000"/>
    <w:p w:rsidR="00000000" w:rsidRDefault="00000000">
      <w:r>
        <w:t>29.</w:t>
      </w:r>
      <w:r>
        <w:tab/>
        <w:t>Статья 17 также запрещает политическим партиям выступать с призывами, которые провоцируют или поощряют насилие в целях разжигания ненависти между гражданами.  Эти принципы и обязательства, которыми должны руководствоваться политические партии, исходят из статьи 8 Конституции, где говорится следующее:</w:t>
      </w:r>
    </w:p>
    <w:p w:rsidR="00000000" w:rsidRDefault="00000000"/>
    <w:p w:rsidR="00000000" w:rsidRDefault="00000000">
      <w:pPr>
        <w:ind w:left="567" w:hanging="567"/>
      </w:pPr>
      <w:r>
        <w:tab/>
      </w:r>
      <w:r>
        <w:tab/>
        <w:t>"Свобода мнений и их выражения, печати, публикаций, собраний и ассоциаций гарантируется и осуществляется на определенных законом условиях.  Права профсоюзов гарантируются.  Политические партии способствуют объединению граждан в целях поощрения их участия в политической жизни.  Политические партии должны быть организованы на демократических основах.  Они должны уважать суверенитет народа, ценности Республики, права человека и принципы, определяющие личный статус.  Политические партии обязуются искоренять любые формы насилия, фанатизма, расизма и любые формы дискриминации.  Политические партии не могут основывать свои принципы, цели, деятельность и программы на критериях религии, языка, расы, пола или местожительства.  Всем политическим партиям запрещается поддерживать связи, которые ставят их в зависимость от иностранных партий или интересов.  Порядок учреждения или организации партий устанавливается законом".</w:t>
      </w:r>
    </w:p>
    <w:p w:rsidR="00000000" w:rsidRDefault="00000000">
      <w:pPr>
        <w:ind w:left="567" w:hanging="567"/>
      </w:pPr>
    </w:p>
    <w:p w:rsidR="00000000" w:rsidRDefault="00000000">
      <w:pPr>
        <w:ind w:left="567" w:hanging="567"/>
        <w:jc w:val="center"/>
        <w:rPr>
          <w:b/>
          <w:bCs/>
        </w:rPr>
      </w:pPr>
      <w:r>
        <w:rPr>
          <w:b/>
          <w:bCs/>
          <w:lang w:val="en-US"/>
        </w:rPr>
        <w:t>V</w:t>
      </w:r>
      <w:r>
        <w:rPr>
          <w:b/>
          <w:bCs/>
        </w:rPr>
        <w:t>.</w:t>
      </w:r>
      <w:r>
        <w:rPr>
          <w:b/>
          <w:bCs/>
        </w:rPr>
        <w:tab/>
        <w:t>СВЕДЕНИЯ, КАСАЮЩИЕСЯ СТАТЬИ 5 КОНВЕНЦИИ</w:t>
      </w:r>
    </w:p>
    <w:p w:rsidR="00000000" w:rsidRDefault="00000000">
      <w:pPr>
        <w:ind w:left="567" w:hanging="567"/>
        <w:jc w:val="center"/>
      </w:pPr>
    </w:p>
    <w:p w:rsidR="00000000" w:rsidRDefault="00000000">
      <w:r>
        <w:t>30.</w:t>
      </w:r>
      <w:r>
        <w:tab/>
        <w:t>В соответствии с этой статьей государства-участники обязуются запретить и ликвидировать расовую дискриминацию во всех ее формах и обеспечить равноправие каждого человека перед законом без различия расы, цвета кожи, национального или этнического происхождения, в особенности в отношении осуществления гражданских, политических, экономических, социальных и культурных прав, перечисляемых в этой же статье.</w:t>
      </w:r>
    </w:p>
    <w:p w:rsidR="00000000" w:rsidRDefault="00000000"/>
    <w:p w:rsidR="00000000" w:rsidRDefault="00000000">
      <w:pPr>
        <w:pStyle w:val="10"/>
        <w:rPr>
          <w:bCs/>
        </w:rPr>
      </w:pPr>
      <w:r>
        <w:rPr>
          <w:bCs/>
        </w:rPr>
        <w:t>А.</w:t>
      </w:r>
      <w:r>
        <w:rPr>
          <w:bCs/>
        </w:rPr>
        <w:tab/>
        <w:t>Право на равенство всех перед судом и всеми другими органами, отправляющими правосудие</w:t>
      </w:r>
    </w:p>
    <w:p w:rsidR="00000000" w:rsidRDefault="00000000">
      <w:pPr>
        <w:pStyle w:val="10"/>
        <w:rPr>
          <w:bCs/>
        </w:rPr>
      </w:pPr>
    </w:p>
    <w:p w:rsidR="00000000" w:rsidRDefault="00000000">
      <w:r>
        <w:t>31.</w:t>
      </w:r>
      <w:r>
        <w:tab/>
        <w:t>Конституция гарантирует основополагающие права человека всем без какой-либо дискриминации по признаку расы, цвета кожи, пола, языка, религии, политических убеждений, национального или социального происхождения.  В этой связи статья 6 Конституции от 1 июня 1959 года предусматривает:  "Все граждане имеют одинаковые права и одинаковые обязанности.  Они равны перед законом".  Кроме того, любое лицо, чьи гарантируемые законом права ущемлены, может возбудить судебный иск и имеет право на равное обращение в судах.</w:t>
      </w:r>
    </w:p>
    <w:p w:rsidR="00000000" w:rsidRDefault="00000000"/>
    <w:p w:rsidR="00000000" w:rsidRDefault="00000000">
      <w:r>
        <w:t>32.</w:t>
      </w:r>
      <w:r>
        <w:tab/>
        <w:t xml:space="preserve">В правовой системе Туниса предусмотрен комплекс механизмов, призванных обеспечивать защиту прав, провозглашенных в Конвенции о ликвидации всех форм расовой дискриминации, от любых посягательств.  Уголовное законодательство основано на принципе </w:t>
      </w:r>
      <w:proofErr w:type="spellStart"/>
      <w:r>
        <w:t>территориальности</w:t>
      </w:r>
      <w:proofErr w:type="spellEnd"/>
      <w:r>
        <w:t xml:space="preserve"> законов и действует на всей территории Туниса.  Поэтому любому пострадавшему лицу, чьи права гарантируются уголовным законодательством, автоматически обеспечивается защита.  Так, по мнению законодателя, в случае посягательства на общественный порядок само общество возбуждает в этой связи уголовное дело через посредство Прокуратуры.  Действительно, в соответствии со статьей 1 Уголовно-процессуального кодекса "любое правонарушение дает основания для уголовного преследования в целях вынесения наказания и, если был причинен вред, для возбуждения гражданского иска в целях заглаживания этого вреда".</w:t>
      </w:r>
    </w:p>
    <w:p w:rsidR="00000000" w:rsidRDefault="00000000"/>
    <w:p w:rsidR="00000000" w:rsidRDefault="00000000">
      <w:pPr>
        <w:pStyle w:val="10"/>
        <w:rPr>
          <w:bCs/>
        </w:rPr>
      </w:pPr>
      <w:r>
        <w:rPr>
          <w:bCs/>
        </w:rPr>
        <w:t>В.</w:t>
      </w:r>
      <w:r>
        <w:rPr>
          <w:bCs/>
        </w:rPr>
        <w:tab/>
        <w:t>Право на личную безопасность и защиту со стороны государства от насилия или жестокого обращения</w:t>
      </w:r>
    </w:p>
    <w:p w:rsidR="00000000" w:rsidRDefault="00000000">
      <w:pPr>
        <w:pStyle w:val="10"/>
        <w:rPr>
          <w:bCs/>
        </w:rPr>
      </w:pPr>
    </w:p>
    <w:p w:rsidR="00000000" w:rsidRDefault="00000000">
      <w:r>
        <w:t>33.</w:t>
      </w:r>
      <w:r>
        <w:tab/>
        <w:t xml:space="preserve">Государство гарантирует безопасность всех лиц, находящихся на его территории, без какой бы то ни было дискриминации, обеспечивая им защиту от любых посягательств, и карает лиц, совершивших любые акты насилия.  В этой связи и в соответствии с принципом </w:t>
      </w:r>
      <w:proofErr w:type="spellStart"/>
      <w:r>
        <w:t>территориальности</w:t>
      </w:r>
      <w:proofErr w:type="spellEnd"/>
      <w:r>
        <w:t xml:space="preserve"> уголовного законодательства всем без какой бы то ни было дискриминации обеспечиваются предусмотренные в тунисском законодательстве гарантии в отношении задержания, ареста как меры пресечения и тюремного заключения.</w:t>
      </w:r>
    </w:p>
    <w:p w:rsidR="00000000" w:rsidRDefault="00000000"/>
    <w:p w:rsidR="00000000" w:rsidRDefault="00000000">
      <w:pPr>
        <w:pStyle w:val="10"/>
        <w:ind w:left="1134" w:hanging="567"/>
        <w:jc w:val="left"/>
        <w:rPr>
          <w:bCs/>
        </w:rPr>
      </w:pPr>
      <w:r>
        <w:rPr>
          <w:bCs/>
        </w:rPr>
        <w:br w:type="page"/>
        <w:t>С.</w:t>
      </w:r>
      <w:r>
        <w:rPr>
          <w:bCs/>
        </w:rPr>
        <w:tab/>
        <w:t>Политические права, в частности право участвовать в выборах, голосовать и выставлять свою кандидатуру, право принимать</w:t>
      </w:r>
    </w:p>
    <w:p w:rsidR="00000000" w:rsidRDefault="00000000">
      <w:pPr>
        <w:pStyle w:val="10"/>
        <w:ind w:left="1134" w:hanging="567"/>
        <w:jc w:val="left"/>
        <w:rPr>
          <w:bCs/>
        </w:rPr>
      </w:pPr>
      <w:r>
        <w:rPr>
          <w:bCs/>
        </w:rPr>
        <w:tab/>
        <w:t>участие в управлении страной и право равного доступа к</w:t>
      </w:r>
    </w:p>
    <w:p w:rsidR="00000000" w:rsidRDefault="00000000">
      <w:pPr>
        <w:pStyle w:val="10"/>
        <w:ind w:left="1134" w:hanging="567"/>
        <w:rPr>
          <w:bCs/>
        </w:rPr>
      </w:pPr>
      <w:r>
        <w:rPr>
          <w:bCs/>
        </w:rPr>
        <w:t>государственной службе</w:t>
      </w:r>
    </w:p>
    <w:p w:rsidR="00000000" w:rsidRDefault="00000000">
      <w:pPr>
        <w:pStyle w:val="10"/>
        <w:rPr>
          <w:bCs/>
        </w:rPr>
      </w:pPr>
    </w:p>
    <w:p w:rsidR="00000000" w:rsidRDefault="00000000">
      <w:r>
        <w:t>34.</w:t>
      </w:r>
      <w:r>
        <w:tab/>
        <w:t>Конституция Туниса гарантирует всем гражданам право участвовать без какой бы то ни было дискриминации в политической жизни страны, и в частности право голосовать и право быть избранным, пользование которыми регулирует Кодекс о выборах.</w:t>
      </w:r>
    </w:p>
    <w:p w:rsidR="00000000" w:rsidRDefault="00000000"/>
    <w:p w:rsidR="00000000" w:rsidRDefault="00000000">
      <w:r>
        <w:t>35.</w:t>
      </w:r>
      <w:r>
        <w:tab/>
        <w:t xml:space="preserve">Органический закон № 88-32 от 3 мая 1988 года об организации политических партий обязывает политические партии уважать и защищать права человека, достижения нации и отказываться от любых форм насилия, а также от фанатизма, расизма и любых иных форм дискриминации.  </w:t>
      </w:r>
    </w:p>
    <w:p w:rsidR="00000000" w:rsidRDefault="00000000"/>
    <w:p w:rsidR="00000000" w:rsidRDefault="00000000">
      <w:r>
        <w:t>36.</w:t>
      </w:r>
      <w:r>
        <w:tab/>
        <w:t xml:space="preserve">Кроме того, в статье 3 того же закона предусматривается, что "политические партии не могут основывать свои принципы, цели, деятельность и программы на критериях религии, языка, расы, пола или местожительства".  Статья 17 также запрещает политическим партиям выступать с призывами, которые провоцируют или поощряют насилие в целях разжигания ненависти между гражданами.  </w:t>
      </w:r>
    </w:p>
    <w:p w:rsidR="00000000" w:rsidRDefault="00000000"/>
    <w:p w:rsidR="00000000" w:rsidRDefault="00000000">
      <w:pPr>
        <w:jc w:val="center"/>
        <w:rPr>
          <w:b/>
          <w:bCs/>
        </w:rPr>
      </w:pPr>
      <w:r>
        <w:rPr>
          <w:b/>
          <w:bCs/>
          <w:lang w:val="en-US"/>
        </w:rPr>
        <w:t>D</w:t>
      </w:r>
      <w:r>
        <w:rPr>
          <w:b/>
          <w:bCs/>
        </w:rPr>
        <w:t>.</w:t>
      </w:r>
      <w:r>
        <w:rPr>
          <w:b/>
          <w:bCs/>
        </w:rPr>
        <w:tab/>
        <w:t>Пользование другими правами</w:t>
      </w:r>
    </w:p>
    <w:p w:rsidR="00000000" w:rsidRDefault="00000000">
      <w:pPr>
        <w:jc w:val="center"/>
        <w:rPr>
          <w:b/>
          <w:bCs/>
        </w:rPr>
      </w:pPr>
    </w:p>
    <w:p w:rsidR="00000000" w:rsidRDefault="00000000">
      <w:r>
        <w:t>37.</w:t>
      </w:r>
      <w:r>
        <w:tab/>
        <w:t>Свобода передвижения и выбора местожительства внутри и вне пределов страны гарантируется Конституцией без какой бы то ни было дискриминации.  Так, в соответствии со статьей 10 Конституции "любой гражданин имеет право свободно перемещаться внутри страны, выезжать из страны и выбирать свое местожительство на установленных законом условиях".  В статье 11 говорится о том, что "никакому гражданину нельзя запретить пребывание на территории страны или возвращение в страну".</w:t>
      </w:r>
    </w:p>
    <w:p w:rsidR="00000000" w:rsidRDefault="00000000"/>
    <w:p w:rsidR="00000000" w:rsidRDefault="00000000">
      <w:r>
        <w:t>38.</w:t>
      </w:r>
      <w:r>
        <w:tab/>
        <w:t xml:space="preserve">Тунис ратифицировал Протокол, касающийся статуса беженцев, который вступил в силу 4 октября 1967 года, и Конвенцию </w:t>
      </w:r>
      <w:proofErr w:type="spellStart"/>
      <w:r>
        <w:t>ОАЕ</w:t>
      </w:r>
      <w:proofErr w:type="spellEnd"/>
      <w:r>
        <w:t xml:space="preserve">, регулирующую аспекты, связанные с проблемами беженцев в Африке.  Статья 17 Конституции запрещает выдачу политических беженцев.  Беженцы, которым разрешено проживать в Тунисе, могут получить вид на жительство и проездной документ категории "С" (закон № 74-40 от 14 мая 1975 года о паспортах и проездных документах).  Что же касается возможности трудоустройства, то следует отметить, что беженцы пользуются режимом благоприятствования:  действительно, министерство, занимающееся вопросами занятости, выдает им соответствующие разрешения незамедлительно.  </w:t>
      </w:r>
    </w:p>
    <w:p w:rsidR="00000000" w:rsidRDefault="00000000">
      <w:r>
        <w:t>39.</w:t>
      </w:r>
      <w:r>
        <w:tab/>
        <w:t>Право на гражданство гарантируется.  Действительно, тунисское гражданство предоставляется либо на основании родства, либо на основании факта рождения в Тунисе.  Его можно приобрести в соответствии с законодательством либо посредством натурализации на определенных законом условиях и без какой бы то ни было дискриминации.</w:t>
      </w:r>
    </w:p>
    <w:p w:rsidR="00000000" w:rsidRDefault="00000000"/>
    <w:p w:rsidR="00000000" w:rsidRDefault="00000000">
      <w:r>
        <w:t>40.</w:t>
      </w:r>
      <w:r>
        <w:tab/>
        <w:t>Тунис ратифицировал Конвенцию о гражданстве замужней женщины (закон № 67-41 от 21 ноября 1967 года) и Конвенцию о статусе апатридов (закон № 69-27 от 9 мая 1969 года).</w:t>
      </w:r>
    </w:p>
    <w:p w:rsidR="00000000" w:rsidRDefault="00000000"/>
    <w:p w:rsidR="00000000" w:rsidRDefault="00000000">
      <w:r>
        <w:t>41.</w:t>
      </w:r>
      <w:r>
        <w:tab/>
        <w:t xml:space="preserve">В соответствии с законом № 2002-4 от 21 января 2002 года женщина, имеющая тунисское гражданство и вышедшая замуж за иностранца, имеет право передать свое гражданство родившемуся за границей ребенку от этого брака, подав соответствующее заявление совместно с отцом ребенка или в одностороннем порядке в случае смерти, признания безвестно отсутствующим или недееспособности отца. </w:t>
      </w:r>
    </w:p>
    <w:p w:rsidR="00000000" w:rsidRDefault="00000000"/>
    <w:p w:rsidR="00000000" w:rsidRDefault="00000000">
      <w:r>
        <w:t>42.</w:t>
      </w:r>
      <w:r>
        <w:tab/>
        <w:t>В подтверждение принципа равенства в этих вопросах поправка к Конституции, принятая в октябре 1997 года (конституционный закон от 27 октября 1997 года), уравнивает фактор родства отца и матери, признавая право выставлять свою кандидатуру на избрание в депутаты "за каждым тунисцем, рожденным от отца-тунисца или матери-туниски, без какой бы то ни было дискриминации".</w:t>
      </w:r>
    </w:p>
    <w:p w:rsidR="00000000" w:rsidRDefault="00000000"/>
    <w:p w:rsidR="00000000" w:rsidRDefault="00000000">
      <w:r>
        <w:t>43.</w:t>
      </w:r>
      <w:r>
        <w:tab/>
        <w:t>После принятия закона № 75-79 от 14 ноября 1975 года добровольное приобретение иностранного гражданства более не является основанием для автоматической утраты тунисского гражданства.</w:t>
      </w:r>
    </w:p>
    <w:p w:rsidR="00000000" w:rsidRDefault="00000000"/>
    <w:p w:rsidR="00000000" w:rsidRDefault="00000000">
      <w:r>
        <w:t>44.</w:t>
      </w:r>
      <w:r>
        <w:tab/>
        <w:t>Тунисского гражданства лишается лицо, которое осуждено за совершение деяния, квалифицируемого в качестве преступления или правонарушения против внутренней или внешней безопасности государства, либо осуществляет в интересах иностранного государства действия, не совместимые со статусом тунисца и наносящие ущерб интересам Туниса, либо осуждено в Тунисе или за границей за совершение деяния, квалифицируемого тунисским законодательством как преступление и повлекшего за собой наказание в виде лишения свободы на срок не менее пяти лет, либо осуждено за невыполнение обязанностей, предусмотренных в законе о прохождении воинской службы.  Лишение гражданства осуществляется только в тех случаях, если перечисленные выше факты имели место в течение десяти лет с момента приобретения тунисского гражданства.  По истечении этого срока таким лицам выносятся те же самые наказания, что и гражданам страны, и процедура лишения гражданства не применяется.</w:t>
      </w:r>
    </w:p>
    <w:p w:rsidR="00000000" w:rsidRDefault="00000000"/>
    <w:p w:rsidR="00000000" w:rsidRDefault="00000000">
      <w:r>
        <w:t>45.</w:t>
      </w:r>
      <w:r>
        <w:tab/>
        <w:t>Лишение тунисского гражданства производится в тех случаях, когда через какое</w:t>
      </w:r>
      <w:r>
        <w:noBreakHyphen/>
        <w:t>то время после принятия решения о натурализации выясняется, что заинтересованное лицо не отвечает требованиям, предусмотренным законом в отношении натурализации.  Это решение может быть аннулировано в течение двух лет с момента его опубликования.  Если иностранец получил тунисское гражданство обманным путем, то решение о натурализации может быть аннулировано в течение двух лет с момента обнаружения обмана.</w:t>
      </w:r>
    </w:p>
    <w:p w:rsidR="00000000" w:rsidRDefault="00000000"/>
    <w:p w:rsidR="00000000" w:rsidRDefault="00000000">
      <w:r>
        <w:t>46.</w:t>
      </w:r>
      <w:r>
        <w:tab/>
        <w:t>Право на вступление в брак и на свободный выбор супруга гарантируется каждому гражданину без какой бы то ни было дискриминации по признаку расовой, этнической или иной принадлежности.</w:t>
      </w:r>
    </w:p>
    <w:p w:rsidR="00000000" w:rsidRDefault="00000000"/>
    <w:p w:rsidR="00000000" w:rsidRDefault="00000000">
      <w:r>
        <w:t>47.</w:t>
      </w:r>
      <w:r>
        <w:tab/>
        <w:t>Право на владение имуществом гарантируется Конституцией и тунисским законодательством без какой бы то ни было дискриминации.  Так, в Кодексе законов об обязательствах и договорах, а также в Кодексе, регулирующем вещные права, не проводится никакой дискриминации в отношении владения, приобретения, пользования и распоряжения имуществом.</w:t>
      </w:r>
    </w:p>
    <w:p w:rsidR="00000000" w:rsidRDefault="00000000"/>
    <w:p w:rsidR="00000000" w:rsidRDefault="00000000">
      <w:r>
        <w:t>48.</w:t>
      </w:r>
      <w:r>
        <w:tab/>
        <w:t>Иностранцы могут приобретать недвижимость в Тунисе, получив предварительно разрешение от губернатора провинции, где расположена соответствующая недвижимость.  Кроме того, Тунис заключил двусторонние соглашения с Ливией (14 июня 1961 года), Алжиром (26 июля 1963 года), Марокко (9 декабря 1964 года) и Нигером (18 октября 1966 года), которые позволяют гражданам этих стран на тех же условиях, что и тунисцам, приобретать недвижимость в Тунисе.  В этой связи следует отметить, что в соответствии со статьей 32 Конституции Туниса "…должным образом ратифицированные договоры имеют преимущественную силу над национальным законодательством при условии их соблюдения другой стороной".</w:t>
      </w:r>
    </w:p>
    <w:p w:rsidR="00000000" w:rsidRDefault="00000000"/>
    <w:p w:rsidR="00000000" w:rsidRDefault="00000000">
      <w:r>
        <w:t>49.</w:t>
      </w:r>
      <w:r>
        <w:tab/>
        <w:t>Законодательный орган Туниса еще более укрепил равноправие мужчин и женщин в отношении права наследования.  Следует напомнить о том, что положение тунисских женщин в плане права наследования существенно улучшилось благодаря законодательному введению ряда механизмов.  Так, первый механизм установил процедуру, в соответствии с которой дочь получает все наследство, если она является единственной наследницей.  Второй механизм установил режим обязательного завещания, который наделяет внуков, родившихся от ранее умершего сына или ранее умершей дочери, правом требовать свою долю наследства.  Третий механизм касается режима общности имущества, который был введен законом № 98-97 от 9 ноября 1998 года и поощряет равенство между мужчиной и женщиной в том, что касается имущественных прав супругов.</w:t>
      </w:r>
    </w:p>
    <w:p w:rsidR="00000000" w:rsidRDefault="00000000">
      <w:r>
        <w:t>50.</w:t>
      </w:r>
      <w:r>
        <w:tab/>
        <w:t>Право на свободу мысли, совести и религии гарантируется Конституцией и законодательством Туниса всем без какой бы то ни было дискриминации по расовому или иному признаку.  Действительно, терпимость характерна для Туниса, который руководствуется своей приверженностью истокам мусульманской религии и ее благородным ценностям, каковыми являются терпимость, уважение других, солидарность и его народные традиции.</w:t>
      </w:r>
    </w:p>
    <w:p w:rsidR="00000000" w:rsidRDefault="00000000"/>
    <w:p w:rsidR="00000000" w:rsidRDefault="00000000">
      <w:r>
        <w:t>51.</w:t>
      </w:r>
      <w:r>
        <w:tab/>
        <w:t>В статье 5 Конституции говорится, что "Тунисская Республика гарантирует неприкосновенность человеческой личности и свободы совести и обеспечивает защиту свободного отправления культов…".  Кроме того, в Уголовном кодексе Туниса целый раздел посвящен пресечению любых "действий, препятствующих отправлению культа".  Так, статья 165 Кодекса предусматривает, что "любое лицо, препятствующее отправлению религиозного культа или церемонии либо нарушающее их ход, карается лишением свободы на срок в шесть месяцев и штрафом, что не исключает применение более строгих наказаний, предусмотренных за оскорбление, насильственные действия или угрозы".  В соответствии со статьей 166 того же Кодекса "любое лицо, которое, не имея никаких предусмотренных законом полномочий в отношении другого лица, принуждает его с помощью насилия или угроз к отправлению религиозного культа или заставляет его воздерживаться от такого отправления, подлежит наказанию в виде лишения свободы сроком на три месяца".</w:t>
      </w:r>
    </w:p>
    <w:p w:rsidR="00000000" w:rsidRDefault="00000000"/>
    <w:p w:rsidR="00000000" w:rsidRDefault="00000000">
      <w:r>
        <w:t>52.</w:t>
      </w:r>
      <w:r>
        <w:tab/>
        <w:t>Кроме того, в рамках конституционных и законодательных гарантий тунисский законодательный орган принял 11 июля 1958 года закон о порядке отправления иудаистского культа среди граждан Туниса, исповедующих иудаизм.  Что касается режима отправления христианского культа, то он определяется на основе международного соглашения, заключенного между Тунисом и Святейшим Престолом 27 июня 1964 года.  В соответствии с этим соглашением правительство Туниса обеспечивает свободное отправление христианского культа.  Со своей стороны, Церковь представлена прелатом, назначаемым Святейшим Престолом.</w:t>
      </w:r>
    </w:p>
    <w:p w:rsidR="00000000" w:rsidRDefault="00000000"/>
    <w:p w:rsidR="00000000" w:rsidRDefault="00000000">
      <w:r>
        <w:t>53.</w:t>
      </w:r>
      <w:r>
        <w:tab/>
        <w:t>Право на свободу убеждений и на свободное выражение их без какой бы то ни было дискриминации провозглашено в статье 8 Конституции, где говорится о том, что "права, касающиеся свободы убеждений и свободного их выражения, а также свобода печати, издательской деятельности, собраний и ассоциаций гарантируются и осуществляются на условиях, определяемых законодательством…".</w:t>
      </w:r>
    </w:p>
    <w:p w:rsidR="00000000" w:rsidRDefault="00000000"/>
    <w:p w:rsidR="00000000" w:rsidRDefault="00000000">
      <w:r>
        <w:t>54.</w:t>
      </w:r>
      <w:r>
        <w:tab/>
        <w:t>В рамках уважения права на свободу выражения мнений законодательный орган Туниса принял нормативные акты о наказании за любые подстрекательства посредством печати к дискриминации (о разжигании расовой ненависти, распространении основанных на дискриминации идей, диффамации в отношении группы лиц, принадлежащих к одной определенной расе или религии, см. процитированные выше статьи 53, 54 и 72 Кодекса законов о печати).</w:t>
      </w:r>
    </w:p>
    <w:p w:rsidR="00000000" w:rsidRDefault="00000000"/>
    <w:p w:rsidR="00000000" w:rsidRDefault="00000000">
      <w:r>
        <w:t>55.</w:t>
      </w:r>
      <w:r>
        <w:tab/>
        <w:t>Право на свободу мирных собраний и ассоциации гарантируется всем без какой бы то ни было дискриминации статьей 8 Конституции.  Этот конституционный принцип закреплен законом № 59-154 от 7 ноября 1959 года об ассоциациях (с поправками и добавлениями, внесенными органическим законом № 88-90 от 2 августа 1988 года и органическим законом № 92-25 от 2 апреля 1992 года).</w:t>
      </w:r>
    </w:p>
    <w:p w:rsidR="00000000" w:rsidRDefault="00000000"/>
    <w:p w:rsidR="00000000" w:rsidRDefault="00000000">
      <w:pPr>
        <w:pStyle w:val="10"/>
        <w:rPr>
          <w:bCs/>
        </w:rPr>
      </w:pPr>
      <w:r>
        <w:rPr>
          <w:bCs/>
        </w:rPr>
        <w:t>Е.</w:t>
      </w:r>
      <w:r>
        <w:rPr>
          <w:bCs/>
        </w:rPr>
        <w:tab/>
        <w:t>Экономические, социальные и культурные права</w:t>
      </w:r>
    </w:p>
    <w:p w:rsidR="00000000" w:rsidRDefault="00000000">
      <w:pPr>
        <w:pStyle w:val="10"/>
        <w:rPr>
          <w:bCs/>
        </w:rPr>
      </w:pPr>
    </w:p>
    <w:p w:rsidR="00000000" w:rsidRDefault="00000000">
      <w:pPr>
        <w:pStyle w:val="16"/>
        <w:ind w:left="1134" w:hanging="567"/>
        <w:jc w:val="left"/>
      </w:pPr>
      <w:r>
        <w:t>1.</w:t>
      </w:r>
      <w:r>
        <w:tab/>
        <w:t>Право на труд, свободный выбор работы, справедливые и благоприятные условия труда, защиту от безработицы, равную плату за равный труд,</w:t>
      </w:r>
    </w:p>
    <w:p w:rsidR="00000000" w:rsidRDefault="00000000">
      <w:pPr>
        <w:pStyle w:val="16"/>
        <w:ind w:left="1134" w:hanging="567"/>
      </w:pPr>
      <w:r>
        <w:t>справедливое и удовлетворительное вознаграждение</w:t>
      </w:r>
    </w:p>
    <w:p w:rsidR="00000000" w:rsidRDefault="00000000">
      <w:pPr>
        <w:pStyle w:val="16"/>
        <w:ind w:left="1134" w:hanging="567"/>
      </w:pPr>
    </w:p>
    <w:p w:rsidR="00000000" w:rsidRDefault="00000000">
      <w:r>
        <w:t>56.</w:t>
      </w:r>
      <w:r>
        <w:tab/>
        <w:t>Конституция признает право на труд за всеми без какой бы то ни было дискриминации.  Этот конституционный принцип находит свое практическое отражение в различных положениях Трудового кодекса, принятого законом № 66-27 от 30 апреля 1966 года (с поправками и добавлениями, внесенными законом № 94-29 от 21 февраля 1994 года и законом № 96-62 от 15 июля 1996 года).</w:t>
      </w:r>
    </w:p>
    <w:p w:rsidR="00000000" w:rsidRDefault="00000000"/>
    <w:p w:rsidR="00000000" w:rsidRDefault="00000000">
      <w:r>
        <w:t>57.</w:t>
      </w:r>
      <w:r>
        <w:tab/>
        <w:t>Принцип недискриминации в сфере занятости закрепляет положения Общего устава государственных служащих (принятого законом № 83-112 от 12 декабря 1983 года) и Общего устава сотрудников управлений и государственных учреждений, занимающихся вопросами промышленности и торговли, а также компаний, полностью или непосредственно принадлежащих государству либо органам местного самоуправления (принятого законом № 85-78 от 5 августа 1978 года).</w:t>
      </w:r>
    </w:p>
    <w:p w:rsidR="00000000" w:rsidRDefault="00000000"/>
    <w:p w:rsidR="00000000" w:rsidRDefault="00000000">
      <w:r>
        <w:t>58.</w:t>
      </w:r>
      <w:r>
        <w:tab/>
        <w:t xml:space="preserve">В статье 13 Общего устава государственных служащих говорится о том, что "личное дело служащего содержит все документы, касающиеся его гражданского состояния, административного положения и уровня образования.  Эти документы должны быть зарегистрированы и пронумерованы без каких-либо пропусков.  Служащего надлежит информировать в письменном виде обо всех затрагивающих его интересы административных решениях".  Кроме того, "ни при каких обстоятельствах в личном деле нельзя упоминать политические, философские, религиозные убеждения или профсоюзную принадлежность заинтересованного лица".  </w:t>
      </w:r>
    </w:p>
    <w:p w:rsidR="00000000" w:rsidRDefault="00000000"/>
    <w:p w:rsidR="00000000" w:rsidRDefault="00000000">
      <w:r>
        <w:t>59.</w:t>
      </w:r>
      <w:r>
        <w:tab/>
        <w:t xml:space="preserve">В статье 11 Общего устава государственных служащих и в статье 4 Общего устава работников государственных предприятий также ясно запрещается любая дискриминация в отношении женщин при практическом применении этих нормативных актов. </w:t>
      </w:r>
    </w:p>
    <w:p w:rsidR="00000000" w:rsidRDefault="00000000"/>
    <w:p w:rsidR="00000000" w:rsidRDefault="00000000">
      <w:r>
        <w:t>60.</w:t>
      </w:r>
      <w:r>
        <w:tab/>
        <w:t>Тунисское законодательство закрепляет за работающей женщиной права, связанные с рождением ребенка и уходом за ним, право на заработную плату или компенсацию, право на перерыв в работе для кормления ребенка грудью, а также обязывает работодателей, у которых работает 50 женщин, обустроить специальную комнату для грудного кормления детей (статья 64 Трудового кодекса и статья 19 Постановления № 68</w:t>
      </w:r>
      <w:r>
        <w:noBreakHyphen/>
        <w:t>328 от 22 октября 1968 года об общих правилах гигиены на предприятиях, охватываемых Трудовым кодексом).</w:t>
      </w:r>
    </w:p>
    <w:p w:rsidR="00000000" w:rsidRDefault="00000000"/>
    <w:p w:rsidR="00000000" w:rsidRDefault="00000000">
      <w:r>
        <w:t>61.</w:t>
      </w:r>
      <w:r>
        <w:tab/>
        <w:t>Следует также отметить, что тунисское законодательство предусматривает для работающих женщин и другие льготы:  более ранний выход на пенсию, работу неполный рабочий день (в частном секторе), работу в течение половины рабочего дня (в государственных учреждениях и на предприятиях) и сохранение рабочего места.</w:t>
      </w:r>
    </w:p>
    <w:p w:rsidR="00000000" w:rsidRDefault="00000000"/>
    <w:p w:rsidR="00000000" w:rsidRDefault="00000000">
      <w:r>
        <w:t>62.</w:t>
      </w:r>
      <w:r>
        <w:tab/>
        <w:t xml:space="preserve">В положениях главы </w:t>
      </w:r>
      <w:r>
        <w:rPr>
          <w:lang w:val="en-US"/>
        </w:rPr>
        <w:t>II</w:t>
      </w:r>
      <w:r>
        <w:t xml:space="preserve"> части </w:t>
      </w:r>
      <w:r>
        <w:rPr>
          <w:lang w:val="en-US"/>
        </w:rPr>
        <w:t>VII</w:t>
      </w:r>
      <w:r>
        <w:t xml:space="preserve"> Трудового кодекса определены условия найма на работу иностранцев в Тунисе с учетом соглашений, заключенных между Тунисской Республикой и иностранными государствами, и специальных нормативных положений.  Так, в соответствии со статьей 258-2 Трудового кодекса любой иностранец, желающий заниматься в Тунисе оплачиваемой трудовой деятельностью, должен иметь трудовой договор и вид на жительство с пометкой "разрешено заниматься оплачиваемой трудовой деятельностью в Тунисе".  Трудовой договор заключается на срок, не превышающий один год, и может быть продлен один раз.  В то же время трудовой договор может быть продлен более одного раза в случаях, когда речь идет о найме на работу иностранцев на их предприятия, которые осуществляют в Тунисе проекты развития, согласованные с компетентными органами власти.</w:t>
      </w:r>
    </w:p>
    <w:p w:rsidR="00000000" w:rsidRDefault="00000000"/>
    <w:p w:rsidR="00000000" w:rsidRDefault="00000000">
      <w:r>
        <w:t>63.</w:t>
      </w:r>
      <w:r>
        <w:tab/>
        <w:t>Тунис ратифицировал  56 из 184 международных конвенций, принятых Международной организацией труда.  Последней Конвенцией, которую Тунис ратифицировал в соответствии с законом № 2000</w:t>
      </w:r>
      <w:r>
        <w:noBreakHyphen/>
        <w:t>1 от 24 января 2000 года, стала принятая в 1999 году Конвенция № 182 о наихудших формах детского труда.</w:t>
      </w:r>
    </w:p>
    <w:p w:rsidR="00000000" w:rsidRDefault="00000000"/>
    <w:p w:rsidR="00000000" w:rsidRDefault="00000000">
      <w:pPr>
        <w:jc w:val="center"/>
        <w:rPr>
          <w:u w:val="single"/>
        </w:rPr>
      </w:pPr>
      <w:r>
        <w:t>2.</w:t>
      </w:r>
      <w:r>
        <w:tab/>
        <w:t>Право создавать профессиональные союзы и вступать в них</w:t>
      </w:r>
    </w:p>
    <w:p w:rsidR="00000000" w:rsidRDefault="00000000">
      <w:pPr>
        <w:rPr>
          <w:u w:val="single"/>
        </w:rPr>
      </w:pPr>
    </w:p>
    <w:p w:rsidR="00000000" w:rsidRDefault="00000000">
      <w:r>
        <w:t>64.</w:t>
      </w:r>
      <w:r>
        <w:tab/>
        <w:t>Профсоюзные права гарантируются всем без какой бы то ни было дискриминации статьей 7 Конституции.  В статье 242 Трудового кодекса говорится о том, что "могут свободно создаваться профсоюзы или профессиональные объединения лиц, которые работают в одной области, занимаются схожим ремеслом или совместно как смежники создают определенный вид продукции либо относятся к одной и той же свободной профессии".</w:t>
      </w:r>
    </w:p>
    <w:p w:rsidR="00000000" w:rsidRDefault="00000000"/>
    <w:p w:rsidR="00000000" w:rsidRDefault="00000000">
      <w:pPr>
        <w:jc w:val="center"/>
      </w:pPr>
      <w:r>
        <w:t>3.</w:t>
      </w:r>
      <w:r>
        <w:tab/>
        <w:t>Право на жилище</w:t>
      </w:r>
    </w:p>
    <w:p w:rsidR="00000000" w:rsidRDefault="00000000">
      <w:pPr>
        <w:pStyle w:val="FootnoteText"/>
        <w:spacing w:line="288" w:lineRule="auto"/>
      </w:pPr>
    </w:p>
    <w:p w:rsidR="00000000" w:rsidRDefault="00000000">
      <w:r>
        <w:t>65.</w:t>
      </w:r>
      <w:r>
        <w:tab/>
        <w:t>Все граждане без какой бы то ни было дискриминации имеют право на достаточный жизненный уровень, включающий, в частности, адекватное жилище в здоровой окружающей среде и в безопасных условиях.  В настоящее время в Тунисе четыре пятых всех тунисских домашних хозяйств являются собственниками своего жилья.</w:t>
      </w:r>
    </w:p>
    <w:p w:rsidR="00000000" w:rsidRDefault="00000000"/>
    <w:p w:rsidR="00000000" w:rsidRDefault="00000000">
      <w:pPr>
        <w:ind w:left="1134" w:hanging="1134"/>
        <w:jc w:val="center"/>
      </w:pPr>
      <w:r>
        <w:t>4.</w:t>
      </w:r>
      <w:r>
        <w:tab/>
        <w:t>Право на здравоохранение, медицинскую помощь, социальное</w:t>
      </w:r>
    </w:p>
    <w:p w:rsidR="00000000" w:rsidRDefault="00000000">
      <w:pPr>
        <w:ind w:left="1134" w:hanging="1134"/>
        <w:jc w:val="center"/>
        <w:rPr>
          <w:u w:val="single"/>
        </w:rPr>
      </w:pPr>
      <w:r>
        <w:t>обеспечение и социальное обслуживание</w:t>
      </w:r>
    </w:p>
    <w:p w:rsidR="00000000" w:rsidRDefault="00000000">
      <w:pPr>
        <w:ind w:left="1134" w:hanging="1134"/>
        <w:jc w:val="center"/>
        <w:rPr>
          <w:u w:val="single"/>
        </w:rPr>
      </w:pPr>
    </w:p>
    <w:p w:rsidR="00000000" w:rsidRDefault="00000000">
      <w:r>
        <w:t>66.</w:t>
      </w:r>
      <w:r>
        <w:tab/>
        <w:t>В области здравоохранения усилия государства были прежде всего направлены на расширение охвата социальным обеспечением всего населения без какой бы то ни было дискриминации посредством инвестирования в инфраструктуру и профессиональную подготовку медицинских работников.  Доступ к медицинской помощи, социальному обеспечению и социальному обслуживанию открыт для всех без какой бы то ни было дискриминации в соответствии с установленными законодательством нормами.  Средняя продолжительность жизни при рождении составила 72 года в 1999 году против 67 лет в 1987 году.</w:t>
      </w:r>
    </w:p>
    <w:p w:rsidR="00000000" w:rsidRDefault="00000000"/>
    <w:p w:rsidR="00000000" w:rsidRDefault="00000000">
      <w:r>
        <w:t>67.</w:t>
      </w:r>
      <w:r>
        <w:tab/>
        <w:t>Среди социальных программ, осуществляемых в государстве, можно выделить Фонд национальной солидарности (26/26).  Этот Фонд, созданный прежде всего для оказания помощи находящимся в наиболее неблагоприятном положении районам, позволил обеспечить такие основополагающие материальные условия и услуги, как питьевая вода, электричество, здравоохранение и образование, достойное жилище, дороги и коммуникации, жителям отдаленных районов, содействовав, таким образом, их выходу из маргинального положения и их вовлечению в процесс развития.  В период 1993</w:t>
      </w:r>
      <w:r>
        <w:noBreakHyphen/>
        <w:t>2000 годов Фонд добился позитивных результатов, оказав 216 597 семьям помощь на общую сумму в 500 млн. динаров.</w:t>
      </w:r>
    </w:p>
    <w:p w:rsidR="00000000" w:rsidRDefault="00000000"/>
    <w:p w:rsidR="00000000" w:rsidRDefault="00000000">
      <w:r>
        <w:t>68.</w:t>
      </w:r>
      <w:r>
        <w:tab/>
        <w:t xml:space="preserve">Этот позитивный опыт побудил государственные органы учредить в 1997 году Национальный банк солидарности в целях облегчения доступа к </w:t>
      </w:r>
      <w:proofErr w:type="spellStart"/>
      <w:r>
        <w:t>микрокредитам</w:t>
      </w:r>
      <w:proofErr w:type="spellEnd"/>
      <w:r>
        <w:t>, в частности для предпринимателей, ремесленников, выпускников высших учебных заведений, мужчин и женщин с ограниченными финансовыми возможностями, которые не располагают необходимыми гарантиями, позволяющими им получить обычный банковский кредит.  На конец 2000 года Банк выделил 31 126 </w:t>
      </w:r>
      <w:proofErr w:type="spellStart"/>
      <w:r>
        <w:t>микрокредитов</w:t>
      </w:r>
      <w:proofErr w:type="spellEnd"/>
      <w:r>
        <w:t xml:space="preserve"> на общую сумму в 127 млн. динаров (ремесленникам, малым предприятиям, земледельцам и лицам, оказывающим различные услуги).  </w:t>
      </w:r>
      <w:proofErr w:type="spellStart"/>
      <w:r>
        <w:t>78%</w:t>
      </w:r>
      <w:proofErr w:type="spellEnd"/>
      <w:r>
        <w:t xml:space="preserve"> бенефициаров составляют начинающие предприниматели в возрасте до 40 лет, </w:t>
      </w:r>
      <w:proofErr w:type="spellStart"/>
      <w:r>
        <w:t>28%</w:t>
      </w:r>
      <w:proofErr w:type="spellEnd"/>
      <w:r>
        <w:t> </w:t>
      </w:r>
      <w:r>
        <w:noBreakHyphen/>
        <w:t xml:space="preserve"> молодежь и 9,8 % </w:t>
      </w:r>
      <w:r>
        <w:noBreakHyphen/>
        <w:t xml:space="preserve"> выпускники высших учебных заведений.</w:t>
      </w:r>
    </w:p>
    <w:p w:rsidR="00000000" w:rsidRDefault="00000000"/>
    <w:p w:rsidR="00000000" w:rsidRDefault="00000000">
      <w:r>
        <w:t>69.</w:t>
      </w:r>
      <w:r>
        <w:tab/>
        <w:t>Двусторонние соглашения о социальном обеспечении были заключены с Францией, Бельгией, Голландией, Люксембургом, Италией, Германией, Австрией, Алжиром, Марокко, Ливией и другими странами.  И наконец, в отношении тунисцев, проживающих в странах, с которыми Тунис не заключил двусторонних соглашений о социальном обеспечении (страны Персидского залива, скандинавские государства), действуют положения постановления № 89</w:t>
      </w:r>
      <w:r>
        <w:noBreakHyphen/>
        <w:t>107 от 10 января 1989 года.</w:t>
      </w:r>
    </w:p>
    <w:p w:rsidR="00000000" w:rsidRDefault="00000000"/>
    <w:p w:rsidR="00000000" w:rsidRDefault="00000000">
      <w:pPr>
        <w:jc w:val="center"/>
      </w:pPr>
      <w:r>
        <w:t>5.</w:t>
      </w:r>
      <w:r>
        <w:tab/>
        <w:t>Право на образование и профессиональную подготовку</w:t>
      </w:r>
    </w:p>
    <w:p w:rsidR="00000000" w:rsidRDefault="00000000">
      <w:pPr>
        <w:rPr>
          <w:u w:val="single"/>
        </w:rPr>
      </w:pPr>
    </w:p>
    <w:p w:rsidR="00000000" w:rsidRDefault="00000000">
      <w:pPr>
        <w:pStyle w:val="FootnoteText"/>
        <w:spacing w:line="288" w:lineRule="auto"/>
      </w:pPr>
      <w:r>
        <w:t>70.</w:t>
      </w:r>
      <w:r>
        <w:tab/>
        <w:t>В соответствии с законом № 91</w:t>
      </w:r>
      <w:r>
        <w:noBreakHyphen/>
        <w:t xml:space="preserve">65 от 29 июля 1991 года о системе образования "государство бесплатно гарантирует всем детям школьного возраста право на получение школьного образования…" без какой бы то ни было дискриминации.  Принципы "бесплатного" и "обязательного" образования являются двумя нормами, характеризующими деятельность государственных учебных заведений.  Уровень охвата обязательным школьным образованием шестилетних детей достиг в 2000 году </w:t>
      </w:r>
      <w:proofErr w:type="spellStart"/>
      <w:r>
        <w:t>99,1%</w:t>
      </w:r>
      <w:proofErr w:type="spellEnd"/>
      <w:r>
        <w:t xml:space="preserve">.  Доля учащихся высших учебных заведений составила в 2001 году </w:t>
      </w:r>
      <w:proofErr w:type="spellStart"/>
      <w:r>
        <w:t>52%</w:t>
      </w:r>
      <w:proofErr w:type="spellEnd"/>
      <w:r>
        <w:t xml:space="preserve"> от общего количества учащихся.</w:t>
      </w:r>
    </w:p>
    <w:p w:rsidR="00000000" w:rsidRDefault="00000000">
      <w:pPr>
        <w:pStyle w:val="FootnoteText"/>
        <w:spacing w:line="288" w:lineRule="auto"/>
      </w:pPr>
    </w:p>
    <w:p w:rsidR="00000000" w:rsidRDefault="00000000">
      <w:pPr>
        <w:pStyle w:val="FootnoteText"/>
        <w:spacing w:line="288" w:lineRule="auto"/>
      </w:pPr>
      <w:r>
        <w:t>71.</w:t>
      </w:r>
      <w:r>
        <w:tab/>
        <w:t>Ряд мер был принят для укрепления права на доступ к образованию для тунисцев, проживающих за границей.  Эти меры направлены, в частности, на:</w:t>
      </w:r>
    </w:p>
    <w:p w:rsidR="00000000" w:rsidRDefault="00000000">
      <w:pPr>
        <w:pStyle w:val="FootnoteText"/>
        <w:spacing w:line="288" w:lineRule="auto"/>
      </w:pPr>
    </w:p>
    <w:p w:rsidR="00000000" w:rsidRDefault="00000000">
      <w:pPr>
        <w:pStyle w:val="FootnoteText"/>
        <w:spacing w:line="288" w:lineRule="auto"/>
      </w:pPr>
      <w:r>
        <w:tab/>
        <w:t>а)</w:t>
      </w:r>
      <w:r>
        <w:tab/>
        <w:t>расширение программ с преподаванием на арабском языке для тунисских детей, проживающих за границей;</w:t>
      </w:r>
    </w:p>
    <w:p w:rsidR="00000000" w:rsidRDefault="00000000">
      <w:pPr>
        <w:pStyle w:val="FootnoteText"/>
        <w:spacing w:line="288" w:lineRule="auto"/>
      </w:pPr>
    </w:p>
    <w:p w:rsidR="00000000" w:rsidRDefault="00000000">
      <w:pPr>
        <w:pStyle w:val="FootnoteText"/>
        <w:spacing w:line="288" w:lineRule="auto"/>
      </w:pPr>
      <w:r>
        <w:tab/>
      </w:r>
      <w:r>
        <w:rPr>
          <w:lang w:val="en-US"/>
        </w:rPr>
        <w:t>b</w:t>
      </w:r>
      <w:r>
        <w:t>)</w:t>
      </w:r>
      <w:r>
        <w:tab/>
        <w:t>выделение стипендий и ссуд на учебу наиболее достойным учащимся среди детей второго поколения эмигрантов, которые продолжают обучение в стране проживания, на основе критериев, учитывающих их материальное положение и потребности их семей в этой области, а также предоставление стипендий, жилища и оплаты проезда в страну их проживания и назад один раз в год тем, кто желает получить высшее образование в Тунисе;</w:t>
      </w:r>
    </w:p>
    <w:p w:rsidR="00000000" w:rsidRDefault="00000000">
      <w:pPr>
        <w:pStyle w:val="FootnoteText"/>
        <w:spacing w:line="288" w:lineRule="auto"/>
      </w:pPr>
    </w:p>
    <w:p w:rsidR="00000000" w:rsidRDefault="00000000">
      <w:pPr>
        <w:pStyle w:val="FootnoteText"/>
        <w:spacing w:line="288" w:lineRule="auto"/>
      </w:pPr>
      <w:r>
        <w:tab/>
        <w:t>с)</w:t>
      </w:r>
      <w:r>
        <w:tab/>
        <w:t>оказание помощи детям из семей, окончательно возвратившихся в Тунис, для продолжения их обучения в соответствии с надлежащими программами и создание с этой целью "Тунисской международной школы", которая открылась в начале 1999/2000 учебного года;</w:t>
      </w:r>
    </w:p>
    <w:p w:rsidR="00000000" w:rsidRDefault="00000000">
      <w:pPr>
        <w:pStyle w:val="FootnoteText"/>
        <w:spacing w:line="288" w:lineRule="auto"/>
      </w:pPr>
    </w:p>
    <w:p w:rsidR="00000000" w:rsidRDefault="00000000">
      <w:pPr>
        <w:pStyle w:val="FootnoteText"/>
        <w:spacing w:line="288" w:lineRule="auto"/>
      </w:pPr>
      <w:r>
        <w:tab/>
      </w:r>
      <w:r>
        <w:rPr>
          <w:lang w:val="en-US"/>
        </w:rPr>
        <w:t>d</w:t>
      </w:r>
      <w:r>
        <w:t>)</w:t>
      </w:r>
      <w:r>
        <w:tab/>
        <w:t>организацию летних университетов в целях интенсивной подготовки на арабском языке, ознакомления с особенностями высшего образования в Тунисе и установления контактов с молодыми тунисцами, проживающими в Тунисе.</w:t>
      </w:r>
    </w:p>
    <w:p w:rsidR="00000000" w:rsidRDefault="00000000">
      <w:pPr>
        <w:pStyle w:val="FootnoteText"/>
        <w:spacing w:line="288" w:lineRule="auto"/>
      </w:pPr>
    </w:p>
    <w:p w:rsidR="00000000" w:rsidRDefault="00000000">
      <w:pPr>
        <w:pStyle w:val="FootnoteText"/>
        <w:spacing w:line="288" w:lineRule="auto"/>
      </w:pPr>
      <w:r>
        <w:t>72.</w:t>
      </w:r>
      <w:r>
        <w:tab/>
        <w:t>Учрежденное в 1990 году министерство профессионального образования и занятости прилагает усилия для создания новой системы профессиональной подготовки, доступной для всех, без какой бы то ни было дискриминации.  Реформа профессионального образования, инициированная законом № 93</w:t>
      </w:r>
      <w:r>
        <w:noBreakHyphen/>
        <w:t>10 от 17 февраля 1993 года об основных направлениях профессионального образования, свидетельствует о том большом внимании, которое уделяется развитию людских ресурсов и ликвидации всех форм дискриминации в этой области.</w:t>
      </w:r>
    </w:p>
    <w:p w:rsidR="00000000" w:rsidRDefault="00000000">
      <w:pPr>
        <w:pStyle w:val="FootnoteText"/>
        <w:spacing w:line="288" w:lineRule="auto"/>
      </w:pPr>
    </w:p>
    <w:p w:rsidR="00000000" w:rsidRDefault="00000000">
      <w:pPr>
        <w:pStyle w:val="FootnoteText"/>
        <w:spacing w:line="288" w:lineRule="auto"/>
        <w:ind w:left="567" w:hanging="567"/>
        <w:jc w:val="center"/>
        <w:rPr>
          <w:u w:val="single"/>
        </w:rPr>
      </w:pPr>
      <w:r>
        <w:t>6.</w:t>
      </w:r>
      <w:r>
        <w:tab/>
        <w:t>Право на равное участие в культурной жизни</w:t>
      </w:r>
    </w:p>
    <w:p w:rsidR="00000000" w:rsidRDefault="00000000">
      <w:pPr>
        <w:pStyle w:val="FootnoteText"/>
        <w:spacing w:line="288" w:lineRule="auto"/>
        <w:ind w:left="567" w:hanging="567"/>
        <w:rPr>
          <w:u w:val="single"/>
        </w:rPr>
      </w:pPr>
    </w:p>
    <w:p w:rsidR="00000000" w:rsidRDefault="00000000">
      <w:pPr>
        <w:pStyle w:val="FootnoteText"/>
        <w:spacing w:line="288" w:lineRule="auto"/>
      </w:pPr>
      <w:r>
        <w:t>73.</w:t>
      </w:r>
      <w:r>
        <w:tab/>
        <w:t>В Тунисе принимаются меры для обеспечения оптимальных условий, которые позволяют на практике пользоваться правом на участие в культурной жизни всем без исключения и без какой бы то ни было дискриминации.  Что касается культурной жизни страны, то культурные мероприятия и фестивали получили в ходе отчетного периода значительное географическое и социальное распространение, охватив всю территорию страны, включая наиболее отдаленные районы, и все категории и слои населения.  Это стало возможным благодаря проведению политики по децентрализации и демократизации культуры, а также созданию региональных культурных центров.</w:t>
      </w:r>
    </w:p>
    <w:p w:rsidR="00000000" w:rsidRDefault="00000000">
      <w:pPr>
        <w:pStyle w:val="FootnoteText"/>
        <w:spacing w:line="288" w:lineRule="auto"/>
      </w:pPr>
    </w:p>
    <w:p w:rsidR="00000000" w:rsidRDefault="00000000">
      <w:pPr>
        <w:pStyle w:val="FootnoteText"/>
        <w:spacing w:line="288" w:lineRule="auto"/>
        <w:ind w:left="1134" w:hanging="1134"/>
        <w:jc w:val="center"/>
        <w:rPr>
          <w:u w:val="single"/>
        </w:rPr>
      </w:pPr>
      <w:r>
        <w:t>7.</w:t>
      </w:r>
      <w:r>
        <w:tab/>
        <w:t>Право на доступ к любому месту или любому виду обслуживания, предназначенному для общественного пользования</w:t>
      </w:r>
    </w:p>
    <w:p w:rsidR="00000000" w:rsidRDefault="00000000">
      <w:pPr>
        <w:pStyle w:val="FootnoteText"/>
        <w:spacing w:line="288" w:lineRule="auto"/>
        <w:ind w:left="1134" w:hanging="1134"/>
        <w:jc w:val="center"/>
        <w:rPr>
          <w:u w:val="single"/>
        </w:rPr>
      </w:pPr>
    </w:p>
    <w:p w:rsidR="00000000" w:rsidRDefault="00000000">
      <w:pPr>
        <w:pStyle w:val="FootnoteText"/>
        <w:spacing w:line="288" w:lineRule="auto"/>
      </w:pPr>
      <w:r>
        <w:t>74.</w:t>
      </w:r>
      <w:r>
        <w:tab/>
        <w:t>Тунисское законодательство гарантирует всем гражданам равный доступ к любым видам общественного обслуживания и любым местам, предназначенным для общественного пользования, без какой бы то ни было дискриминации.</w:t>
      </w:r>
    </w:p>
    <w:p w:rsidR="00000000" w:rsidRDefault="00000000">
      <w:pPr>
        <w:pStyle w:val="FootnoteText"/>
        <w:spacing w:line="288" w:lineRule="auto"/>
      </w:pPr>
    </w:p>
    <w:p w:rsidR="00000000" w:rsidRDefault="00000000">
      <w:pPr>
        <w:pStyle w:val="FootnoteText"/>
        <w:spacing w:line="288" w:lineRule="auto"/>
        <w:jc w:val="center"/>
        <w:rPr>
          <w:b/>
          <w:bCs/>
        </w:rPr>
      </w:pPr>
      <w:r>
        <w:rPr>
          <w:b/>
          <w:bCs/>
          <w:lang w:val="en-US"/>
        </w:rPr>
        <w:t>VI</w:t>
      </w:r>
      <w:r>
        <w:rPr>
          <w:b/>
          <w:bCs/>
        </w:rPr>
        <w:t>.</w:t>
      </w:r>
      <w:r>
        <w:rPr>
          <w:b/>
          <w:bCs/>
        </w:rPr>
        <w:tab/>
        <w:t>СВЕДЕНИЯ, КАСАЮЩИЕСЯ СТАТЬИ 6 КОНВЕНЦИИ</w:t>
      </w:r>
    </w:p>
    <w:p w:rsidR="00000000" w:rsidRDefault="00000000">
      <w:pPr>
        <w:pStyle w:val="FootnoteText"/>
        <w:spacing w:line="288" w:lineRule="auto"/>
        <w:jc w:val="center"/>
      </w:pPr>
    </w:p>
    <w:p w:rsidR="00000000" w:rsidRDefault="00000000">
      <w:r>
        <w:t>75.</w:t>
      </w:r>
      <w:r>
        <w:tab/>
        <w:t>В соответствии с этой статьей государства-участники обеспечивают каждому человеку, на которого распространяется их юрисдикция, эффективную защиту и средства защиты через компетентные национальные органы и другие государственные институты в случае любых актов расовой дискриминации, посягающих в нарушение Конвенции на его права человека и основные свободы, а также права предъявлять в эти суды иск о справедливом и адекватном возмещении или удовлетворении за любой ущерб, понесенный в результате такой дискриминации.</w:t>
      </w:r>
    </w:p>
    <w:p w:rsidR="00000000" w:rsidRDefault="00000000"/>
    <w:p w:rsidR="00000000" w:rsidRDefault="00000000">
      <w:r>
        <w:t>76.</w:t>
      </w:r>
      <w:r>
        <w:tab/>
        <w:t>Правовая система Туниса содержит целый ряд принципов и нормативных актов, которые обеспечивают всем гражданам эффективную защиту и средства защиты от любых актов расовой дискриминации.  Для предоставления всем гражданам эффективных средств защиты от любых правонарушений тунисская система судопроизводства руководствуется сводом принципов, включая принцип равенства всех граждан перед государственными судебными органами без какой бы то ни было дискриминации.  Кроме того, отмена регистрационного сбора и сбора за выступление адвоката как в судебных органах, так и в Административном трибунале укрепила бесплатный характер правосудия.  С той же целью во всех судах первой инстанции введена должность судьи-координатора.  В этой связи Прокурор обязан предоставить гражданину необходимую информацию, в частности по процедурным вопросам.  Эти меры охватывают всех граждан в равной степени и без какой бы то ни было дискриминации.</w:t>
      </w:r>
    </w:p>
    <w:p w:rsidR="00000000" w:rsidRDefault="00000000"/>
    <w:p w:rsidR="00000000" w:rsidRDefault="00000000">
      <w:r>
        <w:t>77.</w:t>
      </w:r>
      <w:r>
        <w:tab/>
        <w:t xml:space="preserve">Следует отметить, что тунисский законодательный орган запретил и объявил противозаконными организации, а также организованную и всякую другую пропагандистскую деятельность, которые подстрекают к расовой дискриминации.  Он признал также участие в таких организациях и в их деятельности караемым законом.  По тем редким случаям, которые имели место, органы правосудия вынесли соответствующие наказания.  Так, например, 18 октября 1994 года Апелляционный суд Туниса рассмотрел дело о проявлениях расовой и религиозной ненависти и постановил оставить в силе приговор суда первой инстанции Туниса о назначении наказания в виде двух лет тюремного заключения и штрафа в размере 1 000 динаров.  </w:t>
      </w:r>
    </w:p>
    <w:p w:rsidR="00000000" w:rsidRDefault="00000000"/>
    <w:p w:rsidR="00000000" w:rsidRDefault="00000000">
      <w:r>
        <w:t>78.</w:t>
      </w:r>
      <w:r>
        <w:tab/>
        <w:t xml:space="preserve">Рассмотрев это дело, Рабочая группа Организации Объединенных Наций по произвольным задержаниям приняла 28 сентября 1994 года решение, в котором она отметила, что ограничения свободы мнений, введенные тунисским законодательством в рамках борьбы против распространения расистских идей и теорий, совместимы с нормами международного права, и в частности со статьями 19 и 20 Международного пакта о гражданских и политических правах.  Соответственно Рабочая группа по произвольным задержаниям квалифицировала совершенные деяния как правонарушения, а не как выражение мнений.  Поэтому в лишении свободы лица, совершившего это правонарушение, Группа не нашла произвола со стороны властей.  </w:t>
      </w:r>
    </w:p>
    <w:p w:rsidR="00000000" w:rsidRDefault="00000000"/>
    <w:p w:rsidR="00000000" w:rsidRDefault="00000000">
      <w:pPr>
        <w:jc w:val="center"/>
        <w:rPr>
          <w:b/>
          <w:bCs/>
        </w:rPr>
      </w:pPr>
      <w:r>
        <w:rPr>
          <w:b/>
          <w:bCs/>
          <w:lang w:val="en-US"/>
        </w:rPr>
        <w:br w:type="page"/>
        <w:t>VII</w:t>
      </w:r>
      <w:r>
        <w:rPr>
          <w:b/>
          <w:bCs/>
        </w:rPr>
        <w:t>.</w:t>
      </w:r>
      <w:r>
        <w:rPr>
          <w:b/>
          <w:bCs/>
        </w:rPr>
        <w:tab/>
        <w:t>СВЕДЕНИЯ, КАСАЮЩИЕСЯ СТАТЬИ 7 КОНВЕНЦИИ</w:t>
      </w:r>
    </w:p>
    <w:p w:rsidR="00000000" w:rsidRDefault="00000000">
      <w:pPr>
        <w:jc w:val="center"/>
      </w:pPr>
    </w:p>
    <w:p w:rsidR="00000000" w:rsidRDefault="00000000">
      <w:r>
        <w:t>79.</w:t>
      </w:r>
      <w:r>
        <w:tab/>
        <w:t>В соответствии с этой статьей государства-участники обязуются принять меры, в частности в областях преподавания, воспитания, культуры и информации, с целью борьбы с предрассудками, ведущими к расовой дискриминации, поощрения взаимопонимания, терпимости и дружбы между нациями и расовыми или этническими группами, а также популяризации целей и принципов Устава Организации Объединенных Наций, Всеобщей декларации прав человека, Декларации Организации Объединенных Наций о ликвидации всех форм расовой дискриминации и Конвенции.</w:t>
      </w:r>
    </w:p>
    <w:p w:rsidR="00000000" w:rsidRDefault="00000000"/>
    <w:p w:rsidR="00000000" w:rsidRDefault="00000000">
      <w:pPr>
        <w:jc w:val="center"/>
        <w:rPr>
          <w:b/>
          <w:bCs/>
        </w:rPr>
      </w:pPr>
      <w:r>
        <w:rPr>
          <w:b/>
          <w:bCs/>
        </w:rPr>
        <w:t>А.</w:t>
      </w:r>
      <w:r>
        <w:rPr>
          <w:b/>
          <w:bCs/>
        </w:rPr>
        <w:tab/>
        <w:t>Воспитание и преподавание</w:t>
      </w:r>
    </w:p>
    <w:p w:rsidR="00000000" w:rsidRDefault="00000000">
      <w:pPr>
        <w:jc w:val="center"/>
      </w:pPr>
    </w:p>
    <w:p w:rsidR="00000000" w:rsidRDefault="00000000">
      <w:r>
        <w:t>80.</w:t>
      </w:r>
      <w:r>
        <w:tab/>
        <w:t>Закон от 29 июля 1991 года о реформе системы образования исходит из двух основополагающих принципов:  из бесплатного характера образования, призванного на практике обеспечить равенство возможностей в плане пользования правом на школьное обучение, и из обязательного характера образования для детей в возрасте от 6 до 16 лет.  Этот закон направлен, в частности, на подготовку молодежи к жизни, в которой нет места никаким формам дискриминации или сегрегации, основанным на признаках пола, социального происхождения, расы или религии.</w:t>
      </w:r>
    </w:p>
    <w:p w:rsidR="00000000" w:rsidRDefault="00000000"/>
    <w:p w:rsidR="00000000" w:rsidRDefault="00000000">
      <w:r>
        <w:t>81.</w:t>
      </w:r>
      <w:r>
        <w:tab/>
        <w:t>В1999/2000 учебном году количество учащихся в школьных и университетских заведениях достигло 2 311 977.  Уровень охвата обязательным школьным образованием шестилетних детей составил в 2000 году 99,1%.  Уровень охвата школьным образованием девочек изменился существенно.  Так, в 1999/2000 учебном году среди девочек 6-12 лет этот показатель был равен 91%.  Таким образом, доля девочек от общего числа учащихся начальных классов составила в 1999/2000 учебном году 47,4% против 44,5% в 1986/87 году. В рамках второй ступени базового и среднего образования эта доля возросла с 42,4% в 1986/87 учебном году до 51,1% в 1999/2000 году.</w:t>
      </w:r>
    </w:p>
    <w:p w:rsidR="00000000" w:rsidRDefault="00000000"/>
    <w:p w:rsidR="00000000" w:rsidRDefault="00000000">
      <w:r>
        <w:t>82.</w:t>
      </w:r>
      <w:r>
        <w:tab/>
        <w:t>Всеобщее право на образование и профессиональную подготовку гарантируется также социальным группам с особыми потребностями.  Так, было признано и закреплено такое право для инвалидов.  В соответствии с законом от 29 июля 1991 года государство "стремится, по мере возможности, создать благоприятные условия, позволяющие инвалидам пользоваться правом на образование".</w:t>
      </w:r>
    </w:p>
    <w:p w:rsidR="00000000" w:rsidRDefault="00000000"/>
    <w:p w:rsidR="00000000" w:rsidRDefault="00000000">
      <w:r>
        <w:t>83.</w:t>
      </w:r>
      <w:r>
        <w:tab/>
        <w:t>Как показывает анализ официальных программ и школьных учебников, разработанных в соответствии с теми задачами системы образования, которые определены в законе от 29 июля 1991 года, в их основе лежат ценности и принципы, утверждающие права человека, терпимость, сдержанность, диалог, уважение других и солидарность.  Для конкретного воплощения этих идеалов в учебные программы школ и университетов включены специальные курсы, посвященные правам человека.</w:t>
      </w:r>
    </w:p>
    <w:p w:rsidR="00000000" w:rsidRDefault="00000000"/>
    <w:p w:rsidR="00000000" w:rsidRDefault="00000000">
      <w:r>
        <w:t>84.</w:t>
      </w:r>
      <w:r>
        <w:tab/>
        <w:t>Что же касается Кодекса защиты ребенка, то он исходит из общих принципов, основанных на идеалах прав человека, и направлен, в частности, на "воспитание в ребенке гордости за его национальную принадлежность, верности историческим и приобретенным идеалам родного Туниса и чувства принадлежности к общемировой цивилизации, в частности к арабо-исламской цивилизации магрибского региона, при одновременном усвоении культуры общечеловеческого братства и поощрении открытости к другим в соответствии с требованиями современного образования и науки".</w:t>
      </w:r>
    </w:p>
    <w:p w:rsidR="00000000" w:rsidRDefault="00000000"/>
    <w:p w:rsidR="00000000" w:rsidRDefault="00000000">
      <w:r>
        <w:t>85.</w:t>
      </w:r>
      <w:r>
        <w:tab/>
        <w:t>Кроме того, для более эффективного контроля за преподаванием прав человека и обеспечения распространения культуры прав человека 4 апреля 1996 года Тунис решил в рамках Десятилетия прав человека (1995-2004 годы) учредить Национальную комиссию по образованию в области прав человека.  Эта Комиссия, возглавляемая министром просвещения, объединяет представителей министерств и организаций, занимающихся вопросами прав человека, а также ассоциаций, которые отстаивают правозащитные идеалы.</w:t>
      </w:r>
    </w:p>
    <w:p w:rsidR="00000000" w:rsidRDefault="00000000"/>
    <w:p w:rsidR="00000000" w:rsidRDefault="00000000">
      <w:pPr>
        <w:jc w:val="center"/>
        <w:rPr>
          <w:b/>
          <w:bCs/>
        </w:rPr>
      </w:pPr>
      <w:r>
        <w:rPr>
          <w:b/>
          <w:bCs/>
        </w:rPr>
        <w:t>В.</w:t>
      </w:r>
      <w:r>
        <w:rPr>
          <w:b/>
          <w:bCs/>
        </w:rPr>
        <w:tab/>
        <w:t>Культура и информация</w:t>
      </w:r>
    </w:p>
    <w:p w:rsidR="00000000" w:rsidRDefault="00000000">
      <w:pPr>
        <w:jc w:val="center"/>
        <w:rPr>
          <w:u w:val="single"/>
        </w:rPr>
      </w:pPr>
    </w:p>
    <w:p w:rsidR="00000000" w:rsidRDefault="00000000">
      <w:r>
        <w:t>86.</w:t>
      </w:r>
      <w:r>
        <w:tab/>
        <w:t>Тунис, страна с великой цивилизацией и тысячелетней историей, имеет самобытный облик, отличающийся глубиной и однородностью.  Сохранение и укрепление этого облика представляют собой стратегическое и приоритетное направление в национальной культурной политике.  Оно вполне согласуется с не менее важными императивами, требующими бо</w:t>
      </w:r>
      <w:r>
        <w:rPr>
          <w:rFonts w:ascii="Tahoma" w:hAnsi="Tahoma" w:cs="Tahoma"/>
        </w:rPr>
        <w:t></w:t>
      </w:r>
      <w:r>
        <w:t>льшей открытости по отношению к другим культурам и уважения различий, диалога и обмена с другими народами, а также устранения всех форм нетерпимости и культурного шовинизма.</w:t>
      </w:r>
    </w:p>
    <w:p w:rsidR="00000000" w:rsidRDefault="00000000"/>
    <w:p w:rsidR="00000000" w:rsidRDefault="00000000">
      <w:r>
        <w:t>87.</w:t>
      </w:r>
      <w:r>
        <w:tab/>
        <w:t>Проведение в стране в 1995 году под эгидой ЮНЕСКО Международной конференции по вопросам терпимости в Средиземноморье и принятие по ее итогам "Карфагенской декларации подтвердили неизменную приверженность Туниса этим принципам".</w:t>
      </w:r>
    </w:p>
    <w:p w:rsidR="00000000" w:rsidRDefault="00000000"/>
    <w:p w:rsidR="00000000" w:rsidRDefault="00000000">
      <w:r>
        <w:t>88.</w:t>
      </w:r>
      <w:r>
        <w:tab/>
        <w:t>Тунисские средства массовой информации (телевизионные каналы, радио и печать) играют важную роль в распространении среди населения ценностей, утверждающих недискриминацию, терпимость, открытость и уважение различий.</w:t>
      </w:r>
    </w:p>
    <w:p w:rsidR="00000000" w:rsidRDefault="00000000"/>
    <w:p w:rsidR="00000000" w:rsidRDefault="00000000">
      <w:pPr>
        <w:pStyle w:val="10"/>
      </w:pPr>
      <w:r>
        <w:br w:type="page"/>
        <w:t>Выводы</w:t>
      </w:r>
    </w:p>
    <w:p w:rsidR="00000000" w:rsidRDefault="00000000">
      <w:pPr>
        <w:pStyle w:val="10"/>
      </w:pPr>
    </w:p>
    <w:p w:rsidR="00000000" w:rsidRDefault="00000000">
      <w:pPr>
        <w:rPr>
          <w:bCs/>
        </w:rPr>
      </w:pPr>
      <w:r>
        <w:rPr>
          <w:bCs/>
        </w:rPr>
        <w:t>89.</w:t>
      </w:r>
      <w:r>
        <w:rPr>
          <w:bCs/>
        </w:rPr>
        <w:tab/>
        <w:t>Из сказанного выше явствует, что с момента достижения своей независимости Тунис неукоснительно соблюдает и закрепляет принцип недискриминации в своем законодательстве и на практике.  Принцип равенства всех граждан был еще более упрочен после происшедших 7 ноября 1987 года изменений, благодаря которым поощрение прав человека, защита его достоинства и повышение его благосостояния заняли приоритетное место среди общенациональных целей Туниса.</w:t>
      </w:r>
    </w:p>
    <w:p w:rsidR="00000000" w:rsidRDefault="00000000">
      <w:pPr>
        <w:rPr>
          <w:bCs/>
        </w:rPr>
      </w:pPr>
    </w:p>
    <w:p w:rsidR="00000000" w:rsidRDefault="00000000">
      <w:pPr>
        <w:rPr>
          <w:bCs/>
        </w:rPr>
      </w:pPr>
    </w:p>
    <w:p w:rsidR="00000000" w:rsidRDefault="00000000">
      <w:pPr>
        <w:jc w:val="center"/>
        <w:rPr>
          <w:bCs/>
        </w:rPr>
      </w:pPr>
      <w:r>
        <w:rPr>
          <w:bCs/>
        </w:rPr>
        <w:t>-----</w:t>
      </w: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 xml:space="preserve">В настоящем документе содержатся сведенные воедино тринадцатый, четырнадцатый, пятнадцатый, шестнадцатый и семнадцатый периодические доклады Туниса, которые должны были быть представлены 4 января соответственно 1994, 1996, 1998 и 2000 года.  Двенадцатый периодический доклад Туниса и краткие отчеты о заседаниях Комитета, на которых он рассматривался, см. в документах </w:t>
      </w:r>
      <w:r>
        <w:rPr>
          <w:lang w:val="en-US"/>
        </w:rPr>
        <w:t>CERD</w:t>
      </w:r>
      <w:r>
        <w:t>/</w:t>
      </w:r>
      <w:r>
        <w:rPr>
          <w:lang w:val="en-US"/>
        </w:rPr>
        <w:t>C</w:t>
      </w:r>
      <w:r>
        <w:t>22/6/</w:t>
      </w:r>
      <w:r>
        <w:rPr>
          <w:lang w:val="en-US"/>
        </w:rPr>
        <w:t>Add</w:t>
      </w:r>
      <w:r>
        <w:t xml:space="preserve">.10 и </w:t>
      </w:r>
      <w:r>
        <w:rPr>
          <w:lang w:val="en-US"/>
        </w:rPr>
        <w:t>CERD</w:t>
      </w:r>
      <w:r>
        <w:t>/</w:t>
      </w:r>
      <w:r>
        <w:rPr>
          <w:lang w:val="en-US"/>
        </w:rPr>
        <w:t>C</w:t>
      </w:r>
      <w:r>
        <w:t>/</w:t>
      </w:r>
      <w:r>
        <w:rPr>
          <w:lang w:val="en-US"/>
        </w:rPr>
        <w:t>SR</w:t>
      </w:r>
      <w:r>
        <w:t>.1016-1017.  Надлежит также упомянуть основной документ, являющийся первой частью докладов государств-участников (</w:t>
      </w:r>
      <w:r>
        <w:rPr>
          <w:lang w:val="en-US"/>
        </w:rPr>
        <w:t>HRI</w:t>
      </w:r>
      <w:r>
        <w:t>/</w:t>
      </w:r>
      <w:r>
        <w:rPr>
          <w:lang w:val="en-US"/>
        </w:rPr>
        <w:t>CORE</w:t>
      </w:r>
      <w:r>
        <w:t>/1/</w:t>
      </w:r>
      <w:r>
        <w:rPr>
          <w:lang w:val="en-US"/>
        </w:rPr>
        <w:t>Add</w:t>
      </w:r>
      <w:r>
        <w:t>.46 от 8 июня 1994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CERD/C/431/Add.4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CERD/C/431/Add.4</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7084</Words>
  <Characters>40381</Characters>
  <Application>Microsoft Office Word</Application>
  <DocSecurity>4</DocSecurity>
  <Lines>336</Lines>
  <Paragraphs>80</Paragraphs>
  <ScaleCrop>false</ScaleCrop>
  <HeadingPairs>
    <vt:vector size="2" baseType="variant">
      <vt:variant>
        <vt:lpstr>Название</vt:lpstr>
      </vt:variant>
      <vt:variant>
        <vt:i4>1</vt:i4>
      </vt:variant>
    </vt:vector>
  </HeadingPairs>
  <TitlesOfParts>
    <vt:vector size="1" baseType="lpstr">
      <vt:lpstr>44667.doc</vt:lpstr>
    </vt:vector>
  </TitlesOfParts>
  <Company> </Company>
  <LinksUpToDate>false</LinksUpToDate>
  <CharactersWithSpaces>49590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44667.doc</dc:title>
  <dc:subject>Речкунов</dc:subject>
  <dc:creator>Смирнова</dc:creator>
  <cp:keywords/>
  <dc:description/>
  <cp:lastModifiedBy>TPS</cp:lastModifiedBy>
  <cp:revision>3</cp:revision>
  <cp:lastPrinted>2002-10-31T11:45:00Z</cp:lastPrinted>
  <dcterms:created xsi:type="dcterms:W3CDTF">2002-10-31T11:45:00Z</dcterms:created>
  <dcterms:modified xsi:type="dcterms:W3CDTF">2002-10-31T11:46:00Z</dcterms:modified>
</cp:coreProperties>
</file>