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4A6" w:rsidRDefault="000164A6" w:rsidP="000164A6">
      <w:pPr>
        <w:spacing w:line="240" w:lineRule="auto"/>
        <w:rPr>
          <w:sz w:val="6"/>
        </w:rPr>
        <w:sectPr w:rsidR="000164A6" w:rsidSect="000164A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0164A6" w:rsidRDefault="000164A6" w:rsidP="000164A6">
      <w:pPr>
        <w:pStyle w:val="H1"/>
      </w:pPr>
      <w:r>
        <w:t>Comité des droits de l’homme</w:t>
      </w:r>
    </w:p>
    <w:p w:rsidR="000164A6" w:rsidRDefault="00D02C3A" w:rsidP="000164A6">
      <w:pPr>
        <w:pStyle w:val="H23"/>
      </w:pPr>
      <w:r>
        <w:t>Quatre-vingt-douzième</w:t>
      </w:r>
      <w:r w:rsidR="000164A6">
        <w:t xml:space="preserve"> session</w:t>
      </w:r>
    </w:p>
    <w:p w:rsidR="000164A6" w:rsidRDefault="000164A6" w:rsidP="000164A6">
      <w:pPr>
        <w:spacing w:line="240" w:lineRule="auto"/>
        <w:rPr>
          <w:sz w:val="12"/>
        </w:rPr>
      </w:pPr>
    </w:p>
    <w:p w:rsidR="000164A6" w:rsidRDefault="000164A6" w:rsidP="000164A6">
      <w:pPr>
        <w:pStyle w:val="H23"/>
      </w:pPr>
      <w:r>
        <w:t>Compte rendu analytique de la 2514</w:t>
      </w:r>
      <w:r>
        <w:rPr>
          <w:vertAlign w:val="superscript"/>
        </w:rPr>
        <w:t>e</w:t>
      </w:r>
      <w:r>
        <w:t xml:space="preserve"> séance</w:t>
      </w:r>
    </w:p>
    <w:p w:rsidR="000164A6" w:rsidRDefault="000164A6" w:rsidP="000164A6">
      <w:r>
        <w:t xml:space="preserve">Tenue au Siège, à New York, le </w:t>
      </w:r>
      <w:r w:rsidR="005D393C">
        <w:t>mardi 18 mars 2008</w:t>
      </w:r>
      <w:r>
        <w:t>, à</w:t>
      </w:r>
      <w:r w:rsidR="005D393C">
        <w:t xml:space="preserve"> 15 heures</w:t>
      </w:r>
    </w:p>
    <w:p w:rsidR="000164A6" w:rsidRPr="000164A6" w:rsidRDefault="000164A6" w:rsidP="000164A6">
      <w:pPr>
        <w:spacing w:line="120" w:lineRule="exact"/>
        <w:rPr>
          <w:sz w:val="10"/>
        </w:rPr>
      </w:pPr>
    </w:p>
    <w:p w:rsidR="000164A6" w:rsidRDefault="000164A6" w:rsidP="000164A6">
      <w:pPr>
        <w:tabs>
          <w:tab w:val="left" w:pos="1267"/>
          <w:tab w:val="right" w:leader="dot" w:pos="8568"/>
        </w:tabs>
        <w:ind w:right="1267"/>
      </w:pPr>
      <w:r>
        <w:rPr>
          <w:i/>
        </w:rPr>
        <w:t>Président</w:t>
      </w:r>
      <w:r w:rsidR="00D3504C">
        <w:rPr>
          <w:i/>
        </w:rPr>
        <w:t> </w:t>
      </w:r>
      <w:r>
        <w:t>:</w:t>
      </w:r>
      <w:r>
        <w:tab/>
      </w:r>
      <w:r w:rsidR="005D393C">
        <w:t>M.</w:t>
      </w:r>
      <w:r w:rsidR="00D3504C">
        <w:t> </w:t>
      </w:r>
      <w:r w:rsidR="005D393C">
        <w:t>Rivas Posada</w:t>
      </w:r>
    </w:p>
    <w:p w:rsidR="000164A6" w:rsidRPr="000164A6" w:rsidRDefault="000164A6" w:rsidP="000164A6">
      <w:pPr>
        <w:tabs>
          <w:tab w:val="left" w:pos="1267"/>
          <w:tab w:val="right" w:leader="dot" w:pos="8568"/>
        </w:tabs>
        <w:spacing w:line="120" w:lineRule="exact"/>
        <w:ind w:right="1267"/>
        <w:rPr>
          <w:sz w:val="10"/>
        </w:rPr>
      </w:pPr>
    </w:p>
    <w:p w:rsidR="000164A6" w:rsidRPr="000164A6" w:rsidRDefault="000164A6" w:rsidP="000164A6">
      <w:pPr>
        <w:tabs>
          <w:tab w:val="left" w:pos="1267"/>
          <w:tab w:val="right" w:leader="dot" w:pos="8568"/>
        </w:tabs>
        <w:spacing w:line="120" w:lineRule="exact"/>
        <w:ind w:right="1267"/>
        <w:rPr>
          <w:sz w:val="10"/>
        </w:rPr>
      </w:pPr>
    </w:p>
    <w:p w:rsidR="000164A6" w:rsidRPr="000164A6" w:rsidRDefault="000164A6" w:rsidP="000164A6">
      <w:pPr>
        <w:tabs>
          <w:tab w:val="left" w:pos="1267"/>
          <w:tab w:val="right" w:leader="dot" w:pos="8568"/>
        </w:tabs>
        <w:spacing w:line="120" w:lineRule="exact"/>
        <w:ind w:right="1267"/>
        <w:rPr>
          <w:sz w:val="10"/>
        </w:rPr>
      </w:pPr>
    </w:p>
    <w:p w:rsidR="000164A6" w:rsidRDefault="000164A6" w:rsidP="000164A6">
      <w:pPr>
        <w:pStyle w:val="HCh"/>
        <w:rPr>
          <w:b w:val="0"/>
        </w:rPr>
      </w:pPr>
      <w:r>
        <w:rPr>
          <w:b w:val="0"/>
        </w:rPr>
        <w:t>Sommaire</w:t>
      </w:r>
    </w:p>
    <w:p w:rsidR="000164A6" w:rsidRDefault="000164A6" w:rsidP="000164A6">
      <w:pPr>
        <w:pStyle w:val="HCh"/>
        <w:spacing w:line="240" w:lineRule="auto"/>
        <w:rPr>
          <w:b w:val="0"/>
          <w:sz w:val="12"/>
        </w:rPr>
      </w:pPr>
    </w:p>
    <w:p w:rsidR="00EA7E4B" w:rsidRDefault="005D393C" w:rsidP="000164A6">
      <w:pPr>
        <w:pStyle w:val="SingleTxt"/>
        <w:jc w:val="left"/>
      </w:pPr>
      <w:r>
        <w:t xml:space="preserve">Examen des rapports soumis par les États parties conformément à l’article 40 </w:t>
      </w:r>
      <w:r>
        <w:br/>
        <w:t>du Pacte (</w:t>
      </w:r>
      <w:r w:rsidRPr="005D393C">
        <w:rPr>
          <w:i/>
        </w:rPr>
        <w:t>suite</w:t>
      </w:r>
      <w:r>
        <w:t>)</w:t>
      </w:r>
    </w:p>
    <w:p w:rsidR="005D393C" w:rsidRDefault="005D393C" w:rsidP="000164A6">
      <w:pPr>
        <w:pStyle w:val="SingleTxt"/>
        <w:jc w:val="left"/>
      </w:pPr>
      <w:r>
        <w:tab/>
      </w:r>
      <w:r w:rsidRPr="009E7138">
        <w:t>Cinquième rapport périodique de la Tunisie</w:t>
      </w:r>
      <w:r>
        <w:t xml:space="preserve"> (</w:t>
      </w:r>
      <w:r w:rsidRPr="005D393C">
        <w:rPr>
          <w:i/>
        </w:rPr>
        <w:t>suite</w:t>
      </w:r>
      <w:r>
        <w:t>)</w:t>
      </w:r>
    </w:p>
    <w:p w:rsidR="00652344" w:rsidRPr="00652344" w:rsidRDefault="005D393C" w:rsidP="00652344">
      <w:pPr>
        <w:pStyle w:val="H4"/>
        <w:tabs>
          <w:tab w:val="right" w:pos="360"/>
          <w:tab w:val="left" w:pos="475"/>
          <w:tab w:val="left" w:pos="965"/>
          <w:tab w:val="left" w:pos="1440"/>
          <w:tab w:val="left" w:pos="1915"/>
          <w:tab w:val="left" w:pos="2405"/>
          <w:tab w:val="left" w:pos="2880"/>
          <w:tab w:val="left" w:pos="3355"/>
        </w:tabs>
        <w:spacing w:line="240" w:lineRule="auto"/>
        <w:ind w:left="475" w:hanging="475"/>
        <w:rPr>
          <w:sz w:val="2"/>
        </w:rPr>
        <w:sectPr w:rsidR="00652344" w:rsidRPr="00652344" w:rsidSect="000164A6">
          <w:type w:val="continuous"/>
          <w:pgSz w:w="12240" w:h="15840" w:code="1"/>
          <w:pgMar w:top="1742" w:right="1195" w:bottom="1898" w:left="1195" w:header="576" w:footer="1030" w:gutter="0"/>
          <w:cols w:space="708"/>
          <w:noEndnote/>
          <w:docGrid w:linePitch="360"/>
        </w:sectPr>
      </w:pPr>
      <w:r>
        <w:br w:type="page"/>
      </w:r>
    </w:p>
    <w:p w:rsidR="00652344" w:rsidRDefault="005D393C" w:rsidP="00652344">
      <w:pPr>
        <w:pStyle w:val="H4"/>
        <w:tabs>
          <w:tab w:val="right" w:pos="360"/>
          <w:tab w:val="left" w:pos="475"/>
          <w:tab w:val="left" w:pos="965"/>
          <w:tab w:val="left" w:pos="1440"/>
          <w:tab w:val="left" w:pos="1915"/>
          <w:tab w:val="left" w:pos="2405"/>
          <w:tab w:val="left" w:pos="2880"/>
          <w:tab w:val="left" w:pos="3355"/>
        </w:tabs>
        <w:ind w:left="475" w:hanging="475"/>
      </w:pPr>
      <w:r w:rsidRPr="00BD79B4">
        <w:t>La séance est ouverte à 1</w:t>
      </w:r>
      <w:r w:rsidR="009E7138">
        <w:t>5</w:t>
      </w:r>
      <w:r w:rsidRPr="00BD79B4">
        <w:t xml:space="preserve"> h 5</w:t>
      </w:r>
      <w:r w:rsidR="009E7138">
        <w:t>.</w:t>
      </w:r>
    </w:p>
    <w:p w:rsidR="00652344" w:rsidRDefault="00652344" w:rsidP="00652344">
      <w:pPr>
        <w:pStyle w:val="DualTxt"/>
        <w:spacing w:after="0" w:line="120" w:lineRule="exact"/>
        <w:rPr>
          <w:sz w:val="10"/>
        </w:rPr>
      </w:pPr>
    </w:p>
    <w:p w:rsidR="00652344" w:rsidRPr="00652344" w:rsidRDefault="00652344" w:rsidP="00652344">
      <w:pPr>
        <w:pStyle w:val="DualTxt"/>
        <w:spacing w:after="0" w:line="120" w:lineRule="exact"/>
        <w:rPr>
          <w:sz w:val="10"/>
        </w:rPr>
      </w:pPr>
    </w:p>
    <w:p w:rsidR="005D393C" w:rsidRDefault="005D393C" w:rsidP="00652344">
      <w:pPr>
        <w:pStyle w:val="H23"/>
        <w:tabs>
          <w:tab w:val="right" w:pos="360"/>
          <w:tab w:val="left" w:pos="475"/>
          <w:tab w:val="left" w:pos="965"/>
          <w:tab w:val="left" w:pos="1440"/>
          <w:tab w:val="left" w:pos="1915"/>
          <w:tab w:val="left" w:pos="2405"/>
          <w:tab w:val="left" w:pos="2880"/>
          <w:tab w:val="left" w:pos="3355"/>
        </w:tabs>
        <w:rPr>
          <w:b w:val="0"/>
        </w:rPr>
      </w:pPr>
      <w:r w:rsidRPr="00BD79B4">
        <w:t>Examen des rapports soumis par les États parties confor</w:t>
      </w:r>
      <w:r w:rsidR="009E7138">
        <w:t xml:space="preserve">mément à l’article 40 du Pacte </w:t>
      </w:r>
      <w:r w:rsidRPr="00652344">
        <w:rPr>
          <w:b w:val="0"/>
        </w:rPr>
        <w:t>(</w:t>
      </w:r>
      <w:r w:rsidRPr="00652344">
        <w:rPr>
          <w:b w:val="0"/>
          <w:i/>
        </w:rPr>
        <w:t>suite</w:t>
      </w:r>
      <w:r w:rsidRPr="00652344">
        <w:rPr>
          <w:b w:val="0"/>
        </w:rPr>
        <w:t>)</w:t>
      </w:r>
    </w:p>
    <w:p w:rsidR="00652344" w:rsidRPr="00652344" w:rsidRDefault="00652344" w:rsidP="00652344">
      <w:pPr>
        <w:pStyle w:val="DualTxt"/>
        <w:spacing w:after="0" w:line="120" w:lineRule="exact"/>
        <w:rPr>
          <w:sz w:val="10"/>
        </w:rPr>
      </w:pPr>
    </w:p>
    <w:p w:rsidR="005D393C" w:rsidRDefault="005D393C" w:rsidP="00652344">
      <w:pPr>
        <w:pStyle w:val="H23"/>
        <w:tabs>
          <w:tab w:val="right" w:pos="360"/>
          <w:tab w:val="left" w:pos="475"/>
          <w:tab w:val="left" w:pos="965"/>
          <w:tab w:val="left" w:pos="1440"/>
          <w:tab w:val="left" w:pos="1915"/>
          <w:tab w:val="left" w:pos="2405"/>
          <w:tab w:val="left" w:pos="2880"/>
          <w:tab w:val="left" w:pos="3355"/>
        </w:tabs>
        <w:ind w:left="475" w:hanging="475"/>
        <w:rPr>
          <w:b w:val="0"/>
        </w:rPr>
      </w:pPr>
      <w:r w:rsidRPr="00BD79B4">
        <w:tab/>
      </w:r>
      <w:r w:rsidRPr="00BD79B4">
        <w:tab/>
      </w:r>
      <w:r w:rsidR="009E7138">
        <w:t xml:space="preserve">Cinquième </w:t>
      </w:r>
      <w:r w:rsidRPr="00BD79B4">
        <w:t xml:space="preserve">rapport périodique de la </w:t>
      </w:r>
      <w:r w:rsidR="009E7138">
        <w:t xml:space="preserve">Tunisie </w:t>
      </w:r>
      <w:r w:rsidRPr="00652344">
        <w:rPr>
          <w:b w:val="0"/>
        </w:rPr>
        <w:t>(</w:t>
      </w:r>
      <w:r w:rsidRPr="00652344">
        <w:rPr>
          <w:b w:val="0"/>
          <w:i/>
        </w:rPr>
        <w:t>suite</w:t>
      </w:r>
      <w:r w:rsidRPr="00652344">
        <w:rPr>
          <w:b w:val="0"/>
        </w:rPr>
        <w:t>) (CCPR/C/</w:t>
      </w:r>
      <w:r w:rsidR="009E7138">
        <w:rPr>
          <w:b w:val="0"/>
        </w:rPr>
        <w:t>TUN/5; CCPR/C/TUN/Q/5</w:t>
      </w:r>
      <w:r w:rsidR="009E7138">
        <w:rPr>
          <w:b w:val="0"/>
        </w:rPr>
        <w:br/>
        <w:t>et Add.1</w:t>
      </w:r>
      <w:r w:rsidRPr="00652344">
        <w:rPr>
          <w:b w:val="0"/>
        </w:rPr>
        <w:t>)</w:t>
      </w:r>
    </w:p>
    <w:p w:rsidR="00CE0005" w:rsidRPr="00CE0005" w:rsidRDefault="00CE0005" w:rsidP="00CE0005">
      <w:pPr>
        <w:pStyle w:val="DualTxt"/>
        <w:spacing w:after="0" w:line="120" w:lineRule="exact"/>
        <w:rPr>
          <w:sz w:val="10"/>
        </w:rPr>
      </w:pPr>
    </w:p>
    <w:p w:rsidR="005D393C" w:rsidRPr="00BD79B4" w:rsidRDefault="005D393C" w:rsidP="00CE0005">
      <w:pPr>
        <w:pStyle w:val="DualTxt"/>
        <w:numPr>
          <w:ilvl w:val="0"/>
          <w:numId w:val="6"/>
        </w:numPr>
        <w:rPr>
          <w:i/>
        </w:rPr>
      </w:pPr>
      <w:r w:rsidRPr="00BD79B4">
        <w:rPr>
          <w:i/>
        </w:rPr>
        <w:t xml:space="preserve">À l’invitation du Président, les membres de la délégation de la </w:t>
      </w:r>
      <w:r w:rsidR="009E7138">
        <w:rPr>
          <w:i/>
        </w:rPr>
        <w:t xml:space="preserve">Tunisie </w:t>
      </w:r>
      <w:r w:rsidRPr="00BD79B4">
        <w:rPr>
          <w:i/>
        </w:rPr>
        <w:t>reprennent leur</w:t>
      </w:r>
      <w:r w:rsidR="009E7138">
        <w:rPr>
          <w:i/>
        </w:rPr>
        <w:t>s</w:t>
      </w:r>
      <w:r w:rsidRPr="00BD79B4">
        <w:rPr>
          <w:i/>
        </w:rPr>
        <w:t xml:space="preserve"> place</w:t>
      </w:r>
      <w:r w:rsidR="009E7138">
        <w:rPr>
          <w:i/>
        </w:rPr>
        <w:t>s</w:t>
      </w:r>
      <w:r w:rsidRPr="00BD79B4">
        <w:rPr>
          <w:i/>
        </w:rPr>
        <w:t xml:space="preserve"> à la t</w:t>
      </w:r>
      <w:r w:rsidRPr="00BD79B4">
        <w:rPr>
          <w:i/>
        </w:rPr>
        <w:t>a</w:t>
      </w:r>
      <w:r w:rsidRPr="00BD79B4">
        <w:rPr>
          <w:i/>
        </w:rPr>
        <w:t>ble du Comité.</w:t>
      </w:r>
    </w:p>
    <w:p w:rsidR="005D393C" w:rsidRDefault="005D393C" w:rsidP="00CE0005">
      <w:pPr>
        <w:pStyle w:val="DualTxt"/>
        <w:numPr>
          <w:ilvl w:val="0"/>
          <w:numId w:val="6"/>
        </w:numPr>
      </w:pPr>
      <w:r>
        <w:rPr>
          <w:b/>
        </w:rPr>
        <w:t>Le</w:t>
      </w:r>
      <w:r w:rsidR="00CE0005">
        <w:rPr>
          <w:b/>
        </w:rPr>
        <w:t> </w:t>
      </w:r>
      <w:r>
        <w:rPr>
          <w:b/>
        </w:rPr>
        <w:t xml:space="preserve">Président </w:t>
      </w:r>
      <w:r>
        <w:t>invite les membres de la délégation à répondre aux questions rest</w:t>
      </w:r>
      <w:r w:rsidR="00CE0005">
        <w:t>a</w:t>
      </w:r>
      <w:r>
        <w:t>nt</w:t>
      </w:r>
      <w:r w:rsidR="00CE0005">
        <w:t>es</w:t>
      </w:r>
      <w:r>
        <w:t xml:space="preserve"> </w:t>
      </w:r>
      <w:r w:rsidR="009E7138">
        <w:t xml:space="preserve">de </w:t>
      </w:r>
      <w:r>
        <w:t>la liste des points à traiter (CCPR/C/TUN/Q/5).</w:t>
      </w:r>
      <w:r w:rsidR="00CE0005">
        <w:t xml:space="preserve"> </w:t>
      </w:r>
    </w:p>
    <w:p w:rsidR="005D393C" w:rsidRDefault="005D393C" w:rsidP="00CE0005">
      <w:pPr>
        <w:pStyle w:val="DualTxt"/>
        <w:numPr>
          <w:ilvl w:val="0"/>
          <w:numId w:val="6"/>
        </w:numPr>
      </w:pPr>
      <w:r>
        <w:t>Se référant au point 21 de la liste, qui concerne les droits des personnes appartenant à une minorité, et plus particulièrement à la question de la liberté de religion en Tunisie</w:t>
      </w:r>
      <w:r w:rsidRPr="00CE0005">
        <w:t xml:space="preserve">, </w:t>
      </w:r>
      <w:r w:rsidRPr="009E7138">
        <w:rPr>
          <w:b/>
        </w:rPr>
        <w:t>M</w:t>
      </w:r>
      <w:r w:rsidRPr="009E7138">
        <w:rPr>
          <w:b/>
          <w:vertAlign w:val="superscript"/>
        </w:rPr>
        <w:t>me</w:t>
      </w:r>
      <w:r w:rsidRPr="009E7138">
        <w:rPr>
          <w:b/>
        </w:rPr>
        <w:t> Souayhi</w:t>
      </w:r>
      <w:r>
        <w:t xml:space="preserve"> (Tunisie) </w:t>
      </w:r>
      <w:r w:rsidR="00CE0005">
        <w:t>dit</w:t>
      </w:r>
      <w:r>
        <w:t xml:space="preserve"> que le chapitre V de la Constitution</w:t>
      </w:r>
      <w:r w:rsidR="00CE0005">
        <w:t>,</w:t>
      </w:r>
      <w:r>
        <w:t xml:space="preserve"> </w:t>
      </w:r>
      <w:r w:rsidR="00CE0005">
        <w:t>ajouté à</w:t>
      </w:r>
      <w:r>
        <w:t xml:space="preserve"> un corpus législatif très tolérant</w:t>
      </w:r>
      <w:r w:rsidR="00CE0005">
        <w:t>,</w:t>
      </w:r>
      <w:r>
        <w:t xml:space="preserve"> garantit une entière liberté de culte à toutes les minorit</w:t>
      </w:r>
      <w:r w:rsidR="00CE0005">
        <w:t>és religieuses, tant chrétienne</w:t>
      </w:r>
      <w:r w:rsidR="009E7138">
        <w:t>s</w:t>
      </w:r>
      <w:r>
        <w:t xml:space="preserve"> que juive</w:t>
      </w:r>
      <w:r w:rsidR="009E7138">
        <w:t>s</w:t>
      </w:r>
      <w:r>
        <w:t>. Les activités des 14 paroisses catholiques romaines sont encadrées par une convention entre l’État et le Vatican. Tous les citoyens tunisiens, sans distinction de culture, de religion, de conviction, de couleur ou de sexe, jouissent des mêmes libertés. La paix religieuse qui règne en Tunisie est une condition préalable de la paix générale qui règne dans la société. La majorité musulmane respecte par tradition toutes les religions minoritaires. Le Ministère des affaires religieuses – et non pas « du culte musulman »</w:t>
      </w:r>
      <w:r w:rsidR="00CE0005">
        <w:t>, ce qui a son importance</w:t>
      </w:r>
      <w:r>
        <w:t> – accorde une aide financière pour l’entretien de toutes les églises et mosquées ainsi que de leurs cimetières. Il n’est pas fait mention de la religion sur les documents d’identité. La tolérance, le respect de l’autre et le droit à la différence sont enseignés à tous les niveaux, depuis l’école élémentaire jusqu’à l’université.</w:t>
      </w:r>
    </w:p>
    <w:p w:rsidR="005D393C" w:rsidRDefault="005D393C" w:rsidP="00CE0005">
      <w:pPr>
        <w:pStyle w:val="DualTxt"/>
        <w:numPr>
          <w:ilvl w:val="0"/>
          <w:numId w:val="6"/>
        </w:numPr>
      </w:pPr>
      <w:r>
        <w:t xml:space="preserve">Sous le régime </w:t>
      </w:r>
      <w:r w:rsidR="00CE0005">
        <w:t>de la</w:t>
      </w:r>
      <w:r>
        <w:t xml:space="preserve"> loi de 2005 relative à </w:t>
      </w:r>
      <w:r w:rsidR="009E7138">
        <w:t xml:space="preserve">la </w:t>
      </w:r>
      <w:r>
        <w:t>coexistence e</w:t>
      </w:r>
      <w:r w:rsidR="00CE0005">
        <w:t>t à la tolérance, les chrétien</w:t>
      </w:r>
      <w:r>
        <w:t>s qui épousent des musulmans peuvent exercer librement leur religion; une nouvelle chaire pour le dialogue des civilisations et des religions a été établie en 2001 à l’Université de Tunis El Manar</w:t>
      </w:r>
      <w:r w:rsidR="00A771C1">
        <w:t>;</w:t>
      </w:r>
      <w:r>
        <w:t xml:space="preserve"> un centre de recherche sur les civilisations et les cultures a été ouvert en 2003; et toute une série de </w:t>
      </w:r>
      <w:r w:rsidR="00A771C1">
        <w:t>colloques</w:t>
      </w:r>
      <w:r>
        <w:t xml:space="preserve"> et de proclamation</w:t>
      </w:r>
      <w:r w:rsidR="00A771C1">
        <w:t>s</w:t>
      </w:r>
      <w:r>
        <w:t xml:space="preserve"> ont encouragé la paix et la liberté de religion. La Tunisie est un pays arabe </w:t>
      </w:r>
      <w:r w:rsidR="00A771C1">
        <w:t>islamique</w:t>
      </w:r>
      <w:r>
        <w:t xml:space="preserve"> moderne, à la différence de certains autres pays du monde arabe. Une dérive vers l’intégrisme, surtout dans des domaines sensibles comme celui des droits des femmes, </w:t>
      </w:r>
      <w:r w:rsidR="00A771C1">
        <w:t>a poussé</w:t>
      </w:r>
      <w:r>
        <w:t xml:space="preserve"> le Gouvernement à prendre les mesures nécessaires pour empêcher l’idéologie intégriste de déferler sur le pays, et ses décisions en ce sens sont conformes aux articles 18 et 27 du Pacte. </w:t>
      </w:r>
    </w:p>
    <w:p w:rsidR="005D393C" w:rsidRDefault="005D393C" w:rsidP="00CE0005">
      <w:pPr>
        <w:pStyle w:val="DualTxt"/>
        <w:numPr>
          <w:ilvl w:val="0"/>
          <w:numId w:val="6"/>
        </w:numPr>
      </w:pPr>
      <w:r w:rsidRPr="008A3EAB">
        <w:rPr>
          <w:b/>
        </w:rPr>
        <w:t>M. Bismuth</w:t>
      </w:r>
      <w:r>
        <w:t xml:space="preserve"> (Tunisie) déclare qu’il peut porter témoignage, à partir de son expérience de citoyen juif</w:t>
      </w:r>
      <w:r w:rsidR="00A771C1">
        <w:t xml:space="preserve"> de Tunisie</w:t>
      </w:r>
      <w:r>
        <w:t>, fier de son double patrimoine, des changements qui ont pris place depuis l’indépendance. Après avoir travaillé comme homme d’affaires et administrateur dans divers secteurs, il a passé les 40</w:t>
      </w:r>
      <w:r w:rsidR="00A771C1">
        <w:t> </w:t>
      </w:r>
      <w:r>
        <w:t>dernières années dans l’administration et a maintenant l’honneur de siéger au Sénat. Toute sa vie, il a toujours été libre d’exercer activement ses droits. L’adhésion de la Tunisie au Pacte n’a fait que ratifier l’état de chose</w:t>
      </w:r>
      <w:r w:rsidR="00A771C1">
        <w:t>s</w:t>
      </w:r>
      <w:r>
        <w:t xml:space="preserve"> existant. Le mot « tolérance » est trop faible pour décrire la liberté de religion qui règne dans son pays : le Gouvernement exige en effet que ses citoyens respectent toutes les religions, dont il encourage et souvent parraine les célébrations. Juifs, chrétiens et musulmans sont libres de pratiquer leur</w:t>
      </w:r>
      <w:r w:rsidR="00A771C1">
        <w:t>s</w:t>
      </w:r>
      <w:r>
        <w:t xml:space="preserve"> culte</w:t>
      </w:r>
      <w:r w:rsidR="00A771C1">
        <w:t>s</w:t>
      </w:r>
      <w:r>
        <w:t xml:space="preserve">, et leurs modes de vie sont à l’image de leurs identités culturelles, créant ainsi une diversité que le Gouvernement favorise. </w:t>
      </w:r>
    </w:p>
    <w:p w:rsidR="005D393C" w:rsidRDefault="005D393C" w:rsidP="00CE0005">
      <w:pPr>
        <w:pStyle w:val="DualTxt"/>
        <w:numPr>
          <w:ilvl w:val="0"/>
          <w:numId w:val="6"/>
        </w:numPr>
      </w:pPr>
      <w:r>
        <w:t xml:space="preserve">Se référant à la question 22 de la liste des points à traiter et soulignant l’importance que son gouvernement attache à la consolidation d’une culture des droits de l’homme et à la diffusion des principes du Pacte, </w:t>
      </w:r>
      <w:r w:rsidRPr="009E7138">
        <w:rPr>
          <w:b/>
        </w:rPr>
        <w:t>M. Khemakkem</w:t>
      </w:r>
      <w:r>
        <w:t xml:space="preserve"> (Tunisie) rappelle que le Gouvernement tunisien a organisé</w:t>
      </w:r>
      <w:r w:rsidR="00A771C1">
        <w:t>,</w:t>
      </w:r>
      <w:r>
        <w:t xml:space="preserve"> à l’intention des magistrats, des agents de police et des agents pénitentiaires</w:t>
      </w:r>
      <w:r w:rsidR="00A771C1">
        <w:t>,</w:t>
      </w:r>
      <w:r>
        <w:t xml:space="preserve"> des cours sur les droits de l’homme qui examinent les dispositions de tous les instruments internationaux en la matière et éclaire</w:t>
      </w:r>
      <w:r w:rsidR="00A771C1">
        <w:t>nt</w:t>
      </w:r>
      <w:r>
        <w:t xml:space="preserve"> le droit des droits de l’homme. </w:t>
      </w:r>
    </w:p>
    <w:p w:rsidR="005D393C" w:rsidRDefault="005D393C" w:rsidP="00CE0005">
      <w:pPr>
        <w:pStyle w:val="DualTxt"/>
        <w:numPr>
          <w:ilvl w:val="0"/>
          <w:numId w:val="6"/>
        </w:numPr>
      </w:pPr>
      <w:r>
        <w:t xml:space="preserve">Passant </w:t>
      </w:r>
      <w:r w:rsidR="00A771C1">
        <w:t>au point</w:t>
      </w:r>
      <w:r>
        <w:t xml:space="preserve"> 23, il </w:t>
      </w:r>
      <w:r w:rsidR="00A771C1">
        <w:t>dit que son gouvernement s’emploie</w:t>
      </w:r>
      <w:r>
        <w:t xml:space="preserve"> à faire connaître les dispositions du Pacte et à diffuser les observations finales du Comité, car il apprécie les </w:t>
      </w:r>
      <w:r w:rsidR="00A771C1">
        <w:t>idées</w:t>
      </w:r>
      <w:r>
        <w:t xml:space="preserve"> et les commentaires qu’elles contiennent. En outre, le Gouvernement s’efforce toujours d’associer </w:t>
      </w:r>
      <w:r w:rsidR="00A771C1">
        <w:t xml:space="preserve">un large </w:t>
      </w:r>
      <w:r>
        <w:t xml:space="preserve">éventail d’organisations non gouvernementales représentant les journalistes, </w:t>
      </w:r>
      <w:r w:rsidR="00A771C1">
        <w:t xml:space="preserve">les </w:t>
      </w:r>
      <w:r>
        <w:t>travailleurs, les femmes, les dé</w:t>
      </w:r>
      <w:r w:rsidR="00A771C1">
        <w:t>fenseurs des droits de l’enfant</w:t>
      </w:r>
      <w:r>
        <w:t xml:space="preserve"> </w:t>
      </w:r>
      <w:r w:rsidR="00A771C1">
        <w:t>et d’autres catégories de la population</w:t>
      </w:r>
      <w:r>
        <w:t xml:space="preserve"> à la préparation de ses rapports au Comité et aux autres organes de suivi des traités. </w:t>
      </w:r>
    </w:p>
    <w:p w:rsidR="005D393C" w:rsidRDefault="005D393C" w:rsidP="00CE0005">
      <w:pPr>
        <w:pStyle w:val="DualTxt"/>
        <w:numPr>
          <w:ilvl w:val="0"/>
          <w:numId w:val="6"/>
        </w:numPr>
      </w:pPr>
      <w:r w:rsidRPr="00BF4F9E">
        <w:rPr>
          <w:b/>
        </w:rPr>
        <w:t>M. Tekkari</w:t>
      </w:r>
      <w:r>
        <w:t xml:space="preserve"> (Tunisie) précise que </w:t>
      </w:r>
      <w:r w:rsidR="00A771C1">
        <w:t>son g</w:t>
      </w:r>
      <w:r>
        <w:t xml:space="preserve">ouvernement, estimant que le dispositif en place est insuffisant, a décidé de créer un service qui sera placé sous l’autorité du Coordonnateur des droits de l’homme au Ministère de la justice et des droits de l’homme et qui, en coordination avec les ministères et les </w:t>
      </w:r>
      <w:r w:rsidR="00A771C1">
        <w:t>associations</w:t>
      </w:r>
      <w:r>
        <w:t xml:space="preserve"> compétentes, sera chargé du suivi des recommandations du Comité et du contrôle de leur application. </w:t>
      </w:r>
    </w:p>
    <w:p w:rsidR="005D393C" w:rsidRDefault="005D393C" w:rsidP="00CE0005">
      <w:pPr>
        <w:pStyle w:val="DualTxt"/>
        <w:numPr>
          <w:ilvl w:val="0"/>
          <w:numId w:val="6"/>
        </w:numPr>
      </w:pPr>
      <w:r>
        <w:t xml:space="preserve">Revenant </w:t>
      </w:r>
      <w:r w:rsidR="00A771C1">
        <w:t>au point</w:t>
      </w:r>
      <w:r>
        <w:t xml:space="preserve"> 14 de la liste, </w:t>
      </w:r>
      <w:r w:rsidRPr="009E7138">
        <w:rPr>
          <w:b/>
        </w:rPr>
        <w:t>M. Khalil</w:t>
      </w:r>
      <w:r>
        <w:t xml:space="preserve"> demande ce que ferait un juge à qui, au cours d’un procès, un défendeur déclarerait que ses aveux ont été </w:t>
      </w:r>
      <w:r w:rsidR="00A771C1">
        <w:t>obtenus</w:t>
      </w:r>
      <w:r>
        <w:t xml:space="preserve"> par la force. </w:t>
      </w:r>
    </w:p>
    <w:p w:rsidR="005D393C" w:rsidRDefault="005D393C" w:rsidP="00CE0005">
      <w:pPr>
        <w:pStyle w:val="DualTxt"/>
        <w:numPr>
          <w:ilvl w:val="0"/>
          <w:numId w:val="6"/>
        </w:numPr>
      </w:pPr>
      <w:r>
        <w:t xml:space="preserve">En ce qui concerne le point 15, il évoque plusieurs développements favorables sur le </w:t>
      </w:r>
      <w:r w:rsidR="00A771C1">
        <w:t>plan</w:t>
      </w:r>
      <w:r>
        <w:t xml:space="preserve"> de la liberté d’opinion et d’expression</w:t>
      </w:r>
      <w:r w:rsidR="00A771C1">
        <w:t xml:space="preserve">. Ainsi, </w:t>
      </w:r>
      <w:r>
        <w:t xml:space="preserve">des délits de presse comme la diffamation </w:t>
      </w:r>
      <w:r w:rsidR="00A771C1">
        <w:t xml:space="preserve">de l’ordre public </w:t>
      </w:r>
      <w:r>
        <w:t xml:space="preserve">ont été abolis afin qu’ils ne fassent pas obstacle à l’exercice légitime de leur profession par les journalistes; </w:t>
      </w:r>
      <w:r w:rsidR="00A771C1">
        <w:t xml:space="preserve">les </w:t>
      </w:r>
      <w:r>
        <w:t xml:space="preserve">journaux, stations de radio et chaînes de télévision privées se multiplient; et, surtout depuis les amendements de 2006 au Code de la presse, </w:t>
      </w:r>
      <w:r w:rsidR="00A771C1">
        <w:t xml:space="preserve">le </w:t>
      </w:r>
      <w:r>
        <w:t xml:space="preserve">nombre des publications d’opposition </w:t>
      </w:r>
      <w:r w:rsidR="00A771C1">
        <w:t>et le montant</w:t>
      </w:r>
      <w:r>
        <w:t xml:space="preserve"> des subventions qui leur sont accordées par le Gouvernement</w:t>
      </w:r>
      <w:r w:rsidR="0070513F">
        <w:t xml:space="preserve"> ont augmenté</w:t>
      </w:r>
      <w:r>
        <w:t>, ce fait ayant d’ailleurs attiré l’attention de l’étranger. On ne peut cependant manquer d’être frappé par le nombre relativement élevé des allégations de violations de</w:t>
      </w:r>
      <w:r w:rsidR="0070513F">
        <w:t xml:space="preserve"> la</w:t>
      </w:r>
      <w:r>
        <w:t xml:space="preserve"> liberté d’expression, comme celles qui sont signalées dans le rapport de 2002 de la Représentante spéciale du Secrétaire général pour la question des défenseurs des droi</w:t>
      </w:r>
      <w:r w:rsidR="0070513F">
        <w:t>ts de l’homme (E/CN.4/2002/106).</w:t>
      </w:r>
      <w:r>
        <w:t xml:space="preserve"> </w:t>
      </w:r>
      <w:r w:rsidR="0070513F">
        <w:t xml:space="preserve">Ce phénomène confirme </w:t>
      </w:r>
      <w:r>
        <w:t xml:space="preserve">nettement </w:t>
      </w:r>
      <w:r w:rsidR="0070513F">
        <w:t xml:space="preserve">l’opinion </w:t>
      </w:r>
      <w:r>
        <w:t xml:space="preserve">de ceux pour qui il existe </w:t>
      </w:r>
      <w:r w:rsidR="0070513F">
        <w:t xml:space="preserve">en Tunisie </w:t>
      </w:r>
      <w:r>
        <w:t xml:space="preserve">un large fossé entre le droit et la pratique. </w:t>
      </w:r>
    </w:p>
    <w:p w:rsidR="005D393C" w:rsidRDefault="0070513F" w:rsidP="00CE0005">
      <w:pPr>
        <w:pStyle w:val="DualTxt"/>
        <w:numPr>
          <w:ilvl w:val="0"/>
          <w:numId w:val="6"/>
        </w:numPr>
      </w:pPr>
      <w:r>
        <w:t>D</w:t>
      </w:r>
      <w:r w:rsidR="005D393C">
        <w:t xml:space="preserve">ans sa réponse au point 16, </w:t>
      </w:r>
      <w:r>
        <w:t xml:space="preserve">la délégation tunisienne a soutenu </w:t>
      </w:r>
      <w:r w:rsidR="005D393C">
        <w:t xml:space="preserve">que le Gouvernement ne place aucune restriction sur les </w:t>
      </w:r>
      <w:r>
        <w:t xml:space="preserve">sites d’information et les journaux </w:t>
      </w:r>
      <w:r w:rsidR="005D393C">
        <w:t xml:space="preserve">électroniques, à l’exception de ceux qui portent atteinte aux droits de l’homme; pourtant, des organisations non gouvernementales internationales fiables affirment que c’est </w:t>
      </w:r>
      <w:r>
        <w:t xml:space="preserve">ce même </w:t>
      </w:r>
      <w:r w:rsidR="005D393C">
        <w:t xml:space="preserve">argument </w:t>
      </w:r>
      <w:r>
        <w:t>que le Gouvernement avance</w:t>
      </w:r>
      <w:r w:rsidR="005D393C">
        <w:t xml:space="preserve"> pour restreindre les activités légitimes des défenseurs des droits de l’homme ou des partis d’opposition, dont les sites Web sont bloqués ou dont les articles sont exclus </w:t>
      </w:r>
      <w:r>
        <w:t>de</w:t>
      </w:r>
      <w:r w:rsidR="005D393C">
        <w:t xml:space="preserve"> la presse. Les rapports de ces organisations et les restrictions à la liberté d’expression mentionnées </w:t>
      </w:r>
      <w:r>
        <w:t xml:space="preserve">en 2006 </w:t>
      </w:r>
      <w:r w:rsidR="005D393C">
        <w:t xml:space="preserve">par la Représentante spéciale du Secrétaire général sur la question des défenseurs des droits de l’homme </w:t>
      </w:r>
      <w:r>
        <w:t>mettent en évidence le</w:t>
      </w:r>
      <w:r w:rsidR="005D393C">
        <w:t xml:space="preserve"> harcèlement </w:t>
      </w:r>
      <w:r>
        <w:t xml:space="preserve">auquel </w:t>
      </w:r>
      <w:r w:rsidR="005D393C">
        <w:t xml:space="preserve">ceux qui </w:t>
      </w:r>
      <w:r>
        <w:t>font usage de leur liberté d’expression s’exposent de la part des pouvoirs publics</w:t>
      </w:r>
      <w:r w:rsidR="005D393C">
        <w:t>.</w:t>
      </w:r>
    </w:p>
    <w:p w:rsidR="005D393C" w:rsidRDefault="005D393C" w:rsidP="00CE0005">
      <w:pPr>
        <w:pStyle w:val="DualTxt"/>
        <w:numPr>
          <w:ilvl w:val="0"/>
          <w:numId w:val="6"/>
        </w:numPr>
      </w:pPr>
      <w:r>
        <w:t xml:space="preserve">Passant au point 17 de la liste, </w:t>
      </w:r>
      <w:r w:rsidR="0070513F">
        <w:t>M. K</w:t>
      </w:r>
      <w:r w:rsidR="00C21DAA">
        <w:t>halil</w:t>
      </w:r>
      <w:r>
        <w:t xml:space="preserve"> demande si tous les partis politiques reçoivent bien un traitement égal dans la presse officielle tunisienne et, si tel est le cas, pourquoi certains d’entre eux voudraient faire connaître leurs idées politiques </w:t>
      </w:r>
      <w:r w:rsidR="00C21DAA">
        <w:t xml:space="preserve">par </w:t>
      </w:r>
      <w:r>
        <w:t>des canaux situés à l’extérieur du pays. Pour ce qui est du point</w:t>
      </w:r>
      <w:r w:rsidR="00C21DAA">
        <w:t> </w:t>
      </w:r>
      <w:r>
        <w:t>18</w:t>
      </w:r>
      <w:r w:rsidR="00C21DAA">
        <w:t xml:space="preserve"> de la liste</w:t>
      </w:r>
      <w:r>
        <w:t xml:space="preserve">, il cite des extraits d’un bulletin de l’Organisation arabe des droits de l’homme dans lequel la Ligue tunisienne des droits de l’homme dénonce le siège de deux ans auquel les autorités tunisiennes ont soumis ses locaux en violation du droit national et de plusieurs traités internationaux ratifiés par la Tunisie et demande </w:t>
      </w:r>
      <w:r w:rsidR="00C21DAA">
        <w:t>que ce siège</w:t>
      </w:r>
      <w:r>
        <w:t xml:space="preserve"> soit levé. </w:t>
      </w:r>
      <w:r w:rsidR="00C21DAA">
        <w:t>S</w:t>
      </w:r>
      <w:r>
        <w:t xml:space="preserve">elon </w:t>
      </w:r>
      <w:r w:rsidR="00C21DAA">
        <w:t>le même</w:t>
      </w:r>
      <w:r>
        <w:t xml:space="preserve"> bulletin, les autorités ont empêché</w:t>
      </w:r>
      <w:r w:rsidR="00C21DAA">
        <w:t xml:space="preserve"> à deux reprises</w:t>
      </w:r>
      <w:r>
        <w:t xml:space="preserve"> la Ligue de réunir</w:t>
      </w:r>
      <w:r w:rsidR="00C21DAA">
        <w:t xml:space="preserve"> son congrès</w:t>
      </w:r>
      <w:r>
        <w:t xml:space="preserve"> national et ont exposé </w:t>
      </w:r>
      <w:r w:rsidR="00C21DAA">
        <w:t xml:space="preserve">ses représentants </w:t>
      </w:r>
      <w:r>
        <w:t xml:space="preserve">à des actes d’intimidation et à des agressions physiques pour les empêcher d’exercer leur liberté de réunion. De surcroît, le Gouvernement continue d’empêcher les activités des associations indépendantes et des partis d’opposition. Malgré cela, le Comité </w:t>
      </w:r>
      <w:r w:rsidR="00C21DAA">
        <w:t>apprécie</w:t>
      </w:r>
      <w:r>
        <w:t xml:space="preserve"> le fait que le Gouvernement, comme il l’a déclaré dans sa réponse écrite, a autorisé Amnesty International et deux partis d’opposition à tenir des réunions publiques en Tunisie. Il veut voir dans cette autorisation une amélioration par rapport à la situation en 2006, quand la Représentante spéciale du Secrétaire général s’était déclarée gravement </w:t>
      </w:r>
      <w:r w:rsidR="009E7138">
        <w:t>pré</w:t>
      </w:r>
      <w:r>
        <w:t xml:space="preserve">occupée par les </w:t>
      </w:r>
      <w:r w:rsidR="00C21DAA">
        <w:t>entraves</w:t>
      </w:r>
      <w:r>
        <w:t xml:space="preserve"> à </w:t>
      </w:r>
      <w:r w:rsidR="00C21DAA">
        <w:t xml:space="preserve">l’exercice de </w:t>
      </w:r>
      <w:r>
        <w:t xml:space="preserve">la liberté de réunion. </w:t>
      </w:r>
    </w:p>
    <w:p w:rsidR="005D393C" w:rsidRDefault="005D393C" w:rsidP="00CE0005">
      <w:pPr>
        <w:pStyle w:val="DualTxt"/>
        <w:numPr>
          <w:ilvl w:val="0"/>
          <w:numId w:val="6"/>
        </w:numPr>
      </w:pPr>
      <w:r>
        <w:t>S’agissant du point 19</w:t>
      </w:r>
      <w:r w:rsidR="00C21DAA">
        <w:t xml:space="preserve"> de la liste</w:t>
      </w:r>
      <w:r>
        <w:t xml:space="preserve">, </w:t>
      </w:r>
      <w:r w:rsidR="00C21DAA">
        <w:t>M. Khalil</w:t>
      </w:r>
      <w:r>
        <w:t xml:space="preserve"> souhaite obtenir des informations plus détaillées sur les critères appliqués par le Gouvernement pour déclarer une réunion illégale. En effet, dans sa réponse écrite, le Gouvernement s’est contenté de déclarer que les critères appliqués sont ceux prévus par la loi. </w:t>
      </w:r>
      <w:r w:rsidR="00C21DAA">
        <w:t>M. Khalil</w:t>
      </w:r>
      <w:r>
        <w:t xml:space="preserve"> demande si les réunions qui ont pu être déclarées illégales au cours des cinq années précédentes concernaient uniquement des associations internationales de soutien aux prisonniers politiques. Il voudrait </w:t>
      </w:r>
      <w:r w:rsidR="00C21DAA">
        <w:t>aussi</w:t>
      </w:r>
      <w:r>
        <w:t xml:space="preserve"> savoir combien de prisonniers politiques se trouvent encore derrière les barreaux. Il a clairement l’impression que le Gouvernement est loin de tolérer la critique et rappelle que le Comité a déjà souligné ce problème dans ses observations finales sur le quatrième rapport périodique de la Tunisie. </w:t>
      </w:r>
    </w:p>
    <w:p w:rsidR="005D393C" w:rsidRDefault="005D393C" w:rsidP="00CE0005">
      <w:pPr>
        <w:pStyle w:val="DualTxt"/>
        <w:numPr>
          <w:ilvl w:val="0"/>
          <w:numId w:val="6"/>
        </w:numPr>
      </w:pPr>
      <w:r>
        <w:rPr>
          <w:b/>
        </w:rPr>
        <w:t>M. Lallah</w:t>
      </w:r>
      <w:r>
        <w:t xml:space="preserve"> remercie la délégation de son rapport détaillé, et en particulier des utiles informations qu’il contient sur les Berbères; </w:t>
      </w:r>
      <w:r w:rsidR="00C21DAA">
        <w:t>en même temps</w:t>
      </w:r>
      <w:r>
        <w:t>, il regrette que certaines des réponses de la délégation aux réponses du Comité</w:t>
      </w:r>
      <w:r w:rsidR="00C21DAA">
        <w:t xml:space="preserve"> soient insuffisantes</w:t>
      </w:r>
      <w:r>
        <w:t xml:space="preserve">, notamment </w:t>
      </w:r>
      <w:r w:rsidR="00C21DAA">
        <w:t xml:space="preserve">sa réponse </w:t>
      </w:r>
      <w:r>
        <w:t xml:space="preserve">à la question </w:t>
      </w:r>
      <w:r w:rsidR="00C21DAA">
        <w:t>du</w:t>
      </w:r>
      <w:r>
        <w:t xml:space="preserve"> point 20 </w:t>
      </w:r>
      <w:r w:rsidR="00C21DAA">
        <w:t xml:space="preserve">de la liste, </w:t>
      </w:r>
      <w:r>
        <w:t>qui concerne la reconnaissance et l’enregistrement des associations de dé</w:t>
      </w:r>
      <w:r w:rsidR="00C21DAA">
        <w:t>fenseurs des droits de l’homme</w:t>
      </w:r>
      <w:r>
        <w:t xml:space="preserve">. </w:t>
      </w:r>
      <w:r w:rsidR="00C21DAA">
        <w:t>Le défaut de précision de ces</w:t>
      </w:r>
      <w:r>
        <w:t xml:space="preserve"> réponse</w:t>
      </w:r>
      <w:r w:rsidR="00C21DAA">
        <w:t>s</w:t>
      </w:r>
      <w:r>
        <w:t xml:space="preserve"> aux questions du Comité est </w:t>
      </w:r>
      <w:r w:rsidR="00C21DAA">
        <w:t>troublant</w:t>
      </w:r>
      <w:r>
        <w:t xml:space="preserve">. Le Comité a posé </w:t>
      </w:r>
      <w:r w:rsidR="00C21DAA">
        <w:t>d</w:t>
      </w:r>
      <w:r>
        <w:t>es questions légitim</w:t>
      </w:r>
      <w:r w:rsidR="00C21DAA">
        <w:t>es</w:t>
      </w:r>
      <w:r>
        <w:t xml:space="preserve">, en se </w:t>
      </w:r>
      <w:r w:rsidR="00C21DAA">
        <w:t xml:space="preserve">fondant </w:t>
      </w:r>
      <w:r>
        <w:t xml:space="preserve">sur les informations fournies par la Représentante spéciale du Secrétaire général sur la question des défenseurs des droits de l’homme dans son rapport (E/CN.4/2006/95/Add.5). En réponse aux questions du Comité, le Ministre de la justice a conseillé aux défenseurs des droits de l’homme d’introduire des recours devant les tribunaux pour obtenir la reconnaissance et l’enregistrement officiel de leurs associations. </w:t>
      </w:r>
      <w:r w:rsidR="00C21DAA">
        <w:t>M. Lallah</w:t>
      </w:r>
      <w:r>
        <w:t xml:space="preserve"> voudrait savoir s’il existe des associations qui ont satisfait aux critères requis pour qu’elles soient légalement constituées; si les associations dont les demandes ont été rejetées ont été informées des motifs du rejet; </w:t>
      </w:r>
      <w:r w:rsidR="00C21DAA">
        <w:t>e</w:t>
      </w:r>
      <w:r>
        <w:t xml:space="preserve">t combien de temps il faudrait à une association pour se faire enregistrer par la voie judiciaire conseillée par le Ministre. </w:t>
      </w:r>
    </w:p>
    <w:p w:rsidR="005D393C" w:rsidRPr="00CD23D6" w:rsidRDefault="00C21DAA" w:rsidP="00CE0005">
      <w:pPr>
        <w:pStyle w:val="DualTxt"/>
        <w:numPr>
          <w:ilvl w:val="0"/>
          <w:numId w:val="6"/>
        </w:numPr>
      </w:pPr>
      <w:r>
        <w:t>Nul ne conteste que</w:t>
      </w:r>
      <w:r w:rsidR="005D393C">
        <w:t xml:space="preserve"> le fanatisme </w:t>
      </w:r>
      <w:r w:rsidR="000B34BE">
        <w:t>constitue un véritable problème pour</w:t>
      </w:r>
      <w:r w:rsidR="005D393C">
        <w:t xml:space="preserve"> la Tunisie. Mais ce n’est pas un problème </w:t>
      </w:r>
      <w:r w:rsidR="000B34BE">
        <w:t>qui peut être réglé uniquement par l’</w:t>
      </w:r>
      <w:r w:rsidR="005D393C">
        <w:t xml:space="preserve">action du Gouvernement et </w:t>
      </w:r>
      <w:r w:rsidR="000B34BE">
        <w:t xml:space="preserve">l’application </w:t>
      </w:r>
      <w:r w:rsidR="005D393C">
        <w:t xml:space="preserve">des lois. La collaboration des </w:t>
      </w:r>
      <w:r w:rsidR="000B34BE">
        <w:t>couches</w:t>
      </w:r>
      <w:r w:rsidR="005D393C">
        <w:t xml:space="preserve"> pensantes de la société, représentées par les associations de défenseurs des droits de l’homme, est indispensable; s’aliéner ces alliés potentiels contre l’extrémisme ne peut qu’entraîner une perte de confiance dans l’administration et apporter de l’eau au moulin des extrémistes. </w:t>
      </w:r>
      <w:r w:rsidR="000B34BE">
        <w:t>L’orateur</w:t>
      </w:r>
      <w:r w:rsidR="005D393C">
        <w:t xml:space="preserve"> exhorte la délégation à trouver rapidement une solution efficace qui garantisse le droit d’association prévu </w:t>
      </w:r>
      <w:r w:rsidR="000B34BE">
        <w:t>à</w:t>
      </w:r>
      <w:r w:rsidR="005D393C">
        <w:t xml:space="preserve"> l’article</w:t>
      </w:r>
      <w:r w:rsidR="000B34BE">
        <w:t> </w:t>
      </w:r>
      <w:r w:rsidR="005D393C">
        <w:t>22 du Pacte.</w:t>
      </w:r>
    </w:p>
    <w:p w:rsidR="00652344" w:rsidRDefault="00652344" w:rsidP="00CE0005">
      <w:pPr>
        <w:pStyle w:val="DualTxt"/>
        <w:numPr>
          <w:ilvl w:val="0"/>
          <w:numId w:val="6"/>
        </w:numPr>
      </w:pPr>
      <w:r>
        <w:t xml:space="preserve">Se référant à la liberté d’expression, </w:t>
      </w:r>
      <w:r w:rsidRPr="009E7138">
        <w:rPr>
          <w:b/>
        </w:rPr>
        <w:t>M</w:t>
      </w:r>
      <w:r w:rsidRPr="009E7138">
        <w:rPr>
          <w:b/>
          <w:vertAlign w:val="superscript"/>
        </w:rPr>
        <w:t>me</w:t>
      </w:r>
      <w:r w:rsidRPr="009E7138">
        <w:rPr>
          <w:b/>
        </w:rPr>
        <w:t> Wedgwood</w:t>
      </w:r>
      <w:r w:rsidRPr="003D37EA">
        <w:t>,</w:t>
      </w:r>
      <w:r>
        <w:t xml:space="preserve"> dit que, tout en reconnaissant et partageant les sincères préoccupations du Gouvernement face aux incitations à la violence et au terrorisme, elle ne manque pas d’être troublée par son approche de la liberté de la presse. Elle se félicite certes des amendements introduits au cours des dernières années, mais se demande si le Gouvernement ne devrait pas envisager d’en adopter de nouveaux, notamment </w:t>
      </w:r>
      <w:r w:rsidR="003D37EA">
        <w:t>pour modifier</w:t>
      </w:r>
      <w:r>
        <w:t xml:space="preserve"> les dispositions du Code tunisien de la presse </w:t>
      </w:r>
      <w:r w:rsidR="003D37EA">
        <w:t>susceptibles</w:t>
      </w:r>
      <w:r>
        <w:t xml:space="preserve"> d’empêcher les journalistes</w:t>
      </w:r>
      <w:r w:rsidR="003D37EA">
        <w:t xml:space="preserve"> d’exprimer leur opinion</w:t>
      </w:r>
      <w:r>
        <w:t xml:space="preserve"> sur le fonctionnement des administrations publiques. Elle s’étonne, par exemple, que le Code de la presse incrimine le fait de diffamer non seulement des particuliers, mais aussi des institutions, et qu’il incrimine aussi la diffamation de</w:t>
      </w:r>
      <w:r w:rsidR="009E7138">
        <w:t xml:space="preserve"> fonctionnaires dans l’</w:t>
      </w:r>
      <w:r>
        <w:t xml:space="preserve">exercice de leurs fonctions. </w:t>
      </w:r>
    </w:p>
    <w:p w:rsidR="00652344" w:rsidRDefault="00652344" w:rsidP="00CE0005">
      <w:pPr>
        <w:pStyle w:val="DualTxt"/>
        <w:numPr>
          <w:ilvl w:val="0"/>
          <w:numId w:val="6"/>
        </w:numPr>
      </w:pPr>
      <w:r>
        <w:t>Se référant à la réponse de l’État partie sur la question de savoir si la loi organique n</w:t>
      </w:r>
      <w:r w:rsidRPr="00877BCB">
        <w:rPr>
          <w:vertAlign w:val="superscript"/>
        </w:rPr>
        <w:t>o</w:t>
      </w:r>
      <w:r>
        <w:t> 2003-58 est conforme à l’article 19 du Pacte, elle fait observer que, bien que les élections relèvent de l’exercice exclusif de la souveraineté, on peut s’étonner que les Tunisiens se voient interdire de faire connaître leur préférence pour tel ou tel candidat.</w:t>
      </w:r>
    </w:p>
    <w:p w:rsidR="00652344" w:rsidRDefault="00652344" w:rsidP="00CE0005">
      <w:pPr>
        <w:pStyle w:val="DualTxt"/>
        <w:numPr>
          <w:ilvl w:val="0"/>
          <w:numId w:val="6"/>
        </w:numPr>
      </w:pPr>
      <w:r>
        <w:t xml:space="preserve">S’agissant de l’accès à l’Internet, elle prie la délégation de s’exprimer sur la question de l’indépendance des </w:t>
      </w:r>
      <w:r w:rsidR="00566B28">
        <w:t>fournisseurs d’accès à l’</w:t>
      </w:r>
      <w:r>
        <w:t xml:space="preserve">Internet à l’égard du Gouvernement </w:t>
      </w:r>
      <w:r w:rsidR="00566B28">
        <w:t>dans le contexte</w:t>
      </w:r>
      <w:r>
        <w:t xml:space="preserve"> des allégations selon lesquelles les deux sociétés tunisiennes de prestations de services</w:t>
      </w:r>
      <w:r w:rsidR="00566B28">
        <w:t xml:space="preserve"> dans ce domaine</w:t>
      </w:r>
      <w:r>
        <w:t xml:space="preserve"> appart</w:t>
      </w:r>
      <w:r w:rsidR="00566B28">
        <w:t>i</w:t>
      </w:r>
      <w:r>
        <w:t>en</w:t>
      </w:r>
      <w:r w:rsidR="00566B28">
        <w:t>n</w:t>
      </w:r>
      <w:r>
        <w:t xml:space="preserve">ent à des parents du Président Ben Ali. Au paragraphe 286 du rapport de la Tunisie, </w:t>
      </w:r>
      <w:r w:rsidR="00566B28">
        <w:t>on peut lire</w:t>
      </w:r>
      <w:r>
        <w:t xml:space="preserve"> qu’il devient essentiel de mettre le réseau Internet au centre d’une bataille publique et citoyenne pour la maîtrise de son contenu et de sa mise en circulation. Bien </w:t>
      </w:r>
      <w:r w:rsidR="00566B28">
        <w:t>que l’oratrice</w:t>
      </w:r>
      <w:r>
        <w:t xml:space="preserve"> comprenne la nécessité de faire obstacle aux incitations à la haine raciale ou </w:t>
      </w:r>
      <w:r w:rsidR="00566B28">
        <w:t>religieuse et qu’elle apprécie</w:t>
      </w:r>
      <w:r>
        <w:t xml:space="preserve"> à sa juste valeur la tolérance manifestée par la Tunisie à l’égard de ses différentes communautés ethniques, elle considère qu’en dehors des problèmes de pornographie et d’incitation à la violence, un gouvernement n’a pas à se mêler de contrôler le contenu de l’Internet. L’Internet est devenu le principal moyen de communication des jeunes</w:t>
      </w:r>
      <w:r w:rsidR="00566B28">
        <w:t>,</w:t>
      </w:r>
      <w:r>
        <w:t xml:space="preserve"> en même temps qu’un nouveau moyen de diffusion. Elle trouve préoccupant que l’on ne puisse pas télécharger depuis la Tunisie des informations que l’on peut télécharger facilement dans la plupart des </w:t>
      </w:r>
      <w:r w:rsidR="00566B28">
        <w:t xml:space="preserve">autres </w:t>
      </w:r>
      <w:r>
        <w:t>pays.</w:t>
      </w:r>
    </w:p>
    <w:p w:rsidR="00652344" w:rsidRDefault="00566B28" w:rsidP="00CE0005">
      <w:pPr>
        <w:pStyle w:val="DualTxt"/>
        <w:numPr>
          <w:ilvl w:val="0"/>
          <w:numId w:val="6"/>
        </w:numPr>
      </w:pPr>
      <w:r>
        <w:t>L’oratrice</w:t>
      </w:r>
      <w:r w:rsidR="00652344">
        <w:t xml:space="preserve"> fait observer que les dispositions du Code de la presse qui impose</w:t>
      </w:r>
      <w:r>
        <w:t>nt</w:t>
      </w:r>
      <w:r w:rsidR="00652344">
        <w:t xml:space="preserve"> aux journaux d’employer un certain nombre de diplômés d’écoles de journalisme risquent d’empêcher </w:t>
      </w:r>
      <w:r>
        <w:t>l</w:t>
      </w:r>
      <w:r w:rsidR="00652344">
        <w:t xml:space="preserve">es citoyens ordinaires de publier leurs propres journaux et, partant, de limiter la liberté d’expression, ce qui serait une conséquence à long terme peu souhaitable pour la Tunisie. Enfin, le fait que les journaux doivent déposer une caution avant de pouvoir être publiés risque de contraindre leur liberté d’expression </w:t>
      </w:r>
      <w:r>
        <w:t>en faisant</w:t>
      </w:r>
      <w:r w:rsidR="00652344">
        <w:t xml:space="preserve"> intervenir le Gouvernement à un stade aussi précoce. </w:t>
      </w:r>
      <w:r>
        <w:t>Notant l’importance qui s’attache à assurer l’autonomie de la presse et à la laisser se réglementer elle-même</w:t>
      </w:r>
      <w:r w:rsidR="00652344">
        <w:t>, elle invite le Gouvernement à revenir sur cette politique dans sa prochaine série de réformes administratives et législatives.</w:t>
      </w:r>
    </w:p>
    <w:p w:rsidR="00652344" w:rsidRDefault="00652344" w:rsidP="00CE0005">
      <w:pPr>
        <w:pStyle w:val="DualTxt"/>
        <w:numPr>
          <w:ilvl w:val="0"/>
          <w:numId w:val="6"/>
        </w:numPr>
      </w:pPr>
      <w:r>
        <w:rPr>
          <w:b/>
        </w:rPr>
        <w:t>M</w:t>
      </w:r>
      <w:r w:rsidRPr="00877BCB">
        <w:rPr>
          <w:b/>
          <w:vertAlign w:val="superscript"/>
        </w:rPr>
        <w:t>me</w:t>
      </w:r>
      <w:r>
        <w:rPr>
          <w:b/>
        </w:rPr>
        <w:t> Motoc</w:t>
      </w:r>
      <w:r>
        <w:t xml:space="preserve"> demande comment la Tunisie a reçu les nouveaux principes introduits par la Convention relative aux droits des personnes handicapées et ce qu’elle fait pour garantir que les droits de ces personnes soient respectés. </w:t>
      </w:r>
    </w:p>
    <w:p w:rsidR="00652344" w:rsidRDefault="00652344" w:rsidP="00CE0005">
      <w:pPr>
        <w:pStyle w:val="DualTxt"/>
        <w:numPr>
          <w:ilvl w:val="0"/>
          <w:numId w:val="6"/>
        </w:numPr>
      </w:pPr>
      <w:r>
        <w:t xml:space="preserve">Se référant au droit à un procès équitable, </w:t>
      </w:r>
      <w:r w:rsidRPr="009E7138">
        <w:rPr>
          <w:b/>
        </w:rPr>
        <w:t>M. Tekkari</w:t>
      </w:r>
      <w:r>
        <w:t xml:space="preserve"> (Tunisie) dit qu’il importe de considérer le contexte des allégations d’</w:t>
      </w:r>
      <w:r w:rsidR="00566B28">
        <w:t>iniquité</w:t>
      </w:r>
      <w:r>
        <w:t>. Il arrive</w:t>
      </w:r>
      <w:r w:rsidR="00566B28">
        <w:t xml:space="preserve"> en effet</w:t>
      </w:r>
      <w:r>
        <w:t xml:space="preserve"> que jusqu’à 100 avocats demandent à assister à un procès, alors même qu’il n’est pas toujours possible de les recevoir </w:t>
      </w:r>
      <w:r w:rsidR="009E7138">
        <w:t xml:space="preserve">physiquement </w:t>
      </w:r>
      <w:r>
        <w:t xml:space="preserve">dans </w:t>
      </w:r>
      <w:r w:rsidR="00E86974">
        <w:t>la salle d’audience</w:t>
      </w:r>
      <w:r>
        <w:t xml:space="preserve">. </w:t>
      </w:r>
      <w:r w:rsidR="00932C3F">
        <w:t>Il y a même</w:t>
      </w:r>
      <w:r>
        <w:t xml:space="preserve"> une affaire</w:t>
      </w:r>
      <w:r w:rsidR="00932C3F">
        <w:t xml:space="preserve"> où</w:t>
      </w:r>
      <w:r>
        <w:t xml:space="preserve">, lorsque le juge a demandé aux avocats d’assister au procès par petits groupes, </w:t>
      </w:r>
      <w:r w:rsidR="00932C3F">
        <w:t>ceux-ci</w:t>
      </w:r>
      <w:r>
        <w:t xml:space="preserve"> se sont retirés en </w:t>
      </w:r>
      <w:r w:rsidR="00932C3F">
        <w:t>proclamant</w:t>
      </w:r>
      <w:r>
        <w:t xml:space="preserve"> que le procès n’était pas équitable. Au procès récent de Soliman, le Tribunal a été obligé d’écouter 24 heures ininterrompues de </w:t>
      </w:r>
      <w:r w:rsidR="00932C3F">
        <w:t>plaidoiries</w:t>
      </w:r>
      <w:r>
        <w:t xml:space="preserve">, </w:t>
      </w:r>
      <w:r w:rsidR="00932C3F">
        <w:t xml:space="preserve">car </w:t>
      </w:r>
      <w:r>
        <w:t xml:space="preserve">chacun des nombreux avocats de la défense </w:t>
      </w:r>
      <w:r w:rsidR="00932C3F">
        <w:t>a</w:t>
      </w:r>
      <w:r>
        <w:t xml:space="preserve"> tenu à s’exprimer sans limites</w:t>
      </w:r>
      <w:r w:rsidR="00932C3F">
        <w:t>,</w:t>
      </w:r>
      <w:r>
        <w:t xml:space="preserve"> et on </w:t>
      </w:r>
      <w:r w:rsidR="00932C3F">
        <w:t>a</w:t>
      </w:r>
      <w:r>
        <w:t xml:space="preserve"> encore prétendu que ce procès n’était pas équitable. Il </w:t>
      </w:r>
      <w:r w:rsidR="00932C3F">
        <w:t xml:space="preserve">faut éviter </w:t>
      </w:r>
      <w:r>
        <w:t>de mêler politique et droits de l’homme.</w:t>
      </w:r>
    </w:p>
    <w:p w:rsidR="00652344" w:rsidRDefault="00652344" w:rsidP="00CE0005">
      <w:pPr>
        <w:pStyle w:val="DualTxt"/>
        <w:numPr>
          <w:ilvl w:val="0"/>
          <w:numId w:val="6"/>
        </w:numPr>
      </w:pPr>
      <w:r>
        <w:t>Sur la question de savoir comment les tribunaux traitent les plaintes de</w:t>
      </w:r>
      <w:r w:rsidR="00932C3F">
        <w:t>s</w:t>
      </w:r>
      <w:r>
        <w:t xml:space="preserve"> victimes de torture, la Cour de cassation a fait savoir clairement que </w:t>
      </w:r>
      <w:r w:rsidR="00932C3F">
        <w:t xml:space="preserve">les </w:t>
      </w:r>
      <w:r>
        <w:t>déclaration</w:t>
      </w:r>
      <w:r w:rsidR="00932C3F">
        <w:t>s</w:t>
      </w:r>
      <w:r>
        <w:t xml:space="preserve"> </w:t>
      </w:r>
      <w:r w:rsidR="00932C3F">
        <w:t xml:space="preserve">obtenues par </w:t>
      </w:r>
      <w:r>
        <w:t xml:space="preserve">la torture </w:t>
      </w:r>
      <w:r w:rsidR="00932C3F">
        <w:t>sont</w:t>
      </w:r>
      <w:r>
        <w:t xml:space="preserve"> irrecevable</w:t>
      </w:r>
      <w:r w:rsidR="00932C3F">
        <w:t>s</w:t>
      </w:r>
      <w:r>
        <w:t xml:space="preserve">. Quiconque a subi des </w:t>
      </w:r>
      <w:r w:rsidR="00932C3F">
        <w:t xml:space="preserve">sévices </w:t>
      </w:r>
      <w:r>
        <w:t>peut en saisir les tribunaux.</w:t>
      </w:r>
    </w:p>
    <w:p w:rsidR="00652344" w:rsidRDefault="00652344" w:rsidP="00CE0005">
      <w:pPr>
        <w:pStyle w:val="DualTxt"/>
        <w:numPr>
          <w:ilvl w:val="0"/>
          <w:numId w:val="6"/>
        </w:numPr>
      </w:pPr>
      <w:r>
        <w:t xml:space="preserve">En ce qui concerne la liberté d’opinion, </w:t>
      </w:r>
      <w:r w:rsidR="00932C3F">
        <w:t>l’orateur</w:t>
      </w:r>
      <w:r>
        <w:t xml:space="preserve"> rappelle que des subventions directes et indirectes sont </w:t>
      </w:r>
      <w:r w:rsidR="00932C3F">
        <w:t xml:space="preserve">mises </w:t>
      </w:r>
      <w:r>
        <w:t xml:space="preserve">à la disposition des journaux </w:t>
      </w:r>
      <w:r w:rsidR="00932C3F">
        <w:t>qui préparent leur publication</w:t>
      </w:r>
      <w:r>
        <w:t>. Aucun journal n’a été suspendu</w:t>
      </w:r>
      <w:r w:rsidR="00932C3F">
        <w:t>,</w:t>
      </w:r>
      <w:r>
        <w:t xml:space="preserve"> et la presse écrite </w:t>
      </w:r>
      <w:r w:rsidR="00932C3F">
        <w:t xml:space="preserve">comme </w:t>
      </w:r>
      <w:r>
        <w:t>la presse audiovisuelle se caractérise</w:t>
      </w:r>
      <w:r w:rsidR="00932C3F">
        <w:t>nt</w:t>
      </w:r>
      <w:r>
        <w:t xml:space="preserve"> par leur diversité. Les journaux des partis aussi bien que les médias privés et indépendants critiquent les partis politiques. La situation n’est peut-être pas parfaite, mais elle s’améliore.</w:t>
      </w:r>
    </w:p>
    <w:p w:rsidR="00652344" w:rsidRDefault="00652344" w:rsidP="00CE0005">
      <w:pPr>
        <w:pStyle w:val="DualTxt"/>
        <w:numPr>
          <w:ilvl w:val="0"/>
          <w:numId w:val="6"/>
        </w:numPr>
      </w:pPr>
      <w:r>
        <w:t>En réponse à une question sur la fermeture de site</w:t>
      </w:r>
      <w:r w:rsidR="00932C3F">
        <w:t>s</w:t>
      </w:r>
      <w:r>
        <w:t xml:space="preserve"> Web, </w:t>
      </w:r>
      <w:r w:rsidR="00932C3F">
        <w:t>l’orateur</w:t>
      </w:r>
      <w:r>
        <w:t xml:space="preserve"> précise que ces sites ne sont fermés que s’ils contiennent de la pornographie ou des incitations à la violence. Le cas des Internautes de Zarzis est b</w:t>
      </w:r>
      <w:r w:rsidR="00932C3F">
        <w:t>ien connu</w:t>
      </w:r>
      <w:r>
        <w:t xml:space="preserve"> </w:t>
      </w:r>
      <w:r w:rsidR="00932C3F">
        <w:t>à</w:t>
      </w:r>
      <w:r>
        <w:t xml:space="preserve"> cet égard : il y a trois ans, un groupe de Tunisiens a été arrêté et accusé de participation à des actes de terrorisme parce </w:t>
      </w:r>
      <w:r w:rsidR="00932C3F">
        <w:t>que ses membres</w:t>
      </w:r>
      <w:r>
        <w:t xml:space="preserve"> avaient appris sur l’Internet comment fabriquer des explosifs, avaient procédé à des essais et avaient repéré les lieux qu’ils voulaient détruire. Ils ont été libéré</w:t>
      </w:r>
      <w:r w:rsidR="00932C3F">
        <w:t>s</w:t>
      </w:r>
      <w:r>
        <w:t xml:space="preserve"> ultérieurement, mais l’un d’eux est mort peu de temps après en Somalie dans une action terroriste, tandis qu’un autre a été condamné par contumace en France pour infraction de terrorisme. Bien que, fondamentalement, l’Internet favorise la liberté, il importe cependant de faire la distinction entre son utilisation comme moyen d’accès à l’information et son utilisation à des fins terroristes, car il existe de nombreux abus dans ce domaine. Un autre site Web qui a été fermé </w:t>
      </w:r>
      <w:r w:rsidR="00932C3F">
        <w:t xml:space="preserve">préconisait les </w:t>
      </w:r>
      <w:r>
        <w:t>attentat</w:t>
      </w:r>
      <w:r w:rsidR="00932C3F">
        <w:t>s</w:t>
      </w:r>
      <w:r>
        <w:t>-suicide</w:t>
      </w:r>
      <w:r w:rsidR="00932C3F">
        <w:t>s</w:t>
      </w:r>
      <w:r>
        <w:t xml:space="preserve"> et </w:t>
      </w:r>
      <w:r w:rsidR="00932C3F">
        <w:t>les</w:t>
      </w:r>
      <w:r>
        <w:t xml:space="preserve"> décapitation</w:t>
      </w:r>
      <w:r w:rsidR="00932C3F">
        <w:t>s</w:t>
      </w:r>
      <w:r>
        <w:t xml:space="preserve"> en Tunisie. Les sites de ce genre </w:t>
      </w:r>
      <w:r w:rsidR="00932C3F">
        <w:t>risquent d’</w:t>
      </w:r>
      <w:r>
        <w:t xml:space="preserve">exercer une influence dangereuse sur des jeunes qui peuvent être facilement persuadés de commettre des attentats-suicides à la bombe. </w:t>
      </w:r>
    </w:p>
    <w:p w:rsidR="00652344" w:rsidRDefault="00652344" w:rsidP="00CE0005">
      <w:pPr>
        <w:pStyle w:val="DualTxt"/>
        <w:numPr>
          <w:ilvl w:val="0"/>
          <w:numId w:val="6"/>
        </w:numPr>
      </w:pPr>
      <w:r>
        <w:t>À propos du point 16 de la liste, M. Khalil a mentionné 64 communications concernant 78 personnes qui avaient été victimes d’actes de harcèlement et d’intimidation. Le seul journaliste actuellement en prison est détenu non pas pour ses opinions</w:t>
      </w:r>
      <w:r w:rsidR="00932C3F">
        <w:t>,</w:t>
      </w:r>
      <w:r>
        <w:t xml:space="preserve"> mais pour un délit de droit commun, celui d’insulte à agent de la puissance publique. Le fait qu’il s’agisse d’un journaliste ne lui confère aucune immunité à cet égard. </w:t>
      </w:r>
    </w:p>
    <w:p w:rsidR="00652344" w:rsidRDefault="00652344" w:rsidP="00CE0005">
      <w:pPr>
        <w:pStyle w:val="DualTxt"/>
        <w:numPr>
          <w:ilvl w:val="0"/>
          <w:numId w:val="6"/>
        </w:numPr>
      </w:pPr>
      <w:r>
        <w:t xml:space="preserve">Passant </w:t>
      </w:r>
      <w:r w:rsidR="00932C3F">
        <w:t>au</w:t>
      </w:r>
      <w:r>
        <w:t xml:space="preserve"> droit d’association pacifique et </w:t>
      </w:r>
      <w:r w:rsidR="00932C3F">
        <w:t>à</w:t>
      </w:r>
      <w:r>
        <w:t xml:space="preserve"> la Ligue tunisienne des droits de l’homme, </w:t>
      </w:r>
      <w:r w:rsidR="00932C3F">
        <w:t>l’orateur</w:t>
      </w:r>
      <w:r>
        <w:t xml:space="preserve"> explique que la Ligue </w:t>
      </w:r>
      <w:r w:rsidR="00932C3F">
        <w:t>traverse un conflit inte</w:t>
      </w:r>
      <w:r>
        <w:t>r</w:t>
      </w:r>
      <w:r w:rsidR="00932C3F">
        <w:t>n</w:t>
      </w:r>
      <w:r>
        <w:t>e que ses propres organes ne réussissent pas à régler. Dans la préparation de son congrès, la Ligue a violé son propre règlement et ce sont des membres de la Ligue qui ont porté l’affaire devant les tribunaux. Le congrès a été annulé non pas pour faire obstacle au droit d’association</w:t>
      </w:r>
      <w:r w:rsidR="009E7138">
        <w:t>,</w:t>
      </w:r>
      <w:r>
        <w:t xml:space="preserve"> mais en exécution d’une décision de justice. Le fait que certains de ses membres </w:t>
      </w:r>
      <w:r w:rsidR="005D4DF3">
        <w:t>soient</w:t>
      </w:r>
      <w:r>
        <w:t xml:space="preserve"> proches du parti majoritaire ne leur donne pas plus de droit</w:t>
      </w:r>
      <w:r w:rsidR="005D4DF3">
        <w:t>s</w:t>
      </w:r>
      <w:r>
        <w:t xml:space="preserve"> qu’aux autres, et le juge n’a tenu aucun compte de leurs affiliations politiques. La Tunisie n’en considère pas moins la Ligue comme un </w:t>
      </w:r>
      <w:r w:rsidR="005D4DF3">
        <w:t xml:space="preserve">acquis </w:t>
      </w:r>
      <w:r>
        <w:t>national et elle espère que ses membres parviendront finalement à un accord afin qu’elle puisse occuper la place qui lui revient dans la société civile tunisienne en sa qualité d’organisme de défense des droits de l’homme.</w:t>
      </w:r>
    </w:p>
    <w:p w:rsidR="00652344" w:rsidRDefault="00652344" w:rsidP="00CE0005">
      <w:pPr>
        <w:pStyle w:val="DualTxt"/>
        <w:numPr>
          <w:ilvl w:val="0"/>
          <w:numId w:val="6"/>
        </w:numPr>
      </w:pPr>
      <w:r>
        <w:t xml:space="preserve">Il existe deux critères pour </w:t>
      </w:r>
      <w:r w:rsidR="005D4DF3">
        <w:t>décider</w:t>
      </w:r>
      <w:r>
        <w:t xml:space="preserve"> si une réunion est illégale : sont illégales les réunions qui n’ont pas fait l’objet d’une déclaration préalable et celles qui représentent une menace pour la sécurité publique. </w:t>
      </w:r>
      <w:r w:rsidR="005D4DF3">
        <w:t>L</w:t>
      </w:r>
      <w:r>
        <w:t xml:space="preserve">e Gouvernement ne soumet pas les réunions à autorisation, </w:t>
      </w:r>
      <w:r w:rsidR="005D4DF3">
        <w:t xml:space="preserve">mais </w:t>
      </w:r>
      <w:r>
        <w:t>il peut les interdire. Par « réunion », on entend un groupe important et non pas six personnes se retrouvant dans un café. Les affaires concernant l’ordre public relèvent du juge administratif. Dans le cas de la Ligue des droits de l’homme, le juge a rendu sa décision dans un délai de trois jours. Certaines questions de fond peuvent prendre plus longtemps</w:t>
      </w:r>
      <w:r w:rsidR="005D4DF3">
        <w:t>,</w:t>
      </w:r>
      <w:r>
        <w:t xml:space="preserve"> mais il arrive aussi que les accusés emploient délibérément des tactiques </w:t>
      </w:r>
      <w:r w:rsidR="005D4DF3">
        <w:t>dilatoires. Les délais qui s’en</w:t>
      </w:r>
      <w:r>
        <w:t xml:space="preserve">suivent leur permettent de se faire passer pour des victimes, ce qui </w:t>
      </w:r>
      <w:r w:rsidR="005D4DF3">
        <w:t>offre pour eux</w:t>
      </w:r>
      <w:r>
        <w:t xml:space="preserve"> certains avantages. </w:t>
      </w:r>
    </w:p>
    <w:p w:rsidR="00652344" w:rsidRDefault="00652344" w:rsidP="00CE0005">
      <w:pPr>
        <w:pStyle w:val="DualTxt"/>
        <w:numPr>
          <w:ilvl w:val="0"/>
          <w:numId w:val="6"/>
        </w:numPr>
      </w:pPr>
      <w:r>
        <w:t xml:space="preserve">Passant à la question des prisonniers politiques, </w:t>
      </w:r>
      <w:r w:rsidR="005D4DF3">
        <w:t>l’orateur</w:t>
      </w:r>
      <w:r>
        <w:t xml:space="preserve"> affirme que personne, en Tunisie, </w:t>
      </w:r>
      <w:r w:rsidR="005D4DF3">
        <w:t>ne se trouve</w:t>
      </w:r>
      <w:r>
        <w:t xml:space="preserve"> en prison à cause de ses opinions politiques ou d’actes politiques pacifiques. Certains prisonniers sont membres de partis politiques, mais s’ils sont en prison, c’est parce qu’ils ont commis des infractions de droit commun, ce qui ne fait pas d’eux des prisonniers politiques. Il y a des trafiquants de drogues dans toutes sortes de groupes politiques. Certains criminels sont membres de mouvements terroristes violents. Cela ne fait pas non plus d’eux des prisonniers politiques. Tous les prisonniers peuvent exercer tous leurs droits, y compris celui d’être admis au bénéfice de la libération conditionnelle ou d’une grâce, </w:t>
      </w:r>
      <w:r w:rsidR="005D4DF3">
        <w:t>quelles que</w:t>
      </w:r>
      <w:r>
        <w:t xml:space="preserve"> soi</w:t>
      </w:r>
      <w:r w:rsidR="005D4DF3">
        <w:t>en</w:t>
      </w:r>
      <w:r>
        <w:t>t leurs opinions et leur appartenance politique.</w:t>
      </w:r>
    </w:p>
    <w:p w:rsidR="00652344" w:rsidRDefault="00652344" w:rsidP="00CE0005">
      <w:pPr>
        <w:pStyle w:val="DualTxt"/>
        <w:numPr>
          <w:ilvl w:val="0"/>
          <w:numId w:val="6"/>
        </w:numPr>
      </w:pPr>
      <w:r>
        <w:t xml:space="preserve">Sur la question de l’enregistrement des associations, </w:t>
      </w:r>
      <w:r w:rsidR="005D4DF3">
        <w:t>l’orateur</w:t>
      </w:r>
      <w:r>
        <w:t xml:space="preserve"> explique que les associations dont la demande d’enregistrement a été rejetée ont la possibilité de </w:t>
      </w:r>
      <w:r w:rsidR="005D4DF3">
        <w:t>saisir le</w:t>
      </w:r>
      <w:r>
        <w:t xml:space="preserve"> Tribunal administratif. Dans plusieurs affaires récentes, ce tribunal a annulé la décision du Ministère de l’intérieur de rejeter une demande après </w:t>
      </w:r>
      <w:r w:rsidR="005D4DF3">
        <w:t>avoir examiné les</w:t>
      </w:r>
      <w:r>
        <w:t xml:space="preserve"> motifs fondant ce rejet. Dans l’une de ces affaires, le motif avait été que l’association </w:t>
      </w:r>
      <w:r w:rsidR="005D4DF3">
        <w:t>se proposait d’</w:t>
      </w:r>
      <w:r>
        <w:t xml:space="preserve">offrir un service public. Le juge administratif a décidé que l’administration publique n’a pas le monopole de la prestation des services publics et qu’une association pouvait </w:t>
      </w:r>
      <w:r w:rsidR="005D4DF3">
        <w:t xml:space="preserve">les </w:t>
      </w:r>
      <w:r>
        <w:t xml:space="preserve">offrir. </w:t>
      </w:r>
    </w:p>
    <w:p w:rsidR="00652344" w:rsidRPr="00CD23D6" w:rsidRDefault="00652344" w:rsidP="00CE0005">
      <w:pPr>
        <w:pStyle w:val="DualTxt"/>
        <w:numPr>
          <w:ilvl w:val="0"/>
          <w:numId w:val="6"/>
        </w:numPr>
      </w:pPr>
      <w:r>
        <w:t xml:space="preserve">En réponse à une question sur le Code de la presse, il fait observer que le droit tunisien est basé sur le droit romain et le droit français et qu’il est par conséquent plus formel et moins libéral que d’autres systèmes fondés sur la </w:t>
      </w:r>
      <w:r w:rsidRPr="00431772">
        <w:rPr>
          <w:i/>
        </w:rPr>
        <w:t>common law</w:t>
      </w:r>
      <w:r>
        <w:t>. La diffamation</w:t>
      </w:r>
      <w:r w:rsidR="00AB249B">
        <w:t>,</w:t>
      </w:r>
      <w:r>
        <w:t xml:space="preserve"> selon la définition qu’en donne le Code de la presse</w:t>
      </w:r>
      <w:r w:rsidR="00AB249B">
        <w:t>,</w:t>
      </w:r>
      <w:r>
        <w:t xml:space="preserve"> ne se réduit pas à la simple critique, mais </w:t>
      </w:r>
      <w:r w:rsidR="00AB249B">
        <w:t>consiste</w:t>
      </w:r>
      <w:r>
        <w:t xml:space="preserve"> en une atteinte à la réputation de la personne. Prétendre qu’une personne a fourni un mauvais service est certes une question d’opinion, mais prétendre que cette personne est un voleur peut relever de la diffamation et donc exposer son auteur à la sanction pénale. En réponse à une question sur le code électoral, </w:t>
      </w:r>
      <w:r w:rsidR="00AB249B">
        <w:t>l’orateur</w:t>
      </w:r>
      <w:r>
        <w:t xml:space="preserve"> fait valoir qu’une campagne électorale s’inscrit dans un cadre temporel déterminé par la loi. Les individus ont le droit de faire valoir leur point de vue, mais pas de mener une campagne parallèle pour inciter les gens à voter d’une certaine façon. </w:t>
      </w:r>
      <w:r w:rsidR="00AB249B">
        <w:t>Ce principe s’applique aux</w:t>
      </w:r>
      <w:r>
        <w:t xml:space="preserve"> élections législatives aussi bien </w:t>
      </w:r>
      <w:r w:rsidR="00AB249B">
        <w:t>qu’à</w:t>
      </w:r>
      <w:r>
        <w:t xml:space="preserve"> l’élection présidentielle.</w:t>
      </w:r>
    </w:p>
    <w:p w:rsidR="00652344" w:rsidRDefault="00652344" w:rsidP="00CE0005">
      <w:pPr>
        <w:pStyle w:val="DualTxt"/>
        <w:numPr>
          <w:ilvl w:val="0"/>
          <w:numId w:val="6"/>
        </w:numPr>
      </w:pPr>
      <w:r>
        <w:rPr>
          <w:b/>
        </w:rPr>
        <w:t>M. Romdhani</w:t>
      </w:r>
      <w:r>
        <w:t xml:space="preserve"> (Tunisie) s’ins</w:t>
      </w:r>
      <w:r w:rsidR="00AB249B">
        <w:t xml:space="preserve">crit en </w:t>
      </w:r>
      <w:r>
        <w:t>faux contre l’idée que l’agence de presse publique, Tunis Afrique Presse, ait le monopole de l’information. Cette agence offre ses dépêches aux journaux et autres organes de presse qui ont souscrit auprès d’elle un abonnement, mais ses clients n’ont nulle</w:t>
      </w:r>
      <w:r w:rsidR="00AB249B">
        <w:t>ment</w:t>
      </w:r>
      <w:r>
        <w:t xml:space="preserve"> </w:t>
      </w:r>
      <w:r w:rsidR="00AB249B">
        <w:t>l’</w:t>
      </w:r>
      <w:r>
        <w:t xml:space="preserve">obligation de les publier. Les dirigeants de l’opposition et </w:t>
      </w:r>
      <w:r w:rsidR="00AB249B">
        <w:t xml:space="preserve">les représentants </w:t>
      </w:r>
      <w:r>
        <w:t xml:space="preserve">des organisations non gouvernementales jouissent d’une pleine liberté d’expression et leurs propos sont très largement reflétés dans la presse indépendante. Tout en reconnaissant que le processus de mise en place d’une presse libre n’est pas achevé, il déclare sans fondement l’idée qu’il y aurait </w:t>
      </w:r>
      <w:r w:rsidR="00AB249B">
        <w:t xml:space="preserve">en Tunisie </w:t>
      </w:r>
      <w:r>
        <w:t>un fossé entre la théorie et la pratique de la liberté d’expression.</w:t>
      </w:r>
    </w:p>
    <w:p w:rsidR="00652344" w:rsidRDefault="00652344" w:rsidP="00CE0005">
      <w:pPr>
        <w:pStyle w:val="DualTxt"/>
        <w:numPr>
          <w:ilvl w:val="0"/>
          <w:numId w:val="6"/>
        </w:numPr>
      </w:pPr>
      <w:r>
        <w:t>Passant à la question de l’Internet comme voie d’accès à l’information, il fait observer que les Tunisiens peuvent se connecter</w:t>
      </w:r>
      <w:r w:rsidR="009E7138">
        <w:t xml:space="preserve"> sans entrave</w:t>
      </w:r>
      <w:r>
        <w:t xml:space="preserve"> au</w:t>
      </w:r>
      <w:r w:rsidR="00AB249B">
        <w:t>x</w:t>
      </w:r>
      <w:r>
        <w:t xml:space="preserve"> site</w:t>
      </w:r>
      <w:r w:rsidR="00AB249B">
        <w:t>s</w:t>
      </w:r>
      <w:r>
        <w:t xml:space="preserve"> Web d’organisations internationales de défense des droits de l’homme comme Amnesty International et Human Rights Watch. Il importe toutefois de bien comprendre que ceux qui instrumentalisent l’Internet abusent de la liberté d’expression. Répondant aux allégations selon lesquelles le Président tunisien exercerait </w:t>
      </w:r>
      <w:r w:rsidR="00AB249B">
        <w:t>un</w:t>
      </w:r>
      <w:r>
        <w:t xml:space="preserve"> contrôle sur les </w:t>
      </w:r>
      <w:r w:rsidR="00AB249B">
        <w:t>fournisseurs</w:t>
      </w:r>
      <w:r>
        <w:t xml:space="preserve"> de services Internet, il </w:t>
      </w:r>
      <w:r w:rsidR="00AB249B">
        <w:t>dit</w:t>
      </w:r>
      <w:r>
        <w:t xml:space="preserve"> que son pays compte 12 fournisseurs indépendants d’accès à l’Internet et</w:t>
      </w:r>
      <w:r w:rsidR="00AB249B">
        <w:t xml:space="preserve"> il</w:t>
      </w:r>
      <w:r>
        <w:t xml:space="preserve"> invite les experts à vérifier eux-mêmes ce fait.</w:t>
      </w:r>
    </w:p>
    <w:p w:rsidR="00652344" w:rsidRDefault="00652344" w:rsidP="00CE0005">
      <w:pPr>
        <w:pStyle w:val="DualTxt"/>
        <w:numPr>
          <w:ilvl w:val="0"/>
          <w:numId w:val="6"/>
        </w:numPr>
      </w:pPr>
      <w:r>
        <w:t xml:space="preserve">En ce qui concerne la disposition de la loi qui impose aux journaux de recruter des journalistes diplômés d’écoles de journalisme, il ne voit pas pourquoi elle porterait préjudice à la liberté d’expression. Cette disposition répond uniquement au souci de faire en sorte que les diplômés d’écoles de journalisme trouvent suffisamment de débouchés professionnels. </w:t>
      </w:r>
    </w:p>
    <w:p w:rsidR="00652344" w:rsidRDefault="00652344" w:rsidP="00CE0005">
      <w:pPr>
        <w:pStyle w:val="DualTxt"/>
        <w:numPr>
          <w:ilvl w:val="0"/>
          <w:numId w:val="6"/>
        </w:numPr>
      </w:pPr>
      <w:r>
        <w:t xml:space="preserve">Répondant à une question sur le rôle de la société civile, </w:t>
      </w:r>
      <w:r w:rsidRPr="009E7138">
        <w:rPr>
          <w:b/>
        </w:rPr>
        <w:t>M. Tekkari</w:t>
      </w:r>
      <w:r>
        <w:t xml:space="preserve"> (Tunisie) affirme que les organisations de la société civile ont un rôle important à jouer et que le Gouvernement n’épargne aucun effort pour les associer à son action. Le rapport de la Tunisie illustre bien la participation de ces organisations aux affaires publiques ainsi que l’adhésion du Gouvernement aux recommandations du Comité concernant la protection des droits de l’homme.</w:t>
      </w:r>
    </w:p>
    <w:p w:rsidR="00652344" w:rsidRDefault="00652344" w:rsidP="00CE0005">
      <w:pPr>
        <w:pStyle w:val="DualTxt"/>
        <w:numPr>
          <w:ilvl w:val="0"/>
          <w:numId w:val="6"/>
        </w:numPr>
      </w:pPr>
      <w:r>
        <w:t>La Tunisie a signé la Convention relative aux droits des personnes handicapées ainsi que son Protocole facultatif. Dans ce contexte, de nombr</w:t>
      </w:r>
      <w:r w:rsidR="00AB249B">
        <w:t>euses mesures d’action positive</w:t>
      </w:r>
      <w:r>
        <w:t xml:space="preserve"> ont été prises, notamment pour rendre tous les bâtiments publics accessibles aux personnes handicapées. Des établissements scolaires spéciaux et gratuits pour les personnes </w:t>
      </w:r>
      <w:r w:rsidR="00AB249B">
        <w:t>présentant</w:t>
      </w:r>
      <w:r>
        <w:t xml:space="preserve"> de</w:t>
      </w:r>
      <w:r w:rsidR="00AB249B">
        <w:t>s</w:t>
      </w:r>
      <w:r>
        <w:t xml:space="preserve"> handicaps physiques </w:t>
      </w:r>
      <w:r w:rsidR="00AB249B">
        <w:t>ou</w:t>
      </w:r>
      <w:r>
        <w:t xml:space="preserve"> mentaux ont été ouverts. Des mesures ont également été prises pour assurer la pleine intégration des personnes handicapées dans la société et pour faciliter leur accès à l’emploi. À cette fin, la loi relative à la fonction publique réserve 1 % des postes de fonctionnaires mis en recrutement aux personnes handicapées.</w:t>
      </w:r>
    </w:p>
    <w:p w:rsidR="00652344" w:rsidRDefault="00652344" w:rsidP="00CE0005">
      <w:pPr>
        <w:pStyle w:val="DualTxt"/>
        <w:numPr>
          <w:ilvl w:val="0"/>
          <w:numId w:val="6"/>
        </w:numPr>
      </w:pPr>
      <w:r>
        <w:rPr>
          <w:b/>
        </w:rPr>
        <w:t>M. Ayed</w:t>
      </w:r>
      <w:r>
        <w:t xml:space="preserve"> (Tunisie) </w:t>
      </w:r>
      <w:r w:rsidR="00AB249B">
        <w:t>ajoute</w:t>
      </w:r>
      <w:r>
        <w:t xml:space="preserve"> que la loi d’orientation de l’éducation et de l’enseignement scolaire de 2002 oblige le Gouvernement à garantir l’exercice par les enfants handicapés de leur droit à l’éducation. Des dispositions spéciales ont été prises pour intégrer ces enfants dans les classes ordinaires. En outre, l’effectif des classes est limité à 15 enfants afin de permettre aux enseignants de consacrer </w:t>
      </w:r>
      <w:r w:rsidR="00AB249B">
        <w:t>une égale</w:t>
      </w:r>
      <w:r>
        <w:t xml:space="preserve"> attention à tous leurs élèves. Il existe aussi des écoles spécialisées pour les personnes handicapées dont les besoins dépassent les capacités des écoles ordinaires.</w:t>
      </w:r>
    </w:p>
    <w:p w:rsidR="00652344" w:rsidRDefault="00652344" w:rsidP="00CE0005">
      <w:pPr>
        <w:pStyle w:val="DualTxt"/>
        <w:numPr>
          <w:ilvl w:val="0"/>
          <w:numId w:val="6"/>
        </w:numPr>
      </w:pPr>
      <w:r>
        <w:rPr>
          <w:b/>
        </w:rPr>
        <w:t>M. Bismuth</w:t>
      </w:r>
      <w:r>
        <w:t xml:space="preserve"> (Tunisie) affirme que de nombreuses personnes handicapées sont des membres productifs de la population active occupée.</w:t>
      </w:r>
    </w:p>
    <w:p w:rsidR="00652344" w:rsidRDefault="00652344" w:rsidP="00CE0005">
      <w:pPr>
        <w:pStyle w:val="DualTxt"/>
        <w:numPr>
          <w:ilvl w:val="0"/>
          <w:numId w:val="6"/>
        </w:numPr>
      </w:pPr>
      <w:r>
        <w:rPr>
          <w:b/>
        </w:rPr>
        <w:t>Le Président</w:t>
      </w:r>
      <w:r>
        <w:t xml:space="preserve"> se félicite des progrès accomplis par l’État partie dans la protection des droits de l’homme et du fait que les instruments internationaux y priment sur la législation nationale.</w:t>
      </w:r>
    </w:p>
    <w:p w:rsidR="00652344" w:rsidRDefault="00652344" w:rsidP="00CE0005">
      <w:pPr>
        <w:pStyle w:val="DualTxt"/>
        <w:numPr>
          <w:ilvl w:val="0"/>
          <w:numId w:val="6"/>
        </w:numPr>
      </w:pPr>
      <w:r>
        <w:t xml:space="preserve">Dans les autres pays, le Chef de l’État ne préside pas l’ordre judiciaire. Malgré les assurances qui ont été données que </w:t>
      </w:r>
      <w:r w:rsidR="00AB249B">
        <w:t xml:space="preserve">la fonction de </w:t>
      </w:r>
      <w:r>
        <w:t>Président du Conseil supérieur de la magistrature</w:t>
      </w:r>
      <w:r w:rsidR="00AB249B">
        <w:t xml:space="preserve"> exercée par le Président de la République tunisienne est de pure forme</w:t>
      </w:r>
      <w:r>
        <w:t xml:space="preserve">, le Comité n’en </w:t>
      </w:r>
      <w:r w:rsidR="00AB249B">
        <w:t>est pas moins préoccupé par l’</w:t>
      </w:r>
      <w:r>
        <w:t>effet qu’un tel dispositi</w:t>
      </w:r>
      <w:r w:rsidR="00AB249B">
        <w:t>f</w:t>
      </w:r>
      <w:r>
        <w:t xml:space="preserve"> peut avoir sur l’indépendance des juges.</w:t>
      </w:r>
    </w:p>
    <w:p w:rsidR="00652344" w:rsidRDefault="00652344" w:rsidP="00CE0005">
      <w:pPr>
        <w:pStyle w:val="DualTxt"/>
        <w:numPr>
          <w:ilvl w:val="0"/>
          <w:numId w:val="6"/>
        </w:numPr>
      </w:pPr>
      <w:r>
        <w:t xml:space="preserve">Passant à la question de la législation antiterroriste de l’État partie, il dit </w:t>
      </w:r>
      <w:r w:rsidR="00AB249B">
        <w:t xml:space="preserve">craindre </w:t>
      </w:r>
      <w:r>
        <w:t xml:space="preserve">qu’elle </w:t>
      </w:r>
      <w:r w:rsidR="00AB249B">
        <w:t xml:space="preserve">ne </w:t>
      </w:r>
      <w:r>
        <w:t>menace les droits de l’homme. Le recours à des juges et à des témoins anonymes, s’il ne constitue pas en lui-même une violation du Pacte, n’en risque pas moins de limiter certaines des garanties stipulées par le Pacte. Il incombe donc à l’État partie de veiller à ce que cet anonymat ne compromette pas le plein exercice par l’accusé des droits de la défense.</w:t>
      </w:r>
    </w:p>
    <w:p w:rsidR="00652344" w:rsidRDefault="00652344" w:rsidP="00CE0005">
      <w:pPr>
        <w:pStyle w:val="DualTxt"/>
        <w:numPr>
          <w:ilvl w:val="0"/>
          <w:numId w:val="6"/>
        </w:numPr>
      </w:pPr>
      <w:r>
        <w:t xml:space="preserve">Tout en se félicitant des progrès accomplis vers l’abolition de la peine de mort, le Comité note avec inquiétude que l’État partie entend continuer d’imposer cette peine, même s’il n’a pas l’intention de la faire exécuter. </w:t>
      </w:r>
      <w:r w:rsidR="00C81D3D">
        <w:t xml:space="preserve">Or </w:t>
      </w:r>
      <w:r>
        <w:t>pour un prisonnier condamné à mort, la seule crainte d’être exécuté constitue un traitement dégradant, quelles que soient les assurances en sens contraire que puisse donner l’État partie.</w:t>
      </w:r>
    </w:p>
    <w:p w:rsidR="00652344" w:rsidRDefault="00652344" w:rsidP="00CE0005">
      <w:pPr>
        <w:pStyle w:val="DualTxt"/>
        <w:numPr>
          <w:ilvl w:val="0"/>
          <w:numId w:val="6"/>
        </w:numPr>
      </w:pPr>
      <w:r>
        <w:t xml:space="preserve">Le Comité accueille avec satisfaction les informations détaillées qui lui ont été communiquées sur les poursuites judiciaires engagées contre des agents de police et des agents </w:t>
      </w:r>
      <w:r w:rsidR="00AB249B">
        <w:t xml:space="preserve">de l’administration </w:t>
      </w:r>
      <w:r>
        <w:t>pénitentiaire accusés de torture ou de traitements cruels et inhumains. Il n’en reste pas moins préoccupé par un certain nombre de rapports et d’accusations précises qui donnent à penser que l’État partie continue de pratiquer la torture, et il compte recevoir de lui des informations plus détaillées sur la question. Le Comité compte aussi surveiller de près les procédures judiciaires centrées sur la liberté d’expression et souhaite se faire communiquer des informations plus détaillées sur les journalistes mis en prison pour avoir exercé leur métier.</w:t>
      </w:r>
    </w:p>
    <w:p w:rsidR="00652344" w:rsidRDefault="00652344" w:rsidP="00CE0005">
      <w:pPr>
        <w:pStyle w:val="DualTxt"/>
        <w:numPr>
          <w:ilvl w:val="0"/>
          <w:numId w:val="6"/>
        </w:numPr>
      </w:pPr>
      <w:r>
        <w:t xml:space="preserve">La liberté de réunion et d’association est soumise </w:t>
      </w:r>
      <w:r w:rsidR="00AB249B">
        <w:t xml:space="preserve">en Tunisie </w:t>
      </w:r>
      <w:r>
        <w:t xml:space="preserve">à des règles qui </w:t>
      </w:r>
      <w:r w:rsidR="00AB249B">
        <w:t xml:space="preserve">risquent d’aboutir à des </w:t>
      </w:r>
      <w:r>
        <w:t>violation</w:t>
      </w:r>
      <w:r w:rsidR="00AB249B">
        <w:t>s</w:t>
      </w:r>
      <w:r>
        <w:t xml:space="preserve"> des droits consacrés par le Pacte. En effet, bien que les réunions publiques ne soient pas subordonnées à l’obtention d’une autorisation officielle, la loi permet de limiter le droit de réunion. Le Président du Comité souhaite obtenir de plus </w:t>
      </w:r>
      <w:r w:rsidR="00EA2FEE">
        <w:t xml:space="preserve">amples </w:t>
      </w:r>
      <w:r>
        <w:t xml:space="preserve">informations sur les critères de sécurité et </w:t>
      </w:r>
      <w:r w:rsidR="00EA2FEE">
        <w:t xml:space="preserve">les </w:t>
      </w:r>
      <w:r>
        <w:t xml:space="preserve">autres critères </w:t>
      </w:r>
      <w:r w:rsidR="00EA2FEE">
        <w:t xml:space="preserve">appliqués </w:t>
      </w:r>
      <w:r>
        <w:t xml:space="preserve">par les tribunaux pour décider si telle ou telle réunion </w:t>
      </w:r>
      <w:r w:rsidR="00EA2FEE">
        <w:t xml:space="preserve">sera </w:t>
      </w:r>
      <w:r>
        <w:t>interdite.</w:t>
      </w:r>
    </w:p>
    <w:p w:rsidR="00652344" w:rsidRDefault="00652344" w:rsidP="00CE0005">
      <w:pPr>
        <w:pStyle w:val="DualTxt"/>
        <w:numPr>
          <w:ilvl w:val="0"/>
          <w:numId w:val="6"/>
        </w:numPr>
      </w:pPr>
      <w:r>
        <w:rPr>
          <w:b/>
        </w:rPr>
        <w:t>M. Tekkari</w:t>
      </w:r>
      <w:r>
        <w:t xml:space="preserve"> (Tunisie) remercie les membres du Comité du dialogue fructueux engagé avec eux. Évoquant les préoccupations suscitées par le fait que le Président de la République soit concurremment Président du Conseil supérieur de la magistrature, il fait observer que la même situation existe dans des </w:t>
      </w:r>
      <w:r w:rsidR="00EA2FEE">
        <w:t>pays comme</w:t>
      </w:r>
      <w:r>
        <w:t xml:space="preserve"> la France, l’Italie et le Maroc. Or cette situation ne compromet nullement l’indépendance des juges</w:t>
      </w:r>
      <w:r w:rsidR="00EA2FEE">
        <w:t>,</w:t>
      </w:r>
      <w:r>
        <w:t xml:space="preserve"> puisque le rôle du Chef de l’État est pure forme.</w:t>
      </w:r>
    </w:p>
    <w:p w:rsidR="00652344" w:rsidRDefault="00652344" w:rsidP="00CE0005">
      <w:pPr>
        <w:pStyle w:val="DualTxt"/>
        <w:numPr>
          <w:ilvl w:val="0"/>
          <w:numId w:val="6"/>
        </w:numPr>
      </w:pPr>
      <w:r>
        <w:t xml:space="preserve">Évoquant la question de la torture, il affirme que le Gouvernement invitera le Rapporteur spécial sur </w:t>
      </w:r>
      <w:r w:rsidR="00EA2FEE">
        <w:t>la</w:t>
      </w:r>
      <w:r>
        <w:t xml:space="preserve"> torture et les autres châtiments </w:t>
      </w:r>
      <w:r w:rsidR="00EA2FEE">
        <w:t>cruels, inhumains ou dégradants</w:t>
      </w:r>
      <w:r>
        <w:t xml:space="preserve"> à se rendre en Tunisie et qu’il continuera d’honorer l’accord conclu avec Human Rights Watch pour la visite des p</w:t>
      </w:r>
      <w:r w:rsidR="00EA2FEE">
        <w:t xml:space="preserve">risons tunisiennes. Il se dit </w:t>
      </w:r>
      <w:r>
        <w:t>impatient de recevoir les recommandations du Comité et affirme que son pays continuera de progresser vigoureusement sur la voie des droits de l’homme.</w:t>
      </w:r>
    </w:p>
    <w:p w:rsidR="00652344" w:rsidRPr="005C38E6" w:rsidRDefault="00652344" w:rsidP="00CE0005">
      <w:pPr>
        <w:pStyle w:val="DualTxt"/>
      </w:pPr>
      <w:r w:rsidRPr="00CE0005">
        <w:rPr>
          <w:i/>
        </w:rPr>
        <w:t>La séance est levée à 17 h 5</w:t>
      </w:r>
      <w:r>
        <w:t>.</w:t>
      </w:r>
    </w:p>
    <w:p w:rsidR="00652344" w:rsidRDefault="00652344" w:rsidP="00652344">
      <w:pPr>
        <w:pStyle w:val="DualTxt"/>
      </w:pPr>
    </w:p>
    <w:p w:rsidR="00652344" w:rsidRPr="000164A6" w:rsidRDefault="00652344" w:rsidP="00652344">
      <w:pPr>
        <w:pStyle w:val="DualTxt"/>
      </w:pPr>
    </w:p>
    <w:sectPr w:rsidR="00652344" w:rsidRPr="000164A6" w:rsidSect="00652344">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6-17T10:46:00Z" w:initials="Start">
    <w:p w:rsidR="00603E76" w:rsidRPr="005D393C" w:rsidRDefault="00603E76">
      <w:pPr>
        <w:pStyle w:val="CommentText"/>
        <w:rPr>
          <w:lang w:val="en-CA"/>
        </w:rPr>
      </w:pPr>
      <w:r>
        <w:fldChar w:fldCharType="begin"/>
      </w:r>
      <w:r w:rsidRPr="005D393C">
        <w:rPr>
          <w:rStyle w:val="CommentReference"/>
          <w:lang w:val="en-CA"/>
        </w:rPr>
        <w:instrText xml:space="preserve"> </w:instrText>
      </w:r>
      <w:r w:rsidRPr="005D393C">
        <w:rPr>
          <w:lang w:val="en-CA"/>
        </w:rPr>
        <w:instrText>PAGE \# "'Page: '#'</w:instrText>
      </w:r>
      <w:r w:rsidRPr="005D393C">
        <w:rPr>
          <w:lang w:val="en-CA"/>
        </w:rPr>
        <w:br/>
        <w:instrText>'"</w:instrText>
      </w:r>
      <w:r w:rsidRPr="005D393C">
        <w:rPr>
          <w:rStyle w:val="CommentReference"/>
          <w:lang w:val="en-CA"/>
        </w:rPr>
        <w:instrText xml:space="preserve"> </w:instrText>
      </w:r>
      <w:r>
        <w:fldChar w:fldCharType="end"/>
      </w:r>
      <w:r>
        <w:rPr>
          <w:rStyle w:val="CommentReference"/>
        </w:rPr>
        <w:annotationRef/>
      </w:r>
      <w:r w:rsidRPr="005D393C">
        <w:rPr>
          <w:lang w:val="en-CA"/>
        </w:rPr>
        <w:t>&lt;&lt;ODS JOB NO&gt;&gt;N0827520F&lt;&lt;ODS JOB NO&gt;&gt;</w:t>
      </w:r>
    </w:p>
    <w:p w:rsidR="00603E76" w:rsidRDefault="00603E76">
      <w:pPr>
        <w:pStyle w:val="CommentText"/>
      </w:pPr>
      <w:r>
        <w:t>&lt;&lt;ODS DOC SYMBOL1&gt;&gt;CCPR/C/SR.2514&lt;&lt;ODS DOC SYMBOL1&gt;&gt;</w:t>
      </w:r>
    </w:p>
    <w:p w:rsidR="00603E76" w:rsidRDefault="00603E7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4C8A" w:rsidRPr="00B908D6" w:rsidRDefault="00124C8A" w:rsidP="000164A6">
      <w:pPr>
        <w:rPr>
          <w:sz w:val="14"/>
        </w:rPr>
      </w:pPr>
      <w:r>
        <w:separator/>
      </w:r>
    </w:p>
  </w:endnote>
  <w:endnote w:type="continuationSeparator" w:id="0">
    <w:p w:rsidR="00124C8A" w:rsidRPr="00B908D6" w:rsidRDefault="00124C8A" w:rsidP="000164A6">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03E76">
      <w:tblPrEx>
        <w:tblCellMar>
          <w:top w:w="0" w:type="dxa"/>
          <w:bottom w:w="0" w:type="dxa"/>
        </w:tblCellMar>
      </w:tblPrEx>
      <w:tc>
        <w:tcPr>
          <w:tcW w:w="4995" w:type="dxa"/>
          <w:shd w:val="clear" w:color="auto" w:fill="auto"/>
        </w:tcPr>
        <w:p w:rsidR="00603E76" w:rsidRPr="000164A6" w:rsidRDefault="00603E76" w:rsidP="000164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1D3D">
            <w:rPr>
              <w:b w:val="0"/>
              <w:w w:val="103"/>
              <w:sz w:val="14"/>
            </w:rPr>
            <w:t>08-27520</w:t>
          </w:r>
          <w:r>
            <w:rPr>
              <w:b w:val="0"/>
              <w:w w:val="103"/>
              <w:sz w:val="14"/>
            </w:rPr>
            <w:fldChar w:fldCharType="end"/>
          </w:r>
        </w:p>
      </w:tc>
      <w:tc>
        <w:tcPr>
          <w:tcW w:w="4995" w:type="dxa"/>
          <w:shd w:val="clear" w:color="auto" w:fill="auto"/>
        </w:tcPr>
        <w:p w:rsidR="00603E76" w:rsidRPr="000164A6" w:rsidRDefault="00603E76" w:rsidP="000164A6">
          <w:pPr>
            <w:pStyle w:val="Footer"/>
            <w:rPr>
              <w:w w:val="103"/>
            </w:rPr>
          </w:pPr>
          <w:r>
            <w:rPr>
              <w:w w:val="103"/>
            </w:rPr>
            <w:fldChar w:fldCharType="begin"/>
          </w:r>
          <w:r>
            <w:rPr>
              <w:w w:val="103"/>
            </w:rPr>
            <w:instrText xml:space="preserve"> PAGE  \* MERGEFORMAT </w:instrText>
          </w:r>
          <w:r>
            <w:rPr>
              <w:w w:val="103"/>
            </w:rPr>
            <w:fldChar w:fldCharType="separate"/>
          </w:r>
          <w:r w:rsidR="00C81D3D">
            <w:rPr>
              <w:w w:val="103"/>
            </w:rPr>
            <w:t>8</w:t>
          </w:r>
          <w:r>
            <w:rPr>
              <w:w w:val="103"/>
            </w:rPr>
            <w:fldChar w:fldCharType="end"/>
          </w:r>
        </w:p>
      </w:tc>
    </w:tr>
  </w:tbl>
  <w:p w:rsidR="00603E76" w:rsidRPr="000164A6" w:rsidRDefault="00603E76" w:rsidP="000164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03E76">
      <w:tblPrEx>
        <w:tblCellMar>
          <w:top w:w="0" w:type="dxa"/>
          <w:bottom w:w="0" w:type="dxa"/>
        </w:tblCellMar>
      </w:tblPrEx>
      <w:tc>
        <w:tcPr>
          <w:tcW w:w="4995" w:type="dxa"/>
          <w:shd w:val="clear" w:color="auto" w:fill="auto"/>
        </w:tcPr>
        <w:p w:rsidR="00603E76" w:rsidRPr="000164A6" w:rsidRDefault="00603E76" w:rsidP="000164A6">
          <w:pPr>
            <w:pStyle w:val="Footer"/>
            <w:jc w:val="right"/>
            <w:rPr>
              <w:w w:val="103"/>
            </w:rPr>
          </w:pPr>
          <w:r>
            <w:rPr>
              <w:w w:val="103"/>
            </w:rPr>
            <w:fldChar w:fldCharType="begin"/>
          </w:r>
          <w:r>
            <w:rPr>
              <w:w w:val="103"/>
            </w:rPr>
            <w:instrText xml:space="preserve"> PAGE  \* MERGEFORMAT </w:instrText>
          </w:r>
          <w:r>
            <w:rPr>
              <w:w w:val="103"/>
            </w:rPr>
            <w:fldChar w:fldCharType="separate"/>
          </w:r>
          <w:r w:rsidR="00C81D3D">
            <w:rPr>
              <w:w w:val="103"/>
            </w:rPr>
            <w:t>7</w:t>
          </w:r>
          <w:r>
            <w:rPr>
              <w:w w:val="103"/>
            </w:rPr>
            <w:fldChar w:fldCharType="end"/>
          </w:r>
        </w:p>
      </w:tc>
      <w:tc>
        <w:tcPr>
          <w:tcW w:w="4995" w:type="dxa"/>
          <w:shd w:val="clear" w:color="auto" w:fill="auto"/>
        </w:tcPr>
        <w:p w:rsidR="00603E76" w:rsidRPr="000164A6" w:rsidRDefault="00603E76" w:rsidP="000164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81D3D">
            <w:rPr>
              <w:b w:val="0"/>
              <w:w w:val="103"/>
              <w:sz w:val="14"/>
            </w:rPr>
            <w:t>08-27520</w:t>
          </w:r>
          <w:r>
            <w:rPr>
              <w:b w:val="0"/>
              <w:w w:val="103"/>
              <w:sz w:val="14"/>
            </w:rPr>
            <w:fldChar w:fldCharType="end"/>
          </w:r>
        </w:p>
      </w:tc>
    </w:tr>
  </w:tbl>
  <w:p w:rsidR="00603E76" w:rsidRPr="000164A6" w:rsidRDefault="00603E76" w:rsidP="000164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3E76" w:rsidRDefault="00603E76" w:rsidP="000164A6">
    <w:pPr>
      <w:pStyle w:val="Footer"/>
      <w:pBdr>
        <w:top w:val="single" w:sz="2" w:space="1" w:color="auto"/>
      </w:pBdr>
      <w:rPr>
        <w:sz w:val="2"/>
      </w:rPr>
    </w:pPr>
  </w:p>
  <w:p w:rsidR="00603E76" w:rsidRDefault="00603E76" w:rsidP="000164A6">
    <w:pPr>
      <w:pStyle w:val="FootnoteText"/>
      <w:spacing w:after="120"/>
      <w:ind w:left="1267" w:right="1267" w:firstLine="0"/>
      <w:rPr>
        <w:lang w:val="fr-FR"/>
      </w:rPr>
    </w:pPr>
    <w:r>
      <w:rPr>
        <w:lang w:val="fr-FR"/>
      </w:rPr>
      <w:t>Le présent compte rendu est sujet à rectifications.</w:t>
    </w:r>
  </w:p>
  <w:p w:rsidR="00603E76" w:rsidRDefault="00603E76" w:rsidP="000164A6">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603E76" w:rsidRDefault="00603E76" w:rsidP="000164A6">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603E76" w:rsidRDefault="00603E76" w:rsidP="000164A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81D3D">
      <w:rPr>
        <w:b w:val="0"/>
        <w:sz w:val="20"/>
      </w:rPr>
      <w:t>08-27520 (F)</w:t>
    </w:r>
    <w:r>
      <w:rPr>
        <w:b w:val="0"/>
        <w:sz w:val="20"/>
      </w:rPr>
      <w:fldChar w:fldCharType="end"/>
    </w:r>
  </w:p>
  <w:p w:rsidR="00603E76" w:rsidRPr="000164A6" w:rsidRDefault="00603E76" w:rsidP="000164A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C81D3D">
      <w:rPr>
        <w:rFonts w:ascii="Barcode 3 of 9 by request" w:hAnsi="Barcode 3 of 9 by request"/>
        <w:b w:val="0"/>
        <w:spacing w:val="0"/>
        <w:w w:val="100"/>
        <w:sz w:val="24"/>
      </w:rPr>
      <w:t>*0827520*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4C8A" w:rsidRPr="00B908D6" w:rsidRDefault="00124C8A" w:rsidP="000164A6">
      <w:pPr>
        <w:rPr>
          <w:sz w:val="14"/>
        </w:rPr>
      </w:pPr>
      <w:r>
        <w:separator/>
      </w:r>
    </w:p>
  </w:footnote>
  <w:footnote w:type="continuationSeparator" w:id="0">
    <w:p w:rsidR="00124C8A" w:rsidRPr="00B908D6" w:rsidRDefault="00124C8A" w:rsidP="000164A6">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03E76">
      <w:tblPrEx>
        <w:tblCellMar>
          <w:top w:w="0" w:type="dxa"/>
          <w:bottom w:w="0" w:type="dxa"/>
        </w:tblCellMar>
      </w:tblPrEx>
      <w:trPr>
        <w:trHeight w:hRule="exact" w:val="864"/>
      </w:trPr>
      <w:tc>
        <w:tcPr>
          <w:tcW w:w="4838" w:type="dxa"/>
          <w:shd w:val="clear" w:color="auto" w:fill="auto"/>
          <w:vAlign w:val="bottom"/>
        </w:tcPr>
        <w:p w:rsidR="00603E76" w:rsidRPr="000164A6" w:rsidRDefault="00603E76" w:rsidP="000164A6">
          <w:pPr>
            <w:pStyle w:val="Header"/>
            <w:spacing w:after="80"/>
            <w:rPr>
              <w:b/>
            </w:rPr>
          </w:pPr>
          <w:r>
            <w:rPr>
              <w:b/>
            </w:rPr>
            <w:fldChar w:fldCharType="begin"/>
          </w:r>
          <w:r>
            <w:rPr>
              <w:b/>
            </w:rPr>
            <w:instrText xml:space="preserve"> DOCVARIABLE "sss1" \* MERGEFORMAT </w:instrText>
          </w:r>
          <w:r>
            <w:rPr>
              <w:b/>
            </w:rPr>
            <w:fldChar w:fldCharType="separate"/>
          </w:r>
          <w:r w:rsidR="00C81D3D">
            <w:rPr>
              <w:b/>
            </w:rPr>
            <w:t>CCPR/C/SR.2514</w:t>
          </w:r>
          <w:r>
            <w:rPr>
              <w:b/>
            </w:rPr>
            <w:fldChar w:fldCharType="end"/>
          </w:r>
        </w:p>
      </w:tc>
      <w:tc>
        <w:tcPr>
          <w:tcW w:w="4995" w:type="dxa"/>
          <w:shd w:val="clear" w:color="auto" w:fill="auto"/>
          <w:vAlign w:val="bottom"/>
        </w:tcPr>
        <w:p w:rsidR="00603E76" w:rsidRDefault="00603E76" w:rsidP="000164A6">
          <w:pPr>
            <w:pStyle w:val="Header"/>
          </w:pPr>
        </w:p>
      </w:tc>
    </w:tr>
  </w:tbl>
  <w:p w:rsidR="00603E76" w:rsidRPr="000164A6" w:rsidRDefault="00603E76" w:rsidP="000164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03E76">
      <w:tblPrEx>
        <w:tblCellMar>
          <w:top w:w="0" w:type="dxa"/>
          <w:bottom w:w="0" w:type="dxa"/>
        </w:tblCellMar>
      </w:tblPrEx>
      <w:trPr>
        <w:trHeight w:hRule="exact" w:val="864"/>
      </w:trPr>
      <w:tc>
        <w:tcPr>
          <w:tcW w:w="4838" w:type="dxa"/>
          <w:shd w:val="clear" w:color="auto" w:fill="auto"/>
          <w:vAlign w:val="bottom"/>
        </w:tcPr>
        <w:p w:rsidR="00603E76" w:rsidRDefault="00603E76" w:rsidP="000164A6">
          <w:pPr>
            <w:pStyle w:val="Header"/>
          </w:pPr>
        </w:p>
      </w:tc>
      <w:tc>
        <w:tcPr>
          <w:tcW w:w="4995" w:type="dxa"/>
          <w:shd w:val="clear" w:color="auto" w:fill="auto"/>
          <w:vAlign w:val="bottom"/>
        </w:tcPr>
        <w:p w:rsidR="00603E76" w:rsidRPr="000164A6" w:rsidRDefault="00603E76" w:rsidP="000164A6">
          <w:pPr>
            <w:pStyle w:val="Header"/>
            <w:spacing w:after="80"/>
            <w:jc w:val="right"/>
            <w:rPr>
              <w:b/>
            </w:rPr>
          </w:pPr>
          <w:r>
            <w:rPr>
              <w:b/>
            </w:rPr>
            <w:fldChar w:fldCharType="begin"/>
          </w:r>
          <w:r>
            <w:rPr>
              <w:b/>
            </w:rPr>
            <w:instrText xml:space="preserve"> DOCVARIABLE "sss1" \* MERGEFORMAT </w:instrText>
          </w:r>
          <w:r>
            <w:rPr>
              <w:b/>
            </w:rPr>
            <w:fldChar w:fldCharType="separate"/>
          </w:r>
          <w:r w:rsidR="00C81D3D">
            <w:rPr>
              <w:b/>
            </w:rPr>
            <w:t>CCPR/C/SR.2514</w:t>
          </w:r>
          <w:r>
            <w:rPr>
              <w:b/>
            </w:rPr>
            <w:fldChar w:fldCharType="end"/>
          </w:r>
        </w:p>
      </w:tc>
    </w:tr>
  </w:tbl>
  <w:p w:rsidR="00603E76" w:rsidRPr="000164A6" w:rsidRDefault="00603E76" w:rsidP="000164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03E7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03E76" w:rsidRDefault="00603E76" w:rsidP="000164A6">
          <w:pPr>
            <w:pStyle w:val="Header"/>
            <w:spacing w:after="120"/>
          </w:pPr>
        </w:p>
      </w:tc>
      <w:tc>
        <w:tcPr>
          <w:tcW w:w="2059" w:type="dxa"/>
          <w:tcBorders>
            <w:bottom w:val="single" w:sz="4" w:space="0" w:color="auto"/>
          </w:tcBorders>
          <w:shd w:val="clear" w:color="auto" w:fill="auto"/>
          <w:vAlign w:val="bottom"/>
        </w:tcPr>
        <w:p w:rsidR="00603E76" w:rsidRPr="000164A6" w:rsidRDefault="00603E76" w:rsidP="000164A6">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03E76" w:rsidRDefault="00603E76" w:rsidP="000164A6">
          <w:pPr>
            <w:pStyle w:val="Header"/>
            <w:spacing w:after="120"/>
          </w:pPr>
        </w:p>
      </w:tc>
      <w:tc>
        <w:tcPr>
          <w:tcW w:w="6523" w:type="dxa"/>
          <w:gridSpan w:val="3"/>
          <w:tcBorders>
            <w:bottom w:val="single" w:sz="4" w:space="0" w:color="auto"/>
          </w:tcBorders>
          <w:shd w:val="clear" w:color="auto" w:fill="auto"/>
          <w:vAlign w:val="bottom"/>
        </w:tcPr>
        <w:p w:rsidR="00603E76" w:rsidRPr="000164A6" w:rsidRDefault="00603E76" w:rsidP="000164A6">
          <w:pPr>
            <w:spacing w:after="80" w:line="240" w:lineRule="auto"/>
            <w:jc w:val="right"/>
            <w:rPr>
              <w:position w:val="-4"/>
            </w:rPr>
          </w:pPr>
          <w:r>
            <w:rPr>
              <w:position w:val="-4"/>
              <w:sz w:val="40"/>
            </w:rPr>
            <w:t>CCPR</w:t>
          </w:r>
          <w:r>
            <w:rPr>
              <w:position w:val="-4"/>
            </w:rPr>
            <w:t>/C/SR.2514</w:t>
          </w:r>
        </w:p>
      </w:tc>
    </w:tr>
    <w:tr w:rsidR="00603E76" w:rsidRPr="000164A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03E76" w:rsidRDefault="00603E76" w:rsidP="000164A6">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03E76" w:rsidRPr="000164A6" w:rsidRDefault="00603E76" w:rsidP="000164A6">
          <w:pPr>
            <w:pStyle w:val="Header"/>
            <w:spacing w:before="880"/>
            <w:ind w:left="-72"/>
          </w:pPr>
        </w:p>
      </w:tc>
      <w:tc>
        <w:tcPr>
          <w:tcW w:w="5227" w:type="dxa"/>
          <w:gridSpan w:val="3"/>
          <w:tcBorders>
            <w:top w:val="single" w:sz="4" w:space="0" w:color="auto"/>
            <w:bottom w:val="single" w:sz="12" w:space="0" w:color="auto"/>
          </w:tcBorders>
          <w:shd w:val="clear" w:color="auto" w:fill="auto"/>
        </w:tcPr>
        <w:p w:rsidR="00603E76" w:rsidRPr="000164A6" w:rsidRDefault="00603E76" w:rsidP="000164A6">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top w:val="single" w:sz="4" w:space="0" w:color="auto"/>
            <w:bottom w:val="single" w:sz="12" w:space="0" w:color="auto"/>
          </w:tcBorders>
          <w:shd w:val="clear" w:color="auto" w:fill="auto"/>
        </w:tcPr>
        <w:p w:rsidR="00603E76" w:rsidRPr="005D393C" w:rsidRDefault="00603E76" w:rsidP="000164A6">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03E76" w:rsidRDefault="00603E76" w:rsidP="000164A6">
          <w:pPr>
            <w:spacing w:before="240"/>
          </w:pPr>
          <w:r>
            <w:t>Distr. générale</w:t>
          </w:r>
        </w:p>
        <w:p w:rsidR="00603E76" w:rsidRDefault="00603E76" w:rsidP="000164A6">
          <w:r>
            <w:t>18 juin 2008</w:t>
          </w:r>
        </w:p>
        <w:p w:rsidR="00603E76" w:rsidRDefault="00603E76" w:rsidP="000164A6">
          <w:r>
            <w:t>Français</w:t>
          </w:r>
        </w:p>
        <w:p w:rsidR="00603E76" w:rsidRPr="000164A6" w:rsidRDefault="00603E76" w:rsidP="000164A6">
          <w:r>
            <w:t>Original : anglais</w:t>
          </w:r>
        </w:p>
      </w:tc>
    </w:tr>
  </w:tbl>
  <w:p w:rsidR="00603E76" w:rsidRPr="005D393C" w:rsidRDefault="00603E76" w:rsidP="000164A6">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24509"/>
    <w:multiLevelType w:val="singleLevel"/>
    <w:tmpl w:val="199CDAFA"/>
    <w:lvl w:ilvl="0">
      <w:start w:val="31"/>
      <w:numFmt w:val="decimal"/>
      <w:lvlRestart w:val="0"/>
      <w:lvlText w:val="%1."/>
      <w:lvlJc w:val="left"/>
      <w:pPr>
        <w:tabs>
          <w:tab w:val="num" w:pos="1742"/>
        </w:tabs>
        <w:ind w:left="1267" w:firstLine="0"/>
      </w:pPr>
      <w:rPr>
        <w:rFonts w:hint="default"/>
        <w:b w:val="0"/>
        <w:i w:val="0"/>
        <w:w w:val="100"/>
        <w:sz w:val="20"/>
      </w:rPr>
    </w:lvl>
  </w:abstractNum>
  <w:abstractNum w:abstractNumId="1">
    <w:nsid w:val="359D16A8"/>
    <w:multiLevelType w:val="singleLevel"/>
    <w:tmpl w:val="B5609FD6"/>
    <w:lvl w:ilvl="0">
      <w:start w:val="2"/>
      <w:numFmt w:val="decimal"/>
      <w:lvlRestart w:val="0"/>
      <w:lvlText w:val="%1."/>
      <w:lvlJc w:val="left"/>
      <w:pPr>
        <w:tabs>
          <w:tab w:val="num" w:pos="1742"/>
        </w:tabs>
        <w:ind w:left="1267" w:firstLine="0"/>
      </w:pPr>
      <w:rPr>
        <w:rFonts w:hint="default"/>
        <w:b w:val="0"/>
        <w:i w:val="0"/>
        <w:w w:val="100"/>
        <w:sz w:val="20"/>
      </w:rPr>
    </w:lvl>
  </w:abstractNum>
  <w:abstractNum w:abstractNumId="2">
    <w:nsid w:val="4D8B01E2"/>
    <w:multiLevelType w:val="singleLevel"/>
    <w:tmpl w:val="E0D29038"/>
    <w:lvl w:ilvl="0">
      <w:start w:val="1"/>
      <w:numFmt w:val="decimal"/>
      <w:lvlRestart w:val="0"/>
      <w:lvlText w:val="%1."/>
      <w:lvlJc w:val="left"/>
      <w:pPr>
        <w:tabs>
          <w:tab w:val="num" w:pos="475"/>
        </w:tabs>
        <w:ind w:left="0" w:firstLine="0"/>
      </w:pPr>
      <w:rPr>
        <w:rFonts w:hint="default"/>
        <w:b w:val="0"/>
        <w:i w:val="0"/>
        <w:w w:val="100"/>
        <w:sz w:val="20"/>
      </w:rPr>
    </w:lvl>
  </w:abstractNum>
  <w:abstractNum w:abstractNumId="3">
    <w:nsid w:val="6656360C"/>
    <w:multiLevelType w:val="singleLevel"/>
    <w:tmpl w:val="E0D29038"/>
    <w:lvl w:ilvl="0">
      <w:start w:val="1"/>
      <w:numFmt w:val="decimal"/>
      <w:lvlRestart w:val="0"/>
      <w:lvlText w:val="%1."/>
      <w:lvlJc w:val="left"/>
      <w:pPr>
        <w:tabs>
          <w:tab w:val="num" w:pos="475"/>
        </w:tabs>
        <w:ind w:left="0" w:firstLine="0"/>
      </w:pPr>
      <w:rPr>
        <w:rFonts w:hint="default"/>
        <w:b w:val="0"/>
        <w:i w:val="0"/>
        <w:w w:val="100"/>
        <w:sz w:val="20"/>
      </w:rPr>
    </w:lvl>
  </w:abstractNum>
  <w:abstractNum w:abstractNumId="4">
    <w:nsid w:val="6E336077"/>
    <w:multiLevelType w:val="singleLevel"/>
    <w:tmpl w:val="0A2ED1B0"/>
    <w:lvl w:ilvl="0">
      <w:start w:val="16"/>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5">
    <w:nsid w:val="76EF0004"/>
    <w:multiLevelType w:val="singleLevel"/>
    <w:tmpl w:val="7D9C6418"/>
    <w:lvl w:ilvl="0">
      <w:start w:val="1"/>
      <w:numFmt w:val="decimal"/>
      <w:lvlRestart w:val="0"/>
      <w:lvlText w:val="%1."/>
      <w:lvlJc w:val="left"/>
      <w:pPr>
        <w:tabs>
          <w:tab w:val="num" w:pos="475"/>
        </w:tabs>
        <w:ind w:left="0" w:firstLine="0"/>
      </w:pPr>
      <w:rPr>
        <w:rFonts w:hint="default"/>
        <w:w w:val="100"/>
      </w:rPr>
    </w:lvl>
  </w:abstractNum>
  <w:num w:numId="1">
    <w:abstractNumId w:val="5"/>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fr-CA" w:vendorID="64" w:dllVersion="131078" w:nlCheck="1" w:checkStyle="1"/>
  <w:activeWritingStyle w:appName="MSWord" w:lang="en-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7520*"/>
    <w:docVar w:name="CreationDt" w:val="17/06/2008 10:46:36"/>
    <w:docVar w:name="DocCategory" w:val="SROthers"/>
    <w:docVar w:name="DocType" w:val="Final"/>
    <w:docVar w:name="FooterJN" w:val="08-27520"/>
    <w:docVar w:name="jobn" w:val="08-27520 (F)"/>
    <w:docVar w:name="jobnDT" w:val="08-27520 (F)   170608"/>
    <w:docVar w:name="jobnDTDT" w:val="08-27520 (F)   170608   170608"/>
    <w:docVar w:name="JobNo" w:val="0827520F"/>
    <w:docVar w:name="OandT" w:val="CJO"/>
    <w:docVar w:name="sss1" w:val="CCPR/C/SR.2514"/>
    <w:docVar w:name="sss2" w:val="-"/>
    <w:docVar w:name="Symbol1" w:val="CCPR/C/SR.2514"/>
    <w:docVar w:name="Symbol2" w:val="-"/>
  </w:docVars>
  <w:rsids>
    <w:rsidRoot w:val="00BA6621"/>
    <w:rsid w:val="00002445"/>
    <w:rsid w:val="00015212"/>
    <w:rsid w:val="000164A6"/>
    <w:rsid w:val="000311C6"/>
    <w:rsid w:val="0003141F"/>
    <w:rsid w:val="000461C4"/>
    <w:rsid w:val="00055923"/>
    <w:rsid w:val="00071D7D"/>
    <w:rsid w:val="00075E7A"/>
    <w:rsid w:val="00077F98"/>
    <w:rsid w:val="00085EEC"/>
    <w:rsid w:val="00097EFC"/>
    <w:rsid w:val="000B1C46"/>
    <w:rsid w:val="000B34BE"/>
    <w:rsid w:val="000C5814"/>
    <w:rsid w:val="000C700F"/>
    <w:rsid w:val="000C78F4"/>
    <w:rsid w:val="00124C8A"/>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F208A"/>
    <w:rsid w:val="002F3821"/>
    <w:rsid w:val="003017AF"/>
    <w:rsid w:val="0031111A"/>
    <w:rsid w:val="0031636A"/>
    <w:rsid w:val="003234D8"/>
    <w:rsid w:val="0032503C"/>
    <w:rsid w:val="00386EB2"/>
    <w:rsid w:val="003B13C3"/>
    <w:rsid w:val="003B567E"/>
    <w:rsid w:val="003D37EA"/>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66B28"/>
    <w:rsid w:val="00570034"/>
    <w:rsid w:val="00585EB4"/>
    <w:rsid w:val="005B5660"/>
    <w:rsid w:val="005D393C"/>
    <w:rsid w:val="005D4DF3"/>
    <w:rsid w:val="005D6604"/>
    <w:rsid w:val="005E1FA2"/>
    <w:rsid w:val="005E7EF0"/>
    <w:rsid w:val="005F3FE9"/>
    <w:rsid w:val="00601DB8"/>
    <w:rsid w:val="0060203F"/>
    <w:rsid w:val="00603E76"/>
    <w:rsid w:val="00605D82"/>
    <w:rsid w:val="00617697"/>
    <w:rsid w:val="00617CBC"/>
    <w:rsid w:val="006200A9"/>
    <w:rsid w:val="00652344"/>
    <w:rsid w:val="00653189"/>
    <w:rsid w:val="00671B08"/>
    <w:rsid w:val="0067579D"/>
    <w:rsid w:val="00685691"/>
    <w:rsid w:val="006A661A"/>
    <w:rsid w:val="006B177A"/>
    <w:rsid w:val="006C38EC"/>
    <w:rsid w:val="006E40BC"/>
    <w:rsid w:val="006F4266"/>
    <w:rsid w:val="006F5E47"/>
    <w:rsid w:val="0070081A"/>
    <w:rsid w:val="00704E36"/>
    <w:rsid w:val="0070513F"/>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32C3F"/>
    <w:rsid w:val="009462EC"/>
    <w:rsid w:val="00947E34"/>
    <w:rsid w:val="009656F9"/>
    <w:rsid w:val="00980632"/>
    <w:rsid w:val="00986BFE"/>
    <w:rsid w:val="009D3462"/>
    <w:rsid w:val="009E7138"/>
    <w:rsid w:val="00A01D05"/>
    <w:rsid w:val="00A36EDB"/>
    <w:rsid w:val="00A41781"/>
    <w:rsid w:val="00A431BB"/>
    <w:rsid w:val="00A47D27"/>
    <w:rsid w:val="00A53EB2"/>
    <w:rsid w:val="00A5563F"/>
    <w:rsid w:val="00A771C1"/>
    <w:rsid w:val="00A8254D"/>
    <w:rsid w:val="00A97334"/>
    <w:rsid w:val="00AB249B"/>
    <w:rsid w:val="00AC1550"/>
    <w:rsid w:val="00AF30EA"/>
    <w:rsid w:val="00B146E8"/>
    <w:rsid w:val="00B14DE4"/>
    <w:rsid w:val="00B20BEE"/>
    <w:rsid w:val="00B3035A"/>
    <w:rsid w:val="00B50D66"/>
    <w:rsid w:val="00B56EE6"/>
    <w:rsid w:val="00B71439"/>
    <w:rsid w:val="00B75CC4"/>
    <w:rsid w:val="00B8234F"/>
    <w:rsid w:val="00B92747"/>
    <w:rsid w:val="00BA1A75"/>
    <w:rsid w:val="00BA6621"/>
    <w:rsid w:val="00BB1D30"/>
    <w:rsid w:val="00BB2E17"/>
    <w:rsid w:val="00BD2ADA"/>
    <w:rsid w:val="00BF730D"/>
    <w:rsid w:val="00C108CA"/>
    <w:rsid w:val="00C13713"/>
    <w:rsid w:val="00C21DAA"/>
    <w:rsid w:val="00C263A3"/>
    <w:rsid w:val="00C309D3"/>
    <w:rsid w:val="00C5160B"/>
    <w:rsid w:val="00C752AF"/>
    <w:rsid w:val="00C806C9"/>
    <w:rsid w:val="00C81D3D"/>
    <w:rsid w:val="00C82736"/>
    <w:rsid w:val="00CA75CC"/>
    <w:rsid w:val="00CD23D6"/>
    <w:rsid w:val="00CD5437"/>
    <w:rsid w:val="00CE0005"/>
    <w:rsid w:val="00CE42AA"/>
    <w:rsid w:val="00CE67A3"/>
    <w:rsid w:val="00D02B55"/>
    <w:rsid w:val="00D02C3A"/>
    <w:rsid w:val="00D04B28"/>
    <w:rsid w:val="00D10FEE"/>
    <w:rsid w:val="00D13F29"/>
    <w:rsid w:val="00D16D33"/>
    <w:rsid w:val="00D24FEA"/>
    <w:rsid w:val="00D316FF"/>
    <w:rsid w:val="00D33409"/>
    <w:rsid w:val="00D3504C"/>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62634"/>
    <w:rsid w:val="00E717BD"/>
    <w:rsid w:val="00E733A6"/>
    <w:rsid w:val="00E86974"/>
    <w:rsid w:val="00EA2B2A"/>
    <w:rsid w:val="00EA2FEE"/>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DualTxt"/>
    <w:rsid w:val="00EA7E4B"/>
    <w:pPr>
      <w:spacing w:line="240" w:lineRule="exact"/>
      <w:outlineLvl w:val="1"/>
    </w:pPr>
    <w:rPr>
      <w:spacing w:val="2"/>
      <w:sz w:val="20"/>
    </w:rPr>
  </w:style>
  <w:style w:type="paragraph" w:customStyle="1" w:styleId="H4">
    <w:name w:val="_ H_4"/>
    <w:basedOn w:val="Normal"/>
    <w:next w:val="DualTxt"/>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0164A6"/>
  </w:style>
  <w:style w:type="paragraph" w:styleId="CommentSubject">
    <w:name w:val="annotation subject"/>
    <w:basedOn w:val="CommentText"/>
    <w:next w:val="CommentText"/>
    <w:semiHidden/>
    <w:rsid w:val="000164A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200</TotalTime>
  <Pages>1</Pages>
  <Words>4771</Words>
  <Characters>25431</Characters>
  <Application>Microsoft Office Word</Application>
  <DocSecurity>4</DocSecurity>
  <Lines>620</Lines>
  <Paragraphs>67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30135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Claire Jobin</dc:creator>
  <cp:keywords/>
  <dc:description/>
  <cp:lastModifiedBy>Dominique Leroy</cp:lastModifiedBy>
  <cp:revision>10</cp:revision>
  <cp:lastPrinted>2008-06-17T12:17:00Z</cp:lastPrinted>
  <dcterms:created xsi:type="dcterms:W3CDTF">2008-06-17T08:45:00Z</dcterms:created>
  <dcterms:modified xsi:type="dcterms:W3CDTF">2008-06-17T12:17:00Z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0827520</vt:lpwstr>
  </property>
  <property fmtid="{D5CDD505-2E9C-101B-9397-08002B2CF9AE}" pid="3" name="Symbol1">
    <vt:lpwstr>CCPR/C/SR.2514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CJO</vt:lpwstr>
  </property>
</Properties>
</file>