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C450C7E" w14:textId="77777777" w:rsidTr="00F90E40">
        <w:trPr>
          <w:trHeight w:hRule="exact" w:val="851"/>
        </w:trPr>
        <w:tc>
          <w:tcPr>
            <w:tcW w:w="142" w:type="dxa"/>
            <w:tcBorders>
              <w:bottom w:val="single" w:sz="4" w:space="0" w:color="auto"/>
            </w:tcBorders>
          </w:tcPr>
          <w:p w14:paraId="22B8EA1C" w14:textId="77777777" w:rsidR="002D5AAC" w:rsidRDefault="002D5AAC" w:rsidP="00B20CB2"/>
        </w:tc>
        <w:tc>
          <w:tcPr>
            <w:tcW w:w="4820" w:type="dxa"/>
            <w:gridSpan w:val="2"/>
            <w:tcBorders>
              <w:bottom w:val="single" w:sz="4" w:space="0" w:color="auto"/>
            </w:tcBorders>
            <w:vAlign w:val="bottom"/>
          </w:tcPr>
          <w:p w14:paraId="2AF9EA32"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09A5894" w14:textId="18420EFD" w:rsidR="002D5AAC" w:rsidRDefault="00C9465B" w:rsidP="00C9465B">
            <w:pPr>
              <w:jc w:val="right"/>
            </w:pPr>
            <w:r w:rsidRPr="00C9465B">
              <w:rPr>
                <w:sz w:val="40"/>
              </w:rPr>
              <w:t>CAT</w:t>
            </w:r>
            <w:r>
              <w:t>/C/TCD/CO/2</w:t>
            </w:r>
          </w:p>
        </w:tc>
      </w:tr>
      <w:tr w:rsidR="002D5AAC" w:rsidRPr="00FA1323" w14:paraId="64710CB5" w14:textId="77777777" w:rsidTr="00F90E40">
        <w:trPr>
          <w:trHeight w:hRule="exact" w:val="2835"/>
        </w:trPr>
        <w:tc>
          <w:tcPr>
            <w:tcW w:w="1280" w:type="dxa"/>
            <w:gridSpan w:val="2"/>
            <w:tcBorders>
              <w:top w:val="single" w:sz="4" w:space="0" w:color="auto"/>
              <w:bottom w:val="single" w:sz="12" w:space="0" w:color="auto"/>
            </w:tcBorders>
          </w:tcPr>
          <w:p w14:paraId="0FFD18BD" w14:textId="77777777" w:rsidR="002D5AAC" w:rsidRDefault="002E5067" w:rsidP="00F90E40">
            <w:pPr>
              <w:spacing w:before="120"/>
              <w:jc w:val="center"/>
            </w:pPr>
            <w:r>
              <w:rPr>
                <w:noProof/>
                <w:lang w:val="fr-CH" w:eastAsia="fr-CH"/>
              </w:rPr>
              <w:drawing>
                <wp:inline distT="0" distB="0" distL="0" distR="0" wp14:anchorId="2FB608F3" wp14:editId="758228E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BAAD1C4"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637EFFC7" w14:textId="77777777" w:rsidR="002D5AAC" w:rsidRPr="00C9465B" w:rsidRDefault="00C9465B" w:rsidP="00F90E40">
            <w:pPr>
              <w:spacing w:before="240"/>
              <w:rPr>
                <w:lang w:val="en-US"/>
              </w:rPr>
            </w:pPr>
            <w:r w:rsidRPr="00C9465B">
              <w:rPr>
                <w:lang w:val="en-US"/>
              </w:rPr>
              <w:t>Distr.: General</w:t>
            </w:r>
          </w:p>
          <w:p w14:paraId="6310CC07" w14:textId="77777777" w:rsidR="00C9465B" w:rsidRPr="00C9465B" w:rsidRDefault="00C9465B" w:rsidP="00C9465B">
            <w:pPr>
              <w:spacing w:line="240" w:lineRule="exact"/>
              <w:rPr>
                <w:lang w:val="en-US"/>
              </w:rPr>
            </w:pPr>
            <w:r w:rsidRPr="00C9465B">
              <w:rPr>
                <w:lang w:val="en-US"/>
              </w:rPr>
              <w:t>7 December 2022</w:t>
            </w:r>
          </w:p>
          <w:p w14:paraId="56A6C5D1" w14:textId="77777777" w:rsidR="00C9465B" w:rsidRPr="00C9465B" w:rsidRDefault="00C9465B" w:rsidP="00C9465B">
            <w:pPr>
              <w:spacing w:line="240" w:lineRule="exact"/>
              <w:rPr>
                <w:lang w:val="en-US"/>
              </w:rPr>
            </w:pPr>
            <w:r w:rsidRPr="00C9465B">
              <w:rPr>
                <w:lang w:val="en-US"/>
              </w:rPr>
              <w:t>Russian</w:t>
            </w:r>
          </w:p>
          <w:p w14:paraId="633E3480" w14:textId="2FFBAEB5" w:rsidR="00C9465B" w:rsidRPr="00C9465B" w:rsidRDefault="00C9465B" w:rsidP="00C9465B">
            <w:pPr>
              <w:spacing w:line="240" w:lineRule="exact"/>
              <w:rPr>
                <w:lang w:val="en-US"/>
              </w:rPr>
            </w:pPr>
            <w:r w:rsidRPr="00C9465B">
              <w:rPr>
                <w:lang w:val="en-US"/>
              </w:rPr>
              <w:t>Original: French</w:t>
            </w:r>
          </w:p>
        </w:tc>
      </w:tr>
    </w:tbl>
    <w:p w14:paraId="5198DFC0" w14:textId="77777777" w:rsidR="00C9465B" w:rsidRPr="007A6449" w:rsidRDefault="00C9465B" w:rsidP="00C9465B">
      <w:pPr>
        <w:spacing w:before="120" w:line="240" w:lineRule="exact"/>
        <w:rPr>
          <w:b/>
          <w:sz w:val="24"/>
          <w:szCs w:val="24"/>
        </w:rPr>
      </w:pPr>
      <w:r w:rsidRPr="007A6449">
        <w:rPr>
          <w:b/>
          <w:bCs/>
          <w:sz w:val="24"/>
          <w:szCs w:val="24"/>
        </w:rPr>
        <w:t>Комитет против пыток</w:t>
      </w:r>
    </w:p>
    <w:p w14:paraId="70CC96D3" w14:textId="77777777" w:rsidR="00C9465B" w:rsidRPr="004E4EB5" w:rsidRDefault="00C9465B" w:rsidP="00C9465B">
      <w:pPr>
        <w:pStyle w:val="HChG"/>
      </w:pPr>
      <w:r>
        <w:tab/>
      </w:r>
      <w:r>
        <w:tab/>
      </w:r>
      <w:r>
        <w:rPr>
          <w:bCs/>
        </w:rPr>
        <w:t>Заключительные замечания по второму периодическому докладу Чада</w:t>
      </w:r>
      <w:r w:rsidRPr="00F74520">
        <w:rPr>
          <w:rStyle w:val="aa"/>
          <w:b w:val="0"/>
          <w:bCs/>
          <w:sz w:val="20"/>
          <w:vertAlign w:val="baseline"/>
        </w:rPr>
        <w:footnoteReference w:customMarkFollows="1" w:id="1"/>
        <w:t>*</w:t>
      </w:r>
    </w:p>
    <w:p w14:paraId="73C300D4" w14:textId="706396F8" w:rsidR="00C9465B" w:rsidRPr="0045146C" w:rsidRDefault="00C9465B" w:rsidP="00C9465B">
      <w:pPr>
        <w:pStyle w:val="SingleTxtG"/>
      </w:pPr>
      <w:r>
        <w:t>1.</w:t>
      </w:r>
      <w:r>
        <w:tab/>
        <w:t>Комитет рассмотрел второй периодический доклад Чада</w:t>
      </w:r>
      <w:r w:rsidRPr="0050790F">
        <w:rPr>
          <w:rStyle w:val="aa"/>
        </w:rPr>
        <w:footnoteReference w:id="2"/>
      </w:r>
      <w:r>
        <w:t xml:space="preserve"> на своих 1939-м и 1943-м заседаниях</w:t>
      </w:r>
      <w:r w:rsidRPr="0050790F">
        <w:rPr>
          <w:rStyle w:val="aa"/>
        </w:rPr>
        <w:footnoteReference w:id="3"/>
      </w:r>
      <w:r>
        <w:t>, состоявшихся 1 и 3 ноября 2022 года, и принял настоящие заключительные замечания на своем 1965-м заседании, состоявшемся 18 ноября 2022</w:t>
      </w:r>
      <w:r w:rsidR="0045146C">
        <w:rPr>
          <w:lang w:val="en-US"/>
        </w:rPr>
        <w:t> </w:t>
      </w:r>
      <w:r>
        <w:t>года.</w:t>
      </w:r>
    </w:p>
    <w:p w14:paraId="1B03BFAD" w14:textId="77777777" w:rsidR="00C9465B" w:rsidRPr="004E4EB5" w:rsidRDefault="00C9465B" w:rsidP="00C9465B">
      <w:pPr>
        <w:pStyle w:val="H1G"/>
      </w:pPr>
      <w:r>
        <w:rPr>
          <w:bCs/>
        </w:rPr>
        <w:tab/>
        <w:t>A.</w:t>
      </w:r>
      <w:r>
        <w:tab/>
      </w:r>
      <w:r>
        <w:rPr>
          <w:bCs/>
        </w:rPr>
        <w:t>Введение</w:t>
      </w:r>
    </w:p>
    <w:p w14:paraId="79DD10A8" w14:textId="77777777" w:rsidR="00C9465B" w:rsidRPr="004E4EB5" w:rsidRDefault="00C9465B" w:rsidP="00C9465B">
      <w:pPr>
        <w:pStyle w:val="SingleTxtG"/>
      </w:pPr>
      <w:r>
        <w:t>2.</w:t>
      </w:r>
      <w:r>
        <w:tab/>
        <w:t>Комитет приветствует представление второго периодического доклада государства</w:t>
      </w:r>
      <w:r w:rsidRPr="00ED4053">
        <w:rPr>
          <w:bCs/>
        </w:rPr>
        <w:t>-</w:t>
      </w:r>
      <w:r>
        <w:t>участника. Комитет выражает признательность государству</w:t>
      </w:r>
      <w:r w:rsidRPr="00ED4053">
        <w:t>-</w:t>
      </w:r>
      <w:r>
        <w:t>участнику за принятие упрощенной процедуры представления докладов, поскольку это позволяет вести более целенаправленный диалог с государством</w:t>
      </w:r>
      <w:r w:rsidRPr="00ED4053">
        <w:t>-</w:t>
      </w:r>
      <w:r>
        <w:t>участником и Комитетом. Вместе с тем он выражает сожаление по поводу того, что этот доклад был представлен с задержкой в семь лет.</w:t>
      </w:r>
    </w:p>
    <w:p w14:paraId="30D501CE" w14:textId="09812097" w:rsidR="00C9465B" w:rsidRPr="004E4EB5" w:rsidRDefault="00C9465B" w:rsidP="00C9465B">
      <w:pPr>
        <w:pStyle w:val="SingleTxtG"/>
      </w:pPr>
      <w:r>
        <w:t>3.</w:t>
      </w:r>
      <w:r>
        <w:tab/>
        <w:t>В то же время Комитет выражает удовлетворение в связи с представленной ему возможностью провести конструктивный диалог с делегацией государства</w:t>
      </w:r>
      <w:r w:rsidRPr="00ED4053">
        <w:t>-</w:t>
      </w:r>
      <w:r>
        <w:t>участника и высоко оценивает устные и письменные ответы на вопросы и озабоченности, прозвучавшие в ходе рассмотрения периодического доклада. Комитет приветствует усилия, предпринятые с целью дать представителям Постоянного представительства государства</w:t>
      </w:r>
      <w:r w:rsidRPr="00ED4053">
        <w:t>-</w:t>
      </w:r>
      <w:r>
        <w:t>участника в Женеве внести на рассмотрение свой периодический доклад, однако выражает сожаление по поводу того, что</w:t>
      </w:r>
      <w:r w:rsidR="00696961">
        <w:t>,</w:t>
      </w:r>
      <w:r>
        <w:t xml:space="preserve"> несмотря на его решение перенести второе заседание в рамках этого диалога со 2 на 3 ноября 2022 года в порядке выполнения просьбы государства</w:t>
      </w:r>
      <w:r w:rsidRPr="00ED4053">
        <w:t>-</w:t>
      </w:r>
      <w:r>
        <w:t>участника, некоторые из первоначально заявленных членов его делегации не смогли принять участие в этом диалоге. Комитет хотел бы напомнить государству</w:t>
      </w:r>
      <w:r w:rsidRPr="00ED4053">
        <w:t>-</w:t>
      </w:r>
      <w:r>
        <w:t>участнику, что этот диалог является одним из ключевых элементов рассмотрения доклада и что он дает Комитету и государству</w:t>
      </w:r>
      <w:r w:rsidRPr="00ED4053">
        <w:t>-</w:t>
      </w:r>
      <w:r>
        <w:t>участнику уникальную возможность провести конструктивный и углубленный диалог, который позволяет Комитету наряду с докладом, представленным государством</w:t>
      </w:r>
      <w:r w:rsidRPr="00ED4053">
        <w:t>-</w:t>
      </w:r>
      <w:r>
        <w:t>участником, и</w:t>
      </w:r>
      <w:r w:rsidR="00793D46">
        <w:t> </w:t>
      </w:r>
      <w:r>
        <w:t>другой предоставленной информацией оценить достигнутый прогресс и указать государству</w:t>
      </w:r>
      <w:r w:rsidRPr="00ED4053">
        <w:t>-</w:t>
      </w:r>
      <w:r>
        <w:t>участнику на те области, в которых необходимо приложить дополнительные усилия. Он настоятельно призывает государство</w:t>
      </w:r>
      <w:r w:rsidRPr="00ED4053">
        <w:t>-</w:t>
      </w:r>
      <w:r>
        <w:t>участник принять соответствующие меры с целью обеспечить его присутствие и готовность к конструктивному взаимодействию с Комитетом в ходе рассмотрения следующего периодического доклада.</w:t>
      </w:r>
    </w:p>
    <w:p w14:paraId="76B31094" w14:textId="77777777" w:rsidR="00C9465B" w:rsidRPr="004E4EB5" w:rsidRDefault="00C9465B" w:rsidP="00C9465B">
      <w:pPr>
        <w:pStyle w:val="H1G"/>
      </w:pPr>
      <w:r>
        <w:rPr>
          <w:bCs/>
        </w:rPr>
        <w:lastRenderedPageBreak/>
        <w:tab/>
        <w:t>B.</w:t>
      </w:r>
      <w:r>
        <w:tab/>
      </w:r>
      <w:r>
        <w:rPr>
          <w:bCs/>
        </w:rPr>
        <w:t>Положительные аспекты</w:t>
      </w:r>
    </w:p>
    <w:p w14:paraId="4E8FE850" w14:textId="77777777" w:rsidR="00C9465B" w:rsidRPr="004E4EB5" w:rsidRDefault="00C9465B" w:rsidP="00C9465B">
      <w:pPr>
        <w:pStyle w:val="SingleTxtG"/>
      </w:pPr>
      <w:r>
        <w:t>4.</w:t>
      </w:r>
      <w:r>
        <w:tab/>
        <w:t>Комитет с удовлетворением отмечает, что после рассмотрения первоначального доклада государства</w:t>
      </w:r>
      <w:r w:rsidRPr="00ED4053">
        <w:t>-</w:t>
      </w:r>
      <w:r>
        <w:t>участника оно ратифицировало следующие международные документы или присоединилось к ним:</w:t>
      </w:r>
    </w:p>
    <w:p w14:paraId="01D02A4B" w14:textId="77777777" w:rsidR="00C9465B" w:rsidRPr="00D815D2" w:rsidRDefault="00C9465B" w:rsidP="00C9465B">
      <w:pPr>
        <w:pStyle w:val="SingleTxtG"/>
      </w:pPr>
      <w:r>
        <w:tab/>
        <w:t>a)</w:t>
      </w:r>
      <w:r>
        <w:tab/>
        <w:t>Протокол против незаконного ввоза мигрантов по суше, морю и воздуху, дополняющий Конвенцию Организации Объединенных Наций против транснациональной организованной преступности, в 2022 году;</w:t>
      </w:r>
    </w:p>
    <w:p w14:paraId="29F341EF" w14:textId="77777777" w:rsidR="00C9465B" w:rsidRPr="004E4EB5" w:rsidRDefault="00C9465B" w:rsidP="00C9465B">
      <w:pPr>
        <w:pStyle w:val="SingleTxtG"/>
      </w:pPr>
      <w:r>
        <w:tab/>
        <w:t>b)</w:t>
      </w:r>
      <w:r>
        <w:tab/>
        <w:t xml:space="preserve">Международную конвенцию о защите прав всех трудящихся-мигрантов и членов их семей, в 2022 году; </w:t>
      </w:r>
    </w:p>
    <w:p w14:paraId="74353AA0" w14:textId="77777777" w:rsidR="00C9465B" w:rsidRPr="004E4EB5" w:rsidRDefault="00C9465B" w:rsidP="00C9465B">
      <w:pPr>
        <w:pStyle w:val="SingleTxtG"/>
        <w:rPr>
          <w:bCs/>
        </w:rPr>
      </w:pPr>
      <w:r>
        <w:tab/>
        <w:t>c)</w:t>
      </w:r>
      <w:r>
        <w:tab/>
        <w:t>Конвенцию о правах инвалидов, в 2019 году;</w:t>
      </w:r>
    </w:p>
    <w:p w14:paraId="391703F0" w14:textId="603B349E" w:rsidR="00C9465B" w:rsidRPr="00BA0FF2" w:rsidRDefault="00C9465B" w:rsidP="00C9465B">
      <w:pPr>
        <w:pStyle w:val="SingleTxtG"/>
        <w:rPr>
          <w:bCs/>
        </w:rPr>
      </w:pPr>
      <w:r>
        <w:tab/>
        <w:t>d)</w:t>
      </w:r>
      <w:r>
        <w:tab/>
        <w:t>Конвенцию Организации Объединенных Наций против коррупции, в</w:t>
      </w:r>
      <w:r w:rsidR="00793D46">
        <w:t> </w:t>
      </w:r>
      <w:r>
        <w:t>2018 году;</w:t>
      </w:r>
    </w:p>
    <w:p w14:paraId="42FED2BF" w14:textId="77777777" w:rsidR="00C9465B" w:rsidRPr="00BA0FF2" w:rsidRDefault="00C9465B" w:rsidP="00C9465B">
      <w:pPr>
        <w:pStyle w:val="SingleTxtG"/>
        <w:rPr>
          <w:bCs/>
        </w:rPr>
      </w:pPr>
      <w:r>
        <w:tab/>
        <w:t>e)</w:t>
      </w:r>
      <w:r>
        <w:tab/>
        <w:t>Конвенцию Организации Объединенных Наций против транснациональной организованной преступности, в 2009 году;</w:t>
      </w:r>
    </w:p>
    <w:p w14:paraId="44E7CAF2" w14:textId="262AEAD1" w:rsidR="00C9465B" w:rsidRPr="00A24CAD" w:rsidRDefault="00C9465B" w:rsidP="00C9465B">
      <w:pPr>
        <w:pStyle w:val="SingleTxtG"/>
        <w:rPr>
          <w:bCs/>
        </w:rPr>
      </w:pPr>
      <w:r>
        <w:tab/>
        <w:t>f)</w:t>
      </w:r>
      <w:r>
        <w:tab/>
        <w:t>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в 2009 году</w:t>
      </w:r>
      <w:r w:rsidR="00A24CAD" w:rsidRPr="00A24CAD">
        <w:t>.</w:t>
      </w:r>
    </w:p>
    <w:p w14:paraId="0B616C6D" w14:textId="77777777" w:rsidR="00C9465B" w:rsidRPr="004E4EB5" w:rsidRDefault="00C9465B" w:rsidP="00C9465B">
      <w:pPr>
        <w:pStyle w:val="SingleTxtG"/>
      </w:pPr>
      <w:r>
        <w:t>5.</w:t>
      </w:r>
      <w:r>
        <w:tab/>
        <w:t xml:space="preserve">Комитет также приветствует шаги, предпринятые государством-участником по пересмотру и принятию законодательных актов в областях, имеющих отношение к этой Конвенции, включая: </w:t>
      </w:r>
    </w:p>
    <w:p w14:paraId="33894227" w14:textId="77777777" w:rsidR="00C9465B" w:rsidRPr="004E4EB5" w:rsidRDefault="00C9465B" w:rsidP="00C9465B">
      <w:pPr>
        <w:pStyle w:val="SingleTxtG"/>
      </w:pPr>
      <w:r>
        <w:tab/>
        <w:t>a)</w:t>
      </w:r>
      <w:r>
        <w:tab/>
        <w:t xml:space="preserve">отмену смертной казни путем исключения ее из арсенала наказаний, предусмотренных в Уголовном кодексе 2017 года и Законе № 003/PR/2020 от 28 апреля 2020 года о пресечении актов терроризма в Республике Чад; </w:t>
      </w:r>
    </w:p>
    <w:p w14:paraId="33BBA09E" w14:textId="77777777" w:rsidR="00C9465B" w:rsidRPr="004E4EB5" w:rsidRDefault="00C9465B" w:rsidP="00C9465B">
      <w:pPr>
        <w:pStyle w:val="SingleTxtG"/>
      </w:pPr>
      <w:r>
        <w:tab/>
        <w:t>b)</w:t>
      </w:r>
      <w:r>
        <w:tab/>
        <w:t xml:space="preserve">Закон № 027/PR/2020 от 23 декабря 2020 года о предоставлении убежища в Республике Чад; </w:t>
      </w:r>
    </w:p>
    <w:p w14:paraId="400DAE0E" w14:textId="77777777" w:rsidR="00C9465B" w:rsidRPr="004E4EB5" w:rsidRDefault="00C9465B" w:rsidP="00C9465B">
      <w:pPr>
        <w:pStyle w:val="SingleTxtG"/>
      </w:pPr>
      <w:r>
        <w:tab/>
        <w:t>c)</w:t>
      </w:r>
      <w:r>
        <w:tab/>
        <w:t xml:space="preserve">постановление № 006/PR/2018 от 30 марта 2018 года о борьбе с торговлей людьми в Республике Чад; </w:t>
      </w:r>
    </w:p>
    <w:p w14:paraId="67DB3510" w14:textId="77777777" w:rsidR="00C9465B" w:rsidRPr="004E4EB5" w:rsidRDefault="00C9465B" w:rsidP="00C9465B">
      <w:pPr>
        <w:pStyle w:val="SingleTxtG"/>
      </w:pPr>
      <w:r>
        <w:tab/>
        <w:t>d)</w:t>
      </w:r>
      <w:r>
        <w:tab/>
        <w:t>Закон № 019/PR/2017 от 28 июля 2017 года о пенитенциарной системе;</w:t>
      </w:r>
    </w:p>
    <w:p w14:paraId="5F8F88D1" w14:textId="77777777" w:rsidR="00C9465B" w:rsidRPr="004E4EB5" w:rsidRDefault="00C9465B" w:rsidP="00C9465B">
      <w:pPr>
        <w:pStyle w:val="SingleTxtG"/>
      </w:pPr>
      <w:r>
        <w:tab/>
        <w:t>e)</w:t>
      </w:r>
      <w:r>
        <w:tab/>
        <w:t>Закон № 029/PR/2015 от 21 июля 2015 года о ратификации постановления № 006/PR/2015 от 14 марта 2015 года, запрещающего детские браки;</w:t>
      </w:r>
    </w:p>
    <w:p w14:paraId="2080AA3F" w14:textId="77777777" w:rsidR="00C9465B" w:rsidRPr="00D815D2" w:rsidRDefault="00C9465B" w:rsidP="00C9465B">
      <w:pPr>
        <w:pStyle w:val="SingleTxtG"/>
      </w:pPr>
      <w:r>
        <w:tab/>
        <w:t>f)</w:t>
      </w:r>
      <w:r>
        <w:tab/>
        <w:t>Президентский указ № 008/PR/EMP/2013 от 10 октября 2013 года о соблюдении возраста призыва в национальную армию Чада;</w:t>
      </w:r>
    </w:p>
    <w:p w14:paraId="030FF115" w14:textId="77777777" w:rsidR="00C9465B" w:rsidRPr="004E4EB5" w:rsidRDefault="00C9465B" w:rsidP="00C9465B">
      <w:pPr>
        <w:pStyle w:val="SingleTxtG"/>
      </w:pPr>
      <w:r>
        <w:tab/>
        <w:t>g)</w:t>
      </w:r>
      <w:r>
        <w:tab/>
        <w:t xml:space="preserve">Закон № </w:t>
      </w:r>
      <w:r w:rsidRPr="00C53285">
        <w:t>011/PR/2013</w:t>
      </w:r>
      <w:r w:rsidRPr="00ED4053">
        <w:t xml:space="preserve"> </w:t>
      </w:r>
      <w:r>
        <w:t xml:space="preserve">от </w:t>
      </w:r>
      <w:r w:rsidRPr="00ED4053">
        <w:t xml:space="preserve">17 </w:t>
      </w:r>
      <w:r>
        <w:t>июня 2013 года о введении в действие Кодекса о судоустройстве;</w:t>
      </w:r>
    </w:p>
    <w:p w14:paraId="15A05CF7" w14:textId="77777777" w:rsidR="00C9465B" w:rsidRPr="004E4EB5" w:rsidRDefault="00C9465B" w:rsidP="00C9465B">
      <w:pPr>
        <w:pStyle w:val="SingleTxtG"/>
      </w:pPr>
      <w:r>
        <w:tab/>
        <w:t>h)</w:t>
      </w:r>
      <w:r>
        <w:tab/>
        <w:t>постановление № 007/PR/2012 от 21 февраля 2012 года о статусе судебной системы в Чаде;</w:t>
      </w:r>
    </w:p>
    <w:p w14:paraId="441B3B43" w14:textId="77777777" w:rsidR="00C9465B" w:rsidRPr="004E4EB5" w:rsidRDefault="00C9465B" w:rsidP="00C9465B">
      <w:pPr>
        <w:pStyle w:val="SingleTxtG"/>
      </w:pPr>
      <w:r>
        <w:tab/>
        <w:t>i)</w:t>
      </w:r>
      <w:r>
        <w:tab/>
        <w:t>Закон № 032/PR/2009 о создании национальной школы подготовки судей.</w:t>
      </w:r>
    </w:p>
    <w:p w14:paraId="63BD476A" w14:textId="77777777" w:rsidR="00C9465B" w:rsidRPr="004E4EB5" w:rsidRDefault="00C9465B" w:rsidP="00C9465B">
      <w:pPr>
        <w:pStyle w:val="SingleTxtG"/>
      </w:pPr>
      <w:r>
        <w:t>6.</w:t>
      </w:r>
      <w:r>
        <w:tab/>
        <w:t>Комитет приветствует инициативы государства-участника по изменению своих стратегий и процедур в интересах обеспечения более эффективной защиты прав человека и применения положений Конвенции, в частности:</w:t>
      </w:r>
    </w:p>
    <w:p w14:paraId="6F6991AF" w14:textId="1E8B3D33" w:rsidR="00C9465B" w:rsidRPr="004E4EB5" w:rsidRDefault="00C9465B" w:rsidP="00C9465B">
      <w:pPr>
        <w:pStyle w:val="SingleTxtG"/>
      </w:pPr>
      <w:r>
        <w:tab/>
        <w:t>a)</w:t>
      </w:r>
      <w:r>
        <w:tab/>
        <w:t xml:space="preserve">принятие в 2016 году Временной стратегии ювенальной юстиции </w:t>
      </w:r>
      <w:r w:rsidR="00294A53">
        <w:br/>
      </w:r>
      <w:r>
        <w:t xml:space="preserve">(2017–2021 годы); </w:t>
      </w:r>
    </w:p>
    <w:p w14:paraId="4006E128" w14:textId="77777777" w:rsidR="00C9465B" w:rsidRPr="004E4EB5" w:rsidRDefault="00C9465B" w:rsidP="00C9465B">
      <w:pPr>
        <w:pStyle w:val="SingleTxtG"/>
      </w:pPr>
      <w:r>
        <w:tab/>
        <w:t>b)</w:t>
      </w:r>
      <w:r>
        <w:tab/>
        <w:t>создание в 2014 году Специального уголовного суда по делам уполномоченных представителей Управления документации и безопасности;</w:t>
      </w:r>
    </w:p>
    <w:p w14:paraId="62F89BAA" w14:textId="5EB7874C" w:rsidR="00C9465B" w:rsidRPr="004E4EB5" w:rsidRDefault="00C9465B" w:rsidP="00C9465B">
      <w:pPr>
        <w:pStyle w:val="SingleTxtG"/>
      </w:pPr>
      <w:r>
        <w:tab/>
        <w:t>c)</w:t>
      </w:r>
      <w:r>
        <w:tab/>
        <w:t xml:space="preserve">принятие в 2012 году национального плана действий по борьбе с наихудшими формами детского труда, торговлей детьми и их эксплуатацией </w:t>
      </w:r>
      <w:r w:rsidR="00294A53">
        <w:br/>
      </w:r>
      <w:r>
        <w:t xml:space="preserve">(2012–2015 годы); </w:t>
      </w:r>
    </w:p>
    <w:p w14:paraId="7678A451" w14:textId="77777777" w:rsidR="00C9465B" w:rsidRPr="004E4EB5" w:rsidRDefault="00C9465B" w:rsidP="00C9465B">
      <w:pPr>
        <w:pStyle w:val="SingleTxtG"/>
      </w:pPr>
      <w:r>
        <w:lastRenderedPageBreak/>
        <w:tab/>
        <w:t>d)</w:t>
      </w:r>
      <w:r>
        <w:tab/>
        <w:t xml:space="preserve">принятие в 2014 году национальной стратегии по борьбе с гендерным насилием; </w:t>
      </w:r>
    </w:p>
    <w:p w14:paraId="0D44B648" w14:textId="77777777" w:rsidR="00C9465B" w:rsidRPr="004E4EB5" w:rsidRDefault="00C9465B" w:rsidP="00C9465B">
      <w:pPr>
        <w:pStyle w:val="SingleTxtG"/>
      </w:pPr>
      <w:r>
        <w:tab/>
        <w:t>e)</w:t>
      </w:r>
      <w:r>
        <w:tab/>
        <w:t>создание в 2011 году Межведомственного комитета по соблюдению международных договоров по правам человека;</w:t>
      </w:r>
    </w:p>
    <w:p w14:paraId="2011AF91" w14:textId="77777777" w:rsidR="00C9465B" w:rsidRPr="004E4EB5" w:rsidRDefault="00C9465B" w:rsidP="00C9465B">
      <w:pPr>
        <w:pStyle w:val="SingleTxtG"/>
      </w:pPr>
      <w:r>
        <w:tab/>
        <w:t>f)</w:t>
      </w:r>
      <w:r>
        <w:tab/>
        <w:t>создание в 2011 году Национальной комиссии по приему и реинтеграции беженцев и репатриантов.</w:t>
      </w:r>
    </w:p>
    <w:p w14:paraId="6189051F" w14:textId="38E389D2" w:rsidR="00C9465B" w:rsidRPr="004E4EB5" w:rsidRDefault="00C9465B" w:rsidP="00C9465B">
      <w:pPr>
        <w:pStyle w:val="H1G"/>
      </w:pPr>
      <w:r>
        <w:rPr>
          <w:bCs/>
        </w:rPr>
        <w:tab/>
        <w:t>C.</w:t>
      </w:r>
      <w:r>
        <w:tab/>
      </w:r>
      <w:r>
        <w:rPr>
          <w:bCs/>
        </w:rPr>
        <w:t>Основные вопросы, вызывающие обеспокоенность, и</w:t>
      </w:r>
      <w:r w:rsidR="00682E72">
        <w:rPr>
          <w:bCs/>
          <w:lang w:val="en-US"/>
        </w:rPr>
        <w:t> </w:t>
      </w:r>
      <w:r>
        <w:rPr>
          <w:bCs/>
        </w:rPr>
        <w:t>рекомендации</w:t>
      </w:r>
      <w:r>
        <w:t xml:space="preserve"> </w:t>
      </w:r>
    </w:p>
    <w:p w14:paraId="60965FFC" w14:textId="0CDD0E81" w:rsidR="00C9465B" w:rsidRPr="004E4EB5" w:rsidRDefault="00C9465B" w:rsidP="00C9465B">
      <w:pPr>
        <w:pStyle w:val="H23G"/>
      </w:pPr>
      <w:r>
        <w:tab/>
      </w:r>
      <w:r>
        <w:tab/>
      </w:r>
      <w:r>
        <w:rPr>
          <w:bCs/>
        </w:rPr>
        <w:t>Вопросы последующей деятельности, оставшиеся нерассмотренными со</w:t>
      </w:r>
      <w:r w:rsidR="003746FC">
        <w:rPr>
          <w:bCs/>
        </w:rPr>
        <w:t> </w:t>
      </w:r>
      <w:r>
        <w:rPr>
          <w:bCs/>
        </w:rPr>
        <w:t>времени предыдущего отчетного периода</w:t>
      </w:r>
    </w:p>
    <w:p w14:paraId="03ED2BB4" w14:textId="0B7C5F6A" w:rsidR="00C9465B" w:rsidRPr="004E4EB5" w:rsidRDefault="00C9465B" w:rsidP="00C9465B">
      <w:pPr>
        <w:pStyle w:val="SingleTxtG"/>
      </w:pPr>
      <w:r w:rsidRPr="00597718">
        <w:t>7.</w:t>
      </w:r>
      <w:r w:rsidRPr="00597718">
        <w:tab/>
      </w:r>
      <w:r>
        <w:t>В своих предшествующих заключительных</w:t>
      </w:r>
      <w:r w:rsidRPr="007B4179">
        <w:t xml:space="preserve"> </w:t>
      </w:r>
      <w:r>
        <w:t>замечаниях</w:t>
      </w:r>
      <w:r w:rsidRPr="007B4179">
        <w:rPr>
          <w:sz w:val="18"/>
          <w:vertAlign w:val="superscript"/>
        </w:rPr>
        <w:footnoteReference w:id="4"/>
      </w:r>
      <w:r>
        <w:t xml:space="preserve"> Комитет просил государство-участник представить информацию о принятых мерах по осуществлению рекомендаций </w:t>
      </w:r>
      <w:r w:rsidRPr="00D71DFB">
        <w:t>Комитета, касающихся: определения пытки</w:t>
      </w:r>
      <w:r>
        <w:t>;</w:t>
      </w:r>
      <w:r w:rsidRPr="00D71DFB">
        <w:t xml:space="preserve"> широко распространенного характера пыток и жестокого обращения, особенно во время военных операций; безнаказанности; отправления правосудия; возмещения ущерба и компенсации; и детей-солдат</w:t>
      </w:r>
      <w:r w:rsidRPr="0050790F">
        <w:rPr>
          <w:rStyle w:val="aa"/>
        </w:rPr>
        <w:footnoteReference w:id="5"/>
      </w:r>
      <w:r>
        <w:t xml:space="preserve">. Комитет сожалеет, что государство-участник не представило эту информацию несмотря на письмо-напоминание, направленное ему </w:t>
      </w:r>
      <w:r w:rsidR="00682E72">
        <w:br/>
      </w:r>
      <w:r>
        <w:t>28</w:t>
      </w:r>
      <w:r w:rsidR="00682E72" w:rsidRPr="00682E72">
        <w:t xml:space="preserve"> </w:t>
      </w:r>
      <w:r>
        <w:t xml:space="preserve">марта 2011 года Докладчиком по последующим действиям в связи с заключительными замечаниями. В свете информации, представленной во втором периодическом докладе государства-участника, Комитет считает, что рекомендации, изложенные в пунктах 13, 17, 22, 24, 28 и 34 его предыдущих заключительных замечаний, пока еще не выполнены в полном объеме. Эти вопросы рассматриваются в пунктах 19, 37 и 45 настоящих заключительных замечаний. </w:t>
      </w:r>
    </w:p>
    <w:p w14:paraId="3CB2541C" w14:textId="3FF09866" w:rsidR="00C9465B" w:rsidRPr="003D1EB7" w:rsidRDefault="00C9465B" w:rsidP="00C9465B">
      <w:pPr>
        <w:pStyle w:val="H23G"/>
      </w:pPr>
      <w:r>
        <w:tab/>
      </w:r>
      <w:r>
        <w:tab/>
      </w:r>
      <w:r>
        <w:rPr>
          <w:bCs/>
        </w:rPr>
        <w:t xml:space="preserve">Чрезмерное применение силы во время демонстраций весной 2021 года </w:t>
      </w:r>
      <w:r w:rsidR="00515CCF">
        <w:rPr>
          <w:bCs/>
        </w:rPr>
        <w:br/>
      </w:r>
      <w:r>
        <w:rPr>
          <w:bCs/>
        </w:rPr>
        <w:t>и осенью 2022 года</w:t>
      </w:r>
    </w:p>
    <w:p w14:paraId="20518719" w14:textId="528400A8" w:rsidR="00C9465B" w:rsidRPr="004E4EB5" w:rsidRDefault="00C9465B" w:rsidP="00C9465B">
      <w:pPr>
        <w:pStyle w:val="SingleTxtG"/>
      </w:pPr>
      <w:r>
        <w:t>8.</w:t>
      </w:r>
      <w:r>
        <w:tab/>
        <w:t>Комитет с обеспокоенностью отмечает неоднократные утверждения о чрезмерном применении силы против демонстрантов в отчетный период. Он выражает беспокойство по поводу многочисленных утверждений о том, что силы безопасности и неустановленные вооруженные элементы во время демонстраций в контексте президентских выборов и после создания переходного Военного совета в апреле 2021</w:t>
      </w:r>
      <w:r w:rsidR="00C80E26">
        <w:rPr>
          <w:lang w:val="en-US"/>
        </w:rPr>
        <w:t> </w:t>
      </w:r>
      <w:r>
        <w:t>года, а также в контексте инклюзивного и суверенного национального диалога в августе и сентябре 2022 года и по его завершении в октябре 2022 года применяли чрезмерную силу, включая использование смертоносного оружия, что привело к гибели и ранению людей, в том числе детей, произвольным арестам, задержаниям без связи с внешним миром и переводу задержанных в тюрьму строгого режима в Коро Торо, пыткам и жестокому обращению, а также насильственным исчезновениям. Комитет также обеспокоен сообщениями о том, что останки некоторых демонстрантов, убитых во время демонстраций 20 октября 2022 года, до сих пор не возвращены их семьям. Комитет принимает к сведению обязательство государства</w:t>
      </w:r>
      <w:r w:rsidR="003B3367">
        <w:noBreakHyphen/>
      </w:r>
      <w:r>
        <w:t>участника обеспечить привлечение виновных в вышеупомянутых действиях к ответственности, в том числе путем проведения независимых расследований в каждом городе, в котором проходили демонстрации, в целях установления соответствующих фактов. Вместе с тем он выражает сожаление по поводу того, что в деле установления фактов достигнут незначительный прогресс и что до сих пор не было возбуждено ни одного уголовного дела, что порождает атмосферу безнаказанности. С интересом отмечая информацию о том, что премьер</w:t>
      </w:r>
      <w:r w:rsidR="005F2132">
        <w:noBreakHyphen/>
      </w:r>
      <w:r>
        <w:t>министр Чада после конструктивного диалога подтвердил готовность государства-участника принять у себя международную миссию по установлению фактов с целью пролить свет на события 20</w:t>
      </w:r>
      <w:r w:rsidR="00B14BA5">
        <w:rPr>
          <w:lang w:val="en-US"/>
        </w:rPr>
        <w:t> </w:t>
      </w:r>
      <w:r>
        <w:t xml:space="preserve">октября 2022 года, Комитет подчеркивает важность всестороннего сотрудничества со стороны государства-участника и </w:t>
      </w:r>
      <w:r>
        <w:lastRenderedPageBreak/>
        <w:t>эффективного проведения в жизнь выводов и рекомендаций такой миссии. Комитет также выражает озабоченность по поводу расплывчатых и ограничительных формулировок, содержащихся в постановлении № 46 от 28 октября 1962 года о сборищах в части применения силы при осуществлении права на мирные собрания (ст</w:t>
      </w:r>
      <w:r w:rsidR="00251015">
        <w:t>. </w:t>
      </w:r>
      <w:r>
        <w:t xml:space="preserve">2, 12, 13, 14 и 16). </w:t>
      </w:r>
    </w:p>
    <w:p w14:paraId="72B88426" w14:textId="77777777" w:rsidR="00C9465B" w:rsidRPr="004E4EB5" w:rsidRDefault="00C9465B" w:rsidP="00C9465B">
      <w:pPr>
        <w:pStyle w:val="SingleTxtG"/>
        <w:rPr>
          <w:rFonts w:eastAsia="SimSun"/>
        </w:rPr>
      </w:pPr>
      <w:r w:rsidRPr="00A9624A">
        <w:rPr>
          <w:bCs/>
        </w:rPr>
        <w:t>9.</w:t>
      </w:r>
      <w:r w:rsidRPr="00A9624A">
        <w:rPr>
          <w:bCs/>
        </w:rPr>
        <w:tab/>
      </w:r>
      <w:r>
        <w:rPr>
          <w:b/>
          <w:bCs/>
        </w:rPr>
        <w:t>Государству-участнику следует:</w:t>
      </w:r>
    </w:p>
    <w:p w14:paraId="2BB29D3E" w14:textId="0C2DC687" w:rsidR="00C9465B" w:rsidRPr="004E4EB5" w:rsidRDefault="00C9465B" w:rsidP="00C9465B">
      <w:pPr>
        <w:pStyle w:val="SingleTxtG"/>
        <w:rPr>
          <w:rFonts w:eastAsia="SimSun"/>
          <w:b/>
          <w:bCs/>
        </w:rPr>
      </w:pPr>
      <w:r>
        <w:rPr>
          <w:b/>
          <w:bCs/>
        </w:rPr>
        <w:tab/>
        <w:t>a)</w:t>
      </w:r>
      <w:r>
        <w:tab/>
      </w:r>
      <w:r>
        <w:rPr>
          <w:b/>
          <w:bCs/>
        </w:rPr>
        <w:t>отменить постановление № 46 по пресечению сборищ, пересмотреть другие законы, регламентирующие применение силы и оружия, и разработать, в</w:t>
      </w:r>
      <w:r w:rsidR="009847C5">
        <w:rPr>
          <w:b/>
          <w:bCs/>
          <w:lang w:val="en-US"/>
        </w:rPr>
        <w:t> </w:t>
      </w:r>
      <w:r>
        <w:rPr>
          <w:b/>
          <w:bCs/>
        </w:rPr>
        <w:t>случае необходимости, четкие директивные положения, включив в них принципы правомерности, потребности, соразмерности и предосторожности, привести законодательные и нормативные положения, регламентирующие применение силы, в том числе декрет № 413/PR/PM/MSPI/2016 от 15 июня 2016</w:t>
      </w:r>
      <w:r w:rsidR="00B14BA5">
        <w:rPr>
          <w:b/>
          <w:bCs/>
          <w:lang w:val="en-US"/>
        </w:rPr>
        <w:t> </w:t>
      </w:r>
      <w:r>
        <w:rPr>
          <w:b/>
          <w:bCs/>
        </w:rPr>
        <w:t>года о Кодексе профессиональной этики национальной полиции, в</w:t>
      </w:r>
      <w:r w:rsidR="009847C5">
        <w:rPr>
          <w:b/>
          <w:bCs/>
          <w:lang w:val="en-US"/>
        </w:rPr>
        <w:t> </w:t>
      </w:r>
      <w:r>
        <w:rPr>
          <w:b/>
          <w:bCs/>
        </w:rPr>
        <w:t>соответствие с международными нормами, в частности с Базовыми принципами применения огнестрельного оружия правоохранительными органами и с Руководящими указаниями Организации Объединенных Наций по правам человека в случае применения менее смертоносного оружия в правоохранительной практике, и активизировать работу в целях предоставления всем сотрудникам правоохранительных органов возможности проходить обязательную и систематическую подготовку в соответствии с этими принципами;</w:t>
      </w:r>
      <w:r>
        <w:t xml:space="preserve"> </w:t>
      </w:r>
    </w:p>
    <w:p w14:paraId="7E471BAD" w14:textId="77777777" w:rsidR="00C9465B" w:rsidRPr="004E4EB5" w:rsidRDefault="00C9465B" w:rsidP="00C9465B">
      <w:pPr>
        <w:pStyle w:val="SingleTxtG"/>
        <w:rPr>
          <w:rFonts w:ascii="Calibri" w:eastAsia="SimSun" w:hAnsi="Calibri" w:cs="Calibri"/>
          <w:b/>
          <w:bCs/>
          <w:sz w:val="22"/>
          <w:szCs w:val="22"/>
        </w:rPr>
      </w:pPr>
      <w:r>
        <w:rPr>
          <w:b/>
          <w:bCs/>
        </w:rPr>
        <w:tab/>
        <w:t>b)</w:t>
      </w:r>
      <w:r>
        <w:tab/>
      </w:r>
      <w:r>
        <w:rPr>
          <w:b/>
          <w:bCs/>
        </w:rPr>
        <w:t xml:space="preserve">следить за тем, чтобы правоохранительные функции выполнялись в максимально возможной степени гражданскими </w:t>
      </w:r>
      <w:proofErr w:type="gramStart"/>
      <w:r>
        <w:rPr>
          <w:b/>
          <w:bCs/>
        </w:rPr>
        <w:t>властями</w:t>
      </w:r>
      <w:proofErr w:type="gramEnd"/>
      <w:r>
        <w:rPr>
          <w:b/>
          <w:bCs/>
        </w:rPr>
        <w:t xml:space="preserve"> и чтобы всех сотрудников можно было эффективно идентифицировать в любое время при исполнении ими своих служебных обязанностей в порядке обеспечения соблюдения принципа индивидуальной ответственности и защиты от пыток и жестокого обращения;</w:t>
      </w:r>
    </w:p>
    <w:p w14:paraId="08FDB8FB" w14:textId="70CB71FE" w:rsidR="00C9465B" w:rsidRPr="004E4EB5" w:rsidRDefault="00C9465B" w:rsidP="00C9465B">
      <w:pPr>
        <w:pStyle w:val="SingleTxtG"/>
        <w:rPr>
          <w:b/>
          <w:bCs/>
        </w:rPr>
      </w:pPr>
      <w:r>
        <w:rPr>
          <w:b/>
          <w:bCs/>
        </w:rPr>
        <w:tab/>
        <w:t>c)</w:t>
      </w:r>
      <w:r>
        <w:tab/>
      </w:r>
      <w:r>
        <w:rPr>
          <w:b/>
          <w:bCs/>
        </w:rPr>
        <w:t>следить за тем, чтобы в случае всех вышеуказанных обвинений незамедлительно проводилось беспристрастное и эффективное расследование, и</w:t>
      </w:r>
      <w:r w:rsidR="009847C5">
        <w:rPr>
          <w:b/>
          <w:bCs/>
          <w:lang w:val="en-US"/>
        </w:rPr>
        <w:t> </w:t>
      </w:r>
      <w:r>
        <w:rPr>
          <w:b/>
          <w:bCs/>
        </w:rPr>
        <w:t>применять соответствующие меры в порядке судебного преследования и надлежащего наказания виновных и обеспечивать пострадавшим или их семьям полное возмещение ущерба;</w:t>
      </w:r>
    </w:p>
    <w:p w14:paraId="08AE35DA" w14:textId="77777777" w:rsidR="00C9465B" w:rsidRPr="004E4EB5" w:rsidRDefault="00C9465B" w:rsidP="00C9465B">
      <w:pPr>
        <w:pStyle w:val="SingleTxtG"/>
        <w:rPr>
          <w:b/>
          <w:bCs/>
        </w:rPr>
      </w:pPr>
      <w:r>
        <w:rPr>
          <w:b/>
          <w:bCs/>
        </w:rPr>
        <w:tab/>
        <w:t>d)</w:t>
      </w:r>
      <w:r>
        <w:tab/>
      </w:r>
      <w:r>
        <w:rPr>
          <w:b/>
          <w:bCs/>
        </w:rPr>
        <w:t>сотрудничать в полной мере с международной миссией по установлению фактов, предложенной посредником Экономического сообщества государств Центральной Африки, с целью пролить свет на события, имевшие место 20 октября 2022 года, и обеспечить эффективное проведение в жизнь выводов и рекомендаций, сделанных этой миссией;</w:t>
      </w:r>
    </w:p>
    <w:p w14:paraId="1E54964F" w14:textId="08C41BA7" w:rsidR="00C9465B" w:rsidRPr="004E4EB5" w:rsidRDefault="00C9465B" w:rsidP="00C9465B">
      <w:pPr>
        <w:pStyle w:val="SingleTxtG"/>
        <w:rPr>
          <w:b/>
          <w:bCs/>
        </w:rPr>
      </w:pPr>
      <w:r>
        <w:rPr>
          <w:b/>
          <w:bCs/>
        </w:rPr>
        <w:tab/>
        <w:t>e)</w:t>
      </w:r>
      <w:r>
        <w:tab/>
      </w:r>
      <w:r>
        <w:rPr>
          <w:b/>
          <w:bCs/>
        </w:rPr>
        <w:t>обеспечить незамедлительное возвращение останков всех погибших во время</w:t>
      </w:r>
      <w:r w:rsidR="00F34284" w:rsidRPr="00F34284">
        <w:rPr>
          <w:b/>
          <w:bCs/>
        </w:rPr>
        <w:t xml:space="preserve"> </w:t>
      </w:r>
      <w:r>
        <w:rPr>
          <w:b/>
          <w:bCs/>
        </w:rPr>
        <w:t>демонстраций 20 октября 2022 года их семьям.</w:t>
      </w:r>
    </w:p>
    <w:p w14:paraId="2E170B53" w14:textId="77777777" w:rsidR="00C9465B" w:rsidRPr="004E4EB5" w:rsidRDefault="00C9465B" w:rsidP="00C9465B">
      <w:pPr>
        <w:pStyle w:val="H23G"/>
      </w:pPr>
      <w:r>
        <w:tab/>
      </w:r>
      <w:r>
        <w:tab/>
      </w:r>
      <w:r>
        <w:rPr>
          <w:bCs/>
        </w:rPr>
        <w:t>Определение пытки</w:t>
      </w:r>
    </w:p>
    <w:p w14:paraId="451A3296" w14:textId="0E754B73" w:rsidR="00C9465B" w:rsidRPr="004E4EB5" w:rsidRDefault="00C9465B" w:rsidP="00C9465B">
      <w:pPr>
        <w:pStyle w:val="SingleTxtG"/>
        <w:rPr>
          <w:b/>
          <w:bCs/>
        </w:rPr>
      </w:pPr>
      <w:r>
        <w:t>10.</w:t>
      </w:r>
      <w:r>
        <w:tab/>
        <w:t>Комитет принимает к сведению положения статьи 10 Переходной хартии Республики Чад, запрещающей пытки и жестокое обращение, и считает, что новое определение преступления пытки, содержащееся в статье 323 Уголовного кодекса, в</w:t>
      </w:r>
      <w:r w:rsidR="00650198">
        <w:rPr>
          <w:lang w:val="en-US"/>
        </w:rPr>
        <w:t> </w:t>
      </w:r>
      <w:r>
        <w:t xml:space="preserve">целом соответствует положениям статьи 1 Конвенции. Вместе с тем он выражает обеспокоенность в связи с тем, что это определение не включает в себя понятие </w:t>
      </w:r>
      <w:r w:rsidR="00F34284">
        <w:t>«</w:t>
      </w:r>
      <w:r>
        <w:t>любое иное лицо, действующее в официальном качестве</w:t>
      </w:r>
      <w:r w:rsidR="00F34284">
        <w:t>»</w:t>
      </w:r>
      <w:r>
        <w:t xml:space="preserve">, содержащееся в статье 1 Конвенции, и ограничивается </w:t>
      </w:r>
      <w:r w:rsidR="00F34284">
        <w:t>«</w:t>
      </w:r>
      <w:r>
        <w:t>традиционными органами власти, действующими в официальном качестве</w:t>
      </w:r>
      <w:r w:rsidR="00F34284">
        <w:t>»</w:t>
      </w:r>
      <w:r>
        <w:t>. Комитет также выражает обеспокоенность по поводу того, что акты пыток, не связанные со смертью жертвы, постоянным лишением возможности пользоваться всеми конечностями или органами, в том числе органами чувств, или их частью, болезнью или потерей трудоспособности более чем на 30 дней, влекут за собой наказания, эквивалентные правонарушениям, т.</w:t>
      </w:r>
      <w:r w:rsidR="00401D44">
        <w:rPr>
          <w:lang w:val="en-US"/>
        </w:rPr>
        <w:t> </w:t>
      </w:r>
      <w:r>
        <w:t xml:space="preserve">е. от двух до пяти лет лишения свободы, что </w:t>
      </w:r>
      <w:r w:rsidRPr="008945DD">
        <w:t>противоречит требованию статьи 4 Конвенци</w:t>
      </w:r>
      <w:r>
        <w:t xml:space="preserve">и о том, что пытки подлежат соответствующим наказаниям, учитывающим тяжелый характер этого преступления. В заключение Комитет выражает обеспокоенность в связи с тем, что </w:t>
      </w:r>
      <w:r>
        <w:lastRenderedPageBreak/>
        <w:t xml:space="preserve">Уголовный кодекс прямо не предусматривает </w:t>
      </w:r>
      <w:r w:rsidRPr="008945DD">
        <w:t>неприменимость срока давности к преступлению пытки</w:t>
      </w:r>
      <w:r>
        <w:t xml:space="preserve"> (ст</w:t>
      </w:r>
      <w:r w:rsidR="00013DA5">
        <w:t>.</w:t>
      </w:r>
      <w:r>
        <w:t xml:space="preserve"> 1, 2 и 4).</w:t>
      </w:r>
    </w:p>
    <w:p w14:paraId="1913909E" w14:textId="1A790BC1" w:rsidR="00C9465B" w:rsidRPr="004E4EB5" w:rsidRDefault="00C9465B" w:rsidP="00C9465B">
      <w:pPr>
        <w:pStyle w:val="SingleTxtG"/>
        <w:rPr>
          <w:b/>
          <w:bCs/>
        </w:rPr>
      </w:pPr>
      <w:r>
        <w:t>11.</w:t>
      </w:r>
      <w:r>
        <w:tab/>
      </w:r>
      <w:r>
        <w:rPr>
          <w:b/>
          <w:bCs/>
        </w:rPr>
        <w:t>Государству-участнику следует внести соответствующие изменения в статью 323 Уголовного кодекса, с тем чтобы определение пытки полностью соответствовало положениям статьи 1 Конвенции.</w:t>
      </w:r>
      <w:r>
        <w:t xml:space="preserve"> </w:t>
      </w:r>
      <w:r>
        <w:rPr>
          <w:b/>
          <w:bCs/>
        </w:rPr>
        <w:t xml:space="preserve">В этой связи Комитет обращает внимание государства-участника на свое замечание общего </w:t>
      </w:r>
      <w:r w:rsidR="00D87790">
        <w:rPr>
          <w:b/>
          <w:bCs/>
        </w:rPr>
        <w:br/>
      </w:r>
      <w:r>
        <w:rPr>
          <w:b/>
          <w:bCs/>
        </w:rPr>
        <w:t>порядка № 2 (2007) по поводу введения в действие статьи 2, в котором указывается, что серьезные расхождения между определением, содержащимся в Конвенции, и определением, включенным во внутреннее право, открывают реальные или потенциальные лазейки для безнаказанности</w:t>
      </w:r>
      <w:r w:rsidRPr="0050790F">
        <w:rPr>
          <w:rStyle w:val="aa"/>
        </w:rPr>
        <w:footnoteReference w:id="6"/>
      </w:r>
      <w:r>
        <w:rPr>
          <w:b/>
          <w:bCs/>
        </w:rPr>
        <w:t>.</w:t>
      </w:r>
      <w:r>
        <w:t xml:space="preserve"> </w:t>
      </w:r>
      <w:r>
        <w:rPr>
          <w:b/>
          <w:bCs/>
        </w:rPr>
        <w:t xml:space="preserve">Государству-участнику следует обеспечить, чтобы наказания за акты пыток и жестокого обращения были соразмерны тяжести этих преступлений в соответствии с пунктом </w:t>
      </w:r>
      <w:r w:rsidRPr="008945DD">
        <w:rPr>
          <w:b/>
          <w:bCs/>
        </w:rPr>
        <w:t>2 статьи 4 Конвенции</w:t>
      </w:r>
      <w:r>
        <w:rPr>
          <w:b/>
          <w:bCs/>
        </w:rPr>
        <w:t>.</w:t>
      </w:r>
      <w:r>
        <w:t xml:space="preserve"> </w:t>
      </w:r>
      <w:r>
        <w:rPr>
          <w:b/>
          <w:bCs/>
        </w:rPr>
        <w:t>Комитет также предлагает государству-участнику принять необходимые положения, четко предусматривающие неприменимость срока давности к преступлению пытки в своем Уголовном кодексе.</w:t>
      </w:r>
      <w:r w:rsidRPr="00350665">
        <w:rPr>
          <w:b/>
          <w:bCs/>
        </w:rPr>
        <w:t xml:space="preserve"> </w:t>
      </w:r>
    </w:p>
    <w:p w14:paraId="1E9FB4FF" w14:textId="77777777" w:rsidR="00C9465B" w:rsidRPr="004E4EB5" w:rsidRDefault="00C9465B" w:rsidP="00C9465B">
      <w:pPr>
        <w:pStyle w:val="H23G"/>
      </w:pPr>
      <w:r>
        <w:tab/>
      </w:r>
      <w:r>
        <w:tab/>
      </w:r>
      <w:r>
        <w:rPr>
          <w:bCs/>
        </w:rPr>
        <w:t>Основные гарантии</w:t>
      </w:r>
    </w:p>
    <w:p w14:paraId="6FEF6BEE" w14:textId="36DC5ADA" w:rsidR="00C9465B" w:rsidRPr="004E4EB5" w:rsidRDefault="00C9465B" w:rsidP="00C9465B">
      <w:pPr>
        <w:pStyle w:val="SingleTxtG"/>
      </w:pPr>
      <w:r>
        <w:t>12.</w:t>
      </w:r>
      <w:r>
        <w:tab/>
        <w:t xml:space="preserve">Комитет принимает к сведению гарантии по предотвращению пыток и жестокого обращения, закрепленные в Уголовно-процессуальном кодексе, </w:t>
      </w:r>
      <w:r w:rsidR="004226CD">
        <w:br/>
      </w:r>
      <w:r>
        <w:t>но по-прежнему испытывает чувство обеспокоенности в связи с сообщениями о том, что на практике лицам, находящимся в заключении, систематически отказывают в обеспечении всех основных правовых гарантий с самого начала их лишения свободы. В этой связи ему сообщили, что: a) осуществление права на консультацию с адвокатом с момента ареста регулярно откладывается и разрешается только после проведения допросов сотрудниками сил безопасности и следственным судьей в рамках предварительного расследования; b) что лица, подозреваемые в преступлениях, связанных с терроризмом, зачастую лишены эффективной правовой помощи; c) что медицинский осмотр независимым врачом на предмет выявления признаков пыток и жестокого обращения не является общепринятой практикой, особенно в условиях досудебного содержания под стражей; d) что осуществление права на уведомление своего родственника или какого-либо лица по своему выбору зачастую производится с задержкой; e) что арестованные предстают перед следственным судьей через несколько дней или даже недель после ареста, что значительно превышает 48-часовой период, предусмотренный законодательством Чада; и f) что учетные записи лиц, лишенных свободы, часто являются неполными, не взаимосвязанными или не централизованными (</w:t>
      </w:r>
      <w:r w:rsidR="0052495A">
        <w:t>ст.</w:t>
      </w:r>
      <w:r>
        <w:t xml:space="preserve"> 2).</w:t>
      </w:r>
    </w:p>
    <w:p w14:paraId="4F0C8CBC" w14:textId="77777777" w:rsidR="00C9465B" w:rsidRPr="004E4EB5" w:rsidRDefault="00C9465B" w:rsidP="00C9465B">
      <w:pPr>
        <w:pStyle w:val="SingleTxtG"/>
        <w:rPr>
          <w:b/>
          <w:bCs/>
        </w:rPr>
      </w:pPr>
      <w:r>
        <w:t>13.</w:t>
      </w:r>
      <w:r>
        <w:tab/>
      </w:r>
      <w:r>
        <w:rPr>
          <w:b/>
          <w:bCs/>
        </w:rPr>
        <w:t>Комитет настоятельно призывает государство-участник следить за тем, чтобы на практике всем задержанным лицам с самого начала их лишения свободы предоставлялись все основные правовые гарантии против пыток, независимо от причины их задержания, включая следующие права:</w:t>
      </w:r>
    </w:p>
    <w:p w14:paraId="2F7FEB21" w14:textId="77777777" w:rsidR="00C9465B" w:rsidRPr="004E4EB5" w:rsidRDefault="00C9465B" w:rsidP="00C9465B">
      <w:pPr>
        <w:pStyle w:val="SingleTxtG"/>
        <w:rPr>
          <w:b/>
          <w:bCs/>
        </w:rPr>
      </w:pPr>
      <w:r>
        <w:rPr>
          <w:b/>
          <w:bCs/>
        </w:rPr>
        <w:tab/>
        <w:t>a)</w:t>
      </w:r>
      <w:r>
        <w:tab/>
      </w:r>
      <w:r>
        <w:rPr>
          <w:b/>
          <w:bCs/>
        </w:rPr>
        <w:t>быть информированными на понятном им языке о причине ареста, характере предъявляемых обвинений и своих правах;</w:t>
      </w:r>
    </w:p>
    <w:p w14:paraId="596C1ADE" w14:textId="77777777" w:rsidR="00C9465B" w:rsidRPr="004E4EB5" w:rsidRDefault="00C9465B" w:rsidP="00C9465B">
      <w:pPr>
        <w:pStyle w:val="SingleTxtG"/>
        <w:rPr>
          <w:b/>
          <w:bCs/>
        </w:rPr>
      </w:pPr>
      <w:r>
        <w:rPr>
          <w:b/>
          <w:bCs/>
        </w:rPr>
        <w:tab/>
        <w:t>b)</w:t>
      </w:r>
      <w:r>
        <w:tab/>
      </w:r>
      <w:r>
        <w:rPr>
          <w:b/>
          <w:bCs/>
        </w:rPr>
        <w:t>пользоваться помощью адвоката на различных стадиях судебного разбирательства, в том числе во время допроса;</w:t>
      </w:r>
    </w:p>
    <w:p w14:paraId="234F943C" w14:textId="77777777" w:rsidR="00C9465B" w:rsidRPr="004E4EB5" w:rsidRDefault="00C9465B" w:rsidP="00C9465B">
      <w:pPr>
        <w:pStyle w:val="SingleTxtG"/>
        <w:rPr>
          <w:b/>
          <w:bCs/>
        </w:rPr>
      </w:pPr>
      <w:r>
        <w:rPr>
          <w:b/>
          <w:bCs/>
        </w:rPr>
        <w:tab/>
        <w:t>c)</w:t>
      </w:r>
      <w:r>
        <w:tab/>
      </w:r>
      <w:r>
        <w:rPr>
          <w:b/>
          <w:bCs/>
        </w:rPr>
        <w:t>иметь возможность требовать проведения медицинского осмотра независимым врачом или, по соответствующей просьбе, врачом по своему выбору, и проходить такой осмотр незамедлительно после задержания вне пределов слышимости и видимости со стороны сотрудников полиции и тюремного персонала, если только соответствующий врач прямо не просит об ином;</w:t>
      </w:r>
    </w:p>
    <w:p w14:paraId="3EF6969E" w14:textId="77777777" w:rsidR="00C9465B" w:rsidRPr="004E4EB5" w:rsidRDefault="00C9465B" w:rsidP="00C9465B">
      <w:pPr>
        <w:pStyle w:val="SingleTxtG"/>
        <w:rPr>
          <w:b/>
          <w:bCs/>
        </w:rPr>
      </w:pPr>
      <w:r>
        <w:rPr>
          <w:b/>
          <w:bCs/>
        </w:rPr>
        <w:lastRenderedPageBreak/>
        <w:tab/>
        <w:t>d)</w:t>
      </w:r>
      <w:r>
        <w:tab/>
      </w:r>
      <w:r>
        <w:rPr>
          <w:b/>
          <w:bCs/>
        </w:rPr>
        <w:t>гарантировать, чтобы во всех случаях, когда имеются прямые или косвенные признаки применения пыток или жестокого обращения, медицинское заключение безотлагательно доводилось до сведения прокурора;</w:t>
      </w:r>
    </w:p>
    <w:p w14:paraId="14FCF68E" w14:textId="77777777" w:rsidR="00C9465B" w:rsidRPr="004E4EB5" w:rsidRDefault="00C9465B" w:rsidP="00C9465B">
      <w:pPr>
        <w:pStyle w:val="SingleTxtG"/>
        <w:rPr>
          <w:b/>
          <w:bCs/>
        </w:rPr>
      </w:pPr>
      <w:r>
        <w:rPr>
          <w:b/>
          <w:bCs/>
        </w:rPr>
        <w:tab/>
        <w:t>e)</w:t>
      </w:r>
      <w:r>
        <w:tab/>
      </w:r>
      <w:r>
        <w:rPr>
          <w:b/>
          <w:bCs/>
        </w:rPr>
        <w:t>иметь возможность уведомить члена своей семьи или любого иного лица по своему выбору;</w:t>
      </w:r>
    </w:p>
    <w:p w14:paraId="478B602E" w14:textId="77777777" w:rsidR="00C9465B" w:rsidRPr="004E4EB5" w:rsidRDefault="00C9465B" w:rsidP="00C9465B">
      <w:pPr>
        <w:pStyle w:val="SingleTxtG"/>
        <w:rPr>
          <w:b/>
          <w:bCs/>
        </w:rPr>
      </w:pPr>
      <w:r>
        <w:rPr>
          <w:b/>
          <w:bCs/>
        </w:rPr>
        <w:tab/>
        <w:t>f)</w:t>
      </w:r>
      <w:r>
        <w:tab/>
      </w:r>
      <w:r>
        <w:rPr>
          <w:b/>
          <w:bCs/>
        </w:rPr>
        <w:t>посмотреть учетную запись их задержания;</w:t>
      </w:r>
    </w:p>
    <w:p w14:paraId="48F5A033" w14:textId="77777777" w:rsidR="00C9465B" w:rsidRPr="004E4EB5" w:rsidRDefault="00C9465B" w:rsidP="00C9465B">
      <w:pPr>
        <w:pStyle w:val="SingleTxtG"/>
        <w:rPr>
          <w:b/>
          <w:bCs/>
        </w:rPr>
      </w:pPr>
      <w:r>
        <w:rPr>
          <w:b/>
          <w:bCs/>
        </w:rPr>
        <w:tab/>
        <w:t>g)</w:t>
      </w:r>
      <w:r>
        <w:tab/>
      </w:r>
      <w:r>
        <w:rPr>
          <w:b/>
          <w:bCs/>
        </w:rPr>
        <w:t>незамедлительно предстать перед судьей;</w:t>
      </w:r>
    </w:p>
    <w:p w14:paraId="120F960D" w14:textId="77777777" w:rsidR="00C9465B" w:rsidRPr="004E4EB5" w:rsidRDefault="00C9465B" w:rsidP="00C9465B">
      <w:pPr>
        <w:pStyle w:val="SingleTxtG"/>
        <w:rPr>
          <w:b/>
          <w:bCs/>
        </w:rPr>
      </w:pPr>
      <w:r>
        <w:rPr>
          <w:b/>
          <w:bCs/>
        </w:rPr>
        <w:tab/>
        <w:t>h)</w:t>
      </w:r>
      <w:r>
        <w:tab/>
        <w:t>и</w:t>
      </w:r>
      <w:r>
        <w:rPr>
          <w:b/>
          <w:bCs/>
        </w:rPr>
        <w:t>меть возможность оспорить законность своего задержания на любой стадии судебного разбирательства.</w:t>
      </w:r>
    </w:p>
    <w:p w14:paraId="7AFC3C2C" w14:textId="77777777" w:rsidR="00C9465B" w:rsidRPr="004E4EB5" w:rsidRDefault="00C9465B" w:rsidP="00C9465B">
      <w:pPr>
        <w:pStyle w:val="SingleTxtG"/>
        <w:rPr>
          <w:b/>
          <w:bCs/>
        </w:rPr>
      </w:pPr>
      <w:r>
        <w:t>14.</w:t>
      </w:r>
      <w:r>
        <w:tab/>
      </w:r>
      <w:r>
        <w:rPr>
          <w:b/>
          <w:bCs/>
        </w:rPr>
        <w:t>Государству-участнику следует также обеспечивать надлежащее и регулярное обучение должностных лиц, участвующих в деятельности, связанной с содержанием под стражей, по проблематике правовых гарантий, а также контролировать соблюдение этих положений и применять санкции в случае их несоблюдения со стороны должностных лиц.</w:t>
      </w:r>
      <w:r>
        <w:t xml:space="preserve"> </w:t>
      </w:r>
    </w:p>
    <w:p w14:paraId="399D60D1" w14:textId="77777777" w:rsidR="00C9465B" w:rsidRPr="004E4EB5" w:rsidRDefault="00C9465B" w:rsidP="00C9465B">
      <w:pPr>
        <w:pStyle w:val="H23G"/>
      </w:pPr>
      <w:r>
        <w:tab/>
      </w:r>
      <w:r>
        <w:tab/>
      </w:r>
      <w:r>
        <w:rPr>
          <w:bCs/>
        </w:rPr>
        <w:t>Содержание под стражей до суда</w:t>
      </w:r>
    </w:p>
    <w:p w14:paraId="6597FD14" w14:textId="210CC580" w:rsidR="00C9465B" w:rsidRPr="004E4EB5" w:rsidRDefault="00C9465B" w:rsidP="00C9465B">
      <w:pPr>
        <w:pStyle w:val="SingleTxtG"/>
      </w:pPr>
      <w:r>
        <w:t>15.</w:t>
      </w:r>
      <w:r>
        <w:tab/>
        <w:t>Принимая к сведению гарантии, введенные Уголовно-процессуальным кодексом, который ограничивает срок предварительного заключения продолжительностью максимум один год при совершении мелких правонарушений и двумя годами при совершении тяжких преступлений, Комитет выражает обеспокоенность по поводу сообщений о том, что продолжительность предварительного заключения регулярно превышает установленные законом предельные сроки (более 50</w:t>
      </w:r>
      <w:r w:rsidR="00BF0F2C">
        <w:t xml:space="preserve"> </w:t>
      </w:r>
      <w:r>
        <w:t>% заключенных ожидают суда). Он также обеспокоен тем, что лица, арестованные в контексте борьбы с терроризмом, могут подвергаться, прежде чем предстать перед судьей, длительным периодам досудебного содержания под стражей, значительно превышающим максимальный срок в три года, предусмотренный Уголовно-процессуальным кодексом. Наконец, Комитет выражает обеспокоенность по поводу того, что систематическое использование предварительного заключения напрямую способствует переполненности тюрем (</w:t>
      </w:r>
      <w:r w:rsidR="0052495A">
        <w:t>ст.</w:t>
      </w:r>
      <w:r w:rsidR="00614C3D">
        <w:rPr>
          <w:lang w:val="en-US"/>
        </w:rPr>
        <w:t> </w:t>
      </w:r>
      <w:r>
        <w:t xml:space="preserve">2). </w:t>
      </w:r>
    </w:p>
    <w:p w14:paraId="12D4C93A" w14:textId="77777777" w:rsidR="00C9465B" w:rsidRPr="001C01D1" w:rsidRDefault="00C9465B" w:rsidP="00C9465B">
      <w:pPr>
        <w:pStyle w:val="SingleTxtG"/>
        <w:rPr>
          <w:b/>
        </w:rPr>
      </w:pPr>
      <w:r>
        <w:t>16.</w:t>
      </w:r>
      <w:r w:rsidRPr="001C01D1">
        <w:rPr>
          <w:b/>
        </w:rPr>
        <w:tab/>
        <w:t>Государству</w:t>
      </w:r>
      <w:r>
        <w:rPr>
          <w:b/>
        </w:rPr>
        <w:t>-</w:t>
      </w:r>
      <w:r w:rsidRPr="001C01D1">
        <w:rPr>
          <w:b/>
        </w:rPr>
        <w:t>участнику следует:</w:t>
      </w:r>
    </w:p>
    <w:p w14:paraId="08386B33" w14:textId="77777777" w:rsidR="00C9465B" w:rsidRPr="004E4EB5" w:rsidRDefault="00C9465B" w:rsidP="00C9465B">
      <w:pPr>
        <w:pStyle w:val="SingleTxtG"/>
        <w:rPr>
          <w:b/>
        </w:rPr>
      </w:pPr>
      <w:r>
        <w:rPr>
          <w:b/>
          <w:bCs/>
        </w:rPr>
        <w:tab/>
        <w:t>a)</w:t>
      </w:r>
      <w:r>
        <w:tab/>
      </w:r>
      <w:r>
        <w:rPr>
          <w:b/>
          <w:bCs/>
        </w:rPr>
        <w:t>обеспечить эффективный контроль за практикой досудебного содержания под стражей, следя за тем, чтобы оно соответствовало положениям, устанавливающим его максимальную продолжительность, и чтобы оно было как можно более коротким, носило исключительный характер, а также было необходимым и соразмерным;</w:t>
      </w:r>
      <w:r>
        <w:t xml:space="preserve"> </w:t>
      </w:r>
    </w:p>
    <w:p w14:paraId="77752EAF" w14:textId="77777777" w:rsidR="00C9465B" w:rsidRPr="004E4EB5" w:rsidRDefault="00C9465B" w:rsidP="00C9465B">
      <w:pPr>
        <w:pStyle w:val="SingleTxtG"/>
        <w:rPr>
          <w:b/>
        </w:rPr>
      </w:pPr>
      <w:r>
        <w:rPr>
          <w:b/>
          <w:bCs/>
        </w:rPr>
        <w:tab/>
        <w:t>b)</w:t>
      </w:r>
      <w:r>
        <w:tab/>
      </w:r>
      <w:r>
        <w:rPr>
          <w:b/>
          <w:bCs/>
        </w:rPr>
        <w:t>активно продвигать использование альтернатив предварительному заключению на уровне прокуроров и среди судей в соответствии с Минимальными стандартными правилами ООН в отношении мер, не связанных с лишением свободы (Токийские правила) и Правилами ООН, касающимися обращения с женщинами-заключенными и мер наказания для женщин-правонарушителей, не связанных с лишением свободы (</w:t>
      </w:r>
      <w:proofErr w:type="spellStart"/>
      <w:r>
        <w:rPr>
          <w:b/>
          <w:bCs/>
        </w:rPr>
        <w:t>Бангкокские</w:t>
      </w:r>
      <w:proofErr w:type="spellEnd"/>
      <w:r>
        <w:rPr>
          <w:b/>
          <w:bCs/>
        </w:rPr>
        <w:t xml:space="preserve"> правила);</w:t>
      </w:r>
    </w:p>
    <w:p w14:paraId="658CE163" w14:textId="77777777" w:rsidR="00C9465B" w:rsidRPr="004E4EB5" w:rsidRDefault="00C9465B" w:rsidP="00C9465B">
      <w:pPr>
        <w:pStyle w:val="SingleTxtG"/>
        <w:rPr>
          <w:b/>
          <w:bCs/>
          <w:spacing w:val="-2"/>
        </w:rPr>
      </w:pPr>
      <w:r>
        <w:rPr>
          <w:b/>
          <w:bCs/>
        </w:rPr>
        <w:tab/>
        <w:t>c)</w:t>
      </w:r>
      <w:r>
        <w:tab/>
      </w:r>
      <w:r>
        <w:rPr>
          <w:b/>
          <w:bCs/>
        </w:rPr>
        <w:t>пересмотреть дела всех лиц, находящихся в предварительном заключении, и немедленно освободить всех тех, кто уже провел в заключении больше времени, чем это оправдано максимальным сроком тюремного заключения за предполагаемое преступление.</w:t>
      </w:r>
      <w:r>
        <w:t xml:space="preserve"> </w:t>
      </w:r>
    </w:p>
    <w:p w14:paraId="68AF8FDE" w14:textId="77777777" w:rsidR="00C9465B" w:rsidRPr="004E4EB5" w:rsidRDefault="00C9465B" w:rsidP="00C9465B">
      <w:pPr>
        <w:pStyle w:val="H23G"/>
      </w:pPr>
      <w:r>
        <w:tab/>
      </w:r>
      <w:r>
        <w:tab/>
      </w:r>
      <w:r>
        <w:rPr>
          <w:bCs/>
        </w:rPr>
        <w:t>Национальная комиссия по правам человека</w:t>
      </w:r>
      <w:r>
        <w:t xml:space="preserve"> </w:t>
      </w:r>
    </w:p>
    <w:p w14:paraId="322F2FFC" w14:textId="7031B10E" w:rsidR="00C9465B" w:rsidRPr="004E4EB5" w:rsidRDefault="00C9465B" w:rsidP="00C9465B">
      <w:pPr>
        <w:pStyle w:val="SingleTxtG"/>
      </w:pPr>
      <w:r>
        <w:t>17.</w:t>
      </w:r>
      <w:r>
        <w:tab/>
        <w:t xml:space="preserve">Принимая к сведению принятие Закона № 28/PR/2018 от 22 ноября 2018 года о полномочиях, организации и функционировании Национальной комиссии по правам человека, Комитет выражает обеспокоенность по поводу того, что выделенные Комиссии ресурсы остаются недостаточными для того, чтобы она могла в полной мере выполнять свои функции, включая посещение мест лишения свободы, а также получение и расследование жалоб на предполагаемые нарушения прав человека. </w:t>
      </w:r>
      <w:r>
        <w:lastRenderedPageBreak/>
        <w:t>Он</w:t>
      </w:r>
      <w:r w:rsidR="00C04701">
        <w:t> </w:t>
      </w:r>
      <w:r>
        <w:t>также по-прежнему обеспокоен сообщениями о недостаточной независимости Комиссии от исполнительной власти, в частности утверждениями о вмешательстве в процесс отбора и назначения членов, а также в деятельность Комиссии и процессы принятия решений. Наконец, Комитет обеспокоен отсутствием информации о систематических мерах, которые принимались бы государством-участником в целях обеспечения эффективного выполнения рекомендаций Комиссии, в том числе о последующих мерах по расследованию и судебному преследованию и о результатах рассмотрения дел в связи с утверждениями по поводу пыток, переданных Комиссией в прокуратуру (</w:t>
      </w:r>
      <w:r w:rsidR="0052495A">
        <w:t>ст.</w:t>
      </w:r>
      <w:r>
        <w:t xml:space="preserve"> 2, п</w:t>
      </w:r>
      <w:r w:rsidR="005C79A6">
        <w:t>.</w:t>
      </w:r>
      <w:r>
        <w:t xml:space="preserve"> 1).</w:t>
      </w:r>
    </w:p>
    <w:p w14:paraId="5750A572" w14:textId="5AA7A8FD" w:rsidR="00C9465B" w:rsidRPr="004E4EB5" w:rsidRDefault="00C9465B" w:rsidP="00C9465B">
      <w:pPr>
        <w:pStyle w:val="SingleTxtG"/>
      </w:pPr>
      <w:r>
        <w:t>18.</w:t>
      </w:r>
      <w:r>
        <w:tab/>
      </w:r>
      <w:r>
        <w:rPr>
          <w:b/>
          <w:bCs/>
        </w:rPr>
        <w:t>Государству-участнику следует немедленно принять необходимые меры в порядке обеспечения функциональной автономии Национальной комиссии по правам человека, в том числе путем гарантирования адекватного бюджета, позволяющего ей набирать сотрудников, создавать региональные отделения и выполнять свой мандат в соответствии с Принципами, касающимися статуса национальных учреждений, занимающихся поощрением и защитой прав человека (Парижские принципы).</w:t>
      </w:r>
      <w:r>
        <w:t xml:space="preserve"> </w:t>
      </w:r>
      <w:r>
        <w:rPr>
          <w:b/>
          <w:bCs/>
        </w:rPr>
        <w:t>Ему также следовало бы принять все необходимые меры в порядке обеспечения полной независимости Комиссии от исполнительной власти, в частности в отношении процесса отбора и назначения членов, а также деятельности Комиссии и процессов принятия решений.</w:t>
      </w:r>
      <w:r>
        <w:t xml:space="preserve"> </w:t>
      </w:r>
      <w:r>
        <w:rPr>
          <w:b/>
          <w:bCs/>
        </w:rPr>
        <w:t>Наконец, ему следовало бы принять все необходимые меры с целью обеспечить такое положение, которое позволяло бы принимать во внимание и эффективно выполнять рекомендации Комиссии, включая меры по контролю за их выполнением государственными органами, в частности, в отношении последующего рассмотрения жалоб на пытки или жестокое обращение, поданных в Комиссию.</w:t>
      </w:r>
    </w:p>
    <w:p w14:paraId="4BE7EA85" w14:textId="77777777" w:rsidR="00C9465B" w:rsidRPr="004E4EB5" w:rsidRDefault="00C9465B" w:rsidP="00C9465B">
      <w:pPr>
        <w:pStyle w:val="H23G"/>
      </w:pPr>
      <w:r>
        <w:tab/>
      </w:r>
      <w:r>
        <w:tab/>
      </w:r>
      <w:r>
        <w:rPr>
          <w:bCs/>
        </w:rPr>
        <w:t>Борьба с терроризмом</w:t>
      </w:r>
      <w:r>
        <w:t xml:space="preserve"> </w:t>
      </w:r>
    </w:p>
    <w:p w14:paraId="1B1CBD92" w14:textId="352A1DC5" w:rsidR="00C9465B" w:rsidRPr="004E4EB5" w:rsidRDefault="00C9465B" w:rsidP="00C9465B">
      <w:pPr>
        <w:pStyle w:val="SingleTxtG"/>
        <w:rPr>
          <w:bCs/>
        </w:rPr>
      </w:pPr>
      <w:r>
        <w:t>19.</w:t>
      </w:r>
      <w:r>
        <w:tab/>
      </w:r>
      <w:r w:rsidRPr="00324271">
        <w:t>Хотя Комитету понятны соображения национальной безопасности государства</w:t>
      </w:r>
      <w:r>
        <w:t>-</w:t>
      </w:r>
      <w:r w:rsidRPr="00324271">
        <w:t>участника</w:t>
      </w:r>
      <w:r>
        <w:t>, тем не менее он по-прежнему обеспокоен сообщениями о произвольных арестах и задержаниях, случаях вымогательства, насильственном перемещении, высылке, внесудебных казнях, пытках, сексуальном и гендерном насилии и насильственных исчезновениях, совершенных сотрудниками государственных органов, в частности с</w:t>
      </w:r>
      <w:r w:rsidRPr="00937F71">
        <w:t>илами обороны Чада</w:t>
      </w:r>
      <w:r>
        <w:t xml:space="preserve">, в контексте контртеррористических операций, в том числе в районе озера Чад, и выражает сожаление по поводу отсутствия информации о случаях расследования и судебного преследования и их результатах, в том числе о возмещении ущерба, предоставленного жертвам. Он выражает беспокойство по поводу того, что определение терроризма, содержащееся </w:t>
      </w:r>
      <w:r w:rsidR="00C04701">
        <w:br/>
      </w:r>
      <w:r>
        <w:t>в Законе № 003/PR/2020, является расплывчатым, слишком общим и используется для притеснения тех, кто критикует правительство. Он также выражает озабоченность в связи с тем, что Закон предусматривает максимальный срок содержания под стражей в полиции до 30 дней и чрезмерные ограничения прав лиц, подозреваемых или обвиняемых в причастности к террористическим актам, включая право на надлежащие процессуальные действия и справедливое судебное разбирательство, а также право на свободу и личную неприкосновенность (ст</w:t>
      </w:r>
      <w:r w:rsidR="00104B37">
        <w:t>.</w:t>
      </w:r>
      <w:r>
        <w:t xml:space="preserve"> 2, 11, 12 и 16).</w:t>
      </w:r>
    </w:p>
    <w:p w14:paraId="38A147EE" w14:textId="77777777" w:rsidR="00C9465B" w:rsidRPr="004E4EB5" w:rsidRDefault="00C9465B" w:rsidP="00C9465B">
      <w:pPr>
        <w:pStyle w:val="SingleTxtG"/>
        <w:rPr>
          <w:b/>
          <w:bCs/>
        </w:rPr>
      </w:pPr>
      <w:r>
        <w:t>20.</w:t>
      </w:r>
      <w:r>
        <w:tab/>
      </w:r>
      <w:r>
        <w:rPr>
          <w:b/>
          <w:bCs/>
        </w:rPr>
        <w:t>Государству-участнику следует:</w:t>
      </w:r>
    </w:p>
    <w:p w14:paraId="1E5150A7" w14:textId="77777777" w:rsidR="00C9465B" w:rsidRPr="004E4EB5" w:rsidRDefault="00C9465B" w:rsidP="00C9465B">
      <w:pPr>
        <w:pStyle w:val="SingleTxtG"/>
        <w:rPr>
          <w:b/>
          <w:bCs/>
        </w:rPr>
      </w:pPr>
      <w:r>
        <w:rPr>
          <w:b/>
          <w:bCs/>
        </w:rPr>
        <w:tab/>
        <w:t>a)</w:t>
      </w:r>
      <w:r>
        <w:tab/>
      </w:r>
      <w:r>
        <w:rPr>
          <w:b/>
          <w:bCs/>
        </w:rPr>
        <w:t>следить за тем, чтобы меры по борьбе с терроризмом соответствовали положениям Конвенции и принимались исключительно в случае необходимости с учетом ситуации и требований на основании принципа соразмерности;</w:t>
      </w:r>
    </w:p>
    <w:p w14:paraId="308FCC51" w14:textId="77777777" w:rsidR="00C9465B" w:rsidRPr="004E4EB5" w:rsidRDefault="00C9465B" w:rsidP="00C9465B">
      <w:pPr>
        <w:pStyle w:val="SingleTxtG"/>
        <w:rPr>
          <w:b/>
          <w:bCs/>
        </w:rPr>
      </w:pPr>
      <w:r>
        <w:rPr>
          <w:b/>
          <w:bCs/>
        </w:rPr>
        <w:tab/>
        <w:t>b)</w:t>
      </w:r>
      <w:r>
        <w:tab/>
      </w:r>
      <w:r>
        <w:rPr>
          <w:b/>
          <w:bCs/>
        </w:rPr>
        <w:t>пересмотреть определение терроризма в Законе № 003/PR/2020 с целью обеспечить его соответствие международным стандартам и гарантировать надлежащую защиту прав лиц, подозреваемых или обвиняемых в причастности к террористическим актам;</w:t>
      </w:r>
    </w:p>
    <w:p w14:paraId="179E1B5E" w14:textId="77777777" w:rsidR="00C9465B" w:rsidRPr="004E4EB5" w:rsidRDefault="00C9465B" w:rsidP="00C9465B">
      <w:pPr>
        <w:pStyle w:val="SingleTxtG"/>
        <w:rPr>
          <w:b/>
          <w:bCs/>
        </w:rPr>
      </w:pPr>
      <w:r>
        <w:rPr>
          <w:b/>
          <w:bCs/>
        </w:rPr>
        <w:tab/>
        <w:t>c)</w:t>
      </w:r>
      <w:r>
        <w:tab/>
      </w:r>
      <w:r>
        <w:rPr>
          <w:b/>
          <w:bCs/>
        </w:rPr>
        <w:t xml:space="preserve">сократить максимальный срок содержания под стражей подозреваемых в терроризме, следя за тем, чтобы его продление ограничивалось должным образом обоснованными исключительными обстоятельствами и в </w:t>
      </w:r>
      <w:r>
        <w:rPr>
          <w:b/>
          <w:bCs/>
        </w:rPr>
        <w:lastRenderedPageBreak/>
        <w:t>условиях соблюдения принципа необходимости и пропорциональности, а также обеспечения гарантий, касающихся судебного контроля за соблюдением законности задержания;</w:t>
      </w:r>
    </w:p>
    <w:p w14:paraId="278C93C1" w14:textId="0B7F46A5" w:rsidR="00C9465B" w:rsidRPr="004E4EB5" w:rsidRDefault="00C9465B" w:rsidP="00C9465B">
      <w:pPr>
        <w:pStyle w:val="SingleTxtG"/>
        <w:rPr>
          <w:b/>
          <w:bCs/>
        </w:rPr>
      </w:pPr>
      <w:r>
        <w:rPr>
          <w:b/>
          <w:bCs/>
        </w:rPr>
        <w:tab/>
        <w:t>d)</w:t>
      </w:r>
      <w:r>
        <w:tab/>
      </w:r>
      <w:r>
        <w:rPr>
          <w:b/>
          <w:bCs/>
        </w:rPr>
        <w:t>проводить оперативные, беспристрастные и эффективные расследования утверждений о нарушениях прав человека, включая действия, связанные с пытками и жестоким обращением, которые совершены в ходе контртеррористических операций, преследовать и наказывать виновных, а</w:t>
      </w:r>
      <w:r w:rsidR="0063794C">
        <w:rPr>
          <w:b/>
          <w:bCs/>
        </w:rPr>
        <w:t> </w:t>
      </w:r>
      <w:r>
        <w:rPr>
          <w:b/>
          <w:bCs/>
        </w:rPr>
        <w:t>также давать жертвам возможность доступа к эффективным средствам правовой защиты и полноправного возмещения ущерба.</w:t>
      </w:r>
    </w:p>
    <w:p w14:paraId="570D2C34" w14:textId="77777777" w:rsidR="00C9465B" w:rsidRPr="004E4EB5" w:rsidRDefault="00C9465B" w:rsidP="00C9465B">
      <w:pPr>
        <w:pStyle w:val="H23G"/>
      </w:pPr>
      <w:r>
        <w:tab/>
      </w:r>
      <w:r>
        <w:tab/>
      </w:r>
      <w:r>
        <w:rPr>
          <w:bCs/>
        </w:rPr>
        <w:t>Сексуальное и гендерное насилие</w:t>
      </w:r>
    </w:p>
    <w:p w14:paraId="2F659F9B" w14:textId="58051438" w:rsidR="00C9465B" w:rsidRPr="004E4EB5" w:rsidRDefault="00C9465B" w:rsidP="00C9465B">
      <w:pPr>
        <w:pStyle w:val="SingleTxtG"/>
      </w:pPr>
      <w:r>
        <w:t>21.</w:t>
      </w:r>
      <w:r>
        <w:tab/>
        <w:t>Комитет с озабоченностью отмечает высокий уровень насилия в браке и сохранение сексуального насилия, в том числе изнасилования. Он особенно обеспокоен неадекватностью законодательных и институциональных мер, прежде всего в части применения положений уголовного законодательства, регламентирующего защиту от насилия в семье, а также неспособностью квалифицировать инцест, изнасилование в браке и сексуальные домогательства в качестве уголовного преступления. Он также выражает обеспокоенность в связи с сообщениями о низком количестве заявлений от жертв по причине культурных табу и страха стигматизации со стороны их общин, а также низкими показателями судебного преследования и осуждения за сексуальное и гендерное насилие. Он также глубоко обеспокоен сообщениями о том, что большинство случаев насилия в семье и сексуального насилия регулируются во внесудебном порядке путем выплаты соответствующей финансовой компенсации по решению религиозных лидеров и на основе сложившихся норм обычного права. Комитет также с озабоченностью отмечает квалификацию супружеской измены в статье 385 Уголовного кодекса в качестве уголовного преступления и тот факт, что согласно статье 69 того же Кодекса, убийство и нанесение телесных повреждений оправдываются, если они совершены одним из супругов в отношении своего партнера, пойманного в момент супружеской измены, что узаконивает преступление чести, основными жертвами которого являются женщины. Кроме того, Комитет выражает обеспокоенность по поводу сообщений о продолжающихся случаях сексуального и гендерного насилия, включая изнасилования, которому подвергаются женщины и девушки из числа беженцев в лагерях беженцев и в местах размещения временно перемещенных лиц или вблизи них. В заключение Комитет выражает обеспокоенность по поводу неадекватности мер защиты и помощи жертвам гендерного насилия, особенно в случае предоставления убежища и услуг по реабилитации (ст</w:t>
      </w:r>
      <w:r w:rsidR="00DB573F">
        <w:t>.</w:t>
      </w:r>
      <w:r>
        <w:t xml:space="preserve"> 2 и 16).</w:t>
      </w:r>
    </w:p>
    <w:p w14:paraId="68A8D98B" w14:textId="77777777" w:rsidR="00C9465B" w:rsidRPr="004E4EB5" w:rsidRDefault="00C9465B" w:rsidP="00C9465B">
      <w:pPr>
        <w:pStyle w:val="SingleTxtG"/>
      </w:pPr>
      <w:r>
        <w:t>22.</w:t>
      </w:r>
      <w:r>
        <w:tab/>
      </w:r>
      <w:r>
        <w:rPr>
          <w:b/>
          <w:bCs/>
        </w:rPr>
        <w:t>Государству-участнику следует:</w:t>
      </w:r>
    </w:p>
    <w:p w14:paraId="30AE9A57" w14:textId="77777777" w:rsidR="00C9465B" w:rsidRPr="004E4EB5" w:rsidRDefault="00C9465B" w:rsidP="00C9465B">
      <w:pPr>
        <w:pStyle w:val="SingleTxtG"/>
        <w:rPr>
          <w:rFonts w:eastAsia="Calibri"/>
          <w:b/>
          <w:bCs/>
        </w:rPr>
      </w:pPr>
      <w:r>
        <w:rPr>
          <w:b/>
          <w:bCs/>
        </w:rPr>
        <w:tab/>
        <w:t>a)</w:t>
      </w:r>
      <w:r>
        <w:tab/>
      </w:r>
      <w:r>
        <w:rPr>
          <w:b/>
          <w:bCs/>
        </w:rPr>
        <w:t>принимать такие меры, которые позволяли бы тщательно расследовать все случаи гендерного насилия, в частности те, которые связаны с действиями или упущениями государственных органов или других субъектов, влекущими за собой международную ответственность государства-участника по Конвенции, привлекать предполагаемых виновных к ответственности и, в случае признания их виновными, выносить им соответствующие наказания и выдавать жертвам или их семьям соответствующее возмещение, в частности в виде адекватной компенсации;</w:t>
      </w:r>
    </w:p>
    <w:p w14:paraId="3563C436" w14:textId="77777777" w:rsidR="00C9465B" w:rsidRPr="004E4EB5" w:rsidRDefault="00C9465B" w:rsidP="00C9465B">
      <w:pPr>
        <w:pStyle w:val="SingleTxtG"/>
        <w:rPr>
          <w:rFonts w:eastAsia="Calibri"/>
          <w:b/>
          <w:bCs/>
        </w:rPr>
      </w:pPr>
      <w:r>
        <w:rPr>
          <w:b/>
          <w:bCs/>
        </w:rPr>
        <w:tab/>
        <w:t>b)</w:t>
      </w:r>
      <w:r>
        <w:tab/>
      </w:r>
      <w:r>
        <w:rPr>
          <w:b/>
          <w:bCs/>
        </w:rPr>
        <w:t>обеспечивать строгое соблюдение положений уголовного законодательства в части защиты от насилия в семье, включая выделение адекватных людских и финансовых ресурсов, и внести поправки в Уголовный кодекс с целью квалифицировать инцест, изнасилование в браке и сексуальные домогательства в качестве уголовного преступления;</w:t>
      </w:r>
    </w:p>
    <w:p w14:paraId="4F6B25D5" w14:textId="77777777" w:rsidR="00C9465B" w:rsidRPr="004E4EB5" w:rsidRDefault="00C9465B" w:rsidP="00C9465B">
      <w:pPr>
        <w:pStyle w:val="SingleTxtG"/>
        <w:rPr>
          <w:rFonts w:eastAsia="Calibri"/>
          <w:b/>
          <w:bCs/>
        </w:rPr>
      </w:pPr>
      <w:r>
        <w:rPr>
          <w:b/>
          <w:bCs/>
        </w:rPr>
        <w:tab/>
        <w:t>c)</w:t>
      </w:r>
      <w:r>
        <w:tab/>
      </w:r>
      <w:r>
        <w:rPr>
          <w:b/>
          <w:bCs/>
        </w:rPr>
        <w:t xml:space="preserve">проводить широкие информационные и просветительские кампании с целью донести до общественности и всех заинтересованных сторон тот факт, что в соответствии с уголовным правом насилие в браке и сексуальное насилие являются преступлением, а также снять табу с этих преступлений и </w:t>
      </w:r>
      <w:r>
        <w:rPr>
          <w:b/>
          <w:bCs/>
        </w:rPr>
        <w:lastRenderedPageBreak/>
        <w:t>изжить чувство стигматизации и изоляции, которые негативно сказываются на психике пострадавших и отбивают у них желание обращаться с жалобой;</w:t>
      </w:r>
    </w:p>
    <w:p w14:paraId="5C972A87" w14:textId="77777777" w:rsidR="00C9465B" w:rsidRPr="004E4EB5" w:rsidRDefault="00C9465B" w:rsidP="00C9465B">
      <w:pPr>
        <w:pStyle w:val="SingleTxtG"/>
        <w:rPr>
          <w:rFonts w:eastAsia="Calibri"/>
          <w:b/>
          <w:bCs/>
        </w:rPr>
      </w:pPr>
      <w:r>
        <w:rPr>
          <w:b/>
          <w:bCs/>
        </w:rPr>
        <w:tab/>
        <w:t>d)</w:t>
      </w:r>
      <w:r>
        <w:tab/>
      </w:r>
      <w:r>
        <w:rPr>
          <w:b/>
          <w:bCs/>
        </w:rPr>
        <w:t xml:space="preserve">следить за тем, чтобы обычное право и практика не подменяли собой позитивное </w:t>
      </w:r>
      <w:proofErr w:type="gramStart"/>
      <w:r>
        <w:rPr>
          <w:b/>
          <w:bCs/>
        </w:rPr>
        <w:t>право</w:t>
      </w:r>
      <w:proofErr w:type="gramEnd"/>
      <w:r>
        <w:rPr>
          <w:b/>
          <w:bCs/>
        </w:rPr>
        <w:t xml:space="preserve"> и чтобы их применение не приводило к выхолащиванию практики уголовного судопроизводства в случае насилия в браке или сексуального насилия;</w:t>
      </w:r>
    </w:p>
    <w:p w14:paraId="2E476831" w14:textId="0213D117" w:rsidR="00C9465B" w:rsidRPr="004E4EB5" w:rsidRDefault="00C9465B" w:rsidP="00C9465B">
      <w:pPr>
        <w:pStyle w:val="SingleTxtG"/>
        <w:rPr>
          <w:rFonts w:eastAsia="Calibri"/>
          <w:b/>
          <w:bCs/>
        </w:rPr>
      </w:pPr>
      <w:r>
        <w:rPr>
          <w:b/>
          <w:bCs/>
        </w:rPr>
        <w:tab/>
        <w:t>e)</w:t>
      </w:r>
      <w:r>
        <w:tab/>
      </w:r>
      <w:r>
        <w:rPr>
          <w:b/>
          <w:bCs/>
        </w:rPr>
        <w:t>пересмотреть статьи 69 и 385 Уголовного кодекса с целью отменить уголовную ответственность за супружескую измену и обеспечить, чтобы лица, совершившие насилие в браке, не освобождались от уголовного преследования, в</w:t>
      </w:r>
      <w:r w:rsidR="00834BC3">
        <w:rPr>
          <w:b/>
          <w:bCs/>
          <w:lang w:val="en-US"/>
        </w:rPr>
        <w:t> </w:t>
      </w:r>
      <w:r>
        <w:rPr>
          <w:b/>
          <w:bCs/>
        </w:rPr>
        <w:t>том числе в случае очевидной супружеской измены;</w:t>
      </w:r>
    </w:p>
    <w:p w14:paraId="0474EFE7" w14:textId="259566FE" w:rsidR="00C9465B" w:rsidRPr="004E4EB5" w:rsidRDefault="00C9465B" w:rsidP="00C9465B">
      <w:pPr>
        <w:pStyle w:val="SingleTxtG"/>
        <w:rPr>
          <w:rFonts w:eastAsia="Calibri"/>
          <w:b/>
          <w:bCs/>
        </w:rPr>
      </w:pPr>
      <w:r>
        <w:rPr>
          <w:b/>
          <w:bCs/>
        </w:rPr>
        <w:tab/>
        <w:t>f)</w:t>
      </w:r>
      <w:r>
        <w:tab/>
      </w:r>
      <w:r>
        <w:rPr>
          <w:b/>
          <w:bCs/>
        </w:rPr>
        <w:t xml:space="preserve">удвоить усилия в целях повышения безопасности в лагерях беженцев и местах проживания ВПЛ в порядке обеспечения эффективной защиты женщин и девушек от сексуального и гендерного насилия, а также оперативного и тщательного расследования всех таких случаев, привлечения виновных к ответственности </w:t>
      </w:r>
      <w:r w:rsidRPr="004948DA">
        <w:rPr>
          <w:b/>
          <w:bCs/>
        </w:rPr>
        <w:t>—</w:t>
      </w:r>
      <w:r>
        <w:rPr>
          <w:sz w:val="24"/>
          <w:szCs w:val="24"/>
          <w:lang w:eastAsia="zh-CN"/>
        </w:rPr>
        <w:t xml:space="preserve"> </w:t>
      </w:r>
      <w:r>
        <w:rPr>
          <w:b/>
          <w:bCs/>
        </w:rPr>
        <w:t xml:space="preserve">независимо от того, идет ли речь о государственных или негосударственных субъектах </w:t>
      </w:r>
      <w:r w:rsidRPr="004948DA">
        <w:rPr>
          <w:b/>
          <w:bCs/>
        </w:rPr>
        <w:t>—</w:t>
      </w:r>
      <w:r>
        <w:rPr>
          <w:b/>
          <w:bCs/>
        </w:rPr>
        <w:t xml:space="preserve"> и предоставления жертвам адекватной компенсации;</w:t>
      </w:r>
    </w:p>
    <w:p w14:paraId="15242B11" w14:textId="77777777" w:rsidR="00C9465B" w:rsidRPr="004E4EB5" w:rsidRDefault="00C9465B" w:rsidP="00C9465B">
      <w:pPr>
        <w:pStyle w:val="SingleTxtG"/>
        <w:rPr>
          <w:b/>
          <w:bCs/>
        </w:rPr>
      </w:pPr>
      <w:r>
        <w:rPr>
          <w:b/>
          <w:bCs/>
        </w:rPr>
        <w:tab/>
        <w:t>g)</w:t>
      </w:r>
      <w:r>
        <w:tab/>
      </w:r>
      <w:r>
        <w:rPr>
          <w:b/>
          <w:bCs/>
        </w:rPr>
        <w:t>активизировать усилия по оказанию жертвам и их семьям поддержки, помощи и средств правовой защиты, включая соответствующую компенсацию и психосоциальные и реабилитационные услуги.</w:t>
      </w:r>
    </w:p>
    <w:p w14:paraId="2794DCDB" w14:textId="77777777" w:rsidR="00C9465B" w:rsidRPr="004E4EB5" w:rsidRDefault="00C9465B" w:rsidP="00C9465B">
      <w:pPr>
        <w:pStyle w:val="H23G"/>
      </w:pPr>
      <w:r>
        <w:tab/>
      </w:r>
      <w:r>
        <w:tab/>
      </w:r>
      <w:r>
        <w:rPr>
          <w:bCs/>
        </w:rPr>
        <w:t>Калечащие операции на женских половых органах и другие вредные традиционные виды практики</w:t>
      </w:r>
    </w:p>
    <w:p w14:paraId="14E98172" w14:textId="5B6C9120" w:rsidR="00C9465B" w:rsidRPr="004E4EB5" w:rsidRDefault="00C9465B" w:rsidP="00C9465B">
      <w:pPr>
        <w:pStyle w:val="SingleTxtG"/>
        <w:rPr>
          <w:bCs/>
        </w:rPr>
      </w:pPr>
      <w:r>
        <w:t>23.</w:t>
      </w:r>
      <w:r>
        <w:tab/>
        <w:t>Комитет обеспокоен сохранением глубоко укоренившейся вредной традиционной практики, такой как калечащие операции на женских половых органах, детские браки, сорорат, левират и полигамия. Отмечая факт квалификации в Уголовном кодексе калечащих операций на женских половых органах в качестве уголовного преступления и создания подразделения по защите несовершеннолетних и нравственности, Комитет обеспокоен тем, что эта вредная практика получила широкое распространение в большинстве общин страны (показатель ее распространенности составляет 38,4</w:t>
      </w:r>
      <w:r w:rsidR="0063794C">
        <w:t> </w:t>
      </w:r>
      <w:r>
        <w:t>% среди женщин в возрасте от 15 до 49 лет, из которых 46,7</w:t>
      </w:r>
      <w:r w:rsidR="0063794C">
        <w:t> </w:t>
      </w:r>
      <w:r>
        <w:t>% были подвергнуты обрезанию в возрасте от 5 до 9 лет). Он также выражает озабоченность по поводу отсутствия точных статистических данных, относительно низкого уровня судебного преследования и сохраняющейся безнаказанности преступников. Комитет также выражает сожаление в связи с отсутствием информации о результатах информационно-просветительских кампаний, проведенных государством-участником в целях искоренения калечащих операций на женских половых органах (ст</w:t>
      </w:r>
      <w:r w:rsidR="00442E47">
        <w:t xml:space="preserve">. </w:t>
      </w:r>
      <w:r>
        <w:t>2 и 16).</w:t>
      </w:r>
    </w:p>
    <w:p w14:paraId="5D17BB9E" w14:textId="77777777" w:rsidR="00C9465B" w:rsidRPr="004E4EB5" w:rsidRDefault="00C9465B" w:rsidP="00C9465B">
      <w:pPr>
        <w:pStyle w:val="SingleTxtG"/>
        <w:rPr>
          <w:b/>
          <w:bCs/>
        </w:rPr>
      </w:pPr>
      <w:r>
        <w:t>24.</w:t>
      </w:r>
      <w:r>
        <w:tab/>
      </w:r>
      <w:r>
        <w:rPr>
          <w:b/>
          <w:bCs/>
        </w:rPr>
        <w:t>Государству-участнику следует обеспечить эффективное применение законов, запрещающих некоторые виды вредной традиционной практики, в том числе Закон № 029/PR/2015 о ратификации постановления № 006/PR/2015 о запрете детских браков, Закон № 006/PR/2002 от 15 апреля 2002 года об укреплении репродуктивного здоровья и соответствующие положения уголовного законодательства, а также провести информационно-просветительские мероприятия, ориентированные на широкую общественность и средства массовой информации, а также на руководителей религиозных и общественных организаций.</w:t>
      </w:r>
      <w:r>
        <w:t xml:space="preserve"> </w:t>
      </w:r>
      <w:r>
        <w:rPr>
          <w:b/>
          <w:bCs/>
        </w:rPr>
        <w:t>Государству-участнику следует, в частности, активизировать усилия по искоренению практики калечащих операций на женских половых органах, в том числе путем обеспечения строгого применения положений уголовного законодательства, квалифицирующих эту практику в качестве уголовного правонарушения, в частности статьи 318 Уголовного кодекса, с тем чтобы лица, включая врачей, занимающиеся этой практикой, привлекались к уголовной ответственности и несли должное наказание.</w:t>
      </w:r>
      <w:r>
        <w:t xml:space="preserve"> </w:t>
      </w:r>
      <w:r>
        <w:rPr>
          <w:b/>
          <w:bCs/>
        </w:rPr>
        <w:t xml:space="preserve">Кроме того, ему следует принять меры по усилению информационно-просветительской деятельности среди религиозных и традиционных лидеров и широкой общественности в сотрудничестве с гражданским обществом, указывающей на преступный характер этих действий, их пагубное влияние на права человека и </w:t>
      </w:r>
      <w:r>
        <w:rPr>
          <w:b/>
          <w:bCs/>
        </w:rPr>
        <w:lastRenderedPageBreak/>
        <w:t>здоровье женщин, а также на необходимость искоренения этой практики и ее оправдания с точки зрения культуры.</w:t>
      </w:r>
    </w:p>
    <w:p w14:paraId="728587FE" w14:textId="77777777" w:rsidR="00C9465B" w:rsidRPr="004E4EB5" w:rsidRDefault="00C9465B" w:rsidP="00C9465B">
      <w:pPr>
        <w:pStyle w:val="H23G"/>
      </w:pPr>
      <w:r>
        <w:tab/>
      </w:r>
      <w:r>
        <w:tab/>
      </w:r>
      <w:r>
        <w:rPr>
          <w:bCs/>
        </w:rPr>
        <w:t>Аборт</w:t>
      </w:r>
    </w:p>
    <w:p w14:paraId="07BF152F" w14:textId="3D038FF7" w:rsidR="00C9465B" w:rsidRPr="003D1EB7" w:rsidRDefault="00C9465B" w:rsidP="00C9465B">
      <w:pPr>
        <w:pStyle w:val="SingleTxtG"/>
      </w:pPr>
      <w:r>
        <w:t>25.</w:t>
      </w:r>
      <w:r>
        <w:tab/>
        <w:t xml:space="preserve">Комитет с озабоченностью отмечает квалификацию абортов в Уголовном кодексе в качестве уголовного деяния, за исключением случаев </w:t>
      </w:r>
      <w:r w:rsidR="00993C91">
        <w:t>«</w:t>
      </w:r>
      <w:r>
        <w:t>насилия сексуального характера, изнасилования, инцеста или тех случаев, когда беременность представляет собой угрозу психическому или физическому здоровью или жизни матери или плода</w:t>
      </w:r>
      <w:r w:rsidR="00993C91">
        <w:t>»</w:t>
      </w:r>
      <w:r>
        <w:t>, а также тот факт</w:t>
      </w:r>
      <w:r w:rsidRPr="0050790F">
        <w:rPr>
          <w:rStyle w:val="aa"/>
        </w:rPr>
        <w:footnoteReference w:id="7"/>
      </w:r>
      <w:r>
        <w:t>, что доступ к безопасному аборту зависит от предварительного разрешения прокуратуры, что поощряет женщин делать незаконные и небезопасные аборты, угрожающие их здоровью (ст</w:t>
      </w:r>
      <w:r w:rsidR="005A55C9">
        <w:t>.</w:t>
      </w:r>
      <w:r>
        <w:t xml:space="preserve"> 2 и 16).</w:t>
      </w:r>
    </w:p>
    <w:p w14:paraId="489C73EE" w14:textId="77777777" w:rsidR="00C9465B" w:rsidRPr="004E4EB5" w:rsidRDefault="00C9465B" w:rsidP="00C9465B">
      <w:pPr>
        <w:pStyle w:val="SingleTxtG"/>
        <w:rPr>
          <w:bCs/>
        </w:rPr>
      </w:pPr>
      <w:r>
        <w:t>26.</w:t>
      </w:r>
      <w:r>
        <w:tab/>
      </w:r>
      <w:r>
        <w:rPr>
          <w:b/>
          <w:bCs/>
        </w:rPr>
        <w:t>Государству-участнику следует пересмотреть статьи 356 и 358 Уголовного кодекса с целью отмены уголовной ответственности в случае абортов и предоставления женщинам и девушкам возможности доступа к безопасным абортам, не требуя от них получения предварительного разрешения прокурора.</w:t>
      </w:r>
      <w:r>
        <w:t xml:space="preserve"> </w:t>
      </w:r>
    </w:p>
    <w:p w14:paraId="351852B8" w14:textId="77777777" w:rsidR="00C9465B" w:rsidRPr="004E4EB5" w:rsidRDefault="00C9465B" w:rsidP="00C9465B">
      <w:pPr>
        <w:pStyle w:val="H23G"/>
      </w:pPr>
      <w:r>
        <w:tab/>
      </w:r>
      <w:r>
        <w:tab/>
      </w:r>
      <w:r>
        <w:rPr>
          <w:bCs/>
        </w:rPr>
        <w:t>Условия содержания под стражей</w:t>
      </w:r>
    </w:p>
    <w:p w14:paraId="012A2DD8" w14:textId="0480DB15" w:rsidR="00C9465B" w:rsidRPr="004E4EB5" w:rsidRDefault="00C9465B" w:rsidP="00C9465B">
      <w:pPr>
        <w:pStyle w:val="SingleTxtG"/>
      </w:pPr>
      <w:r>
        <w:t>27.</w:t>
      </w:r>
      <w:r>
        <w:tab/>
        <w:t>Несмотря на усилия на законодательном и институциональном уровне, предпринятые государством-участником, и реконструкцию нескольких тюрем в последние годы, Комитет по-прежнему глубоко обеспокоен сообщениями о переполненности некоторых тюрем и плохих материальных условиях содержания в местах лишения свободы, в частности антисанитарными условиями, отсутствием вентиляции, недостаточным качеством и количеством пищи и воды, а также отсутствием рекреационных или образовательных мероприятий, способствующих реинтеграции. Кроме того, ограниченный доступ к качественному медицинскому обслуживанию, включая психиатрическую помощь, и отсутствие обученного и квалифицированного тюремного персонала, в том числе медицинского, по-прежнему представляют собой серьезные проблемы в пенитенциарной системе. Комитет также выражает обеспокоенность по поводу сообщений о масштабах насилия в тюрьмах, включая насилие со стороны персонала тюрем по отношению к заключенным и насилие между заключенными, а также по поводу отсутствия эффективного разделения между различными категориями заключенных (</w:t>
      </w:r>
      <w:r w:rsidR="002322F9">
        <w:t>ст.</w:t>
      </w:r>
      <w:r>
        <w:t xml:space="preserve"> 2, 11 и 16).</w:t>
      </w:r>
    </w:p>
    <w:p w14:paraId="4A2D7882" w14:textId="77777777" w:rsidR="00C9465B" w:rsidRPr="004E4EB5" w:rsidRDefault="00C9465B" w:rsidP="00C9465B">
      <w:pPr>
        <w:pStyle w:val="SingleTxtG"/>
      </w:pPr>
      <w:r>
        <w:t>28.</w:t>
      </w:r>
      <w:r>
        <w:tab/>
      </w:r>
      <w:r>
        <w:rPr>
          <w:b/>
          <w:bCs/>
        </w:rPr>
        <w:t>Комитет настоятельно призывает государство-участник как можно скорее принять все необходимые меры в целях приведения условий содержания под стражей в соответствие с Минимальными стандартными правилами обращения с заключенными Организации Объединенных Наций (Правила Нельсона Манделы).</w:t>
      </w:r>
      <w:r>
        <w:t xml:space="preserve"> </w:t>
      </w:r>
      <w:r>
        <w:rPr>
          <w:b/>
          <w:bCs/>
        </w:rPr>
        <w:t>Государству-участнику следует, в частности:</w:t>
      </w:r>
    </w:p>
    <w:p w14:paraId="4D74E02E" w14:textId="77777777" w:rsidR="00C9465B" w:rsidRPr="004E4EB5" w:rsidRDefault="00C9465B" w:rsidP="00C9465B">
      <w:pPr>
        <w:pStyle w:val="SingleTxtG"/>
        <w:rPr>
          <w:b/>
          <w:bCs/>
        </w:rPr>
      </w:pPr>
      <w:r>
        <w:rPr>
          <w:b/>
          <w:bCs/>
        </w:rPr>
        <w:tab/>
        <w:t>a)</w:t>
      </w:r>
      <w:r>
        <w:tab/>
      </w:r>
      <w:r>
        <w:rPr>
          <w:b/>
          <w:bCs/>
        </w:rPr>
        <w:t>разгрузить тюрьмы, шире используя альтернативы содержанию под стражей, и продолжать реализацию проектов по развитию тюремной инфраструктуры и улучшению условий содержания под стражей;</w:t>
      </w:r>
    </w:p>
    <w:p w14:paraId="17C9188F" w14:textId="77777777" w:rsidR="00C9465B" w:rsidRPr="004E4EB5" w:rsidRDefault="00C9465B" w:rsidP="00C9465B">
      <w:pPr>
        <w:pStyle w:val="SingleTxtG"/>
        <w:rPr>
          <w:b/>
          <w:bCs/>
        </w:rPr>
      </w:pPr>
      <w:r>
        <w:rPr>
          <w:b/>
          <w:bCs/>
        </w:rPr>
        <w:tab/>
        <w:t>b)</w:t>
      </w:r>
      <w:r>
        <w:tab/>
      </w:r>
      <w:r>
        <w:rPr>
          <w:b/>
          <w:bCs/>
        </w:rPr>
        <w:t>выделять необходимые ресурсы для надлежащего медико-санитарного обслуживания заключенных в соответствии с правилами 24–35 Правил Нельсона Манделы;</w:t>
      </w:r>
    </w:p>
    <w:p w14:paraId="18BFE33E" w14:textId="77777777" w:rsidR="00C9465B" w:rsidRPr="004E4EB5" w:rsidRDefault="00C9465B" w:rsidP="00C9465B">
      <w:pPr>
        <w:pStyle w:val="SingleTxtG"/>
        <w:rPr>
          <w:b/>
          <w:bCs/>
        </w:rPr>
      </w:pPr>
      <w:r>
        <w:rPr>
          <w:b/>
          <w:bCs/>
        </w:rPr>
        <w:tab/>
        <w:t>c)</w:t>
      </w:r>
      <w:r>
        <w:tab/>
      </w:r>
      <w:r>
        <w:rPr>
          <w:b/>
          <w:bCs/>
        </w:rPr>
        <w:t>увеличить количество обученного и квалифицированного тюремного персонала, в том числе медицинского, и усилить мониторинг и снижение уровня насилия между заключенными;</w:t>
      </w:r>
    </w:p>
    <w:p w14:paraId="147D8B55" w14:textId="77777777" w:rsidR="00C9465B" w:rsidRPr="004E4EB5" w:rsidRDefault="00C9465B" w:rsidP="00C9465B">
      <w:pPr>
        <w:pStyle w:val="SingleTxtG"/>
        <w:rPr>
          <w:b/>
          <w:bCs/>
        </w:rPr>
      </w:pPr>
      <w:r>
        <w:rPr>
          <w:b/>
          <w:bCs/>
        </w:rPr>
        <w:tab/>
        <w:t>d)</w:t>
      </w:r>
      <w:r>
        <w:tab/>
      </w:r>
      <w:r>
        <w:rPr>
          <w:b/>
          <w:bCs/>
        </w:rPr>
        <w:t>обеспечивать быстрое, беспристрастное и эффективное расследование всех заявлений по поводу пыток или жестокого обращения со стороны тюремного персонала, а также следить за тем, чтобы виновные подвергались адекватным санкциям;</w:t>
      </w:r>
    </w:p>
    <w:p w14:paraId="2F56EC22" w14:textId="5998E169" w:rsidR="00C9465B" w:rsidRPr="004E4EB5" w:rsidRDefault="00C9465B" w:rsidP="00C9465B">
      <w:pPr>
        <w:pStyle w:val="SingleTxtG"/>
        <w:rPr>
          <w:b/>
          <w:bCs/>
        </w:rPr>
      </w:pPr>
      <w:r>
        <w:rPr>
          <w:b/>
          <w:bCs/>
        </w:rPr>
        <w:tab/>
        <w:t>e)</w:t>
      </w:r>
      <w:r>
        <w:tab/>
      </w:r>
      <w:r>
        <w:rPr>
          <w:b/>
          <w:bCs/>
        </w:rPr>
        <w:t>следить за тем, чтобы в соответствии с правилом 11 (</w:t>
      </w:r>
      <w:proofErr w:type="spellStart"/>
      <w:r>
        <w:rPr>
          <w:b/>
          <w:bCs/>
        </w:rPr>
        <w:t>al</w:t>
      </w:r>
      <w:proofErr w:type="spellEnd"/>
      <w:r>
        <w:rPr>
          <w:b/>
          <w:bCs/>
        </w:rPr>
        <w:t>. d</w:t>
      </w:r>
      <w:r w:rsidR="004D42BC" w:rsidRPr="00601875">
        <w:rPr>
          <w:b/>
          <w:bCs/>
        </w:rPr>
        <w:t>)</w:t>
      </w:r>
      <w:r>
        <w:rPr>
          <w:b/>
          <w:bCs/>
        </w:rPr>
        <w:t xml:space="preserve">) Правил Нельсона Манделы несовершеннолетние, находящиеся в заключении, </w:t>
      </w:r>
      <w:r>
        <w:rPr>
          <w:b/>
          <w:bCs/>
        </w:rPr>
        <w:lastRenderedPageBreak/>
        <w:t>содержались строго отдельно от взрослых и лишались свободы только в качестве крайней меры и на максимально короткий срок, в соответствии с Минимальными стандартными правилами Организации Объединенных Наций, касающимися отправления правосудия в отношении несовершеннолетних (Пекинские правила).</w:t>
      </w:r>
    </w:p>
    <w:p w14:paraId="34ADAD4B" w14:textId="77777777" w:rsidR="00C9465B" w:rsidRPr="004E4EB5" w:rsidRDefault="00C9465B" w:rsidP="00C9465B">
      <w:pPr>
        <w:pStyle w:val="H23G"/>
      </w:pPr>
      <w:r>
        <w:tab/>
      </w:r>
      <w:r>
        <w:tab/>
      </w:r>
      <w:r>
        <w:rPr>
          <w:bCs/>
        </w:rPr>
        <w:t>Неофициальные места содержания под стражей</w:t>
      </w:r>
    </w:p>
    <w:p w14:paraId="05DDE107" w14:textId="5A0BE3AB" w:rsidR="00C9465B" w:rsidRPr="004E4EB5" w:rsidRDefault="00C9465B" w:rsidP="00C9465B">
      <w:pPr>
        <w:pStyle w:val="SingleTxtG"/>
      </w:pPr>
      <w:r>
        <w:t>29.</w:t>
      </w:r>
      <w:r>
        <w:tab/>
        <w:t>Хотя Комитет принимает к сведению запрет, предусмотренный внутренним законодательством на незаконное содержание под стражей в не предназначенных для этого местах, а также утверждение государства-участника о том, что в стране нет мест тайного содержания под стражей, тем не менее Комитет по-прежнему глубоко обеспокоен полученной из достоверных источников информацией о случаях незаконного задержания и содержания без связи с внешним миром в неизвестных местах (</w:t>
      </w:r>
      <w:r w:rsidR="002322F9">
        <w:t>ст.</w:t>
      </w:r>
      <w:r>
        <w:t xml:space="preserve"> 2, 11 и 16).</w:t>
      </w:r>
    </w:p>
    <w:p w14:paraId="2C0E87A9" w14:textId="77777777" w:rsidR="00C9465B" w:rsidRDefault="00C9465B" w:rsidP="00C9465B">
      <w:pPr>
        <w:pStyle w:val="SingleTxtG"/>
        <w:rPr>
          <w:b/>
          <w:bCs/>
        </w:rPr>
      </w:pPr>
      <w:r>
        <w:t>30.</w:t>
      </w:r>
      <w:r>
        <w:tab/>
      </w:r>
      <w:r>
        <w:rPr>
          <w:b/>
          <w:bCs/>
        </w:rPr>
        <w:t>Комитет настоятельно призывает государство-участник в приоритетном порядке обеспечить эффективное применение национального законодательства на всей территории страны и немедленно закрыть все неофициальные места содержания под стражей.</w:t>
      </w:r>
      <w:r>
        <w:t xml:space="preserve"> </w:t>
      </w:r>
      <w:r>
        <w:rPr>
          <w:b/>
          <w:bCs/>
        </w:rPr>
        <w:t xml:space="preserve">Государству-участнику следует принять меры, направленные на незамедлительное привлечение к ответственности лиц, которые могут содержаться в таких местах, в том числе лиц, подозреваемых в терроризме, и обеспечить им все основные гарантии в порядке предотвращения и защиты их от пыток или жестокого обращения. </w:t>
      </w:r>
    </w:p>
    <w:p w14:paraId="44772820" w14:textId="77777777" w:rsidR="00C9465B" w:rsidRPr="00E005EB" w:rsidRDefault="00C9465B" w:rsidP="00C9465B">
      <w:pPr>
        <w:pStyle w:val="SingleTxtG"/>
        <w:spacing w:before="240"/>
        <w:rPr>
          <w:b/>
          <w:bCs/>
        </w:rPr>
      </w:pPr>
      <w:r>
        <w:rPr>
          <w:b/>
          <w:bCs/>
        </w:rPr>
        <w:t>Национальное агентство государственной безопасности</w:t>
      </w:r>
      <w:r>
        <w:t xml:space="preserve"> </w:t>
      </w:r>
    </w:p>
    <w:p w14:paraId="2A4B2347" w14:textId="07D6BEF8" w:rsidR="00C9465B" w:rsidRPr="004E4EB5" w:rsidRDefault="00C9465B" w:rsidP="00C9465B">
      <w:pPr>
        <w:pStyle w:val="SingleTxtG"/>
        <w:rPr>
          <w:bCs/>
        </w:rPr>
      </w:pPr>
      <w:r>
        <w:t>31.</w:t>
      </w:r>
      <w:r>
        <w:tab/>
        <w:t>Комитет принимает к сведению заверение правительства в том, что Национальное агентство государственной безопасности обязано соблюдать права человека в целом и положения Конвенции в частности. Комитет также принимает к сведению заявление государства-участника о том, что центры содержания под стражей, находящиеся в ведении Агентства, никоим образом не являются секретными местами содержания под стражей и подчиняются тем же правилам, что и другие центры содержания под стражей в стране. Тем не менее Комитет глубоко обеспокоен в связи с отсутствием прозрачности, а также в связи с утверждениями о произвольных арестах и задержаниях, в том числе задержаниях без связи с внешним миром, захватах и похищениях, пытках и жестоком обращении, насильственных исчезновениях и внесудебных казнях, приписываемых Агентству. Комитет по-прежнему обеспокоен тем, что все действия Агентства не подлежат судебному надзору или оценке условий содержания под стражей (</w:t>
      </w:r>
      <w:r w:rsidR="002322F9">
        <w:t>ст.</w:t>
      </w:r>
      <w:r>
        <w:t xml:space="preserve"> 2, 11 и 16). </w:t>
      </w:r>
    </w:p>
    <w:p w14:paraId="1F95117E" w14:textId="77777777" w:rsidR="00C9465B" w:rsidRPr="004E4EB5" w:rsidRDefault="00C9465B" w:rsidP="00C9465B">
      <w:pPr>
        <w:pStyle w:val="SingleTxtG"/>
        <w:rPr>
          <w:b/>
          <w:bCs/>
        </w:rPr>
      </w:pPr>
      <w:r>
        <w:t>32.</w:t>
      </w:r>
      <w:r>
        <w:tab/>
      </w:r>
      <w:r>
        <w:rPr>
          <w:b/>
          <w:bCs/>
        </w:rPr>
        <w:t>Ссылаясь на свои предыдущие заключительные замечания</w:t>
      </w:r>
      <w:r w:rsidRPr="0050790F">
        <w:rPr>
          <w:rStyle w:val="aa"/>
        </w:rPr>
        <w:footnoteReference w:id="8"/>
      </w:r>
      <w:r>
        <w:rPr>
          <w:b/>
          <w:bCs/>
        </w:rPr>
        <w:t>, Комитет настоятельно призывает государство-участник обеспечить полную прозрачность и эффективный гражданский надзор за деятельностью Национального агентства государственной безопасности.</w:t>
      </w:r>
      <w:r>
        <w:t xml:space="preserve"> </w:t>
      </w:r>
      <w:r>
        <w:rPr>
          <w:b/>
          <w:bCs/>
        </w:rPr>
        <w:t>Комитет напоминает, что деятельность всех государственных учреждений, включая деятельность данного Агентства, независимо от того, кто ее осуществляет, каков ее характер или где оно находится, представляет собой объективную сторону деятельности государства-участника, которая должна в полной мере отвечать его международным обязательствам по Конвенции.</w:t>
      </w:r>
      <w:r>
        <w:t xml:space="preserve"> </w:t>
      </w:r>
    </w:p>
    <w:p w14:paraId="34CCD92E" w14:textId="77777777" w:rsidR="00C9465B" w:rsidRPr="004E4EB5" w:rsidRDefault="00C9465B" w:rsidP="00C9465B">
      <w:pPr>
        <w:pStyle w:val="H23G"/>
      </w:pPr>
      <w:r>
        <w:tab/>
      </w:r>
      <w:r>
        <w:tab/>
      </w:r>
      <w:r>
        <w:rPr>
          <w:bCs/>
        </w:rPr>
        <w:t>Случаи смерти в местах содержания под стражей</w:t>
      </w:r>
    </w:p>
    <w:p w14:paraId="31B47B59" w14:textId="58EED2B1" w:rsidR="00C9465B" w:rsidRPr="004E4EB5" w:rsidRDefault="00C9465B" w:rsidP="00C9465B">
      <w:pPr>
        <w:pStyle w:val="SingleTxtG"/>
        <w:rPr>
          <w:rFonts w:eastAsia="Calibri"/>
        </w:rPr>
      </w:pPr>
      <w:r>
        <w:t>33.</w:t>
      </w:r>
      <w:r>
        <w:tab/>
        <w:t xml:space="preserve">Комитет обеспокоен по поводу нескольких случаев смерти в заключении при подозрительных обстоятельствах, которые до сих пор не выяснены судебными органами, включая случай смерти 44 предполагаемых членов исламистской секты </w:t>
      </w:r>
      <w:r w:rsidR="00431DFA">
        <w:t>«</w:t>
      </w:r>
      <w:r>
        <w:t>Боко Харам</w:t>
      </w:r>
      <w:r w:rsidR="00431DFA">
        <w:t>»</w:t>
      </w:r>
      <w:r>
        <w:t xml:space="preserve">, которые умерли в камере отделения жандармерии в Нджамене после предполагаемых пыток и жестокого обращения. Комитет также выражает сожаление по поводу отсутствия достоверной информации об общем количестве смертей в местах </w:t>
      </w:r>
      <w:r>
        <w:lastRenderedPageBreak/>
        <w:t>лишения свободы, причинах этих смертей и соответствующих расследованиях (</w:t>
      </w:r>
      <w:r w:rsidR="002322F9">
        <w:t>ст.</w:t>
      </w:r>
      <w:r w:rsidR="00675408">
        <w:t> </w:t>
      </w:r>
      <w:r>
        <w:t>2, 11, 12, 13 и 16).</w:t>
      </w:r>
    </w:p>
    <w:p w14:paraId="73ECE3AA" w14:textId="77777777" w:rsidR="00C9465B" w:rsidRPr="004E4EB5" w:rsidRDefault="00C9465B" w:rsidP="00C9465B">
      <w:pPr>
        <w:pStyle w:val="SingleTxtG"/>
        <w:rPr>
          <w:b/>
          <w:bCs/>
        </w:rPr>
      </w:pPr>
      <w:r>
        <w:t>34.</w:t>
      </w:r>
      <w:r>
        <w:tab/>
      </w:r>
      <w:r>
        <w:rPr>
          <w:b/>
          <w:bCs/>
        </w:rPr>
        <w:t>Государству-участнику следует:</w:t>
      </w:r>
    </w:p>
    <w:p w14:paraId="61E6E4E5" w14:textId="77777777" w:rsidR="00C9465B" w:rsidRPr="004E4EB5" w:rsidRDefault="00C9465B" w:rsidP="00C9465B">
      <w:pPr>
        <w:pStyle w:val="SingleTxtG"/>
        <w:rPr>
          <w:b/>
          <w:bCs/>
        </w:rPr>
      </w:pPr>
      <w:r>
        <w:rPr>
          <w:b/>
          <w:bCs/>
        </w:rPr>
        <w:tab/>
        <w:t>a)</w:t>
      </w:r>
      <w:r>
        <w:tab/>
      </w:r>
      <w:r>
        <w:rPr>
          <w:b/>
          <w:bCs/>
        </w:rPr>
        <w:t>обеспечить оперативное и беспристрастное расследование всех случаев смерти в местах лишения свободы независимым органом, включая независимую судебно-медицинскую экспертизу, и, при необходимости, применить соответствующие санкции;</w:t>
      </w:r>
    </w:p>
    <w:p w14:paraId="71E81402" w14:textId="77777777" w:rsidR="00C9465B" w:rsidRPr="004E4EB5" w:rsidRDefault="00C9465B" w:rsidP="00C9465B">
      <w:pPr>
        <w:pStyle w:val="SingleTxtG"/>
        <w:rPr>
          <w:b/>
          <w:bCs/>
        </w:rPr>
      </w:pPr>
      <w:r>
        <w:rPr>
          <w:b/>
          <w:bCs/>
        </w:rPr>
        <w:tab/>
        <w:t>b)</w:t>
      </w:r>
      <w:r>
        <w:tab/>
      </w:r>
      <w:r>
        <w:rPr>
          <w:b/>
          <w:bCs/>
        </w:rPr>
        <w:t>оценить эффективность стратегий и программ по предотвращению самоубийств и членовредительства, а также оценить существующие программы по профилактике, выявлению и лечению хронических, дегенеративных и инфекционных заболеваний в тюрьмах;</w:t>
      </w:r>
    </w:p>
    <w:p w14:paraId="6F54835D" w14:textId="77777777" w:rsidR="00C9465B" w:rsidRPr="004E4EB5" w:rsidRDefault="00C9465B" w:rsidP="00C9465B">
      <w:pPr>
        <w:pStyle w:val="SingleTxtG"/>
        <w:rPr>
          <w:b/>
          <w:bCs/>
        </w:rPr>
      </w:pPr>
      <w:r>
        <w:rPr>
          <w:b/>
          <w:bCs/>
        </w:rPr>
        <w:tab/>
        <w:t>c)</w:t>
      </w:r>
      <w:r>
        <w:tab/>
      </w:r>
      <w:r>
        <w:rPr>
          <w:b/>
          <w:bCs/>
        </w:rPr>
        <w:t>собирать подробную информацию о случаях смерти во всех местах лишения свободы и их причинах, а также о результатах расследований и предоставлять ее Комитету.</w:t>
      </w:r>
    </w:p>
    <w:p w14:paraId="184083B2" w14:textId="77777777" w:rsidR="00C9465B" w:rsidRPr="004E4EB5" w:rsidRDefault="00C9465B" w:rsidP="00C9465B">
      <w:pPr>
        <w:pStyle w:val="H23G"/>
        <w:rPr>
          <w:bCs/>
        </w:rPr>
      </w:pPr>
      <w:r>
        <w:tab/>
      </w:r>
      <w:r>
        <w:tab/>
      </w:r>
      <w:r>
        <w:rPr>
          <w:bCs/>
        </w:rPr>
        <w:t>Контроль за местами содержания под стражей</w:t>
      </w:r>
    </w:p>
    <w:p w14:paraId="7E08EF58" w14:textId="2269818C" w:rsidR="00C9465B" w:rsidRPr="004E4EB5" w:rsidRDefault="00C9465B" w:rsidP="00C9465B">
      <w:pPr>
        <w:pStyle w:val="SingleTxtG"/>
      </w:pPr>
      <w:r>
        <w:t>35.</w:t>
      </w:r>
      <w:r>
        <w:tab/>
        <w:t>Комитет обеспокоен тем фактом, что организации гражданского общества, прежде чем они смогут посетить заключенных и</w:t>
      </w:r>
      <w:r w:rsidR="00B77A22" w:rsidRPr="001A24C5">
        <w:t>,</w:t>
      </w:r>
      <w:r>
        <w:t xml:space="preserve"> несмотря на выдачу разрешений на мониторинг мест содержания под стражей, должны получить дополнительное разрешение от Главного управления тюремной администрации. Комитет также обеспокоен по поводу сообщений о том, что организациям гражданского общества было отказано в доступе к некоторым местам содержания под стражей, включая тюрьму строгого режима в Коро Торо и объекты Национального агентства государственной безопасности (</w:t>
      </w:r>
      <w:r w:rsidR="002322F9">
        <w:t>ст.</w:t>
      </w:r>
      <w:r>
        <w:t xml:space="preserve"> 2, 11 и 16).</w:t>
      </w:r>
    </w:p>
    <w:p w14:paraId="37D2FF33" w14:textId="77777777" w:rsidR="00C9465B" w:rsidRPr="004E4EB5" w:rsidRDefault="00C9465B" w:rsidP="00C9465B">
      <w:pPr>
        <w:pStyle w:val="SingleTxtG"/>
        <w:rPr>
          <w:b/>
          <w:bCs/>
        </w:rPr>
      </w:pPr>
      <w:r>
        <w:t>36.</w:t>
      </w:r>
      <w:r>
        <w:tab/>
      </w:r>
      <w:r>
        <w:rPr>
          <w:b/>
          <w:bCs/>
        </w:rPr>
        <w:t>Государству-участнику следует:</w:t>
      </w:r>
    </w:p>
    <w:p w14:paraId="349527A9" w14:textId="77777777" w:rsidR="00C9465B" w:rsidRPr="004E4EB5" w:rsidRDefault="00C9465B" w:rsidP="00C9465B">
      <w:pPr>
        <w:pStyle w:val="SingleTxtG"/>
        <w:rPr>
          <w:b/>
          <w:bCs/>
        </w:rPr>
      </w:pPr>
      <w:r>
        <w:rPr>
          <w:b/>
          <w:bCs/>
        </w:rPr>
        <w:tab/>
        <w:t>a)</w:t>
      </w:r>
      <w:r>
        <w:tab/>
      </w:r>
      <w:r>
        <w:rPr>
          <w:b/>
          <w:bCs/>
        </w:rPr>
        <w:t>следить за тем, чтобы контролирующие органы, ответственные за посещение мест лишения свободы, такие как Национальная комиссия по правам человека и организации гражданского общества, уполномоченные контролировать места содержания под стражей, имели возможность проводить регулярные, независимые и необъявленные посещения всех мест лишения свободы в стране, включая те, которые находятся в ведении военных, Национального агентства государственной безопасности и Главного управления разведки и расследований, проводить конфиденциальные беседы со всеми задержанными и обеспечивать их защиту от всех форм репрессий;</w:t>
      </w:r>
      <w:r>
        <w:t xml:space="preserve"> </w:t>
      </w:r>
    </w:p>
    <w:p w14:paraId="591F59F5" w14:textId="77777777" w:rsidR="00C9465B" w:rsidRPr="004E4EB5" w:rsidRDefault="00C9465B" w:rsidP="00C9465B">
      <w:pPr>
        <w:pStyle w:val="SingleTxtG"/>
        <w:rPr>
          <w:b/>
          <w:bCs/>
        </w:rPr>
      </w:pPr>
      <w:r>
        <w:rPr>
          <w:b/>
          <w:bCs/>
        </w:rPr>
        <w:tab/>
        <w:t>b)</w:t>
      </w:r>
      <w:r>
        <w:tab/>
      </w:r>
      <w:r>
        <w:rPr>
          <w:b/>
          <w:bCs/>
        </w:rPr>
        <w:t>рассмотреть в кратчайшие сроки возможность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w:t>
      </w:r>
    </w:p>
    <w:p w14:paraId="22CAE47F" w14:textId="77777777" w:rsidR="00C9465B" w:rsidRPr="004E4EB5" w:rsidRDefault="00C9465B" w:rsidP="00C9465B">
      <w:pPr>
        <w:pStyle w:val="H23G"/>
      </w:pPr>
      <w:r>
        <w:tab/>
      </w:r>
      <w:r>
        <w:tab/>
      </w:r>
      <w:r>
        <w:rPr>
          <w:bCs/>
        </w:rPr>
        <w:t>Борьба с безнаказанностью</w:t>
      </w:r>
    </w:p>
    <w:p w14:paraId="5CACA378" w14:textId="1FEC6084" w:rsidR="00C9465B" w:rsidRPr="004E4EB5" w:rsidRDefault="00C9465B" w:rsidP="00C9465B">
      <w:pPr>
        <w:pStyle w:val="SingleTxtG"/>
        <w:rPr>
          <w:rFonts w:eastAsia="Calibri"/>
        </w:rPr>
      </w:pPr>
      <w:r>
        <w:t>37.</w:t>
      </w:r>
      <w:r>
        <w:tab/>
        <w:t xml:space="preserve">Учитывая широко распространенные утверждения и жалобы на пытки и жестокое обращение со стороны государственных служащих, включая сотрудников полиции и жандармерии, в ходе ареста, транспортировки, содержания под стражей, допросов и правоохранительной деятельности, равно как и со стороны военнослужащих и сотрудников Национального агентства государственной безопасности, а также сообщения о том, что механизмы надзора за деятельностью полиции остаются неэффективными, Комитет глубоко обеспокоен отсутствием подотчетности, которая находит отражение в ограниченном количестве сообщений о дисциплинарных мерах и уголовных преследованиях, что способствует созданию атмосферы безнаказанности. Комитет также выражает сожаление по поводу отсутствия точной информации и статистических данных о количестве зарегистрированных и расследованных жалоб на пытки и жестокое обращение, а также о вынесенных приговорах. Кроме того, Комитет выражает глубокую озабоченность в связи с наличием множества факторов, препятствующих эффективному доступу жертв пыток или жестокого обращения к правосудию, таких как бедность и неграмотность, а также слабость судебной системы государства-участника. Он с обеспокоенностью </w:t>
      </w:r>
      <w:r>
        <w:lastRenderedPageBreak/>
        <w:t>отмечает, что юридическая помощь, несмотря на усилия по реформированию системы правосудия особенно за пределами крупных городов, на практике труднодоступна</w:t>
      </w:r>
      <w:r w:rsidR="001A24C5" w:rsidRPr="00CC09DB">
        <w:t>,</w:t>
      </w:r>
      <w:r>
        <w:t xml:space="preserve"> невзирая на принятие Закона № 021/PR/2019 от 15 апреля 2019 года о юридической помощи и правовой поддержке, независимость судей не гарантирована, безнаказанность преобладает над применением закона, а механизмы обычного правосудия, такие как </w:t>
      </w:r>
      <w:r w:rsidR="00675408">
        <w:t>«</w:t>
      </w:r>
      <w:r>
        <w:t>кровавые деньги</w:t>
      </w:r>
      <w:r w:rsidR="00675408">
        <w:t>»</w:t>
      </w:r>
      <w:r>
        <w:t xml:space="preserve"> (</w:t>
      </w:r>
      <w:r w:rsidR="00675408">
        <w:t>«</w:t>
      </w:r>
      <w:proofErr w:type="spellStart"/>
      <w:r>
        <w:t>дия</w:t>
      </w:r>
      <w:proofErr w:type="spellEnd"/>
      <w:r w:rsidR="00675408">
        <w:t>»</w:t>
      </w:r>
      <w:r>
        <w:t>), по-прежнему используются на практике для урегулирования дел, которые должны рассматриваться системой уголовного правосудия (</w:t>
      </w:r>
      <w:r w:rsidR="002322F9">
        <w:t>ст.</w:t>
      </w:r>
      <w:r>
        <w:t xml:space="preserve"> 2, 4, 11, 12, 13 и 16).</w:t>
      </w:r>
    </w:p>
    <w:p w14:paraId="6608096F" w14:textId="77777777" w:rsidR="00C9465B" w:rsidRPr="004E4EB5" w:rsidRDefault="00C9465B" w:rsidP="00C9465B">
      <w:pPr>
        <w:pStyle w:val="SingleTxtG"/>
        <w:rPr>
          <w:b/>
          <w:bCs/>
        </w:rPr>
      </w:pPr>
      <w:r>
        <w:t>38.</w:t>
      </w:r>
      <w:r>
        <w:tab/>
      </w:r>
      <w:r>
        <w:rPr>
          <w:b/>
          <w:bCs/>
        </w:rPr>
        <w:t>Государству — участнику следует:</w:t>
      </w:r>
    </w:p>
    <w:p w14:paraId="5D5ED52B" w14:textId="77777777" w:rsidR="00C9465B" w:rsidRPr="004E4EB5" w:rsidRDefault="00C9465B" w:rsidP="00C9465B">
      <w:pPr>
        <w:pStyle w:val="SingleTxtG"/>
        <w:rPr>
          <w:b/>
          <w:bCs/>
        </w:rPr>
      </w:pPr>
      <w:r>
        <w:rPr>
          <w:b/>
          <w:bCs/>
        </w:rPr>
        <w:tab/>
        <w:t>a)</w:t>
      </w:r>
      <w:r>
        <w:tab/>
      </w:r>
      <w:r>
        <w:rPr>
          <w:b/>
          <w:bCs/>
        </w:rPr>
        <w:t xml:space="preserve">удостоверяться в том, чтобы все заявления о пытках или жестоком обращении оперативно, эффективно и беспристрастно расследовались независимым органом, чтобы между следователями и предполагаемыми виновными не было институциональных или иерархических </w:t>
      </w:r>
      <w:proofErr w:type="gramStart"/>
      <w:r>
        <w:rPr>
          <w:b/>
          <w:bCs/>
        </w:rPr>
        <w:t>связей</w:t>
      </w:r>
      <w:proofErr w:type="gramEnd"/>
      <w:r>
        <w:rPr>
          <w:b/>
          <w:bCs/>
        </w:rPr>
        <w:t xml:space="preserve"> и чтобы подозреваемые должным образом привлекались к ответственности и, в случае признания их виновными, подвергались наказаниям, соразмерным тяжести совершенных ими деяний;</w:t>
      </w:r>
    </w:p>
    <w:p w14:paraId="1A24B767" w14:textId="77777777" w:rsidR="00C9465B" w:rsidRPr="004E4EB5" w:rsidRDefault="00C9465B" w:rsidP="00C9465B">
      <w:pPr>
        <w:pStyle w:val="SingleTxtG"/>
        <w:rPr>
          <w:b/>
          <w:bCs/>
        </w:rPr>
      </w:pPr>
      <w:r>
        <w:rPr>
          <w:b/>
          <w:bCs/>
        </w:rPr>
        <w:tab/>
        <w:t>b)</w:t>
      </w:r>
      <w:r>
        <w:tab/>
      </w:r>
      <w:r>
        <w:rPr>
          <w:b/>
          <w:bCs/>
        </w:rPr>
        <w:t>следить за тем, чтобы власти начинали расследование каждый раз, когда имеются разумные основания полагать, что был совершен акт пыток или жестокого обращения;</w:t>
      </w:r>
    </w:p>
    <w:p w14:paraId="0D9CA9A9" w14:textId="77777777" w:rsidR="00C9465B" w:rsidRPr="004E4EB5" w:rsidRDefault="00C9465B" w:rsidP="00C9465B">
      <w:pPr>
        <w:pStyle w:val="SingleTxtG"/>
        <w:rPr>
          <w:b/>
          <w:bCs/>
        </w:rPr>
      </w:pPr>
      <w:r>
        <w:rPr>
          <w:b/>
          <w:bCs/>
        </w:rPr>
        <w:tab/>
        <w:t>c)</w:t>
      </w:r>
      <w:r>
        <w:tab/>
      </w:r>
      <w:r>
        <w:rPr>
          <w:b/>
          <w:bCs/>
        </w:rPr>
        <w:t>принимать меры к тому, чтобы в случае предполагаемых пыток или неправомерного обращения подозреваемые должностные лица немедленно отстранялись от исполнения служебных обязанностей на период расследования во избежание опасности того, что в противном случае они могут повторить предполагаемое деяние, подвергнуть репрессиям предполагаемую жертву или воспрепятствовать расследованию;</w:t>
      </w:r>
    </w:p>
    <w:p w14:paraId="4E25778F" w14:textId="77777777" w:rsidR="00C9465B" w:rsidRPr="004E4EB5" w:rsidRDefault="00C9465B" w:rsidP="00C9465B">
      <w:pPr>
        <w:pStyle w:val="SingleTxtG"/>
        <w:rPr>
          <w:b/>
          <w:bCs/>
        </w:rPr>
      </w:pPr>
      <w:r>
        <w:rPr>
          <w:b/>
          <w:bCs/>
        </w:rPr>
        <w:tab/>
        <w:t>d)</w:t>
      </w:r>
      <w:r>
        <w:tab/>
      </w:r>
      <w:r>
        <w:rPr>
          <w:b/>
          <w:bCs/>
        </w:rPr>
        <w:t>принять срочные меры по созданию эффективного и независимого механизма надзора за деятельностью полиции;</w:t>
      </w:r>
    </w:p>
    <w:p w14:paraId="0E688783" w14:textId="77777777" w:rsidR="00C9465B" w:rsidRPr="004E4EB5" w:rsidRDefault="00C9465B" w:rsidP="00C9465B">
      <w:pPr>
        <w:pStyle w:val="SingleTxtG"/>
        <w:rPr>
          <w:b/>
          <w:bCs/>
        </w:rPr>
      </w:pPr>
      <w:r>
        <w:rPr>
          <w:b/>
          <w:bCs/>
        </w:rPr>
        <w:tab/>
        <w:t>e)</w:t>
      </w:r>
      <w:r>
        <w:tab/>
      </w:r>
      <w:r>
        <w:rPr>
          <w:b/>
          <w:bCs/>
        </w:rPr>
        <w:t>создать независимый, эффективный, конфиденциальный и доступный механизм рассмотрения жалоб во всех местах содержания под стражей, включая полицейские участки и тюрьмы, и обеспечивать защиту заявителей, жертв и их семьи от любого риска репрессий;</w:t>
      </w:r>
    </w:p>
    <w:p w14:paraId="5B2368E8" w14:textId="3C426845" w:rsidR="00C9465B" w:rsidRPr="003D1EB7" w:rsidRDefault="00C9465B" w:rsidP="00C9465B">
      <w:pPr>
        <w:pStyle w:val="SingleTxtG"/>
        <w:rPr>
          <w:b/>
          <w:bCs/>
        </w:rPr>
      </w:pPr>
      <w:r>
        <w:rPr>
          <w:b/>
          <w:bCs/>
        </w:rPr>
        <w:tab/>
        <w:t>f)</w:t>
      </w:r>
      <w:r>
        <w:tab/>
      </w:r>
      <w:r>
        <w:rPr>
          <w:b/>
          <w:bCs/>
        </w:rPr>
        <w:t>активизировать усилия по реформированию и укреплению судебной системы в целях обеспечения жертвам пыток или жестокого обращения эффективного доступа к правосудию, в том числе путем активизации усилий по увеличению числа лиц, осуществляющих судебное преследование, и адвокатов в масштабах всей страны, и систематического обучения судей, прокуроров и адвокатов по применению действующих законов, включая статью</w:t>
      </w:r>
      <w:r w:rsidR="004F3F0B">
        <w:rPr>
          <w:b/>
          <w:bCs/>
        </w:rPr>
        <w:t> </w:t>
      </w:r>
      <w:r>
        <w:rPr>
          <w:b/>
          <w:bCs/>
        </w:rPr>
        <w:t>323 Уголовного кодекса;</w:t>
      </w:r>
    </w:p>
    <w:p w14:paraId="787C6E96" w14:textId="4D5E5B1A" w:rsidR="00C9465B" w:rsidRPr="004E4EB5" w:rsidRDefault="00C9465B" w:rsidP="00C9465B">
      <w:pPr>
        <w:pStyle w:val="SingleTxtG"/>
        <w:rPr>
          <w:b/>
          <w:bCs/>
        </w:rPr>
      </w:pPr>
      <w:r>
        <w:rPr>
          <w:b/>
          <w:bCs/>
        </w:rPr>
        <w:tab/>
        <w:t>g)</w:t>
      </w:r>
      <w:r>
        <w:tab/>
      </w:r>
      <w:r>
        <w:rPr>
          <w:b/>
          <w:bCs/>
        </w:rPr>
        <w:t xml:space="preserve">принять меры по повышению осведомленности широкой общественности о важности рассмотрения случаев пыток и других серьезных нарушений прав человека с помощью надлежащих механизмов правосудия, которые строятся на нормах позитивного права, а не на традиционном праве и практике, таких как </w:t>
      </w:r>
      <w:r w:rsidR="004F3F0B">
        <w:rPr>
          <w:b/>
          <w:bCs/>
        </w:rPr>
        <w:t>«</w:t>
      </w:r>
      <w:proofErr w:type="spellStart"/>
      <w:r w:rsidRPr="004553D8">
        <w:rPr>
          <w:b/>
          <w:bCs/>
          <w:iCs/>
        </w:rPr>
        <w:t>дия</w:t>
      </w:r>
      <w:proofErr w:type="spellEnd"/>
      <w:r w:rsidR="004F3F0B" w:rsidRPr="004F3F0B">
        <w:rPr>
          <w:b/>
          <w:bCs/>
        </w:rPr>
        <w:t>»</w:t>
      </w:r>
      <w:r>
        <w:rPr>
          <w:b/>
          <w:bCs/>
        </w:rPr>
        <w:t>, и следить за тем, чтобы они не использовались в качестве оснований для отступления от абсолютного запрета пыток, как об этом напоминает Комитет в своем замечании общего порядка № 2 (2007) по поводу осуществлении статьи 2 государствами-участниками;</w:t>
      </w:r>
    </w:p>
    <w:p w14:paraId="58AB5652" w14:textId="77777777" w:rsidR="00C9465B" w:rsidRPr="004E4EB5" w:rsidRDefault="00C9465B" w:rsidP="00C9465B">
      <w:pPr>
        <w:pStyle w:val="SingleTxtG"/>
        <w:rPr>
          <w:b/>
          <w:bCs/>
        </w:rPr>
      </w:pPr>
      <w:r>
        <w:rPr>
          <w:b/>
          <w:bCs/>
        </w:rPr>
        <w:tab/>
        <w:t>h)</w:t>
      </w:r>
      <w:r>
        <w:tab/>
      </w:r>
      <w:r>
        <w:rPr>
          <w:b/>
          <w:bCs/>
        </w:rPr>
        <w:t>предоставлять бесплатную юридическую помощь жертвам пыток и жестокого обращения на устойчивой основе, осуществлять программы правового просвещения населения, повышать осведомленность о том, как использовать различные доступные средства правовой защиты, и отслеживать результаты таких инициатив;</w:t>
      </w:r>
    </w:p>
    <w:p w14:paraId="401B5BEF" w14:textId="77777777" w:rsidR="00C9465B" w:rsidRPr="004E4EB5" w:rsidRDefault="00C9465B" w:rsidP="00C9465B">
      <w:pPr>
        <w:pStyle w:val="SingleTxtG"/>
        <w:rPr>
          <w:b/>
          <w:bCs/>
        </w:rPr>
      </w:pPr>
      <w:r>
        <w:rPr>
          <w:b/>
          <w:bCs/>
        </w:rPr>
        <w:tab/>
        <w:t>i)</w:t>
      </w:r>
      <w:r>
        <w:tab/>
      </w:r>
      <w:r>
        <w:rPr>
          <w:b/>
          <w:bCs/>
        </w:rPr>
        <w:t>составлять и распространять статистические данные в соответствующей разбивке по жалобам, расследованиям, судебным преследованиям и приговорам по делам о пытках и жестоком обращении.</w:t>
      </w:r>
    </w:p>
    <w:p w14:paraId="74A2B8FC" w14:textId="77777777" w:rsidR="00C9465B" w:rsidRPr="004E4EB5" w:rsidRDefault="00C9465B" w:rsidP="00C9465B">
      <w:pPr>
        <w:pStyle w:val="H23G"/>
      </w:pPr>
      <w:r>
        <w:lastRenderedPageBreak/>
        <w:tab/>
      </w:r>
      <w:r>
        <w:tab/>
      </w:r>
      <w:r>
        <w:rPr>
          <w:bCs/>
        </w:rPr>
        <w:t>Неприемлемость признаний, полученных с помощью пыток</w:t>
      </w:r>
    </w:p>
    <w:p w14:paraId="219FA199" w14:textId="4E7DD62B" w:rsidR="00C9465B" w:rsidRPr="004E4EB5" w:rsidRDefault="00C9465B" w:rsidP="00C9465B">
      <w:pPr>
        <w:pStyle w:val="SingleTxtG"/>
      </w:pPr>
      <w:r>
        <w:t>39.</w:t>
      </w:r>
      <w:r>
        <w:tab/>
        <w:t xml:space="preserve">Комитет выражает обеспокоенность по поводу статьи 89 Уголовно-процессуального кодекса, которая гласит, что </w:t>
      </w:r>
      <w:r w:rsidR="00CC09DB">
        <w:t>«</w:t>
      </w:r>
      <w:r>
        <w:t>признание, как и любое другое доказательство, оставляется в определенной степени на усмотрение судей</w:t>
      </w:r>
      <w:r w:rsidR="00CC09DB">
        <w:t>»</w:t>
      </w:r>
      <w:r>
        <w:t>, и поэтому дает судье определенную свободу действий в плане принятия доказательств, полученных под принуждением или пытками. Он особенно обеспокоен отсутствием законодательных положений, прямо запрещающих использование признаний, полученных под пытками, в качестве доказательства в ходе судебных разбирательств. Комитет также по-прежнему обеспокоен сообщениями о том, что признания, полученные под пытками или принуждением, используются в судах в качестве доказательств и что такая практика сохраняется по причине безнаказанности виновных и давлении на судей (</w:t>
      </w:r>
      <w:r w:rsidR="0052495A">
        <w:t>ст.</w:t>
      </w:r>
      <w:r>
        <w:t xml:space="preserve"> 15). </w:t>
      </w:r>
    </w:p>
    <w:p w14:paraId="04071C6A" w14:textId="77777777" w:rsidR="00C9465B" w:rsidRPr="004E4EB5" w:rsidRDefault="00C9465B" w:rsidP="00C9465B">
      <w:pPr>
        <w:pStyle w:val="SingleTxtG"/>
        <w:rPr>
          <w:b/>
          <w:bCs/>
        </w:rPr>
      </w:pPr>
      <w:r>
        <w:t>40.</w:t>
      </w:r>
      <w:r>
        <w:tab/>
      </w:r>
      <w:r>
        <w:rPr>
          <w:b/>
          <w:bCs/>
        </w:rPr>
        <w:t>Государству-участнику следует:</w:t>
      </w:r>
    </w:p>
    <w:p w14:paraId="1FD9B9F8" w14:textId="77777777" w:rsidR="00C9465B" w:rsidRPr="004E4EB5" w:rsidRDefault="00C9465B" w:rsidP="00C9465B">
      <w:pPr>
        <w:pStyle w:val="SingleTxtG"/>
        <w:rPr>
          <w:b/>
          <w:bCs/>
        </w:rPr>
      </w:pPr>
      <w:r>
        <w:rPr>
          <w:b/>
          <w:bCs/>
        </w:rPr>
        <w:tab/>
        <w:t>a)</w:t>
      </w:r>
      <w:r>
        <w:tab/>
      </w:r>
      <w:r>
        <w:rPr>
          <w:b/>
          <w:bCs/>
        </w:rPr>
        <w:t>принять необходимые законодательные меры, включая пересмотр Уголовно-процессуального кодекса, с целью прямо запретить использование признаний или других заявлений, полученных под пытками, в качестве доказательств в любых судебных разбирательствах, кроме как против лица, обвиняемого в применении пыток, в целях установления факта заявления;</w:t>
      </w:r>
      <w:r>
        <w:t xml:space="preserve"> </w:t>
      </w:r>
    </w:p>
    <w:p w14:paraId="7EC0200E" w14:textId="77777777" w:rsidR="00C9465B" w:rsidRPr="004E4EB5" w:rsidRDefault="00C9465B" w:rsidP="00C9465B">
      <w:pPr>
        <w:pStyle w:val="SingleTxtG"/>
        <w:rPr>
          <w:b/>
          <w:bCs/>
        </w:rPr>
      </w:pPr>
      <w:r>
        <w:rPr>
          <w:b/>
          <w:bCs/>
        </w:rPr>
        <w:tab/>
        <w:t>b)</w:t>
      </w:r>
      <w:r>
        <w:tab/>
      </w:r>
      <w:r>
        <w:rPr>
          <w:b/>
          <w:bCs/>
        </w:rPr>
        <w:t>принять необходимые меры с целью гарантировать на практике недопустимость признательных показаний, заявлений и других доказательств, полученных под пытками, за исключением тех случаев, когда они используются против лица, обвиняемого в применении пыток, в качестве доказательства того, что такое заявление было сделано под принуждением; обязать прокуроров и судей спрашивать всех обвиняемых по уголовным делам, подвергались ли они пыткам или жестокому обращению; и предусмотреть, чтобы все утверждения о пытках и жестоком обращении, сделанные в ходе судебных разбирательств в государстве-участнике, расследовались оперативно, эффективно и на независимой основе, а предполагаемые виновные привлекались к ответственности и подвергались наказанию;</w:t>
      </w:r>
    </w:p>
    <w:p w14:paraId="2B9AA56F" w14:textId="77777777" w:rsidR="00C9465B" w:rsidRPr="004E4EB5" w:rsidRDefault="00C9465B" w:rsidP="00C9465B">
      <w:pPr>
        <w:pStyle w:val="SingleTxtG"/>
        <w:rPr>
          <w:b/>
          <w:bCs/>
        </w:rPr>
      </w:pPr>
      <w:r>
        <w:rPr>
          <w:b/>
          <w:bCs/>
        </w:rPr>
        <w:tab/>
        <w:t>c)</w:t>
      </w:r>
      <w:r>
        <w:tab/>
      </w:r>
      <w:r>
        <w:rPr>
          <w:b/>
          <w:bCs/>
        </w:rPr>
        <w:t>обеспечить, чтобы все сотрудники полиции, органов национальной безопасности и вооруженных сил, судьи и прокуроры проходили обязательную подготовку, предусматривающую уделение первоочередного внимания связи между методами допроса без принуждения, запрещением пыток и жестокого обращения и обязанностью судебных органов признавать недействительными признания, полученные с помощью пыток, руководствуясь в этой связи Принципами ведения эффективных допросов в рамках расследований и сбора информации (Принципы Мендеса).</w:t>
      </w:r>
    </w:p>
    <w:p w14:paraId="66C95FF9" w14:textId="77777777" w:rsidR="00C9465B" w:rsidRPr="004E4EB5" w:rsidRDefault="00C9465B" w:rsidP="00C9465B">
      <w:pPr>
        <w:pStyle w:val="H23G"/>
      </w:pPr>
      <w:r>
        <w:tab/>
      </w:r>
      <w:r>
        <w:tab/>
      </w:r>
      <w:r>
        <w:rPr>
          <w:bCs/>
        </w:rPr>
        <w:t>Смертная казнь</w:t>
      </w:r>
      <w:r>
        <w:t xml:space="preserve"> </w:t>
      </w:r>
    </w:p>
    <w:p w14:paraId="5673CCB1" w14:textId="003EA358" w:rsidR="00C9465B" w:rsidRPr="004E4EB5" w:rsidRDefault="00C9465B" w:rsidP="00C9465B">
      <w:pPr>
        <w:pStyle w:val="SingleTxtG"/>
      </w:pPr>
      <w:r>
        <w:t>41.</w:t>
      </w:r>
      <w:r>
        <w:tab/>
        <w:t>Приветствуя отмену смертной казни за все преступления после принятия Уголовного кодекса 2017 года и Закона № 003/PR/2020 о пресечении актов терроризма, Комитет выражает сожаление по поводу того, что этот принцип не закреплен в Переходной хартии Республики Чад, принятой в апреле 2021 года. Комитет также с сожалением отмечает, что государство-участник еще не присоединилось ко второму Факультативному протоколу к Международному пакту о гражданских и политических правах, направленному на отмену смертной казни (</w:t>
      </w:r>
      <w:r w:rsidR="0052495A">
        <w:t>ст.</w:t>
      </w:r>
      <w:r>
        <w:t xml:space="preserve"> 16).</w:t>
      </w:r>
    </w:p>
    <w:p w14:paraId="33807818" w14:textId="77777777" w:rsidR="00C9465B" w:rsidRPr="004E4EB5" w:rsidRDefault="00C9465B" w:rsidP="00C9465B">
      <w:pPr>
        <w:pStyle w:val="SingleTxtG"/>
        <w:rPr>
          <w:b/>
        </w:rPr>
      </w:pPr>
      <w:r>
        <w:t>42.</w:t>
      </w:r>
      <w:r>
        <w:tab/>
      </w:r>
      <w:r>
        <w:rPr>
          <w:b/>
          <w:bCs/>
        </w:rPr>
        <w:t>Государству-участнику следует:</w:t>
      </w:r>
    </w:p>
    <w:p w14:paraId="628C09BB" w14:textId="77777777" w:rsidR="00C9465B" w:rsidRPr="004E4EB5" w:rsidRDefault="00C9465B" w:rsidP="00C9465B">
      <w:pPr>
        <w:pStyle w:val="SingleTxtG"/>
        <w:rPr>
          <w:b/>
        </w:rPr>
      </w:pPr>
      <w:r>
        <w:rPr>
          <w:b/>
          <w:bCs/>
        </w:rPr>
        <w:tab/>
        <w:t>a)</w:t>
      </w:r>
      <w:r>
        <w:tab/>
      </w:r>
      <w:r>
        <w:rPr>
          <w:b/>
          <w:bCs/>
        </w:rPr>
        <w:t>обеспечить, чтобы все смертные приговоры, вынесенные до принятия законов, отменяющих эту практику, были заменены тюремным заключением;</w:t>
      </w:r>
    </w:p>
    <w:p w14:paraId="315E430B" w14:textId="77777777" w:rsidR="00C9465B" w:rsidRPr="004E4EB5" w:rsidRDefault="00C9465B" w:rsidP="00C9465B">
      <w:pPr>
        <w:pStyle w:val="SingleTxtG"/>
        <w:rPr>
          <w:b/>
        </w:rPr>
      </w:pPr>
      <w:r>
        <w:rPr>
          <w:b/>
          <w:bCs/>
        </w:rPr>
        <w:tab/>
        <w:t>b)</w:t>
      </w:r>
      <w:r>
        <w:tab/>
      </w:r>
      <w:r>
        <w:rPr>
          <w:b/>
          <w:bCs/>
        </w:rPr>
        <w:t>рассмотреть вариант закрепления отмены смертной казни в Переходной хартии Республики Чад и в любом последующем конституционном тексте;</w:t>
      </w:r>
    </w:p>
    <w:p w14:paraId="083EDD5C" w14:textId="77777777" w:rsidR="00C9465B" w:rsidRPr="004E4EB5" w:rsidRDefault="00C9465B" w:rsidP="00C9465B">
      <w:pPr>
        <w:pStyle w:val="SingleTxtG"/>
        <w:rPr>
          <w:b/>
        </w:rPr>
      </w:pPr>
      <w:r>
        <w:rPr>
          <w:b/>
          <w:bCs/>
        </w:rPr>
        <w:lastRenderedPageBreak/>
        <w:tab/>
        <w:t>c)</w:t>
      </w:r>
      <w:r>
        <w:tab/>
      </w:r>
      <w:r>
        <w:rPr>
          <w:b/>
          <w:bCs/>
        </w:rPr>
        <w:t>присоединиться ко второму Факультативному протоколу к Международному пакту о гражданских и политических правах, направленному на отмену смертной казни.</w:t>
      </w:r>
    </w:p>
    <w:p w14:paraId="6EBEB629" w14:textId="77777777" w:rsidR="00C9465B" w:rsidRPr="004E4EB5" w:rsidRDefault="00C9465B" w:rsidP="00C9465B">
      <w:pPr>
        <w:pStyle w:val="H23G"/>
      </w:pPr>
      <w:r>
        <w:tab/>
      </w:r>
      <w:r>
        <w:tab/>
      </w:r>
      <w:r>
        <w:rPr>
          <w:bCs/>
        </w:rPr>
        <w:t>Правозащитники, гражданское общество, журналисты и политические оппоненты</w:t>
      </w:r>
    </w:p>
    <w:p w14:paraId="255F3563" w14:textId="00AB22B3" w:rsidR="00C9465B" w:rsidRPr="004E4EB5" w:rsidRDefault="00C9465B" w:rsidP="00C9465B">
      <w:pPr>
        <w:pStyle w:val="SingleTxtG"/>
      </w:pPr>
      <w:r>
        <w:t>43.</w:t>
      </w:r>
      <w:r>
        <w:tab/>
        <w:t>Комитет обеспокоен многочисленными утверждениями о запугивании, угрозах, преследованиях, физических нападениях, произвольных арестах и задержаниях, судебных преследованиях, пытках и жестоком обращении, насильственных исчезновениях и внесудебных казнях, которым продолжают регулярно подвергаться правозащитники, политические оппоненты, представители гражданского общества и журналисты. Он также выражает беспокойство в связи с недостаточными усилиями государства-участника в вопросах обеспечения этих лиц надлежащей защитой, в том числе путем проведения оперативных, эффективных и беспристрастных расследований и назначения виновным соответствующих наказаний. Комитет выражает сожаление в связи с отсутствием информации о мерах, принятых в целях развития гражданского пространства, в котором люди могли бы эффективно осуществлять свое право на свободу выражения мнений и ассоциации и защищать права человека в безопасной обстановке (</w:t>
      </w:r>
      <w:r w:rsidR="002322F9">
        <w:t>ст.</w:t>
      </w:r>
      <w:r>
        <w:t xml:space="preserve"> 2, 12, 13 и 16). </w:t>
      </w:r>
    </w:p>
    <w:p w14:paraId="508FDF6B" w14:textId="77777777" w:rsidR="00C9465B" w:rsidRPr="004E4EB5" w:rsidRDefault="00C9465B" w:rsidP="00C9465B">
      <w:pPr>
        <w:pStyle w:val="SingleTxtG"/>
        <w:rPr>
          <w:b/>
          <w:bCs/>
        </w:rPr>
      </w:pPr>
      <w:r>
        <w:t>44.</w:t>
      </w:r>
      <w:r>
        <w:tab/>
      </w:r>
      <w:r>
        <w:rPr>
          <w:b/>
          <w:bCs/>
        </w:rPr>
        <w:t>Государству-участнику следует обеспечить, чтобы правозащитники, политические оппоненты, представители гражданского общества и журналисты были адекватно защищены от всех форм запугивания, притеснения, насилия, произвольного ареста и задержания, судебного преследования, пыток и жестокого обращения, насильственных исчезновений и внесудебных казней, которым они могут подвергаться в результате своей деятельности.</w:t>
      </w:r>
      <w:r>
        <w:t xml:space="preserve"> </w:t>
      </w:r>
      <w:r>
        <w:rPr>
          <w:b/>
          <w:bCs/>
        </w:rPr>
        <w:t>Кроме того, ему следует принять все необходимые меры с целью начать оперативное, эффективное и беспристрастное расследование этих предполагаемых нарушений прав человека и наказать виновных, наложив на них соответствующие меры наказания и обеспечив их надлежащее исполнение.</w:t>
      </w:r>
      <w:r>
        <w:t xml:space="preserve"> </w:t>
      </w:r>
      <w:r>
        <w:rPr>
          <w:b/>
          <w:bCs/>
        </w:rPr>
        <w:t>Государству-участнику следует также принять меры по развитию гражданского пространства и права на свободу выражения мнений и ассоциации, в том числе путем пересмотра постановления № 023/PR/2018 от 27 июня 2018 года о режиме ассоциаций.</w:t>
      </w:r>
    </w:p>
    <w:p w14:paraId="3A7AFE83" w14:textId="77777777" w:rsidR="00C9465B" w:rsidRPr="004E4EB5" w:rsidRDefault="00C9465B" w:rsidP="00C9465B">
      <w:pPr>
        <w:pStyle w:val="H23G"/>
      </w:pPr>
      <w:r>
        <w:tab/>
      </w:r>
      <w:r>
        <w:tab/>
      </w:r>
      <w:r>
        <w:rPr>
          <w:bCs/>
        </w:rPr>
        <w:t>Правосудие переходного периода</w:t>
      </w:r>
    </w:p>
    <w:p w14:paraId="1B82BDFC" w14:textId="2C6F51D2" w:rsidR="00C9465B" w:rsidRPr="004E4EB5" w:rsidRDefault="00C9465B" w:rsidP="00C9465B">
      <w:pPr>
        <w:pStyle w:val="SingleTxtG"/>
        <w:rPr>
          <w:bCs/>
        </w:rPr>
      </w:pPr>
      <w:r>
        <w:t>45.</w:t>
      </w:r>
      <w:r>
        <w:tab/>
        <w:t xml:space="preserve">Отмечая осуждение в 2015 году </w:t>
      </w:r>
      <w:proofErr w:type="spellStart"/>
      <w:r>
        <w:t>Хиссена</w:t>
      </w:r>
      <w:proofErr w:type="spellEnd"/>
      <w:r>
        <w:t xml:space="preserve"> </w:t>
      </w:r>
      <w:proofErr w:type="spellStart"/>
      <w:r>
        <w:t>Хабре</w:t>
      </w:r>
      <w:proofErr w:type="spellEnd"/>
      <w:r>
        <w:t xml:space="preserve"> Чрезвычайными африканскими палатами в Дакаре и 19 сотрудников Управления документации и безопасности специальным уголовным судом, а также создание Африканским союзом Целевого фонда для жертв преступлений </w:t>
      </w:r>
      <w:proofErr w:type="spellStart"/>
      <w:r>
        <w:t>Хиссена</w:t>
      </w:r>
      <w:proofErr w:type="spellEnd"/>
      <w:r>
        <w:t xml:space="preserve"> </w:t>
      </w:r>
      <w:proofErr w:type="spellStart"/>
      <w:r>
        <w:t>Хабре</w:t>
      </w:r>
      <w:proofErr w:type="spellEnd"/>
      <w:r>
        <w:t xml:space="preserve"> и решение Специального уголовного суда о предоставлении финансовой компенсации указанным жертвам, Комитет обеспокоен тем, что Фонд до сих пор не работает и что ни одна из жертв до сих пор не получила никакой компенсации. В заключение Комитет с сожалением отмечает, что мемориал памяти жертв, описанный в постановлении Суда, до сих пор не создан (</w:t>
      </w:r>
      <w:r w:rsidR="002322F9">
        <w:t>ст.</w:t>
      </w:r>
      <w:r w:rsidR="00BA734B">
        <w:t> </w:t>
      </w:r>
      <w:r>
        <w:t>2, 12, 13, 14 и 16).</w:t>
      </w:r>
    </w:p>
    <w:p w14:paraId="01BF3096" w14:textId="77777777" w:rsidR="00C9465B" w:rsidRPr="004E4EB5" w:rsidRDefault="00C9465B" w:rsidP="00C9465B">
      <w:pPr>
        <w:pStyle w:val="SingleTxtG"/>
        <w:rPr>
          <w:b/>
          <w:bCs/>
        </w:rPr>
      </w:pPr>
      <w:r>
        <w:t>46.</w:t>
      </w:r>
      <w:r>
        <w:tab/>
      </w:r>
      <w:r>
        <w:rPr>
          <w:b/>
          <w:bCs/>
        </w:rPr>
        <w:t xml:space="preserve">Государству-участнику следует призвать своих партнеров внести вклад в Целевой фонд для жертв преступлений </w:t>
      </w:r>
      <w:proofErr w:type="spellStart"/>
      <w:r>
        <w:rPr>
          <w:b/>
          <w:bCs/>
        </w:rPr>
        <w:t>Хиссена</w:t>
      </w:r>
      <w:proofErr w:type="spellEnd"/>
      <w:r>
        <w:rPr>
          <w:b/>
          <w:bCs/>
        </w:rPr>
        <w:t xml:space="preserve"> </w:t>
      </w:r>
      <w:proofErr w:type="spellStart"/>
      <w:r>
        <w:rPr>
          <w:b/>
          <w:bCs/>
        </w:rPr>
        <w:t>Хабре</w:t>
      </w:r>
      <w:proofErr w:type="spellEnd"/>
      <w:r>
        <w:rPr>
          <w:b/>
          <w:bCs/>
        </w:rPr>
        <w:t>, созданный Африканским союзом, с тем чтобы он начал функционировать как можно скорее.</w:t>
      </w:r>
      <w:r>
        <w:t xml:space="preserve"> </w:t>
      </w:r>
      <w:r>
        <w:rPr>
          <w:b/>
          <w:bCs/>
        </w:rPr>
        <w:t>Оно также должно незамедлительно выполнить решение Специального уголовного суда, который постановил предоставить соответствующую компенсацию жертвам серьезных нарушений прав человека, совершенных Управлением документации и безопасности.</w:t>
      </w:r>
      <w:r>
        <w:t xml:space="preserve"> </w:t>
      </w:r>
      <w:r>
        <w:rPr>
          <w:b/>
          <w:bCs/>
        </w:rPr>
        <w:t xml:space="preserve">Наконец, оно должно принять все необходимые меры в целях скорейшего возведения мемориала, посвященного жертвам режима </w:t>
      </w:r>
      <w:proofErr w:type="spellStart"/>
      <w:r>
        <w:rPr>
          <w:b/>
          <w:bCs/>
        </w:rPr>
        <w:t>Хиссена</w:t>
      </w:r>
      <w:proofErr w:type="spellEnd"/>
      <w:r>
        <w:rPr>
          <w:b/>
          <w:bCs/>
        </w:rPr>
        <w:t xml:space="preserve"> </w:t>
      </w:r>
      <w:proofErr w:type="spellStart"/>
      <w:r>
        <w:rPr>
          <w:b/>
          <w:bCs/>
        </w:rPr>
        <w:t>Хабре</w:t>
      </w:r>
      <w:proofErr w:type="spellEnd"/>
      <w:r>
        <w:rPr>
          <w:b/>
          <w:bCs/>
        </w:rPr>
        <w:t>.</w:t>
      </w:r>
    </w:p>
    <w:p w14:paraId="1EB79B46" w14:textId="77777777" w:rsidR="00C9465B" w:rsidRPr="004E4EB5" w:rsidRDefault="00C9465B" w:rsidP="00C9465B">
      <w:pPr>
        <w:pStyle w:val="H23G"/>
      </w:pPr>
      <w:r>
        <w:tab/>
      </w:r>
      <w:r>
        <w:tab/>
      </w:r>
      <w:r>
        <w:rPr>
          <w:bCs/>
        </w:rPr>
        <w:t>Возмещение</w:t>
      </w:r>
    </w:p>
    <w:p w14:paraId="04CC896D" w14:textId="58AAEE5A" w:rsidR="00C9465B" w:rsidRPr="004E4EB5" w:rsidRDefault="00C9465B" w:rsidP="00C9465B">
      <w:pPr>
        <w:pStyle w:val="SingleTxtG"/>
        <w:rPr>
          <w:bCs/>
        </w:rPr>
      </w:pPr>
      <w:r>
        <w:t>47.</w:t>
      </w:r>
      <w:r>
        <w:tab/>
        <w:t xml:space="preserve">Комитет сожалеет, что государство-участник не представило всеобъемлющей информации о возмещении ущерба, предоставленном жертвам пыток или жестокого обращения либо в рамках гражданско-правовых средств защиты в соответствии с </w:t>
      </w:r>
      <w:r>
        <w:lastRenderedPageBreak/>
        <w:t>действующим законодательством, либо в рамках любого другого эффективного средства правовой защиты, которое позволило бы таким жертвам требовать возмещения материального и нематериального ущерба и получить медицинскую и психосоциальную реабилитацию. Комитет также выражает сожаление по поводу отсутствия специальных программ реабилитации жертв пыток, которые включали бы все формы возмещения ущерба, предусмотренные статьей 14 Конвенции (</w:t>
      </w:r>
      <w:r w:rsidR="0052495A">
        <w:t>ст.</w:t>
      </w:r>
      <w:r>
        <w:t xml:space="preserve"> 14).</w:t>
      </w:r>
    </w:p>
    <w:p w14:paraId="35C0DF88" w14:textId="77777777" w:rsidR="00C9465B" w:rsidRPr="004E4EB5" w:rsidRDefault="00C9465B" w:rsidP="00C9465B">
      <w:pPr>
        <w:pStyle w:val="SingleTxtG"/>
        <w:rPr>
          <w:b/>
          <w:bCs/>
        </w:rPr>
      </w:pPr>
      <w:r>
        <w:t>48.</w:t>
      </w:r>
      <w:r>
        <w:tab/>
      </w:r>
      <w:r>
        <w:rPr>
          <w:b/>
          <w:bCs/>
        </w:rPr>
        <w:t>Государству-участнику следует:</w:t>
      </w:r>
    </w:p>
    <w:p w14:paraId="434C4271" w14:textId="77777777" w:rsidR="00C9465B" w:rsidRPr="004E4EB5" w:rsidRDefault="00C9465B" w:rsidP="00C9465B">
      <w:pPr>
        <w:pStyle w:val="SingleTxtG"/>
        <w:rPr>
          <w:b/>
          <w:bCs/>
        </w:rPr>
      </w:pPr>
      <w:r>
        <w:rPr>
          <w:b/>
          <w:bCs/>
        </w:rPr>
        <w:tab/>
        <w:t>a)</w:t>
      </w:r>
      <w:r>
        <w:tab/>
      </w:r>
      <w:r>
        <w:rPr>
          <w:b/>
          <w:bCs/>
        </w:rPr>
        <w:t>принять, в соответствии с замечанием общего порядка № 3 (2012) Комитета</w:t>
      </w:r>
      <w:r w:rsidRPr="0050790F">
        <w:rPr>
          <w:rStyle w:val="aa"/>
        </w:rPr>
        <w:footnoteReference w:id="9"/>
      </w:r>
      <w:r>
        <w:rPr>
          <w:b/>
          <w:bCs/>
        </w:rPr>
        <w:t>, необходимые законодательные и административные меры в целях создания таких условий, в случае которых гражданские иски о возмещении ущерба могли бы возбуждать жертвы пыток или жестокого обращения, их семьи или их защитники независимо от любого текущего или завершенного уголовного разбирательства, в том числе в случаях, когда виновный не установлен;</w:t>
      </w:r>
      <w:r>
        <w:t xml:space="preserve"> </w:t>
      </w:r>
    </w:p>
    <w:p w14:paraId="5F9DC151" w14:textId="77777777" w:rsidR="00C9465B" w:rsidRPr="004E4EB5" w:rsidRDefault="00C9465B" w:rsidP="00C9465B">
      <w:pPr>
        <w:pStyle w:val="SingleTxtG"/>
        <w:rPr>
          <w:b/>
          <w:bCs/>
        </w:rPr>
      </w:pPr>
      <w:r>
        <w:rPr>
          <w:b/>
          <w:bCs/>
        </w:rPr>
        <w:tab/>
        <w:t>b)</w:t>
      </w:r>
      <w:r>
        <w:tab/>
      </w:r>
      <w:r>
        <w:rPr>
          <w:b/>
          <w:bCs/>
        </w:rPr>
        <w:t>полностью оценить потребности жертв и обеспечить доступность специализированных реабилитационных услуг;</w:t>
      </w:r>
    </w:p>
    <w:p w14:paraId="420E1937" w14:textId="77777777" w:rsidR="00C9465B" w:rsidRPr="004E4EB5" w:rsidRDefault="00C9465B" w:rsidP="00C9465B">
      <w:pPr>
        <w:pStyle w:val="SingleTxtG"/>
        <w:rPr>
          <w:b/>
          <w:bCs/>
        </w:rPr>
      </w:pPr>
      <w:r>
        <w:rPr>
          <w:b/>
          <w:bCs/>
        </w:rPr>
        <w:tab/>
        <w:t>c)</w:t>
      </w:r>
      <w:r>
        <w:tab/>
      </w:r>
      <w:r>
        <w:rPr>
          <w:b/>
          <w:bCs/>
        </w:rPr>
        <w:t>представить подробную информацию о тех случаях, когда жертвы пыток и жестокого обращения имели доступ к эффективным средствам правовой защиты и возмещения ущерба, и проинформировать Комитет о таких случаях в ходе представлении следующего периодического доклада.</w:t>
      </w:r>
    </w:p>
    <w:p w14:paraId="31EA3630" w14:textId="77777777" w:rsidR="00C9465B" w:rsidRPr="004E4EB5" w:rsidRDefault="00C9465B" w:rsidP="00C9465B">
      <w:pPr>
        <w:pStyle w:val="H23G"/>
      </w:pPr>
      <w:r>
        <w:tab/>
      </w:r>
      <w:r>
        <w:tab/>
      </w:r>
      <w:r>
        <w:rPr>
          <w:bCs/>
        </w:rPr>
        <w:t>Профессиональная подготовка</w:t>
      </w:r>
      <w:r>
        <w:t xml:space="preserve"> </w:t>
      </w:r>
    </w:p>
    <w:p w14:paraId="012D95CD" w14:textId="76A335BA" w:rsidR="00C9465B" w:rsidRPr="004E4EB5" w:rsidRDefault="00C9465B" w:rsidP="00C9465B">
      <w:pPr>
        <w:pStyle w:val="SingleTxtG"/>
      </w:pPr>
      <w:r>
        <w:t>49.</w:t>
      </w:r>
      <w:r>
        <w:tab/>
        <w:t>Отмечая усилия государства-участника по организации общей подготовки по правам человека и международному гуманитарному праву, в том числе для сотрудников полиции, сил обороны и безопасности и работников судебных органов, Комитет тем не менее выражает сожаление по поводу отсутствия конкретной подготовки по положениям Конвенции, а также по содержанию Руководства по эффективному расследованию и документальному подтверждению случаев пыток и других жестоких, бесчеловечных или унижающих достоинство видов обращения и наказания (Стамбульский протокол)</w:t>
      </w:r>
      <w:r w:rsidRPr="0050790F">
        <w:rPr>
          <w:rStyle w:val="aa"/>
        </w:rPr>
        <w:footnoteReference w:id="10"/>
      </w:r>
      <w:r>
        <w:t>. Он также выражает сожаление в связи с отсутствием какого бы то ни было механизма оценки эффективности программ обучения и специальной подготовки для вооруженных сил и соответствующего медицинского персонала (</w:t>
      </w:r>
      <w:r w:rsidR="0052495A">
        <w:t>ст.</w:t>
      </w:r>
      <w:r>
        <w:t xml:space="preserve"> 10). </w:t>
      </w:r>
    </w:p>
    <w:p w14:paraId="4CD87C17" w14:textId="77777777" w:rsidR="00C9465B" w:rsidRPr="004E4EB5" w:rsidRDefault="00C9465B" w:rsidP="00C9465B">
      <w:pPr>
        <w:pStyle w:val="SingleTxtG"/>
        <w:keepNext/>
        <w:rPr>
          <w:b/>
        </w:rPr>
      </w:pPr>
      <w:r>
        <w:t>50.</w:t>
      </w:r>
      <w:r>
        <w:tab/>
      </w:r>
      <w:r>
        <w:rPr>
          <w:b/>
          <w:bCs/>
        </w:rPr>
        <w:t>Государству-участнику следует:</w:t>
      </w:r>
    </w:p>
    <w:p w14:paraId="281D550D" w14:textId="77777777" w:rsidR="00C9465B" w:rsidRPr="004E4EB5" w:rsidRDefault="00C9465B" w:rsidP="00C9465B">
      <w:pPr>
        <w:pStyle w:val="SingleTxtG"/>
        <w:rPr>
          <w:b/>
          <w:bCs/>
        </w:rPr>
      </w:pPr>
      <w:r>
        <w:rPr>
          <w:b/>
          <w:bCs/>
        </w:rPr>
        <w:tab/>
        <w:t>a)</w:t>
      </w:r>
      <w:r>
        <w:tab/>
      </w:r>
      <w:r>
        <w:rPr>
          <w:b/>
          <w:bCs/>
        </w:rPr>
        <w:t>продолжить разработку программ обязательного обучения с целью обеспечить такое положение, при котором все государственные служащие были бы полностью осведомлены о положениях Конвенции, в частности об абсолютном запрете пыток, и знали, что любое несоблюдение этого требования недопустимо, что любое нарушение будет расследовано и что виновные будут привлечены к ответственности и, в случае признания их виновными, понесут заслуженное наказание;</w:t>
      </w:r>
    </w:p>
    <w:p w14:paraId="085498BC" w14:textId="77777777" w:rsidR="00C9465B" w:rsidRPr="004E4EB5" w:rsidRDefault="00C9465B" w:rsidP="00C9465B">
      <w:pPr>
        <w:pStyle w:val="SingleTxtG"/>
        <w:rPr>
          <w:b/>
          <w:bCs/>
        </w:rPr>
      </w:pPr>
      <w:r>
        <w:rPr>
          <w:b/>
          <w:bCs/>
        </w:rPr>
        <w:tab/>
        <w:t>b)</w:t>
      </w:r>
      <w:r>
        <w:tab/>
      </w:r>
      <w:r>
        <w:rPr>
          <w:b/>
          <w:bCs/>
        </w:rPr>
        <w:t>принять такие меры, которые позволили бы всем соответствующим сотрудникам, включая медицинский персонал, пройти специальную подготовку по выявлению случаев пыток и жестокого обращения в соответствии с пересмотренным Стамбульским протоколом;</w:t>
      </w:r>
    </w:p>
    <w:p w14:paraId="307422F0" w14:textId="77777777" w:rsidR="00C9465B" w:rsidRPr="004E4EB5" w:rsidRDefault="00C9465B" w:rsidP="00C9465B">
      <w:pPr>
        <w:pStyle w:val="SingleTxtG"/>
        <w:rPr>
          <w:b/>
          <w:bCs/>
        </w:rPr>
      </w:pPr>
      <w:r>
        <w:rPr>
          <w:b/>
          <w:bCs/>
        </w:rPr>
        <w:lastRenderedPageBreak/>
        <w:tab/>
        <w:t>c)</w:t>
      </w:r>
      <w:r>
        <w:tab/>
      </w:r>
      <w:r>
        <w:rPr>
          <w:b/>
          <w:bCs/>
        </w:rPr>
        <w:t>систематически проводить подготовку всех сотрудников правоохранительных органов, в частности тех, кто участвует в контроле за демонстрациями, по вопросам применения силы с должным учетом Основных принципов применения силы и огнестрельного оружия должностными лицами по поддержанию правопорядка;</w:t>
      </w:r>
    </w:p>
    <w:p w14:paraId="726D2554" w14:textId="7F2F9220" w:rsidR="00C9465B" w:rsidRPr="004E4EB5" w:rsidRDefault="00C9465B" w:rsidP="00C9465B">
      <w:pPr>
        <w:pStyle w:val="SingleTxtG"/>
        <w:rPr>
          <w:b/>
          <w:bCs/>
        </w:rPr>
      </w:pPr>
      <w:r>
        <w:rPr>
          <w:b/>
          <w:bCs/>
        </w:rPr>
        <w:tab/>
        <w:t>d)</w:t>
      </w:r>
      <w:r>
        <w:tab/>
      </w:r>
      <w:r>
        <w:rPr>
          <w:b/>
          <w:bCs/>
        </w:rPr>
        <w:t>разработать методологию оценки эффективности программ подготовки в части уменьшения числа случаев пыток и жестокого обращения и выявления, документального подтверждения и расследования таких деяний, а</w:t>
      </w:r>
      <w:r w:rsidR="008944EF">
        <w:rPr>
          <w:b/>
          <w:bCs/>
        </w:rPr>
        <w:t> </w:t>
      </w:r>
      <w:r>
        <w:rPr>
          <w:b/>
          <w:bCs/>
        </w:rPr>
        <w:t>также привлечения виновных к ответственности</w:t>
      </w:r>
      <w:r w:rsidR="008944EF">
        <w:rPr>
          <w:b/>
          <w:bCs/>
        </w:rPr>
        <w:t>.</w:t>
      </w:r>
    </w:p>
    <w:p w14:paraId="603E070B" w14:textId="77777777" w:rsidR="00C9465B" w:rsidRPr="004E4EB5" w:rsidRDefault="00C9465B" w:rsidP="00C9465B">
      <w:pPr>
        <w:pStyle w:val="H23G"/>
      </w:pPr>
      <w:r>
        <w:tab/>
      </w:r>
      <w:r>
        <w:tab/>
      </w:r>
      <w:r>
        <w:rPr>
          <w:bCs/>
        </w:rPr>
        <w:t>Сбор статистических данных</w:t>
      </w:r>
    </w:p>
    <w:p w14:paraId="46A110D4" w14:textId="77777777" w:rsidR="00C9465B" w:rsidRPr="004E4EB5" w:rsidRDefault="00C9465B" w:rsidP="00C9465B">
      <w:pPr>
        <w:pStyle w:val="SingleTxtG"/>
      </w:pPr>
      <w:r>
        <w:t>51.</w:t>
      </w:r>
      <w:r>
        <w:tab/>
        <w:t xml:space="preserve">Отмечая создание в рамках Министерства юстиции Управления судебной статистики, ответственного за права человека, и принятие в 2016 году закона о статистике, Комитет выражает сожаление по поводу отсутствии всеобъемлющих </w:t>
      </w:r>
      <w:r w:rsidRPr="00EC2204">
        <w:t>дезагрегированных</w:t>
      </w:r>
      <w:r>
        <w:t xml:space="preserve"> статистических данных о случаях пыток и других жестоких, бесчеловечных или унижающих достоинство видов обращения и наказания, включая утверждения о насилии со стороны полиции и чрезмерном применении силы, а также о случаях гендерного насилия и торговли людьми. Комитет выражает обеспокоенность в связи с отсутствием более целенаправленной и согласованной системы сбора и анализа данных, которая необходима для эффективного мониторинга выполнения обязательств государства-участника по Конвенции.</w:t>
      </w:r>
    </w:p>
    <w:p w14:paraId="2C0F7B12" w14:textId="4D2012C6" w:rsidR="00C9465B" w:rsidRPr="004E4EB5" w:rsidRDefault="00C9465B" w:rsidP="00C9465B">
      <w:pPr>
        <w:pStyle w:val="SingleTxtG"/>
        <w:rPr>
          <w:b/>
          <w:bCs/>
        </w:rPr>
      </w:pPr>
      <w:r>
        <w:t>52.</w:t>
      </w:r>
      <w:r>
        <w:tab/>
      </w:r>
      <w:r>
        <w:rPr>
          <w:b/>
          <w:bCs/>
        </w:rPr>
        <w:t xml:space="preserve">Государству-участнику следует активизировать усилия по укреплению своего потенциала в области сбора, </w:t>
      </w:r>
      <w:proofErr w:type="spellStart"/>
      <w:r>
        <w:rPr>
          <w:b/>
          <w:bCs/>
        </w:rPr>
        <w:t>дезагрегирования</w:t>
      </w:r>
      <w:proofErr w:type="spellEnd"/>
      <w:r>
        <w:rPr>
          <w:b/>
          <w:bCs/>
        </w:rPr>
        <w:t xml:space="preserve"> и анализа статистических данных, относящихся к мониторингу осуществления Конвенции, более целенаправленным и согласованным образом, включая информацию о жалобах, расследованиях, преследованиях и приговорах по делам о пытках и жестоком обращении со стороны сил безопасности и персонала тюрем, гендерном насилии и торговле людьми, а также о средствах правовой защиты, включая возмещение ущерба жертвам и их реабилитацию.</w:t>
      </w:r>
      <w:r>
        <w:t xml:space="preserve"> </w:t>
      </w:r>
      <w:r>
        <w:rPr>
          <w:b/>
          <w:bCs/>
        </w:rPr>
        <w:t>Государству</w:t>
      </w:r>
      <w:r w:rsidR="00D875A6">
        <w:rPr>
          <w:b/>
          <w:bCs/>
        </w:rPr>
        <w:t>-</w:t>
      </w:r>
      <w:r>
        <w:rPr>
          <w:b/>
          <w:bCs/>
        </w:rPr>
        <w:t>участнику следует также представить обновленные статистические данные в разбивке по полу, возрасту, национальному или этническому происхождению и гражданству c указанием следующих показателей: a) число лиц, находящихся в предварительном заключении, и число осужденных, находящихся в заключении, а также показатель заполненности каждого места содержания под стражей;</w:t>
      </w:r>
      <w:r>
        <w:t xml:space="preserve"> </w:t>
      </w:r>
      <w:r>
        <w:rPr>
          <w:b/>
          <w:bCs/>
        </w:rPr>
        <w:t>и b) число ходатайств о предоставлении убежища, которые были получены в течение рассматриваемого периода, число удовлетворенных ходатайств и число просителей убежища, ходатайства которых были удовлетворены на том основании, что они подвергались или могли быть подвергнуты пыткам в случае возвращения в страну происхождения.</w:t>
      </w:r>
      <w:r>
        <w:t xml:space="preserve"> </w:t>
      </w:r>
      <w:r>
        <w:rPr>
          <w:b/>
          <w:bCs/>
        </w:rPr>
        <w:t>Государству-участнику следует также представить данные в разбивке по странам происхождения о числе лиц, которые были возвращены, выданы или высланы после рассмотрения его первоначального доклада, а также список стран возвращения.</w:t>
      </w:r>
    </w:p>
    <w:p w14:paraId="68F12426" w14:textId="77777777" w:rsidR="00C9465B" w:rsidRPr="004E4EB5" w:rsidRDefault="00C9465B" w:rsidP="00C9465B">
      <w:pPr>
        <w:pStyle w:val="H23G"/>
      </w:pPr>
      <w:r>
        <w:tab/>
      </w:r>
      <w:r>
        <w:tab/>
      </w:r>
      <w:r>
        <w:rPr>
          <w:bCs/>
        </w:rPr>
        <w:t>Процедура последующей деятельности</w:t>
      </w:r>
    </w:p>
    <w:p w14:paraId="0604B201" w14:textId="7BC391E0" w:rsidR="00C9465B" w:rsidRPr="004E4EB5" w:rsidRDefault="00C9465B" w:rsidP="00C9465B">
      <w:pPr>
        <w:pStyle w:val="SingleTxtG"/>
        <w:rPr>
          <w:b/>
          <w:bCs/>
        </w:rPr>
      </w:pPr>
      <w:r>
        <w:t>53.</w:t>
      </w:r>
      <w:r>
        <w:tab/>
      </w:r>
      <w:r>
        <w:rPr>
          <w:b/>
          <w:bCs/>
        </w:rPr>
        <w:t xml:space="preserve">Комитет просит государство-участника представить к 25 ноября 2023 года информацию о мерах по выполнению рекомендаций Комитета, касающихся чрезмерного применения силы во время демонстраций весной 2021 года и осенью 2022 года, условий содержания под стражей, случаев смерти в заключении и сбора статистических данных (см. </w:t>
      </w:r>
      <w:proofErr w:type="spellStart"/>
      <w:r>
        <w:rPr>
          <w:b/>
          <w:bCs/>
        </w:rPr>
        <w:t>п</w:t>
      </w:r>
      <w:r w:rsidR="00FE71BF">
        <w:rPr>
          <w:b/>
          <w:bCs/>
        </w:rPr>
        <w:t>п</w:t>
      </w:r>
      <w:proofErr w:type="spellEnd"/>
      <w:r w:rsidR="00FE71BF">
        <w:rPr>
          <w:b/>
          <w:bCs/>
        </w:rPr>
        <w:t>.</w:t>
      </w:r>
      <w:r>
        <w:rPr>
          <w:b/>
          <w:bCs/>
        </w:rPr>
        <w:t xml:space="preserve"> 9 с) и е), 28 d), 34 и 52 выше).</w:t>
      </w:r>
      <w:r>
        <w:t xml:space="preserve"> </w:t>
      </w:r>
      <w:r>
        <w:rPr>
          <w:b/>
          <w:bCs/>
        </w:rPr>
        <w:t>В связи с этим государству-участнику также предлагается сообщить Комитету о своих планах по выполнению в предстоящий отчетный период некоторых или всех оставшихся рекомендаций, содержащихся в данных заключительных замечаниях.</w:t>
      </w:r>
    </w:p>
    <w:p w14:paraId="7D2D8EED" w14:textId="77777777" w:rsidR="00C9465B" w:rsidRPr="00175AFA" w:rsidRDefault="00C9465B" w:rsidP="00C9465B">
      <w:pPr>
        <w:pStyle w:val="H23G"/>
      </w:pPr>
      <w:r>
        <w:tab/>
      </w:r>
      <w:r>
        <w:tab/>
      </w:r>
      <w:r>
        <w:rPr>
          <w:bCs/>
        </w:rPr>
        <w:t>Прочие вопросы</w:t>
      </w:r>
    </w:p>
    <w:p w14:paraId="57D10DA3" w14:textId="77777777" w:rsidR="00C9465B" w:rsidRPr="004E4EB5" w:rsidRDefault="00C9465B" w:rsidP="00C9465B">
      <w:pPr>
        <w:pStyle w:val="SingleTxtG"/>
        <w:rPr>
          <w:b/>
          <w:bCs/>
        </w:rPr>
      </w:pPr>
      <w:r>
        <w:t>54.</w:t>
      </w:r>
      <w:r>
        <w:tab/>
      </w:r>
      <w:r>
        <w:rPr>
          <w:b/>
          <w:bCs/>
        </w:rPr>
        <w:t>Комитет призывает государство-участника рассмотреть возможность выступить с заявлением по статьям 21 и 22 Конвенции.</w:t>
      </w:r>
    </w:p>
    <w:p w14:paraId="0A0503A7" w14:textId="77777777" w:rsidR="00C9465B" w:rsidRPr="004E4EB5" w:rsidRDefault="00C9465B" w:rsidP="00C9465B">
      <w:pPr>
        <w:pStyle w:val="SingleTxtG"/>
      </w:pPr>
      <w:r>
        <w:lastRenderedPageBreak/>
        <w:t>55.</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а также сообщить Комитету о мероприятиях, проводимых им в целях их распространения.</w:t>
      </w:r>
    </w:p>
    <w:p w14:paraId="7D69E48C" w14:textId="77777777" w:rsidR="00C9465B" w:rsidRPr="004E4EB5" w:rsidRDefault="00C9465B" w:rsidP="00C9465B">
      <w:pPr>
        <w:pStyle w:val="SingleTxtG"/>
      </w:pPr>
      <w:r>
        <w:t>56.</w:t>
      </w:r>
      <w:r>
        <w:tab/>
      </w:r>
      <w:r>
        <w:rPr>
          <w:b/>
          <w:bCs/>
        </w:rPr>
        <w:t>Комитет просит государство-участника представить свой следующий третий периодический доклад не позднее 25 ноября 2026 года.</w:t>
      </w:r>
      <w:r>
        <w:t xml:space="preserve"> </w:t>
      </w:r>
      <w:r>
        <w:rPr>
          <w:b/>
          <w:bCs/>
        </w:rPr>
        <w:t>С этой целью и с учетом того, что государство-участник согласилось представлять Комитету доклады по упрощенной процедуре представления докладов, Комитет в надлежащее время препроводит государству-участнику перечень вопросов до представления доклада.</w:t>
      </w:r>
      <w:r>
        <w:t xml:space="preserve"> </w:t>
      </w:r>
      <w:r>
        <w:rPr>
          <w:b/>
          <w:bCs/>
        </w:rPr>
        <w:t>Ответы государства-участника на этот перечень вопросов составят его третий периодический доклад в соответствии со статьей 19 Конвенции.</w:t>
      </w:r>
    </w:p>
    <w:p w14:paraId="3F503391" w14:textId="31515C3E" w:rsidR="00381C24" w:rsidRPr="00C9465B" w:rsidRDefault="00C9465B" w:rsidP="0011756C">
      <w:pPr>
        <w:pStyle w:val="SingleTxtG"/>
        <w:spacing w:before="240" w:after="0"/>
        <w:jc w:val="center"/>
      </w:pPr>
      <w:r w:rsidRPr="004E4EB5">
        <w:rPr>
          <w:u w:val="single"/>
        </w:rPr>
        <w:tab/>
      </w:r>
      <w:r w:rsidRPr="004E4EB5">
        <w:rPr>
          <w:u w:val="single"/>
        </w:rPr>
        <w:tab/>
      </w:r>
      <w:r w:rsidRPr="004E4EB5">
        <w:rPr>
          <w:u w:val="single"/>
        </w:rPr>
        <w:tab/>
      </w:r>
    </w:p>
    <w:sectPr w:rsidR="00381C24" w:rsidRPr="00C9465B" w:rsidSect="00C9465B">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7E801" w14:textId="77777777" w:rsidR="000F32E7" w:rsidRPr="00A312BC" w:rsidRDefault="000F32E7" w:rsidP="00A312BC"/>
  </w:endnote>
  <w:endnote w:type="continuationSeparator" w:id="0">
    <w:p w14:paraId="32FF4515" w14:textId="77777777" w:rsidR="000F32E7" w:rsidRPr="00A312BC" w:rsidRDefault="000F32E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6117B" w14:textId="07A59901" w:rsidR="00C9465B" w:rsidRPr="00C9465B" w:rsidRDefault="00C9465B">
    <w:pPr>
      <w:pStyle w:val="a8"/>
    </w:pPr>
    <w:r w:rsidRPr="00C9465B">
      <w:rPr>
        <w:b/>
        <w:sz w:val="18"/>
      </w:rPr>
      <w:fldChar w:fldCharType="begin"/>
    </w:r>
    <w:r w:rsidRPr="00C9465B">
      <w:rPr>
        <w:b/>
        <w:sz w:val="18"/>
      </w:rPr>
      <w:instrText xml:space="preserve"> PAGE  \* MERGEFORMAT </w:instrText>
    </w:r>
    <w:r w:rsidRPr="00C9465B">
      <w:rPr>
        <w:b/>
        <w:sz w:val="18"/>
      </w:rPr>
      <w:fldChar w:fldCharType="separate"/>
    </w:r>
    <w:r w:rsidRPr="00C9465B">
      <w:rPr>
        <w:b/>
        <w:noProof/>
        <w:sz w:val="18"/>
      </w:rPr>
      <w:t>2</w:t>
    </w:r>
    <w:r w:rsidRPr="00C9465B">
      <w:rPr>
        <w:b/>
        <w:sz w:val="18"/>
      </w:rPr>
      <w:fldChar w:fldCharType="end"/>
    </w:r>
    <w:r>
      <w:rPr>
        <w:b/>
        <w:sz w:val="18"/>
      </w:rPr>
      <w:tab/>
    </w:r>
    <w:r>
      <w:t>GE.22-26897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0A8B" w14:textId="650929B4" w:rsidR="00C9465B" w:rsidRPr="00C9465B" w:rsidRDefault="00C9465B" w:rsidP="00C9465B">
    <w:pPr>
      <w:pStyle w:val="a8"/>
      <w:tabs>
        <w:tab w:val="clear" w:pos="9639"/>
        <w:tab w:val="right" w:pos="9638"/>
      </w:tabs>
      <w:rPr>
        <w:b/>
        <w:sz w:val="18"/>
      </w:rPr>
    </w:pPr>
    <w:r>
      <w:t>GE.22-26897</w:t>
    </w:r>
    <w:r>
      <w:tab/>
    </w:r>
    <w:r w:rsidRPr="00C9465B">
      <w:rPr>
        <w:b/>
        <w:sz w:val="18"/>
      </w:rPr>
      <w:fldChar w:fldCharType="begin"/>
    </w:r>
    <w:r w:rsidRPr="00C9465B">
      <w:rPr>
        <w:b/>
        <w:sz w:val="18"/>
      </w:rPr>
      <w:instrText xml:space="preserve"> PAGE  \* MERGEFORMAT </w:instrText>
    </w:r>
    <w:r w:rsidRPr="00C9465B">
      <w:rPr>
        <w:b/>
        <w:sz w:val="18"/>
      </w:rPr>
      <w:fldChar w:fldCharType="separate"/>
    </w:r>
    <w:r w:rsidRPr="00C9465B">
      <w:rPr>
        <w:b/>
        <w:noProof/>
        <w:sz w:val="18"/>
      </w:rPr>
      <w:t>3</w:t>
    </w:r>
    <w:r w:rsidRPr="00C946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E03CE" w14:textId="712F893A" w:rsidR="00042B72" w:rsidRPr="00C9465B" w:rsidRDefault="00C9465B" w:rsidP="00C9465B">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EF154B4" wp14:editId="06F3726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w:t>
    </w:r>
    <w:proofErr w:type="gramStart"/>
    <w:r>
      <w:t>26897  (</w:t>
    </w:r>
    <w:proofErr w:type="gramEnd"/>
    <w:r>
      <w:t>R)</w:t>
    </w:r>
    <w:r>
      <w:rPr>
        <w:noProof/>
      </w:rPr>
      <w:drawing>
        <wp:anchor distT="0" distB="0" distL="114300" distR="114300" simplePos="0" relativeHeight="251659264" behindDoc="0" locked="0" layoutInCell="1" allowOverlap="1" wp14:anchorId="54ABB1BA" wp14:editId="02C214AC">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240223  270223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7B222" w14:textId="77777777" w:rsidR="000F32E7" w:rsidRPr="001075E9" w:rsidRDefault="000F32E7" w:rsidP="001075E9">
      <w:pPr>
        <w:tabs>
          <w:tab w:val="right" w:pos="2155"/>
        </w:tabs>
        <w:spacing w:after="80" w:line="240" w:lineRule="auto"/>
        <w:ind w:left="680"/>
        <w:rPr>
          <w:u w:val="single"/>
        </w:rPr>
      </w:pPr>
      <w:r>
        <w:rPr>
          <w:u w:val="single"/>
        </w:rPr>
        <w:tab/>
      </w:r>
    </w:p>
  </w:footnote>
  <w:footnote w:type="continuationSeparator" w:id="0">
    <w:p w14:paraId="0B1AEF57" w14:textId="77777777" w:rsidR="000F32E7" w:rsidRDefault="000F32E7" w:rsidP="00407B78">
      <w:pPr>
        <w:tabs>
          <w:tab w:val="right" w:pos="2155"/>
        </w:tabs>
        <w:spacing w:after="80"/>
        <w:ind w:left="680"/>
        <w:rPr>
          <w:u w:val="single"/>
        </w:rPr>
      </w:pPr>
      <w:r>
        <w:rPr>
          <w:u w:val="single"/>
        </w:rPr>
        <w:tab/>
      </w:r>
    </w:p>
  </w:footnote>
  <w:footnote w:id="1">
    <w:p w14:paraId="685A3DB5" w14:textId="0CC7172B" w:rsidR="00C9465B" w:rsidRPr="004E4EB5" w:rsidRDefault="00C9465B" w:rsidP="00C9465B">
      <w:pPr>
        <w:pStyle w:val="ad"/>
      </w:pPr>
      <w:r>
        <w:tab/>
      </w:r>
      <w:r w:rsidRPr="00670ACB">
        <w:rPr>
          <w:sz w:val="20"/>
        </w:rPr>
        <w:t>*</w:t>
      </w:r>
      <w:r>
        <w:tab/>
        <w:t xml:space="preserve">Приняты Комитетом на его семьдесят пятой сессии (31 октября </w:t>
      </w:r>
      <w:r w:rsidR="0045146C" w:rsidRPr="0045146C">
        <w:t>—</w:t>
      </w:r>
      <w:r>
        <w:t xml:space="preserve"> 25 ноября 2022 года).</w:t>
      </w:r>
    </w:p>
  </w:footnote>
  <w:footnote w:id="2">
    <w:p w14:paraId="68FE3F5D" w14:textId="7BED01D5" w:rsidR="00C9465B" w:rsidRPr="004E4EB5" w:rsidRDefault="00C9465B" w:rsidP="00C9465B">
      <w:pPr>
        <w:pStyle w:val="ad"/>
        <w:rPr>
          <w:lang w:val="de-AT"/>
        </w:rPr>
      </w:pPr>
      <w:r w:rsidRPr="003028B5">
        <w:tab/>
      </w:r>
      <w:r w:rsidRPr="0050790F">
        <w:rPr>
          <w:rStyle w:val="aa"/>
        </w:rPr>
        <w:footnoteRef/>
      </w:r>
      <w:r w:rsidRPr="004E4EB5">
        <w:rPr>
          <w:lang w:val="de-AT"/>
        </w:rPr>
        <w:tab/>
      </w:r>
      <w:hyperlink r:id="rId1" w:history="1">
        <w:r w:rsidRPr="00F3765B">
          <w:rPr>
            <w:rStyle w:val="af1"/>
            <w:lang w:val="de-AT"/>
          </w:rPr>
          <w:t>CAT/C/TCD/2</w:t>
        </w:r>
      </w:hyperlink>
      <w:r w:rsidRPr="004E4EB5">
        <w:rPr>
          <w:lang w:val="de-AT"/>
        </w:rPr>
        <w:t xml:space="preserve">. </w:t>
      </w:r>
    </w:p>
  </w:footnote>
  <w:footnote w:id="3">
    <w:p w14:paraId="7CD1C13A" w14:textId="6818C637" w:rsidR="00C9465B" w:rsidRPr="004E4EB5" w:rsidRDefault="00C9465B" w:rsidP="00C9465B">
      <w:pPr>
        <w:pStyle w:val="ad"/>
        <w:rPr>
          <w:lang w:val="de-AT"/>
        </w:rPr>
      </w:pPr>
      <w:r w:rsidRPr="004E4EB5">
        <w:rPr>
          <w:lang w:val="de-AT"/>
        </w:rPr>
        <w:tab/>
      </w:r>
      <w:r w:rsidRPr="0050790F">
        <w:rPr>
          <w:rStyle w:val="aa"/>
        </w:rPr>
        <w:footnoteRef/>
      </w:r>
      <w:r w:rsidRPr="004E4EB5">
        <w:rPr>
          <w:lang w:val="de-AT"/>
        </w:rPr>
        <w:tab/>
      </w:r>
      <w:r>
        <w:t>См</w:t>
      </w:r>
      <w:r w:rsidRPr="004E4EB5">
        <w:rPr>
          <w:lang w:val="de-AT"/>
        </w:rPr>
        <w:t xml:space="preserve">. </w:t>
      </w:r>
      <w:hyperlink r:id="rId2" w:history="1">
        <w:r w:rsidRPr="00F3765B">
          <w:rPr>
            <w:rStyle w:val="af1"/>
            <w:lang w:val="de-AT"/>
          </w:rPr>
          <w:t>CAT/C/SR.1939</w:t>
        </w:r>
      </w:hyperlink>
      <w:r w:rsidRPr="004E4EB5">
        <w:rPr>
          <w:lang w:val="de-AT"/>
        </w:rPr>
        <w:t xml:space="preserve"> </w:t>
      </w:r>
      <w:r>
        <w:t>и</w:t>
      </w:r>
      <w:r w:rsidRPr="004E4EB5">
        <w:rPr>
          <w:lang w:val="de-AT"/>
        </w:rPr>
        <w:t xml:space="preserve"> </w:t>
      </w:r>
      <w:hyperlink r:id="rId3" w:history="1">
        <w:r w:rsidRPr="00F3765B">
          <w:rPr>
            <w:rStyle w:val="af1"/>
            <w:lang w:val="de-AT"/>
          </w:rPr>
          <w:t>CAT/C/SR.1943</w:t>
        </w:r>
      </w:hyperlink>
      <w:r w:rsidRPr="004E4EB5">
        <w:rPr>
          <w:lang w:val="de-AT"/>
        </w:rPr>
        <w:t xml:space="preserve">. </w:t>
      </w:r>
    </w:p>
  </w:footnote>
  <w:footnote w:id="4">
    <w:p w14:paraId="15EEC43C" w14:textId="02F21A42" w:rsidR="00C9465B" w:rsidRPr="004B3F24" w:rsidRDefault="00C9465B" w:rsidP="00C9465B">
      <w:pPr>
        <w:pStyle w:val="ad"/>
        <w:rPr>
          <w:lang w:val="en-GB"/>
        </w:rPr>
      </w:pPr>
      <w:r w:rsidRPr="00175AFA">
        <w:rPr>
          <w:lang w:val="de-AT"/>
        </w:rPr>
        <w:tab/>
      </w:r>
      <w:r w:rsidRPr="0050790F">
        <w:rPr>
          <w:rStyle w:val="aa"/>
        </w:rPr>
        <w:footnoteRef/>
      </w:r>
      <w:r w:rsidRPr="004B3F24">
        <w:rPr>
          <w:lang w:val="en-GB"/>
        </w:rPr>
        <w:tab/>
      </w:r>
      <w:r w:rsidR="00772B8A" w:rsidRPr="005F2132">
        <w:rPr>
          <w:rStyle w:val="af1"/>
          <w:lang w:val="de-AT"/>
        </w:rPr>
        <w:fldChar w:fldCharType="begin"/>
      </w:r>
      <w:r w:rsidR="005F2132" w:rsidRPr="005F2132">
        <w:rPr>
          <w:rStyle w:val="af1"/>
          <w:lang w:val="de-AT"/>
        </w:rPr>
        <w:instrText>HYPERLINK "http://undocs.org/ru/CAT/C/TCD/CO/1"</w:instrText>
      </w:r>
      <w:r w:rsidR="00772B8A" w:rsidRPr="005F2132">
        <w:rPr>
          <w:rStyle w:val="af1"/>
          <w:lang w:val="de-AT"/>
        </w:rPr>
        <w:fldChar w:fldCharType="separate"/>
      </w:r>
      <w:r w:rsidRPr="005F2132">
        <w:rPr>
          <w:rStyle w:val="af1"/>
          <w:lang w:val="de-AT"/>
        </w:rPr>
        <w:t>CAT/C/TCD/CO/1</w:t>
      </w:r>
      <w:r w:rsidR="00772B8A" w:rsidRPr="005F2132">
        <w:rPr>
          <w:rStyle w:val="af1"/>
          <w:lang w:val="de-AT"/>
        </w:rPr>
        <w:fldChar w:fldCharType="end"/>
      </w:r>
      <w:r w:rsidRPr="00F706AB">
        <w:rPr>
          <w:lang w:val="en-GB"/>
        </w:rPr>
        <w:t xml:space="preserve">, </w:t>
      </w:r>
      <w:r>
        <w:t>п</w:t>
      </w:r>
      <w:r w:rsidR="00FC6EEB" w:rsidRPr="00FC6EEB">
        <w:rPr>
          <w:lang w:val="en-US"/>
        </w:rPr>
        <w:t xml:space="preserve">. </w:t>
      </w:r>
      <w:r>
        <w:rPr>
          <w:lang w:val="en-GB"/>
        </w:rPr>
        <w:t>43.</w:t>
      </w:r>
    </w:p>
  </w:footnote>
  <w:footnote w:id="5">
    <w:p w14:paraId="03EAF683" w14:textId="1C76793F" w:rsidR="00C9465B" w:rsidRPr="004E4EB5" w:rsidRDefault="00C9465B" w:rsidP="00C9465B">
      <w:pPr>
        <w:pStyle w:val="ad"/>
      </w:pPr>
      <w:r w:rsidRPr="004E4EB5">
        <w:rPr>
          <w:lang w:val="en-US"/>
        </w:rPr>
        <w:tab/>
      </w:r>
      <w:r w:rsidRPr="0050790F">
        <w:rPr>
          <w:rStyle w:val="aa"/>
        </w:rPr>
        <w:footnoteRef/>
      </w:r>
      <w:r>
        <w:tab/>
        <w:t xml:space="preserve">Там же, </w:t>
      </w:r>
      <w:proofErr w:type="spellStart"/>
      <w:r>
        <w:t>п</w:t>
      </w:r>
      <w:r w:rsidR="00FC6EEB">
        <w:t>п</w:t>
      </w:r>
      <w:proofErr w:type="spellEnd"/>
      <w:r w:rsidR="00FC6EEB">
        <w:t>.</w:t>
      </w:r>
      <w:r>
        <w:t xml:space="preserve"> 13, 17, 22, 24, 28 и 34.</w:t>
      </w:r>
    </w:p>
  </w:footnote>
  <w:footnote w:id="6">
    <w:p w14:paraId="67FFA25B" w14:textId="4D437A07" w:rsidR="00C9465B" w:rsidRPr="004E4EB5" w:rsidRDefault="00C9465B" w:rsidP="00C9465B">
      <w:pPr>
        <w:pStyle w:val="ad"/>
      </w:pPr>
      <w:r>
        <w:tab/>
      </w:r>
      <w:r w:rsidRPr="0050790F">
        <w:rPr>
          <w:rStyle w:val="aa"/>
        </w:rPr>
        <w:footnoteRef/>
      </w:r>
      <w:r>
        <w:tab/>
        <w:t>Комитет против пыток, замечание общего порядка № 2 (2007), п</w:t>
      </w:r>
      <w:r w:rsidR="00C2299B">
        <w:t>.</w:t>
      </w:r>
      <w:r>
        <w:t xml:space="preserve"> 9.</w:t>
      </w:r>
    </w:p>
  </w:footnote>
  <w:footnote w:id="7">
    <w:p w14:paraId="550461B0" w14:textId="11551B0F" w:rsidR="00C9465B" w:rsidRPr="004E4EB5" w:rsidRDefault="00C9465B" w:rsidP="00C9465B">
      <w:pPr>
        <w:pStyle w:val="ad"/>
      </w:pPr>
      <w:r>
        <w:tab/>
      </w:r>
      <w:r w:rsidRPr="0050790F">
        <w:rPr>
          <w:rStyle w:val="aa"/>
        </w:rPr>
        <w:footnoteRef/>
      </w:r>
      <w:r>
        <w:tab/>
        <w:t>Чад, Уголовный кодекс, ст</w:t>
      </w:r>
      <w:r w:rsidR="00D72763">
        <w:t>.</w:t>
      </w:r>
      <w:r>
        <w:t xml:space="preserve"> 356–358. </w:t>
      </w:r>
    </w:p>
  </w:footnote>
  <w:footnote w:id="8">
    <w:p w14:paraId="2424749B" w14:textId="0970A3CC" w:rsidR="00C9465B" w:rsidRPr="00F74520" w:rsidRDefault="00C9465B" w:rsidP="00C9465B">
      <w:pPr>
        <w:pStyle w:val="ad"/>
      </w:pPr>
      <w:r w:rsidRPr="004B3F24">
        <w:tab/>
      </w:r>
      <w:r w:rsidRPr="0050790F">
        <w:rPr>
          <w:rStyle w:val="aa"/>
        </w:rPr>
        <w:footnoteRef/>
      </w:r>
      <w:r w:rsidRPr="00F74520">
        <w:tab/>
      </w:r>
      <w:hyperlink r:id="rId4" w:history="1">
        <w:r w:rsidRPr="00F3765B">
          <w:rPr>
            <w:rStyle w:val="af1"/>
            <w:lang w:val="en-US"/>
          </w:rPr>
          <w:t>CAT</w:t>
        </w:r>
        <w:r w:rsidRPr="00F74520">
          <w:rPr>
            <w:rStyle w:val="af1"/>
          </w:rPr>
          <w:t>/</w:t>
        </w:r>
        <w:r w:rsidRPr="00F3765B">
          <w:rPr>
            <w:rStyle w:val="af1"/>
            <w:lang w:val="en-US"/>
          </w:rPr>
          <w:t>C</w:t>
        </w:r>
        <w:r w:rsidRPr="00F74520">
          <w:rPr>
            <w:rStyle w:val="af1"/>
          </w:rPr>
          <w:t>/</w:t>
        </w:r>
        <w:r w:rsidRPr="00F3765B">
          <w:rPr>
            <w:rStyle w:val="af1"/>
            <w:lang w:val="en-US"/>
          </w:rPr>
          <w:t>TCD</w:t>
        </w:r>
        <w:r w:rsidRPr="00F74520">
          <w:rPr>
            <w:rStyle w:val="af1"/>
          </w:rPr>
          <w:t>/</w:t>
        </w:r>
        <w:r w:rsidRPr="00F3765B">
          <w:rPr>
            <w:rStyle w:val="af1"/>
            <w:lang w:val="en-US"/>
          </w:rPr>
          <w:t>CO</w:t>
        </w:r>
        <w:r w:rsidRPr="00F74520">
          <w:rPr>
            <w:rStyle w:val="af1"/>
          </w:rPr>
          <w:t>/1</w:t>
        </w:r>
      </w:hyperlink>
      <w:r w:rsidRPr="00F74520">
        <w:t xml:space="preserve">, </w:t>
      </w:r>
      <w:r>
        <w:t>п</w:t>
      </w:r>
      <w:r w:rsidR="00F30A26" w:rsidRPr="00F74520">
        <w:t>.</w:t>
      </w:r>
      <w:r w:rsidRPr="00F74520">
        <w:t xml:space="preserve"> 19. </w:t>
      </w:r>
    </w:p>
  </w:footnote>
  <w:footnote w:id="9">
    <w:p w14:paraId="259A25B8" w14:textId="6903BDB4" w:rsidR="00C9465B" w:rsidRPr="004E4EB5" w:rsidRDefault="00C9465B" w:rsidP="00A7791B">
      <w:pPr>
        <w:pStyle w:val="ad"/>
      </w:pPr>
      <w:r w:rsidRPr="00F74520">
        <w:tab/>
      </w:r>
      <w:r w:rsidRPr="0050790F">
        <w:rPr>
          <w:rStyle w:val="aa"/>
        </w:rPr>
        <w:footnoteRef/>
      </w:r>
      <w:r>
        <w:tab/>
        <w:t>Комитет против пыток, Замечание общего порядка № 3 (2012), п</w:t>
      </w:r>
      <w:r w:rsidR="00F13810">
        <w:t>.</w:t>
      </w:r>
      <w:r>
        <w:t xml:space="preserve"> 26, в котором Комитет установил, что возбуждение гражданского иска, на основании которого жертва предъявляет требование о компенсации, не должно ставиться в зависимость от уголовного дела, поскольку уголовная ответственность не зависит от права жертвы на компенсацию.</w:t>
      </w:r>
    </w:p>
  </w:footnote>
  <w:footnote w:id="10">
    <w:p w14:paraId="25A5BB4B" w14:textId="55A0F02B" w:rsidR="00C9465B" w:rsidRPr="00BA0FF2" w:rsidRDefault="00C9465B" w:rsidP="00A7791B">
      <w:pPr>
        <w:pStyle w:val="ad"/>
      </w:pPr>
      <w:r>
        <w:tab/>
      </w:r>
      <w:r w:rsidRPr="0050790F">
        <w:rPr>
          <w:rStyle w:val="aa"/>
        </w:rPr>
        <w:footnoteRef/>
      </w:r>
      <w:r>
        <w:tab/>
        <w:t xml:space="preserve">Стамбульский протокол был обновлен в 2022 году (на момент публикации настоящих заключительных замечаний был доступен только на английском языке); см. Управление Верховного комиссара ООН по правам человека, </w:t>
      </w:r>
      <w:r w:rsidRPr="00AD17D9">
        <w:rPr>
          <w:i/>
          <w:iCs/>
        </w:rPr>
        <w:t>Стамбульский протокол: Руководство по эффективному расследованию и документальному подтверждению пыток и других жестоких, бесчеловечных или унижающих достоинство видов обращения и наказания</w:t>
      </w:r>
      <w:r>
        <w:t xml:space="preserve"> (издание ООН, 2022 г</w:t>
      </w:r>
      <w:r w:rsidR="00A7791B">
        <w:t>од</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5AD3A" w14:textId="54980759" w:rsidR="00C9465B" w:rsidRPr="00C9465B" w:rsidRDefault="00772B8A">
    <w:pPr>
      <w:pStyle w:val="a5"/>
    </w:pPr>
    <w:fldSimple w:instr=" TITLE  \* MERGEFORMAT ">
      <w:r w:rsidR="00EE01A4">
        <w:t>CAT/C/TCD/CO/2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A4EA6" w14:textId="3A65CFEE" w:rsidR="00C9465B" w:rsidRPr="00C9465B" w:rsidRDefault="00772B8A" w:rsidP="00C9465B">
    <w:pPr>
      <w:pStyle w:val="a5"/>
      <w:jc w:val="right"/>
    </w:pPr>
    <w:fldSimple w:instr=" TITLE  \* MERGEFORMAT ">
      <w:r w:rsidR="00EE01A4">
        <w:t>CAT/C/TCD/CO/2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A34A2" w14:textId="77777777" w:rsidR="00C9465B" w:rsidRDefault="00C9465B" w:rsidP="00C9465B">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271324757">
    <w:abstractNumId w:val="17"/>
  </w:num>
  <w:num w:numId="2" w16cid:durableId="1257983060">
    <w:abstractNumId w:val="11"/>
  </w:num>
  <w:num w:numId="3" w16cid:durableId="1452556259">
    <w:abstractNumId w:val="15"/>
  </w:num>
  <w:num w:numId="4" w16cid:durableId="122358318">
    <w:abstractNumId w:val="10"/>
  </w:num>
  <w:num w:numId="5" w16cid:durableId="14775423">
    <w:abstractNumId w:val="13"/>
  </w:num>
  <w:num w:numId="6" w16cid:durableId="1559392459">
    <w:abstractNumId w:val="8"/>
  </w:num>
  <w:num w:numId="7" w16cid:durableId="1235630867">
    <w:abstractNumId w:val="3"/>
  </w:num>
  <w:num w:numId="8" w16cid:durableId="1743330983">
    <w:abstractNumId w:val="2"/>
  </w:num>
  <w:num w:numId="9" w16cid:durableId="488180197">
    <w:abstractNumId w:val="1"/>
  </w:num>
  <w:num w:numId="10" w16cid:durableId="216745489">
    <w:abstractNumId w:val="0"/>
  </w:num>
  <w:num w:numId="11" w16cid:durableId="407192140">
    <w:abstractNumId w:val="9"/>
  </w:num>
  <w:num w:numId="12" w16cid:durableId="1660305892">
    <w:abstractNumId w:val="7"/>
  </w:num>
  <w:num w:numId="13" w16cid:durableId="449133863">
    <w:abstractNumId w:val="6"/>
  </w:num>
  <w:num w:numId="14" w16cid:durableId="671378413">
    <w:abstractNumId w:val="5"/>
  </w:num>
  <w:num w:numId="15" w16cid:durableId="886452651">
    <w:abstractNumId w:val="4"/>
  </w:num>
  <w:num w:numId="16" w16cid:durableId="1891382654">
    <w:abstractNumId w:val="16"/>
  </w:num>
  <w:num w:numId="17" w16cid:durableId="584805444">
    <w:abstractNumId w:val="12"/>
  </w:num>
  <w:num w:numId="18" w16cid:durableId="1381901421">
    <w:abstractNumId w:val="14"/>
  </w:num>
  <w:num w:numId="19" w16cid:durableId="1456101406">
    <w:abstractNumId w:val="16"/>
  </w:num>
  <w:num w:numId="20" w16cid:durableId="2017807865">
    <w:abstractNumId w:val="12"/>
  </w:num>
  <w:num w:numId="21" w16cid:durableId="198430699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2E7"/>
    <w:rsid w:val="00013DA5"/>
    <w:rsid w:val="00030741"/>
    <w:rsid w:val="00033EE1"/>
    <w:rsid w:val="00041407"/>
    <w:rsid w:val="00042B72"/>
    <w:rsid w:val="000558BD"/>
    <w:rsid w:val="000725B5"/>
    <w:rsid w:val="000814CD"/>
    <w:rsid w:val="000A5F54"/>
    <w:rsid w:val="000B57E7"/>
    <w:rsid w:val="000B5B8A"/>
    <w:rsid w:val="000B6373"/>
    <w:rsid w:val="000F09DF"/>
    <w:rsid w:val="000F32E7"/>
    <w:rsid w:val="000F61B2"/>
    <w:rsid w:val="00104B37"/>
    <w:rsid w:val="001075E9"/>
    <w:rsid w:val="0011756C"/>
    <w:rsid w:val="00180183"/>
    <w:rsid w:val="0018024D"/>
    <w:rsid w:val="0018649F"/>
    <w:rsid w:val="00196389"/>
    <w:rsid w:val="001A24C5"/>
    <w:rsid w:val="001B3EF6"/>
    <w:rsid w:val="001C7A89"/>
    <w:rsid w:val="002322F9"/>
    <w:rsid w:val="00236E9C"/>
    <w:rsid w:val="00247058"/>
    <w:rsid w:val="00251015"/>
    <w:rsid w:val="002902E3"/>
    <w:rsid w:val="00294A53"/>
    <w:rsid w:val="002A2EFC"/>
    <w:rsid w:val="002C0E18"/>
    <w:rsid w:val="002D525E"/>
    <w:rsid w:val="002D5AAC"/>
    <w:rsid w:val="002E5067"/>
    <w:rsid w:val="002F405F"/>
    <w:rsid w:val="002F7EEC"/>
    <w:rsid w:val="00301299"/>
    <w:rsid w:val="00307FB6"/>
    <w:rsid w:val="00311B88"/>
    <w:rsid w:val="00315ED6"/>
    <w:rsid w:val="00317339"/>
    <w:rsid w:val="00322004"/>
    <w:rsid w:val="003269FF"/>
    <w:rsid w:val="003402C2"/>
    <w:rsid w:val="00350665"/>
    <w:rsid w:val="003525AF"/>
    <w:rsid w:val="003746FC"/>
    <w:rsid w:val="00374EC6"/>
    <w:rsid w:val="00381C24"/>
    <w:rsid w:val="00393C46"/>
    <w:rsid w:val="003958D0"/>
    <w:rsid w:val="003B00E5"/>
    <w:rsid w:val="003B28F3"/>
    <w:rsid w:val="003B3367"/>
    <w:rsid w:val="00401D44"/>
    <w:rsid w:val="00403C9E"/>
    <w:rsid w:val="00407B78"/>
    <w:rsid w:val="004226CD"/>
    <w:rsid w:val="00424203"/>
    <w:rsid w:val="00431DFA"/>
    <w:rsid w:val="00442E47"/>
    <w:rsid w:val="0045146C"/>
    <w:rsid w:val="00452493"/>
    <w:rsid w:val="00454E07"/>
    <w:rsid w:val="00472C5C"/>
    <w:rsid w:val="004D42BC"/>
    <w:rsid w:val="004F3F0B"/>
    <w:rsid w:val="0050108D"/>
    <w:rsid w:val="00513081"/>
    <w:rsid w:val="00515CCF"/>
    <w:rsid w:val="00517901"/>
    <w:rsid w:val="0052495A"/>
    <w:rsid w:val="00526683"/>
    <w:rsid w:val="00550706"/>
    <w:rsid w:val="005709E0"/>
    <w:rsid w:val="00570A37"/>
    <w:rsid w:val="00572E19"/>
    <w:rsid w:val="005865E9"/>
    <w:rsid w:val="0058663C"/>
    <w:rsid w:val="005961C8"/>
    <w:rsid w:val="005A55C9"/>
    <w:rsid w:val="005B6CBE"/>
    <w:rsid w:val="005C79A6"/>
    <w:rsid w:val="005D7914"/>
    <w:rsid w:val="005E2B41"/>
    <w:rsid w:val="005F0B42"/>
    <w:rsid w:val="005F2132"/>
    <w:rsid w:val="00601875"/>
    <w:rsid w:val="00614C3D"/>
    <w:rsid w:val="0063794C"/>
    <w:rsid w:val="00650198"/>
    <w:rsid w:val="00670ACB"/>
    <w:rsid w:val="00675408"/>
    <w:rsid w:val="00681A10"/>
    <w:rsid w:val="00682E72"/>
    <w:rsid w:val="00696961"/>
    <w:rsid w:val="006A1ED8"/>
    <w:rsid w:val="006C2031"/>
    <w:rsid w:val="006D461A"/>
    <w:rsid w:val="006F35EE"/>
    <w:rsid w:val="007021FF"/>
    <w:rsid w:val="00712895"/>
    <w:rsid w:val="00757357"/>
    <w:rsid w:val="00772B8A"/>
    <w:rsid w:val="00793D46"/>
    <w:rsid w:val="00825F8D"/>
    <w:rsid w:val="00834B71"/>
    <w:rsid w:val="00834BC3"/>
    <w:rsid w:val="00834CC0"/>
    <w:rsid w:val="0086445C"/>
    <w:rsid w:val="008944EF"/>
    <w:rsid w:val="00894693"/>
    <w:rsid w:val="008A08D7"/>
    <w:rsid w:val="008B6909"/>
    <w:rsid w:val="00906890"/>
    <w:rsid w:val="00911BE4"/>
    <w:rsid w:val="00914EF0"/>
    <w:rsid w:val="00951972"/>
    <w:rsid w:val="00953B7A"/>
    <w:rsid w:val="009569AF"/>
    <w:rsid w:val="009608F3"/>
    <w:rsid w:val="009847C5"/>
    <w:rsid w:val="00993C91"/>
    <w:rsid w:val="009A24AC"/>
    <w:rsid w:val="00A24CAD"/>
    <w:rsid w:val="00A312BC"/>
    <w:rsid w:val="00A478EF"/>
    <w:rsid w:val="00A64F66"/>
    <w:rsid w:val="00A66C5E"/>
    <w:rsid w:val="00A74D9D"/>
    <w:rsid w:val="00A7791B"/>
    <w:rsid w:val="00A84021"/>
    <w:rsid w:val="00A84D35"/>
    <w:rsid w:val="00A917B3"/>
    <w:rsid w:val="00A9624A"/>
    <w:rsid w:val="00AB4B51"/>
    <w:rsid w:val="00AD17D9"/>
    <w:rsid w:val="00B10CC7"/>
    <w:rsid w:val="00B14BA5"/>
    <w:rsid w:val="00B20CB2"/>
    <w:rsid w:val="00B539E7"/>
    <w:rsid w:val="00B56F96"/>
    <w:rsid w:val="00B62458"/>
    <w:rsid w:val="00B77A22"/>
    <w:rsid w:val="00BA00AE"/>
    <w:rsid w:val="00BA472E"/>
    <w:rsid w:val="00BA734B"/>
    <w:rsid w:val="00BC18B2"/>
    <w:rsid w:val="00BD33EE"/>
    <w:rsid w:val="00BF0F2C"/>
    <w:rsid w:val="00C04701"/>
    <w:rsid w:val="00C106D6"/>
    <w:rsid w:val="00C2299B"/>
    <w:rsid w:val="00C23549"/>
    <w:rsid w:val="00C60F0C"/>
    <w:rsid w:val="00C805C9"/>
    <w:rsid w:val="00C80E26"/>
    <w:rsid w:val="00C838C6"/>
    <w:rsid w:val="00C92939"/>
    <w:rsid w:val="00C9465B"/>
    <w:rsid w:val="00CA1679"/>
    <w:rsid w:val="00CB151C"/>
    <w:rsid w:val="00CC09DB"/>
    <w:rsid w:val="00CE5A1A"/>
    <w:rsid w:val="00CF55F6"/>
    <w:rsid w:val="00D33D63"/>
    <w:rsid w:val="00D7263B"/>
    <w:rsid w:val="00D72763"/>
    <w:rsid w:val="00D875A6"/>
    <w:rsid w:val="00D87790"/>
    <w:rsid w:val="00D90028"/>
    <w:rsid w:val="00D90138"/>
    <w:rsid w:val="00DB573F"/>
    <w:rsid w:val="00DF71B9"/>
    <w:rsid w:val="00E2022B"/>
    <w:rsid w:val="00E21169"/>
    <w:rsid w:val="00E2361D"/>
    <w:rsid w:val="00E5213E"/>
    <w:rsid w:val="00E528D1"/>
    <w:rsid w:val="00E62B5C"/>
    <w:rsid w:val="00E73F76"/>
    <w:rsid w:val="00EA2C9F"/>
    <w:rsid w:val="00ED0BDA"/>
    <w:rsid w:val="00EE01A4"/>
    <w:rsid w:val="00EF1360"/>
    <w:rsid w:val="00EF3220"/>
    <w:rsid w:val="00F13810"/>
    <w:rsid w:val="00F21B00"/>
    <w:rsid w:val="00F30A26"/>
    <w:rsid w:val="00F34284"/>
    <w:rsid w:val="00F3765B"/>
    <w:rsid w:val="00F74520"/>
    <w:rsid w:val="00F82DE6"/>
    <w:rsid w:val="00F90E40"/>
    <w:rsid w:val="00F94155"/>
    <w:rsid w:val="00F9783F"/>
    <w:rsid w:val="00FA1323"/>
    <w:rsid w:val="00FA7F7F"/>
    <w:rsid w:val="00FC6EEB"/>
    <w:rsid w:val="00FD2EF7"/>
    <w:rsid w:val="00FE447E"/>
    <w:rsid w:val="00FE71BF"/>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99442B"/>
  <w15:docId w15:val="{28F96CAC-7526-4DD0-A00B-46F786E73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Footnote,callout,Footnote Refernece,Footnote Reference Number,Fußnotenzeichen_Raxen,BVI fnr,Fago Fußnotenzeichen,Footnotes refss,Style 10,ftref,16 Point,Superscript 6 Point,Footnote number,Endnote Text1,Ref,de nota al pie"/>
    <w:basedOn w:val="a0"/>
    <w:link w:val="4GCharChar"/>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1,Footnote Text Char Char1,Footnote Text Char1 Char Char1,Footnote Text Char Char1 Char Char,Footnote Text Char1 Char Char1 Char Char,ft Char Char Char Char Char,Geneva 9 Char Char Char Char Char,fn,f"/>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1 Знак,Footnote Text Char Char1 Знак,Footnote Text Char1 Char Char1 Знак,Footnote Text Char Char1 Char Char Знак,Footnote Text Char1 Char Char1 Char Char Знак,ft Char Char Char Char Char Знак,fn Знак,f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link w:val="SingleTxtG"/>
    <w:rsid w:val="00C9465B"/>
    <w:rPr>
      <w:lang w:val="ru-RU" w:eastAsia="en-US"/>
    </w:rPr>
  </w:style>
  <w:style w:type="character" w:customStyle="1" w:styleId="HChGChar">
    <w:name w:val="_ H _Ch_G Char"/>
    <w:link w:val="HChG"/>
    <w:rsid w:val="00C9465B"/>
    <w:rPr>
      <w:b/>
      <w:sz w:val="28"/>
      <w:lang w:val="ru-RU" w:eastAsia="ru-RU"/>
    </w:rPr>
  </w:style>
  <w:style w:type="character" w:customStyle="1" w:styleId="H1GChar">
    <w:name w:val="_ H_1_G Char"/>
    <w:link w:val="H1G"/>
    <w:locked/>
    <w:rsid w:val="00C9465B"/>
    <w:rPr>
      <w:b/>
      <w:sz w:val="24"/>
      <w:lang w:val="ru-RU" w:eastAsia="ru-RU"/>
    </w:rPr>
  </w:style>
  <w:style w:type="character" w:customStyle="1" w:styleId="H23GChar">
    <w:name w:val="_ H_2/3_G Char"/>
    <w:link w:val="H23G"/>
    <w:locked/>
    <w:rsid w:val="00C9465B"/>
    <w:rPr>
      <w:b/>
      <w:lang w:val="ru-RU" w:eastAsia="ru-RU"/>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a"/>
    <w:link w:val="aa"/>
    <w:rsid w:val="00C9465B"/>
    <w:pPr>
      <w:suppressAutoHyphens w:val="0"/>
      <w:spacing w:after="160" w:line="240" w:lineRule="exact"/>
    </w:pPr>
    <w:rPr>
      <w:rFonts w:eastAsia="Times New Roman" w:cs="Times New Roman"/>
      <w:sz w:val="18"/>
      <w:szCs w:val="20"/>
      <w:vertAlign w:val="superscript"/>
      <w:lang w:val="es-ES" w:eastAsia="es-ES"/>
    </w:rPr>
  </w:style>
  <w:style w:type="character" w:styleId="af3">
    <w:name w:val="Unresolved Mention"/>
    <w:basedOn w:val="a0"/>
    <w:uiPriority w:val="99"/>
    <w:semiHidden/>
    <w:unhideWhenUsed/>
    <w:rsid w:val="00F376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ru/CAT/C/SR.1943" TargetMode="External"/><Relationship Id="rId2" Type="http://schemas.openxmlformats.org/officeDocument/2006/relationships/hyperlink" Target="http://undocs.org/ru/CAT/C/SR.1939" TargetMode="External"/><Relationship Id="rId1" Type="http://schemas.openxmlformats.org/officeDocument/2006/relationships/hyperlink" Target="http://undocs.org/ru/CAT/C/TCD/2" TargetMode="External"/><Relationship Id="rId4" Type="http://schemas.openxmlformats.org/officeDocument/2006/relationships/hyperlink" Target="http://undocs.org/ru/CAT/C/TC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01B40-6FB5-42FD-A0B0-14F3B3C30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18</Pages>
  <Words>7268</Words>
  <Characters>50188</Characters>
  <Application>Microsoft Office Word</Application>
  <DocSecurity>0</DocSecurity>
  <Lines>890</Lines>
  <Paragraphs>173</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CAT/C/TCD/CO/2</vt:lpstr>
      <vt:lpstr>A/</vt:lpstr>
      <vt:lpstr>A/</vt:lpstr>
      <vt:lpstr>A/</vt:lpstr>
    </vt:vector>
  </TitlesOfParts>
  <Company>DCM</Company>
  <LinksUpToDate>false</LinksUpToDate>
  <CharactersWithSpaces>57453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CAT/C/TCD/CO/2</dc:title>
  <dc:subject/>
  <dc:creator>Shuvalova NATALIA</dc:creator>
  <cp:keywords/>
  <cp:lastModifiedBy>Natalia Shuvalova</cp:lastModifiedBy>
  <cp:revision>2</cp:revision>
  <cp:lastPrinted>2008-01-15T07:58:00Z</cp:lastPrinted>
  <dcterms:created xsi:type="dcterms:W3CDTF">2023-02-27T13:00:00Z</dcterms:created>
  <dcterms:modified xsi:type="dcterms:W3CDTF">2023-02-27T13:00:00Z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