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9A5D2" w14:textId="77777777" w:rsidR="00A479BE" w:rsidRPr="00363F79" w:rsidRDefault="00A479BE" w:rsidP="00A479BE">
      <w:pPr>
        <w:spacing w:line="60" w:lineRule="exact"/>
        <w:rPr>
          <w:sz w:val="2"/>
        </w:rPr>
        <w:sectPr w:rsidR="00A479BE" w:rsidRPr="00363F79" w:rsidSect="00EC5EEF">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363F79">
        <w:rPr>
          <w:rStyle w:val="ad"/>
        </w:rPr>
        <w:commentReference w:id="0"/>
      </w:r>
    </w:p>
    <w:p w14:paraId="792E5921" w14:textId="77777777" w:rsidR="00EC5EEF" w:rsidRPr="00363F79" w:rsidRDefault="00EC5EEF" w:rsidP="00EC5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363F79">
        <w:rPr>
          <w:rFonts w:hint="eastAsia"/>
        </w:rPr>
        <w:t>消除对妇女歧视委员会</w:t>
      </w:r>
    </w:p>
    <w:p w14:paraId="304408BB" w14:textId="4FB949FE" w:rsidR="00EC5EEF" w:rsidRPr="00363F79" w:rsidRDefault="00EC5EEF" w:rsidP="00EC5EE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363F79">
        <w:rPr>
          <w:noProof/>
        </w:rPr>
        <mc:AlternateContent>
          <mc:Choice Requires="wps">
            <w:drawing>
              <wp:anchor distT="0" distB="0" distL="114300" distR="114300" simplePos="0" relativeHeight="251659264" behindDoc="0" locked="0" layoutInCell="1" allowOverlap="1" wp14:anchorId="78065518" wp14:editId="3B1C88EF">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B014AC" id="直接连接符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363F79">
        <w:rPr>
          <w:sz w:val="18"/>
        </w:rPr>
        <w:tab/>
        <w:t>*</w:t>
      </w:r>
      <w:r w:rsidRPr="00363F79">
        <w:rPr>
          <w:sz w:val="18"/>
        </w:rPr>
        <w:tab/>
      </w:r>
      <w:r w:rsidRPr="00363F79">
        <w:rPr>
          <w:rFonts w:hint="eastAsia"/>
          <w:sz w:val="18"/>
        </w:rPr>
        <w:t>委员会第七十八届会议</w:t>
      </w:r>
      <w:r w:rsidRPr="00363F79">
        <w:rPr>
          <w:rFonts w:hint="eastAsia"/>
          <w:sz w:val="18"/>
        </w:rPr>
        <w:t>(2021</w:t>
      </w:r>
      <w:r w:rsidRPr="00363F79">
        <w:rPr>
          <w:rFonts w:hint="eastAsia"/>
          <w:sz w:val="18"/>
        </w:rPr>
        <w:t>年</w:t>
      </w:r>
      <w:r w:rsidRPr="00363F79">
        <w:rPr>
          <w:rFonts w:hint="eastAsia"/>
          <w:sz w:val="18"/>
        </w:rPr>
        <w:t>2</w:t>
      </w:r>
      <w:r w:rsidRPr="00363F79">
        <w:rPr>
          <w:rFonts w:hint="eastAsia"/>
          <w:sz w:val="18"/>
        </w:rPr>
        <w:t>月</w:t>
      </w:r>
      <w:r w:rsidRPr="00363F79">
        <w:rPr>
          <w:rFonts w:hint="eastAsia"/>
          <w:sz w:val="18"/>
        </w:rPr>
        <w:t>15</w:t>
      </w:r>
      <w:r w:rsidRPr="00363F79">
        <w:rPr>
          <w:rFonts w:hint="eastAsia"/>
          <w:sz w:val="18"/>
        </w:rPr>
        <w:t>日至</w:t>
      </w:r>
      <w:r w:rsidRPr="00363F79">
        <w:rPr>
          <w:rFonts w:hint="eastAsia"/>
          <w:sz w:val="18"/>
        </w:rPr>
        <w:t>25</w:t>
      </w:r>
      <w:r w:rsidRPr="00363F79">
        <w:rPr>
          <w:rFonts w:hint="eastAsia"/>
          <w:sz w:val="18"/>
        </w:rPr>
        <w:t>日和</w:t>
      </w:r>
      <w:r w:rsidRPr="00363F79">
        <w:rPr>
          <w:rFonts w:hint="eastAsia"/>
          <w:sz w:val="18"/>
        </w:rPr>
        <w:t>3</w:t>
      </w:r>
      <w:r w:rsidRPr="00363F79">
        <w:rPr>
          <w:rFonts w:hint="eastAsia"/>
          <w:sz w:val="18"/>
        </w:rPr>
        <w:t>月</w:t>
      </w:r>
      <w:r w:rsidRPr="00363F79">
        <w:rPr>
          <w:rFonts w:hint="eastAsia"/>
          <w:sz w:val="18"/>
        </w:rPr>
        <w:t>4</w:t>
      </w:r>
      <w:r w:rsidRPr="00363F79">
        <w:rPr>
          <w:rFonts w:hint="eastAsia"/>
          <w:sz w:val="18"/>
        </w:rPr>
        <w:t>日</w:t>
      </w:r>
      <w:r w:rsidRPr="00363F79">
        <w:rPr>
          <w:rFonts w:hint="eastAsia"/>
          <w:sz w:val="18"/>
        </w:rPr>
        <w:t>)</w:t>
      </w:r>
      <w:r w:rsidRPr="00363F79">
        <w:rPr>
          <w:rFonts w:hint="eastAsia"/>
          <w:sz w:val="18"/>
        </w:rPr>
        <w:t>通过。</w:t>
      </w:r>
    </w:p>
    <w:p w14:paraId="021E3044" w14:textId="77777777" w:rsidR="00EC5EEF" w:rsidRPr="00363F79" w:rsidRDefault="00EC5EEF" w:rsidP="00EC5EEF">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363F79">
        <w:rPr>
          <w:rFonts w:hint="eastAsia"/>
        </w:rPr>
        <w:tab/>
      </w:r>
      <w:r w:rsidRPr="00363F79">
        <w:rPr>
          <w:rFonts w:hint="eastAsia"/>
        </w:rPr>
        <w:tab/>
      </w:r>
      <w:r w:rsidRPr="00363F79">
        <w:rPr>
          <w:rFonts w:hint="eastAsia"/>
        </w:rPr>
        <w:t>关于丹麦第九次定期报告的结论性意见</w:t>
      </w:r>
      <w:r w:rsidRPr="00363F79">
        <w:rPr>
          <w:rFonts w:hint="eastAsia"/>
        </w:rPr>
        <w:t>*</w:t>
      </w:r>
    </w:p>
    <w:p w14:paraId="1C90ECAE" w14:textId="47B89DC2" w:rsidR="00EC5EEF" w:rsidRPr="00363F79" w:rsidRDefault="00EC5EEF" w:rsidP="00EC5EEF">
      <w:pPr>
        <w:pStyle w:val="SingleTxt"/>
      </w:pPr>
      <w:r w:rsidRPr="00363F79">
        <w:rPr>
          <w:rFonts w:hint="eastAsia"/>
        </w:rPr>
        <w:t>1.</w:t>
      </w:r>
      <w:r w:rsidRPr="00363F79">
        <w:rPr>
          <w:rFonts w:hint="eastAsia"/>
        </w:rPr>
        <w:tab/>
      </w:r>
      <w:r w:rsidRPr="00363F79">
        <w:rPr>
          <w:rFonts w:hint="eastAsia"/>
        </w:rPr>
        <w:t>委员会在</w:t>
      </w:r>
      <w:r w:rsidRPr="00363F79">
        <w:rPr>
          <w:rFonts w:hint="eastAsia"/>
        </w:rPr>
        <w:t>2021</w:t>
      </w:r>
      <w:r w:rsidRPr="00363F79">
        <w:rPr>
          <w:rFonts w:hint="eastAsia"/>
        </w:rPr>
        <w:t>年</w:t>
      </w:r>
      <w:r w:rsidRPr="001804FA">
        <w:rPr>
          <w:rFonts w:hint="eastAsia"/>
        </w:rPr>
        <w:t>2</w:t>
      </w:r>
      <w:r w:rsidRPr="001804FA">
        <w:rPr>
          <w:rFonts w:hint="eastAsia"/>
        </w:rPr>
        <w:t>月</w:t>
      </w:r>
      <w:r w:rsidRPr="001804FA">
        <w:rPr>
          <w:rFonts w:hint="eastAsia"/>
        </w:rPr>
        <w:t>22</w:t>
      </w:r>
      <w:r w:rsidR="001804FA" w:rsidRPr="001804FA">
        <w:rPr>
          <w:rFonts w:hint="eastAsia"/>
        </w:rPr>
        <w:t>至</w:t>
      </w:r>
      <w:r w:rsidRPr="001804FA">
        <w:rPr>
          <w:rFonts w:hint="eastAsia"/>
        </w:rPr>
        <w:t>24</w:t>
      </w:r>
      <w:r w:rsidRPr="001804FA">
        <w:rPr>
          <w:rFonts w:hint="eastAsia"/>
        </w:rPr>
        <w:t>日</w:t>
      </w:r>
      <w:r w:rsidRPr="00363F79">
        <w:rPr>
          <w:rFonts w:hint="eastAsia"/>
        </w:rPr>
        <w:t>举行的第</w:t>
      </w:r>
      <w:r w:rsidRPr="00363F79">
        <w:rPr>
          <w:rFonts w:hint="eastAsia"/>
        </w:rPr>
        <w:t>1797</w:t>
      </w:r>
      <w:r w:rsidRPr="00363F79">
        <w:rPr>
          <w:rFonts w:hint="eastAsia"/>
        </w:rPr>
        <w:t>次、</w:t>
      </w:r>
      <w:r w:rsidRPr="00363F79">
        <w:rPr>
          <w:rFonts w:hint="eastAsia"/>
        </w:rPr>
        <w:t>1798</w:t>
      </w:r>
      <w:r w:rsidRPr="00363F79">
        <w:rPr>
          <w:rFonts w:hint="eastAsia"/>
        </w:rPr>
        <w:t>次和</w:t>
      </w:r>
      <w:r w:rsidRPr="00363F79">
        <w:rPr>
          <w:rFonts w:hint="eastAsia"/>
        </w:rPr>
        <w:t>1799</w:t>
      </w:r>
      <w:r w:rsidRPr="00363F79">
        <w:rPr>
          <w:rFonts w:hint="eastAsia"/>
        </w:rPr>
        <w:t>次会议</w:t>
      </w:r>
      <w:r w:rsidRPr="00363F79">
        <w:rPr>
          <w:rFonts w:hint="eastAsia"/>
        </w:rPr>
        <w:t>(</w:t>
      </w:r>
      <w:r w:rsidRPr="00363F79">
        <w:rPr>
          <w:rFonts w:hint="eastAsia"/>
        </w:rPr>
        <w:t>见</w:t>
      </w:r>
      <w:hyperlink r:id="rId17" w:history="1">
        <w:r w:rsidRPr="00363F79">
          <w:rPr>
            <w:rStyle w:val="af4"/>
            <w:rFonts w:hint="eastAsia"/>
          </w:rPr>
          <w:t>CEDAW/C/SR.1797</w:t>
        </w:r>
      </w:hyperlink>
      <w:r w:rsidRPr="00363F79">
        <w:rPr>
          <w:rFonts w:hint="eastAsia"/>
        </w:rPr>
        <w:t>、</w:t>
      </w:r>
      <w:hyperlink r:id="rId18" w:history="1">
        <w:r w:rsidRPr="00363F79">
          <w:rPr>
            <w:rStyle w:val="af4"/>
            <w:rFonts w:hint="eastAsia"/>
          </w:rPr>
          <w:t>CEDAW/C/SR.1798</w:t>
        </w:r>
      </w:hyperlink>
      <w:r w:rsidRPr="00363F79">
        <w:rPr>
          <w:rFonts w:hint="eastAsia"/>
        </w:rPr>
        <w:t>和</w:t>
      </w:r>
      <w:hyperlink r:id="rId19" w:history="1">
        <w:r w:rsidRPr="00363F79">
          <w:rPr>
            <w:rStyle w:val="af4"/>
            <w:rFonts w:hint="eastAsia"/>
          </w:rPr>
          <w:t>CEDAW/C/SR.1799</w:t>
        </w:r>
      </w:hyperlink>
      <w:r w:rsidRPr="00363F79">
        <w:rPr>
          <w:rFonts w:hint="eastAsia"/>
        </w:rPr>
        <w:t>)</w:t>
      </w:r>
      <w:r w:rsidRPr="00363F79">
        <w:rPr>
          <w:rFonts w:hint="eastAsia"/>
        </w:rPr>
        <w:t>上审议了丹麦第九次定期报告</w:t>
      </w:r>
      <w:r w:rsidRPr="00363F79">
        <w:rPr>
          <w:rFonts w:hint="eastAsia"/>
        </w:rPr>
        <w:t>(</w:t>
      </w:r>
      <w:hyperlink r:id="rId20" w:history="1">
        <w:r w:rsidRPr="00363F79">
          <w:rPr>
            <w:rStyle w:val="af4"/>
            <w:rFonts w:hint="eastAsia"/>
          </w:rPr>
          <w:t>CEDAW/C/DNK/9</w:t>
        </w:r>
      </w:hyperlink>
      <w:r w:rsidRPr="00363F79">
        <w:rPr>
          <w:rFonts w:hint="eastAsia"/>
        </w:rPr>
        <w:t>)</w:t>
      </w:r>
      <w:r w:rsidRPr="00363F79">
        <w:rPr>
          <w:rFonts w:hint="eastAsia"/>
        </w:rPr>
        <w:t>。会前工作组提出的议题和问题清单载于</w:t>
      </w:r>
      <w:hyperlink r:id="rId21" w:history="1">
        <w:r w:rsidRPr="00363F79">
          <w:rPr>
            <w:rStyle w:val="af4"/>
            <w:rFonts w:hint="eastAsia"/>
          </w:rPr>
          <w:t>CEDAW/C/DNK/Q/9</w:t>
        </w:r>
      </w:hyperlink>
      <w:r w:rsidRPr="00363F79">
        <w:rPr>
          <w:rFonts w:hint="eastAsia"/>
        </w:rPr>
        <w:t>，丹麦的答复载于</w:t>
      </w:r>
      <w:hyperlink r:id="rId22" w:history="1">
        <w:r w:rsidRPr="00363F79">
          <w:rPr>
            <w:rStyle w:val="af4"/>
            <w:rFonts w:hint="eastAsia"/>
          </w:rPr>
          <w:t>CEDAW/C/DNK/RQ/9</w:t>
        </w:r>
      </w:hyperlink>
      <w:r w:rsidRPr="00363F79">
        <w:rPr>
          <w:rFonts w:hint="eastAsia"/>
        </w:rPr>
        <w:t>。</w:t>
      </w:r>
    </w:p>
    <w:p w14:paraId="7ED48A67" w14:textId="77777777" w:rsidR="00EC5EEF" w:rsidRPr="00363F79" w:rsidRDefault="00EC5EEF" w:rsidP="00EC5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t>A.</w:t>
      </w:r>
      <w:r w:rsidRPr="00363F79">
        <w:rPr>
          <w:rFonts w:hint="eastAsia"/>
        </w:rPr>
        <w:tab/>
      </w:r>
      <w:r w:rsidRPr="00363F79">
        <w:rPr>
          <w:rFonts w:hint="eastAsia"/>
        </w:rPr>
        <w:t>导言</w:t>
      </w:r>
    </w:p>
    <w:p w14:paraId="3ACE7E4A" w14:textId="1088F698" w:rsidR="00EC5EEF" w:rsidRPr="00363F79" w:rsidRDefault="00EC5EEF" w:rsidP="00EC5EEF">
      <w:pPr>
        <w:pStyle w:val="SingleTxt"/>
      </w:pPr>
      <w:r w:rsidRPr="00363F79">
        <w:rPr>
          <w:rFonts w:hint="eastAsia"/>
        </w:rPr>
        <w:t>2.</w:t>
      </w:r>
      <w:r w:rsidRPr="00363F79">
        <w:rPr>
          <w:rFonts w:hint="eastAsia"/>
        </w:rPr>
        <w:tab/>
      </w:r>
      <w:r w:rsidRPr="00363F79">
        <w:rPr>
          <w:rFonts w:hint="eastAsia"/>
        </w:rPr>
        <w:t>委员会赞赏缔约国提交第九次定期报告及其针对委员会先前结论性意见的后续报告</w:t>
      </w:r>
      <w:r w:rsidRPr="00363F79">
        <w:rPr>
          <w:rFonts w:hint="eastAsia"/>
        </w:rPr>
        <w:t>(</w:t>
      </w:r>
      <w:hyperlink r:id="rId23" w:history="1">
        <w:r w:rsidRPr="00363F79">
          <w:rPr>
            <w:rStyle w:val="af4"/>
            <w:rFonts w:hint="eastAsia"/>
          </w:rPr>
          <w:t>CEDAW/C/DNK/CO/8/Add.1</w:t>
        </w:r>
      </w:hyperlink>
      <w:r w:rsidRPr="00363F79">
        <w:rPr>
          <w:rFonts w:hint="eastAsia"/>
        </w:rPr>
        <w:t>)</w:t>
      </w:r>
      <w:r w:rsidRPr="00363F79">
        <w:rPr>
          <w:rFonts w:hint="eastAsia"/>
        </w:rPr>
        <w:t>。委员会还欢迎丹麦代表团和格陵兰和法罗群岛领土代表团所作的口头介绍，以及对委员会在对话期间口头提出的问题所作的进一步澄清。</w:t>
      </w:r>
    </w:p>
    <w:p w14:paraId="1ECFB3E0" w14:textId="4A3FDC92" w:rsidR="00EC5EEF" w:rsidRPr="00363F79" w:rsidRDefault="00EC5EEF" w:rsidP="00EC5EEF">
      <w:pPr>
        <w:pStyle w:val="SingleTxt"/>
      </w:pPr>
      <w:r w:rsidRPr="00363F79">
        <w:rPr>
          <w:rFonts w:hint="eastAsia"/>
        </w:rPr>
        <w:t>3.</w:t>
      </w:r>
      <w:r w:rsidRPr="00363F79">
        <w:rPr>
          <w:rFonts w:hint="eastAsia"/>
        </w:rPr>
        <w:tab/>
      </w:r>
      <w:r w:rsidRPr="00363F79">
        <w:rPr>
          <w:rFonts w:hint="eastAsia"/>
        </w:rPr>
        <w:t>委员会赞扬缔约国考虑到</w:t>
      </w:r>
      <w:r w:rsidRPr="00363F79">
        <w:rPr>
          <w:rFonts w:hint="eastAsia"/>
        </w:rPr>
        <w:t>2019</w:t>
      </w:r>
      <w:r w:rsidRPr="00363F79">
        <w:rPr>
          <w:rFonts w:hint="eastAsia"/>
        </w:rPr>
        <w:t>冠状病毒病</w:t>
      </w:r>
      <w:r w:rsidRPr="00363F79">
        <w:rPr>
          <w:rFonts w:hint="eastAsia"/>
        </w:rPr>
        <w:t>(COVID-19)</w:t>
      </w:r>
      <w:r w:rsidRPr="00363F79">
        <w:rPr>
          <w:rFonts w:hint="eastAsia"/>
        </w:rPr>
        <w:t>大流行和危机后重建，为避免缔约国在保护妇女权利方面出现差距，破例同意从哥本哈根、努克和托尔斯港远程参加与委员会的在线对话。委员会还赞扬由丹麦就业部性别平等司</w:t>
      </w:r>
      <w:r w:rsidRPr="00363F79">
        <w:rPr>
          <w:rFonts w:hint="eastAsia"/>
        </w:rPr>
        <w:t>Mette Kaae Hansen</w:t>
      </w:r>
      <w:r w:rsidRPr="00363F79">
        <w:rPr>
          <w:rFonts w:hint="eastAsia"/>
        </w:rPr>
        <w:t>率领的丹麦多部门代表团，成员包括丹麦外交部、就业部、司法部、社会事务和老年公民部、移民和融合部、卫生部、儿童和教育部、高等教育和科学部、</w:t>
      </w:r>
      <w:r w:rsidRPr="00363F79">
        <w:rPr>
          <w:rFonts w:hint="eastAsia"/>
        </w:rPr>
        <w:lastRenderedPageBreak/>
        <w:t>国防部、内政和住房部、文化部、工业、商业和金融事务部和财政部的代表；格陵兰总理府、外交部、卫生和性别平等部、社会事务、家庭和司法部、教育、文化和教会部的代表；法罗群岛总理府、外交和文化部、社会事务部、卫生部、财政部、环境、工业和贸易部的代表；丹麦常驻联合国日内瓦办事处和日内瓦其他国际组织代表团的代表。</w:t>
      </w:r>
    </w:p>
    <w:p w14:paraId="21346DCC" w14:textId="6CF42507" w:rsidR="00EC5EEF" w:rsidRPr="00363F79" w:rsidRDefault="00EC5EEF" w:rsidP="00EC5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bookmarkStart w:id="1" w:name="_GoBack"/>
      <w:bookmarkEnd w:id="1"/>
      <w:r w:rsidRPr="00363F79">
        <w:rPr>
          <w:rFonts w:hint="eastAsia"/>
        </w:rPr>
        <w:tab/>
        <w:t>B.</w:t>
      </w:r>
      <w:r w:rsidRPr="00363F79">
        <w:rPr>
          <w:rFonts w:hint="eastAsia"/>
        </w:rPr>
        <w:tab/>
      </w:r>
      <w:r w:rsidRPr="00363F79">
        <w:rPr>
          <w:rFonts w:hint="eastAsia"/>
        </w:rPr>
        <w:t>积极方面</w:t>
      </w:r>
    </w:p>
    <w:p w14:paraId="7364E148" w14:textId="654C0F02" w:rsidR="00EC5EEF" w:rsidRPr="00363F79" w:rsidRDefault="00EC5EEF" w:rsidP="002567DD">
      <w:pPr>
        <w:pStyle w:val="SingleTxt"/>
        <w:wordWrap w:val="0"/>
      </w:pPr>
      <w:r w:rsidRPr="00363F79">
        <w:rPr>
          <w:rFonts w:hint="eastAsia"/>
        </w:rPr>
        <w:t>4.</w:t>
      </w:r>
      <w:r w:rsidRPr="00363F79">
        <w:rPr>
          <w:rFonts w:hint="eastAsia"/>
        </w:rPr>
        <w:tab/>
      </w:r>
      <w:r w:rsidRPr="00363F79">
        <w:rPr>
          <w:rFonts w:hint="eastAsia"/>
        </w:rPr>
        <w:t>委员会欢迎缔约国在推进安全理事会妇女与和平与安全议程方面发挥的领导作用和作出的承诺，包括努力促进该议程的所有层面，这反映在安全理事会第</w:t>
      </w:r>
      <w:hyperlink r:id="rId24" w:history="1">
        <w:r w:rsidRPr="002567DD">
          <w:rPr>
            <w:rStyle w:val="af4"/>
            <w:rFonts w:hint="eastAsia"/>
            <w:spacing w:val="-4"/>
          </w:rPr>
          <w:t>1325(2000)</w:t>
        </w:r>
      </w:hyperlink>
      <w:r w:rsidRPr="002567DD">
        <w:rPr>
          <w:rFonts w:hint="eastAsia"/>
          <w:spacing w:val="-4"/>
        </w:rPr>
        <w:t>号、第</w:t>
      </w:r>
      <w:hyperlink r:id="rId25" w:history="1">
        <w:r w:rsidRPr="002567DD">
          <w:rPr>
            <w:rStyle w:val="af4"/>
            <w:rFonts w:hint="eastAsia"/>
            <w:spacing w:val="-4"/>
          </w:rPr>
          <w:t>1820(2008)</w:t>
        </w:r>
      </w:hyperlink>
      <w:r w:rsidRPr="002567DD">
        <w:rPr>
          <w:rFonts w:hint="eastAsia"/>
          <w:spacing w:val="-4"/>
        </w:rPr>
        <w:t>号、第</w:t>
      </w:r>
      <w:hyperlink r:id="rId26" w:history="1">
        <w:r w:rsidRPr="002567DD">
          <w:rPr>
            <w:rStyle w:val="af4"/>
            <w:rFonts w:hint="eastAsia"/>
            <w:spacing w:val="-4"/>
          </w:rPr>
          <w:t>1888(2009)</w:t>
        </w:r>
      </w:hyperlink>
      <w:r w:rsidRPr="002567DD">
        <w:rPr>
          <w:rFonts w:hint="eastAsia"/>
          <w:spacing w:val="-4"/>
        </w:rPr>
        <w:t>号、第</w:t>
      </w:r>
      <w:hyperlink r:id="rId27" w:history="1">
        <w:r w:rsidRPr="002567DD">
          <w:rPr>
            <w:rStyle w:val="af4"/>
            <w:rFonts w:hint="eastAsia"/>
            <w:spacing w:val="-4"/>
          </w:rPr>
          <w:t>1889(2009)</w:t>
        </w:r>
      </w:hyperlink>
      <w:r w:rsidRPr="002567DD">
        <w:rPr>
          <w:rFonts w:hint="eastAsia"/>
          <w:spacing w:val="-4"/>
        </w:rPr>
        <w:t>号、第</w:t>
      </w:r>
      <w:hyperlink r:id="rId28" w:history="1">
        <w:r w:rsidRPr="002567DD">
          <w:rPr>
            <w:rStyle w:val="af4"/>
            <w:rFonts w:hint="eastAsia"/>
            <w:spacing w:val="-4"/>
          </w:rPr>
          <w:t>1960(2010)</w:t>
        </w:r>
      </w:hyperlink>
      <w:r w:rsidRPr="00363F79">
        <w:rPr>
          <w:rFonts w:hint="eastAsia"/>
        </w:rPr>
        <w:t>号、第</w:t>
      </w:r>
      <w:hyperlink r:id="rId29" w:history="1">
        <w:r w:rsidRPr="00363F79">
          <w:rPr>
            <w:rStyle w:val="af4"/>
            <w:rFonts w:hint="eastAsia"/>
          </w:rPr>
          <w:t>2106(2013)</w:t>
        </w:r>
      </w:hyperlink>
      <w:r w:rsidRPr="00363F79">
        <w:rPr>
          <w:rFonts w:hint="eastAsia"/>
        </w:rPr>
        <w:t>号、第</w:t>
      </w:r>
      <w:hyperlink r:id="rId30" w:history="1">
        <w:r w:rsidRPr="00363F79">
          <w:rPr>
            <w:rStyle w:val="af4"/>
            <w:rFonts w:hint="eastAsia"/>
          </w:rPr>
          <w:t>2122(2013)</w:t>
        </w:r>
      </w:hyperlink>
      <w:r w:rsidRPr="00363F79">
        <w:rPr>
          <w:rFonts w:hint="eastAsia"/>
        </w:rPr>
        <w:t>号、第</w:t>
      </w:r>
      <w:hyperlink r:id="rId31" w:history="1">
        <w:r w:rsidRPr="00363F79">
          <w:rPr>
            <w:rStyle w:val="af4"/>
            <w:rFonts w:hint="eastAsia"/>
          </w:rPr>
          <w:t>2242(2015)</w:t>
        </w:r>
      </w:hyperlink>
      <w:r w:rsidRPr="00363F79">
        <w:rPr>
          <w:rFonts w:hint="eastAsia"/>
        </w:rPr>
        <w:t>号、第</w:t>
      </w:r>
      <w:hyperlink r:id="rId32" w:history="1">
        <w:r w:rsidRPr="00363F79">
          <w:rPr>
            <w:rStyle w:val="af4"/>
            <w:rFonts w:hint="eastAsia"/>
          </w:rPr>
          <w:t>2467(2019)</w:t>
        </w:r>
      </w:hyperlink>
      <w:r w:rsidRPr="00363F79">
        <w:rPr>
          <w:rFonts w:hint="eastAsia"/>
        </w:rPr>
        <w:t>号和第</w:t>
      </w:r>
      <w:hyperlink r:id="rId33" w:history="1">
        <w:r w:rsidRPr="00363F79">
          <w:rPr>
            <w:rStyle w:val="af4"/>
            <w:rFonts w:hint="eastAsia"/>
            <w:sz w:val="20"/>
          </w:rPr>
          <w:t>2</w:t>
        </w:r>
        <w:r w:rsidRPr="00363F79">
          <w:rPr>
            <w:rStyle w:val="af4"/>
            <w:rFonts w:hint="eastAsia"/>
          </w:rPr>
          <w:t>493(2019)</w:t>
        </w:r>
      </w:hyperlink>
      <w:r w:rsidRPr="00363F79">
        <w:rPr>
          <w:rFonts w:hint="eastAsia"/>
        </w:rPr>
        <w:t>号决议中。委员会还赞赏地注意到，缔约国是在性别平等方面排名最高的国家之一。</w:t>
      </w:r>
    </w:p>
    <w:p w14:paraId="00236D83" w14:textId="49DD78A9" w:rsidR="00EC5EEF" w:rsidRPr="00363F79" w:rsidRDefault="00EC5EEF" w:rsidP="00EC5EEF">
      <w:pPr>
        <w:pStyle w:val="SingleTxt"/>
      </w:pPr>
      <w:r w:rsidRPr="00363F79">
        <w:rPr>
          <w:rFonts w:hint="eastAsia"/>
        </w:rPr>
        <w:t>5.</w:t>
      </w:r>
      <w:r w:rsidRPr="00363F79">
        <w:rPr>
          <w:rFonts w:hint="eastAsia"/>
        </w:rPr>
        <w:tab/>
      </w:r>
      <w:r w:rsidRPr="00363F79">
        <w:rPr>
          <w:rFonts w:hint="eastAsia"/>
        </w:rPr>
        <w:t>委员会欢迎自</w:t>
      </w:r>
      <w:r w:rsidRPr="00363F79">
        <w:rPr>
          <w:rFonts w:hint="eastAsia"/>
        </w:rPr>
        <w:t>2015</w:t>
      </w:r>
      <w:r w:rsidRPr="00363F79">
        <w:rPr>
          <w:rFonts w:hint="eastAsia"/>
        </w:rPr>
        <w:t>年审议缔约国上次定期报告以来，缔约国在进行立法改革方面取得的进展，特别是以下措施：</w:t>
      </w:r>
    </w:p>
    <w:p w14:paraId="6A2CF2DC" w14:textId="31E8AD0C" w:rsidR="00EC5EEF" w:rsidRPr="00363F79" w:rsidRDefault="00EC5EEF" w:rsidP="00EC5EEF">
      <w:pPr>
        <w:pStyle w:val="SingleTxt"/>
      </w:pPr>
      <w:r w:rsidRPr="00363F79">
        <w:rPr>
          <w:rFonts w:hint="eastAsia"/>
        </w:rPr>
        <w:tab/>
        <w:t>(a)</w:t>
      </w:r>
      <w:r w:rsidRPr="00363F79">
        <w:rPr>
          <w:rFonts w:hint="eastAsia"/>
        </w:rPr>
        <w:tab/>
        <w:t>2020</w:t>
      </w:r>
      <w:r w:rsidRPr="00363F79">
        <w:rPr>
          <w:rFonts w:hint="eastAsia"/>
        </w:rPr>
        <w:t>年通过第</w:t>
      </w:r>
      <w:hyperlink r:id="rId34" w:history="1">
        <w:r w:rsidRPr="00363F79">
          <w:rPr>
            <w:rStyle w:val="af4"/>
            <w:rFonts w:hint="eastAsia"/>
          </w:rPr>
          <w:t>2208(2020)</w:t>
        </w:r>
      </w:hyperlink>
      <w:r w:rsidRPr="00363F79">
        <w:rPr>
          <w:rFonts w:hint="eastAsia"/>
        </w:rPr>
        <w:t>号法律，该法律于</w:t>
      </w:r>
      <w:r w:rsidRPr="00363F79">
        <w:rPr>
          <w:rFonts w:hint="eastAsia"/>
        </w:rPr>
        <w:t>2021</w:t>
      </w:r>
      <w:r w:rsidRPr="00363F79">
        <w:rPr>
          <w:rFonts w:hint="eastAsia"/>
        </w:rPr>
        <w:t>年</w:t>
      </w:r>
      <w:r w:rsidRPr="00363F79">
        <w:rPr>
          <w:rFonts w:hint="eastAsia"/>
        </w:rPr>
        <w:t>1</w:t>
      </w:r>
      <w:r w:rsidRPr="00363F79">
        <w:rPr>
          <w:rFonts w:hint="eastAsia"/>
        </w:rPr>
        <w:t>月</w:t>
      </w:r>
      <w:r w:rsidRPr="00363F79">
        <w:rPr>
          <w:rFonts w:hint="eastAsia"/>
        </w:rPr>
        <w:t>1</w:t>
      </w:r>
      <w:r w:rsidRPr="00363F79">
        <w:rPr>
          <w:rFonts w:hint="eastAsia"/>
        </w:rPr>
        <w:t>日生效，修正了《刑法》第</w:t>
      </w:r>
      <w:r w:rsidRPr="00363F79">
        <w:rPr>
          <w:rFonts w:hint="eastAsia"/>
        </w:rPr>
        <w:t>216</w:t>
      </w:r>
      <w:r w:rsidRPr="00363F79">
        <w:rPr>
          <w:rFonts w:hint="eastAsia"/>
        </w:rPr>
        <w:t>条第</w:t>
      </w:r>
      <w:r w:rsidRPr="00363F79">
        <w:rPr>
          <w:rFonts w:hint="eastAsia"/>
        </w:rPr>
        <w:t>1</w:t>
      </w:r>
      <w:r w:rsidRPr="00363F79">
        <w:rPr>
          <w:rFonts w:hint="eastAsia"/>
        </w:rPr>
        <w:t>款规定的强奸定义，使其基于未经同意，并于</w:t>
      </w:r>
      <w:r w:rsidRPr="00363F79">
        <w:rPr>
          <w:rFonts w:hint="eastAsia"/>
        </w:rPr>
        <w:t>2016</w:t>
      </w:r>
      <w:r w:rsidRPr="00363F79">
        <w:rPr>
          <w:rFonts w:hint="eastAsia"/>
        </w:rPr>
        <w:t>年通过了第</w:t>
      </w:r>
      <w:r w:rsidRPr="00363F79">
        <w:rPr>
          <w:rFonts w:hint="eastAsia"/>
        </w:rPr>
        <w:t>635/2016</w:t>
      </w:r>
      <w:r w:rsidRPr="00363F79">
        <w:rPr>
          <w:rFonts w:hint="eastAsia"/>
        </w:rPr>
        <w:t>号法律，该法律加重了对强奸的刑事处罚；</w:t>
      </w:r>
    </w:p>
    <w:p w14:paraId="596DCB92" w14:textId="46437FB9" w:rsidR="00EC5EEF" w:rsidRPr="00363F79" w:rsidRDefault="00EC5EEF" w:rsidP="002567DD">
      <w:pPr>
        <w:pStyle w:val="SingleTxt"/>
        <w:wordWrap w:val="0"/>
      </w:pPr>
      <w:r w:rsidRPr="00363F79">
        <w:rPr>
          <w:rFonts w:hint="eastAsia"/>
        </w:rPr>
        <w:tab/>
        <w:t>(b)</w:t>
      </w:r>
      <w:r w:rsidRPr="00363F79">
        <w:rPr>
          <w:rFonts w:hint="eastAsia"/>
        </w:rPr>
        <w:tab/>
      </w:r>
      <w:r w:rsidRPr="002567DD">
        <w:rPr>
          <w:rFonts w:hint="eastAsia"/>
          <w:spacing w:val="-6"/>
        </w:rPr>
        <w:t>2019</w:t>
      </w:r>
      <w:r w:rsidRPr="002567DD">
        <w:rPr>
          <w:rFonts w:hint="eastAsia"/>
          <w:spacing w:val="-6"/>
        </w:rPr>
        <w:t>年在《刑法》中纳入关于亲密关系中心理暴力的具体规定</w:t>
      </w:r>
      <w:r w:rsidR="00363F79" w:rsidRPr="002567DD">
        <w:rPr>
          <w:rFonts w:hint="eastAsia"/>
          <w:spacing w:val="-6"/>
        </w:rPr>
        <w:t>(</w:t>
      </w:r>
      <w:r w:rsidRPr="002567DD">
        <w:rPr>
          <w:rFonts w:hint="eastAsia"/>
          <w:spacing w:val="-6"/>
        </w:rPr>
        <w:t>见</w:t>
      </w:r>
      <w:hyperlink r:id="rId35" w:history="1">
        <w:r w:rsidRPr="002567DD">
          <w:rPr>
            <w:rStyle w:val="af4"/>
            <w:rFonts w:hint="eastAsia"/>
            <w:spacing w:val="-6"/>
          </w:rPr>
          <w:t>CEDAW/C/DNK/CO/8</w:t>
        </w:r>
      </w:hyperlink>
      <w:r w:rsidRPr="00363F79">
        <w:rPr>
          <w:rFonts w:hint="eastAsia"/>
        </w:rPr>
        <w:t>，第</w:t>
      </w:r>
      <w:r w:rsidRPr="00363F79">
        <w:rPr>
          <w:rFonts w:hint="eastAsia"/>
        </w:rPr>
        <w:t>18(c)</w:t>
      </w:r>
      <w:r w:rsidRPr="00363F79">
        <w:rPr>
          <w:rFonts w:hint="eastAsia"/>
        </w:rPr>
        <w:t>段</w:t>
      </w:r>
      <w:r w:rsidRPr="00363F79">
        <w:rPr>
          <w:rFonts w:hint="eastAsia"/>
        </w:rPr>
        <w:t>)</w:t>
      </w:r>
      <w:r w:rsidRPr="00363F79">
        <w:rPr>
          <w:rFonts w:hint="eastAsia"/>
        </w:rPr>
        <w:t>；</w:t>
      </w:r>
    </w:p>
    <w:p w14:paraId="64278C9C" w14:textId="77777777" w:rsidR="00EC5EEF" w:rsidRPr="00363F79" w:rsidRDefault="00EC5EEF" w:rsidP="00EC5EEF">
      <w:pPr>
        <w:pStyle w:val="SingleTxt"/>
      </w:pPr>
      <w:r w:rsidRPr="00363F79">
        <w:rPr>
          <w:rFonts w:hint="eastAsia"/>
        </w:rPr>
        <w:tab/>
        <w:t>(c)</w:t>
      </w:r>
      <w:r w:rsidRPr="00363F79">
        <w:rPr>
          <w:rFonts w:hint="eastAsia"/>
        </w:rPr>
        <w:tab/>
        <w:t>2019</w:t>
      </w:r>
      <w:r w:rsidRPr="00363F79">
        <w:rPr>
          <w:rFonts w:hint="eastAsia"/>
        </w:rPr>
        <w:t>年通过立法禁止处女膜再造手术；</w:t>
      </w:r>
    </w:p>
    <w:p w14:paraId="5C4A1E14" w14:textId="0D71BA52" w:rsidR="00EC5EEF" w:rsidRPr="00363F79" w:rsidRDefault="00EC5EEF" w:rsidP="00EC5EEF">
      <w:pPr>
        <w:pStyle w:val="SingleTxt"/>
      </w:pPr>
      <w:r w:rsidRPr="00363F79">
        <w:rPr>
          <w:rFonts w:hint="eastAsia"/>
        </w:rPr>
        <w:lastRenderedPageBreak/>
        <w:tab/>
        <w:t>(d)</w:t>
      </w:r>
      <w:r w:rsidRPr="00363F79">
        <w:rPr>
          <w:rFonts w:hint="eastAsia"/>
        </w:rPr>
        <w:tab/>
        <w:t>2018</w:t>
      </w:r>
      <w:r w:rsidRPr="00363F79">
        <w:rPr>
          <w:rFonts w:hint="eastAsia"/>
        </w:rPr>
        <w:t>年通过新的婚姻财产法，原则上离婚时在配偶之间平等分配所有资产，并规定向帮助保存或增加另一方财富的配偶提供补偿</w:t>
      </w:r>
      <w:r w:rsidRPr="00363F79">
        <w:rPr>
          <w:rFonts w:hint="eastAsia"/>
        </w:rPr>
        <w:t>(</w:t>
      </w:r>
      <w:r w:rsidRPr="00363F79">
        <w:rPr>
          <w:rFonts w:hint="eastAsia"/>
        </w:rPr>
        <w:t>第</w:t>
      </w:r>
      <w:r w:rsidRPr="00363F79">
        <w:rPr>
          <w:rFonts w:hint="eastAsia"/>
        </w:rPr>
        <w:t>548/2018</w:t>
      </w:r>
      <w:r w:rsidRPr="00363F79">
        <w:rPr>
          <w:rFonts w:hint="eastAsia"/>
        </w:rPr>
        <w:t>号法律</w:t>
      </w:r>
      <w:r w:rsidRPr="00363F79">
        <w:rPr>
          <w:rFonts w:hint="eastAsia"/>
        </w:rPr>
        <w:t>)</w:t>
      </w:r>
      <w:r w:rsidRPr="00363F79">
        <w:rPr>
          <w:rFonts w:hint="eastAsia"/>
        </w:rPr>
        <w:t>；</w:t>
      </w:r>
    </w:p>
    <w:p w14:paraId="2270C434" w14:textId="3FB5F827" w:rsidR="00EC5EEF" w:rsidRPr="00363F79" w:rsidRDefault="00EC5EEF" w:rsidP="00EC5EEF">
      <w:pPr>
        <w:pStyle w:val="SingleTxt"/>
      </w:pPr>
      <w:r w:rsidRPr="00363F79">
        <w:rPr>
          <w:rFonts w:hint="eastAsia"/>
        </w:rPr>
        <w:tab/>
        <w:t>(e)</w:t>
      </w:r>
      <w:r w:rsidRPr="00363F79">
        <w:rPr>
          <w:rFonts w:hint="eastAsia"/>
        </w:rPr>
        <w:tab/>
        <w:t>2018</w:t>
      </w:r>
      <w:r w:rsidRPr="00363F79">
        <w:rPr>
          <w:rFonts w:hint="eastAsia"/>
        </w:rPr>
        <w:t>年通过与预防和打击包括家庭暴力在内的基于性别的暴力侵害妇女行为有关的刑法条款修正案，除其他外，增加了对屡次家庭暴力犯罪和严重暴力的最高处罚</w:t>
      </w:r>
      <w:r w:rsidRPr="00363F79">
        <w:rPr>
          <w:rFonts w:hint="eastAsia"/>
        </w:rPr>
        <w:t>(</w:t>
      </w:r>
      <w:r w:rsidRPr="00363F79">
        <w:rPr>
          <w:rFonts w:hint="eastAsia"/>
        </w:rPr>
        <w:t>第</w:t>
      </w:r>
      <w:hyperlink r:id="rId36" w:history="1">
        <w:r w:rsidRPr="00363F79">
          <w:rPr>
            <w:rStyle w:val="af4"/>
            <w:rFonts w:hint="eastAsia"/>
          </w:rPr>
          <w:t>358(2018)</w:t>
        </w:r>
      </w:hyperlink>
      <w:r w:rsidRPr="00363F79">
        <w:rPr>
          <w:rFonts w:hint="eastAsia"/>
        </w:rPr>
        <w:t>号法律和第</w:t>
      </w:r>
      <w:hyperlink r:id="rId37" w:history="1">
        <w:r w:rsidRPr="00363F79">
          <w:rPr>
            <w:rStyle w:val="af4"/>
            <w:rFonts w:hint="eastAsia"/>
          </w:rPr>
          <w:t>718(2018)</w:t>
        </w:r>
      </w:hyperlink>
      <w:r w:rsidRPr="00363F79">
        <w:rPr>
          <w:rFonts w:hint="eastAsia"/>
        </w:rPr>
        <w:t>号法律</w:t>
      </w:r>
      <w:r w:rsidRPr="00363F79">
        <w:rPr>
          <w:rFonts w:hint="eastAsia"/>
        </w:rPr>
        <w:t>)</w:t>
      </w:r>
      <w:r w:rsidRPr="00363F79">
        <w:rPr>
          <w:rFonts w:hint="eastAsia"/>
        </w:rPr>
        <w:t>；</w:t>
      </w:r>
    </w:p>
    <w:p w14:paraId="5B23B7AF" w14:textId="42FDC104" w:rsidR="00EC5EEF" w:rsidRPr="00363F79" w:rsidRDefault="00EC5EEF" w:rsidP="00EC5EEF">
      <w:pPr>
        <w:pStyle w:val="SingleTxt"/>
      </w:pPr>
      <w:r w:rsidRPr="00363F79">
        <w:rPr>
          <w:rFonts w:hint="eastAsia"/>
        </w:rPr>
        <w:tab/>
        <w:t>(f)</w:t>
      </w:r>
      <w:r w:rsidRPr="00363F79">
        <w:rPr>
          <w:rFonts w:hint="eastAsia"/>
        </w:rPr>
        <w:tab/>
        <w:t>2018</w:t>
      </w:r>
      <w:r w:rsidRPr="00363F79">
        <w:rPr>
          <w:rFonts w:hint="eastAsia"/>
        </w:rPr>
        <w:t>年通过关于禁止基于残疾的歧视的第</w:t>
      </w:r>
      <w:hyperlink r:id="rId38" w:history="1">
        <w:r w:rsidRPr="00363F79">
          <w:rPr>
            <w:rStyle w:val="af4"/>
            <w:rFonts w:hint="eastAsia"/>
          </w:rPr>
          <w:t>688(2018)</w:t>
        </w:r>
      </w:hyperlink>
      <w:r w:rsidRPr="00363F79">
        <w:rPr>
          <w:rFonts w:hint="eastAsia"/>
        </w:rPr>
        <w:t>号法律；</w:t>
      </w:r>
    </w:p>
    <w:p w14:paraId="044AA8A4" w14:textId="1BE28FEC" w:rsidR="00EC5EEF" w:rsidRPr="00363F79" w:rsidRDefault="00EC5EEF" w:rsidP="00EC5EEF">
      <w:pPr>
        <w:pStyle w:val="SingleTxt"/>
      </w:pPr>
      <w:r w:rsidRPr="00363F79">
        <w:rPr>
          <w:rFonts w:hint="eastAsia"/>
        </w:rPr>
        <w:tab/>
        <w:t>(g)</w:t>
      </w:r>
      <w:r w:rsidRPr="00363F79">
        <w:rPr>
          <w:rFonts w:hint="eastAsia"/>
        </w:rPr>
        <w:tab/>
        <w:t>2017</w:t>
      </w:r>
      <w:r w:rsidRPr="00363F79">
        <w:rPr>
          <w:rFonts w:hint="eastAsia"/>
        </w:rPr>
        <w:t>年通过与在线骚扰和工作场所骚扰有关的新立法</w:t>
      </w:r>
      <w:r w:rsidRPr="00363F79">
        <w:rPr>
          <w:rFonts w:hint="eastAsia"/>
        </w:rPr>
        <w:t>(</w:t>
      </w:r>
      <w:r w:rsidRPr="00363F79">
        <w:rPr>
          <w:rFonts w:hint="eastAsia"/>
        </w:rPr>
        <w:t>第</w:t>
      </w:r>
      <w:hyperlink r:id="rId39" w:history="1">
        <w:r w:rsidRPr="00363F79">
          <w:rPr>
            <w:rStyle w:val="af4"/>
            <w:rFonts w:hint="eastAsia"/>
          </w:rPr>
          <w:t>977(2017)</w:t>
        </w:r>
      </w:hyperlink>
      <w:r w:rsidRPr="00363F79">
        <w:rPr>
          <w:rFonts w:hint="eastAsia"/>
        </w:rPr>
        <w:t>号法律</w:t>
      </w:r>
      <w:r w:rsidRPr="00363F79">
        <w:rPr>
          <w:rFonts w:hint="eastAsia"/>
        </w:rPr>
        <w:t>)</w:t>
      </w:r>
      <w:r w:rsidRPr="00363F79">
        <w:rPr>
          <w:rFonts w:hint="eastAsia"/>
        </w:rPr>
        <w:t>；</w:t>
      </w:r>
    </w:p>
    <w:p w14:paraId="3F345CEA" w14:textId="5DB7FF90" w:rsidR="00EC5EEF" w:rsidRPr="00363F79" w:rsidRDefault="00EC5EEF" w:rsidP="00EC5EEF">
      <w:pPr>
        <w:pStyle w:val="SingleTxt"/>
      </w:pPr>
      <w:r w:rsidRPr="00363F79">
        <w:rPr>
          <w:rFonts w:hint="eastAsia"/>
        </w:rPr>
        <w:tab/>
        <w:t>(h)</w:t>
      </w:r>
      <w:r w:rsidRPr="00363F79">
        <w:rPr>
          <w:rFonts w:hint="eastAsia"/>
        </w:rPr>
        <w:tab/>
        <w:t>2016</w:t>
      </w:r>
      <w:r w:rsidRPr="00363F79">
        <w:rPr>
          <w:rFonts w:hint="eastAsia"/>
        </w:rPr>
        <w:t>年通过《禁止令法》修正案，出台立即生效的临时禁止令</w:t>
      </w:r>
      <w:r w:rsidRPr="00363F79">
        <w:rPr>
          <w:rFonts w:hint="eastAsia"/>
        </w:rPr>
        <w:t>(</w:t>
      </w:r>
      <w:r w:rsidRPr="00363F79">
        <w:rPr>
          <w:rFonts w:hint="eastAsia"/>
        </w:rPr>
        <w:t>第</w:t>
      </w:r>
      <w:hyperlink r:id="rId40" w:history="1">
        <w:r w:rsidRPr="00363F79">
          <w:rPr>
            <w:rStyle w:val="af4"/>
            <w:rFonts w:hint="eastAsia"/>
          </w:rPr>
          <w:t>1724(2016)</w:t>
        </w:r>
      </w:hyperlink>
      <w:r w:rsidRPr="00363F79">
        <w:rPr>
          <w:rFonts w:hint="eastAsia"/>
        </w:rPr>
        <w:t>号法</w:t>
      </w:r>
      <w:r w:rsidRPr="00363F79">
        <w:rPr>
          <w:rFonts w:hint="eastAsia"/>
        </w:rPr>
        <w:t>)</w:t>
      </w:r>
      <w:r w:rsidRPr="00363F79">
        <w:rPr>
          <w:rFonts w:hint="eastAsia"/>
        </w:rPr>
        <w:t>，并于</w:t>
      </w:r>
      <w:r w:rsidRPr="00363F79">
        <w:rPr>
          <w:rFonts w:hint="eastAsia"/>
        </w:rPr>
        <w:t>2017</w:t>
      </w:r>
      <w:r w:rsidRPr="00363F79">
        <w:rPr>
          <w:rFonts w:hint="eastAsia"/>
        </w:rPr>
        <w:t>年在格陵兰和法罗群岛实行同等条例。</w:t>
      </w:r>
    </w:p>
    <w:p w14:paraId="56DD65D5" w14:textId="4478C400" w:rsidR="00EC5EEF" w:rsidRPr="00363F79" w:rsidRDefault="00EC5EEF" w:rsidP="00EC5EEF">
      <w:pPr>
        <w:pStyle w:val="SingleTxt"/>
      </w:pPr>
      <w:r w:rsidRPr="00363F79">
        <w:rPr>
          <w:rFonts w:hint="eastAsia"/>
        </w:rPr>
        <w:t>6.</w:t>
      </w:r>
      <w:r w:rsidRPr="00363F79">
        <w:rPr>
          <w:rFonts w:hint="eastAsia"/>
        </w:rPr>
        <w:tab/>
      </w:r>
      <w:r w:rsidRPr="00363F79">
        <w:rPr>
          <w:rFonts w:hint="eastAsia"/>
        </w:rPr>
        <w:t>委员会欢迎缔约国努力改善其体制和政策框架，旨在加速消除对妇女的歧视和促进两性平等，例如通过或制定了：</w:t>
      </w:r>
    </w:p>
    <w:p w14:paraId="06987AA4" w14:textId="14E021E2" w:rsidR="00EC5EEF" w:rsidRPr="00363F79" w:rsidRDefault="00EC5EEF" w:rsidP="00EC5EEF">
      <w:pPr>
        <w:pStyle w:val="SingleTxt"/>
      </w:pPr>
      <w:r w:rsidRPr="00363F79">
        <w:rPr>
          <w:rFonts w:hint="eastAsia"/>
        </w:rPr>
        <w:tab/>
        <w:t>(a</w:t>
      </w:r>
      <w:r w:rsidR="00363F79" w:rsidRPr="00363F79">
        <w:rPr>
          <w:rFonts w:hint="eastAsia"/>
        </w:rPr>
        <w:t>)</w:t>
      </w:r>
      <w:r w:rsidR="00363F79" w:rsidRPr="00363F79">
        <w:rPr>
          <w:rFonts w:hint="eastAsia"/>
        </w:rPr>
        <w:tab/>
      </w:r>
      <w:r w:rsidRPr="00363F79">
        <w:rPr>
          <w:rFonts w:hint="eastAsia"/>
        </w:rPr>
        <w:t>2021</w:t>
      </w:r>
      <w:r w:rsidRPr="00363F79">
        <w:rPr>
          <w:rFonts w:hint="eastAsia"/>
        </w:rPr>
        <w:t>年年度性别平等行动计划，</w:t>
      </w:r>
      <w:r w:rsidRPr="00363F79">
        <w:rPr>
          <w:rFonts w:hint="eastAsia"/>
        </w:rPr>
        <w:t>2021</w:t>
      </w:r>
      <w:r w:rsidRPr="00363F79">
        <w:rPr>
          <w:rFonts w:hint="eastAsia"/>
        </w:rPr>
        <w:t>年</w:t>
      </w:r>
      <w:r w:rsidRPr="00363F79">
        <w:rPr>
          <w:rFonts w:hint="eastAsia"/>
        </w:rPr>
        <w:t>2</w:t>
      </w:r>
      <w:r w:rsidRPr="00363F79">
        <w:rPr>
          <w:rFonts w:hint="eastAsia"/>
        </w:rPr>
        <w:t>月</w:t>
      </w:r>
      <w:r w:rsidRPr="00363F79">
        <w:rPr>
          <w:rFonts w:hint="eastAsia"/>
        </w:rPr>
        <w:t>25</w:t>
      </w:r>
      <w:r w:rsidRPr="00363F79">
        <w:rPr>
          <w:rFonts w:hint="eastAsia"/>
        </w:rPr>
        <w:t>日；</w:t>
      </w:r>
    </w:p>
    <w:p w14:paraId="22A5AC63" w14:textId="76D4254E" w:rsidR="00EC5EEF" w:rsidRPr="00363F79" w:rsidRDefault="00EC5EEF" w:rsidP="00EC5EEF">
      <w:pPr>
        <w:pStyle w:val="SingleTxt"/>
      </w:pPr>
      <w:r w:rsidRPr="00363F79">
        <w:rPr>
          <w:rFonts w:hint="eastAsia"/>
        </w:rPr>
        <w:tab/>
        <w:t>(b</w:t>
      </w:r>
      <w:r w:rsidR="00363F79" w:rsidRPr="00363F79">
        <w:rPr>
          <w:rFonts w:hint="eastAsia"/>
        </w:rPr>
        <w:t>)</w:t>
      </w:r>
      <w:r w:rsidR="00363F79" w:rsidRPr="00363F79">
        <w:rPr>
          <w:rFonts w:hint="eastAsia"/>
        </w:rPr>
        <w:tab/>
      </w:r>
      <w:r w:rsidRPr="00363F79">
        <w:rPr>
          <w:rFonts w:hint="eastAsia"/>
        </w:rPr>
        <w:t>丹麦于</w:t>
      </w:r>
      <w:r w:rsidRPr="00363F79">
        <w:rPr>
          <w:rFonts w:hint="eastAsia"/>
        </w:rPr>
        <w:t>2014</w:t>
      </w:r>
      <w:r w:rsidRPr="00363F79">
        <w:rPr>
          <w:rFonts w:hint="eastAsia"/>
        </w:rPr>
        <w:t>年推出的针对自营职业者产假、陪产假和育儿假的产假均等计划，旨在促进妇女创业</w:t>
      </w:r>
      <w:r w:rsidRPr="00363F79">
        <w:rPr>
          <w:rFonts w:hint="eastAsia"/>
        </w:rPr>
        <w:t>(</w:t>
      </w:r>
      <w:r w:rsidRPr="00363F79">
        <w:rPr>
          <w:rFonts w:hint="eastAsia"/>
        </w:rPr>
        <w:t>见</w:t>
      </w:r>
      <w:hyperlink r:id="rId41" w:history="1">
        <w:r w:rsidRPr="00363F79">
          <w:rPr>
            <w:rStyle w:val="af4"/>
            <w:rFonts w:hint="eastAsia"/>
          </w:rPr>
          <w:t>CEDAW/C/DNK/CO/8</w:t>
        </w:r>
      </w:hyperlink>
      <w:r w:rsidRPr="00363F79">
        <w:rPr>
          <w:rFonts w:hint="eastAsia"/>
        </w:rPr>
        <w:t>，第</w:t>
      </w:r>
      <w:r w:rsidRPr="00363F79">
        <w:rPr>
          <w:rFonts w:hint="eastAsia"/>
        </w:rPr>
        <w:t>6(b)</w:t>
      </w:r>
      <w:r w:rsidRPr="00363F79">
        <w:rPr>
          <w:rFonts w:hint="eastAsia"/>
        </w:rPr>
        <w:t>段</w:t>
      </w:r>
      <w:r w:rsidRPr="00363F79">
        <w:rPr>
          <w:rFonts w:hint="eastAsia"/>
        </w:rPr>
        <w:t>)</w:t>
      </w:r>
      <w:r w:rsidRPr="00363F79">
        <w:rPr>
          <w:rFonts w:hint="eastAsia"/>
        </w:rPr>
        <w:t>，以及将孕期产假从二周</w:t>
      </w:r>
      <w:r w:rsidRPr="00363F79">
        <w:rPr>
          <w:rFonts w:hint="eastAsia"/>
        </w:rPr>
        <w:lastRenderedPageBreak/>
        <w:t>延长至四周，并将共享育儿假配额从</w:t>
      </w:r>
      <w:r w:rsidRPr="00363F79">
        <w:rPr>
          <w:rFonts w:hint="eastAsia"/>
        </w:rPr>
        <w:t>17</w:t>
      </w:r>
      <w:r w:rsidRPr="00363F79">
        <w:rPr>
          <w:rFonts w:hint="eastAsia"/>
        </w:rPr>
        <w:t>周延长至</w:t>
      </w:r>
      <w:r w:rsidRPr="00363F79">
        <w:rPr>
          <w:rFonts w:hint="eastAsia"/>
        </w:rPr>
        <w:t>21</w:t>
      </w:r>
      <w:r w:rsidRPr="00363F79">
        <w:rPr>
          <w:rFonts w:hint="eastAsia"/>
        </w:rPr>
        <w:t>周，这两项规定均于</w:t>
      </w:r>
      <w:r w:rsidRPr="00363F79">
        <w:rPr>
          <w:rFonts w:hint="eastAsia"/>
        </w:rPr>
        <w:t>2021</w:t>
      </w:r>
      <w:r w:rsidRPr="00363F79">
        <w:rPr>
          <w:rFonts w:hint="eastAsia"/>
        </w:rPr>
        <w:t>年</w:t>
      </w:r>
      <w:r w:rsidRPr="00363F79">
        <w:rPr>
          <w:rFonts w:hint="eastAsia"/>
        </w:rPr>
        <w:t>1</w:t>
      </w:r>
      <w:r w:rsidRPr="00363F79">
        <w:rPr>
          <w:rFonts w:hint="eastAsia"/>
        </w:rPr>
        <w:t>月</w:t>
      </w:r>
      <w:r w:rsidRPr="00363F79">
        <w:rPr>
          <w:rFonts w:hint="eastAsia"/>
        </w:rPr>
        <w:t>1</w:t>
      </w:r>
      <w:r w:rsidRPr="00363F79">
        <w:rPr>
          <w:rFonts w:hint="eastAsia"/>
        </w:rPr>
        <w:t>日在格陵兰生效；</w:t>
      </w:r>
    </w:p>
    <w:p w14:paraId="48D31E64" w14:textId="0159E922" w:rsidR="00EC5EEF" w:rsidRPr="00363F79" w:rsidRDefault="00EC5EEF" w:rsidP="00EC5EEF">
      <w:pPr>
        <w:pStyle w:val="SingleTxt"/>
      </w:pPr>
      <w:r w:rsidRPr="00363F79">
        <w:rPr>
          <w:rFonts w:hint="eastAsia"/>
        </w:rPr>
        <w:tab/>
        <w:t>(c)</w:t>
      </w:r>
      <w:r w:rsidRPr="00363F79">
        <w:rPr>
          <w:rFonts w:hint="eastAsia"/>
        </w:rPr>
        <w:tab/>
        <w:t>2021</w:t>
      </w:r>
      <w:r w:rsidRPr="00363F79">
        <w:rPr>
          <w:rFonts w:hint="eastAsia"/>
        </w:rPr>
        <w:t>年法罗群岛反暴力行动计划“</w:t>
      </w:r>
      <w:r w:rsidRPr="002567DD">
        <w:rPr>
          <w:rFonts w:asciiTheme="majorBidi" w:hAnsiTheme="majorBidi" w:cstheme="majorBidi"/>
        </w:rPr>
        <w:t>Sig Frá</w:t>
      </w:r>
      <w:r w:rsidRPr="00363F79">
        <w:rPr>
          <w:rFonts w:hint="eastAsia"/>
        </w:rPr>
        <w:t>!</w:t>
      </w:r>
      <w:r w:rsidRPr="00363F79">
        <w:rPr>
          <w:rFonts w:hint="eastAsia"/>
        </w:rPr>
        <w:t>”；</w:t>
      </w:r>
    </w:p>
    <w:p w14:paraId="6641C6A8" w14:textId="71515EEB" w:rsidR="00EC5EEF" w:rsidRPr="00363F79" w:rsidRDefault="00EC5EEF" w:rsidP="00EC5EEF">
      <w:pPr>
        <w:pStyle w:val="SingleTxt"/>
      </w:pPr>
      <w:r w:rsidRPr="00363F79">
        <w:rPr>
          <w:rFonts w:hint="eastAsia"/>
        </w:rPr>
        <w:tab/>
        <w:t>(d)</w:t>
      </w:r>
      <w:r w:rsidRPr="00363F79">
        <w:rPr>
          <w:rFonts w:hint="eastAsia"/>
        </w:rPr>
        <w:tab/>
      </w:r>
      <w:r w:rsidRPr="00363F79">
        <w:rPr>
          <w:rFonts w:hint="eastAsia"/>
        </w:rPr>
        <w:t>防止亲密关系中身心暴力行动计划</w:t>
      </w:r>
      <w:r w:rsidR="00363F79" w:rsidRPr="00363F79">
        <w:rPr>
          <w:rFonts w:hint="eastAsia"/>
        </w:rPr>
        <w:t>(</w:t>
      </w:r>
      <w:r w:rsidRPr="00363F79">
        <w:rPr>
          <w:rFonts w:hint="eastAsia"/>
        </w:rPr>
        <w:t>2019-2022</w:t>
      </w:r>
      <w:r w:rsidRPr="00363F79">
        <w:rPr>
          <w:rFonts w:hint="eastAsia"/>
        </w:rPr>
        <w:t>年</w:t>
      </w:r>
      <w:r w:rsidR="00363F79" w:rsidRPr="00363F79">
        <w:rPr>
          <w:rFonts w:hint="eastAsia"/>
        </w:rPr>
        <w:t>)</w:t>
      </w:r>
      <w:r w:rsidRPr="00363F79">
        <w:rPr>
          <w:rFonts w:hint="eastAsia"/>
        </w:rPr>
        <w:t>；</w:t>
      </w:r>
    </w:p>
    <w:p w14:paraId="046EFD31" w14:textId="59B35118" w:rsidR="00EC5EEF" w:rsidRPr="00363F79" w:rsidRDefault="00EC5EEF" w:rsidP="00EC5EEF">
      <w:pPr>
        <w:pStyle w:val="SingleTxt"/>
      </w:pPr>
      <w:r w:rsidRPr="00363F79">
        <w:rPr>
          <w:rFonts w:hint="eastAsia"/>
        </w:rPr>
        <w:tab/>
        <w:t>(e)</w:t>
      </w:r>
      <w:r w:rsidRPr="00363F79">
        <w:rPr>
          <w:rFonts w:hint="eastAsia"/>
        </w:rPr>
        <w:tab/>
      </w:r>
      <w:r w:rsidRPr="00363F79">
        <w:rPr>
          <w:rFonts w:hint="eastAsia"/>
        </w:rPr>
        <w:t>反贩运行动计划</w:t>
      </w:r>
      <w:r w:rsidR="00363F79" w:rsidRPr="00363F79">
        <w:rPr>
          <w:rFonts w:hint="eastAsia"/>
        </w:rPr>
        <w:t>(</w:t>
      </w:r>
      <w:r w:rsidRPr="00363F79">
        <w:rPr>
          <w:rFonts w:hint="eastAsia"/>
        </w:rPr>
        <w:t>2019-2021</w:t>
      </w:r>
      <w:r w:rsidRPr="00363F79">
        <w:rPr>
          <w:rFonts w:hint="eastAsia"/>
        </w:rPr>
        <w:t>年</w:t>
      </w:r>
      <w:r w:rsidR="00363F79" w:rsidRPr="00363F79">
        <w:rPr>
          <w:rFonts w:hint="eastAsia"/>
        </w:rPr>
        <w:t>)</w:t>
      </w:r>
      <w:r w:rsidRPr="00363F79">
        <w:rPr>
          <w:rFonts w:hint="eastAsia"/>
        </w:rPr>
        <w:t>；</w:t>
      </w:r>
    </w:p>
    <w:p w14:paraId="30F3F254" w14:textId="4F3AF0A4" w:rsidR="00EC5EEF" w:rsidRPr="00363F79" w:rsidRDefault="00EC5EEF" w:rsidP="00EC5EEF">
      <w:pPr>
        <w:pStyle w:val="SingleTxt"/>
      </w:pPr>
      <w:r w:rsidRPr="00363F79">
        <w:rPr>
          <w:rFonts w:hint="eastAsia"/>
        </w:rPr>
        <w:tab/>
        <w:t>(f)</w:t>
      </w:r>
      <w:r w:rsidRPr="00363F79">
        <w:rPr>
          <w:rFonts w:hint="eastAsia"/>
        </w:rPr>
        <w:tab/>
        <w:t>2019</w:t>
      </w:r>
      <w:r w:rsidRPr="00363F79">
        <w:rPr>
          <w:rFonts w:hint="eastAsia"/>
        </w:rPr>
        <w:t>年设立法罗群岛促进性别平等办公室；</w:t>
      </w:r>
    </w:p>
    <w:p w14:paraId="19A45CD4" w14:textId="232EA523" w:rsidR="00EC5EEF" w:rsidRPr="00363F79" w:rsidRDefault="00EC5EEF" w:rsidP="00EC5EEF">
      <w:pPr>
        <w:pStyle w:val="SingleTxt"/>
      </w:pPr>
      <w:r w:rsidRPr="00363F79">
        <w:rPr>
          <w:rFonts w:hint="eastAsia"/>
        </w:rPr>
        <w:tab/>
        <w:t>(g)</w:t>
      </w:r>
      <w:r w:rsidRPr="00363F79">
        <w:rPr>
          <w:rFonts w:hint="eastAsia"/>
        </w:rPr>
        <w:tab/>
        <w:t>2018</w:t>
      </w:r>
      <w:r w:rsidRPr="00363F79">
        <w:rPr>
          <w:rFonts w:hint="eastAsia"/>
        </w:rPr>
        <w:t>年丹麦促进男女同性恋、双性恋、跨性别者和间性者的安全、福祉和平等机会第一个行动计划。</w:t>
      </w:r>
    </w:p>
    <w:p w14:paraId="518A0276" w14:textId="4F81F639" w:rsidR="00EC5EEF" w:rsidRPr="00363F79" w:rsidRDefault="00EC5EEF" w:rsidP="00EC5EEF">
      <w:pPr>
        <w:pStyle w:val="SingleTxt"/>
      </w:pPr>
      <w:r w:rsidRPr="00363F79">
        <w:rPr>
          <w:rFonts w:hint="eastAsia"/>
        </w:rPr>
        <w:t>7.</w:t>
      </w:r>
      <w:r w:rsidRPr="00363F79">
        <w:rPr>
          <w:rFonts w:hint="eastAsia"/>
        </w:rPr>
        <w:tab/>
      </w:r>
      <w:r w:rsidRPr="00363F79">
        <w:rPr>
          <w:rFonts w:hint="eastAsia"/>
        </w:rPr>
        <w:t>委员会欢迎自审议上次报告以来，缔约国已批准、加入或宣布下列国际条约适用于自治领土：</w:t>
      </w:r>
    </w:p>
    <w:p w14:paraId="368D53B7" w14:textId="7F218083" w:rsidR="00EC5EEF" w:rsidRPr="00363F79" w:rsidRDefault="00EC5EEF" w:rsidP="00EC5EEF">
      <w:pPr>
        <w:pStyle w:val="SingleTxt"/>
      </w:pPr>
      <w:r w:rsidRPr="00363F79">
        <w:rPr>
          <w:rFonts w:hint="eastAsia"/>
        </w:rPr>
        <w:tab/>
        <w:t>(a)</w:t>
      </w:r>
      <w:r w:rsidR="00FC2C55">
        <w:tab/>
      </w:r>
      <w:r w:rsidRPr="00363F79">
        <w:rPr>
          <w:rFonts w:hint="eastAsia"/>
        </w:rPr>
        <w:t>国际劳工组织</w:t>
      </w:r>
      <w:r w:rsidRPr="00363F79">
        <w:rPr>
          <w:rFonts w:hint="eastAsia"/>
        </w:rPr>
        <w:t>(</w:t>
      </w:r>
      <w:r w:rsidRPr="00363F79">
        <w:rPr>
          <w:rFonts w:hint="eastAsia"/>
        </w:rPr>
        <w:t>劳工组织</w:t>
      </w:r>
      <w:r w:rsidRPr="00363F79">
        <w:rPr>
          <w:rFonts w:hint="eastAsia"/>
        </w:rPr>
        <w:t>)</w:t>
      </w:r>
      <w:r w:rsidRPr="00363F79">
        <w:rPr>
          <w:rFonts w:hint="eastAsia"/>
        </w:rPr>
        <w:t>《</w:t>
      </w:r>
      <w:r w:rsidRPr="00363F79">
        <w:rPr>
          <w:rFonts w:hint="eastAsia"/>
        </w:rPr>
        <w:t>1958</w:t>
      </w:r>
      <w:r w:rsidRPr="00363F79">
        <w:rPr>
          <w:rFonts w:hint="eastAsia"/>
        </w:rPr>
        <w:t>年就业和职业歧视公约》</w:t>
      </w:r>
      <w:r w:rsidRPr="00363F79">
        <w:rPr>
          <w:rFonts w:hint="eastAsia"/>
        </w:rPr>
        <w:t>(</w:t>
      </w:r>
      <w:r w:rsidRPr="00363F79">
        <w:rPr>
          <w:rFonts w:hint="eastAsia"/>
        </w:rPr>
        <w:t>第</w:t>
      </w:r>
      <w:r w:rsidRPr="00363F79">
        <w:rPr>
          <w:rFonts w:hint="eastAsia"/>
        </w:rPr>
        <w:t>111</w:t>
      </w:r>
      <w:r w:rsidRPr="00363F79">
        <w:rPr>
          <w:rFonts w:hint="eastAsia"/>
        </w:rPr>
        <w:t>号</w:t>
      </w:r>
      <w:r w:rsidRPr="00363F79">
        <w:rPr>
          <w:rFonts w:hint="eastAsia"/>
        </w:rPr>
        <w:t>)</w:t>
      </w:r>
      <w:r w:rsidRPr="00363F79">
        <w:rPr>
          <w:rFonts w:hint="eastAsia"/>
        </w:rPr>
        <w:t>，</w:t>
      </w:r>
      <w:r w:rsidRPr="00363F79">
        <w:rPr>
          <w:rFonts w:hint="eastAsia"/>
        </w:rPr>
        <w:t>2019</w:t>
      </w:r>
      <w:r w:rsidRPr="00363F79">
        <w:rPr>
          <w:rFonts w:hint="eastAsia"/>
        </w:rPr>
        <w:t>年</w:t>
      </w:r>
      <w:r w:rsidRPr="00363F79">
        <w:rPr>
          <w:rFonts w:hint="eastAsia"/>
        </w:rPr>
        <w:t>8</w:t>
      </w:r>
      <w:r w:rsidRPr="00363F79">
        <w:rPr>
          <w:rFonts w:hint="eastAsia"/>
        </w:rPr>
        <w:t>月</w:t>
      </w:r>
      <w:r w:rsidRPr="00363F79">
        <w:rPr>
          <w:rFonts w:hint="eastAsia"/>
        </w:rPr>
        <w:t>27</w:t>
      </w:r>
      <w:r w:rsidRPr="00363F79">
        <w:rPr>
          <w:rFonts w:hint="eastAsia"/>
        </w:rPr>
        <w:t>日；劳工组织《</w:t>
      </w:r>
      <w:r w:rsidRPr="00363F79">
        <w:rPr>
          <w:rFonts w:hint="eastAsia"/>
        </w:rPr>
        <w:t>1951</w:t>
      </w:r>
      <w:r w:rsidRPr="00363F79">
        <w:rPr>
          <w:rFonts w:hint="eastAsia"/>
        </w:rPr>
        <w:t>年同酬公约》</w:t>
      </w:r>
      <w:r w:rsidRPr="00363F79">
        <w:rPr>
          <w:rFonts w:hint="eastAsia"/>
        </w:rPr>
        <w:t>(</w:t>
      </w:r>
      <w:r w:rsidRPr="00363F79">
        <w:rPr>
          <w:rFonts w:hint="eastAsia"/>
        </w:rPr>
        <w:t>第</w:t>
      </w:r>
      <w:r w:rsidRPr="00363F79">
        <w:rPr>
          <w:rFonts w:hint="eastAsia"/>
        </w:rPr>
        <w:t>100</w:t>
      </w:r>
      <w:r w:rsidRPr="00363F79">
        <w:rPr>
          <w:rFonts w:hint="eastAsia"/>
        </w:rPr>
        <w:t>号</w:t>
      </w:r>
      <w:r w:rsidRPr="00363F79">
        <w:rPr>
          <w:rFonts w:hint="eastAsia"/>
        </w:rPr>
        <w:t>)</w:t>
      </w:r>
      <w:r w:rsidRPr="00363F79">
        <w:rPr>
          <w:rFonts w:hint="eastAsia"/>
        </w:rPr>
        <w:t>，</w:t>
      </w:r>
      <w:r w:rsidRPr="00363F79">
        <w:rPr>
          <w:rFonts w:hint="eastAsia"/>
        </w:rPr>
        <w:t>2018</w:t>
      </w:r>
      <w:r w:rsidRPr="00363F79">
        <w:rPr>
          <w:rFonts w:hint="eastAsia"/>
        </w:rPr>
        <w:t>年</w:t>
      </w:r>
      <w:r w:rsidRPr="00363F79">
        <w:rPr>
          <w:rFonts w:hint="eastAsia"/>
        </w:rPr>
        <w:t>12</w:t>
      </w:r>
      <w:r w:rsidRPr="00363F79">
        <w:rPr>
          <w:rFonts w:hint="eastAsia"/>
        </w:rPr>
        <w:t>月</w:t>
      </w:r>
      <w:r w:rsidRPr="00363F79">
        <w:rPr>
          <w:rFonts w:hint="eastAsia"/>
        </w:rPr>
        <w:t>10</w:t>
      </w:r>
      <w:r w:rsidRPr="00363F79">
        <w:rPr>
          <w:rFonts w:hint="eastAsia"/>
        </w:rPr>
        <w:t>日，适用于格陵兰；</w:t>
      </w:r>
    </w:p>
    <w:p w14:paraId="66D16E11" w14:textId="434C30DA" w:rsidR="00EC5EEF" w:rsidRPr="00363F79" w:rsidRDefault="00EC5EEF" w:rsidP="00EC5EEF">
      <w:pPr>
        <w:pStyle w:val="SingleTxt"/>
      </w:pPr>
      <w:r w:rsidRPr="00363F79">
        <w:rPr>
          <w:rFonts w:hint="eastAsia"/>
        </w:rPr>
        <w:tab/>
        <w:t>(b)</w:t>
      </w:r>
      <w:r w:rsidR="00FC2C55">
        <w:t xml:space="preserve"> </w:t>
      </w:r>
      <w:r w:rsidRPr="00363F79">
        <w:rPr>
          <w:rFonts w:hint="eastAsia"/>
        </w:rPr>
        <w:t>《儿童权利公约关于设定来文程序的任择议定书》，</w:t>
      </w:r>
      <w:r w:rsidRPr="00363F79">
        <w:rPr>
          <w:rFonts w:hint="eastAsia"/>
        </w:rPr>
        <w:t>2015</w:t>
      </w:r>
      <w:r w:rsidRPr="00363F79">
        <w:rPr>
          <w:rFonts w:hint="eastAsia"/>
        </w:rPr>
        <w:t>年</w:t>
      </w:r>
      <w:r w:rsidRPr="00363F79">
        <w:rPr>
          <w:rFonts w:hint="eastAsia"/>
        </w:rPr>
        <w:t>10</w:t>
      </w:r>
      <w:r w:rsidRPr="00363F79">
        <w:rPr>
          <w:rFonts w:hint="eastAsia"/>
        </w:rPr>
        <w:t>月</w:t>
      </w:r>
      <w:r w:rsidRPr="00363F79">
        <w:rPr>
          <w:rFonts w:hint="eastAsia"/>
        </w:rPr>
        <w:t>7</w:t>
      </w:r>
      <w:r w:rsidRPr="00363F79">
        <w:rPr>
          <w:rFonts w:hint="eastAsia"/>
        </w:rPr>
        <w:t>日；</w:t>
      </w:r>
    </w:p>
    <w:p w14:paraId="0B78732C" w14:textId="2B9537EA"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劳工组织《</w:t>
      </w:r>
      <w:r w:rsidRPr="00363F79">
        <w:rPr>
          <w:rFonts w:hint="eastAsia"/>
        </w:rPr>
        <w:t>1930</w:t>
      </w:r>
      <w:r w:rsidRPr="00363F79">
        <w:rPr>
          <w:rFonts w:hint="eastAsia"/>
        </w:rPr>
        <w:t>年强迫劳动公约</w:t>
      </w:r>
      <w:r w:rsidRPr="00363F79">
        <w:rPr>
          <w:rFonts w:hint="eastAsia"/>
        </w:rPr>
        <w:t>2014</w:t>
      </w:r>
      <w:r w:rsidRPr="00363F79">
        <w:rPr>
          <w:rFonts w:hint="eastAsia"/>
        </w:rPr>
        <w:t>年议定书》</w:t>
      </w:r>
      <w:r w:rsidR="00363F79" w:rsidRPr="00363F79">
        <w:rPr>
          <w:rFonts w:hint="eastAsia"/>
        </w:rPr>
        <w:t>(</w:t>
      </w:r>
      <w:r w:rsidRPr="00363F79">
        <w:rPr>
          <w:rFonts w:hint="eastAsia"/>
        </w:rPr>
        <w:t>第</w:t>
      </w:r>
      <w:r w:rsidRPr="00363F79">
        <w:rPr>
          <w:rFonts w:hint="eastAsia"/>
        </w:rPr>
        <w:t>29</w:t>
      </w:r>
      <w:r w:rsidRPr="00363F79">
        <w:rPr>
          <w:rFonts w:hint="eastAsia"/>
        </w:rPr>
        <w:t>号</w:t>
      </w:r>
      <w:r w:rsidR="00363F79" w:rsidRPr="00363F79">
        <w:rPr>
          <w:rFonts w:hint="eastAsia"/>
        </w:rPr>
        <w:t>)</w:t>
      </w:r>
      <w:r w:rsidRPr="00363F79">
        <w:rPr>
          <w:rFonts w:hint="eastAsia"/>
        </w:rPr>
        <w:t>，</w:t>
      </w:r>
      <w:r w:rsidRPr="00363F79">
        <w:rPr>
          <w:rFonts w:hint="eastAsia"/>
        </w:rPr>
        <w:t>2017</w:t>
      </w:r>
      <w:r w:rsidRPr="00363F79">
        <w:rPr>
          <w:rFonts w:hint="eastAsia"/>
        </w:rPr>
        <w:t>年</w:t>
      </w:r>
      <w:r w:rsidRPr="00363F79">
        <w:rPr>
          <w:rFonts w:hint="eastAsia"/>
        </w:rPr>
        <w:t>6</w:t>
      </w:r>
      <w:r w:rsidRPr="00363F79">
        <w:rPr>
          <w:rFonts w:hint="eastAsia"/>
        </w:rPr>
        <w:t>月</w:t>
      </w:r>
      <w:r w:rsidRPr="00363F79">
        <w:rPr>
          <w:rFonts w:hint="eastAsia"/>
        </w:rPr>
        <w:t>14</w:t>
      </w:r>
      <w:r w:rsidRPr="00363F79">
        <w:rPr>
          <w:rFonts w:hint="eastAsia"/>
        </w:rPr>
        <w:t>日。</w:t>
      </w:r>
    </w:p>
    <w:p w14:paraId="26E70F2A" w14:textId="77777777" w:rsidR="00EC5EEF" w:rsidRPr="00363F79" w:rsidRDefault="00EC5EEF" w:rsidP="00EC5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t>C.</w:t>
      </w:r>
      <w:r w:rsidRPr="00363F79">
        <w:rPr>
          <w:rFonts w:hint="eastAsia"/>
        </w:rPr>
        <w:tab/>
      </w:r>
      <w:r w:rsidRPr="00363F79">
        <w:rPr>
          <w:rFonts w:hint="eastAsia"/>
        </w:rPr>
        <w:t>可持续发展目标</w:t>
      </w:r>
    </w:p>
    <w:p w14:paraId="093D903C"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rPr>
        <w:t>8.</w:t>
      </w:r>
      <w:r w:rsidRPr="00363F79">
        <w:rPr>
          <w:rFonts w:asciiTheme="majorBidi" w:eastAsia="黑体" w:hAnsiTheme="majorBidi" w:cstheme="majorBidi"/>
        </w:rPr>
        <w:tab/>
      </w:r>
      <w:r w:rsidRPr="00363F79">
        <w:rPr>
          <w:rFonts w:asciiTheme="majorBidi" w:eastAsia="黑体" w:hAnsiTheme="majorBidi" w:cstheme="majorBidi"/>
        </w:rPr>
        <w:t>委员会欢迎国际社会对可持续发展目标的支持，呼吁在执行《</w:t>
      </w:r>
      <w:r w:rsidRPr="00363F79">
        <w:rPr>
          <w:rFonts w:asciiTheme="majorBidi" w:eastAsia="黑体" w:hAnsiTheme="majorBidi" w:cstheme="majorBidi"/>
        </w:rPr>
        <w:t>2030</w:t>
      </w:r>
      <w:r w:rsidRPr="00363F79">
        <w:rPr>
          <w:rFonts w:asciiTheme="majorBidi" w:eastAsia="黑体" w:hAnsiTheme="majorBidi" w:cstheme="majorBidi"/>
        </w:rPr>
        <w:t>年可持续发展议程》的整个过程中，根据《公</w:t>
      </w:r>
      <w:r w:rsidRPr="00363F79">
        <w:rPr>
          <w:rFonts w:asciiTheme="majorBidi" w:eastAsia="黑体" w:hAnsiTheme="majorBidi" w:cstheme="majorBidi"/>
        </w:rPr>
        <w:lastRenderedPageBreak/>
        <w:t>约》规定实现法律上和事实上</w:t>
      </w:r>
      <w:r w:rsidRPr="00363F79">
        <w:rPr>
          <w:rFonts w:asciiTheme="majorBidi" w:eastAsia="黑体" w:hAnsiTheme="majorBidi" w:cstheme="majorBidi"/>
        </w:rPr>
        <w:t>(</w:t>
      </w:r>
      <w:r w:rsidRPr="00363F79">
        <w:rPr>
          <w:rFonts w:asciiTheme="majorBidi" w:eastAsia="黑体" w:hAnsiTheme="majorBidi" w:cstheme="majorBidi"/>
        </w:rPr>
        <w:t>实质性</w:t>
      </w:r>
      <w:r w:rsidRPr="00363F79">
        <w:rPr>
          <w:rFonts w:asciiTheme="majorBidi" w:eastAsia="黑体" w:hAnsiTheme="majorBidi" w:cstheme="majorBidi"/>
        </w:rPr>
        <w:t>)</w:t>
      </w:r>
      <w:r w:rsidRPr="00363F79">
        <w:rPr>
          <w:rFonts w:asciiTheme="majorBidi" w:eastAsia="黑体" w:hAnsiTheme="majorBidi" w:cstheme="majorBidi"/>
        </w:rPr>
        <w:t>的性别平等。委员会回顾目标</w:t>
      </w:r>
      <w:r w:rsidRPr="00363F79">
        <w:rPr>
          <w:rFonts w:asciiTheme="majorBidi" w:eastAsia="黑体" w:hAnsiTheme="majorBidi" w:cstheme="majorBidi"/>
        </w:rPr>
        <w:t>5</w:t>
      </w:r>
      <w:r w:rsidRPr="00363F79">
        <w:rPr>
          <w:rFonts w:asciiTheme="majorBidi" w:eastAsia="黑体" w:hAnsiTheme="majorBidi" w:cstheme="majorBidi"/>
        </w:rPr>
        <w:t>以及将平等和不歧视原则纳入所有</w:t>
      </w:r>
      <w:r w:rsidRPr="00363F79">
        <w:rPr>
          <w:rFonts w:asciiTheme="majorBidi" w:eastAsia="黑体" w:hAnsiTheme="majorBidi" w:cstheme="majorBidi"/>
        </w:rPr>
        <w:t>17</w:t>
      </w:r>
      <w:r w:rsidRPr="00363F79">
        <w:rPr>
          <w:rFonts w:asciiTheme="majorBidi" w:eastAsia="黑体" w:hAnsiTheme="majorBidi" w:cstheme="majorBidi"/>
        </w:rPr>
        <w:t>项目标主流的重要性。委员会敦促缔约国承认妇女是缔约国可持续发展的推动力，并为此采取相关政策和战略。</w:t>
      </w:r>
    </w:p>
    <w:p w14:paraId="19D2F656" w14:textId="77777777" w:rsidR="00EC5EEF" w:rsidRPr="00363F79" w:rsidRDefault="00EC5EEF" w:rsidP="00EC5EE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t>D.</w:t>
      </w:r>
      <w:r w:rsidRPr="00363F79">
        <w:rPr>
          <w:rFonts w:hint="eastAsia"/>
        </w:rPr>
        <w:tab/>
      </w:r>
      <w:r w:rsidRPr="00363F79">
        <w:rPr>
          <w:rFonts w:hint="eastAsia"/>
        </w:rPr>
        <w:t>议会</w:t>
      </w:r>
    </w:p>
    <w:p w14:paraId="4D40FEFC" w14:textId="43A8140D" w:rsidR="00EC5EEF" w:rsidRPr="00363F79" w:rsidRDefault="00EC5EEF" w:rsidP="00EC5EEF">
      <w:pPr>
        <w:pStyle w:val="SingleTxt"/>
        <w:rPr>
          <w:rFonts w:asciiTheme="majorBidi" w:eastAsia="黑体" w:hAnsiTheme="majorBidi" w:cstheme="majorBidi"/>
        </w:rPr>
      </w:pPr>
      <w:r w:rsidRPr="00363F79">
        <w:rPr>
          <w:rFonts w:hint="eastAsia"/>
        </w:rPr>
        <w:t>9.</w:t>
      </w:r>
      <w:r w:rsidRPr="00363F79">
        <w:rPr>
          <w:rFonts w:hint="eastAsia"/>
        </w:rPr>
        <w:tab/>
      </w:r>
      <w:r w:rsidRPr="00363F79">
        <w:rPr>
          <w:rFonts w:asciiTheme="majorBidi" w:eastAsia="黑体" w:hAnsiTheme="majorBidi" w:cstheme="majorBidi" w:hint="eastAsia"/>
        </w:rPr>
        <w:t>委员会强调立法权在确保充分执行《公约》方面的关键作用</w:t>
      </w:r>
      <w:r w:rsidRPr="00363F79">
        <w:rPr>
          <w:rFonts w:asciiTheme="majorBidi" w:eastAsia="黑体" w:hAnsiTheme="majorBidi" w:cstheme="majorBidi" w:hint="eastAsia"/>
        </w:rPr>
        <w:t>(</w:t>
      </w:r>
      <w:r w:rsidRPr="00363F79">
        <w:rPr>
          <w:rFonts w:asciiTheme="majorBidi" w:eastAsia="黑体" w:hAnsiTheme="majorBidi" w:cstheme="majorBidi" w:hint="eastAsia"/>
        </w:rPr>
        <w:t>见</w:t>
      </w:r>
      <w:hyperlink r:id="rId42" w:history="1">
        <w:r w:rsidRPr="00363F79">
          <w:rPr>
            <w:rStyle w:val="af4"/>
            <w:rFonts w:asciiTheme="majorBidi" w:eastAsia="黑体" w:hAnsiTheme="majorBidi" w:cstheme="majorBidi" w:hint="eastAsia"/>
          </w:rPr>
          <w:t>A/65/38</w:t>
        </w:r>
      </w:hyperlink>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第二部分，附件六</w:t>
      </w:r>
      <w:r w:rsidRPr="00363F79">
        <w:rPr>
          <w:rFonts w:asciiTheme="majorBidi" w:eastAsia="黑体" w:hAnsiTheme="majorBidi" w:cstheme="majorBidi" w:hint="eastAsia"/>
        </w:rPr>
        <w:t>)</w:t>
      </w:r>
      <w:r w:rsidRPr="00363F79">
        <w:rPr>
          <w:rFonts w:asciiTheme="majorBidi" w:eastAsia="黑体" w:hAnsiTheme="majorBidi" w:cstheme="majorBidi" w:hint="eastAsia"/>
        </w:rPr>
        <w:t>。委员会请丹麦议会、格陵兰议会和法罗群岛议会根据其任务规定，从现在起到根据《公约》提交下次定期报告期间，采取必要措施落实本结论意见。</w:t>
      </w:r>
    </w:p>
    <w:p w14:paraId="5182D6CC" w14:textId="77777777" w:rsidR="00EC5EEF" w:rsidRPr="00363F79" w:rsidRDefault="00EC5EEF" w:rsidP="00E56BC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t>E.</w:t>
      </w:r>
      <w:r w:rsidRPr="00363F79">
        <w:rPr>
          <w:rFonts w:hint="eastAsia"/>
        </w:rPr>
        <w:tab/>
      </w:r>
      <w:r w:rsidRPr="00363F79">
        <w:rPr>
          <w:rFonts w:hint="eastAsia"/>
        </w:rPr>
        <w:t>主要关切领域和建议</w:t>
      </w:r>
    </w:p>
    <w:p w14:paraId="2377345E"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背景概况</w:t>
      </w:r>
    </w:p>
    <w:p w14:paraId="2F20AEF9" w14:textId="75FD306C" w:rsidR="00EC5EEF" w:rsidRPr="00363F79" w:rsidRDefault="00EC5EEF" w:rsidP="00EC5EEF">
      <w:pPr>
        <w:pStyle w:val="SingleTxt"/>
      </w:pPr>
      <w:r w:rsidRPr="00363F79">
        <w:rPr>
          <w:rFonts w:hint="eastAsia"/>
        </w:rPr>
        <w:t>10.</w:t>
      </w:r>
      <w:r w:rsidRPr="00363F79">
        <w:rPr>
          <w:rFonts w:hint="eastAsia"/>
        </w:rPr>
        <w:tab/>
      </w:r>
      <w:r w:rsidRPr="00363F79">
        <w:rPr>
          <w:rFonts w:hint="eastAsia"/>
        </w:rPr>
        <w:t>委员会赞扬缔约国坚持先进的社会模式，其特点是社会再分配、高失业补助和庞大的公共部门，同时维持具有竞争力的经济、可靠的福利以及低失业率和贫困率，委员会还认为这是促进性别平等的</w:t>
      </w:r>
      <w:r w:rsidRPr="00363F79">
        <w:rPr>
          <w:rFonts w:hint="eastAsia"/>
        </w:rPr>
        <w:t>COVID-19</w:t>
      </w:r>
      <w:r w:rsidRPr="00363F79">
        <w:rPr>
          <w:rFonts w:hint="eastAsia"/>
        </w:rPr>
        <w:t>对策和恢复战略的坚实基础，包括在下一代欧盟恢复计划之下。然而，委员会感到关切的是，在缔约国全境普遍存在基于性别的暴力侵害妇女行为，包括家庭暴力和贫困妇女人数日增，这对属于弱势和边缘化群体的妇女和女童造成极大影响，她们面临多重交叉形式歧视。</w:t>
      </w:r>
    </w:p>
    <w:p w14:paraId="13E56279" w14:textId="06DF2B7B" w:rsidR="00EC5EEF" w:rsidRPr="00363F79" w:rsidRDefault="00EC5EEF" w:rsidP="00EC5EEF">
      <w:pPr>
        <w:pStyle w:val="SingleTxt"/>
        <w:rPr>
          <w:rFonts w:asciiTheme="majorBidi" w:eastAsia="黑体" w:hAnsiTheme="majorBidi" w:cstheme="majorBidi"/>
        </w:rPr>
      </w:pPr>
      <w:r w:rsidRPr="00363F79">
        <w:rPr>
          <w:rFonts w:hint="eastAsia"/>
        </w:rPr>
        <w:t>11.</w:t>
      </w:r>
      <w:r w:rsidRPr="00363F79">
        <w:rPr>
          <w:rFonts w:hint="eastAsia"/>
        </w:rPr>
        <w:tab/>
      </w:r>
      <w:r w:rsidRPr="00363F79">
        <w:rPr>
          <w:rFonts w:asciiTheme="majorBidi" w:eastAsia="黑体" w:hAnsiTheme="majorBidi" w:cstheme="majorBidi" w:hint="eastAsia"/>
        </w:rPr>
        <w:t>依照</w:t>
      </w:r>
      <w:r w:rsidRPr="00363F79">
        <w:rPr>
          <w:rFonts w:asciiTheme="majorBidi" w:eastAsia="黑体" w:hAnsiTheme="majorBidi" w:cstheme="majorBidi" w:hint="eastAsia"/>
        </w:rPr>
        <w:t>2020</w:t>
      </w:r>
      <w:r w:rsidRPr="00363F79">
        <w:rPr>
          <w:rFonts w:asciiTheme="majorBidi" w:eastAsia="黑体" w:hAnsiTheme="majorBidi" w:cstheme="majorBidi" w:hint="eastAsia"/>
        </w:rPr>
        <w:t>年</w:t>
      </w:r>
      <w:r w:rsidRPr="00363F79">
        <w:rPr>
          <w:rFonts w:asciiTheme="majorBidi" w:eastAsia="黑体" w:hAnsiTheme="majorBidi" w:cstheme="majorBidi" w:hint="eastAsia"/>
        </w:rPr>
        <w:t>4</w:t>
      </w:r>
      <w:r w:rsidRPr="00363F79">
        <w:rPr>
          <w:rFonts w:asciiTheme="majorBidi" w:eastAsia="黑体" w:hAnsiTheme="majorBidi" w:cstheme="majorBidi" w:hint="eastAsia"/>
        </w:rPr>
        <w:t>月</w:t>
      </w:r>
      <w:r w:rsidRPr="00363F79">
        <w:rPr>
          <w:rFonts w:asciiTheme="majorBidi" w:eastAsia="黑体" w:hAnsiTheme="majorBidi" w:cstheme="majorBidi" w:hint="eastAsia"/>
        </w:rPr>
        <w:t>22</w:t>
      </w:r>
      <w:r w:rsidRPr="00363F79">
        <w:rPr>
          <w:rFonts w:asciiTheme="majorBidi" w:eastAsia="黑体" w:hAnsiTheme="majorBidi" w:cstheme="majorBidi" w:hint="eastAsia"/>
        </w:rPr>
        <w:t>日发布的关于《公约》缔约国在</w:t>
      </w:r>
      <w:r w:rsidRPr="00363F79">
        <w:rPr>
          <w:rFonts w:asciiTheme="majorBidi" w:eastAsia="黑体" w:hAnsiTheme="majorBidi" w:cstheme="majorBidi" w:hint="eastAsia"/>
        </w:rPr>
        <w:t>COVID-19</w:t>
      </w:r>
      <w:r w:rsidRPr="00363F79">
        <w:rPr>
          <w:rFonts w:asciiTheme="majorBidi" w:eastAsia="黑体" w:hAnsiTheme="majorBidi" w:cstheme="majorBidi" w:hint="eastAsia"/>
        </w:rPr>
        <w:t>背景下的义务的指导说明，委员会建议缔约国：</w:t>
      </w:r>
    </w:p>
    <w:p w14:paraId="61FF7187"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巩固缔约国各地的丹麦社会模式，使之成为可持续变革的推动力，并将其作为在</w:t>
      </w:r>
      <w:r w:rsidRPr="00363F79">
        <w:rPr>
          <w:rFonts w:asciiTheme="majorBidi" w:eastAsia="黑体" w:hAnsiTheme="majorBidi" w:cstheme="majorBidi" w:hint="eastAsia"/>
        </w:rPr>
        <w:t>COVID-19</w:t>
      </w:r>
      <w:r w:rsidRPr="00363F79">
        <w:rPr>
          <w:rFonts w:asciiTheme="majorBidi" w:eastAsia="黑体" w:hAnsiTheme="majorBidi" w:cstheme="majorBidi" w:hint="eastAsia"/>
        </w:rPr>
        <w:t>大流行背景下采取措施的催化剂，以根据《</w:t>
      </w:r>
      <w:r w:rsidRPr="00363F79">
        <w:rPr>
          <w:rFonts w:asciiTheme="majorBidi" w:eastAsia="黑体" w:hAnsiTheme="majorBidi" w:cstheme="majorBidi" w:hint="eastAsia"/>
        </w:rPr>
        <w:t>2030</w:t>
      </w:r>
      <w:r w:rsidRPr="00363F79">
        <w:rPr>
          <w:rFonts w:asciiTheme="majorBidi" w:eastAsia="黑体" w:hAnsiTheme="majorBidi" w:cstheme="majorBidi" w:hint="eastAsia"/>
        </w:rPr>
        <w:t>年议程》将妇女和女童置于恢复战略的中心，从而纠正长期存在的男女不平等现象，特别关注失业妇女和生活贫困妇女、少数族裔或少数民族妇女、土著妇女、老年妇女、残疾妇女、移民、难民和寻求庇护的妇女以及男女同性恋、双性恋、跨性别者和间性者；</w:t>
      </w:r>
    </w:p>
    <w:p w14:paraId="1FB34361" w14:textId="3A93BEB0"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采取行动，确保在限制行动自由、实行卫生措施和危机后恢复计划的背景下，妇女和女童不沦为歧视性的陈规定型性别角色；</w:t>
      </w:r>
    </w:p>
    <w:p w14:paraId="3B2C92F7"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审查其战略，确保所有</w:t>
      </w:r>
      <w:r w:rsidRPr="00363F79">
        <w:rPr>
          <w:rFonts w:asciiTheme="majorBidi" w:eastAsia="黑体" w:hAnsiTheme="majorBidi" w:cstheme="majorBidi" w:hint="eastAsia"/>
        </w:rPr>
        <w:t>COVID-19</w:t>
      </w:r>
      <w:r w:rsidRPr="00363F79">
        <w:rPr>
          <w:rFonts w:asciiTheme="majorBidi" w:eastAsia="黑体" w:hAnsiTheme="majorBidi" w:cstheme="majorBidi" w:hint="eastAsia"/>
        </w:rPr>
        <w:t>危机对策和恢复努力，包括缔约国的紧急措施，旨在有效防止基于性别的暴力侵害妇女和女童行为；保证妇女和女童平等参与政治和公共生活，并参与关于恢复努力、增强经济权能和提供服务的决策；旨在使妇女和女童平等受益于一揽子刺激计划，包括对无偿照顾角色的财政补助，以减轻这一大流行病的社会经济影响；</w:t>
      </w:r>
    </w:p>
    <w:p w14:paraId="380EE672"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(d)</w:t>
      </w:r>
      <w:r w:rsidRPr="00363F79">
        <w:rPr>
          <w:rFonts w:asciiTheme="majorBidi" w:eastAsia="黑体" w:hAnsiTheme="majorBidi" w:cstheme="majorBidi" w:hint="eastAsia"/>
        </w:rPr>
        <w:tab/>
      </w:r>
      <w:r w:rsidRPr="00363F79">
        <w:rPr>
          <w:rFonts w:asciiTheme="majorBidi" w:eastAsia="黑体" w:hAnsiTheme="majorBidi" w:cstheme="majorBidi" w:hint="eastAsia"/>
        </w:rPr>
        <w:t>确保为遏制这一大流行病而采取的措施不限制妇女和女童，包括处境不利和边缘群体的妇女和女童获得司法救助、保护她们免受性别暴力、向她们提供受教育和就业机会以及包括性和生殖保健在内的保健服务；</w:t>
      </w:r>
    </w:p>
    <w:p w14:paraId="2EAB7FA7" w14:textId="1CF5D4AD"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(e)</w:t>
      </w:r>
      <w:r w:rsidRPr="00363F79">
        <w:rPr>
          <w:rFonts w:asciiTheme="majorBidi" w:eastAsia="黑体" w:hAnsiTheme="majorBidi" w:cstheme="majorBidi" w:hint="eastAsia"/>
        </w:rPr>
        <w:tab/>
      </w:r>
      <w:r w:rsidRPr="00363F79">
        <w:rPr>
          <w:rFonts w:asciiTheme="majorBidi" w:eastAsia="黑体" w:hAnsiTheme="majorBidi" w:cstheme="majorBidi" w:hint="eastAsia"/>
        </w:rPr>
        <w:t>确保平等和不歧视原则在根据下一代欧盟恢复计划拨款方面发挥核心和战略作用。</w:t>
      </w:r>
    </w:p>
    <w:p w14:paraId="044CF427"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《公约》及其《任择议定书》和委员会一般性建议的可见度</w:t>
      </w:r>
    </w:p>
    <w:p w14:paraId="173F1E6A" w14:textId="1C90BCFF" w:rsidR="00EC5EEF" w:rsidRPr="00363F79" w:rsidRDefault="00EC5EEF" w:rsidP="00EC5EEF">
      <w:pPr>
        <w:pStyle w:val="SingleTxt"/>
      </w:pPr>
      <w:r w:rsidRPr="00363F79">
        <w:rPr>
          <w:rFonts w:hint="eastAsia"/>
        </w:rPr>
        <w:t>12.</w:t>
      </w:r>
      <w:r w:rsidRPr="00363F79">
        <w:rPr>
          <w:rFonts w:hint="eastAsia"/>
        </w:rPr>
        <w:tab/>
      </w:r>
      <w:r w:rsidRPr="00363F79">
        <w:rPr>
          <w:rFonts w:hint="eastAsia"/>
        </w:rPr>
        <w:t>委员会欢迎外交部将其先前的结论性意见翻译成丹麦文并分发给所有相关部委，明确说明后续落实和执行《公约》和委员会建议的责任。委员会还欢迎以丹麦文在线公布《公约》及其《任择议定书》，而且在难民申诉委员会审理的案件中经常援引和考虑《公约》和委员会的判例。然而，委员会关切地注意到，援引《公约》的法庭判例很少，缔约国特别是格陵兰和法罗群岛的政府官员和妇女本身普遍缺乏对《公约》和委员会根据《任择议定书》所作判例的认识，这可能会妨碍他们要求实现《公约》规定的权利，以及利用《任择议定书》规定的来文或查询程序。</w:t>
      </w:r>
    </w:p>
    <w:p w14:paraId="6B7E7C5B" w14:textId="22161429" w:rsidR="00EC5EEF" w:rsidRPr="00363F79" w:rsidRDefault="00EC5EEF" w:rsidP="00EC5EEF">
      <w:pPr>
        <w:pStyle w:val="SingleTxt"/>
        <w:rPr>
          <w:rFonts w:asciiTheme="majorBidi" w:eastAsia="黑体" w:hAnsiTheme="majorBidi" w:cstheme="majorBidi"/>
        </w:rPr>
      </w:pPr>
      <w:r w:rsidRPr="00363F79">
        <w:rPr>
          <w:rFonts w:hint="eastAsia"/>
        </w:rPr>
        <w:t>13.</w:t>
      </w:r>
      <w:r w:rsidRPr="00363F79">
        <w:rPr>
          <w:rFonts w:hint="eastAsia"/>
        </w:rPr>
        <w:tab/>
      </w:r>
      <w:r w:rsidRPr="00363F79">
        <w:rPr>
          <w:rFonts w:asciiTheme="majorBidi" w:eastAsia="黑体" w:hAnsiTheme="majorBidi" w:cstheme="majorBidi" w:hint="eastAsia"/>
        </w:rPr>
        <w:t>委员会忆及其此前的建议</w:t>
      </w:r>
      <w:r w:rsidRPr="00363F79">
        <w:rPr>
          <w:rFonts w:asciiTheme="majorBidi" w:eastAsia="黑体" w:hAnsiTheme="majorBidi" w:cstheme="majorBidi" w:hint="eastAsia"/>
        </w:rPr>
        <w:t>(</w:t>
      </w:r>
      <w:hyperlink r:id="rId43"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10</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6E75A392" w14:textId="3925624F"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传播和加大力度宣传《公约》及其《任择议定书》，以及委员会的结论性意见和一般性建议及其对根据《任择议定书》提交的个人来文和查询提出的意见和建议；</w:t>
      </w:r>
    </w:p>
    <w:p w14:paraId="32110343" w14:textId="5CFB006C"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00FC2C55">
        <w:rPr>
          <w:rFonts w:asciiTheme="majorBidi" w:eastAsia="黑体" w:hAnsiTheme="majorBidi" w:cstheme="majorBidi"/>
        </w:rPr>
        <w:tab/>
      </w:r>
      <w:r w:rsidRPr="00363F79">
        <w:rPr>
          <w:rFonts w:asciiTheme="majorBidi" w:eastAsia="黑体" w:hAnsiTheme="majorBidi" w:cstheme="majorBidi" w:hint="eastAsia"/>
        </w:rPr>
        <w:t>考虑建立由丹麦、格陵兰和法罗群岛政府参与的本结论性意见的全面执行机制，并尊重自治领土的自治权和辅助性原则，让丹麦人权研究所、格陵兰人权理事会和相当于格陵兰人权理事会的法罗群岛机构以及促进妇女权利和性别平等的非政府组织参与这一机制，同时考虑到国家报告和后续行动机制的四个关键能力</w:t>
      </w:r>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即参与、协调、协商和信息管理；</w:t>
      </w:r>
      <w:r w:rsidR="00363F79" w:rsidRPr="00363F79">
        <w:rPr>
          <w:rStyle w:val="a3"/>
          <w:rFonts w:asciiTheme="majorBidi" w:eastAsia="黑体" w:hAnsiTheme="majorBidi" w:cstheme="majorBidi"/>
        </w:rPr>
        <w:footnoteReference w:id="1"/>
      </w:r>
    </w:p>
    <w:p w14:paraId="51B6F87B" w14:textId="244C1849"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00FC2C55">
        <w:rPr>
          <w:rFonts w:asciiTheme="majorBidi" w:eastAsia="黑体" w:hAnsiTheme="majorBidi" w:cstheme="majorBidi"/>
        </w:rPr>
        <w:tab/>
      </w:r>
      <w:r w:rsidRPr="00363F79">
        <w:rPr>
          <w:rFonts w:asciiTheme="majorBidi" w:eastAsia="黑体" w:hAnsiTheme="majorBidi" w:cstheme="majorBidi" w:hint="eastAsia"/>
        </w:rPr>
        <w:t>提高妇女对《公约》赋予她们的权利以及她们在实现这些权利时可利用的现有法律补救方法的认识，包括在格陵兰岛和法罗群岛；</w:t>
      </w:r>
    </w:p>
    <w:p w14:paraId="73676A09" w14:textId="0E3DAB9A" w:rsidR="00AD524E"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w:t>
      </w:r>
      <w:r w:rsidR="00FC2C55">
        <w:rPr>
          <w:rFonts w:asciiTheme="majorBidi" w:eastAsia="黑体" w:hAnsiTheme="majorBidi" w:cstheme="majorBidi"/>
        </w:rPr>
        <w:t>d</w:t>
      </w:r>
      <w:r w:rsidRPr="00363F79">
        <w:rPr>
          <w:rFonts w:asciiTheme="majorBidi" w:eastAsia="黑体" w:hAnsiTheme="majorBidi" w:cstheme="majorBidi" w:hint="eastAsia"/>
        </w:rPr>
        <w:t>)</w:t>
      </w:r>
      <w:r w:rsidRPr="00363F79">
        <w:rPr>
          <w:rFonts w:asciiTheme="majorBidi" w:eastAsia="黑体" w:hAnsiTheme="majorBidi" w:cstheme="majorBidi" w:hint="eastAsia"/>
        </w:rPr>
        <w:tab/>
      </w:r>
      <w:r w:rsidRPr="00363F79">
        <w:rPr>
          <w:rFonts w:asciiTheme="majorBidi" w:eastAsia="黑体" w:hAnsiTheme="majorBidi" w:cstheme="majorBidi" w:hint="eastAsia"/>
        </w:rPr>
        <w:t>加强法官、检察官、警官和其他执法人员以及律师的相关能力建设方案。</w:t>
      </w:r>
    </w:p>
    <w:p w14:paraId="1C73A9DF" w14:textId="77777777" w:rsidR="00AD524E" w:rsidRDefault="00AD524E">
      <w:pPr>
        <w:spacing w:line="240" w:lineRule="auto"/>
        <w:jc w:val="left"/>
        <w:rPr>
          <w:rFonts w:asciiTheme="majorBidi" w:eastAsia="黑体" w:hAnsiTheme="majorBidi" w:cstheme="majorBidi"/>
        </w:rPr>
      </w:pPr>
      <w:r>
        <w:rPr>
          <w:rFonts w:asciiTheme="majorBidi" w:eastAsia="黑体" w:hAnsiTheme="majorBidi" w:cstheme="majorBidi"/>
        </w:rPr>
        <w:br w:type="page"/>
      </w:r>
    </w:p>
    <w:p w14:paraId="615BD5ED"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立法框架、《公约》的法律地位和法律的统一</w:t>
      </w:r>
    </w:p>
    <w:p w14:paraId="1B2ACC47" w14:textId="1A4C7316" w:rsidR="00EC5EEF" w:rsidRPr="00363F79" w:rsidRDefault="00EC5EEF" w:rsidP="00EC5EEF">
      <w:pPr>
        <w:pStyle w:val="SingleTxt"/>
      </w:pPr>
      <w:r w:rsidRPr="00363F79">
        <w:rPr>
          <w:rFonts w:hint="eastAsia"/>
        </w:rPr>
        <w:t>14.</w:t>
      </w:r>
      <w:r w:rsidRPr="00363F79">
        <w:rPr>
          <w:rFonts w:hint="eastAsia"/>
        </w:rPr>
        <w:tab/>
      </w:r>
      <w:r w:rsidRPr="00363F79">
        <w:rPr>
          <w:rFonts w:hint="eastAsia"/>
        </w:rPr>
        <w:t>委员会欢迎自</w:t>
      </w:r>
      <w:r w:rsidRPr="00363F79">
        <w:rPr>
          <w:rFonts w:hint="eastAsia"/>
        </w:rPr>
        <w:t>2013</w:t>
      </w:r>
      <w:r w:rsidRPr="00363F79">
        <w:rPr>
          <w:rFonts w:hint="eastAsia"/>
        </w:rPr>
        <w:t>年以来对</w:t>
      </w:r>
      <w:r w:rsidRPr="00363F79">
        <w:rPr>
          <w:rFonts w:hint="eastAsia"/>
        </w:rPr>
        <w:t>120</w:t>
      </w:r>
      <w:r w:rsidRPr="00363F79">
        <w:rPr>
          <w:rFonts w:hint="eastAsia"/>
        </w:rPr>
        <w:t>项法律草案进行了性别影响评估。委员会注意到缔约国的解释，即目前没有将《公约》纳入国内法令的计划，而且缔约国不认为性别中性的立法和政策妨碍其履行《公约》规定的义务。然而，委员会重申其先前的关切</w:t>
      </w:r>
      <w:r w:rsidRPr="00363F79">
        <w:rPr>
          <w:rFonts w:hint="eastAsia"/>
        </w:rPr>
        <w:t>(</w:t>
      </w:r>
      <w:hyperlink r:id="rId44" w:history="1">
        <w:r w:rsidRPr="00363F79">
          <w:rPr>
            <w:rStyle w:val="af4"/>
            <w:rFonts w:hint="eastAsia"/>
          </w:rPr>
          <w:t>CEDAW/C/DNK/CO/8</w:t>
        </w:r>
      </w:hyperlink>
      <w:r w:rsidRPr="00363F79">
        <w:rPr>
          <w:rFonts w:hint="eastAsia"/>
        </w:rPr>
        <w:t>，第</w:t>
      </w:r>
      <w:r w:rsidRPr="00363F79">
        <w:rPr>
          <w:rFonts w:hint="eastAsia"/>
        </w:rPr>
        <w:t>11</w:t>
      </w:r>
      <w:r w:rsidRPr="00363F79">
        <w:rPr>
          <w:rFonts w:hint="eastAsia"/>
        </w:rPr>
        <w:t>和</w:t>
      </w:r>
      <w:r w:rsidRPr="00363F79">
        <w:rPr>
          <w:rFonts w:hint="eastAsia"/>
        </w:rPr>
        <w:t>38</w:t>
      </w:r>
      <w:r w:rsidRPr="00363F79">
        <w:rPr>
          <w:rFonts w:hint="eastAsia"/>
        </w:rPr>
        <w:t>段</w:t>
      </w:r>
      <w:r w:rsidRPr="00363F79">
        <w:rPr>
          <w:rFonts w:hint="eastAsia"/>
        </w:rPr>
        <w:t>)</w:t>
      </w:r>
      <w:r w:rsidRPr="00363F79">
        <w:rPr>
          <w:rFonts w:hint="eastAsia"/>
        </w:rPr>
        <w:t>，关切地注意到：</w:t>
      </w:r>
    </w:p>
    <w:p w14:paraId="53EB77D7" w14:textId="5E0B7DCE"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没有将《公约》纳入国内法可能对包括格陵兰和法罗群岛在内的缔约国各地妇女和女童产生不利影响，并可能妨碍缔约国根据《公约》第四条第</w:t>
      </w:r>
      <w:r w:rsidRPr="00363F79">
        <w:rPr>
          <w:rFonts w:hint="eastAsia"/>
        </w:rPr>
        <w:t>1</w:t>
      </w:r>
      <w:r w:rsidRPr="00363F79">
        <w:rPr>
          <w:rFonts w:hint="eastAsia"/>
        </w:rPr>
        <w:t>款和关于此专题的委员会第</w:t>
      </w:r>
      <w:r w:rsidRPr="00363F79">
        <w:rPr>
          <w:rFonts w:hint="eastAsia"/>
        </w:rPr>
        <w:t>25</w:t>
      </w:r>
      <w:r w:rsidRPr="00363F79">
        <w:rPr>
          <w:rFonts w:hint="eastAsia"/>
        </w:rPr>
        <w:t>号一般性建议</w:t>
      </w:r>
      <w:r w:rsidRPr="00363F79">
        <w:rPr>
          <w:rFonts w:hint="eastAsia"/>
        </w:rPr>
        <w:t>(2004</w:t>
      </w:r>
      <w:r w:rsidRPr="00363F79">
        <w:rPr>
          <w:rFonts w:hint="eastAsia"/>
        </w:rPr>
        <w:t>年</w:t>
      </w:r>
      <w:r w:rsidRPr="00363F79">
        <w:rPr>
          <w:rFonts w:hint="eastAsia"/>
        </w:rPr>
        <w:t>)</w:t>
      </w:r>
      <w:r w:rsidRPr="00363F79">
        <w:rPr>
          <w:rFonts w:hint="eastAsia"/>
        </w:rPr>
        <w:t>采取旨在加快实现男女实质平等的暂行特别措施，因为丹麦法院可能认为这种措施具有歧视性；</w:t>
      </w:r>
    </w:p>
    <w:p w14:paraId="0B6147DA" w14:textId="79E6347B" w:rsidR="00EC5EEF" w:rsidRPr="00363F79" w:rsidRDefault="00EC5EEF" w:rsidP="00EC5EEF">
      <w:pPr>
        <w:pStyle w:val="SingleTxt"/>
      </w:pPr>
      <w:r w:rsidRPr="00363F79">
        <w:rPr>
          <w:rFonts w:hint="eastAsia"/>
        </w:rPr>
        <w:tab/>
        <w:t>(b)</w:t>
      </w:r>
      <w:r w:rsidRPr="00363F79">
        <w:rPr>
          <w:rFonts w:hint="eastAsia"/>
        </w:rPr>
        <w:tab/>
      </w:r>
      <w:r w:rsidRPr="00363F79">
        <w:rPr>
          <w:rFonts w:hint="eastAsia"/>
        </w:rPr>
        <w:t>缺乏对歧视妇女的全面定义，包括公共和私人领域的直接和间接歧视以及交叉形式歧视；</w:t>
      </w:r>
    </w:p>
    <w:p w14:paraId="2E0E3A62" w14:textId="0F783B10"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缔约国立法、政策和方案中增加使用性别中性语言，因此难以评价妇女，包括属于弱势和边缘群体的妇女状况，并可能导致不充分保护妇女免受直接和间接歧视，妨碍实现男女实质性平等。在这方面，委员会回顾其关于缔约国在《公约》第二条之下核心义务的第</w:t>
      </w:r>
      <w:r w:rsidRPr="00363F79">
        <w:rPr>
          <w:rFonts w:hint="eastAsia"/>
        </w:rPr>
        <w:t>28</w:t>
      </w:r>
      <w:r w:rsidRPr="00363F79">
        <w:rPr>
          <w:rFonts w:hint="eastAsia"/>
        </w:rPr>
        <w:t>号一般性建议</w:t>
      </w:r>
      <w:r w:rsidRPr="00363F79">
        <w:rPr>
          <w:rFonts w:hint="eastAsia"/>
        </w:rPr>
        <w:t>(2010</w:t>
      </w:r>
      <w:r w:rsidRPr="00363F79">
        <w:rPr>
          <w:rFonts w:hint="eastAsia"/>
        </w:rPr>
        <w:t>年</w:t>
      </w:r>
      <w:r w:rsidRPr="00363F79">
        <w:rPr>
          <w:rFonts w:hint="eastAsia"/>
        </w:rPr>
        <w:t>)(</w:t>
      </w:r>
      <w:r w:rsidRPr="00363F79">
        <w:rPr>
          <w:rFonts w:hint="eastAsia"/>
        </w:rPr>
        <w:t>第</w:t>
      </w:r>
      <w:r w:rsidRPr="00363F79">
        <w:rPr>
          <w:rFonts w:hint="eastAsia"/>
        </w:rPr>
        <w:t>5</w:t>
      </w:r>
      <w:r w:rsidRPr="00363F79">
        <w:rPr>
          <w:rFonts w:hint="eastAsia"/>
        </w:rPr>
        <w:t>和</w:t>
      </w:r>
      <w:r w:rsidRPr="00363F79">
        <w:rPr>
          <w:rFonts w:hint="eastAsia"/>
        </w:rPr>
        <w:t>16</w:t>
      </w:r>
      <w:r w:rsidRPr="00363F79">
        <w:rPr>
          <w:rFonts w:hint="eastAsia"/>
        </w:rPr>
        <w:t>段</w:t>
      </w:r>
      <w:r w:rsidRPr="00363F79">
        <w:rPr>
          <w:rFonts w:hint="eastAsia"/>
        </w:rPr>
        <w:t>)</w:t>
      </w:r>
      <w:r w:rsidRPr="00363F79">
        <w:rPr>
          <w:rFonts w:hint="eastAsia"/>
        </w:rPr>
        <w:t>。</w:t>
      </w:r>
    </w:p>
    <w:p w14:paraId="72E28050" w14:textId="01E7CF04" w:rsidR="00EC5EEF" w:rsidRPr="00363F79" w:rsidRDefault="00EC5EEF" w:rsidP="00EC5EEF">
      <w:pPr>
        <w:pStyle w:val="SingleTxt"/>
        <w:rPr>
          <w:rFonts w:asciiTheme="majorBidi" w:eastAsia="黑体" w:hAnsiTheme="majorBidi" w:cstheme="majorBidi"/>
        </w:rPr>
      </w:pPr>
      <w:r w:rsidRPr="00363F79">
        <w:rPr>
          <w:rFonts w:hint="eastAsia"/>
        </w:rPr>
        <w:t>15.</w:t>
      </w:r>
      <w:r w:rsidRPr="00363F79">
        <w:rPr>
          <w:rFonts w:hint="eastAsia"/>
        </w:rPr>
        <w:tab/>
      </w:r>
      <w:r w:rsidRPr="00363F79">
        <w:rPr>
          <w:rFonts w:asciiTheme="majorBidi" w:eastAsia="黑体" w:hAnsiTheme="majorBidi" w:cstheme="majorBidi" w:hint="eastAsia"/>
        </w:rPr>
        <w:t>委员会重申其此前的建议</w:t>
      </w:r>
      <w:r w:rsidRPr="00363F79">
        <w:rPr>
          <w:rFonts w:asciiTheme="majorBidi" w:eastAsia="黑体" w:hAnsiTheme="majorBidi" w:cstheme="majorBidi" w:hint="eastAsia"/>
        </w:rPr>
        <w:t>(</w:t>
      </w:r>
      <w:hyperlink r:id="rId45"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12</w:t>
      </w:r>
      <w:r w:rsidRPr="00363F79">
        <w:rPr>
          <w:rFonts w:asciiTheme="majorBidi" w:eastAsia="黑体" w:hAnsiTheme="majorBidi" w:cstheme="majorBidi" w:hint="eastAsia"/>
        </w:rPr>
        <w:t>和</w:t>
      </w:r>
      <w:r w:rsidRPr="00363F79">
        <w:rPr>
          <w:rFonts w:asciiTheme="majorBidi" w:eastAsia="黑体" w:hAnsiTheme="majorBidi" w:cstheme="majorBidi" w:hint="eastAsia"/>
        </w:rPr>
        <w:t>40</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76617E89"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审查其不将《公约》纳入国内法令的决定；</w:t>
      </w:r>
    </w:p>
    <w:p w14:paraId="1540492E" w14:textId="127E895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加快统一立法，同时尊重自治领土的自主权和辅助性原则，通过对歧视妇女的全面定义，包括公共和私人领域的直接和间接歧视以及交叉形式歧视，并确保其在缔约国全境一致适用；</w:t>
      </w:r>
    </w:p>
    <w:p w14:paraId="5E44237B"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根据委员会第</w:t>
      </w:r>
      <w:r w:rsidRPr="00363F79">
        <w:rPr>
          <w:rFonts w:asciiTheme="majorBidi" w:eastAsia="黑体" w:hAnsiTheme="majorBidi" w:cstheme="majorBidi" w:hint="eastAsia"/>
        </w:rPr>
        <w:t>28</w:t>
      </w:r>
      <w:r w:rsidRPr="00363F79">
        <w:rPr>
          <w:rFonts w:asciiTheme="majorBidi" w:eastAsia="黑体" w:hAnsiTheme="majorBidi" w:cstheme="majorBidi" w:hint="eastAsia"/>
        </w:rPr>
        <w:t>号一般性建议，在其立法、政策和方案中纳入对性别问题有敏感认识而不是性别中立的语言，并全面评估立法和决策中的性别中性做法，强调性别中性政策对妇女公共资助方案的潜在不利影响。</w:t>
      </w:r>
    </w:p>
    <w:p w14:paraId="7712013E"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提高妇女地位国家</w:t>
      </w:r>
    </w:p>
    <w:p w14:paraId="08C6A661" w14:textId="7ACFCD94" w:rsidR="00EC5EEF" w:rsidRPr="00363F79" w:rsidRDefault="00EC5EEF" w:rsidP="00EC5EEF">
      <w:pPr>
        <w:pStyle w:val="SingleTxt"/>
      </w:pPr>
      <w:r w:rsidRPr="00363F79">
        <w:rPr>
          <w:rFonts w:hint="eastAsia"/>
        </w:rPr>
        <w:t>16.</w:t>
      </w:r>
      <w:r w:rsidRPr="00363F79">
        <w:rPr>
          <w:rFonts w:hint="eastAsia"/>
        </w:rPr>
        <w:tab/>
      </w:r>
      <w:r w:rsidRPr="00363F79">
        <w:rPr>
          <w:rFonts w:hint="eastAsia"/>
        </w:rPr>
        <w:t>委员会欢迎根据欧洲联盟关于平等对待所有人而不以性别、种族或族裔为由进行歧视的指令，指定丹麦人权研究所为国家平权机构，并欢迎该研究所作为丹麦和格陵兰的国家人权机构发挥职能。委员会还欢迎该研究所根据《关于促进和保护人权的国家机构的地位的原则》</w:t>
      </w:r>
      <w:r w:rsidRPr="00363F79">
        <w:rPr>
          <w:rFonts w:hint="eastAsia"/>
        </w:rPr>
        <w:t>(</w:t>
      </w:r>
      <w:r w:rsidRPr="00363F79">
        <w:rPr>
          <w:rFonts w:hint="eastAsia"/>
        </w:rPr>
        <w:t>《巴黎原则》</w:t>
      </w:r>
      <w:r w:rsidRPr="00363F79">
        <w:rPr>
          <w:rFonts w:hint="eastAsia"/>
        </w:rPr>
        <w:t>)</w:t>
      </w:r>
      <w:r w:rsidRPr="00363F79">
        <w:rPr>
          <w:rFonts w:hint="eastAsia"/>
        </w:rPr>
        <w:t>，与格陵兰人权理事会密切合作，该理事会是</w:t>
      </w:r>
      <w:r w:rsidRPr="00363F79">
        <w:rPr>
          <w:rFonts w:hint="eastAsia"/>
        </w:rPr>
        <w:t>2018</w:t>
      </w:r>
      <w:r w:rsidRPr="00363F79">
        <w:rPr>
          <w:rFonts w:hint="eastAsia"/>
        </w:rPr>
        <w:t>年</w:t>
      </w:r>
      <w:r w:rsidRPr="00363F79">
        <w:rPr>
          <w:rFonts w:hint="eastAsia"/>
        </w:rPr>
        <w:t>11</w:t>
      </w:r>
      <w:r w:rsidRPr="00363F79">
        <w:rPr>
          <w:rFonts w:hint="eastAsia"/>
        </w:rPr>
        <w:t>月依法设立的政治独立理事会。然而，委员会关切地注意到：</w:t>
      </w:r>
    </w:p>
    <w:p w14:paraId="47E99EA5" w14:textId="110EB056"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缺乏促进妇女权利和性别平等的长期战略和行动计划；</w:t>
      </w:r>
    </w:p>
    <w:p w14:paraId="6877FDC0" w14:textId="77777777" w:rsidR="00EC5EEF" w:rsidRPr="00363F79" w:rsidRDefault="00EC5EEF" w:rsidP="00EC5EEF">
      <w:pPr>
        <w:pStyle w:val="SingleTxt"/>
      </w:pPr>
      <w:r w:rsidRPr="00363F79">
        <w:rPr>
          <w:rFonts w:hint="eastAsia"/>
        </w:rPr>
        <w:tab/>
        <w:t>(b)</w:t>
      </w:r>
      <w:r w:rsidRPr="00363F79">
        <w:rPr>
          <w:rFonts w:hint="eastAsia"/>
        </w:rPr>
        <w:tab/>
        <w:t>2019</w:t>
      </w:r>
      <w:r w:rsidRPr="00363F79">
        <w:rPr>
          <w:rFonts w:hint="eastAsia"/>
        </w:rPr>
        <w:t>年性别平等法修正案将市级性别平等报告频率从二年改为三年，这可能对性别平等主流化产生负面影响；</w:t>
      </w:r>
    </w:p>
    <w:p w14:paraId="5E4E9879" w14:textId="7B8F9999"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缺乏将性别观念纳入主流的全面综合战略；</w:t>
      </w:r>
    </w:p>
    <w:p w14:paraId="083C3F1D" w14:textId="1C488716" w:rsidR="00EC5EEF" w:rsidRPr="00363F79" w:rsidRDefault="00EC5EEF" w:rsidP="00EC5EEF">
      <w:pPr>
        <w:pStyle w:val="SingleTxt"/>
      </w:pPr>
      <w:r w:rsidRPr="00363F79">
        <w:rPr>
          <w:rFonts w:hint="eastAsia"/>
        </w:rPr>
        <w:tab/>
        <w:t>(d)</w:t>
      </w:r>
      <w:r w:rsidR="00AD524E">
        <w:tab/>
      </w:r>
      <w:r w:rsidRPr="00363F79">
        <w:rPr>
          <w:rFonts w:hint="eastAsia"/>
        </w:rPr>
        <w:t>丹麦法罗群岛人权研究的任务范围不包括法罗群岛，而且法罗群岛没有相当于格陵兰人权理事会的机构；</w:t>
      </w:r>
    </w:p>
    <w:p w14:paraId="0A4DF742" w14:textId="0A03E097" w:rsidR="00EC5EEF" w:rsidRPr="00363F79" w:rsidRDefault="00EC5EEF" w:rsidP="00EC5EEF">
      <w:pPr>
        <w:pStyle w:val="SingleTxt"/>
      </w:pPr>
      <w:r w:rsidRPr="00363F79">
        <w:rPr>
          <w:rFonts w:hint="eastAsia"/>
        </w:rPr>
        <w:tab/>
        <w:t>(e)</w:t>
      </w:r>
      <w:r w:rsidRPr="00363F79">
        <w:rPr>
          <w:rFonts w:hint="eastAsia"/>
        </w:rPr>
        <w:tab/>
      </w:r>
      <w:r w:rsidRPr="00363F79">
        <w:rPr>
          <w:rFonts w:hint="eastAsia"/>
        </w:rPr>
        <w:t>格陵兰人权理事会缺乏足够的人力、技术和财政资源，无法有效执行任务，而且其成员无偿工作。</w:t>
      </w:r>
    </w:p>
    <w:p w14:paraId="3AF8ED34" w14:textId="77777777" w:rsidR="00EC5EEF" w:rsidRPr="00363F79" w:rsidRDefault="00EC5EEF" w:rsidP="00EC5EEF">
      <w:pPr>
        <w:pStyle w:val="SingleTxt"/>
        <w:rPr>
          <w:rFonts w:asciiTheme="majorBidi" w:eastAsia="黑体" w:hAnsiTheme="majorBidi" w:cstheme="majorBidi"/>
        </w:rPr>
      </w:pPr>
      <w:r w:rsidRPr="00363F79">
        <w:rPr>
          <w:rFonts w:hint="eastAsia"/>
        </w:rPr>
        <w:t>17.</w:t>
      </w:r>
      <w:r w:rsidRPr="00363F79">
        <w:rPr>
          <w:rFonts w:hint="eastAsia"/>
        </w:rPr>
        <w:tab/>
      </w:r>
      <w:r w:rsidRPr="00363F79">
        <w:rPr>
          <w:rFonts w:asciiTheme="majorBidi" w:eastAsia="黑体" w:hAnsiTheme="majorBidi" w:cstheme="majorBidi" w:hint="eastAsia"/>
        </w:rPr>
        <w:t>委员会建议缔约国：</w:t>
      </w:r>
    </w:p>
    <w:p w14:paraId="7AB0B509"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除年度性别平等行动计划之外，通过一项长期战略和行动计划，旨在促进到</w:t>
      </w:r>
      <w:r w:rsidRPr="00363F79">
        <w:rPr>
          <w:rFonts w:asciiTheme="majorBidi" w:eastAsia="黑体" w:hAnsiTheme="majorBidi" w:cstheme="majorBidi" w:hint="eastAsia"/>
        </w:rPr>
        <w:t>2030</w:t>
      </w:r>
      <w:r w:rsidRPr="00363F79">
        <w:rPr>
          <w:rFonts w:asciiTheme="majorBidi" w:eastAsia="黑体" w:hAnsiTheme="majorBidi" w:cstheme="majorBidi" w:hint="eastAsia"/>
        </w:rPr>
        <w:t>年实现公共和私人领域性别均等；</w:t>
      </w:r>
    </w:p>
    <w:p w14:paraId="681E0F9B" w14:textId="4A075008"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修订</w:t>
      </w:r>
      <w:r w:rsidRPr="00363F79">
        <w:rPr>
          <w:rFonts w:asciiTheme="majorBidi" w:eastAsia="黑体" w:hAnsiTheme="majorBidi" w:cstheme="majorBidi" w:hint="eastAsia"/>
        </w:rPr>
        <w:t>2013</w:t>
      </w:r>
      <w:r w:rsidRPr="00363F79">
        <w:rPr>
          <w:rFonts w:asciiTheme="majorBidi" w:eastAsia="黑体" w:hAnsiTheme="majorBidi" w:cstheme="majorBidi" w:hint="eastAsia"/>
        </w:rPr>
        <w:t>年公共部门未来性别平等主流化评估工作的国家战略，并采用性别平等主流化综合办法，以实现男女平等，并实行有效的监测和问责机制，包括通过继续系统地对立法进行性别影响评估，确保根据遵守相关目标和指标以及收集分类数据的情况，包括有关残疾妇女和女童的数据，对执行情况作出评价；</w:t>
      </w:r>
    </w:p>
    <w:p w14:paraId="64499887"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进行一项全面研究，评价关于将市级性别平等报告频率从二年改为三年的立法修正案的影响，必要时采取补救行动；</w:t>
      </w:r>
    </w:p>
    <w:p w14:paraId="766D7078"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(d)</w:t>
      </w:r>
      <w:r w:rsidRPr="00363F79">
        <w:rPr>
          <w:rFonts w:asciiTheme="majorBidi" w:eastAsia="黑体" w:hAnsiTheme="majorBidi" w:cstheme="majorBidi" w:hint="eastAsia"/>
        </w:rPr>
        <w:tab/>
      </w:r>
      <w:r w:rsidRPr="00363F79">
        <w:rPr>
          <w:rFonts w:asciiTheme="majorBidi" w:eastAsia="黑体" w:hAnsiTheme="majorBidi" w:cstheme="majorBidi" w:hint="eastAsia"/>
        </w:rPr>
        <w:t>通过性别平等主流化战略，以实现男女平等，并将丹麦人权研究所的任务扩大到法罗群岛，在法罗群岛设立一个相当于格陵兰人权理事会的机构，配备足够的人力、技术和财政资源，以有效执行其促进和保护妇女权利的任务；</w:t>
      </w:r>
    </w:p>
    <w:p w14:paraId="5F80AE58"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(e)</w:t>
      </w:r>
      <w:r w:rsidRPr="00363F79">
        <w:rPr>
          <w:rFonts w:asciiTheme="majorBidi" w:eastAsia="黑体" w:hAnsiTheme="majorBidi" w:cstheme="majorBidi" w:hint="eastAsia"/>
        </w:rPr>
        <w:tab/>
      </w:r>
      <w:r w:rsidRPr="00363F79">
        <w:rPr>
          <w:rFonts w:asciiTheme="majorBidi" w:eastAsia="黑体" w:hAnsiTheme="majorBidi" w:cstheme="majorBidi" w:hint="eastAsia"/>
        </w:rPr>
        <w:t>与丹麦人权研究所合作，为格陵兰人权理事会提供足够的人力、技术和财政资源，以有效执行其促进和保护妇女权利的任务。</w:t>
      </w:r>
    </w:p>
    <w:p w14:paraId="4175075F" w14:textId="5C167AFE" w:rsidR="00EC5EEF" w:rsidRPr="00363F79" w:rsidRDefault="00E56BC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tab/>
      </w:r>
      <w:r w:rsidRPr="00363F79">
        <w:tab/>
      </w:r>
      <w:r w:rsidR="00EC5EEF" w:rsidRPr="00363F79">
        <w:rPr>
          <w:rFonts w:hint="eastAsia"/>
        </w:rPr>
        <w:t>暂行特别措施</w:t>
      </w:r>
    </w:p>
    <w:p w14:paraId="41A88EFE" w14:textId="105BC0D6" w:rsidR="00EC5EEF" w:rsidRPr="00363F79" w:rsidRDefault="00EC5EEF" w:rsidP="00EC5EEF">
      <w:pPr>
        <w:pStyle w:val="SingleTxt"/>
      </w:pPr>
      <w:r w:rsidRPr="00363F79">
        <w:rPr>
          <w:rFonts w:hint="eastAsia"/>
        </w:rPr>
        <w:t>18.</w:t>
      </w:r>
      <w:r w:rsidRPr="00363F79">
        <w:rPr>
          <w:rFonts w:hint="eastAsia"/>
        </w:rPr>
        <w:tab/>
      </w:r>
      <w:r w:rsidRPr="00363F79">
        <w:rPr>
          <w:rFonts w:hint="eastAsia"/>
        </w:rPr>
        <w:t>委员会注意到</w:t>
      </w:r>
      <w:r w:rsidR="00363F79" w:rsidRPr="00363F79">
        <w:rPr>
          <w:rFonts w:hint="eastAsia"/>
        </w:rPr>
        <w:t>，</w:t>
      </w:r>
      <w:r w:rsidRPr="00363F79">
        <w:rPr>
          <w:rFonts w:hint="eastAsia"/>
        </w:rPr>
        <w:t>缔约国代表团表示，在确保私营公司董事会性别均衡方面取得的进展不足，并计划将性别平等立法的适用范围扩大到管理职位。然而，委员会感到关切的是，一半以上丹麦最大的</w:t>
      </w:r>
      <w:r w:rsidRPr="00363F79">
        <w:rPr>
          <w:rFonts w:hint="eastAsia"/>
        </w:rPr>
        <w:t>2 200</w:t>
      </w:r>
      <w:r w:rsidRPr="00363F79">
        <w:rPr>
          <w:rFonts w:hint="eastAsia"/>
        </w:rPr>
        <w:t>家私营公司的董事会中没有女性，</w:t>
      </w:r>
      <w:r w:rsidRPr="00363F79">
        <w:rPr>
          <w:rFonts w:hint="eastAsia"/>
        </w:rPr>
        <w:t>2016</w:t>
      </w:r>
      <w:r w:rsidRPr="00363F79">
        <w:rPr>
          <w:rFonts w:hint="eastAsia"/>
        </w:rPr>
        <w:t>年修正了计算妇女在执行董事会中任职人数的公式，由</w:t>
      </w:r>
      <w:r w:rsidRPr="00363F79">
        <w:rPr>
          <w:rFonts w:hint="eastAsia"/>
        </w:rPr>
        <w:t>2</w:t>
      </w:r>
      <w:r w:rsidRPr="00363F79">
        <w:rPr>
          <w:rFonts w:hint="eastAsia"/>
        </w:rPr>
        <w:t>名妇女和</w:t>
      </w:r>
      <w:r w:rsidRPr="00363F79">
        <w:rPr>
          <w:rFonts w:hint="eastAsia"/>
        </w:rPr>
        <w:t>5</w:t>
      </w:r>
      <w:r w:rsidRPr="00363F79">
        <w:rPr>
          <w:rFonts w:hint="eastAsia"/>
        </w:rPr>
        <w:t>名男子组成的董事会将被视为反映出平等的性别代表性；缔约国，包括议会，不愿意采取暂行特别措施，以此推动在《公约》涵盖的所有领域以及在妇女任职人数不足或处于不利地位的所有级别实现男女实质平等，特别是在格陵兰和法罗群岛。</w:t>
      </w:r>
    </w:p>
    <w:p w14:paraId="7A828B0C" w14:textId="34FD6C86" w:rsidR="00AD524E" w:rsidRDefault="00EC5EEF" w:rsidP="00EC5EEF">
      <w:pPr>
        <w:pStyle w:val="SingleTxt"/>
        <w:rPr>
          <w:rFonts w:asciiTheme="majorBidi" w:eastAsia="黑体" w:hAnsiTheme="majorBidi" w:cstheme="majorBidi"/>
        </w:rPr>
      </w:pPr>
      <w:r w:rsidRPr="00363F79">
        <w:rPr>
          <w:rFonts w:hint="eastAsia"/>
        </w:rPr>
        <w:t>19.</w:t>
      </w:r>
      <w:r w:rsidRPr="00363F79">
        <w:rPr>
          <w:rFonts w:hint="eastAsia"/>
        </w:rPr>
        <w:tab/>
      </w:r>
      <w:r w:rsidRPr="00363F79">
        <w:rPr>
          <w:rFonts w:asciiTheme="majorBidi" w:eastAsia="黑体" w:hAnsiTheme="majorBidi" w:cstheme="majorBidi" w:hint="eastAsia"/>
        </w:rPr>
        <w:t>委员会重申其以往建议</w:t>
      </w:r>
      <w:r w:rsidRPr="00363F79">
        <w:rPr>
          <w:rFonts w:asciiTheme="majorBidi" w:eastAsia="黑体" w:hAnsiTheme="majorBidi" w:cstheme="majorBidi" w:hint="eastAsia"/>
        </w:rPr>
        <w:t>(</w:t>
      </w:r>
      <w:hyperlink r:id="rId46"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16</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，建议缔约国根据《公约》第四条第</w:t>
      </w:r>
      <w:r w:rsidRPr="00363F79">
        <w:rPr>
          <w:rFonts w:asciiTheme="majorBidi" w:eastAsia="黑体" w:hAnsiTheme="majorBidi" w:cstheme="majorBidi" w:hint="eastAsia"/>
        </w:rPr>
        <w:t>1</w:t>
      </w:r>
      <w:r w:rsidRPr="00363F79">
        <w:rPr>
          <w:rFonts w:asciiTheme="majorBidi" w:eastAsia="黑体" w:hAnsiTheme="majorBidi" w:cstheme="majorBidi" w:hint="eastAsia"/>
        </w:rPr>
        <w:t>款和委员会第</w:t>
      </w:r>
      <w:r w:rsidRPr="00363F79">
        <w:rPr>
          <w:rFonts w:asciiTheme="majorBidi" w:eastAsia="黑体" w:hAnsiTheme="majorBidi" w:cstheme="majorBidi" w:hint="eastAsia"/>
        </w:rPr>
        <w:t>25</w:t>
      </w:r>
      <w:r w:rsidRPr="00363F79">
        <w:rPr>
          <w:rFonts w:asciiTheme="majorBidi" w:eastAsia="黑体" w:hAnsiTheme="majorBidi" w:cstheme="majorBidi" w:hint="eastAsia"/>
        </w:rPr>
        <w:t>号一般性建议采用暂行特别措施，并提供诸如性别记分卡等激励措施，加强有针对性的征聘，并在《公约》涵盖的所有领域以及妇女在公共和私营部门</w:t>
      </w:r>
      <w:r w:rsidRPr="00363F79">
        <w:rPr>
          <w:rFonts w:asciiTheme="majorBidi" w:eastAsia="黑体" w:hAnsiTheme="majorBidi" w:cstheme="majorBidi" w:hint="eastAsia"/>
        </w:rPr>
        <w:t>(</w:t>
      </w:r>
      <w:r w:rsidRPr="00363F79">
        <w:rPr>
          <w:rFonts w:asciiTheme="majorBidi" w:eastAsia="黑体" w:hAnsiTheme="majorBidi" w:cstheme="majorBidi" w:hint="eastAsia"/>
        </w:rPr>
        <w:t>包括私营公司</w:t>
      </w:r>
      <w:r w:rsidRPr="00363F79">
        <w:rPr>
          <w:rFonts w:asciiTheme="majorBidi" w:eastAsia="黑体" w:hAnsiTheme="majorBidi" w:cstheme="majorBidi" w:hint="eastAsia"/>
        </w:rPr>
        <w:t>)</w:t>
      </w:r>
      <w:r w:rsidRPr="00363F79">
        <w:rPr>
          <w:rFonts w:asciiTheme="majorBidi" w:eastAsia="黑体" w:hAnsiTheme="majorBidi" w:cstheme="majorBidi" w:hint="eastAsia"/>
        </w:rPr>
        <w:t>任职人数不足或处于不利地位的所有级别设定有时限的目标和配额，以大幅增加董事会中的女性成员和担任管理职位的女性人数。委员会还建议缔约国实施暂行特别措施，加快实现弱势群体妇女的事实上平等，如移民妇女、老年妇女、残疾妇女、土著妇女、女同性恋、双性恋和变性妇女以及难民和寻求庇护妇女等。</w:t>
      </w:r>
    </w:p>
    <w:p w14:paraId="08B75477" w14:textId="77777777" w:rsidR="00AD524E" w:rsidRDefault="00AD524E">
      <w:pPr>
        <w:spacing w:line="240" w:lineRule="auto"/>
        <w:jc w:val="left"/>
        <w:rPr>
          <w:rFonts w:asciiTheme="majorBidi" w:eastAsia="黑体" w:hAnsiTheme="majorBidi" w:cstheme="majorBidi"/>
        </w:rPr>
      </w:pPr>
      <w:r>
        <w:rPr>
          <w:rFonts w:asciiTheme="majorBidi" w:eastAsia="黑体" w:hAnsiTheme="majorBidi" w:cstheme="majorBidi"/>
        </w:rPr>
        <w:br w:type="page"/>
      </w:r>
    </w:p>
    <w:p w14:paraId="7D1D5752" w14:textId="161C6158"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基于性别的暴力侵害妇女行为</w:t>
      </w:r>
    </w:p>
    <w:p w14:paraId="69ABF0AE" w14:textId="77777777" w:rsidR="00EC5EEF" w:rsidRPr="00363F79" w:rsidRDefault="00EC5EEF" w:rsidP="00EC5EEF">
      <w:pPr>
        <w:pStyle w:val="SingleTxt"/>
      </w:pPr>
      <w:r w:rsidRPr="00363F79">
        <w:rPr>
          <w:rFonts w:hint="eastAsia"/>
        </w:rPr>
        <w:t>20.</w:t>
      </w:r>
      <w:r w:rsidRPr="00363F79">
        <w:rPr>
          <w:rFonts w:hint="eastAsia"/>
        </w:rPr>
        <w:tab/>
      </w:r>
      <w:r w:rsidRPr="00363F79">
        <w:rPr>
          <w:rFonts w:hint="eastAsia"/>
        </w:rPr>
        <w:t>委员会赞扬缔约国将缺乏自由同意置于强奸新定义的核心；通过关于心理暴力和虐待的具体规定；为性暴力受害者设立热线，并为遭受性别暴力、包括家庭暴力和性暴力的妇女建立新的收容所；加强向受害者提供免费的心理社会咨询和协助，包括向提供流动咨询服务的非政府组织提供更多资金。委员会赞赏缔约国考虑到新形式的基于性别的暴力侵害妇女行为，特别是在网络领域，并采取优先行动防止女青年遭受此种暴力。委员会注意到缔约国的解释，即尽管使用了不带性别色彩的语言，但其打击性别暴力的行动计划考虑到妇女受此种暴力的影响极大。然而，委员会关切地注意到：</w:t>
      </w:r>
    </w:p>
    <w:p w14:paraId="043D21D9" w14:textId="77777777" w:rsidR="00EC5EEF" w:rsidRPr="00AD524E" w:rsidRDefault="00EC5EEF" w:rsidP="00EC5EEF">
      <w:pPr>
        <w:pStyle w:val="SingleTxt"/>
        <w:rPr>
          <w:spacing w:val="-2"/>
        </w:rPr>
      </w:pPr>
      <w:r w:rsidRPr="00363F79">
        <w:rPr>
          <w:rFonts w:hint="eastAsia"/>
        </w:rPr>
        <w:tab/>
        <w:t>(a)</w:t>
      </w:r>
      <w:r w:rsidRPr="00363F79">
        <w:rPr>
          <w:rFonts w:hint="eastAsia"/>
        </w:rPr>
        <w:tab/>
      </w:r>
      <w:r w:rsidRPr="00AD524E">
        <w:rPr>
          <w:rFonts w:hint="eastAsia"/>
          <w:spacing w:val="-2"/>
        </w:rPr>
        <w:t>新的强奸定义中没有界定同意概念，据报关于新定义的宣传和教育不够，新定义既不适用于格陵兰，也不适用于法罗群岛；</w:t>
      </w:r>
    </w:p>
    <w:p w14:paraId="3848451E" w14:textId="5179E434" w:rsidR="00EC5EEF" w:rsidRPr="00363F79" w:rsidRDefault="00EC5EEF" w:rsidP="00EC5EEF">
      <w:pPr>
        <w:pStyle w:val="SingleTxt"/>
      </w:pPr>
      <w:r w:rsidRPr="00363F79">
        <w:rPr>
          <w:rFonts w:hint="eastAsia"/>
        </w:rPr>
        <w:tab/>
        <w:t>(b)</w:t>
      </w:r>
      <w:r w:rsidRPr="00363F79">
        <w:rPr>
          <w:rFonts w:hint="eastAsia"/>
        </w:rPr>
        <w:tab/>
      </w:r>
      <w:r w:rsidRPr="00363F79">
        <w:rPr>
          <w:rFonts w:hint="eastAsia"/>
        </w:rPr>
        <w:t>将基于性别的暴力侵害妇女行为称为</w:t>
      </w:r>
      <w:r w:rsidR="00AD524E">
        <w:rPr>
          <w:rFonts w:hint="eastAsia"/>
        </w:rPr>
        <w:t>“</w:t>
      </w:r>
      <w:r w:rsidRPr="00363F79">
        <w:rPr>
          <w:rFonts w:hint="eastAsia"/>
        </w:rPr>
        <w:t>亲密关系中的暴力</w:t>
      </w:r>
      <w:r w:rsidR="00AD524E">
        <w:rPr>
          <w:rFonts w:hint="eastAsia"/>
        </w:rPr>
        <w:t>”</w:t>
      </w:r>
      <w:r w:rsidRPr="00363F79">
        <w:rPr>
          <w:rFonts w:hint="eastAsia"/>
        </w:rPr>
        <w:t>，包括在《刑法》第</w:t>
      </w:r>
      <w:r w:rsidRPr="00363F79">
        <w:rPr>
          <w:rFonts w:hint="eastAsia"/>
        </w:rPr>
        <w:t>243</w:t>
      </w:r>
      <w:r w:rsidRPr="00363F79">
        <w:rPr>
          <w:rFonts w:hint="eastAsia"/>
        </w:rPr>
        <w:t>条关于心理暴力的新刑事条款中，可能导致缺乏按性别分列的暴力数据，并掩盖妇女是此种暴力的绝大多数受害者这一事实，还导致缺乏应对这些挑战的适当行动；</w:t>
      </w:r>
    </w:p>
    <w:p w14:paraId="47906E15" w14:textId="77777777"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基于性别的暴力侵害妇女和女童行为、包括家庭暴力有所增加，特别是在</w:t>
      </w:r>
      <w:r w:rsidRPr="00363F79">
        <w:rPr>
          <w:rFonts w:hint="eastAsia"/>
        </w:rPr>
        <w:t>COVID-19</w:t>
      </w:r>
      <w:r w:rsidRPr="00363F79">
        <w:rPr>
          <w:rFonts w:hint="eastAsia"/>
        </w:rPr>
        <w:t>大流行期间，以及缔约国为受害妇女提供的收容所数目；</w:t>
      </w:r>
    </w:p>
    <w:p w14:paraId="0ADC01D6" w14:textId="77777777" w:rsidR="00EC5EEF" w:rsidRPr="00363F79" w:rsidRDefault="00EC5EEF" w:rsidP="00EC5EEF">
      <w:pPr>
        <w:pStyle w:val="SingleTxt"/>
      </w:pPr>
      <w:r w:rsidRPr="00363F79">
        <w:rPr>
          <w:rFonts w:hint="eastAsia"/>
        </w:rPr>
        <w:tab/>
        <w:t>(d)</w:t>
      </w:r>
      <w:r w:rsidRPr="00363F79">
        <w:rPr>
          <w:rFonts w:hint="eastAsia"/>
        </w:rPr>
        <w:tab/>
      </w:r>
      <w:r w:rsidRPr="00363F79">
        <w:rPr>
          <w:rFonts w:hint="eastAsia"/>
        </w:rPr>
        <w:t>残疾妇女，特别是智力或社会心理残疾妇女遭受性暴力的发生率很高；</w:t>
      </w:r>
    </w:p>
    <w:p w14:paraId="353F18EE" w14:textId="77777777" w:rsidR="00EC5EEF" w:rsidRPr="00363F79" w:rsidRDefault="00EC5EEF" w:rsidP="00EC5EEF">
      <w:pPr>
        <w:pStyle w:val="SingleTxt"/>
      </w:pPr>
      <w:r w:rsidRPr="00363F79">
        <w:rPr>
          <w:rFonts w:hint="eastAsia"/>
        </w:rPr>
        <w:tab/>
        <w:t>(e)</w:t>
      </w:r>
      <w:r w:rsidRPr="00363F79">
        <w:rPr>
          <w:rFonts w:hint="eastAsia"/>
        </w:rPr>
        <w:tab/>
      </w:r>
      <w:r w:rsidRPr="00363F79">
        <w:rPr>
          <w:rFonts w:hint="eastAsia"/>
        </w:rPr>
        <w:t>据报，尽管缔约国为打击这种现象采取了许多举措，但工作场所和教育系统中的性骚扰现象仍然十分普遍；</w:t>
      </w:r>
    </w:p>
    <w:p w14:paraId="50AC200D" w14:textId="77777777" w:rsidR="00EC5EEF" w:rsidRPr="00363F79" w:rsidRDefault="00EC5EEF" w:rsidP="00EC5EEF">
      <w:pPr>
        <w:pStyle w:val="SingleTxt"/>
      </w:pPr>
      <w:r w:rsidRPr="00363F79">
        <w:rPr>
          <w:rFonts w:hint="eastAsia"/>
        </w:rPr>
        <w:tab/>
        <w:t>(f)</w:t>
      </w:r>
      <w:r w:rsidRPr="00363F79">
        <w:rPr>
          <w:rFonts w:hint="eastAsia"/>
        </w:rPr>
        <w:tab/>
      </w:r>
      <w:r w:rsidRPr="00363F79">
        <w:rPr>
          <w:rFonts w:hint="eastAsia"/>
        </w:rPr>
        <w:t>在格陵兰，基于性别的暴力侵害妇女和女童行为，包括性暴力和家庭暴力十分严重，而且</w:t>
      </w:r>
      <w:r w:rsidRPr="00363F79">
        <w:rPr>
          <w:rFonts w:hint="eastAsia"/>
        </w:rPr>
        <w:t>2014-2017</w:t>
      </w:r>
      <w:r w:rsidRPr="00363F79">
        <w:rPr>
          <w:rFonts w:hint="eastAsia"/>
        </w:rPr>
        <w:t>年格陵兰反暴力战略和行动计划没有得到延续；</w:t>
      </w:r>
    </w:p>
    <w:p w14:paraId="76567866" w14:textId="77777777" w:rsidR="00EC5EEF" w:rsidRPr="00AD524E" w:rsidRDefault="00EC5EEF" w:rsidP="00EC5EEF">
      <w:pPr>
        <w:pStyle w:val="SingleTxt"/>
        <w:rPr>
          <w:spacing w:val="-2"/>
        </w:rPr>
      </w:pPr>
      <w:r w:rsidRPr="00363F79">
        <w:rPr>
          <w:rFonts w:hint="eastAsia"/>
        </w:rPr>
        <w:tab/>
        <w:t>(g)</w:t>
      </w:r>
      <w:r w:rsidRPr="00363F79">
        <w:rPr>
          <w:rFonts w:hint="eastAsia"/>
        </w:rPr>
        <w:tab/>
      </w:r>
      <w:r w:rsidRPr="00AD524E">
        <w:rPr>
          <w:rFonts w:hint="eastAsia"/>
          <w:spacing w:val="-2"/>
        </w:rPr>
        <w:t>总体上缺乏关于格陵兰和法罗群岛基于性别的暴力侵害妇女和女童行为的分类数据，特别是关于少数族裔或少数民族妇女、残疾妇女和移民妇女的数据；</w:t>
      </w:r>
    </w:p>
    <w:p w14:paraId="6E55CD8C" w14:textId="59CF223E" w:rsidR="00EC5EEF" w:rsidRPr="00363F79" w:rsidRDefault="00EC5EEF" w:rsidP="00EC5EEF">
      <w:pPr>
        <w:pStyle w:val="SingleTxt"/>
      </w:pPr>
      <w:r w:rsidRPr="00363F79">
        <w:rPr>
          <w:rFonts w:hint="eastAsia"/>
        </w:rPr>
        <w:tab/>
        <w:t>(h)</w:t>
      </w:r>
      <w:r w:rsidRPr="00363F79">
        <w:rPr>
          <w:rFonts w:hint="eastAsia"/>
        </w:rPr>
        <w:tab/>
      </w:r>
      <w:r w:rsidRPr="00363F79">
        <w:rPr>
          <w:rFonts w:hint="eastAsia"/>
        </w:rPr>
        <w:t>缔约国在批准时声明，《欧洲委员会预防和打击暴力侵害妇女行为及家庭暴力公约》</w:t>
      </w:r>
      <w:r w:rsidRPr="00363F79">
        <w:rPr>
          <w:rFonts w:hint="eastAsia"/>
        </w:rPr>
        <w:t>(</w:t>
      </w:r>
      <w:r w:rsidRPr="00363F79">
        <w:rPr>
          <w:rFonts w:hint="eastAsia"/>
        </w:rPr>
        <w:t>《伊斯坦布尔公约》</w:t>
      </w:r>
      <w:r w:rsidRPr="00363F79">
        <w:rPr>
          <w:rFonts w:hint="eastAsia"/>
        </w:rPr>
        <w:t>)</w:t>
      </w:r>
      <w:r w:rsidRPr="00363F79">
        <w:rPr>
          <w:rFonts w:hint="eastAsia"/>
        </w:rPr>
        <w:t>不适用于格陵兰和法罗群岛。</w:t>
      </w:r>
    </w:p>
    <w:p w14:paraId="6E775A86" w14:textId="793920A1" w:rsidR="00EC5EEF" w:rsidRPr="00363F79" w:rsidRDefault="00EC5EEF" w:rsidP="00EC5EEF">
      <w:pPr>
        <w:pStyle w:val="SingleTxt"/>
        <w:rPr>
          <w:rFonts w:asciiTheme="majorBidi" w:eastAsia="黑体" w:hAnsiTheme="majorBidi" w:cstheme="majorBidi"/>
        </w:rPr>
      </w:pPr>
      <w:r w:rsidRPr="00363F79">
        <w:rPr>
          <w:rFonts w:hint="eastAsia"/>
        </w:rPr>
        <w:t>21</w:t>
      </w:r>
      <w:r w:rsidR="00AD524E">
        <w:rPr>
          <w:rFonts w:hint="eastAsia"/>
        </w:rPr>
        <w:t>.</w:t>
      </w:r>
      <w:r w:rsidR="00AD524E">
        <w:tab/>
      </w:r>
      <w:r w:rsidRPr="00363F79">
        <w:rPr>
          <w:rFonts w:asciiTheme="majorBidi" w:eastAsia="黑体" w:hAnsiTheme="majorBidi" w:cstheme="majorBidi" w:hint="eastAsia"/>
        </w:rPr>
        <w:t>委员会重申其以往建议</w:t>
      </w:r>
      <w:r w:rsidRPr="00363F79">
        <w:rPr>
          <w:rFonts w:asciiTheme="majorBidi" w:eastAsia="黑体" w:hAnsiTheme="majorBidi" w:cstheme="majorBidi" w:hint="eastAsia"/>
        </w:rPr>
        <w:t>(</w:t>
      </w:r>
      <w:hyperlink r:id="rId47"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18</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，并回顾其关于基于性别的暴力侵害妇女行为的第</w:t>
      </w:r>
      <w:r w:rsidRPr="00363F79">
        <w:rPr>
          <w:rFonts w:asciiTheme="majorBidi" w:eastAsia="黑体" w:hAnsiTheme="majorBidi" w:cstheme="majorBidi" w:hint="eastAsia"/>
        </w:rPr>
        <w:t>35</w:t>
      </w:r>
      <w:r w:rsidRPr="00363F79">
        <w:rPr>
          <w:rFonts w:asciiTheme="majorBidi" w:eastAsia="黑体" w:hAnsiTheme="majorBidi" w:cstheme="majorBidi" w:hint="eastAsia"/>
        </w:rPr>
        <w:t>号一般性建议</w:t>
      </w:r>
      <w:r w:rsidRPr="00363F79">
        <w:rPr>
          <w:rFonts w:asciiTheme="majorBidi" w:eastAsia="黑体" w:hAnsiTheme="majorBidi" w:cstheme="majorBidi" w:hint="eastAsia"/>
        </w:rPr>
        <w:t>(2017</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更新第</w:t>
      </w:r>
      <w:r w:rsidRPr="00363F79">
        <w:rPr>
          <w:rFonts w:asciiTheme="majorBidi" w:eastAsia="黑体" w:hAnsiTheme="majorBidi" w:cstheme="majorBidi" w:hint="eastAsia"/>
        </w:rPr>
        <w:t>19</w:t>
      </w:r>
      <w:r w:rsidRPr="00363F79">
        <w:rPr>
          <w:rFonts w:asciiTheme="majorBidi" w:eastAsia="黑体" w:hAnsiTheme="majorBidi" w:cstheme="majorBidi" w:hint="eastAsia"/>
        </w:rPr>
        <w:t>号一般性建议</w:t>
      </w:r>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73D8AC81"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在关于强奸的新刑事条款中界定同意的定义，加强关于强奸新定义的宣传和教育，特别是针对青年妇女和男子，并在格陵兰和法罗群岛采用基于同意的强奸定义。</w:t>
      </w:r>
    </w:p>
    <w:p w14:paraId="5A5ECB5F" w14:textId="536C2A3F"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根据《伊斯坦布尔公约》，加强关于家庭暴力的立法和政策框架，特别关注缔约国境内遭受暴力侵害的妇女，避免使用不分性别的词语，并确保《刑法》中关于心理暴力和虐待的新的第</w:t>
      </w:r>
      <w:r w:rsidRPr="00363F79">
        <w:rPr>
          <w:rFonts w:asciiTheme="majorBidi" w:eastAsia="黑体" w:hAnsiTheme="majorBidi" w:cstheme="majorBidi" w:hint="eastAsia"/>
        </w:rPr>
        <w:t>243</w:t>
      </w:r>
      <w:r w:rsidRPr="00363F79">
        <w:rPr>
          <w:rFonts w:asciiTheme="majorBidi" w:eastAsia="黑体" w:hAnsiTheme="majorBidi" w:cstheme="majorBidi" w:hint="eastAsia"/>
        </w:rPr>
        <w:t>条适用于妇女、特别是某些族裔和宗教群体妇女违心结婚的情况，同时明确将这种强迫婚姻以及女童和男童宗教婚姻仪式定为犯罪；</w:t>
      </w:r>
    </w:p>
    <w:p w14:paraId="01ACD4C1"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为遭受性别暴力的妇女提供足够数量而且必须无障碍的收容所，同时考虑到她们的具体需要，包括需要在所指定收容所满员的情况下避免让她们搬迁；</w:t>
      </w:r>
    </w:p>
    <w:p w14:paraId="5E6AB066"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(d)</w:t>
      </w:r>
      <w:r w:rsidRPr="00363F79">
        <w:rPr>
          <w:rFonts w:asciiTheme="majorBidi" w:eastAsia="黑体" w:hAnsiTheme="majorBidi" w:cstheme="majorBidi" w:hint="eastAsia"/>
        </w:rPr>
        <w:tab/>
      </w:r>
      <w:r w:rsidRPr="00363F79">
        <w:rPr>
          <w:rFonts w:asciiTheme="majorBidi" w:eastAsia="黑体" w:hAnsiTheme="majorBidi" w:cstheme="majorBidi" w:hint="eastAsia"/>
        </w:rPr>
        <w:t>采取紧急措施，解决残疾妇女，特别是智力或社会心理残疾妇女遭受性暴力比例高的问题；</w:t>
      </w:r>
    </w:p>
    <w:p w14:paraId="3DFE336A"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(e)</w:t>
      </w:r>
      <w:r w:rsidRPr="00363F79">
        <w:rPr>
          <w:rFonts w:asciiTheme="majorBidi" w:eastAsia="黑体" w:hAnsiTheme="majorBidi" w:cstheme="majorBidi" w:hint="eastAsia"/>
        </w:rPr>
        <w:tab/>
      </w:r>
      <w:r w:rsidRPr="00363F79">
        <w:rPr>
          <w:rFonts w:asciiTheme="majorBidi" w:eastAsia="黑体" w:hAnsiTheme="majorBidi" w:cstheme="majorBidi" w:hint="eastAsia"/>
        </w:rPr>
        <w:t>确保工作场所和教育系统中性骚扰受害者能够获得有效补救，采取措施作出规定，即如果雇主未采取足够措施防止工作场所性骚扰，则雇主应当对这种骚扰承担责任，鼓励雇主定期审查其公司文化，并加快设立举报人热线，举报包括性骚扰在内的非法行为；</w:t>
      </w:r>
    </w:p>
    <w:p w14:paraId="5C074BBD"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(f)</w:t>
      </w:r>
      <w:r w:rsidRPr="00363F79">
        <w:rPr>
          <w:rFonts w:asciiTheme="majorBidi" w:eastAsia="黑体" w:hAnsiTheme="majorBidi" w:cstheme="majorBidi" w:hint="eastAsia"/>
        </w:rPr>
        <w:tab/>
      </w:r>
      <w:r w:rsidRPr="00363F79">
        <w:rPr>
          <w:rFonts w:asciiTheme="majorBidi" w:eastAsia="黑体" w:hAnsiTheme="majorBidi" w:cstheme="majorBidi" w:hint="eastAsia"/>
        </w:rPr>
        <w:t>评价格陵兰反暴力战略和行动计划</w:t>
      </w:r>
      <w:r w:rsidRPr="00363F79">
        <w:rPr>
          <w:rFonts w:asciiTheme="majorBidi" w:eastAsia="黑体" w:hAnsiTheme="majorBidi" w:cstheme="majorBidi" w:hint="eastAsia"/>
        </w:rPr>
        <w:t>(2014-2017</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Pr="00363F79">
        <w:rPr>
          <w:rFonts w:asciiTheme="majorBidi" w:eastAsia="黑体" w:hAnsiTheme="majorBidi" w:cstheme="majorBidi" w:hint="eastAsia"/>
        </w:rPr>
        <w:t>，并通过新的战略和行动计划，打击针对妇女和女童</w:t>
      </w:r>
      <w:r w:rsidRPr="00363F79">
        <w:rPr>
          <w:rFonts w:asciiTheme="majorBidi" w:eastAsia="黑体" w:hAnsiTheme="majorBidi" w:cstheme="majorBidi" w:hint="eastAsia"/>
        </w:rPr>
        <w:t>(</w:t>
      </w:r>
      <w:r w:rsidRPr="00363F79">
        <w:rPr>
          <w:rFonts w:asciiTheme="majorBidi" w:eastAsia="黑体" w:hAnsiTheme="majorBidi" w:cstheme="majorBidi" w:hint="eastAsia"/>
        </w:rPr>
        <w:t>包括残疾妇女和女童</w:t>
      </w:r>
      <w:r w:rsidRPr="00363F79">
        <w:rPr>
          <w:rFonts w:asciiTheme="majorBidi" w:eastAsia="黑体" w:hAnsiTheme="majorBidi" w:cstheme="majorBidi" w:hint="eastAsia"/>
        </w:rPr>
        <w:t>)</w:t>
      </w:r>
      <w:r w:rsidRPr="00363F79">
        <w:rPr>
          <w:rFonts w:asciiTheme="majorBidi" w:eastAsia="黑体" w:hAnsiTheme="majorBidi" w:cstheme="majorBidi" w:hint="eastAsia"/>
        </w:rPr>
        <w:t>的性别暴力，包括性暴力和家庭暴力，并将其与预防自杀、药物滥用和关于父母疏于照管的行动计划联系起来，同时有明确的目标及预防、监测和后续机制，并继续根据针对家庭暴力实施者的</w:t>
      </w:r>
      <w:r w:rsidRPr="00363F79">
        <w:rPr>
          <w:rFonts w:asciiTheme="majorBidi" w:eastAsia="黑体" w:hAnsiTheme="majorBidi" w:cstheme="majorBidi" w:hint="eastAsia"/>
        </w:rPr>
        <w:t>Alliaq</w:t>
      </w:r>
      <w:r w:rsidRPr="00363F79">
        <w:rPr>
          <w:rFonts w:asciiTheme="majorBidi" w:eastAsia="黑体" w:hAnsiTheme="majorBidi" w:cstheme="majorBidi" w:hint="eastAsia"/>
        </w:rPr>
        <w:t>方案和过期战略采取措施；</w:t>
      </w:r>
    </w:p>
    <w:p w14:paraId="1EF17086"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(g)</w:t>
      </w:r>
      <w:r w:rsidRPr="00363F79">
        <w:rPr>
          <w:rFonts w:asciiTheme="majorBidi" w:eastAsia="黑体" w:hAnsiTheme="majorBidi" w:cstheme="majorBidi" w:hint="eastAsia"/>
        </w:rPr>
        <w:tab/>
      </w:r>
      <w:r w:rsidRPr="00363F79">
        <w:rPr>
          <w:rFonts w:asciiTheme="majorBidi" w:eastAsia="黑体" w:hAnsiTheme="majorBidi" w:cstheme="majorBidi" w:hint="eastAsia"/>
        </w:rPr>
        <w:t>确保收集和分析按性别、年龄、国籍和残疾分列的关于格陵兰和法罗群岛基于性别的暴力侵害妇女和女童行为的数据；</w:t>
      </w:r>
    </w:p>
    <w:p w14:paraId="2F767682"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(h)</w:t>
      </w:r>
      <w:r w:rsidRPr="00363F79">
        <w:rPr>
          <w:rFonts w:asciiTheme="majorBidi" w:eastAsia="黑体" w:hAnsiTheme="majorBidi" w:cstheme="majorBidi" w:hint="eastAsia"/>
        </w:rPr>
        <w:tab/>
      </w:r>
      <w:r w:rsidRPr="00363F79">
        <w:rPr>
          <w:rFonts w:asciiTheme="majorBidi" w:eastAsia="黑体" w:hAnsiTheme="majorBidi" w:cstheme="majorBidi" w:hint="eastAsia"/>
        </w:rPr>
        <w:t>将《伊斯坦布尔公约》的适用范围扩大到格陵兰和法罗群岛。</w:t>
      </w:r>
    </w:p>
    <w:p w14:paraId="6EAD2B0C" w14:textId="779DA7C6"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贩卖人口和剥削卖淫</w:t>
      </w:r>
    </w:p>
    <w:p w14:paraId="045952B1" w14:textId="763A3E8D" w:rsidR="00EC5EEF" w:rsidRPr="00363F79" w:rsidRDefault="00EC5EEF" w:rsidP="00EC5EEF">
      <w:pPr>
        <w:pStyle w:val="SingleTxt"/>
      </w:pPr>
      <w:r w:rsidRPr="00363F79">
        <w:rPr>
          <w:rFonts w:hint="eastAsia"/>
        </w:rPr>
        <w:t>22.</w:t>
      </w:r>
      <w:r w:rsidRPr="00363F79">
        <w:rPr>
          <w:rFonts w:hint="eastAsia"/>
        </w:rPr>
        <w:tab/>
      </w:r>
      <w:r w:rsidRPr="00363F79">
        <w:rPr>
          <w:rFonts w:hint="eastAsia"/>
        </w:rPr>
        <w:t>委员会欢迎缔约国努力防止和打击贩运人口，特别是贩运妇女和女童，包括为此开展国际合作和采取若干提高认识举措，并通过其刑事伤害补偿委员会向贩运受害者，包括以卖淫为目的的贩运受害者提供补偿。尽管如此，委员会仍感关切的是：</w:t>
      </w:r>
    </w:p>
    <w:p w14:paraId="71C5EFFE" w14:textId="337EAF85"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缺乏关于被确认为贩运受害者的妇女和女童的综合资料和可理解的数据，特别是在格陵兰和法罗群岛；</w:t>
      </w:r>
    </w:p>
    <w:p w14:paraId="5194DD1B" w14:textId="77777777" w:rsidR="00EC5EEF" w:rsidRPr="00363F79" w:rsidRDefault="00EC5EEF" w:rsidP="00EC5EEF">
      <w:pPr>
        <w:pStyle w:val="SingleTxt"/>
      </w:pPr>
      <w:r w:rsidRPr="00363F79">
        <w:rPr>
          <w:rFonts w:hint="eastAsia"/>
        </w:rPr>
        <w:tab/>
        <w:t>(b)</w:t>
      </w:r>
      <w:r w:rsidRPr="00363F79">
        <w:rPr>
          <w:rFonts w:hint="eastAsia"/>
        </w:rPr>
        <w:tab/>
      </w:r>
      <w:r w:rsidRPr="00363F79">
        <w:rPr>
          <w:rFonts w:hint="eastAsia"/>
        </w:rPr>
        <w:t>对举报的贩运案件进行刑事调查和起诉的数量较少，部分原因可能是无证或处境非正常的被贩运妇女有可能被递解出境，这使她们不愿寻求受害者援助服务；</w:t>
      </w:r>
    </w:p>
    <w:p w14:paraId="56F33C22" w14:textId="77777777"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贩运者日益通过互联网瞄准受害者；</w:t>
      </w:r>
    </w:p>
    <w:p w14:paraId="4C56D0B3" w14:textId="1E204461" w:rsidR="00EC5EEF" w:rsidRPr="00363F79" w:rsidRDefault="00EC5EEF" w:rsidP="00EC5EEF">
      <w:pPr>
        <w:pStyle w:val="SingleTxt"/>
      </w:pPr>
      <w:r w:rsidRPr="00363F79">
        <w:rPr>
          <w:rFonts w:hint="eastAsia"/>
        </w:rPr>
        <w:tab/>
        <w:t>(d)</w:t>
      </w:r>
      <w:r w:rsidRPr="00363F79">
        <w:rPr>
          <w:rFonts w:hint="eastAsia"/>
        </w:rPr>
        <w:tab/>
      </w:r>
      <w:r w:rsidRPr="00363F79">
        <w:rPr>
          <w:rFonts w:hint="eastAsia"/>
        </w:rPr>
        <w:t>哥本哈根警察暴力犯罪司内反人口贩运股可用的人力、技术和财政资源有限而且不足，因为其中一些资源已被重新分配，用于打击其他形式的严重犯罪。在这方面，委员会注意到缔约国计划新设一个国家调查单位。</w:t>
      </w:r>
    </w:p>
    <w:p w14:paraId="39912F88" w14:textId="1FA5AA11" w:rsidR="00EC5EEF" w:rsidRPr="00363F79" w:rsidRDefault="00EC5EEF" w:rsidP="00EC5EEF">
      <w:pPr>
        <w:pStyle w:val="SingleTxt"/>
        <w:rPr>
          <w:rFonts w:asciiTheme="majorBidi" w:eastAsia="黑体" w:hAnsiTheme="majorBidi" w:cstheme="majorBidi"/>
        </w:rPr>
      </w:pPr>
      <w:r w:rsidRPr="00363F79">
        <w:rPr>
          <w:rFonts w:hint="eastAsia"/>
        </w:rPr>
        <w:t>23.</w:t>
      </w:r>
      <w:r w:rsidRPr="00363F79">
        <w:rPr>
          <w:rFonts w:hint="eastAsia"/>
        </w:rPr>
        <w:tab/>
      </w:r>
      <w:r w:rsidRPr="00363F79">
        <w:rPr>
          <w:rFonts w:asciiTheme="majorBidi" w:eastAsia="黑体" w:hAnsiTheme="majorBidi" w:cstheme="majorBidi" w:hint="eastAsia"/>
        </w:rPr>
        <w:t>委员会回顾其以往建议</w:t>
      </w:r>
      <w:r w:rsidRPr="00363F79">
        <w:rPr>
          <w:rFonts w:asciiTheme="majorBidi" w:eastAsia="黑体" w:hAnsiTheme="majorBidi" w:cstheme="majorBidi" w:hint="eastAsia"/>
        </w:rPr>
        <w:t>(</w:t>
      </w:r>
      <w:hyperlink r:id="rId48"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20</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及其关于全球移民背景下贩运妇女和女童问题的第</w:t>
      </w:r>
      <w:r w:rsidRPr="00363F79">
        <w:rPr>
          <w:rFonts w:asciiTheme="majorBidi" w:eastAsia="黑体" w:hAnsiTheme="majorBidi" w:cstheme="majorBidi" w:hint="eastAsia"/>
        </w:rPr>
        <w:t>38</w:t>
      </w:r>
      <w:r w:rsidRPr="00363F79">
        <w:rPr>
          <w:rFonts w:asciiTheme="majorBidi" w:eastAsia="黑体" w:hAnsiTheme="majorBidi" w:cstheme="majorBidi" w:hint="eastAsia"/>
        </w:rPr>
        <w:t>号一般性建议</w:t>
      </w:r>
      <w:r w:rsidRPr="00363F79">
        <w:rPr>
          <w:rFonts w:asciiTheme="majorBidi" w:eastAsia="黑体" w:hAnsiTheme="majorBidi" w:cstheme="majorBidi" w:hint="eastAsia"/>
        </w:rPr>
        <w:t>(2020</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11D93958"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继续提高对贩运人口，特别是贩运妇女和女童问题的认识，系统地收集关于贩运受害者的全面资料和相关统计数据，按性别、年龄、国籍、就业和经济状况分列，特别是在格陵兰和法罗群岛，并就此在下次定期报告中向委员会报告；</w:t>
      </w:r>
    </w:p>
    <w:p w14:paraId="55799CA4"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在努力打击贩运人口时采取基于人权的方法，强调妇女作为贩运人口受害者的状况，而不是将她们定罪；优先考虑防止贩运和再贩运，保护受害者和起诉施害者；修订移民政策，确保不以歧视方式适用关于将移民妇女递解出境的法律和政策，不阻止移民、难民和寻求庇护者举报贩运人口罪行，不破坏防止贩运人口、查明或保护受害者或起诉施害者的努力；</w:t>
      </w:r>
    </w:p>
    <w:p w14:paraId="357B17D8"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包括在学校和家庭中提高对贩运风险的认识，包括通过互联网招募受害者的风险；</w:t>
      </w:r>
    </w:p>
    <w:p w14:paraId="4E4E9242" w14:textId="56EC0684"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(d)</w:t>
      </w:r>
      <w:r w:rsidRPr="00363F79">
        <w:rPr>
          <w:rFonts w:asciiTheme="majorBidi" w:eastAsia="黑体" w:hAnsiTheme="majorBidi" w:cstheme="majorBidi" w:hint="eastAsia"/>
        </w:rPr>
        <w:tab/>
      </w:r>
      <w:r w:rsidRPr="00363F79">
        <w:rPr>
          <w:rFonts w:asciiTheme="majorBidi" w:eastAsia="黑体" w:hAnsiTheme="majorBidi" w:cstheme="majorBidi" w:hint="eastAsia"/>
        </w:rPr>
        <w:t>向哥本哈根警察局暴力犯罪司反贩运股重新分配必要的人力、技术和财政资源，使其能够有效执行侦查和调查贩运人口罪行的任务。</w:t>
      </w:r>
    </w:p>
    <w:p w14:paraId="374DD12F" w14:textId="37C2E885" w:rsidR="00EC5EEF" w:rsidRPr="00363F79" w:rsidRDefault="00EC5EEF" w:rsidP="00EC5EEF">
      <w:pPr>
        <w:pStyle w:val="SingleTxt"/>
      </w:pPr>
      <w:r w:rsidRPr="00363F79">
        <w:rPr>
          <w:rFonts w:hint="eastAsia"/>
        </w:rPr>
        <w:t>24.</w:t>
      </w:r>
      <w:r w:rsidRPr="00363F79">
        <w:rPr>
          <w:rFonts w:hint="eastAsia"/>
        </w:rPr>
        <w:tab/>
      </w:r>
      <w:r w:rsidRPr="00363F79">
        <w:rPr>
          <w:rFonts w:hint="eastAsia"/>
        </w:rPr>
        <w:t>委员会注意到，缔约国认为卖淫是社会问题，并注意到在一些最大城市为希望脱离卖淫业的妇女制定了退出方案，在</w:t>
      </w:r>
      <w:r w:rsidRPr="00363F79">
        <w:rPr>
          <w:rFonts w:hint="eastAsia"/>
        </w:rPr>
        <w:t>2020-2023</w:t>
      </w:r>
      <w:r w:rsidRPr="00363F79">
        <w:rPr>
          <w:rFonts w:hint="eastAsia"/>
        </w:rPr>
        <w:t>年期间供资</w:t>
      </w:r>
      <w:r w:rsidRPr="00363F79">
        <w:rPr>
          <w:rFonts w:hint="eastAsia"/>
        </w:rPr>
        <w:t>5 500</w:t>
      </w:r>
      <w:r w:rsidRPr="00363F79">
        <w:rPr>
          <w:rFonts w:hint="eastAsia"/>
        </w:rPr>
        <w:t>万丹麦克朗，并为非政府组织实施的方案提供了额外公共资金，以期防止新形式的性剥削，如年轻人之间类似卖淫的关系。然而，委员会感到关切的是，缺乏关于遭受卖淫剥削的妇女和女童的全面资料和分类数据，包括在格陵兰和法罗群岛。</w:t>
      </w:r>
    </w:p>
    <w:p w14:paraId="3F5EBE6F" w14:textId="3344537A" w:rsidR="00EC5EEF" w:rsidRPr="00363F79" w:rsidRDefault="00EC5EEF" w:rsidP="00EC5EEF">
      <w:pPr>
        <w:pStyle w:val="SingleTxt"/>
        <w:rPr>
          <w:rFonts w:asciiTheme="majorBidi" w:eastAsia="黑体" w:hAnsiTheme="majorBidi" w:cstheme="majorBidi"/>
        </w:rPr>
      </w:pPr>
      <w:r w:rsidRPr="00363F79">
        <w:rPr>
          <w:rFonts w:hint="eastAsia"/>
        </w:rPr>
        <w:t>25.</w:t>
      </w:r>
      <w:r w:rsidRPr="00363F79">
        <w:rPr>
          <w:rFonts w:hint="eastAsia"/>
        </w:rPr>
        <w:tab/>
      </w:r>
      <w:r w:rsidRPr="00363F79">
        <w:rPr>
          <w:rFonts w:asciiTheme="majorBidi" w:eastAsia="黑体" w:hAnsiTheme="majorBidi" w:cstheme="majorBidi" w:hint="eastAsia"/>
        </w:rPr>
        <w:t>委员会建议缔约国收集和分析关于被剥削卖淫的妇女和女童</w:t>
      </w:r>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特别是无国籍者</w:t>
      </w:r>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的数据，包括在格陵兰和法罗群岛，对卖淫妇女的生活状况进行研究，并在下次定期报告中报告这些数据和研究结果。</w:t>
      </w:r>
    </w:p>
    <w:p w14:paraId="30BC714E" w14:textId="2CD2A698" w:rsidR="00EC5EEF" w:rsidRPr="00363F79" w:rsidRDefault="00E56BC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tab/>
      </w:r>
      <w:r w:rsidR="00EC5EEF" w:rsidRPr="00363F79">
        <w:rPr>
          <w:rFonts w:hint="eastAsia"/>
        </w:rPr>
        <w:tab/>
      </w:r>
      <w:r w:rsidR="00EC5EEF" w:rsidRPr="00363F79">
        <w:rPr>
          <w:rFonts w:hint="eastAsia"/>
        </w:rPr>
        <w:t>参与政治和公共生活</w:t>
      </w:r>
    </w:p>
    <w:p w14:paraId="48539407" w14:textId="2B018FA2" w:rsidR="00EC5EEF" w:rsidRPr="00363F79" w:rsidRDefault="00EC5EEF" w:rsidP="00EC5EEF">
      <w:pPr>
        <w:pStyle w:val="SingleTxt"/>
      </w:pPr>
      <w:r w:rsidRPr="00363F79">
        <w:rPr>
          <w:rFonts w:hint="eastAsia"/>
        </w:rPr>
        <w:t>26.</w:t>
      </w:r>
      <w:r w:rsidRPr="00363F79">
        <w:rPr>
          <w:rFonts w:hint="eastAsia"/>
        </w:rPr>
        <w:tab/>
      </w:r>
      <w:r w:rsidRPr="00363F79">
        <w:rPr>
          <w:rFonts w:hint="eastAsia"/>
        </w:rPr>
        <w:t>委员会欢迎议员、丹麦总理、欧洲议会</w:t>
      </w:r>
      <w:r w:rsidRPr="00363F79">
        <w:rPr>
          <w:rFonts w:hint="eastAsia"/>
        </w:rPr>
        <w:t>14</w:t>
      </w:r>
      <w:r w:rsidRPr="00363F79">
        <w:rPr>
          <w:rFonts w:hint="eastAsia"/>
        </w:rPr>
        <w:t>名丹麦议员中的</w:t>
      </w:r>
      <w:r w:rsidRPr="00363F79">
        <w:rPr>
          <w:rFonts w:hint="eastAsia"/>
        </w:rPr>
        <w:t>7</w:t>
      </w:r>
      <w:r w:rsidRPr="00363F79">
        <w:rPr>
          <w:rFonts w:hint="eastAsia"/>
        </w:rPr>
        <w:t>名、</w:t>
      </w:r>
      <w:r w:rsidRPr="00363F79">
        <w:rPr>
          <w:rFonts w:hint="eastAsia"/>
        </w:rPr>
        <w:t>39%</w:t>
      </w:r>
      <w:r w:rsidRPr="00363F79">
        <w:rPr>
          <w:rFonts w:hint="eastAsia"/>
        </w:rPr>
        <w:t>的格陵兰议会议员、格陵兰</w:t>
      </w:r>
      <w:r w:rsidRPr="00363F79">
        <w:rPr>
          <w:rFonts w:hint="eastAsia"/>
        </w:rPr>
        <w:t>5</w:t>
      </w:r>
      <w:r w:rsidRPr="00363F79">
        <w:rPr>
          <w:rFonts w:hint="eastAsia"/>
        </w:rPr>
        <w:t>名市长中的</w:t>
      </w:r>
      <w:r w:rsidRPr="00363F79">
        <w:rPr>
          <w:rFonts w:hint="eastAsia"/>
        </w:rPr>
        <w:t>3</w:t>
      </w:r>
      <w:r w:rsidRPr="00363F79">
        <w:rPr>
          <w:rFonts w:hint="eastAsia"/>
        </w:rPr>
        <w:t>名、格陵兰驻哥本哈根代表处负责人以及</w:t>
      </w:r>
      <w:r w:rsidRPr="00363F79">
        <w:rPr>
          <w:rFonts w:hint="eastAsia"/>
        </w:rPr>
        <w:t>46.6%</w:t>
      </w:r>
      <w:r w:rsidRPr="00363F79">
        <w:rPr>
          <w:rFonts w:hint="eastAsia"/>
        </w:rPr>
        <w:t>的格陵兰上市公司执行董事会成员是女性。然而，委员会关切地注意到：</w:t>
      </w:r>
    </w:p>
    <w:p w14:paraId="4962B073" w14:textId="009BB419" w:rsidR="00EC5EEF" w:rsidRPr="00363F79" w:rsidRDefault="00EC5EEF" w:rsidP="00EC5EEF">
      <w:pPr>
        <w:pStyle w:val="SingleTxt"/>
      </w:pPr>
      <w:r w:rsidRPr="00363F79">
        <w:rPr>
          <w:rFonts w:hint="eastAsia"/>
        </w:rPr>
        <w:tab/>
        <w:t>(a)</w:t>
      </w:r>
      <w:r w:rsidR="00363F79" w:rsidRPr="00363F79">
        <w:rPr>
          <w:rFonts w:hint="eastAsia"/>
        </w:rPr>
        <w:tab/>
      </w:r>
      <w:r w:rsidRPr="00363F79">
        <w:rPr>
          <w:rFonts w:hint="eastAsia"/>
        </w:rPr>
        <w:t>丹麦</w:t>
      </w:r>
      <w:r w:rsidRPr="00363F79">
        <w:rPr>
          <w:rFonts w:hint="eastAsia"/>
        </w:rPr>
        <w:t>20</w:t>
      </w:r>
      <w:r w:rsidRPr="00363F79">
        <w:rPr>
          <w:rFonts w:hint="eastAsia"/>
        </w:rPr>
        <w:t>位部长中只有</w:t>
      </w:r>
      <w:r w:rsidRPr="00363F79">
        <w:rPr>
          <w:rFonts w:hint="eastAsia"/>
        </w:rPr>
        <w:t>7</w:t>
      </w:r>
      <w:r w:rsidRPr="00363F79">
        <w:rPr>
          <w:rFonts w:hint="eastAsia"/>
        </w:rPr>
        <w:t>位是女性，</w:t>
      </w:r>
      <w:r w:rsidRPr="00363F79">
        <w:rPr>
          <w:rFonts w:hint="eastAsia"/>
        </w:rPr>
        <w:t>13%</w:t>
      </w:r>
      <w:r w:rsidRPr="00363F79">
        <w:rPr>
          <w:rFonts w:hint="eastAsia"/>
        </w:rPr>
        <w:t>的市长是女性，妇女的政治代表性停滞不前；格陵兰政府</w:t>
      </w:r>
      <w:r w:rsidRPr="00363F79">
        <w:rPr>
          <w:rFonts w:hint="eastAsia"/>
        </w:rPr>
        <w:t>9</w:t>
      </w:r>
      <w:r w:rsidRPr="00363F79">
        <w:rPr>
          <w:rFonts w:hint="eastAsia"/>
        </w:rPr>
        <w:t>名成员中只有</w:t>
      </w:r>
      <w:r w:rsidRPr="00363F79">
        <w:rPr>
          <w:rFonts w:hint="eastAsia"/>
        </w:rPr>
        <w:t>3</w:t>
      </w:r>
      <w:r w:rsidRPr="00363F79">
        <w:rPr>
          <w:rFonts w:hint="eastAsia"/>
        </w:rPr>
        <w:t>名是女性，法罗群岛并非所有政党都遵循了为鼓励更多妇女参与政治生活而设立的独立委员会</w:t>
      </w:r>
      <w:r w:rsidR="00363F79" w:rsidRPr="00363F79">
        <w:rPr>
          <w:rFonts w:hint="eastAsia"/>
        </w:rPr>
        <w:t>(</w:t>
      </w:r>
      <w:r w:rsidRPr="00363F79">
        <w:rPr>
          <w:rFonts w:hint="eastAsia"/>
        </w:rPr>
        <w:t>Demokratia</w:t>
      </w:r>
      <w:r w:rsidR="00363F79" w:rsidRPr="00363F79">
        <w:rPr>
          <w:rFonts w:hint="eastAsia"/>
        </w:rPr>
        <w:t>)</w:t>
      </w:r>
      <w:r w:rsidRPr="00363F79">
        <w:rPr>
          <w:rFonts w:hint="eastAsia"/>
        </w:rPr>
        <w:t>的建议，在议会和市议会选举的选举名单中列入相同人数的妇女和男子；</w:t>
      </w:r>
    </w:p>
    <w:p w14:paraId="6A1818CC" w14:textId="77777777" w:rsidR="00EC5EEF" w:rsidRPr="00363F79" w:rsidRDefault="00EC5EEF" w:rsidP="00EC5EEF">
      <w:pPr>
        <w:pStyle w:val="SingleTxt"/>
      </w:pPr>
      <w:r w:rsidRPr="00363F79">
        <w:rPr>
          <w:rFonts w:hint="eastAsia"/>
        </w:rPr>
        <w:tab/>
        <w:t>(b)</w:t>
      </w:r>
      <w:r w:rsidRPr="00363F79">
        <w:rPr>
          <w:rFonts w:hint="eastAsia"/>
        </w:rPr>
        <w:tab/>
      </w:r>
      <w:r w:rsidRPr="00363F79">
        <w:rPr>
          <w:rFonts w:hint="eastAsia"/>
        </w:rPr>
        <w:t>公共和政治生活中的性别歧视和厌女症正在导致妇女不参与政治和公共生活，包括参与在线公开辩论，</w:t>
      </w:r>
      <w:r w:rsidRPr="00363F79">
        <w:rPr>
          <w:rFonts w:hint="eastAsia"/>
        </w:rPr>
        <w:t>2021</w:t>
      </w:r>
      <w:r w:rsidRPr="00363F79">
        <w:rPr>
          <w:rFonts w:hint="eastAsia"/>
        </w:rPr>
        <w:t>年</w:t>
      </w:r>
      <w:r w:rsidRPr="00363F79">
        <w:rPr>
          <w:rFonts w:hint="eastAsia"/>
        </w:rPr>
        <w:t>1</w:t>
      </w:r>
      <w:r w:rsidRPr="00363F79">
        <w:rPr>
          <w:rFonts w:hint="eastAsia"/>
        </w:rPr>
        <w:t>月，在女性政治家和政党成员举报的一起涉及多项性骚扰的案件中，行为人被判处</w:t>
      </w:r>
      <w:r w:rsidRPr="00363F79">
        <w:rPr>
          <w:rFonts w:hint="eastAsia"/>
        </w:rPr>
        <w:t>60</w:t>
      </w:r>
      <w:r w:rsidRPr="00363F79">
        <w:rPr>
          <w:rFonts w:hint="eastAsia"/>
        </w:rPr>
        <w:t>天监禁。</w:t>
      </w:r>
    </w:p>
    <w:p w14:paraId="397C2EF7" w14:textId="3179FF1B" w:rsidR="00EC5EEF" w:rsidRPr="00363F79" w:rsidRDefault="00EC5EEF" w:rsidP="00EC5EEF">
      <w:pPr>
        <w:pStyle w:val="SingleTxt"/>
        <w:rPr>
          <w:rFonts w:asciiTheme="majorBidi" w:eastAsia="黑体" w:hAnsiTheme="majorBidi" w:cstheme="majorBidi"/>
        </w:rPr>
      </w:pPr>
      <w:r w:rsidRPr="00363F79">
        <w:rPr>
          <w:rFonts w:hint="eastAsia"/>
        </w:rPr>
        <w:t>27.</w:t>
      </w:r>
      <w:r w:rsidRPr="00363F79">
        <w:rPr>
          <w:rFonts w:hint="eastAsia"/>
        </w:rPr>
        <w:tab/>
      </w:r>
      <w:r w:rsidRPr="00363F79">
        <w:rPr>
          <w:rFonts w:asciiTheme="majorBidi" w:eastAsia="黑体" w:hAnsiTheme="majorBidi" w:cstheme="majorBidi" w:hint="eastAsia"/>
        </w:rPr>
        <w:t>委员会重申其以往建议</w:t>
      </w:r>
      <w:r w:rsidRPr="00363F79">
        <w:rPr>
          <w:rFonts w:asciiTheme="majorBidi" w:eastAsia="黑体" w:hAnsiTheme="majorBidi" w:cstheme="majorBidi" w:hint="eastAsia"/>
        </w:rPr>
        <w:t>(</w:t>
      </w:r>
      <w:hyperlink r:id="rId49"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24</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，并回顾其关于妇女参与政治和公共生活的第</w:t>
      </w:r>
      <w:r w:rsidRPr="00363F79">
        <w:rPr>
          <w:rFonts w:asciiTheme="majorBidi" w:eastAsia="黑体" w:hAnsiTheme="majorBidi" w:cstheme="majorBidi" w:hint="eastAsia"/>
        </w:rPr>
        <w:t>23</w:t>
      </w:r>
      <w:r w:rsidRPr="00363F79">
        <w:rPr>
          <w:rFonts w:asciiTheme="majorBidi" w:eastAsia="黑体" w:hAnsiTheme="majorBidi" w:cstheme="majorBidi" w:hint="eastAsia"/>
        </w:rPr>
        <w:t>号一般性建议</w:t>
      </w:r>
      <w:r w:rsidRPr="00363F79">
        <w:rPr>
          <w:rFonts w:asciiTheme="majorBidi" w:eastAsia="黑体" w:hAnsiTheme="majorBidi" w:cstheme="majorBidi" w:hint="eastAsia"/>
        </w:rPr>
        <w:t>(1997</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6C227FF0"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通过一项行动计划，包括采取暂行特别措施，如法定配额或奖励措施，鼓励各政党将相同人数的妇女和男子列入其选举名单中，特别是在市一级，以及在格陵兰和法罗群岛，以加快实现妇女在政治和公共生活中的平等代表权，并加强性别平等和参与治理，目标是到</w:t>
      </w:r>
      <w:r w:rsidRPr="00363F79">
        <w:rPr>
          <w:rFonts w:asciiTheme="majorBidi" w:eastAsia="黑体" w:hAnsiTheme="majorBidi" w:cstheme="majorBidi" w:hint="eastAsia"/>
        </w:rPr>
        <w:t>2030</w:t>
      </w:r>
      <w:r w:rsidRPr="00363F79">
        <w:rPr>
          <w:rFonts w:asciiTheme="majorBidi" w:eastAsia="黑体" w:hAnsiTheme="majorBidi" w:cstheme="majorBidi" w:hint="eastAsia"/>
        </w:rPr>
        <w:t>年实现性别均等；</w:t>
      </w:r>
    </w:p>
    <w:p w14:paraId="0292FB99" w14:textId="4B5F05BD"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采取战略和方案，防止妇女在公共辩论中遭受线上和线下暴力；采取有效的执法措施，追究社交媒体公司对非法用户生成内容的责任，并加强格陵兰防止性骚扰措施，包括要求所有政党制订政策，促进性别平等和打击性骚扰；</w:t>
      </w:r>
    </w:p>
    <w:p w14:paraId="5BCAD527" w14:textId="19464C8B"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国籍</w:t>
      </w:r>
    </w:p>
    <w:p w14:paraId="0F601855" w14:textId="176C122F" w:rsidR="00EC5EEF" w:rsidRPr="00363F79" w:rsidRDefault="00EC5EEF" w:rsidP="00EC5EEF">
      <w:pPr>
        <w:pStyle w:val="SingleTxt"/>
      </w:pPr>
      <w:r w:rsidRPr="00363F79">
        <w:rPr>
          <w:rFonts w:hint="eastAsia"/>
        </w:rPr>
        <w:t>28.</w:t>
      </w:r>
      <w:r w:rsidRPr="00363F79">
        <w:rPr>
          <w:rFonts w:hint="eastAsia"/>
        </w:rPr>
        <w:tab/>
      </w:r>
      <w:r w:rsidRPr="00363F79">
        <w:rPr>
          <w:rFonts w:hint="eastAsia"/>
        </w:rPr>
        <w:t>委员会欢迎缔约国采取措施，包括修订立法，以防止和减少无国籍状态，包括妇女和女童的无国籍状态而。然而，委员会感到关切的是：</w:t>
      </w:r>
    </w:p>
    <w:p w14:paraId="74923337" w14:textId="77777777"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在缔约国出生的无国籍儿童，包括女童，必须在成年前申请公民身份；</w:t>
      </w:r>
    </w:p>
    <w:p w14:paraId="27C3C9FB" w14:textId="163B06C7" w:rsidR="00EC5EEF" w:rsidRPr="00363F79" w:rsidRDefault="00EC5EEF" w:rsidP="00EC5EEF">
      <w:pPr>
        <w:pStyle w:val="SingleTxt"/>
      </w:pPr>
      <w:r w:rsidRPr="00363F79">
        <w:rPr>
          <w:rFonts w:hint="eastAsia"/>
        </w:rPr>
        <w:tab/>
        <w:t>(b)</w:t>
      </w:r>
      <w:r w:rsidR="00AD524E">
        <w:tab/>
      </w:r>
      <w:r w:rsidRPr="00363F79">
        <w:rPr>
          <w:rFonts w:hint="eastAsia"/>
        </w:rPr>
        <w:t>作为第二代和第三代移民的妇女和女童获得丹麦公民身份的途径有限。</w:t>
      </w:r>
    </w:p>
    <w:p w14:paraId="1D28658C" w14:textId="303C79BD" w:rsidR="00EC5EEF" w:rsidRPr="00363F79" w:rsidRDefault="00EC5EEF" w:rsidP="00EC5EEF">
      <w:pPr>
        <w:pStyle w:val="SingleTxt"/>
        <w:rPr>
          <w:rFonts w:asciiTheme="majorBidi" w:eastAsia="黑体" w:hAnsiTheme="majorBidi" w:cstheme="majorBidi"/>
        </w:rPr>
      </w:pPr>
      <w:r w:rsidRPr="00363F79">
        <w:rPr>
          <w:rFonts w:hint="eastAsia"/>
        </w:rPr>
        <w:t>29.</w:t>
      </w:r>
      <w:r w:rsidRPr="00363F79">
        <w:rPr>
          <w:rFonts w:hint="eastAsia"/>
        </w:rPr>
        <w:tab/>
      </w:r>
      <w:r w:rsidRPr="00363F79">
        <w:rPr>
          <w:rFonts w:asciiTheme="majorBidi" w:eastAsia="黑体" w:hAnsiTheme="majorBidi" w:cstheme="majorBidi" w:hint="eastAsia"/>
        </w:rPr>
        <w:t>委员会重申其以往建议</w:t>
      </w:r>
      <w:r w:rsidRPr="00363F79">
        <w:rPr>
          <w:rFonts w:asciiTheme="majorBidi" w:eastAsia="黑体" w:hAnsiTheme="majorBidi" w:cstheme="majorBidi" w:hint="eastAsia"/>
        </w:rPr>
        <w:t>(</w:t>
      </w:r>
      <w:hyperlink r:id="rId50"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26</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，并回顾其关于妇女难民地位、庇护、国籍和无国籍状态与性别相关方面的第</w:t>
      </w:r>
      <w:r w:rsidRPr="00363F79">
        <w:rPr>
          <w:rFonts w:asciiTheme="majorBidi" w:eastAsia="黑体" w:hAnsiTheme="majorBidi" w:cstheme="majorBidi" w:hint="eastAsia"/>
        </w:rPr>
        <w:t>32</w:t>
      </w:r>
      <w:r w:rsidRPr="00363F79">
        <w:rPr>
          <w:rFonts w:asciiTheme="majorBidi" w:eastAsia="黑体" w:hAnsiTheme="majorBidi" w:cstheme="majorBidi" w:hint="eastAsia"/>
        </w:rPr>
        <w:t>号一般性建议</w:t>
      </w:r>
      <w:r w:rsidRPr="00363F79">
        <w:rPr>
          <w:rFonts w:asciiTheme="majorBidi" w:eastAsia="黑体" w:hAnsiTheme="majorBidi" w:cstheme="majorBidi" w:hint="eastAsia"/>
        </w:rPr>
        <w:t>(2014</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31CC6AA7"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确保根据法律，在丹麦出生的儿童，包括女童，如果原本无国籍，则自动获得丹麦公民身份；</w:t>
      </w:r>
    </w:p>
    <w:p w14:paraId="0A244464"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简化第二代和第三代移民妇女和女童获得丹麦公民身份的程序。</w:t>
      </w:r>
    </w:p>
    <w:p w14:paraId="2C605AE4"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教育方面</w:t>
      </w:r>
    </w:p>
    <w:p w14:paraId="078B96E7" w14:textId="7A304032" w:rsidR="00EC5EEF" w:rsidRPr="00363F79" w:rsidRDefault="00EC5EEF" w:rsidP="00EC5EEF">
      <w:pPr>
        <w:pStyle w:val="SingleTxt"/>
      </w:pPr>
      <w:r w:rsidRPr="00363F79">
        <w:rPr>
          <w:rFonts w:hint="eastAsia"/>
        </w:rPr>
        <w:t>30.</w:t>
      </w:r>
      <w:r w:rsidRPr="00363F79">
        <w:rPr>
          <w:rFonts w:hint="eastAsia"/>
        </w:rPr>
        <w:tab/>
      </w:r>
      <w:r w:rsidRPr="00363F79">
        <w:rPr>
          <w:rFonts w:hint="eastAsia"/>
        </w:rPr>
        <w:t>委员会欢迎缔约国努力消除教育系统中对妇女的歧视和基于性别的陈规定型观念，以及迄今取得的进展，包括向</w:t>
      </w:r>
      <w:r w:rsidRPr="00363F79">
        <w:rPr>
          <w:rFonts w:hint="eastAsia"/>
        </w:rPr>
        <w:t>Inge Lehmann</w:t>
      </w:r>
      <w:r w:rsidRPr="00363F79">
        <w:rPr>
          <w:rFonts w:hint="eastAsia"/>
        </w:rPr>
        <w:t>人才方案和女童日科学活动等其他此类举措提供大量公共资金；开展运动，旨在提高包括女童和女青年在内的年轻人对线上骚扰和数字素养的认识；对移民、难民、少数民族妇女和女学生进行有关妇女权利和性别平等的教育。委员会还欢迎格陵兰女童和妇女在高中和高等教育中表现出色。尽管如此，委员会感到关切的是：</w:t>
      </w:r>
    </w:p>
    <w:p w14:paraId="1128C6A1" w14:textId="77777777"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在各级教育中持续存在性别隔离现象，选择非传统学科和职业道路的妇女和女童人数很少；</w:t>
      </w:r>
    </w:p>
    <w:p w14:paraId="6458D67E" w14:textId="77777777" w:rsidR="00EC5EEF" w:rsidRPr="00363F79" w:rsidRDefault="00EC5EEF" w:rsidP="00EC5EEF">
      <w:pPr>
        <w:pStyle w:val="SingleTxt"/>
      </w:pPr>
      <w:r w:rsidRPr="00363F79">
        <w:rPr>
          <w:rFonts w:hint="eastAsia"/>
        </w:rPr>
        <w:tab/>
        <w:t>(b)</w:t>
      </w:r>
      <w:r w:rsidRPr="00363F79">
        <w:rPr>
          <w:rFonts w:hint="eastAsia"/>
        </w:rPr>
        <w:tab/>
      </w:r>
      <w:r w:rsidRPr="00363F79">
        <w:rPr>
          <w:rFonts w:hint="eastAsia"/>
        </w:rPr>
        <w:t>担任高级学术职位的妇女人数很少；</w:t>
      </w:r>
    </w:p>
    <w:p w14:paraId="3F298EF8" w14:textId="77777777"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对高中教师缺乏系统的性健康和生殖健康及权利培训；</w:t>
      </w:r>
    </w:p>
    <w:p w14:paraId="385E88DA" w14:textId="77777777" w:rsidR="00EC5EEF" w:rsidRPr="00363F79" w:rsidRDefault="00EC5EEF" w:rsidP="00EC5EEF">
      <w:pPr>
        <w:pStyle w:val="SingleTxt"/>
      </w:pPr>
      <w:r w:rsidRPr="00363F79">
        <w:rPr>
          <w:rFonts w:hint="eastAsia"/>
        </w:rPr>
        <w:tab/>
        <w:t>(d)</w:t>
      </w:r>
      <w:r w:rsidRPr="00363F79">
        <w:rPr>
          <w:rFonts w:hint="eastAsia"/>
        </w:rPr>
        <w:tab/>
      </w:r>
      <w:r w:rsidRPr="00363F79">
        <w:rPr>
          <w:rFonts w:hint="eastAsia"/>
        </w:rPr>
        <w:t>包括女童在内的残疾儿童完成学校和职业教育或大学教育的人数相对较少，其辍学率高于平均水平，原因是改善其融入状况的努力不够，而且总体上缺乏按性别和残疾类型分列的相关数据。</w:t>
      </w:r>
    </w:p>
    <w:p w14:paraId="1DB4D4FC" w14:textId="1B1713B7" w:rsidR="00EC5EEF" w:rsidRPr="00363F79" w:rsidRDefault="00EC5EEF" w:rsidP="00EC5EEF">
      <w:pPr>
        <w:pStyle w:val="SingleTxt"/>
        <w:rPr>
          <w:rFonts w:asciiTheme="majorBidi" w:eastAsia="黑体" w:hAnsiTheme="majorBidi" w:cstheme="majorBidi"/>
        </w:rPr>
      </w:pPr>
      <w:r w:rsidRPr="00363F79">
        <w:rPr>
          <w:rFonts w:hint="eastAsia"/>
        </w:rPr>
        <w:t>31.</w:t>
      </w:r>
      <w:r w:rsidRPr="00363F79">
        <w:rPr>
          <w:rFonts w:hint="eastAsia"/>
        </w:rPr>
        <w:tab/>
      </w:r>
      <w:r w:rsidRPr="00363F79">
        <w:rPr>
          <w:rFonts w:asciiTheme="majorBidi" w:eastAsia="黑体" w:hAnsiTheme="majorBidi" w:cstheme="majorBidi" w:hint="eastAsia"/>
        </w:rPr>
        <w:t>委员会重申其以往建议</w:t>
      </w:r>
      <w:r w:rsidRPr="00363F79">
        <w:rPr>
          <w:rFonts w:asciiTheme="majorBidi" w:eastAsia="黑体" w:hAnsiTheme="majorBidi" w:cstheme="majorBidi" w:hint="eastAsia"/>
        </w:rPr>
        <w:t>(</w:t>
      </w:r>
      <w:hyperlink r:id="rId51"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28</w:t>
      </w:r>
      <w:r w:rsidRPr="00363F79">
        <w:rPr>
          <w:rFonts w:asciiTheme="majorBidi" w:eastAsia="黑体" w:hAnsiTheme="majorBidi" w:cstheme="majorBidi" w:hint="eastAsia"/>
        </w:rPr>
        <w:t>和</w:t>
      </w:r>
      <w:r w:rsidRPr="00363F79">
        <w:rPr>
          <w:rFonts w:asciiTheme="majorBidi" w:eastAsia="黑体" w:hAnsiTheme="majorBidi" w:cstheme="majorBidi" w:hint="eastAsia"/>
        </w:rPr>
        <w:t>32</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，并回顾其关于女童和妇女受教育权的第</w:t>
      </w:r>
      <w:r w:rsidRPr="00363F79">
        <w:rPr>
          <w:rFonts w:asciiTheme="majorBidi" w:eastAsia="黑体" w:hAnsiTheme="majorBidi" w:cstheme="majorBidi" w:hint="eastAsia"/>
        </w:rPr>
        <w:t>36</w:t>
      </w:r>
      <w:r w:rsidRPr="00363F79">
        <w:rPr>
          <w:rFonts w:asciiTheme="majorBidi" w:eastAsia="黑体" w:hAnsiTheme="majorBidi" w:cstheme="majorBidi" w:hint="eastAsia"/>
        </w:rPr>
        <w:t>号一般性建议</w:t>
      </w:r>
      <w:r w:rsidRPr="00363F79">
        <w:rPr>
          <w:rFonts w:asciiTheme="majorBidi" w:eastAsia="黑体" w:hAnsiTheme="majorBidi" w:cstheme="majorBidi" w:hint="eastAsia"/>
        </w:rPr>
        <w:t>(2017</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，建议缔约国提高对女童各级教育作为增强女童权能基础的重要性的认识，并且：</w:t>
      </w:r>
    </w:p>
    <w:p w14:paraId="3D5B8D75"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继续促进妇女和女童进入非传统学科和职业道路，特别是科学、技术、工程、数学以及信息和通信技术领域；</w:t>
      </w:r>
    </w:p>
    <w:p w14:paraId="7C4E8709"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考虑采取暂行特别措施，如强制性法定配额，以确保妇女和男子在高级学术职位上的平等代表性；</w:t>
      </w:r>
    </w:p>
    <w:p w14:paraId="6B9F53B0"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迅速完成更新教学准则的工作，以确保在学校课程中纳入对性别问题有敏感认识、适龄和可及的性健康和生殖健康教育，培养负责任的性行为，以防止早孕和性传播感染，包括为此向缔约国境内各级教育系统的教师提供关于性健康和生殖健康及权利的系统培训；</w:t>
      </w:r>
    </w:p>
    <w:p w14:paraId="5A5A64AC"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(d)</w:t>
      </w:r>
      <w:r w:rsidRPr="00363F79">
        <w:rPr>
          <w:rFonts w:asciiTheme="majorBidi" w:eastAsia="黑体" w:hAnsiTheme="majorBidi" w:cstheme="majorBidi" w:hint="eastAsia"/>
        </w:rPr>
        <w:tab/>
      </w:r>
      <w:r w:rsidRPr="00363F79">
        <w:rPr>
          <w:rFonts w:asciiTheme="majorBidi" w:eastAsia="黑体" w:hAnsiTheme="majorBidi" w:cstheme="majorBidi" w:hint="eastAsia"/>
        </w:rPr>
        <w:t>加强措施，使残疾女童更好地纳入主流教育系统，并在下次定期报告中列入按性别和残疾类型分列的残疾儿童入学率、辍学率和接受职业教育和大学教育的资料和统计数据。</w:t>
      </w:r>
    </w:p>
    <w:p w14:paraId="58D4FD50"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就业</w:t>
      </w:r>
    </w:p>
    <w:p w14:paraId="7E06D64D" w14:textId="35BFC6AF" w:rsidR="00EC5EEF" w:rsidRPr="00363F79" w:rsidRDefault="00EC5EEF" w:rsidP="00EC5EEF">
      <w:pPr>
        <w:pStyle w:val="SingleTxt"/>
      </w:pPr>
      <w:r w:rsidRPr="00363F79">
        <w:rPr>
          <w:rFonts w:hint="eastAsia"/>
        </w:rPr>
        <w:t>32.</w:t>
      </w:r>
      <w:r w:rsidRPr="00363F79">
        <w:rPr>
          <w:rFonts w:hint="eastAsia"/>
        </w:rPr>
        <w:tab/>
      </w:r>
      <w:r w:rsidRPr="00363F79">
        <w:rPr>
          <w:rFonts w:hint="eastAsia"/>
        </w:rPr>
        <w:t>委员会欢迎格陵兰自营职业者产假均等计划生效，并延长产假期和扩大共享育儿假配额；丹麦妇女与男子几乎平等参加劳动力市场；法罗群岛妇女参加劳动力市场的比例为</w:t>
      </w:r>
      <w:r w:rsidRPr="00363F79">
        <w:rPr>
          <w:rFonts w:hint="eastAsia"/>
        </w:rPr>
        <w:t>83%</w:t>
      </w:r>
      <w:r w:rsidRPr="00363F79">
        <w:rPr>
          <w:rFonts w:hint="eastAsia"/>
        </w:rPr>
        <w:t>；旨在让移徙妇女融入劳动力市场和整个社会的方案和政策取得成果。然而，委员会感到关切的是：</w:t>
      </w:r>
    </w:p>
    <w:p w14:paraId="67584BEB" w14:textId="72F87A32"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在纵向和横向隔离的劳动力市场和学术界，调整后的性别工资差异停滞不前；由于缺乏法律定义，确定何为</w:t>
      </w:r>
      <w:r w:rsidR="00FC2C55">
        <w:rPr>
          <w:rFonts w:hint="eastAsia"/>
        </w:rPr>
        <w:t>“</w:t>
      </w:r>
      <w:r w:rsidRPr="00363F79">
        <w:rPr>
          <w:rFonts w:hint="eastAsia"/>
        </w:rPr>
        <w:t>同值工作</w:t>
      </w:r>
      <w:r w:rsidR="00FC2C55">
        <w:rPr>
          <w:rFonts w:hint="eastAsia"/>
        </w:rPr>
        <w:t>”</w:t>
      </w:r>
      <w:r w:rsidRPr="00363F79">
        <w:rPr>
          <w:rFonts w:hint="eastAsia"/>
        </w:rPr>
        <w:t>的方法缺乏透明度；限制获得使妇女能够检查其同值同酬权利是否受到侵犯的相关数据；只有雇员至少</w:t>
      </w:r>
      <w:r w:rsidRPr="00363F79">
        <w:rPr>
          <w:rFonts w:hint="eastAsia"/>
        </w:rPr>
        <w:t>35</w:t>
      </w:r>
      <w:r w:rsidRPr="00363F79">
        <w:rPr>
          <w:rFonts w:hint="eastAsia"/>
        </w:rPr>
        <w:t>人的公司，其中至少</w:t>
      </w:r>
      <w:r w:rsidRPr="00363F79">
        <w:rPr>
          <w:rFonts w:hint="eastAsia"/>
        </w:rPr>
        <w:t>10</w:t>
      </w:r>
      <w:r w:rsidRPr="00363F79">
        <w:rPr>
          <w:rFonts w:hint="eastAsia"/>
        </w:rPr>
        <w:t>人为女性，</w:t>
      </w:r>
      <w:r w:rsidRPr="00363F79">
        <w:rPr>
          <w:rFonts w:hint="eastAsia"/>
        </w:rPr>
        <w:t>10</w:t>
      </w:r>
      <w:r w:rsidRPr="00363F79">
        <w:rPr>
          <w:rFonts w:hint="eastAsia"/>
        </w:rPr>
        <w:t>人为男性，才必须提交性别平等报告，包括其工资统计数据；</w:t>
      </w:r>
    </w:p>
    <w:p w14:paraId="416571A1" w14:textId="1868DD70" w:rsidR="00EC5EEF" w:rsidRPr="00363F79" w:rsidRDefault="00EC5EEF" w:rsidP="00EC5EEF">
      <w:pPr>
        <w:pStyle w:val="SingleTxt"/>
      </w:pPr>
      <w:r w:rsidRPr="00363F79">
        <w:rPr>
          <w:rFonts w:hint="eastAsia"/>
        </w:rPr>
        <w:tab/>
        <w:t>(b)</w:t>
      </w:r>
      <w:r w:rsidR="00363F79" w:rsidRPr="00363F79">
        <w:rPr>
          <w:rFonts w:hint="eastAsia"/>
        </w:rPr>
        <w:tab/>
      </w:r>
      <w:r w:rsidRPr="00363F79">
        <w:rPr>
          <w:rFonts w:hint="eastAsia"/>
        </w:rPr>
        <w:t>母亲比父亲休更多的育儿假，女性平均每天比男性多做一小时家务；</w:t>
      </w:r>
    </w:p>
    <w:p w14:paraId="6BC4FF9B" w14:textId="77777777"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在劳动力市场的广告和招聘做法中存在算法驱动的性别歧视风险，特别是对弱势和边缘群体妇女的歧视；</w:t>
      </w:r>
    </w:p>
    <w:p w14:paraId="7F8EE081" w14:textId="77777777" w:rsidR="00EC5EEF" w:rsidRPr="00363F79" w:rsidRDefault="00EC5EEF" w:rsidP="00EC5EEF">
      <w:pPr>
        <w:pStyle w:val="SingleTxt"/>
      </w:pPr>
      <w:r w:rsidRPr="00363F79">
        <w:rPr>
          <w:rFonts w:hint="eastAsia"/>
        </w:rPr>
        <w:tab/>
        <w:t>(d)</w:t>
      </w:r>
      <w:r w:rsidRPr="00363F79">
        <w:rPr>
          <w:rFonts w:hint="eastAsia"/>
        </w:rPr>
        <w:tab/>
      </w:r>
      <w:r w:rsidRPr="00363F79">
        <w:rPr>
          <w:rFonts w:hint="eastAsia"/>
        </w:rPr>
        <w:t>移民妇女劳动力市场的参与率持续偏低，缺乏残疾妇女参与劳动力市场的数据，据报根据现有最新数据，以及与公共卫生体系和社会服务登记中心交叉检查的调查，</w:t>
      </w:r>
      <w:r w:rsidRPr="00363F79">
        <w:rPr>
          <w:rFonts w:hint="eastAsia"/>
        </w:rPr>
        <w:t>2016</w:t>
      </w:r>
      <w:r w:rsidRPr="00363F79">
        <w:rPr>
          <w:rFonts w:hint="eastAsia"/>
        </w:rPr>
        <w:t>年残疾妇女劳动力市场的参与率为</w:t>
      </w:r>
      <w:r w:rsidRPr="00363F79">
        <w:rPr>
          <w:rFonts w:hint="eastAsia"/>
        </w:rPr>
        <w:t>50.2%</w:t>
      </w:r>
      <w:r w:rsidRPr="00363F79">
        <w:rPr>
          <w:rFonts w:hint="eastAsia"/>
        </w:rPr>
        <w:t>。</w:t>
      </w:r>
    </w:p>
    <w:p w14:paraId="2747B72A" w14:textId="5F5C14F7" w:rsidR="00EC5EEF" w:rsidRPr="00363F79" w:rsidRDefault="00EC5EEF" w:rsidP="00EC5EEF">
      <w:pPr>
        <w:pStyle w:val="SingleTxt"/>
        <w:rPr>
          <w:rFonts w:asciiTheme="majorBidi" w:eastAsia="黑体" w:hAnsiTheme="majorBidi" w:cstheme="majorBidi"/>
        </w:rPr>
      </w:pPr>
      <w:r w:rsidRPr="00363F79">
        <w:rPr>
          <w:rFonts w:hint="eastAsia"/>
        </w:rPr>
        <w:t>33.</w:t>
      </w:r>
      <w:r w:rsidRPr="00363F79">
        <w:rPr>
          <w:rFonts w:hint="eastAsia"/>
        </w:rPr>
        <w:tab/>
      </w:r>
      <w:r w:rsidRPr="00363F79">
        <w:rPr>
          <w:rFonts w:asciiTheme="majorBidi" w:eastAsia="黑体" w:hAnsiTheme="majorBidi" w:cstheme="majorBidi" w:hint="eastAsia"/>
        </w:rPr>
        <w:t>委员会回顾其以往建议</w:t>
      </w:r>
      <w:r w:rsidRPr="00363F79">
        <w:rPr>
          <w:rFonts w:asciiTheme="majorBidi" w:eastAsia="黑体" w:hAnsiTheme="majorBidi" w:cstheme="majorBidi" w:hint="eastAsia"/>
        </w:rPr>
        <w:t>(</w:t>
      </w:r>
      <w:hyperlink r:id="rId52"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30</w:t>
      </w:r>
      <w:r w:rsidRPr="00363F79">
        <w:rPr>
          <w:rFonts w:asciiTheme="majorBidi" w:eastAsia="黑体" w:hAnsiTheme="majorBidi" w:cstheme="majorBidi" w:hint="eastAsia"/>
        </w:rPr>
        <w:t>和</w:t>
      </w:r>
      <w:r w:rsidRPr="00363F79">
        <w:rPr>
          <w:rFonts w:asciiTheme="majorBidi" w:eastAsia="黑体" w:hAnsiTheme="majorBidi" w:cstheme="majorBidi" w:hint="eastAsia"/>
        </w:rPr>
        <w:t>51</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054A9B4E" w14:textId="79829094"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为缩小并最终消除性别工资差异，修订《同酬法》，按照劳工组织《</w:t>
      </w:r>
      <w:r w:rsidRPr="00363F79">
        <w:rPr>
          <w:rFonts w:asciiTheme="majorBidi" w:eastAsia="黑体" w:hAnsiTheme="majorBidi" w:cstheme="majorBidi" w:hint="eastAsia"/>
        </w:rPr>
        <w:t>1951</w:t>
      </w:r>
      <w:r w:rsidRPr="00363F79">
        <w:rPr>
          <w:rFonts w:asciiTheme="majorBidi" w:eastAsia="黑体" w:hAnsiTheme="majorBidi" w:cstheme="majorBidi" w:hint="eastAsia"/>
        </w:rPr>
        <w:t>年同酬公约》</w:t>
      </w:r>
      <w:r w:rsidRPr="00363F79">
        <w:rPr>
          <w:rFonts w:asciiTheme="majorBidi" w:eastAsia="黑体" w:hAnsiTheme="majorBidi" w:cstheme="majorBidi" w:hint="eastAsia"/>
        </w:rPr>
        <w:t>(</w:t>
      </w:r>
      <w:r w:rsidRPr="00363F79">
        <w:rPr>
          <w:rFonts w:asciiTheme="majorBidi" w:eastAsia="黑体" w:hAnsiTheme="majorBidi" w:cstheme="majorBidi" w:hint="eastAsia"/>
        </w:rPr>
        <w:t>第</w:t>
      </w:r>
      <w:r w:rsidRPr="00363F79">
        <w:rPr>
          <w:rFonts w:asciiTheme="majorBidi" w:eastAsia="黑体" w:hAnsiTheme="majorBidi" w:cstheme="majorBidi" w:hint="eastAsia"/>
        </w:rPr>
        <w:t>100</w:t>
      </w:r>
      <w:r w:rsidRPr="00363F79">
        <w:rPr>
          <w:rFonts w:asciiTheme="majorBidi" w:eastAsia="黑体" w:hAnsiTheme="majorBidi" w:cstheme="majorBidi" w:hint="eastAsia"/>
        </w:rPr>
        <w:t>号</w:t>
      </w:r>
      <w:r w:rsidRPr="00363F79">
        <w:rPr>
          <w:rFonts w:asciiTheme="majorBidi" w:eastAsia="黑体" w:hAnsiTheme="majorBidi" w:cstheme="majorBidi" w:hint="eastAsia"/>
        </w:rPr>
        <w:t>)</w:t>
      </w:r>
      <w:r w:rsidRPr="00363F79">
        <w:rPr>
          <w:rFonts w:asciiTheme="majorBidi" w:eastAsia="黑体" w:hAnsiTheme="majorBidi" w:cstheme="majorBidi" w:hint="eastAsia"/>
        </w:rPr>
        <w:t>界定</w:t>
      </w:r>
      <w:r w:rsidR="00FC2C55">
        <w:rPr>
          <w:rFonts w:asciiTheme="majorBidi" w:eastAsia="黑体" w:hAnsiTheme="majorBidi" w:cstheme="majorBidi" w:hint="eastAsia"/>
        </w:rPr>
        <w:t>“</w:t>
      </w:r>
      <w:r w:rsidRPr="00363F79">
        <w:rPr>
          <w:rFonts w:asciiTheme="majorBidi" w:eastAsia="黑体" w:hAnsiTheme="majorBidi" w:cstheme="majorBidi" w:hint="eastAsia"/>
        </w:rPr>
        <w:t>同值同工</w:t>
      </w:r>
      <w:r w:rsidR="00FC2C55">
        <w:rPr>
          <w:rFonts w:asciiTheme="majorBidi" w:eastAsia="黑体" w:hAnsiTheme="majorBidi" w:cstheme="majorBidi" w:hint="eastAsia"/>
        </w:rPr>
        <w:t>”</w:t>
      </w:r>
      <w:r w:rsidRPr="00363F79">
        <w:rPr>
          <w:rFonts w:asciiTheme="majorBidi" w:eastAsia="黑体" w:hAnsiTheme="majorBidi" w:cstheme="majorBidi" w:hint="eastAsia"/>
        </w:rPr>
        <w:t>概念；确保女雇员及其工会代表能够充分获得工资信息和统计数据，使妇女能够检查其同值同工同酬的权利是否受到侵犯；确保更多雇主和公司承担报告义务，从而改进性别工资差异统计数据；</w:t>
      </w:r>
    </w:p>
    <w:p w14:paraId="1A34B909"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采取措施，确保父母双方平等分担家庭责任，包括在共享育儿假配额方面；</w:t>
      </w:r>
    </w:p>
    <w:p w14:paraId="73AB3C7F" w14:textId="69D58F63"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根据</w:t>
      </w:r>
      <w:r w:rsidRPr="00363F79">
        <w:rPr>
          <w:rFonts w:asciiTheme="majorBidi" w:eastAsia="黑体" w:hAnsiTheme="majorBidi" w:cstheme="majorBidi" w:hint="eastAsia"/>
        </w:rPr>
        <w:t>2019</w:t>
      </w:r>
      <w:r w:rsidRPr="00363F79">
        <w:rPr>
          <w:rFonts w:asciiTheme="majorBidi" w:eastAsia="黑体" w:hAnsiTheme="majorBidi" w:cstheme="majorBidi" w:hint="eastAsia"/>
        </w:rPr>
        <w:t>年人工智能国家战略，采取措施防止算法设计中的性别歧视；</w:t>
      </w:r>
    </w:p>
    <w:p w14:paraId="0B3CD71D"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(d)</w:t>
      </w:r>
      <w:r w:rsidRPr="00363F79">
        <w:rPr>
          <w:rFonts w:asciiTheme="majorBidi" w:eastAsia="黑体" w:hAnsiTheme="majorBidi" w:cstheme="majorBidi" w:hint="eastAsia"/>
        </w:rPr>
        <w:tab/>
      </w:r>
      <w:r w:rsidRPr="00363F79">
        <w:rPr>
          <w:rFonts w:asciiTheme="majorBidi" w:eastAsia="黑体" w:hAnsiTheme="majorBidi" w:cstheme="majorBidi" w:hint="eastAsia"/>
        </w:rPr>
        <w:t>收集关于移民妇女和残疾妇女参与劳动力市场的综合数据，并在下次定期报告中提供这些资料；</w:t>
      </w:r>
    </w:p>
    <w:p w14:paraId="38153A7E"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(e)</w:t>
      </w:r>
      <w:r w:rsidRPr="00363F79">
        <w:rPr>
          <w:rFonts w:asciiTheme="majorBidi" w:eastAsia="黑体" w:hAnsiTheme="majorBidi" w:cstheme="majorBidi" w:hint="eastAsia"/>
        </w:rPr>
        <w:tab/>
      </w:r>
      <w:r w:rsidRPr="00363F79">
        <w:rPr>
          <w:rFonts w:asciiTheme="majorBidi" w:eastAsia="黑体" w:hAnsiTheme="majorBidi" w:cstheme="majorBidi" w:hint="eastAsia"/>
        </w:rPr>
        <w:t>批准劳工组织《</w:t>
      </w:r>
      <w:r w:rsidRPr="00363F79">
        <w:rPr>
          <w:rFonts w:asciiTheme="majorBidi" w:eastAsia="黑体" w:hAnsiTheme="majorBidi" w:cstheme="majorBidi" w:hint="eastAsia"/>
        </w:rPr>
        <w:t>2011</w:t>
      </w:r>
      <w:r w:rsidRPr="00363F79">
        <w:rPr>
          <w:rFonts w:asciiTheme="majorBidi" w:eastAsia="黑体" w:hAnsiTheme="majorBidi" w:cstheme="majorBidi" w:hint="eastAsia"/>
        </w:rPr>
        <w:t>年家庭工人公约》</w:t>
      </w:r>
      <w:r w:rsidRPr="00363F79">
        <w:rPr>
          <w:rFonts w:asciiTheme="majorBidi" w:eastAsia="黑体" w:hAnsiTheme="majorBidi" w:cstheme="majorBidi" w:hint="eastAsia"/>
        </w:rPr>
        <w:t>(</w:t>
      </w:r>
      <w:r w:rsidRPr="00363F79">
        <w:rPr>
          <w:rFonts w:asciiTheme="majorBidi" w:eastAsia="黑体" w:hAnsiTheme="majorBidi" w:cstheme="majorBidi" w:hint="eastAsia"/>
        </w:rPr>
        <w:t>第</w:t>
      </w:r>
      <w:r w:rsidRPr="00363F79">
        <w:rPr>
          <w:rFonts w:asciiTheme="majorBidi" w:eastAsia="黑体" w:hAnsiTheme="majorBidi" w:cstheme="majorBidi" w:hint="eastAsia"/>
        </w:rPr>
        <w:t>189</w:t>
      </w:r>
      <w:r w:rsidRPr="00363F79">
        <w:rPr>
          <w:rFonts w:asciiTheme="majorBidi" w:eastAsia="黑体" w:hAnsiTheme="majorBidi" w:cstheme="majorBidi" w:hint="eastAsia"/>
        </w:rPr>
        <w:t>号</w:t>
      </w:r>
      <w:r w:rsidRPr="00363F79">
        <w:rPr>
          <w:rFonts w:asciiTheme="majorBidi" w:eastAsia="黑体" w:hAnsiTheme="majorBidi" w:cstheme="majorBidi" w:hint="eastAsia"/>
        </w:rPr>
        <w:t>)</w:t>
      </w:r>
      <w:r w:rsidRPr="00363F79">
        <w:rPr>
          <w:rFonts w:asciiTheme="majorBidi" w:eastAsia="黑体" w:hAnsiTheme="majorBidi" w:cstheme="majorBidi" w:hint="eastAsia"/>
        </w:rPr>
        <w:t>。</w:t>
      </w:r>
    </w:p>
    <w:p w14:paraId="2171CE24"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医疗卫生</w:t>
      </w:r>
    </w:p>
    <w:p w14:paraId="25FDF0CE" w14:textId="68330A9A" w:rsidR="00EC5EEF" w:rsidRPr="00363F79" w:rsidRDefault="00EC5EEF" w:rsidP="00EC5EEF">
      <w:pPr>
        <w:pStyle w:val="SingleTxt"/>
      </w:pPr>
      <w:r w:rsidRPr="00363F79">
        <w:rPr>
          <w:rFonts w:hint="eastAsia"/>
        </w:rPr>
        <w:t>34.</w:t>
      </w:r>
      <w:r w:rsidRPr="00363F79">
        <w:rPr>
          <w:rFonts w:hint="eastAsia"/>
        </w:rPr>
        <w:tab/>
      </w:r>
      <w:r w:rsidRPr="00363F79">
        <w:rPr>
          <w:rFonts w:hint="eastAsia"/>
        </w:rPr>
        <w:t>委员会欢迎经常使用电子医疗，使妇女和女童受益，特别是在这一流行病期间，并欢迎关于心理健康的立法和</w:t>
      </w:r>
      <w:r w:rsidRPr="00363F79">
        <w:rPr>
          <w:rFonts w:hint="eastAsia"/>
        </w:rPr>
        <w:t>2020</w:t>
      </w:r>
      <w:r w:rsidRPr="00363F79">
        <w:rPr>
          <w:rFonts w:hint="eastAsia"/>
        </w:rPr>
        <w:t>年行动计划规定在法罗群岛为妇女和女童等提供免费心理咨询。委员会注意到，在这一流行病期间，早产率急剧下降。然而，委员会对以下问题表示关切：</w:t>
      </w:r>
    </w:p>
    <w:p w14:paraId="1A0BCB61" w14:textId="77777777"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据报道，缔约国是欧洲各类癌症发病率最高的国家，参加全国免费宫颈癌或乳腺癌筛查的残疾妇女，特别是在有特殊需要的居民区，比例非常低。</w:t>
      </w:r>
    </w:p>
    <w:p w14:paraId="51861916" w14:textId="77777777" w:rsidR="00EC5EEF" w:rsidRPr="00363F79" w:rsidRDefault="00EC5EEF" w:rsidP="00EC5EEF">
      <w:pPr>
        <w:pStyle w:val="SingleTxt"/>
      </w:pPr>
      <w:r w:rsidRPr="00363F79">
        <w:rPr>
          <w:rFonts w:hint="eastAsia"/>
        </w:rPr>
        <w:tab/>
        <w:t>(b)</w:t>
      </w:r>
      <w:r w:rsidRPr="00363F79">
        <w:rPr>
          <w:rFonts w:hint="eastAsia"/>
        </w:rPr>
        <w:tab/>
      </w:r>
      <w:r w:rsidRPr="00363F79">
        <w:rPr>
          <w:rFonts w:hint="eastAsia"/>
        </w:rPr>
        <w:t>在格陵兰，自杀和自杀未遂的发生率很高，包括在女童中；</w:t>
      </w:r>
    </w:p>
    <w:p w14:paraId="207D3A75" w14:textId="77777777"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格陵兰妇女和女童的高堕胎率和性传播感染的高发率；</w:t>
      </w:r>
    </w:p>
    <w:p w14:paraId="7F386FB2" w14:textId="07EFA26C" w:rsidR="00EC5EEF" w:rsidRPr="00363F79" w:rsidRDefault="00EC5EEF" w:rsidP="00EC5EEF">
      <w:pPr>
        <w:pStyle w:val="SingleTxt"/>
      </w:pPr>
      <w:r w:rsidRPr="00363F79">
        <w:rPr>
          <w:rFonts w:hint="eastAsia"/>
        </w:rPr>
        <w:tab/>
        <w:t>(d)</w:t>
      </w:r>
      <w:r w:rsidRPr="00363F79">
        <w:rPr>
          <w:rFonts w:hint="eastAsia"/>
        </w:rPr>
        <w:tab/>
      </w:r>
      <w:r w:rsidRPr="00363F79">
        <w:rPr>
          <w:rFonts w:hint="eastAsia"/>
        </w:rPr>
        <w:t>法罗群岛妇女寻求堕胎，但不能像丹麦和格陵兰妇女一样享受性健康和生殖健康服务，包括安全堕胎和堕胎后服务，这有可能被定为刑事犯罪，导致法罗群岛的一些妇女前往丹麦堕胎，或声称患有严重的精神疾病，从而无法照顾孩子；</w:t>
      </w:r>
    </w:p>
    <w:p w14:paraId="3321EDA9" w14:textId="6A9D3E7D" w:rsidR="00EC5EEF" w:rsidRPr="00363F79" w:rsidRDefault="00EC5EEF" w:rsidP="00EC5EEF">
      <w:pPr>
        <w:pStyle w:val="SingleTxt"/>
        <w:rPr>
          <w:rFonts w:asciiTheme="majorBidi" w:eastAsia="黑体" w:hAnsiTheme="majorBidi" w:cstheme="majorBidi"/>
        </w:rPr>
      </w:pPr>
      <w:r w:rsidRPr="00363F79">
        <w:rPr>
          <w:rFonts w:hint="eastAsia"/>
        </w:rPr>
        <w:t>35.</w:t>
      </w:r>
      <w:r w:rsidRPr="00363F79">
        <w:rPr>
          <w:rFonts w:hint="eastAsia"/>
        </w:rPr>
        <w:tab/>
      </w:r>
      <w:r w:rsidRPr="00363F79">
        <w:rPr>
          <w:rFonts w:asciiTheme="majorBidi" w:eastAsia="黑体" w:hAnsiTheme="majorBidi" w:cstheme="majorBidi" w:hint="eastAsia"/>
        </w:rPr>
        <w:t>委员会回顾其以往建议</w:t>
      </w:r>
      <w:r w:rsidRPr="00363F79">
        <w:rPr>
          <w:rFonts w:asciiTheme="majorBidi" w:eastAsia="黑体" w:hAnsiTheme="majorBidi" w:cstheme="majorBidi" w:hint="eastAsia"/>
        </w:rPr>
        <w:t>(</w:t>
      </w:r>
      <w:hyperlink r:id="rId53" w:history="1">
        <w:r w:rsidRPr="00363F79">
          <w:rPr>
            <w:rStyle w:val="af4"/>
            <w:rFonts w:asciiTheme="majorBidi" w:eastAsia="黑体" w:hAnsiTheme="majorBidi" w:cstheme="majorBidi" w:hint="eastAsia"/>
          </w:rPr>
          <w:t>CEDAW/C/DNK/CO/8</w:t>
        </w:r>
      </w:hyperlink>
      <w:r w:rsidRPr="00363F79">
        <w:rPr>
          <w:rFonts w:asciiTheme="majorBidi" w:eastAsia="黑体" w:hAnsiTheme="majorBidi" w:cstheme="majorBidi" w:hint="eastAsia"/>
        </w:rPr>
        <w:t>，第</w:t>
      </w:r>
      <w:r w:rsidRPr="00363F79">
        <w:rPr>
          <w:rFonts w:asciiTheme="majorBidi" w:eastAsia="黑体" w:hAnsiTheme="majorBidi" w:cstheme="majorBidi" w:hint="eastAsia"/>
        </w:rPr>
        <w:t>32</w:t>
      </w:r>
      <w:r w:rsidRPr="00363F79">
        <w:rPr>
          <w:rFonts w:asciiTheme="majorBidi" w:eastAsia="黑体" w:hAnsiTheme="majorBidi" w:cstheme="majorBidi" w:hint="eastAsia"/>
        </w:rPr>
        <w:t>段</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37A738BF"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继续收集和分析关于妇女癌症高发原因的信息和数据，在下次定期报告中予以报告，并制订具体目标，增加残疾妇女参与国家免费癌症筛查；</w:t>
      </w:r>
    </w:p>
    <w:p w14:paraId="2538D4C0" w14:textId="3E66F575"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收集关于格陵兰自杀率</w:t>
      </w:r>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包括女童自杀率</w:t>
      </w:r>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高的原因的综合数据，并在下次定期报告中报告有关情况，包括为解决这些问题而采取的措施；</w:t>
      </w:r>
    </w:p>
    <w:p w14:paraId="104689AB"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Pr="00363F79">
        <w:rPr>
          <w:rFonts w:asciiTheme="majorBidi" w:eastAsia="黑体" w:hAnsiTheme="majorBidi" w:cstheme="majorBidi" w:hint="eastAsia"/>
        </w:rPr>
        <w:tab/>
      </w:r>
      <w:r w:rsidRPr="00363F79">
        <w:rPr>
          <w:rFonts w:asciiTheme="majorBidi" w:eastAsia="黑体" w:hAnsiTheme="majorBidi" w:cstheme="majorBidi" w:hint="eastAsia"/>
        </w:rPr>
        <w:t>收集关于格陵兰高堕胎率原因的综合数据；确保各级教育中关于性健康和生殖健康及权利的教育对性别问题有敏感认识、适龄而且可及，并提倡负责任的性行为，以防止早孕和性传播感染；确保所有女童和女青年获得性健康和生殖健康服务以及现代避孕药具，特别是在农村地区；向格陵兰的孕期、产期和产后妇女及其子女提供适当的保健服务；</w:t>
      </w:r>
    </w:p>
    <w:p w14:paraId="7D1C1645" w14:textId="77777777" w:rsidR="00EC5EEF" w:rsidRPr="00AD524E" w:rsidRDefault="00EC5EEF" w:rsidP="00EC5EEF">
      <w:pPr>
        <w:pStyle w:val="SingleTxt"/>
        <w:rPr>
          <w:rFonts w:asciiTheme="majorBidi" w:eastAsia="黑体" w:hAnsiTheme="majorBidi" w:cstheme="majorBidi"/>
          <w:spacing w:val="-2"/>
        </w:rPr>
      </w:pPr>
      <w:r w:rsidRPr="00363F79">
        <w:rPr>
          <w:rFonts w:asciiTheme="majorBidi" w:eastAsia="黑体" w:hAnsiTheme="majorBidi" w:cstheme="majorBidi" w:hint="eastAsia"/>
        </w:rPr>
        <w:tab/>
        <w:t>(d)</w:t>
      </w:r>
      <w:r w:rsidRPr="00363F79">
        <w:rPr>
          <w:rFonts w:asciiTheme="majorBidi" w:eastAsia="黑体" w:hAnsiTheme="majorBidi" w:cstheme="majorBidi" w:hint="eastAsia"/>
        </w:rPr>
        <w:tab/>
      </w:r>
      <w:r w:rsidRPr="00AD524E">
        <w:rPr>
          <w:rFonts w:asciiTheme="majorBidi" w:eastAsia="黑体" w:hAnsiTheme="majorBidi" w:cstheme="majorBidi" w:hint="eastAsia"/>
          <w:spacing w:val="-2"/>
        </w:rPr>
        <w:t>取消对寻求堕胎妇女的惩罚措施，并考虑修订可追溯到</w:t>
      </w:r>
      <w:r w:rsidRPr="00AD524E">
        <w:rPr>
          <w:rFonts w:asciiTheme="majorBidi" w:eastAsia="黑体" w:hAnsiTheme="majorBidi" w:cstheme="majorBidi" w:hint="eastAsia"/>
          <w:spacing w:val="-2"/>
        </w:rPr>
        <w:t>1956</w:t>
      </w:r>
      <w:r w:rsidRPr="00AD524E">
        <w:rPr>
          <w:rFonts w:asciiTheme="majorBidi" w:eastAsia="黑体" w:hAnsiTheme="majorBidi" w:cstheme="majorBidi" w:hint="eastAsia"/>
          <w:spacing w:val="-2"/>
        </w:rPr>
        <w:t>年的法罗群岛堕胎法，并通过堕胎法，使法罗群岛妇女与丹麦和格陵兰妇女一样，有机会平等获得安全合法的堕胎和堕胎后服务，特别是在不安全堕胎导致并发症的情况下。</w:t>
      </w:r>
    </w:p>
    <w:p w14:paraId="398F5B44"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增强妇女经济权能</w:t>
      </w:r>
    </w:p>
    <w:p w14:paraId="4BACFF77" w14:textId="0F36B0BA" w:rsidR="00EC5EEF" w:rsidRPr="00363F79" w:rsidRDefault="00EC5EEF" w:rsidP="00EC5EEF">
      <w:pPr>
        <w:pStyle w:val="SingleTxt"/>
      </w:pPr>
      <w:r w:rsidRPr="00363F79">
        <w:rPr>
          <w:rFonts w:hint="eastAsia"/>
        </w:rPr>
        <w:t>36.</w:t>
      </w:r>
      <w:r w:rsidRPr="00363F79">
        <w:rPr>
          <w:rFonts w:hint="eastAsia"/>
        </w:rPr>
        <w:tab/>
      </w:r>
      <w:r w:rsidRPr="00363F79">
        <w:rPr>
          <w:rFonts w:hint="eastAsia"/>
        </w:rPr>
        <w:t>委员会赞扬缔约国努力增加女企业家人数，包括在人工智能和其他技术先进领域等最具创新性的部门，并赞扬其国际合作方案。委员会注意到关于勘探和采矿作业的现行细则和条例。然而，委员会关切地注意到：</w:t>
      </w:r>
    </w:p>
    <w:p w14:paraId="46D1682C" w14:textId="1EE8E745"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数字经济和人工智能领域的男女差距有碍增强妇女权能，并构成结构性歧视的新源头；</w:t>
      </w:r>
    </w:p>
    <w:p w14:paraId="6A96480F" w14:textId="75F01509" w:rsidR="00EC5EEF" w:rsidRPr="00363F79" w:rsidRDefault="00EC5EEF" w:rsidP="00EC5EEF">
      <w:pPr>
        <w:pStyle w:val="SingleTxt"/>
      </w:pPr>
      <w:r w:rsidRPr="00363F79">
        <w:rPr>
          <w:rFonts w:hint="eastAsia"/>
        </w:rPr>
        <w:tab/>
        <w:t>(b)</w:t>
      </w:r>
      <w:r w:rsidRPr="00363F79">
        <w:rPr>
          <w:rFonts w:hint="eastAsia"/>
        </w:rPr>
        <w:tab/>
      </w:r>
      <w:r w:rsidRPr="00363F79">
        <w:rPr>
          <w:rFonts w:hint="eastAsia"/>
        </w:rPr>
        <w:t>在格陵兰，碳和矿产资源的持续和扩大开采以及大型基础设施项目可能会使妇女离开自己的土地，并剥夺她们的生计；</w:t>
      </w:r>
    </w:p>
    <w:p w14:paraId="22574CC1" w14:textId="6F2AFE3E" w:rsidR="00EC5EEF" w:rsidRPr="00363F79" w:rsidRDefault="00EC5EEF" w:rsidP="00EC5EEF">
      <w:pPr>
        <w:pStyle w:val="SingleTxt"/>
      </w:pPr>
      <w:r w:rsidRPr="00363F79">
        <w:rPr>
          <w:rFonts w:hint="eastAsia"/>
        </w:rPr>
        <w:tab/>
        <w:t>(c)</w:t>
      </w:r>
      <w:r w:rsidRPr="00363F79">
        <w:rPr>
          <w:rFonts w:hint="eastAsia"/>
        </w:rPr>
        <w:tab/>
      </w:r>
      <w:r w:rsidRPr="00363F79">
        <w:rPr>
          <w:rFonts w:hint="eastAsia"/>
        </w:rPr>
        <w:t>只有</w:t>
      </w:r>
      <w:r w:rsidRPr="00363F79">
        <w:rPr>
          <w:rFonts w:hint="eastAsia"/>
        </w:rPr>
        <w:t>5%</w:t>
      </w:r>
      <w:r w:rsidRPr="00363F79">
        <w:rPr>
          <w:rFonts w:hint="eastAsia"/>
        </w:rPr>
        <w:t>的农田为妇女所有。</w:t>
      </w:r>
    </w:p>
    <w:p w14:paraId="0A2851C5"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37.</w:t>
      </w:r>
      <w:r w:rsidRPr="00363F79">
        <w:rPr>
          <w:rFonts w:asciiTheme="majorBidi" w:eastAsia="黑体" w:hAnsiTheme="majorBidi" w:cstheme="majorBidi" w:hint="eastAsia"/>
        </w:rPr>
        <w:tab/>
      </w:r>
      <w:r w:rsidRPr="00363F79">
        <w:rPr>
          <w:rFonts w:asciiTheme="majorBidi" w:eastAsia="黑体" w:hAnsiTheme="majorBidi" w:cstheme="majorBidi" w:hint="eastAsia"/>
        </w:rPr>
        <w:t>委员会建议缔约国：</w:t>
      </w:r>
    </w:p>
    <w:p w14:paraId="47D5BB3F" w14:textId="717FB32B"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00AD524E">
        <w:rPr>
          <w:rFonts w:asciiTheme="majorBidi" w:eastAsia="黑体" w:hAnsiTheme="majorBidi" w:cstheme="majorBidi"/>
        </w:rPr>
        <w:tab/>
      </w:r>
      <w:r w:rsidRPr="00363F79">
        <w:rPr>
          <w:rFonts w:asciiTheme="majorBidi" w:eastAsia="黑体" w:hAnsiTheme="majorBidi" w:cstheme="majorBidi" w:hint="eastAsia"/>
        </w:rPr>
        <w:t>确保</w:t>
      </w:r>
      <w:r w:rsidRPr="00363F79">
        <w:rPr>
          <w:rFonts w:asciiTheme="majorBidi" w:eastAsia="黑体" w:hAnsiTheme="majorBidi" w:cstheme="majorBidi" w:hint="eastAsia"/>
        </w:rPr>
        <w:t>2019</w:t>
      </w:r>
      <w:r w:rsidRPr="00363F79">
        <w:rPr>
          <w:rFonts w:asciiTheme="majorBidi" w:eastAsia="黑体" w:hAnsiTheme="majorBidi" w:cstheme="majorBidi" w:hint="eastAsia"/>
        </w:rPr>
        <w:t>年国家人工智能战略确保数字经济中男女性别平等，并防止歧视，以利于妇女和可持续变革；</w:t>
      </w:r>
    </w:p>
    <w:p w14:paraId="6D7D4111" w14:textId="47153D75"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审查其能源和采矿政策，特别是其关于在格陵兰开采碳和矿产资源的政策，以确保这些政策不会对妇女造成过多的不利影响，并确保妇女在与男子平等的基础上参与有关这类政策的决策过程，包括参与环境和社会影响评估；</w:t>
      </w:r>
    </w:p>
    <w:p w14:paraId="79361991" w14:textId="4B095F46"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(c)</w:t>
      </w:r>
      <w:r w:rsidR="00AD524E">
        <w:rPr>
          <w:rFonts w:asciiTheme="majorBidi" w:eastAsia="黑体" w:hAnsiTheme="majorBidi" w:cstheme="majorBidi"/>
        </w:rPr>
        <w:tab/>
      </w:r>
      <w:r w:rsidRPr="00363F79">
        <w:rPr>
          <w:rFonts w:asciiTheme="majorBidi" w:eastAsia="黑体" w:hAnsiTheme="majorBidi" w:cstheme="majorBidi" w:hint="eastAsia"/>
        </w:rPr>
        <w:t>审查可能阻碍农村妇女拥有土地的做法，并通过立法保护她们拥有土地的权利。</w:t>
      </w:r>
    </w:p>
    <w:p w14:paraId="2B7FBB33" w14:textId="76743703"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气候变化和减少灾害风险</w:t>
      </w:r>
    </w:p>
    <w:p w14:paraId="5E3D602D" w14:textId="636F5DE2" w:rsidR="00EC5EEF" w:rsidRPr="00363F79" w:rsidRDefault="00EC5EEF" w:rsidP="00EC5EEF">
      <w:pPr>
        <w:pStyle w:val="SingleTxt"/>
      </w:pPr>
      <w:r w:rsidRPr="00363F79">
        <w:rPr>
          <w:rFonts w:hint="eastAsia"/>
        </w:rPr>
        <w:t>38.</w:t>
      </w:r>
      <w:r w:rsidRPr="00363F79">
        <w:rPr>
          <w:rFonts w:hint="eastAsia"/>
        </w:rPr>
        <w:tab/>
      </w:r>
      <w:r w:rsidRPr="00363F79">
        <w:rPr>
          <w:rFonts w:hint="eastAsia"/>
        </w:rPr>
        <w:t>委员会赞扬缔约国为应对气候危机而采取的措施。然而，委员会感到关切的是，缺乏关于气候危机对格陵兰土著居民包括妇女的潜在影响的数据和研究。</w:t>
      </w:r>
    </w:p>
    <w:p w14:paraId="739F9794" w14:textId="77777777" w:rsidR="00EC5EEF" w:rsidRPr="00363F79" w:rsidRDefault="00EC5EEF" w:rsidP="00EC5EEF">
      <w:pPr>
        <w:pStyle w:val="SingleTxt"/>
        <w:rPr>
          <w:rFonts w:asciiTheme="majorBidi" w:eastAsia="黑体" w:hAnsiTheme="majorBidi" w:cstheme="majorBidi"/>
        </w:rPr>
      </w:pPr>
      <w:r w:rsidRPr="00363F79">
        <w:rPr>
          <w:rFonts w:hint="eastAsia"/>
        </w:rPr>
        <w:t>39.</w:t>
      </w:r>
      <w:r w:rsidRPr="00363F79">
        <w:rPr>
          <w:rFonts w:hint="eastAsia"/>
        </w:rPr>
        <w:tab/>
      </w:r>
      <w:r w:rsidRPr="00363F79">
        <w:rPr>
          <w:rFonts w:asciiTheme="majorBidi" w:eastAsia="黑体" w:hAnsiTheme="majorBidi" w:cstheme="majorBidi" w:hint="eastAsia"/>
        </w:rPr>
        <w:t>委员会回顾其关于气候变化背景下减少灾害风险所涉性别方面的第</w:t>
      </w:r>
      <w:r w:rsidRPr="00363F79">
        <w:rPr>
          <w:rFonts w:asciiTheme="majorBidi" w:eastAsia="黑体" w:hAnsiTheme="majorBidi" w:cstheme="majorBidi" w:hint="eastAsia"/>
        </w:rPr>
        <w:t>37</w:t>
      </w:r>
      <w:r w:rsidRPr="00363F79">
        <w:rPr>
          <w:rFonts w:asciiTheme="majorBidi" w:eastAsia="黑体" w:hAnsiTheme="majorBidi" w:cstheme="majorBidi" w:hint="eastAsia"/>
        </w:rPr>
        <w:t>号一般性建议</w:t>
      </w:r>
      <w:r w:rsidRPr="00363F79">
        <w:rPr>
          <w:rFonts w:asciiTheme="majorBidi" w:eastAsia="黑体" w:hAnsiTheme="majorBidi" w:cstheme="majorBidi" w:hint="eastAsia"/>
        </w:rPr>
        <w:t>(2018</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向丹麦人权研究所提供必要的资源，以完成对缔约国防止气候变化负面影响的国际人权义务的审查；缔约国就气候变化对格陵兰妇女，特别是依赖传统的因努伊特人生计的妇女造成的性别影响进行研究；缔约国在下次定期报告中报告研究结果。委员会还建议缔约国采取措施，确保妇女在与男子平等的基础上参与涉及气候危机的决策进程，并考虑参加根据《联合国气候变化框架公约京都议定书》设立的适应基金，包括通过提供财政捐助，旨在将性别问题纳入气候融资的主流。</w:t>
      </w:r>
    </w:p>
    <w:p w14:paraId="4C8704EC"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婚姻和家庭关系</w:t>
      </w:r>
    </w:p>
    <w:p w14:paraId="72D4AAD2" w14:textId="4271813E" w:rsidR="00EC5EEF" w:rsidRPr="00363F79" w:rsidRDefault="00EC5EEF" w:rsidP="00EC5EEF">
      <w:pPr>
        <w:pStyle w:val="SingleTxt"/>
      </w:pPr>
      <w:r w:rsidRPr="00363F79">
        <w:rPr>
          <w:rFonts w:hint="eastAsia"/>
        </w:rPr>
        <w:t>40.</w:t>
      </w:r>
      <w:r w:rsidRPr="00363F79">
        <w:rPr>
          <w:rFonts w:hint="eastAsia"/>
        </w:rPr>
        <w:tab/>
      </w:r>
      <w:r w:rsidRPr="00363F79">
        <w:rPr>
          <w:rFonts w:hint="eastAsia"/>
        </w:rPr>
        <w:t>委员会欢迎最近修订关于禁止童婚的婚姻成立和解除的立法。然而，委员会感到关切的是：</w:t>
      </w:r>
    </w:p>
    <w:p w14:paraId="63AA395E" w14:textId="1777EEB5" w:rsidR="00EC5EEF" w:rsidRPr="00363F79" w:rsidRDefault="00EC5EEF" w:rsidP="00EC5EEF">
      <w:pPr>
        <w:pStyle w:val="SingleTxt"/>
      </w:pPr>
      <w:r w:rsidRPr="00363F79">
        <w:rPr>
          <w:rFonts w:hint="eastAsia"/>
        </w:rPr>
        <w:tab/>
        <w:t>(a)</w:t>
      </w:r>
      <w:r w:rsidRPr="00363F79">
        <w:rPr>
          <w:rFonts w:hint="eastAsia"/>
        </w:rPr>
        <w:tab/>
      </w:r>
      <w:r w:rsidRPr="00363F79">
        <w:rPr>
          <w:rFonts w:hint="eastAsia"/>
        </w:rPr>
        <w:t>最近的立法修正案要求拥有临时保护身份的妇女等待三年后才能与家人团聚，除非有特殊情况；</w:t>
      </w:r>
    </w:p>
    <w:p w14:paraId="1467A763" w14:textId="4198D493" w:rsidR="00EC5EEF" w:rsidRPr="00363F79" w:rsidRDefault="00EC5EEF" w:rsidP="00EC5EEF">
      <w:pPr>
        <w:pStyle w:val="SingleTxt"/>
      </w:pPr>
      <w:r w:rsidRPr="00363F79">
        <w:rPr>
          <w:rFonts w:hint="eastAsia"/>
        </w:rPr>
        <w:tab/>
        <w:t>(b)</w:t>
      </w:r>
      <w:r w:rsidR="00AD524E">
        <w:tab/>
      </w:r>
      <w:r w:rsidRPr="00363F79">
        <w:rPr>
          <w:rFonts w:hint="eastAsia"/>
        </w:rPr>
        <w:t>根据家庭团聚程序获得居留身份的妇女，在离婚时可能会——根据个人评估——丧失这一身份。</w:t>
      </w:r>
    </w:p>
    <w:p w14:paraId="678D4B71" w14:textId="6EF5491E" w:rsidR="00EC5EEF" w:rsidRPr="00363F79" w:rsidRDefault="00EC5EEF" w:rsidP="00EC5EEF">
      <w:pPr>
        <w:pStyle w:val="SingleTxt"/>
        <w:rPr>
          <w:rFonts w:asciiTheme="majorBidi" w:eastAsia="黑体" w:hAnsiTheme="majorBidi" w:cstheme="majorBidi"/>
        </w:rPr>
      </w:pPr>
      <w:r w:rsidRPr="00363F79">
        <w:rPr>
          <w:rFonts w:hint="eastAsia"/>
        </w:rPr>
        <w:t>41.</w:t>
      </w:r>
      <w:r w:rsidRPr="00363F79">
        <w:rPr>
          <w:rFonts w:hint="eastAsia"/>
        </w:rPr>
        <w:tab/>
      </w:r>
      <w:r w:rsidRPr="00363F79">
        <w:rPr>
          <w:rFonts w:asciiTheme="majorBidi" w:eastAsia="黑体" w:hAnsiTheme="majorBidi" w:cstheme="majorBidi" w:hint="eastAsia"/>
        </w:rPr>
        <w:t>委员会回顾其第</w:t>
      </w:r>
      <w:r w:rsidRPr="00363F79">
        <w:rPr>
          <w:rFonts w:asciiTheme="majorBidi" w:eastAsia="黑体" w:hAnsiTheme="majorBidi" w:cstheme="majorBidi" w:hint="eastAsia"/>
        </w:rPr>
        <w:t>32</w:t>
      </w:r>
      <w:r w:rsidRPr="00363F79">
        <w:rPr>
          <w:rFonts w:asciiTheme="majorBidi" w:eastAsia="黑体" w:hAnsiTheme="majorBidi" w:cstheme="majorBidi" w:hint="eastAsia"/>
        </w:rPr>
        <w:t>号一般性建议和关于妇女在预防冲突、冲突及冲突后局势中的作用的第</w:t>
      </w:r>
      <w:r w:rsidRPr="00363F79">
        <w:rPr>
          <w:rFonts w:asciiTheme="majorBidi" w:eastAsia="黑体" w:hAnsiTheme="majorBidi" w:cstheme="majorBidi" w:hint="eastAsia"/>
        </w:rPr>
        <w:t>30</w:t>
      </w:r>
      <w:r w:rsidRPr="00363F79">
        <w:rPr>
          <w:rFonts w:asciiTheme="majorBidi" w:eastAsia="黑体" w:hAnsiTheme="majorBidi" w:cstheme="majorBidi" w:hint="eastAsia"/>
        </w:rPr>
        <w:t>号一般性建议</w:t>
      </w:r>
      <w:r w:rsidRPr="00363F79">
        <w:rPr>
          <w:rFonts w:asciiTheme="majorBidi" w:eastAsia="黑体" w:hAnsiTheme="majorBidi" w:cstheme="majorBidi" w:hint="eastAsia"/>
        </w:rPr>
        <w:t>(2013</w:t>
      </w:r>
      <w:r w:rsidRPr="00363F79">
        <w:rPr>
          <w:rFonts w:asciiTheme="majorBidi" w:eastAsia="黑体" w:hAnsiTheme="majorBidi" w:cstheme="majorBidi" w:hint="eastAsia"/>
        </w:rPr>
        <w:t>年</w:t>
      </w:r>
      <w:r w:rsidRPr="00363F79">
        <w:rPr>
          <w:rFonts w:asciiTheme="majorBidi" w:eastAsia="黑体" w:hAnsiTheme="majorBidi" w:cstheme="majorBidi" w:hint="eastAsia"/>
        </w:rPr>
        <w:t>)</w:t>
      </w:r>
      <w:r w:rsidRPr="00363F79">
        <w:rPr>
          <w:rFonts w:asciiTheme="majorBidi" w:eastAsia="黑体" w:hAnsiTheme="majorBidi" w:cstheme="majorBidi" w:hint="eastAsia"/>
        </w:rPr>
        <w:t>，建议缔约国：</w:t>
      </w:r>
    </w:p>
    <w:p w14:paraId="32941D05"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(a)</w:t>
      </w:r>
      <w:r w:rsidRPr="00363F79">
        <w:rPr>
          <w:rFonts w:asciiTheme="majorBidi" w:eastAsia="黑体" w:hAnsiTheme="majorBidi" w:cstheme="majorBidi" w:hint="eastAsia"/>
        </w:rPr>
        <w:tab/>
      </w:r>
      <w:r w:rsidRPr="00363F79">
        <w:rPr>
          <w:rFonts w:asciiTheme="majorBidi" w:eastAsia="黑体" w:hAnsiTheme="majorBidi" w:cstheme="majorBidi" w:hint="eastAsia"/>
        </w:rPr>
        <w:t>撤消受国际保护的妇女与家人团聚的立法和行政障碍；</w:t>
      </w:r>
    </w:p>
    <w:p w14:paraId="772A2307"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ab/>
        <w:t>(b)</w:t>
      </w:r>
      <w:r w:rsidRPr="00363F79">
        <w:rPr>
          <w:rFonts w:asciiTheme="majorBidi" w:eastAsia="黑体" w:hAnsiTheme="majorBidi" w:cstheme="majorBidi" w:hint="eastAsia"/>
        </w:rPr>
        <w:tab/>
      </w:r>
      <w:r w:rsidRPr="00363F79">
        <w:rPr>
          <w:rFonts w:asciiTheme="majorBidi" w:eastAsia="黑体" w:hAnsiTheme="majorBidi" w:cstheme="majorBidi" w:hint="eastAsia"/>
        </w:rPr>
        <w:t>对所有移民和难民妇女适用关于基于家庭团聚的居留身份的法律规定，不论其婚姻状况如何。</w:t>
      </w:r>
    </w:p>
    <w:p w14:paraId="268EB80F"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传播</w:t>
      </w:r>
    </w:p>
    <w:p w14:paraId="4C37DC4F" w14:textId="77777777" w:rsidR="00EC5EEF" w:rsidRPr="00363F79" w:rsidRDefault="00EC5EEF" w:rsidP="00EC5EEF">
      <w:pPr>
        <w:pStyle w:val="SingleTxt"/>
        <w:rPr>
          <w:rFonts w:asciiTheme="majorBidi" w:eastAsia="黑体" w:hAnsiTheme="majorBidi" w:cstheme="majorBidi"/>
        </w:rPr>
      </w:pPr>
      <w:r w:rsidRPr="00363F79">
        <w:rPr>
          <w:rFonts w:hint="eastAsia"/>
        </w:rPr>
        <w:t>42.</w:t>
      </w:r>
      <w:r w:rsidRPr="00363F79">
        <w:rPr>
          <w:rFonts w:asciiTheme="majorBidi" w:eastAsia="黑体" w:hAnsiTheme="majorBidi" w:cstheme="majorBidi" w:hint="eastAsia"/>
        </w:rPr>
        <w:tab/>
      </w:r>
      <w:r w:rsidRPr="00363F79">
        <w:rPr>
          <w:rFonts w:asciiTheme="majorBidi" w:eastAsia="黑体" w:hAnsiTheme="majorBidi" w:cstheme="majorBidi" w:hint="eastAsia"/>
        </w:rPr>
        <w:t>委员会请缔约国确保以其官方语文及时向各级</w:t>
      </w:r>
      <w:r w:rsidRPr="00363F79">
        <w:rPr>
          <w:rFonts w:asciiTheme="majorBidi" w:eastAsia="黑体" w:hAnsiTheme="majorBidi" w:cstheme="majorBidi" w:hint="eastAsia"/>
        </w:rPr>
        <w:t>(</w:t>
      </w:r>
      <w:r w:rsidRPr="00363F79">
        <w:rPr>
          <w:rFonts w:asciiTheme="majorBidi" w:eastAsia="黑体" w:hAnsiTheme="majorBidi" w:cstheme="majorBidi" w:hint="eastAsia"/>
        </w:rPr>
        <w:t>国家、区域和地方</w:t>
      </w:r>
      <w:r w:rsidRPr="00363F79">
        <w:rPr>
          <w:rFonts w:asciiTheme="majorBidi" w:eastAsia="黑体" w:hAnsiTheme="majorBidi" w:cstheme="majorBidi" w:hint="eastAsia"/>
        </w:rPr>
        <w:t>)</w:t>
      </w:r>
      <w:r w:rsidRPr="00363F79">
        <w:rPr>
          <w:rFonts w:asciiTheme="majorBidi" w:eastAsia="黑体" w:hAnsiTheme="majorBidi" w:cstheme="majorBidi" w:hint="eastAsia"/>
        </w:rPr>
        <w:t>相关国家机构传播本结论性意见，尤其是向丹麦政府、丹麦议会、格陵兰议会和法罗群岛议会以及丹麦、格陵兰和法罗群岛的司法机构传播，以便充分落实这些建议。</w:t>
      </w:r>
    </w:p>
    <w:p w14:paraId="160B99C5"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批准其他条约</w:t>
      </w:r>
    </w:p>
    <w:p w14:paraId="5616D097" w14:textId="5302E7ED"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43.</w:t>
      </w:r>
      <w:r w:rsidRPr="00363F79">
        <w:rPr>
          <w:rFonts w:asciiTheme="majorBidi" w:eastAsia="黑体" w:hAnsiTheme="majorBidi" w:cstheme="majorBidi" w:hint="eastAsia"/>
        </w:rPr>
        <w:tab/>
      </w:r>
      <w:r w:rsidRPr="00363F79">
        <w:rPr>
          <w:rFonts w:asciiTheme="majorBidi" w:eastAsia="黑体" w:hAnsiTheme="majorBidi" w:cstheme="majorBidi" w:hint="eastAsia"/>
        </w:rPr>
        <w:t>委员会指出，缔约国如能加入九项主要国际人权文书，</w:t>
      </w:r>
      <w:r w:rsidR="00363F79" w:rsidRPr="00363F79">
        <w:rPr>
          <w:rStyle w:val="a3"/>
          <w:rFonts w:asciiTheme="majorBidi" w:eastAsia="黑体" w:hAnsiTheme="majorBidi" w:cstheme="majorBidi"/>
        </w:rPr>
        <w:footnoteReference w:id="2"/>
      </w:r>
      <w:r w:rsidR="00363F79" w:rsidRPr="00363F79">
        <w:rPr>
          <w:rFonts w:asciiTheme="majorBidi" w:eastAsia="黑体" w:hAnsiTheme="majorBidi" w:cstheme="majorBidi" w:hint="eastAsia"/>
        </w:rPr>
        <w:t xml:space="preserve"> </w:t>
      </w:r>
      <w:r w:rsidRPr="00363F79">
        <w:rPr>
          <w:rFonts w:asciiTheme="majorBidi" w:eastAsia="黑体" w:hAnsiTheme="majorBidi" w:cstheme="majorBidi" w:hint="eastAsia"/>
        </w:rPr>
        <w:t>将会促进妇女在生活各个方面享受人权和基本自由。因此，委员会鼓励缔约国批准其尚未加入的《保护所有移徙工人及其家庭成员权利国际公约》。委员会还建议缔约国将</w:t>
      </w:r>
      <w:r w:rsidRPr="00363F79">
        <w:rPr>
          <w:rFonts w:asciiTheme="majorBidi" w:eastAsia="黑体" w:hAnsiTheme="majorBidi" w:cstheme="majorBidi" w:hint="eastAsia"/>
        </w:rPr>
        <w:t>2015</w:t>
      </w:r>
      <w:r w:rsidRPr="00363F79">
        <w:rPr>
          <w:rFonts w:asciiTheme="majorBidi" w:eastAsia="黑体" w:hAnsiTheme="majorBidi" w:cstheme="majorBidi" w:hint="eastAsia"/>
        </w:rPr>
        <w:t>年</w:t>
      </w:r>
      <w:r w:rsidRPr="00363F79">
        <w:rPr>
          <w:rFonts w:asciiTheme="majorBidi" w:eastAsia="黑体" w:hAnsiTheme="majorBidi" w:cstheme="majorBidi" w:hint="eastAsia"/>
        </w:rPr>
        <w:t>10</w:t>
      </w:r>
      <w:r w:rsidRPr="00363F79">
        <w:rPr>
          <w:rFonts w:asciiTheme="majorBidi" w:eastAsia="黑体" w:hAnsiTheme="majorBidi" w:cstheme="majorBidi" w:hint="eastAsia"/>
        </w:rPr>
        <w:t>月</w:t>
      </w:r>
      <w:r w:rsidRPr="00363F79">
        <w:rPr>
          <w:rFonts w:asciiTheme="majorBidi" w:eastAsia="黑体" w:hAnsiTheme="majorBidi" w:cstheme="majorBidi" w:hint="eastAsia"/>
        </w:rPr>
        <w:t>7</w:t>
      </w:r>
      <w:r w:rsidRPr="00363F79">
        <w:rPr>
          <w:rFonts w:asciiTheme="majorBidi" w:eastAsia="黑体" w:hAnsiTheme="majorBidi" w:cstheme="majorBidi" w:hint="eastAsia"/>
        </w:rPr>
        <w:t>日加入的《儿童权利公约关于设定来文程序的任择议定书》的适用领土扩大到格陵兰和法罗群岛。</w:t>
      </w:r>
    </w:p>
    <w:p w14:paraId="444D0945" w14:textId="77777777"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后续落实结论性意见</w:t>
      </w:r>
      <w:bookmarkStart w:id="2" w:name="TmpSave"/>
      <w:bookmarkEnd w:id="2"/>
    </w:p>
    <w:p w14:paraId="5A6982CB" w14:textId="107966D9"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44.</w:t>
      </w:r>
      <w:r w:rsidRPr="00363F79">
        <w:rPr>
          <w:rFonts w:asciiTheme="majorBidi" w:eastAsia="黑体" w:hAnsiTheme="majorBidi" w:cstheme="majorBidi" w:hint="eastAsia"/>
        </w:rPr>
        <w:tab/>
      </w:r>
      <w:r w:rsidRPr="00363F79">
        <w:rPr>
          <w:rFonts w:asciiTheme="majorBidi" w:eastAsia="黑体" w:hAnsiTheme="majorBidi" w:cstheme="majorBidi" w:hint="eastAsia"/>
        </w:rPr>
        <w:t>委员会请缔约国在两年内提供书面资料，说明为落实上文第</w:t>
      </w:r>
      <w:r w:rsidRPr="00363F79">
        <w:rPr>
          <w:rFonts w:asciiTheme="majorBidi" w:eastAsia="黑体" w:hAnsiTheme="majorBidi" w:cstheme="majorBidi" w:hint="eastAsia"/>
        </w:rPr>
        <w:t>11(a)</w:t>
      </w:r>
      <w:r w:rsidRPr="00363F79">
        <w:rPr>
          <w:rFonts w:asciiTheme="majorBidi" w:eastAsia="黑体" w:hAnsiTheme="majorBidi" w:cstheme="majorBidi" w:hint="eastAsia"/>
        </w:rPr>
        <w:t>、</w:t>
      </w:r>
      <w:r w:rsidRPr="00363F79">
        <w:rPr>
          <w:rFonts w:asciiTheme="majorBidi" w:eastAsia="黑体" w:hAnsiTheme="majorBidi" w:cstheme="majorBidi" w:hint="eastAsia"/>
        </w:rPr>
        <w:t>15(b)</w:t>
      </w:r>
      <w:r w:rsidRPr="00363F79">
        <w:rPr>
          <w:rFonts w:asciiTheme="majorBidi" w:eastAsia="黑体" w:hAnsiTheme="majorBidi" w:cstheme="majorBidi" w:hint="eastAsia"/>
        </w:rPr>
        <w:t>、</w:t>
      </w:r>
      <w:r w:rsidRPr="00363F79">
        <w:rPr>
          <w:rFonts w:asciiTheme="majorBidi" w:eastAsia="黑体" w:hAnsiTheme="majorBidi" w:cstheme="majorBidi" w:hint="eastAsia"/>
        </w:rPr>
        <w:t>21(a)</w:t>
      </w:r>
      <w:r w:rsidRPr="00363F79">
        <w:rPr>
          <w:rFonts w:asciiTheme="majorBidi" w:eastAsia="黑体" w:hAnsiTheme="majorBidi" w:cstheme="majorBidi" w:hint="eastAsia"/>
        </w:rPr>
        <w:t>和</w:t>
      </w:r>
      <w:r w:rsidRPr="00363F79">
        <w:rPr>
          <w:rFonts w:asciiTheme="majorBidi" w:eastAsia="黑体" w:hAnsiTheme="majorBidi" w:cstheme="majorBidi" w:hint="eastAsia"/>
        </w:rPr>
        <w:t>35(b)</w:t>
      </w:r>
      <w:r w:rsidRPr="00363F79">
        <w:rPr>
          <w:rFonts w:asciiTheme="majorBidi" w:eastAsia="黑体" w:hAnsiTheme="majorBidi" w:cstheme="majorBidi" w:hint="eastAsia"/>
        </w:rPr>
        <w:t>段所载建议而采取的步骤。</w:t>
      </w:r>
    </w:p>
    <w:p w14:paraId="1CCB80B6" w14:textId="31885BD2" w:rsidR="00EC5EEF" w:rsidRPr="00363F79" w:rsidRDefault="00EC5EEF" w:rsidP="00E56BC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63F79">
        <w:rPr>
          <w:rFonts w:hint="eastAsia"/>
        </w:rPr>
        <w:tab/>
      </w:r>
      <w:r w:rsidRPr="00363F79">
        <w:rPr>
          <w:rFonts w:hint="eastAsia"/>
        </w:rPr>
        <w:tab/>
      </w:r>
      <w:r w:rsidRPr="00363F79">
        <w:rPr>
          <w:rFonts w:hint="eastAsia"/>
        </w:rPr>
        <w:t>编写下次报告</w:t>
      </w:r>
    </w:p>
    <w:p w14:paraId="46158D39" w14:textId="77777777"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45.</w:t>
      </w:r>
      <w:r w:rsidRPr="00363F79">
        <w:rPr>
          <w:rFonts w:asciiTheme="majorBidi" w:eastAsia="黑体" w:hAnsiTheme="majorBidi" w:cstheme="majorBidi" w:hint="eastAsia"/>
        </w:rPr>
        <w:tab/>
      </w:r>
      <w:r w:rsidRPr="00363F79">
        <w:rPr>
          <w:rFonts w:asciiTheme="majorBidi" w:eastAsia="黑体" w:hAnsiTheme="majorBidi" w:cstheme="majorBidi" w:hint="eastAsia"/>
        </w:rPr>
        <w:t>委员会请缔约国于</w:t>
      </w:r>
      <w:r w:rsidRPr="00363F79">
        <w:rPr>
          <w:rFonts w:asciiTheme="majorBidi" w:eastAsia="黑体" w:hAnsiTheme="majorBidi" w:cstheme="majorBidi" w:hint="eastAsia"/>
        </w:rPr>
        <w:t>2025</w:t>
      </w:r>
      <w:r w:rsidRPr="00363F79">
        <w:rPr>
          <w:rFonts w:asciiTheme="majorBidi" w:eastAsia="黑体" w:hAnsiTheme="majorBidi" w:cstheme="majorBidi" w:hint="eastAsia"/>
        </w:rPr>
        <w:t>年提交其第十次定期报告。报告应按时提交并涵盖截至提交之时的整个时期。</w:t>
      </w:r>
    </w:p>
    <w:p w14:paraId="43D7AC02" w14:textId="2D733DCB" w:rsidR="00EC5EEF" w:rsidRPr="00363F79" w:rsidRDefault="00EC5EEF" w:rsidP="00EC5EEF">
      <w:pPr>
        <w:pStyle w:val="SingleTxt"/>
        <w:rPr>
          <w:rFonts w:asciiTheme="majorBidi" w:eastAsia="黑体" w:hAnsiTheme="majorBidi" w:cstheme="majorBidi"/>
        </w:rPr>
      </w:pPr>
      <w:r w:rsidRPr="00363F79">
        <w:rPr>
          <w:rFonts w:asciiTheme="majorBidi" w:eastAsia="黑体" w:hAnsiTheme="majorBidi" w:cstheme="majorBidi" w:hint="eastAsia"/>
        </w:rPr>
        <w:t>46.</w:t>
      </w:r>
      <w:r w:rsidRPr="00363F79">
        <w:rPr>
          <w:rFonts w:asciiTheme="majorBidi" w:eastAsia="黑体" w:hAnsiTheme="majorBidi" w:cstheme="majorBidi" w:hint="eastAsia"/>
        </w:rPr>
        <w:tab/>
      </w:r>
      <w:r w:rsidRPr="00363F79">
        <w:rPr>
          <w:rFonts w:asciiTheme="majorBidi" w:eastAsia="黑体" w:hAnsiTheme="majorBidi" w:cstheme="majorBidi" w:hint="eastAsia"/>
        </w:rPr>
        <w:t>委员会请缔约国遵守《包括共同核心文件和条约专要文件准则在内的根据国际人权条约提交报告的协调准则》</w:t>
      </w:r>
      <w:r w:rsidRPr="00363F79">
        <w:rPr>
          <w:rFonts w:asciiTheme="majorBidi" w:eastAsia="黑体" w:hAnsiTheme="majorBidi" w:cstheme="majorBidi" w:hint="eastAsia"/>
        </w:rPr>
        <w:t>(</w:t>
      </w:r>
      <w:hyperlink r:id="rId54" w:history="1">
        <w:r w:rsidRPr="00363F79">
          <w:rPr>
            <w:rStyle w:val="af4"/>
            <w:rFonts w:asciiTheme="majorBidi" w:eastAsia="黑体" w:hAnsiTheme="majorBidi" w:cstheme="majorBidi" w:hint="eastAsia"/>
          </w:rPr>
          <w:t>HRI/GEN/2/Rev.6</w:t>
        </w:r>
      </w:hyperlink>
      <w:r w:rsidR="00363F79" w:rsidRPr="00363F79">
        <w:rPr>
          <w:rFonts w:asciiTheme="majorBidi" w:eastAsia="黑体" w:hAnsiTheme="majorBidi" w:cstheme="majorBidi" w:hint="eastAsia"/>
        </w:rPr>
        <w:t>，</w:t>
      </w:r>
      <w:r w:rsidRPr="00363F79">
        <w:rPr>
          <w:rFonts w:asciiTheme="majorBidi" w:eastAsia="黑体" w:hAnsiTheme="majorBidi" w:cstheme="majorBidi" w:hint="eastAsia"/>
        </w:rPr>
        <w:t>第一章</w:t>
      </w:r>
      <w:r w:rsidRPr="00363F79">
        <w:rPr>
          <w:rFonts w:asciiTheme="majorBidi" w:eastAsia="黑体" w:hAnsiTheme="majorBidi" w:cstheme="majorBidi" w:hint="eastAsia"/>
        </w:rPr>
        <w:t>)</w:t>
      </w:r>
      <w:r w:rsidRPr="00363F79">
        <w:rPr>
          <w:rFonts w:asciiTheme="majorBidi" w:eastAsia="黑体" w:hAnsiTheme="majorBidi" w:cstheme="majorBidi" w:hint="eastAsia"/>
        </w:rPr>
        <w:t>。</w:t>
      </w:r>
    </w:p>
    <w:p w14:paraId="59E93A5A" w14:textId="5BC9E7AB" w:rsidR="00B31E9D" w:rsidRPr="00363F79" w:rsidRDefault="00EC5EEF" w:rsidP="00E56BCF">
      <w:pPr>
        <w:pStyle w:val="SingleTxt"/>
        <w:spacing w:after="0" w:line="240" w:lineRule="auto"/>
        <w:rPr>
          <w:sz w:val="20"/>
        </w:rPr>
      </w:pPr>
      <w:r w:rsidRPr="00363F79">
        <w:tab/>
      </w:r>
      <w:r w:rsidR="00E56BCF" w:rsidRPr="00363F79">
        <w:rPr>
          <w:noProof/>
          <w:sz w:val="20"/>
        </w:rPr>
        <mc:AlternateContent>
          <mc:Choice Requires="wps">
            <w:drawing>
              <wp:anchor distT="0" distB="0" distL="114300" distR="114300" simplePos="0" relativeHeight="251660288" behindDoc="0" locked="0" layoutInCell="1" allowOverlap="1" wp14:anchorId="6BC9603D" wp14:editId="30710BC4">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D34160" id="直接连接符 5"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363F79" w:rsidSect="00EC5EEF">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3-19T10:46:00Z" w:initials="Start">
    <w:p w14:paraId="13C1ADC5" w14:textId="77777777" w:rsidR="002567DD" w:rsidRDefault="002567DD">
      <w:pPr>
        <w:pStyle w:val="a9"/>
      </w:pPr>
      <w:r>
        <w:rPr>
          <w:rStyle w:val="ad"/>
        </w:rPr>
        <w:annotationRef/>
      </w:r>
      <w:r>
        <w:t>&lt;&lt;ODS JOB NO&gt;&gt;N2106171C&lt;&lt;ODS JOB NO&gt;&gt;</w:t>
      </w:r>
    </w:p>
    <w:p w14:paraId="083426CD" w14:textId="77777777" w:rsidR="002567DD" w:rsidRDefault="002567DD">
      <w:pPr>
        <w:pStyle w:val="a9"/>
      </w:pPr>
      <w:r>
        <w:t>&lt;&lt;ODS DOC SYMBOL1&gt;&gt;CEDAW/C/DNK/CO/9&lt;&lt;ODS DOC SYMBOL1&gt;&gt;</w:t>
      </w:r>
    </w:p>
    <w:p w14:paraId="53C13DD8" w14:textId="77777777" w:rsidR="002567DD" w:rsidRDefault="002567DD">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C13DD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C13DD8" w16cid:durableId="23FEFF8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3D2903" w14:textId="77777777" w:rsidR="002567DD" w:rsidRDefault="002567DD">
      <w:r>
        <w:separator/>
      </w:r>
    </w:p>
  </w:endnote>
  <w:endnote w:type="continuationSeparator" w:id="0">
    <w:p w14:paraId="28CEEBBD" w14:textId="77777777" w:rsidR="002567DD" w:rsidRDefault="00256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567DD" w14:paraId="4910CCA2" w14:textId="77777777" w:rsidTr="00A479BE">
      <w:tc>
        <w:tcPr>
          <w:tcW w:w="4921" w:type="dxa"/>
          <w:shd w:val="clear" w:color="auto" w:fill="auto"/>
        </w:tcPr>
        <w:p w14:paraId="5257AD2C" w14:textId="290FE2D9" w:rsidR="002567DD" w:rsidRPr="00A479BE" w:rsidRDefault="002567DD" w:rsidP="00A479BE">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632B">
            <w:rPr>
              <w:b w:val="0"/>
              <w:w w:val="103"/>
              <w:sz w:val="14"/>
            </w:rPr>
            <w:t>21-03218</w:t>
          </w:r>
          <w:r>
            <w:rPr>
              <w:b w:val="0"/>
              <w:w w:val="103"/>
              <w:sz w:val="14"/>
            </w:rPr>
            <w:fldChar w:fldCharType="end"/>
          </w:r>
        </w:p>
      </w:tc>
      <w:tc>
        <w:tcPr>
          <w:tcW w:w="4921" w:type="dxa"/>
          <w:shd w:val="clear" w:color="auto" w:fill="auto"/>
        </w:tcPr>
        <w:p w14:paraId="089B4E20" w14:textId="77777777" w:rsidR="002567DD" w:rsidRPr="00A479BE" w:rsidRDefault="002567DD" w:rsidP="00A479BE">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48746BC" w14:textId="77777777" w:rsidR="002567DD" w:rsidRPr="00A479BE" w:rsidRDefault="002567DD" w:rsidP="00A479BE">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2567DD" w14:paraId="5AFBAD84" w14:textId="77777777" w:rsidTr="00A479BE">
      <w:tc>
        <w:tcPr>
          <w:tcW w:w="4921" w:type="dxa"/>
          <w:shd w:val="clear" w:color="auto" w:fill="auto"/>
        </w:tcPr>
        <w:p w14:paraId="51BC4E32" w14:textId="77777777" w:rsidR="002567DD" w:rsidRPr="00A479BE" w:rsidRDefault="002567DD" w:rsidP="00A479BE">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c>
        <w:tcPr>
          <w:tcW w:w="4921" w:type="dxa"/>
          <w:shd w:val="clear" w:color="auto" w:fill="auto"/>
        </w:tcPr>
        <w:p w14:paraId="4010AE4E" w14:textId="4A1C44D9" w:rsidR="002567DD" w:rsidRPr="00A479BE" w:rsidRDefault="002567DD" w:rsidP="00A479BE">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632B">
            <w:rPr>
              <w:b w:val="0"/>
              <w:w w:val="103"/>
              <w:sz w:val="14"/>
            </w:rPr>
            <w:t>21-03218</w:t>
          </w:r>
          <w:r>
            <w:rPr>
              <w:b w:val="0"/>
              <w:w w:val="103"/>
              <w:sz w:val="14"/>
            </w:rPr>
            <w:fldChar w:fldCharType="end"/>
          </w:r>
        </w:p>
      </w:tc>
    </w:tr>
  </w:tbl>
  <w:p w14:paraId="043C903A" w14:textId="77777777" w:rsidR="002567DD" w:rsidRPr="00A479BE" w:rsidRDefault="002567DD" w:rsidP="00A479BE">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1"/>
    </w:tblGrid>
    <w:tr w:rsidR="002567DD" w14:paraId="098CBBD9" w14:textId="77777777" w:rsidTr="00A479BE">
      <w:tc>
        <w:tcPr>
          <w:tcW w:w="3744" w:type="dxa"/>
          <w:shd w:val="clear" w:color="auto" w:fill="auto"/>
        </w:tcPr>
        <w:p w14:paraId="7C24ACEC" w14:textId="01FDD685" w:rsidR="002567DD" w:rsidRDefault="002567DD" w:rsidP="00A479BE">
          <w:pPr>
            <w:pStyle w:val="Release"/>
          </w:pPr>
          <w:r>
            <w:rPr>
              <w:noProof/>
            </w:rPr>
            <w:drawing>
              <wp:anchor distT="0" distB="0" distL="114300" distR="114300" simplePos="0" relativeHeight="251658240" behindDoc="0" locked="0" layoutInCell="1" allowOverlap="1" wp14:anchorId="7D363DA6" wp14:editId="24E80DEE">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40632B">
              <w:t>21-03218 (C)</w:t>
            </w:r>
          </w:fldSimple>
          <w:r>
            <w:t xml:space="preserve">    190321    050421</w:t>
          </w:r>
        </w:p>
        <w:p w14:paraId="260ACC60" w14:textId="77777777" w:rsidR="002567DD" w:rsidRPr="00A479BE" w:rsidRDefault="002567DD" w:rsidP="00A479BE">
          <w:pPr>
            <w:spacing w:before="80" w:line="210" w:lineRule="exact"/>
            <w:rPr>
              <w:rFonts w:ascii="Barcode 3 of 9 by request" w:hAnsi="Barcode 3 of 9 by request"/>
              <w:sz w:val="24"/>
            </w:rPr>
          </w:pPr>
          <w:r>
            <w:rPr>
              <w:rFonts w:ascii="Barcode 3 of 9 by request" w:hAnsi="Barcode 3 of 9 by request"/>
              <w:b/>
              <w:sz w:val="24"/>
            </w:rPr>
            <w:t>*2103218*</w:t>
          </w:r>
        </w:p>
      </w:tc>
      <w:tc>
        <w:tcPr>
          <w:tcW w:w="4921" w:type="dxa"/>
          <w:shd w:val="clear" w:color="auto" w:fill="auto"/>
        </w:tcPr>
        <w:p w14:paraId="074F556C" w14:textId="77777777" w:rsidR="002567DD" w:rsidRDefault="002567DD" w:rsidP="00A479BE">
          <w:pPr>
            <w:pStyle w:val="af2"/>
            <w:jc w:val="right"/>
            <w:rPr>
              <w:b w:val="0"/>
              <w:sz w:val="21"/>
            </w:rPr>
          </w:pPr>
          <w:r>
            <w:rPr>
              <w:b w:val="0"/>
              <w:sz w:val="21"/>
            </w:rPr>
            <w:drawing>
              <wp:inline distT="0" distB="0" distL="0" distR="0" wp14:anchorId="756B2A6A" wp14:editId="2B47253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770F1C5D" w14:textId="77777777" w:rsidR="002567DD" w:rsidRPr="00A479BE" w:rsidRDefault="002567DD" w:rsidP="00A479BE">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EDF5FC" w14:textId="3C120AA8" w:rsidR="002567DD" w:rsidRPr="00363F79" w:rsidRDefault="002567DD" w:rsidP="00363F79">
      <w:pPr>
        <w:pStyle w:val="af2"/>
        <w:spacing w:after="80"/>
        <w:ind w:left="792"/>
        <w:rPr>
          <w:sz w:val="16"/>
        </w:rPr>
      </w:pPr>
      <w:r w:rsidRPr="00363F79">
        <w:rPr>
          <w:sz w:val="16"/>
        </w:rPr>
        <w:t>__________________</w:t>
      </w:r>
    </w:p>
  </w:footnote>
  <w:footnote w:type="continuationSeparator" w:id="0">
    <w:p w14:paraId="17F12246" w14:textId="0FF53319" w:rsidR="002567DD" w:rsidRPr="00363F79" w:rsidRDefault="002567DD" w:rsidP="00363F79">
      <w:pPr>
        <w:pStyle w:val="af2"/>
        <w:spacing w:after="80"/>
        <w:ind w:left="792"/>
        <w:rPr>
          <w:sz w:val="16"/>
        </w:rPr>
      </w:pPr>
      <w:r w:rsidRPr="00363F79">
        <w:rPr>
          <w:sz w:val="16"/>
        </w:rPr>
        <w:t>__________________</w:t>
      </w:r>
    </w:p>
  </w:footnote>
  <w:footnote w:id="1">
    <w:p w14:paraId="0EE1E14D" w14:textId="39165C4E" w:rsidR="002567DD" w:rsidRPr="00363F79" w:rsidRDefault="002567DD" w:rsidP="00363F7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363F79">
        <w:rPr>
          <w:rFonts w:hint="eastAsia"/>
        </w:rPr>
        <w:t>见</w:t>
      </w:r>
      <w:hyperlink r:id="rId1" w:history="1">
        <w:r w:rsidRPr="001E7A76">
          <w:rPr>
            <w:rStyle w:val="af4"/>
            <w:rFonts w:hint="eastAsia"/>
          </w:rPr>
          <w:t>www.ohchr.org/Documents/Publications/HR_PUB_16_1_NMRF_PracticalGuide.pdf</w:t>
        </w:r>
      </w:hyperlink>
      <w:r w:rsidRPr="00363F79">
        <w:rPr>
          <w:rFonts w:hint="eastAsia"/>
        </w:rPr>
        <w:t>。</w:t>
      </w:r>
    </w:p>
  </w:footnote>
  <w:footnote w:id="2">
    <w:p w14:paraId="6CE1C058" w14:textId="53D05736" w:rsidR="002567DD" w:rsidRPr="00363F79" w:rsidRDefault="002567DD" w:rsidP="00363F79">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Pr>
          <w:rStyle w:val="a3"/>
        </w:rPr>
        <w:footnoteRef/>
      </w:r>
      <w:r>
        <w:tab/>
      </w:r>
      <w:r w:rsidRPr="00363F79">
        <w:rPr>
          <w:rFonts w:hint="eastAsia"/>
        </w:rPr>
        <w:t>《经济、社会及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567DD" w14:paraId="1ECBADBB" w14:textId="77777777" w:rsidTr="00A479BE">
      <w:trPr>
        <w:trHeight w:hRule="exact" w:val="864"/>
      </w:trPr>
      <w:tc>
        <w:tcPr>
          <w:tcW w:w="4925" w:type="dxa"/>
          <w:shd w:val="clear" w:color="auto" w:fill="auto"/>
          <w:vAlign w:val="bottom"/>
        </w:tcPr>
        <w:p w14:paraId="349EACB2" w14:textId="753F5660" w:rsidR="002567DD" w:rsidRPr="00A479BE" w:rsidRDefault="002567DD" w:rsidP="00A479BE">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40632B">
            <w:rPr>
              <w:b/>
              <w:sz w:val="17"/>
            </w:rPr>
            <w:t>CEDAW/C/DNK/CO/9</w:t>
          </w:r>
          <w:r>
            <w:rPr>
              <w:b/>
              <w:sz w:val="17"/>
            </w:rPr>
            <w:fldChar w:fldCharType="end"/>
          </w:r>
        </w:p>
      </w:tc>
      <w:tc>
        <w:tcPr>
          <w:tcW w:w="4921" w:type="dxa"/>
          <w:shd w:val="clear" w:color="auto" w:fill="auto"/>
          <w:vAlign w:val="bottom"/>
        </w:tcPr>
        <w:p w14:paraId="4653FADC" w14:textId="77777777" w:rsidR="002567DD" w:rsidRDefault="002567DD" w:rsidP="00A479BE">
          <w:pPr>
            <w:pStyle w:val="af0"/>
          </w:pPr>
        </w:p>
      </w:tc>
    </w:tr>
  </w:tbl>
  <w:p w14:paraId="06D49051" w14:textId="77777777" w:rsidR="002567DD" w:rsidRPr="00A479BE" w:rsidRDefault="002567DD" w:rsidP="00A479BE">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2567DD" w14:paraId="5AD08716" w14:textId="77777777" w:rsidTr="00A479BE">
      <w:trPr>
        <w:trHeight w:hRule="exact" w:val="864"/>
      </w:trPr>
      <w:tc>
        <w:tcPr>
          <w:tcW w:w="4925" w:type="dxa"/>
          <w:shd w:val="clear" w:color="auto" w:fill="auto"/>
          <w:vAlign w:val="bottom"/>
        </w:tcPr>
        <w:p w14:paraId="5C767160" w14:textId="77777777" w:rsidR="002567DD" w:rsidRDefault="002567DD" w:rsidP="00A479BE">
          <w:pPr>
            <w:pStyle w:val="af0"/>
          </w:pPr>
        </w:p>
      </w:tc>
      <w:tc>
        <w:tcPr>
          <w:tcW w:w="4921" w:type="dxa"/>
          <w:shd w:val="clear" w:color="auto" w:fill="auto"/>
          <w:vAlign w:val="bottom"/>
        </w:tcPr>
        <w:p w14:paraId="46E859F9" w14:textId="7BEDFC0D" w:rsidR="002567DD" w:rsidRPr="00A479BE" w:rsidRDefault="002567DD" w:rsidP="00A479BE">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40632B">
            <w:rPr>
              <w:b/>
              <w:sz w:val="17"/>
            </w:rPr>
            <w:t>CEDAW/C/DNK/CO/9</w:t>
          </w:r>
          <w:r>
            <w:rPr>
              <w:b/>
              <w:sz w:val="17"/>
            </w:rPr>
            <w:fldChar w:fldCharType="end"/>
          </w:r>
        </w:p>
      </w:tc>
    </w:tr>
  </w:tbl>
  <w:p w14:paraId="0CDB4AD6" w14:textId="77777777" w:rsidR="002567DD" w:rsidRPr="00A479BE" w:rsidRDefault="002567DD" w:rsidP="00A479BE">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2567DD" w14:paraId="4A25A23F" w14:textId="77777777" w:rsidTr="00A479BE">
      <w:trPr>
        <w:trHeight w:hRule="exact" w:val="864"/>
      </w:trPr>
      <w:tc>
        <w:tcPr>
          <w:tcW w:w="1267" w:type="dxa"/>
          <w:tcBorders>
            <w:bottom w:val="single" w:sz="4" w:space="0" w:color="auto"/>
          </w:tcBorders>
          <w:shd w:val="clear" w:color="auto" w:fill="auto"/>
          <w:vAlign w:val="bottom"/>
        </w:tcPr>
        <w:p w14:paraId="171821FE" w14:textId="77777777" w:rsidR="002567DD" w:rsidRDefault="002567DD" w:rsidP="00A479BE">
          <w:pPr>
            <w:pStyle w:val="af0"/>
            <w:spacing w:after="120"/>
          </w:pPr>
        </w:p>
      </w:tc>
      <w:tc>
        <w:tcPr>
          <w:tcW w:w="1872" w:type="dxa"/>
          <w:tcBorders>
            <w:bottom w:val="single" w:sz="4" w:space="0" w:color="auto"/>
          </w:tcBorders>
          <w:shd w:val="clear" w:color="auto" w:fill="auto"/>
          <w:vAlign w:val="bottom"/>
        </w:tcPr>
        <w:p w14:paraId="13DCD38F" w14:textId="77777777" w:rsidR="002567DD" w:rsidRPr="00A479BE" w:rsidRDefault="002567DD" w:rsidP="00A479BE">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9ACD6F7" w14:textId="77777777" w:rsidR="002567DD" w:rsidRDefault="002567DD" w:rsidP="00A479BE">
          <w:pPr>
            <w:pStyle w:val="af0"/>
            <w:spacing w:after="120"/>
          </w:pPr>
        </w:p>
      </w:tc>
      <w:tc>
        <w:tcPr>
          <w:tcW w:w="6437" w:type="dxa"/>
          <w:gridSpan w:val="3"/>
          <w:tcBorders>
            <w:bottom w:val="single" w:sz="4" w:space="0" w:color="auto"/>
          </w:tcBorders>
          <w:shd w:val="clear" w:color="auto" w:fill="auto"/>
          <w:vAlign w:val="bottom"/>
        </w:tcPr>
        <w:p w14:paraId="16BF762F" w14:textId="77777777" w:rsidR="002567DD" w:rsidRPr="00A479BE" w:rsidRDefault="002567DD" w:rsidP="00A479BE">
          <w:pPr>
            <w:spacing w:after="80" w:line="240" w:lineRule="auto"/>
            <w:jc w:val="right"/>
            <w:rPr>
              <w:position w:val="-4"/>
            </w:rPr>
          </w:pPr>
          <w:r>
            <w:rPr>
              <w:position w:val="-4"/>
              <w:sz w:val="40"/>
            </w:rPr>
            <w:t>CEDAW</w:t>
          </w:r>
          <w:r>
            <w:rPr>
              <w:position w:val="-4"/>
            </w:rPr>
            <w:t>/C/DNK/CO/9</w:t>
          </w:r>
        </w:p>
      </w:tc>
    </w:tr>
    <w:tr w:rsidR="002567DD" w:rsidRPr="00A479BE" w14:paraId="657F31A7" w14:textId="77777777" w:rsidTr="00A479BE">
      <w:trPr>
        <w:trHeight w:hRule="exact" w:val="2880"/>
      </w:trPr>
      <w:tc>
        <w:tcPr>
          <w:tcW w:w="1267" w:type="dxa"/>
          <w:tcBorders>
            <w:top w:val="single" w:sz="4" w:space="0" w:color="auto"/>
            <w:bottom w:val="single" w:sz="12" w:space="0" w:color="auto"/>
          </w:tcBorders>
          <w:shd w:val="clear" w:color="auto" w:fill="auto"/>
        </w:tcPr>
        <w:p w14:paraId="20CE1511" w14:textId="77777777" w:rsidR="002567DD" w:rsidRPr="00A479BE" w:rsidRDefault="002567DD" w:rsidP="00A479BE">
          <w:pPr>
            <w:pStyle w:val="af0"/>
            <w:spacing w:before="109"/>
            <w:ind w:left="-72"/>
          </w:pPr>
          <w:r>
            <w:t xml:space="preserve"> </w:t>
          </w:r>
          <w:r>
            <w:drawing>
              <wp:inline distT="0" distB="0" distL="0" distR="0" wp14:anchorId="6E3E6107" wp14:editId="6A1D32E4">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0B0046" w14:textId="77777777" w:rsidR="002567DD" w:rsidRPr="00A479BE" w:rsidRDefault="002567DD" w:rsidP="00A479BE">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4A1641C4" w14:textId="77777777" w:rsidR="002567DD" w:rsidRPr="00A479BE" w:rsidRDefault="002567DD" w:rsidP="00A479BE">
          <w:pPr>
            <w:pStyle w:val="af0"/>
            <w:spacing w:before="109"/>
          </w:pPr>
        </w:p>
      </w:tc>
      <w:tc>
        <w:tcPr>
          <w:tcW w:w="3080" w:type="dxa"/>
          <w:tcBorders>
            <w:top w:val="single" w:sz="4" w:space="0" w:color="auto"/>
            <w:bottom w:val="single" w:sz="12" w:space="0" w:color="auto"/>
          </w:tcBorders>
          <w:shd w:val="clear" w:color="auto" w:fill="auto"/>
        </w:tcPr>
        <w:p w14:paraId="52E5C8DB" w14:textId="77777777" w:rsidR="002567DD" w:rsidRDefault="002567DD" w:rsidP="00A479BE">
          <w:pPr>
            <w:pStyle w:val="Distr"/>
          </w:pPr>
          <w:r>
            <w:t>Distr.: General</w:t>
          </w:r>
        </w:p>
        <w:p w14:paraId="54574C6E" w14:textId="77777777" w:rsidR="002567DD" w:rsidRDefault="002567DD" w:rsidP="00A479BE">
          <w:pPr>
            <w:pStyle w:val="Publication"/>
          </w:pPr>
          <w:r>
            <w:t>9 March 2021</w:t>
          </w:r>
        </w:p>
        <w:p w14:paraId="341BEDC1" w14:textId="77777777" w:rsidR="002567DD" w:rsidRDefault="002567DD" w:rsidP="00A479BE">
          <w:pPr>
            <w:spacing w:line="240" w:lineRule="exact"/>
          </w:pPr>
          <w:r>
            <w:t>Chinese</w:t>
          </w:r>
        </w:p>
        <w:p w14:paraId="2E7CDE21" w14:textId="77777777" w:rsidR="002567DD" w:rsidRDefault="002567DD" w:rsidP="00A479BE">
          <w:pPr>
            <w:pStyle w:val="Original"/>
          </w:pPr>
          <w:r>
            <w:t>Original: English</w:t>
          </w:r>
        </w:p>
        <w:p w14:paraId="076269BD" w14:textId="77777777" w:rsidR="002567DD" w:rsidRPr="00A479BE" w:rsidRDefault="002567DD" w:rsidP="00A479BE"/>
      </w:tc>
    </w:tr>
  </w:tbl>
  <w:p w14:paraId="5BA0C422" w14:textId="77777777" w:rsidR="002567DD" w:rsidRPr="00A479BE" w:rsidRDefault="002567DD" w:rsidP="00A479BE">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8193"/>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18*"/>
    <w:docVar w:name="CreationDt" w:val="19/03/2021 10:46:36"/>
    <w:docVar w:name="DocCategory" w:val="Doc"/>
    <w:docVar w:name="DocType" w:val="Final"/>
    <w:docVar w:name="DutyStation" w:val="New York"/>
    <w:docVar w:name="FooterJN" w:val="21-03218"/>
    <w:docVar w:name="jobn" w:val="21-03218 (C)"/>
    <w:docVar w:name="jobnDT" w:val="21-03218 (C)   190321"/>
    <w:docVar w:name="jobnDTDT" w:val="21-03218 (C)   190321   190321"/>
    <w:docVar w:name="JobNo" w:val="2103218C"/>
    <w:docVar w:name="LocalDrive" w:val="-1"/>
    <w:docVar w:name="OandT" w:val="GB"/>
    <w:docVar w:name="sss1" w:val="CEDAW/C/DNK/CO/9"/>
    <w:docVar w:name="sss2" w:val="-"/>
    <w:docVar w:name="Symbol1" w:val="CEDAW/C/DNK/CO/9"/>
    <w:docVar w:name="Symbol2" w:val="-"/>
  </w:docVars>
  <w:rsids>
    <w:rsidRoot w:val="00594AA1"/>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38E1"/>
    <w:rsid w:val="0003442D"/>
    <w:rsid w:val="00034465"/>
    <w:rsid w:val="000344BB"/>
    <w:rsid w:val="000366AA"/>
    <w:rsid w:val="0003678F"/>
    <w:rsid w:val="00036AA2"/>
    <w:rsid w:val="00036F1B"/>
    <w:rsid w:val="00037444"/>
    <w:rsid w:val="00037B39"/>
    <w:rsid w:val="0004231D"/>
    <w:rsid w:val="00044CA4"/>
    <w:rsid w:val="00044EE9"/>
    <w:rsid w:val="000458BE"/>
    <w:rsid w:val="00045EFE"/>
    <w:rsid w:val="00050CCF"/>
    <w:rsid w:val="0005220C"/>
    <w:rsid w:val="00054631"/>
    <w:rsid w:val="00056952"/>
    <w:rsid w:val="000571F8"/>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128A"/>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002A"/>
    <w:rsid w:val="001804FA"/>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67DD"/>
    <w:rsid w:val="00257053"/>
    <w:rsid w:val="00260C62"/>
    <w:rsid w:val="00263B7B"/>
    <w:rsid w:val="00266257"/>
    <w:rsid w:val="002700B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6FF8"/>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C5600"/>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3F79"/>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7AB8"/>
    <w:rsid w:val="003C4125"/>
    <w:rsid w:val="003C448D"/>
    <w:rsid w:val="003C529E"/>
    <w:rsid w:val="003C7B20"/>
    <w:rsid w:val="003D075F"/>
    <w:rsid w:val="003D5B4D"/>
    <w:rsid w:val="003E4565"/>
    <w:rsid w:val="003E5999"/>
    <w:rsid w:val="003E748F"/>
    <w:rsid w:val="003E7612"/>
    <w:rsid w:val="003F3725"/>
    <w:rsid w:val="003F4BD2"/>
    <w:rsid w:val="003F7BF8"/>
    <w:rsid w:val="0040149C"/>
    <w:rsid w:val="004044EF"/>
    <w:rsid w:val="00405CAD"/>
    <w:rsid w:val="0040632B"/>
    <w:rsid w:val="00413FBC"/>
    <w:rsid w:val="00414423"/>
    <w:rsid w:val="0041733F"/>
    <w:rsid w:val="00420761"/>
    <w:rsid w:val="00426D8B"/>
    <w:rsid w:val="004310A7"/>
    <w:rsid w:val="00431680"/>
    <w:rsid w:val="004320FA"/>
    <w:rsid w:val="0043377F"/>
    <w:rsid w:val="00433853"/>
    <w:rsid w:val="00440B0D"/>
    <w:rsid w:val="004411AD"/>
    <w:rsid w:val="004424EF"/>
    <w:rsid w:val="00443516"/>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10BD"/>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94AA1"/>
    <w:rsid w:val="005A175A"/>
    <w:rsid w:val="005A4F27"/>
    <w:rsid w:val="005A7200"/>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24560"/>
    <w:rsid w:val="007319E0"/>
    <w:rsid w:val="00731FBF"/>
    <w:rsid w:val="007328A2"/>
    <w:rsid w:val="00732A10"/>
    <w:rsid w:val="007345AA"/>
    <w:rsid w:val="00735C21"/>
    <w:rsid w:val="00737B00"/>
    <w:rsid w:val="00741472"/>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3B6C"/>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4D7C"/>
    <w:rsid w:val="00975731"/>
    <w:rsid w:val="009769E1"/>
    <w:rsid w:val="00977E0D"/>
    <w:rsid w:val="0098143C"/>
    <w:rsid w:val="00982D5C"/>
    <w:rsid w:val="00986132"/>
    <w:rsid w:val="00986C04"/>
    <w:rsid w:val="009932F9"/>
    <w:rsid w:val="009A02E7"/>
    <w:rsid w:val="009A11E3"/>
    <w:rsid w:val="009A2F76"/>
    <w:rsid w:val="009A6D4F"/>
    <w:rsid w:val="009A7BA6"/>
    <w:rsid w:val="009B0F1B"/>
    <w:rsid w:val="009B1250"/>
    <w:rsid w:val="009B378F"/>
    <w:rsid w:val="009B6787"/>
    <w:rsid w:val="009C32BB"/>
    <w:rsid w:val="009C600E"/>
    <w:rsid w:val="009C7B18"/>
    <w:rsid w:val="009D00AA"/>
    <w:rsid w:val="009D0B10"/>
    <w:rsid w:val="009D2AC2"/>
    <w:rsid w:val="009D41ED"/>
    <w:rsid w:val="009E1774"/>
    <w:rsid w:val="009E2668"/>
    <w:rsid w:val="009E40A3"/>
    <w:rsid w:val="009E5C8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4A96"/>
    <w:rsid w:val="00A4532A"/>
    <w:rsid w:val="00A46BEE"/>
    <w:rsid w:val="00A46E28"/>
    <w:rsid w:val="00A479BE"/>
    <w:rsid w:val="00A5206D"/>
    <w:rsid w:val="00A55E9E"/>
    <w:rsid w:val="00A6003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4F7B"/>
    <w:rsid w:val="00AA65E5"/>
    <w:rsid w:val="00AA759D"/>
    <w:rsid w:val="00AA7F64"/>
    <w:rsid w:val="00AB1592"/>
    <w:rsid w:val="00AB2786"/>
    <w:rsid w:val="00AB5BEE"/>
    <w:rsid w:val="00AB6C15"/>
    <w:rsid w:val="00AC2EAA"/>
    <w:rsid w:val="00AC373F"/>
    <w:rsid w:val="00AC550F"/>
    <w:rsid w:val="00AD4308"/>
    <w:rsid w:val="00AD524E"/>
    <w:rsid w:val="00AD6611"/>
    <w:rsid w:val="00AD751C"/>
    <w:rsid w:val="00AE6719"/>
    <w:rsid w:val="00AE6C5D"/>
    <w:rsid w:val="00AE733F"/>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DF2"/>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078"/>
    <w:rsid w:val="00D51DC5"/>
    <w:rsid w:val="00D52C45"/>
    <w:rsid w:val="00D53449"/>
    <w:rsid w:val="00D542B8"/>
    <w:rsid w:val="00D5525A"/>
    <w:rsid w:val="00D5717D"/>
    <w:rsid w:val="00D613E0"/>
    <w:rsid w:val="00D66509"/>
    <w:rsid w:val="00D676D7"/>
    <w:rsid w:val="00D6794E"/>
    <w:rsid w:val="00D67AE6"/>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AE8"/>
    <w:rsid w:val="00E25D27"/>
    <w:rsid w:val="00E3288B"/>
    <w:rsid w:val="00E34E6A"/>
    <w:rsid w:val="00E35B72"/>
    <w:rsid w:val="00E37B54"/>
    <w:rsid w:val="00E37EEB"/>
    <w:rsid w:val="00E440B3"/>
    <w:rsid w:val="00E5153D"/>
    <w:rsid w:val="00E56134"/>
    <w:rsid w:val="00E56B5D"/>
    <w:rsid w:val="00E56BCF"/>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5EEF"/>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4F30"/>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76"/>
    <w:rsid w:val="00F66E5C"/>
    <w:rsid w:val="00F67F90"/>
    <w:rsid w:val="00F708D7"/>
    <w:rsid w:val="00F7756E"/>
    <w:rsid w:val="00F77B3E"/>
    <w:rsid w:val="00F833CB"/>
    <w:rsid w:val="00F84C70"/>
    <w:rsid w:val="00F87754"/>
    <w:rsid w:val="00F90A4B"/>
    <w:rsid w:val="00F90C56"/>
    <w:rsid w:val="00F94B3C"/>
    <w:rsid w:val="00F96F4A"/>
    <w:rsid w:val="00F971BD"/>
    <w:rsid w:val="00FA7A95"/>
    <w:rsid w:val="00FB089D"/>
    <w:rsid w:val="00FB282B"/>
    <w:rsid w:val="00FB2C57"/>
    <w:rsid w:val="00FB4F96"/>
    <w:rsid w:val="00FC0721"/>
    <w:rsid w:val="00FC1CE4"/>
    <w:rsid w:val="00FC2C55"/>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36C4B08"/>
  <w15:chartTrackingRefBased/>
  <w15:docId w15:val="{E0CB5E29-6311-4ABA-A07C-C0239A1D7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363F79"/>
    <w:rPr>
      <w:color w:val="605E5C"/>
      <w:shd w:val="clear" w:color="auto" w:fill="E1DFDD"/>
    </w:rPr>
  </w:style>
  <w:style w:type="paragraph" w:styleId="af8">
    <w:name w:val="Revision"/>
    <w:hidden/>
    <w:uiPriority w:val="99"/>
    <w:semiHidden/>
    <w:rsid w:val="001804FA"/>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798" TargetMode="External"/><Relationship Id="rId26" Type="http://schemas.openxmlformats.org/officeDocument/2006/relationships/hyperlink" Target="https://undocs.org/ch/S/RES/1888(2009)" TargetMode="External"/><Relationship Id="rId39" Type="http://schemas.openxmlformats.org/officeDocument/2006/relationships/hyperlink" Target="https://undocs.org/ch/S/RES/977(2017)" TargetMode="External"/><Relationship Id="rId21" Type="http://schemas.openxmlformats.org/officeDocument/2006/relationships/hyperlink" Target="https://undocs.org/ch/CEDAW/C/DNK/Q/9" TargetMode="External"/><Relationship Id="rId34" Type="http://schemas.openxmlformats.org/officeDocument/2006/relationships/hyperlink" Target="https://undocs.org/ch/S/RES/2208(2020)" TargetMode="External"/><Relationship Id="rId42" Type="http://schemas.openxmlformats.org/officeDocument/2006/relationships/hyperlink" Target="https://undocs.org/ch/A/65/38" TargetMode="External"/><Relationship Id="rId47" Type="http://schemas.openxmlformats.org/officeDocument/2006/relationships/hyperlink" Target="https://undocs.org/ch/CEDAW/C/DNK/CO/8" TargetMode="External"/><Relationship Id="rId50" Type="http://schemas.openxmlformats.org/officeDocument/2006/relationships/hyperlink" Target="https://undocs.org/ch/CEDAW/C/DNK/CO/8"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97" TargetMode="External"/><Relationship Id="rId25" Type="http://schemas.openxmlformats.org/officeDocument/2006/relationships/hyperlink" Target="https://undocs.org/ch/S/RES/1820(2008)" TargetMode="External"/><Relationship Id="rId33" Type="http://schemas.openxmlformats.org/officeDocument/2006/relationships/hyperlink" Target="https://undocs.org/ch/S/RES/2493(2019)" TargetMode="External"/><Relationship Id="rId38" Type="http://schemas.openxmlformats.org/officeDocument/2006/relationships/hyperlink" Target="https://undocs.org/ch/S/RES/688(2018)" TargetMode="External"/><Relationship Id="rId46" Type="http://schemas.openxmlformats.org/officeDocument/2006/relationships/hyperlink" Target="https://undocs.org/ch/CEDAW/C/DNK/CO/8"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DNK/9" TargetMode="External"/><Relationship Id="rId29" Type="http://schemas.openxmlformats.org/officeDocument/2006/relationships/hyperlink" Target="https://undocs.org/ch/S/RES/2106(2013)" TargetMode="External"/><Relationship Id="rId41" Type="http://schemas.openxmlformats.org/officeDocument/2006/relationships/hyperlink" Target="https://undocs.org/ch/CEDAW/C/DNK/CO/8" TargetMode="External"/><Relationship Id="rId54"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S/RES/1325(2000)" TargetMode="External"/><Relationship Id="rId32" Type="http://schemas.openxmlformats.org/officeDocument/2006/relationships/hyperlink" Target="https://undocs.org/ch/S/RES/2467(2019)" TargetMode="External"/><Relationship Id="rId37" Type="http://schemas.openxmlformats.org/officeDocument/2006/relationships/hyperlink" Target="https://undocs.org/ch/S/RES/718(2018)" TargetMode="External"/><Relationship Id="rId40" Type="http://schemas.openxmlformats.org/officeDocument/2006/relationships/hyperlink" Target="https://undocs.org/ch/S/RES/1724(2016)" TargetMode="External"/><Relationship Id="rId45" Type="http://schemas.openxmlformats.org/officeDocument/2006/relationships/hyperlink" Target="https://undocs.org/ch/CEDAW/C/DNK/CO/8" TargetMode="External"/><Relationship Id="rId53" Type="http://schemas.openxmlformats.org/officeDocument/2006/relationships/hyperlink" Target="https://undocs.org/ch/CEDAW/C/DNK/CO/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DNK/CO/8/Add.1" TargetMode="External"/><Relationship Id="rId28" Type="http://schemas.openxmlformats.org/officeDocument/2006/relationships/hyperlink" Target="https://undocs.org/ch/S/RES/1960(2010)" TargetMode="External"/><Relationship Id="rId36" Type="http://schemas.openxmlformats.org/officeDocument/2006/relationships/hyperlink" Target="https://undocs.org/ch/S/RES/358(2018)" TargetMode="External"/><Relationship Id="rId49" Type="http://schemas.openxmlformats.org/officeDocument/2006/relationships/hyperlink" Target="https://undocs.org/ch/CEDAW/C/DNK/CO/8" TargetMode="External"/><Relationship Id="rId10" Type="http://schemas.openxmlformats.org/officeDocument/2006/relationships/footer" Target="footer1.xml"/><Relationship Id="rId19" Type="http://schemas.openxmlformats.org/officeDocument/2006/relationships/hyperlink" Target="https://undocs.org/ch/CEDAW/C/SR.1799" TargetMode="External"/><Relationship Id="rId31" Type="http://schemas.openxmlformats.org/officeDocument/2006/relationships/hyperlink" Target="https://undocs.org/ch/S/RES/2242(2015)" TargetMode="External"/><Relationship Id="rId44" Type="http://schemas.openxmlformats.org/officeDocument/2006/relationships/hyperlink" Target="https://undocs.org/ch/CEDAW/C/DNK/CO/8" TargetMode="External"/><Relationship Id="rId52" Type="http://schemas.openxmlformats.org/officeDocument/2006/relationships/hyperlink" Target="https://undocs.org/ch/CEDAW/C/DNK/CO/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DNK/RQ/9" TargetMode="External"/><Relationship Id="rId27" Type="http://schemas.openxmlformats.org/officeDocument/2006/relationships/hyperlink" Target="https://undocs.org/ch/S/RES/1889(2009)" TargetMode="External"/><Relationship Id="rId30" Type="http://schemas.openxmlformats.org/officeDocument/2006/relationships/hyperlink" Target="https://undocs.org/ch/S/RES/2122(2013)" TargetMode="External"/><Relationship Id="rId35" Type="http://schemas.openxmlformats.org/officeDocument/2006/relationships/hyperlink" Target="https://undocs.org/ch/CEDAW/C/DNK/CO/8" TargetMode="External"/><Relationship Id="rId43" Type="http://schemas.openxmlformats.org/officeDocument/2006/relationships/hyperlink" Target="https://undocs.org/ch/CEDAW/C/DNK/CO/8" TargetMode="External"/><Relationship Id="rId48" Type="http://schemas.openxmlformats.org/officeDocument/2006/relationships/hyperlink" Target="https://undocs.org/ch/CEDAW/C/DNK/CO/8" TargetMode="Externa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undocs.org/ch/CEDAW/C/DNK/CO/8"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R_PUB_16_1_NMRF_PracticalGuide.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BBFF80-E329-4BFA-8896-7502767E0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2399</Words>
  <Characters>13680</Characters>
  <Application>Microsoft Office Word</Application>
  <DocSecurity>0</DocSecurity>
  <Lines>114</Lines>
  <Paragraphs>32</Paragraphs>
  <ScaleCrop>false</ScaleCrop>
  <Company/>
  <LinksUpToDate>false</LinksUpToDate>
  <CharactersWithSpaces>16047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 Guo</dc:creator>
  <cp:keywords/>
  <dc:description/>
  <cp:lastModifiedBy>Chinese Text Processing</cp:lastModifiedBy>
  <cp:revision>3</cp:revision>
  <cp:lastPrinted>2021-04-05T14:59:00Z</cp:lastPrinted>
  <dcterms:created xsi:type="dcterms:W3CDTF">2021-04-05T14:59:00Z</dcterms:created>
  <dcterms:modified xsi:type="dcterms:W3CDTF">2021-04-05T14:59:00Z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2103218</vt:lpwstr>
  </property>
  <property fmtid="{D5CDD505-2E9C-101B-9397-08002B2CF9AE}" pid="3" name="ODSRefJobNo">
    <vt:lpwstr>2106171C</vt:lpwstr>
  </property>
  <property fmtid="{D5CDD505-2E9C-101B-9397-08002B2CF9AE}" pid="4" name="Symbol1">
    <vt:lpwstr>CEDAW/C/DNK/CO/9</vt:lpwstr>
  </property>
  <property fmtid="{D5CDD505-2E9C-101B-9397-08002B2CF9AE}" pid="5" name="Symbol2">
    <vt:lpwstr/>
  </property>
  <property fmtid="{D5CDD505-2E9C-101B-9397-08002B2CF9AE}" pid="6" name="Translator">
    <vt:lpwstr/>
  </property>
  <property fmtid="{D5CDD505-2E9C-101B-9397-08002B2CF9AE}" pid="7" name="Operator">
    <vt:lpwstr>GB</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9 March 2021</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关于丹麦第九次定期报告的结论性意见*_x000d_</vt:lpwstr>
  </property>
</Properties>
</file>