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492196">
        <w:trPr>
          <w:trHeight w:hRule="exact" w:val="851"/>
        </w:trPr>
        <w:tc>
          <w:tcPr>
            <w:tcW w:w="1280" w:type="dxa"/>
            <w:tcBorders>
              <w:bottom w:val="single" w:sz="4" w:space="0" w:color="auto"/>
            </w:tcBorders>
          </w:tcPr>
          <w:p w:rsidR="00492196" w:rsidRDefault="00492196">
            <w:pPr>
              <w:pStyle w:val="Bullet1GC"/>
            </w:pPr>
          </w:p>
        </w:tc>
        <w:tc>
          <w:tcPr>
            <w:tcW w:w="2273" w:type="dxa"/>
            <w:tcBorders>
              <w:bottom w:val="single" w:sz="4" w:space="0" w:color="auto"/>
            </w:tcBorders>
            <w:vAlign w:val="bottom"/>
          </w:tcPr>
          <w:p w:rsidR="00492196" w:rsidRDefault="00492196">
            <w:pPr>
              <w:spacing w:after="80" w:line="300" w:lineRule="exact"/>
              <w:rPr>
                <w:rFonts w:eastAsia="SimHei"/>
                <w:sz w:val="28"/>
              </w:rPr>
            </w:pPr>
            <w:r>
              <w:rPr>
                <w:rFonts w:eastAsia="SimHei"/>
                <w:sz w:val="28"/>
              </w:rPr>
              <w:t>联</w:t>
            </w:r>
            <w:r>
              <w:rPr>
                <w:rFonts w:eastAsia="SimHei"/>
                <w:sz w:val="28"/>
              </w:rPr>
              <w:t xml:space="preserve"> </w:t>
            </w:r>
            <w:r>
              <w:rPr>
                <w:rFonts w:eastAsia="SimHei"/>
                <w:sz w:val="28"/>
              </w:rPr>
              <w:t>合</w:t>
            </w:r>
            <w:r>
              <w:rPr>
                <w:rFonts w:eastAsia="SimHei"/>
                <w:sz w:val="28"/>
              </w:rPr>
              <w:t xml:space="preserve"> </w:t>
            </w:r>
            <w:r>
              <w:rPr>
                <w:rFonts w:eastAsia="SimHei"/>
                <w:sz w:val="28"/>
              </w:rPr>
              <w:t>国</w:t>
            </w:r>
          </w:p>
        </w:tc>
        <w:tc>
          <w:tcPr>
            <w:tcW w:w="6086" w:type="dxa"/>
            <w:gridSpan w:val="2"/>
            <w:tcBorders>
              <w:bottom w:val="single" w:sz="4" w:space="0" w:color="auto"/>
            </w:tcBorders>
            <w:vAlign w:val="bottom"/>
          </w:tcPr>
          <w:p w:rsidR="00492196" w:rsidRDefault="00492196">
            <w:pPr>
              <w:spacing w:line="240" w:lineRule="atLeast"/>
              <w:jc w:val="right"/>
              <w:rPr>
                <w:szCs w:val="21"/>
              </w:rPr>
            </w:pPr>
            <w:r>
              <w:rPr>
                <w:sz w:val="40"/>
                <w:szCs w:val="40"/>
              </w:rPr>
              <w:t>E</w:t>
            </w:r>
            <w:r>
              <w:rPr>
                <w:sz w:val="20"/>
              </w:rPr>
              <w:t>/C.12/</w:t>
            </w:r>
            <w:proofErr w:type="spellStart"/>
            <w:r>
              <w:rPr>
                <w:sz w:val="20"/>
              </w:rPr>
              <w:t>SVK</w:t>
            </w:r>
            <w:proofErr w:type="spellEnd"/>
            <w:r>
              <w:rPr>
                <w:sz w:val="20"/>
              </w:rPr>
              <w:t>/CO/2</w:t>
            </w:r>
          </w:p>
        </w:tc>
      </w:tr>
      <w:tr w:rsidR="00492196">
        <w:trPr>
          <w:trHeight w:hRule="exact" w:val="2835"/>
        </w:trPr>
        <w:tc>
          <w:tcPr>
            <w:tcW w:w="1280" w:type="dxa"/>
            <w:tcBorders>
              <w:top w:val="single" w:sz="4" w:space="0" w:color="auto"/>
              <w:bottom w:val="single" w:sz="12" w:space="0" w:color="auto"/>
            </w:tcBorders>
          </w:tcPr>
          <w:p w:rsidR="00492196" w:rsidRDefault="00492196">
            <w:pPr>
              <w:spacing w:line="120" w:lineRule="atLeast"/>
              <w:rPr>
                <w:sz w:val="10"/>
                <w:szCs w:val="10"/>
              </w:rPr>
            </w:pPr>
          </w:p>
          <w:p w:rsidR="00492196" w:rsidRDefault="00492196">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492196" w:rsidRDefault="00492196">
            <w:pPr>
              <w:spacing w:before="160" w:line="240" w:lineRule="auto"/>
              <w:rPr>
                <w:rFonts w:eastAsia="SimHei"/>
                <w:spacing w:val="4"/>
                <w:sz w:val="36"/>
                <w:szCs w:val="36"/>
              </w:rPr>
            </w:pPr>
            <w:r>
              <w:rPr>
                <w:rFonts w:eastAsia="SimHei"/>
                <w:spacing w:val="4"/>
                <w:sz w:val="36"/>
                <w:szCs w:val="36"/>
              </w:rPr>
              <w:t>经济及社会理事会</w:t>
            </w:r>
          </w:p>
        </w:tc>
        <w:tc>
          <w:tcPr>
            <w:tcW w:w="2819" w:type="dxa"/>
            <w:tcBorders>
              <w:top w:val="single" w:sz="4" w:space="0" w:color="auto"/>
              <w:bottom w:val="single" w:sz="12" w:space="0" w:color="auto"/>
            </w:tcBorders>
          </w:tcPr>
          <w:p w:rsidR="00492196" w:rsidRDefault="00492196">
            <w:pPr>
              <w:spacing w:before="240" w:line="240" w:lineRule="atLeast"/>
              <w:rPr>
                <w:sz w:val="20"/>
              </w:rPr>
            </w:pPr>
            <w:r>
              <w:rPr>
                <w:sz w:val="20"/>
              </w:rPr>
              <w:t>Distr.: General</w:t>
            </w:r>
          </w:p>
          <w:p w:rsidR="00492196" w:rsidRDefault="00492196">
            <w:pPr>
              <w:spacing w:line="240" w:lineRule="atLeast"/>
              <w:rPr>
                <w:sz w:val="20"/>
              </w:rPr>
            </w:pPr>
            <w:r>
              <w:rPr>
                <w:sz w:val="20"/>
              </w:rPr>
              <w:t>8 June 2012</w:t>
            </w:r>
          </w:p>
          <w:p w:rsidR="00492196" w:rsidRDefault="00492196">
            <w:pPr>
              <w:spacing w:line="240" w:lineRule="atLeast"/>
              <w:rPr>
                <w:sz w:val="20"/>
              </w:rPr>
            </w:pPr>
            <w:r>
              <w:rPr>
                <w:sz w:val="20"/>
              </w:rPr>
              <w:t xml:space="preserve">Chinese </w:t>
            </w:r>
          </w:p>
          <w:p w:rsidR="00492196" w:rsidRDefault="00492196">
            <w:pPr>
              <w:spacing w:line="240" w:lineRule="atLeast"/>
              <w:rPr>
                <w:sz w:val="20"/>
              </w:rPr>
            </w:pPr>
            <w:r>
              <w:rPr>
                <w:sz w:val="20"/>
              </w:rPr>
              <w:t>Original: French</w:t>
            </w:r>
          </w:p>
        </w:tc>
      </w:tr>
    </w:tbl>
    <w:p w:rsidR="00492196" w:rsidRDefault="00492196">
      <w:pPr>
        <w:spacing w:before="120"/>
        <w:rPr>
          <w:rFonts w:eastAsia="SimHei"/>
          <w:sz w:val="24"/>
          <w:lang w:val="en-GB"/>
        </w:rPr>
      </w:pPr>
      <w:r>
        <w:rPr>
          <w:rFonts w:eastAsia="SimHei"/>
          <w:bCs/>
          <w:sz w:val="24"/>
          <w:lang w:val="en-GB"/>
        </w:rPr>
        <w:t>经济、社会和文化权利</w:t>
      </w:r>
      <w:r>
        <w:rPr>
          <w:rFonts w:eastAsia="SimHei"/>
          <w:sz w:val="24"/>
          <w:lang w:val="en-GB"/>
        </w:rPr>
        <w:t>委员会</w:t>
      </w:r>
    </w:p>
    <w:p w:rsidR="00492196" w:rsidRDefault="00492196">
      <w:pPr>
        <w:rPr>
          <w:rFonts w:eastAsia="SimHei"/>
          <w:szCs w:val="21"/>
          <w:lang w:val="en-GB"/>
        </w:rPr>
      </w:pPr>
      <w:r>
        <w:rPr>
          <w:rFonts w:eastAsia="SimHei"/>
          <w:szCs w:val="21"/>
          <w:lang w:val="en-GB"/>
        </w:rPr>
        <w:t>第四十八届会议</w:t>
      </w:r>
    </w:p>
    <w:p w:rsidR="00492196" w:rsidRDefault="00492196">
      <w:pPr>
        <w:rPr>
          <w:szCs w:val="21"/>
        </w:rPr>
      </w:pPr>
      <w:r>
        <w:rPr>
          <w:szCs w:val="21"/>
          <w:lang w:val="en-GB"/>
        </w:rPr>
        <w:t>2012</w:t>
      </w:r>
      <w:r>
        <w:rPr>
          <w:szCs w:val="21"/>
          <w:lang w:val="en-GB"/>
        </w:rPr>
        <w:t>年</w:t>
      </w:r>
      <w:r>
        <w:rPr>
          <w:szCs w:val="21"/>
          <w:lang w:val="en-GB"/>
        </w:rPr>
        <w:t>4</w:t>
      </w:r>
      <w:r>
        <w:rPr>
          <w:szCs w:val="21"/>
          <w:lang w:val="en-GB"/>
        </w:rPr>
        <w:t>月</w:t>
      </w:r>
      <w:r>
        <w:rPr>
          <w:szCs w:val="21"/>
          <w:lang w:val="en-GB"/>
        </w:rPr>
        <w:t>30</w:t>
      </w:r>
      <w:r>
        <w:rPr>
          <w:szCs w:val="21"/>
          <w:lang w:val="en-GB"/>
        </w:rPr>
        <w:t>日至</w:t>
      </w:r>
      <w:r>
        <w:rPr>
          <w:szCs w:val="21"/>
          <w:lang w:val="en-GB"/>
        </w:rPr>
        <w:t>5</w:t>
      </w:r>
      <w:r>
        <w:rPr>
          <w:szCs w:val="21"/>
          <w:lang w:val="en-GB"/>
        </w:rPr>
        <w:t>月</w:t>
      </w:r>
      <w:r>
        <w:rPr>
          <w:szCs w:val="21"/>
          <w:lang w:val="en-GB"/>
        </w:rPr>
        <w:t>18</w:t>
      </w:r>
      <w:r>
        <w:rPr>
          <w:szCs w:val="21"/>
          <w:lang w:val="en-GB"/>
        </w:rPr>
        <w:t>日，日内瓦</w:t>
      </w:r>
    </w:p>
    <w:p w:rsidR="00492196" w:rsidRDefault="00492196">
      <w:pPr>
        <w:pStyle w:val="HChGC"/>
        <w:rPr>
          <w:lang w:val="en-GB"/>
        </w:rPr>
      </w:pPr>
      <w:r>
        <w:tab/>
      </w:r>
      <w:r>
        <w:tab/>
      </w:r>
      <w:r>
        <w:rPr>
          <w:lang w:val="en-GB"/>
        </w:rPr>
        <w:t>审议缔约国根据《公约》第十六条和第十七条提交的报告</w:t>
      </w:r>
    </w:p>
    <w:p w:rsidR="00492196" w:rsidRDefault="00492196">
      <w:pPr>
        <w:pStyle w:val="H1GC"/>
        <w:rPr>
          <w:lang w:val="en-GB"/>
        </w:rPr>
      </w:pPr>
      <w:r>
        <w:rPr>
          <w:lang w:val="en-GB"/>
        </w:rPr>
        <w:tab/>
      </w:r>
      <w:r>
        <w:rPr>
          <w:lang w:val="en-GB"/>
        </w:rPr>
        <w:tab/>
      </w:r>
      <w:r>
        <w:rPr>
          <w:lang w:val="en-GB"/>
        </w:rPr>
        <w:t>经济、社会和文化权利委员会的结论性意见</w:t>
      </w:r>
    </w:p>
    <w:p w:rsidR="00492196" w:rsidRDefault="00492196">
      <w:pPr>
        <w:pStyle w:val="HChGC"/>
        <w:rPr>
          <w:lang w:val="en-GB"/>
        </w:rPr>
      </w:pPr>
      <w:r>
        <w:rPr>
          <w:lang w:val="en-GB"/>
        </w:rPr>
        <w:tab/>
      </w:r>
      <w:r>
        <w:rPr>
          <w:lang w:val="en-GB"/>
        </w:rPr>
        <w:tab/>
      </w:r>
      <w:r>
        <w:rPr>
          <w:lang w:val="en-GB"/>
        </w:rPr>
        <w:t>斯洛伐克</w:t>
      </w:r>
    </w:p>
    <w:p w:rsidR="00492196" w:rsidRDefault="00492196">
      <w:pPr>
        <w:pStyle w:val="SingleTxtGC"/>
        <w:rPr>
          <w:lang w:val="en-GB"/>
        </w:rPr>
      </w:pPr>
      <w:r>
        <w:rPr>
          <w:lang w:val="en-GB"/>
        </w:rPr>
        <w:t xml:space="preserve">1.  </w:t>
      </w:r>
      <w:r>
        <w:rPr>
          <w:lang w:val="en-GB"/>
        </w:rPr>
        <w:t>经济、社会和文件权利委员会在</w:t>
      </w:r>
      <w:r>
        <w:rPr>
          <w:lang w:val="en-GB"/>
        </w:rPr>
        <w:t>2012</w:t>
      </w:r>
      <w:r>
        <w:rPr>
          <w:lang w:val="en-GB"/>
        </w:rPr>
        <w:t>年</w:t>
      </w:r>
      <w:r>
        <w:rPr>
          <w:lang w:val="en-GB"/>
        </w:rPr>
        <w:t>5</w:t>
      </w:r>
      <w:r>
        <w:rPr>
          <w:lang w:val="en-GB"/>
        </w:rPr>
        <w:t>月</w:t>
      </w:r>
      <w:r>
        <w:rPr>
          <w:lang w:val="en-GB"/>
        </w:rPr>
        <w:t>1</w:t>
      </w:r>
      <w:r>
        <w:rPr>
          <w:lang w:val="en-GB"/>
        </w:rPr>
        <w:t>日和</w:t>
      </w:r>
      <w:r>
        <w:rPr>
          <w:lang w:val="en-GB"/>
        </w:rPr>
        <w:t>2</w:t>
      </w:r>
      <w:r>
        <w:rPr>
          <w:lang w:val="en-GB"/>
        </w:rPr>
        <w:t>日举行的第</w:t>
      </w:r>
      <w:r>
        <w:rPr>
          <w:lang w:val="en-GB"/>
        </w:rPr>
        <w:t>3</w:t>
      </w:r>
      <w:r>
        <w:rPr>
          <w:lang w:val="en-GB"/>
        </w:rPr>
        <w:t>、</w:t>
      </w:r>
      <w:r>
        <w:rPr>
          <w:lang w:val="en-GB"/>
        </w:rPr>
        <w:t>4</w:t>
      </w:r>
      <w:r>
        <w:rPr>
          <w:lang w:val="en-GB"/>
        </w:rPr>
        <w:t>、</w:t>
      </w:r>
      <w:r>
        <w:rPr>
          <w:lang w:val="en-GB"/>
        </w:rPr>
        <w:t>5</w:t>
      </w:r>
      <w:r>
        <w:rPr>
          <w:lang w:val="en-GB"/>
        </w:rPr>
        <w:t>次会议</w:t>
      </w:r>
      <w:r>
        <w:rPr>
          <w:lang w:val="en-GB"/>
        </w:rPr>
        <w:t>(E/C.12/2012/</w:t>
      </w:r>
      <w:proofErr w:type="spellStart"/>
      <w:r>
        <w:rPr>
          <w:lang w:val="en-GB"/>
        </w:rPr>
        <w:t>SR.3</w:t>
      </w:r>
      <w:proofErr w:type="spellEnd"/>
      <w:r>
        <w:rPr>
          <w:lang w:val="en-GB"/>
        </w:rPr>
        <w:t>-5)</w:t>
      </w:r>
      <w:r>
        <w:rPr>
          <w:lang w:val="en-GB"/>
        </w:rPr>
        <w:t>上审议了斯洛伐克关于《经济、社会、文化权利国际公约》执行情况的第二次定期报告</w:t>
      </w:r>
      <w:r>
        <w:rPr>
          <w:lang w:val="en-GB"/>
        </w:rPr>
        <w:t>(E/C.12/</w:t>
      </w:r>
      <w:proofErr w:type="spellStart"/>
      <w:r>
        <w:rPr>
          <w:lang w:val="en-GB"/>
        </w:rPr>
        <w:t>SVK</w:t>
      </w:r>
      <w:proofErr w:type="spellEnd"/>
      <w:r>
        <w:rPr>
          <w:lang w:val="en-GB"/>
        </w:rPr>
        <w:t>/2)</w:t>
      </w:r>
      <w:r>
        <w:rPr>
          <w:lang w:val="en-GB"/>
        </w:rPr>
        <w:t>，并在</w:t>
      </w:r>
      <w:r>
        <w:rPr>
          <w:lang w:val="en-GB"/>
        </w:rPr>
        <w:t>2012</w:t>
      </w:r>
      <w:r>
        <w:rPr>
          <w:lang w:val="en-GB"/>
        </w:rPr>
        <w:t>年</w:t>
      </w:r>
      <w:r>
        <w:rPr>
          <w:lang w:val="en-GB"/>
        </w:rPr>
        <w:t>5</w:t>
      </w:r>
      <w:r>
        <w:rPr>
          <w:lang w:val="en-GB"/>
        </w:rPr>
        <w:t>月</w:t>
      </w:r>
      <w:r>
        <w:rPr>
          <w:lang w:val="en-GB"/>
        </w:rPr>
        <w:t>18</w:t>
      </w:r>
      <w:r>
        <w:rPr>
          <w:lang w:val="en-GB"/>
        </w:rPr>
        <w:t>日举行的第</w:t>
      </w:r>
      <w:r>
        <w:rPr>
          <w:lang w:val="en-GB"/>
        </w:rPr>
        <w:t>18</w:t>
      </w:r>
      <w:r>
        <w:rPr>
          <w:lang w:val="en-GB"/>
        </w:rPr>
        <w:t>次会议上通过了以下结论性意见。</w:t>
      </w:r>
    </w:p>
    <w:p w:rsidR="00492196" w:rsidRDefault="00492196">
      <w:pPr>
        <w:pStyle w:val="H1GC"/>
        <w:rPr>
          <w:lang w:val="en-GB"/>
        </w:rPr>
      </w:pPr>
      <w:r>
        <w:rPr>
          <w:lang w:val="en-GB"/>
        </w:rPr>
        <w:tab/>
        <w:t>A.</w:t>
      </w:r>
      <w:r>
        <w:rPr>
          <w:lang w:val="en-GB"/>
        </w:rPr>
        <w:tab/>
      </w:r>
      <w:r>
        <w:rPr>
          <w:lang w:val="en-GB"/>
        </w:rPr>
        <w:t>导言</w:t>
      </w:r>
    </w:p>
    <w:p w:rsidR="00492196" w:rsidRDefault="00492196">
      <w:pPr>
        <w:pStyle w:val="SingleTxtGC"/>
        <w:rPr>
          <w:lang w:val="en-GB"/>
        </w:rPr>
      </w:pPr>
      <w:r>
        <w:rPr>
          <w:lang w:val="en-GB"/>
        </w:rPr>
        <w:t xml:space="preserve">2.  </w:t>
      </w:r>
      <w:r>
        <w:rPr>
          <w:lang w:val="en-GB"/>
        </w:rPr>
        <w:t>委员会满意地注意到斯洛伐克提交了第二次定期报告，报告遵循了委员会的报告准则，反映了缔约国为说明为落实委员会在以前的结论性意见中提出的建议所采取措施作出的努力。委员会还满意地注意到缔约国对其问题单的详细书面答复</w:t>
      </w:r>
      <w:r>
        <w:rPr>
          <w:lang w:val="en-GB"/>
        </w:rPr>
        <w:t>(E/C.12/</w:t>
      </w:r>
      <w:proofErr w:type="spellStart"/>
      <w:r>
        <w:rPr>
          <w:lang w:val="en-GB"/>
        </w:rPr>
        <w:t>SVK/Q/2/Add</w:t>
      </w:r>
      <w:r>
        <w:rPr>
          <w:rFonts w:hint="eastAsia"/>
          <w:lang w:val="en-GB"/>
        </w:rPr>
        <w:t>.</w:t>
      </w:r>
      <w:r>
        <w:rPr>
          <w:lang w:val="en-GB"/>
        </w:rPr>
        <w:t>1</w:t>
      </w:r>
      <w:proofErr w:type="spellEnd"/>
      <w:r>
        <w:rPr>
          <w:lang w:val="en-GB"/>
        </w:rPr>
        <w:t>)</w:t>
      </w:r>
      <w:r>
        <w:rPr>
          <w:lang w:val="en-GB"/>
        </w:rPr>
        <w:t>。</w:t>
      </w:r>
    </w:p>
    <w:p w:rsidR="00492196" w:rsidRDefault="00492196">
      <w:pPr>
        <w:pStyle w:val="SingleTxtGC"/>
        <w:rPr>
          <w:lang w:val="en-GB"/>
        </w:rPr>
      </w:pPr>
      <w:r>
        <w:rPr>
          <w:lang w:val="en-GB"/>
        </w:rPr>
        <w:t xml:space="preserve">3.  </w:t>
      </w:r>
      <w:r>
        <w:rPr>
          <w:lang w:val="en-GB"/>
        </w:rPr>
        <w:t>委员会对与缔约国代表团进行的建设性对话表示满意，代表团是由一些不同部司的代表组成的。</w:t>
      </w:r>
    </w:p>
    <w:p w:rsidR="00492196" w:rsidRDefault="00492196">
      <w:pPr>
        <w:pStyle w:val="H1GC"/>
        <w:rPr>
          <w:lang w:val="en-GB"/>
        </w:rPr>
      </w:pPr>
      <w:r>
        <w:rPr>
          <w:lang w:val="en-GB"/>
        </w:rPr>
        <w:tab/>
        <w:t>B.</w:t>
      </w:r>
      <w:r>
        <w:rPr>
          <w:lang w:val="en-GB"/>
        </w:rPr>
        <w:tab/>
      </w:r>
      <w:r>
        <w:rPr>
          <w:lang w:val="en-GB"/>
        </w:rPr>
        <w:t>积极方面</w:t>
      </w:r>
    </w:p>
    <w:p w:rsidR="00492196" w:rsidRDefault="00492196">
      <w:pPr>
        <w:pStyle w:val="SingleTxtGC"/>
        <w:rPr>
          <w:lang w:val="en-GB"/>
        </w:rPr>
      </w:pPr>
      <w:r>
        <w:rPr>
          <w:lang w:val="en-GB"/>
        </w:rPr>
        <w:t xml:space="preserve">4.  </w:t>
      </w:r>
      <w:r>
        <w:rPr>
          <w:lang w:val="en-GB"/>
        </w:rPr>
        <w:t>委员会欢迎缔约国于</w:t>
      </w:r>
      <w:r>
        <w:rPr>
          <w:lang w:val="en-GB"/>
        </w:rPr>
        <w:t>2012</w:t>
      </w:r>
      <w:r>
        <w:rPr>
          <w:lang w:val="en-GB"/>
        </w:rPr>
        <w:t>年</w:t>
      </w:r>
      <w:r>
        <w:rPr>
          <w:lang w:val="en-GB"/>
        </w:rPr>
        <w:t>3</w:t>
      </w:r>
      <w:r>
        <w:rPr>
          <w:lang w:val="en-GB"/>
        </w:rPr>
        <w:t>月</w:t>
      </w:r>
      <w:r>
        <w:rPr>
          <w:lang w:val="en-GB"/>
        </w:rPr>
        <w:t>7</w:t>
      </w:r>
      <w:r>
        <w:rPr>
          <w:lang w:val="en-GB"/>
        </w:rPr>
        <w:t>日批准《经济、社会、文化权利国际公约任择议定书》和批准下列文书：</w:t>
      </w:r>
    </w:p>
    <w:p w:rsidR="00492196" w:rsidRDefault="00492196">
      <w:pPr>
        <w:pStyle w:val="SingleTxtGC"/>
        <w:numPr>
          <w:ilvl w:val="0"/>
          <w:numId w:val="35"/>
        </w:numPr>
        <w:ind w:firstLine="378"/>
        <w:rPr>
          <w:lang w:val="en-GB"/>
        </w:rPr>
      </w:pPr>
      <w:r>
        <w:rPr>
          <w:lang w:val="en-GB"/>
        </w:rPr>
        <w:br w:type="page"/>
      </w:r>
      <w:r>
        <w:rPr>
          <w:lang w:val="en-GB"/>
        </w:rPr>
        <w:t>《残疾人权利公约》及其《任择议定书》，</w:t>
      </w:r>
      <w:r>
        <w:rPr>
          <w:lang w:val="en-GB"/>
        </w:rPr>
        <w:t>2010</w:t>
      </w:r>
      <w:r>
        <w:rPr>
          <w:lang w:val="en-GB"/>
        </w:rPr>
        <w:t>年</w:t>
      </w:r>
      <w:r>
        <w:rPr>
          <w:lang w:val="en-GB"/>
        </w:rPr>
        <w:t>5</w:t>
      </w:r>
      <w:r>
        <w:rPr>
          <w:lang w:val="en-GB"/>
        </w:rPr>
        <w:t>月</w:t>
      </w:r>
      <w:r>
        <w:rPr>
          <w:lang w:val="en-GB"/>
        </w:rPr>
        <w:t>26</w:t>
      </w:r>
      <w:r>
        <w:rPr>
          <w:lang w:val="en-GB"/>
        </w:rPr>
        <w:t>日；</w:t>
      </w:r>
    </w:p>
    <w:p w:rsidR="00492196" w:rsidRDefault="00492196">
      <w:pPr>
        <w:pStyle w:val="SingleTxtGC"/>
        <w:numPr>
          <w:ilvl w:val="0"/>
          <w:numId w:val="35"/>
        </w:numPr>
        <w:ind w:firstLine="378"/>
        <w:rPr>
          <w:lang w:val="en-GB"/>
        </w:rPr>
      </w:pPr>
      <w:r>
        <w:rPr>
          <w:lang w:val="en-GB"/>
        </w:rPr>
        <w:t>《儿童权利公约关于儿童卷入武装冲突问题的任择议定书》，</w:t>
      </w:r>
      <w:r>
        <w:rPr>
          <w:lang w:val="en-GB"/>
        </w:rPr>
        <w:t>2006</w:t>
      </w:r>
      <w:r>
        <w:rPr>
          <w:lang w:val="en-GB"/>
        </w:rPr>
        <w:t>年</w:t>
      </w:r>
      <w:r>
        <w:rPr>
          <w:lang w:val="en-GB"/>
        </w:rPr>
        <w:t>8</w:t>
      </w:r>
      <w:r>
        <w:rPr>
          <w:lang w:val="en-GB"/>
        </w:rPr>
        <w:t>月</w:t>
      </w:r>
      <w:r>
        <w:rPr>
          <w:lang w:val="en-GB"/>
        </w:rPr>
        <w:t>7</w:t>
      </w:r>
      <w:r>
        <w:rPr>
          <w:lang w:val="en-GB"/>
        </w:rPr>
        <w:t>日；</w:t>
      </w:r>
    </w:p>
    <w:p w:rsidR="00492196" w:rsidRDefault="00492196">
      <w:pPr>
        <w:pStyle w:val="SingleTxtGC"/>
        <w:numPr>
          <w:ilvl w:val="0"/>
          <w:numId w:val="35"/>
        </w:numPr>
        <w:ind w:firstLine="378"/>
        <w:rPr>
          <w:lang w:val="en-GB"/>
        </w:rPr>
      </w:pPr>
      <w:r>
        <w:rPr>
          <w:lang w:val="en-GB"/>
        </w:rPr>
        <w:t>《儿童权利公约关于买卖儿童、儿童卖淫和儿童色情制品问题的任择议定书》，</w:t>
      </w:r>
      <w:r>
        <w:rPr>
          <w:lang w:val="en-GB"/>
        </w:rPr>
        <w:t>2004</w:t>
      </w:r>
      <w:r>
        <w:rPr>
          <w:lang w:val="en-GB"/>
        </w:rPr>
        <w:t>年</w:t>
      </w:r>
      <w:r>
        <w:rPr>
          <w:lang w:val="en-GB"/>
        </w:rPr>
        <w:t>7</w:t>
      </w:r>
      <w:r>
        <w:rPr>
          <w:lang w:val="en-GB"/>
        </w:rPr>
        <w:t>月</w:t>
      </w:r>
      <w:r>
        <w:rPr>
          <w:lang w:val="en-GB"/>
        </w:rPr>
        <w:t>25</w:t>
      </w:r>
      <w:r>
        <w:rPr>
          <w:lang w:val="en-GB"/>
        </w:rPr>
        <w:t>日。</w:t>
      </w:r>
    </w:p>
    <w:p w:rsidR="00492196" w:rsidRDefault="00492196">
      <w:pPr>
        <w:pStyle w:val="SingleTxtGC"/>
        <w:rPr>
          <w:lang w:val="en-GB"/>
        </w:rPr>
      </w:pPr>
      <w:r>
        <w:rPr>
          <w:lang w:val="en-GB"/>
        </w:rPr>
        <w:t xml:space="preserve">5.  </w:t>
      </w:r>
      <w:r>
        <w:rPr>
          <w:lang w:val="en-GB"/>
        </w:rPr>
        <w:t>委员会赞赏地注意到缔约国为促进落实经济、社会和文化权利所作的努力，包括：</w:t>
      </w:r>
    </w:p>
    <w:p w:rsidR="00492196" w:rsidRDefault="00492196">
      <w:pPr>
        <w:pStyle w:val="SingleTxtGC"/>
        <w:numPr>
          <w:ilvl w:val="0"/>
          <w:numId w:val="36"/>
        </w:numPr>
        <w:tabs>
          <w:tab w:val="clear" w:pos="1565"/>
          <w:tab w:val="left" w:pos="1498"/>
        </w:tabs>
        <w:ind w:firstLine="378"/>
        <w:rPr>
          <w:lang w:val="en-GB"/>
        </w:rPr>
      </w:pPr>
      <w:r>
        <w:rPr>
          <w:lang w:val="en-GB"/>
        </w:rPr>
        <w:t>通过修改和补充其他有关法规</w:t>
      </w:r>
      <w:r>
        <w:rPr>
          <w:lang w:val="en-GB"/>
        </w:rPr>
        <w:t>(</w:t>
      </w:r>
      <w:r>
        <w:rPr>
          <w:lang w:val="en-GB"/>
        </w:rPr>
        <w:t>《反歧视法》</w:t>
      </w:r>
      <w:r>
        <w:rPr>
          <w:lang w:val="en-GB"/>
        </w:rPr>
        <w:t>)</w:t>
      </w:r>
      <w:r>
        <w:rPr>
          <w:lang w:val="en-GB"/>
        </w:rPr>
        <w:t>的《关于某些领域的平等待遇和保护不受歧视的第</w:t>
      </w:r>
      <w:r>
        <w:rPr>
          <w:lang w:val="en-GB"/>
        </w:rPr>
        <w:t>365/2004</w:t>
      </w:r>
      <w:r>
        <w:rPr>
          <w:lang w:val="en-GB"/>
        </w:rPr>
        <w:t>号法案》，于</w:t>
      </w:r>
      <w:r>
        <w:rPr>
          <w:lang w:val="en-GB"/>
        </w:rPr>
        <w:t>2004</w:t>
      </w:r>
      <w:r>
        <w:rPr>
          <w:lang w:val="en-GB"/>
        </w:rPr>
        <w:t>年</w:t>
      </w:r>
      <w:r>
        <w:rPr>
          <w:lang w:val="en-GB"/>
        </w:rPr>
        <w:t>7</w:t>
      </w:r>
      <w:r>
        <w:rPr>
          <w:lang w:val="en-GB"/>
        </w:rPr>
        <w:t>月</w:t>
      </w:r>
      <w:r>
        <w:rPr>
          <w:lang w:val="en-GB"/>
        </w:rPr>
        <w:t>1</w:t>
      </w:r>
      <w:r>
        <w:rPr>
          <w:lang w:val="en-GB"/>
        </w:rPr>
        <w:t>日生效；</w:t>
      </w:r>
    </w:p>
    <w:p w:rsidR="00492196" w:rsidRDefault="00492196">
      <w:pPr>
        <w:pStyle w:val="SingleTxtGC"/>
        <w:numPr>
          <w:ilvl w:val="0"/>
          <w:numId w:val="36"/>
        </w:numPr>
        <w:tabs>
          <w:tab w:val="clear" w:pos="1565"/>
          <w:tab w:val="left" w:pos="1498"/>
        </w:tabs>
        <w:ind w:firstLine="378"/>
        <w:rPr>
          <w:lang w:val="en-GB"/>
        </w:rPr>
      </w:pPr>
      <w:r>
        <w:rPr>
          <w:lang w:val="en-GB"/>
        </w:rPr>
        <w:t>《关于就业服务的第</w:t>
      </w:r>
      <w:r>
        <w:rPr>
          <w:lang w:val="en-GB"/>
        </w:rPr>
        <w:t>5/2004</w:t>
      </w:r>
      <w:r>
        <w:rPr>
          <w:lang w:val="en-GB"/>
        </w:rPr>
        <w:t>号法案的修正案》，它修改和补充了其他法律，提出了就业权利的新定义，于</w:t>
      </w:r>
      <w:r>
        <w:rPr>
          <w:lang w:val="en-GB"/>
        </w:rPr>
        <w:t>2008</w:t>
      </w:r>
      <w:r>
        <w:rPr>
          <w:lang w:val="en-GB"/>
        </w:rPr>
        <w:t>年</w:t>
      </w:r>
      <w:r>
        <w:rPr>
          <w:lang w:val="en-GB"/>
        </w:rPr>
        <w:t>5</w:t>
      </w:r>
      <w:r>
        <w:rPr>
          <w:lang w:val="en-GB"/>
        </w:rPr>
        <w:t>月</w:t>
      </w:r>
      <w:r>
        <w:rPr>
          <w:lang w:val="en-GB"/>
        </w:rPr>
        <w:t>1</w:t>
      </w:r>
      <w:r>
        <w:rPr>
          <w:lang w:val="en-GB"/>
        </w:rPr>
        <w:t>日生效；</w:t>
      </w:r>
    </w:p>
    <w:p w:rsidR="00492196" w:rsidRDefault="00492196">
      <w:pPr>
        <w:pStyle w:val="SingleTxtGC"/>
        <w:numPr>
          <w:ilvl w:val="0"/>
          <w:numId w:val="36"/>
        </w:numPr>
        <w:tabs>
          <w:tab w:val="clear" w:pos="1565"/>
          <w:tab w:val="left" w:pos="1498"/>
        </w:tabs>
        <w:ind w:firstLine="378"/>
        <w:rPr>
          <w:lang w:val="en-GB"/>
        </w:rPr>
      </w:pPr>
      <w:r>
        <w:rPr>
          <w:lang w:val="en-GB"/>
        </w:rPr>
        <w:t>通过了《关于最低工资的第</w:t>
      </w:r>
      <w:r>
        <w:rPr>
          <w:lang w:val="en-GB"/>
        </w:rPr>
        <w:t>663/2007</w:t>
      </w:r>
      <w:r>
        <w:rPr>
          <w:lang w:val="en-GB"/>
        </w:rPr>
        <w:t>号法案》；</w:t>
      </w:r>
    </w:p>
    <w:p w:rsidR="00492196" w:rsidRDefault="00492196">
      <w:pPr>
        <w:pStyle w:val="SingleTxtGC"/>
        <w:numPr>
          <w:ilvl w:val="0"/>
          <w:numId w:val="36"/>
        </w:numPr>
        <w:tabs>
          <w:tab w:val="clear" w:pos="1565"/>
          <w:tab w:val="left" w:pos="1498"/>
        </w:tabs>
        <w:ind w:firstLine="378"/>
        <w:rPr>
          <w:lang w:val="en-GB"/>
        </w:rPr>
      </w:pPr>
      <w:r>
        <w:rPr>
          <w:lang w:val="en-GB"/>
        </w:rPr>
        <w:t>通过了《关于国家一级三方协商的第</w:t>
      </w:r>
      <w:r>
        <w:rPr>
          <w:lang w:val="en-GB"/>
        </w:rPr>
        <w:t>103/2007</w:t>
      </w:r>
      <w:r>
        <w:rPr>
          <w:lang w:val="en-GB"/>
        </w:rPr>
        <w:t>号法案》，它修改和补充了其他有关法规</w:t>
      </w:r>
      <w:r>
        <w:rPr>
          <w:lang w:val="en-GB"/>
        </w:rPr>
        <w:t>(</w:t>
      </w:r>
      <w:r>
        <w:rPr>
          <w:lang w:val="en-GB"/>
        </w:rPr>
        <w:t>《三方法案》</w:t>
      </w:r>
      <w:r>
        <w:rPr>
          <w:lang w:val="en-GB"/>
        </w:rPr>
        <w:t>)</w:t>
      </w:r>
      <w:r>
        <w:rPr>
          <w:lang w:val="en-GB"/>
        </w:rPr>
        <w:t>；</w:t>
      </w:r>
    </w:p>
    <w:p w:rsidR="00492196" w:rsidRDefault="00492196">
      <w:pPr>
        <w:pStyle w:val="SingleTxtGC"/>
        <w:numPr>
          <w:ilvl w:val="0"/>
          <w:numId w:val="36"/>
        </w:numPr>
        <w:tabs>
          <w:tab w:val="clear" w:pos="1565"/>
          <w:tab w:val="left" w:pos="1498"/>
        </w:tabs>
        <w:ind w:firstLine="378"/>
        <w:rPr>
          <w:lang w:val="en-GB"/>
        </w:rPr>
      </w:pPr>
      <w:r>
        <w:rPr>
          <w:lang w:val="en-GB"/>
        </w:rPr>
        <w:t>通过了《第</w:t>
      </w:r>
      <w:r>
        <w:rPr>
          <w:lang w:val="en-GB"/>
        </w:rPr>
        <w:t>461/2003</w:t>
      </w:r>
      <w:r>
        <w:rPr>
          <w:lang w:val="en-GB"/>
        </w:rPr>
        <w:t>号社会保险法》，于</w:t>
      </w:r>
      <w:r>
        <w:rPr>
          <w:lang w:val="en-GB"/>
        </w:rPr>
        <w:t>2004</w:t>
      </w:r>
      <w:r>
        <w:rPr>
          <w:lang w:val="en-GB"/>
        </w:rPr>
        <w:t>年</w:t>
      </w:r>
      <w:r>
        <w:rPr>
          <w:lang w:val="en-GB"/>
        </w:rPr>
        <w:t>1</w:t>
      </w:r>
      <w:r>
        <w:rPr>
          <w:lang w:val="en-GB"/>
        </w:rPr>
        <w:t>月</w:t>
      </w:r>
      <w:r>
        <w:rPr>
          <w:lang w:val="en-GB"/>
        </w:rPr>
        <w:t>1</w:t>
      </w:r>
      <w:r>
        <w:rPr>
          <w:lang w:val="en-GB"/>
        </w:rPr>
        <w:t>日生效；</w:t>
      </w:r>
    </w:p>
    <w:p w:rsidR="00492196" w:rsidRDefault="00492196">
      <w:pPr>
        <w:pStyle w:val="SingleTxtGC"/>
        <w:numPr>
          <w:ilvl w:val="0"/>
          <w:numId w:val="36"/>
        </w:numPr>
        <w:tabs>
          <w:tab w:val="clear" w:pos="1565"/>
          <w:tab w:val="left" w:pos="1498"/>
        </w:tabs>
        <w:ind w:firstLine="378"/>
        <w:rPr>
          <w:lang w:val="en-GB"/>
        </w:rPr>
      </w:pPr>
      <w:r>
        <w:rPr>
          <w:lang w:val="en-GB"/>
        </w:rPr>
        <w:t>成立了人权、少数民族和男女平等问题政府委员会；</w:t>
      </w:r>
    </w:p>
    <w:p w:rsidR="00492196" w:rsidRDefault="00492196">
      <w:pPr>
        <w:pStyle w:val="SingleTxtGC"/>
        <w:numPr>
          <w:ilvl w:val="0"/>
          <w:numId w:val="36"/>
        </w:numPr>
        <w:tabs>
          <w:tab w:val="clear" w:pos="1565"/>
          <w:tab w:val="left" w:pos="1498"/>
        </w:tabs>
        <w:ind w:firstLine="378"/>
        <w:rPr>
          <w:lang w:val="en-GB"/>
        </w:rPr>
      </w:pPr>
      <w:r>
        <w:rPr>
          <w:lang w:val="en-GB"/>
        </w:rPr>
        <w:t>2004</w:t>
      </w:r>
      <w:r>
        <w:rPr>
          <w:lang w:val="en-GB"/>
        </w:rPr>
        <w:t>年通过了《防止和消除对妇女的暴力和家庭暴力国家战略》。</w:t>
      </w:r>
    </w:p>
    <w:p w:rsidR="00492196" w:rsidRDefault="00492196">
      <w:pPr>
        <w:pStyle w:val="H1GC"/>
        <w:rPr>
          <w:lang w:val="en-GB"/>
        </w:rPr>
      </w:pPr>
      <w:r>
        <w:rPr>
          <w:lang w:val="en-GB"/>
        </w:rPr>
        <w:tab/>
        <w:t>C.</w:t>
      </w:r>
      <w:r>
        <w:rPr>
          <w:lang w:val="en-GB"/>
        </w:rPr>
        <w:tab/>
      </w:r>
      <w:r>
        <w:rPr>
          <w:lang w:val="en-GB"/>
        </w:rPr>
        <w:t>关注的主要问题和建议</w:t>
      </w:r>
    </w:p>
    <w:p w:rsidR="00492196" w:rsidRDefault="00492196">
      <w:pPr>
        <w:pStyle w:val="SingleTxtGC"/>
        <w:rPr>
          <w:lang w:val="en-GB"/>
        </w:rPr>
      </w:pPr>
      <w:r>
        <w:rPr>
          <w:lang w:val="en-GB"/>
        </w:rPr>
        <w:t xml:space="preserve">6.  </w:t>
      </w:r>
      <w:r>
        <w:rPr>
          <w:lang w:val="en-GB"/>
        </w:rPr>
        <w:t>委员会感到遗憾的是，虽然《公约》的适用优先于国内法，但缔约国没有提供关于缔约国法院适用《公约》的案例。</w:t>
      </w:r>
    </w:p>
    <w:p w:rsidR="00492196" w:rsidRDefault="00492196">
      <w:pPr>
        <w:pStyle w:val="SingleTxtGC"/>
        <w:rPr>
          <w:rFonts w:eastAsia="SimHei"/>
          <w:lang w:val="en-GB"/>
        </w:rPr>
      </w:pPr>
      <w:r>
        <w:rPr>
          <w:rFonts w:eastAsia="SimHei"/>
          <w:lang w:val="en-GB"/>
        </w:rPr>
        <w:t>委员会建议缔约国采取适当措施让法官、律师和检察官更熟悉《公约》，以便国内法院在作出决定时考虑到《公约》的规定。委员会还建议缔约国采取适当措施提高司法人员和广大公众对《公约》以及经济、社会和文化权利的可裁判性的认识。它还提醒缔约国注意关于《公约》的国内适用的第</w:t>
      </w:r>
      <w:r>
        <w:rPr>
          <w:rFonts w:eastAsia="SimHei"/>
          <w:lang w:val="en-GB"/>
        </w:rPr>
        <w:t>9(1998)</w:t>
      </w:r>
      <w:r>
        <w:rPr>
          <w:rFonts w:eastAsia="SimHei"/>
          <w:lang w:val="en-GB"/>
        </w:rPr>
        <w:t>号一般性意见。</w:t>
      </w:r>
    </w:p>
    <w:p w:rsidR="00492196" w:rsidRDefault="00492196">
      <w:pPr>
        <w:pStyle w:val="SingleTxtGC"/>
        <w:rPr>
          <w:lang w:val="en-GB"/>
        </w:rPr>
      </w:pPr>
      <w:r>
        <w:rPr>
          <w:lang w:val="en-GB"/>
        </w:rPr>
        <w:t xml:space="preserve">7.  </w:t>
      </w:r>
      <w:r>
        <w:rPr>
          <w:lang w:val="en-GB"/>
        </w:rPr>
        <w:t>委员会关切的是，斯洛伐克国家人权中心的范围和独立性都很有限。它还关切的是，该中心可利用的人力和财力资源都不足。</w:t>
      </w:r>
    </w:p>
    <w:p w:rsidR="00492196" w:rsidRDefault="00492196">
      <w:pPr>
        <w:pStyle w:val="SingleTxtGC"/>
        <w:rPr>
          <w:rFonts w:eastAsia="SimHei"/>
          <w:lang w:val="en-GB"/>
        </w:rPr>
      </w:pPr>
      <w:r>
        <w:rPr>
          <w:rFonts w:eastAsia="SimHei"/>
          <w:lang w:val="en-GB"/>
        </w:rPr>
        <w:t>委员会建议缔约国修改法规，扩大斯洛伐克国家人权中心的范围并加强其独立性，为它提供所需要的人力和财力资源，以便它能完全按照《巴黎原则》行使职责。</w:t>
      </w:r>
    </w:p>
    <w:p w:rsidR="00492196" w:rsidRDefault="00492196">
      <w:pPr>
        <w:pStyle w:val="SingleTxtGC"/>
        <w:rPr>
          <w:rFonts w:eastAsia="SimHei"/>
          <w:lang w:val="en-GB"/>
        </w:rPr>
      </w:pPr>
      <w:r>
        <w:rPr>
          <w:lang w:val="en-GB"/>
        </w:rPr>
        <w:t xml:space="preserve">8.  </w:t>
      </w:r>
      <w:r>
        <w:rPr>
          <w:rFonts w:eastAsia="SimHei"/>
          <w:lang w:val="en-GB"/>
        </w:rPr>
        <w:t>委员会建议缔约国确保即将任命的两名全权代表的地位、任务、权力和责任范围不低于主管人权和少数民族事务的副总理。委员会还建议缔约国采取措施避免不同机构之间的任何重叠，同时改进包括妇女权利在内的人权政策的协调。</w:t>
      </w:r>
    </w:p>
    <w:p w:rsidR="00492196" w:rsidRDefault="00492196">
      <w:pPr>
        <w:pStyle w:val="SingleTxtGC"/>
        <w:rPr>
          <w:lang w:val="en-GB"/>
        </w:rPr>
      </w:pPr>
      <w:r>
        <w:rPr>
          <w:lang w:val="en-GB"/>
        </w:rPr>
        <w:t xml:space="preserve">9.  </w:t>
      </w:r>
      <w:r>
        <w:rPr>
          <w:lang w:val="en-GB"/>
        </w:rPr>
        <w:t>委员会关切的是，罗姆人仍然遭受歧视，特别是在教育、就业、医疗卫生和住房方面。委员会感到遗憾的是，缔约国尚未完成关于这一问题的统计</w:t>
      </w:r>
      <w:r>
        <w:rPr>
          <w:lang w:val="en-GB"/>
        </w:rPr>
        <w:t>(</w:t>
      </w:r>
      <w:r>
        <w:rPr>
          <w:lang w:val="en-GB"/>
        </w:rPr>
        <w:t>第二、六、十一、十二、十三条</w:t>
      </w:r>
      <w:r>
        <w:rPr>
          <w:lang w:val="en-GB"/>
        </w:rPr>
        <w:t>)</w:t>
      </w:r>
      <w:r>
        <w:rPr>
          <w:lang w:val="en-GB"/>
        </w:rPr>
        <w:t>。</w:t>
      </w:r>
    </w:p>
    <w:p w:rsidR="00492196" w:rsidRDefault="00492196">
      <w:pPr>
        <w:pStyle w:val="SingleTxtGC"/>
        <w:rPr>
          <w:rFonts w:eastAsia="SimHei"/>
          <w:lang w:val="en-GB"/>
        </w:rPr>
      </w:pPr>
      <w:r>
        <w:rPr>
          <w:rFonts w:eastAsia="SimHei"/>
          <w:lang w:val="en-GB"/>
        </w:rPr>
        <w:t>委员会建议缔约国加强现行预防和保护措施，与社会各领域对罗姆人的歧视作斗争，特别是要确保充分执行《反歧视法》。委员会还建议缔约国采取措施增进罗姆人在就业、教育、住房和医疗卫生方面的权利。缔约国应通过关于边缘化群体的法案，一旦通过就要执行；执行其</w:t>
      </w:r>
      <w:r>
        <w:rPr>
          <w:rFonts w:eastAsia="SimHei"/>
          <w:lang w:val="en-GB"/>
        </w:rPr>
        <w:t>2012</w:t>
      </w:r>
      <w:r>
        <w:rPr>
          <w:rFonts w:eastAsia="SimHei"/>
          <w:lang w:val="en-GB"/>
        </w:rPr>
        <w:t>年</w:t>
      </w:r>
      <w:r>
        <w:rPr>
          <w:rFonts w:eastAsia="SimHei"/>
          <w:lang w:val="en-GB"/>
        </w:rPr>
        <w:t>1</w:t>
      </w:r>
      <w:r>
        <w:rPr>
          <w:rFonts w:eastAsia="SimHei"/>
          <w:lang w:val="en-GB"/>
        </w:rPr>
        <w:t>月</w:t>
      </w:r>
      <w:r>
        <w:rPr>
          <w:rFonts w:eastAsia="SimHei"/>
          <w:lang w:val="en-GB"/>
        </w:rPr>
        <w:t>11</w:t>
      </w:r>
      <w:r>
        <w:rPr>
          <w:rFonts w:eastAsia="SimHei"/>
          <w:lang w:val="en-GB"/>
        </w:rPr>
        <w:t>日通过的</w:t>
      </w:r>
      <w:r>
        <w:rPr>
          <w:rFonts w:eastAsia="SimHei"/>
          <w:lang w:val="en-GB"/>
        </w:rPr>
        <w:t>2020</w:t>
      </w:r>
      <w:r>
        <w:rPr>
          <w:rFonts w:eastAsia="SimHei"/>
          <w:lang w:val="en-GB"/>
        </w:rPr>
        <w:t>年前罗姆人融合战略，并向委员会报告采取这些措施的结果。</w:t>
      </w:r>
    </w:p>
    <w:p w:rsidR="00492196" w:rsidRDefault="00492196">
      <w:pPr>
        <w:pStyle w:val="SingleTxtGC"/>
        <w:rPr>
          <w:lang w:val="en-GB"/>
        </w:rPr>
      </w:pPr>
      <w:r>
        <w:rPr>
          <w:lang w:val="en-GB"/>
        </w:rPr>
        <w:t xml:space="preserve">10.  </w:t>
      </w:r>
      <w:r>
        <w:rPr>
          <w:lang w:val="en-GB"/>
        </w:rPr>
        <w:t>委员会关切的是，同性恋伴侣在法律上不被承认，另外，也没有一个保护这种伴侣的权利的法律框架</w:t>
      </w:r>
      <w:r>
        <w:rPr>
          <w:lang w:val="en-GB"/>
        </w:rPr>
        <w:t>(</w:t>
      </w:r>
      <w:r>
        <w:rPr>
          <w:lang w:val="en-GB"/>
        </w:rPr>
        <w:t>第二条</w:t>
      </w:r>
      <w:r>
        <w:rPr>
          <w:lang w:val="en-GB"/>
        </w:rPr>
        <w:t>)</w:t>
      </w:r>
      <w:r>
        <w:rPr>
          <w:lang w:val="en-GB"/>
        </w:rPr>
        <w:t>。</w:t>
      </w:r>
    </w:p>
    <w:p w:rsidR="00492196" w:rsidRDefault="00492196">
      <w:pPr>
        <w:pStyle w:val="SingleTxtGC"/>
        <w:rPr>
          <w:rFonts w:eastAsia="SimHei"/>
          <w:lang w:val="en-GB"/>
        </w:rPr>
      </w:pPr>
      <w:r>
        <w:rPr>
          <w:rFonts w:eastAsia="SimHei"/>
          <w:lang w:val="en-GB"/>
        </w:rPr>
        <w:t>委员会建议缔约国考虑通过法规，对同性恋伴侣给予法律承认，并就这种关系的经济后果作出规定。</w:t>
      </w:r>
    </w:p>
    <w:p w:rsidR="00492196" w:rsidRDefault="00492196">
      <w:pPr>
        <w:pStyle w:val="SingleTxtGC"/>
        <w:rPr>
          <w:lang w:val="en-GB"/>
        </w:rPr>
      </w:pPr>
      <w:r>
        <w:rPr>
          <w:lang w:val="en-GB"/>
        </w:rPr>
        <w:t xml:space="preserve">11.  </w:t>
      </w:r>
      <w:r>
        <w:rPr>
          <w:lang w:val="en-GB"/>
        </w:rPr>
        <w:t>委员会仍然关切的是缔约国长久存在的男女不平等现象，特别是在各级公共部门、决策机构和政党中的代表方面</w:t>
      </w:r>
      <w:r>
        <w:rPr>
          <w:lang w:val="en-GB"/>
        </w:rPr>
        <w:t>(</w:t>
      </w:r>
      <w:r>
        <w:rPr>
          <w:lang w:val="en-GB"/>
        </w:rPr>
        <w:t>第三条</w:t>
      </w:r>
      <w:r>
        <w:rPr>
          <w:lang w:val="en-GB"/>
        </w:rPr>
        <w:t>)</w:t>
      </w:r>
      <w:r>
        <w:rPr>
          <w:lang w:val="en-GB"/>
        </w:rPr>
        <w:t>。</w:t>
      </w:r>
    </w:p>
    <w:p w:rsidR="00492196" w:rsidRDefault="00492196">
      <w:pPr>
        <w:pStyle w:val="SingleTxtGC"/>
        <w:rPr>
          <w:rFonts w:eastAsia="SimHei"/>
          <w:lang w:val="en-GB"/>
        </w:rPr>
      </w:pPr>
      <w:r>
        <w:rPr>
          <w:rFonts w:eastAsia="SimHei"/>
          <w:lang w:val="en-GB"/>
        </w:rPr>
        <w:t>委员会建议缔约国加速执行已通过的确保男女平等的措施，对执行情况进行评估，确保具备有效的监督机制。委员会还建议缔约国根据妇女在社会生活的各方面、决策机构和政党中代表不足的情况，采取特别措施增加妇女人数。委员会还建议缔约国通过已修订的《国家男女平等战略》。在这方面，委员会提醒缔约国注意其第</w:t>
      </w:r>
      <w:r>
        <w:rPr>
          <w:rFonts w:eastAsia="SimHei"/>
          <w:lang w:val="en-GB"/>
        </w:rPr>
        <w:t>16(2005)</w:t>
      </w:r>
      <w:r>
        <w:rPr>
          <w:rFonts w:eastAsia="SimHei"/>
          <w:lang w:val="en-GB"/>
        </w:rPr>
        <w:t>号一般性意见。</w:t>
      </w:r>
    </w:p>
    <w:p w:rsidR="00492196" w:rsidRDefault="00492196">
      <w:pPr>
        <w:pStyle w:val="SingleTxtGC"/>
        <w:rPr>
          <w:lang w:val="en-GB"/>
        </w:rPr>
      </w:pPr>
      <w:r>
        <w:rPr>
          <w:lang w:val="en-GB"/>
        </w:rPr>
        <w:t xml:space="preserve">12.  </w:t>
      </w:r>
      <w:r>
        <w:rPr>
          <w:lang w:val="en-GB"/>
        </w:rPr>
        <w:t>委员会关切的是，尽管缔约国作出了努力，但其失业率仍然很高，特别是一直存在的长期失业现象，地区之间存在着严重差别。它尤其关注的是妇女的失业率以及年轻人令人震惊的高失业率</w:t>
      </w:r>
      <w:r>
        <w:rPr>
          <w:lang w:val="en-GB"/>
        </w:rPr>
        <w:t>(</w:t>
      </w:r>
      <w:r>
        <w:rPr>
          <w:lang w:val="en-GB"/>
        </w:rPr>
        <w:t>第六条</w:t>
      </w:r>
      <w:r>
        <w:rPr>
          <w:lang w:val="en-GB"/>
        </w:rPr>
        <w:t>)</w:t>
      </w:r>
      <w:r>
        <w:rPr>
          <w:lang w:val="en-GB"/>
        </w:rPr>
        <w:t>。</w:t>
      </w:r>
    </w:p>
    <w:p w:rsidR="00492196" w:rsidRDefault="00492196">
      <w:pPr>
        <w:pStyle w:val="SingleTxtGC"/>
        <w:rPr>
          <w:rFonts w:eastAsia="SimHei"/>
          <w:lang w:val="en-GB"/>
        </w:rPr>
      </w:pPr>
      <w:r>
        <w:rPr>
          <w:rFonts w:eastAsia="SimHei"/>
          <w:lang w:val="en-GB"/>
        </w:rPr>
        <w:t>委员会建议缔约国加紧努力减少失业，特别是长期失业，以及缔约国境内存在的地区间差异。委员会还建议缔约国采取适当措施改善妇女的就业情况，并为年轻人进入劳动市场提供便利。委员会提醒缔约国注意其关于工作权的第</w:t>
      </w:r>
      <w:r>
        <w:rPr>
          <w:rFonts w:eastAsia="SimHei"/>
          <w:lang w:val="en-GB"/>
        </w:rPr>
        <w:t>18(2005)</w:t>
      </w:r>
      <w:r>
        <w:rPr>
          <w:rFonts w:eastAsia="SimHei"/>
          <w:lang w:val="en-GB"/>
        </w:rPr>
        <w:t>号一般性意见。</w:t>
      </w:r>
    </w:p>
    <w:p w:rsidR="00492196" w:rsidRDefault="00492196">
      <w:pPr>
        <w:pStyle w:val="SingleTxtGC"/>
        <w:rPr>
          <w:lang w:val="en-GB"/>
        </w:rPr>
      </w:pPr>
      <w:r>
        <w:rPr>
          <w:lang w:val="en-GB"/>
        </w:rPr>
        <w:t xml:space="preserve">13.  </w:t>
      </w:r>
      <w:r>
        <w:rPr>
          <w:lang w:val="en-GB"/>
        </w:rPr>
        <w:t>委员会关切的是弱势和边缘化群体，特别是罗姆人和残疾人的高失业率，然而，却没有关于为减少罗姆人和残疾人失业所采取措施的效果的资料。委员会还关切的是，寻求庇护者要等待一年才能获得工作许可</w:t>
      </w:r>
      <w:r>
        <w:rPr>
          <w:lang w:val="en-GB"/>
        </w:rPr>
        <w:t>(</w:t>
      </w:r>
      <w:r>
        <w:rPr>
          <w:lang w:val="en-GB"/>
        </w:rPr>
        <w:t>第六条</w:t>
      </w:r>
      <w:r>
        <w:rPr>
          <w:lang w:val="en-GB"/>
        </w:rPr>
        <w:t>)</w:t>
      </w:r>
      <w:r>
        <w:rPr>
          <w:lang w:val="en-GB"/>
        </w:rPr>
        <w:t>。</w:t>
      </w:r>
    </w:p>
    <w:p w:rsidR="00492196" w:rsidRDefault="00492196">
      <w:pPr>
        <w:pStyle w:val="SingleTxtGC"/>
        <w:rPr>
          <w:rFonts w:eastAsia="SimHei"/>
          <w:lang w:val="en-GB"/>
        </w:rPr>
      </w:pPr>
      <w:r>
        <w:rPr>
          <w:rFonts w:eastAsia="SimHei"/>
          <w:lang w:val="en-GB"/>
        </w:rPr>
        <w:t>委员会建议缔约国加紧努力为罗姆人进入劳动市场提供便利，特别是要确保切实执行其《罗姆人融合战略》和有关行动计划。它还建议缔约国采取适当措施修改法规，允许寻求庇护者在一年内获得工作许可。在这方面，委员会建议缔约国没有任何歧视地承认寻求庇护者的学术资格和工作经验。委员会还建议缔约国确保切实执行为公司规定残疾人就业指标的法规。</w:t>
      </w:r>
    </w:p>
    <w:p w:rsidR="00492196" w:rsidRDefault="00492196">
      <w:pPr>
        <w:pStyle w:val="SingleTxtGC"/>
        <w:rPr>
          <w:lang w:val="en-GB"/>
        </w:rPr>
      </w:pPr>
      <w:r>
        <w:rPr>
          <w:lang w:val="en-GB"/>
        </w:rPr>
        <w:t xml:space="preserve">14.  </w:t>
      </w:r>
      <w:r>
        <w:rPr>
          <w:lang w:val="en-GB"/>
        </w:rPr>
        <w:t>委员会仍然关切的是从事相同和同等价值工作的男女人员的工资差距，而且，在缔约国，这种工资差距一直在迅速扩大</w:t>
      </w:r>
      <w:r>
        <w:rPr>
          <w:lang w:val="en-GB"/>
        </w:rPr>
        <w:t>(</w:t>
      </w:r>
      <w:r>
        <w:rPr>
          <w:lang w:val="en-GB"/>
        </w:rPr>
        <w:t>第七条</w:t>
      </w:r>
      <w:r>
        <w:rPr>
          <w:lang w:val="en-GB"/>
        </w:rPr>
        <w:t>)</w:t>
      </w:r>
      <w:r>
        <w:rPr>
          <w:lang w:val="en-GB"/>
        </w:rPr>
        <w:t>。</w:t>
      </w:r>
    </w:p>
    <w:p w:rsidR="00492196" w:rsidRDefault="00492196">
      <w:pPr>
        <w:pStyle w:val="SingleTxtGC"/>
        <w:rPr>
          <w:rFonts w:eastAsia="SimHei"/>
          <w:lang w:val="en-GB"/>
        </w:rPr>
      </w:pPr>
      <w:r>
        <w:rPr>
          <w:rFonts w:eastAsia="SimHei"/>
          <w:lang w:val="en-GB"/>
        </w:rPr>
        <w:t>委员会建议缔约国加倍努力消除长期存在的从事相同和同等价值工作的男女人员之间的巨大工资差距，特别是要确保切实执行现行法律，包括《劳工法》和《反歧视法》，更多进行检查，实行为此目的规定的惩罚。</w:t>
      </w:r>
    </w:p>
    <w:p w:rsidR="00492196" w:rsidRDefault="00492196">
      <w:pPr>
        <w:pStyle w:val="SingleTxtGC"/>
        <w:rPr>
          <w:lang w:val="en-GB"/>
        </w:rPr>
      </w:pPr>
      <w:r>
        <w:rPr>
          <w:lang w:val="en-GB"/>
        </w:rPr>
        <w:t xml:space="preserve">15.  </w:t>
      </w:r>
      <w:r>
        <w:rPr>
          <w:lang w:val="en-GB"/>
        </w:rPr>
        <w:t>委员会关切的是，缔约国规定的最低工资不足以确保工人及其家庭的体面生活水平，尽管缔约国在这方面作出了努力</w:t>
      </w:r>
      <w:r>
        <w:rPr>
          <w:lang w:val="en-GB"/>
        </w:rPr>
        <w:t>(</w:t>
      </w:r>
      <w:r>
        <w:rPr>
          <w:lang w:val="en-GB"/>
        </w:rPr>
        <w:t>第七条</w:t>
      </w:r>
      <w:r>
        <w:rPr>
          <w:lang w:val="en-GB"/>
        </w:rPr>
        <w:t>)</w:t>
      </w:r>
      <w:r>
        <w:rPr>
          <w:lang w:val="en-GB"/>
        </w:rPr>
        <w:t>。</w:t>
      </w:r>
    </w:p>
    <w:p w:rsidR="00492196" w:rsidRDefault="00492196">
      <w:pPr>
        <w:pStyle w:val="SingleTxtGC"/>
        <w:rPr>
          <w:rFonts w:eastAsia="SimHei"/>
          <w:lang w:val="en-GB"/>
        </w:rPr>
      </w:pPr>
      <w:r>
        <w:rPr>
          <w:rFonts w:eastAsia="SimHei"/>
          <w:lang w:val="en-GB"/>
        </w:rPr>
        <w:t>委员会重申以前的建议，即缔约国规定足以保证工作人员及其家庭体面生活水平的最低工资。</w:t>
      </w:r>
    </w:p>
    <w:p w:rsidR="00492196" w:rsidRDefault="00492196">
      <w:pPr>
        <w:pStyle w:val="SingleTxtGC"/>
        <w:rPr>
          <w:lang w:val="en-GB"/>
        </w:rPr>
      </w:pPr>
      <w:r>
        <w:rPr>
          <w:lang w:val="en-GB"/>
        </w:rPr>
        <w:t xml:space="preserve">16.  </w:t>
      </w:r>
      <w:r>
        <w:rPr>
          <w:lang w:val="en-GB"/>
        </w:rPr>
        <w:t>委员会关切的是缔约国非常高的性骚扰发生率，通常是对妇女，尽管缔约国为防止这种骚扰采取了法律措施和提高认识的措施</w:t>
      </w:r>
      <w:r>
        <w:rPr>
          <w:lang w:val="en-GB"/>
        </w:rPr>
        <w:t>(</w:t>
      </w:r>
      <w:r>
        <w:rPr>
          <w:lang w:val="en-GB"/>
        </w:rPr>
        <w:t>第七条</w:t>
      </w:r>
      <w:r>
        <w:rPr>
          <w:lang w:val="en-GB"/>
        </w:rPr>
        <w:t>)</w:t>
      </w:r>
      <w:r>
        <w:rPr>
          <w:lang w:val="en-GB"/>
        </w:rPr>
        <w:t>。</w:t>
      </w:r>
    </w:p>
    <w:p w:rsidR="00492196" w:rsidRDefault="00492196">
      <w:pPr>
        <w:pStyle w:val="SingleTxtGC"/>
        <w:rPr>
          <w:rFonts w:eastAsia="SimHei"/>
          <w:lang w:val="en-GB"/>
        </w:rPr>
      </w:pPr>
      <w:r>
        <w:rPr>
          <w:rFonts w:eastAsia="SimHei"/>
          <w:lang w:val="en-GB"/>
        </w:rPr>
        <w:t>委员会建议缔约国切实执行反性骚扰的法律，同时采取更多预防和保护措施打击工作场所对妇女的性骚扰行为。</w:t>
      </w:r>
    </w:p>
    <w:p w:rsidR="00492196" w:rsidRDefault="00492196">
      <w:pPr>
        <w:pStyle w:val="SingleTxtGC"/>
        <w:rPr>
          <w:lang w:val="en-GB"/>
        </w:rPr>
      </w:pPr>
      <w:r>
        <w:rPr>
          <w:lang w:val="en-GB"/>
        </w:rPr>
        <w:t xml:space="preserve">17.  </w:t>
      </w:r>
      <w:r>
        <w:rPr>
          <w:lang w:val="en-GB"/>
        </w:rPr>
        <w:t>委员会关切的是对某些类公务员罢工的过度法律限制</w:t>
      </w:r>
      <w:r>
        <w:rPr>
          <w:lang w:val="en-GB"/>
        </w:rPr>
        <w:t>(</w:t>
      </w:r>
      <w:r>
        <w:rPr>
          <w:lang w:val="en-GB"/>
        </w:rPr>
        <w:t>第八条</w:t>
      </w:r>
      <w:r>
        <w:rPr>
          <w:lang w:val="en-GB"/>
        </w:rPr>
        <w:t>)</w:t>
      </w:r>
      <w:r>
        <w:rPr>
          <w:lang w:val="en-GB"/>
        </w:rPr>
        <w:t>。</w:t>
      </w:r>
    </w:p>
    <w:p w:rsidR="00492196" w:rsidRDefault="00492196">
      <w:pPr>
        <w:pStyle w:val="SingleTxtGC"/>
        <w:rPr>
          <w:rFonts w:eastAsia="SimHei"/>
          <w:lang w:val="en-GB"/>
        </w:rPr>
      </w:pPr>
      <w:r>
        <w:rPr>
          <w:rFonts w:eastAsia="SimHei"/>
          <w:lang w:val="en-GB"/>
        </w:rPr>
        <w:t>委员会建议缔约国修改其法规，允许这些类公务员更充分行使其罢工权利，特别是要修改</w:t>
      </w:r>
      <w:r>
        <w:rPr>
          <w:rFonts w:eastAsia="SimHei"/>
          <w:lang w:val="en-GB"/>
        </w:rPr>
        <w:t>1991</w:t>
      </w:r>
      <w:r>
        <w:rPr>
          <w:rFonts w:eastAsia="SimHei"/>
          <w:lang w:val="en-GB"/>
        </w:rPr>
        <w:t>年第</w:t>
      </w:r>
      <w:r>
        <w:rPr>
          <w:rFonts w:eastAsia="SimHei"/>
          <w:lang w:val="en-GB"/>
        </w:rPr>
        <w:t>2</w:t>
      </w:r>
      <w:r>
        <w:rPr>
          <w:rFonts w:eastAsia="SimHei"/>
          <w:lang w:val="en-GB"/>
        </w:rPr>
        <w:t>号法案。</w:t>
      </w:r>
    </w:p>
    <w:p w:rsidR="00492196" w:rsidRDefault="00492196">
      <w:pPr>
        <w:pStyle w:val="SingleTxtGC"/>
        <w:rPr>
          <w:lang w:val="en-GB"/>
        </w:rPr>
      </w:pPr>
      <w:r>
        <w:rPr>
          <w:lang w:val="en-GB"/>
        </w:rPr>
        <w:t xml:space="preserve">18.  </w:t>
      </w:r>
      <w:r>
        <w:rPr>
          <w:lang w:val="en-GB"/>
        </w:rPr>
        <w:t>委员会仍然关切的是持续存在的家庭暴力现象，特别是对妇女。委员会还关切的是，家庭暴力行为不构成犯罪</w:t>
      </w:r>
      <w:r>
        <w:rPr>
          <w:lang w:val="en-GB"/>
        </w:rPr>
        <w:t>(</w:t>
      </w:r>
      <w:r>
        <w:rPr>
          <w:lang w:val="en-GB"/>
        </w:rPr>
        <w:t>第十条</w:t>
      </w:r>
      <w:r>
        <w:rPr>
          <w:lang w:val="en-GB"/>
        </w:rPr>
        <w:t>)</w:t>
      </w:r>
      <w:r>
        <w:rPr>
          <w:lang w:val="en-GB"/>
        </w:rPr>
        <w:t>。</w:t>
      </w:r>
    </w:p>
    <w:p w:rsidR="00492196" w:rsidRDefault="00492196">
      <w:pPr>
        <w:pStyle w:val="SingleTxtGC"/>
        <w:rPr>
          <w:rFonts w:eastAsia="SimHei"/>
          <w:lang w:val="en-GB"/>
        </w:rPr>
      </w:pPr>
      <w:r>
        <w:rPr>
          <w:rFonts w:eastAsia="SimHei"/>
          <w:lang w:val="en-GB"/>
        </w:rPr>
        <w:t>委员会建议缔约国修改其法规，规定家庭暴力行为是一种犯罪，加强努力预防和打击家庭暴力行为，特别是对妇女的暴力行为。</w:t>
      </w:r>
    </w:p>
    <w:p w:rsidR="00492196" w:rsidRDefault="00492196">
      <w:pPr>
        <w:pStyle w:val="SingleTxtGC"/>
        <w:rPr>
          <w:lang w:val="en-GB"/>
        </w:rPr>
      </w:pPr>
      <w:r>
        <w:rPr>
          <w:lang w:val="en-GB"/>
        </w:rPr>
        <w:t xml:space="preserve">19.  </w:t>
      </w:r>
      <w:r>
        <w:rPr>
          <w:lang w:val="en-GB"/>
        </w:rPr>
        <w:t>委员会关切地注意到，在缔约国全境，仍然存在着以性剥削等为目的的贩运人口，特别是贩运妇女和女孩的活动</w:t>
      </w:r>
      <w:r>
        <w:rPr>
          <w:lang w:val="en-GB"/>
        </w:rPr>
        <w:t>(</w:t>
      </w:r>
      <w:r>
        <w:rPr>
          <w:lang w:val="en-GB"/>
        </w:rPr>
        <w:t>第十条</w:t>
      </w:r>
      <w:r>
        <w:rPr>
          <w:lang w:val="en-GB"/>
        </w:rPr>
        <w:t>)</w:t>
      </w:r>
      <w:r>
        <w:rPr>
          <w:lang w:val="en-GB"/>
        </w:rPr>
        <w:t>。</w:t>
      </w:r>
    </w:p>
    <w:p w:rsidR="00492196" w:rsidRDefault="00492196">
      <w:pPr>
        <w:pStyle w:val="SingleTxtGC"/>
        <w:rPr>
          <w:rFonts w:eastAsia="SimHei"/>
          <w:lang w:val="en-GB"/>
        </w:rPr>
      </w:pPr>
      <w:r>
        <w:rPr>
          <w:rFonts w:eastAsia="SimHei"/>
          <w:lang w:val="en-GB"/>
        </w:rPr>
        <w:t>委员会敦促缔约国为打击以性剥削等为目的的贩运妇女和女孩的活动加强预防和保护措施，特别是要确保切实执行法律，对执法人员和移民官员进行培训。它建议缔约国继续开展公众宣传运动，加强援助受害者和使其恢复正常生活的现有措施，为提交申诉提供便利，起诉和惩罚人贩子。委员会还建议缔约国与邻国合作，防止和打击贩运人口活动。</w:t>
      </w:r>
    </w:p>
    <w:p w:rsidR="00492196" w:rsidRDefault="00492196">
      <w:pPr>
        <w:pStyle w:val="SingleTxtGC"/>
        <w:rPr>
          <w:lang w:val="en-GB"/>
        </w:rPr>
      </w:pPr>
      <w:r>
        <w:rPr>
          <w:lang w:val="en-GB"/>
        </w:rPr>
        <w:t xml:space="preserve">20.  </w:t>
      </w:r>
      <w:r>
        <w:rPr>
          <w:lang w:val="en-GB"/>
        </w:rPr>
        <w:t>委员会关切的是，相当部分人口仍然生活在贫困线之下，这类人在其人口的弱势和边缘化群体中所占比例仍然很大，其中包括罗姆人</w:t>
      </w:r>
      <w:r>
        <w:rPr>
          <w:lang w:val="en-GB"/>
        </w:rPr>
        <w:t>(</w:t>
      </w:r>
      <w:r>
        <w:rPr>
          <w:lang w:val="en-GB"/>
        </w:rPr>
        <w:t>第十一条</w:t>
      </w:r>
      <w:r>
        <w:rPr>
          <w:lang w:val="en-GB"/>
        </w:rPr>
        <w:t>)</w:t>
      </w:r>
      <w:r>
        <w:rPr>
          <w:lang w:val="en-GB"/>
        </w:rPr>
        <w:t>。</w:t>
      </w:r>
    </w:p>
    <w:p w:rsidR="00492196" w:rsidRDefault="00492196">
      <w:pPr>
        <w:pStyle w:val="SingleTxtGC"/>
        <w:rPr>
          <w:rFonts w:eastAsia="SimHei"/>
          <w:lang w:val="en-GB"/>
        </w:rPr>
      </w:pPr>
      <w:r>
        <w:rPr>
          <w:rFonts w:eastAsia="SimHei"/>
          <w:lang w:val="en-GB"/>
        </w:rPr>
        <w:t>委员会强烈敦促缔约国加强努力与贫困作斗争，特别是要解决最弱势和边缘化群体，包括罗姆人的贫困问题，缩小地区之间的差异。在这方面，它要提醒缔约国注意其关于贫困与《经济、社会、文化权利国际公约》的宣言</w:t>
      </w:r>
      <w:r>
        <w:rPr>
          <w:rFonts w:eastAsia="SimHei"/>
          <w:lang w:val="en-GB"/>
        </w:rPr>
        <w:t>(E/C.12/2001/10)</w:t>
      </w:r>
      <w:r>
        <w:rPr>
          <w:rFonts w:eastAsia="SimHei"/>
          <w:lang w:val="en-GB"/>
        </w:rPr>
        <w:t>。</w:t>
      </w:r>
    </w:p>
    <w:p w:rsidR="00492196" w:rsidRDefault="00492196">
      <w:pPr>
        <w:pStyle w:val="SingleTxtGC"/>
        <w:rPr>
          <w:lang w:val="en-GB"/>
        </w:rPr>
      </w:pPr>
      <w:r>
        <w:rPr>
          <w:lang w:val="en-GB"/>
        </w:rPr>
        <w:t xml:space="preserve">21.  </w:t>
      </w:r>
      <w:r>
        <w:rPr>
          <w:lang w:val="en-GB"/>
        </w:rPr>
        <w:t>委员会关切的是，在缔约国，仍然不是人口各阶层都能获得充足和安全的水，特别是对最弱势和边缘化群体和农村人口而言</w:t>
      </w:r>
      <w:r>
        <w:rPr>
          <w:lang w:val="en-GB"/>
        </w:rPr>
        <w:t>(</w:t>
      </w:r>
      <w:r>
        <w:rPr>
          <w:lang w:val="en-GB"/>
        </w:rPr>
        <w:t>第十一条</w:t>
      </w:r>
      <w:r>
        <w:rPr>
          <w:lang w:val="en-GB"/>
        </w:rPr>
        <w:t>)</w:t>
      </w:r>
      <w:r>
        <w:rPr>
          <w:lang w:val="en-GB"/>
        </w:rPr>
        <w:t>。</w:t>
      </w:r>
    </w:p>
    <w:p w:rsidR="00492196" w:rsidRDefault="00492196">
      <w:pPr>
        <w:pStyle w:val="SingleTxtGC"/>
        <w:rPr>
          <w:rFonts w:eastAsia="SimHei" w:hint="eastAsia"/>
          <w:lang w:val="en-GB"/>
        </w:rPr>
      </w:pPr>
      <w:r>
        <w:rPr>
          <w:rFonts w:eastAsia="SimHei"/>
          <w:lang w:val="en-GB"/>
        </w:rPr>
        <w:t>委员会建议缔约国采取必要措施，为所有人口，包括农村居民，提供充足、安全的水和卫生服务设施。委员会还鼓励缔约国按照其关于水权的第</w:t>
      </w:r>
      <w:r>
        <w:rPr>
          <w:rFonts w:eastAsia="SimHei"/>
          <w:lang w:val="en-GB"/>
        </w:rPr>
        <w:t>15(2002)</w:t>
      </w:r>
      <w:r>
        <w:rPr>
          <w:rFonts w:eastAsia="SimHei"/>
          <w:lang w:val="en-GB"/>
        </w:rPr>
        <w:t>号一般性意见继续进行已经开始的有关项目，并在下次报告中说明进展情况。</w:t>
      </w:r>
    </w:p>
    <w:p w:rsidR="00492196" w:rsidRDefault="00492196">
      <w:pPr>
        <w:pStyle w:val="SingleTxtGC"/>
        <w:rPr>
          <w:rFonts w:hint="eastAsia"/>
          <w:lang w:val="en-GB"/>
        </w:rPr>
      </w:pPr>
      <w:r>
        <w:rPr>
          <w:lang w:val="en-GB"/>
        </w:rPr>
        <w:t>22.</w:t>
      </w:r>
      <w:r>
        <w:rPr>
          <w:rFonts w:hint="eastAsia"/>
          <w:lang w:val="en-GB"/>
        </w:rPr>
        <w:t xml:space="preserve">  </w:t>
      </w:r>
      <w:r>
        <w:rPr>
          <w:lang w:val="en-GB"/>
        </w:rPr>
        <w:t>委员会关切的是，缔约国人口中的某些群体，特别是最弱势和边缘化的群体，包括罗姆人，仍然不能得到适足的住房。它还关切的是，据报告，许多罗姆人被强迫搬迁</w:t>
      </w:r>
      <w:r>
        <w:rPr>
          <w:lang w:val="en-GB"/>
        </w:rPr>
        <w:t>(</w:t>
      </w:r>
      <w:r>
        <w:rPr>
          <w:lang w:val="en-GB"/>
        </w:rPr>
        <w:t>第十一条</w:t>
      </w:r>
      <w:r>
        <w:rPr>
          <w:lang w:val="en-GB"/>
        </w:rPr>
        <w:t>)</w:t>
      </w:r>
      <w:r>
        <w:rPr>
          <w:lang w:val="en-GB"/>
        </w:rPr>
        <w:t>。</w:t>
      </w:r>
    </w:p>
    <w:p w:rsidR="00492196" w:rsidRDefault="00492196">
      <w:pPr>
        <w:pStyle w:val="SingleTxtGC"/>
        <w:rPr>
          <w:rFonts w:eastAsia="SimHei" w:hint="eastAsia"/>
          <w:lang w:val="en-GB"/>
        </w:rPr>
      </w:pPr>
      <w:r>
        <w:rPr>
          <w:rFonts w:eastAsia="SimHei"/>
          <w:lang w:val="en-GB"/>
        </w:rPr>
        <w:t>委员会建议缔约国确保执行</w:t>
      </w:r>
      <w:r>
        <w:rPr>
          <w:rFonts w:eastAsia="SimHei"/>
          <w:lang w:val="en-GB"/>
        </w:rPr>
        <w:t>2010</w:t>
      </w:r>
      <w:r>
        <w:rPr>
          <w:rFonts w:eastAsia="SimHei"/>
          <w:lang w:val="en-GB"/>
        </w:rPr>
        <w:t>年鼓励建设低成本住房的法案，推行其社会住房建设方案，优先考虑</w:t>
      </w:r>
      <w:r>
        <w:rPr>
          <w:rFonts w:eastAsia="SimHei" w:hint="eastAsia"/>
          <w:lang w:val="en-GB"/>
        </w:rPr>
        <w:t>向</w:t>
      </w:r>
      <w:r>
        <w:rPr>
          <w:rFonts w:eastAsia="SimHei"/>
          <w:lang w:val="en-GB"/>
        </w:rPr>
        <w:t>弱势和边缘化群体，特别是罗姆人分配住房。委员会提醒缔约国注意其关于适足住房权利的第</w:t>
      </w:r>
      <w:r>
        <w:rPr>
          <w:rFonts w:eastAsia="SimHei"/>
          <w:lang w:val="en-GB"/>
        </w:rPr>
        <w:t>4</w:t>
      </w:r>
      <w:r>
        <w:rPr>
          <w:rFonts w:eastAsia="SimHei"/>
          <w:lang w:val="en-GB"/>
        </w:rPr>
        <w:t>号一般性意见。它还建议缔约国避免在没有协商和提供替代住所的情况下允许强迫罗姆人搬迁。委员会还提请缔约国注意其关于强迫搬迁问题的第</w:t>
      </w:r>
      <w:r>
        <w:rPr>
          <w:rFonts w:eastAsia="SimHei"/>
          <w:lang w:val="en-GB"/>
        </w:rPr>
        <w:t>7(1997)</w:t>
      </w:r>
      <w:r>
        <w:rPr>
          <w:rFonts w:eastAsia="SimHei"/>
          <w:lang w:val="en-GB"/>
        </w:rPr>
        <w:t>号一般性意见。</w:t>
      </w:r>
    </w:p>
    <w:p w:rsidR="00492196" w:rsidRDefault="00492196">
      <w:pPr>
        <w:pStyle w:val="SingleTxtGC"/>
        <w:rPr>
          <w:rFonts w:hint="eastAsia"/>
          <w:lang w:val="en-GB"/>
        </w:rPr>
      </w:pPr>
      <w:r>
        <w:rPr>
          <w:lang w:val="en-GB"/>
        </w:rPr>
        <w:t>23.</w:t>
      </w:r>
      <w:r>
        <w:rPr>
          <w:rFonts w:hint="eastAsia"/>
          <w:lang w:val="en-GB"/>
        </w:rPr>
        <w:t xml:space="preserve">  </w:t>
      </w:r>
      <w:r>
        <w:rPr>
          <w:lang w:val="en-GB"/>
        </w:rPr>
        <w:t>委员会仍然关切的是缔约国烟草的高使用率及其对健康的影响，特别是对年轻人的影响，尽管缔约国为与吸烟作斗争采取了许多法律措施，开展了提高认识的宣传运动</w:t>
      </w:r>
      <w:r>
        <w:rPr>
          <w:lang w:val="en-GB"/>
        </w:rPr>
        <w:t>(</w:t>
      </w:r>
      <w:r>
        <w:rPr>
          <w:lang w:val="en-GB"/>
        </w:rPr>
        <w:t>第十二条</w:t>
      </w:r>
      <w:r>
        <w:rPr>
          <w:lang w:val="en-GB"/>
        </w:rPr>
        <w:t>)</w:t>
      </w:r>
      <w:r>
        <w:rPr>
          <w:lang w:val="en-GB"/>
        </w:rPr>
        <w:t>。</w:t>
      </w:r>
    </w:p>
    <w:p w:rsidR="00492196" w:rsidRDefault="00492196">
      <w:pPr>
        <w:pStyle w:val="SingleTxtGC"/>
        <w:rPr>
          <w:rFonts w:eastAsia="SimHei" w:hint="eastAsia"/>
          <w:lang w:val="en-GB"/>
        </w:rPr>
      </w:pPr>
      <w:r>
        <w:rPr>
          <w:rFonts w:eastAsia="SimHei"/>
          <w:lang w:val="en-GB"/>
        </w:rPr>
        <w:t>委员会强烈建议缔约国加强努力与吸烟作斗争，同时解决其影响问题，特别是对年轻人的影响。委员会敦促缔约国确保切实执行其禁烟法，并加强这方面的宣传运动。委员会还建议缔约国为与吸烟作斗争通过一项全面的国家计划或战略，其中要包括医疗保健条款。</w:t>
      </w:r>
    </w:p>
    <w:p w:rsidR="00492196" w:rsidRDefault="00492196">
      <w:pPr>
        <w:pStyle w:val="SingleTxtGC"/>
        <w:rPr>
          <w:rFonts w:hint="eastAsia"/>
          <w:lang w:val="en-GB"/>
        </w:rPr>
      </w:pPr>
      <w:r>
        <w:rPr>
          <w:lang w:val="en-GB"/>
        </w:rPr>
        <w:t>24.</w:t>
      </w:r>
      <w:r>
        <w:rPr>
          <w:rFonts w:hint="eastAsia"/>
          <w:lang w:val="en-GB"/>
        </w:rPr>
        <w:t xml:space="preserve">  </w:t>
      </w:r>
      <w:r>
        <w:rPr>
          <w:lang w:val="en-GB"/>
        </w:rPr>
        <w:t>委员会关切的是，</w:t>
      </w:r>
      <w:r>
        <w:rPr>
          <w:lang w:val="en-GB"/>
        </w:rPr>
        <w:t>2011</w:t>
      </w:r>
      <w:r>
        <w:rPr>
          <w:lang w:val="en-GB"/>
        </w:rPr>
        <w:t>年</w:t>
      </w:r>
      <w:r>
        <w:rPr>
          <w:lang w:val="en-GB"/>
        </w:rPr>
        <w:t>9</w:t>
      </w:r>
      <w:r>
        <w:rPr>
          <w:lang w:val="en-GB"/>
        </w:rPr>
        <w:t>月通过的新《社会保障法》缩小了生育和性健康方面的覆盖范围，特别是在开避孕药，包括最新药品的处方方面。委员会还关切的是，作流产病人个人资料的保密没有保障。委员会还关切的是流产费用越来越高</w:t>
      </w:r>
      <w:r>
        <w:rPr>
          <w:lang w:val="en-GB"/>
        </w:rPr>
        <w:t>(</w:t>
      </w:r>
      <w:r>
        <w:rPr>
          <w:lang w:val="en-GB"/>
        </w:rPr>
        <w:t>第十二条</w:t>
      </w:r>
      <w:r>
        <w:rPr>
          <w:lang w:val="en-GB"/>
        </w:rPr>
        <w:t>)</w:t>
      </w:r>
      <w:r>
        <w:rPr>
          <w:lang w:val="en-GB"/>
        </w:rPr>
        <w:t>。</w:t>
      </w:r>
    </w:p>
    <w:p w:rsidR="00492196" w:rsidRDefault="00492196">
      <w:pPr>
        <w:pStyle w:val="SingleTxtGC"/>
        <w:rPr>
          <w:rFonts w:eastAsia="SimHei" w:hint="eastAsia"/>
          <w:lang w:val="en-GB"/>
        </w:rPr>
      </w:pPr>
      <w:r>
        <w:rPr>
          <w:rFonts w:eastAsia="SimHei"/>
          <w:lang w:val="en-GB"/>
        </w:rPr>
        <w:t>委员会建议缔约国扩大公共保险方案的覆盖范围，使其包括生育和性卫生服务，允许开避孕处方，包括最新办法。委员会还建议缔约国确保接受流产的病人个人资料保密。最后，它建议缔约国降低流产服务费。</w:t>
      </w:r>
    </w:p>
    <w:p w:rsidR="00492196" w:rsidRDefault="00492196">
      <w:pPr>
        <w:pStyle w:val="SingleTxtGC"/>
        <w:rPr>
          <w:rFonts w:hint="eastAsia"/>
          <w:lang w:val="en-GB"/>
        </w:rPr>
      </w:pPr>
      <w:r>
        <w:rPr>
          <w:lang w:val="en-GB"/>
        </w:rPr>
        <w:t>25.</w:t>
      </w:r>
      <w:r>
        <w:rPr>
          <w:rFonts w:hint="eastAsia"/>
          <w:lang w:val="en-GB"/>
        </w:rPr>
        <w:t xml:space="preserve">  </w:t>
      </w:r>
      <w:r>
        <w:rPr>
          <w:lang w:val="en-GB"/>
        </w:rPr>
        <w:t>委员会关切的是，据报告，学校课程不包括性卫生和生育卫生教育，也就是说，让学生对早孕和性传染疾病的危险一无所知</w:t>
      </w:r>
      <w:r>
        <w:rPr>
          <w:lang w:val="en-GB"/>
        </w:rPr>
        <w:t>(</w:t>
      </w:r>
      <w:r>
        <w:rPr>
          <w:lang w:val="en-GB"/>
        </w:rPr>
        <w:t>第十二和十三条</w:t>
      </w:r>
      <w:r>
        <w:rPr>
          <w:lang w:val="en-GB"/>
        </w:rPr>
        <w:t>)</w:t>
      </w:r>
      <w:r>
        <w:rPr>
          <w:lang w:val="en-GB"/>
        </w:rPr>
        <w:t>。</w:t>
      </w:r>
    </w:p>
    <w:p w:rsidR="00492196" w:rsidRDefault="00492196">
      <w:pPr>
        <w:pStyle w:val="SingleTxtGC"/>
        <w:rPr>
          <w:rFonts w:eastAsia="SimHei" w:hint="eastAsia"/>
          <w:lang w:val="en-GB"/>
        </w:rPr>
      </w:pPr>
      <w:r>
        <w:rPr>
          <w:rFonts w:eastAsia="SimHei"/>
          <w:lang w:val="en-GB"/>
        </w:rPr>
        <w:t>委员会建议缔约国采取一切适当措施确保学生能在学校接受性卫生和生育卫生教育，以避免与早孕和性传染疾病有关的危险。</w:t>
      </w:r>
    </w:p>
    <w:p w:rsidR="00492196" w:rsidRDefault="00492196">
      <w:pPr>
        <w:pStyle w:val="SingleTxtGC"/>
        <w:rPr>
          <w:rFonts w:hint="eastAsia"/>
          <w:lang w:val="en-GB"/>
        </w:rPr>
      </w:pPr>
      <w:r>
        <w:rPr>
          <w:lang w:val="en-GB"/>
        </w:rPr>
        <w:t>26.</w:t>
      </w:r>
      <w:r>
        <w:rPr>
          <w:rFonts w:hint="eastAsia"/>
          <w:lang w:val="en-GB"/>
        </w:rPr>
        <w:t xml:space="preserve">  </w:t>
      </w:r>
      <w:r>
        <w:rPr>
          <w:lang w:val="en-GB"/>
        </w:rPr>
        <w:t>委员会关切的是，据报告，罗姆儿童仍然是缔约国学校系统隔离政策的受害者；在某些地区，他们没有权利进入正规班，而要进入特殊班，尽管《反歧视法》和《学校法》有规定。委员会还关切的是罗姆儿童的低入学率及其持续的高辍学率。委员会还关切的是学校中对残疾儿童的歧视</w:t>
      </w:r>
      <w:r>
        <w:rPr>
          <w:lang w:val="en-GB"/>
        </w:rPr>
        <w:t>(</w:t>
      </w:r>
      <w:r>
        <w:rPr>
          <w:lang w:val="en-GB"/>
        </w:rPr>
        <w:t>第十三条</w:t>
      </w:r>
      <w:r>
        <w:rPr>
          <w:lang w:val="en-GB"/>
        </w:rPr>
        <w:t>)</w:t>
      </w:r>
      <w:r>
        <w:rPr>
          <w:lang w:val="en-GB"/>
        </w:rPr>
        <w:t>。</w:t>
      </w:r>
    </w:p>
    <w:p w:rsidR="00492196" w:rsidRDefault="00492196">
      <w:pPr>
        <w:pStyle w:val="SingleTxtGC"/>
        <w:rPr>
          <w:rFonts w:eastAsia="SimHei" w:hint="eastAsia"/>
          <w:lang w:val="en-GB"/>
        </w:rPr>
      </w:pPr>
      <w:r>
        <w:rPr>
          <w:rFonts w:eastAsia="SimHei"/>
          <w:lang w:val="en-GB"/>
        </w:rPr>
        <w:t>委员会建议缔约国制定国家战略和行动计划，以提高罗姆儿童的入学率，降低其辍学率。委员会建议缔约国开展宣传运动提高罗姆家庭的认识，并继续实行已经确定的鼓励措施。委员会还建议缔约国与学校中隔离罗姆儿童的现象作斗争，确保切实执行《反歧视法》和《学校法》，增加教师和广大公众对这些法律的了解。它还建议缔约国对残疾儿童教育采取包容态度和办法。委员会提醒缔约国注意其关于受教育权的第</w:t>
      </w:r>
      <w:r>
        <w:rPr>
          <w:rFonts w:eastAsia="SimHei"/>
          <w:lang w:val="en-GB"/>
        </w:rPr>
        <w:t>13(1999)</w:t>
      </w:r>
      <w:r>
        <w:rPr>
          <w:rFonts w:eastAsia="SimHei"/>
          <w:lang w:val="en-GB"/>
        </w:rPr>
        <w:t>号一般性意见。</w:t>
      </w:r>
    </w:p>
    <w:p w:rsidR="00492196" w:rsidRDefault="00492196">
      <w:pPr>
        <w:pStyle w:val="SingleTxtGC"/>
        <w:rPr>
          <w:lang w:val="en-GB"/>
        </w:rPr>
      </w:pPr>
      <w:r>
        <w:rPr>
          <w:lang w:val="en-GB"/>
        </w:rPr>
        <w:t>27.</w:t>
      </w:r>
      <w:r>
        <w:rPr>
          <w:rFonts w:hint="eastAsia"/>
          <w:lang w:val="en-GB"/>
        </w:rPr>
        <w:t xml:space="preserve">  </w:t>
      </w:r>
      <w:r>
        <w:rPr>
          <w:lang w:val="en-GB"/>
        </w:rPr>
        <w:t>委员会关切的是，根据缔约国关于正式国语的法律和关于少数群体语言的法律，所有属于少数群体的公民在与公共行政机构打交道时均可使用自己的语言，但这两项法律的执行还有不足之处，尽管缔约国为便利使用这些语言采取了一些措施</w:t>
      </w:r>
      <w:r>
        <w:rPr>
          <w:lang w:val="en-GB"/>
        </w:rPr>
        <w:t>(</w:t>
      </w:r>
      <w:r>
        <w:rPr>
          <w:lang w:val="en-GB"/>
        </w:rPr>
        <w:t>第十五条</w:t>
      </w:r>
      <w:r>
        <w:rPr>
          <w:lang w:val="en-GB"/>
        </w:rPr>
        <w:t>)</w:t>
      </w:r>
      <w:r>
        <w:rPr>
          <w:lang w:val="en-GB"/>
        </w:rPr>
        <w:t>。</w:t>
      </w:r>
    </w:p>
    <w:p w:rsidR="00492196" w:rsidRDefault="00492196">
      <w:pPr>
        <w:pStyle w:val="SingleTxtGC"/>
        <w:rPr>
          <w:rFonts w:eastAsia="SimHei" w:hint="eastAsia"/>
          <w:lang w:val="en-GB"/>
        </w:rPr>
      </w:pPr>
      <w:r>
        <w:rPr>
          <w:rFonts w:eastAsia="SimHei"/>
          <w:lang w:val="en-GB"/>
        </w:rPr>
        <w:t>委员会建议缔约国采取措施，包括实行惩罚，以确保在有关市政府中切实执行与使用少数群体语言有关的法律。在这方面，委员会提醒缔约国注意其关于每个人参加文化生活的权利的第</w:t>
      </w:r>
      <w:r>
        <w:rPr>
          <w:rFonts w:eastAsia="SimHei"/>
          <w:lang w:val="en-GB"/>
        </w:rPr>
        <w:t>21(2009)</w:t>
      </w:r>
      <w:r>
        <w:rPr>
          <w:rFonts w:eastAsia="SimHei"/>
          <w:lang w:val="en-GB"/>
        </w:rPr>
        <w:t>号一般性意见。</w:t>
      </w:r>
    </w:p>
    <w:p w:rsidR="00492196" w:rsidRDefault="00492196">
      <w:pPr>
        <w:pStyle w:val="SingleTxtGC"/>
        <w:rPr>
          <w:rFonts w:hint="eastAsia"/>
          <w:lang w:val="en-GB"/>
        </w:rPr>
      </w:pPr>
      <w:r>
        <w:rPr>
          <w:lang w:val="en-GB"/>
        </w:rPr>
        <w:t>28.</w:t>
      </w:r>
      <w:r>
        <w:rPr>
          <w:rFonts w:hint="eastAsia"/>
          <w:lang w:val="en-GB"/>
        </w:rPr>
        <w:t xml:space="preserve">  </w:t>
      </w:r>
      <w:r>
        <w:rPr>
          <w:lang w:val="en-GB"/>
        </w:rPr>
        <w:t>委员会请缔约国向社会各阶层，特别是国家官员、司法部门和民间社会组织广泛宣传这些结论性意见，并在下一次定期报告中向委员会通报为落实这些意见所采取的措施。委员会还鼓励缔约国继续让民间社会组织参加下一次定期报告提交前在国家一级进行的讨论。</w:t>
      </w:r>
    </w:p>
    <w:p w:rsidR="00492196" w:rsidRDefault="00492196">
      <w:pPr>
        <w:pStyle w:val="SingleTxtGC"/>
        <w:rPr>
          <w:rFonts w:hint="eastAsia"/>
          <w:lang w:val="en-GB"/>
        </w:rPr>
      </w:pPr>
      <w:r>
        <w:rPr>
          <w:lang w:val="en-GB"/>
        </w:rPr>
        <w:t>29.</w:t>
      </w:r>
      <w:r>
        <w:rPr>
          <w:rFonts w:hint="eastAsia"/>
          <w:lang w:val="en-GB"/>
        </w:rPr>
        <w:t xml:space="preserve">  </w:t>
      </w:r>
      <w:r>
        <w:rPr>
          <w:lang w:val="en-GB"/>
        </w:rPr>
        <w:t>委员会请缔约国按照根据国际人权条约提交报告的协调准则更新本国的核心文件。</w:t>
      </w:r>
    </w:p>
    <w:p w:rsidR="00492196" w:rsidRDefault="00492196">
      <w:pPr>
        <w:pStyle w:val="SingleTxtGC"/>
        <w:rPr>
          <w:rFonts w:hint="eastAsia"/>
          <w:lang w:val="en-GB"/>
        </w:rPr>
      </w:pPr>
      <w:r>
        <w:rPr>
          <w:lang w:val="en-GB"/>
        </w:rPr>
        <w:t>30.</w:t>
      </w:r>
      <w:r>
        <w:rPr>
          <w:rFonts w:hint="eastAsia"/>
          <w:lang w:val="en-GB"/>
        </w:rPr>
        <w:t xml:space="preserve">  </w:t>
      </w:r>
      <w:r>
        <w:rPr>
          <w:lang w:val="en-GB"/>
        </w:rPr>
        <w:t>委员会请缔约国在</w:t>
      </w:r>
      <w:r>
        <w:rPr>
          <w:lang w:val="en-GB"/>
        </w:rPr>
        <w:t>2017</w:t>
      </w:r>
      <w:r>
        <w:rPr>
          <w:lang w:val="en-GB"/>
        </w:rPr>
        <w:t>年</w:t>
      </w:r>
      <w:r>
        <w:rPr>
          <w:lang w:val="en-GB"/>
        </w:rPr>
        <w:t>5</w:t>
      </w:r>
      <w:r>
        <w:rPr>
          <w:lang w:val="en-GB"/>
        </w:rPr>
        <w:t>月</w:t>
      </w:r>
      <w:r>
        <w:rPr>
          <w:lang w:val="en-GB"/>
        </w:rPr>
        <w:t>18</w:t>
      </w:r>
      <w:r>
        <w:rPr>
          <w:lang w:val="en-GB"/>
        </w:rPr>
        <w:t>日前按照委员会</w:t>
      </w:r>
      <w:r>
        <w:rPr>
          <w:lang w:val="en-GB"/>
        </w:rPr>
        <w:t>2008</w:t>
      </w:r>
      <w:r>
        <w:rPr>
          <w:lang w:val="en-GB"/>
        </w:rPr>
        <w:t>年通过的准则</w:t>
      </w:r>
      <w:r>
        <w:rPr>
          <w:lang w:val="en-GB"/>
        </w:rPr>
        <w:t>(E/C.12/2008/2)</w:t>
      </w:r>
      <w:r>
        <w:rPr>
          <w:lang w:val="en-GB"/>
        </w:rPr>
        <w:t>提交下一次定期报告。</w:t>
      </w:r>
    </w:p>
    <w:p w:rsidR="00492196" w:rsidRDefault="00492196">
      <w:pPr>
        <w:pStyle w:val="SingleTxtGC"/>
        <w:rPr>
          <w:rFonts w:hint="eastAsia"/>
          <w:lang w:val="en-GB"/>
        </w:rPr>
      </w:pPr>
    </w:p>
    <w:p w:rsidR="00492196" w:rsidRDefault="0049219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92196" w:rsidRDefault="00492196">
      <w:pPr>
        <w:pStyle w:val="SingleTxtGC"/>
        <w:rPr>
          <w:rFonts w:hint="eastAsia"/>
        </w:rPr>
      </w:pPr>
    </w:p>
    <w:sectPr w:rsidR="0049219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2196" w:rsidRDefault="0049219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92196" w:rsidRDefault="00492196">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196" w:rsidRDefault="0049219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C7513">
      <w:rPr>
        <w:rStyle w:val="PageNumber"/>
        <w:noProof/>
      </w:rPr>
      <w:t>6</w:t>
    </w:r>
    <w:r>
      <w:rPr>
        <w:rStyle w:val="PageNumber"/>
      </w:rPr>
      <w:fldChar w:fldCharType="end"/>
    </w:r>
    <w:r>
      <w:rPr>
        <w:rStyle w:val="PageNumber"/>
        <w:rFonts w:eastAsia="SimSun" w:hint="eastAsia"/>
        <w:lang w:eastAsia="zh-CN"/>
      </w:rPr>
      <w:tab/>
    </w:r>
    <w:r>
      <w:rPr>
        <w:rFonts w:eastAsia="SimSun"/>
        <w:lang w:eastAsia="zh-CN"/>
      </w:rPr>
      <w:t>GE.12-43383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196" w:rsidRDefault="00492196">
    <w:pPr>
      <w:pStyle w:val="Footer"/>
      <w:tabs>
        <w:tab w:val="right" w:pos="9639"/>
      </w:tabs>
    </w:pPr>
    <w:r>
      <w:rPr>
        <w:rFonts w:eastAsia="SimSun"/>
        <w:lang w:eastAsia="zh-CN"/>
      </w:rPr>
      <w:t>GE.12-43383</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196" w:rsidRDefault="00492196">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43383</w:t>
    </w:r>
    <w:r>
      <w:rPr>
        <w:rFonts w:eastAsia="SimSun"/>
        <w:sz w:val="20"/>
        <w:lang w:eastAsia="zh-CN"/>
      </w:rPr>
      <w:t xml:space="preserve"> (C)</w:t>
    </w:r>
    <w:r>
      <w:rPr>
        <w:rFonts w:eastAsia="SimSun"/>
        <w:sz w:val="20"/>
        <w:lang w:eastAsia="zh-CN"/>
      </w:rPr>
      <w:tab/>
    </w:r>
    <w:r>
      <w:rPr>
        <w:rFonts w:eastAsia="SimSun" w:hint="eastAsia"/>
        <w:sz w:val="20"/>
        <w:lang w:eastAsia="zh-CN"/>
      </w:rPr>
      <w:t>220612</w:t>
    </w:r>
    <w:r>
      <w:rPr>
        <w:rFonts w:eastAsia="SimSun"/>
        <w:sz w:val="20"/>
        <w:lang w:eastAsia="zh-CN"/>
      </w:rPr>
      <w:tab/>
    </w:r>
    <w:r>
      <w:rPr>
        <w:rFonts w:eastAsia="SimSun" w:hint="eastAsia"/>
        <w:sz w:val="20"/>
        <w:lang w:eastAsia="zh-CN"/>
      </w:rPr>
      <w:t>290612</w:t>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2196" w:rsidRDefault="00492196">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92196" w:rsidRDefault="00492196">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196" w:rsidRDefault="00492196">
    <w:pPr>
      <w:pStyle w:val="Header"/>
    </w:pPr>
    <w:r>
      <w:t>E/C.12/SVK/CO/2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196" w:rsidRDefault="00492196">
    <w:pPr>
      <w:pStyle w:val="Header"/>
      <w:jc w:val="right"/>
      <w:rPr>
        <w:rFonts w:hint="eastAsia"/>
        <w:lang w:eastAsia="zh-CN"/>
      </w:rPr>
    </w:pPr>
    <w:r>
      <w:rPr>
        <w:lang w:eastAsia="zh-CN"/>
      </w:rPr>
      <w:t>E/C.12/SVK/CO/2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057356"/>
    <w:multiLevelType w:val="hybridMultilevel"/>
    <w:tmpl w:val="9BA469C6"/>
    <w:lvl w:ilvl="0" w:tplc="8F507D34">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32D68B9"/>
    <w:multiLevelType w:val="hybridMultilevel"/>
    <w:tmpl w:val="982EA204"/>
    <w:lvl w:ilvl="0" w:tplc="A4480B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F5B2561"/>
    <w:multiLevelType w:val="hybridMultilevel"/>
    <w:tmpl w:val="5DB8AE28"/>
    <w:lvl w:ilvl="0" w:tplc="A4480B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2"/>
  </w:num>
  <w:num w:numId="13">
    <w:abstractNumId w:val="19"/>
  </w:num>
  <w:num w:numId="14">
    <w:abstractNumId w:val="12"/>
  </w:num>
  <w:num w:numId="15">
    <w:abstractNumId w:val="13"/>
  </w:num>
  <w:num w:numId="16">
    <w:abstractNumId w:val="21"/>
  </w:num>
  <w:num w:numId="17">
    <w:abstractNumId w:val="12"/>
  </w:num>
  <w:num w:numId="18">
    <w:abstractNumId w:val="21"/>
  </w:num>
  <w:num w:numId="19">
    <w:abstractNumId w:val="13"/>
  </w:num>
  <w:num w:numId="20">
    <w:abstractNumId w:val="20"/>
  </w:num>
  <w:num w:numId="21">
    <w:abstractNumId w:val="17"/>
  </w:num>
  <w:num w:numId="22">
    <w:abstractNumId w:val="14"/>
  </w:num>
  <w:num w:numId="23">
    <w:abstractNumId w:val="20"/>
  </w:num>
  <w:num w:numId="24">
    <w:abstractNumId w:val="17"/>
  </w:num>
  <w:num w:numId="25">
    <w:abstractNumId w:val="14"/>
  </w:num>
  <w:num w:numId="26">
    <w:abstractNumId w:val="18"/>
  </w:num>
  <w:num w:numId="27">
    <w:abstractNumId w:val="10"/>
  </w:num>
  <w:num w:numId="28">
    <w:abstractNumId w:val="16"/>
  </w:num>
  <w:num w:numId="29">
    <w:abstractNumId w:val="24"/>
  </w:num>
  <w:num w:numId="30">
    <w:abstractNumId w:val="18"/>
  </w:num>
  <w:num w:numId="31">
    <w:abstractNumId w:val="10"/>
  </w:num>
  <w:num w:numId="32">
    <w:abstractNumId w:val="16"/>
  </w:num>
  <w:num w:numId="33">
    <w:abstractNumId w:val="24"/>
  </w:num>
  <w:num w:numId="34">
    <w:abstractNumId w:val="13"/>
  </w:num>
  <w:num w:numId="35">
    <w:abstractNumId w:val="25"/>
  </w:num>
  <w:num w:numId="36">
    <w:abstractNumId w:val="23"/>
  </w:num>
  <w:num w:numId="37">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2196"/>
    <w:rsid w:val="00492196"/>
    <w:rsid w:val="004C751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pPr>
      <w:spacing w:before="80" w:after="80" w:line="200" w:lineRule="exact"/>
      <w:ind w:left="0" w:right="113"/>
    </w:pPr>
    <w:rPr>
      <w:rFonts w:eastAsia="KaiTi_GB2312"/>
      <w:sz w:val="18"/>
    </w:rPr>
  </w:style>
  <w:style w:type="paragraph" w:customStyle="1" w:styleId="a0">
    <w:name w:val="表中文字"/>
    <w:basedOn w:val="SingleTxtGC"/>
    <w:pPr>
      <w:spacing w:before="40" w:line="240" w:lineRule="atLeast"/>
      <w:ind w:left="0" w:right="113"/>
    </w:pPr>
    <w:rPr>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pPr>
      <w:tabs>
        <w:tab w:val="right" w:pos="1021"/>
      </w:tabs>
    </w:pPr>
  </w:style>
  <w:style w:type="character" w:styleId="EndnoteReference">
    <w:name w:val="endnote reference"/>
    <w:basedOn w:val="FootnoteReference"/>
  </w:style>
  <w:style w:type="paragraph" w:customStyle="1" w:styleId="a3">
    <w:name w:val="悬挂"/>
    <w:basedOn w:val="SingleTxtGC"/>
    <w:pPr>
      <w:ind w:left="1565" w:hanging="431"/>
    </w:pPr>
  </w:style>
  <w:style w:type="paragraph" w:customStyle="1" w:styleId="SingleTxtGC">
    <w:name w:val="_ Single Txt_GC"/>
    <w:basedOn w:val="Normal"/>
    <w:pPr>
      <w:tabs>
        <w:tab w:val="left" w:pos="1134"/>
        <w:tab w:val="left" w:pos="1565"/>
        <w:tab w:val="left" w:pos="1996"/>
        <w:tab w:val="left" w:pos="2427"/>
      </w:tabs>
      <w:spacing w:after="120"/>
      <w:ind w:left="1134" w:right="1134"/>
    </w:pPr>
  </w:style>
  <w:style w:type="paragraph" w:customStyle="1" w:styleId="DashGC">
    <w:name w:val="_Dash_GC"/>
    <w:basedOn w:val="Normal"/>
    <w:pPr>
      <w:numPr>
        <w:numId w:val="34"/>
      </w:numPr>
      <w:spacing w:after="120"/>
      <w:ind w:right="1134"/>
    </w:pPr>
    <w:rPr>
      <w:lang w:val="fr-CH"/>
    </w:r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basedOn w:val="DefaultParagraphFont"/>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pPr>
      <w:spacing w:before="40" w:after="40" w:line="240" w:lineRule="atLeast"/>
      <w:ind w:left="0" w:right="113"/>
    </w:pPr>
    <w:rPr>
      <w:sz w:val="18"/>
    </w:rPr>
  </w:style>
  <w:style w:type="paragraph" w:customStyle="1" w:styleId="Bullet1GC">
    <w:name w:val="_Bullet 1_GC"/>
    <w:basedOn w:val="Normal"/>
    <w:pPr>
      <w:numPr>
        <w:numId w:val="17"/>
      </w:numPr>
      <w:spacing w:after="120"/>
      <w:ind w:right="1134"/>
    </w:pPr>
  </w:style>
  <w:style w:type="paragraph" w:customStyle="1" w:styleId="Bullet2GC">
    <w:name w:val="_Bullet 2_GC"/>
    <w:basedOn w:val="Normal"/>
    <w:pPr>
      <w:numPr>
        <w:numId w:val="18"/>
      </w:numPr>
      <w:tabs>
        <w:tab w:val="left" w:pos="1134"/>
        <w:tab w:val="left" w:pos="1565"/>
        <w:tab w:val="left" w:pos="1996"/>
      </w:tabs>
      <w:spacing w:after="120"/>
      <w:ind w:right="1134"/>
    </w:p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pPr>
      <w:ind w:left="1565"/>
    </w:p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6</Pages>
  <Words>789</Words>
  <Characters>4503</Characters>
  <Application>Microsoft Office Outlook</Application>
  <DocSecurity>4</DocSecurity>
  <Lines>37</Lines>
  <Paragraphs>10</Paragraphs>
  <ScaleCrop>false</ScaleCrop>
  <Company>CSD</Company>
  <LinksUpToDate>false</LinksUpToDate>
  <CharactersWithSpaces>5282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GUAN</dc:creator>
  <cp:keywords/>
  <dc:description/>
  <cp:lastModifiedBy>TIAN</cp:lastModifiedBy>
  <cp:revision>2</cp:revision>
  <cp:lastPrinted>2012-06-25T14:16:00Z</cp:lastPrinted>
  <dcterms:created xsi:type="dcterms:W3CDTF">2012-06-29T08:38:00Z</dcterms:created>
  <dcterms:modified xsi:type="dcterms:W3CDTF">2012-06-29T08:38:00Z</dcterms:modified>
</cp:coreProperties>
</file>