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C0A8F" w:rsidRDefault="00EC0A8F" w:rsidP="00EC0A8F">
      <w:pPr>
        <w:spacing w:line="240" w:lineRule="auto"/>
        <w:rPr>
          <w:sz w:val="2"/>
        </w:rPr>
        <w:sectPr w:rsidR="00EC0A8F" w:rsidSect="00EC0A8F">
          <w:headerReference w:type="even" r:id="rId9"/>
          <w:headerReference w:type="default" r:id="rId10"/>
          <w:footerReference w:type="even" r:id="rId11"/>
          <w:footerReference w:type="default" r:id="rId12"/>
          <w:headerReference w:type="first" r:id="rId13"/>
          <w:footerReference w:type="first" r:id="rId14"/>
          <w:pgSz w:w="11909" w:h="16834"/>
          <w:pgMar w:top="1742" w:right="936" w:bottom="1898" w:left="936" w:header="576" w:footer="1030" w:gutter="0"/>
          <w:cols w:space="720"/>
          <w:titlePg/>
          <w:docGrid w:linePitch="360"/>
        </w:sectPr>
      </w:pPr>
      <w:r>
        <w:rPr>
          <w:rStyle w:val="CommentReference"/>
        </w:rPr>
        <w:commentReference w:id="0"/>
      </w:r>
    </w:p>
    <w:p w:rsidR="00EC0A8F" w:rsidRDefault="00EC0A8F" w:rsidP="00EC0A8F">
      <w:pPr>
        <w:pStyle w:val="H1"/>
      </w:pPr>
      <w:r>
        <w:lastRenderedPageBreak/>
        <w:t>Comité des droits de l’homme</w:t>
      </w:r>
    </w:p>
    <w:p w:rsidR="00EC0A8F" w:rsidRPr="00DE3892" w:rsidRDefault="00EC0A8F" w:rsidP="00DE3892">
      <w:pPr>
        <w:pStyle w:val="H1"/>
        <w:spacing w:line="120" w:lineRule="exact"/>
        <w:rPr>
          <w:sz w:val="10"/>
        </w:rPr>
      </w:pPr>
    </w:p>
    <w:p w:rsidR="00DE3892" w:rsidRPr="00DE3892" w:rsidRDefault="00DE3892" w:rsidP="00DE3892">
      <w:pPr>
        <w:spacing w:line="120" w:lineRule="exact"/>
        <w:rPr>
          <w:sz w:val="10"/>
        </w:rPr>
      </w:pPr>
    </w:p>
    <w:p w:rsidR="00DE3892" w:rsidRPr="00DE3892" w:rsidRDefault="00DE3892" w:rsidP="00DE3892">
      <w:pPr>
        <w:spacing w:line="120" w:lineRule="exact"/>
        <w:rPr>
          <w:sz w:val="10"/>
        </w:rPr>
      </w:pPr>
    </w:p>
    <w:p w:rsidR="00EC0A8F" w:rsidRDefault="00DE3892" w:rsidP="001D5AB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vertAlign w:val="superscript"/>
          <w:lang w:val="fr-CH"/>
        </w:rPr>
      </w:pPr>
      <w:r w:rsidRPr="00DE3892">
        <w:rPr>
          <w:lang w:val="fr-CH"/>
        </w:rPr>
        <w:tab/>
      </w:r>
      <w:r w:rsidRPr="00DE3892">
        <w:rPr>
          <w:lang w:val="fr-CH"/>
        </w:rPr>
        <w:tab/>
        <w:t xml:space="preserve">Liste de </w:t>
      </w:r>
      <w:bookmarkStart w:id="1" w:name="_GoBack"/>
      <w:bookmarkEnd w:id="1"/>
      <w:r w:rsidRPr="00DE3892">
        <w:rPr>
          <w:lang w:val="fr-CH"/>
        </w:rPr>
        <w:t xml:space="preserve">points établie avant la soumission du troisième </w:t>
      </w:r>
      <w:r w:rsidR="001D5ABD">
        <w:rPr>
          <w:lang w:val="fr-CH"/>
        </w:rPr>
        <w:br/>
      </w:r>
      <w:r w:rsidRPr="00DE3892">
        <w:rPr>
          <w:lang w:val="fr-CH"/>
        </w:rPr>
        <w:t>rapport périodique de la Bosnie-Herzégovine</w:t>
      </w:r>
      <w:r w:rsidRPr="006735D0">
        <w:rPr>
          <w:rStyle w:val="FootnoteReference"/>
          <w:b w:val="0"/>
          <w:sz w:val="20"/>
          <w:szCs w:val="20"/>
          <w:vertAlign w:val="baseline"/>
          <w:lang w:val="fr-CH"/>
        </w:rPr>
        <w:footnoteReference w:customMarkFollows="1" w:id="1"/>
        <w:t>*</w:t>
      </w:r>
    </w:p>
    <w:p w:rsidR="00DE3892" w:rsidRPr="00DE3892" w:rsidRDefault="00DE3892" w:rsidP="00DE3892">
      <w:pPr>
        <w:pStyle w:val="SingleTxt"/>
        <w:spacing w:after="0" w:line="120" w:lineRule="exact"/>
        <w:rPr>
          <w:sz w:val="10"/>
          <w:lang w:val="fr-CH"/>
        </w:rPr>
      </w:pPr>
    </w:p>
    <w:p w:rsidR="00DE3892" w:rsidRPr="00DE3892" w:rsidRDefault="00DE3892" w:rsidP="00DE3892">
      <w:pPr>
        <w:pStyle w:val="SingleTxt"/>
        <w:spacing w:after="0" w:line="120" w:lineRule="exact"/>
        <w:rPr>
          <w:sz w:val="10"/>
          <w:lang w:val="fr-CH"/>
        </w:rPr>
      </w:pPr>
    </w:p>
    <w:tbl>
      <w:tblPr>
        <w:tblW w:w="7493" w:type="dxa"/>
        <w:tblInd w:w="1260"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7493"/>
      </w:tblGrid>
      <w:tr w:rsidR="00DE3892" w:rsidTr="00DE3892">
        <w:tc>
          <w:tcPr>
            <w:tcW w:w="7493" w:type="dxa"/>
            <w:shd w:val="clear" w:color="auto" w:fill="auto"/>
          </w:tcPr>
          <w:p w:rsidR="00DE3892" w:rsidRPr="00DE45B6" w:rsidRDefault="00DE3892" w:rsidP="00DE45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20" w:lineRule="exact"/>
              <w:ind w:left="475" w:right="475"/>
              <w:rPr>
                <w:sz w:val="10"/>
              </w:rPr>
            </w:pPr>
          </w:p>
          <w:p w:rsidR="00DE3892" w:rsidRDefault="00DE3892" w:rsidP="00DE45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475" w:right="475"/>
            </w:pPr>
            <w:r>
              <w:tab/>
            </w:r>
            <w:r w:rsidRPr="00DE3892">
              <w:rPr>
                <w:lang w:val="fr-CH"/>
              </w:rPr>
              <w:t>À sa quatre-vingt-dix-septième session (A/65/40 (vol. I), par. 40), le Comité des droits de l’homme a mis en place une procédure facultative qui consiste à établir et à adopter une liste de points et à la transmettre à l’État partie avant que celui-ci ne soumette le rapport périodique attendu. Les réponses à cette liste constitueront le rapport de l’État partie au titre de l’article 40 du Pacte.</w:t>
            </w:r>
          </w:p>
        </w:tc>
      </w:tr>
      <w:tr w:rsidR="00DE3892" w:rsidTr="00DE3892">
        <w:trPr>
          <w:trHeight w:hRule="exact" w:val="115"/>
        </w:trPr>
        <w:tc>
          <w:tcPr>
            <w:tcW w:w="7493" w:type="dxa"/>
            <w:shd w:val="clear" w:color="auto" w:fill="auto"/>
          </w:tcPr>
          <w:p w:rsidR="00DE3892" w:rsidRDefault="00DE3892" w:rsidP="00DE45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475" w:right="475"/>
            </w:pPr>
          </w:p>
        </w:tc>
      </w:tr>
    </w:tbl>
    <w:p w:rsidR="00DE3892" w:rsidRPr="00DE3892" w:rsidRDefault="00DE3892" w:rsidP="00DE3892">
      <w:pPr>
        <w:pStyle w:val="SingleTxt"/>
        <w:spacing w:after="0" w:line="120" w:lineRule="exact"/>
        <w:rPr>
          <w:sz w:val="10"/>
        </w:rPr>
      </w:pPr>
    </w:p>
    <w:p w:rsidR="00DE3892" w:rsidRPr="00DE3892" w:rsidRDefault="00DE3892" w:rsidP="00DE3892">
      <w:pPr>
        <w:pStyle w:val="SingleTxt"/>
        <w:spacing w:after="0" w:line="120" w:lineRule="exact"/>
        <w:rPr>
          <w:sz w:val="10"/>
        </w:rPr>
      </w:pPr>
    </w:p>
    <w:p w:rsidR="00DE3892" w:rsidRPr="00DE3892" w:rsidRDefault="00DE3892" w:rsidP="001D5AB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2" w:name="TmpSave"/>
      <w:bookmarkEnd w:id="2"/>
      <w:r w:rsidRPr="00DE3892">
        <w:rPr>
          <w:lang w:val="fr-CH"/>
        </w:rPr>
        <w:tab/>
      </w:r>
      <w:r w:rsidRPr="00DE3892">
        <w:rPr>
          <w:lang w:val="fr-CH"/>
        </w:rPr>
        <w:tab/>
        <w:t xml:space="preserve">Renseignements d’ordre général sur la situation des droits </w:t>
      </w:r>
      <w:r>
        <w:rPr>
          <w:lang w:val="fr-CH"/>
        </w:rPr>
        <w:br/>
      </w:r>
      <w:r w:rsidRPr="00DE3892">
        <w:rPr>
          <w:spacing w:val="-4"/>
          <w:lang w:val="fr-CH"/>
        </w:rPr>
        <w:t xml:space="preserve">de l’homme dans le pays, y compris sur les nouvelles mesures </w:t>
      </w:r>
      <w:r w:rsidR="001D5ABD">
        <w:rPr>
          <w:spacing w:val="-4"/>
          <w:lang w:val="fr-CH"/>
        </w:rPr>
        <w:br/>
      </w:r>
      <w:r w:rsidRPr="00DE3892">
        <w:rPr>
          <w:lang w:val="fr-CH"/>
        </w:rPr>
        <w:t>et les faits nouveaux concernant la mise en œuvre du Pacte</w:t>
      </w:r>
    </w:p>
    <w:p w:rsidR="00DE3892" w:rsidRPr="0048188B" w:rsidRDefault="00DE3892" w:rsidP="0048188B">
      <w:pPr>
        <w:pStyle w:val="SingleTxt"/>
        <w:tabs>
          <w:tab w:val="right" w:pos="1685"/>
        </w:tabs>
        <w:spacing w:after="0" w:line="120" w:lineRule="exact"/>
        <w:ind w:left="1742" w:hanging="475"/>
        <w:rPr>
          <w:sz w:val="10"/>
        </w:rPr>
      </w:pPr>
    </w:p>
    <w:p w:rsidR="0048188B" w:rsidRPr="0048188B" w:rsidRDefault="0048188B" w:rsidP="0048188B">
      <w:pPr>
        <w:pStyle w:val="SingleTxt"/>
        <w:tabs>
          <w:tab w:val="right" w:pos="1685"/>
        </w:tabs>
        <w:spacing w:after="0" w:line="120" w:lineRule="exact"/>
        <w:ind w:left="1742" w:hanging="475"/>
        <w:rPr>
          <w:sz w:val="10"/>
        </w:rPr>
      </w:pPr>
    </w:p>
    <w:p w:rsidR="00DE3892" w:rsidRPr="00DE3892" w:rsidRDefault="00DE3892" w:rsidP="0048188B">
      <w:pPr>
        <w:pStyle w:val="SingleTxt"/>
        <w:numPr>
          <w:ilvl w:val="0"/>
          <w:numId w:val="8"/>
        </w:numPr>
        <w:tabs>
          <w:tab w:val="clear" w:pos="475"/>
          <w:tab w:val="num" w:pos="1742"/>
        </w:tabs>
        <w:ind w:left="1267"/>
        <w:rPr>
          <w:lang w:val="fr-CH"/>
        </w:rPr>
      </w:pPr>
      <w:r w:rsidRPr="00DE3892">
        <w:rPr>
          <w:lang w:val="fr-CH"/>
        </w:rPr>
        <w:t>Donner des renseignements sur les mesures prises pour appliquer les recommandations formulées par le Comité dans ses observations finales concernant le deuxième rapport périodique de la Bosnie-Herzégovine (CCPR/C/BIH/CO/2), notamment fournir toutes les données statistiques pertinentes. Expliquer également quelles sont les procédures qui permettent de donner effet aux constatations adoptées par le Comité au titre du Protocole facultatif et indiquer les mesures que l’État partie a prises pour se conformer pleinement à chacune des constatations du Comité le concernant</w:t>
      </w:r>
      <w:r w:rsidR="0048188B">
        <w:rPr>
          <w:rStyle w:val="FootnoteReference"/>
          <w:lang w:val="fr-CH"/>
        </w:rPr>
        <w:footnoteReference w:id="2"/>
      </w:r>
      <w:r w:rsidRPr="00DE3892">
        <w:rPr>
          <w:lang w:val="fr-CH"/>
        </w:rPr>
        <w:t>.</w:t>
      </w:r>
    </w:p>
    <w:p w:rsidR="00DE3892" w:rsidRPr="00DE3892" w:rsidRDefault="00DE3892" w:rsidP="0048188B">
      <w:pPr>
        <w:pStyle w:val="SingleTxt"/>
        <w:numPr>
          <w:ilvl w:val="0"/>
          <w:numId w:val="8"/>
        </w:numPr>
        <w:tabs>
          <w:tab w:val="clear" w:pos="475"/>
          <w:tab w:val="num" w:pos="1742"/>
        </w:tabs>
        <w:ind w:left="1267"/>
        <w:rPr>
          <w:lang w:val="fr-CH"/>
        </w:rPr>
      </w:pPr>
      <w:r w:rsidRPr="00DE3892">
        <w:rPr>
          <w:lang w:val="fr-CH"/>
        </w:rPr>
        <w:t>Indiquer tout autre fait notable survenu depuis l’adoption des observations finales concernant le deuxième rapport périodique en ce qui concerne le cadre juridique et institutionnel de la promotion et de la protection des droits de l’homme, en citant notamment des exemples d’affaires dans lesquelles les dispositions du Pacte ont été visées par les juridictions nationales.</w:t>
      </w:r>
    </w:p>
    <w:p w:rsidR="00DE3892" w:rsidRPr="00DE3892" w:rsidRDefault="00DE3892" w:rsidP="00293B6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DE3892">
        <w:rPr>
          <w:lang w:val="fr-CH"/>
        </w:rPr>
        <w:lastRenderedPageBreak/>
        <w:tab/>
      </w:r>
      <w:r w:rsidRPr="00DE3892">
        <w:rPr>
          <w:lang w:val="fr-CH"/>
        </w:rPr>
        <w:tab/>
      </w:r>
      <w:r w:rsidRPr="00293B6B">
        <w:rPr>
          <w:spacing w:val="2"/>
          <w:lang w:val="fr-CH"/>
        </w:rPr>
        <w:t>Renseignements spécifiques sur l’application des articles 1</w:t>
      </w:r>
      <w:r w:rsidRPr="00293B6B">
        <w:rPr>
          <w:spacing w:val="2"/>
          <w:vertAlign w:val="superscript"/>
          <w:lang w:val="fr-CH"/>
        </w:rPr>
        <w:t>er</w:t>
      </w:r>
      <w:r w:rsidRPr="00293B6B">
        <w:rPr>
          <w:spacing w:val="2"/>
          <w:lang w:val="fr-CH"/>
        </w:rPr>
        <w:t xml:space="preserve"> à 27</w:t>
      </w:r>
      <w:r w:rsidRPr="00DE3892">
        <w:rPr>
          <w:lang w:val="fr-CH"/>
        </w:rPr>
        <w:t xml:space="preserve"> </w:t>
      </w:r>
      <w:r w:rsidR="00293B6B">
        <w:rPr>
          <w:lang w:val="fr-CH"/>
        </w:rPr>
        <w:br/>
      </w:r>
      <w:r w:rsidRPr="00DE3892">
        <w:rPr>
          <w:lang w:val="fr-CH"/>
        </w:rPr>
        <w:t>du Pacte</w:t>
      </w:r>
    </w:p>
    <w:p w:rsidR="00DE3892" w:rsidRPr="001B5520" w:rsidRDefault="00DE3892" w:rsidP="001B5520">
      <w:pPr>
        <w:pStyle w:val="SingleTxt"/>
        <w:tabs>
          <w:tab w:val="right" w:pos="1685"/>
        </w:tabs>
        <w:spacing w:after="0" w:line="120" w:lineRule="exact"/>
        <w:ind w:left="1742" w:hanging="475"/>
        <w:rPr>
          <w:sz w:val="10"/>
          <w:lang w:val="fr-CH"/>
        </w:rPr>
      </w:pPr>
    </w:p>
    <w:p w:rsidR="001B5520" w:rsidRPr="001B5520" w:rsidRDefault="001B5520" w:rsidP="001B5520">
      <w:pPr>
        <w:pStyle w:val="SingleTxt"/>
        <w:tabs>
          <w:tab w:val="right" w:pos="1685"/>
        </w:tabs>
        <w:spacing w:after="0" w:line="120" w:lineRule="exact"/>
        <w:ind w:left="1742" w:hanging="475"/>
        <w:rPr>
          <w:sz w:val="10"/>
          <w:lang w:val="fr-CH"/>
        </w:rPr>
      </w:pPr>
    </w:p>
    <w:p w:rsidR="00DE3892" w:rsidRPr="00DE3892" w:rsidRDefault="00DE3892" w:rsidP="001B552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DE3892">
        <w:rPr>
          <w:lang w:val="fr-CH"/>
        </w:rPr>
        <w:tab/>
      </w:r>
      <w:r w:rsidRPr="00DE3892">
        <w:rPr>
          <w:lang w:val="fr-CH"/>
        </w:rPr>
        <w:tab/>
        <w:t>Cadre constitutionnel et juridique de l’application du Pacte (art.</w:t>
      </w:r>
      <w:r w:rsidR="001B5520">
        <w:rPr>
          <w:lang w:val="fr-CH"/>
        </w:rPr>
        <w:t> </w:t>
      </w:r>
      <w:r w:rsidRPr="00DE3892">
        <w:rPr>
          <w:lang w:val="fr-CH"/>
        </w:rPr>
        <w:t>2, 6 et 7)</w:t>
      </w:r>
    </w:p>
    <w:p w:rsidR="00DE3892" w:rsidRPr="001B5520" w:rsidRDefault="00DE3892" w:rsidP="001B5520">
      <w:pPr>
        <w:pStyle w:val="SingleTxt"/>
        <w:tabs>
          <w:tab w:val="right" w:pos="1685"/>
        </w:tabs>
        <w:spacing w:after="0" w:line="120" w:lineRule="exact"/>
        <w:ind w:left="1742" w:hanging="475"/>
        <w:rPr>
          <w:sz w:val="10"/>
          <w:lang w:val="fr-CH"/>
        </w:rPr>
      </w:pPr>
    </w:p>
    <w:p w:rsidR="00DE3892" w:rsidRPr="00DE3892" w:rsidRDefault="00DE3892" w:rsidP="0048188B">
      <w:pPr>
        <w:pStyle w:val="SingleTxt"/>
        <w:numPr>
          <w:ilvl w:val="0"/>
          <w:numId w:val="8"/>
        </w:numPr>
        <w:tabs>
          <w:tab w:val="clear" w:pos="475"/>
          <w:tab w:val="num" w:pos="1742"/>
        </w:tabs>
        <w:ind w:left="1267"/>
        <w:rPr>
          <w:lang w:val="fr-CH"/>
        </w:rPr>
      </w:pPr>
      <w:r w:rsidRPr="00DE3892">
        <w:rPr>
          <w:lang w:val="fr-CH"/>
        </w:rPr>
        <w:t>Donner des renseignements sur : a) les voies de recours ouvertes aux personnes qui affirment être victimes d’une violation des droits consacrés par le Pacte; b) la formation aux droits de l’homme dispensée aux juges, aux procureurs et aux avocats dans l’État partie.</w:t>
      </w:r>
    </w:p>
    <w:p w:rsidR="00DE3892" w:rsidRPr="00DE3892" w:rsidRDefault="00DE3892" w:rsidP="0048188B">
      <w:pPr>
        <w:pStyle w:val="SingleTxt"/>
        <w:numPr>
          <w:ilvl w:val="0"/>
          <w:numId w:val="8"/>
        </w:numPr>
        <w:tabs>
          <w:tab w:val="clear" w:pos="475"/>
          <w:tab w:val="num" w:pos="1742"/>
        </w:tabs>
        <w:ind w:left="1267"/>
        <w:rPr>
          <w:lang w:val="fr-CH"/>
        </w:rPr>
      </w:pPr>
      <w:r w:rsidRPr="00DE3892">
        <w:rPr>
          <w:lang w:val="fr-CH"/>
        </w:rPr>
        <w:t>Donner des renseignements sur toute mesure qui serait éventuellement prise pour modifier les codes pénaux à l’échelle des entités pour ce qui est de la torture, des disparitions forcées et des violences sexuelles de telle sorte que la responsabilité des supérieurs hiérarchiques soit établie, s’il y a lieu, pour ces infractions. Indiquer si des mesures sont prises pour réviser le Code pénal bosnien de façon à réprimer le viol ou d’autres formes de violence sexuelle même lorsque ces infractions ne constituent pas un crime contre l’humanité ou un crime de guerre. Indiquer les éventuelles mesures prises pour modifier le Code pénal national en vue de supprimer toute possibilité d’amnistie pour les crimes de droit international.</w:t>
      </w:r>
    </w:p>
    <w:p w:rsidR="00DE3892" w:rsidRPr="00DE3892" w:rsidRDefault="00DE3892" w:rsidP="0048188B">
      <w:pPr>
        <w:pStyle w:val="SingleTxt"/>
        <w:numPr>
          <w:ilvl w:val="0"/>
          <w:numId w:val="8"/>
        </w:numPr>
        <w:tabs>
          <w:tab w:val="clear" w:pos="475"/>
          <w:tab w:val="num" w:pos="1742"/>
        </w:tabs>
        <w:ind w:left="1267"/>
        <w:rPr>
          <w:lang w:val="fr-CH"/>
        </w:rPr>
      </w:pPr>
      <w:r w:rsidRPr="00DE3892">
        <w:rPr>
          <w:lang w:val="fr-CH"/>
        </w:rPr>
        <w:t>Indiquer l’état d’avancement des</w:t>
      </w:r>
      <w:r w:rsidR="001B5520">
        <w:rPr>
          <w:lang w:val="fr-CH"/>
        </w:rPr>
        <w:t xml:space="preserve"> projets de loi et propositions</w:t>
      </w:r>
      <w:r w:rsidRPr="00DE3892">
        <w:rPr>
          <w:lang w:val="fr-CH"/>
        </w:rPr>
        <w:t xml:space="preserve"> ci-après</w:t>
      </w:r>
      <w:r w:rsidR="001B5520">
        <w:rPr>
          <w:lang w:val="fr-CH"/>
        </w:rPr>
        <w:t xml:space="preserve"> </w:t>
      </w:r>
      <w:r w:rsidRPr="00DE3892">
        <w:rPr>
          <w:lang w:val="fr-CH"/>
        </w:rPr>
        <w:t>et donner des renseignements sur toute mesure prise pour qu’ils soient compatibles avec la Convention</w:t>
      </w:r>
      <w:r w:rsidR="001B5520">
        <w:rPr>
          <w:lang w:val="fr-CH"/>
        </w:rPr>
        <w:t> </w:t>
      </w:r>
      <w:r w:rsidRPr="00DE3892">
        <w:rPr>
          <w:lang w:val="fr-CH"/>
        </w:rPr>
        <w:t>: a) le projet de stratégie nationale de justice transitionnelle; b) le Programme visant à améliorer la situation des victimes de violences sexuelles liées au conflit; c) le projet de loi sur les droits des victimes de torture; d) le projet de loi sur l’aide juridictionnelle.</w:t>
      </w:r>
    </w:p>
    <w:p w:rsidR="00DE3892" w:rsidRPr="00DE3892" w:rsidRDefault="00DE3892" w:rsidP="0048188B">
      <w:pPr>
        <w:pStyle w:val="SingleTxt"/>
        <w:numPr>
          <w:ilvl w:val="0"/>
          <w:numId w:val="8"/>
        </w:numPr>
        <w:tabs>
          <w:tab w:val="clear" w:pos="475"/>
          <w:tab w:val="num" w:pos="1742"/>
        </w:tabs>
        <w:ind w:left="1267"/>
        <w:rPr>
          <w:lang w:val="fr-CH"/>
        </w:rPr>
      </w:pPr>
      <w:r w:rsidRPr="00DE3892">
        <w:rPr>
          <w:lang w:val="fr-CH"/>
        </w:rPr>
        <w:t>Donner des renseignements sur les mesures prises pour garantir l’indépendance et l’impartialité du Bureau du Médiateur, conformément aux Principes concernant le statut des institutions nationales pour la promotion et la protection des droits de l’homme (Principes de Paris). Compte tenu de la recommandation précédente du Comité à ce sujet (voir CCPR/C/BIH/CO/2, par. 5), indiquer ce qui a été fait pour que le Bureau du Médiateur soit financièrement autonome et pour qu’il dispose de ressources financières et humaines suffisantes au regard des activités supplémentaires qui lui sont confiées. Indiquer aussi si le mécanisme national de prévention qu’il était envisagé de mettre en place au sein du Bureau du Médiateur a déjà été établi.</w:t>
      </w:r>
    </w:p>
    <w:p w:rsidR="00DE3892" w:rsidRPr="001B5520" w:rsidRDefault="00DE3892" w:rsidP="001B5520">
      <w:pPr>
        <w:pStyle w:val="SingleTxt"/>
        <w:tabs>
          <w:tab w:val="right" w:pos="1685"/>
        </w:tabs>
        <w:spacing w:after="0" w:line="120" w:lineRule="exact"/>
        <w:ind w:left="1742" w:hanging="475"/>
        <w:rPr>
          <w:sz w:val="10"/>
          <w:lang w:val="fr-CH"/>
        </w:rPr>
      </w:pPr>
    </w:p>
    <w:p w:rsidR="00DE3892" w:rsidRPr="00DE3892" w:rsidRDefault="00DE3892" w:rsidP="001B552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DE3892">
        <w:rPr>
          <w:lang w:val="fr-CH"/>
        </w:rPr>
        <w:tab/>
      </w:r>
      <w:r w:rsidRPr="00DE3892">
        <w:rPr>
          <w:lang w:val="fr-CH"/>
        </w:rPr>
        <w:tab/>
        <w:t xml:space="preserve">Égalité, non-discrimination et actes de violence motivés par la haine </w:t>
      </w:r>
      <w:r w:rsidR="001B5520">
        <w:rPr>
          <w:lang w:val="fr-CH"/>
        </w:rPr>
        <w:br/>
      </w:r>
      <w:r w:rsidRPr="00DE3892">
        <w:rPr>
          <w:lang w:val="fr-CH"/>
        </w:rPr>
        <w:t>(art. 2 et 26)</w:t>
      </w:r>
    </w:p>
    <w:p w:rsidR="00DE3892" w:rsidRPr="001B5520" w:rsidRDefault="00DE3892" w:rsidP="001B5520">
      <w:pPr>
        <w:pStyle w:val="SingleTxt"/>
        <w:tabs>
          <w:tab w:val="right" w:pos="1685"/>
        </w:tabs>
        <w:spacing w:after="0" w:line="120" w:lineRule="exact"/>
        <w:ind w:left="1742" w:hanging="475"/>
        <w:rPr>
          <w:sz w:val="10"/>
          <w:lang w:val="fr-CH"/>
        </w:rPr>
      </w:pPr>
    </w:p>
    <w:p w:rsidR="00DE3892" w:rsidRPr="00DE3892" w:rsidRDefault="00DE3892" w:rsidP="0048188B">
      <w:pPr>
        <w:pStyle w:val="SingleTxt"/>
        <w:numPr>
          <w:ilvl w:val="0"/>
          <w:numId w:val="8"/>
        </w:numPr>
        <w:tabs>
          <w:tab w:val="clear" w:pos="475"/>
          <w:tab w:val="num" w:pos="1742"/>
        </w:tabs>
        <w:ind w:left="1267"/>
        <w:rPr>
          <w:lang w:val="fr-CH"/>
        </w:rPr>
      </w:pPr>
      <w:r w:rsidRPr="00DE3892">
        <w:rPr>
          <w:lang w:val="fr-CH"/>
        </w:rPr>
        <w:t>Donner des renseignements sur les mesures prises pour lutter contre : a) les agressions verbales et physiques motivées par la haine à l’égard des membres de groupes ethniques et de minorités religieuses et nationales; b) l’intolérance, la discrimination et les propos haineux, notamment les discours politiques incitant à la haine; c) les contenus racistes dans les médias et sur Internet. Préciser les mesures qui ont été prises pour promouvoir la tolérance et accroître le taux d’enquêtes et de poursuites pour infraction à caractère raciste et communiquer toutes données statistiques utiles sur le nombre de plaintes, d’enquêtes, de poursuites et de condamnations.</w:t>
      </w:r>
    </w:p>
    <w:p w:rsidR="00DE3892" w:rsidRPr="00DE3892" w:rsidRDefault="00DE3892" w:rsidP="0048188B">
      <w:pPr>
        <w:pStyle w:val="SingleTxt"/>
        <w:numPr>
          <w:ilvl w:val="0"/>
          <w:numId w:val="8"/>
        </w:numPr>
        <w:tabs>
          <w:tab w:val="clear" w:pos="475"/>
          <w:tab w:val="num" w:pos="1742"/>
        </w:tabs>
        <w:ind w:left="1267"/>
        <w:rPr>
          <w:lang w:val="fr-CH"/>
        </w:rPr>
      </w:pPr>
      <w:r w:rsidRPr="00DE3892">
        <w:rPr>
          <w:lang w:val="fr-CH"/>
        </w:rPr>
        <w:t xml:space="preserve">Indiquer les mesures prises pour traiter la question de la ségrégation ethnique au sein du système éducatif, notamment pour lutter contre la pratique consistant à avoir </w:t>
      </w:r>
      <w:r w:rsidR="001B5520">
        <w:rPr>
          <w:lang w:val="fr-CH"/>
        </w:rPr>
        <w:t>« </w:t>
      </w:r>
      <w:r w:rsidRPr="00DE3892">
        <w:rPr>
          <w:lang w:val="fr-CH"/>
        </w:rPr>
        <w:t>deux écoles sous un même toit ».</w:t>
      </w:r>
    </w:p>
    <w:p w:rsidR="00DE3892" w:rsidRPr="00DE3892" w:rsidRDefault="00DE3892" w:rsidP="0048188B">
      <w:pPr>
        <w:pStyle w:val="SingleTxt"/>
        <w:numPr>
          <w:ilvl w:val="0"/>
          <w:numId w:val="8"/>
        </w:numPr>
        <w:tabs>
          <w:tab w:val="clear" w:pos="475"/>
          <w:tab w:val="num" w:pos="1742"/>
        </w:tabs>
        <w:ind w:left="1267"/>
        <w:rPr>
          <w:lang w:val="fr-CH"/>
        </w:rPr>
      </w:pPr>
      <w:r w:rsidRPr="00DE3892">
        <w:rPr>
          <w:lang w:val="fr-CH"/>
        </w:rPr>
        <w:t xml:space="preserve">Exposer les moyens mis en œuvre pour lutter contre la discrimination et la violence fondées sur l’orientation sexuelle, ainsi que les dispositions qui ont été prises pour faire appliquer la loi </w:t>
      </w:r>
      <w:r w:rsidR="001B5520">
        <w:rPr>
          <w:lang w:val="fr-CH"/>
        </w:rPr>
        <w:t>nationale</w:t>
      </w:r>
      <w:r w:rsidRPr="00DE3892">
        <w:rPr>
          <w:lang w:val="fr-CH"/>
        </w:rPr>
        <w:t xml:space="preserve"> interdisant la discrimination fondée sur l’orientation sexuelle et réviser les lois en vigueur à l’échelle des entités. Indiquer le </w:t>
      </w:r>
      <w:r w:rsidRPr="00DE3892">
        <w:rPr>
          <w:lang w:val="fr-CH"/>
        </w:rPr>
        <w:lastRenderedPageBreak/>
        <w:t>nombre de personnes qui ont été agressées en raison de leur orientation sexuelle, notamment par la police ou d’autres forces de sécurité, et préciser si les responsables ont été systématiquement poursuivis et sanctionnés.</w:t>
      </w:r>
    </w:p>
    <w:p w:rsidR="00DE3892" w:rsidRPr="001B5520" w:rsidRDefault="00DE3892" w:rsidP="0048188B">
      <w:pPr>
        <w:pStyle w:val="SingleTxt"/>
        <w:numPr>
          <w:ilvl w:val="0"/>
          <w:numId w:val="8"/>
        </w:numPr>
        <w:tabs>
          <w:tab w:val="clear" w:pos="475"/>
          <w:tab w:val="num" w:pos="1742"/>
        </w:tabs>
        <w:ind w:left="1267"/>
        <w:rPr>
          <w:lang w:val="fr-CH"/>
        </w:rPr>
      </w:pPr>
      <w:r w:rsidRPr="00DE3892">
        <w:t>Donner des informations concernant l’insertion des femmes sur le marché du travail et leur degré de participation à la vie publique. Expliquer ce qui a été fait pour accroître la participation des femmes à la vie politique et appliquer le système de quotas réservés aux femmes sur les listes de candidats présen</w:t>
      </w:r>
      <w:r w:rsidR="001B5520">
        <w:t>tées par les partis politiques.</w:t>
      </w:r>
    </w:p>
    <w:p w:rsidR="001B5520" w:rsidRPr="001B5520" w:rsidRDefault="001B5520" w:rsidP="001B5520">
      <w:pPr>
        <w:pStyle w:val="SingleTxt"/>
        <w:tabs>
          <w:tab w:val="clear" w:pos="1742"/>
        </w:tabs>
        <w:spacing w:after="0" w:line="120" w:lineRule="exact"/>
        <w:rPr>
          <w:sz w:val="10"/>
        </w:rPr>
      </w:pPr>
    </w:p>
    <w:p w:rsidR="00DE3892" w:rsidRPr="001B5520" w:rsidRDefault="001B5520" w:rsidP="001B552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10"/>
          <w:lang w:val="fr-CH"/>
        </w:rPr>
      </w:pPr>
      <w:r>
        <w:rPr>
          <w:lang w:val="fr-CH"/>
        </w:rPr>
        <w:tab/>
      </w:r>
      <w:r>
        <w:rPr>
          <w:lang w:val="fr-CH"/>
        </w:rPr>
        <w:tab/>
      </w:r>
      <w:r w:rsidR="00DE3892" w:rsidRPr="001B5520">
        <w:rPr>
          <w:lang w:val="fr-CH"/>
        </w:rPr>
        <w:t>Violences à l’égard des femmes (art.</w:t>
      </w:r>
      <w:r>
        <w:rPr>
          <w:lang w:val="fr-CH"/>
        </w:rPr>
        <w:t> </w:t>
      </w:r>
      <w:r w:rsidR="00DE3892" w:rsidRPr="001B5520">
        <w:rPr>
          <w:lang w:val="fr-CH"/>
        </w:rPr>
        <w:t>2, 3, 7 et 26)</w:t>
      </w:r>
    </w:p>
    <w:p w:rsidR="00DE3892" w:rsidRPr="001B5520" w:rsidRDefault="00DE3892" w:rsidP="001B5520">
      <w:pPr>
        <w:pStyle w:val="SingleTxt"/>
        <w:tabs>
          <w:tab w:val="right" w:pos="1685"/>
        </w:tabs>
        <w:spacing w:after="0" w:line="120" w:lineRule="exact"/>
        <w:ind w:left="1742" w:hanging="475"/>
        <w:rPr>
          <w:sz w:val="10"/>
          <w:lang w:val="fr-CH"/>
        </w:rPr>
      </w:pPr>
    </w:p>
    <w:p w:rsidR="00DE3892" w:rsidRPr="00DE3892" w:rsidRDefault="00DE3892" w:rsidP="0048188B">
      <w:pPr>
        <w:pStyle w:val="SingleTxt"/>
        <w:numPr>
          <w:ilvl w:val="0"/>
          <w:numId w:val="8"/>
        </w:numPr>
        <w:tabs>
          <w:tab w:val="clear" w:pos="475"/>
          <w:tab w:val="num" w:pos="1742"/>
        </w:tabs>
        <w:ind w:left="1267"/>
        <w:rPr>
          <w:lang w:val="fr-CH"/>
        </w:rPr>
      </w:pPr>
      <w:r w:rsidRPr="00DE3892">
        <w:rPr>
          <w:lang w:val="fr-CH"/>
        </w:rPr>
        <w:t>Fournir des informations sur l’ampleur de la violence à l’égard des femmes, notamment de la violence intrafamiliale, et sur les mesures visant à encourager le signalement des cas de violence. Fournir des données sur : a) le nombre de plaintes déposées pour faits de violence à l’égard des femmes; b) les enquêtes menées; c) les types de peines prononcées; d) les indemnisations accordées aux victimes; e) les différents types d’assistance, notamment l’aide juridictionnelle, offerts aux victimes dans toutes les divisions administratives de l’État partie. Fournir aussi des renseignements sur les mesures adoptées pour garantir l’application uniforme des lois à tous les niveaux.</w:t>
      </w:r>
    </w:p>
    <w:p w:rsidR="00DE3892" w:rsidRPr="001B5520" w:rsidRDefault="00DE3892" w:rsidP="001B5520">
      <w:pPr>
        <w:pStyle w:val="SingleTxt"/>
        <w:tabs>
          <w:tab w:val="right" w:pos="1685"/>
        </w:tabs>
        <w:spacing w:after="0" w:line="120" w:lineRule="exact"/>
        <w:ind w:left="1742" w:hanging="475"/>
        <w:rPr>
          <w:sz w:val="10"/>
          <w:lang w:val="fr-CH"/>
        </w:rPr>
      </w:pPr>
    </w:p>
    <w:p w:rsidR="00DE3892" w:rsidRPr="00DE3892" w:rsidRDefault="00DE3892" w:rsidP="001B552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DE3892">
        <w:rPr>
          <w:lang w:val="fr-CH"/>
        </w:rPr>
        <w:tab/>
      </w:r>
      <w:r w:rsidRPr="00DE3892">
        <w:rPr>
          <w:lang w:val="fr-CH"/>
        </w:rPr>
        <w:tab/>
        <w:t xml:space="preserve">Droit à la vie, disparitions forcées et interdiction de la torture et des peines </w:t>
      </w:r>
      <w:r w:rsidRPr="00DE3892">
        <w:rPr>
          <w:lang w:val="fr-CH"/>
        </w:rPr>
        <w:br/>
        <w:t>ou traitements cruels, inhumains ou dégradants (art. 3, 6, 7, 9 et 14)</w:t>
      </w:r>
    </w:p>
    <w:p w:rsidR="00DE3892" w:rsidRPr="001B5520" w:rsidRDefault="00DE3892" w:rsidP="001B5520">
      <w:pPr>
        <w:pStyle w:val="SingleTxt"/>
        <w:tabs>
          <w:tab w:val="right" w:pos="1685"/>
        </w:tabs>
        <w:spacing w:after="0" w:line="120" w:lineRule="exact"/>
        <w:ind w:left="1742" w:hanging="475"/>
        <w:rPr>
          <w:sz w:val="10"/>
          <w:lang w:val="fr-CH"/>
        </w:rPr>
      </w:pPr>
    </w:p>
    <w:p w:rsidR="00DE3892" w:rsidRPr="00DE3892" w:rsidRDefault="00DE3892" w:rsidP="0048188B">
      <w:pPr>
        <w:pStyle w:val="SingleTxt"/>
        <w:numPr>
          <w:ilvl w:val="0"/>
          <w:numId w:val="8"/>
        </w:numPr>
        <w:tabs>
          <w:tab w:val="clear" w:pos="475"/>
          <w:tab w:val="num" w:pos="1742"/>
        </w:tabs>
        <w:ind w:left="1267"/>
        <w:rPr>
          <w:lang w:val="fr-CH"/>
        </w:rPr>
      </w:pPr>
      <w:r w:rsidRPr="00DE3892">
        <w:rPr>
          <w:lang w:val="fr-CH"/>
        </w:rPr>
        <w:t xml:space="preserve">Compte tenu de la recommandation précédente du Comité à ce sujet (voir CCPR/C/BIH/CO/2, par. 7), communiquer des renseignements à jour sur les poursuites engagées contre des auteurs de crimes de guerre, notamment de viols et de violences sexuelles perpétrés pendant la guerre, et sur les efforts faits pour harmoniser la jurisprudence relative aux crimes de guerre et assurer davantage de cohérence entre les entités quant aux peines prononcées. Donner des informations à jour sur les peines infligées aux individus reconnus coupables de crime de guerre ou de viol ou autres actes de violence sexuelle commis pendant la guerre. Préciser si l’État partie s’attend à ce que les enquêtes ouvertes et les poursuites engagées dans le cadre de la première série des </w:t>
      </w:r>
      <w:r w:rsidR="001B5520">
        <w:rPr>
          <w:lang w:val="fr-CH"/>
        </w:rPr>
        <w:t>« </w:t>
      </w:r>
      <w:r w:rsidRPr="00DE3892">
        <w:rPr>
          <w:lang w:val="fr-CH"/>
        </w:rPr>
        <w:t>affaires les plus complexes » se rapportant aux crimes commis pendant la guerre soient achevées d’ici à la fin 2015, comme le prévoyait la Stratégie nationale pour le jugement des crimes de guerre.</w:t>
      </w:r>
    </w:p>
    <w:p w:rsidR="00DE3892" w:rsidRPr="00DE3892" w:rsidRDefault="00DE3892" w:rsidP="0048188B">
      <w:pPr>
        <w:pStyle w:val="SingleTxt"/>
        <w:numPr>
          <w:ilvl w:val="0"/>
          <w:numId w:val="8"/>
        </w:numPr>
        <w:tabs>
          <w:tab w:val="clear" w:pos="475"/>
          <w:tab w:val="num" w:pos="1742"/>
        </w:tabs>
        <w:ind w:left="1267"/>
        <w:rPr>
          <w:lang w:val="fr-CH"/>
        </w:rPr>
      </w:pPr>
      <w:r w:rsidRPr="00DE3892">
        <w:rPr>
          <w:lang w:val="fr-CH"/>
        </w:rPr>
        <w:t>Communiquer des informations sur : a) les dispositions prises pour que tous les tribunaux et bureaux des procureurs des entités prennent les mesures voulues pour soutenir et protéger les victimes et les témoins de crimes de guerre, notamment de violences sexuelles, avant, pendant et après le déroulement des procès; b) les cas de manœuvres d’intimidation et de menaces contre des témoins signalés pendant la période considérée. Commenter les informations concernant la fermeture du Département de la protection des témoins au sein du Bureau du Procureur de Bosnie-Herzégovine.</w:t>
      </w:r>
    </w:p>
    <w:p w:rsidR="00DE3892" w:rsidRPr="00DE3892" w:rsidRDefault="00DE3892" w:rsidP="0048188B">
      <w:pPr>
        <w:pStyle w:val="SingleTxt"/>
        <w:numPr>
          <w:ilvl w:val="0"/>
          <w:numId w:val="8"/>
        </w:numPr>
        <w:tabs>
          <w:tab w:val="clear" w:pos="475"/>
          <w:tab w:val="num" w:pos="1742"/>
        </w:tabs>
        <w:ind w:left="1267"/>
        <w:rPr>
          <w:lang w:val="fr-CH"/>
        </w:rPr>
      </w:pPr>
      <w:r w:rsidRPr="00DE3892">
        <w:rPr>
          <w:lang w:val="fr-CH"/>
        </w:rPr>
        <w:t>Compte tenu de la recommandation précédente du Comité à ce sujet (voir CCPR/C/BIH/CO/2, par. 8), donner des renseignements sur les mesures prises pour que les victimes de crimes liés à la guerre, notamment de violences sexuelles commises pendant la guerre, ainsi que leurs familles aient accès à la justice et à des réparations, y compris au titre de leur préjudice psychologique. Informer le Comité des mesures qui ont été prises pour harmoniser entre les entités et les cantons les pensions d’invalidité perçues par les victimes civiles et pour réduire l’écart entre les allocations reçues respectivement par les victimes civiles et les anciens combattants.</w:t>
      </w:r>
    </w:p>
    <w:p w:rsidR="00DE3892" w:rsidRPr="00DE3892" w:rsidRDefault="00DE3892" w:rsidP="0048188B">
      <w:pPr>
        <w:pStyle w:val="SingleTxt"/>
        <w:numPr>
          <w:ilvl w:val="0"/>
          <w:numId w:val="8"/>
        </w:numPr>
        <w:tabs>
          <w:tab w:val="clear" w:pos="475"/>
          <w:tab w:val="num" w:pos="1742"/>
        </w:tabs>
        <w:ind w:left="1267"/>
        <w:rPr>
          <w:lang w:val="fr-CH"/>
        </w:rPr>
      </w:pPr>
      <w:r w:rsidRPr="00DE3892">
        <w:rPr>
          <w:lang w:val="fr-CH"/>
        </w:rPr>
        <w:lastRenderedPageBreak/>
        <w:t>Compte tenu de la recommandation précédente du Comité à ce sujet (voir CCPR/C/BIH/CO/2, par. 9), informer le Comité des mesures prises pour accélérer le déroulement des enquêtes sur tous les cas de disparition non élucidés. Communiquer des renseignements sur</w:t>
      </w:r>
      <w:r w:rsidR="001B5520">
        <w:rPr>
          <w:lang w:val="fr-CH"/>
        </w:rPr>
        <w:t> </w:t>
      </w:r>
      <w:r w:rsidRPr="00DE3892">
        <w:rPr>
          <w:lang w:val="fr-CH"/>
        </w:rPr>
        <w:t>: a) ce qui a été fait pour doter l’Institut des personnes disparues d’un financement adéquat et faire en sorte qu’il soit pleinement indépendant et à même de s’acquitter de son mandat; b) les progrès réalisés quant à la création du Registre central des personnes disparues et du Fonds d’aide aux familles de personnes disparues; c) les dispositions prises pour informer régulièrement les proches des personnes disparues et leur apporter un soutien psychologique pendant la procédure d’exhumation et d’identification des restes humains.</w:t>
      </w:r>
    </w:p>
    <w:p w:rsidR="00DE3892" w:rsidRPr="001B5520" w:rsidRDefault="00DE3892" w:rsidP="001B5520">
      <w:pPr>
        <w:pStyle w:val="SingleTxt"/>
        <w:tabs>
          <w:tab w:val="right" w:pos="1685"/>
        </w:tabs>
        <w:spacing w:after="0" w:line="120" w:lineRule="exact"/>
        <w:ind w:left="1742" w:hanging="475"/>
        <w:rPr>
          <w:sz w:val="10"/>
          <w:lang w:val="fr-CH"/>
        </w:rPr>
      </w:pPr>
    </w:p>
    <w:p w:rsidR="00DE3892" w:rsidRPr="00DE3892" w:rsidRDefault="00DE3892" w:rsidP="001B552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DE3892">
        <w:rPr>
          <w:lang w:val="fr-CH"/>
        </w:rPr>
        <w:tab/>
      </w:r>
      <w:r w:rsidRPr="00DE3892">
        <w:rPr>
          <w:lang w:val="fr-CH"/>
        </w:rPr>
        <w:tab/>
        <w:t xml:space="preserve">Liberté et sécurité de la personne et traitement des prisonniers </w:t>
      </w:r>
      <w:r w:rsidR="001B5520">
        <w:rPr>
          <w:lang w:val="fr-CH"/>
        </w:rPr>
        <w:br/>
      </w:r>
      <w:r w:rsidRPr="00DE3892">
        <w:rPr>
          <w:lang w:val="fr-CH"/>
        </w:rPr>
        <w:t>(art. 7, 9 et 10)</w:t>
      </w:r>
    </w:p>
    <w:p w:rsidR="00DE3892" w:rsidRPr="001B5520" w:rsidRDefault="00DE3892" w:rsidP="001B5520">
      <w:pPr>
        <w:pStyle w:val="SingleTxt"/>
        <w:tabs>
          <w:tab w:val="right" w:pos="1685"/>
        </w:tabs>
        <w:spacing w:after="0" w:line="120" w:lineRule="exact"/>
        <w:ind w:left="1742" w:hanging="475"/>
        <w:rPr>
          <w:sz w:val="10"/>
          <w:lang w:val="fr-CH"/>
        </w:rPr>
      </w:pPr>
    </w:p>
    <w:p w:rsidR="00DE3892" w:rsidRPr="00DE3892" w:rsidRDefault="00DE3892" w:rsidP="0048188B">
      <w:pPr>
        <w:pStyle w:val="SingleTxt"/>
        <w:numPr>
          <w:ilvl w:val="0"/>
          <w:numId w:val="8"/>
        </w:numPr>
        <w:tabs>
          <w:tab w:val="clear" w:pos="475"/>
          <w:tab w:val="num" w:pos="1742"/>
        </w:tabs>
        <w:ind w:left="1267"/>
        <w:rPr>
          <w:lang w:val="fr-CH"/>
        </w:rPr>
      </w:pPr>
      <w:r w:rsidRPr="00DE3892">
        <w:rPr>
          <w:lang w:val="fr-CH"/>
        </w:rPr>
        <w:t>Indiquer combien de plaintes pour torture ou mauvais traitements infligés par les forces de l’ordre ont été enregistrées pendant la période considérée, y compris dans les lieux de détention, et donner des renseignements sur les enquêtes menées et les poursuites engagées, sur les condamnations et les peines prononcées, ainsi que sur les indemnisations accordées. Donner des informations en ce qui concerne les allégations</w:t>
      </w:r>
      <w:r w:rsidR="000F05DE">
        <w:rPr>
          <w:lang w:val="fr-CH"/>
        </w:rPr>
        <w:t xml:space="preserve"> </w:t>
      </w:r>
      <w:r w:rsidRPr="00DE3892">
        <w:rPr>
          <w:lang w:val="fr-CH"/>
        </w:rPr>
        <w:t>de mauvais traitements infligés à des détenus à la suite des manifestations de février 2014. Fournir des données pertinentes sur les enquêtes menées, les poursuites engagées et les condamnations prononcées.</w:t>
      </w:r>
    </w:p>
    <w:p w:rsidR="00DE3892" w:rsidRPr="00DE3892" w:rsidRDefault="00DE3892" w:rsidP="0048188B">
      <w:pPr>
        <w:pStyle w:val="SingleTxt"/>
        <w:numPr>
          <w:ilvl w:val="0"/>
          <w:numId w:val="8"/>
        </w:numPr>
        <w:tabs>
          <w:tab w:val="clear" w:pos="475"/>
          <w:tab w:val="num" w:pos="1742"/>
        </w:tabs>
        <w:ind w:left="1267"/>
        <w:rPr>
          <w:lang w:val="fr-CH"/>
        </w:rPr>
      </w:pPr>
      <w:r w:rsidRPr="00DE3892">
        <w:rPr>
          <w:lang w:val="fr-CH"/>
        </w:rPr>
        <w:t>Donner des renseignements actualisés sur la population carcérale, plus particulièrement sur la capacité d’accueil officielle de chaque établissement et sur le pourcentage de personnes en détention provisoire et de condamnés. Indiquer également quelles mesures ont été prises pour rendre les conditions de détention dans les lieux de privation de liberté conformes aux normes internationales. Compte tenu de la recommandation précédente du Comité à ce sujet (voir CCPR/C/BIH/CO/2, par. 11), indiquer ce qui a été fait pour remédier à la surpopulation dans les lieux de détention et dans les établissements pénitentiaires, limiter le recours à la mise à l’isolement et</w:t>
      </w:r>
      <w:r w:rsidR="000F05DE">
        <w:rPr>
          <w:lang w:val="fr-CH"/>
        </w:rPr>
        <w:t xml:space="preserve"> </w:t>
      </w:r>
      <w:r w:rsidR="001B5520">
        <w:rPr>
          <w:lang w:val="fr-CH"/>
        </w:rPr>
        <w:t>prévenir la violence entre</w:t>
      </w:r>
      <w:r w:rsidRPr="00DE3892">
        <w:rPr>
          <w:lang w:val="fr-CH"/>
        </w:rPr>
        <w:t xml:space="preserve"> détenus. Préciser si l’État partie a davantage recours à des peines de substitution à l’emprisonnement, comme la surveillance électronique, la libération conditionnelle et le travail d’intérêt général.</w:t>
      </w:r>
    </w:p>
    <w:p w:rsidR="00DE3892" w:rsidRPr="00DE3892" w:rsidRDefault="00DE3892" w:rsidP="0048188B">
      <w:pPr>
        <w:pStyle w:val="SingleTxt"/>
        <w:numPr>
          <w:ilvl w:val="0"/>
          <w:numId w:val="8"/>
        </w:numPr>
        <w:tabs>
          <w:tab w:val="clear" w:pos="475"/>
          <w:tab w:val="num" w:pos="1742"/>
        </w:tabs>
        <w:ind w:left="1267"/>
        <w:rPr>
          <w:lang w:val="fr-CH"/>
        </w:rPr>
      </w:pPr>
      <w:r w:rsidRPr="00DE3892">
        <w:rPr>
          <w:lang w:val="fr-CH"/>
        </w:rPr>
        <w:t xml:space="preserve">Compte tenu de la précédente recommandation du Comité à ce sujet (voir CCPR/C/BIH/CO/2, par. 14), des constatations adoptées par le Comité concernant la communication </w:t>
      </w:r>
      <w:r w:rsidR="001B5520">
        <w:rPr>
          <w:lang w:val="fr-CH"/>
        </w:rPr>
        <w:t>n</w:t>
      </w:r>
      <w:r w:rsidR="001B5520" w:rsidRPr="001B5520">
        <w:rPr>
          <w:vertAlign w:val="superscript"/>
          <w:lang w:val="fr-CH"/>
        </w:rPr>
        <w:t>o</w:t>
      </w:r>
      <w:r w:rsidR="001B5520">
        <w:rPr>
          <w:lang w:val="fr-CH"/>
        </w:rPr>
        <w:t> </w:t>
      </w:r>
      <w:r w:rsidRPr="00DE3892">
        <w:rPr>
          <w:lang w:val="fr-CH"/>
        </w:rPr>
        <w:t xml:space="preserve">1955/2010 et de la décision de la Cour européenne des droits de l’homme dans l’affaire </w:t>
      </w:r>
      <w:r w:rsidRPr="00DE3892">
        <w:rPr>
          <w:i/>
          <w:lang w:val="fr-CH"/>
        </w:rPr>
        <w:t>Al Husin</w:t>
      </w:r>
      <w:r w:rsidRPr="00DE3892">
        <w:rPr>
          <w:lang w:val="fr-CH"/>
        </w:rPr>
        <w:t xml:space="preserve"> c. </w:t>
      </w:r>
      <w:r w:rsidRPr="00DE3892">
        <w:rPr>
          <w:i/>
          <w:lang w:val="fr-CH"/>
        </w:rPr>
        <w:t>Bosnie-Herzégovine</w:t>
      </w:r>
      <w:r w:rsidRPr="00DE3892">
        <w:rPr>
          <w:lang w:val="fr-CH"/>
        </w:rPr>
        <w:t xml:space="preserve"> (requête </w:t>
      </w:r>
      <w:r w:rsidR="001B5520">
        <w:rPr>
          <w:lang w:val="fr-CH"/>
        </w:rPr>
        <w:t>n</w:t>
      </w:r>
      <w:r w:rsidR="001B5520" w:rsidRPr="001B5520">
        <w:rPr>
          <w:vertAlign w:val="superscript"/>
          <w:lang w:val="fr-CH"/>
        </w:rPr>
        <w:t>o</w:t>
      </w:r>
      <w:r w:rsidR="001B5520">
        <w:rPr>
          <w:lang w:val="fr-CH"/>
        </w:rPr>
        <w:t> </w:t>
      </w:r>
      <w:r w:rsidRPr="00DE3892">
        <w:rPr>
          <w:lang w:val="fr-CH"/>
        </w:rPr>
        <w:t>3727/08), indiquer ce qui a été fait pour réviser la loi prévoyant le placement en détention des personnes sous le coup d’une mesure de renvoi</w:t>
      </w:r>
      <w:r w:rsidR="000F05DE">
        <w:rPr>
          <w:lang w:val="fr-CH"/>
        </w:rPr>
        <w:t xml:space="preserve"> </w:t>
      </w:r>
      <w:r w:rsidRPr="00DE3892">
        <w:rPr>
          <w:lang w:val="fr-CH"/>
        </w:rPr>
        <w:t>pour des raisons de sécurité nationale, afin de garantir pleinement la sécurité juridique et d’éviter que les intéressés soient retenus indéfiniment. Indiquer quelles méthodes de surveillance ont été introduites en remplacement de la détention pour une durée indéterminée.</w:t>
      </w:r>
    </w:p>
    <w:p w:rsidR="00DE3892" w:rsidRPr="00DE3892" w:rsidRDefault="00DE3892" w:rsidP="0048188B">
      <w:pPr>
        <w:pStyle w:val="SingleTxt"/>
        <w:numPr>
          <w:ilvl w:val="0"/>
          <w:numId w:val="8"/>
        </w:numPr>
        <w:tabs>
          <w:tab w:val="clear" w:pos="475"/>
          <w:tab w:val="num" w:pos="1742"/>
        </w:tabs>
        <w:ind w:left="1267"/>
        <w:rPr>
          <w:lang w:val="fr-CH"/>
        </w:rPr>
      </w:pPr>
      <w:r w:rsidRPr="00DE3892">
        <w:rPr>
          <w:lang w:val="fr-CH"/>
        </w:rPr>
        <w:t>Compte tenu de la recommandation précédente du Comité à ce sujet (voir CCPR/C/BIH/CO/2, par. 15), indiquer quelles mesures ont été prises pour supprimer du Code de procédure pénale la notion mal définie de sécurité publique ou de sécurité des biens en tant que motif justifiant le placement en détention provisoire de personnes considérées comme représentant une menace pour la sécurité publique ou la sécurité des biens. Expliquer ce qui a été fait pour que les enfants ne soient pas détenus avec des adultes et pour que la détention provisoire ne soit ordonnée qu’à titre exceptionnel et en cas de nécessité, dans les limites des articles 9 et 10 du Pacte.</w:t>
      </w:r>
    </w:p>
    <w:p w:rsidR="00DE3892" w:rsidRPr="00DE3892" w:rsidRDefault="00DE3892" w:rsidP="0048188B">
      <w:pPr>
        <w:pStyle w:val="SingleTxt"/>
        <w:numPr>
          <w:ilvl w:val="0"/>
          <w:numId w:val="8"/>
        </w:numPr>
        <w:tabs>
          <w:tab w:val="clear" w:pos="475"/>
          <w:tab w:val="num" w:pos="1742"/>
        </w:tabs>
        <w:ind w:left="1267"/>
        <w:rPr>
          <w:lang w:val="fr-CH"/>
        </w:rPr>
      </w:pPr>
      <w:r w:rsidRPr="00DE3892">
        <w:rPr>
          <w:lang w:val="fr-CH"/>
        </w:rPr>
        <w:t>Donner des renseignements sur les mesures prises pour que le placement en rétention des demandeurs d’asile ne soit envisagé qu’en dernier recours et soit limité à la durée la plus brève qui soit raisonnablement</w:t>
      </w:r>
      <w:r w:rsidR="000F05DE">
        <w:rPr>
          <w:lang w:val="fr-CH"/>
        </w:rPr>
        <w:t xml:space="preserve"> </w:t>
      </w:r>
      <w:r w:rsidRPr="00DE3892">
        <w:rPr>
          <w:lang w:val="fr-CH"/>
        </w:rPr>
        <w:t xml:space="preserve">nécessaire. Expliquer comment l’État </w:t>
      </w:r>
      <w:r w:rsidRPr="00DE3892">
        <w:rPr>
          <w:lang w:val="fr-CH"/>
        </w:rPr>
        <w:lastRenderedPageBreak/>
        <w:t>partie fait en sorte que toutes les personnes entrant sur son territoire aient la possibilité de présenter une demande d’asile,</w:t>
      </w:r>
      <w:r w:rsidR="000F05DE">
        <w:rPr>
          <w:lang w:val="fr-CH"/>
        </w:rPr>
        <w:t xml:space="preserve"> </w:t>
      </w:r>
      <w:r w:rsidRPr="00DE3892">
        <w:rPr>
          <w:lang w:val="fr-CH"/>
        </w:rPr>
        <w:t>que dans</w:t>
      </w:r>
      <w:r w:rsidR="000F05DE">
        <w:rPr>
          <w:lang w:val="fr-CH"/>
        </w:rPr>
        <w:t xml:space="preserve"> </w:t>
      </w:r>
      <w:r w:rsidRPr="00DE3892">
        <w:rPr>
          <w:lang w:val="fr-CH"/>
        </w:rPr>
        <w:t>les cas de renvoi, tous les recours formés devant les tribunaux aient un effet suspensif, et que</w:t>
      </w:r>
      <w:r w:rsidR="000F05DE">
        <w:rPr>
          <w:lang w:val="fr-CH"/>
        </w:rPr>
        <w:t xml:space="preserve"> </w:t>
      </w:r>
      <w:r w:rsidRPr="00DE3892">
        <w:rPr>
          <w:lang w:val="fr-CH"/>
        </w:rPr>
        <w:t>les renseignements pertinents sur la situation dans le pays d’origine soient dûment pris en considération par les organes administratifs et judiciaires compétents. Donner des indications sur les services de base, les possibilités d’intégration locale et les droits dont bénéficient les demandeurs d’asile, les réfugiés et les personnes ayant obtenu une protection subsidiaire.</w:t>
      </w:r>
    </w:p>
    <w:p w:rsidR="00DE3892" w:rsidRPr="001B5520" w:rsidRDefault="00DE3892" w:rsidP="001B5520">
      <w:pPr>
        <w:pStyle w:val="SingleTxt"/>
        <w:tabs>
          <w:tab w:val="right" w:pos="1685"/>
        </w:tabs>
        <w:spacing w:after="0" w:line="120" w:lineRule="exact"/>
        <w:ind w:left="1742" w:hanging="475"/>
        <w:rPr>
          <w:sz w:val="10"/>
          <w:lang w:val="fr-CH"/>
        </w:rPr>
      </w:pPr>
    </w:p>
    <w:p w:rsidR="00DE3892" w:rsidRPr="00DE3892" w:rsidRDefault="00DE3892" w:rsidP="001B552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DE3892">
        <w:rPr>
          <w:lang w:val="fr-CH"/>
        </w:rPr>
        <w:tab/>
      </w:r>
      <w:r w:rsidRPr="00DE3892">
        <w:rPr>
          <w:lang w:val="fr-CH"/>
        </w:rPr>
        <w:tab/>
        <w:t>Traite des personnes (art. 8 et 24)</w:t>
      </w:r>
    </w:p>
    <w:p w:rsidR="00DE3892" w:rsidRPr="001B5520" w:rsidRDefault="00DE3892" w:rsidP="001B5520">
      <w:pPr>
        <w:pStyle w:val="SingleTxt"/>
        <w:tabs>
          <w:tab w:val="right" w:pos="1685"/>
        </w:tabs>
        <w:spacing w:after="0" w:line="120" w:lineRule="exact"/>
        <w:ind w:left="1742" w:hanging="475"/>
        <w:rPr>
          <w:sz w:val="10"/>
          <w:lang w:val="fr-CH"/>
        </w:rPr>
      </w:pPr>
    </w:p>
    <w:p w:rsidR="00DE3892" w:rsidRDefault="00DE3892" w:rsidP="0048188B">
      <w:pPr>
        <w:pStyle w:val="SingleTxt"/>
        <w:numPr>
          <w:ilvl w:val="0"/>
          <w:numId w:val="8"/>
        </w:numPr>
        <w:tabs>
          <w:tab w:val="clear" w:pos="475"/>
          <w:tab w:val="num" w:pos="1742"/>
        </w:tabs>
        <w:ind w:left="1267"/>
        <w:rPr>
          <w:lang w:val="fr-CH"/>
        </w:rPr>
      </w:pPr>
      <w:r w:rsidRPr="00DE3892">
        <w:rPr>
          <w:lang w:val="fr-CH"/>
        </w:rPr>
        <w:t>Donner des informations sur les mesures prises pour lutter contre la traite des êtres humains à des fins de travail forcé et d’exploitation sexuelle. Indiquer au Comité ce qui a été fait pour harmoniser le cadre législatif au plan national et à l’échelle des entités et communiquer des données sur : a) le nombre de cas signalés; b) les enquêtes menées, les poursuites engagées et les condamnations effectivement prononcées; c) l’existence de procédures efficaces permettant de repérer les victimes de la traite, ainsi que de services suffisants d’aide aux victimes, notamment de foyers d’accueil et de services d’aide juridictionnelle et de réinsertion.</w:t>
      </w:r>
    </w:p>
    <w:p w:rsidR="001B5520" w:rsidRPr="001B5520" w:rsidRDefault="001B5520" w:rsidP="001B5520">
      <w:pPr>
        <w:pStyle w:val="SingleTxt"/>
        <w:spacing w:after="0" w:line="120" w:lineRule="exact"/>
        <w:rPr>
          <w:sz w:val="10"/>
          <w:lang w:val="fr-CH"/>
        </w:rPr>
      </w:pPr>
    </w:p>
    <w:p w:rsidR="00DE3892" w:rsidRDefault="001B5520" w:rsidP="001B552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r>
      <w:r w:rsidR="00DE3892" w:rsidRPr="00DE3892">
        <w:rPr>
          <w:lang w:val="fr-CH"/>
        </w:rPr>
        <w:t>Protection des mineurs et des droits de l’enfant (art.</w:t>
      </w:r>
      <w:r>
        <w:rPr>
          <w:lang w:val="fr-CH"/>
        </w:rPr>
        <w:t> </w:t>
      </w:r>
      <w:r w:rsidR="00DE3892" w:rsidRPr="00DE3892">
        <w:rPr>
          <w:lang w:val="fr-CH"/>
        </w:rPr>
        <w:t>6 et 24)</w:t>
      </w:r>
    </w:p>
    <w:p w:rsidR="001B5520" w:rsidRPr="001B5520" w:rsidRDefault="001B5520" w:rsidP="001B5520">
      <w:pPr>
        <w:pStyle w:val="SingleTxt"/>
        <w:spacing w:after="0" w:line="120" w:lineRule="exact"/>
        <w:rPr>
          <w:sz w:val="10"/>
          <w:lang w:val="fr-CH"/>
        </w:rPr>
      </w:pPr>
    </w:p>
    <w:p w:rsidR="00DE3892" w:rsidRPr="00DE3892" w:rsidRDefault="00DE3892" w:rsidP="0048188B">
      <w:pPr>
        <w:pStyle w:val="SingleTxt"/>
        <w:numPr>
          <w:ilvl w:val="0"/>
          <w:numId w:val="8"/>
        </w:numPr>
        <w:tabs>
          <w:tab w:val="clear" w:pos="475"/>
          <w:tab w:val="num" w:pos="1742"/>
        </w:tabs>
        <w:ind w:left="1267"/>
        <w:rPr>
          <w:lang w:val="fr-CH"/>
        </w:rPr>
      </w:pPr>
      <w:r w:rsidRPr="00DE3892">
        <w:rPr>
          <w:lang w:val="fr-CH"/>
        </w:rPr>
        <w:t>Indiquer si les châtiments corporels infligés aux enfants sont expressément interdits dans tous les contextes, commenter les informations selon lesquelles les châtiments corporels seraient largement employés et tolérés dans l’État partie et donner des renseignements sur les mesures qui ont été prises pour prévenir et combattre cette pratique.</w:t>
      </w:r>
    </w:p>
    <w:p w:rsidR="00DE3892" w:rsidRPr="00DE3892" w:rsidRDefault="00DE3892" w:rsidP="0048188B">
      <w:pPr>
        <w:pStyle w:val="SingleTxt"/>
        <w:numPr>
          <w:ilvl w:val="0"/>
          <w:numId w:val="8"/>
        </w:numPr>
        <w:tabs>
          <w:tab w:val="clear" w:pos="475"/>
          <w:tab w:val="num" w:pos="1742"/>
        </w:tabs>
        <w:ind w:left="1267"/>
        <w:rPr>
          <w:lang w:val="fr-CH"/>
        </w:rPr>
      </w:pPr>
      <w:r w:rsidRPr="00DE3892">
        <w:rPr>
          <w:lang w:val="fr-CH"/>
        </w:rPr>
        <w:t>Donner des renseignements sur le nombre de cas de mariages d’enfants, en particulier chez les membres de la minorité rom, et indiquer les mesures qui ont été prises par l’État partie pour juguler ce phénomène</w:t>
      </w:r>
      <w:r w:rsidR="001B5520">
        <w:rPr>
          <w:lang w:val="fr-CH"/>
        </w:rPr>
        <w:t>.</w:t>
      </w:r>
    </w:p>
    <w:p w:rsidR="00DE3892" w:rsidRPr="00DE3892" w:rsidRDefault="00DE3892" w:rsidP="0048188B">
      <w:pPr>
        <w:pStyle w:val="SingleTxt"/>
        <w:numPr>
          <w:ilvl w:val="0"/>
          <w:numId w:val="8"/>
        </w:numPr>
        <w:tabs>
          <w:tab w:val="clear" w:pos="475"/>
          <w:tab w:val="num" w:pos="1742"/>
        </w:tabs>
        <w:ind w:left="1267"/>
        <w:rPr>
          <w:lang w:val="fr-CH"/>
        </w:rPr>
      </w:pPr>
      <w:r w:rsidRPr="00DE3892">
        <w:rPr>
          <w:lang w:val="fr-CH"/>
        </w:rPr>
        <w:t>Commenter les informations selon lesquelles un grand nombre d’enfants handicapés ne recevraient pas d’instruction et, parmi ceux d’entre eux qui sont scolarisés dans le secteur public, peu fréquenteraient un établissement scolaire ordinaire.</w:t>
      </w:r>
    </w:p>
    <w:p w:rsidR="00DE3892" w:rsidRPr="001B5520" w:rsidRDefault="00DE3892" w:rsidP="001B5520">
      <w:pPr>
        <w:pStyle w:val="SingleTxt"/>
        <w:tabs>
          <w:tab w:val="right" w:pos="1685"/>
        </w:tabs>
        <w:spacing w:after="0" w:line="120" w:lineRule="exact"/>
        <w:ind w:left="1742" w:hanging="475"/>
        <w:rPr>
          <w:sz w:val="10"/>
          <w:lang w:val="fr-CH"/>
        </w:rPr>
      </w:pPr>
    </w:p>
    <w:p w:rsidR="00DE3892" w:rsidRPr="00DE3892" w:rsidRDefault="00DE3892" w:rsidP="001B552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DE3892">
        <w:rPr>
          <w:lang w:val="fr-CH"/>
        </w:rPr>
        <w:tab/>
      </w:r>
      <w:r w:rsidRPr="00DE3892">
        <w:rPr>
          <w:lang w:val="fr-CH"/>
        </w:rPr>
        <w:tab/>
        <w:t>Réfugiés et personnes déplacées (art. 12)</w:t>
      </w:r>
    </w:p>
    <w:p w:rsidR="00DE3892" w:rsidRPr="001B5520" w:rsidRDefault="00DE3892" w:rsidP="001B5520">
      <w:pPr>
        <w:pStyle w:val="SingleTxt"/>
        <w:tabs>
          <w:tab w:val="right" w:pos="1685"/>
        </w:tabs>
        <w:spacing w:after="0" w:line="120" w:lineRule="exact"/>
        <w:ind w:left="1742" w:hanging="475"/>
        <w:rPr>
          <w:sz w:val="10"/>
          <w:lang w:val="fr-CH"/>
        </w:rPr>
      </w:pPr>
    </w:p>
    <w:p w:rsidR="00DE3892" w:rsidRDefault="00DE3892" w:rsidP="001B5520">
      <w:pPr>
        <w:pStyle w:val="SingleTxt"/>
        <w:numPr>
          <w:ilvl w:val="0"/>
          <w:numId w:val="8"/>
        </w:numPr>
        <w:tabs>
          <w:tab w:val="clear" w:pos="475"/>
          <w:tab w:val="num" w:pos="1742"/>
        </w:tabs>
        <w:ind w:left="1267"/>
        <w:rPr>
          <w:lang w:val="fr-CH"/>
        </w:rPr>
      </w:pPr>
      <w:r w:rsidRPr="00DE3892">
        <w:rPr>
          <w:lang w:val="fr-CH"/>
        </w:rPr>
        <w:t>Compte tenu de la recommandation précédente du Comité à ce sujet (voir CCPR/C/BIH/CO/2, par. 16), indiquer au Comité les mesures qui ont été prises pour assurer la réinstallation et le retour des réfugiés, des rapatriés et des personnes déplacées à l’intérieur du pays, en vue d’achever le processus de fermeture progressive des centres d’hébergement collectifs. Expliquer ce qui a été fait pour fournir aux résidents des centres collectifs un logement de remplacement convenable et créer les conditions propices au retour des intéressés et à leur réinstallation durable.</w:t>
      </w:r>
    </w:p>
    <w:p w:rsidR="00B9099B" w:rsidRPr="00B9099B" w:rsidRDefault="00B9099B" w:rsidP="00B9099B">
      <w:pPr>
        <w:pStyle w:val="SingleTxt"/>
        <w:spacing w:after="0" w:line="120" w:lineRule="exact"/>
        <w:rPr>
          <w:sz w:val="10"/>
          <w:lang w:val="fr-CH"/>
        </w:rPr>
      </w:pPr>
    </w:p>
    <w:p w:rsidR="00DE3892" w:rsidRPr="00DE3892" w:rsidRDefault="00DE3892" w:rsidP="00B9099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DE3892">
        <w:rPr>
          <w:lang w:val="fr-CH"/>
        </w:rPr>
        <w:tab/>
      </w:r>
      <w:r w:rsidRPr="00DE3892">
        <w:rPr>
          <w:lang w:val="fr-CH"/>
        </w:rPr>
        <w:tab/>
        <w:t xml:space="preserve">Liberté d’opinion et d’expression et droit au respect de la vie privée </w:t>
      </w:r>
      <w:r w:rsidRPr="00DE3892">
        <w:rPr>
          <w:lang w:val="fr-CH"/>
        </w:rPr>
        <w:br/>
        <w:t>(art. 17 et 19)</w:t>
      </w:r>
    </w:p>
    <w:p w:rsidR="00DE3892" w:rsidRPr="00B9099B" w:rsidRDefault="00DE3892" w:rsidP="00B9099B">
      <w:pPr>
        <w:pStyle w:val="SingleTxt"/>
        <w:tabs>
          <w:tab w:val="right" w:pos="1685"/>
        </w:tabs>
        <w:spacing w:after="0" w:line="120" w:lineRule="exact"/>
        <w:ind w:left="1742" w:hanging="475"/>
        <w:rPr>
          <w:sz w:val="10"/>
          <w:lang w:val="fr-CH"/>
        </w:rPr>
      </w:pPr>
    </w:p>
    <w:p w:rsidR="00DE3892" w:rsidRPr="00DE3892" w:rsidRDefault="00DE3892" w:rsidP="0048188B">
      <w:pPr>
        <w:pStyle w:val="SingleTxt"/>
        <w:numPr>
          <w:ilvl w:val="0"/>
          <w:numId w:val="8"/>
        </w:numPr>
        <w:tabs>
          <w:tab w:val="clear" w:pos="475"/>
          <w:tab w:val="num" w:pos="1742"/>
        </w:tabs>
        <w:ind w:left="1267"/>
        <w:rPr>
          <w:lang w:val="fr-CH"/>
        </w:rPr>
      </w:pPr>
      <w:r w:rsidRPr="00DE3892">
        <w:rPr>
          <w:lang w:val="fr-CH"/>
        </w:rPr>
        <w:t>Compte tenu de la recommandation précédente du Comité à ce sujet (voir CCPR/C/BIH/CO/2, par. 18), informer le Comité des dispositions qui ont été prises pour que l’indépendance de l’Autorité de réglementation des communications soit pleinement respectée.</w:t>
      </w:r>
    </w:p>
    <w:p w:rsidR="00DE3892" w:rsidRPr="00DE3892" w:rsidRDefault="00DE3892" w:rsidP="0048188B">
      <w:pPr>
        <w:pStyle w:val="SingleTxt"/>
        <w:numPr>
          <w:ilvl w:val="0"/>
          <w:numId w:val="8"/>
        </w:numPr>
        <w:tabs>
          <w:tab w:val="clear" w:pos="475"/>
          <w:tab w:val="num" w:pos="1742"/>
        </w:tabs>
        <w:ind w:left="1267"/>
        <w:rPr>
          <w:lang w:val="fr-CH"/>
        </w:rPr>
      </w:pPr>
      <w:r w:rsidRPr="00DE3892">
        <w:rPr>
          <w:lang w:val="fr-CH"/>
        </w:rPr>
        <w:t xml:space="preserve">Expliquer ce qui a été fait pour prévenir les manœuvres d’intimidation visant des journalistes et veiller à ce que ceux-ci puissent faire leur travail en toute sécurité. À ce sujet, indiquer quel a été le résultat des enquêtes menées pendant la période considérée sur des cas de violence, notamment d’usage excessif de la force par des membres des </w:t>
      </w:r>
      <w:r w:rsidRPr="00DE3892">
        <w:rPr>
          <w:lang w:val="fr-CH"/>
        </w:rPr>
        <w:lastRenderedPageBreak/>
        <w:t>forces de l’ordre, et d’intimidation contre des journalistes et d’autres professionnels des médias. Donner également des renseignements sur les critères d’attribution par l’État des contrats de publicité aux médias et expliquer dans quelle mesure ils sont compatibles avec les principes énoncés dans le Pacte.</w:t>
      </w:r>
    </w:p>
    <w:p w:rsidR="00DE3892" w:rsidRPr="00B9099B" w:rsidRDefault="00DE3892" w:rsidP="00B9099B">
      <w:pPr>
        <w:pStyle w:val="SingleTxt"/>
        <w:tabs>
          <w:tab w:val="right" w:pos="1685"/>
        </w:tabs>
        <w:spacing w:after="0" w:line="120" w:lineRule="exact"/>
        <w:ind w:left="1742" w:hanging="475"/>
        <w:rPr>
          <w:sz w:val="10"/>
          <w:lang w:val="fr-CH"/>
        </w:rPr>
      </w:pPr>
    </w:p>
    <w:p w:rsidR="00DE3892" w:rsidRPr="00DE3892" w:rsidRDefault="00DE3892" w:rsidP="00B9099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DE3892">
        <w:rPr>
          <w:lang w:val="fr-CH"/>
        </w:rPr>
        <w:tab/>
      </w:r>
      <w:r w:rsidRPr="00DE3892">
        <w:rPr>
          <w:lang w:val="fr-CH"/>
        </w:rPr>
        <w:tab/>
        <w:t>Participation aux affaires publiques (art.</w:t>
      </w:r>
      <w:r w:rsidR="00B9099B">
        <w:rPr>
          <w:lang w:val="fr-CH"/>
        </w:rPr>
        <w:t> </w:t>
      </w:r>
      <w:r w:rsidRPr="00DE3892">
        <w:rPr>
          <w:lang w:val="fr-CH"/>
        </w:rPr>
        <w:t>25)</w:t>
      </w:r>
    </w:p>
    <w:p w:rsidR="00DE3892" w:rsidRPr="00B9099B" w:rsidRDefault="00DE3892" w:rsidP="00B9099B">
      <w:pPr>
        <w:pStyle w:val="SingleTxt"/>
        <w:tabs>
          <w:tab w:val="right" w:pos="1685"/>
        </w:tabs>
        <w:spacing w:after="0" w:line="120" w:lineRule="exact"/>
        <w:ind w:left="1742" w:hanging="475"/>
        <w:rPr>
          <w:sz w:val="10"/>
          <w:lang w:val="fr-CH"/>
        </w:rPr>
      </w:pPr>
    </w:p>
    <w:p w:rsidR="00DE3892" w:rsidRPr="00DE3892" w:rsidRDefault="00DE3892" w:rsidP="0048188B">
      <w:pPr>
        <w:pStyle w:val="SingleTxt"/>
        <w:numPr>
          <w:ilvl w:val="0"/>
          <w:numId w:val="8"/>
        </w:numPr>
        <w:tabs>
          <w:tab w:val="clear" w:pos="475"/>
          <w:tab w:val="num" w:pos="1742"/>
        </w:tabs>
        <w:ind w:left="1267"/>
        <w:rPr>
          <w:lang w:val="fr-CH"/>
        </w:rPr>
      </w:pPr>
      <w:r w:rsidRPr="00DE3892">
        <w:rPr>
          <w:lang w:val="fr-CH"/>
        </w:rPr>
        <w:t xml:space="preserve">Compte tenu de la recommandation précédente du Comité à ce sujet (voir CCPR/C/BIH/CO/2, par. 6) et du rapport de suivi de l’État partie (CCPR/C/BIH/CO/2/Add.1), fournir des renseignements sur les mesures prises pour mettre en place un système électoral qui garantisse à tous les citoyens, quelle que soit leur origine ethnique, l’égalité d’exercice des droits consacrés par l’article 25 du Pacte. Informer le Comité de ce qui a été fait pour modifier la Constitution et la loi électorale de l’État partie de façon à supprimer les dispositions discriminatoires qui empêchent les citoyens n’appartenant pas ou ne déclarant pas appartenir à l’un des trois </w:t>
      </w:r>
      <w:r w:rsidR="00B9099B">
        <w:rPr>
          <w:lang w:val="fr-CH"/>
        </w:rPr>
        <w:t>« </w:t>
      </w:r>
      <w:r w:rsidRPr="00DE3892">
        <w:rPr>
          <w:lang w:val="fr-CH"/>
        </w:rPr>
        <w:t>peuples constitutifs » (bosniaque, croate et serbe) de participer aux élections. Indiquer les mesures qui ont été prises pour que les minorités nationales jouissent d’un droit réel et effectif d’être représentées à tous les niveaux de la vie publique, notamment au sein des organes élus et judiciaires, et fournir des statistiques sur le nombre de sièges occupés par des membres des minorités nationales dans les assemblées et conseils municipaux.</w:t>
      </w:r>
    </w:p>
    <w:p w:rsidR="00DE3892" w:rsidRPr="00B9099B" w:rsidRDefault="00DE3892" w:rsidP="00B9099B">
      <w:pPr>
        <w:pStyle w:val="SingleTxt"/>
        <w:tabs>
          <w:tab w:val="right" w:pos="1685"/>
        </w:tabs>
        <w:spacing w:after="0" w:line="120" w:lineRule="exact"/>
        <w:ind w:left="1742" w:hanging="475"/>
        <w:rPr>
          <w:sz w:val="10"/>
          <w:lang w:val="fr-CH"/>
        </w:rPr>
      </w:pPr>
    </w:p>
    <w:p w:rsidR="00DE3892" w:rsidRPr="00DE3892" w:rsidRDefault="00DE3892" w:rsidP="00B9099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DE3892">
        <w:rPr>
          <w:lang w:val="fr-CH"/>
        </w:rPr>
        <w:tab/>
      </w:r>
      <w:r w:rsidRPr="00DE3892">
        <w:rPr>
          <w:lang w:val="fr-CH"/>
        </w:rPr>
        <w:tab/>
        <w:t xml:space="preserve">Droits des personnes appartenant à des minorités ethniques, religieuses </w:t>
      </w:r>
      <w:r w:rsidRPr="00DE3892">
        <w:rPr>
          <w:lang w:val="fr-CH"/>
        </w:rPr>
        <w:br/>
        <w:t>ou linguistiques (art. 27)</w:t>
      </w:r>
    </w:p>
    <w:p w:rsidR="00DE3892" w:rsidRPr="00B9099B" w:rsidRDefault="00DE3892" w:rsidP="00B9099B">
      <w:pPr>
        <w:pStyle w:val="SingleTxt"/>
        <w:tabs>
          <w:tab w:val="right" w:pos="1685"/>
        </w:tabs>
        <w:spacing w:after="0" w:line="120" w:lineRule="exact"/>
        <w:ind w:left="1742" w:hanging="475"/>
        <w:rPr>
          <w:sz w:val="10"/>
          <w:lang w:val="fr-CH"/>
        </w:rPr>
      </w:pPr>
    </w:p>
    <w:p w:rsidR="00DE3892" w:rsidRDefault="00DE3892" w:rsidP="0048188B">
      <w:pPr>
        <w:pStyle w:val="SingleTxt"/>
        <w:numPr>
          <w:ilvl w:val="0"/>
          <w:numId w:val="8"/>
        </w:numPr>
        <w:tabs>
          <w:tab w:val="clear" w:pos="475"/>
          <w:tab w:val="num" w:pos="1742"/>
        </w:tabs>
        <w:ind w:left="1267"/>
        <w:rPr>
          <w:lang w:val="fr-CH"/>
        </w:rPr>
      </w:pPr>
      <w:r w:rsidRPr="00DE3892">
        <w:rPr>
          <w:lang w:val="fr-CH"/>
        </w:rPr>
        <w:t>Expliquer ce qui est fait pour lutter contre la discrimination dont les minorités ethniques continuent d’être victimes. Plus précisément, compte tenu des recommandations précédentes du Comité à ce sujet (voir CCPR/C/BIH/CO/2, par. 17 et 21), expliquer ce qui est fait pour : a) améliorer l’enregistrement des naissances et la délivrance des actes de naissance, pour ce qui concerne en particulier les communautés roms; b) donner effet aux droits linguistiques des Roms et à leur droit à l’éducation, tels qu’ils sont protégés par la loi relative à la protection des droits des personnes appartenant à des minorités nationales; c) mieux garantir l’exercice par les Roms de leur droit au logement, aux soins de santé et à l’emploi, ainsi que de leur droit de participer à la conduite des affaires publiques; d) accroître la participation encore faible des Roms, en particulier des femmes, à la vie politique.</w:t>
      </w:r>
    </w:p>
    <w:p w:rsidR="00DE3892" w:rsidRPr="00DE3892" w:rsidRDefault="00DE3892" w:rsidP="00DE3892">
      <w:pPr>
        <w:pStyle w:val="SingleTxt"/>
        <w:tabs>
          <w:tab w:val="right" w:pos="1685"/>
        </w:tabs>
        <w:spacing w:after="0" w:line="240" w:lineRule="auto"/>
        <w:ind w:left="1742" w:hanging="475"/>
        <w:rPr>
          <w:lang w:val="fr-CH"/>
        </w:rPr>
      </w:pPr>
      <w:r>
        <w:rPr>
          <w:noProof/>
          <w:w w:val="100"/>
          <w:lang w:val="en-US"/>
        </w:rPr>
        <mc:AlternateContent>
          <mc:Choice Requires="wps">
            <w:drawing>
              <wp:anchor distT="0" distB="0" distL="114300" distR="114300" simplePos="0" relativeHeight="251659264" behindDoc="0" locked="0" layoutInCell="1" allowOverlap="1">
                <wp:simplePos x="0" y="0"/>
                <wp:positionH relativeFrom="page">
                  <wp:posOffset>3429000</wp:posOffset>
                </wp:positionH>
                <wp:positionV relativeFrom="paragraph">
                  <wp:posOffset>304800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" strokecolor="#010000" strokeweight=".25pt">
                <w10:wrap anchorx="page"/>
              </v:line>
            </w:pict>
          </mc:Fallback>
        </mc:AlternateContent>
      </w:r>
    </w:p>
    <w:sectPr w:rsidR="00DE3892" w:rsidRPr="00DE3892" w:rsidSect="00EC0A8F">
      <w:endnotePr>
        <w:numFmt w:val="decimal"/>
      </w:endnotePr>
      <w:type w:val="continuous"/>
      <w:pgSz w:w="11909" w:h="16834"/>
      <w:pgMar w:top="1742" w:right="936" w:bottom="1898" w:left="936" w:header="576" w:footer="1030" w:gutter="0"/>
      <w:cols w:space="72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12-30T12:04:00Z" w:initials="Start">
    <w:p w:rsidR="00EC0A8F" w:rsidRDefault="00EC0A8F">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NO&gt;&gt;N1526794F&lt;&lt;ODS JOB NO&gt;&gt;</w:t>
      </w:r>
    </w:p>
    <w:p w:rsidR="00EC0A8F" w:rsidRDefault="00EC0A8F">
      <w:pPr>
        <w:pStyle w:val="CommentText"/>
      </w:pPr>
      <w:r>
        <w:t>&lt;&lt;ODS DOC SYMBOL1&gt;&gt;CCPR/C/BIH/QPR/3&lt;&lt;ODS DOC SYMBOL1&gt;&gt;</w:t>
      </w:r>
    </w:p>
    <w:p w:rsidR="00EC0A8F" w:rsidRDefault="00EC0A8F">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B228E" w:rsidRDefault="003B228E" w:rsidP="00F3330B">
      <w:pPr>
        <w:spacing w:line="240" w:lineRule="auto"/>
      </w:pPr>
      <w:r>
        <w:separator/>
      </w:r>
    </w:p>
  </w:endnote>
  <w:endnote w:type="continuationSeparator" w:id="0">
    <w:p w:rsidR="003B228E" w:rsidRDefault="003B228E" w:rsidP="00F3330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EC0A8F" w:rsidTr="00EC0A8F">
      <w:trPr>
        <w:jc w:val="center"/>
      </w:trPr>
      <w:tc>
        <w:tcPr>
          <w:tcW w:w="5126" w:type="dxa"/>
          <w:shd w:val="clear" w:color="auto" w:fill="auto"/>
        </w:tcPr>
        <w:p w:rsidR="00EC0A8F" w:rsidRPr="00EC0A8F" w:rsidRDefault="00EC0A8F" w:rsidP="00EC0A8F">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871633">
            <w:rPr>
              <w:b w:val="0"/>
              <w:w w:val="103"/>
              <w:sz w:val="14"/>
            </w:rPr>
            <w:t>GE.15-20703</w:t>
          </w:r>
          <w:r>
            <w:rPr>
              <w:b w:val="0"/>
              <w:w w:val="103"/>
              <w:sz w:val="14"/>
            </w:rPr>
            <w:fldChar w:fldCharType="end"/>
          </w:r>
        </w:p>
      </w:tc>
      <w:tc>
        <w:tcPr>
          <w:tcW w:w="5127" w:type="dxa"/>
          <w:shd w:val="clear" w:color="auto" w:fill="auto"/>
        </w:tcPr>
        <w:p w:rsidR="00EC0A8F" w:rsidRPr="00EC0A8F" w:rsidRDefault="00EC0A8F" w:rsidP="00EC0A8F">
          <w:pPr>
            <w:pStyle w:val="Footer"/>
            <w:rPr>
              <w:w w:val="103"/>
            </w:rPr>
          </w:pPr>
          <w:r>
            <w:rPr>
              <w:w w:val="103"/>
            </w:rPr>
            <w:fldChar w:fldCharType="begin"/>
          </w:r>
          <w:r>
            <w:rPr>
              <w:w w:val="103"/>
            </w:rPr>
            <w:instrText xml:space="preserve"> PAGE  \* Arabic  \* MERGEFORMAT </w:instrText>
          </w:r>
          <w:r>
            <w:rPr>
              <w:w w:val="103"/>
            </w:rPr>
            <w:fldChar w:fldCharType="separate"/>
          </w:r>
          <w:r w:rsidR="00871633">
            <w:rPr>
              <w:noProof/>
              <w:w w:val="103"/>
            </w:rPr>
            <w:t>6</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871633">
            <w:rPr>
              <w:noProof/>
              <w:w w:val="103"/>
            </w:rPr>
            <w:t>6</w:t>
          </w:r>
          <w:r>
            <w:rPr>
              <w:w w:val="103"/>
            </w:rPr>
            <w:fldChar w:fldCharType="end"/>
          </w:r>
        </w:p>
      </w:tc>
    </w:tr>
  </w:tbl>
  <w:p w:rsidR="00EC0A8F" w:rsidRPr="00EC0A8F" w:rsidRDefault="00EC0A8F" w:rsidP="00EC0A8F">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EC0A8F" w:rsidTr="00EC0A8F">
      <w:trPr>
        <w:jc w:val="center"/>
      </w:trPr>
      <w:tc>
        <w:tcPr>
          <w:tcW w:w="5126" w:type="dxa"/>
          <w:shd w:val="clear" w:color="auto" w:fill="auto"/>
        </w:tcPr>
        <w:p w:rsidR="00EC0A8F" w:rsidRPr="00EC0A8F" w:rsidRDefault="00EC0A8F" w:rsidP="00EC0A8F">
          <w:pPr>
            <w:pStyle w:val="Footer"/>
            <w:jc w:val="right"/>
            <w:rPr>
              <w:w w:val="103"/>
            </w:rPr>
          </w:pPr>
          <w:r>
            <w:rPr>
              <w:w w:val="103"/>
            </w:rPr>
            <w:fldChar w:fldCharType="begin"/>
          </w:r>
          <w:r>
            <w:rPr>
              <w:w w:val="103"/>
            </w:rPr>
            <w:instrText xml:space="preserve"> PAGE  \* Arabic  \* MERGEFORMAT </w:instrText>
          </w:r>
          <w:r>
            <w:rPr>
              <w:w w:val="103"/>
            </w:rPr>
            <w:fldChar w:fldCharType="separate"/>
          </w:r>
          <w:r w:rsidR="00871633">
            <w:rPr>
              <w:noProof/>
              <w:w w:val="103"/>
            </w:rPr>
            <w:t>5</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871633">
            <w:rPr>
              <w:noProof/>
              <w:w w:val="103"/>
            </w:rPr>
            <w:t>6</w:t>
          </w:r>
          <w:r>
            <w:rPr>
              <w:w w:val="103"/>
            </w:rPr>
            <w:fldChar w:fldCharType="end"/>
          </w:r>
        </w:p>
      </w:tc>
      <w:tc>
        <w:tcPr>
          <w:tcW w:w="5127" w:type="dxa"/>
          <w:shd w:val="clear" w:color="auto" w:fill="auto"/>
        </w:tcPr>
        <w:p w:rsidR="00EC0A8F" w:rsidRPr="00EC0A8F" w:rsidRDefault="00EC0A8F" w:rsidP="00EC0A8F">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871633">
            <w:rPr>
              <w:b w:val="0"/>
              <w:w w:val="103"/>
              <w:sz w:val="14"/>
            </w:rPr>
            <w:t>GE.15-20703</w:t>
          </w:r>
          <w:r>
            <w:rPr>
              <w:b w:val="0"/>
              <w:w w:val="103"/>
              <w:sz w:val="14"/>
            </w:rPr>
            <w:fldChar w:fldCharType="end"/>
          </w:r>
        </w:p>
      </w:tc>
    </w:tr>
  </w:tbl>
  <w:p w:rsidR="00EC0A8F" w:rsidRPr="00EC0A8F" w:rsidRDefault="00EC0A8F" w:rsidP="00EC0A8F">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0A8F" w:rsidRDefault="00EC0A8F">
    <w:pPr>
      <w:pStyle w:val="Footer"/>
    </w:pPr>
    <w:r>
      <w:rPr>
        <w:noProof/>
      </w:rPr>
      <w:drawing>
        <wp:anchor distT="0" distB="0" distL="114300" distR="114300" simplePos="0" relativeHeight="251658240" behindDoc="0" locked="0" layoutInCell="1" allowOverlap="1" wp14:anchorId="5578E614" wp14:editId="1A1F654F">
          <wp:simplePos x="0" y="0"/>
          <wp:positionH relativeFrom="column">
            <wp:posOffset>5650865</wp:posOffset>
          </wp:positionH>
          <wp:positionV relativeFrom="paragraph">
            <wp:posOffset>-228600</wp:posOffset>
          </wp:positionV>
          <wp:extent cx="694690" cy="694690"/>
          <wp:effectExtent l="0" t="0" r="0" b="0"/>
          <wp:wrapNone/>
          <wp:docPr id="3" name="Picture 3" descr="http://undocs.org/m2/QRCode2.ashx?DS=CCPR/C/BIH/QPR/3&amp;Size =1&amp;Lang = 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CPR/C/BIH/QPR/3&amp;Size =1&amp;Lang = 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859"/>
      <w:gridCol w:w="5127"/>
    </w:tblGrid>
    <w:tr w:rsidR="00EC0A8F" w:rsidTr="00EC0A8F">
      <w:tc>
        <w:tcPr>
          <w:tcW w:w="3859" w:type="dxa"/>
        </w:tcPr>
        <w:p w:rsidR="00EC0A8F" w:rsidRDefault="00EC0A8F" w:rsidP="00EC0A8F">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871633">
            <w:rPr>
              <w:b w:val="0"/>
              <w:sz w:val="20"/>
            </w:rPr>
            <w:t>GE.15-20703 (F)</w:t>
          </w:r>
          <w:r>
            <w:rPr>
              <w:b w:val="0"/>
              <w:sz w:val="20"/>
            </w:rPr>
            <w:fldChar w:fldCharType="end"/>
          </w:r>
          <w:r w:rsidR="005C4C94">
            <w:rPr>
              <w:b w:val="0"/>
              <w:sz w:val="20"/>
            </w:rPr>
            <w:t xml:space="preserve">    07</w:t>
          </w:r>
          <w:r>
            <w:rPr>
              <w:b w:val="0"/>
              <w:sz w:val="20"/>
            </w:rPr>
            <w:t xml:space="preserve">1215    </w:t>
          </w:r>
          <w:r w:rsidR="005C4C94">
            <w:rPr>
              <w:b w:val="0"/>
              <w:sz w:val="20"/>
            </w:rPr>
            <w:t>060116</w:t>
          </w:r>
        </w:p>
        <w:p w:rsidR="00EC0A8F" w:rsidRPr="00EC0A8F" w:rsidRDefault="00EC0A8F" w:rsidP="00EC0A8F">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871633">
            <w:rPr>
              <w:rFonts w:ascii="Barcode 3 of 9 by request" w:hAnsi="Barcode 3 of 9 by request"/>
              <w:b w:val="0"/>
              <w:spacing w:val="0"/>
              <w:w w:val="100"/>
              <w:sz w:val="24"/>
            </w:rPr>
            <w:t>*1520703*</w:t>
          </w:r>
          <w:r>
            <w:rPr>
              <w:rFonts w:ascii="Barcode 3 of 9 by request" w:hAnsi="Barcode 3 of 9 by request"/>
              <w:b w:val="0"/>
              <w:spacing w:val="0"/>
              <w:w w:val="100"/>
              <w:sz w:val="24"/>
            </w:rPr>
            <w:fldChar w:fldCharType="end"/>
          </w:r>
        </w:p>
      </w:tc>
      <w:tc>
        <w:tcPr>
          <w:tcW w:w="5127" w:type="dxa"/>
        </w:tcPr>
        <w:p w:rsidR="00EC0A8F" w:rsidRDefault="00EC0A8F" w:rsidP="00EC0A8F">
          <w:pPr>
            <w:pStyle w:val="Footer"/>
            <w:spacing w:line="240" w:lineRule="atLeast"/>
            <w:jc w:val="right"/>
            <w:rPr>
              <w:b w:val="0"/>
              <w:sz w:val="20"/>
            </w:rPr>
          </w:pPr>
          <w:r>
            <w:rPr>
              <w:b w:val="0"/>
              <w:noProof/>
              <w:sz w:val="20"/>
            </w:rPr>
            <w:drawing>
              <wp:inline distT="0" distB="0" distL="0" distR="0" wp14:anchorId="417E4B96" wp14:editId="252682B3">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109474" cy="231648"/>
                        </a:xfrm>
                        <a:prstGeom prst="rect">
                          <a:avLst/>
                        </a:prstGeom>
                      </pic:spPr>
                    </pic:pic>
                  </a:graphicData>
                </a:graphic>
              </wp:inline>
            </w:drawing>
          </w:r>
        </w:p>
      </w:tc>
    </w:tr>
  </w:tbl>
  <w:p w:rsidR="00EC0A8F" w:rsidRPr="00EC0A8F" w:rsidRDefault="00EC0A8F" w:rsidP="00EC0A8F">
    <w:pPr>
      <w:pStyle w:val="Footer"/>
      <w:spacing w:line="56" w:lineRule="exact"/>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B228E" w:rsidRPr="00DE3892" w:rsidRDefault="00DE3892" w:rsidP="00DE3892">
      <w:pPr>
        <w:pStyle w:val="Footer"/>
        <w:spacing w:after="80"/>
        <w:ind w:left="792"/>
        <w:rPr>
          <w:sz w:val="16"/>
        </w:rPr>
      </w:pPr>
      <w:r w:rsidRPr="00DE3892">
        <w:rPr>
          <w:sz w:val="16"/>
        </w:rPr>
        <w:t>__________________</w:t>
      </w:r>
    </w:p>
  </w:footnote>
  <w:footnote w:type="continuationSeparator" w:id="0">
    <w:p w:rsidR="003B228E" w:rsidRPr="00DE3892" w:rsidRDefault="00DE3892" w:rsidP="00DE3892">
      <w:pPr>
        <w:pStyle w:val="Footer"/>
        <w:spacing w:after="80"/>
        <w:ind w:left="792"/>
        <w:rPr>
          <w:sz w:val="16"/>
        </w:rPr>
      </w:pPr>
      <w:r w:rsidRPr="00DE3892">
        <w:rPr>
          <w:sz w:val="16"/>
        </w:rPr>
        <w:t>__________________</w:t>
      </w:r>
    </w:p>
  </w:footnote>
  <w:footnote w:id="1">
    <w:p w:rsidR="00DE3892" w:rsidRPr="00DE3892" w:rsidRDefault="00DE3892" w:rsidP="00DE3892">
      <w:pPr>
        <w:pStyle w:val="FootnoteText"/>
        <w:tabs>
          <w:tab w:val="right" w:pos="1195"/>
          <w:tab w:val="left" w:pos="1267"/>
          <w:tab w:val="left" w:pos="1742"/>
          <w:tab w:val="left" w:pos="2218"/>
          <w:tab w:val="left" w:pos="2693"/>
        </w:tabs>
        <w:ind w:left="1267" w:right="1260" w:hanging="432"/>
        <w:rPr>
          <w:lang w:val="fr-CH"/>
        </w:rPr>
      </w:pPr>
      <w:r>
        <w:tab/>
      </w:r>
      <w:r w:rsidRPr="00DE3892">
        <w:rPr>
          <w:rStyle w:val="FootnoteReference"/>
          <w:vertAlign w:val="baseline"/>
        </w:rPr>
        <w:t>*</w:t>
      </w:r>
      <w:r>
        <w:tab/>
        <w:t>Adoptée par le Comité à sa 115</w:t>
      </w:r>
      <w:r w:rsidRPr="006A3B38">
        <w:rPr>
          <w:vertAlign w:val="superscript"/>
        </w:rPr>
        <w:t>e</w:t>
      </w:r>
      <w:r>
        <w:t xml:space="preserve"> session (19 octobre-6 novembre 2015)</w:t>
      </w:r>
      <w:r w:rsidRPr="00964E03">
        <w:t>.</w:t>
      </w:r>
    </w:p>
  </w:footnote>
  <w:footnote w:id="2">
    <w:p w:rsidR="0048188B" w:rsidRPr="0048188B" w:rsidRDefault="0048188B" w:rsidP="0048188B">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spacing w:val="5"/>
          <w:w w:val="104"/>
          <w:lang w:val="fr-CH"/>
        </w:rPr>
      </w:pPr>
      <w:r>
        <w:tab/>
      </w:r>
      <w:r>
        <w:rPr>
          <w:rStyle w:val="FootnoteReference"/>
        </w:rPr>
        <w:footnoteRef/>
      </w:r>
      <w:r>
        <w:t xml:space="preserve"> </w:t>
      </w:r>
      <w:r>
        <w:tab/>
        <w:t>Voir les communications n</w:t>
      </w:r>
      <w:r w:rsidRPr="0048188B">
        <w:rPr>
          <w:vertAlign w:val="superscript"/>
        </w:rPr>
        <w:t>o</w:t>
      </w:r>
      <w:r>
        <w:t> </w:t>
      </w:r>
      <w:r w:rsidRPr="00806E0D">
        <w:t>2143/2012</w:t>
      </w:r>
      <w:r w:rsidRPr="001104A8">
        <w:t xml:space="preserve">, </w:t>
      </w:r>
      <w:r w:rsidRPr="00B601A6">
        <w:rPr>
          <w:i/>
        </w:rPr>
        <w:t xml:space="preserve">Dalisa Dovadzija </w:t>
      </w:r>
      <w:r>
        <w:rPr>
          <w:i/>
        </w:rPr>
        <w:t>et</w:t>
      </w:r>
      <w:r w:rsidRPr="00B601A6">
        <w:rPr>
          <w:i/>
        </w:rPr>
        <w:t xml:space="preserve"> Sakiba Dovdzija</w:t>
      </w:r>
      <w:r>
        <w:rPr>
          <w:i/>
        </w:rPr>
        <w:t xml:space="preserve"> </w:t>
      </w:r>
      <w:r w:rsidRPr="006A3B38">
        <w:t>c.</w:t>
      </w:r>
      <w:r w:rsidRPr="00B601A6">
        <w:rPr>
          <w:sz w:val="20"/>
        </w:rPr>
        <w:t xml:space="preserve"> </w:t>
      </w:r>
      <w:r>
        <w:rPr>
          <w:i/>
        </w:rPr>
        <w:t>Bosnie-Herzégovine</w:t>
      </w:r>
      <w:r>
        <w:rPr>
          <w:iCs/>
        </w:rPr>
        <w:t>;</w:t>
      </w:r>
      <w:r w:rsidRPr="00806E0D">
        <w:rPr>
          <w:i/>
        </w:rPr>
        <w:t xml:space="preserve"> </w:t>
      </w:r>
      <w:r>
        <w:t>n</w:t>
      </w:r>
      <w:r w:rsidRPr="0048188B">
        <w:rPr>
          <w:vertAlign w:val="superscript"/>
        </w:rPr>
        <w:t>o</w:t>
      </w:r>
      <w:r>
        <w:t> </w:t>
      </w:r>
      <w:r w:rsidRPr="00806E0D">
        <w:t>2028/</w:t>
      </w:r>
      <w:r>
        <w:t>2</w:t>
      </w:r>
      <w:r w:rsidRPr="00806E0D">
        <w:t>011,</w:t>
      </w:r>
      <w:r w:rsidRPr="00806E0D">
        <w:rPr>
          <w:i/>
        </w:rPr>
        <w:t xml:space="preserve"> </w:t>
      </w:r>
      <w:r>
        <w:rPr>
          <w:i/>
        </w:rPr>
        <w:t xml:space="preserve">Mevlida </w:t>
      </w:r>
      <w:r w:rsidRPr="00806E0D">
        <w:rPr>
          <w:i/>
        </w:rPr>
        <w:t>Icić</w:t>
      </w:r>
      <w:r w:rsidRPr="00E87120">
        <w:rPr>
          <w:i/>
        </w:rPr>
        <w:t xml:space="preserve"> </w:t>
      </w:r>
      <w:r w:rsidRPr="006A3B38">
        <w:t>c.</w:t>
      </w:r>
      <w:r w:rsidRPr="00B601A6">
        <w:rPr>
          <w:sz w:val="20"/>
        </w:rPr>
        <w:t xml:space="preserve"> </w:t>
      </w:r>
      <w:r>
        <w:rPr>
          <w:i/>
        </w:rPr>
        <w:t>Bosnie-Herzégovine</w:t>
      </w:r>
      <w:r>
        <w:rPr>
          <w:iCs/>
        </w:rPr>
        <w:t>,</w:t>
      </w:r>
      <w:r w:rsidRPr="00B92BFF">
        <w:rPr>
          <w:iCs/>
        </w:rPr>
        <w:t xml:space="preserve"> </w:t>
      </w:r>
      <w:r>
        <w:rPr>
          <w:iCs/>
        </w:rPr>
        <w:t>constatations adoptées le 30 mars 2015;</w:t>
      </w:r>
      <w:r w:rsidRPr="00806E0D">
        <w:t xml:space="preserve"> </w:t>
      </w:r>
      <w:r>
        <w:t>n</w:t>
      </w:r>
      <w:r w:rsidRPr="0048188B">
        <w:rPr>
          <w:vertAlign w:val="superscript"/>
        </w:rPr>
        <w:t>o</w:t>
      </w:r>
      <w:r>
        <w:t> </w:t>
      </w:r>
      <w:r w:rsidRPr="00806E0D">
        <w:t xml:space="preserve">2022/2011, </w:t>
      </w:r>
      <w:r w:rsidRPr="00B601A6">
        <w:rPr>
          <w:i/>
        </w:rPr>
        <w:t xml:space="preserve">Nura Hamulić </w:t>
      </w:r>
      <w:r>
        <w:rPr>
          <w:i/>
        </w:rPr>
        <w:t>et</w:t>
      </w:r>
      <w:r w:rsidRPr="00B601A6">
        <w:rPr>
          <w:i/>
        </w:rPr>
        <w:t xml:space="preserve"> Halima Hodžić</w:t>
      </w:r>
      <w:r w:rsidRPr="00E87120">
        <w:rPr>
          <w:i/>
        </w:rPr>
        <w:t xml:space="preserve"> </w:t>
      </w:r>
      <w:r w:rsidRPr="00451C4E">
        <w:t>c.</w:t>
      </w:r>
      <w:r w:rsidRPr="00B601A6">
        <w:rPr>
          <w:sz w:val="20"/>
        </w:rPr>
        <w:t xml:space="preserve"> </w:t>
      </w:r>
      <w:r>
        <w:rPr>
          <w:i/>
        </w:rPr>
        <w:t>Bosnie-Herzégovine</w:t>
      </w:r>
      <w:r>
        <w:rPr>
          <w:iCs/>
        </w:rPr>
        <w:t xml:space="preserve">, constatations </w:t>
      </w:r>
      <w:r w:rsidR="001B5520">
        <w:rPr>
          <w:iCs/>
        </w:rPr>
        <w:t>adoptées le </w:t>
      </w:r>
      <w:r>
        <w:rPr>
          <w:iCs/>
        </w:rPr>
        <w:t>18 novembre 2010</w:t>
      </w:r>
      <w:r>
        <w:t>; n</w:t>
      </w:r>
      <w:r w:rsidRPr="0048188B">
        <w:rPr>
          <w:vertAlign w:val="superscript"/>
        </w:rPr>
        <w:t>o</w:t>
      </w:r>
      <w:r>
        <w:t> </w:t>
      </w:r>
      <w:r w:rsidRPr="00806E0D">
        <w:t xml:space="preserve">1966/2010, </w:t>
      </w:r>
      <w:r w:rsidRPr="00806E0D">
        <w:rPr>
          <w:i/>
        </w:rPr>
        <w:t>Hero</w:t>
      </w:r>
      <w:r>
        <w:rPr>
          <w:i/>
        </w:rPr>
        <w:t xml:space="preserve"> et consorts </w:t>
      </w:r>
      <w:r w:rsidRPr="00451C4E">
        <w:t>c.</w:t>
      </w:r>
      <w:r w:rsidRPr="00B601A6">
        <w:rPr>
          <w:sz w:val="20"/>
        </w:rPr>
        <w:t xml:space="preserve"> </w:t>
      </w:r>
      <w:r>
        <w:rPr>
          <w:i/>
        </w:rPr>
        <w:t>Bosnie-Herzégovine</w:t>
      </w:r>
      <w:r>
        <w:rPr>
          <w:iCs/>
        </w:rPr>
        <w:t xml:space="preserve">, constatations adoptées </w:t>
      </w:r>
      <w:r w:rsidRPr="00E04ACF">
        <w:rPr>
          <w:iCs/>
          <w:spacing w:val="2"/>
        </w:rPr>
        <w:t>le 28 octobre 2014</w:t>
      </w:r>
      <w:r w:rsidRPr="00E04ACF">
        <w:rPr>
          <w:spacing w:val="2"/>
        </w:rPr>
        <w:t>; n</w:t>
      </w:r>
      <w:r w:rsidRPr="00E04ACF">
        <w:rPr>
          <w:spacing w:val="2"/>
          <w:vertAlign w:val="superscript"/>
        </w:rPr>
        <w:t>o</w:t>
      </w:r>
      <w:r w:rsidRPr="00E04ACF">
        <w:rPr>
          <w:spacing w:val="2"/>
        </w:rPr>
        <w:t xml:space="preserve"> 1970/2010, </w:t>
      </w:r>
      <w:r w:rsidRPr="00E04ACF">
        <w:rPr>
          <w:i/>
          <w:spacing w:val="2"/>
        </w:rPr>
        <w:t xml:space="preserve">Emina Kožljak et Sinan Kožljak </w:t>
      </w:r>
      <w:r w:rsidRPr="00E04ACF">
        <w:rPr>
          <w:spacing w:val="2"/>
        </w:rPr>
        <w:t>c.</w:t>
      </w:r>
      <w:r w:rsidRPr="00E04ACF">
        <w:rPr>
          <w:spacing w:val="2"/>
          <w:sz w:val="20"/>
        </w:rPr>
        <w:t xml:space="preserve"> </w:t>
      </w:r>
      <w:r w:rsidRPr="00E04ACF">
        <w:rPr>
          <w:i/>
          <w:spacing w:val="2"/>
        </w:rPr>
        <w:t>Bosnie-Herzégovine</w:t>
      </w:r>
      <w:r w:rsidRPr="00E04ACF">
        <w:rPr>
          <w:iCs/>
          <w:spacing w:val="2"/>
        </w:rPr>
        <w:t>, constatations</w:t>
      </w:r>
      <w:r>
        <w:rPr>
          <w:iCs/>
        </w:rPr>
        <w:t xml:space="preserve"> adoptées le 28 octobre 2014</w:t>
      </w:r>
      <w:r>
        <w:t>;</w:t>
      </w:r>
      <w:r w:rsidRPr="00806E0D">
        <w:t xml:space="preserve"> </w:t>
      </w:r>
      <w:r>
        <w:t>n</w:t>
      </w:r>
      <w:r w:rsidRPr="0048188B">
        <w:rPr>
          <w:vertAlign w:val="superscript"/>
        </w:rPr>
        <w:t>o</w:t>
      </w:r>
      <w:r>
        <w:t> </w:t>
      </w:r>
      <w:r w:rsidRPr="00806E0D">
        <w:t xml:space="preserve">1956/2010, </w:t>
      </w:r>
      <w:r>
        <w:rPr>
          <w:i/>
        </w:rPr>
        <w:t xml:space="preserve">Nevzeta Durić et </w:t>
      </w:r>
      <w:r w:rsidRPr="00B601A6">
        <w:rPr>
          <w:i/>
        </w:rPr>
        <w:t>Nedzad Durić</w:t>
      </w:r>
      <w:r w:rsidRPr="00E87120">
        <w:rPr>
          <w:i/>
        </w:rPr>
        <w:t xml:space="preserve"> </w:t>
      </w:r>
      <w:r w:rsidRPr="00451C4E">
        <w:t>c.</w:t>
      </w:r>
      <w:r w:rsidRPr="00B601A6">
        <w:rPr>
          <w:sz w:val="20"/>
        </w:rPr>
        <w:t xml:space="preserve"> </w:t>
      </w:r>
      <w:r>
        <w:rPr>
          <w:i/>
        </w:rPr>
        <w:t>Bosnie-Herzégovine</w:t>
      </w:r>
      <w:r>
        <w:rPr>
          <w:iCs/>
        </w:rPr>
        <w:t>, constatations adoptées le 11 janvier 2010;</w:t>
      </w:r>
      <w:r w:rsidRPr="00B601A6">
        <w:rPr>
          <w:i/>
        </w:rPr>
        <w:t xml:space="preserve"> </w:t>
      </w:r>
      <w:r>
        <w:t>n</w:t>
      </w:r>
      <w:r w:rsidRPr="0048188B">
        <w:rPr>
          <w:vertAlign w:val="superscript"/>
        </w:rPr>
        <w:t>o</w:t>
      </w:r>
      <w:r>
        <w:t> </w:t>
      </w:r>
      <w:r w:rsidRPr="00806E0D">
        <w:t xml:space="preserve">1997/2010, </w:t>
      </w:r>
      <w:r w:rsidRPr="00B601A6">
        <w:rPr>
          <w:i/>
          <w:lang w:val="en-US"/>
        </w:rPr>
        <w:t xml:space="preserve">Fatima Rizvanović </w:t>
      </w:r>
      <w:r>
        <w:rPr>
          <w:i/>
          <w:lang w:val="en-US"/>
        </w:rPr>
        <w:t>et</w:t>
      </w:r>
      <w:r w:rsidR="001B5520">
        <w:rPr>
          <w:i/>
          <w:lang w:val="en-US"/>
        </w:rPr>
        <w:t xml:space="preserve"> Ruvejda </w:t>
      </w:r>
      <w:r w:rsidRPr="00B601A6">
        <w:rPr>
          <w:i/>
          <w:lang w:val="en-US"/>
        </w:rPr>
        <w:t>Rizvanović</w:t>
      </w:r>
      <w:r>
        <w:rPr>
          <w:i/>
        </w:rPr>
        <w:t xml:space="preserve"> </w:t>
      </w:r>
      <w:r w:rsidRPr="00451C4E">
        <w:t>c.</w:t>
      </w:r>
      <w:r w:rsidR="00E04ACF">
        <w:rPr>
          <w:sz w:val="20"/>
        </w:rPr>
        <w:t> </w:t>
      </w:r>
      <w:r>
        <w:rPr>
          <w:i/>
        </w:rPr>
        <w:t>Bosnie-Herzégovine</w:t>
      </w:r>
      <w:r>
        <w:rPr>
          <w:iCs/>
        </w:rPr>
        <w:t>, constatations adoptées le 21 mars 2014</w:t>
      </w:r>
      <w:r>
        <w:rPr>
          <w:iCs/>
          <w:lang w:val="en-US"/>
        </w:rPr>
        <w:t xml:space="preserve">; </w:t>
      </w:r>
      <w:r>
        <w:t>n</w:t>
      </w:r>
      <w:r w:rsidRPr="0048188B">
        <w:rPr>
          <w:vertAlign w:val="superscript"/>
        </w:rPr>
        <w:t>o</w:t>
      </w:r>
      <w:r>
        <w:t> </w:t>
      </w:r>
      <w:r w:rsidRPr="00806E0D">
        <w:t xml:space="preserve">2003/2010, </w:t>
      </w:r>
      <w:r w:rsidRPr="00B601A6">
        <w:rPr>
          <w:i/>
        </w:rPr>
        <w:t xml:space="preserve">Zilkija </w:t>
      </w:r>
      <w:r w:rsidRPr="00E04ACF">
        <w:rPr>
          <w:i/>
          <w:spacing w:val="2"/>
        </w:rPr>
        <w:t xml:space="preserve">Selimović et consorts </w:t>
      </w:r>
      <w:r w:rsidRPr="00E04ACF">
        <w:rPr>
          <w:spacing w:val="2"/>
        </w:rPr>
        <w:t>c.</w:t>
      </w:r>
      <w:r w:rsidRPr="00E04ACF">
        <w:rPr>
          <w:spacing w:val="2"/>
          <w:sz w:val="20"/>
        </w:rPr>
        <w:t xml:space="preserve"> </w:t>
      </w:r>
      <w:r w:rsidRPr="00E04ACF">
        <w:rPr>
          <w:i/>
          <w:spacing w:val="2"/>
        </w:rPr>
        <w:t>Bosnie-Herzégovine</w:t>
      </w:r>
      <w:r w:rsidRPr="00E04ACF">
        <w:rPr>
          <w:iCs/>
          <w:spacing w:val="2"/>
        </w:rPr>
        <w:t xml:space="preserve">, constatations adoptées le 17 juillet 2014; et </w:t>
      </w:r>
      <w:r w:rsidRPr="00E04ACF">
        <w:rPr>
          <w:spacing w:val="2"/>
        </w:rPr>
        <w:t>n</w:t>
      </w:r>
      <w:r w:rsidRPr="00E04ACF">
        <w:rPr>
          <w:spacing w:val="2"/>
          <w:vertAlign w:val="superscript"/>
        </w:rPr>
        <w:t>o</w:t>
      </w:r>
      <w:r w:rsidRPr="00E04ACF">
        <w:rPr>
          <w:spacing w:val="2"/>
        </w:rPr>
        <w:t> 1955/2010,</w:t>
      </w:r>
      <w:r w:rsidRPr="00806E0D">
        <w:rPr>
          <w:i/>
        </w:rPr>
        <w:t xml:space="preserve"> </w:t>
      </w:r>
      <w:r w:rsidRPr="00B601A6">
        <w:rPr>
          <w:i/>
        </w:rPr>
        <w:t xml:space="preserve">Zeyad Khalaf Hamadie </w:t>
      </w:r>
      <w:r w:rsidRPr="00806E0D">
        <w:rPr>
          <w:i/>
        </w:rPr>
        <w:t>Al Gertani</w:t>
      </w:r>
      <w:r w:rsidRPr="00E87120">
        <w:rPr>
          <w:i/>
        </w:rPr>
        <w:t xml:space="preserve"> </w:t>
      </w:r>
      <w:r w:rsidRPr="00451C4E">
        <w:t>c.</w:t>
      </w:r>
      <w:r w:rsidRPr="00B601A6">
        <w:rPr>
          <w:sz w:val="20"/>
        </w:rPr>
        <w:t xml:space="preserve"> </w:t>
      </w:r>
      <w:r>
        <w:rPr>
          <w:i/>
        </w:rPr>
        <w:t>Bosnie-Herzégovine</w:t>
      </w:r>
      <w:r>
        <w:rPr>
          <w:iCs/>
        </w:rPr>
        <w:t>, constatations adoptées le</w:t>
      </w:r>
      <w:r w:rsidR="001B5520">
        <w:rPr>
          <w:iCs/>
        </w:rPr>
        <w:t> </w:t>
      </w:r>
      <w:r>
        <w:rPr>
          <w:iCs/>
        </w:rPr>
        <w:t>1</w:t>
      </w:r>
      <w:r w:rsidRPr="00451C4E">
        <w:rPr>
          <w:iCs/>
          <w:vertAlign w:val="superscript"/>
        </w:rPr>
        <w:t>er</w:t>
      </w:r>
      <w:r>
        <w:rPr>
          <w:iCs/>
        </w:rPr>
        <w:t> novembre 2013</w:t>
      </w:r>
      <w:r w:rsidRPr="001104A8">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127"/>
    </w:tblGrid>
    <w:tr w:rsidR="00EC0A8F" w:rsidTr="00EC0A8F">
      <w:trPr>
        <w:trHeight w:hRule="exact" w:val="864"/>
        <w:jc w:val="center"/>
      </w:trPr>
      <w:tc>
        <w:tcPr>
          <w:tcW w:w="4882" w:type="dxa"/>
          <w:shd w:val="clear" w:color="auto" w:fill="auto"/>
          <w:vAlign w:val="bottom"/>
        </w:tcPr>
        <w:p w:rsidR="00EC0A8F" w:rsidRPr="00EC0A8F" w:rsidRDefault="00EC0A8F" w:rsidP="00EC0A8F">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871633">
            <w:rPr>
              <w:b/>
              <w:color w:val="000000"/>
            </w:rPr>
            <w:t>CCPR/C/BIH/QPR/3</w:t>
          </w:r>
          <w:r>
            <w:rPr>
              <w:b/>
              <w:color w:val="000000"/>
            </w:rPr>
            <w:fldChar w:fldCharType="end"/>
          </w:r>
        </w:p>
      </w:tc>
      <w:tc>
        <w:tcPr>
          <w:tcW w:w="5127" w:type="dxa"/>
          <w:shd w:val="clear" w:color="auto" w:fill="auto"/>
          <w:vAlign w:val="bottom"/>
        </w:tcPr>
        <w:p w:rsidR="00EC0A8F" w:rsidRDefault="00EC0A8F" w:rsidP="00EC0A8F">
          <w:pPr>
            <w:pStyle w:val="Header"/>
          </w:pPr>
        </w:p>
      </w:tc>
    </w:tr>
  </w:tbl>
  <w:p w:rsidR="00EC0A8F" w:rsidRPr="00EC0A8F" w:rsidRDefault="00EC0A8F" w:rsidP="00EC0A8F">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127"/>
    </w:tblGrid>
    <w:tr w:rsidR="00EC0A8F" w:rsidTr="00EC0A8F">
      <w:trPr>
        <w:trHeight w:hRule="exact" w:val="864"/>
        <w:jc w:val="center"/>
      </w:trPr>
      <w:tc>
        <w:tcPr>
          <w:tcW w:w="4882" w:type="dxa"/>
          <w:shd w:val="clear" w:color="auto" w:fill="auto"/>
          <w:vAlign w:val="bottom"/>
        </w:tcPr>
        <w:p w:rsidR="00EC0A8F" w:rsidRDefault="00EC0A8F" w:rsidP="00EC0A8F">
          <w:pPr>
            <w:pStyle w:val="Header"/>
          </w:pPr>
        </w:p>
      </w:tc>
      <w:tc>
        <w:tcPr>
          <w:tcW w:w="5127" w:type="dxa"/>
          <w:shd w:val="clear" w:color="auto" w:fill="auto"/>
          <w:vAlign w:val="bottom"/>
        </w:tcPr>
        <w:p w:rsidR="00EC0A8F" w:rsidRPr="00EC0A8F" w:rsidRDefault="00EC0A8F" w:rsidP="00EC0A8F">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871633">
            <w:rPr>
              <w:b/>
              <w:color w:val="000000"/>
            </w:rPr>
            <w:t>CCPR/C/BIH/QPR/3</w:t>
          </w:r>
          <w:r>
            <w:rPr>
              <w:b/>
              <w:color w:val="000000"/>
            </w:rPr>
            <w:fldChar w:fldCharType="end"/>
          </w:r>
        </w:p>
      </w:tc>
    </w:tr>
  </w:tbl>
  <w:p w:rsidR="00EC0A8F" w:rsidRPr="00EC0A8F" w:rsidRDefault="00EC0A8F" w:rsidP="00EC0A8F">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37"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280"/>
      <w:gridCol w:w="18"/>
    </w:tblGrid>
    <w:tr w:rsidR="00EC0A8F" w:rsidTr="00EC0A8F">
      <w:trPr>
        <w:trHeight w:hRule="exact" w:val="864"/>
      </w:trPr>
      <w:tc>
        <w:tcPr>
          <w:tcW w:w="1267" w:type="dxa"/>
          <w:tcBorders>
            <w:bottom w:val="single" w:sz="4" w:space="0" w:color="auto"/>
          </w:tcBorders>
          <w:shd w:val="clear" w:color="auto" w:fill="auto"/>
          <w:vAlign w:val="bottom"/>
        </w:tcPr>
        <w:p w:rsidR="00EC0A8F" w:rsidRDefault="00EC0A8F" w:rsidP="00EC0A8F">
          <w:pPr>
            <w:pStyle w:val="Header"/>
            <w:spacing w:after="120"/>
          </w:pPr>
        </w:p>
      </w:tc>
      <w:tc>
        <w:tcPr>
          <w:tcW w:w="2059" w:type="dxa"/>
          <w:tcBorders>
            <w:bottom w:val="single" w:sz="4" w:space="0" w:color="auto"/>
          </w:tcBorders>
          <w:shd w:val="clear" w:color="auto" w:fill="auto"/>
          <w:vAlign w:val="bottom"/>
        </w:tcPr>
        <w:p w:rsidR="00EC0A8F" w:rsidRPr="00EC0A8F" w:rsidRDefault="00EC0A8F" w:rsidP="00EC0A8F">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rsidR="00EC0A8F" w:rsidRDefault="00EC0A8F" w:rsidP="00EC0A8F">
          <w:pPr>
            <w:pStyle w:val="Header"/>
            <w:spacing w:after="120"/>
          </w:pPr>
        </w:p>
      </w:tc>
      <w:tc>
        <w:tcPr>
          <w:tcW w:w="6653" w:type="dxa"/>
          <w:gridSpan w:val="4"/>
          <w:tcBorders>
            <w:bottom w:val="single" w:sz="4" w:space="0" w:color="auto"/>
          </w:tcBorders>
          <w:shd w:val="clear" w:color="auto" w:fill="auto"/>
          <w:vAlign w:val="bottom"/>
        </w:tcPr>
        <w:p w:rsidR="00EC0A8F" w:rsidRPr="00EC0A8F" w:rsidRDefault="00EC0A8F" w:rsidP="00EC0A8F">
          <w:pPr>
            <w:spacing w:after="80" w:line="240" w:lineRule="auto"/>
            <w:jc w:val="right"/>
            <w:rPr>
              <w:position w:val="-4"/>
            </w:rPr>
          </w:pPr>
          <w:r>
            <w:rPr>
              <w:position w:val="-4"/>
              <w:sz w:val="40"/>
            </w:rPr>
            <w:t>CCPR</w:t>
          </w:r>
          <w:r>
            <w:rPr>
              <w:position w:val="-4"/>
            </w:rPr>
            <w:t>/C/BIH/QPR/3</w:t>
          </w:r>
        </w:p>
      </w:tc>
    </w:tr>
    <w:tr w:rsidR="00EC0A8F" w:rsidRPr="00EC0A8F" w:rsidTr="00EC0A8F">
      <w:trPr>
        <w:gridAfter w:val="1"/>
        <w:wAfter w:w="18" w:type="dxa"/>
        <w:trHeight w:hRule="exact" w:val="2880"/>
      </w:trPr>
      <w:tc>
        <w:tcPr>
          <w:tcW w:w="1267" w:type="dxa"/>
          <w:tcBorders>
            <w:top w:val="single" w:sz="4" w:space="0" w:color="auto"/>
            <w:bottom w:val="single" w:sz="12" w:space="0" w:color="auto"/>
          </w:tcBorders>
          <w:shd w:val="clear" w:color="auto" w:fill="auto"/>
        </w:tcPr>
        <w:p w:rsidR="00EC0A8F" w:rsidRPr="00EC0A8F" w:rsidRDefault="00EC0A8F" w:rsidP="00EC0A8F">
          <w:pPr>
            <w:pStyle w:val="Header"/>
            <w:spacing w:before="120" w:line="240" w:lineRule="auto"/>
            <w:ind w:left="-72"/>
            <w:jc w:val="center"/>
          </w:pPr>
          <w:r>
            <w:rPr>
              <w:noProof/>
            </w:rPr>
            <w:drawing>
              <wp:inline distT="0" distB="0" distL="0" distR="0" wp14:anchorId="4D237D15" wp14:editId="65825EBA">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EC0A8F" w:rsidRPr="00EC0A8F" w:rsidRDefault="00EC0A8F" w:rsidP="00EC0A8F">
          <w:pPr>
            <w:pStyle w:val="XLarge"/>
            <w:spacing w:before="109" w:line="360" w:lineRule="exact"/>
          </w:pPr>
          <w:r>
            <w:t>Pacte international relatif</w:t>
          </w:r>
          <w:r w:rsidR="00BC35DE">
            <w:t xml:space="preserve"> </w:t>
          </w:r>
          <w:r>
            <w:br/>
          </w:r>
          <w:r w:rsidR="00BC35DE">
            <w:t>aux droits civils et politiques</w:t>
          </w:r>
        </w:p>
      </w:tc>
      <w:tc>
        <w:tcPr>
          <w:tcW w:w="245" w:type="dxa"/>
          <w:tcBorders>
            <w:top w:val="single" w:sz="4" w:space="0" w:color="auto"/>
            <w:bottom w:val="single" w:sz="12" w:space="0" w:color="auto"/>
          </w:tcBorders>
          <w:shd w:val="clear" w:color="auto" w:fill="auto"/>
        </w:tcPr>
        <w:p w:rsidR="00EC0A8F" w:rsidRPr="00EC0A8F" w:rsidRDefault="00EC0A8F" w:rsidP="00EC0A8F">
          <w:pPr>
            <w:pStyle w:val="Header"/>
            <w:spacing w:before="109"/>
          </w:pPr>
        </w:p>
      </w:tc>
      <w:tc>
        <w:tcPr>
          <w:tcW w:w="3280" w:type="dxa"/>
          <w:tcBorders>
            <w:top w:val="single" w:sz="4" w:space="0" w:color="auto"/>
            <w:bottom w:val="single" w:sz="12" w:space="0" w:color="auto"/>
          </w:tcBorders>
          <w:shd w:val="clear" w:color="auto" w:fill="auto"/>
        </w:tcPr>
        <w:p w:rsidR="00EC0A8F" w:rsidRDefault="00EC0A8F" w:rsidP="00EC0A8F">
          <w:pPr>
            <w:pStyle w:val="Distribution"/>
            <w:rPr>
              <w:color w:val="000000"/>
            </w:rPr>
          </w:pPr>
          <w:r>
            <w:rPr>
              <w:color w:val="000000"/>
            </w:rPr>
            <w:t>Distr. générale</w:t>
          </w:r>
        </w:p>
        <w:p w:rsidR="00EC0A8F" w:rsidRDefault="005C4C94" w:rsidP="00EC0A8F">
          <w:pPr>
            <w:pStyle w:val="Publication"/>
            <w:rPr>
              <w:color w:val="000000"/>
            </w:rPr>
          </w:pPr>
          <w:r>
            <w:rPr>
              <w:color w:val="000000"/>
            </w:rPr>
            <w:t>24 novembre</w:t>
          </w:r>
          <w:r w:rsidR="00EC0A8F">
            <w:rPr>
              <w:color w:val="000000"/>
            </w:rPr>
            <w:t xml:space="preserve"> 2015</w:t>
          </w:r>
        </w:p>
        <w:p w:rsidR="00EC0A8F" w:rsidRDefault="00EC0A8F" w:rsidP="00EC0A8F">
          <w:pPr>
            <w:rPr>
              <w:lang w:val="en-US"/>
            </w:rPr>
          </w:pPr>
          <w:r>
            <w:rPr>
              <w:lang w:val="en-US"/>
            </w:rPr>
            <w:t>Français</w:t>
          </w:r>
        </w:p>
        <w:p w:rsidR="00EC0A8F" w:rsidRDefault="00EC0A8F" w:rsidP="00EC0A8F">
          <w:pPr>
            <w:pStyle w:val="Original"/>
            <w:rPr>
              <w:color w:val="000000"/>
            </w:rPr>
          </w:pPr>
          <w:r>
            <w:rPr>
              <w:color w:val="000000"/>
            </w:rPr>
            <w:t>Original : anglais</w:t>
          </w:r>
        </w:p>
        <w:p w:rsidR="005C4C94" w:rsidRPr="005C4C94" w:rsidRDefault="005C4C94" w:rsidP="005C4C94">
          <w:pPr>
            <w:rPr>
              <w:lang w:val="en-US"/>
            </w:rPr>
          </w:pPr>
          <w:r>
            <w:rPr>
              <w:lang w:val="en-US"/>
            </w:rPr>
            <w:t>Anglais, espagnol et français seulement</w:t>
          </w:r>
        </w:p>
      </w:tc>
    </w:tr>
  </w:tbl>
  <w:p w:rsidR="00EC0A8F" w:rsidRPr="00EC0A8F" w:rsidRDefault="00EC0A8F" w:rsidP="00EC0A8F">
    <w:pPr>
      <w:pStyle w:val="Header"/>
      <w:spacing w:line="240" w:lineRule="auto"/>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015290"/>
    <w:multiLevelType w:val="hybridMultilevel"/>
    <w:tmpl w:val="A73C1F7A"/>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nsid w:val="109D01C7"/>
    <w:multiLevelType w:val="multilevel"/>
    <w:tmpl w:val="04090029"/>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
    <w:nsid w:val="12D06B23"/>
    <w:multiLevelType w:val="multilevel"/>
    <w:tmpl w:val="0A5CDD56"/>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3">
    <w:nsid w:val="172F270D"/>
    <w:multiLevelType w:val="hybridMultilevel"/>
    <w:tmpl w:val="B3E840C4"/>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AC2121D"/>
    <w:multiLevelType w:val="hybridMultilevel"/>
    <w:tmpl w:val="89003066"/>
    <w:lvl w:ilvl="0" w:tplc="242AC768">
      <w:start w:val="1"/>
      <w:numFmt w:val="decimal"/>
      <w:lvlText w:val="%1."/>
      <w:lvlJc w:val="left"/>
      <w:pPr>
        <w:ind w:left="1747" w:hanging="48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5">
    <w:nsid w:val="3939033C"/>
    <w:multiLevelType w:val="singleLevel"/>
    <w:tmpl w:val="F7263200"/>
    <w:lvl w:ilvl="0">
      <w:start w:val="1"/>
      <w:numFmt w:val="decimal"/>
      <w:lvlRestart w:val="0"/>
      <w:lvlText w:val="%1."/>
      <w:lvlJc w:val="left"/>
      <w:pPr>
        <w:tabs>
          <w:tab w:val="num" w:pos="475"/>
        </w:tabs>
        <w:ind w:left="0" w:firstLine="0"/>
      </w:pPr>
      <w:rPr>
        <w:w w:val="100"/>
      </w:rPr>
    </w:lvl>
  </w:abstractNum>
  <w:abstractNum w:abstractNumId="6">
    <w:nsid w:val="403167D0"/>
    <w:multiLevelType w:val="singleLevel"/>
    <w:tmpl w:val="F7263200"/>
    <w:lvl w:ilvl="0">
      <w:start w:val="1"/>
      <w:numFmt w:val="decimal"/>
      <w:lvlRestart w:val="0"/>
      <w:lvlText w:val="%1."/>
      <w:lvlJc w:val="left"/>
      <w:pPr>
        <w:tabs>
          <w:tab w:val="num" w:pos="475"/>
        </w:tabs>
        <w:ind w:left="0" w:firstLine="0"/>
      </w:pPr>
      <w:rPr>
        <w:w w:val="100"/>
      </w:rPr>
    </w:lvl>
  </w:abstractNum>
  <w:abstractNum w:abstractNumId="7">
    <w:nsid w:val="47B40547"/>
    <w:multiLevelType w:val="hybridMultilevel"/>
    <w:tmpl w:val="697E69E6"/>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3"/>
  </w:num>
  <w:num w:numId="4">
    <w:abstractNumId w:val="7"/>
  </w:num>
  <w:num w:numId="5">
    <w:abstractNumId w:val="0"/>
  </w:num>
  <w:num w:numId="6">
    <w:abstractNumId w:val="5"/>
  </w:num>
  <w:num w:numId="7">
    <w:abstractNumId w:val="4"/>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stylePaneSortMethod w:val="0003"/>
  <w:revisionView w:markup="0"/>
  <w:defaultTabStop w:val="475"/>
  <w:doNotHyphenateCaps/>
  <w:evenAndOddHeaders/>
  <w:characterSpacingControl w:val="doNotCompress"/>
  <w:hdrShapeDefaults>
    <o:shapedefaults v:ext="edit" spidmax="4097"/>
  </w:hdrShapeDefaults>
  <w:footnotePr>
    <w:footnote w:id="-1"/>
    <w:footnote w:id="0"/>
  </w:footnotePr>
  <w:endnotePr>
    <w:pos w:val="sectEnd"/>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520703*"/>
    <w:docVar w:name="CreationDt" w:val="12/30/2015 12:04 PM"/>
    <w:docVar w:name="DocCategory" w:val="Doc"/>
    <w:docVar w:name="DocType" w:val="Final"/>
    <w:docVar w:name="DutyStation" w:val="Geneva"/>
    <w:docVar w:name="FooterJN" w:val="GE.15-20703"/>
    <w:docVar w:name="jobn" w:val="GE.15-20703 (F)"/>
    <w:docVar w:name="jobnDT" w:val="GE.15-20703 (F)   301215"/>
    <w:docVar w:name="jobnDTDT" w:val="GE.15-20703 (F)   301215   301215"/>
    <w:docVar w:name="JobNo" w:val="GE.1520703F"/>
    <w:docVar w:name="JobNo2" w:val="GE.1526794F"/>
    <w:docVar w:name="LocalDrive" w:val="0"/>
    <w:docVar w:name="OandT" w:val="M. Deschamps"/>
    <w:docVar w:name="PaperSize" w:val="A4"/>
    <w:docVar w:name="sss1" w:val="CCPR/C/BIH/QPR/3"/>
    <w:docVar w:name="sss2" w:val="-"/>
    <w:docVar w:name="Symbol1" w:val="CCPR/C/BIH/QPR/3"/>
    <w:docVar w:name="Symbol2" w:val="-"/>
  </w:docVars>
  <w:rsids>
    <w:rsidRoot w:val="003B228E"/>
    <w:rsid w:val="000015B8"/>
    <w:rsid w:val="000046A5"/>
    <w:rsid w:val="000055FB"/>
    <w:rsid w:val="00010C97"/>
    <w:rsid w:val="00016483"/>
    <w:rsid w:val="00022173"/>
    <w:rsid w:val="0002226F"/>
    <w:rsid w:val="00022B4A"/>
    <w:rsid w:val="00023E37"/>
    <w:rsid w:val="000249FF"/>
    <w:rsid w:val="00025DE5"/>
    <w:rsid w:val="000274C2"/>
    <w:rsid w:val="00033DC9"/>
    <w:rsid w:val="000378DE"/>
    <w:rsid w:val="00040497"/>
    <w:rsid w:val="00041ABD"/>
    <w:rsid w:val="00046145"/>
    <w:rsid w:val="00050D9C"/>
    <w:rsid w:val="00054482"/>
    <w:rsid w:val="0005669A"/>
    <w:rsid w:val="00057151"/>
    <w:rsid w:val="000571B5"/>
    <w:rsid w:val="000616D7"/>
    <w:rsid w:val="000636D2"/>
    <w:rsid w:val="00063B2D"/>
    <w:rsid w:val="000643C1"/>
    <w:rsid w:val="000658A4"/>
    <w:rsid w:val="00065BD4"/>
    <w:rsid w:val="000675CF"/>
    <w:rsid w:val="00071173"/>
    <w:rsid w:val="0007246F"/>
    <w:rsid w:val="000746A5"/>
    <w:rsid w:val="00074EA0"/>
    <w:rsid w:val="000776CA"/>
    <w:rsid w:val="00077CC4"/>
    <w:rsid w:val="00083D89"/>
    <w:rsid w:val="00085112"/>
    <w:rsid w:val="0008708F"/>
    <w:rsid w:val="00091BC1"/>
    <w:rsid w:val="00091DBD"/>
    <w:rsid w:val="00096B3C"/>
    <w:rsid w:val="000A18B6"/>
    <w:rsid w:val="000A24DE"/>
    <w:rsid w:val="000A2612"/>
    <w:rsid w:val="000A2DFB"/>
    <w:rsid w:val="000A3AB1"/>
    <w:rsid w:val="000A4A47"/>
    <w:rsid w:val="000A74D1"/>
    <w:rsid w:val="000B0E9A"/>
    <w:rsid w:val="000B1A18"/>
    <w:rsid w:val="000B2CD0"/>
    <w:rsid w:val="000B3ED4"/>
    <w:rsid w:val="000B5AF0"/>
    <w:rsid w:val="000B6B84"/>
    <w:rsid w:val="000B7004"/>
    <w:rsid w:val="000C085A"/>
    <w:rsid w:val="000C349B"/>
    <w:rsid w:val="000C683C"/>
    <w:rsid w:val="000D44E3"/>
    <w:rsid w:val="000D5D82"/>
    <w:rsid w:val="000D66AC"/>
    <w:rsid w:val="000D7ED4"/>
    <w:rsid w:val="000E1550"/>
    <w:rsid w:val="000E1ABE"/>
    <w:rsid w:val="000F04A8"/>
    <w:rsid w:val="000F05DE"/>
    <w:rsid w:val="000F1B8A"/>
    <w:rsid w:val="000F299A"/>
    <w:rsid w:val="000F36A0"/>
    <w:rsid w:val="000F53E9"/>
    <w:rsid w:val="000F6A05"/>
    <w:rsid w:val="000F6E7D"/>
    <w:rsid w:val="001027E2"/>
    <w:rsid w:val="0010575E"/>
    <w:rsid w:val="00106549"/>
    <w:rsid w:val="00107710"/>
    <w:rsid w:val="00107C97"/>
    <w:rsid w:val="00110242"/>
    <w:rsid w:val="0011255C"/>
    <w:rsid w:val="001126A7"/>
    <w:rsid w:val="00112FE9"/>
    <w:rsid w:val="0011497A"/>
    <w:rsid w:val="00114B31"/>
    <w:rsid w:val="001156F7"/>
    <w:rsid w:val="00116149"/>
    <w:rsid w:val="00123812"/>
    <w:rsid w:val="001256F6"/>
    <w:rsid w:val="001262BA"/>
    <w:rsid w:val="00126FB2"/>
    <w:rsid w:val="00127266"/>
    <w:rsid w:val="0013186C"/>
    <w:rsid w:val="00132A45"/>
    <w:rsid w:val="001359FA"/>
    <w:rsid w:val="0013714F"/>
    <w:rsid w:val="00140666"/>
    <w:rsid w:val="0014233F"/>
    <w:rsid w:val="00143703"/>
    <w:rsid w:val="00144DE1"/>
    <w:rsid w:val="00145A1F"/>
    <w:rsid w:val="001466A3"/>
    <w:rsid w:val="00147051"/>
    <w:rsid w:val="001471CF"/>
    <w:rsid w:val="00151710"/>
    <w:rsid w:val="00151AC8"/>
    <w:rsid w:val="00155B70"/>
    <w:rsid w:val="00160E65"/>
    <w:rsid w:val="00161368"/>
    <w:rsid w:val="0016199B"/>
    <w:rsid w:val="00162C83"/>
    <w:rsid w:val="001639FC"/>
    <w:rsid w:val="00163D26"/>
    <w:rsid w:val="00164BB5"/>
    <w:rsid w:val="00166384"/>
    <w:rsid w:val="001709F1"/>
    <w:rsid w:val="00177D83"/>
    <w:rsid w:val="00180387"/>
    <w:rsid w:val="001818CC"/>
    <w:rsid w:val="00183EBF"/>
    <w:rsid w:val="00186793"/>
    <w:rsid w:val="0019082C"/>
    <w:rsid w:val="00192D05"/>
    <w:rsid w:val="00193A8C"/>
    <w:rsid w:val="001A2E2D"/>
    <w:rsid w:val="001A4BAA"/>
    <w:rsid w:val="001A4F4E"/>
    <w:rsid w:val="001A5D31"/>
    <w:rsid w:val="001A76F3"/>
    <w:rsid w:val="001B5520"/>
    <w:rsid w:val="001B5583"/>
    <w:rsid w:val="001B5A24"/>
    <w:rsid w:val="001C0599"/>
    <w:rsid w:val="001C3C57"/>
    <w:rsid w:val="001C4664"/>
    <w:rsid w:val="001C4EBE"/>
    <w:rsid w:val="001C5B90"/>
    <w:rsid w:val="001D0E60"/>
    <w:rsid w:val="001D272D"/>
    <w:rsid w:val="001D280C"/>
    <w:rsid w:val="001D294E"/>
    <w:rsid w:val="001D5ABD"/>
    <w:rsid w:val="001D688B"/>
    <w:rsid w:val="001E2D50"/>
    <w:rsid w:val="001E44F3"/>
    <w:rsid w:val="001F053A"/>
    <w:rsid w:val="001F2DA6"/>
    <w:rsid w:val="001F4DBE"/>
    <w:rsid w:val="001F62AF"/>
    <w:rsid w:val="001F793D"/>
    <w:rsid w:val="001F7E9D"/>
    <w:rsid w:val="002021E9"/>
    <w:rsid w:val="00202789"/>
    <w:rsid w:val="00202F1F"/>
    <w:rsid w:val="00205199"/>
    <w:rsid w:val="0020521E"/>
    <w:rsid w:val="00206598"/>
    <w:rsid w:val="00207655"/>
    <w:rsid w:val="00207CAA"/>
    <w:rsid w:val="0021168F"/>
    <w:rsid w:val="002178A7"/>
    <w:rsid w:val="002220FF"/>
    <w:rsid w:val="00237D01"/>
    <w:rsid w:val="00240F64"/>
    <w:rsid w:val="002410E3"/>
    <w:rsid w:val="00241F29"/>
    <w:rsid w:val="00243D1C"/>
    <w:rsid w:val="00245B48"/>
    <w:rsid w:val="00246425"/>
    <w:rsid w:val="002515C7"/>
    <w:rsid w:val="002523F6"/>
    <w:rsid w:val="00252402"/>
    <w:rsid w:val="00254656"/>
    <w:rsid w:val="0025545A"/>
    <w:rsid w:val="00261E82"/>
    <w:rsid w:val="0026332C"/>
    <w:rsid w:val="0026552F"/>
    <w:rsid w:val="0026565F"/>
    <w:rsid w:val="00266AFD"/>
    <w:rsid w:val="00270780"/>
    <w:rsid w:val="00272475"/>
    <w:rsid w:val="002730C7"/>
    <w:rsid w:val="0027435B"/>
    <w:rsid w:val="00276E85"/>
    <w:rsid w:val="00280143"/>
    <w:rsid w:val="00280E2F"/>
    <w:rsid w:val="002810F0"/>
    <w:rsid w:val="00281BC7"/>
    <w:rsid w:val="00285DC4"/>
    <w:rsid w:val="00286531"/>
    <w:rsid w:val="002867C7"/>
    <w:rsid w:val="0029018C"/>
    <w:rsid w:val="00293B6B"/>
    <w:rsid w:val="002A07EF"/>
    <w:rsid w:val="002A2122"/>
    <w:rsid w:val="002A27E5"/>
    <w:rsid w:val="002A530D"/>
    <w:rsid w:val="002A69DB"/>
    <w:rsid w:val="002B037D"/>
    <w:rsid w:val="002B1D15"/>
    <w:rsid w:val="002B4A7F"/>
    <w:rsid w:val="002B5449"/>
    <w:rsid w:val="002B5928"/>
    <w:rsid w:val="002C3640"/>
    <w:rsid w:val="002C3FD3"/>
    <w:rsid w:val="002C419A"/>
    <w:rsid w:val="002C472D"/>
    <w:rsid w:val="002C77CF"/>
    <w:rsid w:val="002D45C0"/>
    <w:rsid w:val="002D5981"/>
    <w:rsid w:val="002D7EC0"/>
    <w:rsid w:val="002D7EFC"/>
    <w:rsid w:val="002E11E9"/>
    <w:rsid w:val="002E1745"/>
    <w:rsid w:val="002E20E0"/>
    <w:rsid w:val="002E2420"/>
    <w:rsid w:val="002E2E27"/>
    <w:rsid w:val="002E3850"/>
    <w:rsid w:val="002E3856"/>
    <w:rsid w:val="002E420C"/>
    <w:rsid w:val="002E56C8"/>
    <w:rsid w:val="002E76EC"/>
    <w:rsid w:val="002E79AF"/>
    <w:rsid w:val="002F048A"/>
    <w:rsid w:val="002F0E01"/>
    <w:rsid w:val="002F18EE"/>
    <w:rsid w:val="002F1E33"/>
    <w:rsid w:val="002F5482"/>
    <w:rsid w:val="002F5972"/>
    <w:rsid w:val="00303A3C"/>
    <w:rsid w:val="00303D82"/>
    <w:rsid w:val="00303E4E"/>
    <w:rsid w:val="003047D2"/>
    <w:rsid w:val="00306DE1"/>
    <w:rsid w:val="0030788D"/>
    <w:rsid w:val="00316628"/>
    <w:rsid w:val="00316B58"/>
    <w:rsid w:val="003235C7"/>
    <w:rsid w:val="00326270"/>
    <w:rsid w:val="0032685C"/>
    <w:rsid w:val="0032728E"/>
    <w:rsid w:val="00332A87"/>
    <w:rsid w:val="00333703"/>
    <w:rsid w:val="003342DF"/>
    <w:rsid w:val="00334FEB"/>
    <w:rsid w:val="00337015"/>
    <w:rsid w:val="003406CA"/>
    <w:rsid w:val="00340736"/>
    <w:rsid w:val="00343F8A"/>
    <w:rsid w:val="003441A5"/>
    <w:rsid w:val="00344969"/>
    <w:rsid w:val="00347E5F"/>
    <w:rsid w:val="003506F1"/>
    <w:rsid w:val="003555DE"/>
    <w:rsid w:val="00355810"/>
    <w:rsid w:val="003559A7"/>
    <w:rsid w:val="0035691F"/>
    <w:rsid w:val="00356B67"/>
    <w:rsid w:val="00360F4C"/>
    <w:rsid w:val="003610CC"/>
    <w:rsid w:val="003616BD"/>
    <w:rsid w:val="00362737"/>
    <w:rsid w:val="00362F57"/>
    <w:rsid w:val="003640A0"/>
    <w:rsid w:val="00365932"/>
    <w:rsid w:val="003738C0"/>
    <w:rsid w:val="003810FF"/>
    <w:rsid w:val="003824F9"/>
    <w:rsid w:val="00384511"/>
    <w:rsid w:val="00385D78"/>
    <w:rsid w:val="003864EE"/>
    <w:rsid w:val="00386953"/>
    <w:rsid w:val="003909DD"/>
    <w:rsid w:val="00391295"/>
    <w:rsid w:val="00391342"/>
    <w:rsid w:val="00392934"/>
    <w:rsid w:val="00393A67"/>
    <w:rsid w:val="00393C9F"/>
    <w:rsid w:val="003942F1"/>
    <w:rsid w:val="00395031"/>
    <w:rsid w:val="00395EB8"/>
    <w:rsid w:val="003968AB"/>
    <w:rsid w:val="00396ABF"/>
    <w:rsid w:val="00397343"/>
    <w:rsid w:val="003A2037"/>
    <w:rsid w:val="003A4ED6"/>
    <w:rsid w:val="003A56DC"/>
    <w:rsid w:val="003B228E"/>
    <w:rsid w:val="003B411E"/>
    <w:rsid w:val="003B445F"/>
    <w:rsid w:val="003B49BF"/>
    <w:rsid w:val="003B60DA"/>
    <w:rsid w:val="003B60EE"/>
    <w:rsid w:val="003B668A"/>
    <w:rsid w:val="003C012D"/>
    <w:rsid w:val="003C16E3"/>
    <w:rsid w:val="003C222D"/>
    <w:rsid w:val="003C252F"/>
    <w:rsid w:val="003C6DDA"/>
    <w:rsid w:val="003C7AEA"/>
    <w:rsid w:val="003C7D21"/>
    <w:rsid w:val="003D15A3"/>
    <w:rsid w:val="003D35C1"/>
    <w:rsid w:val="003D635C"/>
    <w:rsid w:val="003D7BC4"/>
    <w:rsid w:val="003E1642"/>
    <w:rsid w:val="003E3E2D"/>
    <w:rsid w:val="003E3E48"/>
    <w:rsid w:val="003E47D8"/>
    <w:rsid w:val="003E4E03"/>
    <w:rsid w:val="003F108A"/>
    <w:rsid w:val="003F11A9"/>
    <w:rsid w:val="003F1243"/>
    <w:rsid w:val="003F27A0"/>
    <w:rsid w:val="003F34C6"/>
    <w:rsid w:val="003F57D1"/>
    <w:rsid w:val="00401219"/>
    <w:rsid w:val="004039C7"/>
    <w:rsid w:val="004065B7"/>
    <w:rsid w:val="004066EB"/>
    <w:rsid w:val="00406E1E"/>
    <w:rsid w:val="00414C9D"/>
    <w:rsid w:val="00415A2B"/>
    <w:rsid w:val="00416293"/>
    <w:rsid w:val="004204AE"/>
    <w:rsid w:val="004216F7"/>
    <w:rsid w:val="0042753D"/>
    <w:rsid w:val="004309B5"/>
    <w:rsid w:val="0043103D"/>
    <w:rsid w:val="00432662"/>
    <w:rsid w:val="00433AB0"/>
    <w:rsid w:val="004342B2"/>
    <w:rsid w:val="00441593"/>
    <w:rsid w:val="00443A00"/>
    <w:rsid w:val="00444609"/>
    <w:rsid w:val="004448E6"/>
    <w:rsid w:val="00450D24"/>
    <w:rsid w:val="00452DA5"/>
    <w:rsid w:val="00453DAB"/>
    <w:rsid w:val="0045423E"/>
    <w:rsid w:val="004548AC"/>
    <w:rsid w:val="00455176"/>
    <w:rsid w:val="00455E42"/>
    <w:rsid w:val="00457D04"/>
    <w:rsid w:val="00460112"/>
    <w:rsid w:val="00461788"/>
    <w:rsid w:val="004627F7"/>
    <w:rsid w:val="00462FE3"/>
    <w:rsid w:val="004638A8"/>
    <w:rsid w:val="00464787"/>
    <w:rsid w:val="004669E9"/>
    <w:rsid w:val="00471BD5"/>
    <w:rsid w:val="00472794"/>
    <w:rsid w:val="00475F9F"/>
    <w:rsid w:val="00476698"/>
    <w:rsid w:val="00477592"/>
    <w:rsid w:val="0047799D"/>
    <w:rsid w:val="004814BB"/>
    <w:rsid w:val="00481634"/>
    <w:rsid w:val="0048188B"/>
    <w:rsid w:val="00487428"/>
    <w:rsid w:val="00491CD5"/>
    <w:rsid w:val="00492510"/>
    <w:rsid w:val="00492DC3"/>
    <w:rsid w:val="004973EC"/>
    <w:rsid w:val="004A0AA6"/>
    <w:rsid w:val="004A1763"/>
    <w:rsid w:val="004A186E"/>
    <w:rsid w:val="004A2319"/>
    <w:rsid w:val="004A2455"/>
    <w:rsid w:val="004A698E"/>
    <w:rsid w:val="004A7606"/>
    <w:rsid w:val="004B1DBB"/>
    <w:rsid w:val="004B56C6"/>
    <w:rsid w:val="004B7E99"/>
    <w:rsid w:val="004C1A6A"/>
    <w:rsid w:val="004C304C"/>
    <w:rsid w:val="004C38FF"/>
    <w:rsid w:val="004C5C41"/>
    <w:rsid w:val="004D13C8"/>
    <w:rsid w:val="004D4F44"/>
    <w:rsid w:val="004D5D20"/>
    <w:rsid w:val="004D6212"/>
    <w:rsid w:val="004D789D"/>
    <w:rsid w:val="004E0FB8"/>
    <w:rsid w:val="004E272F"/>
    <w:rsid w:val="004E2B64"/>
    <w:rsid w:val="004E4258"/>
    <w:rsid w:val="004E47A4"/>
    <w:rsid w:val="004F1F9F"/>
    <w:rsid w:val="004F2765"/>
    <w:rsid w:val="004F5238"/>
    <w:rsid w:val="004F53F0"/>
    <w:rsid w:val="004F69D3"/>
    <w:rsid w:val="004F6B7C"/>
    <w:rsid w:val="005049A9"/>
    <w:rsid w:val="00505F1C"/>
    <w:rsid w:val="0050603C"/>
    <w:rsid w:val="00506B44"/>
    <w:rsid w:val="005100BC"/>
    <w:rsid w:val="0051451F"/>
    <w:rsid w:val="0051666F"/>
    <w:rsid w:val="0051772A"/>
    <w:rsid w:val="00517E8B"/>
    <w:rsid w:val="00520271"/>
    <w:rsid w:val="00520B7B"/>
    <w:rsid w:val="00521F7B"/>
    <w:rsid w:val="00522110"/>
    <w:rsid w:val="00522657"/>
    <w:rsid w:val="00523069"/>
    <w:rsid w:val="00523378"/>
    <w:rsid w:val="0052413A"/>
    <w:rsid w:val="00525A3D"/>
    <w:rsid w:val="00527615"/>
    <w:rsid w:val="00527DD0"/>
    <w:rsid w:val="00533905"/>
    <w:rsid w:val="005372C0"/>
    <w:rsid w:val="00541630"/>
    <w:rsid w:val="0054168D"/>
    <w:rsid w:val="00542357"/>
    <w:rsid w:val="00551176"/>
    <w:rsid w:val="00551EAE"/>
    <w:rsid w:val="00552150"/>
    <w:rsid w:val="005522D6"/>
    <w:rsid w:val="005536AE"/>
    <w:rsid w:val="00554B37"/>
    <w:rsid w:val="0055536F"/>
    <w:rsid w:val="005669CA"/>
    <w:rsid w:val="00575199"/>
    <w:rsid w:val="005770F6"/>
    <w:rsid w:val="00577899"/>
    <w:rsid w:val="00577BDD"/>
    <w:rsid w:val="005811A3"/>
    <w:rsid w:val="00583566"/>
    <w:rsid w:val="00584E7A"/>
    <w:rsid w:val="00585CA8"/>
    <w:rsid w:val="00585DEA"/>
    <w:rsid w:val="00587345"/>
    <w:rsid w:val="0058795C"/>
    <w:rsid w:val="00590A88"/>
    <w:rsid w:val="00591AA0"/>
    <w:rsid w:val="0059357F"/>
    <w:rsid w:val="00593781"/>
    <w:rsid w:val="00594AE2"/>
    <w:rsid w:val="005958B3"/>
    <w:rsid w:val="00596647"/>
    <w:rsid w:val="00597A85"/>
    <w:rsid w:val="005A037D"/>
    <w:rsid w:val="005A0DEC"/>
    <w:rsid w:val="005A1E12"/>
    <w:rsid w:val="005A305D"/>
    <w:rsid w:val="005A6A6E"/>
    <w:rsid w:val="005A6D92"/>
    <w:rsid w:val="005A6DD6"/>
    <w:rsid w:val="005A7976"/>
    <w:rsid w:val="005B33A4"/>
    <w:rsid w:val="005B3C4C"/>
    <w:rsid w:val="005B5D99"/>
    <w:rsid w:val="005B74B8"/>
    <w:rsid w:val="005C1353"/>
    <w:rsid w:val="005C1587"/>
    <w:rsid w:val="005C3A63"/>
    <w:rsid w:val="005C4C94"/>
    <w:rsid w:val="005C65C2"/>
    <w:rsid w:val="005C765D"/>
    <w:rsid w:val="005C7B4D"/>
    <w:rsid w:val="005D457E"/>
    <w:rsid w:val="005D7CA9"/>
    <w:rsid w:val="005E0F5F"/>
    <w:rsid w:val="005F12E0"/>
    <w:rsid w:val="005F2726"/>
    <w:rsid w:val="005F2A30"/>
    <w:rsid w:val="005F2FA6"/>
    <w:rsid w:val="005F34E5"/>
    <w:rsid w:val="005F35C5"/>
    <w:rsid w:val="005F43E1"/>
    <w:rsid w:val="005F47D4"/>
    <w:rsid w:val="005F6A9F"/>
    <w:rsid w:val="005F6E3F"/>
    <w:rsid w:val="0060033F"/>
    <w:rsid w:val="00603211"/>
    <w:rsid w:val="0060375B"/>
    <w:rsid w:val="00606A0C"/>
    <w:rsid w:val="00607448"/>
    <w:rsid w:val="0060792E"/>
    <w:rsid w:val="00611860"/>
    <w:rsid w:val="00611DA0"/>
    <w:rsid w:val="00612407"/>
    <w:rsid w:val="006125AC"/>
    <w:rsid w:val="00616984"/>
    <w:rsid w:val="00616E84"/>
    <w:rsid w:val="00617EBE"/>
    <w:rsid w:val="0062117B"/>
    <w:rsid w:val="00622055"/>
    <w:rsid w:val="006244D1"/>
    <w:rsid w:val="00632332"/>
    <w:rsid w:val="00633E85"/>
    <w:rsid w:val="006361EE"/>
    <w:rsid w:val="0063657E"/>
    <w:rsid w:val="00636EB6"/>
    <w:rsid w:val="006407EF"/>
    <w:rsid w:val="0064115E"/>
    <w:rsid w:val="006423E0"/>
    <w:rsid w:val="00646F60"/>
    <w:rsid w:val="0064762B"/>
    <w:rsid w:val="00650623"/>
    <w:rsid w:val="0065129E"/>
    <w:rsid w:val="006512C8"/>
    <w:rsid w:val="00653CD3"/>
    <w:rsid w:val="00656E62"/>
    <w:rsid w:val="006573FC"/>
    <w:rsid w:val="00660D00"/>
    <w:rsid w:val="00662686"/>
    <w:rsid w:val="00665605"/>
    <w:rsid w:val="00665692"/>
    <w:rsid w:val="006660B5"/>
    <w:rsid w:val="00671687"/>
    <w:rsid w:val="006735D0"/>
    <w:rsid w:val="00673F2C"/>
    <w:rsid w:val="00675A53"/>
    <w:rsid w:val="006770E8"/>
    <w:rsid w:val="006803F5"/>
    <w:rsid w:val="006817AB"/>
    <w:rsid w:val="00683C7E"/>
    <w:rsid w:val="006853D8"/>
    <w:rsid w:val="006866E8"/>
    <w:rsid w:val="00687FB1"/>
    <w:rsid w:val="0069608C"/>
    <w:rsid w:val="00697952"/>
    <w:rsid w:val="006A04E6"/>
    <w:rsid w:val="006A0B3D"/>
    <w:rsid w:val="006A2F71"/>
    <w:rsid w:val="006A5910"/>
    <w:rsid w:val="006B1ABC"/>
    <w:rsid w:val="006B2934"/>
    <w:rsid w:val="006B2CC8"/>
    <w:rsid w:val="006B64BE"/>
    <w:rsid w:val="006B6669"/>
    <w:rsid w:val="006C1A92"/>
    <w:rsid w:val="006C3BDD"/>
    <w:rsid w:val="006C449D"/>
    <w:rsid w:val="006D0C9B"/>
    <w:rsid w:val="006D1115"/>
    <w:rsid w:val="006D138E"/>
    <w:rsid w:val="006D1B76"/>
    <w:rsid w:val="006D5832"/>
    <w:rsid w:val="006E215F"/>
    <w:rsid w:val="006E3D5C"/>
    <w:rsid w:val="006E4078"/>
    <w:rsid w:val="006E4E12"/>
    <w:rsid w:val="006E4EFA"/>
    <w:rsid w:val="006E5649"/>
    <w:rsid w:val="006F41DD"/>
    <w:rsid w:val="006F5A33"/>
    <w:rsid w:val="006F6787"/>
    <w:rsid w:val="006F6EDD"/>
    <w:rsid w:val="006F79A5"/>
    <w:rsid w:val="007033D2"/>
    <w:rsid w:val="00704AF5"/>
    <w:rsid w:val="0070555E"/>
    <w:rsid w:val="00707DF8"/>
    <w:rsid w:val="00711F00"/>
    <w:rsid w:val="0071328D"/>
    <w:rsid w:val="00717865"/>
    <w:rsid w:val="00721866"/>
    <w:rsid w:val="0072436A"/>
    <w:rsid w:val="00735F3A"/>
    <w:rsid w:val="00735FB1"/>
    <w:rsid w:val="007367E1"/>
    <w:rsid w:val="007379A0"/>
    <w:rsid w:val="00741A1A"/>
    <w:rsid w:val="00743131"/>
    <w:rsid w:val="0074339E"/>
    <w:rsid w:val="00744BE5"/>
    <w:rsid w:val="00744D58"/>
    <w:rsid w:val="00745376"/>
    <w:rsid w:val="0074587F"/>
    <w:rsid w:val="007476BA"/>
    <w:rsid w:val="00750C8F"/>
    <w:rsid w:val="0075110B"/>
    <w:rsid w:val="007517F6"/>
    <w:rsid w:val="007531C9"/>
    <w:rsid w:val="007537B8"/>
    <w:rsid w:val="00754913"/>
    <w:rsid w:val="00755393"/>
    <w:rsid w:val="007553FC"/>
    <w:rsid w:val="00756346"/>
    <w:rsid w:val="007609C3"/>
    <w:rsid w:val="00760F66"/>
    <w:rsid w:val="00761561"/>
    <w:rsid w:val="00762F97"/>
    <w:rsid w:val="0076382E"/>
    <w:rsid w:val="00763AE4"/>
    <w:rsid w:val="00765152"/>
    <w:rsid w:val="00767FBE"/>
    <w:rsid w:val="00770DEF"/>
    <w:rsid w:val="00770EB4"/>
    <w:rsid w:val="00772106"/>
    <w:rsid w:val="0077228A"/>
    <w:rsid w:val="00772CF6"/>
    <w:rsid w:val="00772EB1"/>
    <w:rsid w:val="00774368"/>
    <w:rsid w:val="0077589C"/>
    <w:rsid w:val="00775BFD"/>
    <w:rsid w:val="007769D2"/>
    <w:rsid w:val="00780058"/>
    <w:rsid w:val="007804F4"/>
    <w:rsid w:val="00781004"/>
    <w:rsid w:val="00781F43"/>
    <w:rsid w:val="0078227E"/>
    <w:rsid w:val="0078267A"/>
    <w:rsid w:val="00783270"/>
    <w:rsid w:val="0078374C"/>
    <w:rsid w:val="007842C1"/>
    <w:rsid w:val="00786271"/>
    <w:rsid w:val="007867FB"/>
    <w:rsid w:val="00790459"/>
    <w:rsid w:val="00790682"/>
    <w:rsid w:val="00790789"/>
    <w:rsid w:val="00791633"/>
    <w:rsid w:val="00792100"/>
    <w:rsid w:val="0079292B"/>
    <w:rsid w:val="0079302E"/>
    <w:rsid w:val="0079379B"/>
    <w:rsid w:val="0079452A"/>
    <w:rsid w:val="00794EC6"/>
    <w:rsid w:val="00794FED"/>
    <w:rsid w:val="00795AD7"/>
    <w:rsid w:val="007961E2"/>
    <w:rsid w:val="007A345A"/>
    <w:rsid w:val="007A3D35"/>
    <w:rsid w:val="007A78C2"/>
    <w:rsid w:val="007B05E9"/>
    <w:rsid w:val="007B148E"/>
    <w:rsid w:val="007B1E17"/>
    <w:rsid w:val="007B4C73"/>
    <w:rsid w:val="007C0C1F"/>
    <w:rsid w:val="007C206E"/>
    <w:rsid w:val="007C2936"/>
    <w:rsid w:val="007C4A36"/>
    <w:rsid w:val="007C662A"/>
    <w:rsid w:val="007C7D7F"/>
    <w:rsid w:val="007D33BA"/>
    <w:rsid w:val="007D385A"/>
    <w:rsid w:val="007D6FCB"/>
    <w:rsid w:val="007D7FD4"/>
    <w:rsid w:val="007E2FEB"/>
    <w:rsid w:val="007E3CF9"/>
    <w:rsid w:val="007E74E9"/>
    <w:rsid w:val="007F0ED6"/>
    <w:rsid w:val="007F1AB9"/>
    <w:rsid w:val="007F3DCC"/>
    <w:rsid w:val="007F49BD"/>
    <w:rsid w:val="007F6F95"/>
    <w:rsid w:val="007F77CB"/>
    <w:rsid w:val="00800903"/>
    <w:rsid w:val="008040BA"/>
    <w:rsid w:val="00804131"/>
    <w:rsid w:val="00804565"/>
    <w:rsid w:val="00806A3B"/>
    <w:rsid w:val="00807CA4"/>
    <w:rsid w:val="008100FD"/>
    <w:rsid w:val="008114C3"/>
    <w:rsid w:val="00814C2A"/>
    <w:rsid w:val="00816ECE"/>
    <w:rsid w:val="008173CF"/>
    <w:rsid w:val="00817884"/>
    <w:rsid w:val="0082537E"/>
    <w:rsid w:val="00825C31"/>
    <w:rsid w:val="00831BD0"/>
    <w:rsid w:val="00833A79"/>
    <w:rsid w:val="00833BFF"/>
    <w:rsid w:val="0083677A"/>
    <w:rsid w:val="00837284"/>
    <w:rsid w:val="0083731D"/>
    <w:rsid w:val="00837549"/>
    <w:rsid w:val="008415FE"/>
    <w:rsid w:val="00842319"/>
    <w:rsid w:val="008435C2"/>
    <w:rsid w:val="00844B5C"/>
    <w:rsid w:val="00845C9F"/>
    <w:rsid w:val="00846431"/>
    <w:rsid w:val="00850A6F"/>
    <w:rsid w:val="00851353"/>
    <w:rsid w:val="008555BA"/>
    <w:rsid w:val="00856155"/>
    <w:rsid w:val="00856CD0"/>
    <w:rsid w:val="008579A6"/>
    <w:rsid w:val="00860226"/>
    <w:rsid w:val="00861D7A"/>
    <w:rsid w:val="00862E29"/>
    <w:rsid w:val="00863E44"/>
    <w:rsid w:val="0086499F"/>
    <w:rsid w:val="00865A5F"/>
    <w:rsid w:val="00867D33"/>
    <w:rsid w:val="00867F04"/>
    <w:rsid w:val="008703DB"/>
    <w:rsid w:val="008710A1"/>
    <w:rsid w:val="00871633"/>
    <w:rsid w:val="0087489F"/>
    <w:rsid w:val="00875E49"/>
    <w:rsid w:val="0088158E"/>
    <w:rsid w:val="0088258D"/>
    <w:rsid w:val="008829F3"/>
    <w:rsid w:val="00882D4B"/>
    <w:rsid w:val="00887256"/>
    <w:rsid w:val="00890BEA"/>
    <w:rsid w:val="00890EF0"/>
    <w:rsid w:val="0089184F"/>
    <w:rsid w:val="00891ADA"/>
    <w:rsid w:val="008962D4"/>
    <w:rsid w:val="008A3ABC"/>
    <w:rsid w:val="008A4C0E"/>
    <w:rsid w:val="008A5334"/>
    <w:rsid w:val="008A630B"/>
    <w:rsid w:val="008A734B"/>
    <w:rsid w:val="008B24ED"/>
    <w:rsid w:val="008B5932"/>
    <w:rsid w:val="008C1225"/>
    <w:rsid w:val="008C1646"/>
    <w:rsid w:val="008C189A"/>
    <w:rsid w:val="008C1E51"/>
    <w:rsid w:val="008C2C0E"/>
    <w:rsid w:val="008C5E6B"/>
    <w:rsid w:val="008C6672"/>
    <w:rsid w:val="008D2DCF"/>
    <w:rsid w:val="008D3043"/>
    <w:rsid w:val="008D3318"/>
    <w:rsid w:val="008D4C00"/>
    <w:rsid w:val="008D52CD"/>
    <w:rsid w:val="008D5C5F"/>
    <w:rsid w:val="008D613D"/>
    <w:rsid w:val="008D756B"/>
    <w:rsid w:val="008E07B5"/>
    <w:rsid w:val="008E1E88"/>
    <w:rsid w:val="008E4FFA"/>
    <w:rsid w:val="008E5CC1"/>
    <w:rsid w:val="008E6532"/>
    <w:rsid w:val="008E7FF5"/>
    <w:rsid w:val="008F125F"/>
    <w:rsid w:val="008F2C00"/>
    <w:rsid w:val="008F3DAE"/>
    <w:rsid w:val="008F6630"/>
    <w:rsid w:val="008F7622"/>
    <w:rsid w:val="0090311E"/>
    <w:rsid w:val="0090438E"/>
    <w:rsid w:val="00906110"/>
    <w:rsid w:val="0090704E"/>
    <w:rsid w:val="0091108F"/>
    <w:rsid w:val="009133F5"/>
    <w:rsid w:val="00914786"/>
    <w:rsid w:val="00915680"/>
    <w:rsid w:val="00915FB9"/>
    <w:rsid w:val="0091610E"/>
    <w:rsid w:val="00916373"/>
    <w:rsid w:val="00916548"/>
    <w:rsid w:val="00916A77"/>
    <w:rsid w:val="00921BE8"/>
    <w:rsid w:val="00922E3D"/>
    <w:rsid w:val="009316DC"/>
    <w:rsid w:val="00931752"/>
    <w:rsid w:val="00932FDF"/>
    <w:rsid w:val="00936529"/>
    <w:rsid w:val="00940B65"/>
    <w:rsid w:val="0094133A"/>
    <w:rsid w:val="0094148D"/>
    <w:rsid w:val="009419AD"/>
    <w:rsid w:val="0095064A"/>
    <w:rsid w:val="00951A0B"/>
    <w:rsid w:val="009535B3"/>
    <w:rsid w:val="00953A36"/>
    <w:rsid w:val="00953F33"/>
    <w:rsid w:val="00955DBA"/>
    <w:rsid w:val="00957244"/>
    <w:rsid w:val="00962CAC"/>
    <w:rsid w:val="00964BDE"/>
    <w:rsid w:val="009676D3"/>
    <w:rsid w:val="00970A5C"/>
    <w:rsid w:val="00971E24"/>
    <w:rsid w:val="0098128C"/>
    <w:rsid w:val="009813FE"/>
    <w:rsid w:val="00983DD0"/>
    <w:rsid w:val="0098506E"/>
    <w:rsid w:val="0098670F"/>
    <w:rsid w:val="00986E56"/>
    <w:rsid w:val="00990AFB"/>
    <w:rsid w:val="00991387"/>
    <w:rsid w:val="00992A5D"/>
    <w:rsid w:val="00993B88"/>
    <w:rsid w:val="00993D02"/>
    <w:rsid w:val="009943AB"/>
    <w:rsid w:val="00994740"/>
    <w:rsid w:val="00995515"/>
    <w:rsid w:val="009966F8"/>
    <w:rsid w:val="009A10C4"/>
    <w:rsid w:val="009A142A"/>
    <w:rsid w:val="009A17F4"/>
    <w:rsid w:val="009A193C"/>
    <w:rsid w:val="009A325B"/>
    <w:rsid w:val="009A3FE3"/>
    <w:rsid w:val="009A4787"/>
    <w:rsid w:val="009A5CC0"/>
    <w:rsid w:val="009A7DEC"/>
    <w:rsid w:val="009B0AF7"/>
    <w:rsid w:val="009B0BFB"/>
    <w:rsid w:val="009B4398"/>
    <w:rsid w:val="009B4EEC"/>
    <w:rsid w:val="009C1815"/>
    <w:rsid w:val="009C5249"/>
    <w:rsid w:val="009C70D0"/>
    <w:rsid w:val="009C7F1B"/>
    <w:rsid w:val="009D5A2E"/>
    <w:rsid w:val="009D702B"/>
    <w:rsid w:val="009E0573"/>
    <w:rsid w:val="009E06DE"/>
    <w:rsid w:val="009E09FA"/>
    <w:rsid w:val="009E246F"/>
    <w:rsid w:val="009E76A1"/>
    <w:rsid w:val="009F004A"/>
    <w:rsid w:val="009F235E"/>
    <w:rsid w:val="009F29EB"/>
    <w:rsid w:val="009F2D3B"/>
    <w:rsid w:val="009F3C78"/>
    <w:rsid w:val="009F5ACE"/>
    <w:rsid w:val="009F7FE9"/>
    <w:rsid w:val="00A00A92"/>
    <w:rsid w:val="00A02426"/>
    <w:rsid w:val="00A0589C"/>
    <w:rsid w:val="00A06CAB"/>
    <w:rsid w:val="00A12A69"/>
    <w:rsid w:val="00A12DBB"/>
    <w:rsid w:val="00A150A7"/>
    <w:rsid w:val="00A151B8"/>
    <w:rsid w:val="00A157E7"/>
    <w:rsid w:val="00A210DD"/>
    <w:rsid w:val="00A21443"/>
    <w:rsid w:val="00A22ED0"/>
    <w:rsid w:val="00A23006"/>
    <w:rsid w:val="00A24099"/>
    <w:rsid w:val="00A264B0"/>
    <w:rsid w:val="00A2768E"/>
    <w:rsid w:val="00A329BC"/>
    <w:rsid w:val="00A33E3C"/>
    <w:rsid w:val="00A3426E"/>
    <w:rsid w:val="00A353ED"/>
    <w:rsid w:val="00A375D9"/>
    <w:rsid w:val="00A37FBB"/>
    <w:rsid w:val="00A4236C"/>
    <w:rsid w:val="00A43CAC"/>
    <w:rsid w:val="00A45E20"/>
    <w:rsid w:val="00A46DB8"/>
    <w:rsid w:val="00A52DF2"/>
    <w:rsid w:val="00A546A6"/>
    <w:rsid w:val="00A54A5E"/>
    <w:rsid w:val="00A55810"/>
    <w:rsid w:val="00A56CDD"/>
    <w:rsid w:val="00A56E3B"/>
    <w:rsid w:val="00A57C5A"/>
    <w:rsid w:val="00A64AD2"/>
    <w:rsid w:val="00A72C1F"/>
    <w:rsid w:val="00A72F5E"/>
    <w:rsid w:val="00A75482"/>
    <w:rsid w:val="00A75A3C"/>
    <w:rsid w:val="00A761B5"/>
    <w:rsid w:val="00A83E5E"/>
    <w:rsid w:val="00A84C12"/>
    <w:rsid w:val="00A85CA4"/>
    <w:rsid w:val="00A85D04"/>
    <w:rsid w:val="00A85DB4"/>
    <w:rsid w:val="00A86044"/>
    <w:rsid w:val="00A90002"/>
    <w:rsid w:val="00A96709"/>
    <w:rsid w:val="00A97EBD"/>
    <w:rsid w:val="00AA260F"/>
    <w:rsid w:val="00AA5F19"/>
    <w:rsid w:val="00AA750A"/>
    <w:rsid w:val="00AB001C"/>
    <w:rsid w:val="00AB37EB"/>
    <w:rsid w:val="00AB39C5"/>
    <w:rsid w:val="00AB4438"/>
    <w:rsid w:val="00AB4466"/>
    <w:rsid w:val="00AB50E6"/>
    <w:rsid w:val="00AB6814"/>
    <w:rsid w:val="00AB6863"/>
    <w:rsid w:val="00AB6BE3"/>
    <w:rsid w:val="00AB71F3"/>
    <w:rsid w:val="00AC0555"/>
    <w:rsid w:val="00AC625F"/>
    <w:rsid w:val="00AC67C3"/>
    <w:rsid w:val="00AC6CA3"/>
    <w:rsid w:val="00AC6DB5"/>
    <w:rsid w:val="00AD3D04"/>
    <w:rsid w:val="00AD500D"/>
    <w:rsid w:val="00AD7C27"/>
    <w:rsid w:val="00AE0DF0"/>
    <w:rsid w:val="00AE10E9"/>
    <w:rsid w:val="00AE11C7"/>
    <w:rsid w:val="00AE164F"/>
    <w:rsid w:val="00AE2D40"/>
    <w:rsid w:val="00AE73A1"/>
    <w:rsid w:val="00AE7F88"/>
    <w:rsid w:val="00AF4648"/>
    <w:rsid w:val="00AF4DD3"/>
    <w:rsid w:val="00AF6B78"/>
    <w:rsid w:val="00B01631"/>
    <w:rsid w:val="00B01D80"/>
    <w:rsid w:val="00B05198"/>
    <w:rsid w:val="00B0544B"/>
    <w:rsid w:val="00B06C4C"/>
    <w:rsid w:val="00B078C6"/>
    <w:rsid w:val="00B10BF5"/>
    <w:rsid w:val="00B145B5"/>
    <w:rsid w:val="00B152AC"/>
    <w:rsid w:val="00B16C8B"/>
    <w:rsid w:val="00B20969"/>
    <w:rsid w:val="00B22055"/>
    <w:rsid w:val="00B22BE8"/>
    <w:rsid w:val="00B2331A"/>
    <w:rsid w:val="00B2356B"/>
    <w:rsid w:val="00B249F3"/>
    <w:rsid w:val="00B25B74"/>
    <w:rsid w:val="00B26B93"/>
    <w:rsid w:val="00B26C0B"/>
    <w:rsid w:val="00B27126"/>
    <w:rsid w:val="00B27CAC"/>
    <w:rsid w:val="00B32CDE"/>
    <w:rsid w:val="00B34479"/>
    <w:rsid w:val="00B34D72"/>
    <w:rsid w:val="00B362BE"/>
    <w:rsid w:val="00B363A2"/>
    <w:rsid w:val="00B37213"/>
    <w:rsid w:val="00B41711"/>
    <w:rsid w:val="00B44EB6"/>
    <w:rsid w:val="00B503F3"/>
    <w:rsid w:val="00B504C9"/>
    <w:rsid w:val="00B52A47"/>
    <w:rsid w:val="00B53FB4"/>
    <w:rsid w:val="00B541C6"/>
    <w:rsid w:val="00B556DD"/>
    <w:rsid w:val="00B5798F"/>
    <w:rsid w:val="00B57EB0"/>
    <w:rsid w:val="00B61107"/>
    <w:rsid w:val="00B61CB4"/>
    <w:rsid w:val="00B65DB9"/>
    <w:rsid w:val="00B66644"/>
    <w:rsid w:val="00B67333"/>
    <w:rsid w:val="00B67756"/>
    <w:rsid w:val="00B70DA9"/>
    <w:rsid w:val="00B712B0"/>
    <w:rsid w:val="00B71478"/>
    <w:rsid w:val="00B71802"/>
    <w:rsid w:val="00B7200B"/>
    <w:rsid w:val="00B76414"/>
    <w:rsid w:val="00B77EB8"/>
    <w:rsid w:val="00B81A2A"/>
    <w:rsid w:val="00B82E95"/>
    <w:rsid w:val="00B84109"/>
    <w:rsid w:val="00B85BDA"/>
    <w:rsid w:val="00B870D6"/>
    <w:rsid w:val="00B874A9"/>
    <w:rsid w:val="00B9099B"/>
    <w:rsid w:val="00B932C8"/>
    <w:rsid w:val="00B93B31"/>
    <w:rsid w:val="00B9457F"/>
    <w:rsid w:val="00B965BF"/>
    <w:rsid w:val="00BA06B1"/>
    <w:rsid w:val="00BA3125"/>
    <w:rsid w:val="00BA3654"/>
    <w:rsid w:val="00BA600B"/>
    <w:rsid w:val="00BC05C8"/>
    <w:rsid w:val="00BC0F9A"/>
    <w:rsid w:val="00BC35DE"/>
    <w:rsid w:val="00BC3D5F"/>
    <w:rsid w:val="00BC43E2"/>
    <w:rsid w:val="00BD0917"/>
    <w:rsid w:val="00BD1607"/>
    <w:rsid w:val="00BD45A0"/>
    <w:rsid w:val="00BD45BA"/>
    <w:rsid w:val="00BE1D55"/>
    <w:rsid w:val="00BE2F51"/>
    <w:rsid w:val="00BE3214"/>
    <w:rsid w:val="00BE5325"/>
    <w:rsid w:val="00BE5439"/>
    <w:rsid w:val="00BE62DB"/>
    <w:rsid w:val="00BE7E1A"/>
    <w:rsid w:val="00BF041C"/>
    <w:rsid w:val="00BF055A"/>
    <w:rsid w:val="00BF0B13"/>
    <w:rsid w:val="00BF4E69"/>
    <w:rsid w:val="00BF651C"/>
    <w:rsid w:val="00BF734B"/>
    <w:rsid w:val="00BF7BD3"/>
    <w:rsid w:val="00C01B04"/>
    <w:rsid w:val="00C01B3A"/>
    <w:rsid w:val="00C03721"/>
    <w:rsid w:val="00C05291"/>
    <w:rsid w:val="00C06025"/>
    <w:rsid w:val="00C067A3"/>
    <w:rsid w:val="00C115C1"/>
    <w:rsid w:val="00C118DD"/>
    <w:rsid w:val="00C13C81"/>
    <w:rsid w:val="00C14A5C"/>
    <w:rsid w:val="00C14B0A"/>
    <w:rsid w:val="00C23EFE"/>
    <w:rsid w:val="00C26CD3"/>
    <w:rsid w:val="00C3047B"/>
    <w:rsid w:val="00C30749"/>
    <w:rsid w:val="00C3163F"/>
    <w:rsid w:val="00C35E4D"/>
    <w:rsid w:val="00C436F7"/>
    <w:rsid w:val="00C45692"/>
    <w:rsid w:val="00C46175"/>
    <w:rsid w:val="00C472E3"/>
    <w:rsid w:val="00C47E57"/>
    <w:rsid w:val="00C55B02"/>
    <w:rsid w:val="00C56142"/>
    <w:rsid w:val="00C56B3A"/>
    <w:rsid w:val="00C56EFE"/>
    <w:rsid w:val="00C57F00"/>
    <w:rsid w:val="00C60C0B"/>
    <w:rsid w:val="00C66382"/>
    <w:rsid w:val="00C67F09"/>
    <w:rsid w:val="00C72788"/>
    <w:rsid w:val="00C75F9C"/>
    <w:rsid w:val="00C76A5E"/>
    <w:rsid w:val="00C770FD"/>
    <w:rsid w:val="00C865D9"/>
    <w:rsid w:val="00C87110"/>
    <w:rsid w:val="00C90813"/>
    <w:rsid w:val="00C90C2B"/>
    <w:rsid w:val="00C9582B"/>
    <w:rsid w:val="00C958B4"/>
    <w:rsid w:val="00C978FA"/>
    <w:rsid w:val="00CA13F9"/>
    <w:rsid w:val="00CA2B14"/>
    <w:rsid w:val="00CA2D2A"/>
    <w:rsid w:val="00CA40E0"/>
    <w:rsid w:val="00CA4C49"/>
    <w:rsid w:val="00CA67AB"/>
    <w:rsid w:val="00CA789C"/>
    <w:rsid w:val="00CB016F"/>
    <w:rsid w:val="00CB0CBE"/>
    <w:rsid w:val="00CB1C6D"/>
    <w:rsid w:val="00CB2393"/>
    <w:rsid w:val="00CB5956"/>
    <w:rsid w:val="00CB60A9"/>
    <w:rsid w:val="00CC3EAA"/>
    <w:rsid w:val="00CD4A8B"/>
    <w:rsid w:val="00CE1548"/>
    <w:rsid w:val="00CE3799"/>
    <w:rsid w:val="00CE4AA9"/>
    <w:rsid w:val="00CE5477"/>
    <w:rsid w:val="00CE7ADD"/>
    <w:rsid w:val="00CF5E7B"/>
    <w:rsid w:val="00CF7A75"/>
    <w:rsid w:val="00D00362"/>
    <w:rsid w:val="00D01153"/>
    <w:rsid w:val="00D02293"/>
    <w:rsid w:val="00D026B6"/>
    <w:rsid w:val="00D03953"/>
    <w:rsid w:val="00D03F61"/>
    <w:rsid w:val="00D047D6"/>
    <w:rsid w:val="00D047EE"/>
    <w:rsid w:val="00D11FE5"/>
    <w:rsid w:val="00D12150"/>
    <w:rsid w:val="00D12CFB"/>
    <w:rsid w:val="00D1326C"/>
    <w:rsid w:val="00D1431B"/>
    <w:rsid w:val="00D14690"/>
    <w:rsid w:val="00D15BBA"/>
    <w:rsid w:val="00D16823"/>
    <w:rsid w:val="00D16F48"/>
    <w:rsid w:val="00D17215"/>
    <w:rsid w:val="00D250AB"/>
    <w:rsid w:val="00D265B2"/>
    <w:rsid w:val="00D26BA6"/>
    <w:rsid w:val="00D27D4B"/>
    <w:rsid w:val="00D301BE"/>
    <w:rsid w:val="00D320C3"/>
    <w:rsid w:val="00D33B40"/>
    <w:rsid w:val="00D35146"/>
    <w:rsid w:val="00D3596F"/>
    <w:rsid w:val="00D42F04"/>
    <w:rsid w:val="00D447E5"/>
    <w:rsid w:val="00D457D0"/>
    <w:rsid w:val="00D463A4"/>
    <w:rsid w:val="00D4699C"/>
    <w:rsid w:val="00D47877"/>
    <w:rsid w:val="00D513A1"/>
    <w:rsid w:val="00D57D07"/>
    <w:rsid w:val="00D618E7"/>
    <w:rsid w:val="00D619A2"/>
    <w:rsid w:val="00D6375A"/>
    <w:rsid w:val="00D64A77"/>
    <w:rsid w:val="00D66AB5"/>
    <w:rsid w:val="00D67265"/>
    <w:rsid w:val="00D676A0"/>
    <w:rsid w:val="00D70856"/>
    <w:rsid w:val="00D73117"/>
    <w:rsid w:val="00D73D86"/>
    <w:rsid w:val="00D8335C"/>
    <w:rsid w:val="00D9068D"/>
    <w:rsid w:val="00D92B16"/>
    <w:rsid w:val="00D93862"/>
    <w:rsid w:val="00D93CC2"/>
    <w:rsid w:val="00D9629E"/>
    <w:rsid w:val="00D97633"/>
    <w:rsid w:val="00DA2106"/>
    <w:rsid w:val="00DA23EB"/>
    <w:rsid w:val="00DA4ECD"/>
    <w:rsid w:val="00DB02EF"/>
    <w:rsid w:val="00DB0A56"/>
    <w:rsid w:val="00DB1007"/>
    <w:rsid w:val="00DB1699"/>
    <w:rsid w:val="00DB3DC8"/>
    <w:rsid w:val="00DB5115"/>
    <w:rsid w:val="00DB5177"/>
    <w:rsid w:val="00DB5C75"/>
    <w:rsid w:val="00DB66E6"/>
    <w:rsid w:val="00DC23FE"/>
    <w:rsid w:val="00DC38B9"/>
    <w:rsid w:val="00DC5B37"/>
    <w:rsid w:val="00DC5DDD"/>
    <w:rsid w:val="00DD309E"/>
    <w:rsid w:val="00DD7C73"/>
    <w:rsid w:val="00DE01B6"/>
    <w:rsid w:val="00DE1304"/>
    <w:rsid w:val="00DE1DD3"/>
    <w:rsid w:val="00DE1FBD"/>
    <w:rsid w:val="00DE3892"/>
    <w:rsid w:val="00DE4677"/>
    <w:rsid w:val="00DE64ED"/>
    <w:rsid w:val="00DF064D"/>
    <w:rsid w:val="00DF0CBF"/>
    <w:rsid w:val="00DF5407"/>
    <w:rsid w:val="00E00127"/>
    <w:rsid w:val="00E003D9"/>
    <w:rsid w:val="00E00C20"/>
    <w:rsid w:val="00E028F6"/>
    <w:rsid w:val="00E036CD"/>
    <w:rsid w:val="00E04ACF"/>
    <w:rsid w:val="00E0543E"/>
    <w:rsid w:val="00E0753F"/>
    <w:rsid w:val="00E10BF1"/>
    <w:rsid w:val="00E11B5C"/>
    <w:rsid w:val="00E13E2B"/>
    <w:rsid w:val="00E22DB7"/>
    <w:rsid w:val="00E23C1B"/>
    <w:rsid w:val="00E24D2B"/>
    <w:rsid w:val="00E25DDC"/>
    <w:rsid w:val="00E345BF"/>
    <w:rsid w:val="00E34D59"/>
    <w:rsid w:val="00E35C78"/>
    <w:rsid w:val="00E405EA"/>
    <w:rsid w:val="00E40877"/>
    <w:rsid w:val="00E474F9"/>
    <w:rsid w:val="00E51F8B"/>
    <w:rsid w:val="00E51FCF"/>
    <w:rsid w:val="00E529D4"/>
    <w:rsid w:val="00E53839"/>
    <w:rsid w:val="00E53C18"/>
    <w:rsid w:val="00E53F41"/>
    <w:rsid w:val="00E54488"/>
    <w:rsid w:val="00E5638A"/>
    <w:rsid w:val="00E56D2F"/>
    <w:rsid w:val="00E635B9"/>
    <w:rsid w:val="00E6363C"/>
    <w:rsid w:val="00E66700"/>
    <w:rsid w:val="00E66AD7"/>
    <w:rsid w:val="00E67B0A"/>
    <w:rsid w:val="00E71BAD"/>
    <w:rsid w:val="00E733FF"/>
    <w:rsid w:val="00E74106"/>
    <w:rsid w:val="00E74864"/>
    <w:rsid w:val="00E754E8"/>
    <w:rsid w:val="00E75EF4"/>
    <w:rsid w:val="00E82FD8"/>
    <w:rsid w:val="00E834E7"/>
    <w:rsid w:val="00E83ABA"/>
    <w:rsid w:val="00E83E70"/>
    <w:rsid w:val="00E86286"/>
    <w:rsid w:val="00E878FF"/>
    <w:rsid w:val="00E91E16"/>
    <w:rsid w:val="00E952EF"/>
    <w:rsid w:val="00E96437"/>
    <w:rsid w:val="00E968A0"/>
    <w:rsid w:val="00E97145"/>
    <w:rsid w:val="00EA4196"/>
    <w:rsid w:val="00EB0BAE"/>
    <w:rsid w:val="00EB0F20"/>
    <w:rsid w:val="00EB1632"/>
    <w:rsid w:val="00EB377B"/>
    <w:rsid w:val="00EB4086"/>
    <w:rsid w:val="00EB4EB6"/>
    <w:rsid w:val="00EB535D"/>
    <w:rsid w:val="00EB5CD2"/>
    <w:rsid w:val="00EC0A8F"/>
    <w:rsid w:val="00EC34E0"/>
    <w:rsid w:val="00EC5385"/>
    <w:rsid w:val="00EC5430"/>
    <w:rsid w:val="00EC60B6"/>
    <w:rsid w:val="00EC6373"/>
    <w:rsid w:val="00EC7853"/>
    <w:rsid w:val="00ED047D"/>
    <w:rsid w:val="00ED0A59"/>
    <w:rsid w:val="00ED297E"/>
    <w:rsid w:val="00ED4626"/>
    <w:rsid w:val="00ED5B3C"/>
    <w:rsid w:val="00ED732D"/>
    <w:rsid w:val="00ED7BC4"/>
    <w:rsid w:val="00EE104D"/>
    <w:rsid w:val="00EE5F6D"/>
    <w:rsid w:val="00EF0701"/>
    <w:rsid w:val="00EF11F2"/>
    <w:rsid w:val="00EF236F"/>
    <w:rsid w:val="00EF3067"/>
    <w:rsid w:val="00F03AFB"/>
    <w:rsid w:val="00F03CB2"/>
    <w:rsid w:val="00F13DC7"/>
    <w:rsid w:val="00F14729"/>
    <w:rsid w:val="00F14ED7"/>
    <w:rsid w:val="00F150D6"/>
    <w:rsid w:val="00F17670"/>
    <w:rsid w:val="00F17A90"/>
    <w:rsid w:val="00F2031D"/>
    <w:rsid w:val="00F2622B"/>
    <w:rsid w:val="00F26369"/>
    <w:rsid w:val="00F31671"/>
    <w:rsid w:val="00F3240D"/>
    <w:rsid w:val="00F328DE"/>
    <w:rsid w:val="00F3330B"/>
    <w:rsid w:val="00F357CB"/>
    <w:rsid w:val="00F35CA0"/>
    <w:rsid w:val="00F36A57"/>
    <w:rsid w:val="00F4019F"/>
    <w:rsid w:val="00F405BB"/>
    <w:rsid w:val="00F4328A"/>
    <w:rsid w:val="00F44706"/>
    <w:rsid w:val="00F44A91"/>
    <w:rsid w:val="00F45420"/>
    <w:rsid w:val="00F51EF7"/>
    <w:rsid w:val="00F5253C"/>
    <w:rsid w:val="00F52A72"/>
    <w:rsid w:val="00F52EDF"/>
    <w:rsid w:val="00F54C59"/>
    <w:rsid w:val="00F6067A"/>
    <w:rsid w:val="00F609CB"/>
    <w:rsid w:val="00F60FB9"/>
    <w:rsid w:val="00F64004"/>
    <w:rsid w:val="00F642D3"/>
    <w:rsid w:val="00F64DDA"/>
    <w:rsid w:val="00F65F73"/>
    <w:rsid w:val="00F6631A"/>
    <w:rsid w:val="00F66E3F"/>
    <w:rsid w:val="00F70436"/>
    <w:rsid w:val="00F713DB"/>
    <w:rsid w:val="00F730A9"/>
    <w:rsid w:val="00F735FC"/>
    <w:rsid w:val="00F738D2"/>
    <w:rsid w:val="00F73A7C"/>
    <w:rsid w:val="00F75136"/>
    <w:rsid w:val="00F75F3B"/>
    <w:rsid w:val="00F77CB4"/>
    <w:rsid w:val="00F83763"/>
    <w:rsid w:val="00F83C6C"/>
    <w:rsid w:val="00F84EA3"/>
    <w:rsid w:val="00F85513"/>
    <w:rsid w:val="00F86D76"/>
    <w:rsid w:val="00F877CE"/>
    <w:rsid w:val="00F90614"/>
    <w:rsid w:val="00F90A2F"/>
    <w:rsid w:val="00F91BD0"/>
    <w:rsid w:val="00F9239B"/>
    <w:rsid w:val="00F92E85"/>
    <w:rsid w:val="00F9336C"/>
    <w:rsid w:val="00F93BDC"/>
    <w:rsid w:val="00F95080"/>
    <w:rsid w:val="00F9544F"/>
    <w:rsid w:val="00F9741A"/>
    <w:rsid w:val="00FA2589"/>
    <w:rsid w:val="00FA34DF"/>
    <w:rsid w:val="00FA3F4D"/>
    <w:rsid w:val="00FA3FBD"/>
    <w:rsid w:val="00FA62B4"/>
    <w:rsid w:val="00FA70CF"/>
    <w:rsid w:val="00FA71DD"/>
    <w:rsid w:val="00FB3AA4"/>
    <w:rsid w:val="00FB3C35"/>
    <w:rsid w:val="00FB4627"/>
    <w:rsid w:val="00FC0F57"/>
    <w:rsid w:val="00FC1BC9"/>
    <w:rsid w:val="00FC4133"/>
    <w:rsid w:val="00FC41DA"/>
    <w:rsid w:val="00FC5C65"/>
    <w:rsid w:val="00FC75B8"/>
    <w:rsid w:val="00FC75D3"/>
    <w:rsid w:val="00FD318F"/>
    <w:rsid w:val="00FD54BE"/>
    <w:rsid w:val="00FD7CD4"/>
    <w:rsid w:val="00FE2498"/>
    <w:rsid w:val="00FE3548"/>
    <w:rsid w:val="00FE3F2D"/>
    <w:rsid w:val="00FE6556"/>
    <w:rsid w:val="00FF09A4"/>
    <w:rsid w:val="00FF204B"/>
    <w:rsid w:val="00FF2151"/>
    <w:rsid w:val="00FF2899"/>
    <w:rsid w:val="00FF28A0"/>
    <w:rsid w:val="00FF3067"/>
    <w:rsid w:val="00FF30B7"/>
    <w:rsid w:val="00FF4236"/>
    <w:rsid w:val="00FF5A88"/>
    <w:rsid w:val="00FF6271"/>
    <w:rsid w:val="00FF6C87"/>
    <w:rsid w:val="00FF7A9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HAns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lsdException w:name="heading 5" w:uiPriority="9"/>
    <w:lsdException w:name="heading 6" w:uiPriority="9"/>
    <w:lsdException w:name="heading 7" w:uiPriority="9"/>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unhideWhenUsed="0"/>
    <w:lsdException w:name="footer" w:semiHidden="0" w:unhideWhenUsed="0" w:qFormat="1"/>
    <w:lsdException w:name="caption" w:uiPriority="35" w:qFormat="1"/>
    <w:lsdException w:name="line number" w:semiHidden="0" w:unhideWhenUsed="0" w:qFormat="1"/>
    <w:lsdException w:name="endnote reference" w:semiHidden="0" w:unhideWhenUsed="0"/>
    <w:lsdException w:name="Title" w:uiPriority="10" w:unhideWhenUsed="0"/>
    <w:lsdException w:name="Default Paragraph Font" w:uiPriority="1"/>
    <w:lsdException w:name="Subtitle" w:uiPriority="11" w:unhideWhenUsed="0"/>
    <w:lsdException w:name="Strong" w:semiHidden="0" w:uiPriority="22" w:unhideWhenUsed="0"/>
    <w:lsdException w:name="Emphasis"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qFormat/>
    <w:rsid w:val="00B82E95"/>
    <w:pPr>
      <w:spacing w:line="240" w:lineRule="exact"/>
    </w:pPr>
    <w:rPr>
      <w:rFonts w:ascii="Times New Roman" w:hAnsi="Times New Roman"/>
      <w:spacing w:val="4"/>
      <w:w w:val="103"/>
      <w:kern w:val="14"/>
      <w:szCs w:val="22"/>
      <w:lang w:val="fr-CA"/>
    </w:rPr>
  </w:style>
  <w:style w:type="paragraph" w:styleId="Heading1">
    <w:name w:val="heading 1"/>
    <w:basedOn w:val="Normal"/>
    <w:next w:val="Normal"/>
    <w:link w:val="Heading1Char"/>
    <w:uiPriority w:val="9"/>
    <w:qFormat/>
    <w:rsid w:val="00745376"/>
    <w:pPr>
      <w:numPr>
        <w:numId w:val="1"/>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745376"/>
    <w:pPr>
      <w:numPr>
        <w:ilvl w:val="1"/>
        <w:numId w:val="1"/>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745376"/>
    <w:pPr>
      <w:numPr>
        <w:ilvl w:val="2"/>
        <w:numId w:val="1"/>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0055FB"/>
    <w:pPr>
      <w:keepNext/>
      <w:keepLines/>
      <w:numPr>
        <w:ilvl w:val="3"/>
        <w:numId w:val="1"/>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0055FB"/>
    <w:pPr>
      <w:keepNext/>
      <w:keepLines/>
      <w:numPr>
        <w:ilvl w:val="4"/>
        <w:numId w:val="1"/>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0055FB"/>
    <w:pPr>
      <w:keepNext/>
      <w:keepLines/>
      <w:numPr>
        <w:ilvl w:val="5"/>
        <w:numId w:val="1"/>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5B74B8"/>
    <w:pPr>
      <w:keepNext/>
      <w:keepLines/>
      <w:numPr>
        <w:ilvl w:val="6"/>
        <w:numId w:val="1"/>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5B74B8"/>
    <w:pPr>
      <w:keepNext/>
      <w:keepLines/>
      <w:numPr>
        <w:ilvl w:val="7"/>
        <w:numId w:val="1"/>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5B74B8"/>
    <w:pPr>
      <w:keepNext/>
      <w:keepLines/>
      <w:numPr>
        <w:ilvl w:val="8"/>
        <w:numId w:val="1"/>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rsid w:val="00745376"/>
    <w:rPr>
      <w:rFonts w:ascii="Arial" w:eastAsia="Times New Roman" w:hAnsi="Arial" w:cs="Times New Roman"/>
      <w:b/>
      <w:bCs/>
      <w:i/>
      <w:color w:val="4F81BD"/>
      <w:spacing w:val="4"/>
      <w:w w:val="103"/>
      <w:kern w:val="14"/>
      <w:sz w:val="28"/>
      <w:szCs w:val="26"/>
    </w:rPr>
  </w:style>
  <w:style w:type="character" w:customStyle="1" w:styleId="Heading3Char">
    <w:name w:val="Heading 3 Char"/>
    <w:link w:val="Heading3"/>
    <w:uiPriority w:val="9"/>
    <w:rsid w:val="00745376"/>
    <w:rPr>
      <w:rFonts w:ascii="Arial" w:eastAsia="Times New Roman" w:hAnsi="Arial" w:cs="Times New Roman"/>
      <w:b/>
      <w:bCs/>
      <w:color w:val="4F81BD"/>
      <w:spacing w:val="4"/>
      <w:w w:val="103"/>
      <w:kern w:val="14"/>
      <w:sz w:val="26"/>
    </w:rPr>
  </w:style>
  <w:style w:type="character" w:customStyle="1" w:styleId="Heading4Char">
    <w:name w:val="Heading 4 Char"/>
    <w:link w:val="Heading4"/>
    <w:uiPriority w:val="9"/>
    <w:rsid w:val="000055FB"/>
    <w:rPr>
      <w:rFonts w:ascii="Cambria" w:eastAsia="Times New Roman" w:hAnsi="Cambria" w:cs="Times New Roman"/>
      <w:b/>
      <w:bCs/>
      <w:i/>
      <w:iCs/>
      <w:color w:val="4F81BD"/>
      <w:spacing w:val="4"/>
      <w:w w:val="103"/>
      <w:kern w:val="14"/>
      <w:sz w:val="20"/>
    </w:rPr>
  </w:style>
  <w:style w:type="character" w:customStyle="1" w:styleId="Heading5Char">
    <w:name w:val="Heading 5 Char"/>
    <w:link w:val="Heading5"/>
    <w:uiPriority w:val="9"/>
    <w:rsid w:val="000055FB"/>
    <w:rPr>
      <w:rFonts w:ascii="Cambria" w:eastAsia="Times New Roman" w:hAnsi="Cambria" w:cs="Times New Roman"/>
      <w:color w:val="243F60"/>
      <w:spacing w:val="4"/>
      <w:w w:val="103"/>
      <w:kern w:val="14"/>
      <w:sz w:val="20"/>
    </w:rPr>
  </w:style>
  <w:style w:type="character" w:customStyle="1" w:styleId="Heading6Char">
    <w:name w:val="Heading 6 Char"/>
    <w:link w:val="Heading6"/>
    <w:uiPriority w:val="9"/>
    <w:rsid w:val="000055FB"/>
    <w:rPr>
      <w:rFonts w:ascii="Cambria" w:eastAsia="Times New Roman" w:hAnsi="Cambria" w:cs="Times New Roman"/>
      <w:i/>
      <w:iCs/>
      <w:color w:val="243F60"/>
      <w:spacing w:val="4"/>
      <w:w w:val="103"/>
      <w:kern w:val="14"/>
      <w:sz w:val="20"/>
    </w:rPr>
  </w:style>
  <w:style w:type="character" w:styleId="Strong">
    <w:name w:val="Strong"/>
    <w:uiPriority w:val="22"/>
    <w:rsid w:val="000055FB"/>
    <w:rPr>
      <w:b/>
      <w:bCs/>
    </w:rPr>
  </w:style>
  <w:style w:type="paragraph" w:customStyle="1" w:styleId="H1">
    <w:name w:val="_ H_1"/>
    <w:basedOn w:val="Normal"/>
    <w:next w:val="SingleTxt"/>
    <w:qFormat/>
    <w:rsid w:val="00745376"/>
    <w:pPr>
      <w:keepNext/>
      <w:keepLines/>
      <w:suppressAutoHyphens/>
      <w:spacing w:line="270" w:lineRule="exact"/>
      <w:outlineLvl w:val="0"/>
    </w:pPr>
    <w:rPr>
      <w:b/>
      <w:sz w:val="24"/>
    </w:rPr>
  </w:style>
  <w:style w:type="paragraph" w:styleId="NoSpacing">
    <w:name w:val="No Spacing"/>
    <w:uiPriority w:val="1"/>
    <w:rsid w:val="000055FB"/>
    <w:rPr>
      <w:sz w:val="22"/>
      <w:szCs w:val="22"/>
    </w:rPr>
  </w:style>
  <w:style w:type="character" w:customStyle="1" w:styleId="Heading1Char">
    <w:name w:val="Heading 1 Char"/>
    <w:link w:val="Heading1"/>
    <w:uiPriority w:val="9"/>
    <w:rsid w:val="00745376"/>
    <w:rPr>
      <w:rFonts w:ascii="Arial" w:eastAsia="Times New Roman" w:hAnsi="Arial" w:cs="Times New Roman"/>
      <w:b/>
      <w:bCs/>
      <w:color w:val="365F91"/>
      <w:spacing w:val="4"/>
      <w:w w:val="103"/>
      <w:kern w:val="32"/>
      <w:sz w:val="32"/>
      <w:szCs w:val="28"/>
    </w:rPr>
  </w:style>
  <w:style w:type="paragraph" w:customStyle="1" w:styleId="HCH">
    <w:name w:val="_ H _CH"/>
    <w:basedOn w:val="H1"/>
    <w:next w:val="SingleTxt"/>
    <w:qFormat/>
    <w:rsid w:val="00745376"/>
    <w:pPr>
      <w:spacing w:line="300" w:lineRule="exact"/>
    </w:pPr>
    <w:rPr>
      <w:spacing w:val="-2"/>
      <w:sz w:val="28"/>
    </w:rPr>
  </w:style>
  <w:style w:type="paragraph" w:customStyle="1" w:styleId="HM">
    <w:name w:val="_ H __M"/>
    <w:basedOn w:val="HCH"/>
    <w:next w:val="Normal"/>
    <w:qFormat/>
    <w:rsid w:val="00745376"/>
    <w:pPr>
      <w:spacing w:line="360" w:lineRule="exact"/>
    </w:pPr>
    <w:rPr>
      <w:spacing w:val="-3"/>
      <w:w w:val="99"/>
      <w:sz w:val="34"/>
    </w:rPr>
  </w:style>
  <w:style w:type="paragraph" w:customStyle="1" w:styleId="H23">
    <w:name w:val="_ H_2/3"/>
    <w:basedOn w:val="H1"/>
    <w:next w:val="SingleTxt"/>
    <w:qFormat/>
    <w:rsid w:val="00745376"/>
    <w:pPr>
      <w:spacing w:line="240" w:lineRule="exact"/>
      <w:outlineLvl w:val="1"/>
    </w:pPr>
    <w:rPr>
      <w:spacing w:val="2"/>
      <w:sz w:val="20"/>
    </w:rPr>
  </w:style>
  <w:style w:type="paragraph" w:customStyle="1" w:styleId="H4">
    <w:name w:val="_ H_4"/>
    <w:basedOn w:val="Normal"/>
    <w:next w:val="Normal"/>
    <w:qFormat/>
    <w:rsid w:val="00745376"/>
    <w:pPr>
      <w:keepNext/>
      <w:keepLines/>
      <w:tabs>
        <w:tab w:val="right" w:pos="360"/>
      </w:tabs>
      <w:suppressAutoHyphens/>
      <w:outlineLvl w:val="3"/>
    </w:pPr>
    <w:rPr>
      <w:i/>
      <w:spacing w:val="3"/>
    </w:rPr>
  </w:style>
  <w:style w:type="paragraph" w:customStyle="1" w:styleId="H56">
    <w:name w:val="_ H_5/6"/>
    <w:basedOn w:val="Normal"/>
    <w:next w:val="Normal"/>
    <w:qFormat/>
    <w:rsid w:val="0074537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4537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4537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45376"/>
    <w:pPr>
      <w:spacing w:line="540" w:lineRule="exact"/>
    </w:pPr>
    <w:rPr>
      <w:spacing w:val="-8"/>
      <w:w w:val="96"/>
      <w:sz w:val="57"/>
    </w:rPr>
  </w:style>
  <w:style w:type="paragraph" w:customStyle="1" w:styleId="SS">
    <w:name w:val="__S_S"/>
    <w:basedOn w:val="HCH"/>
    <w:next w:val="Normal"/>
    <w:qFormat/>
    <w:rsid w:val="00745376"/>
    <w:pPr>
      <w:ind w:left="1267" w:right="1267"/>
    </w:pPr>
  </w:style>
  <w:style w:type="paragraph" w:customStyle="1" w:styleId="SingleTxt">
    <w:name w:val="__Single Txt"/>
    <w:basedOn w:val="Normal"/>
    <w:qFormat/>
    <w:rsid w:val="0074537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Footer">
    <w:name w:val="footer"/>
    <w:link w:val="FooterChar"/>
    <w:uiPriority w:val="99"/>
    <w:qFormat/>
    <w:rsid w:val="00745376"/>
    <w:pPr>
      <w:tabs>
        <w:tab w:val="center" w:pos="4320"/>
        <w:tab w:val="right" w:pos="8640"/>
      </w:tabs>
      <w:spacing w:line="210" w:lineRule="exact"/>
    </w:pPr>
    <w:rPr>
      <w:rFonts w:ascii="Times New Roman" w:hAnsi="Times New Roman"/>
      <w:b/>
      <w:spacing w:val="3"/>
      <w:w w:val="105"/>
      <w:sz w:val="17"/>
      <w:szCs w:val="22"/>
    </w:rPr>
  </w:style>
  <w:style w:type="character" w:customStyle="1" w:styleId="FooterChar">
    <w:name w:val="Footer Char"/>
    <w:link w:val="Footer"/>
    <w:uiPriority w:val="99"/>
    <w:rsid w:val="00745376"/>
    <w:rPr>
      <w:rFonts w:ascii="Times New Roman" w:hAnsi="Times New Roman"/>
      <w:b/>
      <w:spacing w:val="3"/>
      <w:w w:val="105"/>
      <w:sz w:val="17"/>
    </w:rPr>
  </w:style>
  <w:style w:type="paragraph" w:styleId="Header">
    <w:name w:val="header"/>
    <w:link w:val="HeaderChar"/>
    <w:uiPriority w:val="99"/>
    <w:rsid w:val="000055FB"/>
    <w:pPr>
      <w:tabs>
        <w:tab w:val="center" w:pos="4320"/>
        <w:tab w:val="right" w:pos="8640"/>
      </w:tabs>
      <w:spacing w:line="210" w:lineRule="exact"/>
    </w:pPr>
    <w:rPr>
      <w:rFonts w:ascii="Times New Roman" w:hAnsi="Times New Roman"/>
      <w:spacing w:val="3"/>
      <w:w w:val="105"/>
      <w:sz w:val="17"/>
      <w:szCs w:val="22"/>
    </w:rPr>
  </w:style>
  <w:style w:type="character" w:customStyle="1" w:styleId="HeaderChar">
    <w:name w:val="Header Char"/>
    <w:link w:val="Header"/>
    <w:uiPriority w:val="99"/>
    <w:rsid w:val="000055FB"/>
    <w:rPr>
      <w:rFonts w:ascii="Times New Roman" w:hAnsi="Times New Roman"/>
      <w:spacing w:val="3"/>
      <w:w w:val="105"/>
      <w:sz w:val="17"/>
    </w:rPr>
  </w:style>
  <w:style w:type="character" w:styleId="LineNumber">
    <w:name w:val="line number"/>
    <w:uiPriority w:val="99"/>
    <w:qFormat/>
    <w:rsid w:val="00745376"/>
    <w:rPr>
      <w:sz w:val="14"/>
    </w:rPr>
  </w:style>
  <w:style w:type="paragraph" w:customStyle="1" w:styleId="Small">
    <w:name w:val="Small"/>
    <w:basedOn w:val="Normal"/>
    <w:next w:val="Normal"/>
    <w:qFormat/>
    <w:rsid w:val="00745376"/>
    <w:pPr>
      <w:tabs>
        <w:tab w:val="right" w:pos="9965"/>
      </w:tabs>
      <w:spacing w:line="210" w:lineRule="exact"/>
    </w:pPr>
    <w:rPr>
      <w:spacing w:val="5"/>
      <w:w w:val="104"/>
      <w:sz w:val="17"/>
    </w:rPr>
  </w:style>
  <w:style w:type="paragraph" w:customStyle="1" w:styleId="SmallX">
    <w:name w:val="SmallX"/>
    <w:basedOn w:val="Small"/>
    <w:next w:val="Normal"/>
    <w:qFormat/>
    <w:rsid w:val="00745376"/>
    <w:pPr>
      <w:spacing w:line="180" w:lineRule="exact"/>
      <w:jc w:val="right"/>
    </w:pPr>
    <w:rPr>
      <w:spacing w:val="6"/>
      <w:w w:val="106"/>
      <w:sz w:val="14"/>
    </w:rPr>
  </w:style>
  <w:style w:type="paragraph" w:customStyle="1" w:styleId="XLarge">
    <w:name w:val="XLarge"/>
    <w:basedOn w:val="HM"/>
    <w:qFormat/>
    <w:rsid w:val="00745376"/>
    <w:pPr>
      <w:tabs>
        <w:tab w:val="right" w:pos="360"/>
      </w:tabs>
      <w:spacing w:line="390" w:lineRule="exact"/>
    </w:pPr>
    <w:rPr>
      <w:spacing w:val="-4"/>
      <w:w w:val="98"/>
      <w:sz w:val="40"/>
    </w:rPr>
  </w:style>
  <w:style w:type="paragraph" w:customStyle="1" w:styleId="Style1">
    <w:name w:val="Style1"/>
    <w:basedOn w:val="Normal"/>
    <w:qFormat/>
    <w:rsid w:val="00A72C1F"/>
  </w:style>
  <w:style w:type="paragraph" w:customStyle="1" w:styleId="Style2">
    <w:name w:val="Style2"/>
    <w:basedOn w:val="Normal"/>
    <w:autoRedefine/>
    <w:qFormat/>
    <w:rsid w:val="00A72C1F"/>
  </w:style>
  <w:style w:type="paragraph" w:styleId="BalloonText">
    <w:name w:val="Balloon Text"/>
    <w:basedOn w:val="Normal"/>
    <w:link w:val="BalloonTextChar"/>
    <w:uiPriority w:val="99"/>
    <w:semiHidden/>
    <w:unhideWhenUsed/>
    <w:rsid w:val="00520271"/>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520271"/>
    <w:rPr>
      <w:rFonts w:ascii="Tahoma" w:hAnsi="Tahoma" w:cs="Tahoma"/>
      <w:spacing w:val="4"/>
      <w:w w:val="103"/>
      <w:kern w:val="14"/>
      <w:sz w:val="16"/>
      <w:szCs w:val="16"/>
    </w:rPr>
  </w:style>
  <w:style w:type="paragraph" w:styleId="FootnoteText">
    <w:name w:val="footnote text"/>
    <w:basedOn w:val="Normal"/>
    <w:link w:val="FootnoteTextChar"/>
    <w:uiPriority w:val="99"/>
    <w:rsid w:val="00611DA0"/>
    <w:pPr>
      <w:spacing w:line="210" w:lineRule="exact"/>
    </w:pPr>
    <w:rPr>
      <w:sz w:val="17"/>
      <w:szCs w:val="20"/>
    </w:rPr>
  </w:style>
  <w:style w:type="character" w:customStyle="1" w:styleId="FootnoteTextChar">
    <w:name w:val="Footnote Text Char"/>
    <w:link w:val="FootnoteText"/>
    <w:uiPriority w:val="99"/>
    <w:rsid w:val="00611DA0"/>
    <w:rPr>
      <w:rFonts w:ascii="Times New Roman" w:hAnsi="Times New Roman"/>
      <w:spacing w:val="4"/>
      <w:w w:val="103"/>
      <w:kern w:val="14"/>
      <w:sz w:val="17"/>
    </w:rPr>
  </w:style>
  <w:style w:type="character" w:customStyle="1" w:styleId="Heading7Char">
    <w:name w:val="Heading 7 Char"/>
    <w:link w:val="Heading7"/>
    <w:uiPriority w:val="9"/>
    <w:semiHidden/>
    <w:rsid w:val="005B74B8"/>
    <w:rPr>
      <w:rFonts w:ascii="Cambria" w:eastAsia="Times New Roman" w:hAnsi="Cambria" w:cs="Times New Roman"/>
      <w:i/>
      <w:iCs/>
      <w:color w:val="404040"/>
      <w:spacing w:val="4"/>
      <w:w w:val="103"/>
      <w:kern w:val="14"/>
      <w:sz w:val="20"/>
    </w:rPr>
  </w:style>
  <w:style w:type="character" w:customStyle="1" w:styleId="Heading8Char">
    <w:name w:val="Heading 8 Char"/>
    <w:link w:val="Heading8"/>
    <w:uiPriority w:val="9"/>
    <w:semiHidden/>
    <w:rsid w:val="005B74B8"/>
    <w:rPr>
      <w:rFonts w:ascii="Cambria" w:eastAsia="Times New Roman" w:hAnsi="Cambria" w:cs="Times New Roman"/>
      <w:color w:val="404040"/>
      <w:spacing w:val="4"/>
      <w:w w:val="103"/>
      <w:kern w:val="14"/>
      <w:sz w:val="20"/>
      <w:szCs w:val="20"/>
    </w:rPr>
  </w:style>
  <w:style w:type="character" w:customStyle="1" w:styleId="Heading9Char">
    <w:name w:val="Heading 9 Char"/>
    <w:link w:val="Heading9"/>
    <w:uiPriority w:val="9"/>
    <w:semiHidden/>
    <w:rsid w:val="005B74B8"/>
    <w:rPr>
      <w:rFonts w:ascii="Cambria" w:eastAsia="Times New Roman" w:hAnsi="Cambria" w:cs="Times New Roman"/>
      <w:i/>
      <w:iCs/>
      <w:color w:val="404040"/>
      <w:spacing w:val="4"/>
      <w:w w:val="103"/>
      <w:kern w:val="14"/>
      <w:sz w:val="20"/>
      <w:szCs w:val="20"/>
    </w:rPr>
  </w:style>
  <w:style w:type="paragraph" w:styleId="ListParagraph">
    <w:name w:val="List Paragraph"/>
    <w:basedOn w:val="Normal"/>
    <w:uiPriority w:val="34"/>
    <w:rsid w:val="005B74B8"/>
    <w:pPr>
      <w:ind w:left="720"/>
      <w:contextualSpacing/>
    </w:pPr>
  </w:style>
  <w:style w:type="paragraph" w:customStyle="1" w:styleId="Distribution">
    <w:name w:val="Distribution"/>
    <w:next w:val="Normal"/>
    <w:autoRedefine/>
    <w:qFormat/>
    <w:rsid w:val="0060792E"/>
    <w:pPr>
      <w:spacing w:before="240"/>
    </w:pPr>
    <w:rPr>
      <w:rFonts w:ascii="Times New Roman" w:hAnsi="Times New Roman"/>
      <w:spacing w:val="4"/>
      <w:w w:val="103"/>
      <w:kern w:val="14"/>
      <w:szCs w:val="22"/>
    </w:rPr>
  </w:style>
  <w:style w:type="paragraph" w:customStyle="1" w:styleId="Publication">
    <w:name w:val="Publication"/>
    <w:next w:val="Normal"/>
    <w:autoRedefine/>
    <w:qFormat/>
    <w:rsid w:val="0060792E"/>
    <w:rPr>
      <w:rFonts w:ascii="Times New Roman" w:hAnsi="Times New Roman"/>
      <w:spacing w:val="4"/>
      <w:w w:val="103"/>
      <w:kern w:val="14"/>
      <w:szCs w:val="22"/>
    </w:rPr>
  </w:style>
  <w:style w:type="paragraph" w:customStyle="1" w:styleId="Original">
    <w:name w:val="Original"/>
    <w:next w:val="Normal"/>
    <w:autoRedefine/>
    <w:qFormat/>
    <w:rsid w:val="00E13E2B"/>
    <w:rPr>
      <w:rFonts w:ascii="Times New Roman" w:hAnsi="Times New Roman"/>
      <w:spacing w:val="4"/>
      <w:w w:val="103"/>
      <w:kern w:val="14"/>
      <w:szCs w:val="22"/>
    </w:rPr>
  </w:style>
  <w:style w:type="paragraph" w:customStyle="1" w:styleId="ReleaseDate">
    <w:name w:val="Release Date"/>
    <w:next w:val="Normal"/>
    <w:autoRedefine/>
    <w:qFormat/>
    <w:rsid w:val="0060792E"/>
    <w:rPr>
      <w:rFonts w:ascii="Times New Roman" w:hAnsi="Times New Roman"/>
      <w:spacing w:val="-3"/>
      <w:w w:val="99"/>
      <w:kern w:val="14"/>
      <w:szCs w:val="22"/>
    </w:rPr>
  </w:style>
  <w:style w:type="paragraph" w:customStyle="1" w:styleId="Session">
    <w:name w:val="Session"/>
    <w:basedOn w:val="H23"/>
    <w:autoRedefine/>
    <w:qFormat/>
    <w:rsid w:val="00D73117"/>
    <w:pPr>
      <w:ind w:right="1267"/>
    </w:pPr>
    <w:rPr>
      <w:spacing w:val="4"/>
    </w:rPr>
  </w:style>
  <w:style w:type="paragraph" w:customStyle="1" w:styleId="Committee">
    <w:name w:val="Committee"/>
    <w:basedOn w:val="H1"/>
    <w:autoRedefine/>
    <w:qFormat/>
    <w:rsid w:val="0060792E"/>
    <w:pPr>
      <w:ind w:right="1267"/>
    </w:pPr>
  </w:style>
  <w:style w:type="paragraph" w:customStyle="1" w:styleId="Sponsors">
    <w:name w:val="Sponsors"/>
    <w:basedOn w:val="H23"/>
    <w:autoRedefine/>
    <w:qFormat/>
    <w:rsid w:val="0060792E"/>
    <w:pPr>
      <w:tabs>
        <w:tab w:val="right" w:pos="1022"/>
        <w:tab w:val="left" w:pos="1267"/>
      </w:tabs>
      <w:ind w:left="1267" w:right="1267" w:hanging="1267"/>
    </w:pPr>
  </w:style>
  <w:style w:type="paragraph" w:customStyle="1" w:styleId="Type">
    <w:name w:val="Type"/>
    <w:basedOn w:val="H23"/>
    <w:autoRedefine/>
    <w:qFormat/>
    <w:rsid w:val="0060792E"/>
    <w:pPr>
      <w:tabs>
        <w:tab w:val="right" w:pos="1022"/>
        <w:tab w:val="left" w:pos="1267"/>
      </w:tabs>
      <w:ind w:left="1267" w:right="1267" w:hanging="1267"/>
    </w:pPr>
  </w:style>
  <w:style w:type="paragraph" w:customStyle="1" w:styleId="AgendaTitle">
    <w:name w:val="AgendaTitle"/>
    <w:basedOn w:val="H23"/>
    <w:autoRedefine/>
    <w:qFormat/>
    <w:rsid w:val="0060792E"/>
  </w:style>
  <w:style w:type="paragraph" w:customStyle="1" w:styleId="Title1">
    <w:name w:val="Title 1"/>
    <w:basedOn w:val="HCH"/>
    <w:autoRedefine/>
    <w:qFormat/>
    <w:rsid w:val="00506B44"/>
    <w:pPr>
      <w:tabs>
        <w:tab w:val="right" w:pos="1022"/>
        <w:tab w:val="left" w:pos="1267"/>
      </w:tabs>
      <w:ind w:left="1267" w:right="1267" w:hanging="1267"/>
    </w:pPr>
  </w:style>
  <w:style w:type="paragraph" w:customStyle="1" w:styleId="Title2">
    <w:name w:val="Title 2"/>
    <w:basedOn w:val="H1"/>
    <w:qFormat/>
    <w:rsid w:val="00506B44"/>
    <w:pPr>
      <w:tabs>
        <w:tab w:val="right" w:pos="1022"/>
        <w:tab w:val="left" w:pos="1267"/>
      </w:tabs>
      <w:ind w:left="1267" w:right="1267" w:hanging="1267"/>
    </w:pPr>
  </w:style>
  <w:style w:type="paragraph" w:styleId="EndnoteText">
    <w:name w:val="endnote text"/>
    <w:basedOn w:val="Normal"/>
    <w:link w:val="EndnoteTextChar"/>
    <w:uiPriority w:val="99"/>
    <w:semiHidden/>
    <w:unhideWhenUsed/>
    <w:rsid w:val="00F3330B"/>
    <w:pPr>
      <w:spacing w:line="210" w:lineRule="exact"/>
    </w:pPr>
    <w:rPr>
      <w:sz w:val="17"/>
      <w:szCs w:val="20"/>
    </w:rPr>
  </w:style>
  <w:style w:type="character" w:customStyle="1" w:styleId="EndnoteTextChar">
    <w:name w:val="Endnote Text Char"/>
    <w:link w:val="EndnoteText"/>
    <w:uiPriority w:val="99"/>
    <w:semiHidden/>
    <w:rsid w:val="00F3330B"/>
    <w:rPr>
      <w:rFonts w:ascii="Times New Roman" w:hAnsi="Times New Roman"/>
      <w:spacing w:val="4"/>
      <w:w w:val="103"/>
      <w:kern w:val="14"/>
      <w:sz w:val="17"/>
    </w:rPr>
  </w:style>
  <w:style w:type="character" w:styleId="FootnoteReference">
    <w:name w:val="footnote reference"/>
    <w:uiPriority w:val="99"/>
    <w:semiHidden/>
    <w:rsid w:val="00DD7C73"/>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1">
    <w:name w:val="Bullet 1"/>
    <w:basedOn w:val="Normal"/>
    <w:qFormat/>
    <w:rsid w:val="00023E37"/>
    <w:pPr>
      <w:numPr>
        <w:numId w:val="3"/>
      </w:numPr>
      <w:spacing w:after="120"/>
      <w:ind w:left="1743" w:right="1267" w:hanging="130"/>
      <w:jc w:val="both"/>
    </w:pPr>
  </w:style>
  <w:style w:type="paragraph" w:customStyle="1" w:styleId="Bullet2">
    <w:name w:val="Bullet 2"/>
    <w:basedOn w:val="Normal"/>
    <w:qFormat/>
    <w:rsid w:val="00E00C20"/>
    <w:pPr>
      <w:numPr>
        <w:numId w:val="4"/>
      </w:numPr>
      <w:spacing w:after="120"/>
      <w:ind w:left="2217" w:right="1264" w:hanging="130"/>
      <w:jc w:val="both"/>
    </w:pPr>
  </w:style>
  <w:style w:type="character" w:styleId="EndnoteReference">
    <w:name w:val="endnote reference"/>
    <w:basedOn w:val="DefaultParagraphFont"/>
    <w:uiPriority w:val="99"/>
    <w:semiHidden/>
    <w:rsid w:val="00B82E95"/>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023E37"/>
    <w:pPr>
      <w:numPr>
        <w:numId w:val="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character" w:styleId="CommentReference">
    <w:name w:val="annotation reference"/>
    <w:basedOn w:val="DefaultParagraphFont"/>
    <w:uiPriority w:val="99"/>
    <w:semiHidden/>
    <w:unhideWhenUsed/>
    <w:rsid w:val="00EC0A8F"/>
    <w:rPr>
      <w:sz w:val="16"/>
      <w:szCs w:val="16"/>
    </w:rPr>
  </w:style>
  <w:style w:type="paragraph" w:styleId="CommentText">
    <w:name w:val="annotation text"/>
    <w:basedOn w:val="Normal"/>
    <w:link w:val="CommentTextChar"/>
    <w:uiPriority w:val="99"/>
    <w:semiHidden/>
    <w:unhideWhenUsed/>
    <w:rsid w:val="00EC0A8F"/>
    <w:pPr>
      <w:spacing w:line="240" w:lineRule="auto"/>
    </w:pPr>
    <w:rPr>
      <w:szCs w:val="20"/>
    </w:rPr>
  </w:style>
  <w:style w:type="character" w:customStyle="1" w:styleId="CommentTextChar">
    <w:name w:val="Comment Text Char"/>
    <w:basedOn w:val="DefaultParagraphFont"/>
    <w:link w:val="CommentText"/>
    <w:uiPriority w:val="99"/>
    <w:semiHidden/>
    <w:rsid w:val="00EC0A8F"/>
    <w:rPr>
      <w:rFonts w:ascii="Times New Roman" w:hAnsi="Times New Roman"/>
      <w:spacing w:val="4"/>
      <w:w w:val="103"/>
      <w:kern w:val="14"/>
      <w:lang w:val="fr-CA"/>
    </w:rPr>
  </w:style>
  <w:style w:type="paragraph" w:styleId="CommentSubject">
    <w:name w:val="annotation subject"/>
    <w:basedOn w:val="CommentText"/>
    <w:next w:val="CommentText"/>
    <w:link w:val="CommentSubjectChar"/>
    <w:uiPriority w:val="99"/>
    <w:semiHidden/>
    <w:unhideWhenUsed/>
    <w:rsid w:val="00EC0A8F"/>
    <w:rPr>
      <w:b/>
      <w:bCs/>
    </w:rPr>
  </w:style>
  <w:style w:type="character" w:customStyle="1" w:styleId="CommentSubjectChar">
    <w:name w:val="Comment Subject Char"/>
    <w:basedOn w:val="CommentTextChar"/>
    <w:link w:val="CommentSubject"/>
    <w:uiPriority w:val="99"/>
    <w:semiHidden/>
    <w:rsid w:val="00EC0A8F"/>
    <w:rPr>
      <w:rFonts w:ascii="Times New Roman" w:hAnsi="Times New Roman"/>
      <w:b/>
      <w:bCs/>
      <w:spacing w:val="4"/>
      <w:w w:val="103"/>
      <w:kern w:val="14"/>
      <w:lang w:val="fr-C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HAns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lsdException w:name="heading 5" w:uiPriority="9"/>
    <w:lsdException w:name="heading 6" w:uiPriority="9"/>
    <w:lsdException w:name="heading 7" w:uiPriority="9"/>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unhideWhenUsed="0"/>
    <w:lsdException w:name="footer" w:semiHidden="0" w:unhideWhenUsed="0" w:qFormat="1"/>
    <w:lsdException w:name="caption" w:uiPriority="35" w:qFormat="1"/>
    <w:lsdException w:name="line number" w:semiHidden="0" w:unhideWhenUsed="0" w:qFormat="1"/>
    <w:lsdException w:name="endnote reference" w:semiHidden="0" w:unhideWhenUsed="0"/>
    <w:lsdException w:name="Title" w:uiPriority="10" w:unhideWhenUsed="0"/>
    <w:lsdException w:name="Default Paragraph Font" w:uiPriority="1"/>
    <w:lsdException w:name="Subtitle" w:uiPriority="11" w:unhideWhenUsed="0"/>
    <w:lsdException w:name="Strong" w:semiHidden="0" w:uiPriority="22" w:unhideWhenUsed="0"/>
    <w:lsdException w:name="Emphasis"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qFormat/>
    <w:rsid w:val="00B82E95"/>
    <w:pPr>
      <w:spacing w:line="240" w:lineRule="exact"/>
    </w:pPr>
    <w:rPr>
      <w:rFonts w:ascii="Times New Roman" w:hAnsi="Times New Roman"/>
      <w:spacing w:val="4"/>
      <w:w w:val="103"/>
      <w:kern w:val="14"/>
      <w:szCs w:val="22"/>
      <w:lang w:val="fr-CA"/>
    </w:rPr>
  </w:style>
  <w:style w:type="paragraph" w:styleId="Heading1">
    <w:name w:val="heading 1"/>
    <w:basedOn w:val="Normal"/>
    <w:next w:val="Normal"/>
    <w:link w:val="Heading1Char"/>
    <w:uiPriority w:val="9"/>
    <w:qFormat/>
    <w:rsid w:val="00745376"/>
    <w:pPr>
      <w:numPr>
        <w:numId w:val="1"/>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745376"/>
    <w:pPr>
      <w:numPr>
        <w:ilvl w:val="1"/>
        <w:numId w:val="1"/>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745376"/>
    <w:pPr>
      <w:numPr>
        <w:ilvl w:val="2"/>
        <w:numId w:val="1"/>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0055FB"/>
    <w:pPr>
      <w:keepNext/>
      <w:keepLines/>
      <w:numPr>
        <w:ilvl w:val="3"/>
        <w:numId w:val="1"/>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0055FB"/>
    <w:pPr>
      <w:keepNext/>
      <w:keepLines/>
      <w:numPr>
        <w:ilvl w:val="4"/>
        <w:numId w:val="1"/>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0055FB"/>
    <w:pPr>
      <w:keepNext/>
      <w:keepLines/>
      <w:numPr>
        <w:ilvl w:val="5"/>
        <w:numId w:val="1"/>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5B74B8"/>
    <w:pPr>
      <w:keepNext/>
      <w:keepLines/>
      <w:numPr>
        <w:ilvl w:val="6"/>
        <w:numId w:val="1"/>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5B74B8"/>
    <w:pPr>
      <w:keepNext/>
      <w:keepLines/>
      <w:numPr>
        <w:ilvl w:val="7"/>
        <w:numId w:val="1"/>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5B74B8"/>
    <w:pPr>
      <w:keepNext/>
      <w:keepLines/>
      <w:numPr>
        <w:ilvl w:val="8"/>
        <w:numId w:val="1"/>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rsid w:val="00745376"/>
    <w:rPr>
      <w:rFonts w:ascii="Arial" w:eastAsia="Times New Roman" w:hAnsi="Arial" w:cs="Times New Roman"/>
      <w:b/>
      <w:bCs/>
      <w:i/>
      <w:color w:val="4F81BD"/>
      <w:spacing w:val="4"/>
      <w:w w:val="103"/>
      <w:kern w:val="14"/>
      <w:sz w:val="28"/>
      <w:szCs w:val="26"/>
    </w:rPr>
  </w:style>
  <w:style w:type="character" w:customStyle="1" w:styleId="Heading3Char">
    <w:name w:val="Heading 3 Char"/>
    <w:link w:val="Heading3"/>
    <w:uiPriority w:val="9"/>
    <w:rsid w:val="00745376"/>
    <w:rPr>
      <w:rFonts w:ascii="Arial" w:eastAsia="Times New Roman" w:hAnsi="Arial" w:cs="Times New Roman"/>
      <w:b/>
      <w:bCs/>
      <w:color w:val="4F81BD"/>
      <w:spacing w:val="4"/>
      <w:w w:val="103"/>
      <w:kern w:val="14"/>
      <w:sz w:val="26"/>
    </w:rPr>
  </w:style>
  <w:style w:type="character" w:customStyle="1" w:styleId="Heading4Char">
    <w:name w:val="Heading 4 Char"/>
    <w:link w:val="Heading4"/>
    <w:uiPriority w:val="9"/>
    <w:rsid w:val="000055FB"/>
    <w:rPr>
      <w:rFonts w:ascii="Cambria" w:eastAsia="Times New Roman" w:hAnsi="Cambria" w:cs="Times New Roman"/>
      <w:b/>
      <w:bCs/>
      <w:i/>
      <w:iCs/>
      <w:color w:val="4F81BD"/>
      <w:spacing w:val="4"/>
      <w:w w:val="103"/>
      <w:kern w:val="14"/>
      <w:sz w:val="20"/>
    </w:rPr>
  </w:style>
  <w:style w:type="character" w:customStyle="1" w:styleId="Heading5Char">
    <w:name w:val="Heading 5 Char"/>
    <w:link w:val="Heading5"/>
    <w:uiPriority w:val="9"/>
    <w:rsid w:val="000055FB"/>
    <w:rPr>
      <w:rFonts w:ascii="Cambria" w:eastAsia="Times New Roman" w:hAnsi="Cambria" w:cs="Times New Roman"/>
      <w:color w:val="243F60"/>
      <w:spacing w:val="4"/>
      <w:w w:val="103"/>
      <w:kern w:val="14"/>
      <w:sz w:val="20"/>
    </w:rPr>
  </w:style>
  <w:style w:type="character" w:customStyle="1" w:styleId="Heading6Char">
    <w:name w:val="Heading 6 Char"/>
    <w:link w:val="Heading6"/>
    <w:uiPriority w:val="9"/>
    <w:rsid w:val="000055FB"/>
    <w:rPr>
      <w:rFonts w:ascii="Cambria" w:eastAsia="Times New Roman" w:hAnsi="Cambria" w:cs="Times New Roman"/>
      <w:i/>
      <w:iCs/>
      <w:color w:val="243F60"/>
      <w:spacing w:val="4"/>
      <w:w w:val="103"/>
      <w:kern w:val="14"/>
      <w:sz w:val="20"/>
    </w:rPr>
  </w:style>
  <w:style w:type="character" w:styleId="Strong">
    <w:name w:val="Strong"/>
    <w:uiPriority w:val="22"/>
    <w:rsid w:val="000055FB"/>
    <w:rPr>
      <w:b/>
      <w:bCs/>
    </w:rPr>
  </w:style>
  <w:style w:type="paragraph" w:customStyle="1" w:styleId="H1">
    <w:name w:val="_ H_1"/>
    <w:basedOn w:val="Normal"/>
    <w:next w:val="SingleTxt"/>
    <w:qFormat/>
    <w:rsid w:val="00745376"/>
    <w:pPr>
      <w:keepNext/>
      <w:keepLines/>
      <w:suppressAutoHyphens/>
      <w:spacing w:line="270" w:lineRule="exact"/>
      <w:outlineLvl w:val="0"/>
    </w:pPr>
    <w:rPr>
      <w:b/>
      <w:sz w:val="24"/>
    </w:rPr>
  </w:style>
  <w:style w:type="paragraph" w:styleId="NoSpacing">
    <w:name w:val="No Spacing"/>
    <w:uiPriority w:val="1"/>
    <w:rsid w:val="000055FB"/>
    <w:rPr>
      <w:sz w:val="22"/>
      <w:szCs w:val="22"/>
    </w:rPr>
  </w:style>
  <w:style w:type="character" w:customStyle="1" w:styleId="Heading1Char">
    <w:name w:val="Heading 1 Char"/>
    <w:link w:val="Heading1"/>
    <w:uiPriority w:val="9"/>
    <w:rsid w:val="00745376"/>
    <w:rPr>
      <w:rFonts w:ascii="Arial" w:eastAsia="Times New Roman" w:hAnsi="Arial" w:cs="Times New Roman"/>
      <w:b/>
      <w:bCs/>
      <w:color w:val="365F91"/>
      <w:spacing w:val="4"/>
      <w:w w:val="103"/>
      <w:kern w:val="32"/>
      <w:sz w:val="32"/>
      <w:szCs w:val="28"/>
    </w:rPr>
  </w:style>
  <w:style w:type="paragraph" w:customStyle="1" w:styleId="HCH">
    <w:name w:val="_ H _CH"/>
    <w:basedOn w:val="H1"/>
    <w:next w:val="SingleTxt"/>
    <w:qFormat/>
    <w:rsid w:val="00745376"/>
    <w:pPr>
      <w:spacing w:line="300" w:lineRule="exact"/>
    </w:pPr>
    <w:rPr>
      <w:spacing w:val="-2"/>
      <w:sz w:val="28"/>
    </w:rPr>
  </w:style>
  <w:style w:type="paragraph" w:customStyle="1" w:styleId="HM">
    <w:name w:val="_ H __M"/>
    <w:basedOn w:val="HCH"/>
    <w:next w:val="Normal"/>
    <w:qFormat/>
    <w:rsid w:val="00745376"/>
    <w:pPr>
      <w:spacing w:line="360" w:lineRule="exact"/>
    </w:pPr>
    <w:rPr>
      <w:spacing w:val="-3"/>
      <w:w w:val="99"/>
      <w:sz w:val="34"/>
    </w:rPr>
  </w:style>
  <w:style w:type="paragraph" w:customStyle="1" w:styleId="H23">
    <w:name w:val="_ H_2/3"/>
    <w:basedOn w:val="H1"/>
    <w:next w:val="SingleTxt"/>
    <w:qFormat/>
    <w:rsid w:val="00745376"/>
    <w:pPr>
      <w:spacing w:line="240" w:lineRule="exact"/>
      <w:outlineLvl w:val="1"/>
    </w:pPr>
    <w:rPr>
      <w:spacing w:val="2"/>
      <w:sz w:val="20"/>
    </w:rPr>
  </w:style>
  <w:style w:type="paragraph" w:customStyle="1" w:styleId="H4">
    <w:name w:val="_ H_4"/>
    <w:basedOn w:val="Normal"/>
    <w:next w:val="Normal"/>
    <w:qFormat/>
    <w:rsid w:val="00745376"/>
    <w:pPr>
      <w:keepNext/>
      <w:keepLines/>
      <w:tabs>
        <w:tab w:val="right" w:pos="360"/>
      </w:tabs>
      <w:suppressAutoHyphens/>
      <w:outlineLvl w:val="3"/>
    </w:pPr>
    <w:rPr>
      <w:i/>
      <w:spacing w:val="3"/>
    </w:rPr>
  </w:style>
  <w:style w:type="paragraph" w:customStyle="1" w:styleId="H56">
    <w:name w:val="_ H_5/6"/>
    <w:basedOn w:val="Normal"/>
    <w:next w:val="Normal"/>
    <w:qFormat/>
    <w:rsid w:val="0074537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4537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4537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45376"/>
    <w:pPr>
      <w:spacing w:line="540" w:lineRule="exact"/>
    </w:pPr>
    <w:rPr>
      <w:spacing w:val="-8"/>
      <w:w w:val="96"/>
      <w:sz w:val="57"/>
    </w:rPr>
  </w:style>
  <w:style w:type="paragraph" w:customStyle="1" w:styleId="SS">
    <w:name w:val="__S_S"/>
    <w:basedOn w:val="HCH"/>
    <w:next w:val="Normal"/>
    <w:qFormat/>
    <w:rsid w:val="00745376"/>
    <w:pPr>
      <w:ind w:left="1267" w:right="1267"/>
    </w:pPr>
  </w:style>
  <w:style w:type="paragraph" w:customStyle="1" w:styleId="SingleTxt">
    <w:name w:val="__Single Txt"/>
    <w:basedOn w:val="Normal"/>
    <w:qFormat/>
    <w:rsid w:val="0074537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Footer">
    <w:name w:val="footer"/>
    <w:link w:val="FooterChar"/>
    <w:uiPriority w:val="99"/>
    <w:qFormat/>
    <w:rsid w:val="00745376"/>
    <w:pPr>
      <w:tabs>
        <w:tab w:val="center" w:pos="4320"/>
        <w:tab w:val="right" w:pos="8640"/>
      </w:tabs>
      <w:spacing w:line="210" w:lineRule="exact"/>
    </w:pPr>
    <w:rPr>
      <w:rFonts w:ascii="Times New Roman" w:hAnsi="Times New Roman"/>
      <w:b/>
      <w:spacing w:val="3"/>
      <w:w w:val="105"/>
      <w:sz w:val="17"/>
      <w:szCs w:val="22"/>
    </w:rPr>
  </w:style>
  <w:style w:type="character" w:customStyle="1" w:styleId="FooterChar">
    <w:name w:val="Footer Char"/>
    <w:link w:val="Footer"/>
    <w:uiPriority w:val="99"/>
    <w:rsid w:val="00745376"/>
    <w:rPr>
      <w:rFonts w:ascii="Times New Roman" w:hAnsi="Times New Roman"/>
      <w:b/>
      <w:spacing w:val="3"/>
      <w:w w:val="105"/>
      <w:sz w:val="17"/>
    </w:rPr>
  </w:style>
  <w:style w:type="paragraph" w:styleId="Header">
    <w:name w:val="header"/>
    <w:link w:val="HeaderChar"/>
    <w:uiPriority w:val="99"/>
    <w:rsid w:val="000055FB"/>
    <w:pPr>
      <w:tabs>
        <w:tab w:val="center" w:pos="4320"/>
        <w:tab w:val="right" w:pos="8640"/>
      </w:tabs>
      <w:spacing w:line="210" w:lineRule="exact"/>
    </w:pPr>
    <w:rPr>
      <w:rFonts w:ascii="Times New Roman" w:hAnsi="Times New Roman"/>
      <w:spacing w:val="3"/>
      <w:w w:val="105"/>
      <w:sz w:val="17"/>
      <w:szCs w:val="22"/>
    </w:rPr>
  </w:style>
  <w:style w:type="character" w:customStyle="1" w:styleId="HeaderChar">
    <w:name w:val="Header Char"/>
    <w:link w:val="Header"/>
    <w:uiPriority w:val="99"/>
    <w:rsid w:val="000055FB"/>
    <w:rPr>
      <w:rFonts w:ascii="Times New Roman" w:hAnsi="Times New Roman"/>
      <w:spacing w:val="3"/>
      <w:w w:val="105"/>
      <w:sz w:val="17"/>
    </w:rPr>
  </w:style>
  <w:style w:type="character" w:styleId="LineNumber">
    <w:name w:val="line number"/>
    <w:uiPriority w:val="99"/>
    <w:qFormat/>
    <w:rsid w:val="00745376"/>
    <w:rPr>
      <w:sz w:val="14"/>
    </w:rPr>
  </w:style>
  <w:style w:type="paragraph" w:customStyle="1" w:styleId="Small">
    <w:name w:val="Small"/>
    <w:basedOn w:val="Normal"/>
    <w:next w:val="Normal"/>
    <w:qFormat/>
    <w:rsid w:val="00745376"/>
    <w:pPr>
      <w:tabs>
        <w:tab w:val="right" w:pos="9965"/>
      </w:tabs>
      <w:spacing w:line="210" w:lineRule="exact"/>
    </w:pPr>
    <w:rPr>
      <w:spacing w:val="5"/>
      <w:w w:val="104"/>
      <w:sz w:val="17"/>
    </w:rPr>
  </w:style>
  <w:style w:type="paragraph" w:customStyle="1" w:styleId="SmallX">
    <w:name w:val="SmallX"/>
    <w:basedOn w:val="Small"/>
    <w:next w:val="Normal"/>
    <w:qFormat/>
    <w:rsid w:val="00745376"/>
    <w:pPr>
      <w:spacing w:line="180" w:lineRule="exact"/>
      <w:jc w:val="right"/>
    </w:pPr>
    <w:rPr>
      <w:spacing w:val="6"/>
      <w:w w:val="106"/>
      <w:sz w:val="14"/>
    </w:rPr>
  </w:style>
  <w:style w:type="paragraph" w:customStyle="1" w:styleId="XLarge">
    <w:name w:val="XLarge"/>
    <w:basedOn w:val="HM"/>
    <w:qFormat/>
    <w:rsid w:val="00745376"/>
    <w:pPr>
      <w:tabs>
        <w:tab w:val="right" w:pos="360"/>
      </w:tabs>
      <w:spacing w:line="390" w:lineRule="exact"/>
    </w:pPr>
    <w:rPr>
      <w:spacing w:val="-4"/>
      <w:w w:val="98"/>
      <w:sz w:val="40"/>
    </w:rPr>
  </w:style>
  <w:style w:type="paragraph" w:customStyle="1" w:styleId="Style1">
    <w:name w:val="Style1"/>
    <w:basedOn w:val="Normal"/>
    <w:qFormat/>
    <w:rsid w:val="00A72C1F"/>
  </w:style>
  <w:style w:type="paragraph" w:customStyle="1" w:styleId="Style2">
    <w:name w:val="Style2"/>
    <w:basedOn w:val="Normal"/>
    <w:autoRedefine/>
    <w:qFormat/>
    <w:rsid w:val="00A72C1F"/>
  </w:style>
  <w:style w:type="paragraph" w:styleId="BalloonText">
    <w:name w:val="Balloon Text"/>
    <w:basedOn w:val="Normal"/>
    <w:link w:val="BalloonTextChar"/>
    <w:uiPriority w:val="99"/>
    <w:semiHidden/>
    <w:unhideWhenUsed/>
    <w:rsid w:val="00520271"/>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520271"/>
    <w:rPr>
      <w:rFonts w:ascii="Tahoma" w:hAnsi="Tahoma" w:cs="Tahoma"/>
      <w:spacing w:val="4"/>
      <w:w w:val="103"/>
      <w:kern w:val="14"/>
      <w:sz w:val="16"/>
      <w:szCs w:val="16"/>
    </w:rPr>
  </w:style>
  <w:style w:type="paragraph" w:styleId="FootnoteText">
    <w:name w:val="footnote text"/>
    <w:basedOn w:val="Normal"/>
    <w:link w:val="FootnoteTextChar"/>
    <w:uiPriority w:val="99"/>
    <w:rsid w:val="00611DA0"/>
    <w:pPr>
      <w:spacing w:line="210" w:lineRule="exact"/>
    </w:pPr>
    <w:rPr>
      <w:sz w:val="17"/>
      <w:szCs w:val="20"/>
    </w:rPr>
  </w:style>
  <w:style w:type="character" w:customStyle="1" w:styleId="FootnoteTextChar">
    <w:name w:val="Footnote Text Char"/>
    <w:link w:val="FootnoteText"/>
    <w:uiPriority w:val="99"/>
    <w:rsid w:val="00611DA0"/>
    <w:rPr>
      <w:rFonts w:ascii="Times New Roman" w:hAnsi="Times New Roman"/>
      <w:spacing w:val="4"/>
      <w:w w:val="103"/>
      <w:kern w:val="14"/>
      <w:sz w:val="17"/>
    </w:rPr>
  </w:style>
  <w:style w:type="character" w:customStyle="1" w:styleId="Heading7Char">
    <w:name w:val="Heading 7 Char"/>
    <w:link w:val="Heading7"/>
    <w:uiPriority w:val="9"/>
    <w:semiHidden/>
    <w:rsid w:val="005B74B8"/>
    <w:rPr>
      <w:rFonts w:ascii="Cambria" w:eastAsia="Times New Roman" w:hAnsi="Cambria" w:cs="Times New Roman"/>
      <w:i/>
      <w:iCs/>
      <w:color w:val="404040"/>
      <w:spacing w:val="4"/>
      <w:w w:val="103"/>
      <w:kern w:val="14"/>
      <w:sz w:val="20"/>
    </w:rPr>
  </w:style>
  <w:style w:type="character" w:customStyle="1" w:styleId="Heading8Char">
    <w:name w:val="Heading 8 Char"/>
    <w:link w:val="Heading8"/>
    <w:uiPriority w:val="9"/>
    <w:semiHidden/>
    <w:rsid w:val="005B74B8"/>
    <w:rPr>
      <w:rFonts w:ascii="Cambria" w:eastAsia="Times New Roman" w:hAnsi="Cambria" w:cs="Times New Roman"/>
      <w:color w:val="404040"/>
      <w:spacing w:val="4"/>
      <w:w w:val="103"/>
      <w:kern w:val="14"/>
      <w:sz w:val="20"/>
      <w:szCs w:val="20"/>
    </w:rPr>
  </w:style>
  <w:style w:type="character" w:customStyle="1" w:styleId="Heading9Char">
    <w:name w:val="Heading 9 Char"/>
    <w:link w:val="Heading9"/>
    <w:uiPriority w:val="9"/>
    <w:semiHidden/>
    <w:rsid w:val="005B74B8"/>
    <w:rPr>
      <w:rFonts w:ascii="Cambria" w:eastAsia="Times New Roman" w:hAnsi="Cambria" w:cs="Times New Roman"/>
      <w:i/>
      <w:iCs/>
      <w:color w:val="404040"/>
      <w:spacing w:val="4"/>
      <w:w w:val="103"/>
      <w:kern w:val="14"/>
      <w:sz w:val="20"/>
      <w:szCs w:val="20"/>
    </w:rPr>
  </w:style>
  <w:style w:type="paragraph" w:styleId="ListParagraph">
    <w:name w:val="List Paragraph"/>
    <w:basedOn w:val="Normal"/>
    <w:uiPriority w:val="34"/>
    <w:rsid w:val="005B74B8"/>
    <w:pPr>
      <w:ind w:left="720"/>
      <w:contextualSpacing/>
    </w:pPr>
  </w:style>
  <w:style w:type="paragraph" w:customStyle="1" w:styleId="Distribution">
    <w:name w:val="Distribution"/>
    <w:next w:val="Normal"/>
    <w:autoRedefine/>
    <w:qFormat/>
    <w:rsid w:val="0060792E"/>
    <w:pPr>
      <w:spacing w:before="240"/>
    </w:pPr>
    <w:rPr>
      <w:rFonts w:ascii="Times New Roman" w:hAnsi="Times New Roman"/>
      <w:spacing w:val="4"/>
      <w:w w:val="103"/>
      <w:kern w:val="14"/>
      <w:szCs w:val="22"/>
    </w:rPr>
  </w:style>
  <w:style w:type="paragraph" w:customStyle="1" w:styleId="Publication">
    <w:name w:val="Publication"/>
    <w:next w:val="Normal"/>
    <w:autoRedefine/>
    <w:qFormat/>
    <w:rsid w:val="0060792E"/>
    <w:rPr>
      <w:rFonts w:ascii="Times New Roman" w:hAnsi="Times New Roman"/>
      <w:spacing w:val="4"/>
      <w:w w:val="103"/>
      <w:kern w:val="14"/>
      <w:szCs w:val="22"/>
    </w:rPr>
  </w:style>
  <w:style w:type="paragraph" w:customStyle="1" w:styleId="Original">
    <w:name w:val="Original"/>
    <w:next w:val="Normal"/>
    <w:autoRedefine/>
    <w:qFormat/>
    <w:rsid w:val="00E13E2B"/>
    <w:rPr>
      <w:rFonts w:ascii="Times New Roman" w:hAnsi="Times New Roman"/>
      <w:spacing w:val="4"/>
      <w:w w:val="103"/>
      <w:kern w:val="14"/>
      <w:szCs w:val="22"/>
    </w:rPr>
  </w:style>
  <w:style w:type="paragraph" w:customStyle="1" w:styleId="ReleaseDate">
    <w:name w:val="Release Date"/>
    <w:next w:val="Normal"/>
    <w:autoRedefine/>
    <w:qFormat/>
    <w:rsid w:val="0060792E"/>
    <w:rPr>
      <w:rFonts w:ascii="Times New Roman" w:hAnsi="Times New Roman"/>
      <w:spacing w:val="-3"/>
      <w:w w:val="99"/>
      <w:kern w:val="14"/>
      <w:szCs w:val="22"/>
    </w:rPr>
  </w:style>
  <w:style w:type="paragraph" w:customStyle="1" w:styleId="Session">
    <w:name w:val="Session"/>
    <w:basedOn w:val="H23"/>
    <w:autoRedefine/>
    <w:qFormat/>
    <w:rsid w:val="00D73117"/>
    <w:pPr>
      <w:ind w:right="1267"/>
    </w:pPr>
    <w:rPr>
      <w:spacing w:val="4"/>
    </w:rPr>
  </w:style>
  <w:style w:type="paragraph" w:customStyle="1" w:styleId="Committee">
    <w:name w:val="Committee"/>
    <w:basedOn w:val="H1"/>
    <w:autoRedefine/>
    <w:qFormat/>
    <w:rsid w:val="0060792E"/>
    <w:pPr>
      <w:ind w:right="1267"/>
    </w:pPr>
  </w:style>
  <w:style w:type="paragraph" w:customStyle="1" w:styleId="Sponsors">
    <w:name w:val="Sponsors"/>
    <w:basedOn w:val="H23"/>
    <w:autoRedefine/>
    <w:qFormat/>
    <w:rsid w:val="0060792E"/>
    <w:pPr>
      <w:tabs>
        <w:tab w:val="right" w:pos="1022"/>
        <w:tab w:val="left" w:pos="1267"/>
      </w:tabs>
      <w:ind w:left="1267" w:right="1267" w:hanging="1267"/>
    </w:pPr>
  </w:style>
  <w:style w:type="paragraph" w:customStyle="1" w:styleId="Type">
    <w:name w:val="Type"/>
    <w:basedOn w:val="H23"/>
    <w:autoRedefine/>
    <w:qFormat/>
    <w:rsid w:val="0060792E"/>
    <w:pPr>
      <w:tabs>
        <w:tab w:val="right" w:pos="1022"/>
        <w:tab w:val="left" w:pos="1267"/>
      </w:tabs>
      <w:ind w:left="1267" w:right="1267" w:hanging="1267"/>
    </w:pPr>
  </w:style>
  <w:style w:type="paragraph" w:customStyle="1" w:styleId="AgendaTitle">
    <w:name w:val="AgendaTitle"/>
    <w:basedOn w:val="H23"/>
    <w:autoRedefine/>
    <w:qFormat/>
    <w:rsid w:val="0060792E"/>
  </w:style>
  <w:style w:type="paragraph" w:customStyle="1" w:styleId="Title1">
    <w:name w:val="Title 1"/>
    <w:basedOn w:val="HCH"/>
    <w:autoRedefine/>
    <w:qFormat/>
    <w:rsid w:val="00506B44"/>
    <w:pPr>
      <w:tabs>
        <w:tab w:val="right" w:pos="1022"/>
        <w:tab w:val="left" w:pos="1267"/>
      </w:tabs>
      <w:ind w:left="1267" w:right="1267" w:hanging="1267"/>
    </w:pPr>
  </w:style>
  <w:style w:type="paragraph" w:customStyle="1" w:styleId="Title2">
    <w:name w:val="Title 2"/>
    <w:basedOn w:val="H1"/>
    <w:qFormat/>
    <w:rsid w:val="00506B44"/>
    <w:pPr>
      <w:tabs>
        <w:tab w:val="right" w:pos="1022"/>
        <w:tab w:val="left" w:pos="1267"/>
      </w:tabs>
      <w:ind w:left="1267" w:right="1267" w:hanging="1267"/>
    </w:pPr>
  </w:style>
  <w:style w:type="paragraph" w:styleId="EndnoteText">
    <w:name w:val="endnote text"/>
    <w:basedOn w:val="Normal"/>
    <w:link w:val="EndnoteTextChar"/>
    <w:uiPriority w:val="99"/>
    <w:semiHidden/>
    <w:unhideWhenUsed/>
    <w:rsid w:val="00F3330B"/>
    <w:pPr>
      <w:spacing w:line="210" w:lineRule="exact"/>
    </w:pPr>
    <w:rPr>
      <w:sz w:val="17"/>
      <w:szCs w:val="20"/>
    </w:rPr>
  </w:style>
  <w:style w:type="character" w:customStyle="1" w:styleId="EndnoteTextChar">
    <w:name w:val="Endnote Text Char"/>
    <w:link w:val="EndnoteText"/>
    <w:uiPriority w:val="99"/>
    <w:semiHidden/>
    <w:rsid w:val="00F3330B"/>
    <w:rPr>
      <w:rFonts w:ascii="Times New Roman" w:hAnsi="Times New Roman"/>
      <w:spacing w:val="4"/>
      <w:w w:val="103"/>
      <w:kern w:val="14"/>
      <w:sz w:val="17"/>
    </w:rPr>
  </w:style>
  <w:style w:type="character" w:styleId="FootnoteReference">
    <w:name w:val="footnote reference"/>
    <w:uiPriority w:val="99"/>
    <w:semiHidden/>
    <w:rsid w:val="00DD7C73"/>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1">
    <w:name w:val="Bullet 1"/>
    <w:basedOn w:val="Normal"/>
    <w:qFormat/>
    <w:rsid w:val="00023E37"/>
    <w:pPr>
      <w:numPr>
        <w:numId w:val="3"/>
      </w:numPr>
      <w:spacing w:after="120"/>
      <w:ind w:left="1743" w:right="1267" w:hanging="130"/>
      <w:jc w:val="both"/>
    </w:pPr>
  </w:style>
  <w:style w:type="paragraph" w:customStyle="1" w:styleId="Bullet2">
    <w:name w:val="Bullet 2"/>
    <w:basedOn w:val="Normal"/>
    <w:qFormat/>
    <w:rsid w:val="00E00C20"/>
    <w:pPr>
      <w:numPr>
        <w:numId w:val="4"/>
      </w:numPr>
      <w:spacing w:after="120"/>
      <w:ind w:left="2217" w:right="1264" w:hanging="130"/>
      <w:jc w:val="both"/>
    </w:pPr>
  </w:style>
  <w:style w:type="character" w:styleId="EndnoteReference">
    <w:name w:val="endnote reference"/>
    <w:basedOn w:val="DefaultParagraphFont"/>
    <w:uiPriority w:val="99"/>
    <w:semiHidden/>
    <w:rsid w:val="00B82E95"/>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023E37"/>
    <w:pPr>
      <w:numPr>
        <w:numId w:val="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character" w:styleId="CommentReference">
    <w:name w:val="annotation reference"/>
    <w:basedOn w:val="DefaultParagraphFont"/>
    <w:uiPriority w:val="99"/>
    <w:semiHidden/>
    <w:unhideWhenUsed/>
    <w:rsid w:val="00EC0A8F"/>
    <w:rPr>
      <w:sz w:val="16"/>
      <w:szCs w:val="16"/>
    </w:rPr>
  </w:style>
  <w:style w:type="paragraph" w:styleId="CommentText">
    <w:name w:val="annotation text"/>
    <w:basedOn w:val="Normal"/>
    <w:link w:val="CommentTextChar"/>
    <w:uiPriority w:val="99"/>
    <w:semiHidden/>
    <w:unhideWhenUsed/>
    <w:rsid w:val="00EC0A8F"/>
    <w:pPr>
      <w:spacing w:line="240" w:lineRule="auto"/>
    </w:pPr>
    <w:rPr>
      <w:szCs w:val="20"/>
    </w:rPr>
  </w:style>
  <w:style w:type="character" w:customStyle="1" w:styleId="CommentTextChar">
    <w:name w:val="Comment Text Char"/>
    <w:basedOn w:val="DefaultParagraphFont"/>
    <w:link w:val="CommentText"/>
    <w:uiPriority w:val="99"/>
    <w:semiHidden/>
    <w:rsid w:val="00EC0A8F"/>
    <w:rPr>
      <w:rFonts w:ascii="Times New Roman" w:hAnsi="Times New Roman"/>
      <w:spacing w:val="4"/>
      <w:w w:val="103"/>
      <w:kern w:val="14"/>
      <w:lang w:val="fr-CA"/>
    </w:rPr>
  </w:style>
  <w:style w:type="paragraph" w:styleId="CommentSubject">
    <w:name w:val="annotation subject"/>
    <w:basedOn w:val="CommentText"/>
    <w:next w:val="CommentText"/>
    <w:link w:val="CommentSubjectChar"/>
    <w:uiPriority w:val="99"/>
    <w:semiHidden/>
    <w:unhideWhenUsed/>
    <w:rsid w:val="00EC0A8F"/>
    <w:rPr>
      <w:b/>
      <w:bCs/>
    </w:rPr>
  </w:style>
  <w:style w:type="character" w:customStyle="1" w:styleId="CommentSubjectChar">
    <w:name w:val="Comment Subject Char"/>
    <w:basedOn w:val="CommentTextChar"/>
    <w:link w:val="CommentSubject"/>
    <w:uiPriority w:val="99"/>
    <w:semiHidden/>
    <w:rsid w:val="00EC0A8F"/>
    <w:rPr>
      <w:rFonts w:ascii="Times New Roman" w:hAnsi="Times New Roman"/>
      <w:b/>
      <w:bCs/>
      <w:spacing w:val="4"/>
      <w:w w:val="103"/>
      <w:kern w:val="14"/>
      <w:lang w:val="fr-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6546682-2889-4A8A-A47D-F0AE536D77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2833</Words>
  <Characters>16149</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FTPU - Office 2010</vt:lpstr>
    </vt:vector>
  </TitlesOfParts>
  <Company>DCM</Company>
  <LinksUpToDate>false</LinksUpToDate>
  <CharactersWithSpaces>18945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 - Office 2010</dc:title>
  <dc:subject/>
  <dc:creator>Temporaire</dc:creator>
  <cp:keywords/>
  <dc:description/>
  <cp:lastModifiedBy>Temporaire</cp:lastModifiedBy>
  <cp:revision>3</cp:revision>
  <cp:lastPrinted>2015-12-30T11:56:00Z</cp:lastPrinted>
  <dcterms:created xsi:type="dcterms:W3CDTF">2015-12-30T11:56:00Z</dcterms:created>
  <dcterms:modified xsi:type="dcterms:W3CDTF">2015-12-30T11:56:00Z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1520703F</vt:lpwstr>
  </property>
  <property fmtid="{D5CDD505-2E9C-101B-9397-08002B2CF9AE}" pid="3" name="ODSRefJobNo">
    <vt:lpwstr>1526794F</vt:lpwstr>
  </property>
  <property fmtid="{D5CDD505-2E9C-101B-9397-08002B2CF9AE}" pid="4" name="Symbol1">
    <vt:lpwstr>CCPR/C/BIH/QPR/3</vt:lpwstr>
  </property>
  <property fmtid="{D5CDD505-2E9C-101B-9397-08002B2CF9AE}" pid="5" name="Symbol2">
    <vt:lpwstr/>
  </property>
  <property fmtid="{D5CDD505-2E9C-101B-9397-08002B2CF9AE}" pid="6" name="Translator">
    <vt:lpwstr/>
  </property>
  <property fmtid="{D5CDD505-2E9C-101B-9397-08002B2CF9AE}" pid="7" name="Operator">
    <vt:lpwstr>M. Deschamps</vt:lpwstr>
  </property>
  <property fmtid="{D5CDD505-2E9C-101B-9397-08002B2CF9AE}" pid="8" name="DraftPages">
    <vt:lpwstr> </vt:lpwstr>
  </property>
  <property fmtid="{D5CDD505-2E9C-101B-9397-08002B2CF9AE}" pid="9" name="Comment">
    <vt:lpwstr/>
  </property>
  <property fmtid="{D5CDD505-2E9C-101B-9397-08002B2CF9AE}" pid="10" name="Distribution">
    <vt:lpwstr>générale</vt:lpwstr>
  </property>
  <property fmtid="{D5CDD505-2E9C-101B-9397-08002B2CF9AE}" pid="11" name="Publication Date">
    <vt:lpwstr>30 décembre 2015</vt:lpwstr>
  </property>
  <property fmtid="{D5CDD505-2E9C-101B-9397-08002B2CF9AE}" pid="12" name="Original">
    <vt:lpwstr>anglais</vt:lpwstr>
  </property>
  <property fmtid="{D5CDD505-2E9C-101B-9397-08002B2CF9AE}" pid="13" name="Release Date">
    <vt:lpwstr>301215</vt:lpwstr>
  </property>
</Properties>
</file>