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F38" w:rsidRDefault="00412F38">
      <w:pPr>
        <w:spacing w:line="60" w:lineRule="exact"/>
        <w:rPr>
          <w:sz w:val="6"/>
        </w:rPr>
        <w:sectPr w:rsidR="00412F3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412F38" w:rsidRDefault="00412F38">
      <w:pPr>
        <w:spacing w:line="60" w:lineRule="exact"/>
        <w:rPr>
          <w:sz w:val="6"/>
        </w:rPr>
      </w:pPr>
    </w:p>
    <w:p w:rsidR="00412F38" w:rsidRDefault="00412F38">
      <w:pPr>
        <w:pStyle w:val="H1"/>
        <w:spacing w:after="60"/>
        <w:rPr>
          <w:rFonts w:hint="eastAsia"/>
        </w:rPr>
      </w:pPr>
      <w:r>
        <w:rPr>
          <w:rFonts w:hint="eastAsia"/>
        </w:rPr>
        <w:t>消除对妇女歧视委员会</w:t>
      </w:r>
    </w:p>
    <w:p w:rsidR="00412F38" w:rsidRDefault="00412F38">
      <w:pPr>
        <w:pStyle w:val="H23"/>
        <w:spacing w:after="60"/>
        <w:rPr>
          <w:rFonts w:hint="eastAsia"/>
        </w:rPr>
      </w:pPr>
      <w:r>
        <w:rPr>
          <w:rFonts w:hint="eastAsia"/>
        </w:rPr>
        <w:t>第二十一届会议</w:t>
      </w:r>
    </w:p>
    <w:p w:rsidR="00412F38" w:rsidRDefault="00412F38">
      <w:pPr>
        <w:spacing w:line="120" w:lineRule="exact"/>
        <w:rPr>
          <w:sz w:val="12"/>
        </w:rPr>
      </w:pPr>
    </w:p>
    <w:p w:rsidR="00412F38" w:rsidRDefault="00412F38">
      <w:pPr>
        <w:spacing w:line="120" w:lineRule="exact"/>
        <w:rPr>
          <w:sz w:val="10"/>
        </w:rPr>
      </w:pPr>
    </w:p>
    <w:p w:rsidR="00412F38" w:rsidRDefault="00412F38">
      <w:pPr>
        <w:pStyle w:val="H23"/>
        <w:rPr>
          <w:rFonts w:hint="eastAsia"/>
        </w:rPr>
      </w:pPr>
      <w:r>
        <w:rPr>
          <w:rFonts w:hint="eastAsia"/>
        </w:rPr>
        <w:t>第431次会议简要记录</w:t>
      </w:r>
    </w:p>
    <w:p w:rsidR="00412F38" w:rsidRDefault="00412F38">
      <w:pPr>
        <w:rPr>
          <w:rFonts w:hint="eastAsia"/>
        </w:rPr>
      </w:pPr>
      <w:r>
        <w:rPr>
          <w:rFonts w:hint="eastAsia"/>
        </w:rPr>
        <w:t>1999年6月11日，星期五，下午3时在纽约总部举行</w:t>
      </w:r>
    </w:p>
    <w:p w:rsidR="00412F38" w:rsidRDefault="00412F38">
      <w:pPr>
        <w:spacing w:line="120" w:lineRule="exact"/>
        <w:rPr>
          <w:rFonts w:hint="eastAsia"/>
          <w:sz w:val="10"/>
        </w:rPr>
      </w:pPr>
    </w:p>
    <w:p w:rsidR="00412F38" w:rsidRDefault="00412F38">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韦德拉奥果女士（副主席）</w:t>
      </w:r>
    </w:p>
    <w:p w:rsidR="00412F38" w:rsidRDefault="00412F38">
      <w:pPr>
        <w:tabs>
          <w:tab w:val="left" w:pos="1267"/>
          <w:tab w:val="right" w:leader="dot" w:pos="8568"/>
        </w:tabs>
        <w:spacing w:line="120" w:lineRule="exact"/>
        <w:ind w:right="1267"/>
        <w:rPr>
          <w:color w:val="000000"/>
          <w:sz w:val="10"/>
        </w:rPr>
      </w:pPr>
    </w:p>
    <w:p w:rsidR="00412F38" w:rsidRDefault="00412F38">
      <w:pPr>
        <w:tabs>
          <w:tab w:val="left" w:pos="1267"/>
          <w:tab w:val="right" w:leader="dot" w:pos="8568"/>
        </w:tabs>
        <w:spacing w:line="120" w:lineRule="exact"/>
        <w:ind w:right="1267"/>
        <w:rPr>
          <w:color w:val="000000"/>
          <w:sz w:val="10"/>
        </w:rPr>
      </w:pPr>
    </w:p>
    <w:p w:rsidR="00412F38" w:rsidRDefault="00412F38">
      <w:pPr>
        <w:tabs>
          <w:tab w:val="left" w:pos="1267"/>
          <w:tab w:val="right" w:leader="dot" w:pos="8568"/>
        </w:tabs>
        <w:spacing w:line="120" w:lineRule="exact"/>
        <w:ind w:right="1267"/>
        <w:rPr>
          <w:color w:val="000000"/>
          <w:sz w:val="10"/>
        </w:rPr>
      </w:pPr>
    </w:p>
    <w:p w:rsidR="00412F38" w:rsidRDefault="00412F38">
      <w:pPr>
        <w:pStyle w:val="HCh"/>
        <w:rPr>
          <w:rFonts w:eastAsia="SimSun" w:hint="eastAsia"/>
        </w:rPr>
      </w:pPr>
      <w:r>
        <w:rPr>
          <w:rFonts w:eastAsia="SimSun" w:hint="eastAsia"/>
        </w:rPr>
        <w:t>目录</w:t>
      </w:r>
    </w:p>
    <w:p w:rsidR="00412F38" w:rsidRDefault="00412F38">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412F38" w:rsidRDefault="00412F38">
      <w:pPr>
        <w:pStyle w:val="SingleTxt"/>
        <w:rPr>
          <w:rFonts w:hint="eastAsia"/>
        </w:rPr>
      </w:pPr>
      <w:r>
        <w:rPr>
          <w:rFonts w:hint="eastAsia"/>
        </w:rPr>
        <w:tab/>
      </w:r>
      <w:r>
        <w:rPr>
          <w:rFonts w:ascii="KaiTi_GB2312" w:eastAsia="KaiTi_GB2312" w:hint="eastAsia"/>
          <w:color w:val="0000FF"/>
        </w:rPr>
        <w:t>格鲁吉亚的初次报告</w:t>
      </w:r>
      <w:r>
        <w:rPr>
          <w:rFonts w:hint="eastAsia"/>
        </w:rPr>
        <w:t>（</w:t>
      </w:r>
      <w:r>
        <w:rPr>
          <w:rFonts w:ascii="KaiTi_GB2312" w:eastAsia="KaiTi_GB2312" w:hint="eastAsia"/>
          <w:color w:val="0000FF"/>
        </w:rPr>
        <w:t>续</w:t>
      </w:r>
      <w:r>
        <w:rPr>
          <w:rFonts w:hint="eastAsia"/>
        </w:rPr>
        <w:t>）</w:t>
      </w:r>
    </w:p>
    <w:p w:rsidR="00412F38" w:rsidRDefault="00412F38">
      <w:pPr>
        <w:pStyle w:val="SingleTxt"/>
        <w:sectPr w:rsidR="00412F38">
          <w:type w:val="continuous"/>
          <w:pgSz w:w="12242" w:h="15842" w:code="1"/>
          <w:pgMar w:top="1742" w:right="1195" w:bottom="1898" w:left="1195" w:header="576" w:footer="1030" w:gutter="0"/>
          <w:pgNumType w:start="1"/>
          <w:cols w:space="425"/>
          <w:noEndnote/>
          <w:docGrid w:type="lines" w:linePitch="312"/>
        </w:sectPr>
      </w:pPr>
    </w:p>
    <w:p w:rsidR="00412F38" w:rsidRDefault="00412F38">
      <w:pPr>
        <w:pStyle w:val="DualTxt"/>
        <w:spacing w:after="200"/>
        <w:rPr>
          <w:rFonts w:ascii="KaiTi_GB2312" w:eastAsia="KaiTi_GB2312" w:hint="eastAsia"/>
          <w:color w:val="0000FF"/>
        </w:rPr>
      </w:pPr>
      <w:r>
        <w:br w:type="page"/>
      </w:r>
      <w:r>
        <w:rPr>
          <w:rFonts w:hint="eastAsia"/>
        </w:rPr>
        <w:tab/>
      </w:r>
      <w:r>
        <w:rPr>
          <w:rFonts w:ascii="KaiTi_GB2312" w:eastAsia="KaiTi_GB2312" w:hint="eastAsia"/>
          <w:color w:val="0000FF"/>
        </w:rPr>
        <w:t>下午3时10分宣布开会</w:t>
      </w:r>
    </w:p>
    <w:p w:rsidR="00412F38" w:rsidRDefault="00412F38">
      <w:pPr>
        <w:pStyle w:val="DualTxt"/>
        <w:spacing w:after="200"/>
        <w:rPr>
          <w:rFonts w:hint="eastAsia"/>
        </w:rPr>
      </w:pPr>
      <w:r>
        <w:rPr>
          <w:rFonts w:ascii="SimHei" w:eastAsia="SimHei" w:hint="eastAsia"/>
          <w:color w:val="FF0000"/>
        </w:rPr>
        <w:t>审议根据《公约》第18条规定提交的报告</w:t>
      </w:r>
      <w:r>
        <w:rPr>
          <w:rFonts w:hint="eastAsia"/>
        </w:rPr>
        <w:t>（</w:t>
      </w:r>
      <w:r>
        <w:rPr>
          <w:rFonts w:ascii="KaiTi_GB2312" w:eastAsia="KaiTi_GB2312" w:hint="eastAsia"/>
          <w:color w:val="0000FF"/>
        </w:rPr>
        <w:t>续</w:t>
      </w:r>
      <w:r>
        <w:rPr>
          <w:rFonts w:hint="eastAsia"/>
        </w:rPr>
        <w:t>）</w:t>
      </w:r>
    </w:p>
    <w:p w:rsidR="00412F38" w:rsidRDefault="00412F38">
      <w:pPr>
        <w:pStyle w:val="DualTxt"/>
        <w:spacing w:after="200"/>
        <w:ind w:left="420"/>
        <w:rPr>
          <w:rFonts w:ascii="KaiTi_GB2312" w:eastAsia="KaiTi_GB2312"/>
          <w:color w:val="0000FF"/>
          <w:spacing w:val="-6"/>
        </w:rPr>
      </w:pPr>
      <w:r>
        <w:rPr>
          <w:rFonts w:ascii="KaiTi_GB2312" w:eastAsia="KaiTi_GB2312" w:hint="eastAsia"/>
          <w:color w:val="0000FF"/>
          <w:spacing w:val="-6"/>
        </w:rPr>
        <w:t>格鲁吉亚的初次报告(CEDAW/C/GEO/1和Add.1</w:t>
      </w:r>
      <w:r>
        <w:rPr>
          <w:rFonts w:ascii="KaiTi_GB2312" w:eastAsia="KaiTi_GB2312"/>
          <w:color w:val="0000FF"/>
          <w:spacing w:val="-6"/>
        </w:rPr>
        <w:t>)</w:t>
      </w:r>
      <w:r>
        <w:rPr>
          <w:rFonts w:ascii="Times New Roman" w:eastAsia="KaiTi_GB2312"/>
          <w:color w:val="0000FF"/>
          <w:spacing w:val="-6"/>
        </w:rPr>
        <w:t>(</w:t>
      </w:r>
      <w:r>
        <w:rPr>
          <w:rFonts w:ascii="KaiTi_GB2312" w:eastAsia="KaiTi_GB2312" w:hint="eastAsia"/>
          <w:color w:val="0000FF"/>
          <w:spacing w:val="-6"/>
        </w:rPr>
        <w:t>续)</w:t>
      </w:r>
    </w:p>
    <w:p w:rsidR="00412F38" w:rsidRDefault="00412F38">
      <w:pPr>
        <w:pStyle w:val="DualTxt"/>
        <w:spacing w:after="200"/>
        <w:rPr>
          <w:rFonts w:hint="eastAsia"/>
        </w:rPr>
      </w:pPr>
      <w:r>
        <w:rPr>
          <w:rFonts w:hint="eastAsia"/>
        </w:rPr>
        <w:t>1.</w:t>
      </w:r>
      <w:r>
        <w:rPr>
          <w:rFonts w:hint="eastAsia"/>
        </w:rPr>
        <w:tab/>
        <w:t>应主席邀请，Beridze女士（格鲁吉亚）继续担任委员会主席。</w:t>
      </w:r>
    </w:p>
    <w:p w:rsidR="00412F38" w:rsidRDefault="00412F38">
      <w:pPr>
        <w:pStyle w:val="DualTxt"/>
        <w:spacing w:after="200"/>
        <w:rPr>
          <w:rFonts w:hint="eastAsia"/>
        </w:rPr>
      </w:pPr>
      <w:r>
        <w:rPr>
          <w:rFonts w:hint="eastAsia"/>
        </w:rPr>
        <w:t>2.</w:t>
      </w:r>
      <w:r>
        <w:rPr>
          <w:rFonts w:hint="eastAsia"/>
        </w:rPr>
        <w:tab/>
      </w:r>
      <w:r>
        <w:rPr>
          <w:rFonts w:ascii="SimHei" w:eastAsia="SimHei" w:hint="eastAsia"/>
          <w:color w:val="FF0000"/>
        </w:rPr>
        <w:t>Beridze女士</w:t>
      </w:r>
      <w:r>
        <w:rPr>
          <w:rFonts w:hint="eastAsia"/>
        </w:rPr>
        <w:t>（格鲁吉亚）对委员会的一项要求作出反应，提供了进一步详情，说明1998年至2000</w:t>
      </w:r>
      <w:r>
        <w:rPr>
          <w:rFonts w:hint="eastAsia"/>
          <w:spacing w:val="-6"/>
        </w:rPr>
        <w:t>年期间《格鲁吉亚提高妇女地位计划》</w:t>
      </w:r>
      <w:r>
        <w:rPr>
          <w:rFonts w:hint="eastAsia"/>
        </w:rPr>
        <w:t>（CEDAW/C/GEO/1</w:t>
      </w:r>
      <w:r>
        <w:br/>
      </w:r>
      <w:r>
        <w:rPr>
          <w:rFonts w:hint="eastAsia"/>
        </w:rPr>
        <w:t>和Add.1，第6段）。该项计划是《北京行动纲要》的基础。她列举了《计划》的7项优先任务，指出第一项优先任务是设立体制办法，将妇女关心的问题纳入主流。其中包括设立一个妇女事务部，并在保健、教育、金融和社会事务部内设立相应的事务股，负责散发关于男女平等的资料，从性别角度审查法规，以及收集按性别划分的社会指标。第二项优先任务是加强妇女参与决策，办法是促进并发表关于妇女在各级任职情况的研究工作，训练妇女的政治领导才能，培养有资格担任管理职位的全国妇女后备人员，增加从事外交和国际组织事务的妇女人数。</w:t>
      </w:r>
    </w:p>
    <w:p w:rsidR="00412F38" w:rsidRDefault="00412F38">
      <w:pPr>
        <w:pStyle w:val="DualTxt"/>
        <w:rPr>
          <w:rFonts w:hint="eastAsia"/>
        </w:rPr>
      </w:pPr>
      <w:r>
        <w:rPr>
          <w:rFonts w:hint="eastAsia"/>
        </w:rPr>
        <w:t>3.</w:t>
      </w:r>
      <w:r>
        <w:rPr>
          <w:rFonts w:hint="eastAsia"/>
        </w:rPr>
        <w:tab/>
        <w:t>第三项优先任务是促进妇女的经济自给自足，特别是在私人部门和农业部门执行有利于妇女的方案，以及收集按性别划分的社会指标。第四项优先任务是关于妇女与贫穷问题，其中包括：研究宏观经济、投资和税务政策对妇女贫穷状况的影响；执行针对农村贫穷的方案；研究妇女移徙对经济产生的影响；向单身母亲、养恤金领取人和残疾妇女提供援助；对前往山区工作的保健、文化和教育专业人员提供奖励。第五项优先任务是加强妇女对化解冲突的参与，使因冲突而分离的家属能够团聚；将财产归还给难民和流离失所的人，并向武装冲突受害者提供复建方案。第六项优先任务是妇女保健，她稍后会讨论这个问题。第七项优先任务是妇女权利，这将包括在国家结构范围内提供训练方案，发表有关的国际文书，将妇女权利纳入学校和高等教育课程，以及召开关于性别主义的媒体座谈会。在若干领域已取得了进展；其他领域的进展取决于资金是否有着落，以及在最近的将来是否颁布必要的法规。</w:t>
      </w:r>
    </w:p>
    <w:p w:rsidR="00412F38" w:rsidRDefault="00412F38">
      <w:pPr>
        <w:pStyle w:val="DualTxt"/>
        <w:rPr>
          <w:rFonts w:hint="eastAsia"/>
        </w:rPr>
      </w:pPr>
      <w:r>
        <w:rPr>
          <w:rFonts w:hint="eastAsia"/>
        </w:rPr>
        <w:t>4.</w:t>
      </w:r>
      <w:r>
        <w:rPr>
          <w:rFonts w:hint="eastAsia"/>
        </w:rPr>
        <w:tab/>
        <w:t>她提请注意报告第7、8和20段。她说《宪法》充分保障格鲁吉亚公民的人权和自由，并取缔歧视尤其是性别歧视。格鲁吉亚参加的国际人权文书属于自动执行条款，但须遵守《宪法》，因此《公约》第1和2条在该国具有法律效力。新的《刑法典》不久将予通过成为法律，《刑法典》将违反公民平等原则尤其是基于性别的违反行为定为刑事罪。</w:t>
      </w:r>
    </w:p>
    <w:p w:rsidR="00412F38" w:rsidRDefault="00412F38">
      <w:pPr>
        <w:pStyle w:val="DualTxt"/>
        <w:rPr>
          <w:rFonts w:hint="eastAsia"/>
        </w:rPr>
      </w:pPr>
      <w:r>
        <w:rPr>
          <w:rFonts w:hint="eastAsia"/>
        </w:rPr>
        <w:t>5.</w:t>
      </w:r>
      <w:r>
        <w:rPr>
          <w:rFonts w:hint="eastAsia"/>
        </w:rPr>
        <w:tab/>
        <w:t>负责草拟关于提高妇女地位的国家政策的委员会鼓励非政府组织积极参加它的会议，并充分考虑其建议。非政府组织在使全国妇女认识其权利这方面起重要作用。</w:t>
      </w:r>
    </w:p>
    <w:p w:rsidR="00412F38" w:rsidRDefault="00412F38">
      <w:pPr>
        <w:pStyle w:val="DualTxt"/>
        <w:rPr>
          <w:rFonts w:hint="eastAsia"/>
        </w:rPr>
      </w:pPr>
      <w:r>
        <w:rPr>
          <w:rFonts w:hint="eastAsia"/>
        </w:rPr>
        <w:t>6.</w:t>
      </w:r>
      <w:r>
        <w:rPr>
          <w:rFonts w:hint="eastAsia"/>
        </w:rPr>
        <w:tab/>
        <w:t>关于第5条所提到的问题，她说，格鲁吉亚民众反对采用苏维埃时代的法定假日，为响应这一要求，格鲁吉亚决定庆祝“母亲日”而不庆祝“国际妇女节”。由于男子没有相应的假日，所以会要求议会将该假日重新命名，或予以废除。关于定型观念的问题，格鲁吉亚妇女在社会和政治生活中起重大作用，在边远的村庄亦如此。户主往往是妇女，除了其他工作之外，妇女承担最沉重的家务。目前媒体的辩论题目是：将家务视为一项职业并今后可能会给予酬报的优点和缺点。</w:t>
      </w:r>
    </w:p>
    <w:p w:rsidR="00412F38" w:rsidRDefault="00412F38">
      <w:pPr>
        <w:pStyle w:val="DualTxt"/>
        <w:spacing w:after="100"/>
        <w:rPr>
          <w:rFonts w:hint="eastAsia"/>
        </w:rPr>
      </w:pPr>
      <w:r>
        <w:rPr>
          <w:rFonts w:hint="eastAsia"/>
        </w:rPr>
        <w:t>7.</w:t>
      </w:r>
      <w:r>
        <w:rPr>
          <w:rFonts w:hint="eastAsia"/>
        </w:rPr>
        <w:tab/>
        <w:t>她现在能够提供补充数据，说明妇女在行政主管部门的任职情况（第7条）。格鲁吉亚有300个政府部门，其中95个部门的主管是妇女，62名妇女担任副主管。在250名高级部长职位中，妇女担任105个正职和140个副职。几乎在所有政府部门都有妇女任职，在卫生部、劳工部和社会安全部的管理职位中妇女占多数。新任命的国防部长是一名妇女。法律取缔对公务员额应聘者的性别歧视；实际上没有发生任何歧视。</w:t>
      </w:r>
    </w:p>
    <w:p w:rsidR="00412F38" w:rsidRDefault="00412F38">
      <w:pPr>
        <w:pStyle w:val="DualTxt"/>
        <w:rPr>
          <w:rFonts w:hint="eastAsia"/>
        </w:rPr>
      </w:pPr>
      <w:r>
        <w:rPr>
          <w:rFonts w:hint="eastAsia"/>
        </w:rPr>
        <w:t>8.</w:t>
      </w:r>
      <w:r>
        <w:rPr>
          <w:rFonts w:hint="eastAsia"/>
        </w:rPr>
        <w:tab/>
        <w:t>关于第11条，限制利用女工从事报告第75段所指的工作的做法决不是歧视妇女；其目的是保护妇女的健康，包括生殖健康。妇女不受公务旅行的限制（第74段）；若公务旅行对家庭不利，她们有权拒绝接受这种任务。但《劳工法典》通常没有充分付诸执行。报告第85段的81.3％是指在农业部门自营职业的妇女人数比例。</w:t>
      </w:r>
    </w:p>
    <w:p w:rsidR="00412F38" w:rsidRDefault="00412F38">
      <w:pPr>
        <w:pStyle w:val="DualTxt"/>
        <w:rPr>
          <w:rFonts w:hint="eastAsia"/>
        </w:rPr>
      </w:pPr>
      <w:r>
        <w:rPr>
          <w:rFonts w:hint="eastAsia"/>
        </w:rPr>
        <w:t>9.</w:t>
      </w:r>
      <w:r>
        <w:rPr>
          <w:rFonts w:hint="eastAsia"/>
        </w:rPr>
        <w:tab/>
        <w:t>《劳工法典》禁止基于性别的歧视。最近颁布的法规（最低工资、集体协议和劳资纠纷的解决）进一步保障同工同酬的原则。妇女薪金仍低于男子，这不是歧视造成的，而是因为财政危机迫使大部分妇女从事低薪酬的工作。随着经济的改善，最低工资将会上调。</w:t>
      </w:r>
    </w:p>
    <w:p w:rsidR="00412F38" w:rsidRDefault="00412F38">
      <w:pPr>
        <w:pStyle w:val="DualTxt"/>
        <w:rPr>
          <w:rFonts w:hint="eastAsia"/>
        </w:rPr>
      </w:pPr>
      <w:r>
        <w:rPr>
          <w:rFonts w:hint="eastAsia"/>
        </w:rPr>
        <w:t>10.</w:t>
      </w:r>
      <w:r>
        <w:rPr>
          <w:rFonts w:hint="eastAsia"/>
        </w:rPr>
        <w:tab/>
        <w:t>近年来就业模式变化甚大，妇女特难适应新的经济状况。在自营职业部门中，妇女目前占多数。为处理就业问题，在瑞典的协助下已设立的一些男女专业训练机构。新法规规定提供六个月的失业补助金。</w:t>
      </w:r>
    </w:p>
    <w:p w:rsidR="00412F38" w:rsidRDefault="00412F38">
      <w:pPr>
        <w:pStyle w:val="DualTxt"/>
        <w:spacing w:after="160"/>
        <w:rPr>
          <w:rFonts w:hint="eastAsia"/>
        </w:rPr>
      </w:pPr>
      <w:r>
        <w:rPr>
          <w:rFonts w:hint="eastAsia"/>
        </w:rPr>
        <w:t>11.</w:t>
      </w:r>
      <w:r>
        <w:rPr>
          <w:rFonts w:hint="eastAsia"/>
        </w:rPr>
        <w:tab/>
        <w:t>她回答就第12条提出的问题说，格鲁吉亚有14</w:t>
      </w:r>
      <w:r>
        <w:t xml:space="preserve"> </w:t>
      </w:r>
      <w:r>
        <w:rPr>
          <w:rFonts w:hint="eastAsia"/>
        </w:rPr>
        <w:t>500名女医生，将近30 000名护士。格鲁吉亚生育年龄（14至49岁）妇女人数为1 300 000名，18岁以下的女童为680 000名。格鲁吉亚有286间医院，逾1 100间门诊所。妇女预期寿命为76岁。迄今为止，私有化只影响到药房和牙科外科，但为了增加医院病床，目前正考虑对较大医疗设施实行私有化。目前医院约有24 500张病床。1997年，格鲁吉亚议会通过《医疗保险法》。国家医疗公司是根据工人与雇主共缴保费的原则组办的。</w:t>
      </w:r>
    </w:p>
    <w:p w:rsidR="00412F38" w:rsidRDefault="00412F38">
      <w:pPr>
        <w:pStyle w:val="DualTxt"/>
        <w:rPr>
          <w:rFonts w:hint="eastAsia"/>
        </w:rPr>
      </w:pPr>
      <w:r>
        <w:rPr>
          <w:rFonts w:hint="eastAsia"/>
        </w:rPr>
        <w:t>12.</w:t>
      </w:r>
      <w:r>
        <w:rPr>
          <w:rFonts w:hint="eastAsia"/>
        </w:rPr>
        <w:tab/>
        <w:t>格鲁吉亚政府目前正在执行11项国家保险计划，其中包括一个安全孕产方案，根据这个方案，怀孕妇女可享有7次免费会诊，在医院分娩可以免费。遗憾的是，计划生育的一个主要方法是人工流产。卫生部正与世界卫生组织合作，制定一项关于生殖健康的国家政策，该项政策将注意处理计划生育、产前和围产期护理、性教育、提高认识、训练医务人员和防治性病和艾滋病。目前已在五个主要人口中心设立生殖健康中心。《格鲁吉亚刑法典》规定，凡在不卫生的条件下、或在医院或产房以外地点、或由不具备适当医疗资格的人进行的人工流产均属刑事罪。目前正在草拟人工流产法案。</w:t>
      </w:r>
    </w:p>
    <w:p w:rsidR="00412F38" w:rsidRDefault="00412F38">
      <w:pPr>
        <w:pStyle w:val="DualTxt"/>
        <w:spacing w:after="180"/>
        <w:rPr>
          <w:rFonts w:hint="eastAsia"/>
        </w:rPr>
      </w:pPr>
      <w:r>
        <w:rPr>
          <w:rFonts w:hint="eastAsia"/>
        </w:rPr>
        <w:t>13.</w:t>
      </w:r>
      <w:r>
        <w:rPr>
          <w:rFonts w:hint="eastAsia"/>
        </w:rPr>
        <w:tab/>
        <w:t>关于农村妇女状况（第14条），她说她本国政府协同世界银行和国际农业发展基金(农发基金)执行了一个农业发展项目。政府于1997年与这些组织签署一项信贷协定。按照协定设立了一些信用社，并尽力争取妇女的最大参与。目前大约有130个信用社，成员逾10 000人，其中60％是妇女；16个信用社的主管是妇女；逾1 000名妇女获得信贷。</w:t>
      </w:r>
    </w:p>
    <w:p w:rsidR="00412F38" w:rsidRDefault="00412F38">
      <w:pPr>
        <w:pStyle w:val="DualTxt"/>
        <w:spacing w:after="180"/>
        <w:rPr>
          <w:rFonts w:hint="eastAsia"/>
        </w:rPr>
      </w:pPr>
      <w:r>
        <w:rPr>
          <w:rFonts w:hint="eastAsia"/>
        </w:rPr>
        <w:t>14.</w:t>
      </w:r>
      <w:r>
        <w:rPr>
          <w:rFonts w:hint="eastAsia"/>
        </w:rPr>
        <w:tab/>
        <w:t>她本国政府打算拟定一项综合和长期的山区开发方案，其中特别着重向妇女提供援助。优先任务包括：提高生活水平；创造就业机会；争取妇女参与决策；建立妇女组织。</w:t>
      </w:r>
    </w:p>
    <w:p w:rsidR="00412F38" w:rsidRDefault="00412F38">
      <w:pPr>
        <w:pStyle w:val="DualTxt"/>
        <w:spacing w:after="180"/>
        <w:rPr>
          <w:rFonts w:hint="eastAsia"/>
        </w:rPr>
      </w:pPr>
      <w:r>
        <w:rPr>
          <w:rFonts w:hint="eastAsia"/>
        </w:rPr>
        <w:t>15.</w:t>
      </w:r>
      <w:r>
        <w:rPr>
          <w:rFonts w:hint="eastAsia"/>
        </w:rPr>
        <w:tab/>
        <w:t>土地改革法律规定不分男女人人都能获得土地。农村和城市居民有均等机会接受教育，但农村学校没有同样的基本设施。另一方面，农村师资水平低于城市。《宪法》规定了小学义务教育。目前政府提供九年免费教育，她本国政府正考虑将国家义务教育扩及到中学。格鲁吉亚没有文盲。</w:t>
      </w:r>
    </w:p>
    <w:p w:rsidR="00412F38" w:rsidRDefault="00412F38">
      <w:pPr>
        <w:pStyle w:val="DualTxt"/>
        <w:spacing w:after="180"/>
        <w:rPr>
          <w:rFonts w:hint="eastAsia"/>
        </w:rPr>
      </w:pPr>
      <w:r>
        <w:rPr>
          <w:rFonts w:hint="eastAsia"/>
        </w:rPr>
        <w:t>16.</w:t>
      </w:r>
      <w:r>
        <w:rPr>
          <w:rFonts w:hint="eastAsia"/>
        </w:rPr>
        <w:tab/>
        <w:t>她回答就16条提出的问题时说，《宪法》规定政教分离。《民法典》规定，国家只承认合法登记的婚姻，以宗教仪式缔结的婚姻无法律效力。《民法典》规定，配偶在婚姻期间获得的财产是公有财产。离婚后，这些财产应予公平分配。儿童监护权由法庭决定，法庭将以儿童最高利益为考虑因素。若儿童满10岁，法官的裁决须征得儿童同意。</w:t>
      </w:r>
    </w:p>
    <w:p w:rsidR="00412F38" w:rsidRDefault="00412F38">
      <w:pPr>
        <w:pStyle w:val="DualTxt"/>
        <w:spacing w:after="180" w:line="340" w:lineRule="exact"/>
        <w:rPr>
          <w:rFonts w:hint="eastAsia"/>
        </w:rPr>
      </w:pPr>
      <w:r>
        <w:rPr>
          <w:rFonts w:hint="eastAsia"/>
        </w:rPr>
        <w:t>17.</w:t>
      </w:r>
      <w:r>
        <w:rPr>
          <w:rFonts w:hint="eastAsia"/>
        </w:rPr>
        <w:tab/>
        <w:t>家庭是社会的基本组成单位。《宪法》规定，国家有义务促进家庭的福利。家庭法对男女一律适用。法官解决家庭纠纷时一般都优先注意儿童和妇女的利益。财产权包括拥有和处置财产的权力，非财产权的定义见报告。</w:t>
      </w:r>
    </w:p>
    <w:p w:rsidR="00412F38" w:rsidRDefault="00412F38">
      <w:pPr>
        <w:pStyle w:val="DualTxt"/>
        <w:spacing w:line="360" w:lineRule="exact"/>
        <w:rPr>
          <w:rFonts w:hint="eastAsia"/>
        </w:rPr>
      </w:pPr>
      <w:r>
        <w:rPr>
          <w:rFonts w:hint="eastAsia"/>
        </w:rPr>
        <w:t>18.</w:t>
      </w:r>
      <w:r>
        <w:rPr>
          <w:rFonts w:hint="eastAsia"/>
        </w:rPr>
        <w:tab/>
        <w:t>她本国代表团保证在格鲁吉亚执行《公约》时将考虑到委员会的意见和想法。她将在格鲁吉亚的下次报告中论述无法回答的问题，并希望下次报告的内容将会更加丰富，并会反映出妇女状况的显著进展。</w:t>
      </w:r>
    </w:p>
    <w:p w:rsidR="00412F38" w:rsidRDefault="00412F38">
      <w:pPr>
        <w:pStyle w:val="DualTxt"/>
        <w:spacing w:after="100"/>
        <w:rPr>
          <w:rFonts w:hint="eastAsia"/>
        </w:rPr>
      </w:pPr>
      <w:r>
        <w:rPr>
          <w:rFonts w:hint="eastAsia"/>
        </w:rPr>
        <w:t>19.</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感谢格鲁吉亚政府在困难情况下仍然努力执行《公约》。她希望格鲁吉亚会恢复和平与繁荣。</w:t>
      </w:r>
    </w:p>
    <w:p w:rsidR="00412F38" w:rsidRDefault="00412F38">
      <w:pPr>
        <w:pStyle w:val="DualTxt"/>
        <w:spacing w:after="100"/>
        <w:rPr>
          <w:rFonts w:hint="eastAsia"/>
        </w:rPr>
      </w:pPr>
      <w:r>
        <w:rPr>
          <w:rFonts w:hint="eastAsia"/>
        </w:rPr>
        <w:t>20.</w:t>
      </w:r>
      <w:r>
        <w:tab/>
      </w:r>
      <w:r>
        <w:rPr>
          <w:rFonts w:hint="eastAsia"/>
        </w:rPr>
        <w:t>她关心的是，为了迅速清除苏维埃时期的遗绪，有利于妇女的举措——如配额和指标都被废除。社会主义制度虽然已经名声扫地，但不能由此断定这个制度的各方面都有弊病。她举例说，前德意志民主共和国家庭暴力发生率偏低，这说明妇女经济地位的提高减少了她们对男子的依赖，因此仍处于这种暴力关系中的可能性比较小。</w:t>
      </w:r>
    </w:p>
    <w:p w:rsidR="00412F38" w:rsidRDefault="00412F38">
      <w:pPr>
        <w:pStyle w:val="DualTxt"/>
        <w:spacing w:after="100"/>
        <w:rPr>
          <w:rFonts w:hint="eastAsia"/>
        </w:rPr>
      </w:pPr>
      <w:r>
        <w:rPr>
          <w:rFonts w:hint="eastAsia"/>
        </w:rPr>
        <w:t>21.</w:t>
      </w:r>
      <w:r>
        <w:rPr>
          <w:rFonts w:hint="eastAsia"/>
        </w:rPr>
        <w:tab/>
        <w:t>缔约国报告有缺点，特别妇女在家庭和扣押中遭受暴力的问题上有空白之处。她希望下次报告会更详细说明这种暴力情况，并在提出报告时将会通过适当的法规。她促请缔约国利用欧洲联盟和欧洲委员会的专门知识制定这种法规。还有必要训练执法官员和法官，并鼓励受害者站出来。根据她的经验，杰出的妇女若能象征式地作出姿态会大大有助于提高对这个问题的认识。缔约国还须提供更多关于贩卖妇女的资料。格鲁吉亚不妨与过境国和接受国进行联系，以更有效地处理这个问题。</w:t>
      </w:r>
    </w:p>
    <w:p w:rsidR="00412F38" w:rsidRDefault="00412F38">
      <w:pPr>
        <w:pStyle w:val="DualTxt"/>
        <w:spacing w:after="100"/>
        <w:rPr>
          <w:rFonts w:hint="eastAsia"/>
        </w:rPr>
      </w:pPr>
      <w:r>
        <w:rPr>
          <w:rFonts w:hint="eastAsia"/>
        </w:rPr>
        <w:t>22.</w:t>
      </w:r>
      <w:r>
        <w:rPr>
          <w:rFonts w:hint="eastAsia"/>
        </w:rPr>
        <w:tab/>
        <w:t>她欢迎政府承诺设立一个妇女事务部，并在其他部门设立妇女事务股。设立新的实体会引起大笔开支，但训练对性别问题具有敏感认识的官员也同样重要，而且需要很少经费。</w:t>
      </w:r>
    </w:p>
    <w:p w:rsidR="00412F38" w:rsidRDefault="00412F38">
      <w:pPr>
        <w:pStyle w:val="DualTxt"/>
        <w:spacing w:after="100"/>
        <w:rPr>
          <w:rFonts w:hint="eastAsia"/>
        </w:rPr>
      </w:pPr>
      <w:r>
        <w:rPr>
          <w:rFonts w:hint="eastAsia"/>
        </w:rPr>
        <w:t>23.</w:t>
      </w:r>
      <w:r>
        <w:rPr>
          <w:rFonts w:hint="eastAsia"/>
        </w:rPr>
        <w:tab/>
        <w:t>虽然在妇女就业方面施加限制是为了保护其健康和生殖系统，但实际上这样做却限制了妇女的就业机会，并使雇主不敢雇用她们。比较公平的做法是对男子也实施同样的限制，或废除这种限制。政府还必须注意处理工资差距问题。在以妇女占多数的职业中，包括在教学和医疗行业，工资率比较低，原因似乎是妇女在这个领域的工作被视为其固有能力的延伸。在制定公共部门的工人工资率时，政府有机会对这种传统看法提出质疑。</w:t>
      </w:r>
    </w:p>
    <w:p w:rsidR="00412F38" w:rsidRDefault="00412F38">
      <w:pPr>
        <w:pStyle w:val="DualTxt"/>
        <w:spacing w:after="180"/>
        <w:rPr>
          <w:rFonts w:hint="eastAsia"/>
        </w:rPr>
      </w:pPr>
      <w:r>
        <w:rPr>
          <w:rFonts w:hint="eastAsia"/>
        </w:rPr>
        <w:t>24.</w:t>
      </w:r>
      <w:r>
        <w:rPr>
          <w:rFonts w:hint="eastAsia"/>
        </w:rPr>
        <w:tab/>
      </w:r>
      <w:r>
        <w:rPr>
          <w:rFonts w:ascii="SimHei" w:eastAsia="SimHei" w:hint="eastAsia"/>
          <w:color w:val="FF0000"/>
        </w:rPr>
        <w:t>Shalev女士</w:t>
      </w:r>
      <w:r>
        <w:rPr>
          <w:rFonts w:hint="eastAsia"/>
        </w:rPr>
        <w:t>说，她对妇女工资率偏低感到吃惊。代表团坚决认为，这种现象不是歧视引起的，而是因为妇女往往从事低工资的工作。这种看法表明对间接歧视概念缺乏了解。政府应研究由于哪些社会、经济和文化因素低估了妇女工作的价值。</w:t>
      </w:r>
    </w:p>
    <w:p w:rsidR="00412F38" w:rsidRDefault="00412F38">
      <w:pPr>
        <w:pStyle w:val="DualTxt"/>
        <w:spacing w:after="180"/>
        <w:rPr>
          <w:rFonts w:hint="eastAsia"/>
        </w:rPr>
      </w:pPr>
      <w:r>
        <w:rPr>
          <w:rFonts w:hint="eastAsia"/>
        </w:rPr>
        <w:t>25.</w:t>
      </w:r>
      <w:r>
        <w:rPr>
          <w:rFonts w:hint="eastAsia"/>
        </w:rPr>
        <w:tab/>
        <w:t>她仍然不了解的是，既然婴儿享有12个月的免费医疗服务，而且妇女在医院分娩也是免费的，为何婴儿和产妇死亡率仍然偏高。她希望即将通过的人工流产法规不会限制妇女在生殖方面的选择。政府应告知委员会关于下次报告所采纳的条款的性质。</w:t>
      </w:r>
    </w:p>
    <w:p w:rsidR="00412F38" w:rsidRDefault="00412F38">
      <w:pPr>
        <w:pStyle w:val="DualTxt"/>
        <w:spacing w:after="180"/>
        <w:rPr>
          <w:rFonts w:hint="eastAsia"/>
        </w:rPr>
      </w:pPr>
      <w:r>
        <w:rPr>
          <w:rFonts w:hint="eastAsia"/>
        </w:rPr>
        <w:t>26.</w:t>
      </w:r>
      <w:r>
        <w:rPr>
          <w:rFonts w:hint="eastAsia"/>
        </w:rPr>
        <w:tab/>
      </w:r>
      <w:r>
        <w:rPr>
          <w:rFonts w:ascii="SimHei" w:eastAsia="SimHei" w:hint="eastAsia"/>
          <w:color w:val="FF0000"/>
        </w:rPr>
        <w:t>Manalo女士</w:t>
      </w:r>
      <w:r>
        <w:rPr>
          <w:rFonts w:hint="eastAsia"/>
        </w:rPr>
        <w:t>说，在格鲁吉亚历史上，妇女有一段时期在社会担任主导角色。对这些年代进行文化研究或人类学研究，以及探讨当时的妇女如何可以充当现代妇女模范，或许会有用处。也应分析为何与其他行业的同侪相比从事广告宣传、媒体和司法行业的妇女地位较高、权力较大。由于有妇女在高级职位任职，政府应争取媒体参加反对性别歧视的运动。她期望在缔约国下次报告中会看到这种举措的结果</w:t>
      </w:r>
    </w:p>
    <w:p w:rsidR="00412F38" w:rsidRDefault="00412F38">
      <w:pPr>
        <w:pStyle w:val="DualTxt"/>
        <w:spacing w:after="180"/>
        <w:rPr>
          <w:rFonts w:hint="eastAsia"/>
        </w:rPr>
      </w:pPr>
      <w:r>
        <w:rPr>
          <w:rFonts w:hint="eastAsia"/>
        </w:rPr>
        <w:t>27.</w:t>
      </w:r>
      <w:r>
        <w:rPr>
          <w:rFonts w:hint="eastAsia"/>
        </w:rPr>
        <w:tab/>
      </w:r>
      <w:r>
        <w:rPr>
          <w:rFonts w:ascii="SimHei" w:eastAsia="SimHei" w:hint="eastAsia"/>
          <w:color w:val="FF0000"/>
        </w:rPr>
        <w:t>Corti女士</w:t>
      </w:r>
      <w:r>
        <w:rPr>
          <w:rFonts w:hint="eastAsia"/>
        </w:rPr>
        <w:t>赞扬格鲁吉亚政府努力促进民主化和提高妇女地位。但对卖淫问题仍然表示严重关注。在前苏联许多国家内卖淫现象似乎普遍存在。特别令人感到不安的是，卖淫活动牵涉许多未成年人。政府必须在其能力范围内竭力取缔卖淫。卖淫不仅对妇女而且对整个社会的发展都有害处。委员会的经验表明，在这方面与非政府组织密切合作最为有用。</w:t>
      </w:r>
    </w:p>
    <w:p w:rsidR="00412F38" w:rsidRDefault="00412F38">
      <w:pPr>
        <w:pStyle w:val="DualTxt"/>
        <w:spacing w:after="180" w:line="340" w:lineRule="exact"/>
        <w:rPr>
          <w:rFonts w:hint="eastAsia"/>
        </w:rPr>
      </w:pPr>
      <w:r>
        <w:rPr>
          <w:rFonts w:hint="eastAsia"/>
        </w:rPr>
        <w:t>28.</w:t>
      </w:r>
      <w:r>
        <w:rPr>
          <w:rFonts w:hint="eastAsia"/>
        </w:rPr>
        <w:tab/>
      </w:r>
      <w:r>
        <w:rPr>
          <w:rFonts w:ascii="SimHei" w:eastAsia="SimHei" w:hint="eastAsia"/>
          <w:color w:val="FF0000"/>
        </w:rPr>
        <w:t>Goonesekere女士</w:t>
      </w:r>
      <w:r>
        <w:rPr>
          <w:rFonts w:hint="eastAsia"/>
        </w:rPr>
        <w:t>说，必须确认卖淫和贩卖妇女现象与性别陈规定型观念和歧视问题是有连带关系的，因为缺少教育机会和工资偏低是迫使妇女卖淫的因素之一。政府应采取有力的行动阻止儿童卖淫。将与未成年人发生性关系定为刑事罪是告知社会这种行为是不可容忍的一个有力的信息。</w:t>
      </w:r>
    </w:p>
    <w:p w:rsidR="00412F38" w:rsidRDefault="00412F38">
      <w:pPr>
        <w:pStyle w:val="DualTxt"/>
        <w:spacing w:after="180" w:line="340" w:lineRule="exact"/>
        <w:rPr>
          <w:rFonts w:hint="eastAsia"/>
        </w:rPr>
      </w:pPr>
      <w:r>
        <w:rPr>
          <w:rFonts w:hint="eastAsia"/>
        </w:rPr>
        <w:t>29.</w:t>
      </w:r>
      <w:r>
        <w:rPr>
          <w:rFonts w:hint="eastAsia"/>
        </w:rPr>
        <w:tab/>
      </w:r>
      <w:r>
        <w:rPr>
          <w:rFonts w:ascii="SimHei" w:eastAsia="SimHei" w:hint="eastAsia"/>
          <w:color w:val="FF0000"/>
        </w:rPr>
        <w:t>主席</w:t>
      </w:r>
      <w:r>
        <w:rPr>
          <w:rFonts w:hint="eastAsia"/>
        </w:rPr>
        <w:t>促请格鲁吉亚代表团注意委员会所指出的引起关注的重要领域和需要改进的领域，尤其是机会均等、就业、保健和制止贩卖妇女。委员会完成了对格鲁吉亚初次报告的审议。</w:t>
      </w:r>
    </w:p>
    <w:p w:rsidR="00412F38" w:rsidRDefault="00412F38">
      <w:pPr>
        <w:pStyle w:val="DualTxt"/>
        <w:spacing w:after="0" w:line="120" w:lineRule="exact"/>
        <w:rPr>
          <w:rFonts w:hint="eastAsia"/>
          <w:sz w:val="10"/>
        </w:rPr>
      </w:pPr>
    </w:p>
    <w:p w:rsidR="00412F38" w:rsidRDefault="00412F38">
      <w:pPr>
        <w:pStyle w:val="DualTxt"/>
        <w:rPr>
          <w:rFonts w:hint="eastAsia"/>
        </w:rPr>
      </w:pPr>
      <w:r>
        <w:rPr>
          <w:rFonts w:hint="eastAsia"/>
        </w:rPr>
        <w:tab/>
      </w:r>
      <w:r>
        <w:rPr>
          <w:rFonts w:ascii="KaiTi_GB2312" w:eastAsia="KaiTi_GB2312" w:hint="eastAsia"/>
          <w:color w:val="0000FF"/>
        </w:rPr>
        <w:t>下午4时15分散会</w:t>
      </w:r>
    </w:p>
    <w:sectPr w:rsidR="00412F38">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12F38" w:rsidRDefault="00412F3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NO&gt;&gt;N0157423C&lt;&lt;ODS JOB NO&gt;&gt;</w:t>
      </w:r>
    </w:p>
    <w:p w:rsidR="00412F38" w:rsidRDefault="00412F38">
      <w:pPr>
        <w:pStyle w:val="CommentText"/>
      </w:pPr>
      <w:r>
        <w:t>&lt;&lt;ODS DOC SYMBOL1&gt;&gt;CEDAW/C/SR.431&lt;&lt;ODS DOC SYMBOL1&gt;&gt;</w:t>
      </w:r>
    </w:p>
    <w:p w:rsidR="00412F38" w:rsidRDefault="00412F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77F2B">
      <w:pPr>
        <w:spacing w:line="240" w:lineRule="auto"/>
      </w:pPr>
      <w:r>
        <w:separator/>
      </w:r>
    </w:p>
  </w:endnote>
  <w:endnote w:type="continuationSeparator" w:id="0">
    <w:p w:rsidR="00000000" w:rsidRDefault="00577F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12F38">
      <w:tblPrEx>
        <w:tblCellMar>
          <w:top w:w="0" w:type="dxa"/>
          <w:bottom w:w="0" w:type="dxa"/>
        </w:tblCellMar>
      </w:tblPrEx>
      <w:tc>
        <w:tcPr>
          <w:tcW w:w="5034" w:type="dxa"/>
          <w:vAlign w:val="bottom"/>
        </w:tcPr>
        <w:p w:rsidR="00412F38" w:rsidRDefault="00412F38">
          <w:pPr>
            <w:pStyle w:val="Footer"/>
          </w:pPr>
          <w:r>
            <w:fldChar w:fldCharType="begin"/>
          </w:r>
          <w:r>
            <w:instrText xml:space="preserve"> PAGE  \* MERGEFORMAT </w:instrText>
          </w:r>
          <w:r>
            <w:fldChar w:fldCharType="separate"/>
          </w:r>
          <w:r>
            <w:t>2</w:t>
          </w:r>
          <w:r>
            <w:fldChar w:fldCharType="end"/>
          </w:r>
        </w:p>
      </w:tc>
      <w:tc>
        <w:tcPr>
          <w:tcW w:w="5034" w:type="dxa"/>
          <w:vAlign w:val="bottom"/>
        </w:tcPr>
        <w:p w:rsidR="00412F38" w:rsidRDefault="00412F38">
          <w:pPr>
            <w:pStyle w:val="Footer"/>
            <w:jc w:val="right"/>
          </w:pPr>
        </w:p>
      </w:tc>
    </w:tr>
  </w:tbl>
  <w:p w:rsidR="00412F38" w:rsidRDefault="00412F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12F38">
      <w:tblPrEx>
        <w:tblCellMar>
          <w:top w:w="0" w:type="dxa"/>
          <w:bottom w:w="0" w:type="dxa"/>
        </w:tblCellMar>
      </w:tblPrEx>
      <w:tc>
        <w:tcPr>
          <w:tcW w:w="5034" w:type="dxa"/>
          <w:vAlign w:val="bottom"/>
        </w:tcPr>
        <w:p w:rsidR="00412F38" w:rsidRDefault="00412F38">
          <w:pPr>
            <w:pStyle w:val="Footer"/>
          </w:pPr>
        </w:p>
      </w:tc>
      <w:tc>
        <w:tcPr>
          <w:tcW w:w="5034" w:type="dxa"/>
          <w:vAlign w:val="bottom"/>
        </w:tcPr>
        <w:p w:rsidR="00412F38" w:rsidRDefault="00412F38">
          <w:pPr>
            <w:pStyle w:val="Footer"/>
            <w:jc w:val="right"/>
          </w:pPr>
          <w:r>
            <w:fldChar w:fldCharType="begin"/>
          </w:r>
          <w:r>
            <w:instrText xml:space="preserve"> PAGE  \* MERGEFORMAT </w:instrText>
          </w:r>
          <w:r>
            <w:fldChar w:fldCharType="separate"/>
          </w:r>
          <w:r>
            <w:t>3</w:t>
          </w:r>
          <w:r>
            <w:fldChar w:fldCharType="end"/>
          </w:r>
        </w:p>
      </w:tc>
    </w:tr>
  </w:tbl>
  <w:p w:rsidR="00412F38" w:rsidRDefault="00412F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38" w:rsidRDefault="00412F38">
    <w:pPr>
      <w:pStyle w:val="Footer"/>
    </w:pPr>
  </w:p>
  <w:p w:rsidR="00412F38" w:rsidRDefault="00412F38">
    <w:pPr>
      <w:pStyle w:val="Footer"/>
      <w:pBdr>
        <w:top w:val="single" w:sz="2" w:space="0" w:color="000000"/>
      </w:pBdr>
      <w:rPr>
        <w:sz w:val="2"/>
      </w:rPr>
    </w:pPr>
  </w:p>
  <w:p w:rsidR="00412F38" w:rsidRDefault="00412F38">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412F38" w:rsidRDefault="00412F38">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412F38" w:rsidRDefault="00412F38">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412F38" w:rsidRDefault="00412F38">
    <w:pPr>
      <w:pStyle w:val="Footer"/>
      <w:rPr>
        <w:b w:val="0"/>
        <w:snapToGrid w:val="0"/>
        <w:sz w:val="21"/>
      </w:rPr>
    </w:pPr>
    <w:r>
      <w:rPr>
        <w:b w:val="0"/>
        <w:snapToGrid w:val="0"/>
        <w:sz w:val="21"/>
      </w:rPr>
      <w:t>0</w:t>
    </w:r>
    <w:r>
      <w:rPr>
        <w:rFonts w:hint="eastAsia"/>
        <w:b w:val="0"/>
        <w:snapToGrid w:val="0"/>
        <w:sz w:val="21"/>
      </w:rPr>
      <w:t>1-</w:t>
    </w:r>
    <w:r>
      <w:rPr>
        <w:b w:val="0"/>
        <w:snapToGrid w:val="0"/>
        <w:sz w:val="21"/>
      </w:rPr>
      <w:t>57423 (C)</w:t>
    </w:r>
  </w:p>
  <w:p w:rsidR="00412F38" w:rsidRDefault="00412F38">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*0357423*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77F2B">
      <w:pPr>
        <w:spacing w:line="240" w:lineRule="auto"/>
      </w:pPr>
      <w:r>
        <w:separator/>
      </w:r>
    </w:p>
  </w:footnote>
  <w:footnote w:type="continuationSeparator" w:id="0">
    <w:p w:rsidR="00000000" w:rsidRDefault="00577F2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38" w:rsidRDefault="00412F3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12F38">
                  <w:tblPrEx>
                    <w:tblCellMar>
                      <w:top w:w="0" w:type="dxa"/>
                      <w:bottom w:w="0" w:type="dxa"/>
                    </w:tblCellMar>
                  </w:tblPrEx>
                  <w:trPr>
                    <w:trHeight w:hRule="exact" w:val="864"/>
                  </w:trPr>
                  <w:tc>
                    <w:tcPr>
                      <w:tcW w:w="4838" w:type="dxa"/>
                      <w:vAlign w:val="bottom"/>
                    </w:tcPr>
                    <w:p w:rsidR="00412F38" w:rsidRDefault="00412F38">
                      <w:pPr>
                        <w:pStyle w:val="Header"/>
                        <w:spacing w:after="80"/>
                        <w:rPr>
                          <w:b/>
                          <w:sz w:val="17"/>
                        </w:rPr>
                      </w:pPr>
                      <w:r>
                        <w:rPr>
                          <w:b/>
                          <w:sz w:val="17"/>
                        </w:rPr>
                        <w:t>CEDAW/C/SR.431</w:t>
                      </w:r>
                    </w:p>
                  </w:tc>
                  <w:tc>
                    <w:tcPr>
                      <w:tcW w:w="5048" w:type="dxa"/>
                      <w:vAlign w:val="bottom"/>
                    </w:tcPr>
                    <w:p w:rsidR="00412F38" w:rsidRDefault="00412F38">
                      <w:pPr>
                        <w:pStyle w:val="Header"/>
                      </w:pPr>
                    </w:p>
                  </w:tc>
                </w:tr>
              </w:tbl>
              <w:p w:rsidR="00412F38" w:rsidRDefault="00412F3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38" w:rsidRDefault="00412F3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12F38">
                  <w:tblPrEx>
                    <w:tblCellMar>
                      <w:top w:w="0" w:type="dxa"/>
                      <w:bottom w:w="0" w:type="dxa"/>
                    </w:tblCellMar>
                  </w:tblPrEx>
                  <w:trPr>
                    <w:trHeight w:hRule="exact" w:val="864"/>
                  </w:trPr>
                  <w:tc>
                    <w:tcPr>
                      <w:tcW w:w="4838" w:type="dxa"/>
                      <w:vAlign w:val="bottom"/>
                    </w:tcPr>
                    <w:p w:rsidR="00412F38" w:rsidRDefault="00412F38">
                      <w:pPr>
                        <w:pStyle w:val="Header"/>
                      </w:pPr>
                    </w:p>
                  </w:tc>
                  <w:tc>
                    <w:tcPr>
                      <w:tcW w:w="5048" w:type="dxa"/>
                      <w:vAlign w:val="bottom"/>
                    </w:tcPr>
                    <w:p w:rsidR="00412F38" w:rsidRDefault="00412F38">
                      <w:pPr>
                        <w:pStyle w:val="Header"/>
                        <w:spacing w:after="80"/>
                        <w:jc w:val="right"/>
                        <w:rPr>
                          <w:b/>
                          <w:sz w:val="17"/>
                        </w:rPr>
                      </w:pPr>
                      <w:r>
                        <w:rPr>
                          <w:b/>
                          <w:sz w:val="17"/>
                        </w:rPr>
                        <w:t>CEDAW/C/SR.431</w:t>
                      </w:r>
                    </w:p>
                  </w:tc>
                </w:tr>
              </w:tbl>
              <w:p w:rsidR="00412F38" w:rsidRDefault="00412F3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12F3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12F38" w:rsidRDefault="00412F38">
          <w:pPr>
            <w:pStyle w:val="Header"/>
            <w:spacing w:after="120"/>
          </w:pPr>
        </w:p>
      </w:tc>
      <w:tc>
        <w:tcPr>
          <w:tcW w:w="1872" w:type="dxa"/>
          <w:tcBorders>
            <w:top w:val="nil"/>
            <w:left w:val="nil"/>
            <w:bottom w:val="single" w:sz="4" w:space="0" w:color="auto"/>
            <w:right w:val="nil"/>
          </w:tcBorders>
          <w:vAlign w:val="bottom"/>
        </w:tcPr>
        <w:p w:rsidR="00412F38" w:rsidRDefault="00412F3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412F38" w:rsidRDefault="00412F38">
          <w:pPr>
            <w:pStyle w:val="Header"/>
            <w:spacing w:after="120"/>
          </w:pPr>
        </w:p>
      </w:tc>
      <w:tc>
        <w:tcPr>
          <w:tcW w:w="6523" w:type="dxa"/>
          <w:gridSpan w:val="3"/>
          <w:tcBorders>
            <w:top w:val="nil"/>
            <w:left w:val="nil"/>
            <w:bottom w:val="single" w:sz="4" w:space="0" w:color="auto"/>
            <w:right w:val="nil"/>
          </w:tcBorders>
          <w:vAlign w:val="bottom"/>
        </w:tcPr>
        <w:p w:rsidR="00412F38" w:rsidRDefault="00412F3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/C/SR.431</w:t>
          </w:r>
        </w:p>
      </w:tc>
    </w:tr>
    <w:tr w:rsidR="00412F38">
      <w:tblPrEx>
        <w:tblCellMar>
          <w:top w:w="0" w:type="dxa"/>
          <w:bottom w:w="0" w:type="dxa"/>
        </w:tblCellMar>
      </w:tblPrEx>
      <w:trPr>
        <w:trHeight w:hRule="exact" w:val="2880"/>
      </w:trPr>
      <w:tc>
        <w:tcPr>
          <w:tcW w:w="1267" w:type="dxa"/>
          <w:tcBorders>
            <w:left w:val="nil"/>
            <w:bottom w:val="single" w:sz="12" w:space="0" w:color="auto"/>
            <w:right w:val="nil"/>
          </w:tcBorders>
        </w:tcPr>
        <w:p w:rsidR="00412F38" w:rsidRDefault="00412F3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12F38" w:rsidRDefault="00412F38">
          <w:pPr>
            <w:pStyle w:val="Header"/>
            <w:spacing w:before="109"/>
            <w:ind w:left="-72"/>
          </w:pPr>
        </w:p>
      </w:tc>
      <w:tc>
        <w:tcPr>
          <w:tcW w:w="5227" w:type="dxa"/>
          <w:gridSpan w:val="3"/>
          <w:tcBorders>
            <w:left w:val="nil"/>
            <w:bottom w:val="single" w:sz="12" w:space="0" w:color="auto"/>
            <w:right w:val="nil"/>
          </w:tcBorders>
        </w:tcPr>
        <w:p w:rsidR="00412F38" w:rsidRDefault="00412F3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412F38" w:rsidRDefault="00412F38">
          <w:pPr>
            <w:pStyle w:val="Header"/>
            <w:spacing w:before="109"/>
          </w:pPr>
        </w:p>
      </w:tc>
      <w:tc>
        <w:tcPr>
          <w:tcW w:w="3180" w:type="dxa"/>
          <w:gridSpan w:val="2"/>
          <w:tcBorders>
            <w:left w:val="nil"/>
            <w:bottom w:val="single" w:sz="12" w:space="0" w:color="auto"/>
            <w:right w:val="nil"/>
          </w:tcBorders>
        </w:tcPr>
        <w:p w:rsidR="00412F38" w:rsidRDefault="00412F38">
          <w:pPr>
            <w:spacing w:before="240" w:line="240" w:lineRule="exact"/>
            <w:rPr>
              <w:rFonts w:ascii="Times New Roman"/>
            </w:rPr>
          </w:pPr>
          <w:r>
            <w:rPr>
              <w:rFonts w:ascii="Times New Roman"/>
            </w:rPr>
            <w:t>Distr.: General</w:t>
          </w:r>
        </w:p>
        <w:p w:rsidR="00412F38" w:rsidRDefault="00412F38">
          <w:pPr>
            <w:spacing w:line="240" w:lineRule="exact"/>
            <w:rPr>
              <w:rFonts w:ascii="Times New Roman"/>
            </w:rPr>
          </w:pPr>
          <w:r>
            <w:rPr>
              <w:rFonts w:ascii="Times New Roman"/>
            </w:rPr>
            <w:t>17 November 2003</w:t>
          </w:r>
        </w:p>
        <w:p w:rsidR="00412F38" w:rsidRDefault="00412F38">
          <w:pPr>
            <w:spacing w:line="240" w:lineRule="exact"/>
            <w:rPr>
              <w:rFonts w:ascii="Times New Roman"/>
            </w:rPr>
          </w:pPr>
          <w:r>
            <w:rPr>
              <w:rFonts w:ascii="Times New Roman"/>
            </w:rPr>
            <w:t>Chinese</w:t>
          </w:r>
        </w:p>
        <w:p w:rsidR="00412F38" w:rsidRDefault="00412F38">
          <w:pPr>
            <w:spacing w:line="240" w:lineRule="exact"/>
            <w:rPr>
              <w:rFonts w:ascii="Times New Roman"/>
            </w:rPr>
          </w:pPr>
          <w:r>
            <w:rPr>
              <w:rFonts w:ascii="Times New Roman"/>
            </w:rPr>
            <w:t>Original: English</w:t>
          </w:r>
        </w:p>
      </w:tc>
    </w:tr>
  </w:tbl>
  <w:p w:rsidR="00412F38" w:rsidRDefault="00412F3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11/2003 9:01: AM"/>
    <w:docVar w:name="DocCategory" w:val="SROthers"/>
    <w:docVar w:name="DocType" w:val="Final"/>
    <w:docVar w:name="JobNo" w:val="0357423C"/>
    <w:docVar w:name="OandT" w:val=" "/>
    <w:docVar w:name="Symbol1" w:val="CEDAW/C/SR.431"/>
    <w:docVar w:name="Symbol2" w:val="-"/>
  </w:docVars>
  <w:rsids>
    <w:rsidRoot w:val="00412F38"/>
    <w:rsid w:val="00412F38"/>
    <w:rsid w:val="00577F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412F3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3</Pages>
  <Words>705</Words>
  <Characters>4023</Characters>
  <Application>Microsoft Office Word</Application>
  <DocSecurity>4</DocSecurity>
  <Lines>33</Lines>
  <Paragraphs>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DGAACS</cp:lastModifiedBy>
  <cp:revision>15</cp:revision>
  <cp:lastPrinted>2003-11-17T13:04:00Z</cp:lastPrinted>
  <dcterms:created xsi:type="dcterms:W3CDTF">2003-11-17T07:42:00Z</dcterms:created>
  <dcterms:modified xsi:type="dcterms:W3CDTF">2003-11-17T12:54:00Z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0357423</vt:lpwstr>
  </property>
  <property fmtid="{D5CDD505-2E9C-101B-9397-08002B2CF9AE}" pid="3" name="Symbol1">
    <vt:lpwstr>CEDAW/C/SR.431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