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BEC" w:rsidRDefault="008B7BEC" w:rsidP="008B7BEC">
      <w:pPr>
        <w:spacing w:line="240" w:lineRule="auto"/>
        <w:rPr>
          <w:sz w:val="2"/>
        </w:rPr>
        <w:sectPr w:rsidR="008B7BEC" w:rsidSect="008B7BEC">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7126C4" w:rsidRPr="007126C4" w:rsidRDefault="007126C4" w:rsidP="007126C4">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rPr>
          <w:b/>
          <w:sz w:val="24"/>
          <w:szCs w:val="20"/>
          <w:lang w:val="fr-FR"/>
        </w:rPr>
      </w:pPr>
      <w:r w:rsidRPr="007126C4">
        <w:rPr>
          <w:b/>
          <w:sz w:val="24"/>
          <w:szCs w:val="20"/>
          <w:lang w:val="fr-FR"/>
        </w:rPr>
        <w:t>Comité pour l</w:t>
      </w:r>
      <w:r>
        <w:rPr>
          <w:b/>
          <w:sz w:val="24"/>
          <w:szCs w:val="20"/>
          <w:lang w:val="fr-FR"/>
        </w:rPr>
        <w:t>’</w:t>
      </w:r>
      <w:r w:rsidRPr="007126C4">
        <w:rPr>
          <w:b/>
          <w:sz w:val="24"/>
          <w:szCs w:val="20"/>
          <w:lang w:val="fr-FR"/>
        </w:rPr>
        <w:t xml:space="preserve">élimination de la discrimination </w:t>
      </w:r>
      <w:r w:rsidRPr="007126C4">
        <w:rPr>
          <w:b/>
          <w:sz w:val="24"/>
          <w:szCs w:val="20"/>
          <w:lang w:val="fr-FR"/>
        </w:rPr>
        <w:br/>
        <w:t>à l</w:t>
      </w:r>
      <w:r>
        <w:rPr>
          <w:b/>
          <w:sz w:val="24"/>
          <w:szCs w:val="20"/>
          <w:lang w:val="fr-FR"/>
        </w:rPr>
        <w:t>’</w:t>
      </w:r>
      <w:r w:rsidRPr="007126C4">
        <w:rPr>
          <w:b/>
          <w:sz w:val="24"/>
          <w:szCs w:val="20"/>
          <w:lang w:val="fr-FR"/>
        </w:rPr>
        <w:t>égard des femmes</w:t>
      </w:r>
    </w:p>
    <w:p w:rsidR="007126C4" w:rsidRPr="007126C4" w:rsidRDefault="007126C4" w:rsidP="007126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b/>
          <w:szCs w:val="20"/>
          <w:lang w:val="fr-FR"/>
        </w:rPr>
      </w:pPr>
      <w:r w:rsidRPr="007126C4">
        <w:rPr>
          <w:b/>
          <w:szCs w:val="20"/>
          <w:lang w:val="fr-FR"/>
        </w:rPr>
        <w:t>Cinquante-neuvième session</w:t>
      </w:r>
    </w:p>
    <w:p w:rsidR="007126C4" w:rsidRPr="007126C4" w:rsidRDefault="007126C4" w:rsidP="007126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szCs w:val="20"/>
          <w:lang w:val="fr-FR"/>
        </w:rPr>
      </w:pPr>
      <w:r w:rsidRPr="007126C4">
        <w:rPr>
          <w:szCs w:val="20"/>
          <w:lang w:val="fr-FR"/>
        </w:rPr>
        <w:t>20 octobre-7 novembre 2014</w:t>
      </w:r>
    </w:p>
    <w:p w:rsidR="007126C4" w:rsidRPr="007126C4" w:rsidRDefault="007126C4" w:rsidP="007126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szCs w:val="20"/>
          <w:lang w:val="fr-FR"/>
        </w:rPr>
      </w:pPr>
      <w:r w:rsidRPr="007126C4">
        <w:rPr>
          <w:szCs w:val="20"/>
          <w:lang w:val="fr-FR"/>
        </w:rPr>
        <w:t>Point 2 de l</w:t>
      </w:r>
      <w:r>
        <w:rPr>
          <w:szCs w:val="20"/>
          <w:lang w:val="fr-FR"/>
        </w:rPr>
        <w:t>’</w:t>
      </w:r>
      <w:r w:rsidRPr="007126C4">
        <w:rPr>
          <w:szCs w:val="20"/>
          <w:lang w:val="fr-FR"/>
        </w:rPr>
        <w:t>ordre du jour provisoire</w:t>
      </w:r>
    </w:p>
    <w:p w:rsidR="007126C4" w:rsidRPr="007126C4" w:rsidRDefault="007126C4" w:rsidP="007126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b/>
          <w:szCs w:val="20"/>
          <w:lang w:val="fr-FR"/>
        </w:rPr>
      </w:pPr>
      <w:r w:rsidRPr="007126C4">
        <w:rPr>
          <w:b/>
          <w:szCs w:val="20"/>
          <w:lang w:val="fr-FR"/>
        </w:rPr>
        <w:t>Adoption de l</w:t>
      </w:r>
      <w:r>
        <w:rPr>
          <w:b/>
          <w:szCs w:val="20"/>
          <w:lang w:val="fr-FR"/>
        </w:rPr>
        <w:t>’</w:t>
      </w:r>
      <w:r w:rsidRPr="007126C4">
        <w:rPr>
          <w:b/>
          <w:szCs w:val="20"/>
          <w:lang w:val="fr-FR"/>
        </w:rPr>
        <w:t>ordre du jour et organisation des travaux</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Default="007126C4" w:rsidP="00C35D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Ordre du jour provisoire</w:t>
      </w:r>
      <w:r w:rsidR="00C35DAB">
        <w:rPr>
          <w:lang w:val="fr-FR"/>
        </w:rPr>
        <w:t xml:space="preserve"> et annotations</w:t>
      </w:r>
    </w:p>
    <w:p w:rsidR="00C35DAB" w:rsidRPr="00C35DAB" w:rsidRDefault="00C35DAB" w:rsidP="00C35DAB">
      <w:pPr>
        <w:pStyle w:val="SingleTxt"/>
        <w:spacing w:after="0" w:line="120" w:lineRule="exact"/>
        <w:rPr>
          <w:sz w:val="10"/>
          <w:lang w:val="fr-FR"/>
        </w:rPr>
      </w:pPr>
    </w:p>
    <w:p w:rsidR="00C35DAB" w:rsidRPr="00C35DAB" w:rsidRDefault="00C35DAB" w:rsidP="00C35DAB">
      <w:pPr>
        <w:pStyle w:val="SingleTxt"/>
        <w:spacing w:after="0" w:line="120" w:lineRule="exact"/>
        <w:rPr>
          <w:sz w:val="10"/>
          <w:lang w:val="fr-FR"/>
        </w:rPr>
      </w:pPr>
    </w:p>
    <w:p w:rsidR="00C35DAB" w:rsidRPr="007126C4" w:rsidRDefault="00C35DAB" w:rsidP="00C35D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provisoire</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rPr>
          <w:szCs w:val="20"/>
          <w:lang w:val="fr-FR"/>
        </w:rPr>
      </w:pPr>
      <w:r w:rsidRPr="007126C4">
        <w:rPr>
          <w:szCs w:val="20"/>
          <w:lang w:val="fr-FR"/>
        </w:rPr>
        <w:t>1.</w:t>
      </w:r>
      <w:r w:rsidRPr="007126C4">
        <w:rPr>
          <w:szCs w:val="20"/>
          <w:lang w:val="fr-FR"/>
        </w:rPr>
        <w:tab/>
        <w:t>Ouverture de la session.</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rPr>
          <w:szCs w:val="20"/>
          <w:lang w:val="fr-FR"/>
        </w:rPr>
      </w:pPr>
      <w:r w:rsidRPr="007126C4">
        <w:rPr>
          <w:szCs w:val="20"/>
          <w:lang w:val="fr-FR"/>
        </w:rPr>
        <w:t>2.</w:t>
      </w:r>
      <w:r w:rsidRPr="007126C4">
        <w:rPr>
          <w:szCs w:val="20"/>
          <w:lang w:val="fr-FR"/>
        </w:rPr>
        <w:tab/>
        <w:t>Adoption de l</w:t>
      </w:r>
      <w:r>
        <w:rPr>
          <w:szCs w:val="20"/>
          <w:lang w:val="fr-FR"/>
        </w:rPr>
        <w:t>’</w:t>
      </w:r>
      <w:r w:rsidRPr="007126C4">
        <w:rPr>
          <w:szCs w:val="20"/>
          <w:lang w:val="fr-FR"/>
        </w:rPr>
        <w:t>ordre du jour et organisation des travaux.</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rPr>
          <w:szCs w:val="20"/>
          <w:lang w:val="fr-FR"/>
        </w:rPr>
      </w:pPr>
      <w:r w:rsidRPr="007126C4">
        <w:rPr>
          <w:szCs w:val="20"/>
          <w:lang w:val="fr-FR"/>
        </w:rPr>
        <w:t>3.</w:t>
      </w:r>
      <w:r w:rsidRPr="007126C4">
        <w:rPr>
          <w:szCs w:val="20"/>
          <w:lang w:val="fr-FR"/>
        </w:rPr>
        <w:tab/>
        <w:t>Rapport de la Présidente sur les activités menées entre les cinquante-huitième et cinquante-neuvième sessions du Comité.</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rPr>
          <w:szCs w:val="20"/>
          <w:lang w:val="fr-FR"/>
        </w:rPr>
      </w:pPr>
      <w:r w:rsidRPr="007126C4">
        <w:rPr>
          <w:szCs w:val="20"/>
          <w:lang w:val="fr-FR"/>
        </w:rPr>
        <w:t>4.</w:t>
      </w:r>
      <w:r w:rsidRPr="007126C4">
        <w:rPr>
          <w:szCs w:val="20"/>
          <w:lang w:val="fr-FR"/>
        </w:rPr>
        <w:tab/>
        <w:t>Examen des rapports soumis par les États parties en application de l</w:t>
      </w:r>
      <w:r>
        <w:rPr>
          <w:szCs w:val="20"/>
          <w:lang w:val="fr-FR"/>
        </w:rPr>
        <w:t>’</w:t>
      </w:r>
      <w:r w:rsidRPr="007126C4">
        <w:rPr>
          <w:szCs w:val="20"/>
          <w:lang w:val="fr-FR"/>
        </w:rPr>
        <w:t>article 18 de la Convention sur l</w:t>
      </w:r>
      <w:r>
        <w:rPr>
          <w:szCs w:val="20"/>
          <w:lang w:val="fr-FR"/>
        </w:rPr>
        <w:t>’</w:t>
      </w:r>
      <w:r w:rsidRPr="007126C4">
        <w:rPr>
          <w:szCs w:val="20"/>
          <w:lang w:val="fr-FR"/>
        </w:rPr>
        <w:t>élimination de toutes les formes de discrimination à l</w:t>
      </w:r>
      <w:r>
        <w:rPr>
          <w:szCs w:val="20"/>
          <w:lang w:val="fr-FR"/>
        </w:rPr>
        <w:t>’</w:t>
      </w:r>
      <w:r w:rsidRPr="007126C4">
        <w:rPr>
          <w:szCs w:val="20"/>
          <w:lang w:val="fr-FR"/>
        </w:rPr>
        <w:t>égard des femmes.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rPr>
          <w:szCs w:val="20"/>
          <w:lang w:val="fr-FR"/>
        </w:rPr>
      </w:pPr>
      <w:r w:rsidRPr="007126C4">
        <w:rPr>
          <w:szCs w:val="20"/>
          <w:lang w:val="fr-FR"/>
        </w:rPr>
        <w:t>5.</w:t>
      </w:r>
      <w:r w:rsidRPr="007126C4">
        <w:rPr>
          <w:szCs w:val="20"/>
          <w:lang w:val="fr-FR"/>
        </w:rPr>
        <w:tab/>
        <w:t>Suite donnée à l</w:t>
      </w:r>
      <w:r>
        <w:rPr>
          <w:szCs w:val="20"/>
          <w:lang w:val="fr-FR"/>
        </w:rPr>
        <w:t>’</w:t>
      </w:r>
      <w:r w:rsidRPr="007126C4">
        <w:rPr>
          <w:szCs w:val="20"/>
          <w:lang w:val="fr-FR"/>
        </w:rPr>
        <w:t>examen des rapports soumis par les États parties en application de l</w:t>
      </w:r>
      <w:r>
        <w:rPr>
          <w:szCs w:val="20"/>
          <w:lang w:val="fr-FR"/>
        </w:rPr>
        <w:t>’</w:t>
      </w:r>
      <w:r w:rsidRPr="007126C4">
        <w:rPr>
          <w:szCs w:val="20"/>
          <w:lang w:val="fr-FR"/>
        </w:rPr>
        <w:t>Article 18 de la Convention sur l</w:t>
      </w:r>
      <w:r>
        <w:rPr>
          <w:szCs w:val="20"/>
          <w:lang w:val="fr-FR"/>
        </w:rPr>
        <w:t>’</w:t>
      </w:r>
      <w:r w:rsidRPr="007126C4">
        <w:rPr>
          <w:szCs w:val="20"/>
          <w:lang w:val="fr-FR"/>
        </w:rPr>
        <w:t>élimination de toutes les formes de discrimination à l</w:t>
      </w:r>
      <w:r>
        <w:rPr>
          <w:szCs w:val="20"/>
          <w:lang w:val="fr-FR"/>
        </w:rPr>
        <w:t>’</w:t>
      </w:r>
      <w:r w:rsidRPr="007126C4">
        <w:rPr>
          <w:szCs w:val="20"/>
          <w:lang w:val="fr-FR"/>
        </w:rPr>
        <w:t>égard des femmes.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rPr>
          <w:szCs w:val="20"/>
          <w:lang w:val="fr-FR"/>
        </w:rPr>
      </w:pPr>
      <w:r w:rsidRPr="007126C4">
        <w:rPr>
          <w:szCs w:val="20"/>
          <w:lang w:val="fr-FR"/>
        </w:rPr>
        <w:t>6.</w:t>
      </w:r>
      <w:r w:rsidRPr="007126C4">
        <w:rPr>
          <w:szCs w:val="20"/>
          <w:lang w:val="fr-FR"/>
        </w:rPr>
        <w:tab/>
        <w:t>Application des articles 21 et 22 de la Convention sur l</w:t>
      </w:r>
      <w:r>
        <w:rPr>
          <w:szCs w:val="20"/>
          <w:lang w:val="fr-FR"/>
        </w:rPr>
        <w:t>’</w:t>
      </w:r>
      <w:r w:rsidRPr="007126C4">
        <w:rPr>
          <w:szCs w:val="20"/>
          <w:lang w:val="fr-FR"/>
        </w:rPr>
        <w:t>élimination de toutes les formes de discrimination à l</w:t>
      </w:r>
      <w:r>
        <w:rPr>
          <w:szCs w:val="20"/>
          <w:lang w:val="fr-FR"/>
        </w:rPr>
        <w:t>’</w:t>
      </w:r>
      <w:r w:rsidRPr="007126C4">
        <w:rPr>
          <w:szCs w:val="20"/>
          <w:lang w:val="fr-FR"/>
        </w:rPr>
        <w:t>égard des femmes.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rPr>
          <w:szCs w:val="20"/>
          <w:lang w:val="fr-FR"/>
        </w:rPr>
      </w:pPr>
      <w:r w:rsidRPr="007126C4">
        <w:rPr>
          <w:szCs w:val="20"/>
          <w:lang w:val="fr-FR"/>
        </w:rPr>
        <w:t>7.</w:t>
      </w:r>
      <w:r w:rsidRPr="007126C4">
        <w:rPr>
          <w:szCs w:val="20"/>
          <w:lang w:val="fr-FR"/>
        </w:rPr>
        <w:tab/>
        <w:t>Moyens d’accélérer les travaux du Comité</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rPr>
          <w:szCs w:val="20"/>
          <w:lang w:val="fr-FR"/>
        </w:rPr>
      </w:pPr>
      <w:r w:rsidRPr="007126C4">
        <w:rPr>
          <w:szCs w:val="20"/>
          <w:lang w:val="fr-FR"/>
        </w:rPr>
        <w:t>8.</w:t>
      </w:r>
      <w:r w:rsidRPr="007126C4">
        <w:rPr>
          <w:szCs w:val="20"/>
          <w:lang w:val="fr-FR"/>
        </w:rPr>
        <w:tab/>
        <w:t>Activités menées par le Comité au titre du Protocole facultatif à la Convention sur l</w:t>
      </w:r>
      <w:r>
        <w:rPr>
          <w:szCs w:val="20"/>
          <w:lang w:val="fr-FR"/>
        </w:rPr>
        <w:t>’</w:t>
      </w:r>
      <w:r w:rsidRPr="007126C4">
        <w:rPr>
          <w:szCs w:val="20"/>
          <w:lang w:val="fr-FR"/>
        </w:rPr>
        <w:t>élimination de toutes les formes de discrimination à l</w:t>
      </w:r>
      <w:r>
        <w:rPr>
          <w:szCs w:val="20"/>
          <w:lang w:val="fr-FR"/>
        </w:rPr>
        <w:t>’</w:t>
      </w:r>
      <w:r w:rsidRPr="007126C4">
        <w:rPr>
          <w:szCs w:val="20"/>
          <w:lang w:val="fr-FR"/>
        </w:rPr>
        <w:t>égard des femmes.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rPr>
          <w:szCs w:val="20"/>
          <w:lang w:val="fr-FR"/>
        </w:rPr>
      </w:pPr>
      <w:r w:rsidRPr="007126C4">
        <w:rPr>
          <w:szCs w:val="20"/>
          <w:lang w:val="fr-FR"/>
        </w:rPr>
        <w:t>9.</w:t>
      </w:r>
      <w:r w:rsidRPr="007126C4">
        <w:rPr>
          <w:szCs w:val="20"/>
          <w:lang w:val="fr-FR"/>
        </w:rPr>
        <w:tab/>
        <w:t>Ordre du jour provisoire de la soixantième session du Comité.</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rPr>
          <w:szCs w:val="20"/>
          <w:lang w:val="fr-FR"/>
        </w:rPr>
      </w:pPr>
      <w:r w:rsidRPr="007126C4">
        <w:rPr>
          <w:szCs w:val="20"/>
          <w:lang w:val="fr-FR"/>
        </w:rPr>
        <w:t>10.</w:t>
      </w:r>
      <w:r w:rsidRPr="007126C4">
        <w:rPr>
          <w:szCs w:val="20"/>
          <w:lang w:val="fr-FR"/>
        </w:rPr>
        <w:tab/>
        <w:t>Adoption du rapport du Comité sur les travaux de sa cinquante-neuvième session.</w:t>
      </w:r>
    </w:p>
    <w:p w:rsidR="007126C4" w:rsidRPr="007126C4" w:rsidRDefault="007126C4" w:rsidP="007126C4">
      <w:pPr>
        <w:pStyle w:val="SingleTxt"/>
        <w:spacing w:after="0" w:line="120" w:lineRule="exact"/>
        <w:rPr>
          <w:sz w:val="10"/>
          <w:lang w:val="fr-FR"/>
        </w:rPr>
      </w:pPr>
    </w:p>
    <w:p w:rsidR="007126C4" w:rsidRPr="007126C4" w:rsidRDefault="007126C4" w:rsidP="007126C4">
      <w:pPr>
        <w:pStyle w:val="SingleTxt"/>
        <w:spacing w:after="0" w:line="120" w:lineRule="exact"/>
        <w:rPr>
          <w:sz w:val="10"/>
          <w:lang w:val="fr-FR"/>
        </w:rPr>
      </w:pPr>
    </w:p>
    <w:p w:rsidR="007126C4" w:rsidRPr="007126C4" w:rsidRDefault="007126C4" w:rsidP="00C35D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Annotations</w:t>
      </w:r>
    </w:p>
    <w:p w:rsidR="007126C4" w:rsidRP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1.</w:t>
      </w:r>
      <w:r w:rsidRPr="007126C4">
        <w:rPr>
          <w:lang w:val="fr-FR"/>
        </w:rPr>
        <w:tab/>
        <w:t>Ouverture de la session</w:t>
      </w:r>
    </w:p>
    <w:p w:rsidR="007126C4" w:rsidRP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Pr="007126C4">
        <w:rPr>
          <w:szCs w:val="20"/>
          <w:lang w:val="fr-FR"/>
        </w:rPr>
        <w:t>La cinquante-neuvième session du Comité pour l</w:t>
      </w:r>
      <w:r>
        <w:rPr>
          <w:szCs w:val="20"/>
          <w:lang w:val="fr-FR"/>
        </w:rPr>
        <w:t>’</w:t>
      </w:r>
      <w:r w:rsidRPr="007126C4">
        <w:rPr>
          <w:szCs w:val="20"/>
          <w:lang w:val="fr-FR"/>
        </w:rPr>
        <w:t>élimination de la discrimination à l</w:t>
      </w:r>
      <w:r>
        <w:rPr>
          <w:szCs w:val="20"/>
          <w:lang w:val="fr-FR"/>
        </w:rPr>
        <w:t>’</w:t>
      </w:r>
      <w:r w:rsidRPr="007126C4">
        <w:rPr>
          <w:szCs w:val="20"/>
          <w:lang w:val="fr-FR"/>
        </w:rPr>
        <w:t>égard de femmes sera ouverte par la Présidente du Comité.</w:t>
      </w:r>
    </w:p>
    <w:p w:rsidR="00444035" w:rsidRPr="00444035" w:rsidRDefault="00444035" w:rsidP="0044403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2.</w:t>
      </w:r>
      <w:r w:rsidRPr="007126C4">
        <w:rPr>
          <w:lang w:val="fr-FR"/>
        </w:rPr>
        <w:tab/>
        <w:t>Adoption de l</w:t>
      </w:r>
      <w:r>
        <w:rPr>
          <w:lang w:val="fr-FR"/>
        </w:rPr>
        <w:t>’</w:t>
      </w:r>
      <w:r w:rsidRPr="007126C4">
        <w:rPr>
          <w:lang w:val="fr-FR"/>
        </w:rPr>
        <w:t>ordre du jour et organisation des travaux</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Pr="007126C4">
        <w:rPr>
          <w:szCs w:val="20"/>
          <w:lang w:val="fr-FR"/>
        </w:rPr>
        <w:t>Aux termes de l</w:t>
      </w:r>
      <w:r>
        <w:rPr>
          <w:szCs w:val="20"/>
          <w:lang w:val="fr-FR"/>
        </w:rPr>
        <w:t>’</w:t>
      </w:r>
      <w:r w:rsidRPr="007126C4">
        <w:rPr>
          <w:szCs w:val="20"/>
          <w:lang w:val="fr-FR"/>
        </w:rPr>
        <w:t>Article 9 du Règlement intérieur, la première question inscrite à l</w:t>
      </w:r>
      <w:r>
        <w:rPr>
          <w:szCs w:val="20"/>
          <w:lang w:val="fr-FR"/>
        </w:rPr>
        <w:t>’</w:t>
      </w:r>
      <w:r w:rsidRPr="007126C4">
        <w:rPr>
          <w:szCs w:val="20"/>
          <w:lang w:val="fr-FR"/>
        </w:rPr>
        <w:t>ordre jour provisoire de chaque session est l</w:t>
      </w:r>
      <w:r>
        <w:rPr>
          <w:szCs w:val="20"/>
          <w:lang w:val="fr-FR"/>
        </w:rPr>
        <w:t>’</w:t>
      </w:r>
      <w:r w:rsidRPr="007126C4">
        <w:rPr>
          <w:szCs w:val="20"/>
          <w:lang w:val="fr-FR"/>
        </w:rPr>
        <w:t>adoption de l</w:t>
      </w:r>
      <w:r>
        <w:rPr>
          <w:szCs w:val="20"/>
          <w:lang w:val="fr-FR"/>
        </w:rPr>
        <w:t>’</w:t>
      </w:r>
      <w:r w:rsidRPr="007126C4">
        <w:rPr>
          <w:szCs w:val="20"/>
          <w:lang w:val="fr-FR"/>
        </w:rPr>
        <w:t>ordre du jour. Aux termes de l</w:t>
      </w:r>
      <w:r>
        <w:rPr>
          <w:szCs w:val="20"/>
          <w:lang w:val="fr-FR"/>
        </w:rPr>
        <w:t>’</w:t>
      </w:r>
      <w:r w:rsidRPr="007126C4">
        <w:rPr>
          <w:szCs w:val="20"/>
          <w:lang w:val="fr-FR"/>
        </w:rPr>
        <w:t>Article 7, l</w:t>
      </w:r>
      <w:r>
        <w:rPr>
          <w:szCs w:val="20"/>
          <w:lang w:val="fr-FR"/>
        </w:rPr>
        <w:t>’</w:t>
      </w:r>
      <w:r w:rsidRPr="007126C4">
        <w:rPr>
          <w:szCs w:val="20"/>
          <w:lang w:val="fr-FR"/>
        </w:rPr>
        <w:t>ordre du jour provisoire de chaque session établi par le Secrétaire général en consultation avec la présidence du Comité, conformément aux dispositions pertinentes des articles 17 à 22 de la Convention.</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Pr="007126C4">
        <w:rPr>
          <w:szCs w:val="20"/>
          <w:lang w:val="fr-FR"/>
        </w:rPr>
        <w:t>À sa cinquante-huitième session, le Comité a approuvé l</w:t>
      </w:r>
      <w:r>
        <w:rPr>
          <w:szCs w:val="20"/>
          <w:lang w:val="fr-FR"/>
        </w:rPr>
        <w:t>’</w:t>
      </w:r>
      <w:r w:rsidRPr="007126C4">
        <w:rPr>
          <w:szCs w:val="20"/>
          <w:lang w:val="fr-FR"/>
        </w:rPr>
        <w:t>ordre du jour provisoire de la cinquante-neuvième session.</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3.</w:t>
      </w:r>
      <w:r w:rsidRPr="007126C4">
        <w:rPr>
          <w:lang w:val="fr-FR"/>
        </w:rPr>
        <w:tab/>
        <w:t xml:space="preserve">Rapport de la Présidente sur les activités menées </w:t>
      </w:r>
      <w:r w:rsidR="00444035">
        <w:rPr>
          <w:lang w:val="fr-FR"/>
        </w:rPr>
        <w:br/>
      </w:r>
      <w:r w:rsidRPr="007126C4">
        <w:rPr>
          <w:lang w:val="fr-FR"/>
        </w:rPr>
        <w:t xml:space="preserve">entre les cinquante-huitième et cinquante-neuvième sessions </w:t>
      </w:r>
      <w:r w:rsidR="00444035">
        <w:rPr>
          <w:lang w:val="fr-FR"/>
        </w:rPr>
        <w:br/>
      </w:r>
      <w:r w:rsidRPr="007126C4">
        <w:rPr>
          <w:lang w:val="fr-FR"/>
        </w:rPr>
        <w:t>du Comité</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Pr="007126C4">
        <w:rPr>
          <w:szCs w:val="20"/>
          <w:lang w:val="fr-FR"/>
        </w:rPr>
        <w:t>Au titre du point 3, la Présidente rendra compte au Comité des activités menées et des faits nouveaux survenus depuis la session précédente qui ont une incidence sur les travaux du Comité.</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Documentation</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Ordre du jour provisoire et annotations (</w:t>
      </w:r>
      <w:hyperlink r:id="rId14" w:history="1">
        <w:r w:rsidRPr="007126C4">
          <w:rPr>
            <w:color w:val="0000FF"/>
            <w:szCs w:val="20"/>
            <w:lang w:val="fr-FR"/>
          </w:rPr>
          <w:t>CEDAW/C/59/1</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4.</w:t>
      </w:r>
      <w:r w:rsidRPr="007126C4">
        <w:rPr>
          <w:lang w:val="fr-FR"/>
        </w:rPr>
        <w:tab/>
        <w:t xml:space="preserve">Examen des rapports soumis par les États parties en application </w:t>
      </w:r>
      <w:r w:rsidR="00444035">
        <w:rPr>
          <w:lang w:val="fr-FR"/>
        </w:rPr>
        <w:br/>
      </w:r>
      <w:r w:rsidRPr="007126C4">
        <w:rPr>
          <w:lang w:val="fr-FR"/>
        </w:rPr>
        <w:t>de l</w:t>
      </w:r>
      <w:r>
        <w:rPr>
          <w:lang w:val="fr-FR"/>
        </w:rPr>
        <w:t>’</w:t>
      </w:r>
      <w:r w:rsidRPr="007126C4">
        <w:rPr>
          <w:lang w:val="fr-FR"/>
        </w:rPr>
        <w:t>article 18 de la Convention sur l</w:t>
      </w:r>
      <w:r>
        <w:rPr>
          <w:lang w:val="fr-FR"/>
        </w:rPr>
        <w:t>’</w:t>
      </w:r>
      <w:r w:rsidRPr="007126C4">
        <w:rPr>
          <w:lang w:val="fr-FR"/>
        </w:rPr>
        <w:t xml:space="preserve">élimination de toutes les formes </w:t>
      </w:r>
      <w:r w:rsidR="00444035">
        <w:rPr>
          <w:lang w:val="fr-FR"/>
        </w:rPr>
        <w:br/>
      </w:r>
      <w:r w:rsidRPr="007126C4">
        <w:rPr>
          <w:lang w:val="fr-FR"/>
        </w:rPr>
        <w:t>de discrimination à l</w:t>
      </w:r>
      <w:r>
        <w:rPr>
          <w:lang w:val="fr-FR"/>
        </w:rPr>
        <w:t>’</w:t>
      </w:r>
      <w:r w:rsidRPr="007126C4">
        <w:rPr>
          <w:lang w:val="fr-FR"/>
        </w:rPr>
        <w:t>égard des femmes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Aux termes de l</w:t>
      </w:r>
      <w:r w:rsidR="007126C4">
        <w:rPr>
          <w:szCs w:val="20"/>
          <w:lang w:val="fr-FR"/>
        </w:rPr>
        <w:t>’</w:t>
      </w:r>
      <w:r w:rsidR="007126C4" w:rsidRPr="007126C4">
        <w:rPr>
          <w:szCs w:val="20"/>
          <w:lang w:val="fr-FR"/>
        </w:rPr>
        <w:t>Article 18 de la Convention, les États parties s</w:t>
      </w:r>
      <w:r w:rsidR="007126C4">
        <w:rPr>
          <w:szCs w:val="20"/>
          <w:lang w:val="fr-FR"/>
        </w:rPr>
        <w:t>’</w:t>
      </w:r>
      <w:r w:rsidR="007126C4" w:rsidRPr="007126C4">
        <w:rPr>
          <w:szCs w:val="20"/>
          <w:lang w:val="fr-FR"/>
        </w:rPr>
        <w:t>engagent à présenter au Secrétaire général, pour examen par le Comité, un rapport sur les mesures d</w:t>
      </w:r>
      <w:r w:rsidR="007126C4">
        <w:rPr>
          <w:szCs w:val="20"/>
          <w:lang w:val="fr-FR"/>
        </w:rPr>
        <w:t>’</w:t>
      </w:r>
      <w:r w:rsidR="007126C4" w:rsidRPr="007126C4">
        <w:rPr>
          <w:szCs w:val="20"/>
          <w:lang w:val="fr-FR"/>
        </w:rPr>
        <w:t>ordre législatif, judiciaire et administratif ou autre qu</w:t>
      </w:r>
      <w:r w:rsidR="007126C4">
        <w:rPr>
          <w:szCs w:val="20"/>
          <w:lang w:val="fr-FR"/>
        </w:rPr>
        <w:t>’</w:t>
      </w:r>
      <w:r w:rsidR="007126C4" w:rsidRPr="007126C4">
        <w:rPr>
          <w:szCs w:val="20"/>
          <w:lang w:val="fr-FR"/>
        </w:rPr>
        <w:t>ils ont adoptées pour donner effet aux dispositions de la Convention et sur les progrès réalisés à cet égard. Les rapports doivent être soumis dans l</w:t>
      </w:r>
      <w:r w:rsidR="007126C4">
        <w:rPr>
          <w:szCs w:val="20"/>
          <w:lang w:val="fr-FR"/>
        </w:rPr>
        <w:t>’</w:t>
      </w:r>
      <w:r w:rsidR="007126C4" w:rsidRPr="007126C4">
        <w:rPr>
          <w:szCs w:val="20"/>
          <w:lang w:val="fr-FR"/>
        </w:rPr>
        <w:t>année suivant l</w:t>
      </w:r>
      <w:r w:rsidR="007126C4">
        <w:rPr>
          <w:szCs w:val="20"/>
          <w:lang w:val="fr-FR"/>
        </w:rPr>
        <w:t>’</w:t>
      </w:r>
      <w:r w:rsidR="007126C4" w:rsidRPr="007126C4">
        <w:rPr>
          <w:szCs w:val="20"/>
          <w:lang w:val="fr-FR"/>
        </w:rPr>
        <w:t>entrée en vigueur de la Convention dans l</w:t>
      </w:r>
      <w:r w:rsidR="007126C4">
        <w:rPr>
          <w:szCs w:val="20"/>
          <w:lang w:val="fr-FR"/>
        </w:rPr>
        <w:t>’</w:t>
      </w:r>
      <w:r w:rsidR="007126C4" w:rsidRPr="007126C4">
        <w:rPr>
          <w:szCs w:val="20"/>
          <w:lang w:val="fr-FR"/>
        </w:rPr>
        <w:t>État intéressé, puis tous les quatre ans, ainsi qu</w:t>
      </w:r>
      <w:r w:rsidR="007126C4">
        <w:rPr>
          <w:szCs w:val="20"/>
          <w:lang w:val="fr-FR"/>
        </w:rPr>
        <w:t>’</w:t>
      </w:r>
      <w:r w:rsidR="007126C4" w:rsidRPr="007126C4">
        <w:rPr>
          <w:szCs w:val="20"/>
          <w:lang w:val="fr-FR"/>
        </w:rPr>
        <w:t>à la demande du Comité.</w:t>
      </w: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À la cinquante-neuvième session, le Comité doit examiner les rapports des États suivants : Belgique, Brunéi Darussalam, Chine, Ghana, Guinée, Îles Salomon, Pologne et Venezuela.</w:t>
      </w: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Aux termes de l</w:t>
      </w:r>
      <w:r w:rsidR="007126C4">
        <w:rPr>
          <w:szCs w:val="20"/>
          <w:lang w:val="fr-FR"/>
        </w:rPr>
        <w:t>’</w:t>
      </w:r>
      <w:r w:rsidR="007126C4" w:rsidRPr="007126C4">
        <w:rPr>
          <w:szCs w:val="20"/>
          <w:lang w:val="fr-FR"/>
        </w:rPr>
        <w:t>Article 51 du Règlement intérieur, les représentants des États parties sont invités à assister aux réunions du Comité au cours desquelles leurs rapports sont examinés et participent aux débats et répondent aux questions concernant le rapport.</w:t>
      </w: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Aux termes de l</w:t>
      </w:r>
      <w:r w:rsidR="007126C4">
        <w:rPr>
          <w:szCs w:val="20"/>
          <w:lang w:val="fr-FR"/>
        </w:rPr>
        <w:t>’</w:t>
      </w:r>
      <w:r w:rsidR="007126C4" w:rsidRPr="007126C4">
        <w:rPr>
          <w:szCs w:val="20"/>
          <w:lang w:val="fr-FR"/>
        </w:rPr>
        <w:t>Article 49 du Règlement intérieur, à chaque session, le Secrétaire général fait part au Comité de tous les cas de non-présentation des rapports demandés aux États parties en application de l</w:t>
      </w:r>
      <w:r w:rsidR="007126C4">
        <w:rPr>
          <w:szCs w:val="20"/>
          <w:lang w:val="fr-FR"/>
        </w:rPr>
        <w:t>’</w:t>
      </w:r>
      <w:r w:rsidR="007126C4" w:rsidRPr="007126C4">
        <w:rPr>
          <w:szCs w:val="20"/>
          <w:lang w:val="fr-FR"/>
        </w:rPr>
        <w:t>article 18 de la Convention. En outre, il lui remet une liste des rapports que le Comité n</w:t>
      </w:r>
      <w:r w:rsidR="007126C4">
        <w:rPr>
          <w:szCs w:val="20"/>
          <w:lang w:val="fr-FR"/>
        </w:rPr>
        <w:t>’</w:t>
      </w:r>
      <w:r w:rsidR="007126C4" w:rsidRPr="007126C4">
        <w:rPr>
          <w:szCs w:val="20"/>
          <w:lang w:val="fr-FR"/>
        </w:rPr>
        <w:t>a pas encore examinés.</w:t>
      </w: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À la cinquante-neuvième session, le Comité sera informé de la situation concernant la présentation de rapports par les États parties en application de l</w:t>
      </w:r>
      <w:r w:rsidR="007126C4">
        <w:rPr>
          <w:szCs w:val="20"/>
          <w:lang w:val="fr-FR"/>
        </w:rPr>
        <w:t>’</w:t>
      </w:r>
      <w:r w:rsidR="007126C4" w:rsidRPr="007126C4">
        <w:rPr>
          <w:szCs w:val="20"/>
          <w:lang w:val="fr-FR"/>
        </w:rPr>
        <w:t>article 18 de la Convention.</w:t>
      </w: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Un groupe de travail du Comité se réunit avant chaque session pour établir une liste de questions suscitées par les rapports, lesquelles sont transmises aux États parties avant les séances au cours desquelles leurs rapports doivent être examinés. Le groupe de travail de la cinquante-neuvième session s</w:t>
      </w:r>
      <w:r w:rsidR="007126C4">
        <w:rPr>
          <w:szCs w:val="20"/>
          <w:lang w:val="fr-FR"/>
        </w:rPr>
        <w:t>’</w:t>
      </w:r>
      <w:r w:rsidR="007126C4" w:rsidRPr="007126C4">
        <w:rPr>
          <w:szCs w:val="20"/>
          <w:lang w:val="fr-FR"/>
        </w:rPr>
        <w:t>est réuni à Genève du 3 au 7 mars 2014. Le Comité sera saisi de son rapport (</w:t>
      </w:r>
      <w:hyperlink r:id="rId15" w:history="1">
        <w:r w:rsidR="007126C4" w:rsidRPr="007126C4">
          <w:rPr>
            <w:color w:val="0000FF"/>
            <w:szCs w:val="20"/>
            <w:lang w:val="fr-FR"/>
          </w:rPr>
          <w:t>CEDAW/C/PSWG/59/1</w:t>
        </w:r>
      </w:hyperlink>
      <w:r w:rsidR="007126C4" w:rsidRPr="007126C4">
        <w:rPr>
          <w:szCs w:val="20"/>
          <w:lang w:val="fr-FR"/>
        </w:rPr>
        <w:t xml:space="preserve">) et des réponses des États parties aux questions. </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Documentation</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Rapports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Septième rapport périodique de la Belgique (</w:t>
      </w:r>
      <w:hyperlink r:id="rId16" w:history="1">
        <w:r w:rsidRPr="007126C4">
          <w:rPr>
            <w:color w:val="0000FF"/>
            <w:szCs w:val="20"/>
            <w:lang w:val="fr-FR"/>
          </w:rPr>
          <w:t>CEDAW/C/BEL/7</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Rapport unique valant premier et deuxième rapports périodiques du Brunéi Darussalam (</w:t>
      </w:r>
      <w:hyperlink r:id="rId17" w:history="1">
        <w:r w:rsidRPr="007126C4">
          <w:rPr>
            <w:color w:val="0000FF"/>
            <w:szCs w:val="20"/>
            <w:lang w:val="fr-FR"/>
          </w:rPr>
          <w:t>CEDAW/C/BRN/1-2</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Rapport unique valant septième et huitième rapports périodiques de la Chine (</w:t>
      </w:r>
      <w:hyperlink r:id="rId18" w:history="1">
        <w:r w:rsidRPr="007126C4">
          <w:rPr>
            <w:color w:val="0000FF"/>
            <w:szCs w:val="20"/>
            <w:lang w:val="fr-FR"/>
          </w:rPr>
          <w:t>CEDAW/C/CHN/7-8</w:t>
        </w:r>
      </w:hyperlink>
      <w:r w:rsidRPr="007126C4">
        <w:rPr>
          <w:szCs w:val="20"/>
          <w:lang w:val="fr-FR"/>
        </w:rPr>
        <w:t xml:space="preserve">, </w:t>
      </w:r>
      <w:hyperlink r:id="rId19" w:history="1">
        <w:r w:rsidRPr="007126C4">
          <w:rPr>
            <w:color w:val="0000FF"/>
            <w:szCs w:val="20"/>
            <w:lang w:val="fr-FR"/>
          </w:rPr>
          <w:t>CEDAW/C/CHN-HKG/7-8</w:t>
        </w:r>
      </w:hyperlink>
      <w:r w:rsidRPr="007126C4">
        <w:rPr>
          <w:szCs w:val="20"/>
          <w:lang w:val="fr-FR"/>
        </w:rPr>
        <w:t xml:space="preserve"> et </w:t>
      </w:r>
      <w:hyperlink r:id="rId20" w:history="1">
        <w:r w:rsidRPr="007126C4">
          <w:rPr>
            <w:color w:val="0000FF"/>
            <w:szCs w:val="20"/>
            <w:lang w:val="fr-FR"/>
          </w:rPr>
          <w:t>CEDAW/C/CHN-MAC/7-8</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Rapport unique valant sixième et septième rapports périodiques du Ghana (</w:t>
      </w:r>
      <w:hyperlink r:id="rId21" w:history="1">
        <w:r w:rsidRPr="007126C4">
          <w:rPr>
            <w:color w:val="0000FF"/>
            <w:szCs w:val="20"/>
            <w:lang w:val="fr-FR"/>
          </w:rPr>
          <w:t>CEDAW/C/GHA/6-7</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Rapport unique valant septième et huitième rapports périodiques de la Guinée (</w:t>
      </w:r>
      <w:hyperlink r:id="rId22" w:history="1">
        <w:r w:rsidRPr="007126C4">
          <w:rPr>
            <w:color w:val="0000FF"/>
            <w:szCs w:val="20"/>
            <w:lang w:val="fr-FR"/>
          </w:rPr>
          <w:t>CEDAW/C/GIN/7-8</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Rapport initial, deuxième et troisième rapports périodiques des Îles Salomon (</w:t>
      </w:r>
      <w:hyperlink r:id="rId23" w:history="1">
        <w:r w:rsidRPr="007126C4">
          <w:rPr>
            <w:color w:val="0000FF"/>
            <w:szCs w:val="20"/>
            <w:lang w:val="fr-FR"/>
          </w:rPr>
          <w:t>CEDAW/C/SLB/1-3</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Rapport unique valant septième et huitième rapports périodiques de la Pologne (</w:t>
      </w:r>
      <w:hyperlink r:id="rId24" w:history="1">
        <w:r w:rsidRPr="007126C4">
          <w:rPr>
            <w:color w:val="0000FF"/>
            <w:szCs w:val="20"/>
            <w:lang w:val="fr-FR"/>
          </w:rPr>
          <w:t>CEDAW/C/POL/7-8</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Rapport unique valant septième et huitième rapports périodiques du Venezuela (</w:t>
      </w:r>
      <w:hyperlink r:id="rId25" w:history="1">
        <w:r w:rsidRPr="007126C4">
          <w:rPr>
            <w:color w:val="0000FF"/>
            <w:szCs w:val="20"/>
            <w:lang w:val="fr-FR"/>
          </w:rPr>
          <w:t>CEDAW/C/VEN/7-8</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Listes des questions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Belgique(</w:t>
      </w:r>
      <w:hyperlink r:id="rId26" w:history="1">
        <w:r w:rsidRPr="007126C4">
          <w:rPr>
            <w:color w:val="0000FF"/>
            <w:szCs w:val="20"/>
            <w:lang w:val="fr-FR"/>
          </w:rPr>
          <w:t>CEDAW/C/BEL/Q/7</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Brunéi Darussalam (</w:t>
      </w:r>
      <w:hyperlink r:id="rId27" w:history="1">
        <w:r w:rsidRPr="007126C4">
          <w:rPr>
            <w:color w:val="0000FF"/>
            <w:szCs w:val="20"/>
            <w:lang w:val="fr-FR"/>
          </w:rPr>
          <w:t>CEDAW/C/BRN/Q/1-2</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Chine (</w:t>
      </w:r>
      <w:hyperlink r:id="rId28" w:history="1">
        <w:r w:rsidRPr="007126C4">
          <w:rPr>
            <w:color w:val="0000FF"/>
            <w:szCs w:val="20"/>
            <w:lang w:val="fr-FR"/>
          </w:rPr>
          <w:t>CEDAW/C/CHN/Q/7-8</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en-GB"/>
        </w:rPr>
      </w:pPr>
      <w:smartTag w:uri="urn:schemas-microsoft-com:office:smarttags" w:element="country-region">
        <w:smartTag w:uri="urn:schemas-microsoft-com:office:smarttags" w:element="place">
          <w:r w:rsidRPr="007126C4">
            <w:rPr>
              <w:szCs w:val="20"/>
              <w:lang w:val="en-GB"/>
            </w:rPr>
            <w:t>Ghana</w:t>
          </w:r>
        </w:smartTag>
      </w:smartTag>
      <w:r w:rsidRPr="007126C4">
        <w:rPr>
          <w:szCs w:val="20"/>
          <w:lang w:val="en-GB"/>
        </w:rPr>
        <w:t xml:space="preserve"> (</w:t>
      </w:r>
      <w:hyperlink r:id="rId29" w:history="1">
        <w:r w:rsidRPr="007126C4">
          <w:rPr>
            <w:color w:val="0000FF"/>
            <w:szCs w:val="20"/>
            <w:lang w:val="en-GB"/>
          </w:rPr>
          <w:t>CEDAW/C/GHA/Q/6-7</w:t>
        </w:r>
      </w:hyperlink>
      <w:r w:rsidRPr="007126C4">
        <w:rPr>
          <w:szCs w:val="20"/>
          <w:lang w:val="en-GB"/>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Guinée (</w:t>
      </w:r>
      <w:hyperlink r:id="rId30" w:history="1">
        <w:r w:rsidRPr="007126C4">
          <w:rPr>
            <w:color w:val="0000FF"/>
            <w:szCs w:val="20"/>
            <w:lang w:val="fr-FR"/>
          </w:rPr>
          <w:t>CEDAW/C/GIN/Q/7-8</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Îles Salomon (</w:t>
      </w:r>
      <w:hyperlink r:id="rId31" w:history="1">
        <w:r w:rsidRPr="007126C4">
          <w:rPr>
            <w:color w:val="0000FF"/>
            <w:szCs w:val="20"/>
            <w:lang w:val="fr-FR"/>
          </w:rPr>
          <w:t>CEDAW/C/SLB/Q/1-3</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Pologne (</w:t>
      </w:r>
      <w:hyperlink r:id="rId32" w:history="1">
        <w:r w:rsidRPr="007126C4">
          <w:rPr>
            <w:color w:val="0000FF"/>
            <w:szCs w:val="20"/>
            <w:lang w:val="fr-FR"/>
          </w:rPr>
          <w:t>CEDAW/C/POL/Q/7-8</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Venezuela (</w:t>
      </w:r>
      <w:hyperlink r:id="rId33" w:history="1">
        <w:r w:rsidRPr="007126C4">
          <w:rPr>
            <w:color w:val="0000FF"/>
            <w:szCs w:val="20"/>
            <w:lang w:val="fr-FR"/>
          </w:rPr>
          <w:t>CEDAW/C/VEN/Q/7-8</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 xml:space="preserve">Réponses aux questions </w:t>
      </w:r>
    </w:p>
    <w:p w:rsidR="007126C4" w:rsidRP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Belgique (</w:t>
      </w:r>
      <w:hyperlink r:id="rId34" w:history="1">
        <w:r w:rsidRPr="007126C4">
          <w:rPr>
            <w:color w:val="0000FF"/>
            <w:szCs w:val="20"/>
            <w:lang w:val="fr-FR"/>
          </w:rPr>
          <w:t>CEDAW/C/BEL/Q/7/Add.1</w:t>
        </w:r>
      </w:hyperlink>
      <w:r w:rsidRPr="007126C4">
        <w:rPr>
          <w:szCs w:val="20"/>
          <w:lang w:val="fr-FR"/>
        </w:rPr>
        <w:t>)</w:t>
      </w:r>
    </w:p>
    <w:p w:rsidR="007126C4" w:rsidRP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ind w:left="1267" w:right="1267"/>
        <w:jc w:val="both"/>
        <w:rPr>
          <w:szCs w:val="20"/>
          <w:lang w:val="fr-FR"/>
        </w:rPr>
      </w:pPr>
      <w:r w:rsidRPr="007126C4">
        <w:rPr>
          <w:szCs w:val="20"/>
          <w:lang w:val="fr-FR"/>
        </w:rPr>
        <w:t>Brunéi Darussalam (</w:t>
      </w:r>
      <w:hyperlink r:id="rId35" w:history="1">
        <w:r w:rsidRPr="007126C4">
          <w:rPr>
            <w:color w:val="0000FF"/>
            <w:szCs w:val="20"/>
            <w:lang w:val="fr-FR"/>
          </w:rPr>
          <w:t>CEDAW/C/BRN/Q/1-2/Add.1</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ind w:left="1267" w:right="1267"/>
        <w:jc w:val="both"/>
        <w:rPr>
          <w:szCs w:val="20"/>
          <w:lang w:val="fr-FR"/>
        </w:rPr>
      </w:pPr>
      <w:r w:rsidRPr="007126C4">
        <w:rPr>
          <w:szCs w:val="20"/>
          <w:lang w:val="fr-FR"/>
        </w:rPr>
        <w:t>Chine (</w:t>
      </w:r>
      <w:hyperlink r:id="rId36" w:history="1">
        <w:r w:rsidRPr="007126C4">
          <w:rPr>
            <w:color w:val="0000FF"/>
            <w:szCs w:val="20"/>
            <w:lang w:val="fr-FR"/>
          </w:rPr>
          <w:t>CEDAW/C/CHN/Q/7-8/Add.1</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ind w:left="1267" w:right="1267"/>
        <w:jc w:val="both"/>
        <w:rPr>
          <w:szCs w:val="20"/>
          <w:lang w:val="en-GB"/>
        </w:rPr>
      </w:pPr>
      <w:smartTag w:uri="urn:schemas-microsoft-com:office:smarttags" w:element="country-region">
        <w:smartTag w:uri="urn:schemas-microsoft-com:office:smarttags" w:element="place">
          <w:r w:rsidRPr="007126C4">
            <w:rPr>
              <w:szCs w:val="20"/>
              <w:lang w:val="en-GB"/>
            </w:rPr>
            <w:t>Ghana</w:t>
          </w:r>
        </w:smartTag>
      </w:smartTag>
      <w:r w:rsidRPr="007126C4">
        <w:rPr>
          <w:szCs w:val="20"/>
          <w:lang w:val="en-GB"/>
        </w:rPr>
        <w:t xml:space="preserve"> (</w:t>
      </w:r>
      <w:hyperlink r:id="rId37" w:history="1">
        <w:r w:rsidRPr="007126C4">
          <w:rPr>
            <w:color w:val="0000FF"/>
            <w:szCs w:val="20"/>
            <w:lang w:val="en-GB"/>
          </w:rPr>
          <w:t>CEDAW/C/GHA/Q/6-7/Add.1</w:t>
        </w:r>
      </w:hyperlink>
      <w:r w:rsidRPr="007126C4">
        <w:rPr>
          <w:szCs w:val="20"/>
          <w:lang w:val="en-GB"/>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ind w:left="1267" w:right="1267"/>
        <w:jc w:val="both"/>
        <w:rPr>
          <w:szCs w:val="20"/>
          <w:lang w:val="en-GB"/>
        </w:rPr>
      </w:pPr>
      <w:r w:rsidRPr="007126C4">
        <w:rPr>
          <w:szCs w:val="20"/>
          <w:lang w:val="en-GB"/>
        </w:rPr>
        <w:t>Guinée (</w:t>
      </w:r>
      <w:hyperlink r:id="rId38" w:history="1">
        <w:r w:rsidRPr="007126C4">
          <w:rPr>
            <w:color w:val="0000FF"/>
            <w:szCs w:val="20"/>
            <w:lang w:val="en-GB"/>
          </w:rPr>
          <w:t>CEDAW/C/GIN/Q/7-8/Add.1</w:t>
        </w:r>
      </w:hyperlink>
      <w:r w:rsidRPr="007126C4">
        <w:rPr>
          <w:szCs w:val="20"/>
          <w:lang w:val="en-GB"/>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ind w:left="1267" w:right="1267"/>
        <w:jc w:val="both"/>
        <w:rPr>
          <w:szCs w:val="20"/>
          <w:lang w:val="en-GB"/>
        </w:rPr>
      </w:pPr>
      <w:r w:rsidRPr="007126C4">
        <w:rPr>
          <w:szCs w:val="20"/>
          <w:lang w:val="en-GB"/>
        </w:rPr>
        <w:t>Îles Salomon (</w:t>
      </w:r>
      <w:hyperlink r:id="rId39" w:history="1">
        <w:r w:rsidRPr="007126C4">
          <w:rPr>
            <w:color w:val="0000FF"/>
            <w:szCs w:val="20"/>
            <w:lang w:val="en-GB"/>
          </w:rPr>
          <w:t>CEDAW/C/SLB/Q/1-3/Add.1</w:t>
        </w:r>
      </w:hyperlink>
      <w:r w:rsidRPr="007126C4">
        <w:rPr>
          <w:szCs w:val="20"/>
          <w:lang w:val="en-GB"/>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ind w:left="1267" w:right="1267"/>
        <w:jc w:val="both"/>
        <w:rPr>
          <w:szCs w:val="20"/>
          <w:lang w:val="en-GB"/>
        </w:rPr>
      </w:pPr>
      <w:r w:rsidRPr="007126C4">
        <w:rPr>
          <w:szCs w:val="20"/>
          <w:lang w:val="en-GB"/>
        </w:rPr>
        <w:t>Pologne (</w:t>
      </w:r>
      <w:hyperlink r:id="rId40" w:history="1">
        <w:r w:rsidRPr="007126C4">
          <w:rPr>
            <w:color w:val="0000FF"/>
            <w:szCs w:val="20"/>
            <w:lang w:val="en-GB"/>
          </w:rPr>
          <w:t>CEDAW/C/POL/Q/7-8/Add.1</w:t>
        </w:r>
      </w:hyperlink>
      <w:r w:rsidRPr="007126C4">
        <w:rPr>
          <w:szCs w:val="20"/>
          <w:lang w:val="en-GB"/>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ind w:left="1267" w:right="1267"/>
        <w:jc w:val="both"/>
        <w:rPr>
          <w:szCs w:val="20"/>
          <w:lang w:val="fr-FR"/>
        </w:rPr>
      </w:pPr>
      <w:r w:rsidRPr="007126C4">
        <w:rPr>
          <w:szCs w:val="20"/>
          <w:lang w:val="fr-FR"/>
        </w:rPr>
        <w:t>Venezuela (</w:t>
      </w:r>
      <w:hyperlink r:id="rId41" w:history="1">
        <w:r w:rsidRPr="007126C4">
          <w:rPr>
            <w:color w:val="0000FF"/>
            <w:szCs w:val="20"/>
            <w:lang w:val="fr-FR"/>
          </w:rPr>
          <w:t>CEDAW/C/VEN/Q/7-8/Add.1</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5.</w:t>
      </w:r>
      <w:r w:rsidRPr="007126C4">
        <w:rPr>
          <w:lang w:val="fr-FR"/>
        </w:rPr>
        <w:tab/>
        <w:t>Suite donnée à l</w:t>
      </w:r>
      <w:r>
        <w:rPr>
          <w:lang w:val="fr-FR"/>
        </w:rPr>
        <w:t>’</w:t>
      </w:r>
      <w:r w:rsidRPr="007126C4">
        <w:rPr>
          <w:lang w:val="fr-FR"/>
        </w:rPr>
        <w:t xml:space="preserve">examen des rapports soumis par les États parties </w:t>
      </w:r>
      <w:r w:rsidR="00444035">
        <w:rPr>
          <w:lang w:val="fr-FR"/>
        </w:rPr>
        <w:br/>
      </w:r>
      <w:r w:rsidRPr="007126C4">
        <w:rPr>
          <w:lang w:val="fr-FR"/>
        </w:rPr>
        <w:t>en application de l</w:t>
      </w:r>
      <w:r>
        <w:rPr>
          <w:lang w:val="fr-FR"/>
        </w:rPr>
        <w:t>’</w:t>
      </w:r>
      <w:r w:rsidRPr="007126C4">
        <w:rPr>
          <w:lang w:val="fr-FR"/>
        </w:rPr>
        <w:t>article 18 de la Convention sur l</w:t>
      </w:r>
      <w:r>
        <w:rPr>
          <w:lang w:val="fr-FR"/>
        </w:rPr>
        <w:t>’</w:t>
      </w:r>
      <w:r w:rsidRPr="007126C4">
        <w:rPr>
          <w:lang w:val="fr-FR"/>
        </w:rPr>
        <w:t xml:space="preserve">élimination </w:t>
      </w:r>
      <w:r w:rsidR="00444035">
        <w:rPr>
          <w:lang w:val="fr-FR"/>
        </w:rPr>
        <w:br/>
      </w:r>
      <w:r w:rsidRPr="007126C4">
        <w:rPr>
          <w:lang w:val="fr-FR"/>
        </w:rPr>
        <w:t>de toutes les formes de discrimination à l</w:t>
      </w:r>
      <w:r>
        <w:rPr>
          <w:lang w:val="fr-FR"/>
        </w:rPr>
        <w:t>’</w:t>
      </w:r>
      <w:r w:rsidRPr="007126C4">
        <w:rPr>
          <w:lang w:val="fr-FR"/>
        </w:rPr>
        <w:t>égard des femmes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Le Comité examinera les questions se rapportant à la suite donnée à ses observations finales.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6.</w:t>
      </w:r>
      <w:r w:rsidRPr="007126C4">
        <w:rPr>
          <w:lang w:val="fr-FR"/>
        </w:rPr>
        <w:tab/>
        <w:t>Application des articles 21 et 22 de la Convention sur l</w:t>
      </w:r>
      <w:r>
        <w:rPr>
          <w:lang w:val="fr-FR"/>
        </w:rPr>
        <w:t>’</w:t>
      </w:r>
      <w:r w:rsidRPr="007126C4">
        <w:rPr>
          <w:lang w:val="fr-FR"/>
        </w:rPr>
        <w:t xml:space="preserve">élimination </w:t>
      </w:r>
      <w:r w:rsidR="00444035">
        <w:rPr>
          <w:lang w:val="fr-FR"/>
        </w:rPr>
        <w:br/>
      </w:r>
      <w:r w:rsidRPr="007126C4">
        <w:rPr>
          <w:lang w:val="fr-FR"/>
        </w:rPr>
        <w:t>de toutes les formes de discrimination à l</w:t>
      </w:r>
      <w:r>
        <w:rPr>
          <w:lang w:val="fr-FR"/>
        </w:rPr>
        <w:t>’</w:t>
      </w:r>
      <w:r w:rsidRPr="007126C4">
        <w:rPr>
          <w:lang w:val="fr-FR"/>
        </w:rPr>
        <w:t>égard des femmes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Aux termes de l</w:t>
      </w:r>
      <w:r w:rsidR="007126C4">
        <w:rPr>
          <w:szCs w:val="20"/>
          <w:lang w:val="fr-FR"/>
        </w:rPr>
        <w:t>’</w:t>
      </w:r>
      <w:r w:rsidR="007126C4" w:rsidRPr="007126C4">
        <w:rPr>
          <w:szCs w:val="20"/>
          <w:lang w:val="fr-FR"/>
        </w:rPr>
        <w:t>Article 21 de la Convention, le Comité peut formuler des suggestions et des recommandations générales fondées sur l</w:t>
      </w:r>
      <w:r w:rsidR="007126C4">
        <w:rPr>
          <w:szCs w:val="20"/>
          <w:lang w:val="fr-FR"/>
        </w:rPr>
        <w:t>’</w:t>
      </w:r>
      <w:r w:rsidR="007126C4" w:rsidRPr="007126C4">
        <w:rPr>
          <w:szCs w:val="20"/>
          <w:lang w:val="fr-FR"/>
        </w:rPr>
        <w:t>examen des rapports et les renseignements reçus des États parties. Ces suggestions et recommandations sont incluses dans le rapport du Comité à l</w:t>
      </w:r>
      <w:r w:rsidR="007126C4">
        <w:rPr>
          <w:szCs w:val="20"/>
          <w:lang w:val="fr-FR"/>
        </w:rPr>
        <w:t>’</w:t>
      </w:r>
      <w:r w:rsidR="007126C4" w:rsidRPr="007126C4">
        <w:rPr>
          <w:szCs w:val="20"/>
          <w:lang w:val="fr-FR"/>
        </w:rPr>
        <w:t>Assemblée générale, accompagnées, le cas échéant, des observations des États parties</w:t>
      </w:r>
    </w:p>
    <w:p w:rsidR="007126C4" w:rsidRPr="007126C4" w:rsidRDefault="00444035"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Aux termes de l</w:t>
      </w:r>
      <w:r w:rsidR="007126C4">
        <w:rPr>
          <w:szCs w:val="20"/>
          <w:lang w:val="fr-FR"/>
        </w:rPr>
        <w:t>’</w:t>
      </w:r>
      <w:r w:rsidR="007126C4" w:rsidRPr="007126C4">
        <w:rPr>
          <w:szCs w:val="20"/>
          <w:lang w:val="fr-FR"/>
        </w:rPr>
        <w:t>Article 22 de la Convention, les institutions spécialisées ont le droit d</w:t>
      </w:r>
      <w:r w:rsidR="007126C4">
        <w:rPr>
          <w:szCs w:val="20"/>
          <w:lang w:val="fr-FR"/>
        </w:rPr>
        <w:t>’</w:t>
      </w:r>
      <w:r w:rsidR="007126C4" w:rsidRPr="007126C4">
        <w:rPr>
          <w:szCs w:val="20"/>
          <w:lang w:val="fr-FR"/>
        </w:rPr>
        <w:t>être représentées lors de l</w:t>
      </w:r>
      <w:r w:rsidR="007126C4">
        <w:rPr>
          <w:szCs w:val="20"/>
          <w:lang w:val="fr-FR"/>
        </w:rPr>
        <w:t>’</w:t>
      </w:r>
      <w:r w:rsidR="007126C4" w:rsidRPr="007126C4">
        <w:rPr>
          <w:szCs w:val="20"/>
          <w:lang w:val="fr-FR"/>
        </w:rPr>
        <w:t>examen de la mise en œuvre de toute disposition de la Convention qui entre dans le cadre de leurs activités, et le Comité peut les inviter à soumettre des rapports sur l</w:t>
      </w:r>
      <w:r w:rsidR="007126C4">
        <w:rPr>
          <w:szCs w:val="20"/>
          <w:lang w:val="fr-FR"/>
        </w:rPr>
        <w:t>’</w:t>
      </w:r>
      <w:r w:rsidR="007126C4" w:rsidRPr="007126C4">
        <w:rPr>
          <w:szCs w:val="20"/>
          <w:lang w:val="fr-FR"/>
        </w:rPr>
        <w:t>application de la Convention dans ces domaines.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44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Documentation</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Rapports soumis par les institutions spécialisées des Nations Unies sur l’application de la Convention dans les domaines qui entrent dans le cadre de leurs activités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C35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7.</w:t>
      </w:r>
      <w:r w:rsidRPr="007126C4">
        <w:rPr>
          <w:lang w:val="fr-FR"/>
        </w:rPr>
        <w:tab/>
        <w:t>Moyens d’accélérer les travaux du Comité</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C35DAB"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Le Comité examinera les questions se rapportant à ses méthodes de travail.</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C35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8.</w:t>
      </w:r>
      <w:r w:rsidRPr="007126C4">
        <w:rPr>
          <w:lang w:val="fr-FR"/>
        </w:rPr>
        <w:tab/>
        <w:t xml:space="preserve">Activités menées par le Comité au titre du Protocole facultatif </w:t>
      </w:r>
      <w:r w:rsidR="00C35DAB">
        <w:rPr>
          <w:lang w:val="fr-FR"/>
        </w:rPr>
        <w:br/>
      </w:r>
      <w:r w:rsidRPr="007126C4">
        <w:rPr>
          <w:lang w:val="fr-FR"/>
        </w:rPr>
        <w:t>à la Convention sur l</w:t>
      </w:r>
      <w:r>
        <w:rPr>
          <w:lang w:val="fr-FR"/>
        </w:rPr>
        <w:t>’</w:t>
      </w:r>
      <w:r w:rsidRPr="007126C4">
        <w:rPr>
          <w:lang w:val="fr-FR"/>
        </w:rPr>
        <w:t xml:space="preserve">élimination de toutes les formes de discrimination </w:t>
      </w:r>
      <w:r w:rsidR="00C35DAB">
        <w:rPr>
          <w:lang w:val="fr-FR"/>
        </w:rPr>
        <w:br/>
      </w:r>
      <w:r w:rsidRPr="007126C4">
        <w:rPr>
          <w:lang w:val="fr-FR"/>
        </w:rPr>
        <w:t>à l</w:t>
      </w:r>
      <w:r>
        <w:rPr>
          <w:lang w:val="fr-FR"/>
        </w:rPr>
        <w:t>’</w:t>
      </w:r>
      <w:r w:rsidRPr="007126C4">
        <w:rPr>
          <w:lang w:val="fr-FR"/>
        </w:rPr>
        <w:t>égard des femmes</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C35DAB"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La trentième session du Groupe de travail sur les communications créé en vertu du Protocole facultatif se tiendra à Genève du 15 au 17 octobre 2014.</w:t>
      </w:r>
    </w:p>
    <w:p w:rsidR="007126C4" w:rsidRPr="007126C4" w:rsidRDefault="00C35DAB"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Pr>
          <w:szCs w:val="20"/>
          <w:lang w:val="fr-FR"/>
        </w:rPr>
        <w:tab/>
      </w:r>
      <w:r w:rsidR="007126C4" w:rsidRPr="007126C4">
        <w:rPr>
          <w:szCs w:val="20"/>
          <w:lang w:val="fr-FR"/>
        </w:rPr>
        <w:t>À sa cinquante-neuvième session, le Comité continuera de s</w:t>
      </w:r>
      <w:r w:rsidR="007126C4">
        <w:rPr>
          <w:szCs w:val="20"/>
          <w:lang w:val="fr-FR"/>
        </w:rPr>
        <w:t>’</w:t>
      </w:r>
      <w:r w:rsidR="007126C4" w:rsidRPr="007126C4">
        <w:rPr>
          <w:szCs w:val="20"/>
          <w:lang w:val="fr-FR"/>
        </w:rPr>
        <w:t>acquitter de son mandat, qu</w:t>
      </w:r>
      <w:r w:rsidR="007126C4">
        <w:rPr>
          <w:szCs w:val="20"/>
          <w:lang w:val="fr-FR"/>
        </w:rPr>
        <w:t>’</w:t>
      </w:r>
      <w:r w:rsidR="007126C4" w:rsidRPr="007126C4">
        <w:rPr>
          <w:szCs w:val="20"/>
          <w:lang w:val="fr-FR"/>
        </w:rPr>
        <w:t>il tient des articles 2 et 8 du Protocole facultatif à la Convention.</w:t>
      </w:r>
    </w:p>
    <w:p w:rsidR="007126C4" w:rsidRPr="007126C4" w:rsidRDefault="007126C4" w:rsidP="00C35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9.</w:t>
      </w:r>
      <w:r w:rsidRPr="007126C4">
        <w:rPr>
          <w:lang w:val="fr-FR"/>
        </w:rPr>
        <w:tab/>
        <w:t>Ordre du jour provisoire de la soixantième session</w:t>
      </w:r>
      <w:r w:rsidR="00C35DAB">
        <w:rPr>
          <w:lang w:val="fr-FR"/>
        </w:rPr>
        <w:t xml:space="preserve"> du Comité</w:t>
      </w:r>
    </w:p>
    <w:p w:rsidR="007126C4" w:rsidRP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C35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r>
      <w:r w:rsidRPr="007126C4">
        <w:rPr>
          <w:lang w:val="fr-FR"/>
        </w:rPr>
        <w:tab/>
        <w:t>Documentation</w:t>
      </w:r>
    </w:p>
    <w:p w:rsidR="007126C4" w:rsidRPr="007126C4" w:rsidRDefault="007126C4" w:rsidP="007126C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rPr>
      </w:pPr>
      <w:r w:rsidRPr="007126C4">
        <w:rPr>
          <w:szCs w:val="20"/>
          <w:lang w:val="fr-FR"/>
        </w:rPr>
        <w:t>Ordre du jour provisoire de la soixantième session (</w:t>
      </w:r>
      <w:hyperlink r:id="rId42" w:history="1">
        <w:r w:rsidRPr="007126C4">
          <w:rPr>
            <w:color w:val="0000FF"/>
            <w:szCs w:val="20"/>
            <w:lang w:val="fr-FR"/>
          </w:rPr>
          <w:t>CEDAW/C/60/1</w:t>
        </w:r>
      </w:hyperlink>
      <w:r w:rsidRPr="007126C4">
        <w:rPr>
          <w:szCs w:val="20"/>
          <w:lang w:val="fr-FR"/>
        </w:rPr>
        <w:t>)</w:t>
      </w:r>
    </w:p>
    <w:p w:rsidR="007126C4" w:rsidRPr="007126C4" w:rsidRDefault="007126C4" w:rsidP="007126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rsidR="007126C4" w:rsidRDefault="007126C4" w:rsidP="00C35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26C4">
        <w:rPr>
          <w:lang w:val="fr-FR"/>
        </w:rPr>
        <w:tab/>
        <w:t>10.</w:t>
      </w:r>
      <w:r w:rsidRPr="007126C4">
        <w:rPr>
          <w:lang w:val="fr-FR"/>
        </w:rPr>
        <w:tab/>
        <w:t xml:space="preserve">Adoption du rapport du Comité sur les travaux </w:t>
      </w:r>
      <w:r w:rsidR="00C35DAB">
        <w:rPr>
          <w:lang w:val="fr-FR"/>
        </w:rPr>
        <w:br/>
      </w:r>
      <w:r w:rsidRPr="007126C4">
        <w:rPr>
          <w:lang w:val="fr-FR"/>
        </w:rPr>
        <w:t>de sa cinquante-neuvième session</w:t>
      </w:r>
    </w:p>
    <w:p w:rsidR="00C35DAB" w:rsidRPr="00C35DAB" w:rsidRDefault="00C35DAB" w:rsidP="00C35DAB">
      <w:pPr>
        <w:pStyle w:val="SingleTxt"/>
        <w:spacing w:after="0" w:line="240" w:lineRule="auto"/>
        <w:rPr>
          <w:lang w:val="fr-FR"/>
        </w:rPr>
      </w:pPr>
      <w:r>
        <w:rPr>
          <w:noProof/>
          <w:w w:val="100"/>
          <w:lang w:val="fr-FR" w:eastAsia="fr-FR"/>
        </w:rPr>
        <w:pict>
          <v:line id="_x0000_s1026" style="position:absolute;left:0;text-align:left;z-index:1;mso-position-horizontal-relative:page" from="270pt,24pt" to="342pt,24pt" strokeweight=".25pt">
            <w10:wrap anchorx="page"/>
          </v:line>
        </w:pict>
      </w:r>
    </w:p>
    <w:sectPr w:rsidR="00C35DAB" w:rsidRPr="00C35DAB" w:rsidSect="008B7BEC">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02T15:27:00Z" w:initials="Start">
    <w:p w:rsidR="008B7BEC" w:rsidRDefault="008B7BE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NO&gt;&gt;N1443881F&lt;&lt;ODS JOB NO&gt;&gt;</w:t>
      </w:r>
    </w:p>
    <w:p w:rsidR="008B7BEC" w:rsidRDefault="008B7BEC">
      <w:pPr>
        <w:pStyle w:val="CommentText"/>
      </w:pPr>
      <w:r>
        <w:t>&lt;&lt;ODS DOC SYMBOL1&gt;&gt;CEDAW/C/59/1&lt;&lt;ODS DOC SYMBOL1&gt;&gt;</w:t>
      </w:r>
    </w:p>
    <w:p w:rsidR="008B7BEC" w:rsidRDefault="008B7BE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1937" w:rsidRDefault="00081937" w:rsidP="00F3330B">
      <w:pPr>
        <w:spacing w:line="240" w:lineRule="auto"/>
      </w:pPr>
      <w:r>
        <w:separator/>
      </w:r>
    </w:p>
  </w:endnote>
  <w:endnote w:type="continuationSeparator" w:id="0">
    <w:p w:rsidR="00081937" w:rsidRDefault="00081937"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B7BEC" w:rsidRPr="008E5633" w:rsidTr="008B7BEC">
      <w:tblPrEx>
        <w:tblCellMar>
          <w:top w:w="0" w:type="dxa"/>
          <w:bottom w:w="0" w:type="dxa"/>
        </w:tblCellMar>
      </w:tblPrEx>
      <w:tc>
        <w:tcPr>
          <w:tcW w:w="4995" w:type="dxa"/>
          <w:shd w:val="clear" w:color="auto" w:fill="auto"/>
        </w:tcPr>
        <w:p w:rsidR="008B7BEC" w:rsidRPr="00712CAB" w:rsidRDefault="008B7BEC" w:rsidP="008B7BEC">
          <w:pPr>
            <w:pStyle w:val="Footer"/>
            <w:jc w:val="right"/>
            <w:rPr>
              <w:b w:val="0"/>
              <w:w w:val="103"/>
              <w:sz w:val="14"/>
              <w:szCs w:val="22"/>
            </w:rPr>
          </w:pPr>
          <w:fldSimple w:instr=" DOCVARIABLE &quot;FooterJN&quot; \* MERGEFORMAT ">
            <w:r w:rsidR="00C35DAB" w:rsidRPr="00712CAB">
              <w:rPr>
                <w:b w:val="0"/>
                <w:w w:val="103"/>
                <w:sz w:val="14"/>
                <w:szCs w:val="22"/>
              </w:rPr>
              <w:t>14-56040</w:t>
            </w:r>
          </w:fldSimple>
        </w:p>
      </w:tc>
      <w:tc>
        <w:tcPr>
          <w:tcW w:w="4995" w:type="dxa"/>
          <w:shd w:val="clear" w:color="auto" w:fill="auto"/>
        </w:tcPr>
        <w:p w:rsidR="008B7BEC" w:rsidRPr="00712CAB" w:rsidRDefault="008B7BEC" w:rsidP="008B7BEC">
          <w:pPr>
            <w:pStyle w:val="Footer"/>
            <w:rPr>
              <w:w w:val="103"/>
              <w:szCs w:val="22"/>
            </w:rPr>
          </w:pPr>
          <w:r w:rsidRPr="00712CAB">
            <w:rPr>
              <w:w w:val="103"/>
              <w:szCs w:val="22"/>
            </w:rPr>
            <w:fldChar w:fldCharType="begin"/>
          </w:r>
          <w:r w:rsidRPr="00712CAB">
            <w:rPr>
              <w:w w:val="103"/>
              <w:szCs w:val="22"/>
            </w:rPr>
            <w:instrText xml:space="preserve"> PAGE  \* Arabic  \* MERGEFORMAT </w:instrText>
          </w:r>
          <w:r w:rsidRPr="00712CAB">
            <w:rPr>
              <w:w w:val="103"/>
              <w:szCs w:val="22"/>
            </w:rPr>
            <w:fldChar w:fldCharType="separate"/>
          </w:r>
          <w:r w:rsidR="00C35DAB" w:rsidRPr="00712CAB">
            <w:rPr>
              <w:noProof/>
              <w:w w:val="103"/>
              <w:szCs w:val="22"/>
            </w:rPr>
            <w:t>4</w:t>
          </w:r>
          <w:r w:rsidRPr="00712CAB">
            <w:rPr>
              <w:w w:val="103"/>
              <w:szCs w:val="22"/>
            </w:rPr>
            <w:fldChar w:fldCharType="end"/>
          </w:r>
          <w:r w:rsidRPr="00712CAB">
            <w:rPr>
              <w:w w:val="103"/>
              <w:szCs w:val="22"/>
            </w:rPr>
            <w:t>/</w:t>
          </w:r>
          <w:fldSimple w:instr=" NUMPAGES  \* Arabic  \* MERGEFORMAT ">
            <w:r w:rsidR="00C35DAB" w:rsidRPr="00712CAB">
              <w:rPr>
                <w:noProof/>
                <w:w w:val="103"/>
                <w:szCs w:val="22"/>
              </w:rPr>
              <w:t>5</w:t>
            </w:r>
          </w:fldSimple>
        </w:p>
      </w:tc>
    </w:tr>
  </w:tbl>
  <w:p w:rsidR="008B7BEC" w:rsidRPr="008B7BEC" w:rsidRDefault="008B7BEC" w:rsidP="008B7B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B7BEC" w:rsidRPr="008E5633" w:rsidTr="008B7BEC">
      <w:tblPrEx>
        <w:tblCellMar>
          <w:top w:w="0" w:type="dxa"/>
          <w:bottom w:w="0" w:type="dxa"/>
        </w:tblCellMar>
      </w:tblPrEx>
      <w:tc>
        <w:tcPr>
          <w:tcW w:w="4995" w:type="dxa"/>
          <w:shd w:val="clear" w:color="auto" w:fill="auto"/>
        </w:tcPr>
        <w:p w:rsidR="008B7BEC" w:rsidRPr="00712CAB" w:rsidRDefault="008B7BEC" w:rsidP="008B7BEC">
          <w:pPr>
            <w:pStyle w:val="Footer"/>
            <w:jc w:val="right"/>
            <w:rPr>
              <w:w w:val="103"/>
              <w:szCs w:val="22"/>
            </w:rPr>
          </w:pPr>
          <w:r w:rsidRPr="00712CAB">
            <w:rPr>
              <w:w w:val="103"/>
              <w:szCs w:val="22"/>
            </w:rPr>
            <w:fldChar w:fldCharType="begin"/>
          </w:r>
          <w:r w:rsidRPr="00712CAB">
            <w:rPr>
              <w:w w:val="103"/>
              <w:szCs w:val="22"/>
            </w:rPr>
            <w:instrText xml:space="preserve"> PAGE  \* Arabic  \* MERGEFORMAT </w:instrText>
          </w:r>
          <w:r w:rsidRPr="00712CAB">
            <w:rPr>
              <w:w w:val="103"/>
              <w:szCs w:val="22"/>
            </w:rPr>
            <w:fldChar w:fldCharType="separate"/>
          </w:r>
          <w:r w:rsidR="00C35DAB" w:rsidRPr="00712CAB">
            <w:rPr>
              <w:noProof/>
              <w:w w:val="103"/>
              <w:szCs w:val="22"/>
            </w:rPr>
            <w:t>5</w:t>
          </w:r>
          <w:r w:rsidRPr="00712CAB">
            <w:rPr>
              <w:w w:val="103"/>
              <w:szCs w:val="22"/>
            </w:rPr>
            <w:fldChar w:fldCharType="end"/>
          </w:r>
          <w:r w:rsidRPr="00712CAB">
            <w:rPr>
              <w:w w:val="103"/>
              <w:szCs w:val="22"/>
            </w:rPr>
            <w:t>/</w:t>
          </w:r>
          <w:fldSimple w:instr=" NUMPAGES  \* Arabic  \* MERGEFORMAT ">
            <w:r w:rsidR="00C35DAB" w:rsidRPr="00712CAB">
              <w:rPr>
                <w:noProof/>
                <w:w w:val="103"/>
                <w:szCs w:val="22"/>
              </w:rPr>
              <w:t>5</w:t>
            </w:r>
          </w:fldSimple>
        </w:p>
      </w:tc>
      <w:tc>
        <w:tcPr>
          <w:tcW w:w="4995" w:type="dxa"/>
          <w:shd w:val="clear" w:color="auto" w:fill="auto"/>
        </w:tcPr>
        <w:p w:rsidR="008B7BEC" w:rsidRPr="00712CAB" w:rsidRDefault="008B7BEC" w:rsidP="008B7BEC">
          <w:pPr>
            <w:pStyle w:val="Footer"/>
            <w:rPr>
              <w:b w:val="0"/>
              <w:w w:val="103"/>
              <w:sz w:val="14"/>
              <w:szCs w:val="22"/>
            </w:rPr>
          </w:pPr>
          <w:fldSimple w:instr=" DOCVARIABLE &quot;FooterJN&quot; \* MERGEFORMAT ">
            <w:r w:rsidR="00C35DAB" w:rsidRPr="00712CAB">
              <w:rPr>
                <w:b w:val="0"/>
                <w:w w:val="103"/>
                <w:sz w:val="14"/>
                <w:szCs w:val="22"/>
              </w:rPr>
              <w:t>14-56040</w:t>
            </w:r>
          </w:fldSimple>
        </w:p>
      </w:tc>
    </w:tr>
  </w:tbl>
  <w:p w:rsidR="008B7BEC" w:rsidRPr="008B7BEC" w:rsidRDefault="008B7BEC" w:rsidP="008B7BE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BEC" w:rsidRDefault="008B7BEC">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1&amp;Size =1&amp;Lang = F"/>
          <w10:wrap anchorx="page" anchory="page"/>
        </v:shape>
      </w:pict>
    </w:r>
  </w:p>
  <w:tbl>
    <w:tblPr>
      <w:tblW w:w="0" w:type="auto"/>
      <w:tblLayout w:type="fixed"/>
      <w:tblCellMar>
        <w:left w:w="70" w:type="dxa"/>
        <w:right w:w="70" w:type="dxa"/>
      </w:tblCellMar>
      <w:tblLook w:val="0000"/>
    </w:tblPr>
    <w:tblGrid>
      <w:gridCol w:w="4995"/>
      <w:gridCol w:w="3686"/>
    </w:tblGrid>
    <w:tr w:rsidR="008B7BEC" w:rsidRPr="008E5633" w:rsidTr="008B7BEC">
      <w:tblPrEx>
        <w:tblCellMar>
          <w:top w:w="0" w:type="dxa"/>
          <w:bottom w:w="0" w:type="dxa"/>
        </w:tblCellMar>
      </w:tblPrEx>
      <w:tc>
        <w:tcPr>
          <w:tcW w:w="4995" w:type="dxa"/>
        </w:tcPr>
        <w:p w:rsidR="008B7BEC" w:rsidRPr="00712CAB" w:rsidRDefault="007126C4" w:rsidP="008B7BEC">
          <w:pPr>
            <w:pStyle w:val="Footer"/>
            <w:rPr>
              <w:b w:val="0"/>
              <w:sz w:val="20"/>
              <w:szCs w:val="22"/>
            </w:rPr>
          </w:pPr>
          <w:r w:rsidRPr="00712CAB">
            <w:rPr>
              <w:b w:val="0"/>
              <w:sz w:val="20"/>
              <w:szCs w:val="22"/>
            </w:rPr>
            <w:t>14-56040X (F)</w:t>
          </w:r>
        </w:p>
        <w:p w:rsidR="008B7BEC" w:rsidRPr="00712CAB" w:rsidRDefault="008B7BEC" w:rsidP="008B7BEC">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C35DAB" w:rsidRPr="00712CAB">
              <w:rPr>
                <w:rFonts w:ascii="Barcode 3 of 9 by request" w:hAnsi="Barcode 3 of 9 by request"/>
                <w:b w:val="0"/>
                <w:spacing w:val="0"/>
                <w:w w:val="100"/>
                <w:sz w:val="24"/>
                <w:szCs w:val="22"/>
              </w:rPr>
              <w:t>*1456040*</w:t>
            </w:r>
          </w:fldSimple>
        </w:p>
      </w:tc>
      <w:tc>
        <w:tcPr>
          <w:tcW w:w="3686" w:type="dxa"/>
        </w:tcPr>
        <w:p w:rsidR="008B7BEC" w:rsidRPr="00712CAB" w:rsidRDefault="008B7BEC" w:rsidP="008B7BEC">
          <w:pPr>
            <w:pStyle w:val="Footer"/>
            <w:spacing w:line="240" w:lineRule="atLeast"/>
            <w:jc w:val="right"/>
            <w:rPr>
              <w:b w:val="0"/>
              <w:sz w:val="20"/>
              <w:szCs w:val="22"/>
            </w:rPr>
          </w:pPr>
          <w:r w:rsidRPr="00712CAB">
            <w:rPr>
              <w:b w:val="0"/>
              <w:sz w:val="20"/>
              <w:szCs w:val="22"/>
            </w:rPr>
            <w:pict>
              <v:shape id="_x0000_i1026" type="#_x0000_t75" style="width:87pt;height:18pt">
                <v:imagedata r:id="rId2" o:title="recycle_French"/>
              </v:shape>
            </w:pict>
          </w:r>
        </w:p>
      </w:tc>
    </w:tr>
  </w:tbl>
  <w:p w:rsidR="008B7BEC" w:rsidRPr="008B7BEC" w:rsidRDefault="008B7BEC" w:rsidP="008B7BE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1937" w:rsidRDefault="00081937" w:rsidP="00F3330B">
      <w:pPr>
        <w:spacing w:line="240" w:lineRule="auto"/>
      </w:pPr>
      <w:r>
        <w:separator/>
      </w:r>
    </w:p>
  </w:footnote>
  <w:footnote w:type="continuationSeparator" w:id="0">
    <w:p w:rsidR="00081937" w:rsidRDefault="00081937" w:rsidP="00F333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8B7BEC" w:rsidRPr="008E5633" w:rsidTr="008B7BEC">
      <w:tblPrEx>
        <w:tblCellMar>
          <w:top w:w="0" w:type="dxa"/>
          <w:bottom w:w="0" w:type="dxa"/>
        </w:tblCellMar>
      </w:tblPrEx>
      <w:trPr>
        <w:trHeight w:hRule="exact" w:val="864"/>
      </w:trPr>
      <w:tc>
        <w:tcPr>
          <w:tcW w:w="4838" w:type="dxa"/>
          <w:shd w:val="clear" w:color="auto" w:fill="auto"/>
          <w:vAlign w:val="bottom"/>
        </w:tcPr>
        <w:p w:rsidR="008B7BEC" w:rsidRPr="00712CAB" w:rsidRDefault="008B7BEC" w:rsidP="008B7BEC">
          <w:pPr>
            <w:pStyle w:val="Header"/>
            <w:spacing w:after="80"/>
            <w:rPr>
              <w:b/>
              <w:szCs w:val="22"/>
            </w:rPr>
          </w:pPr>
          <w:fldSimple w:instr=" DOCVARIABLE &quot;sss1&quot; \* MERGEFORMAT ">
            <w:r w:rsidR="00C35DAB" w:rsidRPr="00712CAB">
              <w:rPr>
                <w:b/>
                <w:szCs w:val="22"/>
              </w:rPr>
              <w:t>CEDAW/C/59/1</w:t>
            </w:r>
          </w:fldSimple>
        </w:p>
      </w:tc>
      <w:tc>
        <w:tcPr>
          <w:tcW w:w="4995" w:type="dxa"/>
          <w:shd w:val="clear" w:color="auto" w:fill="auto"/>
          <w:vAlign w:val="bottom"/>
        </w:tcPr>
        <w:p w:rsidR="008B7BEC" w:rsidRPr="00712CAB" w:rsidRDefault="008B7BEC" w:rsidP="008B7BEC">
          <w:pPr>
            <w:pStyle w:val="Header"/>
            <w:rPr>
              <w:szCs w:val="22"/>
            </w:rPr>
          </w:pPr>
        </w:p>
      </w:tc>
    </w:tr>
  </w:tbl>
  <w:p w:rsidR="008B7BEC" w:rsidRPr="008B7BEC" w:rsidRDefault="008B7BEC" w:rsidP="008B7BE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8B7BEC" w:rsidRPr="008E5633" w:rsidTr="008B7BEC">
      <w:tblPrEx>
        <w:tblCellMar>
          <w:top w:w="0" w:type="dxa"/>
          <w:bottom w:w="0" w:type="dxa"/>
        </w:tblCellMar>
      </w:tblPrEx>
      <w:trPr>
        <w:trHeight w:hRule="exact" w:val="864"/>
      </w:trPr>
      <w:tc>
        <w:tcPr>
          <w:tcW w:w="4838" w:type="dxa"/>
          <w:shd w:val="clear" w:color="auto" w:fill="auto"/>
          <w:vAlign w:val="bottom"/>
        </w:tcPr>
        <w:p w:rsidR="008B7BEC" w:rsidRPr="00712CAB" w:rsidRDefault="008B7BEC" w:rsidP="008B7BEC">
          <w:pPr>
            <w:pStyle w:val="Header"/>
            <w:rPr>
              <w:szCs w:val="22"/>
            </w:rPr>
          </w:pPr>
        </w:p>
      </w:tc>
      <w:tc>
        <w:tcPr>
          <w:tcW w:w="4995" w:type="dxa"/>
          <w:shd w:val="clear" w:color="auto" w:fill="auto"/>
          <w:vAlign w:val="bottom"/>
        </w:tcPr>
        <w:p w:rsidR="008B7BEC" w:rsidRPr="00712CAB" w:rsidRDefault="008B7BEC" w:rsidP="008B7BEC">
          <w:pPr>
            <w:pStyle w:val="Header"/>
            <w:spacing w:after="80"/>
            <w:jc w:val="right"/>
            <w:rPr>
              <w:b/>
              <w:szCs w:val="22"/>
            </w:rPr>
          </w:pPr>
          <w:fldSimple w:instr=" DOCVARIABLE &quot;sss1&quot; \* MERGEFORMAT ">
            <w:r w:rsidR="00C35DAB" w:rsidRPr="00712CAB">
              <w:rPr>
                <w:b/>
                <w:szCs w:val="22"/>
              </w:rPr>
              <w:t>CEDAW/C/59/1</w:t>
            </w:r>
          </w:fldSimple>
        </w:p>
      </w:tc>
    </w:tr>
  </w:tbl>
  <w:p w:rsidR="008B7BEC" w:rsidRPr="008B7BEC" w:rsidRDefault="008B7BEC" w:rsidP="008B7BE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B7BEC" w:rsidRPr="008E5633" w:rsidTr="008B7BE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B7BEC" w:rsidRPr="00712CAB" w:rsidRDefault="008B7BEC" w:rsidP="008B7BEC">
          <w:pPr>
            <w:pStyle w:val="Header"/>
            <w:spacing w:after="120"/>
            <w:rPr>
              <w:szCs w:val="22"/>
            </w:rPr>
          </w:pPr>
        </w:p>
      </w:tc>
      <w:tc>
        <w:tcPr>
          <w:tcW w:w="2059" w:type="dxa"/>
          <w:tcBorders>
            <w:bottom w:val="single" w:sz="4" w:space="0" w:color="auto"/>
          </w:tcBorders>
          <w:shd w:val="clear" w:color="auto" w:fill="auto"/>
          <w:vAlign w:val="bottom"/>
        </w:tcPr>
        <w:p w:rsidR="008B7BEC" w:rsidRPr="008E5633" w:rsidRDefault="008B7BEC" w:rsidP="008B7BEC">
          <w:pPr>
            <w:pStyle w:val="HCH"/>
            <w:spacing w:after="80"/>
            <w:rPr>
              <w:b w:val="0"/>
              <w:color w:val="010000"/>
              <w:spacing w:val="2"/>
              <w:w w:val="96"/>
            </w:rPr>
          </w:pPr>
          <w:r w:rsidRPr="008E5633">
            <w:rPr>
              <w:b w:val="0"/>
              <w:color w:val="010000"/>
              <w:spacing w:val="2"/>
              <w:w w:val="96"/>
            </w:rPr>
            <w:t>Nations Unies</w:t>
          </w:r>
        </w:p>
      </w:tc>
      <w:tc>
        <w:tcPr>
          <w:tcW w:w="58" w:type="dxa"/>
          <w:tcBorders>
            <w:bottom w:val="single" w:sz="4" w:space="0" w:color="auto"/>
          </w:tcBorders>
          <w:shd w:val="clear" w:color="auto" w:fill="auto"/>
          <w:vAlign w:val="bottom"/>
        </w:tcPr>
        <w:p w:rsidR="008B7BEC" w:rsidRPr="00712CAB" w:rsidRDefault="008B7BEC" w:rsidP="008B7BEC">
          <w:pPr>
            <w:pStyle w:val="Header"/>
            <w:spacing w:after="120"/>
            <w:rPr>
              <w:szCs w:val="22"/>
            </w:rPr>
          </w:pPr>
        </w:p>
      </w:tc>
      <w:tc>
        <w:tcPr>
          <w:tcW w:w="6523" w:type="dxa"/>
          <w:gridSpan w:val="3"/>
          <w:tcBorders>
            <w:bottom w:val="single" w:sz="4" w:space="0" w:color="auto"/>
          </w:tcBorders>
          <w:shd w:val="clear" w:color="auto" w:fill="auto"/>
          <w:vAlign w:val="bottom"/>
        </w:tcPr>
        <w:p w:rsidR="008B7BEC" w:rsidRPr="008E5633" w:rsidRDefault="008B7BEC" w:rsidP="008B7BEC">
          <w:pPr>
            <w:spacing w:after="80" w:line="240" w:lineRule="auto"/>
            <w:jc w:val="right"/>
            <w:rPr>
              <w:position w:val="-4"/>
            </w:rPr>
          </w:pPr>
          <w:r w:rsidRPr="008E5633">
            <w:rPr>
              <w:position w:val="-4"/>
              <w:sz w:val="40"/>
            </w:rPr>
            <w:t>CEDAW</w:t>
          </w:r>
          <w:r w:rsidRPr="008E5633">
            <w:rPr>
              <w:position w:val="-4"/>
            </w:rPr>
            <w:t>/C/59/1</w:t>
          </w:r>
        </w:p>
      </w:tc>
    </w:tr>
    <w:tr w:rsidR="008B7BEC" w:rsidRPr="008E5633" w:rsidTr="008B7B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7BEC" w:rsidRPr="00712CAB" w:rsidRDefault="008B7BEC" w:rsidP="008B7BEC">
          <w:pPr>
            <w:pStyle w:val="Header"/>
            <w:spacing w:before="880"/>
            <w:ind w:left="-72"/>
            <w:rPr>
              <w:szCs w:val="22"/>
            </w:rPr>
          </w:pPr>
          <w:r w:rsidRPr="00712CAB">
            <w:rPr>
              <w:szCs w:val="22"/>
            </w:rPr>
            <w:t xml:space="preserve">  </w:t>
          </w:r>
          <w:r w:rsidRPr="00712CAB">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7BEC" w:rsidRPr="00712CAB" w:rsidRDefault="008B7BEC" w:rsidP="008B7BEC">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8B7BEC" w:rsidRPr="008E5633" w:rsidRDefault="008B7BEC" w:rsidP="008B7BEC">
          <w:pPr>
            <w:pStyle w:val="XLarge"/>
            <w:spacing w:before="109" w:line="330" w:lineRule="exact"/>
            <w:rPr>
              <w:sz w:val="34"/>
              <w:lang w:val="fr-FR"/>
            </w:rPr>
          </w:pPr>
          <w:r w:rsidRPr="008E5633">
            <w:rPr>
              <w:sz w:val="34"/>
              <w:lang w:val="fr-FR"/>
            </w:rPr>
            <w:t>Convention sur l</w:t>
          </w:r>
          <w:r w:rsidR="007126C4" w:rsidRPr="008E5633">
            <w:rPr>
              <w:sz w:val="34"/>
              <w:lang w:val="fr-FR"/>
            </w:rPr>
            <w:t>’</w:t>
          </w:r>
          <w:r w:rsidRPr="008E5633">
            <w:rPr>
              <w:sz w:val="34"/>
              <w:lang w:val="fr-FR"/>
            </w:rPr>
            <w:t>élimination</w:t>
          </w:r>
          <w:r w:rsidRPr="008E5633">
            <w:rPr>
              <w:sz w:val="34"/>
              <w:lang w:val="fr-FR"/>
            </w:rPr>
            <w:br/>
            <w:t>de toutes les formes</w:t>
          </w:r>
          <w:r w:rsidRPr="008E5633">
            <w:rPr>
              <w:sz w:val="34"/>
              <w:lang w:val="fr-FR"/>
            </w:rPr>
            <w:br/>
            <w:t>de discrimination à l</w:t>
          </w:r>
          <w:r w:rsidR="007126C4" w:rsidRPr="008E5633">
            <w:rPr>
              <w:sz w:val="34"/>
              <w:lang w:val="fr-FR"/>
            </w:rPr>
            <w:t>’</w:t>
          </w:r>
          <w:r w:rsidRPr="008E5633">
            <w:rPr>
              <w:sz w:val="34"/>
              <w:lang w:val="fr-FR"/>
            </w:rPr>
            <w:t xml:space="preserve">égard des femmes </w:t>
          </w:r>
        </w:p>
      </w:tc>
      <w:tc>
        <w:tcPr>
          <w:tcW w:w="245" w:type="dxa"/>
          <w:tcBorders>
            <w:top w:val="single" w:sz="4" w:space="0" w:color="auto"/>
            <w:bottom w:val="single" w:sz="12" w:space="0" w:color="auto"/>
          </w:tcBorders>
          <w:shd w:val="clear" w:color="auto" w:fill="auto"/>
        </w:tcPr>
        <w:p w:rsidR="008B7BEC" w:rsidRPr="00712CAB" w:rsidRDefault="008B7BEC" w:rsidP="008B7BEC">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8B7BEC" w:rsidRPr="008E5633" w:rsidRDefault="008B7BEC" w:rsidP="008B7BEC">
          <w:pPr>
            <w:pStyle w:val="Distribution"/>
            <w:rPr>
              <w:color w:val="000000"/>
              <w:lang w:val="fr-FR"/>
            </w:rPr>
          </w:pPr>
          <w:r w:rsidRPr="008E5633">
            <w:rPr>
              <w:color w:val="000000"/>
              <w:lang w:val="fr-FR"/>
            </w:rPr>
            <w:t>Distr. générale</w:t>
          </w:r>
        </w:p>
        <w:p w:rsidR="008B7BEC" w:rsidRPr="008E5633" w:rsidRDefault="008B7BEC" w:rsidP="008B7BEC">
          <w:pPr>
            <w:pStyle w:val="Publication"/>
            <w:rPr>
              <w:color w:val="000000"/>
              <w:lang w:val="fr-FR"/>
            </w:rPr>
          </w:pPr>
          <w:r w:rsidRPr="008E5633">
            <w:rPr>
              <w:color w:val="000000"/>
              <w:lang w:val="fr-FR"/>
            </w:rPr>
            <w:t>23 juin 2014</w:t>
          </w:r>
        </w:p>
        <w:p w:rsidR="008B7BEC" w:rsidRPr="008E5633" w:rsidRDefault="008B7BEC" w:rsidP="008B7BEC">
          <w:pPr>
            <w:rPr>
              <w:lang w:val="fr-FR"/>
            </w:rPr>
          </w:pPr>
          <w:r w:rsidRPr="008E5633">
            <w:rPr>
              <w:lang w:val="fr-FR"/>
            </w:rPr>
            <w:t>Français</w:t>
          </w:r>
        </w:p>
        <w:p w:rsidR="008B7BEC" w:rsidRPr="008E5633" w:rsidRDefault="008B7BEC" w:rsidP="008B7BEC">
          <w:pPr>
            <w:pStyle w:val="Original"/>
            <w:rPr>
              <w:color w:val="000000"/>
              <w:lang w:val="fr-FR"/>
            </w:rPr>
          </w:pPr>
          <w:r w:rsidRPr="008E5633">
            <w:rPr>
              <w:color w:val="000000"/>
              <w:lang w:val="fr-FR"/>
            </w:rPr>
            <w:t>Original : anglais</w:t>
          </w:r>
        </w:p>
      </w:tc>
    </w:tr>
  </w:tbl>
  <w:p w:rsidR="008B7BEC" w:rsidRPr="007126C4" w:rsidRDefault="008B7BEC" w:rsidP="008B7BEC">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6040*"/>
    <w:docVar w:name="CreationDt" w:val="02/07/2014 15:27:16"/>
    <w:docVar w:name="DocCategory" w:val="Doc"/>
    <w:docVar w:name="DocType" w:val="Final"/>
    <w:docVar w:name="FooterJN" w:val="14-56040"/>
    <w:docVar w:name="jobn" w:val="14-56040 (F)"/>
    <w:docVar w:name="jobnDT" w:val="14-56040 (F)   020714"/>
    <w:docVar w:name="jobnDTDT" w:val="14-56040 (F)   020714   020714"/>
    <w:docVar w:name="JobNo" w:val="1456040F"/>
    <w:docVar w:name="JobNo2" w:val="1443881F"/>
    <w:docVar w:name="OandT" w:val="ega"/>
    <w:docVar w:name="sss1" w:val="CEDAW/C/59/1"/>
    <w:docVar w:name="sss2" w:val="-"/>
    <w:docVar w:name="Symbol1" w:val="CEDAW/C/59/1"/>
    <w:docVar w:name="Symbol2" w:val="-"/>
  </w:docVars>
  <w:rsids>
    <w:rsidRoot w:val="00D976EB"/>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1937"/>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A07EF"/>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E03"/>
    <w:rsid w:val="003F108A"/>
    <w:rsid w:val="004065B7"/>
    <w:rsid w:val="004066EB"/>
    <w:rsid w:val="00406E1E"/>
    <w:rsid w:val="00414C9D"/>
    <w:rsid w:val="00416293"/>
    <w:rsid w:val="004204AE"/>
    <w:rsid w:val="004309B5"/>
    <w:rsid w:val="00432662"/>
    <w:rsid w:val="004342B2"/>
    <w:rsid w:val="00441593"/>
    <w:rsid w:val="00444035"/>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26C4"/>
    <w:rsid w:val="00712CAB"/>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B7BEC"/>
    <w:rsid w:val="008C1646"/>
    <w:rsid w:val="008C1E51"/>
    <w:rsid w:val="008C5E6B"/>
    <w:rsid w:val="008D2DCF"/>
    <w:rsid w:val="008D3043"/>
    <w:rsid w:val="008D3318"/>
    <w:rsid w:val="008D4C00"/>
    <w:rsid w:val="008D613D"/>
    <w:rsid w:val="008E5633"/>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DAB"/>
    <w:rsid w:val="00C35E4D"/>
    <w:rsid w:val="00C436F7"/>
    <w:rsid w:val="00C45692"/>
    <w:rsid w:val="00C56EFE"/>
    <w:rsid w:val="00C60C0B"/>
    <w:rsid w:val="00C66382"/>
    <w:rsid w:val="00C67F09"/>
    <w:rsid w:val="00C72788"/>
    <w:rsid w:val="00C76A5E"/>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976EB"/>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4F1F"/>
    <w:rsid w:val="00FC5C65"/>
    <w:rsid w:val="00FC75B8"/>
    <w:rsid w:val="00FD54BE"/>
    <w:rsid w:val="00FD7CD4"/>
    <w:rsid w:val="00FE6556"/>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semiHidden/>
    <w:unhideWhenUsed/>
    <w:rsid w:val="00D8335C"/>
    <w:pPr>
      <w:spacing w:line="210" w:lineRule="exact"/>
    </w:pPr>
    <w:rPr>
      <w:spacing w:val="5"/>
      <w:w w:val="104"/>
      <w:sz w:val="17"/>
      <w:szCs w:val="20"/>
      <w:lang/>
    </w:rPr>
  </w:style>
  <w:style w:type="character" w:customStyle="1" w:styleId="FootnoteTextChar">
    <w:name w:val="Footnote Text Char"/>
    <w:link w:val="FootnoteText"/>
    <w:uiPriority w:val="99"/>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8B7BEC"/>
    <w:rPr>
      <w:sz w:val="16"/>
      <w:szCs w:val="16"/>
    </w:rPr>
  </w:style>
  <w:style w:type="paragraph" w:styleId="CommentText">
    <w:name w:val="annotation text"/>
    <w:basedOn w:val="Normal"/>
    <w:link w:val="CommentTextChar"/>
    <w:uiPriority w:val="99"/>
    <w:semiHidden/>
    <w:unhideWhenUsed/>
    <w:rsid w:val="008B7BEC"/>
    <w:rPr>
      <w:szCs w:val="20"/>
      <w:lang/>
    </w:rPr>
  </w:style>
  <w:style w:type="character" w:customStyle="1" w:styleId="CommentTextChar">
    <w:name w:val="Comment Text Char"/>
    <w:link w:val="CommentText"/>
    <w:uiPriority w:val="99"/>
    <w:semiHidden/>
    <w:rsid w:val="008B7BE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8B7BEC"/>
    <w:rPr>
      <w:b/>
      <w:bCs/>
    </w:rPr>
  </w:style>
  <w:style w:type="character" w:customStyle="1" w:styleId="CommentSubjectChar">
    <w:name w:val="Comment Subject Char"/>
    <w:link w:val="CommentSubject"/>
    <w:uiPriority w:val="99"/>
    <w:semiHidden/>
    <w:rsid w:val="008B7BEC"/>
    <w:rPr>
      <w:rFonts w:ascii="Times New Roman" w:hAnsi="Times New Roman"/>
      <w:b/>
      <w:bCs/>
      <w:spacing w:val="4"/>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CHN/7" TargetMode="External"/><Relationship Id="rId26" Type="http://schemas.openxmlformats.org/officeDocument/2006/relationships/hyperlink" Target="http://undocs.org/CEDAW/C/BEL/Q/7" TargetMode="External"/><Relationship Id="rId39" Type="http://schemas.openxmlformats.org/officeDocument/2006/relationships/hyperlink" Target="http://undocs.org/CEDAW/C/SLB/Q/1" TargetMode="External"/><Relationship Id="rId3" Type="http://schemas.openxmlformats.org/officeDocument/2006/relationships/settings" Target="settings.xml"/><Relationship Id="rId21" Type="http://schemas.openxmlformats.org/officeDocument/2006/relationships/hyperlink" Target="http://undocs.org/CEDAW/C/GHA/6" TargetMode="External"/><Relationship Id="rId34" Type="http://schemas.openxmlformats.org/officeDocument/2006/relationships/hyperlink" Target="http://undocs.org/CEDAW/C/BEL/Q/7/Add.1" TargetMode="External"/><Relationship Id="rId42" Type="http://schemas.openxmlformats.org/officeDocument/2006/relationships/hyperlink" Target="http://undocs.org/CEDAW/C/60/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BRN/1" TargetMode="External"/><Relationship Id="rId25" Type="http://schemas.openxmlformats.org/officeDocument/2006/relationships/hyperlink" Target="http://undocs.org/CEDAW/C/VEN/7" TargetMode="External"/><Relationship Id="rId33" Type="http://schemas.openxmlformats.org/officeDocument/2006/relationships/hyperlink" Target="http://undocs.org/CEDAW/C/VEN/Q/7" TargetMode="External"/><Relationship Id="rId38" Type="http://schemas.openxmlformats.org/officeDocument/2006/relationships/hyperlink" Target="http://undocs.org/CEDAW/C/GIN/Q/7" TargetMode="External"/><Relationship Id="rId2" Type="http://schemas.openxmlformats.org/officeDocument/2006/relationships/styles" Target="styles.xml"/><Relationship Id="rId16" Type="http://schemas.openxmlformats.org/officeDocument/2006/relationships/hyperlink" Target="http://undocs.org/CEDAW/C/BEL/7" TargetMode="External"/><Relationship Id="rId20" Type="http://schemas.openxmlformats.org/officeDocument/2006/relationships/hyperlink" Target="http://undocs.org/CEDAW/C/CHN" TargetMode="External"/><Relationship Id="rId29" Type="http://schemas.openxmlformats.org/officeDocument/2006/relationships/hyperlink" Target="http://undocs.org/CEDAW/C/GHA/Q/6" TargetMode="External"/><Relationship Id="rId41" Type="http://schemas.openxmlformats.org/officeDocument/2006/relationships/hyperlink" Target="http://undocs.org/CEDAW/C/VEN/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EDAW/C/POL/7" TargetMode="External"/><Relationship Id="rId32" Type="http://schemas.openxmlformats.org/officeDocument/2006/relationships/hyperlink" Target="http://undocs.org/CEDAW/C/POL/Q/7" TargetMode="External"/><Relationship Id="rId37" Type="http://schemas.openxmlformats.org/officeDocument/2006/relationships/hyperlink" Target="http://undocs.org/CEDAW/C/GHA/Q/6" TargetMode="External"/><Relationship Id="rId40" Type="http://schemas.openxmlformats.org/officeDocument/2006/relationships/hyperlink" Target="http://undocs.org/CEDAW/C/POL/Q/7" TargetMode="External"/><Relationship Id="rId5" Type="http://schemas.openxmlformats.org/officeDocument/2006/relationships/footnotes" Target="footnotes.xml"/><Relationship Id="rId15" Type="http://schemas.openxmlformats.org/officeDocument/2006/relationships/hyperlink" Target="http://undocs.org/CEDAW/C/PSWG/59/1" TargetMode="External"/><Relationship Id="rId23" Type="http://schemas.openxmlformats.org/officeDocument/2006/relationships/hyperlink" Target="http://undocs.org/CEDAW/C/SLB/1" TargetMode="External"/><Relationship Id="rId28" Type="http://schemas.openxmlformats.org/officeDocument/2006/relationships/hyperlink" Target="http://undocs.org/CEDAW/C/CHN/Q/7" TargetMode="External"/><Relationship Id="rId36" Type="http://schemas.openxmlformats.org/officeDocument/2006/relationships/hyperlink" Target="http://undocs.org/CEDAW/C/CHN/Q/7" TargetMode="External"/><Relationship Id="rId10" Type="http://schemas.openxmlformats.org/officeDocument/2006/relationships/footer" Target="footer2.xml"/><Relationship Id="rId19" Type="http://schemas.openxmlformats.org/officeDocument/2006/relationships/hyperlink" Target="http://undocs.org/CEDAW/C/CHN" TargetMode="External"/><Relationship Id="rId31" Type="http://schemas.openxmlformats.org/officeDocument/2006/relationships/hyperlink" Target="http://undocs.org/CEDAW/C/SLB/Q/1"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59/1" TargetMode="External"/><Relationship Id="rId22" Type="http://schemas.openxmlformats.org/officeDocument/2006/relationships/hyperlink" Target="http://undocs.org/CEDAW/C/GIN/7" TargetMode="External"/><Relationship Id="rId27" Type="http://schemas.openxmlformats.org/officeDocument/2006/relationships/hyperlink" Target="http://undocs.org/CEDAW/C/BRN/Q/1" TargetMode="External"/><Relationship Id="rId30" Type="http://schemas.openxmlformats.org/officeDocument/2006/relationships/hyperlink" Target="http://undocs.org/CEDAW/C/GIN/Q/7" TargetMode="External"/><Relationship Id="rId35" Type="http://schemas.openxmlformats.org/officeDocument/2006/relationships/hyperlink" Target="http://undocs.org/CEDAW/C/BRN/Q/1"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5</Pages>
  <Words>1411</Words>
  <Characters>8171</Characters>
  <Application>Microsoft Office Outlook</Application>
  <DocSecurity>4</DocSecurity>
  <Lines>226</Lines>
  <Paragraphs>107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9475</CharactersWithSpaces>
  <SharedDoc>false</SharedDoc>
  <HLinks>
    <vt:vector size="174" baseType="variant">
      <vt:variant>
        <vt:i4>3080313</vt:i4>
      </vt:variant>
      <vt:variant>
        <vt:i4>84</vt:i4>
      </vt:variant>
      <vt:variant>
        <vt:i4>0</vt:i4>
      </vt:variant>
      <vt:variant>
        <vt:i4>5</vt:i4>
      </vt:variant>
      <vt:variant>
        <vt:lpwstr>http://undocs.org/CEDAW/C/60/1</vt:lpwstr>
      </vt:variant>
      <vt:variant>
        <vt:lpwstr/>
      </vt:variant>
      <vt:variant>
        <vt:i4>4915209</vt:i4>
      </vt:variant>
      <vt:variant>
        <vt:i4>81</vt:i4>
      </vt:variant>
      <vt:variant>
        <vt:i4>0</vt:i4>
      </vt:variant>
      <vt:variant>
        <vt:i4>5</vt:i4>
      </vt:variant>
      <vt:variant>
        <vt:lpwstr>http://undocs.org/CEDAW/C/VEN/Q/7</vt:lpwstr>
      </vt:variant>
      <vt:variant>
        <vt:lpwstr/>
      </vt:variant>
      <vt:variant>
        <vt:i4>4259853</vt:i4>
      </vt:variant>
      <vt:variant>
        <vt:i4>78</vt:i4>
      </vt:variant>
      <vt:variant>
        <vt:i4>0</vt:i4>
      </vt:variant>
      <vt:variant>
        <vt:i4>5</vt:i4>
      </vt:variant>
      <vt:variant>
        <vt:lpwstr>http://undocs.org/CEDAW/C/POL/Q/7</vt:lpwstr>
      </vt:variant>
      <vt:variant>
        <vt:lpwstr/>
      </vt:variant>
      <vt:variant>
        <vt:i4>4325376</vt:i4>
      </vt:variant>
      <vt:variant>
        <vt:i4>75</vt:i4>
      </vt:variant>
      <vt:variant>
        <vt:i4>0</vt:i4>
      </vt:variant>
      <vt:variant>
        <vt:i4>5</vt:i4>
      </vt:variant>
      <vt:variant>
        <vt:lpwstr>http://undocs.org/CEDAW/C/SLB/Q/1</vt:lpwstr>
      </vt:variant>
      <vt:variant>
        <vt:lpwstr/>
      </vt:variant>
      <vt:variant>
        <vt:i4>4653080</vt:i4>
      </vt:variant>
      <vt:variant>
        <vt:i4>72</vt:i4>
      </vt:variant>
      <vt:variant>
        <vt:i4>0</vt:i4>
      </vt:variant>
      <vt:variant>
        <vt:i4>5</vt:i4>
      </vt:variant>
      <vt:variant>
        <vt:lpwstr>http://undocs.org/CEDAW/C/GIN/Q/7</vt:lpwstr>
      </vt:variant>
      <vt:variant>
        <vt:lpwstr/>
      </vt:variant>
      <vt:variant>
        <vt:i4>4587543</vt:i4>
      </vt:variant>
      <vt:variant>
        <vt:i4>69</vt:i4>
      </vt:variant>
      <vt:variant>
        <vt:i4>0</vt:i4>
      </vt:variant>
      <vt:variant>
        <vt:i4>5</vt:i4>
      </vt:variant>
      <vt:variant>
        <vt:lpwstr>http://undocs.org/CEDAW/C/GHA/Q/6</vt:lpwstr>
      </vt:variant>
      <vt:variant>
        <vt:lpwstr/>
      </vt:variant>
      <vt:variant>
        <vt:i4>4587548</vt:i4>
      </vt:variant>
      <vt:variant>
        <vt:i4>66</vt:i4>
      </vt:variant>
      <vt:variant>
        <vt:i4>0</vt:i4>
      </vt:variant>
      <vt:variant>
        <vt:i4>5</vt:i4>
      </vt:variant>
      <vt:variant>
        <vt:lpwstr>http://undocs.org/CEDAW/C/CHN/Q/7</vt:lpwstr>
      </vt:variant>
      <vt:variant>
        <vt:lpwstr/>
      </vt:variant>
      <vt:variant>
        <vt:i4>6029341</vt:i4>
      </vt:variant>
      <vt:variant>
        <vt:i4>63</vt:i4>
      </vt:variant>
      <vt:variant>
        <vt:i4>0</vt:i4>
      </vt:variant>
      <vt:variant>
        <vt:i4>5</vt:i4>
      </vt:variant>
      <vt:variant>
        <vt:lpwstr>http://undocs.org/CEDAW/C/BRN/Q/1</vt:lpwstr>
      </vt:variant>
      <vt:variant>
        <vt:lpwstr/>
      </vt:variant>
      <vt:variant>
        <vt:i4>3014701</vt:i4>
      </vt:variant>
      <vt:variant>
        <vt:i4>60</vt:i4>
      </vt:variant>
      <vt:variant>
        <vt:i4>0</vt:i4>
      </vt:variant>
      <vt:variant>
        <vt:i4>5</vt:i4>
      </vt:variant>
      <vt:variant>
        <vt:lpwstr>http://undocs.org/CEDAW/C/BEL/Q/7/Add.1</vt:lpwstr>
      </vt:variant>
      <vt:variant>
        <vt:lpwstr/>
      </vt:variant>
      <vt:variant>
        <vt:i4>4915209</vt:i4>
      </vt:variant>
      <vt:variant>
        <vt:i4>57</vt:i4>
      </vt:variant>
      <vt:variant>
        <vt:i4>0</vt:i4>
      </vt:variant>
      <vt:variant>
        <vt:i4>5</vt:i4>
      </vt:variant>
      <vt:variant>
        <vt:lpwstr>http://undocs.org/CEDAW/C/VEN/Q/7</vt:lpwstr>
      </vt:variant>
      <vt:variant>
        <vt:lpwstr/>
      </vt:variant>
      <vt:variant>
        <vt:i4>4259853</vt:i4>
      </vt:variant>
      <vt:variant>
        <vt:i4>54</vt:i4>
      </vt:variant>
      <vt:variant>
        <vt:i4>0</vt:i4>
      </vt:variant>
      <vt:variant>
        <vt:i4>5</vt:i4>
      </vt:variant>
      <vt:variant>
        <vt:lpwstr>http://undocs.org/CEDAW/C/POL/Q/7</vt:lpwstr>
      </vt:variant>
      <vt:variant>
        <vt:lpwstr/>
      </vt:variant>
      <vt:variant>
        <vt:i4>4325376</vt:i4>
      </vt:variant>
      <vt:variant>
        <vt:i4>51</vt:i4>
      </vt:variant>
      <vt:variant>
        <vt:i4>0</vt:i4>
      </vt:variant>
      <vt:variant>
        <vt:i4>5</vt:i4>
      </vt:variant>
      <vt:variant>
        <vt:lpwstr>http://undocs.org/CEDAW/C/SLB/Q/1</vt:lpwstr>
      </vt:variant>
      <vt:variant>
        <vt:lpwstr/>
      </vt:variant>
      <vt:variant>
        <vt:i4>4653080</vt:i4>
      </vt:variant>
      <vt:variant>
        <vt:i4>48</vt:i4>
      </vt:variant>
      <vt:variant>
        <vt:i4>0</vt:i4>
      </vt:variant>
      <vt:variant>
        <vt:i4>5</vt:i4>
      </vt:variant>
      <vt:variant>
        <vt:lpwstr>http://undocs.org/CEDAW/C/GIN/Q/7</vt:lpwstr>
      </vt:variant>
      <vt:variant>
        <vt:lpwstr/>
      </vt:variant>
      <vt:variant>
        <vt:i4>4587543</vt:i4>
      </vt:variant>
      <vt:variant>
        <vt:i4>45</vt:i4>
      </vt:variant>
      <vt:variant>
        <vt:i4>0</vt:i4>
      </vt:variant>
      <vt:variant>
        <vt:i4>5</vt:i4>
      </vt:variant>
      <vt:variant>
        <vt:lpwstr>http://undocs.org/CEDAW/C/GHA/Q/6</vt:lpwstr>
      </vt:variant>
      <vt:variant>
        <vt:lpwstr/>
      </vt:variant>
      <vt:variant>
        <vt:i4>4587548</vt:i4>
      </vt:variant>
      <vt:variant>
        <vt:i4>42</vt:i4>
      </vt:variant>
      <vt:variant>
        <vt:i4>0</vt:i4>
      </vt:variant>
      <vt:variant>
        <vt:i4>5</vt:i4>
      </vt:variant>
      <vt:variant>
        <vt:lpwstr>http://undocs.org/CEDAW/C/CHN/Q/7</vt:lpwstr>
      </vt:variant>
      <vt:variant>
        <vt:lpwstr/>
      </vt:variant>
      <vt:variant>
        <vt:i4>6029341</vt:i4>
      </vt:variant>
      <vt:variant>
        <vt:i4>39</vt:i4>
      </vt:variant>
      <vt:variant>
        <vt:i4>0</vt:i4>
      </vt:variant>
      <vt:variant>
        <vt:i4>5</vt:i4>
      </vt:variant>
      <vt:variant>
        <vt:lpwstr>http://undocs.org/CEDAW/C/BRN/Q/1</vt:lpwstr>
      </vt:variant>
      <vt:variant>
        <vt:lpwstr/>
      </vt:variant>
      <vt:variant>
        <vt:i4>4915231</vt:i4>
      </vt:variant>
      <vt:variant>
        <vt:i4>36</vt:i4>
      </vt:variant>
      <vt:variant>
        <vt:i4>0</vt:i4>
      </vt:variant>
      <vt:variant>
        <vt:i4>5</vt:i4>
      </vt:variant>
      <vt:variant>
        <vt:lpwstr>http://undocs.org/CEDAW/C/BEL/Q/7</vt:lpwstr>
      </vt:variant>
      <vt:variant>
        <vt:lpwstr/>
      </vt:variant>
      <vt:variant>
        <vt:i4>6553720</vt:i4>
      </vt:variant>
      <vt:variant>
        <vt:i4>33</vt:i4>
      </vt:variant>
      <vt:variant>
        <vt:i4>0</vt:i4>
      </vt:variant>
      <vt:variant>
        <vt:i4>5</vt:i4>
      </vt:variant>
      <vt:variant>
        <vt:lpwstr>http://undocs.org/CEDAW/C/VEN/7</vt:lpwstr>
      </vt:variant>
      <vt:variant>
        <vt:lpwstr/>
      </vt:variant>
      <vt:variant>
        <vt:i4>7209084</vt:i4>
      </vt:variant>
      <vt:variant>
        <vt:i4>30</vt:i4>
      </vt:variant>
      <vt:variant>
        <vt:i4>0</vt:i4>
      </vt:variant>
      <vt:variant>
        <vt:i4>5</vt:i4>
      </vt:variant>
      <vt:variant>
        <vt:lpwstr>http://undocs.org/CEDAW/C/POL/7</vt:lpwstr>
      </vt:variant>
      <vt:variant>
        <vt:lpwstr/>
      </vt:variant>
      <vt:variant>
        <vt:i4>7143537</vt:i4>
      </vt:variant>
      <vt:variant>
        <vt:i4>27</vt:i4>
      </vt:variant>
      <vt:variant>
        <vt:i4>0</vt:i4>
      </vt:variant>
      <vt:variant>
        <vt:i4>5</vt:i4>
      </vt:variant>
      <vt:variant>
        <vt:lpwstr>http://undocs.org/CEDAW/C/SLB/1</vt:lpwstr>
      </vt:variant>
      <vt:variant>
        <vt:lpwstr/>
      </vt:variant>
      <vt:variant>
        <vt:i4>6815849</vt:i4>
      </vt:variant>
      <vt:variant>
        <vt:i4>24</vt:i4>
      </vt:variant>
      <vt:variant>
        <vt:i4>0</vt:i4>
      </vt:variant>
      <vt:variant>
        <vt:i4>5</vt:i4>
      </vt:variant>
      <vt:variant>
        <vt:lpwstr>http://undocs.org/CEDAW/C/GIN/7</vt:lpwstr>
      </vt:variant>
      <vt:variant>
        <vt:lpwstr/>
      </vt:variant>
      <vt:variant>
        <vt:i4>6881382</vt:i4>
      </vt:variant>
      <vt:variant>
        <vt:i4>21</vt:i4>
      </vt:variant>
      <vt:variant>
        <vt:i4>0</vt:i4>
      </vt:variant>
      <vt:variant>
        <vt:i4>5</vt:i4>
      </vt:variant>
      <vt:variant>
        <vt:lpwstr>http://undocs.org/CEDAW/C/GHA/6</vt:lpwstr>
      </vt:variant>
      <vt:variant>
        <vt:lpwstr/>
      </vt:variant>
      <vt:variant>
        <vt:i4>4587523</vt:i4>
      </vt:variant>
      <vt:variant>
        <vt:i4>18</vt:i4>
      </vt:variant>
      <vt:variant>
        <vt:i4>0</vt:i4>
      </vt:variant>
      <vt:variant>
        <vt:i4>5</vt:i4>
      </vt:variant>
      <vt:variant>
        <vt:lpwstr>http://undocs.org/CEDAW/C/CHN</vt:lpwstr>
      </vt:variant>
      <vt:variant>
        <vt:lpwstr/>
      </vt:variant>
      <vt:variant>
        <vt:i4>4587523</vt:i4>
      </vt:variant>
      <vt:variant>
        <vt:i4>15</vt:i4>
      </vt:variant>
      <vt:variant>
        <vt:i4>0</vt:i4>
      </vt:variant>
      <vt:variant>
        <vt:i4>5</vt:i4>
      </vt:variant>
      <vt:variant>
        <vt:lpwstr>http://undocs.org/CEDAW/C/CHN</vt:lpwstr>
      </vt:variant>
      <vt:variant>
        <vt:lpwstr/>
      </vt:variant>
      <vt:variant>
        <vt:i4>6881389</vt:i4>
      </vt:variant>
      <vt:variant>
        <vt:i4>12</vt:i4>
      </vt:variant>
      <vt:variant>
        <vt:i4>0</vt:i4>
      </vt:variant>
      <vt:variant>
        <vt:i4>5</vt:i4>
      </vt:variant>
      <vt:variant>
        <vt:lpwstr>http://undocs.org/CEDAW/C/CHN/7</vt:lpwstr>
      </vt:variant>
      <vt:variant>
        <vt:lpwstr/>
      </vt:variant>
      <vt:variant>
        <vt:i4>7536748</vt:i4>
      </vt:variant>
      <vt:variant>
        <vt:i4>9</vt:i4>
      </vt:variant>
      <vt:variant>
        <vt:i4>0</vt:i4>
      </vt:variant>
      <vt:variant>
        <vt:i4>5</vt:i4>
      </vt:variant>
      <vt:variant>
        <vt:lpwstr>http://undocs.org/CEDAW/C/BRN/1</vt:lpwstr>
      </vt:variant>
      <vt:variant>
        <vt:lpwstr/>
      </vt:variant>
      <vt:variant>
        <vt:i4>6553710</vt:i4>
      </vt:variant>
      <vt:variant>
        <vt:i4>6</vt:i4>
      </vt:variant>
      <vt:variant>
        <vt:i4>0</vt:i4>
      </vt:variant>
      <vt:variant>
        <vt:i4>5</vt:i4>
      </vt:variant>
      <vt:variant>
        <vt:lpwstr>http://undocs.org/CEDAW/C/BEL/7</vt:lpwstr>
      </vt:variant>
      <vt:variant>
        <vt:lpwstr/>
      </vt:variant>
      <vt:variant>
        <vt:i4>2097265</vt:i4>
      </vt:variant>
      <vt:variant>
        <vt:i4>3</vt:i4>
      </vt:variant>
      <vt:variant>
        <vt:i4>0</vt:i4>
      </vt:variant>
      <vt:variant>
        <vt:i4>5</vt:i4>
      </vt:variant>
      <vt:variant>
        <vt:lpwstr>http://undocs.org/CEDAW/C/PSWG/59/1</vt:lpwstr>
      </vt:variant>
      <vt:variant>
        <vt:lpwstr/>
      </vt:variant>
      <vt:variant>
        <vt:i4>2490490</vt:i4>
      </vt:variant>
      <vt:variant>
        <vt:i4>0</vt:i4>
      </vt:variant>
      <vt:variant>
        <vt:i4>0</vt:i4>
      </vt:variant>
      <vt:variant>
        <vt:i4>5</vt:i4>
      </vt:variant>
      <vt:variant>
        <vt:lpwstr>http://undocs.org/CEDAW/C/59/1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Estelle Gagnon</dc:creator>
  <cp:keywords/>
  <dc:description/>
  <cp:lastModifiedBy>Estelle Gagnon</cp:lastModifiedBy>
  <cp:revision>5</cp:revision>
  <cp:lastPrinted>2014-07-02T14:50:00Z</cp:lastPrinted>
  <dcterms:created xsi:type="dcterms:W3CDTF">2014-07-02T13:26:00Z</dcterms:created>
  <dcterms:modified xsi:type="dcterms:W3CDTF">2014-07-02T14:52:00Z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1456040F</vt:lpwstr>
  </property>
  <property fmtid="{D5CDD505-2E9C-101B-9397-08002B2CF9AE}" pid="3" name="ODSRefJobNo">
    <vt:lpwstr>1443881F</vt:lpwstr>
  </property>
  <property fmtid="{D5CDD505-2E9C-101B-9397-08002B2CF9AE}" pid="4" name="Symbol1">
    <vt:lpwstr>CEDAW/C/59/1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23 juin 2014</vt:lpwstr>
  </property>
  <property fmtid="{D5CDD505-2E9C-101B-9397-08002B2CF9AE}" pid="9" name="Original">
    <vt:lpwstr>anglais</vt:lpwstr>
  </property>
  <property fmtid="{D5CDD505-2E9C-101B-9397-08002B2CF9AE}" pid="10" name="Release Date">
    <vt:lpwstr>020714</vt:lpwstr>
  </property>
  <property fmtid="{D5CDD505-2E9C-101B-9397-08002B2CF9AE}" pid="11" name="Comment">
    <vt:lpwstr>External</vt:lpwstr>
  </property>
  <property fmtid="{D5CDD505-2E9C-101B-9397-08002B2CF9AE}" pid="12" name="DraftPages">
    <vt:lpwstr> 5</vt:lpwstr>
  </property>
  <property fmtid="{D5CDD505-2E9C-101B-9397-08002B2CF9AE}" pid="13" name="Operator">
    <vt:lpwstr>ega</vt:lpwstr>
  </property>
</Properties>
</file>