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6287A98F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55585C6D" w14:textId="77777777" w:rsidR="002D5AAC" w:rsidRPr="001359DC" w:rsidRDefault="002D5AAC" w:rsidP="006237B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9DE9A3D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2BCFEB6E" w14:textId="60EEE6BB" w:rsidR="002D5AAC" w:rsidRPr="001359DC" w:rsidRDefault="006237B9" w:rsidP="006237B9">
            <w:pPr>
              <w:jc w:val="right"/>
              <w:rPr>
                <w:lang w:val="es-ES"/>
              </w:rPr>
            </w:pPr>
            <w:r w:rsidRPr="006237B9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/HRC/62/L.5</w:t>
            </w:r>
          </w:p>
        </w:tc>
      </w:tr>
      <w:tr w:rsidR="002D5AAC" w:rsidRPr="001359DC" w14:paraId="00BF33B7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980C18C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3A5588F8" wp14:editId="7E74681C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B8DCF3C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3D0C82C6" w14:textId="77777777" w:rsidR="002D5AAC" w:rsidRDefault="006237B9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limitada</w:t>
            </w:r>
          </w:p>
          <w:p w14:paraId="76941316" w14:textId="77777777" w:rsidR="006237B9" w:rsidRDefault="006237B9" w:rsidP="006237B9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30 de junio de 2026</w:t>
            </w:r>
          </w:p>
          <w:p w14:paraId="22068DB0" w14:textId="77777777" w:rsidR="006237B9" w:rsidRDefault="006237B9" w:rsidP="006237B9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7A53ED30" w14:textId="0804B1AA" w:rsidR="006237B9" w:rsidRPr="001359DC" w:rsidRDefault="006237B9" w:rsidP="006237B9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1C7475A4" w14:textId="77777777" w:rsidR="006237B9" w:rsidRPr="006237B9" w:rsidRDefault="006237B9" w:rsidP="006237B9">
      <w:pPr>
        <w:spacing w:before="120" w:line="240" w:lineRule="auto"/>
        <w:rPr>
          <w:b/>
          <w:bCs/>
          <w:sz w:val="24"/>
          <w:szCs w:val="24"/>
        </w:rPr>
      </w:pPr>
      <w:r w:rsidRPr="006237B9">
        <w:rPr>
          <w:b/>
          <w:bCs/>
          <w:sz w:val="24"/>
          <w:szCs w:val="24"/>
        </w:rPr>
        <w:t>Consejo de Derechos Humanos</w:t>
      </w:r>
    </w:p>
    <w:p w14:paraId="3AD1DD42" w14:textId="77777777" w:rsidR="006237B9" w:rsidRPr="006237B9" w:rsidRDefault="006237B9" w:rsidP="006237B9">
      <w:pPr>
        <w:spacing w:line="240" w:lineRule="auto"/>
        <w:rPr>
          <w:b/>
          <w:bCs/>
        </w:rPr>
      </w:pPr>
      <w:r w:rsidRPr="006237B9">
        <w:rPr>
          <w:b/>
          <w:bCs/>
        </w:rPr>
        <w:t>62º período de sesiones</w:t>
      </w:r>
    </w:p>
    <w:p w14:paraId="20220E29" w14:textId="77777777" w:rsidR="006237B9" w:rsidRPr="006237B9" w:rsidRDefault="006237B9" w:rsidP="006237B9">
      <w:pPr>
        <w:spacing w:line="240" w:lineRule="auto"/>
      </w:pPr>
      <w:r w:rsidRPr="006237B9">
        <w:t>15 de junio a 7 de julio de 2026</w:t>
      </w:r>
    </w:p>
    <w:p w14:paraId="558604EC" w14:textId="77777777" w:rsidR="006237B9" w:rsidRPr="006237B9" w:rsidRDefault="006237B9" w:rsidP="006237B9">
      <w:pPr>
        <w:spacing w:line="240" w:lineRule="auto"/>
      </w:pPr>
      <w:r w:rsidRPr="006237B9">
        <w:t>Tema 3 de la agenda</w:t>
      </w:r>
    </w:p>
    <w:p w14:paraId="60C33FE5" w14:textId="77777777" w:rsidR="006237B9" w:rsidRDefault="006237B9" w:rsidP="006237B9">
      <w:pPr>
        <w:spacing w:line="240" w:lineRule="auto"/>
        <w:rPr>
          <w:b/>
          <w:bCs/>
        </w:rPr>
      </w:pPr>
      <w:r w:rsidRPr="006237B9">
        <w:rPr>
          <w:b/>
          <w:bCs/>
        </w:rPr>
        <w:t xml:space="preserve">Promoción y protección de todos los derechos humanos, </w:t>
      </w:r>
    </w:p>
    <w:p w14:paraId="1FE5A697" w14:textId="77777777" w:rsidR="006237B9" w:rsidRDefault="006237B9" w:rsidP="006237B9">
      <w:pPr>
        <w:spacing w:line="240" w:lineRule="auto"/>
        <w:rPr>
          <w:b/>
          <w:bCs/>
        </w:rPr>
      </w:pPr>
      <w:r w:rsidRPr="006237B9">
        <w:rPr>
          <w:b/>
          <w:bCs/>
        </w:rPr>
        <w:t xml:space="preserve">civiles, políticos, económicos, sociales y culturales, </w:t>
      </w:r>
    </w:p>
    <w:p w14:paraId="1177BD42" w14:textId="3D772C27" w:rsidR="006237B9" w:rsidRPr="006237B9" w:rsidRDefault="006237B9" w:rsidP="006237B9">
      <w:pPr>
        <w:spacing w:line="240" w:lineRule="auto"/>
        <w:rPr>
          <w:b/>
        </w:rPr>
      </w:pPr>
      <w:r w:rsidRPr="006237B9">
        <w:rPr>
          <w:b/>
          <w:bCs/>
        </w:rPr>
        <w:t>incluido el derecho al desarrollo</w:t>
      </w:r>
    </w:p>
    <w:p w14:paraId="39A4598E" w14:textId="350CEB7D" w:rsidR="006237B9" w:rsidRPr="006237B9" w:rsidRDefault="006237B9" w:rsidP="006237B9">
      <w:pPr>
        <w:pStyle w:val="H23G"/>
      </w:pPr>
      <w:r>
        <w:tab/>
      </w:r>
      <w:r>
        <w:tab/>
      </w:r>
      <w:r w:rsidRPr="006237B9">
        <w:t>Alemania</w:t>
      </w:r>
      <w:r w:rsidRPr="006237B9">
        <w:rPr>
          <w:b w:val="0"/>
          <w:bCs/>
        </w:rPr>
        <w:t>*</w:t>
      </w:r>
      <w:r w:rsidRPr="006237B9">
        <w:t>, Andorra</w:t>
      </w:r>
      <w:r w:rsidRPr="006237B9">
        <w:rPr>
          <w:rStyle w:val="Refdenotaalpie"/>
          <w:b w:val="0"/>
          <w:bCs/>
          <w:sz w:val="20"/>
          <w:vertAlign w:val="baseline"/>
        </w:rPr>
        <w:footnoteReference w:customMarkFollows="1" w:id="1"/>
        <w:t>*</w:t>
      </w:r>
      <w:r w:rsidRPr="006237B9">
        <w:t>, Brasil, Camboya</w:t>
      </w:r>
      <w:r w:rsidRPr="006237B9">
        <w:rPr>
          <w:b w:val="0"/>
          <w:bCs/>
        </w:rPr>
        <w:t>*</w:t>
      </w:r>
      <w:r w:rsidRPr="006237B9">
        <w:t>, Chile, Chipre, Ecuador, Eslovenia, Etiopía,</w:t>
      </w:r>
      <w:r w:rsidR="001B7DFE">
        <w:t> </w:t>
      </w:r>
      <w:r w:rsidRPr="006237B9">
        <w:t>Fiji</w:t>
      </w:r>
      <w:r w:rsidRPr="006237B9">
        <w:rPr>
          <w:b w:val="0"/>
          <w:bCs/>
        </w:rPr>
        <w:t>*</w:t>
      </w:r>
      <w:r w:rsidRPr="006237B9">
        <w:t>, Filipinas</w:t>
      </w:r>
      <w:r w:rsidRPr="006237B9">
        <w:rPr>
          <w:b w:val="0"/>
          <w:bCs/>
        </w:rPr>
        <w:t>*</w:t>
      </w:r>
      <w:r w:rsidRPr="006237B9">
        <w:t>, Grecia</w:t>
      </w:r>
      <w:r w:rsidRPr="006237B9">
        <w:rPr>
          <w:b w:val="0"/>
          <w:bCs/>
        </w:rPr>
        <w:t>*</w:t>
      </w:r>
      <w:r w:rsidRPr="006237B9">
        <w:t>, India, Islas Marshall, Italia, Japón, Kirguistán</w:t>
      </w:r>
      <w:r w:rsidRPr="006237B9">
        <w:rPr>
          <w:b w:val="0"/>
          <w:bCs/>
        </w:rPr>
        <w:t>*</w:t>
      </w:r>
      <w:r w:rsidRPr="006237B9">
        <w:t>,</w:t>
      </w:r>
      <w:r w:rsidR="001B7DFE">
        <w:t> </w:t>
      </w:r>
      <w:r w:rsidRPr="006237B9">
        <w:t>Marruecos</w:t>
      </w:r>
      <w:r w:rsidRPr="006237B9">
        <w:rPr>
          <w:b w:val="0"/>
          <w:bCs/>
        </w:rPr>
        <w:t>*</w:t>
      </w:r>
      <w:r w:rsidRPr="006237B9">
        <w:t>, Paraguay</w:t>
      </w:r>
      <w:r w:rsidRPr="006237B9">
        <w:rPr>
          <w:b w:val="0"/>
          <w:bCs/>
        </w:rPr>
        <w:t>*</w:t>
      </w:r>
      <w:r w:rsidRPr="006237B9">
        <w:t>, Portugal</w:t>
      </w:r>
      <w:r w:rsidRPr="006237B9">
        <w:rPr>
          <w:b w:val="0"/>
          <w:bCs/>
        </w:rPr>
        <w:t>*</w:t>
      </w:r>
      <w:r w:rsidRPr="006237B9">
        <w:t>, Reino Unido de Gran Bretaña</w:t>
      </w:r>
      <w:r w:rsidR="001B7DFE">
        <w:t> </w:t>
      </w:r>
      <w:r w:rsidRPr="006237B9">
        <w:t>e</w:t>
      </w:r>
      <w:r w:rsidR="001B7DFE">
        <w:t> </w:t>
      </w:r>
      <w:r w:rsidRPr="006237B9">
        <w:t>Irlanda del Norte, República de Corea, Rumanía</w:t>
      </w:r>
      <w:r w:rsidRPr="006237B9">
        <w:rPr>
          <w:b w:val="0"/>
          <w:bCs/>
        </w:rPr>
        <w:t>*</w:t>
      </w:r>
      <w:r w:rsidRPr="006237B9">
        <w:t>, Tailandia, Ucrania</w:t>
      </w:r>
      <w:r w:rsidRPr="006237B9">
        <w:rPr>
          <w:b w:val="0"/>
          <w:bCs/>
        </w:rPr>
        <w:t>*</w:t>
      </w:r>
      <w:r w:rsidRPr="006237B9">
        <w:t>,</w:t>
      </w:r>
      <w:r w:rsidR="001B7DFE">
        <w:t> </w:t>
      </w:r>
      <w:r w:rsidRPr="006237B9">
        <w:t>Uzbekistán</w:t>
      </w:r>
      <w:r w:rsidRPr="006237B9">
        <w:rPr>
          <w:b w:val="0"/>
          <w:bCs/>
        </w:rPr>
        <w:t>*</w:t>
      </w:r>
      <w:r w:rsidRPr="006237B9">
        <w:t xml:space="preserve"> y Yemen</w:t>
      </w:r>
      <w:r w:rsidRPr="006237B9">
        <w:rPr>
          <w:b w:val="0"/>
          <w:bCs/>
        </w:rPr>
        <w:t>*</w:t>
      </w:r>
      <w:r w:rsidRPr="006237B9">
        <w:t>: proyecto de resolución</w:t>
      </w:r>
    </w:p>
    <w:p w14:paraId="710C687C" w14:textId="67C600CE" w:rsidR="006237B9" w:rsidRPr="006237B9" w:rsidRDefault="006237B9" w:rsidP="006237B9">
      <w:pPr>
        <w:pStyle w:val="H1G"/>
        <w:ind w:left="1871" w:hanging="737"/>
      </w:pPr>
      <w:r w:rsidRPr="006237B9">
        <w:t>62/…</w:t>
      </w:r>
      <w:r w:rsidRPr="006237B9">
        <w:tab/>
        <w:t>Eliminación de la discriminación contra las personas afectadas</w:t>
      </w:r>
      <w:r>
        <w:t> </w:t>
      </w:r>
      <w:r w:rsidRPr="006237B9">
        <w:t xml:space="preserve">por la lepra/enfermedad de Hansen </w:t>
      </w:r>
      <w:r>
        <w:br/>
      </w:r>
      <w:r w:rsidRPr="006237B9">
        <w:t>y sus familiares</w:t>
      </w:r>
    </w:p>
    <w:p w14:paraId="04115D54" w14:textId="77777777" w:rsidR="006237B9" w:rsidRPr="006237B9" w:rsidRDefault="006237B9" w:rsidP="006237B9">
      <w:pPr>
        <w:pStyle w:val="SingleTxtG"/>
      </w:pPr>
      <w:r w:rsidRPr="006237B9">
        <w:tab/>
      </w:r>
      <w:r w:rsidRPr="006237B9">
        <w:rPr>
          <w:i/>
        </w:rPr>
        <w:t>El Consejo de Derechos Humanos</w:t>
      </w:r>
      <w:r w:rsidRPr="006237B9">
        <w:t>,</w:t>
      </w:r>
    </w:p>
    <w:p w14:paraId="293611CB" w14:textId="77777777" w:rsidR="006237B9" w:rsidRPr="006237B9" w:rsidRDefault="006237B9" w:rsidP="006237B9">
      <w:pPr>
        <w:pStyle w:val="SingleTxtG"/>
      </w:pPr>
      <w:r w:rsidRPr="006237B9">
        <w:tab/>
      </w:r>
      <w:r w:rsidRPr="006237B9">
        <w:rPr>
          <w:i/>
          <w:iCs/>
        </w:rPr>
        <w:t>Guiado</w:t>
      </w:r>
      <w:r w:rsidRPr="006237B9">
        <w:t xml:space="preserve"> por los propósitos, principios y disposiciones de la Carta de las Naciones Unidas,</w:t>
      </w:r>
    </w:p>
    <w:p w14:paraId="1A556E04" w14:textId="77777777" w:rsidR="006237B9" w:rsidRPr="006237B9" w:rsidRDefault="006237B9" w:rsidP="006237B9">
      <w:pPr>
        <w:pStyle w:val="SingleTxtG"/>
      </w:pPr>
      <w:r w:rsidRPr="006237B9">
        <w:tab/>
      </w:r>
      <w:r w:rsidRPr="006237B9">
        <w:rPr>
          <w:i/>
          <w:iCs/>
        </w:rPr>
        <w:t>Guiado también</w:t>
      </w:r>
      <w:r w:rsidRPr="006237B9">
        <w:t xml:space="preserve"> por la Declaración Universal de Derechos Humanos, y recordando los instrumentos internacionales de derechos humanos pertinentes, como el Pacto Internacional de Derechos Económicos, Sociales y Culturales, el Pacto Internacional de Derechos Civiles y Políticos, la Convención sobre los Derechos de las Personas con Discapacidad, la Convención sobre la Eliminación de Todas las Formas de Discriminación contra la Mujer, la Convención sobre los Derechos del Niño y la Convención Internacional sobre la Eliminación de Todas las Formas de Discriminación Racial,</w:t>
      </w:r>
    </w:p>
    <w:p w14:paraId="5A6A5E0D" w14:textId="09F53D72" w:rsidR="006237B9" w:rsidRPr="006237B9" w:rsidRDefault="006237B9" w:rsidP="006237B9">
      <w:pPr>
        <w:pStyle w:val="SingleTxtG"/>
      </w:pPr>
      <w:r w:rsidRPr="006237B9">
        <w:tab/>
      </w:r>
      <w:r w:rsidRPr="006237B9">
        <w:rPr>
          <w:i/>
          <w:iCs/>
        </w:rPr>
        <w:t>Reconociendo con aprecio</w:t>
      </w:r>
      <w:r w:rsidRPr="006237B9">
        <w:t xml:space="preserve"> la labor realizada y los informes presentados por las Relatoras Especiales sobre la eliminación de la discriminación contra las personas afectadas por la lepra (enfermedad de Hansen) y sus familiares al Consejo de Derechos Humanos y a la Asamblea General</w:t>
      </w:r>
      <w:r>
        <w:rPr>
          <w:rStyle w:val="Refdenotaalpie"/>
        </w:rPr>
        <w:footnoteReference w:id="2"/>
      </w:r>
      <w:r w:rsidRPr="006237B9">
        <w:t>, así como las recomendaciones formuladas en ellos, y las contribuciones realizadas mediante visitas a los países, la presentación de informes y la colaboración con las partes interesadas para sensibilizar y promover la aplicación de los principios y directrices para la eliminación de la discriminación de las personas afectadas por la lepra y sus familiares,</w:t>
      </w:r>
    </w:p>
    <w:p w14:paraId="3DA70751" w14:textId="3E799F5E" w:rsidR="006237B9" w:rsidRPr="006237B9" w:rsidRDefault="006237B9" w:rsidP="006237B9">
      <w:pPr>
        <w:pStyle w:val="SingleTxtG"/>
      </w:pPr>
      <w:r w:rsidRPr="006237B9">
        <w:tab/>
      </w:r>
      <w:r w:rsidRPr="006237B9">
        <w:rPr>
          <w:i/>
          <w:iCs/>
        </w:rPr>
        <w:t>Recordando</w:t>
      </w:r>
      <w:r w:rsidRPr="006237B9">
        <w:t xml:space="preserve"> las resoluciones del Consejo de Derechos Humanos 8/13, de 18 de junio de 2008, 12/7, de 1 de octubre de 2009, 15/10, de 30 de septiembre de 2010, 29/5, de 2 de julio de 2015, 35/9, de 22 de junio de 2017, 44/6, de 16 de julio de 2020, y 53/8, de 12 de julio de 2023, la resolución 65/215 de la Asamblea General, de 21 de diciembre de 2010, y el informe final del Comité Asesor del Consejo de Derechos Humanos presentado de </w:t>
      </w:r>
      <w:r w:rsidRPr="006237B9">
        <w:lastRenderedPageBreak/>
        <w:t>conformidad con la resolución 29/5 del Consejo de Derechos Humanos, de 2 de julio de 2015, así como las recomendaciones que figuran en él</w:t>
      </w:r>
      <w:r>
        <w:rPr>
          <w:rStyle w:val="Refdenotaalpie"/>
        </w:rPr>
        <w:footnoteReference w:id="3"/>
      </w:r>
      <w:r w:rsidRPr="006237B9">
        <w:t>,</w:t>
      </w:r>
    </w:p>
    <w:p w14:paraId="4BD08C29" w14:textId="77777777" w:rsidR="006237B9" w:rsidRPr="006237B9" w:rsidRDefault="006237B9" w:rsidP="006237B9">
      <w:pPr>
        <w:pStyle w:val="SingleTxtG"/>
      </w:pPr>
      <w:r w:rsidRPr="006237B9">
        <w:tab/>
      </w:r>
      <w:r w:rsidRPr="006237B9">
        <w:rPr>
          <w:i/>
          <w:iCs/>
        </w:rPr>
        <w:t>Recordando también</w:t>
      </w:r>
      <w:r w:rsidRPr="006237B9">
        <w:t xml:space="preserve"> la universalidad, indivisibilidad, interdependencia e interrelación de todos los derechos humanos y libertades fundamentales,</w:t>
      </w:r>
    </w:p>
    <w:p w14:paraId="1A9DE3A7" w14:textId="77777777" w:rsidR="006237B9" w:rsidRPr="006237B9" w:rsidRDefault="006237B9" w:rsidP="006237B9">
      <w:pPr>
        <w:pStyle w:val="SingleTxtG"/>
      </w:pPr>
      <w:r w:rsidRPr="006237B9">
        <w:tab/>
      </w:r>
      <w:r w:rsidRPr="006237B9">
        <w:rPr>
          <w:i/>
          <w:iCs/>
        </w:rPr>
        <w:t>Recordando además</w:t>
      </w:r>
      <w:r w:rsidRPr="006237B9">
        <w:t xml:space="preserve"> la Estrategia Mundial contra la Lepra (Enfermedad de Hansen) 2021-2030 de la Organización Mundial de la Salud, y compartiendo la aspiración común de acelerar las medidas para lograr un mundo sin lepra/enfermedad de Hansen,</w:t>
      </w:r>
    </w:p>
    <w:p w14:paraId="36334094" w14:textId="77777777" w:rsidR="006237B9" w:rsidRPr="006237B9" w:rsidRDefault="006237B9" w:rsidP="006237B9">
      <w:pPr>
        <w:pStyle w:val="SingleTxtG"/>
        <w:rPr>
          <w:i/>
        </w:rPr>
      </w:pPr>
      <w:r w:rsidRPr="006237B9">
        <w:tab/>
      </w:r>
      <w:r w:rsidRPr="006237B9">
        <w:rPr>
          <w:i/>
          <w:iCs/>
        </w:rPr>
        <w:t>Recordando</w:t>
      </w:r>
      <w:r w:rsidRPr="006237B9">
        <w:t xml:space="preserve"> que la lepra/enfermedad de Hansen se puede curar y que el tratamiento en las fases iniciales, que puede evitar las deficiencias y la discapacidad, permitiría proteger mejor los derechos humanos de las personas con lepra/enfermedad de Hansen,</w:t>
      </w:r>
    </w:p>
    <w:p w14:paraId="67414F78" w14:textId="77777777" w:rsidR="006237B9" w:rsidRPr="006237B9" w:rsidRDefault="006237B9" w:rsidP="006237B9">
      <w:pPr>
        <w:pStyle w:val="SingleTxtG"/>
      </w:pPr>
      <w:r w:rsidRPr="006237B9">
        <w:tab/>
      </w:r>
      <w:r w:rsidRPr="006237B9">
        <w:rPr>
          <w:i/>
          <w:iCs/>
        </w:rPr>
        <w:t>Profundamente preocupado</w:t>
      </w:r>
      <w:r w:rsidRPr="006237B9">
        <w:t xml:space="preserve"> por el hecho de que, en diversas partes del mundo, las personas afectadas por la lepra/enfermedad de Hansen y sus familiares han encontrado y siguen encontrando barreras para participar en la sociedad en igualdad de condiciones con los demás, como aislamiento, discriminación y violaciones y conculcaciones de sus derechos humanos, que los dejan en situación de vulnerabilidad, y consciente de que es necesario prestar mayor atención a esos problemas para atajarlos,</w:t>
      </w:r>
    </w:p>
    <w:p w14:paraId="4F92A967" w14:textId="77777777" w:rsidR="006237B9" w:rsidRPr="006237B9" w:rsidRDefault="006237B9" w:rsidP="006237B9">
      <w:pPr>
        <w:pStyle w:val="SingleTxtG"/>
      </w:pPr>
      <w:r w:rsidRPr="006237B9">
        <w:tab/>
      </w:r>
      <w:r w:rsidRPr="006237B9">
        <w:rPr>
          <w:i/>
          <w:iCs/>
        </w:rPr>
        <w:t>Reafirmando</w:t>
      </w:r>
      <w:r w:rsidRPr="006237B9">
        <w:t xml:space="preserve"> que las personas afectadas por la lepra/enfermedad de Hansen y sus familiares, en particular las mujeres, los niños, los adolescentes, las personas que tienen deficiencias y discapacidad asociadas a la lepra/enfermedad de Hansen y las personas de edad, deben ser tratados con dignidad y tienen derecho al goce de todos los derechos humanos y libertades fundamentales reconocidos en el derecho internacional, incluidas las convenciones pertinentes, y las constituciones y legislaciones nacionales,</w:t>
      </w:r>
    </w:p>
    <w:p w14:paraId="4879A318" w14:textId="77777777" w:rsidR="006237B9" w:rsidRPr="006237B9" w:rsidRDefault="006237B9" w:rsidP="006237B9">
      <w:pPr>
        <w:pStyle w:val="SingleTxtG"/>
      </w:pPr>
      <w:r w:rsidRPr="006237B9">
        <w:tab/>
      </w:r>
      <w:r w:rsidRPr="006237B9">
        <w:rPr>
          <w:i/>
          <w:iCs/>
        </w:rPr>
        <w:t>Reconociendo</w:t>
      </w:r>
      <w:r w:rsidRPr="006237B9">
        <w:t xml:space="preserve"> que las personas afectadas por la lepra/enfermedad de Hansen y sus familiares siguen enfrentándose a múltiples formas de estigmatización y discriminación derivadas de la desinformación y de los malentendidos sobre la enfermedad, que generan estereotipos perjudiciales, en todo el mundo,</w:t>
      </w:r>
    </w:p>
    <w:p w14:paraId="7D729EEA" w14:textId="77777777" w:rsidR="006237B9" w:rsidRPr="006237B9" w:rsidRDefault="006237B9" w:rsidP="006237B9">
      <w:pPr>
        <w:pStyle w:val="SingleTxtG"/>
      </w:pPr>
      <w:r w:rsidRPr="006237B9">
        <w:tab/>
      </w:r>
      <w:r w:rsidRPr="006237B9">
        <w:rPr>
          <w:i/>
          <w:iCs/>
        </w:rPr>
        <w:t>Reconociendo también</w:t>
      </w:r>
      <w:r w:rsidRPr="006237B9">
        <w:t xml:space="preserve"> que es necesario prestar atención específica a la lucha contra todas las formas de estigmatización, discriminación y violencia de que son objeto las personas afectadas por la lepra/enfermedad de Hansen y sus familiares,</w:t>
      </w:r>
    </w:p>
    <w:p w14:paraId="314776FD" w14:textId="77777777" w:rsidR="006237B9" w:rsidRPr="006237B9" w:rsidRDefault="006237B9" w:rsidP="006237B9">
      <w:pPr>
        <w:pStyle w:val="SingleTxtG"/>
      </w:pPr>
      <w:r w:rsidRPr="006237B9">
        <w:tab/>
      </w:r>
      <w:r w:rsidRPr="006237B9">
        <w:rPr>
          <w:i/>
          <w:iCs/>
        </w:rPr>
        <w:t>Teniendo presente</w:t>
      </w:r>
      <w:r w:rsidRPr="006237B9">
        <w:t xml:space="preserve"> la necesidad de intensificar los esfuerzos para acabar con todas las formas de estigmatización, discriminación y violencia contra las personas afectadas por la lepra/enfermedad de Hansen y sus familiares, así como de promover marcos jurídicos y políticas que faciliten la igualdad </w:t>
      </w:r>
      <w:r w:rsidRPr="006237B9">
        <w:rPr>
          <w:i/>
          <w:iCs/>
        </w:rPr>
        <w:t>de iure</w:t>
      </w:r>
      <w:r w:rsidRPr="006237B9">
        <w:t xml:space="preserve"> y </w:t>
      </w:r>
      <w:r w:rsidRPr="006237B9">
        <w:rPr>
          <w:i/>
          <w:iCs/>
        </w:rPr>
        <w:t>de facto</w:t>
      </w:r>
      <w:r w:rsidRPr="006237B9">
        <w:t xml:space="preserve"> y la inclusión de estas personas en todo el mundo,</w:t>
      </w:r>
    </w:p>
    <w:p w14:paraId="1DAC84AE" w14:textId="3F8E71A9" w:rsidR="006237B9" w:rsidRPr="006237B9" w:rsidRDefault="006237B9" w:rsidP="006237B9">
      <w:pPr>
        <w:pStyle w:val="SingleTxtG"/>
      </w:pPr>
      <w:r w:rsidRPr="006237B9">
        <w:tab/>
      </w:r>
      <w:r w:rsidRPr="006237B9">
        <w:rPr>
          <w:i/>
          <w:iCs/>
        </w:rPr>
        <w:t xml:space="preserve">Destacando </w:t>
      </w:r>
      <w:r w:rsidRPr="006237B9">
        <w:t>la importancia de que se apliquen de manera efectiva y se difundan ampliamente los principios y directrices para la eliminación de la discriminación de las personas afectadas por la lepra y sus familiares, presentados al Consejo de Derechos Humanos por el Comité Asesor del Consejo de Derechos Humanos en 2010</w:t>
      </w:r>
      <w:r>
        <w:rPr>
          <w:rStyle w:val="Refdenotaalpie"/>
        </w:rPr>
        <w:footnoteReference w:id="4"/>
      </w:r>
      <w:r w:rsidRPr="006237B9">
        <w:t>, que los Gobiernos, los órganos, organismos especializados, fondos y programas pertinentes de las Naciones Unidas, otras organizaciones intergubernamentales y las instituciones nacionales de derechos humanos fueron alentados a tener debidamente en cuenta, por el Consejo, en su resolución 15/10, y por la Asamblea General, en su resolución 65/215,</w:t>
      </w:r>
    </w:p>
    <w:p w14:paraId="7E6AC699" w14:textId="77777777" w:rsidR="006237B9" w:rsidRPr="006237B9" w:rsidRDefault="006237B9" w:rsidP="006237B9">
      <w:pPr>
        <w:pStyle w:val="SingleTxtG"/>
      </w:pPr>
      <w:r w:rsidRPr="006237B9">
        <w:tab/>
      </w:r>
      <w:r w:rsidRPr="006237B9">
        <w:rPr>
          <w:i/>
          <w:iCs/>
        </w:rPr>
        <w:t>Reconociendo</w:t>
      </w:r>
      <w:r w:rsidRPr="006237B9">
        <w:t xml:space="preserve"> los esfuerzos realizados por los Estados para revisar, derogar o modificar las leyes, políticas y prácticas discriminatorias que tienen efectos sobre las personas afectadas por la lepra/enfermedad de Hansen y sus familiares, en consonancia con las obligaciones internacionales de derechos humanos y los contextos nacionales,</w:t>
      </w:r>
    </w:p>
    <w:p w14:paraId="6151CF0B" w14:textId="56AB2E18" w:rsidR="006237B9" w:rsidRPr="006237B9" w:rsidRDefault="006237B9" w:rsidP="006237B9">
      <w:pPr>
        <w:pStyle w:val="SingleTxtG"/>
        <w:rPr>
          <w:iCs/>
        </w:rPr>
      </w:pPr>
      <w:r>
        <w:tab/>
      </w:r>
      <w:r w:rsidRPr="006237B9">
        <w:t>1.</w:t>
      </w:r>
      <w:r w:rsidRPr="006237B9">
        <w:tab/>
      </w:r>
      <w:r w:rsidRPr="006237B9">
        <w:rPr>
          <w:i/>
          <w:iCs/>
        </w:rPr>
        <w:t>Reafirma</w:t>
      </w:r>
      <w:r w:rsidRPr="006237B9">
        <w:t xml:space="preserve"> la importancia sostenida de los principios y directrices para la eliminación de la discriminación de las personas afectadas por la lepra y sus familiares como marco fundamental para hacer frente a la discriminación relacionada con la lepra/enfermedad </w:t>
      </w:r>
      <w:r w:rsidRPr="006237B9">
        <w:lastRenderedPageBreak/>
        <w:t>de Hansen, así como para proteger los derechos de las personas que han tenido lepra/enfermedad de Hansen;</w:t>
      </w:r>
    </w:p>
    <w:p w14:paraId="1A80D5C1" w14:textId="0014366C" w:rsidR="006237B9" w:rsidRPr="006237B9" w:rsidRDefault="006237B9" w:rsidP="006237B9">
      <w:pPr>
        <w:pStyle w:val="SingleTxtG"/>
        <w:rPr>
          <w:i/>
        </w:rPr>
      </w:pPr>
      <w:r>
        <w:tab/>
      </w:r>
      <w:r w:rsidRPr="006237B9">
        <w:t>2.</w:t>
      </w:r>
      <w:r w:rsidRPr="006237B9">
        <w:tab/>
      </w:r>
      <w:r w:rsidRPr="006237B9">
        <w:rPr>
          <w:i/>
          <w:iCs/>
        </w:rPr>
        <w:t>Alienta</w:t>
      </w:r>
      <w:r w:rsidRPr="006237B9">
        <w:t xml:space="preserve"> a los Estados y a las partes interesadas pertinentes a que tengan debidamente en cuenta los principios y directrices y a que promuevan su conocimiento y comprensión y una mayor difusión y aplicación a nivel nacional y subnacional;</w:t>
      </w:r>
    </w:p>
    <w:p w14:paraId="5B951126" w14:textId="22788FB3" w:rsidR="006237B9" w:rsidRPr="006237B9" w:rsidRDefault="006237B9" w:rsidP="006237B9">
      <w:pPr>
        <w:pStyle w:val="SingleTxtG"/>
        <w:rPr>
          <w:iCs/>
        </w:rPr>
      </w:pPr>
      <w:r>
        <w:tab/>
      </w:r>
      <w:r w:rsidRPr="006237B9">
        <w:t>3.</w:t>
      </w:r>
      <w:r w:rsidRPr="006237B9">
        <w:tab/>
      </w:r>
      <w:r w:rsidRPr="006237B9">
        <w:rPr>
          <w:i/>
          <w:iCs/>
        </w:rPr>
        <w:t>Exhorta</w:t>
      </w:r>
      <w:r w:rsidRPr="006237B9">
        <w:t xml:space="preserve"> a los Estados a que prosigan y, cuando proceda, intensifiquen sus esfuerzos para eliminar la discriminación contra las personas afectadas por la lepra/enfermedad de Hansen y sus familiares, en particular mediante la integración de medidas pertinentes en las leyes, políticas, programas y estrategias nacionales y subnacionales, teniendo debidamente en cuenta los principios de no discriminación, igualdad, participación y acceso a la información;</w:t>
      </w:r>
    </w:p>
    <w:p w14:paraId="00BFB5F3" w14:textId="062D7DEE" w:rsidR="006237B9" w:rsidRPr="006237B9" w:rsidRDefault="006237B9" w:rsidP="006237B9">
      <w:pPr>
        <w:pStyle w:val="SingleTxtG"/>
        <w:rPr>
          <w:iCs/>
        </w:rPr>
      </w:pPr>
      <w:r>
        <w:tab/>
      </w:r>
      <w:r w:rsidRPr="006237B9">
        <w:t>4.</w:t>
      </w:r>
      <w:r w:rsidRPr="006237B9">
        <w:tab/>
      </w:r>
      <w:r w:rsidRPr="006237B9">
        <w:rPr>
          <w:i/>
          <w:iCs/>
        </w:rPr>
        <w:t>Alienta</w:t>
      </w:r>
      <w:r w:rsidRPr="006237B9">
        <w:t xml:space="preserve"> a los Estados y a las partes interesadas pertinentes a que, cuando proceda y de conformidad con su legislación nacional, utilicen tecnologías de la información y las comunicaciones digitales accesibles para facilitar la sensibilización, incluidos el diagnóstico temprano y el acceso al apoyo, la participación y la reducción del estigma que experimentan las personas afectadas por la lepra/enfermedad de Hansen y sus familiares;</w:t>
      </w:r>
    </w:p>
    <w:p w14:paraId="55B3E845" w14:textId="1A44C18B" w:rsidR="006237B9" w:rsidRPr="006237B9" w:rsidRDefault="006237B9" w:rsidP="006237B9">
      <w:pPr>
        <w:pStyle w:val="SingleTxtG"/>
        <w:rPr>
          <w:iCs/>
        </w:rPr>
      </w:pPr>
      <w:r>
        <w:tab/>
      </w:r>
      <w:r w:rsidRPr="006237B9">
        <w:t>5.</w:t>
      </w:r>
      <w:r w:rsidRPr="006237B9">
        <w:tab/>
      </w:r>
      <w:r w:rsidRPr="006237B9">
        <w:rPr>
          <w:i/>
          <w:iCs/>
        </w:rPr>
        <w:t>Alienta</w:t>
      </w:r>
      <w:r w:rsidRPr="006237B9">
        <w:t xml:space="preserve"> a los Estados a que, con el apoyo de la Oficina del Alto Comisionado de las Naciones Unidas para los Derechos Humanos y de las entidades pertinentes de las Naciones Unidas, conmemoren el Día Mundial de la Lepra, que se celebra cada año el último domingo de enero, como una oportunidad para sensibilizar a la población y promover el diálogo público sobre la eliminación de la discriminación contra las personas afectadas por la lepra/enfermedad de Hansen y sus familiares, en particular mediante la organización de actos públicos y actividades educativas y de divulgación que amplifiquen las voces de las personas afectadas por la lepra/enfermedad de Hansen como medio para eliminar la discriminación;</w:t>
      </w:r>
    </w:p>
    <w:p w14:paraId="71E2735C" w14:textId="5AC1C02B" w:rsidR="006237B9" w:rsidRPr="006237B9" w:rsidRDefault="006237B9" w:rsidP="006237B9">
      <w:pPr>
        <w:pStyle w:val="SingleTxtG"/>
        <w:rPr>
          <w:iCs/>
        </w:rPr>
      </w:pPr>
      <w:r>
        <w:tab/>
      </w:r>
      <w:r w:rsidRPr="006237B9">
        <w:t>6.</w:t>
      </w:r>
      <w:r w:rsidRPr="006237B9">
        <w:tab/>
      </w:r>
      <w:r w:rsidRPr="006237B9">
        <w:rPr>
          <w:i/>
          <w:iCs/>
        </w:rPr>
        <w:t>Solicita</w:t>
      </w:r>
      <w:r w:rsidRPr="006237B9">
        <w:t xml:space="preserve"> a la actual Relatora Especial sobre la eliminación de la discriminación contra las personas afectadas por la lepra (enfermedad de Hansen) y sus familiares que presente un informe a la Asamblea General en su octogésimo primer período de sesiones, en el marco de los recursos disponibles;</w:t>
      </w:r>
    </w:p>
    <w:p w14:paraId="177082FD" w14:textId="3748B612" w:rsidR="006237B9" w:rsidRPr="006237B9" w:rsidRDefault="006237B9" w:rsidP="006237B9">
      <w:pPr>
        <w:pStyle w:val="SingleTxtG"/>
        <w:rPr>
          <w:iCs/>
        </w:rPr>
      </w:pPr>
      <w:r>
        <w:tab/>
      </w:r>
      <w:r w:rsidRPr="006237B9">
        <w:t>7.</w:t>
      </w:r>
      <w:r w:rsidRPr="006237B9">
        <w:tab/>
      </w:r>
      <w:r w:rsidRPr="006237B9">
        <w:rPr>
          <w:i/>
          <w:iCs/>
        </w:rPr>
        <w:t>Solicita</w:t>
      </w:r>
      <w:r w:rsidRPr="006237B9">
        <w:t xml:space="preserve"> al Alto Comisionado de las Naciones Unidas para los Derechos Humanos que presente un informe exhaustivo al Consejo de Derechos Humanos en su 71</w:t>
      </w:r>
      <w:r w:rsidRPr="006237B9">
        <w:rPr>
          <w:vertAlign w:val="superscript"/>
        </w:rPr>
        <w:t>er</w:t>
      </w:r>
      <w:r>
        <w:t> </w:t>
      </w:r>
      <w:r w:rsidRPr="006237B9">
        <w:t>período de sesiones sobre la aplicación de los principios y directrices para la eliminación de la discriminación de las personas afectadas por la lepra y sus familiares, así como sobre los avances hacia la eliminación de la discriminación y hacia la protección y la efectividad de los derechos humanos de las personas afectadas por la lepra/enfermedad de Hansen, al que seguirá un diálogo interactivo;</w:t>
      </w:r>
    </w:p>
    <w:p w14:paraId="525DF369" w14:textId="7B7D8FED" w:rsidR="006237B9" w:rsidRPr="006237B9" w:rsidRDefault="006237B9" w:rsidP="006237B9">
      <w:pPr>
        <w:pStyle w:val="SingleTxtG"/>
        <w:rPr>
          <w:iCs/>
        </w:rPr>
      </w:pPr>
      <w:r>
        <w:tab/>
      </w:r>
      <w:r w:rsidRPr="006237B9">
        <w:t>8.</w:t>
      </w:r>
      <w:r w:rsidRPr="006237B9">
        <w:tab/>
      </w:r>
      <w:r w:rsidRPr="006237B9">
        <w:rPr>
          <w:i/>
          <w:iCs/>
        </w:rPr>
        <w:t>Acoge con beneplácito</w:t>
      </w:r>
      <w:r w:rsidRPr="006237B9">
        <w:t xml:space="preserve"> los esfuerzos realizados por los Estados y las partes interesadas pertinentes para organizar actos anuales de sensibilización de alto nivel, que permiten evaluar los avances y facilitar la cooperación técnica y que sitúan en el centro a las personas afectadas por la lepra/enfermedad de Hansen, con el objetivo de proteger sus derechos humanos y garantizar su ejercicio, con el apoyo de la Oficina del Alto Comisionado de las Naciones Unidas para los Derechos Humanos, condicionado a la disponibilidad de contribuciones voluntarias destinadas a tal fin;</w:t>
      </w:r>
    </w:p>
    <w:p w14:paraId="794FD244" w14:textId="1B076A91" w:rsidR="006237B9" w:rsidRPr="006237B9" w:rsidRDefault="006237B9" w:rsidP="006237B9">
      <w:pPr>
        <w:pStyle w:val="SingleTxtG"/>
        <w:rPr>
          <w:iCs/>
        </w:rPr>
      </w:pPr>
      <w:r>
        <w:tab/>
      </w:r>
      <w:r w:rsidRPr="006237B9">
        <w:t>9.</w:t>
      </w:r>
      <w:r w:rsidRPr="006237B9">
        <w:tab/>
      </w:r>
      <w:r w:rsidRPr="006237B9">
        <w:rPr>
          <w:i/>
          <w:iCs/>
        </w:rPr>
        <w:t>Solicita</w:t>
      </w:r>
      <w:r w:rsidRPr="006237B9">
        <w:t xml:space="preserve"> al Alto Comisionado que incluya la información sobre los esfuerzos realizados por los Estados y las partes interesadas pertinentes, incluidos los actos a que se hace referencia en el párrafo 8, en el informe que se presentará al Consejo de Derechos Humanos, y que la transmita a la Asamblea General;</w:t>
      </w:r>
    </w:p>
    <w:p w14:paraId="0ADF12D3" w14:textId="068FECB5" w:rsidR="006237B9" w:rsidRDefault="006237B9" w:rsidP="006237B9">
      <w:pPr>
        <w:pStyle w:val="SingleTxtG"/>
      </w:pPr>
      <w:r>
        <w:tab/>
      </w:r>
      <w:r w:rsidRPr="00823E2D">
        <w:t>10.</w:t>
      </w:r>
      <w:r w:rsidRPr="00823E2D">
        <w:tab/>
      </w:r>
      <w:r w:rsidRPr="00823E2D">
        <w:rPr>
          <w:i/>
          <w:iCs/>
        </w:rPr>
        <w:t>Decide</w:t>
      </w:r>
      <w:r w:rsidRPr="00823E2D">
        <w:t xml:space="preserve"> seguir ocupándose de la cuestión.</w:t>
      </w:r>
    </w:p>
    <w:p w14:paraId="3A609473" w14:textId="5A789FCA" w:rsidR="00381C24" w:rsidRPr="006237B9" w:rsidRDefault="006237B9" w:rsidP="006237B9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6237B9" w:rsidSect="006237B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D5214" w14:textId="77777777" w:rsidR="00022811" w:rsidRPr="00A312BC" w:rsidRDefault="00022811" w:rsidP="00A312BC">
      <w:pPr>
        <w:pStyle w:val="Piedepgina"/>
      </w:pPr>
    </w:p>
  </w:endnote>
  <w:endnote w:type="continuationSeparator" w:id="0">
    <w:p w14:paraId="47FE4633" w14:textId="77777777" w:rsidR="00022811" w:rsidRPr="00A312BC" w:rsidRDefault="00022811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6E538" w14:textId="5E6E4031" w:rsidR="006237B9" w:rsidRPr="006237B9" w:rsidRDefault="006237B9" w:rsidP="006237B9">
    <w:pPr>
      <w:pStyle w:val="Piedepgina"/>
      <w:tabs>
        <w:tab w:val="right" w:pos="9638"/>
      </w:tabs>
    </w:pPr>
    <w:r w:rsidRPr="006237B9">
      <w:rPr>
        <w:b/>
        <w:sz w:val="18"/>
      </w:rPr>
      <w:fldChar w:fldCharType="begin"/>
    </w:r>
    <w:r w:rsidRPr="006237B9">
      <w:rPr>
        <w:b/>
        <w:sz w:val="18"/>
      </w:rPr>
      <w:instrText xml:space="preserve"> PAGE  \* MERGEFORMAT </w:instrText>
    </w:r>
    <w:r w:rsidRPr="006237B9">
      <w:rPr>
        <w:b/>
        <w:sz w:val="18"/>
      </w:rPr>
      <w:fldChar w:fldCharType="separate"/>
    </w:r>
    <w:r w:rsidRPr="006237B9">
      <w:rPr>
        <w:b/>
        <w:noProof/>
        <w:sz w:val="18"/>
      </w:rPr>
      <w:t>2</w:t>
    </w:r>
    <w:r w:rsidRPr="006237B9">
      <w:rPr>
        <w:b/>
        <w:sz w:val="18"/>
      </w:rPr>
      <w:fldChar w:fldCharType="end"/>
    </w:r>
    <w:r>
      <w:rPr>
        <w:b/>
        <w:sz w:val="18"/>
      </w:rPr>
      <w:tab/>
    </w:r>
    <w:r>
      <w:t>GE.26-09600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BE573" w14:textId="2875D358" w:rsidR="006237B9" w:rsidRPr="006237B9" w:rsidRDefault="006237B9" w:rsidP="006237B9">
    <w:pPr>
      <w:pStyle w:val="Piedepgina"/>
      <w:tabs>
        <w:tab w:val="right" w:pos="9638"/>
      </w:tabs>
      <w:rPr>
        <w:b/>
        <w:sz w:val="18"/>
      </w:rPr>
    </w:pPr>
    <w:r>
      <w:t>GE.26-09600</w:t>
    </w:r>
    <w:r>
      <w:tab/>
    </w:r>
    <w:r w:rsidRPr="006237B9">
      <w:rPr>
        <w:b/>
        <w:sz w:val="18"/>
      </w:rPr>
      <w:fldChar w:fldCharType="begin"/>
    </w:r>
    <w:r w:rsidRPr="006237B9">
      <w:rPr>
        <w:b/>
        <w:sz w:val="18"/>
      </w:rPr>
      <w:instrText xml:space="preserve"> PAGE  \* MERGEFORMAT </w:instrText>
    </w:r>
    <w:r w:rsidRPr="006237B9">
      <w:rPr>
        <w:b/>
        <w:sz w:val="18"/>
      </w:rPr>
      <w:fldChar w:fldCharType="separate"/>
    </w:r>
    <w:r w:rsidRPr="006237B9">
      <w:rPr>
        <w:b/>
        <w:noProof/>
        <w:sz w:val="18"/>
      </w:rPr>
      <w:t>3</w:t>
    </w:r>
    <w:r w:rsidRPr="006237B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691B" w14:textId="27652344" w:rsidR="00042B72" w:rsidRPr="006237B9" w:rsidRDefault="006237B9" w:rsidP="006237B9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68FB8518" wp14:editId="0F06559F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26-09600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4A156C9C" wp14:editId="552D226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44246237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010726    010726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6A62D" w14:textId="77777777" w:rsidR="00022811" w:rsidRPr="001075E9" w:rsidRDefault="0002281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E6917E4" w14:textId="77777777" w:rsidR="00022811" w:rsidRDefault="0002281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441E630" w14:textId="72DFACCE" w:rsidR="006237B9" w:rsidRPr="006237B9" w:rsidRDefault="006237B9" w:rsidP="006237B9">
      <w:pPr>
        <w:pStyle w:val="Textonotapie"/>
        <w:rPr>
          <w:sz w:val="20"/>
        </w:rPr>
      </w:pPr>
      <w:r>
        <w:tab/>
      </w:r>
      <w:r w:rsidRPr="006237B9">
        <w:rPr>
          <w:rStyle w:val="Refdenotaalpie"/>
          <w:sz w:val="20"/>
          <w:vertAlign w:val="baseline"/>
        </w:rPr>
        <w:t>*</w:t>
      </w:r>
      <w:r w:rsidRPr="006237B9">
        <w:rPr>
          <w:rStyle w:val="Refdenotaalpie"/>
          <w:vertAlign w:val="baseline"/>
        </w:rPr>
        <w:tab/>
      </w:r>
      <w:r w:rsidRPr="006237B9">
        <w:t>Estado no miembro del Consejo de Derechos Humanos.</w:t>
      </w:r>
    </w:p>
  </w:footnote>
  <w:footnote w:id="2">
    <w:p w14:paraId="22CB341F" w14:textId="4A132AB8" w:rsidR="006237B9" w:rsidRDefault="006237B9" w:rsidP="006237B9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hyperlink r:id="rId1" w:history="1">
        <w:r w:rsidRPr="006237B9">
          <w:rPr>
            <w:rStyle w:val="Hipervnculo"/>
          </w:rPr>
          <w:t>A/HRC/38/42</w:t>
        </w:r>
      </w:hyperlink>
      <w:r w:rsidRPr="006237B9">
        <w:t xml:space="preserve">, </w:t>
      </w:r>
      <w:hyperlink r:id="rId2" w:history="1">
        <w:r w:rsidRPr="006237B9">
          <w:rPr>
            <w:rStyle w:val="Hipervnculo"/>
          </w:rPr>
          <w:t>A/HRC/41/47</w:t>
        </w:r>
      </w:hyperlink>
      <w:r w:rsidRPr="006237B9">
        <w:t xml:space="preserve">, </w:t>
      </w:r>
      <w:hyperlink r:id="rId3" w:history="1">
        <w:r w:rsidRPr="006237B9">
          <w:rPr>
            <w:rStyle w:val="Hipervnculo"/>
          </w:rPr>
          <w:t>A/HRC/44/46</w:t>
        </w:r>
      </w:hyperlink>
      <w:r w:rsidRPr="006237B9">
        <w:t xml:space="preserve">, </w:t>
      </w:r>
      <w:hyperlink r:id="rId4" w:history="1">
        <w:r w:rsidRPr="006237B9">
          <w:rPr>
            <w:rStyle w:val="Hipervnculo"/>
          </w:rPr>
          <w:t>A/HRC/44/46/Add.1</w:t>
        </w:r>
      </w:hyperlink>
      <w:r w:rsidRPr="006237B9">
        <w:t xml:space="preserve">, </w:t>
      </w:r>
      <w:hyperlink r:id="rId5" w:history="1">
        <w:r w:rsidRPr="006237B9">
          <w:rPr>
            <w:rStyle w:val="Hipervnculo"/>
          </w:rPr>
          <w:t>A/HRC/44/46/Add.2</w:t>
        </w:r>
      </w:hyperlink>
      <w:r w:rsidRPr="006237B9">
        <w:t xml:space="preserve">, </w:t>
      </w:r>
      <w:hyperlink r:id="rId6" w:history="1">
        <w:r w:rsidRPr="006237B9">
          <w:rPr>
            <w:rStyle w:val="Hipervnculo"/>
          </w:rPr>
          <w:t>A/HRC/47/29</w:t>
        </w:r>
      </w:hyperlink>
      <w:r w:rsidRPr="006237B9">
        <w:t xml:space="preserve">, </w:t>
      </w:r>
      <w:hyperlink r:id="rId7" w:history="1">
        <w:r w:rsidRPr="006237B9">
          <w:rPr>
            <w:rStyle w:val="Hipervnculo"/>
          </w:rPr>
          <w:t>A/HRC/50/35</w:t>
        </w:r>
      </w:hyperlink>
      <w:r w:rsidRPr="006237B9">
        <w:t xml:space="preserve">, </w:t>
      </w:r>
      <w:hyperlink r:id="rId8" w:history="1">
        <w:r w:rsidRPr="006237B9">
          <w:rPr>
            <w:rStyle w:val="Hipervnculo"/>
          </w:rPr>
          <w:t>A/76/148</w:t>
        </w:r>
      </w:hyperlink>
      <w:r w:rsidRPr="006237B9">
        <w:t xml:space="preserve"> y </w:t>
      </w:r>
      <w:hyperlink r:id="rId9" w:history="1">
        <w:r w:rsidRPr="006237B9">
          <w:rPr>
            <w:rStyle w:val="Hipervnculo"/>
          </w:rPr>
          <w:t>A/77/139</w:t>
        </w:r>
      </w:hyperlink>
      <w:r w:rsidRPr="006237B9">
        <w:t>.</w:t>
      </w:r>
    </w:p>
  </w:footnote>
  <w:footnote w:id="3">
    <w:p w14:paraId="1178A2FC" w14:textId="7ADBFCC0" w:rsidR="006237B9" w:rsidRDefault="006237B9" w:rsidP="006237B9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hyperlink r:id="rId10" w:history="1">
        <w:r w:rsidRPr="006237B9">
          <w:rPr>
            <w:rStyle w:val="Hipervnculo"/>
          </w:rPr>
          <w:t>A/HRC/35/38</w:t>
        </w:r>
      </w:hyperlink>
      <w:r w:rsidRPr="006237B9">
        <w:t>.</w:t>
      </w:r>
    </w:p>
  </w:footnote>
  <w:footnote w:id="4">
    <w:p w14:paraId="6CEBDEDB" w14:textId="441E758A" w:rsidR="006237B9" w:rsidRDefault="006237B9" w:rsidP="006237B9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hyperlink r:id="rId11" w:history="1">
        <w:r w:rsidRPr="006237B9">
          <w:rPr>
            <w:rStyle w:val="Hipervnculo"/>
          </w:rPr>
          <w:t>A/HRC/15/30</w:t>
        </w:r>
      </w:hyperlink>
      <w:r w:rsidRPr="006237B9">
        <w:t>, anexo.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9A570" w14:textId="23CB2E29" w:rsidR="006237B9" w:rsidRPr="006237B9" w:rsidRDefault="006237B9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100BD6">
      <w:t>A/HRC/62/</w:t>
    </w:r>
    <w:proofErr w:type="spellStart"/>
    <w:r w:rsidR="00100BD6">
      <w:t>L.5</w:t>
    </w:r>
    <w:proofErr w:type="spellEnd"/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7405A" w14:textId="2C1E9190" w:rsidR="006237B9" w:rsidRPr="006237B9" w:rsidRDefault="006237B9" w:rsidP="006237B9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100BD6">
      <w:t>A/HRC/62/</w:t>
    </w:r>
    <w:proofErr w:type="spellStart"/>
    <w:r w:rsidR="00100BD6">
      <w:t>L.5</w:t>
    </w:r>
    <w:proofErr w:type="spellEnd"/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498354970">
    <w:abstractNumId w:val="14"/>
  </w:num>
  <w:num w:numId="2" w16cid:durableId="1242449911">
    <w:abstractNumId w:val="11"/>
  </w:num>
  <w:num w:numId="3" w16cid:durableId="1218516834">
    <w:abstractNumId w:val="16"/>
  </w:num>
  <w:num w:numId="4" w16cid:durableId="1538078996">
    <w:abstractNumId w:val="15"/>
  </w:num>
  <w:num w:numId="5" w16cid:durableId="1162232894">
    <w:abstractNumId w:val="13"/>
  </w:num>
  <w:num w:numId="6" w16cid:durableId="1408964034">
    <w:abstractNumId w:val="8"/>
  </w:num>
  <w:num w:numId="7" w16cid:durableId="440419450">
    <w:abstractNumId w:val="3"/>
  </w:num>
  <w:num w:numId="8" w16cid:durableId="1967201363">
    <w:abstractNumId w:val="2"/>
  </w:num>
  <w:num w:numId="9" w16cid:durableId="1691636780">
    <w:abstractNumId w:val="1"/>
  </w:num>
  <w:num w:numId="10" w16cid:durableId="1870220676">
    <w:abstractNumId w:val="0"/>
  </w:num>
  <w:num w:numId="11" w16cid:durableId="677587164">
    <w:abstractNumId w:val="9"/>
  </w:num>
  <w:num w:numId="12" w16cid:durableId="761878453">
    <w:abstractNumId w:val="7"/>
  </w:num>
  <w:num w:numId="13" w16cid:durableId="215043601">
    <w:abstractNumId w:val="6"/>
  </w:num>
  <w:num w:numId="14" w16cid:durableId="1968199882">
    <w:abstractNumId w:val="5"/>
  </w:num>
  <w:num w:numId="15" w16cid:durableId="684552675">
    <w:abstractNumId w:val="4"/>
  </w:num>
  <w:num w:numId="16" w16cid:durableId="107504115">
    <w:abstractNumId w:val="10"/>
  </w:num>
  <w:num w:numId="17" w16cid:durableId="464738738">
    <w:abstractNumId w:val="14"/>
  </w:num>
  <w:num w:numId="18" w16cid:durableId="483083999">
    <w:abstractNumId w:val="11"/>
  </w:num>
  <w:num w:numId="19" w16cid:durableId="490298320">
    <w:abstractNumId w:val="10"/>
  </w:num>
  <w:num w:numId="20" w16cid:durableId="1799107575">
    <w:abstractNumId w:val="16"/>
  </w:num>
  <w:num w:numId="21" w16cid:durableId="538469365">
    <w:abstractNumId w:val="15"/>
  </w:num>
  <w:num w:numId="22" w16cid:durableId="2029989137">
    <w:abstractNumId w:val="12"/>
  </w:num>
  <w:num w:numId="23" w16cid:durableId="870537629">
    <w:abstractNumId w:val="12"/>
  </w:num>
  <w:num w:numId="24" w16cid:durableId="525556880">
    <w:abstractNumId w:val="13"/>
  </w:num>
  <w:num w:numId="25" w16cid:durableId="1654681711">
    <w:abstractNumId w:val="9"/>
  </w:num>
  <w:num w:numId="26" w16cid:durableId="589504460">
    <w:abstractNumId w:val="7"/>
  </w:num>
  <w:num w:numId="27" w16cid:durableId="683367192">
    <w:abstractNumId w:val="6"/>
  </w:num>
  <w:num w:numId="28" w16cid:durableId="81997936">
    <w:abstractNumId w:val="5"/>
  </w:num>
  <w:num w:numId="29" w16cid:durableId="1240990206">
    <w:abstractNumId w:val="4"/>
  </w:num>
  <w:num w:numId="30" w16cid:durableId="1445808747">
    <w:abstractNumId w:val="8"/>
  </w:num>
  <w:num w:numId="31" w16cid:durableId="1738168401">
    <w:abstractNumId w:val="3"/>
  </w:num>
  <w:num w:numId="32" w16cid:durableId="683821601">
    <w:abstractNumId w:val="2"/>
  </w:num>
  <w:num w:numId="33" w16cid:durableId="622688847">
    <w:abstractNumId w:val="1"/>
  </w:num>
  <w:num w:numId="34" w16cid:durableId="72702103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3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811"/>
    <w:rsid w:val="00022811"/>
    <w:rsid w:val="00033EE1"/>
    <w:rsid w:val="00036730"/>
    <w:rsid w:val="00042B72"/>
    <w:rsid w:val="000558BD"/>
    <w:rsid w:val="0008244E"/>
    <w:rsid w:val="000B57E7"/>
    <w:rsid w:val="000B6373"/>
    <w:rsid w:val="000F09DF"/>
    <w:rsid w:val="000F61B2"/>
    <w:rsid w:val="00100BD6"/>
    <w:rsid w:val="001075E9"/>
    <w:rsid w:val="001116B4"/>
    <w:rsid w:val="001359DC"/>
    <w:rsid w:val="00180183"/>
    <w:rsid w:val="0018024D"/>
    <w:rsid w:val="00183FB8"/>
    <w:rsid w:val="0018649F"/>
    <w:rsid w:val="00196389"/>
    <w:rsid w:val="001B3EF6"/>
    <w:rsid w:val="001B7DFE"/>
    <w:rsid w:val="001C7A89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36E0C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93663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237B9"/>
    <w:rsid w:val="00681A10"/>
    <w:rsid w:val="00693355"/>
    <w:rsid w:val="006A1ED8"/>
    <w:rsid w:val="006A4F89"/>
    <w:rsid w:val="006C2031"/>
    <w:rsid w:val="006D461A"/>
    <w:rsid w:val="006F35EE"/>
    <w:rsid w:val="007021FF"/>
    <w:rsid w:val="00712895"/>
    <w:rsid w:val="007274F0"/>
    <w:rsid w:val="00757357"/>
    <w:rsid w:val="00777E19"/>
    <w:rsid w:val="00786826"/>
    <w:rsid w:val="007A1EAC"/>
    <w:rsid w:val="00825F8D"/>
    <w:rsid w:val="00834B71"/>
    <w:rsid w:val="0086445C"/>
    <w:rsid w:val="00892A25"/>
    <w:rsid w:val="00894693"/>
    <w:rsid w:val="008A08D7"/>
    <w:rsid w:val="008B6909"/>
    <w:rsid w:val="00906890"/>
    <w:rsid w:val="00911BE4"/>
    <w:rsid w:val="00951972"/>
    <w:rsid w:val="009608F3"/>
    <w:rsid w:val="00982D57"/>
    <w:rsid w:val="009A24AC"/>
    <w:rsid w:val="00A312BC"/>
    <w:rsid w:val="00A84021"/>
    <w:rsid w:val="00A84D35"/>
    <w:rsid w:val="00A90665"/>
    <w:rsid w:val="00A917B3"/>
    <w:rsid w:val="00A978F1"/>
    <w:rsid w:val="00AB4B51"/>
    <w:rsid w:val="00B10CC7"/>
    <w:rsid w:val="00B42844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810E2"/>
    <w:rsid w:val="00D90138"/>
    <w:rsid w:val="00E01741"/>
    <w:rsid w:val="00E728B5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A0437E"/>
  <w15:docId w15:val="{CDFDAA99-1009-438E-8752-2B95B58EC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es/A/76/148" TargetMode="External"/><Relationship Id="rId3" Type="http://schemas.openxmlformats.org/officeDocument/2006/relationships/hyperlink" Target="https://undocs.org/es/A/HRC/44/46" TargetMode="External"/><Relationship Id="rId7" Type="http://schemas.openxmlformats.org/officeDocument/2006/relationships/hyperlink" Target="https://undocs.org/es/A/HRC/50/35" TargetMode="External"/><Relationship Id="rId2" Type="http://schemas.openxmlformats.org/officeDocument/2006/relationships/hyperlink" Target="https://undocs.org/es/A/HRC/41/47" TargetMode="External"/><Relationship Id="rId1" Type="http://schemas.openxmlformats.org/officeDocument/2006/relationships/hyperlink" Target="https://undocs.org/es/A/HRC/38/42" TargetMode="External"/><Relationship Id="rId6" Type="http://schemas.openxmlformats.org/officeDocument/2006/relationships/hyperlink" Target="https://undocs.org/es/A/HRC/47/29" TargetMode="External"/><Relationship Id="rId11" Type="http://schemas.openxmlformats.org/officeDocument/2006/relationships/hyperlink" Target="https://undocs.org/es/A/HRC/15/30" TargetMode="External"/><Relationship Id="rId5" Type="http://schemas.openxmlformats.org/officeDocument/2006/relationships/hyperlink" Target="https://undocs.org/es/A/HRC/44/46/Add.2" TargetMode="External"/><Relationship Id="rId10" Type="http://schemas.openxmlformats.org/officeDocument/2006/relationships/hyperlink" Target="https://undocs.org/es/A/HRC/35/38" TargetMode="External"/><Relationship Id="rId4" Type="http://schemas.openxmlformats.org/officeDocument/2006/relationships/hyperlink" Target="https://undocs.org/es/A/HRC/44/46/Add.1" TargetMode="External"/><Relationship Id="rId9" Type="http://schemas.openxmlformats.org/officeDocument/2006/relationships/hyperlink" Target="https://undocs.org/es/A/77/13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3</Pages>
  <Words>1252</Words>
  <Characters>9084</Characters>
  <Application>Microsoft Office Word</Application>
  <DocSecurity>0</DocSecurity>
  <Lines>2271</Lines>
  <Paragraphs>689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A/HRC/62/L.5</vt:lpstr>
    </vt:vector>
  </TitlesOfParts>
  <Company>DCM</Company>
  <LinksUpToDate>false</LinksUpToDate>
  <CharactersWithSpaces>9647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A/HRC/62/L.5</dc:title>
  <dc:subject/>
  <dc:creator>Luz Maria URQUIZU MARROQUIN</dc:creator>
  <cp:keywords/>
  <cp:lastModifiedBy>Luz Urquizu Marroquin</cp:lastModifiedBy>
  <cp:revision>3</cp:revision>
  <cp:lastPrinted>2026-07-01T14:49:00Z</cp:lastPrinted>
  <dcterms:created xsi:type="dcterms:W3CDTF">2026-07-01T14:48:00Z</dcterms:created>
  <dcterms:modified xsi:type="dcterms:W3CDTF">2026-07-01T14:49:00Z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