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0;margin-top:680.4pt;width:113.4pt;height:28.35pt;z-index:1;mso-position-horizontal:absolute;mso-position-horizontal-relative:margin;mso-position-vertical:absolute;mso-position-vertical-relative:text" o:allowincell="f" filled="f" stroked="f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42340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margin"/>
                  <w10:anchorlock/>
                </v:shape>
              </w:pict>
            </w:r>
            <w:r>
              <w:rPr>
                <w:b/>
                <w:sz w:val="30"/>
              </w:rPr>
              <w:t>цОРГАНИЗАЦИЯ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2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CAT/C/SR.4</w:t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>35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25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 May 2000 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Original:  ENGLISH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</w:tabs>
        <w:suppressAutoHyphens/>
        <w:sectPr w:rsidR="00000000">
          <w:headerReference w:type="even" r:id="rId8"/>
          <w:headerReference w:type="default" r:id="rId9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000000" w:rsidRDefault="00000000">
      <w:pPr>
        <w:spacing w:line="240" w:lineRule="auto"/>
        <w:jc w:val="center"/>
        <w:outlineLvl w:val="0"/>
      </w:pPr>
      <w:r>
        <w:t>КОМИТЕТ ПРОТИВ ПЫТОК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outlineLvl w:val="0"/>
      </w:pPr>
      <w:r>
        <w:t>Двадцать четвертая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outlineLvl w:val="0"/>
      </w:pPr>
      <w:r>
        <w:t>КРАТКИЙ ОТЧЕТ О 435-м ЗАСЕДАНИИ,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состоявшемся во Дворце Наций в Женеве в среду,</w:t>
      </w:r>
    </w:p>
    <w:p w:rsidR="00000000" w:rsidRDefault="00000000">
      <w:pPr>
        <w:spacing w:line="240" w:lineRule="auto"/>
        <w:jc w:val="center"/>
      </w:pPr>
      <w:r>
        <w:t>17 мая 2000 года, в 15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outlineLvl w:val="0"/>
      </w:pPr>
      <w:r>
        <w:rPr>
          <w:u w:val="single"/>
        </w:rPr>
        <w:t>Председатель</w:t>
      </w:r>
      <w:r>
        <w:t>:  г-н БЁРНС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outlineLvl w:val="0"/>
      </w:pPr>
      <w: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</w:pPr>
      <w:r>
        <w:t>РАССМОТРЕНИЕ ДОКЛАДОВ, ПРЕДСТАВЛЕННЫХ ГОСУДАРСТВАМИ - 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  <w:rPr>
          <w:u w:val="single"/>
        </w:rPr>
      </w:pPr>
      <w:r>
        <w:tab/>
      </w:r>
      <w:r>
        <w:rPr>
          <w:u w:val="single"/>
        </w:rPr>
        <w:t xml:space="preserve">Первоначальный доклад Словении </w:t>
      </w:r>
      <w:r>
        <w:t>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  <w:rPr>
          <w:u w:val="single"/>
        </w:rPr>
      </w:pP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</w:pPr>
      <w:r>
        <w:t>ОРГАНИЗАЦИОННЫЕ И ПРОЧИЕ ВОПРОСЫ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  <w:rPr>
          <w:u w:val="single"/>
        </w:rPr>
      </w:pPr>
    </w:p>
    <w:p w:rsidR="00000000" w:rsidRDefault="00000000">
      <w:pPr>
        <w:pBdr>
          <w:bottom w:val="single" w:sz="12" w:space="1" w:color="auto"/>
        </w:pBdr>
        <w:spacing w:line="240" w:lineRule="auto"/>
        <w:outlineLvl w:val="0"/>
        <w:rPr>
          <w:u w:val="single"/>
        </w:rPr>
      </w:pPr>
    </w:p>
    <w:p w:rsidR="00000000" w:rsidRDefault="00000000">
      <w:pPr>
        <w:pStyle w:val="FootnoteText"/>
      </w:pPr>
    </w:p>
    <w:p w:rsidR="00000000" w:rsidRDefault="00000000">
      <w:pPr>
        <w:spacing w:line="240" w:lineRule="auto"/>
        <w:outlineLvl w:val="0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E. 4108, Дворец Наций, Женева.</w:t>
      </w:r>
    </w:p>
    <w:p w:rsidR="00000000" w:rsidRDefault="00000000">
      <w:pPr>
        <w:spacing w:line="240" w:lineRule="auto"/>
      </w:pPr>
    </w:p>
    <w:p w:rsidR="00000000" w:rsidRDefault="00000000">
      <w:pPr>
        <w:tabs>
          <w:tab w:val="left" w:pos="0"/>
        </w:tabs>
        <w:suppressAutoHyphens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  <w:outlineLvl w:val="0"/>
      </w:pPr>
      <w:r>
        <w:br w:type="page"/>
      </w:r>
      <w:r>
        <w:rPr>
          <w:u w:val="single"/>
        </w:rPr>
        <w:t>Заседание открывается в 15 час. 00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 - УЧАСТНИКАМИ В СООТВЕТСТВИИ СО СТАТЬЕЙ 19 КОНВЕНЦИИ (пункт 7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ab/>
      </w:r>
      <w:r>
        <w:rPr>
          <w:u w:val="single"/>
        </w:rPr>
        <w:t>Первоначальный доклад Словении</w:t>
      </w:r>
      <w:r>
        <w:t xml:space="preserve"> (</w:t>
      </w:r>
      <w:r>
        <w:rPr>
          <w:u w:val="single"/>
        </w:rPr>
        <w:t>продолжение</w:t>
      </w:r>
      <w:r>
        <w:t>) (CAT/C/24/Add.5)</w:t>
      </w:r>
    </w:p>
    <w:p w:rsidR="00000000" w:rsidRDefault="00000000"/>
    <w:p w:rsidR="00000000" w:rsidRDefault="00000000">
      <w:pPr>
        <w:pStyle w:val="Heading2"/>
        <w:rPr>
          <w:u w:val="none"/>
        </w:rPr>
      </w:pPr>
      <w:r>
        <w:t>Выводы и рекомендации Комитета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делегации Словении занимают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ЯКОВЛЕВ</w:t>
      </w:r>
      <w:r>
        <w:t xml:space="preserve"> (докладчик по стране) оглашает следующий текст: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>1.</w:t>
      </w:r>
      <w:r>
        <w:tab/>
        <w:t>Комитет рассмотрел первоначальный доклад Словении (CAT/C/24/Add.5) на своих 428, 431 и 435</w:t>
      </w:r>
      <w:r>
        <w:noBreakHyphen/>
        <w:t xml:space="preserve">м заседаниях 12, 15 и 17 мая 2000 года (CAT/C/SR.428, 431 и 435) и принял следующие выводы и рекомендации.  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A.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BodyTextIndent"/>
      </w:pPr>
      <w:r>
        <w:t>2.</w:t>
      </w:r>
      <w:r>
        <w:tab/>
        <w:t>Комитет приветствует первоначальный доклад Республики Словении, который, хотя и был просрочен с 1994 года, подготовлен в соответствии с общими руководящими принципами Комитета .</w:t>
      </w:r>
    </w:p>
    <w:p w:rsidR="00000000" w:rsidRDefault="00000000"/>
    <w:p w:rsidR="00000000" w:rsidRDefault="00000000">
      <w:pPr>
        <w:pStyle w:val="BodyTextIndent"/>
        <w:ind w:right="-144"/>
      </w:pPr>
      <w:r>
        <w:t>3.</w:t>
      </w:r>
      <w:r>
        <w:tab/>
        <w:t>Комитет приветствует развертывание конструктивного диалога с государством - участником и благодарит делегацию за представленную дополнительную устную информацию.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B.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BodyTextIndent"/>
      </w:pPr>
      <w:r>
        <w:t>4.</w:t>
      </w:r>
      <w:r>
        <w:tab/>
        <w:t>Комитет отмечает, что при ратификации Конвенции 15 апреля 1993 года государство</w:t>
      </w:r>
      <w:r>
        <w:noBreakHyphen/>
        <w:t>участник не сделало оговорки по статье 20 и сделало заявления по статьям 21 и 22 Конвенции.</w:t>
      </w:r>
    </w:p>
    <w:p w:rsidR="00000000" w:rsidRDefault="00000000"/>
    <w:p w:rsidR="00000000" w:rsidRDefault="00000000">
      <w:pPr>
        <w:pStyle w:val="BodyTextIndent"/>
      </w:pPr>
      <w:r>
        <w:t>5.</w:t>
      </w:r>
      <w:r>
        <w:tab/>
        <w:t>Комитет выражает удовлетворение в связи с тем, что подготовка первоначального доклада государства</w:t>
      </w:r>
      <w:r>
        <w:noBreakHyphen/>
        <w:t>участника была произведена с помощью специализированного неправительственного учреждения.</w:t>
      </w:r>
    </w:p>
    <w:p w:rsidR="00000000" w:rsidRDefault="00000000"/>
    <w:p w:rsidR="00000000" w:rsidRDefault="00000000">
      <w:pPr>
        <w:pStyle w:val="BodyTextIndent"/>
      </w:pPr>
      <w:r>
        <w:t>6.</w:t>
      </w:r>
      <w:r>
        <w:tab/>
        <w:t>Комитет отмечает как позитивный момент то обстоятельство, что Конституция государства</w:t>
      </w:r>
      <w:r>
        <w:noBreakHyphen/>
        <w:t>участника предусматривает широкий комплекс норм, защищающих права человека и основные свободы, включая запрещение пыток.</w:t>
      </w:r>
    </w:p>
    <w:p w:rsidR="00000000" w:rsidRDefault="00000000"/>
    <w:p w:rsidR="00000000" w:rsidRDefault="00000000">
      <w:pPr>
        <w:pStyle w:val="BodyTextIndent"/>
      </w:pPr>
      <w:r>
        <w:t>7.</w:t>
      </w:r>
      <w:r>
        <w:tab/>
        <w:t>Комитет с удовлетворением отмечает, что он не получал информации о предположительном применении пыток, как это определено статьей 1 Конвенции, в государстве</w:t>
      </w:r>
      <w:r>
        <w:noBreakHyphen/>
        <w:t>участнике.</w:t>
      </w:r>
    </w:p>
    <w:p w:rsidR="00000000" w:rsidRDefault="00000000"/>
    <w:p w:rsidR="00000000" w:rsidRDefault="00000000">
      <w:pPr>
        <w:pStyle w:val="BodyTextIndent"/>
      </w:pPr>
      <w:r>
        <w:t>8.</w:t>
      </w:r>
      <w:r>
        <w:tab/>
        <w:t>Комитет приветствует учреждение специального института омбудсмена для защиты прав человека и с интересом отмечает его эффективную и ответственную работу.</w:t>
      </w:r>
    </w:p>
    <w:p w:rsidR="00000000" w:rsidRDefault="00000000"/>
    <w:p w:rsidR="00000000" w:rsidRDefault="00000000">
      <w:pPr>
        <w:pStyle w:val="BodyTextIndent"/>
      </w:pPr>
      <w:r>
        <w:t>9.</w:t>
      </w:r>
      <w:r>
        <w:tab/>
        <w:t>Комитет с удовлетворением отмечает, что законодательные положения гарантируют изъятие доказательств из протокола в тех случаях, когда они были получены с нарушением прав человека и основных свобод.</w:t>
      </w:r>
    </w:p>
    <w:p w:rsidR="00000000" w:rsidRDefault="00000000"/>
    <w:p w:rsidR="00000000" w:rsidRDefault="00000000">
      <w:pPr>
        <w:pStyle w:val="BodyTextIndent"/>
        <w:ind w:right="-285"/>
      </w:pPr>
      <w:r>
        <w:t>10.</w:t>
      </w:r>
      <w:r>
        <w:tab/>
        <w:t>Комитет приветствует поправки к Уголовно</w:t>
      </w:r>
      <w:r>
        <w:noBreakHyphen/>
        <w:t>процессуальному закону, который предусматривает обязательную правовую помощь подозреваемому на протяжении всего периода заключения.  Комитет далее отмечает как позитивный аспект введение ряда мер в качестве альтернативы содержанию под стражей в период предварительного расследования.</w:t>
      </w:r>
    </w:p>
    <w:p w:rsidR="00000000" w:rsidRDefault="00000000"/>
    <w:p w:rsidR="00000000" w:rsidRDefault="00000000">
      <w:pPr>
        <w:pStyle w:val="BodyTextIndent"/>
      </w:pPr>
      <w:r>
        <w:t>11.</w:t>
      </w:r>
      <w:r>
        <w:tab/>
        <w:t>Комитет приветствует принятие Кодекса полицейской практики.</w:t>
      </w:r>
    </w:p>
    <w:p w:rsidR="00000000" w:rsidRDefault="00000000"/>
    <w:p w:rsidR="00000000" w:rsidRDefault="00000000">
      <w:pPr>
        <w:pStyle w:val="BodyTextIndent"/>
      </w:pPr>
      <w:r>
        <w:t>12.</w:t>
      </w:r>
      <w:r>
        <w:tab/>
        <w:t>Комитет отмечает как позитивный момент принятие правил, касающихся сооружения, обновления и содержания полицейских пенитенциарных центров.</w:t>
      </w:r>
    </w:p>
    <w:p w:rsidR="00000000" w:rsidRDefault="00000000"/>
    <w:p w:rsidR="00000000" w:rsidRDefault="00000000">
      <w:pPr>
        <w:pStyle w:val="BodyTextIndent"/>
      </w:pPr>
      <w:r>
        <w:t>13.</w:t>
      </w:r>
      <w:r>
        <w:tab/>
        <w:t>Комитет приветствует создание в составе Главного полицейского управления административно-надзорного Бюро по делам полиции и Отдела по расследованию жалоб.</w:t>
      </w:r>
    </w:p>
    <w:p w:rsidR="00000000" w:rsidRDefault="00000000"/>
    <w:p w:rsidR="00000000" w:rsidRDefault="00000000">
      <w:pPr>
        <w:ind w:left="1134"/>
        <w:jc w:val="center"/>
        <w:rPr>
          <w:u w:val="single"/>
        </w:rPr>
      </w:pPr>
      <w:r>
        <w:t>C.</w:t>
      </w:r>
      <w:r>
        <w:tab/>
      </w:r>
      <w:r>
        <w:rPr>
          <w:u w:val="single"/>
        </w:rPr>
        <w:t>Факторы и трудности, препятствующие применению положений Конвенции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BodyTextIndent"/>
      </w:pPr>
      <w:r>
        <w:t>14.</w:t>
      </w:r>
      <w:r>
        <w:tab/>
        <w:t>После обретения независимости в 1991 году государство</w:t>
      </w:r>
      <w:r>
        <w:noBreakHyphen/>
        <w:t>участник пережило период глубоких социальных, экономических и политических преобразований, успешно построив демократическое государство, что потребовало немалых усилий и может служить в качестве объяснения для запоздалого представления первоначального доклада.</w:t>
      </w:r>
    </w:p>
    <w:p w:rsidR="00000000" w:rsidRDefault="00000000"/>
    <w:p w:rsidR="00000000" w:rsidRDefault="00000000">
      <w:pPr>
        <w:jc w:val="center"/>
      </w:pPr>
      <w:r>
        <w:t>D.</w:t>
      </w:r>
      <w:r>
        <w:tab/>
      </w:r>
      <w:r>
        <w:rPr>
          <w:u w:val="single"/>
        </w:rPr>
        <w:t>Проблемы, вызывающие озабоченность</w:t>
      </w:r>
    </w:p>
    <w:p w:rsidR="00000000" w:rsidRDefault="00000000">
      <w:pPr>
        <w:jc w:val="center"/>
      </w:pPr>
    </w:p>
    <w:p w:rsidR="00000000" w:rsidRDefault="00000000">
      <w:pPr>
        <w:pStyle w:val="BodyTextIndent"/>
      </w:pPr>
      <w:r>
        <w:t>15.</w:t>
      </w:r>
      <w:r>
        <w:tab/>
        <w:t>Комитет отмечает представленную в докладе информацию на тот счет, что с целью инкриминирования преступных деяний, связанных с применением пыток необходимо "произвести в позитивном уголовном праве Словении специальную трансформацию" определения пытки, содержащегося в статье 1 Конвенции.  Комитет далее отмечает, что 23 марта 2000 года вступил в силу новый Закон о применении уголовных наказаний, который вводит новое определение пытки.  Вместе с тем Комитет испытывает озабоченность в связи с тем, что такое определение не было включено в Уголовный кодекс и материальное уголовное право пока еще не содержит конкретного состава преступления пытки и поэтому не может служить в качестве инструмента непосредственного инкриминирования и надлежащего наказания лиц, виновных в применении пыток.</w:t>
      </w:r>
    </w:p>
    <w:p w:rsidR="00000000" w:rsidRDefault="00000000"/>
    <w:p w:rsidR="00000000" w:rsidRDefault="00000000">
      <w:pPr>
        <w:pStyle w:val="BodyTextIndent"/>
      </w:pPr>
      <w:r>
        <w:t>16.</w:t>
      </w:r>
      <w:r>
        <w:tab/>
        <w:t>Комитет выражает озабоченность по поводу утверждений о случаях жестокого обращения и чрезмерного применения силы со стороны полиции против лиц, принадлежащих к народности рома, что, как сообщается, в некоторых случаях обернулось причинением тяжких телесных повреждений.</w:t>
      </w:r>
    </w:p>
    <w:p w:rsidR="00000000" w:rsidRDefault="00000000"/>
    <w:p w:rsidR="00000000" w:rsidRDefault="00000000">
      <w:pPr>
        <w:pStyle w:val="BodyTextIndent"/>
      </w:pPr>
      <w:r>
        <w:t>17.</w:t>
      </w:r>
      <w:r>
        <w:tab/>
        <w:t>Выражается также озабоченность в связи с чрезмерным применением силы со стороны полиции при производстве арестов.</w:t>
      </w:r>
    </w:p>
    <w:p w:rsidR="00000000" w:rsidRDefault="00000000"/>
    <w:p w:rsidR="00000000" w:rsidRDefault="00000000">
      <w:pPr>
        <w:pStyle w:val="BodyTextIndent"/>
      </w:pPr>
      <w:r>
        <w:t>18.</w:t>
      </w:r>
      <w:r>
        <w:tab/>
        <w:t>Комитет отмечает, что Закон об иностранцах, как общее правило, воспрещает выдворение иностранца в страну, где он или она рискует подвергнуться применению пыток.  Вместе с тем Комитет выражает озабоченность в связи с тем, что пункт 2 статьи 51 этого Закона, который допускает отступление от общего правила в случаях, когда то или иное лицо создает угрозу для государственной безопасности, не уважает обязательства государства</w:t>
      </w:r>
      <w:r>
        <w:noBreakHyphen/>
        <w:t>участника по статье 3 Конвенции.</w:t>
      </w:r>
    </w:p>
    <w:p w:rsidR="00000000" w:rsidRDefault="00000000"/>
    <w:p w:rsidR="00000000" w:rsidRDefault="00000000">
      <w:pPr>
        <w:pStyle w:val="BodyTextIndent"/>
      </w:pPr>
      <w:r>
        <w:t>19.</w:t>
      </w:r>
      <w:r>
        <w:tab/>
        <w:t>Комитет испытывает озабоченность в связи с неудовлетворительными условиями, в которых в государстве</w:t>
      </w:r>
      <w:r>
        <w:noBreakHyphen/>
        <w:t>участнике размещаются просители убежища.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E.</w:t>
      </w:r>
      <w:r>
        <w:tab/>
      </w:r>
      <w:r>
        <w:rPr>
          <w:u w:val="single"/>
        </w:rPr>
        <w:t>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BodyTextIndent"/>
      </w:pPr>
      <w:r>
        <w:t>20.</w:t>
      </w:r>
      <w:r>
        <w:tab/>
        <w:t>Хотя Комитет приветствует инкорпорирование определения пытки, в соответствии со статьей 1 Конвенции, во внутреннее право в связи с применением уголовных наказаний, Комитет рекомендует государству</w:t>
      </w:r>
      <w:r>
        <w:noBreakHyphen/>
        <w:t>участнику инкорпорировать это определение и в материальное уголовное право.</w:t>
      </w:r>
    </w:p>
    <w:p w:rsidR="00000000" w:rsidRDefault="00000000"/>
    <w:p w:rsidR="00000000" w:rsidRDefault="00000000">
      <w:pPr>
        <w:pStyle w:val="BodyTextIndent"/>
      </w:pPr>
      <w:r>
        <w:t>21.</w:t>
      </w:r>
      <w:r>
        <w:tab/>
        <w:t>Комитет рекомендует государству</w:t>
      </w:r>
      <w:r>
        <w:noBreakHyphen/>
        <w:t>участнику принять необходимые меры к тому, чтобы предотвратить ненадлежащее применение силы со стороны полиции против представителей народности рома и других меньшинств, в частности в связи с арестами и содержанием под стражей.</w:t>
      </w:r>
    </w:p>
    <w:p w:rsidR="00000000" w:rsidRDefault="00000000"/>
    <w:p w:rsidR="00000000" w:rsidRDefault="00000000">
      <w:pPr>
        <w:pStyle w:val="BodyTextIndent"/>
      </w:pPr>
      <w:r>
        <w:t>22.</w:t>
      </w:r>
      <w:r>
        <w:tab/>
        <w:t>Комитет рекомендует государству</w:t>
      </w:r>
      <w:r>
        <w:noBreakHyphen/>
        <w:t>участнику рассмотреть возможность внесения поправок в законодательство, которое позволяет производить выдворение иностранца в страну, где он или она рисковали бы подвергнуться применению пыток, т.е. выдворение, мотивируемое тем, что данное лицо создает угрозу для государственной безопасности, с тем чтобы такое законодательство отвечало условиям, требуемым статьей 3 Конвенции.</w:t>
      </w:r>
    </w:p>
    <w:p w:rsidR="00000000" w:rsidRDefault="00000000"/>
    <w:p w:rsidR="00000000" w:rsidRDefault="00000000">
      <w:pPr>
        <w:pStyle w:val="BodyTextIndent"/>
      </w:pPr>
      <w:r>
        <w:t>23.</w:t>
      </w:r>
      <w:r>
        <w:tab/>
        <w:t>Комитет в первоочередном порядке настоятельно призывает государство-участник принять все необходимые меры к тому чтобы обеспечить размещение просителей убежища в условиях, соответствующих требованиям статьи 16 Конвенции.</w:t>
      </w:r>
    </w:p>
    <w:p w:rsidR="00000000" w:rsidRDefault="00000000"/>
    <w:p w:rsidR="00000000" w:rsidRDefault="00000000">
      <w:pPr>
        <w:pStyle w:val="BodyTextIndent"/>
      </w:pPr>
      <w:r>
        <w:t>24.</w:t>
      </w:r>
      <w:r>
        <w:tab/>
        <w:t>Государству</w:t>
      </w:r>
      <w:r>
        <w:noBreakHyphen/>
        <w:t>участнику предлагается представить свой второй периодический доклад к 14 августа 2001 года.</w:t>
      </w:r>
    </w:p>
    <w:p w:rsidR="00000000" w:rsidRDefault="00000000">
      <w:pPr>
        <w:pStyle w:val="BodyTextIndent"/>
        <w:ind w:left="0"/>
      </w:pPr>
    </w:p>
    <w:p w:rsidR="00000000" w:rsidRDefault="00000000">
      <w:r>
        <w:t>3.</w:t>
      </w:r>
      <w:r>
        <w:tab/>
      </w:r>
      <w:r>
        <w:rPr>
          <w:u w:val="single"/>
        </w:rPr>
        <w:t>Г-н ЗОРЕ</w:t>
      </w:r>
      <w:r>
        <w:t xml:space="preserve"> (Словения) говорит, что его делегация признательна за плодотворный диалог и должным образом проинформирует правительство о выводах и рекомендациях Комитета.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Делегация Словении удаляется</w:t>
      </w:r>
      <w:r>
        <w:t>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Заседание прерывается в 15 час. 10 мин. и возобновляется в 15 час. 30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ОРГАНИЗАЦИОННЫЕ И ПРОЧИЕ ВОПРОСЫ (пункт 5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 xml:space="preserve">Последняя историческая сводка отчетности по основным международным правозащитным договорам </w:t>
      </w:r>
      <w:r>
        <w:t>(HRI/GEN/4)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>ПРЕДСЕДАТЕЛЬ</w:t>
      </w:r>
      <w:r>
        <w:t xml:space="preserve"> приглашает секретаря Комитета представить новый ежегодный документ, содержащий компиляцию исторической сводки отчетности государств - участников основных договоров по правам человека (HRI/GEN/4).  Этот документ, который является интеллектуальным детищем лично г-на Бруне, стал бы крайне ценным подспорьем для всех лиц и организаций, работающих в правозащитной сфере.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БРУНИ</w:t>
      </w:r>
      <w:r>
        <w:t xml:space="preserve"> (секретарь Комитета) говорит, что этот документ, насчитывающий более 350 страниц, был подготовлен по просьбе одиннадцатого совещания председателей договорных органов по правам человека, которое проходило в июне 1999 года, и будет ежегодно обновляться.  Это публичный документ, и для всех заинтересованных субъектов он имеется в наличии как в печатном виде, так и в Интернете. В алфавитном порядке приводится перечень стран, потом излагается перечень договоров, участниками которых они являются, а также их статус в плане отчетности по каждому договору.  В конце документа содержится сводка просроченных докладов, перечисляемых в разбивке по государствам-участникам и по договорам.  Ошибки можно было бы исправлять в обновленных вариантах.  Поскольку новый документ носит публичный характер, он должен оказаться гораздо более эффективным способом напоминания государствам-участникам об их обязанностях в отношении отчетности, нежели традиционная практика отсылки вербальных нот.</w:t>
      </w:r>
    </w:p>
    <w:p w:rsidR="00000000" w:rsidRDefault="00000000">
      <w:pPr>
        <w:pStyle w:val="Heading2"/>
      </w:pPr>
    </w:p>
    <w:p w:rsidR="00000000" w:rsidRDefault="00000000">
      <w:pPr>
        <w:pStyle w:val="Heading2"/>
      </w:pPr>
      <w:r>
        <w:t>Методы работы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ПРЕДСЕДАТЕЛЬ</w:t>
      </w:r>
      <w:r>
        <w:t xml:space="preserve"> предлагает членам высказать свои мнения и соображения относительно дальнейшей работы Комитета.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>Г-н ЭЛЬ-МАСРИ</w:t>
      </w:r>
      <w:r>
        <w:t xml:space="preserve"> прежде всего заявляет, что он поддерживает предложение г</w:t>
      </w:r>
      <w:r>
        <w:noBreakHyphen/>
        <w:t>на Мавромматиса о создании, как это предусмотрено в правиле 61 Правил процедуры, рабочей группы для рассмотрения дел, связанных со статьей 22.  С тем чтобы не создавать дополнительное финансовое бремя, он полагает, что рабочая группа могла бы заседать одновременно с обычными сессиями Комитета.  Поскольку при нынешней практике каждый случай разбирается одним докладчиком и поскольку многие случаи носят схожий характер, было бы, наверное, эффективнее, если бы в ходе сессии несколько докладчиков собирались несколько раз.</w:t>
      </w:r>
    </w:p>
    <w:p w:rsidR="00000000" w:rsidRDefault="00000000"/>
    <w:p w:rsidR="00000000" w:rsidRDefault="00000000">
      <w:r>
        <w:t>9.</w:t>
      </w:r>
      <w:r>
        <w:tab/>
        <w:t>Во</w:t>
      </w:r>
      <w:r>
        <w:noBreakHyphen/>
        <w:t>вторых, он говорит, что Комитету надо отреагировать на тот факт, что государства все больше тяготеют к тому, чтобы игнорировать его просьбы о принятии временных мер в период рассмотрения дел.  И это имеет важное значение, тем более что в Конвенции, в сущности, нет никаких предписаний на тот счет, чтобы просьба, формулируемая Комитетом согласно Правилам процедуры, носила обязывающий характер для государств-участников.  Комитету следует, пожалуй, представить свое мнение государствам-участникам и попросить их сделать заявление в том плане, что Правила процедуры основываются на Конвенции и их игнорирование мешает работе Комитета.</w:t>
      </w:r>
    </w:p>
    <w:p w:rsidR="00000000" w:rsidRDefault="00000000"/>
    <w:p w:rsidR="00000000" w:rsidRDefault="00000000">
      <w:r>
        <w:t>10.</w:t>
      </w:r>
      <w:r>
        <w:tab/>
        <w:t>В-третьих, Комитету следует подумать, фиксировать ли в своих решениях по статье 22 метод принятия решения – консенсусом или голосованием и число членов, которые голосовали за, голосовали против или воздержались.  В этой связи, было бы, наверное, уместно разобрать Правила процедуры на предмет существования каких-то лазеек или пробелов.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ПРЕДСЕДАТЕЛЬ</w:t>
      </w:r>
      <w:r>
        <w:t xml:space="preserve"> высказывает опасение, что разбор Правил процедуры займет чересчур уж много времени.  Вместе с тем можно было бы учредить рабочую группу, чтобы поразмыслить над тем, не следует ли Комитету подумать о формулировании замечания общего порядка по статьям 5-9, содержащим юрисдикционные положения Конвенции.  Такое замечание общего порядка послужило бы в качестве руководства для государств-участников и могло бы сыграть роль катализатора для другой самостоятельной деятельности в сфере подсудности по случаям применения пыток.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Г-жа ГАЕР</w:t>
      </w:r>
      <w:r>
        <w:t xml:space="preserve"> высказывается в поддержку уже высказывавшегося ранее в ходе сессии предложения о том, что следует сформулировать замечание общего порядка относительно определения пыток по статье 1 и что государствам-участникам нужно инкорпорировать это определение в свое внутреннее законодательство.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Г-н ЯКОВЛЕВ</w:t>
      </w:r>
      <w:r>
        <w:t xml:space="preserve"> полагает, что стоило бы осмыслить проблематику универсальной юрисдикции – и не только применительно к Конвенции против пыток, но и в связи с более широкой проблематикой преступлений против человечности.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ПРЕДСЕДАТЕЛЬ</w:t>
      </w:r>
      <w:r>
        <w:t xml:space="preserve"> соглашается, что замечание общего порядка об универсальной юрисдикции применительно как к международному уголовному праву, так и к отдельным конвенциям было бы весьма полезно для всех субъектов, занимающихся борьбой с международной преступностью.</w:t>
      </w:r>
    </w:p>
    <w:p w:rsidR="00000000" w:rsidRDefault="00000000"/>
    <w:p w:rsidR="00000000" w:rsidRDefault="00000000">
      <w:r>
        <w:t>15.</w:t>
      </w:r>
      <w:r>
        <w:tab/>
        <w:t>Соображение же о том, что рабочая группа по статье 22 могла бы проводить свои заседания во время сессий Комитета, представляется практически неосуществимым:  Комитет слишком малочислен, и он не может позволить некоторым членам отлучаться в ходе пленарных заседаний.  Комитету следует, на его взгляд, определить наиболее эффективные способы проведения своей работы, включая учреждение предсессионных или межсессионных рабочих групп, и представить свое предложение Управлению Верховного комиссара Организации Объединенных Наций по правам человека, которое изучит вопрос об изыскании ресурсов.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Г-жа ГАЕР</w:t>
      </w:r>
      <w:r>
        <w:t xml:space="preserve"> говорит, что учреждение рабочей группы, которая будет собираться в ходе сессии Комитета, сократит наличное время для регулярных совещаний Комитета.  Можно было бы воспользоваться системой, практикуемой другими комитетами:  например, рабочая группа могла бы собираться непосредственно перед обычной сессией Комитета или между сессиями.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ПРЕДСЕДАТЕЛЬ</w:t>
      </w:r>
      <w:r>
        <w:t xml:space="preserve"> говорит, что любому органу всегда полезно анализировать задачи и просчитывать наиболее эффективный метод их реализации.  Другие, более крупные комитеты имеют преимущество с точки зрения дополнительных рабочих процедур.  Если бы секретариат мог подготавливать докладчикам по странам все очевидные вопросы, а то и производить кое</w:t>
      </w:r>
      <w:r>
        <w:noBreakHyphen/>
        <w:t>какое предварительное формулирование выводов и рекомендаций, то это позволило бы снять немалое бремя с докладчиков, хотя им, разумеется, все</w:t>
      </w:r>
      <w:r>
        <w:noBreakHyphen/>
        <w:t>таки пришлось бы присматривать за тем, чтобы были выдвинуты все надлежащие вопросы.  Необходимые ресурсы на этот счет, как он полагает, были бы выделены применительно к следующей сессии.  Межсессионная рабочая группа, как ему думается, могла бы сыграть очень полезную роль, будь она наделена верным кругом ведения, а чтобы обеспечить максимум эффективности, ей следовало бы собираться за неделю до сессии.  Так уж сложилось исторически, что Комитет оказался самофинансируемым органом, располагающим скудными ресурсами, и поэтому он не был причестен к разработке методов работы, принятых другими комитетами.  И вот теперь уже пора сделать это.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ЯКОВЛЕВ</w:t>
      </w:r>
      <w:r>
        <w:t xml:space="preserve"> полагает, что на рабочие группы, будь они учреждены, надо было бы возложить двоякую задачу:  во-первых, подготовку применительно к конкретным фактам или докладам, подлежащим обсуждению в Комитете, и, во</w:t>
      </w:r>
      <w:r>
        <w:noBreakHyphen/>
        <w:t>вторых, формулирование замечаний, например, по проблемам, создаваемым государствами, не соблюдающими требования Комитета по отдельным вопросам.  Ему, правда, не совсем ясно, каким образом будет действовать рабочая группа в связи с темами, намечаемыми для будущих сессий. Одни доклады от отдельных стран будут получены, другие будут просрочены, в непредвиденный момент будут получены жалобы и т.д.</w:t>
      </w:r>
    </w:p>
    <w:p w:rsidR="00000000" w:rsidRDefault="00000000"/>
    <w:p w:rsidR="00000000" w:rsidRDefault="00000000">
      <w:r>
        <w:t>19.</w:t>
      </w:r>
      <w:r>
        <w:tab/>
        <w:t>Что касается Правил процедуры, то тут существенно важно определить общую юрисдикцию Комитета, которая могла бы быть расширена таким образом, чтобы, например, позволить Комитету в инициативном порядке предлагать поправки к Конвенции.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ПРЕДСЕДАТЕЛЬ</w:t>
      </w:r>
      <w:r>
        <w:t xml:space="preserve"> говорит, что было предложено несколько разных категорий рабочих групп.  Основной рабочей группе можно было бы поручить заняться той или иной темой, намеченной Комитетом, и подготовить по ней замечание общего порядка.  Замечание общего порядка есть, в сущности, заявление конкретного органа в отношении понимания им круга проблем, которые ему следует охватить в своих дискуссиях.  Вдобавок, за неделю до сессии Комитета могла бы собраться более малочисленная группы, которая разобрала бы все полученные сообщения и подготовила для Комитета соответствующие проекты.  Это уже практикуется Комитетом по правам человека.  Другая функция, которая могла бы быть возложена на рабочую группу, заключается в заблаговременной подготовке вопросов для государств-участников, но применительно к Комитету такая миссия просматривается где</w:t>
      </w:r>
      <w:r>
        <w:noBreakHyphen/>
        <w:t>то в отдаленной перспективе.  Если будет учреждена рабочая группа по сообщениям, то это могло бы оказаться более эффективным  механизмом по сравнению с нынешней системой, когда Председатель Комитета производит распределение досье среди отдельных членов в зависимости от того, на каком языке было составлено сообщение, и в зависимости от того, каким опытом рассмотрения таких дел обладают эти члены.  За счет содействия со стороны рабочей группы Комитет был бы в состоянии рассматривать в ходе каждой сессии по 10 - 11 сообщений.</w:t>
      </w:r>
    </w:p>
    <w:p w:rsidR="00000000" w:rsidRDefault="00000000"/>
    <w:p w:rsidR="00000000" w:rsidRDefault="00000000">
      <w:r>
        <w:t>21.</w:t>
      </w:r>
      <w:r>
        <w:tab/>
        <w:t>Вместе с тем Комитету нужно все</w:t>
      </w:r>
      <w:r>
        <w:noBreakHyphen/>
        <w:t>таки на текущей основе заниматься вопросами временных мер по статье 3.  С этой целью можно было бы назначить отдельного докладчика, если кто-то проявляет такой интерес и располагает необходимой электронной почтой и другими средствами.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Г-н Юй Мэнцзя</w:t>
      </w:r>
      <w:r>
        <w:t xml:space="preserve"> говорит, что Комитету было бы, наверное, небесполезно приспособить к своим собственным нуждам замечания общего порядка, формулируемые другими органами. Опыт других комитетов можно было бы применить к собственным конкретным заботам Комитета.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ПРЕДСЕДАТЕЛЬ</w:t>
      </w:r>
      <w:r>
        <w:t xml:space="preserve"> говорит, что в рамках любой системы важно быть осведомленным о практике других смежных органов.  При осуществлении своей юрисдикции Комитету надо отдавать себе отчет в том, как на нем сказывается работа других комитетов, и наоборот.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Г-н ГОНСАЛЕС ПОБЛЕТЕ</w:t>
      </w:r>
      <w:r>
        <w:t xml:space="preserve"> соглашается с тем, что рабочая группа, которая занималась бы вопросами в связи со статьей 22 Конвенции, позволила бы ослабить то бремя, которое возлагают на Комитет индивидуальные сообщения.  Что касается статьи 19, то в каком</w:t>
      </w:r>
      <w:r>
        <w:noBreakHyphen/>
        <w:t>то смысле даже кстати, что страны не выдерживают сроки в связи со своими представлениями, ибо в противном случае Комитет был бы не состоянии справиться с такой рабочей нагрузкой.  В этом отношении, пожалуй, необходимы более конкретные ориентировки в плане содержания докладов, представляемых государствами-участниками, ибо государства-участники тяготеют к тому, чтобы по</w:t>
      </w:r>
      <w:r>
        <w:noBreakHyphen/>
        <w:t>разному понимать конкретные статьи Конвенции.  Необходимо расширить перечень стандартных вопросов, подготавливаемых секретариатом, и более четко разъяснить фактическую сферу охвата каждой статьи, и в особенности статей 5-9.  При наличии этих элементов докладчики по странам могли бы предвосхищать и указывать государствам допускаемые ими упущения, а тем самым и отпала бы необходимость дожидаться представления затребованной информации.  Аналогичным образом, если будет сформулирован ряд замечаний общего порядка по отдельным статьям, то государства-участники имели бы более точную ориентировку в отношении круга вопросов, подлежащих освещению в их докладах.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Г-н ЯКОВЛЕВ</w:t>
      </w:r>
      <w:r>
        <w:t xml:space="preserve"> согласен, что следует подготовить ряд общих рекомендаций в отношении информации, подлежащей представлению государствами-участниками в своих докладах.  Вдобавок, члены Комитета должны всегда иметь возможность задавать любые дальнейшие вопросы, какие они считают целесообразными.</w:t>
      </w:r>
    </w:p>
    <w:p w:rsidR="00000000" w:rsidRDefault="00000000"/>
    <w:p w:rsidR="00000000" w:rsidRDefault="00000000">
      <w:r>
        <w:t>26.</w:t>
      </w:r>
      <w:r>
        <w:tab/>
      </w:r>
      <w:r>
        <w:rPr>
          <w:u w:val="single"/>
        </w:rPr>
        <w:t>ПРЕДСЕДАТЕЛЬ</w:t>
      </w:r>
      <w:r>
        <w:t xml:space="preserve"> соглашается с этим. Все члены Комитета являются независимыми экспертами, и они и вправе, и обязаны принимать полноценное участие в работе Комитета.  Никакой установленный метод не должен мешать членам задавать вопросы.</w:t>
      </w:r>
    </w:p>
    <w:p w:rsidR="00000000" w:rsidRDefault="00000000"/>
    <w:p w:rsidR="00000000" w:rsidRDefault="00000000">
      <w:r>
        <w:t>27.</w:t>
      </w:r>
      <w:r>
        <w:tab/>
        <w:t>В более общем плане, есть разные способы осуществления задач, поставленных Комитетом.  Одним из наиболее важных вопросов в этом отношении является изыскание ресурсов.  Администрация согласилась выделить необходимые средства для того, чтобы секретариат мог заняться составлением стандартных вопросов, и она будет аналогичным образом помогать докладчикам в подготовке ими выводов и рекомендаций.  Требуется еще в более полном объеме обсудить вопрос об учреждении рабочей группы, которой будет поручена своевременная подготовка по крайней мере одного замечания общего порядка для следующей сессии Комитета.  К тому времени ресурсы, требуемые для внесения изменений в используемую методику рассмотрения сообщений по статье 22, еще, быть может, и не поступят.  Однако, если они все же поступят и члены Комитета согласятся употребить их таким образом, то было бы предпочтительнее прийти к единодушному согласию.</w:t>
      </w:r>
    </w:p>
    <w:p w:rsidR="00000000" w:rsidRDefault="00000000">
      <w:pPr>
        <w:jc w:val="center"/>
        <w:outlineLvl w:val="0"/>
        <w:rPr>
          <w:u w:val="single"/>
        </w:rPr>
      </w:pPr>
    </w:p>
    <w:p w:rsidR="00000000" w:rsidRDefault="00000000">
      <w:pPr>
        <w:jc w:val="center"/>
        <w:outlineLvl w:val="0"/>
        <w:rPr>
          <w:u w:val="single"/>
        </w:rPr>
      </w:pPr>
      <w:r>
        <w:rPr>
          <w:u w:val="single"/>
        </w:rPr>
        <w:t>Заседание закрывается в 16 час. 30 мин.</w:t>
      </w:r>
    </w:p>
    <w:p w:rsidR="00000000" w:rsidRDefault="00000000">
      <w:pPr>
        <w:rPr>
          <w:u w:val="single"/>
        </w:rPr>
      </w:pPr>
    </w:p>
    <w:p w:rsidR="00000000" w:rsidRDefault="00000000">
      <w:pPr>
        <w:pStyle w:val="BodyTextIndent"/>
        <w:ind w:left="0"/>
      </w:pPr>
    </w:p>
    <w:sectPr w:rsidR="00000000"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0"/>
        <w:tab w:val="left" w:pos="7086"/>
      </w:tabs>
      <w:suppressAutoHyphens/>
      <w:spacing w:line="216" w:lineRule="auto"/>
      <w:rPr>
        <w:sz w:val="22"/>
      </w:rPr>
    </w:pPr>
    <w:r>
      <w:rPr>
        <w:sz w:val="22"/>
      </w:rPr>
      <w:fldChar w:fldCharType="begin"/>
    </w:r>
    <w:r>
      <w:rPr>
        <w:sz w:val="22"/>
      </w:rPr>
      <w:instrText xml:space="preserve"> FILLIN "Символ документа" \* MERGEFORMAT </w:instrText>
    </w:r>
    <w:r>
      <w:rPr>
        <w:sz w:val="22"/>
      </w:rPr>
      <w:fldChar w:fldCharType="separate"/>
    </w:r>
    <w:r>
      <w:rPr>
        <w:sz w:val="22"/>
      </w:rPr>
      <w:t>CAT/C/SR.4</w:t>
    </w:r>
    <w:r>
      <w:rPr>
        <w:sz w:val="22"/>
      </w:rPr>
      <w:fldChar w:fldCharType="end"/>
    </w:r>
    <w:r>
      <w:rPr>
        <w:sz w:val="22"/>
      </w:rPr>
      <w:t>35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0"/>
        <w:tab w:val="left" w:pos="7086"/>
      </w:tabs>
      <w:suppressAutoHyphens/>
      <w:spacing w:line="216" w:lineRule="auto"/>
      <w:rPr>
        <w:sz w:val="22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sz w:val="22"/>
      </w:rPr>
      <w:fldChar w:fldCharType="begin"/>
    </w:r>
    <w:r>
      <w:rPr>
        <w:sz w:val="22"/>
      </w:rPr>
      <w:instrText xml:space="preserve"> FILLIN "Символ документа" \* MERGEFORMAT </w:instrText>
    </w:r>
    <w:r>
      <w:rPr>
        <w:sz w:val="22"/>
      </w:rPr>
      <w:fldChar w:fldCharType="separate"/>
    </w:r>
    <w:r>
      <w:rPr>
        <w:sz w:val="22"/>
      </w:rPr>
      <w:t>CAT/C/SR.4</w:t>
    </w:r>
    <w:r>
      <w:rPr>
        <w:sz w:val="22"/>
      </w:rPr>
      <w:fldChar w:fldCharType="end"/>
    </w:r>
    <w:r>
      <w:rPr>
        <w:sz w:val="22"/>
      </w:rPr>
      <w:t>35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Indent">
    <w:name w:val="Body Text Indent"/>
    <w:basedOn w:val="Normal"/>
    <w:semiHidden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371</TotalTime>
  <Pages>1</Pages>
  <Words>2951</Words>
  <Characters>16826</Characters>
  <Application>Microsoft Office Word</Application>
  <DocSecurity>4</DocSecurity>
  <Lines>140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20663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СSD</dc:creator>
  <cp:keywords/>
  <dc:description/>
  <cp:lastModifiedBy>СSD</cp:lastModifiedBy>
  <cp:revision>144</cp:revision>
  <cp:lastPrinted>2000-10-12T09:45:00Z</cp:lastPrinted>
  <dcterms:created xsi:type="dcterms:W3CDTF">2000-10-11T07:22:00Z</dcterms:created>
  <dcterms:modified xsi:type="dcterms:W3CDTF">2000-10-12T09:48:00Z</dcterms:modified>
</cp:coreProperties>
</file>