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5B4E69" w:rsidP="005B4E69">
            <w:pPr>
              <w:suppressAutoHyphens w:val="0"/>
              <w:spacing w:after="20"/>
              <w:jc w:val="right"/>
            </w:pPr>
            <w:r w:rsidRPr="005B4E69">
              <w:rPr>
                <w:sz w:val="40"/>
              </w:rPr>
              <w:t>CCPR</w:t>
            </w:r>
            <w:r>
              <w:t>/C/SR.2915</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5B4E69" w:rsidRDefault="005B4E69" w:rsidP="005B4E69">
            <w:pPr>
              <w:suppressAutoHyphens w:val="0"/>
              <w:spacing w:before="240" w:line="240" w:lineRule="exact"/>
            </w:pPr>
            <w:r>
              <w:t>Distr.: General</w:t>
            </w:r>
          </w:p>
          <w:p w:rsidR="005B4E69" w:rsidRDefault="00C91E22" w:rsidP="005B4E69">
            <w:pPr>
              <w:suppressAutoHyphens w:val="0"/>
            </w:pPr>
            <w:r>
              <w:t>11 December</w:t>
            </w:r>
            <w:r w:rsidR="005B4E69">
              <w:t xml:space="preserve"> 2012</w:t>
            </w:r>
          </w:p>
          <w:p w:rsidR="005B4E69" w:rsidRDefault="005B4E69" w:rsidP="005B4E69">
            <w:pPr>
              <w:suppressAutoHyphens w:val="0"/>
            </w:pPr>
            <w:r>
              <w:t>English</w:t>
            </w:r>
          </w:p>
          <w:p w:rsidR="00B56E9C" w:rsidRDefault="005B4E69" w:rsidP="005B4E69">
            <w:pPr>
              <w:suppressAutoHyphens w:val="0"/>
            </w:pPr>
            <w:r>
              <w:t>Original: French</w:t>
            </w:r>
          </w:p>
        </w:tc>
      </w:tr>
    </w:tbl>
    <w:p w:rsidR="005B4E69" w:rsidRDefault="005B4E69" w:rsidP="005B4E69">
      <w:pPr>
        <w:spacing w:before="120"/>
        <w:rPr>
          <w:b/>
          <w:sz w:val="24"/>
        </w:rPr>
      </w:pPr>
      <w:r>
        <w:rPr>
          <w:b/>
          <w:sz w:val="24"/>
        </w:rPr>
        <w:t>Human Rights Committee</w:t>
      </w:r>
    </w:p>
    <w:p w:rsidR="005B4E69" w:rsidRDefault="005B4E69" w:rsidP="005B4E69">
      <w:pPr>
        <w:spacing w:after="120"/>
        <w:rPr>
          <w:b/>
        </w:rPr>
      </w:pPr>
      <w:r>
        <w:rPr>
          <w:b/>
        </w:rPr>
        <w:t>105th session</w:t>
      </w:r>
    </w:p>
    <w:p w:rsidR="005B4E69" w:rsidRDefault="005B4E69" w:rsidP="005B4E69">
      <w:pPr>
        <w:rPr>
          <w:b/>
        </w:rPr>
      </w:pPr>
      <w:r>
        <w:rPr>
          <w:b/>
        </w:rPr>
        <w:t>Summary record</w:t>
      </w:r>
      <w:r>
        <w:t xml:space="preserve"> </w:t>
      </w:r>
      <w:r>
        <w:rPr>
          <w:b/>
        </w:rPr>
        <w:t>of the 2915th meeting</w:t>
      </w:r>
      <w:r w:rsidRPr="00F022FE">
        <w:t>*</w:t>
      </w:r>
    </w:p>
    <w:p w:rsidR="005B4E69" w:rsidRDefault="005B4E69" w:rsidP="005B4E69">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Tuesday, 24 July 2012, at 10 a.m.</w:t>
      </w:r>
      <w:r w:rsidR="00DA0D3C">
        <w:t xml:space="preserve"> </w:t>
      </w:r>
    </w:p>
    <w:p w:rsidR="005B4E69" w:rsidRDefault="005B4E69" w:rsidP="005B4E69">
      <w:pPr>
        <w:tabs>
          <w:tab w:val="right" w:pos="992"/>
          <w:tab w:val="left" w:pos="1276"/>
          <w:tab w:val="right" w:leader="dot" w:pos="8504"/>
        </w:tabs>
        <w:spacing w:after="120"/>
      </w:pPr>
      <w:r>
        <w:rPr>
          <w:i/>
        </w:rPr>
        <w:tab/>
        <w:t>Chairperson</w:t>
      </w:r>
      <w:r>
        <w:t>:</w:t>
      </w:r>
      <w:r>
        <w:tab/>
        <w:t>Ms. Majodina</w:t>
      </w:r>
    </w:p>
    <w:p w:rsidR="005B4E69" w:rsidRDefault="005B4E69" w:rsidP="005B4E69">
      <w:pPr>
        <w:tabs>
          <w:tab w:val="right" w:pos="992"/>
          <w:tab w:val="left" w:pos="1276"/>
          <w:tab w:val="right" w:leader="dot" w:pos="8504"/>
        </w:tabs>
        <w:spacing w:before="360" w:after="240"/>
        <w:rPr>
          <w:sz w:val="28"/>
        </w:rPr>
      </w:pPr>
      <w:r>
        <w:rPr>
          <w:sz w:val="28"/>
        </w:rPr>
        <w:t>Contents</w:t>
      </w:r>
    </w:p>
    <w:p w:rsidR="005B4E69" w:rsidRPr="005B4E69" w:rsidRDefault="005B4E69" w:rsidP="005B4E69">
      <w:pPr>
        <w:pStyle w:val="SingleTxtG"/>
      </w:pPr>
      <w:r w:rsidRPr="005B4E69">
        <w:t>Follow-up to concluding observations on State reports</w:t>
      </w:r>
    </w:p>
    <w:p w:rsidR="005B4E69" w:rsidRPr="005B4E69" w:rsidRDefault="005B4E69" w:rsidP="005B4E69">
      <w:pPr>
        <w:pStyle w:val="SingleTxtG"/>
      </w:pPr>
      <w:r w:rsidRPr="005B4E69">
        <w:t>Follow-up to</w:t>
      </w:r>
      <w:r>
        <w:t xml:space="preserve"> Views under the Optional Protocol</w:t>
      </w:r>
    </w:p>
    <w:p w:rsidR="005B4E69" w:rsidRPr="005B4E69" w:rsidRDefault="005B4E69" w:rsidP="005B4E69">
      <w:pPr>
        <w:pStyle w:val="SingleTxtG"/>
        <w:rPr>
          <w:i/>
        </w:rPr>
      </w:pPr>
      <w:r>
        <w:br w:type="page"/>
      </w:r>
      <w:r w:rsidRPr="005B4E69">
        <w:rPr>
          <w:i/>
        </w:rPr>
        <w:t>The meeting was called to order at 11.10 a.m.</w:t>
      </w:r>
    </w:p>
    <w:p w:rsidR="005B4E69" w:rsidRPr="000C4341" w:rsidRDefault="005B4E69" w:rsidP="005B4E69">
      <w:pPr>
        <w:pStyle w:val="H23G"/>
      </w:pPr>
      <w:r>
        <w:tab/>
      </w:r>
      <w:r>
        <w:tab/>
      </w:r>
      <w:r w:rsidRPr="000C4341">
        <w:t>Follow-up to concluding observations on State reports</w:t>
      </w:r>
    </w:p>
    <w:p w:rsidR="005B4E69" w:rsidRPr="000C4341" w:rsidRDefault="000153CB" w:rsidP="000153CB">
      <w:pPr>
        <w:pStyle w:val="H4G"/>
      </w:pPr>
      <w:r>
        <w:tab/>
      </w:r>
      <w:r>
        <w:tab/>
      </w:r>
      <w:r w:rsidR="005B4E69" w:rsidRPr="005B4E69">
        <w:t>Report of the Special Rapporteur for follow-up on concluding observations of the Human Rights Committee</w:t>
      </w:r>
      <w:r w:rsidR="005B4E69" w:rsidRPr="000C4341">
        <w:t xml:space="preserve"> (105th session, July 2012) </w:t>
      </w:r>
      <w:r w:rsidR="005B4E69" w:rsidRPr="000153CB">
        <w:rPr>
          <w:i w:val="0"/>
        </w:rPr>
        <w:t>(CCPR/C/105/R.1)</w:t>
      </w:r>
    </w:p>
    <w:p w:rsidR="005B4E69" w:rsidRPr="000C4341" w:rsidRDefault="005B4E69" w:rsidP="005B4E69">
      <w:pPr>
        <w:pStyle w:val="SingleTxtG"/>
      </w:pPr>
      <w:r w:rsidRPr="000C4341">
        <w:t>1.</w:t>
      </w:r>
      <w:r w:rsidRPr="000C4341">
        <w:tab/>
      </w:r>
      <w:r w:rsidRPr="005B4E69">
        <w:rPr>
          <w:b/>
        </w:rPr>
        <w:t>The Chairperson</w:t>
      </w:r>
      <w:r w:rsidRPr="000C4341">
        <w:t xml:space="preserve"> invited the Special Rapporteur for follow-up on concluding observations to present her report.</w:t>
      </w:r>
    </w:p>
    <w:p w:rsidR="005B4E69" w:rsidRPr="000C4341" w:rsidRDefault="005B4E69" w:rsidP="005B4E69">
      <w:pPr>
        <w:pStyle w:val="SingleTxtG"/>
      </w:pPr>
      <w:r w:rsidRPr="000C4341">
        <w:t>2.</w:t>
      </w:r>
      <w:r w:rsidRPr="000C4341">
        <w:tab/>
      </w:r>
      <w:r w:rsidRPr="005B4E69">
        <w:rPr>
          <w:b/>
        </w:rPr>
        <w:t>Ms. Chanet</w:t>
      </w:r>
      <w:r w:rsidRPr="000C4341">
        <w:t xml:space="preserve"> (Special Rapporteur for follow-up on concluding observations) </w:t>
      </w:r>
      <w:r>
        <w:t xml:space="preserve">said </w:t>
      </w:r>
      <w:r w:rsidRPr="000C4341">
        <w:t xml:space="preserve">that the Human Rights Committee usually presented three reports on follow-up per year but that </w:t>
      </w:r>
      <w:r>
        <w:t xml:space="preserve">for material reasons </w:t>
      </w:r>
      <w:r w:rsidRPr="000C4341">
        <w:t xml:space="preserve">she had decided to present only two </w:t>
      </w:r>
      <w:r w:rsidR="004D7FD9">
        <w:t xml:space="preserve">full </w:t>
      </w:r>
      <w:r w:rsidRPr="000C4341">
        <w:t xml:space="preserve">reports per year, </w:t>
      </w:r>
      <w:r w:rsidR="004D7FD9">
        <w:t>at</w:t>
      </w:r>
      <w:r w:rsidRPr="000C4341">
        <w:t xml:space="preserve"> the March and October sessions.</w:t>
      </w:r>
      <w:r w:rsidR="00557C2C">
        <w:t xml:space="preserve"> </w:t>
      </w:r>
      <w:r w:rsidRPr="000C4341">
        <w:t xml:space="preserve">Nonetheless, she was presenting an interim progress report on two States parties, </w:t>
      </w:r>
      <w:smartTag w:uri="urn:schemas-microsoft-com:office:smarttags" w:element="country-region">
        <w:r w:rsidRPr="000C4341">
          <w:t>Togo</w:t>
        </w:r>
      </w:smartTag>
      <w:r w:rsidRPr="000C4341">
        <w:t xml:space="preserve"> and </w:t>
      </w:r>
      <w:smartTag w:uri="urn:schemas-microsoft-com:office:smarttags" w:element="place">
        <w:smartTag w:uri="urn:schemas-microsoft-com:office:smarttags" w:element="country-region">
          <w:r w:rsidRPr="000C4341">
            <w:t>Israel</w:t>
          </w:r>
        </w:smartTag>
      </w:smartTag>
      <w:r w:rsidRPr="000C4341">
        <w:t>, that she considered required an urgent decision.</w:t>
      </w:r>
      <w:r w:rsidR="00557C2C">
        <w:t xml:space="preserve"> </w:t>
      </w:r>
      <w:r w:rsidRPr="000C4341">
        <w:t xml:space="preserve">With regard to </w:t>
      </w:r>
      <w:smartTag w:uri="urn:schemas-microsoft-com:office:smarttags" w:element="place">
        <w:smartTag w:uri="urn:schemas-microsoft-com:office:smarttags" w:element="country-region">
          <w:r w:rsidRPr="000C4341">
            <w:t>Togo</w:t>
          </w:r>
        </w:smartTag>
      </w:smartTag>
      <w:r w:rsidRPr="000C4341">
        <w:t>, the decision was justified by the situation.</w:t>
      </w:r>
      <w:r w:rsidR="00557C2C">
        <w:t xml:space="preserve"> </w:t>
      </w:r>
      <w:r w:rsidRPr="000C4341">
        <w:t xml:space="preserve">For </w:t>
      </w:r>
      <w:smartTag w:uri="urn:schemas-microsoft-com:office:smarttags" w:element="country-region">
        <w:smartTag w:uri="urn:schemas-microsoft-com:office:smarttags" w:element="place">
          <w:r w:rsidRPr="000C4341">
            <w:t>Israel</w:t>
          </w:r>
        </w:smartTag>
      </w:smartTag>
      <w:r w:rsidRPr="000C4341">
        <w:t xml:space="preserve">, the team responsible for periodic reports required information because it needed to </w:t>
      </w:r>
      <w:r w:rsidR="004D7FD9">
        <w:t xml:space="preserve">draw up </w:t>
      </w:r>
      <w:r w:rsidRPr="000C4341">
        <w:t>a list of issues before the end of the current session.</w:t>
      </w:r>
    </w:p>
    <w:p w:rsidR="005B4E69" w:rsidRPr="000C4341" w:rsidRDefault="005B4E69" w:rsidP="005B4E69">
      <w:pPr>
        <w:pStyle w:val="SingleTxtG"/>
      </w:pPr>
      <w:r w:rsidRPr="000C4341">
        <w:t>3.</w:t>
      </w:r>
      <w:r w:rsidRPr="000C4341">
        <w:tab/>
        <w:t>A rep</w:t>
      </w:r>
      <w:r w:rsidR="006B21A2">
        <w:t>ly</w:t>
      </w:r>
      <w:r w:rsidRPr="000C4341">
        <w:t xml:space="preserve"> had been received from the other States, except from </w:t>
      </w:r>
      <w:smartTag w:uri="urn:schemas-microsoft-com:office:smarttags" w:element="country-region">
        <w:r w:rsidRPr="000C4341">
          <w:t>Serbia</w:t>
        </w:r>
      </w:smartTag>
      <w:r w:rsidRPr="000C4341">
        <w:t xml:space="preserve">, the former </w:t>
      </w:r>
      <w:smartTag w:uri="urn:schemas-microsoft-com:office:smarttags" w:element="country-region">
        <w:r w:rsidRPr="000C4341">
          <w:t>Yugoslavia</w:t>
        </w:r>
      </w:smartTag>
      <w:r w:rsidRPr="000C4341">
        <w:t xml:space="preserve">, the </w:t>
      </w:r>
      <w:smartTag w:uri="urn:schemas-microsoft-com:office:smarttags" w:element="country-region">
        <w:r w:rsidRPr="000C4341">
          <w:t>United Kingdom</w:t>
        </w:r>
      </w:smartTag>
      <w:r w:rsidRPr="000C4341">
        <w:t xml:space="preserve"> and </w:t>
      </w:r>
      <w:smartTag w:uri="urn:schemas-microsoft-com:office:smarttags" w:element="country-region">
        <w:smartTag w:uri="urn:schemas-microsoft-com:office:smarttags" w:element="place">
          <w:r w:rsidRPr="000C4341">
            <w:t>Spain</w:t>
          </w:r>
        </w:smartTag>
      </w:smartTag>
      <w:r w:rsidRPr="000C4341">
        <w:t>, who should either be sent a reminder or be asked to include their response to the follow-up letter in their next periodic report.</w:t>
      </w:r>
    </w:p>
    <w:p w:rsidR="005B4E69" w:rsidRPr="000C4341" w:rsidRDefault="005B4E69" w:rsidP="005B4E69">
      <w:pPr>
        <w:pStyle w:val="SingleTxtG"/>
      </w:pPr>
      <w:r w:rsidRPr="000C4341">
        <w:t>4.</w:t>
      </w:r>
      <w:r w:rsidRPr="000C4341">
        <w:tab/>
      </w:r>
      <w:r w:rsidRPr="006B21A2">
        <w:rPr>
          <w:b/>
        </w:rPr>
        <w:t>Mr. Iwasawa</w:t>
      </w:r>
      <w:r w:rsidRPr="000C4341">
        <w:t xml:space="preserve"> and </w:t>
      </w:r>
      <w:r w:rsidRPr="006B21A2">
        <w:rPr>
          <w:b/>
        </w:rPr>
        <w:t>Sir Nigel Rodley</w:t>
      </w:r>
      <w:r w:rsidRPr="000C4341">
        <w:t xml:space="preserve"> said that they were a priori in favour of the presentation of two reports per year rather than three.</w:t>
      </w:r>
      <w:r w:rsidR="00557C2C">
        <w:t xml:space="preserve"> </w:t>
      </w:r>
      <w:r w:rsidRPr="000C4341">
        <w:t>Nonetheless, they wished to receive details of the procedure that had been followed, since past reports seemed to have covered a very large number of States in comparison to the report presented at the current meeting.</w:t>
      </w:r>
    </w:p>
    <w:p w:rsidR="005B4E69" w:rsidRPr="000C4341" w:rsidRDefault="005B4E69" w:rsidP="005B4E69">
      <w:pPr>
        <w:pStyle w:val="SingleTxtG"/>
      </w:pPr>
      <w:r w:rsidRPr="000C4341">
        <w:t>5.</w:t>
      </w:r>
      <w:r w:rsidRPr="000C4341">
        <w:tab/>
      </w:r>
      <w:r w:rsidRPr="006B21A2">
        <w:rPr>
          <w:b/>
        </w:rPr>
        <w:t>Ms. Prophette</w:t>
      </w:r>
      <w:r w:rsidRPr="000C4341">
        <w:t xml:space="preserve"> (Office of the United Nations High Commissioner for Human Rights) said that the secretariat had established and maintained, as a spreadsheet, a file listing all the States parties wh</w:t>
      </w:r>
      <w:r w:rsidR="009D45F0">
        <w:t>ich</w:t>
      </w:r>
      <w:r w:rsidRPr="000C4341">
        <w:t xml:space="preserve"> had been or were </w:t>
      </w:r>
      <w:r w:rsidR="009D45F0">
        <w:t xml:space="preserve">currently </w:t>
      </w:r>
      <w:r w:rsidRPr="000C4341">
        <w:t>subject to the follow-up procedure, or for wh</w:t>
      </w:r>
      <w:r w:rsidR="009D45F0">
        <w:t>ich</w:t>
      </w:r>
      <w:r w:rsidRPr="000C4341">
        <w:t xml:space="preserve"> the Committee was to recommend that the follow-up procedure should be </w:t>
      </w:r>
      <w:r w:rsidR="009D45F0">
        <w:t>terminated</w:t>
      </w:r>
      <w:r w:rsidRPr="000C4341">
        <w:t xml:space="preserve">. The file contained all </w:t>
      </w:r>
      <w:r w:rsidR="009D45F0">
        <w:t xml:space="preserve">the replies </w:t>
      </w:r>
      <w:r w:rsidRPr="000C4341">
        <w:t xml:space="preserve">received from States parties and indicated whether </w:t>
      </w:r>
      <w:r w:rsidR="009D45F0">
        <w:t xml:space="preserve">replies </w:t>
      </w:r>
      <w:r w:rsidRPr="000C4341">
        <w:t>were pending.</w:t>
      </w:r>
      <w:r w:rsidR="00557C2C">
        <w:t xml:space="preserve"> </w:t>
      </w:r>
      <w:r w:rsidRPr="000C4341">
        <w:t>All the Committee</w:t>
      </w:r>
      <w:r w:rsidR="00DA0D3C">
        <w:t>’</w:t>
      </w:r>
      <w:r w:rsidRPr="000C4341">
        <w:t>s analys</w:t>
      </w:r>
      <w:r w:rsidR="009D45F0">
        <w:t>e</w:t>
      </w:r>
      <w:r w:rsidRPr="000C4341">
        <w:t>s could also be found in the file, as well as draft evaluations that were pending adoption.</w:t>
      </w:r>
    </w:p>
    <w:p w:rsidR="005B4E69" w:rsidRPr="000C4341" w:rsidRDefault="005B4E69" w:rsidP="005B4E69">
      <w:pPr>
        <w:pStyle w:val="SingleTxtG"/>
      </w:pPr>
      <w:r w:rsidRPr="000C4341">
        <w:t>6.</w:t>
      </w:r>
      <w:r w:rsidRPr="000C4341">
        <w:tab/>
      </w:r>
      <w:r w:rsidRPr="009D45F0">
        <w:rPr>
          <w:b/>
        </w:rPr>
        <w:t xml:space="preserve">Ms. Chanet </w:t>
      </w:r>
      <w:r w:rsidRPr="000C4341">
        <w:t>(Special Rapporteur for follow-up on concluding observations) said that Togo had stated in response to the recommendations made in paragraph 10 of the Committee</w:t>
      </w:r>
      <w:r w:rsidR="00DA0D3C">
        <w:t>’</w:t>
      </w:r>
      <w:r w:rsidRPr="000C4341">
        <w:t xml:space="preserve">s concluding observations (CCPR/C/TGO/CO/4) that the Truth, Justice and Reconciliation Commission had </w:t>
      </w:r>
      <w:r w:rsidR="009D45F0">
        <w:t xml:space="preserve">taken </w:t>
      </w:r>
      <w:r w:rsidRPr="000C4341">
        <w:t xml:space="preserve">22,415 </w:t>
      </w:r>
      <w:r w:rsidR="009D45F0">
        <w:t>statements</w:t>
      </w:r>
      <w:r w:rsidRPr="000C4341">
        <w:t xml:space="preserve"> and that the Committee</w:t>
      </w:r>
      <w:r w:rsidR="00DA0D3C">
        <w:t>’</w:t>
      </w:r>
      <w:r w:rsidRPr="000C4341">
        <w:t xml:space="preserve">s recommendations would </w:t>
      </w:r>
      <w:r w:rsidR="009D45F0">
        <w:t xml:space="preserve">enable </w:t>
      </w:r>
      <w:r w:rsidRPr="000C4341">
        <w:t xml:space="preserve">it to </w:t>
      </w:r>
      <w:r w:rsidR="009D45F0">
        <w:t xml:space="preserve">adopt </w:t>
      </w:r>
      <w:r w:rsidRPr="000C4341">
        <w:t xml:space="preserve">measures to remedy the </w:t>
      </w:r>
      <w:r w:rsidR="009D45F0">
        <w:t>harm suffered</w:t>
      </w:r>
      <w:r w:rsidRPr="000C4341">
        <w:t xml:space="preserve">. Certain NGOs, however, had indicated that no investigation had been </w:t>
      </w:r>
      <w:r w:rsidR="009D45F0">
        <w:t xml:space="preserve">undertaken </w:t>
      </w:r>
      <w:r w:rsidRPr="000C4341">
        <w:t xml:space="preserve">in the cases </w:t>
      </w:r>
      <w:r w:rsidR="009D45F0">
        <w:t xml:space="preserve">in </w:t>
      </w:r>
      <w:r w:rsidRPr="000C4341">
        <w:t xml:space="preserve">the Lomé </w:t>
      </w:r>
      <w:r w:rsidR="009D45F0">
        <w:t xml:space="preserve">or Amlamé jurisdictions </w:t>
      </w:r>
      <w:r w:rsidRPr="000C4341">
        <w:t xml:space="preserve">and that the investigation into the Atakpamé cases had been suspended without </w:t>
      </w:r>
      <w:r w:rsidR="009D45F0">
        <w:t>any reason being given</w:t>
      </w:r>
      <w:r w:rsidRPr="000C4341">
        <w:t>.</w:t>
      </w:r>
      <w:r w:rsidR="00D629E9">
        <w:t xml:space="preserve"> </w:t>
      </w:r>
      <w:r w:rsidRPr="000C4341">
        <w:t xml:space="preserve">The Committee asked for additional information on the measures taken by </w:t>
      </w:r>
      <w:smartTag w:uri="urn:schemas-microsoft-com:office:smarttags" w:element="country-region">
        <w:smartTag w:uri="urn:schemas-microsoft-com:office:smarttags" w:element="place">
          <w:r w:rsidRPr="000C4341">
            <w:t>Togo</w:t>
          </w:r>
        </w:smartTag>
      </w:smartTag>
      <w:r w:rsidRPr="000C4341">
        <w:t xml:space="preserve"> to </w:t>
      </w:r>
      <w:r w:rsidR="00430E81">
        <w:t xml:space="preserve">follow up on the work of </w:t>
      </w:r>
      <w:r w:rsidRPr="000C4341">
        <w:t>the Truth, Justice and Reconciliation Commission.</w:t>
      </w:r>
      <w:r w:rsidR="00430E81">
        <w:t xml:space="preserve"> </w:t>
      </w:r>
      <w:r w:rsidRPr="000C4341">
        <w:t xml:space="preserve">Since no information had been provided on investigations </w:t>
      </w:r>
      <w:r w:rsidR="004417DE">
        <w:t xml:space="preserve">aimed at </w:t>
      </w:r>
      <w:r w:rsidRPr="000C4341">
        <w:t>shed</w:t>
      </w:r>
      <w:r w:rsidR="00845B66">
        <w:t>d</w:t>
      </w:r>
      <w:r w:rsidR="004417DE">
        <w:t>ing</w:t>
      </w:r>
      <w:r w:rsidRPr="000C4341">
        <w:t xml:space="preserve"> light on the human rights violations committed in 2005, the Committee considered that </w:t>
      </w:r>
      <w:smartTag w:uri="urn:schemas-microsoft-com:office:smarttags" w:element="country-region">
        <w:smartTag w:uri="urn:schemas-microsoft-com:office:smarttags" w:element="place">
          <w:r w:rsidRPr="000C4341">
            <w:t>Togo</w:t>
          </w:r>
        </w:smartTag>
      </w:smartTag>
      <w:r w:rsidRPr="000C4341">
        <w:t xml:space="preserve"> had not </w:t>
      </w:r>
      <w:r w:rsidR="00FD1BDB">
        <w:t>acted upon</w:t>
      </w:r>
      <w:r w:rsidRPr="000C4341">
        <w:t xml:space="preserve"> its recommendation.</w:t>
      </w:r>
      <w:r w:rsidR="00557C2C">
        <w:t xml:space="preserve"> </w:t>
      </w:r>
      <w:r w:rsidRPr="000C4341">
        <w:t xml:space="preserve">The Committee had also </w:t>
      </w:r>
      <w:r w:rsidR="004417DE">
        <w:t xml:space="preserve">asked for </w:t>
      </w:r>
      <w:r w:rsidRPr="000C4341">
        <w:t xml:space="preserve">the adoption of criminal </w:t>
      </w:r>
      <w:r w:rsidR="004417DE">
        <w:t xml:space="preserve">legislation defining </w:t>
      </w:r>
      <w:r w:rsidRPr="000C4341">
        <w:t xml:space="preserve">torture and </w:t>
      </w:r>
      <w:r w:rsidR="00F33003">
        <w:t>p</w:t>
      </w:r>
      <w:r w:rsidR="000153CB">
        <w:t xml:space="preserve">enalizing </w:t>
      </w:r>
      <w:r w:rsidRPr="000C4341">
        <w:t>acts of torture with penalties commensurate with the</w:t>
      </w:r>
      <w:r w:rsidR="00F33003">
        <w:t>ir gravity</w:t>
      </w:r>
      <w:r w:rsidRPr="000C4341">
        <w:t xml:space="preserve">. </w:t>
      </w:r>
      <w:smartTag w:uri="urn:schemas-microsoft-com:office:smarttags" w:element="place">
        <w:smartTag w:uri="urn:schemas-microsoft-com:office:smarttags" w:element="country-region">
          <w:r w:rsidRPr="000C4341">
            <w:t>Togo</w:t>
          </w:r>
        </w:smartTag>
      </w:smartTag>
      <w:r w:rsidRPr="000C4341">
        <w:t xml:space="preserve"> had replied that a draft Criminal Code </w:t>
      </w:r>
      <w:r w:rsidR="00D325BC">
        <w:t xml:space="preserve">penalizing </w:t>
      </w:r>
      <w:r w:rsidRPr="000C4341">
        <w:t xml:space="preserve">torture </w:t>
      </w:r>
      <w:r w:rsidR="00D325BC">
        <w:t xml:space="preserve">on the basis of </w:t>
      </w:r>
      <w:r w:rsidRPr="000C4341">
        <w:t>international standards would be approved in April 2012, with a view to its transmi</w:t>
      </w:r>
      <w:r w:rsidR="005A0AA6">
        <w:t>ttal</w:t>
      </w:r>
      <w:r w:rsidRPr="000C4341">
        <w:t xml:space="preserve"> to the Government for adoption </w:t>
      </w:r>
      <w:r w:rsidR="005A0AA6">
        <w:t>by</w:t>
      </w:r>
      <w:r w:rsidRPr="000C4341">
        <w:t xml:space="preserve"> the Council of Ministers.</w:t>
      </w:r>
      <w:r w:rsidR="00557C2C">
        <w:t xml:space="preserve"> </w:t>
      </w:r>
      <w:r w:rsidRPr="000C4341">
        <w:t xml:space="preserve">However, according to certain NGOs, little progress had been made in revising the Criminal Code and no </w:t>
      </w:r>
      <w:r w:rsidR="009F38BD">
        <w:t xml:space="preserve">one had been prosecuted on charges </w:t>
      </w:r>
      <w:r w:rsidRPr="000C4341">
        <w:t>of torture or inhuman or degrading treatment.</w:t>
      </w:r>
      <w:r w:rsidR="00557C2C">
        <w:t xml:space="preserve"> </w:t>
      </w:r>
      <w:r w:rsidRPr="000C4341">
        <w:t xml:space="preserve">The Committee </w:t>
      </w:r>
      <w:r w:rsidR="009F38BD">
        <w:t xml:space="preserve">would </w:t>
      </w:r>
      <w:r w:rsidRPr="000C4341">
        <w:t xml:space="preserve">therefore request </w:t>
      </w:r>
      <w:r w:rsidR="009F38BD">
        <w:t xml:space="preserve">up-to-date </w:t>
      </w:r>
      <w:r w:rsidRPr="000C4341">
        <w:t xml:space="preserve">information on the progress made in adopting </w:t>
      </w:r>
      <w:r w:rsidR="009F38BD">
        <w:t xml:space="preserve">the </w:t>
      </w:r>
      <w:r w:rsidRPr="000C4341">
        <w:t xml:space="preserve">draft </w:t>
      </w:r>
      <w:r w:rsidR="009F38BD">
        <w:t xml:space="preserve">amendments to </w:t>
      </w:r>
      <w:r w:rsidRPr="000C4341">
        <w:t xml:space="preserve">criminal legislation and the content of the provisions </w:t>
      </w:r>
      <w:r w:rsidR="007B7838">
        <w:t xml:space="preserve">concerning </w:t>
      </w:r>
      <w:r w:rsidRPr="000C4341">
        <w:t xml:space="preserve">torture, and </w:t>
      </w:r>
      <w:r w:rsidR="007B7838">
        <w:t xml:space="preserve">call for prompt </w:t>
      </w:r>
      <w:r w:rsidRPr="000C4341">
        <w:t xml:space="preserve">measures </w:t>
      </w:r>
      <w:r w:rsidR="007B7838">
        <w:t xml:space="preserve">to </w:t>
      </w:r>
      <w:r w:rsidRPr="000C4341">
        <w:t xml:space="preserve">be taken to </w:t>
      </w:r>
      <w:r w:rsidR="007B7838">
        <w:t xml:space="preserve">ensure </w:t>
      </w:r>
      <w:r w:rsidRPr="000C4341">
        <w:t xml:space="preserve">that </w:t>
      </w:r>
      <w:r w:rsidR="007B7838">
        <w:t xml:space="preserve">any act </w:t>
      </w:r>
      <w:r w:rsidRPr="000C4341">
        <w:t xml:space="preserve">of torture or cruel, inhuman or degrading treatment </w:t>
      </w:r>
      <w:r w:rsidR="007B7838">
        <w:t xml:space="preserve">was </w:t>
      </w:r>
      <w:r w:rsidRPr="000C4341">
        <w:t>prosecuted and appropriate</w:t>
      </w:r>
      <w:r w:rsidR="007B7838">
        <w:t>ly penalized.</w:t>
      </w:r>
    </w:p>
    <w:p w:rsidR="005B4E69" w:rsidRPr="000C4341" w:rsidRDefault="005B4E69" w:rsidP="005B4E69">
      <w:pPr>
        <w:pStyle w:val="SingleTxtG"/>
      </w:pPr>
      <w:r w:rsidRPr="000C4341">
        <w:t>7.</w:t>
      </w:r>
      <w:r w:rsidRPr="000C4341">
        <w:tab/>
      </w:r>
      <w:r w:rsidR="00D1496A">
        <w:t xml:space="preserve">Pursuant to </w:t>
      </w:r>
      <w:r w:rsidRPr="000C4341">
        <w:t xml:space="preserve">the recommendation that the State party should take </w:t>
      </w:r>
      <w:r w:rsidR="00D1496A">
        <w:t xml:space="preserve">steps </w:t>
      </w:r>
      <w:r w:rsidRPr="000C4341">
        <w:t>to investigate all allegations of torture and ill-treatment</w:t>
      </w:r>
      <w:r w:rsidR="00D1496A">
        <w:t xml:space="preserve"> and </w:t>
      </w:r>
      <w:r w:rsidRPr="000C4341">
        <w:t xml:space="preserve">all deaths in detention, the Togolese Government had </w:t>
      </w:r>
      <w:r w:rsidR="00D1496A">
        <w:t xml:space="preserve">replied </w:t>
      </w:r>
      <w:r w:rsidRPr="000C4341">
        <w:t xml:space="preserve">that the National Human Rights Commission had been </w:t>
      </w:r>
      <w:r w:rsidR="00D1496A">
        <w:t xml:space="preserve">instructed to </w:t>
      </w:r>
      <w:r w:rsidRPr="000C4341">
        <w:t>investigat</w:t>
      </w:r>
      <w:r w:rsidR="00D1496A">
        <w:t>e</w:t>
      </w:r>
      <w:r w:rsidRPr="000C4341">
        <w:t xml:space="preserve"> allegations of torture </w:t>
      </w:r>
      <w:r w:rsidR="00D1496A">
        <w:t xml:space="preserve">involving </w:t>
      </w:r>
      <w:r w:rsidRPr="000C4341">
        <w:t>the National Intelligence Agency.</w:t>
      </w:r>
      <w:r w:rsidR="00557C2C">
        <w:t xml:space="preserve"> </w:t>
      </w:r>
      <w:r w:rsidRPr="000C4341">
        <w:t>The Commission</w:t>
      </w:r>
      <w:r w:rsidR="00DA0D3C">
        <w:t>’</w:t>
      </w:r>
      <w:r w:rsidRPr="000C4341">
        <w:t xml:space="preserve">s report had been </w:t>
      </w:r>
      <w:r w:rsidR="00D1496A">
        <w:t xml:space="preserve">approved </w:t>
      </w:r>
      <w:r w:rsidRPr="000C4341">
        <w:t xml:space="preserve">by the Council of Ministers in February 2012 and 15 measures had been adopted to </w:t>
      </w:r>
      <w:r w:rsidR="00D47006">
        <w:t xml:space="preserve">put </w:t>
      </w:r>
      <w:r w:rsidRPr="000C4341">
        <w:t>the recommendations</w:t>
      </w:r>
      <w:r w:rsidR="00D47006">
        <w:t xml:space="preserve"> into effect</w:t>
      </w:r>
      <w:r w:rsidRPr="000C4341">
        <w:t>.</w:t>
      </w:r>
      <w:r w:rsidR="00557C2C">
        <w:t xml:space="preserve"> </w:t>
      </w:r>
      <w:r w:rsidR="00D47006">
        <w:t xml:space="preserve">According to </w:t>
      </w:r>
      <w:r w:rsidRPr="000C4341">
        <w:t>NGOs</w:t>
      </w:r>
      <w:r w:rsidR="00D47006">
        <w:t>,</w:t>
      </w:r>
      <w:r w:rsidRPr="000C4341">
        <w:t xml:space="preserve"> the Commission</w:t>
      </w:r>
      <w:r w:rsidR="00DA0D3C">
        <w:t>’</w:t>
      </w:r>
      <w:r w:rsidRPr="000C4341">
        <w:t xml:space="preserve">s report, </w:t>
      </w:r>
      <w:r w:rsidR="00D47006">
        <w:t xml:space="preserve">finding </w:t>
      </w:r>
      <w:r w:rsidRPr="000C4341">
        <w:t xml:space="preserve">that </w:t>
      </w:r>
      <w:r w:rsidR="00D47006">
        <w:t xml:space="preserve">acts </w:t>
      </w:r>
      <w:r w:rsidRPr="000C4341">
        <w:t xml:space="preserve">of torture had </w:t>
      </w:r>
      <w:r w:rsidR="00D47006">
        <w:t xml:space="preserve">been committed by members of </w:t>
      </w:r>
      <w:r w:rsidRPr="000C4341">
        <w:t>the National Intelligence Agency and recommend</w:t>
      </w:r>
      <w:r w:rsidR="00D47006">
        <w:t>ing</w:t>
      </w:r>
      <w:r w:rsidRPr="000C4341">
        <w:t xml:space="preserve"> that the</w:t>
      </w:r>
      <w:r w:rsidR="00077B26">
        <w:t>y</w:t>
      </w:r>
      <w:r w:rsidRPr="000C4341">
        <w:t xml:space="preserve"> should be prosecuted, </w:t>
      </w:r>
      <w:r w:rsidR="00077B26">
        <w:t xml:space="preserve">had been </w:t>
      </w:r>
      <w:r w:rsidRPr="000C4341">
        <w:t xml:space="preserve">made public in February 2012 following an attempt to </w:t>
      </w:r>
      <w:r w:rsidR="00077B26">
        <w:t xml:space="preserve">manipulate its contents in order </w:t>
      </w:r>
      <w:r w:rsidRPr="000C4341">
        <w:t xml:space="preserve">to </w:t>
      </w:r>
      <w:r w:rsidR="00046360">
        <w:t xml:space="preserve">exculpate </w:t>
      </w:r>
      <w:r w:rsidRPr="000C4341">
        <w:t>the State.</w:t>
      </w:r>
      <w:r w:rsidR="00557C2C">
        <w:t xml:space="preserve"> </w:t>
      </w:r>
      <w:r w:rsidR="00BE4DDF">
        <w:t xml:space="preserve">As a result of </w:t>
      </w:r>
      <w:r w:rsidRPr="000C4341">
        <w:t>th</w:t>
      </w:r>
      <w:r w:rsidR="00BE4DDF">
        <w:t>at</w:t>
      </w:r>
      <w:r w:rsidRPr="000C4341">
        <w:t xml:space="preserve"> scandal, the Chairperson of the National Human Rights Commission </w:t>
      </w:r>
      <w:r w:rsidR="00BE4DDF">
        <w:t>—</w:t>
      </w:r>
      <w:r w:rsidRPr="000C4341">
        <w:t xml:space="preserve"> the author of the report </w:t>
      </w:r>
      <w:r w:rsidR="00BE4DDF">
        <w:t>—</w:t>
      </w:r>
      <w:r w:rsidRPr="000C4341">
        <w:t xml:space="preserve"> had </w:t>
      </w:r>
      <w:r w:rsidR="00BE4DDF">
        <w:t xml:space="preserve">had </w:t>
      </w:r>
      <w:r w:rsidRPr="000C4341">
        <w:t>to go into exile.</w:t>
      </w:r>
      <w:r w:rsidR="00557C2C">
        <w:t xml:space="preserve"> </w:t>
      </w:r>
      <w:r w:rsidRPr="000C4341">
        <w:t xml:space="preserve">Since </w:t>
      </w:r>
      <w:smartTag w:uri="urn:schemas-microsoft-com:office:smarttags" w:element="country-region">
        <w:r w:rsidRPr="000C4341">
          <w:t>Togo</w:t>
        </w:r>
      </w:smartTag>
      <w:r w:rsidRPr="000C4341">
        <w:t xml:space="preserve"> was </w:t>
      </w:r>
      <w:r w:rsidR="00BE4DDF">
        <w:t xml:space="preserve">due </w:t>
      </w:r>
      <w:r w:rsidRPr="000C4341">
        <w:t xml:space="preserve">to submit its next periodic report in April 2015, it should be sent a letter </w:t>
      </w:r>
      <w:r w:rsidR="00BE4DDF">
        <w:t xml:space="preserve">setting out </w:t>
      </w:r>
      <w:r w:rsidRPr="000C4341">
        <w:t>the Committee</w:t>
      </w:r>
      <w:r w:rsidR="00DA0D3C">
        <w:t>’</w:t>
      </w:r>
      <w:r w:rsidRPr="000C4341">
        <w:t xml:space="preserve">s </w:t>
      </w:r>
      <w:r w:rsidR="00BE4DDF">
        <w:t xml:space="preserve">analysis </w:t>
      </w:r>
      <w:r w:rsidRPr="000C4341">
        <w:t xml:space="preserve">and a meeting should be organized </w:t>
      </w:r>
      <w:r w:rsidR="00BE4DDF">
        <w:t xml:space="preserve">at </w:t>
      </w:r>
      <w:r w:rsidRPr="000C4341">
        <w:t xml:space="preserve">the October session between </w:t>
      </w:r>
      <w:r w:rsidR="00BE4DDF">
        <w:t xml:space="preserve">herself </w:t>
      </w:r>
      <w:r w:rsidRPr="000C4341">
        <w:t xml:space="preserve">and the Permanent Representative of </w:t>
      </w:r>
      <w:smartTag w:uri="urn:schemas-microsoft-com:office:smarttags" w:element="place">
        <w:smartTag w:uri="urn:schemas-microsoft-com:office:smarttags" w:element="country-region">
          <w:r w:rsidRPr="000C4341">
            <w:t>Togo</w:t>
          </w:r>
        </w:smartTag>
      </w:smartTag>
      <w:r w:rsidRPr="000C4341">
        <w:t>.</w:t>
      </w:r>
    </w:p>
    <w:p w:rsidR="005B4E69" w:rsidRPr="000C4341" w:rsidRDefault="008674AC" w:rsidP="005B4E69">
      <w:pPr>
        <w:pStyle w:val="SingleTxtG"/>
      </w:pPr>
      <w:r>
        <w:t>8.</w:t>
      </w:r>
      <w:r>
        <w:tab/>
      </w:r>
      <w:r w:rsidR="005B4E69" w:rsidRPr="008674AC">
        <w:rPr>
          <w:b/>
        </w:rPr>
        <w:t>Mr. Bouzid</w:t>
      </w:r>
      <w:r w:rsidR="005B4E69" w:rsidRPr="000C4341">
        <w:t xml:space="preserve"> asked who had </w:t>
      </w:r>
      <w:r>
        <w:t xml:space="preserve">made </w:t>
      </w:r>
      <w:r w:rsidR="005B4E69" w:rsidRPr="000C4341">
        <w:t xml:space="preserve">the 22,415 </w:t>
      </w:r>
      <w:r>
        <w:t xml:space="preserve">statements taken </w:t>
      </w:r>
      <w:r w:rsidR="005B4E69" w:rsidRPr="000C4341">
        <w:t>by the Truth, Justice and Reconciliation Commission.</w:t>
      </w:r>
    </w:p>
    <w:p w:rsidR="005B4E69" w:rsidRPr="000C4341" w:rsidRDefault="005B4E69" w:rsidP="005B4E69">
      <w:pPr>
        <w:pStyle w:val="SingleTxtG"/>
      </w:pPr>
      <w:r w:rsidRPr="000C4341">
        <w:t>9.</w:t>
      </w:r>
      <w:r w:rsidR="008674AC">
        <w:tab/>
      </w:r>
      <w:r w:rsidRPr="008674AC">
        <w:rPr>
          <w:b/>
        </w:rPr>
        <w:t>Mr. Ben Achour</w:t>
      </w:r>
      <w:r w:rsidRPr="000C4341">
        <w:t xml:space="preserve"> asked whether </w:t>
      </w:r>
      <w:r w:rsidR="00824715">
        <w:t>the</w:t>
      </w:r>
      <w:r w:rsidR="008674AC">
        <w:t xml:space="preserve"> </w:t>
      </w:r>
      <w:r w:rsidR="00824715" w:rsidRPr="000C4341">
        <w:t xml:space="preserve">attempt </w:t>
      </w:r>
      <w:r w:rsidR="00824715">
        <w:t xml:space="preserve">at </w:t>
      </w:r>
      <w:r w:rsidR="008674AC">
        <w:t>manipulation</w:t>
      </w:r>
      <w:r w:rsidRPr="000C4341">
        <w:t xml:space="preserve"> </w:t>
      </w:r>
      <w:r w:rsidR="008674AC">
        <w:t xml:space="preserve">reported </w:t>
      </w:r>
      <w:r w:rsidRPr="000C4341">
        <w:t xml:space="preserve">by NGOs was indeed </w:t>
      </w:r>
      <w:r w:rsidR="008674AC">
        <w:t xml:space="preserve">a case of </w:t>
      </w:r>
      <w:r w:rsidRPr="000C4341">
        <w:t>fals</w:t>
      </w:r>
      <w:r w:rsidR="008674AC">
        <w:t>ification</w:t>
      </w:r>
      <w:r w:rsidRPr="000C4341">
        <w:t xml:space="preserve"> and whether the </w:t>
      </w:r>
      <w:r w:rsidR="008674AC">
        <w:t>report</w:t>
      </w:r>
      <w:r w:rsidRPr="000C4341">
        <w:t xml:space="preserve"> had been verified or should be treated with caution.</w:t>
      </w:r>
      <w:r w:rsidR="00557C2C">
        <w:t xml:space="preserve"> </w:t>
      </w:r>
      <w:r w:rsidRPr="000C4341">
        <w:t xml:space="preserve">He also wished to know whether the State party had provided details of the 15 measures </w:t>
      </w:r>
      <w:r w:rsidR="008674AC">
        <w:t xml:space="preserve">adopted to give effect </w:t>
      </w:r>
      <w:r w:rsidRPr="000C4341">
        <w:t>to the report of the National Human Rights Commission.</w:t>
      </w:r>
    </w:p>
    <w:p w:rsidR="005B4E69" w:rsidRPr="000C4341" w:rsidRDefault="005B4E69" w:rsidP="005B4E69">
      <w:pPr>
        <w:pStyle w:val="SingleTxtG"/>
      </w:pPr>
      <w:r w:rsidRPr="000C4341">
        <w:t>10.</w:t>
      </w:r>
      <w:r w:rsidR="008674AC">
        <w:tab/>
      </w:r>
      <w:r w:rsidRPr="008674AC">
        <w:rPr>
          <w:b/>
        </w:rPr>
        <w:t>Ms. Chanet</w:t>
      </w:r>
      <w:r w:rsidRPr="000C4341">
        <w:t xml:space="preserve"> (Special Rapporteur for follow-up on concluding observations) replied that the </w:t>
      </w:r>
      <w:r w:rsidR="008674AC">
        <w:t xml:space="preserve">statements concerned </w:t>
      </w:r>
      <w:r w:rsidRPr="000C4341">
        <w:t>were complaints from victims.</w:t>
      </w:r>
      <w:r w:rsidR="00557C2C">
        <w:t xml:space="preserve"> </w:t>
      </w:r>
      <w:r w:rsidRPr="000C4341">
        <w:t xml:space="preserve">There had been a genuine attempt to falsify the report of the National Human Rights Commission but it had not succeeded because the </w:t>
      </w:r>
      <w:r w:rsidR="008674AC">
        <w:t xml:space="preserve">affair </w:t>
      </w:r>
      <w:r w:rsidRPr="000C4341">
        <w:t xml:space="preserve">had been </w:t>
      </w:r>
      <w:r w:rsidR="008674AC">
        <w:t>revealed</w:t>
      </w:r>
      <w:r w:rsidRPr="000C4341">
        <w:t>.</w:t>
      </w:r>
      <w:r w:rsidR="00557C2C">
        <w:t xml:space="preserve"> </w:t>
      </w:r>
      <w:r w:rsidRPr="000C4341">
        <w:t xml:space="preserve">The report had therefore </w:t>
      </w:r>
      <w:r w:rsidR="008674AC">
        <w:t xml:space="preserve">been published </w:t>
      </w:r>
      <w:r w:rsidRPr="000C4341">
        <w:t>unchanged and the Government had adopted measures in response to it.</w:t>
      </w:r>
      <w:r w:rsidR="00557C2C">
        <w:t xml:space="preserve"> </w:t>
      </w:r>
      <w:r w:rsidRPr="000C4341">
        <w:t>The Committee should take that into account and it was the issue she wished to discuss with the Permanent Representative.</w:t>
      </w:r>
    </w:p>
    <w:p w:rsidR="005B4E69" w:rsidRPr="000C4341" w:rsidRDefault="005B4E69" w:rsidP="005B4E69">
      <w:pPr>
        <w:pStyle w:val="SingleTxtG"/>
      </w:pPr>
      <w:r w:rsidRPr="000C4341">
        <w:t>11.</w:t>
      </w:r>
      <w:r w:rsidRPr="000C4341">
        <w:tab/>
      </w:r>
      <w:r w:rsidRPr="008674AC">
        <w:rPr>
          <w:b/>
        </w:rPr>
        <w:t>Ms. Prophette</w:t>
      </w:r>
      <w:r w:rsidRPr="000C4341">
        <w:t xml:space="preserve"> (Office of the United Nations High Commissioner for Human Rights) said that, in its replies, the State party had </w:t>
      </w:r>
      <w:r w:rsidR="008674AC">
        <w:t xml:space="preserve">given a very brief description of </w:t>
      </w:r>
      <w:r w:rsidRPr="000C4341">
        <w:t>the measures it had adopted.</w:t>
      </w:r>
      <w:r w:rsidR="00557C2C">
        <w:t xml:space="preserve"> </w:t>
      </w:r>
      <w:r w:rsidRPr="000C4341">
        <w:t>As for the attempted falsification of the Commission</w:t>
      </w:r>
      <w:r w:rsidR="00DA0D3C">
        <w:t>’</w:t>
      </w:r>
      <w:r w:rsidRPr="000C4341">
        <w:t>s report, the Office of the United Nations High Commissioner for Human Rights had carried out research that confirmed the truth of those allegations.</w:t>
      </w:r>
    </w:p>
    <w:p w:rsidR="005B4E69" w:rsidRPr="000C4341" w:rsidRDefault="005B4E69" w:rsidP="005B4E69">
      <w:pPr>
        <w:pStyle w:val="SingleTxtG"/>
      </w:pPr>
      <w:r w:rsidRPr="000C4341">
        <w:t>12.</w:t>
      </w:r>
      <w:r w:rsidR="001D3A4A">
        <w:tab/>
      </w:r>
      <w:r w:rsidRPr="001D3A4A">
        <w:rPr>
          <w:b/>
        </w:rPr>
        <w:t>The Chairperson</w:t>
      </w:r>
      <w:r w:rsidRPr="000C4341">
        <w:t xml:space="preserve"> invited Mr. O</w:t>
      </w:r>
      <w:r w:rsidR="00DA0D3C">
        <w:t>’</w:t>
      </w:r>
      <w:r w:rsidRPr="000C4341">
        <w:t xml:space="preserve">Flaherty to present the information received </w:t>
      </w:r>
      <w:r w:rsidR="001D3A4A">
        <w:t xml:space="preserve">under </w:t>
      </w:r>
      <w:r w:rsidRPr="000C4341">
        <w:t>follow-up to the implementation of the Committee</w:t>
      </w:r>
      <w:r w:rsidR="00DA0D3C">
        <w:t>’</w:t>
      </w:r>
      <w:r w:rsidRPr="000C4341">
        <w:t>s concluding observations</w:t>
      </w:r>
      <w:r w:rsidR="001D3A4A" w:rsidRPr="001D3A4A">
        <w:t xml:space="preserve"> </w:t>
      </w:r>
      <w:r w:rsidR="001D3A4A" w:rsidRPr="000C4341">
        <w:t xml:space="preserve">by </w:t>
      </w:r>
      <w:smartTag w:uri="urn:schemas-microsoft-com:office:smarttags" w:element="place">
        <w:smartTag w:uri="urn:schemas-microsoft-com:office:smarttags" w:element="country-region">
          <w:r w:rsidR="001D3A4A" w:rsidRPr="000C4341">
            <w:t>Israel</w:t>
          </w:r>
        </w:smartTag>
      </w:smartTag>
      <w:r w:rsidRPr="000C4341">
        <w:t>.</w:t>
      </w:r>
    </w:p>
    <w:p w:rsidR="005B4E69" w:rsidRPr="000C4341" w:rsidRDefault="005B4E69" w:rsidP="005B4E69">
      <w:pPr>
        <w:pStyle w:val="SingleTxtG"/>
      </w:pPr>
      <w:r w:rsidRPr="000C4341">
        <w:t>13.</w:t>
      </w:r>
      <w:r w:rsidR="005E7C60">
        <w:tab/>
      </w:r>
      <w:r w:rsidRPr="005E7C60">
        <w:rPr>
          <w:b/>
        </w:rPr>
        <w:t>Mr. O</w:t>
      </w:r>
      <w:r w:rsidR="00DA0D3C">
        <w:rPr>
          <w:b/>
        </w:rPr>
        <w:t>’</w:t>
      </w:r>
      <w:r w:rsidRPr="005E7C60">
        <w:rPr>
          <w:b/>
        </w:rPr>
        <w:t>Flaherty</w:t>
      </w:r>
      <w:r w:rsidRPr="000C4341">
        <w:t xml:space="preserve"> </w:t>
      </w:r>
      <w:r w:rsidR="000153CB">
        <w:t>noted</w:t>
      </w:r>
      <w:r w:rsidR="005E7C60">
        <w:t xml:space="preserve"> </w:t>
      </w:r>
      <w:r w:rsidRPr="000C4341">
        <w:t xml:space="preserve">that the next periodic report of </w:t>
      </w:r>
      <w:smartTag w:uri="urn:schemas-microsoft-com:office:smarttags" w:element="place">
        <w:smartTag w:uri="urn:schemas-microsoft-com:office:smarttags" w:element="country-region">
          <w:r w:rsidRPr="000C4341">
            <w:t>Israel</w:t>
          </w:r>
        </w:smartTag>
      </w:smartTag>
      <w:r w:rsidRPr="000C4341">
        <w:t xml:space="preserve"> would </w:t>
      </w:r>
      <w:r w:rsidR="005E7C60">
        <w:t xml:space="preserve">take the form of </w:t>
      </w:r>
      <w:r w:rsidRPr="000C4341">
        <w:t xml:space="preserve">replies to the list of issues that the Committee was to adopt </w:t>
      </w:r>
      <w:r w:rsidR="00E86AAD">
        <w:t>at</w:t>
      </w:r>
      <w:r w:rsidRPr="000C4341">
        <w:t xml:space="preserve"> the current session.</w:t>
      </w:r>
      <w:r w:rsidR="00557C2C">
        <w:t xml:space="preserve"> </w:t>
      </w:r>
      <w:r w:rsidRPr="000C4341">
        <w:t xml:space="preserve">Concerning the lifting of the military blockade of the Gaza Strip recommended by the Committee, the State party did not refer to any </w:t>
      </w:r>
      <w:r w:rsidR="00D13A6D">
        <w:t>steps</w:t>
      </w:r>
      <w:r w:rsidRPr="000C4341">
        <w:t xml:space="preserve"> taken in that regard; the Committee</w:t>
      </w:r>
      <w:r w:rsidR="00DA0D3C">
        <w:t>’</w:t>
      </w:r>
      <w:r w:rsidRPr="000C4341">
        <w:t>s recommendation had therefore not been implemented.</w:t>
      </w:r>
      <w:r w:rsidR="00557C2C">
        <w:t xml:space="preserve"> </w:t>
      </w:r>
      <w:r w:rsidRPr="000C4341">
        <w:t xml:space="preserve">Regarding the flotilla incident, the State party </w:t>
      </w:r>
      <w:r w:rsidR="00D13A6D">
        <w:t xml:space="preserve">indicated </w:t>
      </w:r>
      <w:r w:rsidRPr="000C4341">
        <w:t xml:space="preserve">that the Turkel Commission appointed to examine the conformity </w:t>
      </w:r>
      <w:r w:rsidR="00D13A6D">
        <w:t xml:space="preserve">with </w:t>
      </w:r>
      <w:r w:rsidRPr="000C4341">
        <w:t xml:space="preserve">international </w:t>
      </w:r>
      <w:r w:rsidR="00D13A6D">
        <w:t xml:space="preserve">norms </w:t>
      </w:r>
      <w:r w:rsidRPr="000C4341">
        <w:t xml:space="preserve">and </w:t>
      </w:r>
      <w:r w:rsidR="00F369C6">
        <w:t xml:space="preserve">requirements </w:t>
      </w:r>
      <w:r w:rsidRPr="000C4341">
        <w:t xml:space="preserve">of the </w:t>
      </w:r>
      <w:r w:rsidR="00F369C6">
        <w:t xml:space="preserve">actions taken in connection with </w:t>
      </w:r>
      <w:r w:rsidRPr="000C4341">
        <w:t xml:space="preserve">the incident had concluded that the naval blockade and the </w:t>
      </w:r>
      <w:r w:rsidR="00F369C6">
        <w:t xml:space="preserve">actions </w:t>
      </w:r>
      <w:r w:rsidRPr="000C4341">
        <w:t xml:space="preserve">in question, aside from the few for which no conclusion was </w:t>
      </w:r>
      <w:r w:rsidR="00F369C6">
        <w:t>reached</w:t>
      </w:r>
      <w:r w:rsidRPr="000C4341">
        <w:t xml:space="preserve">, </w:t>
      </w:r>
      <w:r w:rsidR="00F369C6">
        <w:t xml:space="preserve">were in </w:t>
      </w:r>
      <w:r w:rsidRPr="000C4341">
        <w:t>conform</w:t>
      </w:r>
      <w:r w:rsidR="00F369C6">
        <w:t xml:space="preserve">ity with </w:t>
      </w:r>
      <w:r w:rsidRPr="000C4341">
        <w:t>international law.</w:t>
      </w:r>
      <w:r w:rsidR="00557C2C">
        <w:t xml:space="preserve"> </w:t>
      </w:r>
      <w:r w:rsidRPr="000C4341">
        <w:t xml:space="preserve">NGOs had objected that the Turkel Commission was neither independent nor impartial, and that the State party had refused to cooperate with the international community to allow an impartial and independent </w:t>
      </w:r>
      <w:r w:rsidR="009450A1">
        <w:t xml:space="preserve">investigation </w:t>
      </w:r>
      <w:r w:rsidRPr="000C4341">
        <w:t>into the incident.</w:t>
      </w:r>
      <w:r w:rsidR="00557C2C">
        <w:t xml:space="preserve"> </w:t>
      </w:r>
      <w:r w:rsidRPr="000C4341">
        <w:t>According to the Committee</w:t>
      </w:r>
      <w:r w:rsidR="00DA0D3C">
        <w:t>’</w:t>
      </w:r>
      <w:r w:rsidRPr="000C4341">
        <w:t xml:space="preserve">s </w:t>
      </w:r>
      <w:r w:rsidR="009450A1">
        <w:t>evaluation</w:t>
      </w:r>
      <w:r w:rsidRPr="000C4341">
        <w:t>,</w:t>
      </w:r>
      <w:r w:rsidR="009450A1">
        <w:t xml:space="preserve"> whi</w:t>
      </w:r>
      <w:r w:rsidR="00A039DA">
        <w:t>le</w:t>
      </w:r>
      <w:r w:rsidR="009450A1">
        <w:t xml:space="preserve"> </w:t>
      </w:r>
      <w:r w:rsidRPr="000C4341">
        <w:t xml:space="preserve">the Turkel Commission was indeed a </w:t>
      </w:r>
      <w:r w:rsidR="009450A1">
        <w:t xml:space="preserve">panel </w:t>
      </w:r>
      <w:r w:rsidRPr="000C4341">
        <w:t>of inquiry</w:t>
      </w:r>
      <w:r w:rsidR="009450A1">
        <w:t>,</w:t>
      </w:r>
      <w:r w:rsidRPr="000C4341">
        <w:t xml:space="preserve"> it did not fulfil the Committee</w:t>
      </w:r>
      <w:r w:rsidR="00DA0D3C">
        <w:t>’</w:t>
      </w:r>
      <w:r w:rsidRPr="000C4341">
        <w:t>s recommendation that the State party should invite an independent</w:t>
      </w:r>
      <w:r w:rsidR="009450A1">
        <w:t>,</w:t>
      </w:r>
      <w:r w:rsidRPr="000C4341">
        <w:t xml:space="preserve"> </w:t>
      </w:r>
      <w:r w:rsidR="009450A1" w:rsidRPr="000C4341">
        <w:t xml:space="preserve">international </w:t>
      </w:r>
      <w:r w:rsidR="009450A1">
        <w:t xml:space="preserve">fact-finding </w:t>
      </w:r>
      <w:r w:rsidRPr="000C4341">
        <w:t>mission</w:t>
      </w:r>
      <w:r w:rsidR="00C45E81">
        <w:t>;</w:t>
      </w:r>
      <w:r w:rsidRPr="000C4341">
        <w:t xml:space="preserve"> additional information should therefore be requested.</w:t>
      </w:r>
    </w:p>
    <w:p w:rsidR="005B4E69" w:rsidRPr="000C4341" w:rsidRDefault="005B4E69" w:rsidP="005B4E69">
      <w:pPr>
        <w:pStyle w:val="SingleTxtG"/>
      </w:pPr>
      <w:r w:rsidRPr="000C4341">
        <w:t>14.</w:t>
      </w:r>
      <w:r w:rsidRPr="000C4341">
        <w:tab/>
        <w:t>In response to the Committee</w:t>
      </w:r>
      <w:r w:rsidR="00DA0D3C">
        <w:t>’</w:t>
      </w:r>
      <w:r w:rsidRPr="000C4341">
        <w:t xml:space="preserve">s recommendation </w:t>
      </w:r>
      <w:r w:rsidR="00581ED2">
        <w:t xml:space="preserve">that the State party should incorporate into </w:t>
      </w:r>
      <w:r w:rsidRPr="000C4341">
        <w:t xml:space="preserve">its legislation </w:t>
      </w:r>
      <w:r w:rsidR="00581ED2">
        <w:t>the crime</w:t>
      </w:r>
      <w:r w:rsidRPr="000C4341">
        <w:t xml:space="preserve"> of torture </w:t>
      </w:r>
      <w:r w:rsidR="00581ED2">
        <w:t xml:space="preserve">as defined in </w:t>
      </w:r>
      <w:r w:rsidRPr="000C4341">
        <w:t xml:space="preserve">article 1 of the Convention against Torture and ensure that the </w:t>
      </w:r>
      <w:r w:rsidR="00581ED2">
        <w:t xml:space="preserve">notion of </w:t>
      </w:r>
      <w:r w:rsidR="00DA0D3C">
        <w:t>“</w:t>
      </w:r>
      <w:r w:rsidRPr="000C4341">
        <w:t>necessity</w:t>
      </w:r>
      <w:r w:rsidR="00DA0D3C">
        <w:t>”</w:t>
      </w:r>
      <w:r w:rsidRPr="000C4341">
        <w:t xml:space="preserve"> could no longer be invoked as a possible justification </w:t>
      </w:r>
      <w:r w:rsidR="00581ED2">
        <w:t>for</w:t>
      </w:r>
      <w:r w:rsidRPr="000C4341">
        <w:t xml:space="preserve"> torture, the State party </w:t>
      </w:r>
      <w:r w:rsidR="00581ED2">
        <w:t xml:space="preserve">affirmed </w:t>
      </w:r>
      <w:r w:rsidRPr="000C4341">
        <w:t xml:space="preserve">that all acts of torture constituted criminal offences and that the </w:t>
      </w:r>
      <w:r w:rsidR="00581ED2">
        <w:t xml:space="preserve">Penal Law </w:t>
      </w:r>
      <w:r w:rsidRPr="000C4341">
        <w:t xml:space="preserve">was in </w:t>
      </w:r>
      <w:r w:rsidR="00581ED2">
        <w:t xml:space="preserve">accordance </w:t>
      </w:r>
      <w:r w:rsidRPr="000C4341">
        <w:t>with international law.</w:t>
      </w:r>
      <w:r w:rsidR="00557C2C">
        <w:t xml:space="preserve"> </w:t>
      </w:r>
      <w:r w:rsidR="00581ED2">
        <w:t>It</w:t>
      </w:r>
      <w:r w:rsidRPr="000C4341">
        <w:t xml:space="preserve"> referred to</w:t>
      </w:r>
      <w:r w:rsidR="000153CB">
        <w:t xml:space="preserve"> a</w:t>
      </w:r>
      <w:r w:rsidRPr="000C4341">
        <w:t xml:space="preserve"> Supreme Court </w:t>
      </w:r>
      <w:r w:rsidR="00581ED2">
        <w:t xml:space="preserve">ruling </w:t>
      </w:r>
      <w:r w:rsidRPr="000C4341">
        <w:t xml:space="preserve">establishing that a </w:t>
      </w:r>
      <w:r w:rsidR="00DA0D3C">
        <w:t>“</w:t>
      </w:r>
      <w:r w:rsidRPr="000C4341">
        <w:t>state of necessity</w:t>
      </w:r>
      <w:r w:rsidR="00DA0D3C">
        <w:t>”</w:t>
      </w:r>
      <w:r w:rsidRPr="000C4341">
        <w:t xml:space="preserve"> could be invoked in the case of imminent attacks but did not constitute a source of authori</w:t>
      </w:r>
      <w:r w:rsidR="00581ED2">
        <w:t>ty</w:t>
      </w:r>
      <w:r w:rsidRPr="000C4341">
        <w:t xml:space="preserve"> </w:t>
      </w:r>
      <w:r w:rsidR="00581ED2">
        <w:t>to utilize physical means</w:t>
      </w:r>
      <w:r w:rsidRPr="000C4341">
        <w:t>.</w:t>
      </w:r>
      <w:r w:rsidR="00557C2C">
        <w:t xml:space="preserve"> </w:t>
      </w:r>
      <w:r w:rsidRPr="000C4341">
        <w:t xml:space="preserve">The State party also claimed that the Israeli Security Agency (ISA) </w:t>
      </w:r>
      <w:r w:rsidR="00581ED2">
        <w:t xml:space="preserve">conducted its interrogations according to </w:t>
      </w:r>
      <w:r w:rsidRPr="000C4341">
        <w:t xml:space="preserve">the </w:t>
      </w:r>
      <w:r w:rsidR="00581ED2">
        <w:t xml:space="preserve">relevant guidelines </w:t>
      </w:r>
      <w:r w:rsidRPr="000C4341">
        <w:t xml:space="preserve">and regulations, and that all complaints of ill-treatment were examined by the Inspector for </w:t>
      </w:r>
      <w:r w:rsidR="00581ED2">
        <w:t>C</w:t>
      </w:r>
      <w:r w:rsidRPr="000C4341">
        <w:t xml:space="preserve">omplaints against ISA </w:t>
      </w:r>
      <w:r w:rsidR="00581ED2">
        <w:t>I</w:t>
      </w:r>
      <w:r w:rsidRPr="000C4341">
        <w:t xml:space="preserve">nterrogators, who would </w:t>
      </w:r>
      <w:r w:rsidR="00581ED2">
        <w:t xml:space="preserve">shortly </w:t>
      </w:r>
      <w:r w:rsidRPr="000C4341">
        <w:t>be placed under the authority of the Ministry of Justice.</w:t>
      </w:r>
      <w:r w:rsidR="00557C2C">
        <w:t xml:space="preserve"> </w:t>
      </w:r>
      <w:r w:rsidRPr="000C4341">
        <w:t xml:space="preserve">It </w:t>
      </w:r>
      <w:r w:rsidR="00581ED2">
        <w:t xml:space="preserve">said </w:t>
      </w:r>
      <w:r w:rsidRPr="000C4341">
        <w:t xml:space="preserve">the fact that no complaint examined between 2006 and 2011 had </w:t>
      </w:r>
      <w:r w:rsidR="00581ED2">
        <w:t xml:space="preserve">resulted in criminal charges demonstrated </w:t>
      </w:r>
      <w:r w:rsidRPr="000C4341">
        <w:t>that no act of torture or ill-treatment had been committed.</w:t>
      </w:r>
      <w:r w:rsidR="00557C2C">
        <w:t xml:space="preserve"> </w:t>
      </w:r>
      <w:r w:rsidRPr="000C4341">
        <w:t xml:space="preserve">NGOs </w:t>
      </w:r>
      <w:r w:rsidR="00581ED2">
        <w:t xml:space="preserve">stated </w:t>
      </w:r>
      <w:r w:rsidRPr="000C4341">
        <w:t xml:space="preserve">that no </w:t>
      </w:r>
      <w:r w:rsidR="00581ED2">
        <w:t>action</w:t>
      </w:r>
      <w:r w:rsidRPr="000C4341">
        <w:t xml:space="preserve"> had been taken to adopt </w:t>
      </w:r>
      <w:r w:rsidR="00581ED2" w:rsidRPr="000C4341">
        <w:t xml:space="preserve">appropriate </w:t>
      </w:r>
      <w:r w:rsidRPr="000C4341">
        <w:t xml:space="preserve">legislation </w:t>
      </w:r>
      <w:r w:rsidR="00581ED2">
        <w:t xml:space="preserve">establishing a </w:t>
      </w:r>
      <w:r w:rsidRPr="000C4341">
        <w:t xml:space="preserve">crime of torture or </w:t>
      </w:r>
      <w:r w:rsidR="009F677C">
        <w:t xml:space="preserve">clarifying </w:t>
      </w:r>
      <w:r w:rsidRPr="000C4341">
        <w:t xml:space="preserve">that </w:t>
      </w:r>
      <w:r w:rsidR="009F677C">
        <w:t xml:space="preserve">the </w:t>
      </w:r>
      <w:r w:rsidR="00DA0D3C">
        <w:t>“</w:t>
      </w:r>
      <w:r w:rsidRPr="000C4341">
        <w:t>necessity</w:t>
      </w:r>
      <w:r w:rsidR="009F677C">
        <w:t xml:space="preserve"> defence</w:t>
      </w:r>
      <w:r w:rsidR="00DA0D3C">
        <w:t>”</w:t>
      </w:r>
      <w:r w:rsidRPr="000C4341">
        <w:t xml:space="preserve"> could not </w:t>
      </w:r>
      <w:r w:rsidR="009F677C">
        <w:t xml:space="preserve">apply in </w:t>
      </w:r>
      <w:r w:rsidRPr="000C4341">
        <w:t xml:space="preserve">cases of torture; they also indicated that the Inspector </w:t>
      </w:r>
      <w:r w:rsidR="0092518A">
        <w:t xml:space="preserve">for Complaints </w:t>
      </w:r>
      <w:r w:rsidRPr="000C4341">
        <w:t>had not yet been placed under the authority of the Ministry of Justice.</w:t>
      </w:r>
      <w:r w:rsidR="00557C2C">
        <w:t xml:space="preserve"> </w:t>
      </w:r>
      <w:r w:rsidRPr="000C4341">
        <w:t xml:space="preserve">The measures taken by the State party were therefore considered unsatisfactory. </w:t>
      </w:r>
    </w:p>
    <w:p w:rsidR="005B4E69" w:rsidRPr="000C4341" w:rsidRDefault="005B4E69" w:rsidP="005B4E69">
      <w:pPr>
        <w:pStyle w:val="SingleTxtG"/>
      </w:pPr>
      <w:r w:rsidRPr="000C4341">
        <w:t>15.</w:t>
      </w:r>
      <w:r w:rsidRPr="000C4341">
        <w:tab/>
        <w:t xml:space="preserve">Aside from the establishment in 2009 of a </w:t>
      </w:r>
      <w:smartTag w:uri="urn:schemas-microsoft-com:office:smarttags" w:element="Street">
        <w:smartTag w:uri="urn:schemas-microsoft-com:office:smarttags" w:element="address">
          <w:r w:rsidR="0092518A">
            <w:t>Juvenile M</w:t>
          </w:r>
          <w:r w:rsidRPr="000C4341">
            <w:t xml:space="preserve">ilitary </w:t>
          </w:r>
          <w:r w:rsidR="0092518A">
            <w:t>Court</w:t>
          </w:r>
        </w:smartTag>
      </w:smartTag>
      <w:r w:rsidR="0092518A">
        <w:t xml:space="preserve"> </w:t>
      </w:r>
      <w:r w:rsidRPr="000C4341">
        <w:t xml:space="preserve">in the </w:t>
      </w:r>
      <w:smartTag w:uri="urn:schemas-microsoft-com:office:smarttags" w:element="place">
        <w:r w:rsidRPr="000C4341">
          <w:t>West Bank</w:t>
        </w:r>
      </w:smartTag>
      <w:r w:rsidRPr="000C4341">
        <w:t xml:space="preserve"> under a </w:t>
      </w:r>
      <w:r w:rsidR="0092518A">
        <w:t xml:space="preserve">temporary order, </w:t>
      </w:r>
      <w:r w:rsidRPr="000C4341">
        <w:t xml:space="preserve">no </w:t>
      </w:r>
      <w:r w:rsidR="0092518A">
        <w:t xml:space="preserve">information was provided on </w:t>
      </w:r>
      <w:r w:rsidRPr="000C4341">
        <w:t>other measure</w:t>
      </w:r>
      <w:r w:rsidR="0092518A">
        <w:t>s</w:t>
      </w:r>
      <w:r w:rsidRPr="000C4341">
        <w:t xml:space="preserve"> </w:t>
      </w:r>
      <w:r w:rsidR="0092518A">
        <w:t xml:space="preserve">to </w:t>
      </w:r>
      <w:r w:rsidRPr="000C4341">
        <w:t>ensur</w:t>
      </w:r>
      <w:r w:rsidR="0092518A">
        <w:t>e</w:t>
      </w:r>
      <w:r w:rsidRPr="000C4341">
        <w:t xml:space="preserve"> that minors were not </w:t>
      </w:r>
      <w:r w:rsidR="0092518A">
        <w:t xml:space="preserve">tried </w:t>
      </w:r>
      <w:r w:rsidRPr="000C4341">
        <w:t>as adults</w:t>
      </w:r>
      <w:r w:rsidR="0092518A">
        <w:t>;</w:t>
      </w:r>
      <w:r w:rsidRPr="000C4341">
        <w:t xml:space="preserve"> additional information should therefore be requested.</w:t>
      </w:r>
      <w:r w:rsidR="00557C2C">
        <w:t xml:space="preserve"> </w:t>
      </w:r>
      <w:r w:rsidR="0092518A">
        <w:t xml:space="preserve">According to </w:t>
      </w:r>
      <w:r w:rsidRPr="000C4341">
        <w:t>NGOs</w:t>
      </w:r>
      <w:r w:rsidR="0092518A">
        <w:t>,</w:t>
      </w:r>
      <w:r w:rsidRPr="000C4341">
        <w:t xml:space="preserve"> the existence of th</w:t>
      </w:r>
      <w:r w:rsidR="00E11B2F">
        <w:t xml:space="preserve">at court </w:t>
      </w:r>
      <w:r w:rsidRPr="000C4341">
        <w:t xml:space="preserve">did not guarantee that minors </w:t>
      </w:r>
      <w:r w:rsidR="00E11B2F">
        <w:t xml:space="preserve">were tried </w:t>
      </w:r>
      <w:r w:rsidRPr="000C4341">
        <w:t>separately from adults.</w:t>
      </w:r>
      <w:r w:rsidR="00557C2C">
        <w:t xml:space="preserve"> </w:t>
      </w:r>
      <w:r w:rsidRPr="000C4341">
        <w:t xml:space="preserve">It was therefore proposed </w:t>
      </w:r>
      <w:r w:rsidR="00E11B2F">
        <w:t xml:space="preserve">to ask </w:t>
      </w:r>
      <w:r w:rsidRPr="000C4341">
        <w:t xml:space="preserve">the State party what measures had been taken to ensure that children were not </w:t>
      </w:r>
      <w:r w:rsidR="00854702">
        <w:t xml:space="preserve">tried like </w:t>
      </w:r>
      <w:r w:rsidRPr="000C4341">
        <w:t xml:space="preserve">adults </w:t>
      </w:r>
      <w:r w:rsidR="00854702">
        <w:t xml:space="preserve">in </w:t>
      </w:r>
      <w:r w:rsidRPr="000C4341">
        <w:t xml:space="preserve">the </w:t>
      </w:r>
      <w:r w:rsidR="00854702">
        <w:t>Juvenile M</w:t>
      </w:r>
      <w:r w:rsidRPr="000C4341">
        <w:t xml:space="preserve">ilitary </w:t>
      </w:r>
      <w:r w:rsidR="00854702">
        <w:t>Court</w:t>
      </w:r>
      <w:r w:rsidRPr="000C4341">
        <w:t xml:space="preserve"> and how </w:t>
      </w:r>
      <w:r w:rsidR="00854702">
        <w:t xml:space="preserve">the existence of </w:t>
      </w:r>
      <w:r w:rsidRPr="000C4341">
        <w:t xml:space="preserve">a separate </w:t>
      </w:r>
      <w:r w:rsidR="00854702">
        <w:t>court</w:t>
      </w:r>
      <w:r w:rsidRPr="000C4341">
        <w:t xml:space="preserve"> for </w:t>
      </w:r>
      <w:r w:rsidR="00854702">
        <w:t xml:space="preserve">juveniles </w:t>
      </w:r>
      <w:r w:rsidR="00854702" w:rsidRPr="000C4341">
        <w:t>would be ensured</w:t>
      </w:r>
      <w:r w:rsidRPr="000C4341">
        <w:t xml:space="preserve"> when the </w:t>
      </w:r>
      <w:r w:rsidR="00854702">
        <w:t xml:space="preserve">temporary order </w:t>
      </w:r>
      <w:r w:rsidRPr="000C4341">
        <w:t>expired on 29 September 2012.</w:t>
      </w:r>
      <w:r w:rsidR="00557C2C">
        <w:t xml:space="preserve"> </w:t>
      </w:r>
      <w:r w:rsidR="00854702">
        <w:t xml:space="preserve">While </w:t>
      </w:r>
      <w:r w:rsidRPr="000C4341">
        <w:t xml:space="preserve">NGOs indicated that each year approximately 700 Palestinian children were prosecuted </w:t>
      </w:r>
      <w:r w:rsidR="008D71E9">
        <w:t xml:space="preserve">in </w:t>
      </w:r>
      <w:r w:rsidRPr="000C4341">
        <w:t xml:space="preserve">Israeli military </w:t>
      </w:r>
      <w:r w:rsidR="008D71E9">
        <w:t>courts</w:t>
      </w:r>
      <w:r w:rsidRPr="000C4341">
        <w:t xml:space="preserve"> and that </w:t>
      </w:r>
      <w:r w:rsidR="008D71E9">
        <w:t xml:space="preserve">over </w:t>
      </w:r>
      <w:r w:rsidRPr="000C4341">
        <w:t xml:space="preserve">80 per cent of them </w:t>
      </w:r>
      <w:r w:rsidR="008D71E9">
        <w:t xml:space="preserve">received custodial </w:t>
      </w:r>
      <w:r w:rsidRPr="000C4341">
        <w:t>sentences</w:t>
      </w:r>
      <w:r w:rsidR="008D71E9">
        <w:t>,</w:t>
      </w:r>
      <w:r w:rsidRPr="000C4341">
        <w:t xml:space="preserve"> the State party had provided </w:t>
      </w:r>
      <w:r w:rsidR="008D71E9">
        <w:t xml:space="preserve">no </w:t>
      </w:r>
      <w:r w:rsidRPr="000C4341">
        <w:t xml:space="preserve">information regarding </w:t>
      </w:r>
      <w:r w:rsidR="008D71E9">
        <w:t xml:space="preserve">safeguards </w:t>
      </w:r>
      <w:r w:rsidRPr="000C4341">
        <w:t>to ensure that minors were placed in detention only as a last resort and for the shortest possible time.</w:t>
      </w:r>
      <w:r w:rsidR="00557C2C">
        <w:t xml:space="preserve"> </w:t>
      </w:r>
      <w:r w:rsidRPr="000C4341">
        <w:t>Nothing was said, either, on the audiovisual recording of proce</w:t>
      </w:r>
      <w:r w:rsidR="006B738D">
        <w:t>e</w:t>
      </w:r>
      <w:r w:rsidRPr="000C4341">
        <w:t>d</w:t>
      </w:r>
      <w:r w:rsidR="006B738D">
        <w:t>ings</w:t>
      </w:r>
      <w:r w:rsidRPr="000C4341">
        <w:t xml:space="preserve"> involving children, or on the measures taken to ensure that cases were heard </w:t>
      </w:r>
      <w:r w:rsidR="006B738D">
        <w:t>in accordance with fair trial standards</w:t>
      </w:r>
      <w:r w:rsidRPr="000C4341">
        <w:t>.</w:t>
      </w:r>
      <w:r w:rsidR="00557C2C">
        <w:t xml:space="preserve"> </w:t>
      </w:r>
      <w:r w:rsidRPr="000C4341">
        <w:t xml:space="preserve">Information had been given </w:t>
      </w:r>
      <w:r w:rsidR="006B738D">
        <w:t xml:space="preserve">on </w:t>
      </w:r>
      <w:r w:rsidRPr="000C4341">
        <w:t xml:space="preserve">the </w:t>
      </w:r>
      <w:r w:rsidR="006B738D">
        <w:t xml:space="preserve">existing legal </w:t>
      </w:r>
      <w:r w:rsidRPr="000C4341">
        <w:t xml:space="preserve">provisions </w:t>
      </w:r>
      <w:r w:rsidR="006B738D">
        <w:t xml:space="preserve">regarding the notification of </w:t>
      </w:r>
      <w:r w:rsidRPr="000C4341">
        <w:t>parents of minors placed in detention</w:t>
      </w:r>
      <w:r w:rsidR="006B738D">
        <w:t>,</w:t>
      </w:r>
      <w:r w:rsidRPr="000C4341">
        <w:t xml:space="preserve"> but they were subject to </w:t>
      </w:r>
      <w:r w:rsidR="00E541B0">
        <w:t xml:space="preserve">widely applicable </w:t>
      </w:r>
      <w:r w:rsidRPr="000C4341">
        <w:t xml:space="preserve">exceptions and nothing had been said </w:t>
      </w:r>
      <w:r w:rsidR="00E541B0">
        <w:t xml:space="preserve">about </w:t>
      </w:r>
      <w:r w:rsidRPr="000C4341">
        <w:t>their implementation.</w:t>
      </w:r>
      <w:r w:rsidR="00557C2C">
        <w:t xml:space="preserve"> </w:t>
      </w:r>
      <w:r w:rsidRPr="000C4341">
        <w:t xml:space="preserve">It was therefore proposed that the State party should be asked whether it intended to review its legislation to ensure that </w:t>
      </w:r>
      <w:r w:rsidR="009B3B4D">
        <w:t xml:space="preserve">parents </w:t>
      </w:r>
      <w:r w:rsidRPr="000C4341">
        <w:t xml:space="preserve">or close relatives of the minor were </w:t>
      </w:r>
      <w:r w:rsidR="009B3B4D" w:rsidRPr="000C4341">
        <w:t xml:space="preserve">in all cases </w:t>
      </w:r>
      <w:r w:rsidR="009B3B4D">
        <w:t xml:space="preserve">promptly </w:t>
      </w:r>
      <w:r w:rsidRPr="000C4341">
        <w:t xml:space="preserve">informed of the arrest and that the </w:t>
      </w:r>
      <w:r w:rsidR="009B3B4D">
        <w:t>child was provided with prompt access to</w:t>
      </w:r>
      <w:r w:rsidRPr="000C4341">
        <w:t xml:space="preserve"> free </w:t>
      </w:r>
      <w:r w:rsidR="009B3B4D">
        <w:t xml:space="preserve">and </w:t>
      </w:r>
      <w:r w:rsidRPr="000C4341">
        <w:t xml:space="preserve">independent </w:t>
      </w:r>
      <w:r w:rsidR="009B3B4D">
        <w:t xml:space="preserve">legal </w:t>
      </w:r>
      <w:r w:rsidRPr="000C4341">
        <w:t>assistance of his or her choice.</w:t>
      </w:r>
      <w:r w:rsidR="00557C2C">
        <w:t xml:space="preserve"> </w:t>
      </w:r>
      <w:r w:rsidRPr="000C4341">
        <w:t xml:space="preserve">The State party maintained that all complaints of torture or cruel, inhuman or degrading treatment </w:t>
      </w:r>
      <w:r w:rsidR="009B3B4D">
        <w:t xml:space="preserve">made </w:t>
      </w:r>
      <w:r w:rsidRPr="000C4341">
        <w:t xml:space="preserve">by detainees, whether adults or minors, </w:t>
      </w:r>
      <w:r w:rsidR="009B3B4D">
        <w:t xml:space="preserve">were promptly investigated, </w:t>
      </w:r>
      <w:r w:rsidRPr="000C4341">
        <w:t xml:space="preserve">but no information was given on measures </w:t>
      </w:r>
      <w:r w:rsidR="00DC25E0">
        <w:t xml:space="preserve">aimed at </w:t>
      </w:r>
      <w:r w:rsidRPr="000C4341">
        <w:t>ensur</w:t>
      </w:r>
      <w:r w:rsidR="00DC25E0">
        <w:t>ing</w:t>
      </w:r>
      <w:r w:rsidRPr="000C4341">
        <w:t xml:space="preserve"> </w:t>
      </w:r>
      <w:r w:rsidR="00DC25E0">
        <w:t xml:space="preserve">a prompt investigation </w:t>
      </w:r>
      <w:r w:rsidRPr="000C4341">
        <w:t xml:space="preserve">by an independent body into all reported cases of torture or ill-treatment of </w:t>
      </w:r>
      <w:r w:rsidR="008A585D">
        <w:t xml:space="preserve">detained </w:t>
      </w:r>
      <w:r w:rsidRPr="000C4341">
        <w:t>children.</w:t>
      </w:r>
      <w:r w:rsidR="00557C2C">
        <w:t xml:space="preserve"> </w:t>
      </w:r>
      <w:r w:rsidRPr="000C4341">
        <w:t>The Committee</w:t>
      </w:r>
      <w:r w:rsidR="00DA0D3C">
        <w:t>’</w:t>
      </w:r>
      <w:r w:rsidRPr="000C4341">
        <w:t>s recommendation on the matter had therefore not been implemented.</w:t>
      </w:r>
    </w:p>
    <w:p w:rsidR="005B4E69" w:rsidRPr="000C4341" w:rsidRDefault="005B4E69" w:rsidP="005B4E69">
      <w:pPr>
        <w:pStyle w:val="SingleTxtG"/>
      </w:pPr>
      <w:r w:rsidRPr="000C4341">
        <w:t>16.</w:t>
      </w:r>
      <w:r w:rsidRPr="000C4341">
        <w:tab/>
        <w:t xml:space="preserve">The State party indicated that it had adopted a plan on the status of Bedouin communities and a plan </w:t>
      </w:r>
      <w:r w:rsidR="008A585D">
        <w:t xml:space="preserve">for the </w:t>
      </w:r>
      <w:r w:rsidRPr="000C4341">
        <w:t xml:space="preserve">economic development </w:t>
      </w:r>
      <w:r w:rsidR="008A585D">
        <w:t xml:space="preserve">of the </w:t>
      </w:r>
      <w:r w:rsidRPr="000C4341">
        <w:t xml:space="preserve">Bedouin in </w:t>
      </w:r>
      <w:r w:rsidR="008A585D">
        <w:t xml:space="preserve">the </w:t>
      </w:r>
      <w:smartTag w:uri="urn:schemas-microsoft-com:office:smarttags" w:element="place">
        <w:r w:rsidRPr="000C4341">
          <w:t>Negev</w:t>
        </w:r>
      </w:smartTag>
      <w:r w:rsidRPr="000C4341">
        <w:t>.</w:t>
      </w:r>
      <w:r w:rsidR="00557C2C">
        <w:t xml:space="preserve"> </w:t>
      </w:r>
      <w:r w:rsidRPr="000C4341">
        <w:t xml:space="preserve">Concerning the ongoing problems of access to water in unrecognized Bedouin villages, </w:t>
      </w:r>
      <w:r w:rsidR="00F15A51">
        <w:t xml:space="preserve">the State party </w:t>
      </w:r>
      <w:r w:rsidRPr="000C4341">
        <w:t xml:space="preserve">noted that it was </w:t>
      </w:r>
      <w:r w:rsidR="00275EB7">
        <w:t>practically im</w:t>
      </w:r>
      <w:r w:rsidRPr="000C4341">
        <w:t xml:space="preserve">possible to guarantee water supply to those villages but that measures had been taken to guarantee access to electricity and health-care services for </w:t>
      </w:r>
      <w:r w:rsidR="00275EB7">
        <w:t xml:space="preserve">the </w:t>
      </w:r>
      <w:r w:rsidRPr="000C4341">
        <w:t>Bedouin.</w:t>
      </w:r>
      <w:r w:rsidR="00557C2C">
        <w:t xml:space="preserve"> </w:t>
      </w:r>
      <w:r w:rsidRPr="000C4341">
        <w:t xml:space="preserve">NGOs reported that 30,000 Bedouin </w:t>
      </w:r>
      <w:r w:rsidR="00275EB7">
        <w:t xml:space="preserve">would be </w:t>
      </w:r>
      <w:r w:rsidRPr="000C4341">
        <w:t xml:space="preserve">required to leave their ancestral land under a </w:t>
      </w:r>
      <w:r w:rsidR="00275EB7" w:rsidRPr="000C4341">
        <w:t xml:space="preserve">Government </w:t>
      </w:r>
      <w:r w:rsidRPr="000C4341">
        <w:t xml:space="preserve">plan </w:t>
      </w:r>
      <w:r w:rsidR="00275EB7">
        <w:t xml:space="preserve">from </w:t>
      </w:r>
      <w:r w:rsidRPr="000C4341">
        <w:t xml:space="preserve">May 2011, that the number of </w:t>
      </w:r>
      <w:r w:rsidR="00275EB7">
        <w:t xml:space="preserve">home </w:t>
      </w:r>
      <w:r w:rsidRPr="000C4341">
        <w:t>demolitions had risen considerably and that numerous villages still lacked essential infrastructure, notably schools and health centres.</w:t>
      </w:r>
      <w:r w:rsidR="00557C2C">
        <w:t xml:space="preserve"> </w:t>
      </w:r>
      <w:r w:rsidRPr="000C4341">
        <w:t>According to the Committee</w:t>
      </w:r>
      <w:r w:rsidR="00DA0D3C">
        <w:t>’</w:t>
      </w:r>
      <w:r w:rsidRPr="000C4341">
        <w:t xml:space="preserve">s evaluation, the measures taken did not guarantee </w:t>
      </w:r>
      <w:r w:rsidR="00275EB7">
        <w:t xml:space="preserve">the </w:t>
      </w:r>
      <w:r w:rsidRPr="000C4341">
        <w:t xml:space="preserve">Bedouin </w:t>
      </w:r>
      <w:r w:rsidR="00275EB7">
        <w:t>population</w:t>
      </w:r>
      <w:r w:rsidR="00DA0D3C">
        <w:t>’</w:t>
      </w:r>
      <w:r w:rsidR="00275EB7">
        <w:t xml:space="preserve">s </w:t>
      </w:r>
      <w:r w:rsidRPr="000C4341">
        <w:t xml:space="preserve">access to health </w:t>
      </w:r>
      <w:r w:rsidR="00787775">
        <w:t>structures</w:t>
      </w:r>
      <w:r w:rsidRPr="000C4341">
        <w:t>, education, water or electricity.</w:t>
      </w:r>
      <w:r w:rsidR="00557C2C">
        <w:t xml:space="preserve"> </w:t>
      </w:r>
      <w:r w:rsidRPr="000C4341">
        <w:t>The Committee</w:t>
      </w:r>
      <w:r w:rsidR="00DA0D3C">
        <w:t>’</w:t>
      </w:r>
      <w:r w:rsidRPr="000C4341">
        <w:t>s recommendation had therefore not been implemented.</w:t>
      </w:r>
    </w:p>
    <w:p w:rsidR="005B4E69" w:rsidRPr="000C4341" w:rsidRDefault="005B4E69" w:rsidP="005B4E69">
      <w:pPr>
        <w:pStyle w:val="SingleTxtG"/>
      </w:pPr>
      <w:r w:rsidRPr="000C4341">
        <w:t>17.</w:t>
      </w:r>
      <w:r w:rsidRPr="000C4341">
        <w:tab/>
        <w:t>The Special Rapporteur proposed that a letter should be sent to the State party reflecting the Committee</w:t>
      </w:r>
      <w:r w:rsidR="00DA0D3C">
        <w:t>’</w:t>
      </w:r>
      <w:r w:rsidRPr="000C4341">
        <w:t xml:space="preserve">s </w:t>
      </w:r>
      <w:r w:rsidR="00787775">
        <w:t xml:space="preserve">analysis </w:t>
      </w:r>
      <w:r w:rsidRPr="000C4341">
        <w:t xml:space="preserve">and asking for the information requested to be </w:t>
      </w:r>
      <w:r w:rsidR="00787775">
        <w:t xml:space="preserve">provided as </w:t>
      </w:r>
      <w:r w:rsidRPr="000C4341">
        <w:t xml:space="preserve">an </w:t>
      </w:r>
      <w:r w:rsidR="00787775">
        <w:t xml:space="preserve">addendum </w:t>
      </w:r>
      <w:r w:rsidRPr="000C4341">
        <w:t xml:space="preserve">to the next periodic report, and that it should also be referred to in the list of issues prior to </w:t>
      </w:r>
      <w:r w:rsidR="00787775">
        <w:t>reporting</w:t>
      </w:r>
      <w:r w:rsidRPr="000C4341">
        <w:t>.</w:t>
      </w:r>
    </w:p>
    <w:p w:rsidR="005B4E69" w:rsidRPr="000C4341" w:rsidRDefault="005B4E69" w:rsidP="005B4E69">
      <w:pPr>
        <w:pStyle w:val="SingleTxtG"/>
      </w:pPr>
      <w:r w:rsidRPr="000C4341">
        <w:t>18.</w:t>
      </w:r>
      <w:r w:rsidRPr="000C4341">
        <w:tab/>
      </w:r>
      <w:r w:rsidRPr="001F633D">
        <w:rPr>
          <w:b/>
        </w:rPr>
        <w:t>Mr. Flinterman</w:t>
      </w:r>
      <w:r w:rsidRPr="000C4341">
        <w:t xml:space="preserve"> said that he supported the proposal to send a letter to the State party reflecting the Committee</w:t>
      </w:r>
      <w:r w:rsidR="00DA0D3C">
        <w:t>’</w:t>
      </w:r>
      <w:r w:rsidRPr="000C4341">
        <w:t xml:space="preserve">s analysis but that, in his opinion, the information requested should </w:t>
      </w:r>
      <w:r w:rsidR="001F633D">
        <w:t xml:space="preserve">appear in </w:t>
      </w:r>
      <w:r w:rsidRPr="000C4341">
        <w:t xml:space="preserve">the body of the next periodic report, rather than in an </w:t>
      </w:r>
      <w:r w:rsidR="001F633D">
        <w:t>addendum</w:t>
      </w:r>
      <w:r w:rsidRPr="000C4341">
        <w:t>.</w:t>
      </w:r>
      <w:r w:rsidR="00557C2C">
        <w:t xml:space="preserve"> </w:t>
      </w:r>
      <w:r w:rsidR="001F633D">
        <w:t>R</w:t>
      </w:r>
      <w:r w:rsidRPr="000C4341">
        <w:t xml:space="preserve">equests for additional information decided during </w:t>
      </w:r>
      <w:r w:rsidR="001F633D">
        <w:t xml:space="preserve">the </w:t>
      </w:r>
      <w:r w:rsidRPr="000C4341">
        <w:t xml:space="preserve">follow-up </w:t>
      </w:r>
      <w:r w:rsidR="001F633D">
        <w:t xml:space="preserve">procedure </w:t>
      </w:r>
      <w:r w:rsidRPr="000C4341">
        <w:t>should therefore be included in the lists of issues.</w:t>
      </w:r>
    </w:p>
    <w:p w:rsidR="005B4E69" w:rsidRPr="000C4341" w:rsidRDefault="005B4E69" w:rsidP="005B4E69">
      <w:pPr>
        <w:pStyle w:val="SingleTxtG"/>
      </w:pPr>
      <w:r w:rsidRPr="000C4341">
        <w:t>19.</w:t>
      </w:r>
      <w:r w:rsidRPr="000C4341">
        <w:tab/>
      </w:r>
      <w:r w:rsidRPr="001F633D">
        <w:rPr>
          <w:b/>
        </w:rPr>
        <w:t>Mr. O</w:t>
      </w:r>
      <w:r w:rsidR="00DA0D3C">
        <w:rPr>
          <w:b/>
        </w:rPr>
        <w:t>’</w:t>
      </w:r>
      <w:r w:rsidRPr="001F633D">
        <w:rPr>
          <w:b/>
        </w:rPr>
        <w:t>Flaherty</w:t>
      </w:r>
      <w:r w:rsidRPr="000C4341">
        <w:t xml:space="preserve"> supported Mr. Flinterman</w:t>
      </w:r>
      <w:r w:rsidR="00DA0D3C">
        <w:t>’</w:t>
      </w:r>
      <w:r w:rsidRPr="000C4341">
        <w:t>s proposal.</w:t>
      </w:r>
    </w:p>
    <w:p w:rsidR="005B4E69" w:rsidRPr="000C4341" w:rsidRDefault="005B4E69" w:rsidP="005B4E69">
      <w:pPr>
        <w:pStyle w:val="SingleTxtG"/>
      </w:pPr>
      <w:r w:rsidRPr="000C4341">
        <w:t>20.</w:t>
      </w:r>
      <w:r w:rsidRPr="000C4341">
        <w:tab/>
      </w:r>
      <w:r w:rsidRPr="001F633D">
        <w:rPr>
          <w:b/>
        </w:rPr>
        <w:t xml:space="preserve">Mr. Neuman </w:t>
      </w:r>
      <w:r w:rsidRPr="000C4341">
        <w:t xml:space="preserve">proposed </w:t>
      </w:r>
      <w:r w:rsidR="001F633D">
        <w:t xml:space="preserve">clarifying </w:t>
      </w:r>
      <w:r w:rsidRPr="000C4341">
        <w:t>the meaning of the first sentence of the Committee</w:t>
      </w:r>
      <w:r w:rsidR="00DA0D3C">
        <w:t>’</w:t>
      </w:r>
      <w:r w:rsidRPr="000C4341">
        <w:t>s evaluation, the current</w:t>
      </w:r>
      <w:r w:rsidR="001F633D">
        <w:t xml:space="preserve"> </w:t>
      </w:r>
      <w:r w:rsidR="001F633D" w:rsidRPr="000C4341">
        <w:t>wording of which</w:t>
      </w:r>
      <w:r w:rsidRPr="000C4341">
        <w:t xml:space="preserve"> gave the impression that, apart from </w:t>
      </w:r>
      <w:r w:rsidR="001F633D">
        <w:t xml:space="preserve">the </w:t>
      </w:r>
      <w:r w:rsidRPr="000C4341">
        <w:t>inclu</w:t>
      </w:r>
      <w:r w:rsidR="001F633D">
        <w:t>sion of</w:t>
      </w:r>
      <w:r w:rsidRPr="000C4341">
        <w:t xml:space="preserve"> Bedouin members in the Goldberg Committee, the information provided did not </w:t>
      </w:r>
      <w:r w:rsidR="001F633D">
        <w:t xml:space="preserve">reflect </w:t>
      </w:r>
      <w:r w:rsidRPr="000C4341">
        <w:t>any measure</w:t>
      </w:r>
      <w:r w:rsidR="001F633D">
        <w:t>s</w:t>
      </w:r>
      <w:r w:rsidRPr="000C4341">
        <w:t xml:space="preserve"> taking </w:t>
      </w:r>
      <w:r w:rsidR="001F633D">
        <w:t xml:space="preserve">account of the </w:t>
      </w:r>
      <w:r w:rsidRPr="000C4341">
        <w:t>Bedouin population, which did not appear to faithfully reflect the Committee</w:t>
      </w:r>
      <w:r w:rsidR="00DA0D3C">
        <w:t>’</w:t>
      </w:r>
      <w:r w:rsidRPr="000C4341">
        <w:t>s conclusions.</w:t>
      </w:r>
    </w:p>
    <w:p w:rsidR="005B4E69" w:rsidRPr="000C4341" w:rsidRDefault="005B4E69" w:rsidP="005B4E69">
      <w:pPr>
        <w:pStyle w:val="SingleTxtG"/>
      </w:pPr>
      <w:r w:rsidRPr="000C4341">
        <w:t>21.</w:t>
      </w:r>
      <w:r w:rsidRPr="000C4341">
        <w:tab/>
      </w:r>
      <w:r w:rsidRPr="001F633D">
        <w:rPr>
          <w:b/>
        </w:rPr>
        <w:t>Mr. O</w:t>
      </w:r>
      <w:r w:rsidR="00DA0D3C">
        <w:rPr>
          <w:b/>
        </w:rPr>
        <w:t>’</w:t>
      </w:r>
      <w:r w:rsidRPr="001F633D">
        <w:rPr>
          <w:b/>
        </w:rPr>
        <w:t>Flaherty</w:t>
      </w:r>
      <w:r w:rsidRPr="000C4341">
        <w:t xml:space="preserve"> proposed that the last part of the sentence should be replaced by </w:t>
      </w:r>
      <w:r w:rsidR="00DA0D3C">
        <w:t>“</w:t>
      </w:r>
      <w:r w:rsidRPr="000C4341">
        <w:t>or to otherwise take into account their interests</w:t>
      </w:r>
      <w:r w:rsidR="00DA0D3C">
        <w:t>”</w:t>
      </w:r>
      <w:r w:rsidRPr="000C4341">
        <w:t>.</w:t>
      </w:r>
    </w:p>
    <w:p w:rsidR="005B4E69" w:rsidRPr="000C4341" w:rsidRDefault="005B4E69" w:rsidP="005B4E69">
      <w:pPr>
        <w:pStyle w:val="SingleTxtG"/>
      </w:pPr>
      <w:r w:rsidRPr="000C4341">
        <w:t>22.</w:t>
      </w:r>
      <w:r w:rsidRPr="000C4341">
        <w:tab/>
      </w:r>
      <w:r w:rsidRPr="001F633D">
        <w:rPr>
          <w:b/>
        </w:rPr>
        <w:t xml:space="preserve">The Chairperson </w:t>
      </w:r>
      <w:r w:rsidRPr="000C4341">
        <w:t>said that the progress report</w:t>
      </w:r>
      <w:r w:rsidR="001F633D">
        <w:t xml:space="preserve"> would be amended accordingly</w:t>
      </w:r>
      <w:r w:rsidRPr="000C4341">
        <w:t>.</w:t>
      </w:r>
      <w:r w:rsidR="00557C2C">
        <w:t xml:space="preserve"> </w:t>
      </w:r>
      <w:r w:rsidRPr="000C4341">
        <w:t>She invited the Special Rapporteur for follow-up on Views to present his report, which had been distributed to Committee members in English only.</w:t>
      </w:r>
    </w:p>
    <w:p w:rsidR="005B4E69" w:rsidRPr="001F633D" w:rsidRDefault="000153CB" w:rsidP="000153CB">
      <w:pPr>
        <w:pStyle w:val="H4G"/>
      </w:pPr>
      <w:r>
        <w:tab/>
      </w:r>
      <w:r>
        <w:tab/>
      </w:r>
      <w:r w:rsidR="005B4E69" w:rsidRPr="001F633D">
        <w:t xml:space="preserve">Draft follow-up progress report on individual communications adopted by the Human Rights Committee at its 105th session </w:t>
      </w:r>
    </w:p>
    <w:p w:rsidR="00A235E3" w:rsidRDefault="00A235E3" w:rsidP="00A235E3">
      <w:pPr>
        <w:pStyle w:val="SingleTxtG"/>
      </w:pPr>
      <w:r>
        <w:t>23.</w:t>
      </w:r>
      <w:r>
        <w:tab/>
      </w:r>
      <w:r w:rsidRPr="00C83C54">
        <w:rPr>
          <w:b/>
        </w:rPr>
        <w:t>Mr. Thelin</w:t>
      </w:r>
      <w:r>
        <w:t xml:space="preserve"> (Special Rapporteur for follow-up on Views) said that in the case of </w:t>
      </w:r>
      <w:r w:rsidRPr="00C83C54">
        <w:rPr>
          <w:i/>
        </w:rPr>
        <w:t>Nystrom et al. v. Australia</w:t>
      </w:r>
      <w:r>
        <w:t xml:space="preserve"> (communication No. 1557/2007), the State party had indicated that further consideration of the matter would be neither fruitful nor constructive. The State party</w:t>
      </w:r>
      <w:r w:rsidR="00DA0D3C">
        <w:t>’</w:t>
      </w:r>
      <w:r>
        <w:t>s latest observations had been sent to the authors in July 2012 for comments. He proposed that the Committee should await receipt of further information before deciding on the matter. He also proposed that the Committee should consider the dialogue ongoing, while noting that, to date, its recommendation had not been satisfactorily implemented.</w:t>
      </w:r>
    </w:p>
    <w:p w:rsidR="00A235E3" w:rsidRDefault="00A235E3" w:rsidP="00A235E3">
      <w:pPr>
        <w:pStyle w:val="SingleTxtG"/>
      </w:pPr>
      <w:r>
        <w:t>24.</w:t>
      </w:r>
      <w:r>
        <w:tab/>
        <w:t xml:space="preserve">In the case of </w:t>
      </w:r>
      <w:r w:rsidRPr="00C83C54">
        <w:rPr>
          <w:i/>
        </w:rPr>
        <w:t>Avadanov v. Azerbaijan</w:t>
      </w:r>
      <w:r>
        <w:t xml:space="preserve"> (communication No. 1633/2007), the State party had been invited to communicate its response by 20 March 2012 at the latest. On 13 February 2012, the author had reaffirmed that the State party had still not implemented the Committee</w:t>
      </w:r>
      <w:r w:rsidR="00DA0D3C">
        <w:t>’</w:t>
      </w:r>
      <w:r>
        <w:t>s Views. It was proposed that the Committee should await further information before making its final decision. It was also proposed that the Committee should consider the dialogue ongoing, while noting that, to date, its recommendation had not been satisfactorily implemented.</w:t>
      </w:r>
    </w:p>
    <w:p w:rsidR="00A235E3" w:rsidRDefault="00A235E3" w:rsidP="00A235E3">
      <w:pPr>
        <w:pStyle w:val="SingleTxtG"/>
      </w:pPr>
      <w:r>
        <w:t>25.</w:t>
      </w:r>
      <w:r>
        <w:tab/>
      </w:r>
      <w:r w:rsidRPr="00C156A8">
        <w:t xml:space="preserve">Regarding </w:t>
      </w:r>
      <w:r w:rsidRPr="00755E6C">
        <w:rPr>
          <w:i/>
        </w:rPr>
        <w:t>Pillai et al v. Canada</w:t>
      </w:r>
      <w:r>
        <w:t xml:space="preserve"> (communication No. 1763/2008), he proposed that the Committee should decide to close consideration of the case and to conclude that the recommendation had been satisfactorily implemented.</w:t>
      </w:r>
    </w:p>
    <w:p w:rsidR="00A235E3" w:rsidRDefault="00A235E3" w:rsidP="00A235E3">
      <w:pPr>
        <w:pStyle w:val="SingleTxtG"/>
      </w:pPr>
      <w:r>
        <w:t>26.</w:t>
      </w:r>
      <w:r>
        <w:tab/>
        <w:t xml:space="preserve">The Committee had two cases before it involving </w:t>
      </w:r>
      <w:smartTag w:uri="urn:schemas-microsoft-com:office:smarttags" w:element="place">
        <w:smartTag w:uri="urn:schemas-microsoft-com:office:smarttags" w:element="country-region">
          <w:r>
            <w:t>Cameroon</w:t>
          </w:r>
        </w:smartTag>
      </w:smartTag>
      <w:r>
        <w:t xml:space="preserve">: </w:t>
      </w:r>
      <w:r w:rsidRPr="0087320A">
        <w:rPr>
          <w:i/>
        </w:rPr>
        <w:t>Afuson</w:t>
      </w:r>
      <w:r>
        <w:t xml:space="preserve"> (communication No. 1353/2005) and </w:t>
      </w:r>
      <w:r w:rsidRPr="0087320A">
        <w:rPr>
          <w:i/>
        </w:rPr>
        <w:t>Akwanga</w:t>
      </w:r>
      <w:r>
        <w:t xml:space="preserve"> (communication No. 1813/2008). In both cases he proposed that the Committee should await receipt of further information before making a final decision. He also proposed that the Committee should consider the dialogue ongoing while noting that, to date, its recommendation had not been satisfactorily implemented.</w:t>
      </w:r>
    </w:p>
    <w:p w:rsidR="00A235E3" w:rsidRDefault="00A235E3" w:rsidP="00A235E3">
      <w:pPr>
        <w:pStyle w:val="SingleTxtG"/>
      </w:pPr>
      <w:r>
        <w:t>27.</w:t>
      </w:r>
      <w:r>
        <w:tab/>
        <w:t xml:space="preserve">In the case of </w:t>
      </w:r>
      <w:r w:rsidRPr="00166214">
        <w:rPr>
          <w:i/>
        </w:rPr>
        <w:t>Bonilla Lerma v. Colombia</w:t>
      </w:r>
      <w:r>
        <w:t xml:space="preserve"> (communication No. 1611/2007), he proposed that the Committee should await receipt of further information before making a final decision. He also proposed that the Committee should consider the dialogue ongoing, while noting that, to date, its recommendation had not been satisfactorily implemented.</w:t>
      </w:r>
    </w:p>
    <w:p w:rsidR="00A235E3" w:rsidRDefault="00A235E3" w:rsidP="00A235E3">
      <w:pPr>
        <w:pStyle w:val="SingleTxtG"/>
      </w:pPr>
      <w:r>
        <w:t>28.</w:t>
      </w:r>
      <w:r>
        <w:tab/>
        <w:t xml:space="preserve">The Committee had three cases before it concerning </w:t>
      </w:r>
      <w:smartTag w:uri="urn:schemas-microsoft-com:office:smarttags" w:element="place">
        <w:smartTag w:uri="urn:schemas-microsoft-com:office:smarttags" w:element="country-region">
          <w:r>
            <w:t>France</w:t>
          </w:r>
        </w:smartTag>
      </w:smartTag>
      <w:r>
        <w:t xml:space="preserve">: </w:t>
      </w:r>
      <w:r w:rsidRPr="0087320A">
        <w:rPr>
          <w:i/>
        </w:rPr>
        <w:t>J.O.</w:t>
      </w:r>
      <w:r>
        <w:t xml:space="preserve"> (communication No. 1620/2007), </w:t>
      </w:r>
      <w:r w:rsidRPr="0087320A">
        <w:rPr>
          <w:i/>
        </w:rPr>
        <w:t>Cochet</w:t>
      </w:r>
      <w:r>
        <w:t xml:space="preserve"> (communication No. 1760/2008) and </w:t>
      </w:r>
      <w:r w:rsidRPr="0087320A">
        <w:rPr>
          <w:i/>
        </w:rPr>
        <w:t>Ranjit Singh</w:t>
      </w:r>
      <w:r>
        <w:t xml:space="preserve"> (communication No. 1876/2009). All three cases had been discussed in July 2012 at a meeting between himself and a member of the Permanent Mission of France to the United Nations Office at </w:t>
      </w:r>
      <w:smartTag w:uri="urn:schemas-microsoft-com:office:smarttags" w:element="place">
        <w:smartTag w:uri="urn:schemas-microsoft-com:office:smarttags" w:element="City">
          <w:r>
            <w:t>Geneva</w:t>
          </w:r>
        </w:smartTag>
      </w:smartTag>
      <w:r>
        <w:t>, who had expressed the State party</w:t>
      </w:r>
      <w:r w:rsidR="00DA0D3C">
        <w:t>’</w:t>
      </w:r>
      <w:r>
        <w:t>s willingness to continue the dialogue on the first two cases in order to find a satisfactory solution. He therefore proposed that in all three cases the Committee should await further information before making a final decision and should consider the dialogue ongoing, while noting that, to date, its recommendation had not been satisfactorily implemented.</w:t>
      </w:r>
    </w:p>
    <w:p w:rsidR="00A235E3" w:rsidRDefault="00A235E3" w:rsidP="00A235E3">
      <w:pPr>
        <w:pStyle w:val="SingleTxtG"/>
      </w:pPr>
      <w:r>
        <w:t>29.</w:t>
      </w:r>
      <w:r>
        <w:tab/>
        <w:t xml:space="preserve">Regarding </w:t>
      </w:r>
      <w:smartTag w:uri="urn:schemas-microsoft-com:office:smarttags" w:element="place">
        <w:smartTag w:uri="urn:schemas-microsoft-com:office:smarttags" w:element="country-region">
          <w:r>
            <w:t>Kyrgyzstan</w:t>
          </w:r>
        </w:smartTag>
      </w:smartTag>
      <w:r>
        <w:t xml:space="preserve">, the Committee was considering the cases of </w:t>
      </w:r>
      <w:r w:rsidRPr="0087320A">
        <w:rPr>
          <w:i/>
        </w:rPr>
        <w:t>Kaldarov</w:t>
      </w:r>
      <w:r>
        <w:t xml:space="preserve"> (communication No. 1338/2005), </w:t>
      </w:r>
      <w:r w:rsidRPr="0087320A">
        <w:rPr>
          <w:i/>
        </w:rPr>
        <w:t>Kulov</w:t>
      </w:r>
      <w:r>
        <w:t xml:space="preserve"> (communication No. 1369/2005), </w:t>
      </w:r>
      <w:r w:rsidRPr="0087320A">
        <w:rPr>
          <w:i/>
        </w:rPr>
        <w:t xml:space="preserve">Torobekov </w:t>
      </w:r>
      <w:r>
        <w:t xml:space="preserve">(communication No. 1547/2007) and </w:t>
      </w:r>
      <w:r w:rsidRPr="0087320A">
        <w:rPr>
          <w:i/>
        </w:rPr>
        <w:t>Moidunov and</w:t>
      </w:r>
      <w:r>
        <w:t xml:space="preserve"> </w:t>
      </w:r>
      <w:r w:rsidRPr="0087320A">
        <w:rPr>
          <w:i/>
        </w:rPr>
        <w:t>Zhumabaeva</w:t>
      </w:r>
      <w:r>
        <w:t xml:space="preserve"> (communication No. 1756/2008). He had discussed the four cases during a meeting with a member of the Permanent Mission of Kyrgyzstan to the United Nations Office at </w:t>
      </w:r>
      <w:smartTag w:uri="urn:schemas-microsoft-com:office:smarttags" w:element="place">
        <w:smartTag w:uri="urn:schemas-microsoft-com:office:smarttags" w:element="City">
          <w:r>
            <w:t>Geneva</w:t>
          </w:r>
        </w:smartTag>
      </w:smartTag>
      <w:r>
        <w:t xml:space="preserve"> on 19 July 2012. He had noted that, although certain measures had been taken, no compensation had been awarded to victims and he had invited the State party to re-examine the matter. In the four cases, he proposed that the Committee should await receipt of further information before making a final decision. He also proposed that the Committee should consider the dialogue ongoing, while noting that, to date, its recommendation had not been fully satisfactorily implemented.</w:t>
      </w:r>
    </w:p>
    <w:p w:rsidR="00A235E3" w:rsidRDefault="00A235E3" w:rsidP="00A235E3">
      <w:pPr>
        <w:pStyle w:val="SingleTxtG"/>
      </w:pPr>
      <w:r>
        <w:t>30.</w:t>
      </w:r>
      <w:r>
        <w:tab/>
        <w:t xml:space="preserve">In the case of </w:t>
      </w:r>
      <w:r w:rsidRPr="00BF1F9D">
        <w:rPr>
          <w:i/>
        </w:rPr>
        <w:t>Raihmans v. Latvia</w:t>
      </w:r>
      <w:r>
        <w:t xml:space="preserve"> (communication No. 1621/2007), the State party had repeated its arguments and affirmed that the legislative amendments requested by the Committee to avoid the recurrence of similar violations were not necessary since, according to the State party, its legislation was in conformity with its commitments. The author</w:t>
      </w:r>
      <w:r w:rsidR="00DA0D3C">
        <w:t>’</w:t>
      </w:r>
      <w:r>
        <w:t xml:space="preserve">s counsel, dissatisfied with that reply, had also reiterated his arguments and reported that he had referred the matter to the </w:t>
      </w:r>
      <w:smartTag w:uri="urn:schemas-microsoft-com:office:smarttags" w:element="Street">
        <w:smartTag w:uri="urn:schemas-microsoft-com:office:smarttags" w:element="address">
          <w:r>
            <w:t>Constitutional Court</w:t>
          </w:r>
        </w:smartTag>
      </w:smartTag>
      <w:r>
        <w:t xml:space="preserve"> to obtain reparation. It was proposed that the Committee should await a response from the State party before making a decision and should consider the dialogue ongoing, while noting that, to date, its recommendation had not been satisfactorily implemented.</w:t>
      </w:r>
    </w:p>
    <w:p w:rsidR="00A235E3" w:rsidRDefault="00A235E3" w:rsidP="00A235E3">
      <w:pPr>
        <w:pStyle w:val="SingleTxtG"/>
      </w:pPr>
      <w:r>
        <w:t>31.</w:t>
      </w:r>
      <w:r>
        <w:tab/>
        <w:t xml:space="preserve">In the case of </w:t>
      </w:r>
      <w:r w:rsidRPr="003B7EA2">
        <w:rPr>
          <w:i/>
        </w:rPr>
        <w:t xml:space="preserve">X.H.L. v. the </w:t>
      </w:r>
      <w:smartTag w:uri="urn:schemas-microsoft-com:office:smarttags" w:element="place">
        <w:smartTag w:uri="urn:schemas-microsoft-com:office:smarttags" w:element="country-region">
          <w:r w:rsidRPr="003B7EA2">
            <w:rPr>
              <w:i/>
            </w:rPr>
            <w:t>Netherlands</w:t>
          </w:r>
        </w:smartTag>
      </w:smartTag>
      <w:r>
        <w:t xml:space="preserve"> (communication No. 1564/2007), the State party</w:t>
      </w:r>
      <w:r w:rsidR="00DA0D3C">
        <w:t>’</w:t>
      </w:r>
      <w:r>
        <w:t>s reply reiterated the same arguments; it also noted that the author was now an adult. Counsel also maintained his position. It was proposed that the Committee should await a response from the State party, to which counsel</w:t>
      </w:r>
      <w:r w:rsidR="00DA0D3C">
        <w:t>’</w:t>
      </w:r>
      <w:r>
        <w:t>s comments had been forwarded, before making a decision, while noting that, to date, its recommendation had not been satisfactorily implemented.</w:t>
      </w:r>
    </w:p>
    <w:p w:rsidR="00A235E3" w:rsidRDefault="00A235E3" w:rsidP="00A235E3">
      <w:pPr>
        <w:pStyle w:val="SingleTxtG"/>
      </w:pPr>
      <w:r>
        <w:t>32.</w:t>
      </w:r>
      <w:r>
        <w:tab/>
        <w:t xml:space="preserve">In the case of </w:t>
      </w:r>
      <w:r w:rsidRPr="00E12ED1">
        <w:rPr>
          <w:i/>
        </w:rPr>
        <w:t>Sobhraj v. Nepal</w:t>
      </w:r>
      <w:r>
        <w:t xml:space="preserve"> (communication No. 1870/2009), the State party had submitted further comments in March 2012, defending its legislation and the implementation of that legislation. The matter had been discussed with representatives of the State party during a meeting in November 2011. The author had given details of the type of compensation he expected. It was proposed that the Committee should await a response from the State party before making a decision and should consider the dialogue ongoing, while noting that, to date, its recommendation had not been satisfactorily implemented.</w:t>
      </w:r>
    </w:p>
    <w:p w:rsidR="00A235E3" w:rsidRDefault="00A235E3" w:rsidP="00A235E3">
      <w:pPr>
        <w:pStyle w:val="SingleTxtG"/>
      </w:pPr>
      <w:r>
        <w:t>33.</w:t>
      </w:r>
      <w:r>
        <w:tab/>
        <w:t xml:space="preserve">The Committee was examining three cases involving </w:t>
      </w:r>
      <w:smartTag w:uri="urn:schemas-microsoft-com:office:smarttags" w:element="place">
        <w:smartTag w:uri="urn:schemas-microsoft-com:office:smarttags" w:element="country-region">
          <w:r>
            <w:t>Peru</w:t>
          </w:r>
        </w:smartTag>
      </w:smartTag>
      <w:r>
        <w:t xml:space="preserve">. In the </w:t>
      </w:r>
      <w:r w:rsidRPr="0021188E">
        <w:rPr>
          <w:i/>
        </w:rPr>
        <w:t>Muñoz Hermosa</w:t>
      </w:r>
      <w:r>
        <w:t xml:space="preserve"> case (communication No. 203/1986), the State party had replied in June 2011 that it had requested information from the Ministry of Internal Affairs and the national police, and a reminder had been sent to the State party to submit the updated information by July 2012 at the latest.</w:t>
      </w:r>
    </w:p>
    <w:p w:rsidR="00A235E3" w:rsidRDefault="00A235E3" w:rsidP="00A235E3">
      <w:pPr>
        <w:pStyle w:val="SingleTxtG"/>
      </w:pPr>
      <w:r>
        <w:t>34.</w:t>
      </w:r>
      <w:r>
        <w:tab/>
        <w:t xml:space="preserve">In the case of </w:t>
      </w:r>
      <w:r w:rsidRPr="00520DF1">
        <w:rPr>
          <w:i/>
        </w:rPr>
        <w:t>Celis Laureano</w:t>
      </w:r>
      <w:r>
        <w:t xml:space="preserve"> (communication No. 540/1993), the Committee had sent a reminder to the State party in July 2012 requesting additional information. In the case of </w:t>
      </w:r>
      <w:r w:rsidRPr="00520DF1">
        <w:rPr>
          <w:i/>
        </w:rPr>
        <w:t>Gutiérrez Vivanco</w:t>
      </w:r>
      <w:r>
        <w:t xml:space="preserve"> (communication No. 678/1996), it was the author who had not responded to the State party</w:t>
      </w:r>
      <w:r w:rsidR="00DA0D3C">
        <w:t>’</w:t>
      </w:r>
      <w:r>
        <w:t xml:space="preserve">s comments and a reminder had been sent to him in July 2012. In all three cases, it was proposed that the Committee should await receipt of the information requested and should consider the dialogue ongoing, while noting that, to date, its recommendation had not been satisfactorily implemented. The Committee had two cases before it involving the </w:t>
      </w:r>
      <w:smartTag w:uri="urn:schemas-microsoft-com:office:smarttags" w:element="place">
        <w:smartTag w:uri="urn:schemas-microsoft-com:office:smarttags" w:element="country-region">
          <w:r>
            <w:t>Philippines</w:t>
          </w:r>
        </w:smartTag>
      </w:smartTag>
      <w:r>
        <w:t xml:space="preserve">. In the </w:t>
      </w:r>
      <w:r w:rsidRPr="00520DF1">
        <w:rPr>
          <w:i/>
        </w:rPr>
        <w:t>Rous</w:t>
      </w:r>
      <w:r w:rsidRPr="0044725C">
        <w:rPr>
          <w:i/>
        </w:rPr>
        <w:t>e</w:t>
      </w:r>
      <w:r>
        <w:t xml:space="preserve"> case (communication No. 1089/2002), the State party had indicated in May 2012 that it had examined the request for pardon but that the request had been denied for lack of merit. Those comments had been forwarded to the author. In the </w:t>
      </w:r>
      <w:r w:rsidRPr="00520DF1">
        <w:rPr>
          <w:i/>
        </w:rPr>
        <w:t>Larrañaga</w:t>
      </w:r>
      <w:r>
        <w:t xml:space="preserve"> case (communication No. 1421/2005), the State party had submitted additional observations in May 2012, in which it had reiterated the same arguments. The matter was currently complicated by the fact that the provisions of the bilateral agreement between </w:t>
      </w:r>
      <w:smartTag w:uri="urn:schemas-microsoft-com:office:smarttags" w:element="country-region">
        <w:r>
          <w:t>Spain</w:t>
        </w:r>
      </w:smartTag>
      <w:r>
        <w:t xml:space="preserve"> and the </w:t>
      </w:r>
      <w:smartTag w:uri="urn:schemas-microsoft-com:office:smarttags" w:element="country-region">
        <w:r>
          <w:t>Philippines</w:t>
        </w:r>
      </w:smartTag>
      <w:r>
        <w:t xml:space="preserve"> on the transfer of persons were now applicable to the author, who was currently in </w:t>
      </w:r>
      <w:smartTag w:uri="urn:schemas-microsoft-com:office:smarttags" w:element="place">
        <w:smartTag w:uri="urn:schemas-microsoft-com:office:smarttags" w:element="country-region">
          <w:r>
            <w:t>Spain</w:t>
          </w:r>
        </w:smartTag>
      </w:smartTag>
      <w:r>
        <w:t>. The State party observed that the bilateral agreement limited its ability to act. The latest comments from the author</w:t>
      </w:r>
      <w:r w:rsidR="00DA0D3C">
        <w:t>’</w:t>
      </w:r>
      <w:r>
        <w:t>s counsel had been sent to the State party in June 2012. In both cases, it was proposed that the Committee should await a response from the State party and should consider the dialogue ongoing, while noting that, to date, its recommendation had not been satisfactorily implemented.</w:t>
      </w:r>
    </w:p>
    <w:p w:rsidR="00A235E3" w:rsidRDefault="00A235E3" w:rsidP="00A235E3">
      <w:pPr>
        <w:pStyle w:val="SingleTxtG"/>
      </w:pPr>
      <w:r>
        <w:t>35.</w:t>
      </w:r>
      <w:r>
        <w:tab/>
        <w:t xml:space="preserve">In the case of </w:t>
      </w:r>
      <w:r w:rsidRPr="000D0C08">
        <w:rPr>
          <w:i/>
        </w:rPr>
        <w:t>Correia de Matos v. Portugal</w:t>
      </w:r>
      <w:r>
        <w:t xml:space="preserve"> (communication No. 1123/2002), in April 2012 the State party had reaffirmed that it did not intend to implement the Views, basing itself on a decision of the European Court of Human Rights. In May 2012, the author had also reaffirmed his position on the matter. It was proposed that the dialogue should be considered ongoing for the time being, but that if the situation was not resolved, the Committee should envisage discontinuing consideration of the case at its next session, probably concluding that the recommendation had been unsatisfactorily implemented.</w:t>
      </w:r>
    </w:p>
    <w:p w:rsidR="00A235E3" w:rsidRDefault="00A235E3" w:rsidP="00A235E3">
      <w:pPr>
        <w:pStyle w:val="SingleTxtG"/>
      </w:pPr>
      <w:r>
        <w:t>36.</w:t>
      </w:r>
      <w:r>
        <w:tab/>
        <w:t xml:space="preserve">In the case of </w:t>
      </w:r>
      <w:r w:rsidRPr="004429A1">
        <w:rPr>
          <w:i/>
        </w:rPr>
        <w:t>Zheikov v. Russian Federation</w:t>
      </w:r>
      <w:r>
        <w:t xml:space="preserve"> (communication No. 889/1999), the Committee had received a reply from the author, who claimed that high-level officials were responsible for the violations committed, and had forwarded it to the State party in March 2012. Since no response had yet been received, the Committee should send a reminder and make a decision at a later date.</w:t>
      </w:r>
    </w:p>
    <w:p w:rsidR="00A235E3" w:rsidRDefault="00A235E3" w:rsidP="00A235E3">
      <w:pPr>
        <w:pStyle w:val="SingleTxtG"/>
      </w:pPr>
      <w:r>
        <w:t>37.</w:t>
      </w:r>
      <w:r>
        <w:tab/>
        <w:t xml:space="preserve">The Committee had four cases before it involving </w:t>
      </w:r>
      <w:smartTag w:uri="urn:schemas-microsoft-com:office:smarttags" w:element="place">
        <w:smartTag w:uri="urn:schemas-microsoft-com:office:smarttags" w:element="country-region">
          <w:r>
            <w:t>Spain</w:t>
          </w:r>
        </w:smartTag>
      </w:smartTag>
      <w:r>
        <w:t xml:space="preserve"> that would be the focus of a forthcoming meeting between himself and representatives of the State party. In the </w:t>
      </w:r>
      <w:r w:rsidRPr="004429A1">
        <w:rPr>
          <w:i/>
        </w:rPr>
        <w:t>Michael and Brian Hill</w:t>
      </w:r>
      <w:r>
        <w:t xml:space="preserve"> case (communication No. 526/1993), the author</w:t>
      </w:r>
      <w:r w:rsidR="00DA0D3C">
        <w:t>’</w:t>
      </w:r>
      <w:r>
        <w:t xml:space="preserve">s silence prevented the Committee from making progress, but it was proposed that the Committee should consider the dialogue ongoing. He made the same proposal for the </w:t>
      </w:r>
      <w:r w:rsidRPr="004429A1">
        <w:rPr>
          <w:i/>
        </w:rPr>
        <w:t>Alba Cabriada</w:t>
      </w:r>
      <w:r>
        <w:t xml:space="preserve"> case (communication No. 1101/2002), in which a reminder had been sent to the author in July 2012 to request his response to the latest comments by the State party. In the </w:t>
      </w:r>
      <w:r w:rsidRPr="004429A1">
        <w:rPr>
          <w:i/>
        </w:rPr>
        <w:t>Gayoso Martínez</w:t>
      </w:r>
      <w:r>
        <w:t xml:space="preserve"> case (communication No. 1363/2005), the author had stated in April 2012 that he wished to submit a new communication to the Committee because he had not been satisfied with the Committee</w:t>
      </w:r>
      <w:r w:rsidR="00DA0D3C">
        <w:t>’</w:t>
      </w:r>
      <w:r>
        <w:t xml:space="preserve">s first decision. It was proposed that the Committee should remind the author that article 2 of the Covenant was not of a self-standing nature. In the </w:t>
      </w:r>
      <w:r w:rsidRPr="004429A1">
        <w:rPr>
          <w:i/>
        </w:rPr>
        <w:t>Carpintero Uclés</w:t>
      </w:r>
      <w:r>
        <w:t xml:space="preserve"> case (communication No. 1364/2005), in October 2011 the State party had indicated that it had taken measures through its judicial authorities and the Office of the Prosecutor to try to come to a new decision, and that legislative measures had also been taken to draft bills that would be in conformity with article 14, paragraph 5, of the Covenant. He looked forward to hearing what progress had been made and proposed that the Committee should consider the dialogue ongoing.</w:t>
      </w:r>
    </w:p>
    <w:p w:rsidR="00A235E3" w:rsidRDefault="00A235E3" w:rsidP="00A235E3">
      <w:pPr>
        <w:pStyle w:val="SingleTxtG"/>
      </w:pPr>
      <w:r>
        <w:t>38.</w:t>
      </w:r>
      <w:r>
        <w:tab/>
        <w:t xml:space="preserve">In the case of </w:t>
      </w:r>
      <w:r w:rsidRPr="004429A1">
        <w:rPr>
          <w:i/>
        </w:rPr>
        <w:t>Butovenko v. Ukraine</w:t>
      </w:r>
      <w:r>
        <w:t xml:space="preserve"> (communication No. 1412/2005), the State party had not submitted any reply. He proposed that a meeting with a representative of the State party should be arranged at the current session, and that in the meantime the Committee should decide that the dialogue was ongoing, while noting that, to date, its recommendation had not been satisfactorily implemented.</w:t>
      </w:r>
    </w:p>
    <w:p w:rsidR="00A235E3" w:rsidRDefault="00A235E3" w:rsidP="00A235E3">
      <w:pPr>
        <w:pStyle w:val="SingleTxtG"/>
      </w:pPr>
      <w:r>
        <w:t>39.</w:t>
      </w:r>
      <w:r>
        <w:tab/>
        <w:t xml:space="preserve">Lastly, in the case of </w:t>
      </w:r>
      <w:r w:rsidRPr="004429A1">
        <w:rPr>
          <w:i/>
        </w:rPr>
        <w:t>Peirano Basso v. Uruguay</w:t>
      </w:r>
      <w:r>
        <w:t xml:space="preserve"> (communication No. 1887/2009), a reminder had been sent in July 2012 to the author, who had not commented on the latest reply from the State party describing the measures it had adopted. He proposed that the Committee should await the author</w:t>
      </w:r>
      <w:r w:rsidR="00DA0D3C">
        <w:t>’</w:t>
      </w:r>
      <w:r>
        <w:t>s response and decide what action to take at the next session.</w:t>
      </w:r>
    </w:p>
    <w:p w:rsidR="00A235E3" w:rsidRDefault="00A235E3" w:rsidP="00A235E3">
      <w:pPr>
        <w:pStyle w:val="SingleTxtG"/>
      </w:pPr>
      <w:r>
        <w:t>40.</w:t>
      </w:r>
      <w:r>
        <w:tab/>
      </w:r>
      <w:r w:rsidRPr="004429A1">
        <w:rPr>
          <w:b/>
        </w:rPr>
        <w:t xml:space="preserve">Mr. Flinterman </w:t>
      </w:r>
      <w:r>
        <w:t xml:space="preserve">said he understood that the Committee could not discontinue examination before it had received additional information, but was surprised that in the </w:t>
      </w:r>
      <w:r w:rsidRPr="004429A1">
        <w:rPr>
          <w:i/>
        </w:rPr>
        <w:t>Nystrom</w:t>
      </w:r>
      <w:r>
        <w:t xml:space="preserve"> case (</w:t>
      </w:r>
      <w:smartTag w:uri="urn:schemas-microsoft-com:office:smarttags" w:element="place">
        <w:smartTag w:uri="urn:schemas-microsoft-com:office:smarttags" w:element="country-region">
          <w:r>
            <w:t>Australia</w:t>
          </w:r>
        </w:smartTag>
      </w:smartTag>
      <w:r>
        <w:t xml:space="preserve">) the Rapporteur considered the dialogue ongoing when the State party deemed it neither fruitful nor constructive to pursue the matter. He proposed the deletion of the word </w:t>
      </w:r>
      <w:r w:rsidR="00DA0D3C">
        <w:t>“</w:t>
      </w:r>
      <w:r>
        <w:t>satisfactorily</w:t>
      </w:r>
      <w:r w:rsidR="00DA0D3C">
        <w:t>”</w:t>
      </w:r>
      <w:r>
        <w:t xml:space="preserve"> in the final line, since the State party had not implemented the Committee</w:t>
      </w:r>
      <w:r w:rsidR="00DA0D3C">
        <w:t>’</w:t>
      </w:r>
      <w:r>
        <w:t>s recommendation in any respect.</w:t>
      </w:r>
    </w:p>
    <w:p w:rsidR="00A235E3" w:rsidRDefault="00A235E3" w:rsidP="00A235E3">
      <w:pPr>
        <w:pStyle w:val="SingleTxtG"/>
      </w:pPr>
      <w:r>
        <w:t>41.</w:t>
      </w:r>
      <w:r>
        <w:tab/>
      </w:r>
      <w:r w:rsidRPr="004429A1">
        <w:rPr>
          <w:b/>
        </w:rPr>
        <w:t xml:space="preserve">Mr. Thelin </w:t>
      </w:r>
      <w:r>
        <w:t>(Special Rapporteur for follow-up on Views) said that he understood Mr. Flinterman</w:t>
      </w:r>
      <w:r w:rsidR="00DA0D3C">
        <w:t>’</w:t>
      </w:r>
      <w:r>
        <w:t>s point but that the wording corresponded to established practice and should be kept unchanged.</w:t>
      </w:r>
    </w:p>
    <w:p w:rsidR="00A235E3" w:rsidRDefault="00A235E3" w:rsidP="00A235E3">
      <w:pPr>
        <w:pStyle w:val="SingleTxtG"/>
      </w:pPr>
      <w:r>
        <w:t>42.</w:t>
      </w:r>
      <w:r>
        <w:tab/>
      </w:r>
      <w:r w:rsidRPr="004429A1">
        <w:rPr>
          <w:b/>
        </w:rPr>
        <w:t>Mr. O</w:t>
      </w:r>
      <w:r w:rsidR="00DA0D3C">
        <w:rPr>
          <w:b/>
        </w:rPr>
        <w:t>’</w:t>
      </w:r>
      <w:r w:rsidRPr="004429A1">
        <w:rPr>
          <w:b/>
        </w:rPr>
        <w:t>Flaherty</w:t>
      </w:r>
      <w:r>
        <w:t xml:space="preserve"> observed that </w:t>
      </w:r>
      <w:smartTag w:uri="urn:schemas-microsoft-com:office:smarttags" w:element="place">
        <w:smartTag w:uri="urn:schemas-microsoft-com:office:smarttags" w:element="country-region">
          <w:r>
            <w:t>Australia</w:t>
          </w:r>
        </w:smartTag>
      </w:smartTag>
      <w:r>
        <w:t xml:space="preserve"> was in the habit of responding that further consideration of a case would be neither fruitful nor constructive. Ways of urging the State party to abandon that position and of pursuing a dialogue with </w:t>
      </w:r>
      <w:smartTag w:uri="urn:schemas-microsoft-com:office:smarttags" w:element="place">
        <w:smartTag w:uri="urn:schemas-microsoft-com:office:smarttags" w:element="country-region">
          <w:r>
            <w:t>Australia</w:t>
          </w:r>
        </w:smartTag>
      </w:smartTag>
      <w:r>
        <w:t xml:space="preserve"> on the subject of communications from individuals should be studied together with the Rapporteur.</w:t>
      </w:r>
    </w:p>
    <w:p w:rsidR="00A235E3" w:rsidRDefault="00A235E3" w:rsidP="00A235E3">
      <w:pPr>
        <w:pStyle w:val="SingleTxtG"/>
      </w:pPr>
      <w:r>
        <w:t>43.</w:t>
      </w:r>
      <w:r>
        <w:tab/>
      </w:r>
      <w:r w:rsidRPr="00D539B3">
        <w:rPr>
          <w:b/>
        </w:rPr>
        <w:t>Mr. Flinterman</w:t>
      </w:r>
      <w:r>
        <w:t xml:space="preserve"> noted that, in the third case involving </w:t>
      </w:r>
      <w:smartTag w:uri="urn:schemas-microsoft-com:office:smarttags" w:element="place">
        <w:smartTag w:uri="urn:schemas-microsoft-com:office:smarttags" w:element="country-region">
          <w:r>
            <w:t>France</w:t>
          </w:r>
        </w:smartTag>
      </w:smartTag>
      <w:r>
        <w:t>, the Rapporteur had not noted the willingness of the State party to pursue the dialogue in order to seek a satisfactory solution, although he had indicated that for the other two cases; he asked whether that was an omission or a reflection of the situation.</w:t>
      </w:r>
    </w:p>
    <w:p w:rsidR="00A235E3" w:rsidRDefault="00A235E3" w:rsidP="00A235E3">
      <w:pPr>
        <w:pStyle w:val="SingleTxtG"/>
      </w:pPr>
      <w:r>
        <w:t>44.</w:t>
      </w:r>
      <w:r>
        <w:tab/>
      </w:r>
      <w:r w:rsidRPr="00D539B3">
        <w:rPr>
          <w:b/>
        </w:rPr>
        <w:t>Mr. Thelin</w:t>
      </w:r>
      <w:r>
        <w:t xml:space="preserve"> (Special Rapporteur for follow-up on Views) said the difference in the cases was that, when he had met the representative of </w:t>
      </w:r>
      <w:smartTag w:uri="urn:schemas-microsoft-com:office:smarttags" w:element="place">
        <w:smartTag w:uri="urn:schemas-microsoft-com:office:smarttags" w:element="country-region">
          <w:r>
            <w:t>France</w:t>
          </w:r>
        </w:smartTag>
      </w:smartTag>
      <w:r>
        <w:t>, they had both been unaware of the contents of the written reply from the State party, which had been received only on 23 July. Given the State party</w:t>
      </w:r>
      <w:r w:rsidR="00DA0D3C">
        <w:t>’</w:t>
      </w:r>
      <w:r>
        <w:t>s surprise at the Committee</w:t>
      </w:r>
      <w:r w:rsidR="00DA0D3C">
        <w:t>’</w:t>
      </w:r>
      <w:r>
        <w:t xml:space="preserve">s conclusion, he had thought that the position of </w:t>
      </w:r>
      <w:smartTag w:uri="urn:schemas-microsoft-com:office:smarttags" w:element="place">
        <w:smartTag w:uri="urn:schemas-microsoft-com:office:smarttags" w:element="country-region">
          <w:r>
            <w:t>France</w:t>
          </w:r>
        </w:smartTag>
      </w:smartTag>
      <w:r>
        <w:t xml:space="preserve"> was likely to be firmer in that case, which remained to be seen.</w:t>
      </w:r>
    </w:p>
    <w:p w:rsidR="00A235E3" w:rsidRDefault="00A235E3" w:rsidP="00A235E3">
      <w:pPr>
        <w:pStyle w:val="SingleTxtG"/>
      </w:pPr>
      <w:r>
        <w:t>45.</w:t>
      </w:r>
      <w:r>
        <w:tab/>
      </w:r>
      <w:r w:rsidRPr="00D539B3">
        <w:rPr>
          <w:b/>
        </w:rPr>
        <w:t>Mr. Iwasawa</w:t>
      </w:r>
      <w:r>
        <w:t xml:space="preserve"> said that, for each of the four cases involving Kyrgyzstan, it had been stated that the Special Rapporteur had taken note of the measures adopted so far by the State party to give effect to the Committee</w:t>
      </w:r>
      <w:r w:rsidR="00DA0D3C">
        <w:t>’</w:t>
      </w:r>
      <w:r>
        <w:t xml:space="preserve">s recommendations, without providing details of those measures, which it would be useful to have. </w:t>
      </w:r>
    </w:p>
    <w:p w:rsidR="00A235E3" w:rsidRDefault="00A235E3" w:rsidP="00A235E3">
      <w:pPr>
        <w:pStyle w:val="SingleTxtG"/>
      </w:pPr>
      <w:r>
        <w:t>46.</w:t>
      </w:r>
      <w:r>
        <w:tab/>
      </w:r>
      <w:r w:rsidRPr="00D539B3">
        <w:rPr>
          <w:b/>
        </w:rPr>
        <w:t>Mr. Thelin</w:t>
      </w:r>
      <w:r>
        <w:t xml:space="preserve"> (Special Rapporteur for follow-up on Views) replied that it could be added that </w:t>
      </w:r>
      <w:smartTag w:uri="urn:schemas-microsoft-com:office:smarttags" w:element="place">
        <w:smartTag w:uri="urn:schemas-microsoft-com:office:smarttags" w:element="country-region">
          <w:r>
            <w:t>Kyrgyzstan</w:t>
          </w:r>
        </w:smartTag>
      </w:smartTag>
      <w:r>
        <w:t xml:space="preserve"> had amended its Constitution with the aim of fully implementing the Committee</w:t>
      </w:r>
      <w:r w:rsidR="00DA0D3C">
        <w:t>’</w:t>
      </w:r>
      <w:r>
        <w:t xml:space="preserve">s recommendations and that it was currently developing an internal governmental mechanism for that purpose. In the </w:t>
      </w:r>
      <w:r w:rsidRPr="003C4EF7">
        <w:rPr>
          <w:i/>
        </w:rPr>
        <w:t>Moidunov and Zhumabaeva</w:t>
      </w:r>
      <w:r>
        <w:t xml:space="preserve"> case (communication No. 1756/2008), however, in the responses provided so far the State party had limited itself to recalling its legislative provisions.</w:t>
      </w:r>
    </w:p>
    <w:p w:rsidR="00A235E3" w:rsidRDefault="00A235E3" w:rsidP="00A235E3">
      <w:pPr>
        <w:pStyle w:val="SingleTxtG"/>
      </w:pPr>
      <w:r>
        <w:t>47.</w:t>
      </w:r>
      <w:r>
        <w:tab/>
      </w:r>
      <w:r w:rsidRPr="00D539B3">
        <w:rPr>
          <w:b/>
        </w:rPr>
        <w:t>Mr. Petrov</w:t>
      </w:r>
      <w:r>
        <w:t xml:space="preserve"> (Petitions Unit) said that, in the case of </w:t>
      </w:r>
      <w:r w:rsidRPr="003C4EF7">
        <w:rPr>
          <w:i/>
        </w:rPr>
        <w:t>X. v. Sweden</w:t>
      </w:r>
      <w:r>
        <w:t xml:space="preserve"> (communication No. 1833/2008), it should be noted that the author had been deported the day after the communication had been submitted to the Committee. In the absence of a request for interim measures, the Committee had decided not to call for them from the State party. In May 2012, the State party had claimed that, under the Aliens Act, if an international treaty body concluded that the expulsion of a person to a particular country would put him or her at risk, a residence permit was granted, except in special cases. The author could therefore avail himself of the Committee</w:t>
      </w:r>
      <w:r w:rsidR="00DA0D3C">
        <w:t>’</w:t>
      </w:r>
      <w:r>
        <w:t>s Views to seek a review of his request for a residence permit. Unfortunately, the Migration Board did not know the author</w:t>
      </w:r>
      <w:r w:rsidR="00DA0D3C">
        <w:t>’</w:t>
      </w:r>
      <w:r>
        <w:t xml:space="preserve">s location in </w:t>
      </w:r>
      <w:smartTag w:uri="urn:schemas-microsoft-com:office:smarttags" w:element="place">
        <w:smartTag w:uri="urn:schemas-microsoft-com:office:smarttags" w:element="country-region">
          <w:r>
            <w:t>Afghanistan</w:t>
          </w:r>
        </w:smartTag>
      </w:smartTag>
      <w:r>
        <w:t>. In those circumstances, he suggested that the Committee should decide to discontinue consideration of the case and to conclude that the recommendation had been satisfactorily implemented, given the measures taken to date by the State party.</w:t>
      </w:r>
    </w:p>
    <w:p w:rsidR="00A235E3" w:rsidRDefault="00A235E3" w:rsidP="00A235E3">
      <w:pPr>
        <w:pStyle w:val="SingleTxtG"/>
      </w:pPr>
      <w:r>
        <w:t>48.</w:t>
      </w:r>
      <w:r>
        <w:tab/>
      </w:r>
      <w:r w:rsidRPr="00D539B3">
        <w:rPr>
          <w:b/>
        </w:rPr>
        <w:t>Mr. Neuman</w:t>
      </w:r>
      <w:r>
        <w:t xml:space="preserve"> asked whether, in the case concerned, it was certain that every effort had been made to find the author and inform him of the significance of the decision taken. A decision to close the case risked discouraging the State party from searching for the author and allowing him to benefit from its decision. Perhaps it would be better to keep the file open for a while longer in the hope of finding the author.</w:t>
      </w:r>
    </w:p>
    <w:p w:rsidR="00A235E3" w:rsidRDefault="00A235E3" w:rsidP="00A235E3">
      <w:pPr>
        <w:pStyle w:val="SingleTxtG"/>
      </w:pPr>
      <w:r>
        <w:t>49.</w:t>
      </w:r>
      <w:r>
        <w:tab/>
      </w:r>
      <w:r w:rsidRPr="00D539B3">
        <w:rPr>
          <w:b/>
        </w:rPr>
        <w:t>Mr. Petrov</w:t>
      </w:r>
      <w:r>
        <w:t xml:space="preserve"> (Petitions Unit) said it could be imagined that in such a case it would be very difficult, if not impossible, for the Swedish authorities to contact the Afghan authorities to try and locate the author. Furthermore, the Committee had no way of verifying the efforts made by the State party to trace the author and was obliged to accept the statements provided to it by the State.</w:t>
      </w:r>
    </w:p>
    <w:p w:rsidR="00A235E3" w:rsidRDefault="00A235E3" w:rsidP="00A235E3">
      <w:pPr>
        <w:pStyle w:val="SingleTxtG"/>
      </w:pPr>
      <w:r>
        <w:t>50.</w:t>
      </w:r>
      <w:r>
        <w:tab/>
      </w:r>
      <w:r w:rsidRPr="00D539B3">
        <w:rPr>
          <w:b/>
        </w:rPr>
        <w:t>The Chairperson</w:t>
      </w:r>
      <w:r>
        <w:t xml:space="preserve"> announced that the Committee had completed its work on follow-up.</w:t>
      </w:r>
    </w:p>
    <w:p w:rsidR="00442A83" w:rsidRPr="00A235E3" w:rsidRDefault="00A235E3" w:rsidP="00A235E3">
      <w:pPr>
        <w:pStyle w:val="SingleTxtG"/>
        <w:rPr>
          <w:i/>
        </w:rPr>
      </w:pPr>
      <w:r w:rsidRPr="00A235E3">
        <w:rPr>
          <w:i/>
        </w:rPr>
        <w:t>The meeting rose at 1 p.m.</w:t>
      </w:r>
    </w:p>
    <w:sectPr w:rsidR="00442A83" w:rsidRPr="00A235E3" w:rsidSect="005B4E69">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0D47" w:rsidRDefault="00EA0D47"/>
  </w:endnote>
  <w:endnote w:type="continuationSeparator" w:id="0">
    <w:p w:rsidR="00EA0D47" w:rsidRDefault="00EA0D47"/>
  </w:endnote>
  <w:endnote w:type="continuationNotice" w:id="1">
    <w:p w:rsidR="00EA0D47" w:rsidRDefault="00EA0D4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D47" w:rsidRPr="005B4E69" w:rsidRDefault="00EA0D47" w:rsidP="005B4E69">
    <w:pPr>
      <w:pStyle w:val="Footer"/>
      <w:tabs>
        <w:tab w:val="right" w:pos="9598"/>
      </w:tabs>
    </w:pPr>
    <w:r w:rsidRPr="005B4E69">
      <w:rPr>
        <w:b/>
        <w:sz w:val="18"/>
      </w:rPr>
      <w:fldChar w:fldCharType="begin"/>
    </w:r>
    <w:r w:rsidRPr="005B4E69">
      <w:rPr>
        <w:b/>
        <w:sz w:val="18"/>
      </w:rPr>
      <w:instrText xml:space="preserve"> PAGE  \* MERGEFORMAT </w:instrText>
    </w:r>
    <w:r w:rsidRPr="005B4E69">
      <w:rPr>
        <w:b/>
        <w:sz w:val="18"/>
      </w:rPr>
      <w:fldChar w:fldCharType="separate"/>
    </w:r>
    <w:r>
      <w:rPr>
        <w:b/>
        <w:noProof/>
        <w:sz w:val="18"/>
      </w:rPr>
      <w:t>4</w:t>
    </w:r>
    <w:r w:rsidRPr="005B4E69">
      <w:rPr>
        <w:b/>
        <w:sz w:val="18"/>
      </w:rPr>
      <w:fldChar w:fldCharType="end"/>
    </w:r>
    <w:r>
      <w:rPr>
        <w:sz w:val="18"/>
      </w:rPr>
      <w:tab/>
    </w:r>
    <w:r>
      <w:t>GE.12-44360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D47" w:rsidRPr="005B4E69" w:rsidRDefault="00EA0D47" w:rsidP="005B4E69">
    <w:pPr>
      <w:pStyle w:val="Footer"/>
      <w:tabs>
        <w:tab w:val="right" w:pos="9598"/>
      </w:tabs>
      <w:rPr>
        <w:b/>
        <w:sz w:val="18"/>
      </w:rPr>
    </w:pPr>
    <w:r>
      <w:t>GE.12-44360</w:t>
    </w:r>
    <w:r>
      <w:tab/>
    </w:r>
    <w:r w:rsidRPr="005B4E69">
      <w:rPr>
        <w:b/>
        <w:sz w:val="18"/>
      </w:rPr>
      <w:fldChar w:fldCharType="begin"/>
    </w:r>
    <w:r w:rsidRPr="005B4E69">
      <w:rPr>
        <w:b/>
        <w:sz w:val="18"/>
      </w:rPr>
      <w:instrText xml:space="preserve"> PAGE  \* MERGEFORMAT </w:instrText>
    </w:r>
    <w:r w:rsidRPr="005B4E69">
      <w:rPr>
        <w:b/>
        <w:sz w:val="18"/>
      </w:rPr>
      <w:fldChar w:fldCharType="separate"/>
    </w:r>
    <w:r>
      <w:rPr>
        <w:b/>
        <w:noProof/>
        <w:sz w:val="18"/>
      </w:rPr>
      <w:t>5</w:t>
    </w:r>
    <w:r w:rsidRPr="005B4E6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D47" w:rsidRDefault="00EA0D47" w:rsidP="005B4E69">
    <w:pPr>
      <w:pStyle w:val="FootnoteText"/>
      <w:tabs>
        <w:tab w:val="clear" w:pos="1021"/>
        <w:tab w:val="right" w:pos="2154"/>
      </w:tabs>
      <w:spacing w:after="80"/>
      <w:ind w:left="680" w:firstLine="0"/>
      <w:rPr>
        <w:u w:val="single"/>
      </w:rPr>
    </w:pPr>
    <w:r>
      <w:rPr>
        <w:u w:val="single"/>
      </w:rPr>
      <w:tab/>
    </w:r>
  </w:p>
  <w:p w:rsidR="00EA0D47" w:rsidRDefault="00EA0D47" w:rsidP="005B4E69">
    <w:pPr>
      <w:pStyle w:val="FootnoteText"/>
      <w:tabs>
        <w:tab w:val="clear" w:pos="1021"/>
        <w:tab w:val="right" w:pos="1020"/>
      </w:tabs>
    </w:pPr>
    <w:r>
      <w:tab/>
      <w:t>*</w:t>
    </w:r>
    <w:r>
      <w:tab/>
      <w:t>No summary records were issued for the 2913th and 2914th meetings.</w:t>
    </w:r>
  </w:p>
  <w:p w:rsidR="00EA0D47" w:rsidRDefault="00EA0D47" w:rsidP="005B4E69">
    <w:pPr>
      <w:pStyle w:val="FootnoteText"/>
      <w:pBdr>
        <w:bottom w:val="single" w:sz="4" w:space="1" w:color="auto"/>
      </w:pBdr>
      <w:tabs>
        <w:tab w:val="clear" w:pos="1021"/>
        <w:tab w:val="right" w:pos="1020"/>
      </w:tabs>
      <w:ind w:left="0" w:right="0" w:firstLine="0"/>
    </w:pPr>
  </w:p>
  <w:p w:rsidR="00EA0D47" w:rsidRDefault="00EA0D47" w:rsidP="005B4E69">
    <w:pPr>
      <w:pStyle w:val="FootnoteText"/>
      <w:tabs>
        <w:tab w:val="clear" w:pos="1021"/>
      </w:tabs>
      <w:spacing w:after="120"/>
      <w:ind w:firstLine="0"/>
    </w:pPr>
    <w:r>
      <w:t>This record is subject to correction.</w:t>
    </w:r>
  </w:p>
  <w:p w:rsidR="00EA0D47" w:rsidRDefault="00EA0D47" w:rsidP="005B4E69">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EA0D47" w:rsidRPr="005B4E69" w:rsidRDefault="00EA0D47" w:rsidP="005B4E69">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EA0D47" w:rsidRDefault="00EA0D47">
    <w:pPr>
      <w:pStyle w:val="Footer"/>
    </w:pPr>
    <w:r>
      <w:rPr>
        <w:sz w:val="20"/>
      </w:rPr>
      <w:t>GE.12-44360</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031212    111212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0D47" w:rsidRPr="000B175B" w:rsidRDefault="00EA0D47" w:rsidP="000B175B">
      <w:pPr>
        <w:tabs>
          <w:tab w:val="right" w:pos="2155"/>
        </w:tabs>
        <w:spacing w:after="80"/>
        <w:ind w:left="680"/>
        <w:rPr>
          <w:u w:val="single"/>
        </w:rPr>
      </w:pPr>
      <w:r>
        <w:rPr>
          <w:u w:val="single"/>
        </w:rPr>
        <w:tab/>
      </w:r>
    </w:p>
  </w:footnote>
  <w:footnote w:type="continuationSeparator" w:id="0">
    <w:p w:rsidR="00EA0D47" w:rsidRPr="00FC68B7" w:rsidRDefault="00EA0D47" w:rsidP="00FC68B7">
      <w:pPr>
        <w:tabs>
          <w:tab w:val="left" w:pos="2155"/>
        </w:tabs>
        <w:spacing w:after="80"/>
        <w:ind w:left="680"/>
        <w:rPr>
          <w:u w:val="single"/>
        </w:rPr>
      </w:pPr>
      <w:r>
        <w:rPr>
          <w:u w:val="single"/>
        </w:rPr>
        <w:tab/>
      </w:r>
    </w:p>
  </w:footnote>
  <w:footnote w:type="continuationNotice" w:id="1">
    <w:p w:rsidR="00EA0D47" w:rsidRDefault="00EA0D4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D47" w:rsidRPr="005B4E69" w:rsidRDefault="00EA0D47" w:rsidP="005B4E69">
    <w:pPr>
      <w:pStyle w:val="Header"/>
    </w:pPr>
    <w:r w:rsidRPr="005B4E69">
      <w:t>CCPR/C/SR.2915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D47" w:rsidRPr="005B4E69" w:rsidRDefault="00EA0D47" w:rsidP="005B4E69">
    <w:pPr>
      <w:pStyle w:val="Header"/>
      <w:jc w:val="right"/>
    </w:pPr>
    <w:r w:rsidRPr="005B4E69">
      <w:t>CCPR/C/SR.2915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DB504EC"/>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2"/>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3"/>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A7ACC"/>
    <w:rsid w:val="000153CB"/>
    <w:rsid w:val="000232C5"/>
    <w:rsid w:val="00046360"/>
    <w:rsid w:val="00050F6B"/>
    <w:rsid w:val="00057E97"/>
    <w:rsid w:val="00060C3A"/>
    <w:rsid w:val="000726BE"/>
    <w:rsid w:val="00072C8C"/>
    <w:rsid w:val="000733B5"/>
    <w:rsid w:val="00077B26"/>
    <w:rsid w:val="00081815"/>
    <w:rsid w:val="0008312D"/>
    <w:rsid w:val="000864B4"/>
    <w:rsid w:val="000931C0"/>
    <w:rsid w:val="000A3CAD"/>
    <w:rsid w:val="000B175B"/>
    <w:rsid w:val="000B3A0F"/>
    <w:rsid w:val="000B4EF7"/>
    <w:rsid w:val="000C2C03"/>
    <w:rsid w:val="000C2D2E"/>
    <w:rsid w:val="000E0415"/>
    <w:rsid w:val="001103AA"/>
    <w:rsid w:val="001401A1"/>
    <w:rsid w:val="001522C0"/>
    <w:rsid w:val="00165F3A"/>
    <w:rsid w:val="00183968"/>
    <w:rsid w:val="001A6686"/>
    <w:rsid w:val="001B4B04"/>
    <w:rsid w:val="001C6663"/>
    <w:rsid w:val="001C7895"/>
    <w:rsid w:val="001D0C8C"/>
    <w:rsid w:val="001D26DF"/>
    <w:rsid w:val="001D3A03"/>
    <w:rsid w:val="001D3A4A"/>
    <w:rsid w:val="001F20C3"/>
    <w:rsid w:val="001F633D"/>
    <w:rsid w:val="00202DA8"/>
    <w:rsid w:val="00211E0B"/>
    <w:rsid w:val="0023210C"/>
    <w:rsid w:val="00263781"/>
    <w:rsid w:val="00267F5F"/>
    <w:rsid w:val="00275EB7"/>
    <w:rsid w:val="00286B4D"/>
    <w:rsid w:val="002937F7"/>
    <w:rsid w:val="002B5AC9"/>
    <w:rsid w:val="002F175C"/>
    <w:rsid w:val="00300AA0"/>
    <w:rsid w:val="003229D8"/>
    <w:rsid w:val="00352709"/>
    <w:rsid w:val="00367567"/>
    <w:rsid w:val="00371178"/>
    <w:rsid w:val="003A6810"/>
    <w:rsid w:val="003C2CC4"/>
    <w:rsid w:val="003D4B23"/>
    <w:rsid w:val="003E3969"/>
    <w:rsid w:val="00410C89"/>
    <w:rsid w:val="00426B9B"/>
    <w:rsid w:val="00430E81"/>
    <w:rsid w:val="004325CB"/>
    <w:rsid w:val="00436B33"/>
    <w:rsid w:val="004417DE"/>
    <w:rsid w:val="00442A83"/>
    <w:rsid w:val="0045495B"/>
    <w:rsid w:val="00487488"/>
    <w:rsid w:val="004A7ACC"/>
    <w:rsid w:val="004D7FD9"/>
    <w:rsid w:val="00514469"/>
    <w:rsid w:val="0052136D"/>
    <w:rsid w:val="0052775E"/>
    <w:rsid w:val="005420F2"/>
    <w:rsid w:val="00557C2C"/>
    <w:rsid w:val="005628B6"/>
    <w:rsid w:val="00581ED2"/>
    <w:rsid w:val="005848B3"/>
    <w:rsid w:val="005850D6"/>
    <w:rsid w:val="00597051"/>
    <w:rsid w:val="005A0AA6"/>
    <w:rsid w:val="005B3DB3"/>
    <w:rsid w:val="005B4E69"/>
    <w:rsid w:val="005E7C60"/>
    <w:rsid w:val="005F7717"/>
    <w:rsid w:val="005F7B75"/>
    <w:rsid w:val="006001EE"/>
    <w:rsid w:val="00605042"/>
    <w:rsid w:val="00611FC4"/>
    <w:rsid w:val="006176FB"/>
    <w:rsid w:val="00640B26"/>
    <w:rsid w:val="00652D0A"/>
    <w:rsid w:val="00662BB6"/>
    <w:rsid w:val="00684C21"/>
    <w:rsid w:val="006B21A2"/>
    <w:rsid w:val="006B738D"/>
    <w:rsid w:val="006D37AF"/>
    <w:rsid w:val="006D51D0"/>
    <w:rsid w:val="006E564B"/>
    <w:rsid w:val="006E7191"/>
    <w:rsid w:val="00703577"/>
    <w:rsid w:val="0072632A"/>
    <w:rsid w:val="007327D5"/>
    <w:rsid w:val="007629C8"/>
    <w:rsid w:val="00787775"/>
    <w:rsid w:val="007B6BA5"/>
    <w:rsid w:val="007B7838"/>
    <w:rsid w:val="007C3390"/>
    <w:rsid w:val="007C4F4B"/>
    <w:rsid w:val="007C784F"/>
    <w:rsid w:val="007E0B2D"/>
    <w:rsid w:val="007F6611"/>
    <w:rsid w:val="008242D7"/>
    <w:rsid w:val="00824715"/>
    <w:rsid w:val="008257B1"/>
    <w:rsid w:val="00843767"/>
    <w:rsid w:val="00845B66"/>
    <w:rsid w:val="00854702"/>
    <w:rsid w:val="008648DE"/>
    <w:rsid w:val="008674AC"/>
    <w:rsid w:val="008679D9"/>
    <w:rsid w:val="0087353A"/>
    <w:rsid w:val="008840CD"/>
    <w:rsid w:val="008979B1"/>
    <w:rsid w:val="008A1DB2"/>
    <w:rsid w:val="008A585D"/>
    <w:rsid w:val="008A6B25"/>
    <w:rsid w:val="008A6C4F"/>
    <w:rsid w:val="008B2335"/>
    <w:rsid w:val="008D71E9"/>
    <w:rsid w:val="008E0678"/>
    <w:rsid w:val="00910F40"/>
    <w:rsid w:val="0091168A"/>
    <w:rsid w:val="00912C08"/>
    <w:rsid w:val="009223CA"/>
    <w:rsid w:val="0092518A"/>
    <w:rsid w:val="00940F93"/>
    <w:rsid w:val="009450A1"/>
    <w:rsid w:val="0095347F"/>
    <w:rsid w:val="009760F3"/>
    <w:rsid w:val="009909F5"/>
    <w:rsid w:val="009A0E8D"/>
    <w:rsid w:val="009A4916"/>
    <w:rsid w:val="009B26E7"/>
    <w:rsid w:val="009B3B4D"/>
    <w:rsid w:val="009D45F0"/>
    <w:rsid w:val="009F38BD"/>
    <w:rsid w:val="009F677C"/>
    <w:rsid w:val="00A00A3F"/>
    <w:rsid w:val="00A01489"/>
    <w:rsid w:val="00A039DA"/>
    <w:rsid w:val="00A235E3"/>
    <w:rsid w:val="00A31B6F"/>
    <w:rsid w:val="00A338F1"/>
    <w:rsid w:val="00A56732"/>
    <w:rsid w:val="00A609B0"/>
    <w:rsid w:val="00A64FD8"/>
    <w:rsid w:val="00A72F22"/>
    <w:rsid w:val="00A7360F"/>
    <w:rsid w:val="00A748A6"/>
    <w:rsid w:val="00A769F4"/>
    <w:rsid w:val="00A776B4"/>
    <w:rsid w:val="00A94361"/>
    <w:rsid w:val="00AA293C"/>
    <w:rsid w:val="00AE06F3"/>
    <w:rsid w:val="00B13E9B"/>
    <w:rsid w:val="00B30179"/>
    <w:rsid w:val="00B339A7"/>
    <w:rsid w:val="00B56E4A"/>
    <w:rsid w:val="00B56E9C"/>
    <w:rsid w:val="00B64B1F"/>
    <w:rsid w:val="00B6553F"/>
    <w:rsid w:val="00B66E5E"/>
    <w:rsid w:val="00B77D05"/>
    <w:rsid w:val="00B81206"/>
    <w:rsid w:val="00B81E12"/>
    <w:rsid w:val="00B9067B"/>
    <w:rsid w:val="00BC2C23"/>
    <w:rsid w:val="00BC74E9"/>
    <w:rsid w:val="00BE0C8E"/>
    <w:rsid w:val="00BE4DDF"/>
    <w:rsid w:val="00BE6E9F"/>
    <w:rsid w:val="00BF5011"/>
    <w:rsid w:val="00BF68A8"/>
    <w:rsid w:val="00C11A03"/>
    <w:rsid w:val="00C31678"/>
    <w:rsid w:val="00C45E81"/>
    <w:rsid w:val="00C463DD"/>
    <w:rsid w:val="00C464E9"/>
    <w:rsid w:val="00C4724C"/>
    <w:rsid w:val="00C629A0"/>
    <w:rsid w:val="00C745C3"/>
    <w:rsid w:val="00C91E22"/>
    <w:rsid w:val="00CE4A8F"/>
    <w:rsid w:val="00D13A6D"/>
    <w:rsid w:val="00D1496A"/>
    <w:rsid w:val="00D2031B"/>
    <w:rsid w:val="00D25FE2"/>
    <w:rsid w:val="00D325BC"/>
    <w:rsid w:val="00D43252"/>
    <w:rsid w:val="00D47006"/>
    <w:rsid w:val="00D47EEA"/>
    <w:rsid w:val="00D629E9"/>
    <w:rsid w:val="00D95303"/>
    <w:rsid w:val="00D978C6"/>
    <w:rsid w:val="00DA0D3C"/>
    <w:rsid w:val="00DA3111"/>
    <w:rsid w:val="00DA3C1C"/>
    <w:rsid w:val="00DB0C79"/>
    <w:rsid w:val="00DC25E0"/>
    <w:rsid w:val="00E11B2F"/>
    <w:rsid w:val="00E27346"/>
    <w:rsid w:val="00E541B0"/>
    <w:rsid w:val="00E71BC8"/>
    <w:rsid w:val="00E7260F"/>
    <w:rsid w:val="00E779FC"/>
    <w:rsid w:val="00E82602"/>
    <w:rsid w:val="00E86AAD"/>
    <w:rsid w:val="00E96630"/>
    <w:rsid w:val="00EA0D47"/>
    <w:rsid w:val="00EA4C9B"/>
    <w:rsid w:val="00EB2581"/>
    <w:rsid w:val="00ED7A2A"/>
    <w:rsid w:val="00EF1D7F"/>
    <w:rsid w:val="00F022FE"/>
    <w:rsid w:val="00F15A51"/>
    <w:rsid w:val="00F20C3D"/>
    <w:rsid w:val="00F33003"/>
    <w:rsid w:val="00F369C6"/>
    <w:rsid w:val="00F43E9E"/>
    <w:rsid w:val="00F9057C"/>
    <w:rsid w:val="00F906D7"/>
    <w:rsid w:val="00F93781"/>
    <w:rsid w:val="00FB613B"/>
    <w:rsid w:val="00FC68B7"/>
    <w:rsid w:val="00FD1BDB"/>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address"/>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9</Pages>
  <Words>4820</Words>
  <Characters>25599</Characters>
  <Application>Microsoft Office Word</Application>
  <DocSecurity>4</DocSecurity>
  <Lines>387</Lines>
  <Paragraphs>83</Paragraphs>
  <ScaleCrop>false</ScaleCrop>
  <HeadingPairs>
    <vt:vector size="2" baseType="variant">
      <vt:variant>
        <vt:lpstr>Title</vt:lpstr>
      </vt:variant>
      <vt:variant>
        <vt:i4>1</vt:i4>
      </vt:variant>
    </vt:vector>
  </HeadingPairs>
  <TitlesOfParts>
    <vt:vector size="1" baseType="lpstr">
      <vt:lpstr>1244360</vt:lpstr>
    </vt:vector>
  </TitlesOfParts>
  <Company>CSD</Company>
  <LinksUpToDate>false</LinksUpToDate>
  <CharactersWithSpaces>30336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1244360</dc:title>
  <dc:subject/>
  <dc:creator>Brigoli</dc:creator>
  <cp:keywords>CCPR/C/SR.2915</cp:keywords>
  <dc:description>final</dc:description>
  <cp:lastModifiedBy>Pauline Escalante</cp:lastModifiedBy>
  <cp:revision>2</cp:revision>
  <cp:lastPrinted>2012-12-10T12:44:00Z</cp:lastPrinted>
  <dcterms:created xsi:type="dcterms:W3CDTF">2012-12-11T08:32:00Z</dcterms:created>
  <dcterms:modified xsi:type="dcterms:W3CDTF">2012-12-11T08:32:00Z</dcterms:modified>
</cp:coreProperties>
</file>