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sz w:val="6"/>
        </w:rPr>
        <w:t>s</w:t>
      </w:r>
      <w:r>
        <w:rPr>
          <w:rStyle w:val="CommentReference"/>
          <w:vanish/>
        </w:rPr>
        <w:commentReference w:id="0"/>
      </w:r>
    </w:p>
    <w:p w:rsidR="00000000" w:rsidRDefault="00000000">
      <w:pPr>
        <w:pStyle w:val="H1"/>
      </w:pPr>
      <w:r>
        <w:t>Комитет по ликвидации дискриминации</w:t>
      </w:r>
    </w:p>
    <w:p w:rsidR="00000000" w:rsidRDefault="00000000">
      <w:pPr>
        <w:pStyle w:val="H1"/>
      </w:pPr>
      <w:r>
        <w:t xml:space="preserve">в отношении женщин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Объединенные четвертый и пятый периодические доклады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4"/>
          <w:sz w:val="24"/>
        </w:rPr>
        <w:tab/>
      </w:r>
      <w:r>
        <w:rPr>
          <w:spacing w:val="4"/>
          <w:sz w:val="24"/>
        </w:rPr>
        <w:tab/>
      </w:r>
      <w:r>
        <w:rPr>
          <w:spacing w:val="4"/>
        </w:rPr>
        <w:t>Демократическая Республика Конго</w:t>
      </w:r>
      <w:r>
        <w:rPr>
          <w:rStyle w:val="FootnoteReference"/>
          <w:b w:val="0"/>
          <w:sz w:val="20"/>
        </w:rPr>
        <w:footnoteReference w:customMarkFollows="1" w:id="1"/>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sz w:val="24"/>
        </w:rPr>
      </w:pPr>
      <w:r>
        <w:rPr>
          <w:b/>
          <w:sz w:val="24"/>
        </w:rPr>
        <w:t>ДЕМОКРАТИЧЕСКАЯ РЕСПУБЛИКА КОНГО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sz w:val="24"/>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sz w:val="24"/>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jc w:val="center"/>
        <w:rPr>
          <w:b/>
          <w:sz w:val="24"/>
        </w:rPr>
      </w:pPr>
      <w:r>
        <w:rPr>
          <w:b/>
          <w:sz w:val="24"/>
        </w:rPr>
        <w:t>Министерство по делам женщин и семьи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jc w:val="center"/>
        <w:rPr>
          <w:b/>
        </w:rPr>
      </w:pPr>
      <w:r>
        <w:rPr>
          <w:b/>
        </w:rPr>
        <w:t xml:space="preserve">Программа Организации Объединенных Наций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jc w:val="center"/>
        <w:rPr>
          <w:b/>
        </w:rPr>
      </w:pPr>
      <w:r>
        <w:rPr>
          <w:b/>
        </w:rPr>
        <w:t>по развитию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p>
    <w:p w:rsidR="00000000" w:rsidRDefault="00000000">
      <w:pPr>
        <w:pStyle w:val="SingleTxt"/>
        <w:pBdr>
          <w:top w:val="single" w:sz="4" w:space="1" w:color="auto"/>
          <w:left w:val="single" w:sz="4" w:space="0" w:color="auto"/>
          <w:bottom w:val="single" w:sz="4" w:space="1" w:color="auto"/>
          <w:right w:val="single" w:sz="4" w:space="1" w:color="auto"/>
        </w:pBd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jc w:val="center"/>
        <w:rPr>
          <w:b/>
          <w:sz w:val="24"/>
        </w:rPr>
      </w:pPr>
      <w:r>
        <w:rPr>
          <w:b/>
          <w:sz w:val="24"/>
        </w:rPr>
        <w:t xml:space="preserve">Четвертый и пятый доклады Демократической Республики Конго об оценке хода выполнения Конвенции </w:t>
      </w:r>
    </w:p>
    <w:p w:rsidR="00000000" w:rsidRDefault="00000000">
      <w:pPr>
        <w:pStyle w:val="SingleTxt"/>
        <w:pBdr>
          <w:top w:val="single" w:sz="4" w:space="1" w:color="auto"/>
          <w:left w:val="single" w:sz="4" w:space="0" w:color="auto"/>
          <w:bottom w:val="single" w:sz="4" w:space="1" w:color="auto"/>
          <w:right w:val="single" w:sz="4" w:space="1" w:color="auto"/>
        </w:pBd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jc w:val="center"/>
        <w:rPr>
          <w:b/>
          <w:sz w:val="24"/>
        </w:rPr>
      </w:pPr>
      <w:r>
        <w:rPr>
          <w:b/>
          <w:sz w:val="24"/>
        </w:rPr>
        <w:t xml:space="preserve">о ликвидации всех форм дискриминации </w:t>
      </w:r>
    </w:p>
    <w:p w:rsidR="00000000" w:rsidRDefault="00000000">
      <w:pPr>
        <w:pStyle w:val="SingleTxt"/>
        <w:pBdr>
          <w:top w:val="single" w:sz="4" w:space="1" w:color="auto"/>
          <w:left w:val="single" w:sz="4" w:space="0" w:color="auto"/>
          <w:bottom w:val="single" w:sz="4" w:space="1" w:color="auto"/>
          <w:right w:val="single" w:sz="4" w:space="1" w:color="auto"/>
        </w:pBd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jc w:val="center"/>
        <w:rPr>
          <w:b/>
        </w:rPr>
      </w:pPr>
      <w:r>
        <w:rPr>
          <w:b/>
          <w:sz w:val="24"/>
        </w:rPr>
        <w:t>в отношении же</w:t>
      </w:r>
      <w:r>
        <w:rPr>
          <w:b/>
          <w:sz w:val="24"/>
        </w:rPr>
        <w:t>н</w:t>
      </w:r>
      <w:r>
        <w:rPr>
          <w:b/>
          <w:sz w:val="24"/>
        </w:rPr>
        <w:t>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i/>
        </w:rPr>
      </w:pPr>
      <w:r>
        <w:rPr>
          <w:i/>
        </w:rPr>
        <w:t>Май 2004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rPr>
          <w:sz w:val="10"/>
        </w:rPr>
      </w:pPr>
      <w:r>
        <w:rPr>
          <w:b/>
          <w:i/>
        </w:rP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Содержание</w:t>
      </w:r>
    </w:p>
    <w:tbl>
      <w:tblPr>
        <w:tblW w:w="0" w:type="auto"/>
        <w:tblInd w:w="10" w:type="dxa"/>
        <w:tblLayout w:type="fixed"/>
        <w:tblCellMar>
          <w:left w:w="0" w:type="dxa"/>
          <w:right w:w="0" w:type="dxa"/>
        </w:tblCellMar>
        <w:tblLook w:val="0000" w:firstRow="0" w:lastRow="0" w:firstColumn="0" w:lastColumn="0" w:noHBand="0" w:noVBand="0"/>
      </w:tblPr>
      <w:tblGrid>
        <w:gridCol w:w="1060"/>
        <w:gridCol w:w="7850"/>
        <w:gridCol w:w="450"/>
      </w:tblGrid>
      <w:tr w:rsidR="00000000">
        <w:tblPrEx>
          <w:tblCellMar>
            <w:top w:w="0" w:type="dxa"/>
            <w:left w:w="0" w:type="dxa"/>
            <w:bottom w:w="0" w:type="dxa"/>
            <w:right w:w="0" w:type="dxa"/>
          </w:tblCellMar>
        </w:tblPrEx>
        <w:tc>
          <w:tcPr>
            <w:tcW w:w="1060" w:type="dxa"/>
          </w:tcPr>
          <w:p w:rsidR="00000000" w:rsidRDefault="00000000">
            <w:pPr>
              <w:suppressAutoHyphens/>
              <w:spacing w:after="100" w:line="240" w:lineRule="auto"/>
              <w:jc w:val="right"/>
              <w:rPr>
                <w:i/>
                <w:sz w:val="14"/>
              </w:rPr>
            </w:pPr>
          </w:p>
        </w:tc>
        <w:tc>
          <w:tcPr>
            <w:tcW w:w="7850" w:type="dxa"/>
          </w:tcPr>
          <w:p w:rsidR="00000000" w:rsidRDefault="00000000">
            <w:pPr>
              <w:suppressAutoHyphens/>
              <w:spacing w:after="100" w:line="240" w:lineRule="auto"/>
              <w:rPr>
                <w:sz w:val="14"/>
              </w:rPr>
            </w:pPr>
          </w:p>
        </w:tc>
        <w:tc>
          <w:tcPr>
            <w:tcW w:w="450" w:type="dxa"/>
          </w:tcPr>
          <w:p w:rsidR="00000000" w:rsidRDefault="00000000">
            <w:pPr>
              <w:suppressAutoHyphens/>
              <w:spacing w:after="100" w:line="240" w:lineRule="auto"/>
              <w:jc w:val="right"/>
              <w:rPr>
                <w:i/>
                <w:sz w:val="14"/>
              </w:rPr>
            </w:pPr>
            <w:r>
              <w:rPr>
                <w:i/>
                <w:sz w:val="14"/>
              </w:rPr>
              <w:t>Стр.</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Сокращения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Предисловие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296"/>
                <w:tab w:val="left" w:pos="1728"/>
                <w:tab w:val="left" w:pos="1800"/>
                <w:tab w:val="right" w:leader="dot" w:pos="9360"/>
              </w:tabs>
              <w:suppressAutoHyphens/>
              <w:spacing w:after="100"/>
              <w:ind w:left="1080"/>
            </w:pPr>
            <w:r>
              <w:t>Введение</w:t>
            </w:r>
            <w:r>
              <w:tab/>
            </w:r>
            <w:r>
              <w:tab/>
            </w:r>
            <w:r>
              <w:tab/>
            </w:r>
            <w:r>
              <w:tab/>
            </w:r>
            <w:r>
              <w:tab/>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w:t>
            </w:r>
          </w:p>
        </w:tc>
      </w:tr>
      <w:tr w:rsidR="00000000">
        <w:tblPrEx>
          <w:tblCellMar>
            <w:top w:w="0" w:type="dxa"/>
            <w:left w:w="0" w:type="dxa"/>
            <w:bottom w:w="0" w:type="dxa"/>
            <w:right w:w="0" w:type="dxa"/>
          </w:tblCellMar>
        </w:tblPrEx>
        <w:trPr>
          <w:trHeight w:val="526"/>
        </w:trPr>
        <w:tc>
          <w:tcPr>
            <w:tcW w:w="8910" w:type="dxa"/>
            <w:gridSpan w:val="2"/>
          </w:tcPr>
          <w:p w:rsidR="00000000" w:rsidRDefault="00000000">
            <w:pPr>
              <w:tabs>
                <w:tab w:val="right" w:pos="1080"/>
                <w:tab w:val="left" w:pos="1296"/>
                <w:tab w:val="left" w:pos="1728"/>
                <w:tab w:val="left" w:pos="1800"/>
                <w:tab w:val="right" w:leader="dot" w:pos="9360"/>
              </w:tabs>
              <w:suppressAutoHyphens/>
              <w:spacing w:after="100"/>
              <w:ind w:left="1080"/>
              <w:rPr>
                <w:b/>
              </w:rPr>
            </w:pPr>
            <w:r>
              <w:rPr>
                <w:b/>
              </w:rPr>
              <w:t>Глава I. Политика, направленная на то, чтобы положить конец дискриминации ме</w:t>
            </w:r>
            <w:r>
              <w:rPr>
                <w:b/>
              </w:rPr>
              <w:t>ж</w:t>
            </w:r>
            <w:r>
              <w:rPr>
                <w:b/>
              </w:rPr>
              <w:t>ду мужчинами и женщинами и улучшить положение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br/>
              <w:t>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1.</w:t>
            </w:r>
            <w:r>
              <w:tab/>
              <w:t>Глобальное и всеобъемлющее соглашение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2.</w:t>
            </w:r>
            <w:r>
              <w:tab/>
              <w:t>Временная конституция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3.</w:t>
            </w:r>
            <w:r>
              <w:tab/>
              <w:t>Декрет № 03/027 от 16 сентября 2003 года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296"/>
                <w:tab w:val="left" w:pos="1728"/>
                <w:tab w:val="left" w:pos="1800"/>
                <w:tab w:val="right" w:leader="dot" w:pos="9360"/>
              </w:tabs>
              <w:suppressAutoHyphens/>
              <w:spacing w:after="100"/>
              <w:ind w:left="1080"/>
              <w:rPr>
                <w:b/>
              </w:rPr>
            </w:pPr>
            <w:r>
              <w:rPr>
                <w:b/>
              </w:rPr>
              <w:t>Глава II. Рассмотрение конголезских юридических документов, имеющих отношение к КЛДЖ</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1.</w:t>
            </w:r>
            <w:r>
              <w:tab/>
              <w:t>Трудовой кодекс</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2.</w:t>
            </w:r>
            <w:r>
              <w:tab/>
              <w:t>Семейный кодекс</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3.</w:t>
            </w:r>
            <w:r>
              <w:tab/>
              <w:t>Уголовный кодекс</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4.</w:t>
            </w:r>
            <w:r>
              <w:tab/>
              <w:t>Статус государственных служащих</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5.</w:t>
            </w:r>
            <w:r>
              <w:tab/>
              <w:t>Закон о гражданстве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6.</w:t>
            </w:r>
            <w:r>
              <w:tab/>
              <w:t>Закон о землевладении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7.</w:t>
            </w:r>
            <w:r>
              <w:tab/>
              <w:t>Закон о политических партиях</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Глава III. Действия, меры и препятствия в области применения КЛДЖ</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1.</w:t>
            </w:r>
            <w:r>
              <w:tab/>
              <w:t>Женщины и занятость</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2.</w:t>
            </w:r>
            <w:r>
              <w:tab/>
              <w:t>Женщины и культура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3.</w:t>
            </w:r>
            <w:r>
              <w:tab/>
              <w:t>Женщины, торговля людьми и проституция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4.</w:t>
            </w:r>
            <w:r>
              <w:tab/>
              <w:t>Женщины и политическая жизнь</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5.</w:t>
            </w:r>
            <w:r>
              <w:tab/>
              <w:t>Женщины и международная жизнь</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6.</w:t>
            </w:r>
            <w:r>
              <w:tab/>
              <w:t>Женщины и образование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7.</w:t>
            </w:r>
            <w:r>
              <w:tab/>
              <w:t>Женщины и здравоохранение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8.</w:t>
            </w:r>
            <w:r>
              <w:tab/>
              <w:t>Женщины и экономика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9.</w:t>
            </w:r>
            <w:r>
              <w:tab/>
              <w:t>Сельские женщины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10.</w:t>
            </w:r>
            <w:r>
              <w:tab/>
              <w:t>Женщины и домашний очаг</w:t>
            </w:r>
            <w:r>
              <w:tab/>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11.</w:t>
            </w:r>
            <w:r>
              <w:tab/>
              <w:t>Насилие в отношении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Рекомендации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Заключение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Документация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Библиографические ссылки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61</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СОКРАЩЕНИЯ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pPr>
    </w:p>
    <w:tbl>
      <w:tblPr>
        <w:tblW w:w="0" w:type="auto"/>
        <w:tblInd w:w="1262" w:type="dxa"/>
        <w:tblLayout w:type="fixed"/>
        <w:tblLook w:val="0000" w:firstRow="0" w:lastRow="0" w:firstColumn="0" w:lastColumn="0" w:noHBand="0" w:noVBand="0"/>
      </w:tblPr>
      <w:tblGrid>
        <w:gridCol w:w="1620"/>
        <w:gridCol w:w="720"/>
        <w:gridCol w:w="5571"/>
      </w:tblGrid>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ВГ</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"Врачи без границ"</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ДРК</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Демократическая Республика Ко</w:t>
            </w:r>
            <w:r>
              <w:t>н</w:t>
            </w:r>
            <w:r>
              <w:t>го</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ДССН</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Доклад о стратегиях сокращения нищеты</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ЗППП</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Заболевания, передающиеся половым п</w:t>
            </w:r>
            <w:r>
              <w:t>у</w:t>
            </w:r>
            <w:r>
              <w:t>тем</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ИППП</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Инфекции, передающиеся половым путем</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КЛДЖ</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Конвенция о ликвидации всех форм дискриминации в отношении же</w:t>
            </w:r>
            <w:r>
              <w:t>н</w:t>
            </w:r>
            <w:r>
              <w:t>щин</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КПР</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Конвенция по правам ребенка</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МЖС</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Министерство по делам женщин и семьи</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МПЧПР</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Многосекторная программа оказания чрезвычайной помощи и р</w:t>
            </w:r>
            <w:r>
              <w:t>е</w:t>
            </w:r>
            <w:r>
              <w:t>конструкции</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НПО</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Неправительственная организация</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НПУПКЖ</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Национальная программа улучшения положения конголезских же</w:t>
            </w:r>
            <w:r>
              <w:t>н</w:t>
            </w:r>
            <w:r>
              <w:t>щин</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ОПГВ</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Обследование по многим показателям с применением гнездовой в</w:t>
            </w:r>
            <w:r>
              <w:t>ы</w:t>
            </w:r>
            <w:r>
              <w:t>борки</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СДЖ</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Сеть действий в интересах женщин</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СК</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Семейный кодекс</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СООН</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Система Организации Объединенных Н</w:t>
            </w:r>
            <w:r>
              <w:t>а</w:t>
            </w:r>
            <w:r>
              <w:t>ций</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ТК</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Трудовой кодекс</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УК</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Уголовный кодекс</w:t>
            </w:r>
          </w:p>
        </w:tc>
      </w:tr>
      <w:tr w:rsidR="00000000">
        <w:tblPrEx>
          <w:tblCellMar>
            <w:top w:w="0" w:type="dxa"/>
            <w:bottom w:w="0" w:type="dxa"/>
          </w:tblCellMar>
        </w:tblPrEx>
        <w:tc>
          <w:tcPr>
            <w:tcW w:w="16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27"/>
            </w:pPr>
            <w:r>
              <w:t>ФАО</w:t>
            </w:r>
          </w:p>
        </w:tc>
        <w:tc>
          <w:tcPr>
            <w:tcW w:w="720"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tc>
        <w:tc>
          <w:tcPr>
            <w:tcW w:w="5571" w:type="dxa"/>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29"/>
            </w:pPr>
            <w:r>
              <w:t>Продовольственная и сельскохозяйственная организация Объед</w:t>
            </w:r>
            <w:r>
              <w:t>и</w:t>
            </w:r>
            <w:r>
              <w:t>ненных Наций</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520" w:hanging="1253"/>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520" w:hanging="1253"/>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pPr>
      <w:r>
        <w:t>Предисловие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При подготовке доклада об оценке хода осуществления Конвенции о ли</w:t>
      </w:r>
      <w:r>
        <w:t>к</w:t>
      </w:r>
      <w:r>
        <w:t>видации всех форм дискриминации в отношении женщин мы опираемся на в</w:t>
      </w:r>
      <w:r>
        <w:t>ы</w:t>
      </w:r>
      <w:r>
        <w:t>сказанную Генеральным секретарем ООН веру в потенциальные возможности африканских женщин, а также на его выступление, направленное на улучшение их положения.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И действительно, 3 января 2003 года г-н Кофи Анан выступил по случаю новогодних праздников с обращением под названием "Спасем африканских женщин ради спасения Африки", в котором он заявляет: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Pr>
          <w:b/>
        </w:rPr>
      </w:pPr>
      <w:r>
        <w:tab/>
        <w:t>"</w:t>
      </w:r>
      <w:r>
        <w:rPr>
          <w:b/>
        </w:rPr>
        <w:t>Женщины, на которых держится забытый континент и которые прежде всего страдают от всех проблем, обеспечивают сохранение африканского общества. Их трудом закладывается экономическая основа жизни населения сельских районов. На протяжении последних десятилетий мы исходим из понимания того, что наилучшим спос</w:t>
      </w:r>
      <w:r>
        <w:rPr>
          <w:b/>
        </w:rPr>
        <w:t>о</w:t>
      </w:r>
      <w:r>
        <w:rPr>
          <w:b/>
        </w:rPr>
        <w:t>бом добиться процветания Африки является наделение женщин св</w:t>
      </w:r>
      <w:r>
        <w:rPr>
          <w:b/>
        </w:rPr>
        <w:t>о</w:t>
      </w:r>
      <w:r>
        <w:rPr>
          <w:b/>
        </w:rPr>
        <w:t>бодой, полномочиями и знаниями для принятия решения, затраг</w:t>
      </w:r>
      <w:r>
        <w:rPr>
          <w:b/>
        </w:rPr>
        <w:t>и</w:t>
      </w:r>
      <w:r>
        <w:rPr>
          <w:b/>
        </w:rPr>
        <w:t>вающих их жизнь, жизнь их семей и их общин.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pPr>
      <w:r>
        <w:rPr>
          <w:b/>
        </w:rPr>
        <w:tab/>
        <w:t>Ряд последовательно проведенных исследований показал, что там, где женщины не играют центральной роли, отсутствует эффе</w:t>
      </w:r>
      <w:r>
        <w:rPr>
          <w:b/>
        </w:rPr>
        <w:t>к</w:t>
      </w:r>
      <w:r>
        <w:rPr>
          <w:b/>
        </w:rPr>
        <w:t>тивная стратегия развития. Когда участие женщин составляет 100 процентов, положительные результаты сказываются незамедл</w:t>
      </w:r>
      <w:r>
        <w:rPr>
          <w:b/>
        </w:rPr>
        <w:t>и</w:t>
      </w:r>
      <w:r>
        <w:rPr>
          <w:b/>
        </w:rPr>
        <w:t>тельно</w:t>
      </w:r>
      <w:r>
        <w:t xml:space="preserve">" (1).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Нас интересует, в какой степени это кредо Генерального секретаря ООН было воплощено в официальные документы, организующие жизнь государства, в конкретные действия лиц, проводящих работу и принимающих решения в различных областях, а также, как это отразилось на простых гражданах.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Короче говоря, мы хотели бы выяснить, изменилось ли отношение конг</w:t>
      </w:r>
      <w:r>
        <w:t>о</w:t>
      </w:r>
      <w:r>
        <w:t>лезского общества к женщинам столь значительно, чтобы дать ощутимые п</w:t>
      </w:r>
      <w:r>
        <w:t>о</w:t>
      </w:r>
      <w:r>
        <w:t>ложительные результаты.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Кроме того, мы отдаем себе отчет в том, что это обращение г</w:t>
      </w:r>
      <w:r>
        <w:noBreakHyphen/>
        <w:t>на Кофи Анана должно дойти до женщин, в интересах которых прежде всего была пр</w:t>
      </w:r>
      <w:r>
        <w:t>и</w:t>
      </w:r>
      <w:r>
        <w:t>нята КЛДЖ. Поэтому мы рассмотрели двойную роль организаций, занима</w:t>
      </w:r>
      <w:r>
        <w:t>ю</w:t>
      </w:r>
      <w:r>
        <w:t>щихся вопросами положения женщин: защищать женщин в национальных и международных органах, а также - и прежде всего - заставить женщин понять, что они должны вести суровую борьбу по преодолению существующих по о</w:t>
      </w:r>
      <w:r>
        <w:t>т</w:t>
      </w:r>
      <w:r>
        <w:t>ношению к ним стереотипов и тех представлений, благодаря которым они в т</w:t>
      </w:r>
      <w:r>
        <w:t>е</w:t>
      </w:r>
      <w:r>
        <w:t>чение веков всегда подвергались дискриминации и занимали более низкое п</w:t>
      </w:r>
      <w:r>
        <w:t>о</w:t>
      </w:r>
      <w:r>
        <w:t>ложение.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Женщины, составляющие большинство населения страны, не должны больше оставаться в стороне от принятия решений.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Следует отметить, что составлению настоящего доклада предшествовало общее национальное обследование, которое позволило получить в некоторых провинциальных органах самоуправления и организациях гражданского общ</w:t>
      </w:r>
      <w:r>
        <w:t>е</w:t>
      </w:r>
      <w:r>
        <w:t>ства данные, имеющие отношение к КЛДЖ. Для обработки вопросников, ан</w:t>
      </w:r>
      <w:r>
        <w:t>а</w:t>
      </w:r>
      <w:r>
        <w:t>лиза полученных данных, а также обобщения полученных результатов была создана междисциплинарная рабочая группа, состоящая из статистика, соци</w:t>
      </w:r>
      <w:r>
        <w:t>о</w:t>
      </w:r>
      <w:r>
        <w:t>лога, педагога и секретаря. Мы хотели бы выразить им глубокую признател</w:t>
      </w:r>
      <w:r>
        <w:t>ь</w:t>
      </w:r>
      <w:r>
        <w:t>ность за проделанную работу.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Мы хотели бы также поблагодарить сотрудников проекта по содействию осуществлению Национальной программы улучшения положения женщин за предоставленное ими кадровое обеспечение.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Мы хотели бы также поблагодарить ПРООН, чья финансовая поддержка позволила подготовить этот доклад. Спасибо всем, кто оказал нам помощь.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right"/>
      </w:pPr>
      <w:r>
        <w:t>Министр по делам женщин и семьи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right"/>
        <w:rPr>
          <w:b/>
        </w:rPr>
      </w:pPr>
      <w:r>
        <w:t>Г-жа Файда</w:t>
      </w:r>
      <w:r>
        <w:rPr>
          <w:b/>
        </w:rPr>
        <w:t xml:space="preserve"> Мвангилва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rPr>
          <w:b/>
        </w:rP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pPr>
      <w:r>
        <w:t>Введение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r>
      <w:r>
        <w:t>Демократическая Республика Конго переживает в настоящее время пер</w:t>
      </w:r>
      <w:r>
        <w:t>е</w:t>
      </w:r>
      <w:r>
        <w:t>ходный период после развязанных в 1996 и 1998 годах двух больших войн, к</w:t>
      </w:r>
      <w:r>
        <w:t>о</w:t>
      </w:r>
      <w:r>
        <w:t>торые вовлекли страну в продолжительный период вооруженных конфликтов, легший тяжелым бременем на женщин и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Эти конфликты способствовали также дальнейшему ухудшению социал</w:t>
      </w:r>
      <w:r>
        <w:t>ь</w:t>
      </w:r>
      <w:r>
        <w:t>но-экономического положения в стране, начавшемуся в ходе предыдущих с</w:t>
      </w:r>
      <w:r>
        <w:t>о</w:t>
      </w:r>
      <w:r>
        <w:t>циально-политических кризисов.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Вследствие этих конфликтов страна также пострадала от ущерба, нан</w:t>
      </w:r>
      <w:r>
        <w:t>е</w:t>
      </w:r>
      <w:r>
        <w:t>сенного несколькими правящими режимами, законным правительством и м</w:t>
      </w:r>
      <w:r>
        <w:t>я</w:t>
      </w:r>
      <w:r>
        <w:t>тежами.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Поэтому, стремясь вывести страну из политического кризиса, ее лучшие представители благодаря поддержке и содействию международного сообщес</w:t>
      </w:r>
      <w:r>
        <w:t>т</w:t>
      </w:r>
      <w:r>
        <w:t xml:space="preserve">ва собрались на организованный в Южной Африке форум под названием </w:t>
      </w:r>
      <w:r>
        <w:rPr>
          <w:b/>
        </w:rPr>
        <w:t>"Межконголезский диалог"</w:t>
      </w:r>
      <w:r>
        <w:t xml:space="preserve"> для проведения политических переговоров по вопросам мирного урегулирования, воссоединения территории страны и управления в течение переходного периода. В ходе этого форума участники з</w:t>
      </w:r>
      <w:r>
        <w:t>а</w:t>
      </w:r>
      <w:r>
        <w:t xml:space="preserve">ключили так называемое </w:t>
      </w:r>
      <w:r>
        <w:rPr>
          <w:b/>
        </w:rPr>
        <w:t>Глобальное и всеобъемлющее соглашение</w:t>
      </w:r>
      <w:r>
        <w:t>, в кот</w:t>
      </w:r>
      <w:r>
        <w:t>о</w:t>
      </w:r>
      <w:r>
        <w:t>ром были определены основные принципы управления в ходе переходного п</w:t>
      </w:r>
      <w:r>
        <w:t>е</w:t>
      </w:r>
      <w:r>
        <w:t>риода, легшие в основу Временной конституции, подписанной 4 апреля 2003 года. Этим соглашением было предусмотрено создание новой организ</w:t>
      </w:r>
      <w:r>
        <w:t>а</w:t>
      </w:r>
      <w:r>
        <w:t>ционной структуры, в частности переходного правительства, двухпалатного парламента и пяти перечисленных ниже гражданских учреждений, призванных оказать поддержку демократии. К ним о</w:t>
      </w:r>
      <w:r>
        <w:t>т</w:t>
      </w:r>
      <w:r>
        <w:t>носятся: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Независимая избирательная комиссия,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Верховный орган по вопросам средств массовой информации,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Комиссия по установлению правды и примирению,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Организация по вопросам соблюдения прав человека,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Комиссия по вопросам этики и борьбы с коррупцией.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соответствии с указанным соглашением на правительство были возл</w:t>
      </w:r>
      <w:r>
        <w:t>о</w:t>
      </w:r>
      <w:r>
        <w:t>жены следующие задачи: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создание механизмов, содействующих ускорению воссоединения страны для установления, наконец, прочного мира;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улучшение макроэкономического положения, чтобы ДРК, относ</w:t>
      </w:r>
      <w:r>
        <w:t>я</w:t>
      </w:r>
      <w:r>
        <w:t>щаяся к самым бедным странам мира (находящаяся на 167</w:t>
      </w:r>
      <w:r>
        <w:noBreakHyphen/>
        <w:t>м месте из 175 стран) (2), смогла быстро вывести из нищеты свои 60 миллионов жителей, 80 процентов из которых живут менее чем на 0,80 долл. США в день;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изыскание решений проблем, связанных с войной, в частности таких проблем, как:</w:t>
      </w:r>
    </w:p>
    <w:p w:rsidR="00000000" w:rsidRDefault="00000000">
      <w:pPr>
        <w:pStyle w:val="SingleTxt"/>
        <w:numPr>
          <w:ilvl w:val="0"/>
          <w:numId w:val="310"/>
        </w:numPr>
        <w:tabs>
          <w:tab w:val="clear" w:pos="1267"/>
          <w:tab w:val="clear" w:pos="1742"/>
          <w:tab w:val="clear" w:pos="2218"/>
          <w:tab w:val="clear" w:pos="2459"/>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700" w:hanging="450"/>
      </w:pPr>
      <w:r>
        <w:t>массовое перемещение населения,</w:t>
      </w:r>
    </w:p>
    <w:p w:rsidR="00000000" w:rsidRDefault="00000000">
      <w:pPr>
        <w:pStyle w:val="SingleTxt"/>
        <w:numPr>
          <w:ilvl w:val="0"/>
          <w:numId w:val="310"/>
        </w:numPr>
        <w:tabs>
          <w:tab w:val="clear" w:pos="1267"/>
          <w:tab w:val="clear" w:pos="1742"/>
          <w:tab w:val="clear" w:pos="2218"/>
          <w:tab w:val="clear" w:pos="2459"/>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700" w:hanging="450"/>
      </w:pPr>
      <w:r>
        <w:t>разрушение жилищ,</w:t>
      </w:r>
    </w:p>
    <w:p w:rsidR="00000000" w:rsidRDefault="00000000">
      <w:pPr>
        <w:pStyle w:val="SingleTxt"/>
        <w:numPr>
          <w:ilvl w:val="0"/>
          <w:numId w:val="310"/>
        </w:numPr>
        <w:tabs>
          <w:tab w:val="clear" w:pos="1267"/>
          <w:tab w:val="clear" w:pos="1742"/>
          <w:tab w:val="clear" w:pos="2218"/>
          <w:tab w:val="clear" w:pos="2459"/>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700" w:hanging="450"/>
      </w:pPr>
      <w:r>
        <w:t>разрушение социальной, санитарной и экономической инфр</w:t>
      </w:r>
      <w:r>
        <w:t>а</w:t>
      </w:r>
      <w:r>
        <w:t>стру</w:t>
      </w:r>
      <w:r>
        <w:t>к</w:t>
      </w:r>
      <w:r>
        <w:t>туры,</w:t>
      </w:r>
    </w:p>
    <w:p w:rsidR="00000000" w:rsidRDefault="00000000">
      <w:pPr>
        <w:pStyle w:val="SingleTxt"/>
        <w:numPr>
          <w:ilvl w:val="0"/>
          <w:numId w:val="310"/>
        </w:numPr>
        <w:tabs>
          <w:tab w:val="clear" w:pos="1267"/>
          <w:tab w:val="clear" w:pos="1742"/>
          <w:tab w:val="clear" w:pos="2218"/>
          <w:tab w:val="clear" w:pos="2459"/>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700" w:hanging="450"/>
      </w:pPr>
      <w:r>
        <w:t>опустошение фауны и флоры,</w:t>
      </w:r>
    </w:p>
    <w:p w:rsidR="00000000" w:rsidRDefault="00000000">
      <w:pPr>
        <w:pStyle w:val="SingleTxt"/>
        <w:numPr>
          <w:ilvl w:val="0"/>
          <w:numId w:val="310"/>
        </w:numPr>
        <w:tabs>
          <w:tab w:val="clear" w:pos="1267"/>
          <w:tab w:val="clear" w:pos="1742"/>
          <w:tab w:val="clear" w:pos="2218"/>
          <w:tab w:val="clear" w:pos="2459"/>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700" w:hanging="450"/>
      </w:pPr>
      <w:r>
        <w:t>изнасилование и другие виды насилия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Что касается женщин, то в документах, касающихся переходного периода, в целом учитываются вопросы гендерного равенства.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t>Например, в статье 51 Конституции говорится, что: "</w:t>
      </w:r>
      <w:r>
        <w:rPr>
          <w:b/>
        </w:rPr>
        <w:t>Государство должно следить за ликвидацией всех форм дискриминации в отношении женщин и обеспечивать соблюдение и поощрение их прав.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Государство обязано принимать во всех областях, в частности в эк</w:t>
      </w:r>
      <w:r>
        <w:rPr>
          <w:b/>
        </w:rPr>
        <w:t>о</w:t>
      </w:r>
      <w:r>
        <w:rPr>
          <w:b/>
        </w:rPr>
        <w:t>номической и культурной областях, все надлежащие меры для обеспеч</w:t>
      </w:r>
      <w:r>
        <w:rPr>
          <w:b/>
        </w:rPr>
        <w:t>е</w:t>
      </w:r>
      <w:r>
        <w:rPr>
          <w:b/>
        </w:rPr>
        <w:t>ния по</w:t>
      </w:r>
      <w:r>
        <w:rPr>
          <w:b/>
        </w:rPr>
        <w:t>л</w:t>
      </w:r>
      <w:r>
        <w:rPr>
          <w:b/>
        </w:rPr>
        <w:t>ноценного участия женщин в развитии государства.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Государство принимает меры по борьбе против всех форм насилия в о</w:t>
      </w:r>
      <w:r>
        <w:rPr>
          <w:b/>
        </w:rPr>
        <w:t>т</w:t>
      </w:r>
      <w:r>
        <w:rPr>
          <w:b/>
        </w:rPr>
        <w:t>ношении женщин в общественной и частной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t>Женщины имеют право на значительную представленность в наци</w:t>
      </w:r>
      <w:r>
        <w:rPr>
          <w:b/>
        </w:rPr>
        <w:t>о</w:t>
      </w:r>
      <w:r>
        <w:rPr>
          <w:b/>
        </w:rPr>
        <w:t>нал</w:t>
      </w:r>
      <w:r>
        <w:rPr>
          <w:b/>
        </w:rPr>
        <w:t>ь</w:t>
      </w:r>
      <w:r>
        <w:rPr>
          <w:b/>
        </w:rPr>
        <w:t>ных, провинциальных и местных органах</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Однако предстоит провести большую работу по освобождению текстов законодательных документов от еще остающихся в них дискриминационных положений, которые были уже осуждены в предыдущих докладах. Главная проблема связана здесь с необходимостью значительного изменения ментал</w:t>
      </w:r>
      <w:r>
        <w:t>и</w:t>
      </w:r>
      <w:r>
        <w:t>тета как политических и общественных деятелей, так и самих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Этот доклад состоит из следующих четырех основных частей: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1.</w:t>
      </w:r>
      <w:r>
        <w:tab/>
        <w:t>Политика, направленная на то, чтобы положить конец дискримин</w:t>
      </w:r>
      <w:r>
        <w:t>а</w:t>
      </w:r>
      <w:r>
        <w:t>ции между мужчинами и женщинами и улучшить положение же</w:t>
      </w:r>
      <w:r>
        <w:t>н</w:t>
      </w:r>
      <w:r>
        <w:t xml:space="preserve">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2.</w:t>
      </w:r>
      <w:r>
        <w:tab/>
        <w:t xml:space="preserve">Изучение юридических текстов, касающихся КЛДЖ;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3.</w:t>
      </w:r>
      <w:r>
        <w:tab/>
        <w:t>Изучение принятых мер по осуществлению КЛДЖ, а также тех пр</w:t>
      </w:r>
      <w:r>
        <w:t>е</w:t>
      </w:r>
      <w:r>
        <w:t xml:space="preserve">пятствий, которые мешают ее осуществлению;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4.</w:t>
      </w:r>
      <w:r>
        <w:tab/>
        <w:t xml:space="preserve">Рекомендации.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ind w:left="1260"/>
        <w:rPr>
          <w:sz w:val="10"/>
        </w:rPr>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 xml:space="preserve">Глава I. </w:t>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Политика, направленная на то, чтобы положить конец дискриминации между мужчинами и женщинами и улучшить положение женщин</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1.</w:t>
      </w:r>
      <w:r>
        <w:tab/>
      </w:r>
      <w:r>
        <w:tab/>
        <w:t xml:space="preserve">Глобальное и всеобъемлющее соглашение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После того как ДРК ратифицировала КЛДЖ на основании Декрета-закона № 85-040 от 6 октября 1985 года, она всегда заявляла о своем желании претв</w:t>
      </w:r>
      <w:r>
        <w:t>о</w:t>
      </w:r>
      <w:r>
        <w:t>рить ее в практику с помощью различных конституционных и законодательных документов.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Это желание было еще раз выражено в различных документах, принятых по завершении Межконголезского диалога. Речь, в частности, идет о Глобал</w:t>
      </w:r>
      <w:r>
        <w:t>ь</w:t>
      </w:r>
      <w:r>
        <w:t>ном и всеобъемлющем соглашении, Временной конституции, а также декрете, касающемся функций министерств, в чем можно будет убедиться на основании обстоятельного изучения правовых текстов, имеющих отношение к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Участники Межконголезского диалога заключили в столице ЮАР Прет</w:t>
      </w:r>
      <w:r>
        <w:t>о</w:t>
      </w:r>
      <w:r>
        <w:t>рии Глобальное и всеобъемлющее соглашение от 17 декабря 2002 года, которое не только положило конец войне, но и определило основные принципы на п</w:t>
      </w:r>
      <w:r>
        <w:t>е</w:t>
      </w:r>
      <w:r>
        <w:t>реходный период, легшие в основу подписанной 4 апреля 2003 года Временной конституции, являющейся в настоящее время основным законом страны.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Здесь следует отметить, что гендерная проблема учитывается уже в пе</w:t>
      </w:r>
      <w:r>
        <w:t>р</w:t>
      </w:r>
      <w:r>
        <w:t xml:space="preserve">вом принципе указанного соглашения, где говорится, что: "Для обеспечения мирного перехода создаваемые ими учреждения в ходе переходного периода должны гарантировать </w:t>
      </w:r>
      <w:r>
        <w:rPr>
          <w:b/>
        </w:rPr>
        <w:t>надлежащую представленность женщин на всех уровнях ответственности</w:t>
      </w:r>
      <w:r>
        <w:t>.</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2.</w:t>
      </w:r>
      <w:r>
        <w:tab/>
        <w:t xml:space="preserve">Временная конституция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Как и предшествующие конституции, Временная конституция, подписа</w:t>
      </w:r>
      <w:r>
        <w:t>н</w:t>
      </w:r>
      <w:r>
        <w:t xml:space="preserve">ная 4 апреля 2003 года, исходит из соблюдения положений КЛДЖ. Уже в ее преамбуле отмечается решимость "гарантировать основные права и свободы конголезских граждан и </w:t>
      </w:r>
      <w:r>
        <w:rPr>
          <w:b/>
        </w:rPr>
        <w:t>защищать права и свободы женщин и детей</w:t>
      </w:r>
      <w:r>
        <w:t xml:space="preserve">". Эта решимость нашла соответствующее отражение в </w:t>
      </w:r>
      <w:r>
        <w:rPr>
          <w:b/>
        </w:rPr>
        <w:t>статье 17</w:t>
      </w:r>
      <w:r>
        <w:t>, в которой говори</w:t>
      </w:r>
      <w:r>
        <w:t>т</w:t>
      </w:r>
      <w:r>
        <w:t>ся, что все конголезцы равны перед законом и имеют право на равную защиту по закону. Ни один конголезец не может являться объектом дискриминации в области образования или доступа к государственным должностям и в любых других областях независимо от того, является ли эта дискриминация следств</w:t>
      </w:r>
      <w:r>
        <w:t>и</w:t>
      </w:r>
      <w:r>
        <w:t>ем применения закона или какого-либо акта исполнительной власти, по пр</w:t>
      </w:r>
      <w:r>
        <w:t>и</w:t>
      </w:r>
      <w:r>
        <w:t xml:space="preserve">знаку его религии, </w:t>
      </w:r>
      <w:r>
        <w:rPr>
          <w:b/>
        </w:rPr>
        <w:t>пола</w:t>
      </w:r>
      <w:r>
        <w:t>, семейного происхождения, социального положения, местожительства, мнений или политических убеждений, принадлежности к к</w:t>
      </w:r>
      <w:r>
        <w:t>а</w:t>
      </w:r>
      <w:r>
        <w:t>кой-либо расе, этнической группе, племени, культурному или языковому меньши</w:t>
      </w:r>
      <w:r>
        <w:t>н</w:t>
      </w:r>
      <w:r>
        <w:t>ству".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Однако значительным шагом вперед в подтверждении обязательств пр</w:t>
      </w:r>
      <w:r>
        <w:t>а</w:t>
      </w:r>
      <w:r>
        <w:t xml:space="preserve">вительства является, безусловно, </w:t>
      </w:r>
      <w:r>
        <w:rPr>
          <w:b/>
        </w:rPr>
        <w:t>статья 51</w:t>
      </w:r>
      <w:r>
        <w:t>, поскольку в ней expressis verbis говорится о стремлении страны соблюдать КЛДЖ. Эта статья гласит: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Pr>
          <w:b/>
        </w:rPr>
      </w:pPr>
      <w:r>
        <w:tab/>
      </w:r>
      <w:r>
        <w:rPr>
          <w:b/>
        </w:rPr>
        <w:t>"Государство должно следить за ликвидацией всех форм ди</w:t>
      </w:r>
      <w:r>
        <w:rPr>
          <w:b/>
        </w:rPr>
        <w:t>с</w:t>
      </w:r>
      <w:r>
        <w:rPr>
          <w:b/>
        </w:rPr>
        <w:t>криминации в отношении женщин и обеспечивать соблюдение и п</w:t>
      </w:r>
      <w:r>
        <w:rPr>
          <w:b/>
        </w:rPr>
        <w:t>о</w:t>
      </w:r>
      <w:r>
        <w:rPr>
          <w:b/>
        </w:rPr>
        <w:t>ощрение их прав.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Pr>
          <w:b/>
        </w:rPr>
      </w:pPr>
      <w:r>
        <w:rPr>
          <w:b/>
        </w:rPr>
        <w:tab/>
        <w:t>Государство обязано принимать во всех областях, в частности экономической, социальной и культурной областях, все надлежащие меры для обеспечения полноценного участия женщин в развитии г</w:t>
      </w:r>
      <w:r>
        <w:rPr>
          <w:b/>
        </w:rPr>
        <w:t>о</w:t>
      </w:r>
      <w:r>
        <w:rPr>
          <w:b/>
        </w:rPr>
        <w:t>суда</w:t>
      </w:r>
      <w:r>
        <w:rPr>
          <w:b/>
        </w:rPr>
        <w:t>р</w:t>
      </w:r>
      <w:r>
        <w:rPr>
          <w:b/>
        </w:rPr>
        <w:t>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Pr>
          <w:b/>
        </w:rPr>
      </w:pPr>
      <w:r>
        <w:rPr>
          <w:b/>
        </w:rPr>
        <w:tab/>
        <w:t>Государство принимает меры по борьбе против всех форм нас</w:t>
      </w:r>
      <w:r>
        <w:rPr>
          <w:b/>
        </w:rPr>
        <w:t>и</w:t>
      </w:r>
      <w:r>
        <w:rPr>
          <w:b/>
        </w:rPr>
        <w:t>лия в отношении женщин в общественной и частной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Pr>
          <w:b/>
        </w:rPr>
      </w:pPr>
      <w:r>
        <w:rPr>
          <w:b/>
        </w:rPr>
        <w:tab/>
        <w:t>Женщины имеют право на значительную представленность в наци</w:t>
      </w:r>
      <w:r>
        <w:rPr>
          <w:b/>
        </w:rPr>
        <w:t>о</w:t>
      </w:r>
      <w:r>
        <w:rPr>
          <w:b/>
        </w:rPr>
        <w:t>нальных, провинциальных и местных органах".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Благодаря такому непосредственному учету гендерной проблематики Временная конституция, являющаяся выражением национальных чаяний, вновь подтверждает стремление страны продолжать уже начатую в ДРК пол</w:t>
      </w:r>
      <w:r>
        <w:t>и</w:t>
      </w:r>
      <w:r>
        <w:t>тику утверждения гендерного равенства. В то же время было бы желательным, чтобы этот принцип представленности распространялся уже на состав делег</w:t>
      </w:r>
      <w:r>
        <w:t>а</w:t>
      </w:r>
      <w:r>
        <w:t>ции политических деятелей, собравшихся для проведения диалога, где женщ</w:t>
      </w:r>
      <w:r>
        <w:t>и</w:t>
      </w:r>
      <w:r>
        <w:t>нам была бы выделена квота не менее 30 процентов. К сожалению, среди 318 участников было лишь 49 женщин, что составило 15 процентов. Выдвин</w:t>
      </w:r>
      <w:r>
        <w:t>у</w:t>
      </w:r>
      <w:r>
        <w:t>тые ими многочисленные требования не смогли изменить эту ситу</w:t>
      </w:r>
      <w:r>
        <w:t>а</w:t>
      </w:r>
      <w:r>
        <w:t>цию.</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3.</w:t>
      </w:r>
      <w:r>
        <w:tab/>
      </w:r>
      <w:r>
        <w:tab/>
        <w:t>Декрет № 03/027 от 16 сентября 2003 года, касающийся функций м</w:t>
      </w:r>
      <w:r>
        <w:t>и</w:t>
      </w:r>
      <w:r>
        <w:t xml:space="preserve">нистерств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Обязательство стороны соответствовать духу КЛДЖ нашло также ко</w:t>
      </w:r>
      <w:r>
        <w:t>н</w:t>
      </w:r>
      <w:r>
        <w:t>кретное воплощение в выделении структуры, занимающейся улучшением п</w:t>
      </w:r>
      <w:r>
        <w:t>о</w:t>
      </w:r>
      <w:r>
        <w:t>ложения женщин, из Генерального секретариата в автономное министерство с конкретными полномочиями, которое по значению занимает пятое место в пр</w:t>
      </w:r>
      <w:r>
        <w:t>а</w:t>
      </w:r>
      <w:r>
        <w:t xml:space="preserve">вительстве.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соответствии с пунктом В.5 статьи 1 Декрета было создано министерс</w:t>
      </w:r>
      <w:r>
        <w:t>т</w:t>
      </w:r>
      <w:r>
        <w:t>во по делам женщин, на которое были возложены следующие вопросы: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w:t>
      </w:r>
      <w:r>
        <w:rPr>
          <w:b/>
        </w:rPr>
        <w:tab/>
        <w:t>защита и укрепление статуса женщин и семьи;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w:t>
      </w:r>
      <w:r>
        <w:rPr>
          <w:b/>
        </w:rPr>
        <w:tab/>
        <w:t>изучение и осуществление всех мер, направленных на то, чтобы положить конец дискриминации в отношении женщин, и обеспечение их правов</w:t>
      </w:r>
      <w:r>
        <w:rPr>
          <w:b/>
        </w:rPr>
        <w:t>о</w:t>
      </w:r>
      <w:r>
        <w:rPr>
          <w:b/>
        </w:rPr>
        <w:t>го равенства с мужчинами;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w:t>
      </w:r>
      <w:r>
        <w:rPr>
          <w:b/>
        </w:rPr>
        <w:tab/>
        <w:t>создание соответствующей правовой и институциональной осн</w:t>
      </w:r>
      <w:r>
        <w:rPr>
          <w:b/>
        </w:rPr>
        <w:t>о</w:t>
      </w:r>
      <w:r>
        <w:rPr>
          <w:b/>
        </w:rPr>
        <w:t>вы для обеспечения участия женщин в развитии государства и значител</w:t>
      </w:r>
      <w:r>
        <w:rPr>
          <w:b/>
        </w:rPr>
        <w:t>ь</w:t>
      </w:r>
      <w:r>
        <w:rPr>
          <w:b/>
        </w:rPr>
        <w:t>ной представленности женщин в национальных, провинциальных и мес</w:t>
      </w:r>
      <w:r>
        <w:rPr>
          <w:b/>
        </w:rPr>
        <w:t>т</w:t>
      </w:r>
      <w:r>
        <w:rPr>
          <w:b/>
        </w:rPr>
        <w:t>ных органах;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w:t>
      </w:r>
      <w:r>
        <w:rPr>
          <w:b/>
        </w:rPr>
        <w:tab/>
        <w:t>сотрудничество с министерствами по правам человека, образ</w:t>
      </w:r>
      <w:r>
        <w:rPr>
          <w:b/>
        </w:rPr>
        <w:t>о</w:t>
      </w:r>
      <w:r>
        <w:rPr>
          <w:b/>
        </w:rPr>
        <w:t>вания, по делам семьи, по делам женщин и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t>-</w:t>
      </w:r>
      <w:r>
        <w:rPr>
          <w:b/>
        </w:rPr>
        <w:tab/>
        <w:t>эффективное вовлечение женщин в разработку и осуществление ра</w:t>
      </w:r>
      <w:r>
        <w:rPr>
          <w:b/>
        </w:rPr>
        <w:t>з</w:t>
      </w:r>
      <w:r>
        <w:rPr>
          <w:b/>
        </w:rPr>
        <w:t>личной политики и программ в Демократической Республике Конго</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Следует отметить, что на нынешней стадии структуры министерства не были созданы на всей территории страны и пока ограничиваются районным уровнем. На местах же мероприятия министерства осуществляются через п</w:t>
      </w:r>
      <w:r>
        <w:t>о</w:t>
      </w:r>
      <w:r>
        <w:t>средство НПО гражданского общества и служб других министерств. В связи с этим МЖС установило тесное сотрудничество с женскими объединениями и НПО, занимающимися вопросами улучшения положения женщин, которые б</w:t>
      </w:r>
      <w:r>
        <w:t>ы</w:t>
      </w:r>
      <w:r>
        <w:t>ли разбиты на 10 тематических направлений с конкретными задачами, изл</w:t>
      </w:r>
      <w:r>
        <w:t>о</w:t>
      </w:r>
      <w:r>
        <w:t>женными в Национальной программе улучшения положения конголезских женщин. Эти 10 направлений излагаются ниже.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1.</w:t>
      </w:r>
      <w:r>
        <w:rPr>
          <w:b/>
        </w:rPr>
        <w:tab/>
        <w:t>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этой области поставлены следующие задачи: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охват грамотностью к 2005 году 30 процентов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максимальный охват девочек школьным образованием на ежегодной основе;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ежегодная подготовка 137 500 конголезских женщин по различным специальностям, надлежащим технологиям и методам управления.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2.</w:t>
      </w:r>
      <w:r>
        <w:rPr>
          <w:b/>
        </w:rPr>
        <w:tab/>
        <w:t>Правовой статус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этой области были поставлены следующие задачи: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обеспечение пересмотра дискриминационных юридических полож</w:t>
      </w:r>
      <w:r>
        <w:t>е</w:t>
      </w:r>
      <w:r>
        <w:t>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ежегодное информирование 30 процентов женщин о действующих законах;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обеспечение и поддержка эффективного осуществления положений Уголовного, Семейного и Трудового кодексов, касающихся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u w:val="single"/>
        </w:rPr>
      </w:pPr>
      <w:r>
        <w:tab/>
      </w:r>
      <w:r>
        <w:rPr>
          <w:b/>
        </w:rPr>
        <w:t>3.</w:t>
      </w:r>
      <w:r>
        <w:rPr>
          <w:b/>
        </w:rPr>
        <w:tab/>
        <w:t>Обеспечение ведущей роли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этой области были поставлены следующие задачи: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обеспечение доступа женщин к 30 процентам руководящих должн</w:t>
      </w:r>
      <w:r>
        <w:t>о</w:t>
      </w:r>
      <w:r>
        <w:t>стей всех уровней;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содействие доступу 30 процентов женщин к национальным ресу</w:t>
      </w:r>
      <w:r>
        <w:t>р</w:t>
      </w:r>
      <w:r>
        <w:t>сам;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повышение к 2005 году знаний 25 000 женщин во всех областях.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u w:val="single"/>
        </w:rPr>
      </w:pPr>
      <w:r>
        <w:tab/>
      </w:r>
      <w:r>
        <w:rPr>
          <w:b/>
        </w:rPr>
        <w:t>4.</w:t>
      </w:r>
      <w:r>
        <w:rPr>
          <w:b/>
        </w:rPr>
        <w:tab/>
        <w:t>Доступ к экономическим ресурсам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этой области была поставлена следующая задача: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сокращение в течение пяти лет до 30 процентов численности же</w:t>
      </w:r>
      <w:r>
        <w:t>н</w:t>
      </w:r>
      <w:r>
        <w:t>щин, живущих в условиях нищеты.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u w:val="single"/>
        </w:rPr>
      </w:pPr>
      <w:r>
        <w:tab/>
      </w:r>
      <w:r>
        <w:rPr>
          <w:b/>
        </w:rPr>
        <w:t>5.</w:t>
      </w:r>
      <w:r>
        <w:rPr>
          <w:b/>
        </w:rPr>
        <w:tab/>
        <w:t>Женщины и здравоохранение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этой области были поставлены следующие задачи: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сокращение за пять лет материнской смертности с 1289 женщин до 500 женщин на 100 000 рождений;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снижение на 30 процентов заболеваемости женщин ЗППП и ВИЧ/СПИДом.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u w:val="single"/>
        </w:rPr>
      </w:pPr>
      <w:r>
        <w:tab/>
      </w:r>
      <w:r>
        <w:rPr>
          <w:b/>
        </w:rPr>
        <w:t>6.</w:t>
      </w:r>
      <w:r>
        <w:rPr>
          <w:b/>
        </w:rPr>
        <w:tab/>
        <w:t>Женщины, культура и средства массовой информации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этой области были поставлены следующие задачи: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содействие тому, чтобы средства массовой информации участвовали в деятельности, направленной на сокращение неравенства между мужчинами и женщинами в конголезском обществе;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улучшение и повышение значения образа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борьба с обычаями и традициями, унижающими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содействие утверждению культурных ценностей.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u w:val="single"/>
        </w:rPr>
      </w:pPr>
      <w:r>
        <w:tab/>
      </w:r>
      <w:r>
        <w:rPr>
          <w:b/>
        </w:rPr>
        <w:t>7.</w:t>
      </w:r>
      <w:r>
        <w:rPr>
          <w:b/>
        </w:rPr>
        <w:tab/>
        <w:t>Женщины и окружающая среда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этой области были поставлены следующие задачи: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обеспечение питьевой водой 50 процентов сельского населения и 10 процентов городского населения в течение пяти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оздоровление и улучшение окружающей среды.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50" w:hanging="983"/>
        <w:rPr>
          <w:b/>
        </w:rPr>
      </w:pPr>
      <w:r>
        <w:tab/>
      </w:r>
      <w:r>
        <w:rPr>
          <w:b/>
        </w:rPr>
        <w:t>8.</w:t>
      </w:r>
      <w:r>
        <w:rPr>
          <w:b/>
        </w:rPr>
        <w:tab/>
        <w:t>Женщины, сельское хозяйство и продовольственная безопа</w:t>
      </w:r>
      <w:r>
        <w:rPr>
          <w:b/>
        </w:rPr>
        <w:t>с</w:t>
      </w:r>
      <w:r>
        <w:rPr>
          <w:b/>
        </w:rPr>
        <w:t>ность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этой области были поставлены следующие задачи: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увеличение за пять лет на 50 процентов производства сельскохозя</w:t>
      </w:r>
      <w:r>
        <w:t>й</w:t>
      </w:r>
      <w:r>
        <w:t>ственных пищевых продуктов женщинами;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постепенное обеспечение продовольственной безопасности.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9.</w:t>
      </w:r>
      <w:r>
        <w:rPr>
          <w:b/>
        </w:rPr>
        <w:tab/>
        <w:t>Женщины и мир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этой области были поставлены следующие задачи: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содействие культуре мира путем поощрения участия женщин в пр</w:t>
      </w:r>
      <w:r>
        <w:t>о</w:t>
      </w:r>
      <w:r>
        <w:t>цессе урегулирования конфликтов и поддержания мира;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обеспечение во всех областях защиты женщин, являющихся жертв</w:t>
      </w:r>
      <w:r>
        <w:t>а</w:t>
      </w:r>
      <w:r>
        <w:t>ми вооруженных конфликтов;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содействие участию женщин в процессе урегулирования конфликтов и поддержания мира.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10.</w:t>
      </w:r>
      <w:r>
        <w:rPr>
          <w:b/>
        </w:rPr>
        <w:tab/>
        <w:t>Девочки и девушки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этой области была поставлена следующая задача: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обеспечение на 60 процентов защиты их прав во всех областях.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Следует отметить, что вышеупомянутые 10 направлений деятельности соответствуют подпрограммам Национальной программы улучшения полож</w:t>
      </w:r>
      <w:r>
        <w:t>е</w:t>
      </w:r>
      <w:r>
        <w:t>ния конголезских женщин (НПУПКЖ), разработанной правительством в 1999 году в соответствии с рекомендациями Всемирной конференции по пол</w:t>
      </w:r>
      <w:r>
        <w:t>о</w:t>
      </w:r>
      <w:r>
        <w:t>жению женщин (Пекин, 1995 год). Эта программа была разработана по ин</w:t>
      </w:r>
      <w:r>
        <w:t>и</w:t>
      </w:r>
      <w:r>
        <w:t>циативе МЖС при технической и финансовой поддержке со стороны ПРООН. Она была разработана на основе результатов общенационального обследования 11 провинций страны, а также на основе рекомендаций Национального форума по правам и руководящей роли женщин, состоявшегося в сентябре 1996 года в Киншасе, в работе которого приняли участие 200 представителей всех прови</w:t>
      </w:r>
      <w:r>
        <w:t>н</w:t>
      </w:r>
      <w:r>
        <w:t>ций страны. Таким образом, целью НПУПКЖ является содействие улучшению положения женщин путем ликвидации юридической дискриминации в отнош</w:t>
      </w:r>
      <w:r>
        <w:t>е</w:t>
      </w:r>
      <w:r>
        <w:t>нии женщин и постепенного достижения равенства в том, что касается доступа к экономическим ресурсам и управл</w:t>
      </w:r>
      <w:r>
        <w:t>е</w:t>
      </w:r>
      <w:r>
        <w:t xml:space="preserve">нию.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октябре 2002 года при технической и финансовой поддержке ПРООН был начат проект содействия осуществлению НПУПКЖ. Выполнение проекта идет по следующим трем направлениям: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укрепление институционального механизма (МЖС) в целях осущ</w:t>
      </w:r>
      <w:r>
        <w:t>е</w:t>
      </w:r>
      <w:r>
        <w:t>ствления НПУПКЖ;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расширение знаний о положении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активизация участия женщин в осуществлении местных стратегий борьбы с нищетой.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Ниже говорится о работе, проделанной по этим направлениям.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Укрепление институционального механизма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этой области была проделана следующая работа: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реорганизация Национального совета по делам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подготовка кадров Генерального секретариата МЖС по гендерной проблематике и методам защиты интересов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обеспечение компьютерным оборудованием;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привлечение внимания к НПУПКЖ средств массовой информации;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оказание технической поддержки созданию сети координационных центров;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налаживание работы Руководящего комитета НПУПКЖ;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создание координационных центров по гендерным вопросам во всех министерствах, НПО гражданского общества, а также на государственных и пол</w:t>
      </w:r>
      <w:r>
        <w:t>у</w:t>
      </w:r>
      <w:r>
        <w:t>государственных предприятиях.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Повышение знаний о положении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этой области была проделана следующая работа: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разработка базы данных о положении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подготовка сотрудников Учебно-планового управления по информ</w:t>
      </w:r>
      <w:r>
        <w:t>а</w:t>
      </w:r>
      <w:r>
        <w:t>тике, подсчету показателей и работе с адаптированным программным обесп</w:t>
      </w:r>
      <w:r>
        <w:t>е</w:t>
      </w:r>
      <w:r>
        <w:t xml:space="preserve">чением.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Кроме того, с декабря 2003 года при поддержке ЮНФПА осуществляется другой аналогичный проект. Он охватывает вопросы подготовки специалистов по гендерной проблематике, новейшим технологиям, управлению микрокред</w:t>
      </w:r>
      <w:r>
        <w:t>и</w:t>
      </w:r>
      <w:r>
        <w:t xml:space="preserve">тами, а также создание юридических консультаций.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br w:type="page"/>
      </w:r>
      <w:r>
        <w:rPr>
          <w:b/>
        </w:rPr>
        <w:t>Активизация участия женщин в осуществлении местных стратегий бор</w:t>
      </w:r>
      <w:r>
        <w:rPr>
          <w:b/>
        </w:rPr>
        <w:t>ь</w:t>
      </w:r>
      <w:r>
        <w:rPr>
          <w:b/>
        </w:rPr>
        <w:t>бы с нищетой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этой области была проделана следующая работа: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определение НПО и объединений, работающих в области микрокр</w:t>
      </w:r>
      <w:r>
        <w:t>е</w:t>
      </w:r>
      <w:r>
        <w:t>дитования;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ознакомление крестьянских организаций с целями НПУПКЖ;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привлечение НПО к участию в конференции по вопросам микрокр</w:t>
      </w:r>
      <w:r>
        <w:t>е</w:t>
      </w:r>
      <w:r>
        <w:t>дитования, организуемой МОМ;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осуществляется подготовка по вопросам управления микрокредит</w:t>
      </w:r>
      <w:r>
        <w:t>а</w:t>
      </w:r>
      <w:r>
        <w:t>ми и методам разработки и осуществления проектов.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МЖС уже создало свои структуры на национальном и провинциальном уровнях.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На национальном уровне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Руководящий комитет, который представляет собой орган, разраб</w:t>
      </w:r>
      <w:r>
        <w:t>а</w:t>
      </w:r>
      <w:r>
        <w:t>тывающий направления деятельности и контролирующий техническое и ф</w:t>
      </w:r>
      <w:r>
        <w:t>и</w:t>
      </w:r>
      <w:r>
        <w:t>нансовое исполнение НПУПКЖ.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Национальный совет по делам женщин - консультативный орган, з</w:t>
      </w:r>
      <w:r>
        <w:t>а</w:t>
      </w:r>
      <w:r>
        <w:t>нимающийся защитой интересов женщин и привлечением внимания к генде</w:t>
      </w:r>
      <w:r>
        <w:t>р</w:t>
      </w:r>
      <w:r>
        <w:t>ным вопросам.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Следует отметить, что проведение 1-6 декабря 2003 года Национального форума позволило создать тематические сети женских организаций.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На провинциальном уровне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Провинциальные советы по делам женщин, занимающиеся неп</w:t>
      </w:r>
      <w:r>
        <w:t>о</w:t>
      </w:r>
      <w:r>
        <w:t>средственным осуществлением программы в провинциях. В силу нехватки ф</w:t>
      </w:r>
      <w:r>
        <w:t>и</w:t>
      </w:r>
      <w:r>
        <w:t>нансовых средств соответствующие провинциальные структуры еще не были введены в строй. В то же время уже были созданы провинциальные тематич</w:t>
      </w:r>
      <w:r>
        <w:t>е</w:t>
      </w:r>
      <w:r>
        <w:t xml:space="preserve">ские сети женских организаций.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При осуществлении своих задач МЖС сталкивается с проблемой нехватки средств, поскольку на его нужды, как правило, выделяется не более 1 процента средств государственного бюджета. Следует, тем не менее, отметить, что бл</w:t>
      </w:r>
      <w:r>
        <w:t>а</w:t>
      </w:r>
      <w:r>
        <w:t>годаря соответствующей работе министерства этот показатель в 2004 году ув</w:t>
      </w:r>
      <w:r>
        <w:t>е</w:t>
      </w:r>
      <w:r>
        <w:t>личился с 1 до 6 процентов бюджета. В то же время этого, безу</w:t>
      </w:r>
      <w:r>
        <w:t>с</w:t>
      </w:r>
      <w:r>
        <w:t>ловно, по-прежнему не хватает для реализации намеченной программы. В этих условиях министерству трудно выполнять возложенные на него задачи без поддержки учреждений Организации Объединенных Наций и помощи в рамках двуст</w:t>
      </w:r>
      <w:r>
        <w:t>о</w:t>
      </w:r>
      <w:r>
        <w:t>роннего сотрудничества. Популяризация различных национальных и междун</w:t>
      </w:r>
      <w:r>
        <w:t>а</w:t>
      </w:r>
      <w:r>
        <w:t>родных правовых документов, касающихся положения женщин, не получила достаточного развития. Это, в частности, относится к КЛДЖ, Семейному и Трудовому кодексам и Конституции, которые в принципе следовало бы пер</w:t>
      </w:r>
      <w:r>
        <w:t>е</w:t>
      </w:r>
      <w:r>
        <w:t>вести на четыре государственных языка в целях содействия ознакомлению с ними большинства же</w:t>
      </w:r>
      <w:r>
        <w:t>н</w:t>
      </w:r>
      <w:r>
        <w:t>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 xml:space="preserve">Что можно сказать о соответствии законов КЛДЖ? </w:t>
      </w:r>
    </w:p>
    <w:p w:rsidR="00000000" w:rsidRDefault="00000000">
      <w:pPr>
        <w:pStyle w:val="SingleTxt"/>
        <w:numPr>
          <w:ilvl w:val="0"/>
          <w:numId w:val="312"/>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270"/>
        <w:rPr>
          <w:b/>
        </w:rPr>
      </w:pPr>
      <w:r>
        <w:rPr>
          <w:b/>
        </w:rPr>
        <w:t>Следует отметить значительные сдвиги в учете гендерной пробл</w:t>
      </w:r>
      <w:r>
        <w:rPr>
          <w:b/>
        </w:rPr>
        <w:t>е</w:t>
      </w:r>
      <w:r>
        <w:rPr>
          <w:b/>
        </w:rPr>
        <w:t>матики в текстах новых законов. Таким образом, намеченные з</w:t>
      </w:r>
      <w:r>
        <w:rPr>
          <w:b/>
        </w:rPr>
        <w:t>а</w:t>
      </w:r>
      <w:r>
        <w:rPr>
          <w:b/>
        </w:rPr>
        <w:t>дачи начинают реализовываться.</w:t>
      </w:r>
    </w:p>
    <w:p w:rsidR="00000000" w:rsidRDefault="00000000">
      <w:pPr>
        <w:pStyle w:val="SingleTxt"/>
        <w:numPr>
          <w:ilvl w:val="0"/>
          <w:numId w:val="312"/>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270"/>
        <w:rPr>
          <w:b/>
        </w:rPr>
      </w:pPr>
      <w:r>
        <w:rPr>
          <w:b/>
        </w:rPr>
        <w:t>Следует продолжить борьбу за изменение старых законов, не соо</w:t>
      </w:r>
      <w:r>
        <w:rPr>
          <w:b/>
        </w:rPr>
        <w:t>т</w:t>
      </w:r>
      <w:r>
        <w:rPr>
          <w:b/>
        </w:rPr>
        <w:t>ветствующих духу и букве КЛДЖ.</w:t>
      </w:r>
    </w:p>
    <w:p w:rsidR="00000000" w:rsidRDefault="00000000">
      <w:pPr>
        <w:pStyle w:val="SingleTxt"/>
        <w:numPr>
          <w:ilvl w:val="0"/>
          <w:numId w:val="312"/>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270"/>
        <w:rPr>
          <w:b/>
        </w:rPr>
      </w:pPr>
      <w:r>
        <w:rPr>
          <w:b/>
        </w:rPr>
        <w:t>Кроме того, НПУПКЖ является ценным механизмом для МЖС, поскольку он помогает ему в выполнении его задач: в принятии мер по улучшению положения женщин и в обеспечении меропри</w:t>
      </w:r>
      <w:r>
        <w:rPr>
          <w:b/>
        </w:rPr>
        <w:t>я</w:t>
      </w:r>
      <w:r>
        <w:rPr>
          <w:b/>
        </w:rPr>
        <w:t>тий различных организаций, занимающихся гендерными вопрос</w:t>
      </w:r>
      <w:r>
        <w:rPr>
          <w:b/>
        </w:rPr>
        <w:t>а</w:t>
      </w:r>
      <w:r>
        <w:rPr>
          <w:b/>
        </w:rPr>
        <w:t>ми.</w:t>
      </w:r>
    </w:p>
    <w:p w:rsidR="00000000" w:rsidRDefault="00000000">
      <w:pPr>
        <w:pStyle w:val="SingleTxt"/>
        <w:numPr>
          <w:ilvl w:val="0"/>
          <w:numId w:val="312"/>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270"/>
        <w:rPr>
          <w:b/>
        </w:rPr>
      </w:pPr>
      <w:r>
        <w:rPr>
          <w:b/>
        </w:rPr>
        <w:t>Создание 10 тематических групп на национальном и провинциал</w:t>
      </w:r>
      <w:r>
        <w:rPr>
          <w:b/>
        </w:rPr>
        <w:t>ь</w:t>
      </w:r>
      <w:r>
        <w:rPr>
          <w:b/>
        </w:rPr>
        <w:t>ном уровнях предоставляет женщинам возможность координации действий, направленных на улучшение их положения.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ind w:left="1260"/>
        <w:rPr>
          <w:sz w:val="10"/>
        </w:rPr>
      </w:pPr>
      <w:r>
        <w:rPr>
          <w:b/>
        </w:rP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 xml:space="preserve">Глава </w:t>
      </w:r>
      <w:r>
        <w:rPr>
          <w:b w:val="0"/>
        </w:rPr>
        <w:t>I</w:t>
      </w:r>
      <w:r>
        <w:t xml:space="preserve">I. </w:t>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 xml:space="preserve">Рассмотрение конголезских юридических документов, имеющих отношение к КЛДЖ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1.</w:t>
      </w:r>
      <w:r>
        <w:tab/>
        <w:t>Трудовой кодекс</w:t>
      </w:r>
      <w:r>
        <w:tab/>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Принятие Закона № 015/2002 от 16 октября 2002 года о введении Трудов</w:t>
      </w:r>
      <w:r>
        <w:t>о</w:t>
      </w:r>
      <w:r>
        <w:t>го кодекса является ответом на многочисленные требования укрепления ант</w:t>
      </w:r>
      <w:r>
        <w:t>и</w:t>
      </w:r>
      <w:r>
        <w:t>дискриминационных мер по отношению к работающим женщинам путем ли</w:t>
      </w:r>
      <w:r>
        <w:t>к</w:t>
      </w:r>
      <w:r>
        <w:t>видации часто встречавшихся случаев неравенства. И действительно, в допо</w:t>
      </w:r>
      <w:r>
        <w:t>л</w:t>
      </w:r>
      <w:r>
        <w:t>нение к ценным положениям прежнего кодекса новым законом были введены изменения, направленные на обеспечение равенства возможностей и условий трудящихся без различия по признаку пола и способствующие тем самым ос</w:t>
      </w:r>
      <w:r>
        <w:t>у</w:t>
      </w:r>
      <w:r>
        <w:t>щест</w:t>
      </w:r>
      <w:r>
        <w:t>в</w:t>
      </w:r>
      <w:r>
        <w:t xml:space="preserve">лению прав работающих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Ниже приводятся положения, которые в связи с этим следует выделить.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1</w:t>
      </w:r>
      <w:r>
        <w:t>, в которой оговаривается, что нынешний кодекс применяется в отношении работников и нанимателей независимо от их пола и гражданского состояния.</w:t>
      </w:r>
    </w:p>
    <w:p w:rsidR="00000000" w:rsidRDefault="00000000">
      <w:pPr>
        <w:pStyle w:val="SingleTxt"/>
        <w:numPr>
          <w:ilvl w:val="0"/>
          <w:numId w:val="314"/>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Исключение положения о прямом возражении мужа</w:t>
      </w:r>
      <w:r>
        <w:t xml:space="preserve"> против найма его жены. Согласно пункту 1 С статьи 3 прежнего Трудового кодекса, замужняя женщина могла наниматься на работу при условии отсутс</w:t>
      </w:r>
      <w:r>
        <w:t>т</w:t>
      </w:r>
      <w:r>
        <w:t>вия прямого возр</w:t>
      </w:r>
      <w:r>
        <w:t>а</w:t>
      </w:r>
      <w:r>
        <w:t>жения ее мужа.</w:t>
      </w:r>
    </w:p>
    <w:p w:rsidR="00000000" w:rsidRDefault="00000000">
      <w:pPr>
        <w:pStyle w:val="SingleTxt"/>
        <w:numPr>
          <w:ilvl w:val="0"/>
          <w:numId w:val="314"/>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Сексуальное домогательство и моральное давление</w:t>
      </w:r>
      <w:r>
        <w:t xml:space="preserve"> (статьи 73 и 74), а также запугивание отныне считаются тяжким дисциплинарным поступком со стороны нанимателя или работника и могут привести к расторжению контра</w:t>
      </w:r>
      <w:r>
        <w:t>к</w:t>
      </w:r>
      <w:r>
        <w:t>та.</w:t>
      </w:r>
    </w:p>
    <w:p w:rsidR="00000000" w:rsidRDefault="00000000">
      <w:pPr>
        <w:pStyle w:val="SingleTxt"/>
        <w:numPr>
          <w:ilvl w:val="0"/>
          <w:numId w:val="314"/>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Право на жилье</w:t>
      </w:r>
      <w:r>
        <w:t>. Согласно прежнему Трудовому кодексу, замужняя работающая женщина не имела права на жилье. В статье 138 нового кодекса оговаривается, что работающие женщины имеют право на жилье или на надбавку на оплату квартиры. Гражданское состояние не является больше препятствием для осуществления этого права, св</w:t>
      </w:r>
      <w:r>
        <w:t>я</w:t>
      </w:r>
      <w:r>
        <w:t>занного с контрактом.</w:t>
      </w:r>
    </w:p>
    <w:p w:rsidR="00000000" w:rsidRDefault="00000000">
      <w:pPr>
        <w:pStyle w:val="SingleTxt"/>
        <w:numPr>
          <w:ilvl w:val="0"/>
          <w:numId w:val="314"/>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Статья 62</w:t>
      </w:r>
      <w:r>
        <w:t xml:space="preserve"> нового кодекса содержит положения, прямо исключающие следующие основания для увольнения: пол, гражданское состояние, семейные обязанности, беременность и ее последствия, отсутствие работы во время о</w:t>
      </w:r>
      <w:r>
        <w:t>т</w:t>
      </w:r>
      <w:r>
        <w:t>пуска по беременности и родам.</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2.</w:t>
      </w:r>
      <w:r>
        <w:tab/>
        <w:t xml:space="preserve">Семейный кодекс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Семейный кодекс, принятый 1 августа 1987 года, явился позитивным ш</w:t>
      </w:r>
      <w:r>
        <w:t>а</w:t>
      </w:r>
      <w:r>
        <w:t>гом вперед в улучшении положения женщин по сравнению с ранее действ</w:t>
      </w:r>
      <w:r>
        <w:t>о</w:t>
      </w:r>
      <w:r>
        <w:t>вавшим гражданским кодексом. В него внесены позитивные изменения в том, что касается согласия на брак, правопреемства и наличия взаимных прав и об</w:t>
      </w:r>
      <w:r>
        <w:t>я</w:t>
      </w:r>
      <w:r>
        <w:t>занностей в браке. Тем не менее он также содержит положения, противореч</w:t>
      </w:r>
      <w:r>
        <w:t>а</w:t>
      </w:r>
      <w:r>
        <w:t>щие д</w:t>
      </w:r>
      <w:r>
        <w:t>у</w:t>
      </w:r>
      <w:r>
        <w:t>ху КЛДЖ, которые отмечаются ниже.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Глава II: Личные права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В </w:t>
      </w:r>
      <w:r>
        <w:rPr>
          <w:b/>
        </w:rPr>
        <w:t>пункте 1 статьи 59</w:t>
      </w:r>
      <w:r>
        <w:t>, касающемся определения имени ребенка, в случае разногласий приоритет отдается отцу. Эта статья противоречит положениям пунктов 1 [с] и [d] статьи 16 КЛДЖ</w:t>
      </w:r>
      <w:r>
        <w:rPr>
          <w:vertAlign w:val="superscript"/>
        </w:rPr>
        <w:t>6</w:t>
      </w:r>
      <w:r>
        <w:t>, которые предоставляют одинаковые права и обязанности родителям в вопросах, касающихся их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Пункт 1 статьи 148</w:t>
      </w:r>
      <w:r>
        <w:t>, касающийся выдачи свидетельства о браке одному супругу при заключении или регистрации брака, противоречит пункту 1 [с] статьи 16 КЛДЖ</w:t>
      </w:r>
      <w:r>
        <w:rPr>
          <w:vertAlign w:val="superscript"/>
        </w:rPr>
        <w:t>7</w:t>
      </w:r>
      <w:r>
        <w:t xml:space="preserve">, в котором предоставляются одинаковые права и обязанности в период брака и при его расторжении.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150</w:t>
      </w:r>
      <w:r>
        <w:t xml:space="preserve"> признает право обратиться с просьбой о восстановления св</w:t>
      </w:r>
      <w:r>
        <w:t>и</w:t>
      </w:r>
      <w:r>
        <w:t>детельства о браке в случае его потери только за одним супругом. Эта статья противоречит пункту 1 [с] статьи 16 КЛДЖ</w:t>
      </w:r>
      <w:r>
        <w:rPr>
          <w:vertAlign w:val="superscript"/>
        </w:rPr>
        <w:t>8</w:t>
      </w:r>
      <w:r>
        <w:t>, в котором предоставляются од</w:t>
      </w:r>
      <w:r>
        <w:t>и</w:t>
      </w:r>
      <w:r>
        <w:t xml:space="preserve">наковые права и обязанности в период брака.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165</w:t>
      </w:r>
      <w:r>
        <w:t>, согласно которой замужняя женщина должна проживать у своего мужа, противоречит пункту 4 статьи 15</w:t>
      </w:r>
      <w:r>
        <w:rPr>
          <w:vertAlign w:val="superscript"/>
        </w:rPr>
        <w:t>9</w:t>
      </w:r>
      <w:r>
        <w:t xml:space="preserve"> и пункту 1 [h] статьи 16</w:t>
      </w:r>
      <w:r>
        <w:rPr>
          <w:vertAlign w:val="superscript"/>
        </w:rPr>
        <w:t>10</w:t>
      </w:r>
      <w:r>
        <w:t xml:space="preserve">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190</w:t>
      </w:r>
      <w:r>
        <w:t>, в своем четвертом пункте, в котором лишь от жены, пер</w:t>
      </w:r>
      <w:r>
        <w:t>е</w:t>
      </w:r>
      <w:r>
        <w:t>жившей мужа требуется получение разрешения на временное продолжение о</w:t>
      </w:r>
      <w:r>
        <w:t>д</w:t>
      </w:r>
      <w:r>
        <w:t>ного из двух режимов общности имущества в случае принятия судебного р</w:t>
      </w:r>
      <w:r>
        <w:t>е</w:t>
      </w:r>
      <w:r>
        <w:t>шения о признании лица безвестно отсутствующим, противоречит статье 15.2 КЛДЖ</w:t>
      </w:r>
      <w:r>
        <w:rPr>
          <w:vertAlign w:val="superscript"/>
        </w:rPr>
        <w:t>11</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Статьи 198 и 200</w:t>
      </w:r>
      <w:r>
        <w:t>, касающиеся вопроса об отсутствии отца в течение о</w:t>
      </w:r>
      <w:r>
        <w:t>п</w:t>
      </w:r>
      <w:r>
        <w:t>ределенного времени, которые не признают родительские права за одной мат</w:t>
      </w:r>
      <w:r>
        <w:t>е</w:t>
      </w:r>
      <w:r>
        <w:t>рью и возлагают такие права также на одного из членов семьи отца, против</w:t>
      </w:r>
      <w:r>
        <w:t>о</w:t>
      </w:r>
      <w:r>
        <w:t>речат положениям пункта 1 [d] статьи 16 КЛДЖ</w:t>
      </w:r>
      <w:r>
        <w:rPr>
          <w:vertAlign w:val="superscript"/>
        </w:rPr>
        <w:t>12</w:t>
      </w:r>
      <w:r>
        <w:t>, в котором предусматрив</w:t>
      </w:r>
      <w:r>
        <w:t>а</w:t>
      </w:r>
      <w:r>
        <w:t>ются одинаковые права и обязанности мужчин и женщин как родителей в в</w:t>
      </w:r>
      <w:r>
        <w:t>о</w:t>
      </w:r>
      <w:r>
        <w:t xml:space="preserve">просах, касающихся их детей.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215</w:t>
      </w:r>
      <w:r>
        <w:t>, ограничивающая правоспособность замужней женщины, противоречит статье 15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223</w:t>
      </w:r>
      <w:r>
        <w:t>, в которой говорится, что опекун должен быть правоспосо</w:t>
      </w:r>
      <w:r>
        <w:t>б</w:t>
      </w:r>
      <w:r>
        <w:t>ным лицом, исключает тем самым замужнюю женщину, которая рассматрив</w:t>
      </w:r>
      <w:r>
        <w:t>а</w:t>
      </w:r>
      <w:r>
        <w:t>ется в качестве неправоспособного лица. Эта статья противоречит статье 5 КЛДЖ</w:t>
      </w:r>
      <w:r>
        <w:rPr>
          <w:vertAlign w:val="superscript"/>
        </w:rPr>
        <w:t>17</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264</w:t>
      </w:r>
      <w:r>
        <w:t>, в которой говорится о составе опекунского совета и отмеч</w:t>
      </w:r>
      <w:r>
        <w:t>а</w:t>
      </w:r>
      <w:r>
        <w:t>ется, что по крайней мере один из шести его членов должен быть женщиной, противоречит духу статьи 16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275</w:t>
      </w:r>
      <w:r>
        <w:t>, в которой говорится о "юридическом отце", может вызвать дискриминационные презумпции и подходы в отношении женщин и может вступить в противоречие с пунктом 1 [d] статьи 16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Статьи 288, 289 и 292</w:t>
      </w:r>
      <w:r>
        <w:t>, в которых говорится о приобретении в полном объеме дееспособности несовершеннолетними девушками, вступающими в брак в 15 лет, противоречат пункту 2 статьи 16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Пункт 2 статьи 317</w:t>
      </w:r>
      <w:r>
        <w:t xml:space="preserve"> предоставляет преимущественное право отцу в сл</w:t>
      </w:r>
      <w:r>
        <w:t>у</w:t>
      </w:r>
      <w:r>
        <w:t>чае разногласий между отцом и матерью в отношении их совместных прав на детей. Эта статья противоречит пункту 1 [d] статьи 16 КЛДЖ</w:t>
      </w:r>
      <w:r>
        <w:rPr>
          <w:vertAlign w:val="superscript"/>
        </w:rPr>
        <w:t>21</w:t>
      </w:r>
      <w:r>
        <w:t>, в котором пр</w:t>
      </w:r>
      <w:r>
        <w:t>е</w:t>
      </w:r>
      <w:r>
        <w:t>дусматриваются одинаковые права и обязанности мужчин и женщин как род</w:t>
      </w:r>
      <w:r>
        <w:t>и</w:t>
      </w:r>
      <w:r>
        <w:t>телей в вопросах, касающихся их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322</w:t>
      </w:r>
      <w:r>
        <w:t>, отсылающая к статье 198, назначающей в дополнение к жене, муж которой отсутствует, члена семьи ее мужа, наделяя его родительским пр</w:t>
      </w:r>
      <w:r>
        <w:t>а</w:t>
      </w:r>
      <w:r>
        <w:t>вом в отношении несовершеннолетних детей, противоречит пункту 1 [d] ст</w:t>
      </w:r>
      <w:r>
        <w:t>а</w:t>
      </w:r>
      <w:r>
        <w:t>тьи 16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Глава III. Семья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352</w:t>
      </w:r>
      <w:r>
        <w:t>, в которой говорится о возрасте вступления в брак (15 лет для девушек и 18 лет для юношей) и устанавливается тем самым дискриминация между девушками и юношами, противоречит пункту 1[а] статьи 16 КЛДЖ</w:t>
      </w:r>
      <w:r>
        <w:rPr>
          <w:vertAlign w:val="superscript"/>
        </w:rPr>
        <w:t>23</w:t>
      </w:r>
      <w:r>
        <w:t>, в котором предусматриваются одинаковые права мужчин и женщин на вступл</w:t>
      </w:r>
      <w:r>
        <w:t>е</w:t>
      </w:r>
      <w:r>
        <w:t>ние в брак.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В </w:t>
      </w:r>
      <w:r>
        <w:rPr>
          <w:b/>
        </w:rPr>
        <w:t>статье 355</w:t>
      </w:r>
      <w:r>
        <w:t xml:space="preserve"> говорится о повторном вступлении в брак по истечении 300 дней с момента расторжения или признания недействительным предыд</w:t>
      </w:r>
      <w:r>
        <w:t>у</w:t>
      </w:r>
      <w:r>
        <w:t>щего брака. Этот срок установлен только для женщин. В качестве обоснования говорится о возможной беременности. Эта статья противоречит положениям пункта 1[а] статьи 16 КЛДЖ</w:t>
      </w:r>
      <w:r>
        <w:rPr>
          <w:vertAlign w:val="superscript"/>
        </w:rPr>
        <w:t>24</w:t>
      </w:r>
      <w:r>
        <w:t>, в котором предусматриваются одинаковые пр</w:t>
      </w:r>
      <w:r>
        <w:t>а</w:t>
      </w:r>
      <w:r>
        <w:t xml:space="preserve">ва на вступление в брак для мужчин 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407</w:t>
      </w:r>
      <w:r>
        <w:t xml:space="preserve"> Семейного кодекса, касающаяся заключения или регистрации брака мужчины в возрасте менее 18 лет или девушки в возрасте менее 15 лет, противоречит пункту 2 статьи 16 КЛДЖ, в котором говорится, что обручение и брак ребенка не имеют юридической силы.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412</w:t>
      </w:r>
      <w:r>
        <w:t>, в которой запрещается традиционная практика полиандрии и ни слова не говорится о полигамии, противоречит статье 2 [с] КЛДЖ</w:t>
      </w:r>
      <w:r>
        <w:rPr>
          <w:vertAlign w:val="superscript"/>
        </w:rPr>
        <w:t>29</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Статьи 420-422</w:t>
      </w:r>
      <w:r>
        <w:t xml:space="preserve"> Семейного кодекса, в которых говорится о том, что д</w:t>
      </w:r>
      <w:r>
        <w:t>е</w:t>
      </w:r>
      <w:r>
        <w:t>вочки вступают в возраст половой зрелости в 14 лет, и тем самым предполаг</w:t>
      </w:r>
      <w:r>
        <w:t>а</w:t>
      </w:r>
      <w:r>
        <w:t>ется раннее вступление в брак в возрасте менее 18 лет, противоречат пункту 2 статьи 16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Статьи 444 и 445</w:t>
      </w:r>
      <w:r>
        <w:t>, в которых говорится, что главой семьи является муж, противоречат пункту 1 [с] статьи 16 КЛДЖ</w:t>
      </w:r>
      <w:r>
        <w:rPr>
          <w:vertAlign w:val="superscript"/>
        </w:rPr>
        <w:t>31</w:t>
      </w:r>
      <w:r>
        <w:t>, который предусматривает один</w:t>
      </w:r>
      <w:r>
        <w:t>а</w:t>
      </w:r>
      <w:r>
        <w:t>ковые права и обязанности обоих супругов в период брака и при его расторж</w:t>
      </w:r>
      <w:r>
        <w:t>е</w:t>
      </w:r>
      <w:r>
        <w:t>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448</w:t>
      </w:r>
      <w:r>
        <w:t>, в которой содержится требование о наличии у замужней женщины разрешения супруга на все юридические действия, которые она с</w:t>
      </w:r>
      <w:r>
        <w:t>о</w:t>
      </w:r>
      <w:r>
        <w:t>вершает, противоречит пункту 2 статьи 15 КЛДЖ</w:t>
      </w:r>
      <w:r>
        <w:rPr>
          <w:vertAlign w:val="superscript"/>
        </w:rPr>
        <w:t>32</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450</w:t>
      </w:r>
      <w:r>
        <w:t>, в которой содержится требование о получении замужней женщиной разрешения супруга на предъявление гражданских исков, приобр</w:t>
      </w:r>
      <w:r>
        <w:t>е</w:t>
      </w:r>
      <w:r>
        <w:t>тение, отчуждение или взятие на себя обязательств в отношении какой-либо собственности, противоречит пункту 1 [h] статьи 16 КЛДЖ</w:t>
      </w:r>
      <w:r>
        <w:rPr>
          <w:vertAlign w:val="superscript"/>
        </w:rPr>
        <w:t>33</w:t>
      </w:r>
      <w:r>
        <w:t>, который пред</w:t>
      </w:r>
      <w:r>
        <w:t>у</w:t>
      </w:r>
      <w:r>
        <w:t xml:space="preserve">сматривает одинаковые права супругов в отношении владения, приобретения, управления, пользования и распоряжения имуществом как бесплатно, так и за плату.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Статьи 454-455</w:t>
      </w:r>
      <w:r>
        <w:t>, которые обязывают супругу следовать за своим мужем повсюду, где он считает нужным проживать, или во всех случаях, когда он с</w:t>
      </w:r>
      <w:r>
        <w:t>о</w:t>
      </w:r>
      <w:r>
        <w:t>бирается предъявлять иск, противоречат пункту 1 [d] статьи 16 КЛДЖ</w:t>
      </w:r>
      <w:r>
        <w:rPr>
          <w:vertAlign w:val="superscript"/>
        </w:rPr>
        <w:t>34</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Статьи 467 и 468</w:t>
      </w:r>
      <w:r>
        <w:t>, в которых предусматривается различное отношение к супружеской неверности женщины и мужчины, противоречат статье 2 [g]</w:t>
      </w:r>
      <w:r>
        <w:rPr>
          <w:vertAlign w:val="superscript"/>
        </w:rPr>
        <w:t>35</w:t>
      </w:r>
      <w:r>
        <w:t xml:space="preserve"> и пункту 1 статьи 15 КЛДЖ</w:t>
      </w:r>
      <w:r>
        <w:rPr>
          <w:vertAlign w:val="superscript"/>
        </w:rPr>
        <w:t>36</w:t>
      </w:r>
      <w:r>
        <w:t>, в которых содержится требование к государствам признать за женщинами равенство с мужчинами перед законом.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Пункт 2 статьи 490</w:t>
      </w:r>
      <w:r>
        <w:t>, согласно которому независимо от режима имущес</w:t>
      </w:r>
      <w:r>
        <w:t>т</w:t>
      </w:r>
      <w:r>
        <w:t>венных отношений между супругами управление общим и личным имущес</w:t>
      </w:r>
      <w:r>
        <w:t>т</w:t>
      </w:r>
      <w:r>
        <w:t>вом возлагается на мужа. Это положение противоречит положениям пункта 3 статьи 15 КЛДЖ</w:t>
      </w:r>
      <w:r>
        <w:rPr>
          <w:vertAlign w:val="superscript"/>
        </w:rPr>
        <w:t>37</w:t>
      </w:r>
      <w:r>
        <w:t xml:space="preserve"> о том, что все договоры и все другие частные документы любого рода, имеющие своим правовым последствием ограничение правосп</w:t>
      </w:r>
      <w:r>
        <w:t>о</w:t>
      </w:r>
      <w:r>
        <w:t>собности женщин, считаются недействительными.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Статья 497, пункт 2, статьи 515, 524 и 531</w:t>
      </w:r>
      <w:r>
        <w:t xml:space="preserve"> Семейного кодекса, которые возлагают на мужа управление и распоряжение имуществом, приобретенным женой при осуществлении ее профессиональной деятельности, противоречат положениям пункта 1 [f] статьи 16 КЛДЖ</w:t>
      </w:r>
      <w:r>
        <w:rPr>
          <w:vertAlign w:val="superscript"/>
        </w:rPr>
        <w:t>38</w:t>
      </w:r>
      <w:r>
        <w:t>, который предусматривает один</w:t>
      </w:r>
      <w:r>
        <w:t>а</w:t>
      </w:r>
      <w:r>
        <w:t>ковые права и обязанности супругов в период брака и при его расторжении. Кроме того, сегодня ведение домашнего хозяйства все в большей степени л</w:t>
      </w:r>
      <w:r>
        <w:t>о</w:t>
      </w:r>
      <w:r>
        <w:t>жится на же</w:t>
      </w:r>
      <w:r>
        <w:t>н</w:t>
      </w:r>
      <w:r>
        <w:t>щин, которые делают это лучше мужчин.</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3.</w:t>
      </w:r>
      <w:r>
        <w:tab/>
        <w:t>Уголовный кодекс</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Уголовный кодекс априори не содержит дискриминационных положений, поскольку предусматриваемые в нем наказания устанавливаются в безличной форме. В нем предусматриваются наказания за следующие правонарушения, связанные с посягательством на достоинство же</w:t>
      </w:r>
      <w:r>
        <w:t>н</w:t>
      </w:r>
      <w:r>
        <w:t>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подстрекательство к безнравственному поведению (статьи 172, 173, 174 главы II УК);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изнасилование (статьи 170 и 171 главы II УК);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сутенерство (статья 174-бис главы II УК);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развратные действия (статьи 167 и 168 УК);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аборт (статья 165 УК).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Наблюдающееся нежелание налагать положенные меры наказания судами и трибуналами характерно не только для правонарушений, связанных с защ</w:t>
      </w:r>
      <w:r>
        <w:t>и</w:t>
      </w:r>
      <w:r>
        <w:t>той женщин; этот недуг поразил сегодня всю конголезскую судебную систему, что, по-видимому, связано с плохими условиями труда.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то же время еще одним неправомерным положением, которое следует устранить, является положение о супружеской неверности. И действительно, в статье 3 дополнительных положений Уголовного кодекса говорится следу</w:t>
      </w:r>
      <w:r>
        <w:t>ю</w:t>
      </w:r>
      <w:r>
        <w:t>щее: "Женщина, изобличенная в супружеской неверности, наказывается лиш</w:t>
      </w:r>
      <w:r>
        <w:t>е</w:t>
      </w:r>
      <w:r>
        <w:t>нием свободы сроком от одного месяца до одного года и штрафом в 100 000 конголезских франков или подпадает под одну из этих мер наказания. Такое же наказание в отношении мужа, изобличенного в супружеской неверн</w:t>
      </w:r>
      <w:r>
        <w:t>о</w:t>
      </w:r>
      <w:r>
        <w:t xml:space="preserve">сти, предусматривается в том случае, </w:t>
      </w:r>
      <w:r>
        <w:rPr>
          <w:b/>
        </w:rPr>
        <w:t>если супружеская неверность сопров</w:t>
      </w:r>
      <w:r>
        <w:rPr>
          <w:b/>
        </w:rPr>
        <w:t>о</w:t>
      </w:r>
      <w:r>
        <w:rPr>
          <w:b/>
        </w:rPr>
        <w:t>ждалась обстоятельствами, позволяющими говорить о нанесении тяжкого оскорбления</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Это положение Уголовного кодекса нарушает как Конституцию, предо</w:t>
      </w:r>
      <w:r>
        <w:t>с</w:t>
      </w:r>
      <w:r>
        <w:t>тавляющую гражданам одинаковую защиту перед законом, так и Семейный к</w:t>
      </w:r>
      <w:r>
        <w:t>о</w:t>
      </w:r>
      <w:r>
        <w:t>декс, который обязывает супругов соблюдать взаимную верность, а также ст</w:t>
      </w:r>
      <w:r>
        <w:t>а</w:t>
      </w:r>
      <w:r>
        <w:t xml:space="preserve">тью 15 КЛДЖ.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4.</w:t>
      </w:r>
      <w:r>
        <w:tab/>
        <w:t xml:space="preserve">Статус государственных служащих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Законе № 81-003 от 17 июля 1981 года, касающемся статуса гражда</w:t>
      </w:r>
      <w:r>
        <w:t>н</w:t>
      </w:r>
      <w:r>
        <w:t>ских служащих, устанавливаются условия набора, оплаты труда, повышения в должности и другие социальные льготы без какой-либо дискриминации по признаку пола. Единственное несоответствие связано со статьей 25, в которой не признается социальная функция материнства, поскольку женщина лишается права на ежегодный отпуск после того, как она в течение того же года брала отпуск по б</w:t>
      </w:r>
      <w:r>
        <w:t>е</w:t>
      </w:r>
      <w:r>
        <w:t>ременности и родам.</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5.</w:t>
      </w:r>
      <w:r>
        <w:tab/>
        <w:t xml:space="preserve">Закон о гражданстве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Конголезское гражданство в настоящее время регламентируется Декр</w:t>
      </w:r>
      <w:r>
        <w:t>е</w:t>
      </w:r>
      <w:r>
        <w:t>том-законом № 197 от 29 января 1999 года, изменяющим и дополняющим З</w:t>
      </w:r>
      <w:r>
        <w:t>а</w:t>
      </w:r>
      <w:r>
        <w:t>кон № 81-002 от 29 июня 1981 года, являющийся первой главой Семейного к</w:t>
      </w:r>
      <w:r>
        <w:t>о</w:t>
      </w:r>
      <w:r>
        <w:t>декса. Следует отметить, что внесенные первой главой Семейного кодекса и</w:t>
      </w:r>
      <w:r>
        <w:t>з</w:t>
      </w:r>
      <w:r>
        <w:t>менения соблюдаются.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 новом законе подтверждается принцип единственности и искл</w:t>
      </w:r>
      <w:r>
        <w:t>ю</w:t>
      </w:r>
      <w:r>
        <w:t>чительности конголезского гражданства.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Что касается женщин, то в статье 5 нового закона признается право женщин так же, как и мужчин, передавать конголезское гражданство по родс</w:t>
      </w:r>
      <w:r>
        <w:t>т</w:t>
      </w:r>
      <w:r>
        <w:t>ву, что соответствует положениям статей 2 и 3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Несоответствие, которое следует устранить, касается статьи 30, где потеря гражданства в результате вступления в брак с иностранцем предусма</w:t>
      </w:r>
      <w:r>
        <w:t>т</w:t>
      </w:r>
      <w:r>
        <w:t>ривается лишь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i/>
        </w:rPr>
      </w:pPr>
      <w:r>
        <w:tab/>
        <w:t>-</w:t>
      </w:r>
      <w:r>
        <w:tab/>
      </w:r>
      <w:r>
        <w:rPr>
          <w:b/>
          <w:i/>
        </w:rPr>
        <w:t>Нарушение статьи 9 КЛДЖ, согласно которой женщинам пр</w:t>
      </w:r>
      <w:r>
        <w:rPr>
          <w:b/>
          <w:i/>
        </w:rPr>
        <w:t>е</w:t>
      </w:r>
      <w:r>
        <w:rPr>
          <w:b/>
          <w:i/>
        </w:rPr>
        <w:t>доставляются равные с мужчинами права в отношении приобретения, и</w:t>
      </w:r>
      <w:r>
        <w:rPr>
          <w:b/>
          <w:i/>
        </w:rPr>
        <w:t>з</w:t>
      </w:r>
      <w:r>
        <w:rPr>
          <w:b/>
          <w:i/>
        </w:rPr>
        <w:t>менения или сохранения их гражданства.</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6.</w:t>
      </w:r>
      <w:r>
        <w:tab/>
        <w:t xml:space="preserve">Закон о землевладении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Закон № 73-021 от 20 июля 1973 года, касающийся общих имуществе</w:t>
      </w:r>
      <w:r>
        <w:t>н</w:t>
      </w:r>
      <w:r>
        <w:t>ных отношений, владения землей и недвижимостью и порядка обеспечения и</w:t>
      </w:r>
      <w:r>
        <w:t>с</w:t>
      </w:r>
      <w:r>
        <w:t>полнения обязательств, в его измененном и дополненном виде не содержит дискриминационных положений. Основной принцип состоит в том, что гос</w:t>
      </w:r>
      <w:r>
        <w:t>у</w:t>
      </w:r>
      <w:r>
        <w:t>дарство является исключительным собственником земли и недр. Граждане без различия по признаку пола могут в рамках закона воспользоваться правом на распоряжение имуществом. Однако на практике женщины пользуются этим правом редко, что вызвано прежде всего незнанием соответствующих проц</w:t>
      </w:r>
      <w:r>
        <w:t>е</w:t>
      </w:r>
      <w:r>
        <w:t>дур, а также невысоким уровнем их доходов. Следует также отметить неправ</w:t>
      </w:r>
      <w:r>
        <w:t>о</w:t>
      </w:r>
      <w:r>
        <w:t>мерное положение, касающееся неправоспособности замужних женщин. В рассматриваемом случае, когда замужняя женщина хочет приобрести имущ</w:t>
      </w:r>
      <w:r>
        <w:t>е</w:t>
      </w:r>
      <w:r>
        <w:t>ственное право на какой-либо участок земли, она должна предварительно зар</w:t>
      </w:r>
      <w:r>
        <w:t>у</w:t>
      </w:r>
      <w:r>
        <w:t>читься разрешением су</w:t>
      </w:r>
      <w:r>
        <w:t>п</w:t>
      </w:r>
      <w:r>
        <w:t>руга.</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7.</w:t>
      </w:r>
      <w:r>
        <w:tab/>
        <w:t xml:space="preserve">Закон о политических партиях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Закон № 001/2001 от 17 мая 2001 года, касающийся создания и функци</w:t>
      </w:r>
      <w:r>
        <w:t>о</w:t>
      </w:r>
      <w:r>
        <w:t>нирования партий, соответствует Конституции и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Согласно этому закону, в ходе создания, организации и функциониров</w:t>
      </w:r>
      <w:r>
        <w:t>а</w:t>
      </w:r>
      <w:r>
        <w:t xml:space="preserve">ния политических партий, они должны обеспечить отсутствие дискриминации по признаку этнического происхождения, религии, </w:t>
      </w:r>
      <w:r>
        <w:rPr>
          <w:b/>
        </w:rPr>
        <w:t>пола</w:t>
      </w:r>
      <w:r>
        <w:t xml:space="preserve"> и языка. Следует о</w:t>
      </w:r>
      <w:r>
        <w:t>б</w:t>
      </w:r>
      <w:r>
        <w:t>ратить внимание скорее на степень участия женщин в политической деятел</w:t>
      </w:r>
      <w:r>
        <w:t>ь</w:t>
      </w:r>
      <w:r>
        <w:t>ности. Общая ситуация такова, что, несмотря на многопартийность, женщины по-прежнему не проявляют активности при создании политических партий и вступлении в них. Например, в настоящее время учредителями политических партий являются только восемь женщин по сравнению с 392 мужчинами, что составляет 2 процента. Создается впечатление, что конголезские женщины больше склонны создавать НПО и другие объединения, нежели политические партии. Важнейшая задача состоит в том, чтобы женщины осознали, что для того, чтобы заниматься политической деятельностью, нужно иметь концепцию социального развития и располагать возможностями довести эту концепцию до целевой аудитории. Политические партии являются наилучшим форумом для этого. Следует признать, что при старом режиме, отличавшемся однопартийн</w:t>
      </w:r>
      <w:r>
        <w:t>о</w:t>
      </w:r>
      <w:r>
        <w:t>стью, назначение на политические должности было, как правило, привилегией тех, кто находился у власти; однако с наступлением многопартийности за свое место в политической жизни приходится бороться. Условия для ведения этой борьбы являются благоприятными, поскольку менталитет населения претерпел позитивные изменения. Женщины, желающие заниматься политикой, больше не подвергаются систематическому бойкоту. В этих условиях актуальным ост</w:t>
      </w:r>
      <w:r>
        <w:t>а</w:t>
      </w:r>
      <w:r>
        <w:t>ется вопрос об осознании женщинами своих прав и возможностей. В связи с этим следует приветствовать инициативы некоторых политических деятелей из числа женщин, которые вели плодотворную деятельность, направленную на пробуждение сознания, активно используя для этого различные сети и форумы. Их опыт заслуживает распространения на всю страну. Исходя из этого, 14 мая 2004 года в целях координации и достижения взаимодополняемости действий на местах 28 сетей организаций по делам женщин были объединены в темат</w:t>
      </w:r>
      <w:r>
        <w:t>и</w:t>
      </w:r>
      <w:r>
        <w:t>ческую группу "</w:t>
      </w:r>
      <w:r>
        <w:rPr>
          <w:b/>
        </w:rPr>
        <w:t>Женщины и руководство</w:t>
      </w:r>
      <w:r>
        <w:t>", кадровое обеспечение которой осуществляется МЖС. В соответствии с программой НПУПКЖ эта тематич</w:t>
      </w:r>
      <w:r>
        <w:t>е</w:t>
      </w:r>
      <w:r>
        <w:t>ская группа преследует следующие цели: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создание возможностей для того, чтобы женщины занимали 30 процентов руководящих должн</w:t>
      </w:r>
      <w:r>
        <w:t>о</w:t>
      </w:r>
      <w:r>
        <w:t>стей всех уровней;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содействие доступу к национальным ресурсам 30 процентов же</w:t>
      </w:r>
      <w:r>
        <w:t>н</w:t>
      </w:r>
      <w:r>
        <w:t>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расширение к 2005 году знаний во всех областях 25 000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Эффективное функционирование этого объединения наделит женщин структурой, в рамках которой они смогут обмениваться мнениями и опытом, проводить обсуждение и исследования и разрабатывать общие стратегии бор</w:t>
      </w:r>
      <w:r>
        <w:t>ь</w:t>
      </w:r>
      <w:r>
        <w:t>бы. Это объединение будет опираться на опыт и поддержку Сети африканских женщин, являющихся министрами и членами парламента, созданной 26 января 2004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Какой же вывод следует сделать из этой главы?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В юридическом плане государство предпринимает усилия по прив</w:t>
      </w:r>
      <w:r>
        <w:rPr>
          <w:b/>
        </w:rPr>
        <w:t>е</w:t>
      </w:r>
      <w:r>
        <w:rPr>
          <w:b/>
        </w:rPr>
        <w:t>дению своих законов в соответствие с КЛДЖ. Тем не менее в ряде форм</w:t>
      </w:r>
      <w:r>
        <w:rPr>
          <w:b/>
        </w:rPr>
        <w:t>у</w:t>
      </w:r>
      <w:r>
        <w:rPr>
          <w:b/>
        </w:rPr>
        <w:t>лировок законов все еще сохраняются отклонения правового характера. Женские организации при содействии министерства по делам семьи и женщин ведут борьбу за их устранение. Кроме того, Комиссия по правовой реформе отметила вышеупомянутые отклонения, и пересмотренный пр</w:t>
      </w:r>
      <w:r>
        <w:rPr>
          <w:b/>
        </w:rPr>
        <w:t>о</w:t>
      </w:r>
      <w:r>
        <w:rPr>
          <w:b/>
        </w:rPr>
        <w:t>ект семейного кодекса был представлен министерству по делам семьи и женщин, после чего он станет предметом обсуждения в национальных масштабах, а затем будет препрово</w:t>
      </w:r>
      <w:r>
        <w:rPr>
          <w:b/>
        </w:rPr>
        <w:t>ж</w:t>
      </w:r>
      <w:r>
        <w:rPr>
          <w:b/>
        </w:rPr>
        <w:t>ден парламенту.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Однако, если учесть, что существующий рабочий график парламента в первую очередь сосредоточен на вопросах организации и управления в переходный период, а также на подготовке к выборам и в меньшей степ</w:t>
      </w:r>
      <w:r>
        <w:rPr>
          <w:b/>
        </w:rPr>
        <w:t>е</w:t>
      </w:r>
      <w:r>
        <w:rPr>
          <w:b/>
        </w:rPr>
        <w:t xml:space="preserve">ни - на положениях правового и гражданского характера, есть опасения, что эти отклонения будут сохраняться еще в течение длительного периода времени.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Выраженная в текстах документов воля на практике не реализуется в конкретные дела.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ind w:left="1260"/>
        <w:rPr>
          <w:sz w:val="10"/>
        </w:rPr>
      </w:pPr>
      <w:r>
        <w:rPr>
          <w:b/>
        </w:rP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 xml:space="preserve">Глава III. </w:t>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0" w:right="1210"/>
      </w:pPr>
      <w:r>
        <w:t xml:space="preserve">Действия, меры и препятствия в области применения КЛДЖ </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данной третьей части дается обзор различных мер по улучшению пол</w:t>
      </w:r>
      <w:r>
        <w:t>о</w:t>
      </w:r>
      <w:r>
        <w:t>жения женщин в отношении работы, жизни в домашнем очаге, здоровья, обр</w:t>
      </w:r>
      <w:r>
        <w:t>а</w:t>
      </w:r>
      <w:r>
        <w:t>зования, а также доступа к государственным и международным должностям. Кроме того, необходимо осудить те факторы, которые по-прежнему сдержив</w:t>
      </w:r>
      <w:r>
        <w:t>а</w:t>
      </w:r>
      <w:r>
        <w:t>ют прогресс в этом вопросе; к ним относятся пережитки прошлого в отнош</w:t>
      </w:r>
      <w:r>
        <w:t>е</w:t>
      </w:r>
      <w:r>
        <w:t>нии обычаев и отсталый менталитет, а также проявления насилия.</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1.</w:t>
      </w:r>
      <w:r>
        <w:tab/>
        <w:t xml:space="preserve">Женщины и занятость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Как отмечалось выше, в новом Трудовом кодексе введены новшества, ус</w:t>
      </w:r>
      <w:r>
        <w:t>т</w:t>
      </w:r>
      <w:r>
        <w:t>раняющие расхождения, основанные на половой принадлежности. Благодаря ему законодательным органам удалось снять большинство вопросов, выз</w:t>
      </w:r>
      <w:r>
        <w:t>ы</w:t>
      </w:r>
      <w:r>
        <w:t>вающих озабоченность и протесты со стороны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Они касаются в первую очередь следующего: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Право на труд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статье 1 подтверждается, что новый кодекс применяется как к труд</w:t>
      </w:r>
      <w:r>
        <w:t>я</w:t>
      </w:r>
      <w:r>
        <w:t>щимся, так и работодателям, независимо от половой принадлежности и гра</w:t>
      </w:r>
      <w:r>
        <w:t>ж</w:t>
      </w:r>
      <w:r>
        <w:t>данского состояния.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статье 2 за всеми, без какой-либо дискриминации, признается право на труд, а в статье 7 дано улучшенное определение понятия "трудящийся" как л</w:t>
      </w:r>
      <w:r>
        <w:t>ю</w:t>
      </w:r>
      <w:r>
        <w:t>бого физического лица, которое достигло трудоспособного возраста, независ</w:t>
      </w:r>
      <w:r>
        <w:t>и</w:t>
      </w:r>
      <w:r>
        <w:t>мо от его половой принадлежности и гражданского состояния.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Право на работу по найму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В статье 6 для представителей обоих полов установлен минимальный разрешенный возраст для работы по найму в 16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Кроме того, было снято положение о явном возражении мужа против тр</w:t>
      </w:r>
      <w:r>
        <w:t>у</w:t>
      </w:r>
      <w:r>
        <w:t xml:space="preserve">доустройства замужней женщины.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статье 128 содержится запрет на требование прохождения ищущими трудоустройства женщинами теста на беременность или представления ими свидетельства, подтверждающего беременность или ее отсутствие, за искл</w:t>
      </w:r>
      <w:r>
        <w:t>ю</w:t>
      </w:r>
      <w:r>
        <w:t>чением видов работ, на которых полностью или частично запрещено работать беременным женщинам или кормящим матерям или которые связаны с пр</w:t>
      </w:r>
      <w:r>
        <w:t>и</w:t>
      </w:r>
      <w:r>
        <w:t>знанным или значительным риском для здор</w:t>
      </w:r>
      <w:r>
        <w:t>о</w:t>
      </w:r>
      <w:r>
        <w:t>вья женщины и ребенка.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Продолжительность рабочего времени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прежнем Трудовом кодексе продолжительность рабочего времени же</w:t>
      </w:r>
      <w:r>
        <w:t>н</w:t>
      </w:r>
      <w:r>
        <w:t>щин не могла превышать 8 часов в день или 48 часов в неделю, а в статье 119 нового Трудового кодекса содержится положение о том, что установленная з</w:t>
      </w:r>
      <w:r>
        <w:t>а</w:t>
      </w:r>
      <w:r>
        <w:t>коном продолжительность рабочего времени рабочих и служащих того и др</w:t>
      </w:r>
      <w:r>
        <w:t>у</w:t>
      </w:r>
      <w:r>
        <w:t>гого пола не может превышать 45 часов в неделю и 9 часов в день.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статье 120 указывается, что согласно соответствующим постановлениям министерств могут допускаться временные или постоянные отклонения от этих норм для определенных категорий трудящихся, определенных категорий работ, и определяются условия практического применения этих допускающих искл</w:t>
      </w:r>
      <w:r>
        <w:t>ю</w:t>
      </w:r>
      <w:r>
        <w:t xml:space="preserve">чения положений.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Труд беременных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статье 129 говорится, что беременная женщина может прервать свое трудовое соглашение без предварительного уведомления и без уплаты какого-либо возмещения ущерба за прерывание трудового соглашения. Такие же во</w:t>
      </w:r>
      <w:r>
        <w:t>з</w:t>
      </w:r>
      <w:r>
        <w:t>можности предоставляются женщинам и в течение восьми недель после родов.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соответствии со статьей 130 женщина имеет право временно прервать свою работу в течение 14 недель подряд, из которых 8 недель являются макс</w:t>
      </w:r>
      <w:r>
        <w:t>и</w:t>
      </w:r>
      <w:r>
        <w:t>мальным сроком для периода после родов и 6 недель - до родов. В течение эт</w:t>
      </w:r>
      <w:r>
        <w:t>о</w:t>
      </w:r>
      <w:r>
        <w:t>го периода независимо от того, жив или нет ребенок, работающая женщина имеет право на получение вознаграждения в размере двух третей от своего обычного оклада, а также на сохранение предусмотренных трудовым соглаш</w:t>
      </w:r>
      <w:r>
        <w:t>е</w:t>
      </w:r>
      <w:r>
        <w:t xml:space="preserve">нием льгот в виде выплат натурой.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течение этого периода времени работодатель не может прерывать тр</w:t>
      </w:r>
      <w:r>
        <w:t>у</w:t>
      </w:r>
      <w:r>
        <w:t>довое соглашение.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Труд кормящих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период кормления ребенка грудью женщина при любых обстоятельс</w:t>
      </w:r>
      <w:r>
        <w:t>т</w:t>
      </w:r>
      <w:r>
        <w:t>вах имеет право на два перерыва по полчаса в день для кормления ребенка. Эти перерывы засчитываются в оплачиваемое рабочее время (ст. 132).</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Тяжелые условия работы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Инспектор контроля над условиями труда может потребовать проведения осмотра женщин врачом на предмет проверки того, не является ли поручаемая им работа чрезмерной для их физических сил.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Если окажется, что эта работа окажется чрезмерной для их сил, то же</w:t>
      </w:r>
      <w:r>
        <w:t>н</w:t>
      </w:r>
      <w:r>
        <w:t>щинам должно быть предоставлено приемлемое место работы; в противном случае трудовое соглашение должно расторгаться по инициативе работодателя с в</w:t>
      </w:r>
      <w:r>
        <w:t>ы</w:t>
      </w:r>
      <w:r>
        <w:t xml:space="preserve">платой увольнительного пособия.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Работа в ночное время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статье 124 подтверждается запрет на работу женщин в ночное время на государственных промышленных или частных предприятиях.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Равное вознаграждение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статье 86 нового Кодекса подтверждается принцип равного обращения при установлении размеров заработной платы, который уже был признан в ст</w:t>
      </w:r>
      <w:r>
        <w:t>а</w:t>
      </w:r>
      <w:r>
        <w:t>тье 72 упраздненного Кодекса. В ней, в частности, устанавливается следу</w:t>
      </w:r>
      <w:r>
        <w:t>ю</w:t>
      </w:r>
      <w:r>
        <w:t>щее: при равных условиях труда, профессиональной квалификации и произв</w:t>
      </w:r>
      <w:r>
        <w:t>о</w:t>
      </w:r>
      <w:r>
        <w:t>дительности труда заработная плата работников является одинаковой незав</w:t>
      </w:r>
      <w:r>
        <w:t>и</w:t>
      </w:r>
      <w:r>
        <w:t xml:space="preserve">симо от их происхождения, пола и возраста.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Право на жилье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Хотя в прежнем Кодексе не было установлено право работающих женщин на жилье, в статье 138 нового Кодекса работающим женщинам предоставляе</w:t>
      </w:r>
      <w:r>
        <w:t>т</w:t>
      </w:r>
      <w:r>
        <w:t>ся это право независимо от их гражданского состояния. Таким образом, была устранена большая несправедливость.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Защита социальной функции материнства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пункте 2 статьи 128 установлено, что материнство не может являться причиной дискриминации в сфере занятости.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соответствии со статьей 129 беременная женщина, соответствующее положение которой было подтверждено свидетельством врачей, может ра</w:t>
      </w:r>
      <w:r>
        <w:t>с</w:t>
      </w:r>
      <w:r>
        <w:t>торгнуть свое трудовое соглашение без предварительного уведомления и без обязательств по выплате компенсации за расторжение трудового соглашения.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И наконец, поводом для расторжения трудового соглашения не могут служить роды.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Сексуальные домогательства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новом Кодексе серьезным правонарушением объявляются сексуальные или моральные домогательства, а также запугивание, поскольку отныне подо</w:t>
      </w:r>
      <w:r>
        <w:t>б</w:t>
      </w:r>
      <w:r>
        <w:t>ные факты дают основания для увольнения лиц, виновных в их совершении.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Детские дошкольные учреждения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ДРК почти не существует детских дошкольных учреждений. Это явл</w:t>
      </w:r>
      <w:r>
        <w:t>я</w:t>
      </w:r>
      <w:r>
        <w:t>ется значительным недостатком, который необходимо в кратчайшие сроки ус</w:t>
      </w:r>
      <w:r>
        <w:t>т</w:t>
      </w:r>
      <w:r>
        <w:t>ранить в целях содействия работе женщин.</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2.</w:t>
      </w:r>
      <w:r>
        <w:tab/>
        <w:t xml:space="preserve">Женщины и культура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Судя по опросу, проведенному в ноябре 2003 года министерством по д</w:t>
      </w:r>
      <w:r>
        <w:t>е</w:t>
      </w:r>
      <w:r>
        <w:t>лам семьи и женщин при поддержке ЮНИДО, проведенная оценка применения КЛДЖ показывает, что обычаи и традиции и по сей день в значительной ст</w:t>
      </w:r>
      <w:r>
        <w:t>е</w:t>
      </w:r>
      <w:r>
        <w:t xml:space="preserve">пени регламентируют жизнь общества, особенно в сельской местности.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Существуют хорошие обычаи, когда, например, проявляется большое уважение к женщинам: обращаясь к пожилой женщине, дети называют ее "м</w:t>
      </w:r>
      <w:r>
        <w:t>а</w:t>
      </w:r>
      <w:r>
        <w:t xml:space="preserve">ма", даже если она не является их биологической матерью.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Это свидетельствует о том, что независимо от своего возраста женщина рассматривается как символ мудрости, которая должна передаваться от пок</w:t>
      </w:r>
      <w:r>
        <w:t>о</w:t>
      </w:r>
      <w:r>
        <w:t xml:space="preserve">ления к поколению.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Таких хороших обычаев много, их проявления разнообразны, и они з</w:t>
      </w:r>
      <w:r>
        <w:t>а</w:t>
      </w:r>
      <w:r>
        <w:t xml:space="preserve">служивают пропагандирования.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И наоборот, другие обычаи характеризуются унижением женщин и сде</w:t>
      </w:r>
      <w:r>
        <w:t>р</w:t>
      </w:r>
      <w:r>
        <w:t xml:space="preserve">живают их развитие, в связи с чем их необходимо подвергать решительному осуждению и искоренять.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Такие обычаи многочисленны и являются своеобразными для той или иной провинции или даже для того или иного племени.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Поэтому их подробное перечисление сопряжено с трудностями или воо</w:t>
      </w:r>
      <w:r>
        <w:t>б</w:t>
      </w:r>
      <w:r>
        <w:t>ще невозможно. Однако если говорить в целом, то в основе всей этой практ</w:t>
      </w:r>
      <w:r>
        <w:t>и</w:t>
      </w:r>
      <w:r>
        <w:t>ки, носящей унизительный характер в отношении женщин, лежат предрассу</w:t>
      </w:r>
      <w:r>
        <w:t>д</w:t>
      </w:r>
      <w:r>
        <w:t>ки, по-прежнему существующие в обществе и носящие разноуровневый хара</w:t>
      </w:r>
      <w:r>
        <w:t>к</w:t>
      </w:r>
      <w:r>
        <w:t>тер, в частности (4):</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Предрассудки метафизического/религиозного порядка</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430" w:hanging="450"/>
      </w:pPr>
      <w:r>
        <w:t>-</w:t>
      </w:r>
      <w:r>
        <w:tab/>
        <w:t>Женщина произошла из ребра мужчины. Поэтому она должна ему подчиняться.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430" w:hanging="450"/>
      </w:pPr>
      <w:r>
        <w:t>-</w:t>
      </w:r>
      <w:r>
        <w:tab/>
        <w:t>Природа сделала женщину подчиненной мужчине.</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Предрассудки социально-культурного порядка</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430" w:hanging="450"/>
      </w:pPr>
      <w:r>
        <w:t>-</w:t>
      </w:r>
      <w:r>
        <w:tab/>
        <w:t>Женщина не строит деревни - иными словами, она не в состоянии управлять жизнью общины.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430" w:hanging="450"/>
      </w:pPr>
      <w:r>
        <w:t>-</w:t>
      </w:r>
      <w:r>
        <w:tab/>
        <w:t>Выкуп при вступлении в брак выплачивает мужчина, а не женщ</w:t>
      </w:r>
      <w:r>
        <w:t>и</w:t>
      </w:r>
      <w:r>
        <w:t>на: при вступлении в брак мужчина забирает женщину в свой дом.</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Предрассудки психологического порядка: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430" w:hanging="450"/>
      </w:pPr>
      <w:r>
        <w:t>-</w:t>
      </w:r>
      <w:r>
        <w:tab/>
        <w:t xml:space="preserve">Женщина не так умна, как мужчина.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430" w:hanging="450"/>
      </w:pPr>
      <w:r>
        <w:t>-</w:t>
      </w:r>
      <w:r>
        <w:tab/>
        <w:t>Женщина является сентиментальным существом.</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Предрассудки биологического порядка</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430" w:hanging="450"/>
      </w:pPr>
      <w:r>
        <w:t>-</w:t>
      </w:r>
      <w:r>
        <w:tab/>
        <w:t>Женщина является представителем слабого пола.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430" w:hanging="450"/>
      </w:pPr>
      <w:r>
        <w:t>-</w:t>
      </w:r>
      <w:r>
        <w:tab/>
        <w:t>Женщина является сосудом, принимающим семя, порождающее ребенка.</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Предрассудки экономического порядка</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430" w:hanging="450"/>
      </w:pPr>
      <w:r>
        <w:t>-</w:t>
      </w:r>
      <w:r>
        <w:tab/>
        <w:t>Жена находится на содержании мужа.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чисто показательных целях можно назвать несколько из перечисленных обычаев, которые существу</w:t>
      </w:r>
      <w:r>
        <w:t>ю</w:t>
      </w:r>
      <w:r>
        <w:t xml:space="preserve">т на практике: </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Проживание в доме супруга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соответствии с этой практикой обычаи предписывают, чтобы вступи</w:t>
      </w:r>
      <w:r>
        <w:t>в</w:t>
      </w:r>
      <w:r>
        <w:t>шие в брак пары проживали в деревне мужа. Эти обычаи уходят корнями в патриархат, по которому устанавливается власть мужа над женой и над всем потомством. При выборе местожительства мнение жены не учитывается.</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Обязательный период работы невесты в семье мужа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соответствии с этой практикой во время помолвки девушка может быть определена для проживания в семье своего жениха, где она обязана выполнять целый ряд работ, цель которых заключается в проверке ее способностей в кач</w:t>
      </w:r>
      <w:r>
        <w:t>е</w:t>
      </w:r>
      <w:r>
        <w:t>стве будущей супруги и матери. Брак может быть заключен только после око</w:t>
      </w:r>
      <w:r>
        <w:t>н</w:t>
      </w:r>
      <w:r>
        <w:t>чания этой проверки и только если по ее результатам будут даны положител</w:t>
      </w:r>
      <w:r>
        <w:t>ь</w:t>
      </w:r>
      <w:r>
        <w:t>ные оценки.</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Пробный брак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Эта практика проявляется в том, что невесте навязывается прохождение обязательного испытательного срока в семье жениха. В этом случае жених и невеста уже сожительствуют как муж и жена. Если после прохождения испыт</w:t>
      </w:r>
      <w:r>
        <w:t>а</w:t>
      </w:r>
      <w:r>
        <w:t>тельного срока общие выводы будут неудовлетворительными по причине ст</w:t>
      </w:r>
      <w:r>
        <w:t>е</w:t>
      </w:r>
      <w:r>
        <w:t xml:space="preserve">рильности или несовместимости характеров, то союз расторгается.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этом случае женщина оказывается в затруднительном положении в о</w:t>
      </w:r>
      <w:r>
        <w:t>т</w:t>
      </w:r>
      <w:r>
        <w:t>ношении возможн</w:t>
      </w:r>
      <w:r>
        <w:t>о</w:t>
      </w:r>
      <w:r>
        <w:t>стей поиска супруга в дальнейшем.</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Чрезмерно высокий выкуп</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r>
      <w:r>
        <w:t>В соответствии с Семейным кодексом выкуп состоит в преподнесении о</w:t>
      </w:r>
      <w:r>
        <w:t>д</w:t>
      </w:r>
      <w:r>
        <w:t>ного или несколько даров в семью девушки в качестве подтверждения стре</w:t>
      </w:r>
      <w:r>
        <w:t>м</w:t>
      </w:r>
      <w:r>
        <w:t>ления вступить в брак. Он является даже одним из основных условий вступл</w:t>
      </w:r>
      <w:r>
        <w:t>е</w:t>
      </w:r>
      <w:r>
        <w:t xml:space="preserve">ния в брак.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Существование обычая давать выкуп не является заведомо отрицател</w:t>
      </w:r>
      <w:r>
        <w:t>ь</w:t>
      </w:r>
      <w:r>
        <w:t xml:space="preserve">ным, а осуждению следует подвергать ту чрезвычайно высокую цену, которая зачастую назначается семьей девушки, что заставляет жениха верить в то, что он купил невесту.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Для того чтобы избежать этих крайностей, правительству необходимо обеспечить исполнение статьи 363 Семейного кодекса, где президент респу</w:t>
      </w:r>
      <w:r>
        <w:t>б</w:t>
      </w:r>
      <w:r>
        <w:t>лики своим указом установил максимальную сумму выкупа. Таким образом, выкуп сохранит свою символическую ценность.</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Операции на женских гениталиях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r>
      <w:r>
        <w:rPr>
          <w:b/>
        </w:rPr>
        <w:t>Клитородектомия</w:t>
      </w:r>
      <w:r>
        <w:t xml:space="preserve"> является практикой, не имеющей широкого распр</w:t>
      </w:r>
      <w:r>
        <w:t>о</w:t>
      </w:r>
      <w:r>
        <w:t>странения в ДРК: ее проявления отмечаются в племени, проживающем в Экв</w:t>
      </w:r>
      <w:r>
        <w:t>а</w:t>
      </w:r>
      <w:r>
        <w:t>ториальной провинции, у пожилых женщин, в особенности проживающих в сельских районах.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Эту практику необходимо искоренить, поскольку она является не только болезненной и опасной, но и делает женщин фригидными и может создавать проблемы в плане санитарии.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r>
      <w:r>
        <w:rPr>
          <w:b/>
        </w:rPr>
        <w:t>Увеличение больших губ</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Подобная практика получила особенно широкое распространение в пр</w:t>
      </w:r>
      <w:r>
        <w:t>о</w:t>
      </w:r>
      <w:r>
        <w:t>винции Катанга и двух провинциях Касаи. Женщина наносит на большие губы субстанцию на основе корений. В результате этого они опухают, а когда оп</w:t>
      </w:r>
      <w:r>
        <w:t>у</w:t>
      </w:r>
      <w:r>
        <w:t xml:space="preserve">холь проходит, они увеличиваются. Кажущиеся заметно увеличившимися губы повышают сексуальное удовольствие мужчин.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Необходимо бороться с этой практикой, поскольку эта операция является болезненной для женщин, которые по сути умерщвляют свою плоть для пол</w:t>
      </w:r>
      <w:r>
        <w:t>у</w:t>
      </w:r>
      <w:r>
        <w:t>чения удовольствия их партн</w:t>
      </w:r>
      <w:r>
        <w:t>е</w:t>
      </w:r>
      <w:r>
        <w:t>рами.</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Левират и сорорат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Подобная практика по-прежнему имеет место в ряде обычаев. Одн</w:t>
      </w:r>
      <w:r>
        <w:t>а</w:t>
      </w:r>
      <w:r>
        <w:t>ко она имеет тенденцию к снижению в городских районах, в частности благ</w:t>
      </w:r>
      <w:r>
        <w:t>о</w:t>
      </w:r>
      <w:r>
        <w:t>даря информированию женщин и принимаемым христианскими церквями м</w:t>
      </w:r>
      <w:r>
        <w:t>е</w:t>
      </w:r>
      <w:r>
        <w:t>рам по улучшению просветительской деятельности.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Все большее и большее количество церквей выступает за защиту своих прихожан от погребальных ритуалов, информируя их о том, что их нес</w:t>
      </w:r>
      <w:r>
        <w:t>о</w:t>
      </w:r>
      <w:r>
        <w:t xml:space="preserve">блюдение не повлечет за собой никакого вредного влияния.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Кроме того, в рамках проведения кампаний по борьбе со СПИДом эта практика подвергается осуждению как способствующая распространению ВИЧ.</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Брак по предварительному сговору или по принуждению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Такая практика является распространенной у йанси, проживающих в Ба</w:t>
      </w:r>
      <w:r>
        <w:t>н</w:t>
      </w:r>
      <w:r>
        <w:t xml:space="preserve">дунду. Социальное обоснование этой практики состоит в том, что подобные браки позволяют оптимальным образом регулировать выход замуж дочерей, с одной стороны, и заключать брачные союзы с другими племенами, с другой стороны.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Она позволяет также избегать невыхода замуж девушек, обеспечивая вступление в брачный союз для каждой девушки племени.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Однако в действительности она является скрытой формой принудител</w:t>
      </w:r>
      <w:r>
        <w:t>ь</w:t>
      </w:r>
      <w:r>
        <w:t>ных браков, нарушающей принцип добровольного согласия девушки на брак, поскольку она по сути принадлежит дедушке, который может, таким образом, отдать ее замуж за одного из своих племянников независимо от того, женат он или нет.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Из выводов исследования, проведенного профессором Гамбебмо в 1999 году, вытекает, что "вместе со смешиванием населения подобная практика приобрела большую гибкость. Уже не стоит вопрос о навязывании той или иной девушки молодому человеку или наоборот. У каждого из них остается свобода выбора, но при условии выплаты компенсации молодым человеком, который в соответствии с обычаем должен был жениться на молодой девушке.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Практика состоит в символической выплате суммы денег или передаче имущ</w:t>
      </w:r>
      <w:r>
        <w:t>е</w:t>
      </w:r>
      <w:r>
        <w:t>ства, помимо подлежащего выплате выкупа" (5).</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Религиозная практика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Религия, по-видимому, играет двойственную роль. В некоторых религио</w:t>
      </w:r>
      <w:r>
        <w:t>з</w:t>
      </w:r>
      <w:r>
        <w:t>ных проповедях говорится о достоинстве человеческой личности, созданной по образу и подобию Божию. Они направлены на противодействие отсталой пра</w:t>
      </w:r>
      <w:r>
        <w:t>к</w:t>
      </w:r>
      <w:r>
        <w:t>тике, наносящей ущерб в первую очередь вдовам в период траура.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то же время церкви занимаются распространением проповедей, напра</w:t>
      </w:r>
      <w:r>
        <w:t>в</w:t>
      </w:r>
      <w:r>
        <w:t xml:space="preserve">ленных на закрепление подчиненного положения женщин. В них на основе библейских стихов наглядно показываются место и роль женщины в обществе. Муж является главой семьи, а жена должна ему подчиняться. Этот вопрос не подлежит обсуждению. Женщина должна подчиняться с покорностью.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Вероятно, в результате проповедования подобной философии в больши</w:t>
      </w:r>
      <w:r>
        <w:t>н</w:t>
      </w:r>
      <w:r>
        <w:t>стве церквей женщины никогда не исполняют каких-либо руководящих фун</w:t>
      </w:r>
      <w:r>
        <w:t>к</w:t>
      </w:r>
      <w:r>
        <w:t xml:space="preserve">ций. </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Деятельность средств массовой информации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Необходимо продолжать борьбу на уровне СМИ, которые продолжают пропагандировать унизительные по отношению к женщинам идеи в носящих извращенный характер изображениях и песнях, публикациях и лицензирова</w:t>
      </w:r>
      <w:r>
        <w:t>н</w:t>
      </w:r>
      <w:r>
        <w:t xml:space="preserve">ных фильмах.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Женщинам необходимо активизировать свою деятельность, с тем чтобы национальная комиссия по цензуре смогла сыграть свою роль в отношении песней и спектаклей.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Один из способов защиты интересов женщин заключается в обеспечении значительного присутствия женщин в СМИ.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связи с этим необходимо с удовлетворением отметить инициативу по обновлению состава в рамках Целевой группы по вопросам женщин и СМИ, а также избрание женщины на должность заместителя председателя Национал</w:t>
      </w:r>
      <w:r>
        <w:t>ь</w:t>
      </w:r>
      <w:r>
        <w:t xml:space="preserve">ного союза конголезской прессы.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Огромную роль предстоит сыграть в этом и главному органу по вопросам средств массовой информации, который является одним из пяти учреждений, занимающихся оказанием поддержки демократии, в задачи которого, среди прочего, входит работа над выпуском программ и документальных фильмов в просветительских целях, в которых пропагандировались бы ценности, име</w:t>
      </w:r>
      <w:r>
        <w:t>ю</w:t>
      </w:r>
      <w:r>
        <w:t xml:space="preserve">щие значение для людей, в частности </w:t>
      </w:r>
      <w:r>
        <w:rPr>
          <w:b/>
        </w:rPr>
        <w:t>достоинство женщины</w:t>
      </w:r>
      <w:r>
        <w:t xml:space="preserve"> и молодых л</w:t>
      </w:r>
      <w:r>
        <w:t>ю</w:t>
      </w:r>
      <w:r>
        <w:t>дей.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Следует отметить, что руководители этого учреждения обратились с соо</w:t>
      </w:r>
      <w:r>
        <w:t>т</w:t>
      </w:r>
      <w:r>
        <w:t>ветствующим требованием к руководителям компаний, занимающихся прои</w:t>
      </w:r>
      <w:r>
        <w:t>з</w:t>
      </w:r>
      <w:r>
        <w:t xml:space="preserve">водством и распространением косметических товаров, используемых в первую очередь женщинами, продукция которых наносит физический ущерб людям, вызывая раздражение кожи.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Они обратились также с соответствующим требованиям к маркетинговым и рекламным отделам компаний, занимающихся распространением пива и т</w:t>
      </w:r>
      <w:r>
        <w:t>а</w:t>
      </w:r>
      <w:r>
        <w:t>бачной продукции, которые стремятся к реализации продаж любой ценой и реклама которых занимает значительное время в эфире различных радио- и т</w:t>
      </w:r>
      <w:r>
        <w:t>е</w:t>
      </w:r>
      <w:r>
        <w:t>левизионных сетей, обратив, таким образом, повышенное внимание родителей и работников просвещения на негативные последствия подобной интенсивной рекл</w:t>
      </w:r>
      <w:r>
        <w:t>а</w:t>
      </w:r>
      <w:r>
        <w:t>мы для молодежи, и в первую очередь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Проведение различных опросов в отношении этой носящей пагубный х</w:t>
      </w:r>
      <w:r>
        <w:t>а</w:t>
      </w:r>
      <w:r>
        <w:t>рактер практики показало, что в результате смешения культур, просветител</w:t>
      </w:r>
      <w:r>
        <w:t>ь</w:t>
      </w:r>
      <w:r>
        <w:t>ской работы среди женщин и мер по повышению информированности их отр</w:t>
      </w:r>
      <w:r>
        <w:t>и</w:t>
      </w:r>
      <w:r>
        <w:t>цательное воздействие на положение женщин уже уменьшилось.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то же время один из путей противодействия пропагандированию этих антиценностей заключается также в возложении главной ответственности за информирование о необходимости учета гендерных аспектов на род</w:t>
      </w:r>
      <w:r>
        <w:t>и</w:t>
      </w:r>
      <w:r>
        <w:t xml:space="preserve">телей.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Семейным парам необходимо на практике учитывать эти аспекты и сл</w:t>
      </w:r>
      <w:r>
        <w:t>у</w:t>
      </w:r>
      <w:r>
        <w:t xml:space="preserve">жить примером для своих детей.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После того как подобный подход будет усвоен на семейном уровне, он станет началом для глубокого трансформиров</w:t>
      </w:r>
      <w:r>
        <w:t>а</w:t>
      </w:r>
      <w:r>
        <w:t xml:space="preserve">ния менталитета.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Так, например, мать осознает, что при распределении обязанностей среди домочадцев она может равномерно распределить их среди мальчиков и девочек вместо того, чтобы возлагать их исключительно на девочек. Отцы осознают, что обязанность за обеспечение детей образованием должна относиться ко всем детям без исключения и что в случае финансовых трудностей мальчики необязательно должны оказываться в привилегированном положении, поскол</w:t>
      </w:r>
      <w:r>
        <w:t>ь</w:t>
      </w:r>
      <w:r>
        <w:t>ку девочки вполне могут также с</w:t>
      </w:r>
      <w:r>
        <w:t>о</w:t>
      </w:r>
      <w:r>
        <w:t>держать семью.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Все это является признаком гармоничного общества, где с уважением о</w:t>
      </w:r>
      <w:r>
        <w:t>т</w:t>
      </w:r>
      <w:r>
        <w:t>носятся как к правам женщин, так и мужчин. В этом заключается смысл зак</w:t>
      </w:r>
      <w:r>
        <w:t>о</w:t>
      </w:r>
      <w:r>
        <w:t>нодательных актов в отношении семьи, опубликованных 19 мая 2004 года м</w:t>
      </w:r>
      <w:r>
        <w:t>и</w:t>
      </w:r>
      <w:r>
        <w:t>нистерством по делам семьи и женщин.</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3.</w:t>
      </w:r>
      <w:r>
        <w:tab/>
        <w:t xml:space="preserve">Женщины, торговля людьми и проституция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Торговля женщинами не является распространенным явлением в ДРК.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Что касается проституции, то она является распространенной практикой. Проституток можно разделить на две категории.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Первая категория состоит большей частью из молодых девушек, зачастую малообразованных, которые располагаются в ночное время вдоль крупных транспортных магистралей, занимаясь продажей напитков и предоставлением мест для оказания сексуальных услуг в поисках буд</w:t>
      </w:r>
      <w:r>
        <w:t>у</w:t>
      </w:r>
      <w:r>
        <w:t>щих клиентов.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Вторая категория является не столь очевидной, и в нее входят внешне респектабельные женщины, зачастую занимающиеся приносящей доход де</w:t>
      </w:r>
      <w:r>
        <w:t>я</w:t>
      </w:r>
      <w:r>
        <w:t>тельностью, но продающие свое тело по причинам экономического характера.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обоих этих случаях главными причинами проституции являются нищ</w:t>
      </w:r>
      <w:r>
        <w:t>е</w:t>
      </w:r>
      <w:r>
        <w:t>та, поиск средств к существованию или стремление к роскошной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Эти занимающиеся оказанием секс-услуг работницы действуют самосто</w:t>
      </w:r>
      <w:r>
        <w:t>я</w:t>
      </w:r>
      <w:r>
        <w:t>тельно, и не существует каких-либо официальных сетей сутенеров. Безусло</w:t>
      </w:r>
      <w:r>
        <w:t>в</w:t>
      </w:r>
      <w:r>
        <w:t xml:space="preserve">но, существуют и посредники, действующие подпольно в интересах в первую очередь зажиточных клиентов.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Следует отметить, что проституция остается в ДРК в тени, возможно по причине того, что она не рассматривается в качестве правонарушения. Прост</w:t>
      </w:r>
      <w:r>
        <w:t>и</w:t>
      </w:r>
      <w:r>
        <w:t>тутки не подвергаются какому-либо контролю даже в плане санитарии. Гос</w:t>
      </w:r>
      <w:r>
        <w:t>у</w:t>
      </w:r>
      <w:r>
        <w:t>дарственным органам власти необходимо учредить механизмы контроля для защиты их и общества, в частности от ВИЧ/СПИДа и инфекций, передаваемых половым путем.</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4.</w:t>
      </w:r>
      <w:r>
        <w:tab/>
        <w:t xml:space="preserve">Женщины и политическая жизнь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Как подчеркивалось выше, в юридическом плане не существует каких-либо препятствий для занятий женщинами политической деятельностью. Эт</w:t>
      </w:r>
      <w:r>
        <w:t>о</w:t>
      </w:r>
      <w:r>
        <w:t xml:space="preserve">му благоприятствует Временная конституция и Закон о политических партиях, которые соответствуют статье 7 КЛДЖ.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настоящее время женщины имеют право участвовать в выборах и быть избранными. В социальном плане люди все в большей степени освобождаются от менталитета, характеризующегося предосудительным отношением к зан</w:t>
      </w:r>
      <w:r>
        <w:t>я</w:t>
      </w:r>
      <w:r>
        <w:t>тию же</w:t>
      </w:r>
      <w:r>
        <w:t>н</w:t>
      </w:r>
      <w:r>
        <w:t xml:space="preserve">щинами политической деятельностью.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Таким образом, препятствий на пути развития женщин не столь много, и среди них можно назвать следующие: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а)</w:t>
      </w:r>
      <w:r>
        <w:rPr>
          <w:b/>
        </w:rPr>
        <w:tab/>
        <w:t>Несоответствие между законами и практикой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Заявленное правительством стремление содействовать развитию женщин не реализуется на практике, а ограничивается принятием законов с правил</w:t>
      </w:r>
      <w:r>
        <w:t>ь</w:t>
      </w:r>
      <w:r>
        <w:t>ными формулировками и политическими и стратегическими выступлениями на уровне средств массовой информации. Формально гендерные аспекты в о</w:t>
      </w:r>
      <w:r>
        <w:t>т</w:t>
      </w:r>
      <w:r>
        <w:t>дельных программах учитываются, однако в повседневной жизни это стремл</w:t>
      </w:r>
      <w:r>
        <w:t>е</w:t>
      </w:r>
      <w:r>
        <w:t>ние отражения не нах</w:t>
      </w:r>
      <w:r>
        <w:t>о</w:t>
      </w:r>
      <w:r>
        <w:t>дит.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национальных масштабах гендерные вопросы, по-видимому, не учит</w:t>
      </w:r>
      <w:r>
        <w:t>ы</w:t>
      </w:r>
      <w:r>
        <w:t>ваются политическими деятелями. В приводимой ниже таблице дается дост</w:t>
      </w:r>
      <w:r>
        <w:t>а</w:t>
      </w:r>
      <w:r>
        <w:t>точно свидетельств этого. На практике рассмотрение вопроса о структуре у</w:t>
      </w:r>
      <w:r>
        <w:t>ч</w:t>
      </w:r>
      <w:r>
        <w:t>реждений, созданных сразу же после установления диалога, отнюдь не свид</w:t>
      </w:r>
      <w:r>
        <w:t>е</w:t>
      </w:r>
      <w:r>
        <w:t xml:space="preserve">тельствует о той решимости, о которой говорится в текстах законов. Наоборот, оно свидетельствует об огромном дисбалансе в распределении руководящих должностей не в пользу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Приводимая ниже таблица свидетельствует о том, что политические де</w:t>
      </w:r>
      <w:r>
        <w:t>я</w:t>
      </w:r>
      <w:r>
        <w:t>тели, безусловно, в первую очередь обеспокоенные своим собственным пол</w:t>
      </w:r>
      <w:r>
        <w:t>о</w:t>
      </w:r>
      <w:r>
        <w:t>жением, почти не учитывают статью 51 при назначении руководителей в ходе перехо</w:t>
      </w:r>
      <w:r>
        <w:t>д</w:t>
      </w:r>
      <w:r>
        <w:t>ного периода.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Представленность женщин на связанных с принятием решений должностях в учреждениях переходного периода, созданных по итогам проведения межконголезского диалога </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62"/>
        <w:gridCol w:w="990"/>
        <w:gridCol w:w="990"/>
        <w:gridCol w:w="540"/>
        <w:gridCol w:w="1080"/>
        <w:gridCol w:w="720"/>
      </w:tblGrid>
      <w:tr w:rsidR="00000000">
        <w:tblPrEx>
          <w:tblCellMar>
            <w:top w:w="0" w:type="dxa"/>
            <w:left w:w="0" w:type="dxa"/>
            <w:bottom w:w="0" w:type="dxa"/>
            <w:right w:w="0" w:type="dxa"/>
          </w:tblCellMar>
        </w:tblPrEx>
        <w:trPr>
          <w:tblHeader/>
        </w:trPr>
        <w:tc>
          <w:tcPr>
            <w:tcW w:w="286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4"/>
              </w:rPr>
            </w:pPr>
            <w:r>
              <w:rPr>
                <w:i/>
                <w:sz w:val="14"/>
              </w:rPr>
              <w:t>Учреждения и должности</w:t>
            </w:r>
          </w:p>
        </w:tc>
        <w:tc>
          <w:tcPr>
            <w:tcW w:w="990" w:type="dxa"/>
            <w:tcBorders>
              <w:left w:val="nil"/>
              <w:bottom w:val="single" w:sz="12" w:space="0" w:color="auto"/>
              <w:right w:val="nil"/>
            </w:tcBorders>
            <w:vAlign w:val="center"/>
          </w:tcPr>
          <w:p w:rsidR="00000000" w:rsidRDefault="00000000">
            <w:pPr>
              <w:keepNext/>
              <w:tabs>
                <w:tab w:val="left" w:pos="288"/>
                <w:tab w:val="left" w:pos="576"/>
                <w:tab w:val="left" w:pos="864"/>
                <w:tab w:val="left" w:pos="1152"/>
              </w:tabs>
              <w:spacing w:line="240" w:lineRule="auto"/>
              <w:ind w:right="43"/>
              <w:jc w:val="right"/>
              <w:rPr>
                <w:i/>
                <w:sz w:val="14"/>
              </w:rPr>
            </w:pPr>
            <w:r>
              <w:rPr>
                <w:i/>
                <w:sz w:val="14"/>
              </w:rPr>
              <w:t>Общая</w:t>
            </w:r>
          </w:p>
          <w:p w:rsidR="00000000" w:rsidRDefault="00000000">
            <w:pPr>
              <w:keepNext/>
              <w:tabs>
                <w:tab w:val="left" w:pos="288"/>
                <w:tab w:val="left" w:pos="576"/>
                <w:tab w:val="left" w:pos="864"/>
                <w:tab w:val="left" w:pos="1152"/>
              </w:tabs>
              <w:spacing w:line="240" w:lineRule="auto"/>
              <w:ind w:right="43"/>
              <w:jc w:val="right"/>
              <w:rPr>
                <w:i/>
                <w:sz w:val="14"/>
              </w:rPr>
            </w:pPr>
            <w:r>
              <w:rPr>
                <w:i/>
                <w:sz w:val="14"/>
              </w:rPr>
              <w:t>чи</w:t>
            </w:r>
            <w:r>
              <w:rPr>
                <w:i/>
                <w:sz w:val="14"/>
              </w:rPr>
              <w:t>с</w:t>
            </w:r>
            <w:r>
              <w:rPr>
                <w:i/>
                <w:sz w:val="14"/>
              </w:rPr>
              <w:t>ленность</w:t>
            </w:r>
          </w:p>
        </w:tc>
        <w:tc>
          <w:tcPr>
            <w:tcW w:w="990" w:type="dxa"/>
            <w:tcBorders>
              <w:left w:val="nil"/>
              <w:bottom w:val="single" w:sz="12" w:space="0" w:color="auto"/>
              <w:right w:val="nil"/>
            </w:tcBorders>
            <w:vAlign w:val="center"/>
          </w:tcPr>
          <w:p w:rsidR="00000000" w:rsidRDefault="00000000">
            <w:pPr>
              <w:keepNext/>
              <w:tabs>
                <w:tab w:val="left" w:pos="288"/>
                <w:tab w:val="left" w:pos="576"/>
                <w:tab w:val="left" w:pos="864"/>
                <w:tab w:val="left" w:pos="1152"/>
              </w:tabs>
              <w:spacing w:line="240" w:lineRule="auto"/>
              <w:ind w:right="43"/>
              <w:jc w:val="right"/>
              <w:rPr>
                <w:i/>
                <w:sz w:val="14"/>
              </w:rPr>
            </w:pPr>
            <w:r>
              <w:rPr>
                <w:i/>
                <w:sz w:val="14"/>
              </w:rPr>
              <w:t>Численность же</w:t>
            </w:r>
            <w:r>
              <w:rPr>
                <w:i/>
                <w:sz w:val="14"/>
              </w:rPr>
              <w:t>н</w:t>
            </w:r>
            <w:r>
              <w:rPr>
                <w:i/>
                <w:sz w:val="14"/>
              </w:rPr>
              <w:t>щин</w:t>
            </w:r>
          </w:p>
        </w:tc>
        <w:tc>
          <w:tcPr>
            <w:tcW w:w="540" w:type="dxa"/>
            <w:tcBorders>
              <w:left w:val="nil"/>
              <w:bottom w:val="single" w:sz="12" w:space="0" w:color="auto"/>
              <w:right w:val="nil"/>
            </w:tcBorders>
            <w:vAlign w:val="center"/>
          </w:tcPr>
          <w:p w:rsidR="00000000" w:rsidRDefault="00000000">
            <w:pPr>
              <w:keepNext/>
              <w:tabs>
                <w:tab w:val="left" w:pos="288"/>
                <w:tab w:val="left" w:pos="576"/>
                <w:tab w:val="left" w:pos="864"/>
                <w:tab w:val="left" w:pos="1152"/>
              </w:tabs>
              <w:spacing w:line="240" w:lineRule="auto"/>
              <w:ind w:right="43"/>
              <w:jc w:val="right"/>
              <w:rPr>
                <w:i/>
                <w:sz w:val="14"/>
              </w:rPr>
            </w:pPr>
            <w:r>
              <w:rPr>
                <w:i/>
                <w:sz w:val="14"/>
              </w:rPr>
              <w:t>%</w:t>
            </w:r>
          </w:p>
        </w:tc>
        <w:tc>
          <w:tcPr>
            <w:tcW w:w="1080" w:type="dxa"/>
            <w:tcBorders>
              <w:left w:val="nil"/>
              <w:bottom w:val="single" w:sz="12" w:space="0" w:color="auto"/>
              <w:right w:val="nil"/>
            </w:tcBorders>
            <w:vAlign w:val="center"/>
          </w:tcPr>
          <w:p w:rsidR="00000000" w:rsidRDefault="00000000">
            <w:pPr>
              <w:keepNext/>
              <w:tabs>
                <w:tab w:val="left" w:pos="288"/>
                <w:tab w:val="left" w:pos="576"/>
                <w:tab w:val="left" w:pos="864"/>
                <w:tab w:val="left" w:pos="1152"/>
              </w:tabs>
              <w:spacing w:line="240" w:lineRule="auto"/>
              <w:ind w:right="43"/>
              <w:jc w:val="right"/>
              <w:rPr>
                <w:i/>
                <w:sz w:val="14"/>
              </w:rPr>
            </w:pPr>
            <w:r>
              <w:rPr>
                <w:i/>
                <w:sz w:val="14"/>
              </w:rPr>
              <w:t>Численность мужчин</w:t>
            </w:r>
          </w:p>
        </w:tc>
        <w:tc>
          <w:tcPr>
            <w:tcW w:w="720" w:type="dxa"/>
            <w:tcBorders>
              <w:left w:val="nil"/>
              <w:bottom w:val="single" w:sz="12" w:space="0" w:color="auto"/>
              <w:right w:val="nil"/>
            </w:tcBorders>
            <w:vAlign w:val="center"/>
          </w:tcPr>
          <w:p w:rsidR="00000000" w:rsidRDefault="00000000">
            <w:pPr>
              <w:keepNext/>
              <w:tabs>
                <w:tab w:val="left" w:pos="288"/>
                <w:tab w:val="left" w:pos="576"/>
                <w:tab w:val="left" w:pos="864"/>
                <w:tab w:val="left" w:pos="1152"/>
              </w:tabs>
              <w:spacing w:line="240" w:lineRule="auto"/>
              <w:ind w:right="43"/>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286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62" w:type="dxa"/>
            <w:tcBorders>
              <w:top w:val="nil"/>
              <w:left w:val="nil"/>
              <w:bottom w:val="nil"/>
              <w:right w:val="nil"/>
            </w:tcBorders>
            <w:vAlign w:val="bottom"/>
          </w:tcPr>
          <w:p w:rsidR="00000000" w:rsidRDefault="00000000">
            <w:pPr>
              <w:keepNext/>
              <w:rPr>
                <w:sz w:val="17"/>
              </w:rPr>
            </w:pPr>
            <w:r>
              <w:rPr>
                <w:sz w:val="17"/>
              </w:rPr>
              <w:t>Администрация през</w:t>
            </w:r>
            <w:r>
              <w:rPr>
                <w:sz w:val="17"/>
              </w:rPr>
              <w:t>и</w:t>
            </w:r>
            <w:r>
              <w:rPr>
                <w:sz w:val="17"/>
              </w:rPr>
              <w:t>дента</w:t>
            </w:r>
          </w:p>
        </w:tc>
        <w:tc>
          <w:tcPr>
            <w:tcW w:w="990" w:type="dxa"/>
            <w:tcBorders>
              <w:top w:val="nil"/>
              <w:left w:val="nil"/>
              <w:bottom w:val="nil"/>
              <w:right w:val="nil"/>
            </w:tcBorders>
            <w:vAlign w:val="bottom"/>
          </w:tcPr>
          <w:p w:rsidR="00000000" w:rsidRDefault="00000000">
            <w:pPr>
              <w:keepNext/>
              <w:jc w:val="right"/>
              <w:rPr>
                <w:sz w:val="17"/>
              </w:rPr>
            </w:pPr>
            <w:r>
              <w:rPr>
                <w:sz w:val="17"/>
              </w:rPr>
              <w:t>5</w:t>
            </w:r>
          </w:p>
        </w:tc>
        <w:tc>
          <w:tcPr>
            <w:tcW w:w="990" w:type="dxa"/>
            <w:tcBorders>
              <w:top w:val="nil"/>
              <w:left w:val="nil"/>
              <w:bottom w:val="nil"/>
              <w:right w:val="nil"/>
            </w:tcBorders>
            <w:vAlign w:val="bottom"/>
          </w:tcPr>
          <w:p w:rsidR="00000000" w:rsidRDefault="00000000">
            <w:pPr>
              <w:keepNext/>
              <w:jc w:val="right"/>
              <w:rPr>
                <w:sz w:val="17"/>
              </w:rPr>
            </w:pPr>
            <w:r>
              <w:rPr>
                <w:sz w:val="17"/>
              </w:rPr>
              <w:t>0</w:t>
            </w:r>
          </w:p>
        </w:tc>
        <w:tc>
          <w:tcPr>
            <w:tcW w:w="540" w:type="dxa"/>
            <w:tcBorders>
              <w:top w:val="nil"/>
              <w:left w:val="nil"/>
              <w:bottom w:val="nil"/>
              <w:right w:val="nil"/>
            </w:tcBorders>
          </w:tcPr>
          <w:p w:rsidR="00000000" w:rsidRDefault="00000000">
            <w:pPr>
              <w:keepNext/>
              <w:jc w:val="right"/>
              <w:rPr>
                <w:sz w:val="17"/>
              </w:rPr>
            </w:pPr>
            <w:r>
              <w:rPr>
                <w:sz w:val="17"/>
              </w:rPr>
              <w:t>0</w:t>
            </w:r>
          </w:p>
        </w:tc>
        <w:tc>
          <w:tcPr>
            <w:tcW w:w="1080" w:type="dxa"/>
            <w:tcBorders>
              <w:top w:val="nil"/>
              <w:left w:val="nil"/>
              <w:bottom w:val="nil"/>
              <w:right w:val="nil"/>
            </w:tcBorders>
          </w:tcPr>
          <w:p w:rsidR="00000000" w:rsidRDefault="00000000">
            <w:pPr>
              <w:keepNext/>
              <w:jc w:val="right"/>
              <w:rPr>
                <w:sz w:val="17"/>
              </w:rPr>
            </w:pPr>
            <w:r>
              <w:rPr>
                <w:sz w:val="17"/>
              </w:rPr>
              <w:t>5</w:t>
            </w:r>
          </w:p>
        </w:tc>
        <w:tc>
          <w:tcPr>
            <w:tcW w:w="720" w:type="dxa"/>
            <w:tcBorders>
              <w:top w:val="nil"/>
              <w:left w:val="nil"/>
              <w:bottom w:val="nil"/>
              <w:right w:val="nil"/>
            </w:tcBorders>
            <w:vAlign w:val="bottom"/>
          </w:tcPr>
          <w:p w:rsidR="00000000" w:rsidRDefault="00000000">
            <w:pPr>
              <w:keepNext/>
              <w:jc w:val="right"/>
              <w:rPr>
                <w:sz w:val="17"/>
              </w:rPr>
            </w:pPr>
            <w:r>
              <w:rPr>
                <w:sz w:val="17"/>
              </w:rPr>
              <w:t>100</w:t>
            </w:r>
          </w:p>
        </w:tc>
      </w:tr>
      <w:tr w:rsidR="00000000">
        <w:tblPrEx>
          <w:tblCellMar>
            <w:top w:w="0" w:type="dxa"/>
            <w:left w:w="0" w:type="dxa"/>
            <w:bottom w:w="0" w:type="dxa"/>
            <w:right w:w="0" w:type="dxa"/>
          </w:tblCellMar>
        </w:tblPrEx>
        <w:tc>
          <w:tcPr>
            <w:tcW w:w="2862" w:type="dxa"/>
            <w:tcBorders>
              <w:top w:val="nil"/>
              <w:left w:val="nil"/>
              <w:bottom w:val="nil"/>
              <w:right w:val="nil"/>
            </w:tcBorders>
            <w:vAlign w:val="bottom"/>
          </w:tcPr>
          <w:p w:rsidR="00000000" w:rsidRDefault="00000000">
            <w:pPr>
              <w:rPr>
                <w:sz w:val="17"/>
              </w:rPr>
            </w:pPr>
            <w:r>
              <w:rPr>
                <w:sz w:val="17"/>
              </w:rPr>
              <w:t>Министры</w:t>
            </w:r>
          </w:p>
        </w:tc>
        <w:tc>
          <w:tcPr>
            <w:tcW w:w="990" w:type="dxa"/>
            <w:tcBorders>
              <w:top w:val="nil"/>
              <w:left w:val="nil"/>
              <w:bottom w:val="nil"/>
              <w:right w:val="nil"/>
            </w:tcBorders>
            <w:vAlign w:val="bottom"/>
          </w:tcPr>
          <w:p w:rsidR="00000000" w:rsidRDefault="00000000">
            <w:pPr>
              <w:jc w:val="right"/>
              <w:rPr>
                <w:sz w:val="17"/>
              </w:rPr>
            </w:pPr>
            <w:r>
              <w:rPr>
                <w:sz w:val="17"/>
              </w:rPr>
              <w:t>35</w:t>
            </w:r>
          </w:p>
        </w:tc>
        <w:tc>
          <w:tcPr>
            <w:tcW w:w="990" w:type="dxa"/>
            <w:tcBorders>
              <w:top w:val="nil"/>
              <w:left w:val="nil"/>
              <w:bottom w:val="nil"/>
              <w:right w:val="nil"/>
            </w:tcBorders>
            <w:vAlign w:val="bottom"/>
          </w:tcPr>
          <w:p w:rsidR="00000000" w:rsidRDefault="00000000">
            <w:pPr>
              <w:jc w:val="right"/>
              <w:rPr>
                <w:sz w:val="17"/>
              </w:rPr>
            </w:pPr>
            <w:r>
              <w:rPr>
                <w:sz w:val="17"/>
              </w:rPr>
              <w:t>5</w:t>
            </w:r>
          </w:p>
        </w:tc>
        <w:tc>
          <w:tcPr>
            <w:tcW w:w="540" w:type="dxa"/>
            <w:tcBorders>
              <w:top w:val="nil"/>
              <w:left w:val="nil"/>
              <w:bottom w:val="nil"/>
              <w:right w:val="nil"/>
            </w:tcBorders>
          </w:tcPr>
          <w:p w:rsidR="00000000" w:rsidRDefault="00000000">
            <w:pPr>
              <w:jc w:val="right"/>
              <w:rPr>
                <w:sz w:val="17"/>
              </w:rPr>
            </w:pPr>
            <w:r>
              <w:rPr>
                <w:sz w:val="17"/>
              </w:rPr>
              <w:t>14</w:t>
            </w:r>
          </w:p>
        </w:tc>
        <w:tc>
          <w:tcPr>
            <w:tcW w:w="1080" w:type="dxa"/>
            <w:tcBorders>
              <w:top w:val="nil"/>
              <w:left w:val="nil"/>
              <w:bottom w:val="nil"/>
              <w:right w:val="nil"/>
            </w:tcBorders>
          </w:tcPr>
          <w:p w:rsidR="00000000" w:rsidRDefault="00000000">
            <w:pPr>
              <w:jc w:val="right"/>
              <w:rPr>
                <w:sz w:val="17"/>
              </w:rPr>
            </w:pPr>
            <w:r>
              <w:rPr>
                <w:sz w:val="17"/>
              </w:rPr>
              <w:t>30</w:t>
            </w:r>
          </w:p>
        </w:tc>
        <w:tc>
          <w:tcPr>
            <w:tcW w:w="720" w:type="dxa"/>
            <w:tcBorders>
              <w:top w:val="nil"/>
              <w:left w:val="nil"/>
              <w:bottom w:val="nil"/>
              <w:right w:val="nil"/>
            </w:tcBorders>
            <w:vAlign w:val="bottom"/>
          </w:tcPr>
          <w:p w:rsidR="00000000" w:rsidRDefault="00000000">
            <w:pPr>
              <w:jc w:val="right"/>
              <w:rPr>
                <w:sz w:val="17"/>
              </w:rPr>
            </w:pPr>
            <w:r>
              <w:rPr>
                <w:sz w:val="17"/>
              </w:rPr>
              <w:t>86</w:t>
            </w:r>
          </w:p>
        </w:tc>
      </w:tr>
      <w:tr w:rsidR="00000000">
        <w:tblPrEx>
          <w:tblCellMar>
            <w:top w:w="0" w:type="dxa"/>
            <w:left w:w="0" w:type="dxa"/>
            <w:bottom w:w="0" w:type="dxa"/>
            <w:right w:w="0" w:type="dxa"/>
          </w:tblCellMar>
        </w:tblPrEx>
        <w:tc>
          <w:tcPr>
            <w:tcW w:w="2862" w:type="dxa"/>
            <w:tcBorders>
              <w:top w:val="nil"/>
              <w:left w:val="nil"/>
              <w:bottom w:val="nil"/>
              <w:right w:val="nil"/>
            </w:tcBorders>
            <w:vAlign w:val="bottom"/>
          </w:tcPr>
          <w:p w:rsidR="00000000" w:rsidRDefault="00000000">
            <w:pPr>
              <w:rPr>
                <w:sz w:val="17"/>
              </w:rPr>
            </w:pPr>
            <w:r>
              <w:rPr>
                <w:sz w:val="17"/>
              </w:rPr>
              <w:t>Заместители министра</w:t>
            </w:r>
          </w:p>
        </w:tc>
        <w:tc>
          <w:tcPr>
            <w:tcW w:w="990" w:type="dxa"/>
            <w:tcBorders>
              <w:top w:val="nil"/>
              <w:left w:val="nil"/>
              <w:bottom w:val="nil"/>
              <w:right w:val="nil"/>
            </w:tcBorders>
            <w:vAlign w:val="bottom"/>
          </w:tcPr>
          <w:p w:rsidR="00000000" w:rsidRDefault="00000000">
            <w:pPr>
              <w:jc w:val="right"/>
              <w:rPr>
                <w:sz w:val="17"/>
              </w:rPr>
            </w:pPr>
            <w:r>
              <w:rPr>
                <w:sz w:val="17"/>
              </w:rPr>
              <w:t>23</w:t>
            </w:r>
          </w:p>
        </w:tc>
        <w:tc>
          <w:tcPr>
            <w:tcW w:w="990" w:type="dxa"/>
            <w:tcBorders>
              <w:top w:val="nil"/>
              <w:left w:val="nil"/>
              <w:bottom w:val="nil"/>
              <w:right w:val="nil"/>
            </w:tcBorders>
            <w:vAlign w:val="bottom"/>
          </w:tcPr>
          <w:p w:rsidR="00000000" w:rsidRDefault="00000000">
            <w:pPr>
              <w:jc w:val="right"/>
              <w:rPr>
                <w:sz w:val="17"/>
              </w:rPr>
            </w:pPr>
            <w:r>
              <w:rPr>
                <w:sz w:val="17"/>
              </w:rPr>
              <w:t>01</w:t>
            </w:r>
          </w:p>
        </w:tc>
        <w:tc>
          <w:tcPr>
            <w:tcW w:w="540" w:type="dxa"/>
            <w:tcBorders>
              <w:top w:val="nil"/>
              <w:left w:val="nil"/>
              <w:bottom w:val="nil"/>
              <w:right w:val="nil"/>
            </w:tcBorders>
          </w:tcPr>
          <w:p w:rsidR="00000000" w:rsidRDefault="00000000">
            <w:pPr>
              <w:jc w:val="right"/>
              <w:rPr>
                <w:sz w:val="17"/>
              </w:rPr>
            </w:pPr>
            <w:r>
              <w:rPr>
                <w:sz w:val="17"/>
              </w:rPr>
              <w:t>4</w:t>
            </w:r>
          </w:p>
        </w:tc>
        <w:tc>
          <w:tcPr>
            <w:tcW w:w="1080" w:type="dxa"/>
            <w:tcBorders>
              <w:top w:val="nil"/>
              <w:left w:val="nil"/>
              <w:bottom w:val="nil"/>
              <w:right w:val="nil"/>
            </w:tcBorders>
          </w:tcPr>
          <w:p w:rsidR="00000000" w:rsidRDefault="00000000">
            <w:pPr>
              <w:jc w:val="right"/>
              <w:rPr>
                <w:sz w:val="17"/>
              </w:rPr>
            </w:pPr>
            <w:r>
              <w:rPr>
                <w:sz w:val="17"/>
              </w:rPr>
              <w:t>22</w:t>
            </w:r>
          </w:p>
        </w:tc>
        <w:tc>
          <w:tcPr>
            <w:tcW w:w="720" w:type="dxa"/>
            <w:tcBorders>
              <w:top w:val="nil"/>
              <w:left w:val="nil"/>
              <w:bottom w:val="nil"/>
              <w:right w:val="nil"/>
            </w:tcBorders>
            <w:vAlign w:val="bottom"/>
          </w:tcPr>
          <w:p w:rsidR="00000000" w:rsidRDefault="00000000">
            <w:pPr>
              <w:jc w:val="right"/>
              <w:rPr>
                <w:sz w:val="17"/>
              </w:rPr>
            </w:pPr>
            <w:r>
              <w:rPr>
                <w:sz w:val="17"/>
              </w:rPr>
              <w:t>96</w:t>
            </w:r>
          </w:p>
        </w:tc>
      </w:tr>
      <w:tr w:rsidR="00000000">
        <w:tblPrEx>
          <w:tblCellMar>
            <w:top w:w="0" w:type="dxa"/>
            <w:left w:w="0" w:type="dxa"/>
            <w:bottom w:w="0" w:type="dxa"/>
            <w:right w:w="0" w:type="dxa"/>
          </w:tblCellMar>
        </w:tblPrEx>
        <w:tc>
          <w:tcPr>
            <w:tcW w:w="2862" w:type="dxa"/>
            <w:tcBorders>
              <w:top w:val="nil"/>
              <w:left w:val="nil"/>
              <w:bottom w:val="nil"/>
              <w:right w:val="nil"/>
            </w:tcBorders>
            <w:vAlign w:val="bottom"/>
          </w:tcPr>
          <w:p w:rsidR="00000000" w:rsidRDefault="00000000">
            <w:pPr>
              <w:rPr>
                <w:sz w:val="17"/>
              </w:rPr>
            </w:pPr>
            <w:r>
              <w:rPr>
                <w:sz w:val="17"/>
              </w:rPr>
              <w:t>Губернаторы</w:t>
            </w:r>
          </w:p>
        </w:tc>
        <w:tc>
          <w:tcPr>
            <w:tcW w:w="990" w:type="dxa"/>
            <w:tcBorders>
              <w:top w:val="nil"/>
              <w:left w:val="nil"/>
              <w:bottom w:val="nil"/>
              <w:right w:val="nil"/>
            </w:tcBorders>
            <w:vAlign w:val="bottom"/>
          </w:tcPr>
          <w:p w:rsidR="00000000" w:rsidRDefault="00000000">
            <w:pPr>
              <w:jc w:val="right"/>
              <w:rPr>
                <w:sz w:val="17"/>
              </w:rPr>
            </w:pPr>
            <w:r>
              <w:rPr>
                <w:sz w:val="17"/>
              </w:rPr>
              <w:t>11</w:t>
            </w:r>
          </w:p>
        </w:tc>
        <w:tc>
          <w:tcPr>
            <w:tcW w:w="990" w:type="dxa"/>
            <w:tcBorders>
              <w:top w:val="nil"/>
              <w:left w:val="nil"/>
              <w:bottom w:val="nil"/>
              <w:right w:val="nil"/>
            </w:tcBorders>
            <w:vAlign w:val="bottom"/>
          </w:tcPr>
          <w:p w:rsidR="00000000" w:rsidRDefault="00000000">
            <w:pPr>
              <w:jc w:val="right"/>
              <w:rPr>
                <w:sz w:val="17"/>
              </w:rPr>
            </w:pPr>
            <w:r>
              <w:rPr>
                <w:sz w:val="17"/>
              </w:rPr>
              <w:t>0</w:t>
            </w:r>
          </w:p>
        </w:tc>
        <w:tc>
          <w:tcPr>
            <w:tcW w:w="540" w:type="dxa"/>
            <w:tcBorders>
              <w:top w:val="nil"/>
              <w:left w:val="nil"/>
              <w:bottom w:val="nil"/>
              <w:right w:val="nil"/>
            </w:tcBorders>
          </w:tcPr>
          <w:p w:rsidR="00000000" w:rsidRDefault="00000000">
            <w:pPr>
              <w:jc w:val="right"/>
              <w:rPr>
                <w:sz w:val="17"/>
              </w:rPr>
            </w:pPr>
            <w:r>
              <w:rPr>
                <w:sz w:val="17"/>
              </w:rPr>
              <w:t>0</w:t>
            </w:r>
          </w:p>
        </w:tc>
        <w:tc>
          <w:tcPr>
            <w:tcW w:w="1080" w:type="dxa"/>
            <w:tcBorders>
              <w:top w:val="nil"/>
              <w:left w:val="nil"/>
              <w:bottom w:val="nil"/>
              <w:right w:val="nil"/>
            </w:tcBorders>
          </w:tcPr>
          <w:p w:rsidR="00000000" w:rsidRDefault="00000000">
            <w:pPr>
              <w:jc w:val="right"/>
              <w:rPr>
                <w:sz w:val="17"/>
              </w:rPr>
            </w:pPr>
            <w:r>
              <w:rPr>
                <w:sz w:val="17"/>
              </w:rPr>
              <w:t>11</w:t>
            </w:r>
          </w:p>
        </w:tc>
        <w:tc>
          <w:tcPr>
            <w:tcW w:w="720" w:type="dxa"/>
            <w:tcBorders>
              <w:top w:val="nil"/>
              <w:left w:val="nil"/>
              <w:bottom w:val="nil"/>
              <w:right w:val="nil"/>
            </w:tcBorders>
            <w:vAlign w:val="bottom"/>
          </w:tcPr>
          <w:p w:rsidR="00000000" w:rsidRDefault="00000000">
            <w:pPr>
              <w:jc w:val="right"/>
              <w:rPr>
                <w:sz w:val="17"/>
              </w:rPr>
            </w:pPr>
            <w:r>
              <w:rPr>
                <w:sz w:val="17"/>
              </w:rPr>
              <w:t>100</w:t>
            </w:r>
          </w:p>
        </w:tc>
      </w:tr>
      <w:tr w:rsidR="00000000">
        <w:tblPrEx>
          <w:tblCellMar>
            <w:top w:w="0" w:type="dxa"/>
            <w:left w:w="0" w:type="dxa"/>
            <w:bottom w:w="0" w:type="dxa"/>
            <w:right w:w="0" w:type="dxa"/>
          </w:tblCellMar>
        </w:tblPrEx>
        <w:tc>
          <w:tcPr>
            <w:tcW w:w="2862" w:type="dxa"/>
            <w:tcBorders>
              <w:top w:val="nil"/>
              <w:left w:val="nil"/>
              <w:bottom w:val="nil"/>
              <w:right w:val="nil"/>
            </w:tcBorders>
            <w:vAlign w:val="bottom"/>
          </w:tcPr>
          <w:p w:rsidR="00000000" w:rsidRDefault="00000000">
            <w:pPr>
              <w:rPr>
                <w:sz w:val="17"/>
              </w:rPr>
            </w:pPr>
            <w:r>
              <w:rPr>
                <w:sz w:val="17"/>
              </w:rPr>
              <w:t>Заместители губернатора</w:t>
            </w:r>
          </w:p>
        </w:tc>
        <w:tc>
          <w:tcPr>
            <w:tcW w:w="990" w:type="dxa"/>
            <w:tcBorders>
              <w:top w:val="nil"/>
              <w:left w:val="nil"/>
              <w:bottom w:val="nil"/>
              <w:right w:val="nil"/>
            </w:tcBorders>
            <w:vAlign w:val="bottom"/>
          </w:tcPr>
          <w:p w:rsidR="00000000" w:rsidRDefault="00000000">
            <w:pPr>
              <w:jc w:val="right"/>
              <w:rPr>
                <w:sz w:val="17"/>
              </w:rPr>
            </w:pPr>
            <w:r>
              <w:rPr>
                <w:sz w:val="17"/>
              </w:rPr>
              <w:t>22</w:t>
            </w:r>
          </w:p>
        </w:tc>
        <w:tc>
          <w:tcPr>
            <w:tcW w:w="990" w:type="dxa"/>
            <w:tcBorders>
              <w:top w:val="nil"/>
              <w:left w:val="nil"/>
              <w:bottom w:val="nil"/>
              <w:right w:val="nil"/>
            </w:tcBorders>
            <w:vAlign w:val="bottom"/>
          </w:tcPr>
          <w:p w:rsidR="00000000" w:rsidRDefault="00000000">
            <w:pPr>
              <w:jc w:val="right"/>
              <w:rPr>
                <w:sz w:val="17"/>
              </w:rPr>
            </w:pPr>
            <w:r>
              <w:rPr>
                <w:sz w:val="17"/>
              </w:rPr>
              <w:t>11</w:t>
            </w:r>
          </w:p>
        </w:tc>
        <w:tc>
          <w:tcPr>
            <w:tcW w:w="540" w:type="dxa"/>
            <w:tcBorders>
              <w:top w:val="nil"/>
              <w:left w:val="nil"/>
              <w:bottom w:val="nil"/>
              <w:right w:val="nil"/>
            </w:tcBorders>
          </w:tcPr>
          <w:p w:rsidR="00000000" w:rsidRDefault="00000000">
            <w:pPr>
              <w:jc w:val="right"/>
              <w:rPr>
                <w:sz w:val="17"/>
              </w:rPr>
            </w:pPr>
            <w:r>
              <w:rPr>
                <w:sz w:val="17"/>
              </w:rPr>
              <w:t>50</w:t>
            </w:r>
          </w:p>
        </w:tc>
        <w:tc>
          <w:tcPr>
            <w:tcW w:w="1080" w:type="dxa"/>
            <w:tcBorders>
              <w:top w:val="nil"/>
              <w:left w:val="nil"/>
              <w:bottom w:val="nil"/>
              <w:right w:val="nil"/>
            </w:tcBorders>
          </w:tcPr>
          <w:p w:rsidR="00000000" w:rsidRDefault="00000000">
            <w:pPr>
              <w:jc w:val="right"/>
              <w:rPr>
                <w:sz w:val="17"/>
              </w:rPr>
            </w:pPr>
            <w:r>
              <w:rPr>
                <w:sz w:val="17"/>
              </w:rPr>
              <w:t>11</w:t>
            </w:r>
          </w:p>
        </w:tc>
        <w:tc>
          <w:tcPr>
            <w:tcW w:w="720" w:type="dxa"/>
            <w:tcBorders>
              <w:top w:val="nil"/>
              <w:left w:val="nil"/>
              <w:bottom w:val="nil"/>
              <w:right w:val="nil"/>
            </w:tcBorders>
            <w:vAlign w:val="bottom"/>
          </w:tcPr>
          <w:p w:rsidR="00000000" w:rsidRDefault="00000000">
            <w:pPr>
              <w:jc w:val="right"/>
              <w:rPr>
                <w:sz w:val="17"/>
              </w:rPr>
            </w:pPr>
            <w:r>
              <w:rPr>
                <w:sz w:val="17"/>
              </w:rPr>
              <w:t>50</w:t>
            </w:r>
          </w:p>
        </w:tc>
      </w:tr>
      <w:tr w:rsidR="00000000">
        <w:tblPrEx>
          <w:tblCellMar>
            <w:top w:w="0" w:type="dxa"/>
            <w:left w:w="0" w:type="dxa"/>
            <w:bottom w:w="0" w:type="dxa"/>
            <w:right w:w="0" w:type="dxa"/>
          </w:tblCellMar>
        </w:tblPrEx>
        <w:tc>
          <w:tcPr>
            <w:tcW w:w="2862" w:type="dxa"/>
            <w:tcBorders>
              <w:top w:val="nil"/>
              <w:left w:val="nil"/>
              <w:bottom w:val="nil"/>
              <w:right w:val="nil"/>
            </w:tcBorders>
            <w:vAlign w:val="bottom"/>
          </w:tcPr>
          <w:p w:rsidR="00000000" w:rsidRDefault="00000000">
            <w:pPr>
              <w:rPr>
                <w:sz w:val="17"/>
              </w:rPr>
            </w:pPr>
          </w:p>
        </w:tc>
        <w:tc>
          <w:tcPr>
            <w:tcW w:w="990" w:type="dxa"/>
            <w:tcBorders>
              <w:top w:val="nil"/>
              <w:left w:val="nil"/>
              <w:bottom w:val="nil"/>
              <w:right w:val="nil"/>
            </w:tcBorders>
            <w:vAlign w:val="bottom"/>
          </w:tcPr>
          <w:p w:rsidR="00000000" w:rsidRDefault="00000000">
            <w:pPr>
              <w:jc w:val="right"/>
              <w:rPr>
                <w:sz w:val="17"/>
              </w:rPr>
            </w:pPr>
          </w:p>
        </w:tc>
        <w:tc>
          <w:tcPr>
            <w:tcW w:w="990" w:type="dxa"/>
            <w:tcBorders>
              <w:top w:val="nil"/>
              <w:left w:val="nil"/>
              <w:bottom w:val="nil"/>
              <w:right w:val="nil"/>
            </w:tcBorders>
            <w:vAlign w:val="bottom"/>
          </w:tcPr>
          <w:p w:rsidR="00000000" w:rsidRDefault="00000000">
            <w:pPr>
              <w:jc w:val="right"/>
              <w:rPr>
                <w:sz w:val="17"/>
              </w:rPr>
            </w:pPr>
          </w:p>
        </w:tc>
        <w:tc>
          <w:tcPr>
            <w:tcW w:w="540" w:type="dxa"/>
            <w:tcBorders>
              <w:top w:val="nil"/>
              <w:left w:val="nil"/>
              <w:bottom w:val="nil"/>
              <w:right w:val="nil"/>
            </w:tcBorders>
          </w:tcPr>
          <w:p w:rsidR="00000000" w:rsidRDefault="00000000">
            <w:pPr>
              <w:jc w:val="right"/>
              <w:rPr>
                <w:sz w:val="17"/>
              </w:rPr>
            </w:pPr>
          </w:p>
        </w:tc>
        <w:tc>
          <w:tcPr>
            <w:tcW w:w="1080" w:type="dxa"/>
            <w:tcBorders>
              <w:top w:val="nil"/>
              <w:left w:val="nil"/>
              <w:bottom w:val="nil"/>
              <w:right w:val="nil"/>
            </w:tcBorders>
          </w:tcPr>
          <w:p w:rsidR="00000000" w:rsidRDefault="00000000">
            <w:pPr>
              <w:jc w:val="right"/>
              <w:rPr>
                <w:sz w:val="17"/>
              </w:rPr>
            </w:pPr>
          </w:p>
        </w:tc>
        <w:tc>
          <w:tcPr>
            <w:tcW w:w="720" w:type="dxa"/>
            <w:tcBorders>
              <w:top w:val="nil"/>
              <w:left w:val="nil"/>
              <w:bottom w:val="nil"/>
              <w:right w:val="nil"/>
            </w:tcBorders>
            <w:vAlign w:val="bottom"/>
          </w:tcPr>
          <w:p w:rsidR="00000000" w:rsidRDefault="00000000">
            <w:pPr>
              <w:jc w:val="right"/>
              <w:rPr>
                <w:sz w:val="17"/>
              </w:rPr>
            </w:pPr>
          </w:p>
        </w:tc>
      </w:tr>
      <w:tr w:rsidR="00000000">
        <w:tblPrEx>
          <w:tblCellMar>
            <w:top w:w="0" w:type="dxa"/>
            <w:left w:w="0" w:type="dxa"/>
            <w:bottom w:w="0" w:type="dxa"/>
            <w:right w:w="0" w:type="dxa"/>
          </w:tblCellMar>
        </w:tblPrEx>
        <w:tc>
          <w:tcPr>
            <w:tcW w:w="2862" w:type="dxa"/>
            <w:tcBorders>
              <w:top w:val="nil"/>
              <w:left w:val="nil"/>
              <w:bottom w:val="nil"/>
              <w:right w:val="nil"/>
            </w:tcBorders>
            <w:vAlign w:val="bottom"/>
          </w:tcPr>
          <w:p w:rsidR="00000000" w:rsidRDefault="00000000">
            <w:pPr>
              <w:rPr>
                <w:sz w:val="17"/>
              </w:rPr>
            </w:pPr>
            <w:r>
              <w:rPr>
                <w:sz w:val="17"/>
              </w:rPr>
              <w:t>Ассамблея</w:t>
            </w:r>
          </w:p>
        </w:tc>
        <w:tc>
          <w:tcPr>
            <w:tcW w:w="990" w:type="dxa"/>
            <w:tcBorders>
              <w:top w:val="nil"/>
              <w:left w:val="nil"/>
              <w:bottom w:val="nil"/>
              <w:right w:val="nil"/>
            </w:tcBorders>
            <w:vAlign w:val="bottom"/>
          </w:tcPr>
          <w:p w:rsidR="00000000" w:rsidRDefault="00000000">
            <w:pPr>
              <w:jc w:val="right"/>
              <w:rPr>
                <w:sz w:val="17"/>
              </w:rPr>
            </w:pPr>
            <w:r>
              <w:rPr>
                <w:sz w:val="17"/>
              </w:rPr>
              <w:t>500</w:t>
            </w:r>
          </w:p>
        </w:tc>
        <w:tc>
          <w:tcPr>
            <w:tcW w:w="990" w:type="dxa"/>
            <w:tcBorders>
              <w:top w:val="nil"/>
              <w:left w:val="nil"/>
              <w:bottom w:val="nil"/>
              <w:right w:val="nil"/>
            </w:tcBorders>
            <w:vAlign w:val="bottom"/>
          </w:tcPr>
          <w:p w:rsidR="00000000" w:rsidRDefault="00000000">
            <w:pPr>
              <w:jc w:val="right"/>
              <w:rPr>
                <w:sz w:val="17"/>
              </w:rPr>
            </w:pPr>
            <w:r>
              <w:rPr>
                <w:sz w:val="17"/>
              </w:rPr>
              <w:t>70</w:t>
            </w:r>
          </w:p>
        </w:tc>
        <w:tc>
          <w:tcPr>
            <w:tcW w:w="540" w:type="dxa"/>
            <w:tcBorders>
              <w:top w:val="nil"/>
              <w:left w:val="nil"/>
              <w:bottom w:val="nil"/>
              <w:right w:val="nil"/>
            </w:tcBorders>
          </w:tcPr>
          <w:p w:rsidR="00000000" w:rsidRDefault="00000000">
            <w:pPr>
              <w:jc w:val="right"/>
              <w:rPr>
                <w:sz w:val="17"/>
              </w:rPr>
            </w:pPr>
            <w:r>
              <w:rPr>
                <w:sz w:val="17"/>
              </w:rPr>
              <w:t>14</w:t>
            </w:r>
          </w:p>
        </w:tc>
        <w:tc>
          <w:tcPr>
            <w:tcW w:w="1080" w:type="dxa"/>
            <w:tcBorders>
              <w:top w:val="nil"/>
              <w:left w:val="nil"/>
              <w:bottom w:val="nil"/>
              <w:right w:val="nil"/>
            </w:tcBorders>
          </w:tcPr>
          <w:p w:rsidR="00000000" w:rsidRDefault="00000000">
            <w:pPr>
              <w:jc w:val="right"/>
              <w:rPr>
                <w:sz w:val="17"/>
              </w:rPr>
            </w:pPr>
            <w:r>
              <w:rPr>
                <w:sz w:val="17"/>
              </w:rPr>
              <w:t>430</w:t>
            </w:r>
          </w:p>
        </w:tc>
        <w:tc>
          <w:tcPr>
            <w:tcW w:w="720" w:type="dxa"/>
            <w:tcBorders>
              <w:top w:val="nil"/>
              <w:left w:val="nil"/>
              <w:bottom w:val="nil"/>
              <w:right w:val="nil"/>
            </w:tcBorders>
            <w:vAlign w:val="bottom"/>
          </w:tcPr>
          <w:p w:rsidR="00000000" w:rsidRDefault="00000000">
            <w:pPr>
              <w:jc w:val="right"/>
              <w:rPr>
                <w:sz w:val="17"/>
              </w:rPr>
            </w:pPr>
            <w:r>
              <w:rPr>
                <w:sz w:val="17"/>
              </w:rPr>
              <w:t>86</w:t>
            </w:r>
          </w:p>
        </w:tc>
      </w:tr>
      <w:tr w:rsidR="00000000">
        <w:tblPrEx>
          <w:tblCellMar>
            <w:top w:w="0" w:type="dxa"/>
            <w:left w:w="0" w:type="dxa"/>
            <w:bottom w:w="0" w:type="dxa"/>
            <w:right w:w="0" w:type="dxa"/>
          </w:tblCellMar>
        </w:tblPrEx>
        <w:tc>
          <w:tcPr>
            <w:tcW w:w="2862" w:type="dxa"/>
            <w:tcBorders>
              <w:top w:val="nil"/>
              <w:left w:val="nil"/>
              <w:bottom w:val="nil"/>
              <w:right w:val="nil"/>
            </w:tcBorders>
            <w:vAlign w:val="bottom"/>
          </w:tcPr>
          <w:p w:rsidR="00000000" w:rsidRDefault="00000000">
            <w:pPr>
              <w:rPr>
                <w:sz w:val="17"/>
              </w:rPr>
            </w:pPr>
            <w:r>
              <w:rPr>
                <w:sz w:val="17"/>
              </w:rPr>
              <w:t>Бюро национальной ассам</w:t>
            </w:r>
            <w:r>
              <w:rPr>
                <w:sz w:val="17"/>
              </w:rPr>
              <w:t>б</w:t>
            </w:r>
            <w:r>
              <w:rPr>
                <w:sz w:val="17"/>
              </w:rPr>
              <w:t>леи</w:t>
            </w:r>
          </w:p>
        </w:tc>
        <w:tc>
          <w:tcPr>
            <w:tcW w:w="990" w:type="dxa"/>
            <w:tcBorders>
              <w:top w:val="nil"/>
              <w:left w:val="nil"/>
              <w:bottom w:val="nil"/>
              <w:right w:val="nil"/>
            </w:tcBorders>
            <w:vAlign w:val="bottom"/>
          </w:tcPr>
          <w:p w:rsidR="00000000" w:rsidRDefault="00000000">
            <w:pPr>
              <w:jc w:val="right"/>
              <w:rPr>
                <w:sz w:val="17"/>
              </w:rPr>
            </w:pPr>
            <w:r>
              <w:rPr>
                <w:sz w:val="17"/>
              </w:rPr>
              <w:t>8</w:t>
            </w:r>
          </w:p>
        </w:tc>
        <w:tc>
          <w:tcPr>
            <w:tcW w:w="990" w:type="dxa"/>
            <w:tcBorders>
              <w:top w:val="nil"/>
              <w:left w:val="nil"/>
              <w:bottom w:val="nil"/>
              <w:right w:val="nil"/>
            </w:tcBorders>
            <w:vAlign w:val="bottom"/>
          </w:tcPr>
          <w:p w:rsidR="00000000" w:rsidRDefault="00000000">
            <w:pPr>
              <w:jc w:val="right"/>
              <w:rPr>
                <w:sz w:val="17"/>
              </w:rPr>
            </w:pPr>
            <w:r>
              <w:rPr>
                <w:sz w:val="17"/>
              </w:rPr>
              <w:t>2</w:t>
            </w:r>
          </w:p>
        </w:tc>
        <w:tc>
          <w:tcPr>
            <w:tcW w:w="540" w:type="dxa"/>
            <w:tcBorders>
              <w:top w:val="nil"/>
              <w:left w:val="nil"/>
              <w:bottom w:val="nil"/>
              <w:right w:val="nil"/>
            </w:tcBorders>
          </w:tcPr>
          <w:p w:rsidR="00000000" w:rsidRDefault="00000000">
            <w:pPr>
              <w:jc w:val="right"/>
              <w:rPr>
                <w:sz w:val="17"/>
              </w:rPr>
            </w:pPr>
            <w:r>
              <w:rPr>
                <w:sz w:val="17"/>
              </w:rPr>
              <w:t>25</w:t>
            </w:r>
          </w:p>
        </w:tc>
        <w:tc>
          <w:tcPr>
            <w:tcW w:w="1080" w:type="dxa"/>
            <w:tcBorders>
              <w:top w:val="nil"/>
              <w:left w:val="nil"/>
              <w:bottom w:val="nil"/>
              <w:right w:val="nil"/>
            </w:tcBorders>
          </w:tcPr>
          <w:p w:rsidR="00000000" w:rsidRDefault="00000000">
            <w:pPr>
              <w:jc w:val="right"/>
              <w:rPr>
                <w:sz w:val="17"/>
              </w:rPr>
            </w:pPr>
            <w:r>
              <w:rPr>
                <w:sz w:val="17"/>
              </w:rPr>
              <w:t>6</w:t>
            </w:r>
          </w:p>
        </w:tc>
        <w:tc>
          <w:tcPr>
            <w:tcW w:w="720" w:type="dxa"/>
            <w:tcBorders>
              <w:top w:val="nil"/>
              <w:left w:val="nil"/>
              <w:bottom w:val="nil"/>
              <w:right w:val="nil"/>
            </w:tcBorders>
            <w:vAlign w:val="bottom"/>
          </w:tcPr>
          <w:p w:rsidR="00000000" w:rsidRDefault="00000000">
            <w:pPr>
              <w:jc w:val="right"/>
              <w:rPr>
                <w:sz w:val="17"/>
              </w:rPr>
            </w:pPr>
            <w:r>
              <w:rPr>
                <w:sz w:val="17"/>
              </w:rPr>
              <w:t>75</w:t>
            </w:r>
          </w:p>
        </w:tc>
      </w:tr>
      <w:tr w:rsidR="00000000">
        <w:tblPrEx>
          <w:tblCellMar>
            <w:top w:w="0" w:type="dxa"/>
            <w:left w:w="0" w:type="dxa"/>
            <w:bottom w:w="0" w:type="dxa"/>
            <w:right w:w="0" w:type="dxa"/>
          </w:tblCellMar>
        </w:tblPrEx>
        <w:tc>
          <w:tcPr>
            <w:tcW w:w="2862" w:type="dxa"/>
            <w:tcBorders>
              <w:top w:val="nil"/>
              <w:left w:val="nil"/>
              <w:bottom w:val="nil"/>
              <w:right w:val="nil"/>
            </w:tcBorders>
            <w:vAlign w:val="bottom"/>
          </w:tcPr>
          <w:p w:rsidR="00000000" w:rsidRDefault="00000000">
            <w:pPr>
              <w:rPr>
                <w:sz w:val="17"/>
              </w:rPr>
            </w:pPr>
            <w:r>
              <w:rPr>
                <w:sz w:val="17"/>
              </w:rPr>
              <w:t>Сенат</w:t>
            </w:r>
          </w:p>
        </w:tc>
        <w:tc>
          <w:tcPr>
            <w:tcW w:w="990" w:type="dxa"/>
            <w:tcBorders>
              <w:top w:val="nil"/>
              <w:left w:val="nil"/>
              <w:bottom w:val="nil"/>
              <w:right w:val="nil"/>
            </w:tcBorders>
            <w:vAlign w:val="bottom"/>
          </w:tcPr>
          <w:p w:rsidR="00000000" w:rsidRDefault="00000000">
            <w:pPr>
              <w:jc w:val="right"/>
              <w:rPr>
                <w:sz w:val="17"/>
              </w:rPr>
            </w:pPr>
            <w:r>
              <w:rPr>
                <w:sz w:val="17"/>
              </w:rPr>
              <w:t>120</w:t>
            </w:r>
          </w:p>
        </w:tc>
        <w:tc>
          <w:tcPr>
            <w:tcW w:w="990" w:type="dxa"/>
            <w:tcBorders>
              <w:top w:val="nil"/>
              <w:left w:val="nil"/>
              <w:bottom w:val="nil"/>
              <w:right w:val="nil"/>
            </w:tcBorders>
            <w:vAlign w:val="bottom"/>
          </w:tcPr>
          <w:p w:rsidR="00000000" w:rsidRDefault="00000000">
            <w:pPr>
              <w:jc w:val="right"/>
              <w:rPr>
                <w:sz w:val="17"/>
              </w:rPr>
            </w:pPr>
            <w:r>
              <w:rPr>
                <w:sz w:val="17"/>
              </w:rPr>
              <w:t>3</w:t>
            </w:r>
          </w:p>
        </w:tc>
        <w:tc>
          <w:tcPr>
            <w:tcW w:w="540" w:type="dxa"/>
            <w:tcBorders>
              <w:top w:val="nil"/>
              <w:left w:val="nil"/>
              <w:bottom w:val="nil"/>
              <w:right w:val="nil"/>
            </w:tcBorders>
          </w:tcPr>
          <w:p w:rsidR="00000000" w:rsidRDefault="00000000">
            <w:pPr>
              <w:jc w:val="right"/>
              <w:rPr>
                <w:sz w:val="17"/>
              </w:rPr>
            </w:pPr>
            <w:r>
              <w:rPr>
                <w:sz w:val="17"/>
              </w:rPr>
              <w:t>2,5</w:t>
            </w:r>
          </w:p>
        </w:tc>
        <w:tc>
          <w:tcPr>
            <w:tcW w:w="1080" w:type="dxa"/>
            <w:tcBorders>
              <w:top w:val="nil"/>
              <w:left w:val="nil"/>
              <w:bottom w:val="nil"/>
              <w:right w:val="nil"/>
            </w:tcBorders>
          </w:tcPr>
          <w:p w:rsidR="00000000" w:rsidRDefault="00000000">
            <w:pPr>
              <w:jc w:val="right"/>
              <w:rPr>
                <w:sz w:val="17"/>
              </w:rPr>
            </w:pPr>
            <w:r>
              <w:rPr>
                <w:sz w:val="17"/>
              </w:rPr>
              <w:t>117</w:t>
            </w:r>
          </w:p>
        </w:tc>
        <w:tc>
          <w:tcPr>
            <w:tcW w:w="720" w:type="dxa"/>
            <w:tcBorders>
              <w:top w:val="nil"/>
              <w:left w:val="nil"/>
              <w:bottom w:val="nil"/>
              <w:right w:val="nil"/>
            </w:tcBorders>
            <w:vAlign w:val="bottom"/>
          </w:tcPr>
          <w:p w:rsidR="00000000" w:rsidRDefault="00000000">
            <w:pPr>
              <w:jc w:val="right"/>
              <w:rPr>
                <w:sz w:val="17"/>
              </w:rPr>
            </w:pPr>
            <w:r>
              <w:rPr>
                <w:sz w:val="17"/>
              </w:rPr>
              <w:t>97,5</w:t>
            </w:r>
          </w:p>
        </w:tc>
      </w:tr>
      <w:tr w:rsidR="00000000">
        <w:tblPrEx>
          <w:tblCellMar>
            <w:top w:w="0" w:type="dxa"/>
            <w:left w:w="0" w:type="dxa"/>
            <w:bottom w:w="0" w:type="dxa"/>
            <w:right w:w="0" w:type="dxa"/>
          </w:tblCellMar>
        </w:tblPrEx>
        <w:tc>
          <w:tcPr>
            <w:tcW w:w="2862" w:type="dxa"/>
            <w:tcBorders>
              <w:top w:val="nil"/>
              <w:left w:val="nil"/>
              <w:bottom w:val="nil"/>
              <w:right w:val="nil"/>
            </w:tcBorders>
            <w:vAlign w:val="bottom"/>
          </w:tcPr>
          <w:p w:rsidR="00000000" w:rsidRDefault="00000000">
            <w:pPr>
              <w:rPr>
                <w:sz w:val="17"/>
              </w:rPr>
            </w:pPr>
            <w:r>
              <w:rPr>
                <w:sz w:val="17"/>
              </w:rPr>
              <w:t>Бюро Сената</w:t>
            </w:r>
          </w:p>
        </w:tc>
        <w:tc>
          <w:tcPr>
            <w:tcW w:w="990" w:type="dxa"/>
            <w:tcBorders>
              <w:top w:val="nil"/>
              <w:left w:val="nil"/>
              <w:bottom w:val="nil"/>
              <w:right w:val="nil"/>
            </w:tcBorders>
            <w:vAlign w:val="bottom"/>
          </w:tcPr>
          <w:p w:rsidR="00000000" w:rsidRDefault="00000000">
            <w:pPr>
              <w:jc w:val="right"/>
              <w:rPr>
                <w:sz w:val="17"/>
              </w:rPr>
            </w:pPr>
            <w:r>
              <w:rPr>
                <w:sz w:val="17"/>
              </w:rPr>
              <w:t>8</w:t>
            </w:r>
          </w:p>
        </w:tc>
        <w:tc>
          <w:tcPr>
            <w:tcW w:w="990" w:type="dxa"/>
            <w:tcBorders>
              <w:top w:val="nil"/>
              <w:left w:val="nil"/>
              <w:bottom w:val="nil"/>
              <w:right w:val="nil"/>
            </w:tcBorders>
            <w:vAlign w:val="bottom"/>
          </w:tcPr>
          <w:p w:rsidR="00000000" w:rsidRDefault="00000000">
            <w:pPr>
              <w:jc w:val="right"/>
              <w:rPr>
                <w:sz w:val="17"/>
              </w:rPr>
            </w:pPr>
            <w:r>
              <w:rPr>
                <w:sz w:val="17"/>
              </w:rPr>
              <w:t>0</w:t>
            </w:r>
          </w:p>
        </w:tc>
        <w:tc>
          <w:tcPr>
            <w:tcW w:w="540" w:type="dxa"/>
            <w:tcBorders>
              <w:top w:val="nil"/>
              <w:left w:val="nil"/>
              <w:bottom w:val="nil"/>
              <w:right w:val="nil"/>
            </w:tcBorders>
          </w:tcPr>
          <w:p w:rsidR="00000000" w:rsidRDefault="00000000">
            <w:pPr>
              <w:jc w:val="right"/>
              <w:rPr>
                <w:sz w:val="17"/>
              </w:rPr>
            </w:pPr>
            <w:r>
              <w:rPr>
                <w:sz w:val="17"/>
              </w:rPr>
              <w:t>0</w:t>
            </w:r>
          </w:p>
        </w:tc>
        <w:tc>
          <w:tcPr>
            <w:tcW w:w="1080" w:type="dxa"/>
            <w:tcBorders>
              <w:top w:val="nil"/>
              <w:left w:val="nil"/>
              <w:bottom w:val="nil"/>
              <w:right w:val="nil"/>
            </w:tcBorders>
          </w:tcPr>
          <w:p w:rsidR="00000000" w:rsidRDefault="00000000">
            <w:pPr>
              <w:jc w:val="right"/>
              <w:rPr>
                <w:sz w:val="17"/>
              </w:rPr>
            </w:pPr>
            <w:r>
              <w:rPr>
                <w:sz w:val="17"/>
              </w:rPr>
              <w:t>8</w:t>
            </w:r>
          </w:p>
        </w:tc>
        <w:tc>
          <w:tcPr>
            <w:tcW w:w="720" w:type="dxa"/>
            <w:tcBorders>
              <w:top w:val="nil"/>
              <w:left w:val="nil"/>
              <w:bottom w:val="nil"/>
              <w:right w:val="nil"/>
            </w:tcBorders>
            <w:vAlign w:val="bottom"/>
          </w:tcPr>
          <w:p w:rsidR="00000000" w:rsidRDefault="00000000">
            <w:pPr>
              <w:jc w:val="right"/>
              <w:rPr>
                <w:sz w:val="17"/>
              </w:rPr>
            </w:pPr>
            <w:r>
              <w:rPr>
                <w:sz w:val="17"/>
              </w:rPr>
              <w:t>100</w:t>
            </w:r>
          </w:p>
        </w:tc>
      </w:tr>
      <w:tr w:rsidR="00000000">
        <w:tblPrEx>
          <w:tblCellMar>
            <w:top w:w="0" w:type="dxa"/>
            <w:left w:w="0" w:type="dxa"/>
            <w:bottom w:w="0" w:type="dxa"/>
            <w:right w:w="0" w:type="dxa"/>
          </w:tblCellMar>
        </w:tblPrEx>
        <w:tc>
          <w:tcPr>
            <w:tcW w:w="2862" w:type="dxa"/>
            <w:tcBorders>
              <w:top w:val="nil"/>
              <w:left w:val="nil"/>
              <w:bottom w:val="nil"/>
              <w:right w:val="nil"/>
            </w:tcBorders>
            <w:vAlign w:val="bottom"/>
          </w:tcPr>
          <w:p w:rsidR="00000000" w:rsidRDefault="00000000">
            <w:pPr>
              <w:rPr>
                <w:sz w:val="17"/>
              </w:rPr>
            </w:pPr>
            <w:r>
              <w:rPr>
                <w:sz w:val="17"/>
              </w:rPr>
              <w:t>Учреждения поддержки демокр</w:t>
            </w:r>
            <w:r>
              <w:rPr>
                <w:sz w:val="17"/>
              </w:rPr>
              <w:t>а</w:t>
            </w:r>
            <w:r>
              <w:rPr>
                <w:sz w:val="17"/>
              </w:rPr>
              <w:t>тии</w:t>
            </w:r>
          </w:p>
        </w:tc>
        <w:tc>
          <w:tcPr>
            <w:tcW w:w="990" w:type="dxa"/>
            <w:tcBorders>
              <w:top w:val="nil"/>
              <w:left w:val="nil"/>
              <w:bottom w:val="nil"/>
              <w:right w:val="nil"/>
            </w:tcBorders>
            <w:vAlign w:val="bottom"/>
          </w:tcPr>
          <w:p w:rsidR="00000000" w:rsidRDefault="00000000">
            <w:pPr>
              <w:jc w:val="right"/>
              <w:rPr>
                <w:sz w:val="17"/>
              </w:rPr>
            </w:pPr>
            <w:r>
              <w:rPr>
                <w:sz w:val="17"/>
              </w:rPr>
              <w:t>5</w:t>
            </w:r>
          </w:p>
        </w:tc>
        <w:tc>
          <w:tcPr>
            <w:tcW w:w="990" w:type="dxa"/>
            <w:tcBorders>
              <w:top w:val="nil"/>
              <w:left w:val="nil"/>
              <w:bottom w:val="nil"/>
              <w:right w:val="nil"/>
            </w:tcBorders>
            <w:vAlign w:val="bottom"/>
          </w:tcPr>
          <w:p w:rsidR="00000000" w:rsidRDefault="00000000">
            <w:pPr>
              <w:jc w:val="right"/>
              <w:rPr>
                <w:sz w:val="17"/>
              </w:rPr>
            </w:pPr>
            <w:r>
              <w:rPr>
                <w:sz w:val="17"/>
              </w:rPr>
              <w:t>0</w:t>
            </w:r>
          </w:p>
        </w:tc>
        <w:tc>
          <w:tcPr>
            <w:tcW w:w="540" w:type="dxa"/>
            <w:tcBorders>
              <w:top w:val="nil"/>
              <w:left w:val="nil"/>
              <w:bottom w:val="nil"/>
              <w:right w:val="nil"/>
            </w:tcBorders>
          </w:tcPr>
          <w:p w:rsidR="00000000" w:rsidRDefault="00000000">
            <w:pPr>
              <w:jc w:val="right"/>
              <w:rPr>
                <w:sz w:val="17"/>
              </w:rPr>
            </w:pPr>
            <w:r>
              <w:rPr>
                <w:sz w:val="17"/>
              </w:rPr>
              <w:t>0</w:t>
            </w:r>
          </w:p>
        </w:tc>
        <w:tc>
          <w:tcPr>
            <w:tcW w:w="1080" w:type="dxa"/>
            <w:tcBorders>
              <w:top w:val="nil"/>
              <w:left w:val="nil"/>
              <w:bottom w:val="nil"/>
              <w:right w:val="nil"/>
            </w:tcBorders>
          </w:tcPr>
          <w:p w:rsidR="00000000" w:rsidRDefault="00000000">
            <w:pPr>
              <w:jc w:val="right"/>
              <w:rPr>
                <w:sz w:val="17"/>
              </w:rPr>
            </w:pPr>
            <w:r>
              <w:rPr>
                <w:sz w:val="17"/>
              </w:rPr>
              <w:t>5</w:t>
            </w:r>
          </w:p>
        </w:tc>
        <w:tc>
          <w:tcPr>
            <w:tcW w:w="720" w:type="dxa"/>
            <w:tcBorders>
              <w:top w:val="nil"/>
              <w:left w:val="nil"/>
              <w:bottom w:val="nil"/>
              <w:right w:val="nil"/>
            </w:tcBorders>
            <w:vAlign w:val="bottom"/>
          </w:tcPr>
          <w:p w:rsidR="00000000" w:rsidRDefault="00000000">
            <w:pPr>
              <w:jc w:val="right"/>
              <w:rPr>
                <w:sz w:val="17"/>
              </w:rPr>
            </w:pPr>
            <w:r>
              <w:rPr>
                <w:sz w:val="17"/>
              </w:rPr>
              <w:t>100</w:t>
            </w:r>
          </w:p>
        </w:tc>
      </w:tr>
      <w:tr w:rsidR="00000000">
        <w:tblPrEx>
          <w:tblCellMar>
            <w:top w:w="0" w:type="dxa"/>
            <w:left w:w="0" w:type="dxa"/>
            <w:bottom w:w="0" w:type="dxa"/>
            <w:right w:w="0" w:type="dxa"/>
          </w:tblCellMar>
        </w:tblPrEx>
        <w:tc>
          <w:tcPr>
            <w:tcW w:w="2862" w:type="dxa"/>
            <w:tcBorders>
              <w:top w:val="nil"/>
              <w:left w:val="nil"/>
              <w:bottom w:val="nil"/>
              <w:right w:val="nil"/>
            </w:tcBorders>
            <w:vAlign w:val="bottom"/>
          </w:tcPr>
          <w:p w:rsidR="00000000" w:rsidRDefault="00000000">
            <w:pPr>
              <w:rPr>
                <w:sz w:val="17"/>
              </w:rPr>
            </w:pPr>
            <w:r>
              <w:rPr>
                <w:sz w:val="17"/>
              </w:rPr>
              <w:t>Магистратура</w:t>
            </w:r>
          </w:p>
        </w:tc>
        <w:tc>
          <w:tcPr>
            <w:tcW w:w="990" w:type="dxa"/>
            <w:tcBorders>
              <w:top w:val="nil"/>
              <w:left w:val="nil"/>
              <w:bottom w:val="nil"/>
              <w:right w:val="nil"/>
            </w:tcBorders>
            <w:vAlign w:val="bottom"/>
          </w:tcPr>
          <w:p w:rsidR="00000000" w:rsidRDefault="00000000">
            <w:pPr>
              <w:jc w:val="right"/>
              <w:rPr>
                <w:sz w:val="17"/>
              </w:rPr>
            </w:pPr>
            <w:r>
              <w:rPr>
                <w:sz w:val="17"/>
              </w:rPr>
              <w:t>1199</w:t>
            </w:r>
          </w:p>
        </w:tc>
        <w:tc>
          <w:tcPr>
            <w:tcW w:w="990" w:type="dxa"/>
            <w:tcBorders>
              <w:top w:val="nil"/>
              <w:left w:val="nil"/>
              <w:bottom w:val="nil"/>
              <w:right w:val="nil"/>
            </w:tcBorders>
            <w:vAlign w:val="bottom"/>
          </w:tcPr>
          <w:p w:rsidR="00000000" w:rsidRDefault="00000000">
            <w:pPr>
              <w:jc w:val="right"/>
              <w:rPr>
                <w:sz w:val="17"/>
              </w:rPr>
            </w:pPr>
            <w:r>
              <w:rPr>
                <w:sz w:val="17"/>
              </w:rPr>
              <w:t>160</w:t>
            </w:r>
          </w:p>
        </w:tc>
        <w:tc>
          <w:tcPr>
            <w:tcW w:w="540" w:type="dxa"/>
            <w:tcBorders>
              <w:top w:val="nil"/>
              <w:left w:val="nil"/>
              <w:bottom w:val="nil"/>
              <w:right w:val="nil"/>
            </w:tcBorders>
          </w:tcPr>
          <w:p w:rsidR="00000000" w:rsidRDefault="00000000">
            <w:pPr>
              <w:jc w:val="right"/>
              <w:rPr>
                <w:sz w:val="17"/>
              </w:rPr>
            </w:pPr>
            <w:r>
              <w:rPr>
                <w:sz w:val="17"/>
              </w:rPr>
              <w:t>13,35</w:t>
            </w:r>
          </w:p>
        </w:tc>
        <w:tc>
          <w:tcPr>
            <w:tcW w:w="1080" w:type="dxa"/>
            <w:tcBorders>
              <w:top w:val="nil"/>
              <w:left w:val="nil"/>
              <w:bottom w:val="nil"/>
              <w:right w:val="nil"/>
            </w:tcBorders>
          </w:tcPr>
          <w:p w:rsidR="00000000" w:rsidRDefault="00000000">
            <w:pPr>
              <w:jc w:val="right"/>
              <w:rPr>
                <w:sz w:val="17"/>
              </w:rPr>
            </w:pPr>
            <w:r>
              <w:rPr>
                <w:sz w:val="17"/>
              </w:rPr>
              <w:t>1039</w:t>
            </w:r>
          </w:p>
        </w:tc>
        <w:tc>
          <w:tcPr>
            <w:tcW w:w="720" w:type="dxa"/>
            <w:tcBorders>
              <w:top w:val="nil"/>
              <w:left w:val="nil"/>
              <w:bottom w:val="nil"/>
              <w:right w:val="nil"/>
            </w:tcBorders>
            <w:vAlign w:val="bottom"/>
          </w:tcPr>
          <w:p w:rsidR="00000000" w:rsidRDefault="00000000">
            <w:pPr>
              <w:jc w:val="right"/>
              <w:rPr>
                <w:sz w:val="17"/>
              </w:rPr>
            </w:pPr>
            <w:r>
              <w:rPr>
                <w:sz w:val="17"/>
              </w:rPr>
              <w:t>86,65</w:t>
            </w:r>
          </w:p>
        </w:tc>
      </w:tr>
      <w:tr w:rsidR="00000000">
        <w:tblPrEx>
          <w:tblCellMar>
            <w:top w:w="0" w:type="dxa"/>
            <w:left w:w="0" w:type="dxa"/>
            <w:bottom w:w="0" w:type="dxa"/>
            <w:right w:w="0" w:type="dxa"/>
          </w:tblCellMar>
        </w:tblPrEx>
        <w:tc>
          <w:tcPr>
            <w:tcW w:w="2862" w:type="dxa"/>
            <w:tcBorders>
              <w:top w:val="nil"/>
              <w:left w:val="nil"/>
              <w:bottom w:val="single" w:sz="12" w:space="0" w:color="auto"/>
              <w:right w:val="nil"/>
            </w:tcBorders>
            <w:vAlign w:val="bottom"/>
          </w:tcPr>
          <w:p w:rsidR="00000000" w:rsidRDefault="00000000">
            <w:pPr>
              <w:rPr>
                <w:sz w:val="17"/>
              </w:rPr>
            </w:pPr>
            <w:r>
              <w:rPr>
                <w:sz w:val="17"/>
              </w:rPr>
              <w:t>Генеральные секретариаты органов государственного упра</w:t>
            </w:r>
            <w:r>
              <w:rPr>
                <w:sz w:val="17"/>
              </w:rPr>
              <w:t>в</w:t>
            </w:r>
            <w:r>
              <w:rPr>
                <w:sz w:val="17"/>
              </w:rPr>
              <w:t>ления</w:t>
            </w:r>
          </w:p>
        </w:tc>
        <w:tc>
          <w:tcPr>
            <w:tcW w:w="990" w:type="dxa"/>
            <w:tcBorders>
              <w:top w:val="nil"/>
              <w:left w:val="nil"/>
              <w:bottom w:val="single" w:sz="12" w:space="0" w:color="auto"/>
              <w:right w:val="nil"/>
            </w:tcBorders>
            <w:vAlign w:val="bottom"/>
          </w:tcPr>
          <w:p w:rsidR="00000000" w:rsidRDefault="00000000">
            <w:pPr>
              <w:jc w:val="right"/>
              <w:rPr>
                <w:sz w:val="17"/>
              </w:rPr>
            </w:pPr>
            <w:r>
              <w:rPr>
                <w:sz w:val="17"/>
              </w:rPr>
              <w:t>49</w:t>
            </w:r>
          </w:p>
        </w:tc>
        <w:tc>
          <w:tcPr>
            <w:tcW w:w="990" w:type="dxa"/>
            <w:tcBorders>
              <w:top w:val="nil"/>
              <w:left w:val="nil"/>
              <w:bottom w:val="single" w:sz="12" w:space="0" w:color="auto"/>
              <w:right w:val="nil"/>
            </w:tcBorders>
            <w:vAlign w:val="bottom"/>
          </w:tcPr>
          <w:p w:rsidR="00000000" w:rsidRDefault="00000000">
            <w:pPr>
              <w:jc w:val="right"/>
              <w:rPr>
                <w:sz w:val="17"/>
              </w:rPr>
            </w:pPr>
            <w:r>
              <w:rPr>
                <w:sz w:val="17"/>
              </w:rPr>
              <w:t>7</w:t>
            </w:r>
          </w:p>
        </w:tc>
        <w:tc>
          <w:tcPr>
            <w:tcW w:w="540" w:type="dxa"/>
            <w:tcBorders>
              <w:top w:val="nil"/>
              <w:left w:val="nil"/>
              <w:bottom w:val="single" w:sz="12" w:space="0" w:color="auto"/>
              <w:right w:val="nil"/>
            </w:tcBorders>
            <w:vAlign w:val="bottom"/>
          </w:tcPr>
          <w:p w:rsidR="00000000" w:rsidRDefault="00000000">
            <w:pPr>
              <w:jc w:val="right"/>
              <w:rPr>
                <w:sz w:val="17"/>
              </w:rPr>
            </w:pPr>
            <w:r>
              <w:rPr>
                <w:sz w:val="17"/>
              </w:rPr>
              <w:t>14</w:t>
            </w:r>
          </w:p>
        </w:tc>
        <w:tc>
          <w:tcPr>
            <w:tcW w:w="1080" w:type="dxa"/>
            <w:tcBorders>
              <w:top w:val="nil"/>
              <w:left w:val="nil"/>
              <w:bottom w:val="single" w:sz="12" w:space="0" w:color="auto"/>
              <w:right w:val="nil"/>
            </w:tcBorders>
            <w:vAlign w:val="bottom"/>
          </w:tcPr>
          <w:p w:rsidR="00000000" w:rsidRDefault="00000000">
            <w:pPr>
              <w:jc w:val="right"/>
              <w:rPr>
                <w:sz w:val="17"/>
              </w:rPr>
            </w:pPr>
            <w:r>
              <w:rPr>
                <w:sz w:val="17"/>
              </w:rPr>
              <w:t>42</w:t>
            </w:r>
          </w:p>
        </w:tc>
        <w:tc>
          <w:tcPr>
            <w:tcW w:w="720" w:type="dxa"/>
            <w:tcBorders>
              <w:top w:val="nil"/>
              <w:left w:val="nil"/>
              <w:bottom w:val="single" w:sz="12" w:space="0" w:color="auto"/>
              <w:right w:val="nil"/>
            </w:tcBorders>
            <w:vAlign w:val="bottom"/>
          </w:tcPr>
          <w:p w:rsidR="00000000" w:rsidRDefault="00000000">
            <w:pPr>
              <w:jc w:val="right"/>
              <w:rPr>
                <w:sz w:val="17"/>
              </w:rPr>
            </w:pPr>
            <w:r>
              <w:rPr>
                <w:sz w:val="17"/>
              </w:rPr>
              <w:t>86</w:t>
            </w:r>
          </w:p>
        </w:tc>
      </w:tr>
    </w:tbl>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Это положение только что изменилось с созданием новых должностей на территориальном уровне. По указу-декрету № 04/41 от 16 мая 2004 года назн</w:t>
      </w:r>
      <w:r>
        <w:t>а</w:t>
      </w:r>
      <w:r>
        <w:t>чено 12 губернаторов и 20 заместителей губернаторов, в число которых входят три женщины. Это представляет собой сокращение по сравнению с имевшим ранее положением, когда насчитывалось 11 женщин - заместителей губернат</w:t>
      </w:r>
      <w:r>
        <w:t>о</w:t>
      </w:r>
      <w:r>
        <w:t xml:space="preserve">ров из общего числа 22.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b)</w:t>
      </w:r>
      <w:r>
        <w:rPr>
          <w:b/>
        </w:rPr>
        <w:tab/>
        <w:t>Факторы, препятствующие участию женщин в политической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Женщины не осмеливаются брать на себя риски, связанные с занятием политической деятельностью, поскольку эта деятельность предполагает гото</w:t>
      </w:r>
      <w:r>
        <w:t>в</w:t>
      </w:r>
      <w:r>
        <w:t xml:space="preserve">ность идти на риски и потери. О необходимости более широкого привлечения женщин к активной политической борьбе говорилось выше.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то же время необходимо содействовать пониманию мер, принимаемых некоторыми женщинами-руководителями. Ранее об этом уже говорилось выше. Исходя из этого понимания, был предпринят ряд инициатив по изменению структуры органов, обеспечивающих участие женщин в политической жизни, что привело к созданию платформ и сетей для лоббирования и защиты интер</w:t>
      </w:r>
      <w:r>
        <w:t>е</w:t>
      </w:r>
      <w:r>
        <w:t>сов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Эти усилия заслуживают похвалы, но пока что с учетом процентной доли женщин в обществе они недостаточны.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с)</w:t>
      </w:r>
      <w:r>
        <w:rPr>
          <w:b/>
        </w:rPr>
        <w:tab/>
        <w:t>Отсутствие солидарности у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Судя по результатам исследования, проведенного в сентябре 2003 года г</w:t>
      </w:r>
      <w:r>
        <w:noBreakHyphen/>
        <w:t>ном Каника при финансовой поддержке ЮНИДО, в рамках выявления пр</w:t>
      </w:r>
      <w:r>
        <w:t>е</w:t>
      </w:r>
      <w:r>
        <w:t>пятствий на пути расширения возможностей женщин возникают трудности, к</w:t>
      </w:r>
      <w:r>
        <w:t>о</w:t>
      </w:r>
      <w:r>
        <w:t>гда речь идет о сотрудничестве между женщинами в искренней и откровенной атмосфере. Они в большей мере склонны к самоизоляции. (5)</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Существует реальная проблема в отношении подчиненного положения женщин, поскольку они предпочитают, например, присоединяться к политич</w:t>
      </w:r>
      <w:r>
        <w:t>е</w:t>
      </w:r>
      <w:r>
        <w:t>ским партиям, создаваемым мужчинами, и неохотно присоединяются к пол</w:t>
      </w:r>
      <w:r>
        <w:t>и</w:t>
      </w:r>
      <w:r>
        <w:t xml:space="preserve">тическим партиям, созданным женщинами.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d)</w:t>
      </w:r>
      <w:r>
        <w:rPr>
          <w:b/>
        </w:rPr>
        <w:tab/>
        <w:t>Конфликт в отношении лидерства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Результаты проведенного выше исследования показывают, что женщины, признанные в качестве лидеров, создают барьеры на пути продвижения к рук</w:t>
      </w:r>
      <w:r>
        <w:t>о</w:t>
      </w:r>
      <w:r>
        <w:t>водящим должностям других женщин. Первые же женщины, с которыми пр</w:t>
      </w:r>
      <w:r>
        <w:t>о</w:t>
      </w:r>
      <w:r>
        <w:t>водилось собеседование и которые имели возможность установить контакты с партнерами, высказали мнение, что другие женщины должны следовать их примеру и рекомендациям, а не обходить их по служебной лестнице.</w:t>
      </w:r>
    </w:p>
    <w:p w:rsidR="00000000" w:rsidRDefault="00000000">
      <w:pPr>
        <w:pStyle w:val="SingleTxt"/>
        <w:numPr>
          <w:ilvl w:val="0"/>
          <w:numId w:val="317"/>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В заключение следует отметить, что положение с представленн</w:t>
      </w:r>
      <w:r>
        <w:rPr>
          <w:b/>
        </w:rPr>
        <w:t>о</w:t>
      </w:r>
      <w:r>
        <w:rPr>
          <w:b/>
        </w:rPr>
        <w:t>стью женщин на государственных должностях изменилось незн</w:t>
      </w:r>
      <w:r>
        <w:rPr>
          <w:b/>
        </w:rPr>
        <w:t>а</w:t>
      </w:r>
      <w:r>
        <w:rPr>
          <w:b/>
        </w:rPr>
        <w:t xml:space="preserve">чительным образом. </w:t>
      </w:r>
    </w:p>
    <w:p w:rsidR="00000000" w:rsidRDefault="00000000">
      <w:pPr>
        <w:pStyle w:val="SingleTxt"/>
        <w:numPr>
          <w:ilvl w:val="0"/>
          <w:numId w:val="317"/>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Кроме того, правительство принимает смелые законы, но не пр</w:t>
      </w:r>
      <w:r>
        <w:rPr>
          <w:b/>
        </w:rPr>
        <w:t>и</w:t>
      </w:r>
      <w:r>
        <w:rPr>
          <w:b/>
        </w:rPr>
        <w:t>меняет их.</w:t>
      </w:r>
    </w:p>
    <w:p w:rsidR="00000000" w:rsidRDefault="00000000">
      <w:pPr>
        <w:pStyle w:val="SingleTxt"/>
        <w:numPr>
          <w:ilvl w:val="0"/>
          <w:numId w:val="317"/>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Женщин уже можно поздравить с произведенным в соответствии с их пожеланиями назначением лиц женского пола на должности з</w:t>
      </w:r>
      <w:r>
        <w:rPr>
          <w:b/>
        </w:rPr>
        <w:t>а</w:t>
      </w:r>
      <w:r>
        <w:rPr>
          <w:b/>
        </w:rPr>
        <w:t>местителей губернаторов провинций, поскольку это является зн</w:t>
      </w:r>
      <w:r>
        <w:rPr>
          <w:b/>
        </w:rPr>
        <w:t>а</w:t>
      </w:r>
      <w:r>
        <w:rPr>
          <w:b/>
        </w:rPr>
        <w:t>менательным достижением, хотя в идеале предполагалось назн</w:t>
      </w:r>
      <w:r>
        <w:rPr>
          <w:b/>
        </w:rPr>
        <w:t>а</w:t>
      </w:r>
      <w:r>
        <w:rPr>
          <w:b/>
        </w:rPr>
        <w:t>чать женщин и на должности губернаторов.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 xml:space="preserve">К сожалению, надеждам не суждено было оправдаться в результате принятия 16 мая 2004 года Декрета № 04/41, в результате которого за женщинами было закреплено лишь три должности на территориальном уровне.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Что касается женщин, то необходимо вести курс на то, чтобы выпо</w:t>
      </w:r>
      <w:r>
        <w:rPr>
          <w:b/>
        </w:rPr>
        <w:t>л</w:t>
      </w:r>
      <w:r>
        <w:rPr>
          <w:b/>
        </w:rPr>
        <w:t>нить ожидания, возлагаемые на Целевую группу по вопросам женщин и лидерства. Облеченные властью лица должны стремиться к повышению сознания тех людей, кто еще не в полной мере осознал смысл борьбы за руководящие должн</w:t>
      </w:r>
      <w:r>
        <w:rPr>
          <w:b/>
        </w:rPr>
        <w:t>о</w:t>
      </w:r>
      <w:r>
        <w:rPr>
          <w:b/>
        </w:rPr>
        <w:t>сти.</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5.</w:t>
      </w:r>
      <w:r>
        <w:tab/>
        <w:t xml:space="preserve">Женщины и международная жизнь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По-прежнему существует уже подвергнутая осуждению практика низкой представленности женщин на международном уровне.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Представленность женщин на различных административных и других р</w:t>
      </w:r>
      <w:r>
        <w:t>у</w:t>
      </w:r>
      <w:r>
        <w:t xml:space="preserve">ководящих должностях по-прежнему значительно ниже представленности мужчин.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Если в 1986 году лишь одна женщина представляла ДРК на уровне ми</w:t>
      </w:r>
      <w:r>
        <w:t>с</w:t>
      </w:r>
      <w:r>
        <w:t>сий при зарубежных правительствах или международных организациях, то в настоящее время из 64 послов и глав дипломатических представительств ДРК женщин насчитывается 8 человек, 4 из которых являются послами, а 4 - вр</w:t>
      </w:r>
      <w:r>
        <w:t>е</w:t>
      </w:r>
      <w:r>
        <w:t xml:space="preserve">менными поверенными в делах, что в целом составляет 12,5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Безусловно, это свидетельствует о незначительном улучшении полож</w:t>
      </w:r>
      <w:r>
        <w:t>е</w:t>
      </w:r>
      <w:r>
        <w:t xml:space="preserve">ния, однако это значительно ниже минимально установленного уровня в 30 процентов.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Что касается участия женщин в работе международных организаций, то это в первую очередь относится к форумам, посвященным сугубо женским в</w:t>
      </w:r>
      <w:r>
        <w:t>о</w:t>
      </w:r>
      <w:r>
        <w:t>пр</w:t>
      </w:r>
      <w:r>
        <w:t>о</w:t>
      </w:r>
      <w:r>
        <w:t>сам.</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6.</w:t>
      </w:r>
      <w:r>
        <w:tab/>
        <w:t xml:space="preserve">Женщины и образование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а)</w:t>
      </w:r>
      <w:r>
        <w:rPr>
          <w:b/>
        </w:rPr>
        <w:tab/>
        <w:t>Правовые рамки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 пункте 2 статьи 17 Временной конституции говорится, что ни один конголезец не может подвергаться дискриминации в сфере образования на о</w:t>
      </w:r>
      <w:r>
        <w:t>с</w:t>
      </w:r>
      <w:r>
        <w:t>нове своей религиозной или половой принадлежности и т.д., что закреплено в законодательных или исполнительных актах.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 статьях 44-48 Конституции на государственные органы возлагае</w:t>
      </w:r>
      <w:r>
        <w:t>т</w:t>
      </w:r>
      <w:r>
        <w:t>ся обязанность защищать права на образование и на искоренение неграмотн</w:t>
      </w:r>
      <w:r>
        <w:t>о</w:t>
      </w:r>
      <w:r>
        <w:t>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 статье 5 Рамочного закона № 86-005 от 22 сентября 1986 года о национальном образовании, который действует и в настоящее время, подтве</w:t>
      </w:r>
      <w:r>
        <w:t>р</w:t>
      </w:r>
      <w:r>
        <w:t>ждается принцип равенства девочек и мальчиков в отношении доступа к обр</w:t>
      </w:r>
      <w:r>
        <w:t>а</w:t>
      </w:r>
      <w:r>
        <w:t>зованию.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Таким образом, правовые положения в сфере образования соответс</w:t>
      </w:r>
      <w:r>
        <w:t>т</w:t>
      </w:r>
      <w:r>
        <w:t>вуют статье 10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b)</w:t>
      </w:r>
      <w:r>
        <w:rPr>
          <w:b/>
        </w:rPr>
        <w:tab/>
        <w:t>Общий контекст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Судя по обзору, проведенному министерством планирования в 2002 году, различные реформы, проведенные после обретения страной независимости с целью рационализации функционирования системы образования, не привели к ожидаемым результатам. Существует постоянное несоответствие между все возрастающим спросом на услуги в сфере образования и ресурсами государс</w:t>
      </w:r>
      <w:r>
        <w:t>т</w:t>
      </w:r>
      <w:r>
        <w:t xml:space="preserve">ва, которые все более сокращаются (7).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 результатам этого обзора следует добавить, что следовавшие друг за другом войны нанесли огромный ущерб инфраструктуре школьных учебных заведений; кроме того, стремясь скрыться от ужасов войны, учителя и ученики были вынуждены покинуть места своего постоянного проживания, оказавшись в л</w:t>
      </w:r>
      <w:r>
        <w:t>а</w:t>
      </w:r>
      <w:r>
        <w:t>герях для перемещенных лиц.</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Следует также отметить незначительность ассигнований, выделяемых на систему образования, в результате чего в последние годы выплата заработной платы учителям и оплата расходов по содержанию учреждений образования стали производиться родителями. Однако большинство родителей сами живут в трудных условиях и не в состоянии оплачивать расходы по обучению своих детей в школах.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И наконец, следует отметить особенно малый интерес к обучению в го</w:t>
      </w:r>
      <w:r>
        <w:t>р</w:t>
      </w:r>
      <w:r>
        <w:t>нодобывающих провинциях - двух провинциях Касаи, Бандунду, а теперь и Лубумбаши, где от обучения в школах детей отвлекают кустарные горнопр</w:t>
      </w:r>
      <w:r>
        <w:t>о</w:t>
      </w:r>
      <w:r>
        <w:t>мышленные предприятия.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Экваториальной провинции ученики увлекаются рыбной ловлей, п</w:t>
      </w:r>
      <w:r>
        <w:t>о</w:t>
      </w:r>
      <w:r>
        <w:t>скольку, как им представляется, она приносит больший доход, чем свидетел</w:t>
      </w:r>
      <w:r>
        <w:t>ь</w:t>
      </w:r>
      <w:r>
        <w:t>ства о школьном образовании (8).</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Таким образом, произошли ухудшения в государственном секторе образ</w:t>
      </w:r>
      <w:r>
        <w:t>о</w:t>
      </w:r>
      <w:r>
        <w:t>вания, характеризующиеся следующим: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переполненность учебных заведений;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ветхость инфраструктуры;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отсутствие учебных пособий;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несоответствие получаемого образования потребностям общества;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ухудшение качества образования на всех уровнях.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с)</w:t>
      </w:r>
      <w:r>
        <w:rPr>
          <w:b/>
        </w:rPr>
        <w:tab/>
        <w:t>Последствия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r>
      <w:r>
        <w:rPr>
          <w:b/>
        </w:rPr>
        <w:t>Снижение доли учащихся в различных возрастных группах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ab/>
        <w:t>Произошло чистое сокращение доли учащихся в возрастной группе 6-11 лет. Эта доля снизилась с 56 процентов в 1995 году до 52 процентов в 2001 году. Это сокращение коснулось в равной степени как девочек, так и мальчиков. В приводимой же ниже таблице показано, что девочки были затр</w:t>
      </w:r>
      <w:r>
        <w:t>о</w:t>
      </w:r>
      <w:r>
        <w:t>нуты этим сокращением в более значительной степени.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r>
        <w:br w:type="page"/>
      </w: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rPr>
        <w:t>Абсолютная доля учащихся в возрастной группе 6-14 лет</w:t>
      </w:r>
      <w:r>
        <w:t xml:space="preserve"> </w:t>
      </w:r>
    </w:p>
    <w:p w:rsidR="00000000" w:rsidRDefault="00000000">
      <w:pPr>
        <w:pStyle w:val="SingleTxt"/>
        <w:spacing w:after="0" w:line="120" w:lineRule="exact"/>
        <w:ind w:left="1264" w:right="1264"/>
        <w:jc w:val="left"/>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82"/>
        <w:gridCol w:w="1260"/>
        <w:gridCol w:w="1260"/>
        <w:gridCol w:w="1350"/>
        <w:gridCol w:w="1350"/>
      </w:tblGrid>
      <w:tr w:rsidR="00000000">
        <w:tblPrEx>
          <w:tblCellMar>
            <w:top w:w="0" w:type="dxa"/>
            <w:left w:w="0" w:type="dxa"/>
            <w:bottom w:w="0" w:type="dxa"/>
            <w:right w:w="0" w:type="dxa"/>
          </w:tblCellMar>
        </w:tblPrEx>
        <w:trPr>
          <w:cantSplit/>
          <w:tblHeader/>
        </w:trPr>
        <w:tc>
          <w:tcPr>
            <w:tcW w:w="882" w:type="dxa"/>
            <w:vMerge w:val="restart"/>
            <w:tcBorders>
              <w:left w:val="nil"/>
              <w:right w:val="nil"/>
            </w:tcBorders>
            <w:vAlign w:val="center"/>
          </w:tcPr>
          <w:p w:rsidR="00000000" w:rsidRDefault="00000000">
            <w:pPr>
              <w:keepNext/>
              <w:tabs>
                <w:tab w:val="left" w:pos="288"/>
                <w:tab w:val="left" w:pos="576"/>
                <w:tab w:val="left" w:pos="864"/>
                <w:tab w:val="left" w:pos="1152"/>
              </w:tabs>
              <w:spacing w:before="100" w:after="81" w:line="210" w:lineRule="exact"/>
              <w:ind w:right="43"/>
              <w:rPr>
                <w:i/>
                <w:sz w:val="14"/>
              </w:rPr>
            </w:pPr>
            <w:r>
              <w:rPr>
                <w:i/>
                <w:sz w:val="14"/>
              </w:rPr>
              <w:t>Период</w:t>
            </w:r>
          </w:p>
        </w:tc>
        <w:tc>
          <w:tcPr>
            <w:tcW w:w="2520" w:type="dxa"/>
            <w:gridSpan w:val="2"/>
            <w:tcBorders>
              <w:left w:val="nil"/>
              <w:bottom w:val="single" w:sz="4"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center"/>
              <w:rPr>
                <w:i/>
                <w:sz w:val="14"/>
              </w:rPr>
            </w:pPr>
            <w:r>
              <w:rPr>
                <w:i/>
                <w:sz w:val="14"/>
              </w:rPr>
              <w:t>Города</w:t>
            </w:r>
          </w:p>
        </w:tc>
        <w:tc>
          <w:tcPr>
            <w:tcW w:w="2700" w:type="dxa"/>
            <w:gridSpan w:val="2"/>
            <w:tcBorders>
              <w:left w:val="nil"/>
              <w:bottom w:val="single" w:sz="4" w:space="0" w:color="auto"/>
              <w:right w:val="nil"/>
            </w:tcBorders>
          </w:tcPr>
          <w:p w:rsidR="00000000" w:rsidRDefault="00000000">
            <w:pPr>
              <w:keepNext/>
              <w:tabs>
                <w:tab w:val="left" w:pos="288"/>
                <w:tab w:val="left" w:pos="576"/>
                <w:tab w:val="left" w:pos="864"/>
                <w:tab w:val="left" w:pos="1152"/>
              </w:tabs>
              <w:spacing w:before="100" w:after="81" w:line="210" w:lineRule="exact"/>
              <w:ind w:right="43"/>
              <w:jc w:val="center"/>
              <w:rPr>
                <w:i/>
                <w:sz w:val="14"/>
              </w:rPr>
            </w:pPr>
            <w:r>
              <w:rPr>
                <w:i/>
                <w:sz w:val="14"/>
              </w:rPr>
              <w:t>Сельская местность</w:t>
            </w:r>
          </w:p>
        </w:tc>
      </w:tr>
      <w:tr w:rsidR="00000000">
        <w:tblPrEx>
          <w:tblCellMar>
            <w:top w:w="0" w:type="dxa"/>
            <w:left w:w="0" w:type="dxa"/>
            <w:bottom w:w="0" w:type="dxa"/>
            <w:right w:w="0" w:type="dxa"/>
          </w:tblCellMar>
        </w:tblPrEx>
        <w:trPr>
          <w:cantSplit/>
          <w:tblHeader/>
        </w:trPr>
        <w:tc>
          <w:tcPr>
            <w:tcW w:w="882" w:type="dxa"/>
            <w:vMerge/>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4"/>
              </w:rPr>
            </w:pPr>
          </w:p>
        </w:tc>
        <w:tc>
          <w:tcPr>
            <w:tcW w:w="126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Мальчики</w:t>
            </w:r>
          </w:p>
        </w:tc>
        <w:tc>
          <w:tcPr>
            <w:tcW w:w="126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Девочки</w:t>
            </w:r>
          </w:p>
        </w:tc>
        <w:tc>
          <w:tcPr>
            <w:tcW w:w="1350" w:type="dxa"/>
            <w:tcBorders>
              <w:top w:val="single" w:sz="4" w:space="0" w:color="auto"/>
              <w:left w:val="nil"/>
              <w:bottom w:val="single" w:sz="12" w:space="0" w:color="auto"/>
              <w:right w:val="nil"/>
            </w:tcBorders>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Мальчики</w:t>
            </w:r>
          </w:p>
        </w:tc>
        <w:tc>
          <w:tcPr>
            <w:tcW w:w="1350" w:type="dxa"/>
            <w:tcBorders>
              <w:top w:val="single" w:sz="4" w:space="0" w:color="auto"/>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Девочки</w:t>
            </w:r>
          </w:p>
        </w:tc>
      </w:tr>
      <w:tr w:rsidR="00000000">
        <w:tblPrEx>
          <w:tblCellMar>
            <w:top w:w="0" w:type="dxa"/>
            <w:left w:w="0" w:type="dxa"/>
            <w:bottom w:w="0" w:type="dxa"/>
            <w:right w:w="0" w:type="dxa"/>
          </w:tblCellMar>
        </w:tblPrEx>
        <w:trPr>
          <w:trHeight w:hRule="exact" w:val="115"/>
          <w:tblHeader/>
        </w:trPr>
        <w:tc>
          <w:tcPr>
            <w:tcW w:w="88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26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82" w:type="dxa"/>
            <w:tcBorders>
              <w:top w:val="nil"/>
              <w:left w:val="nil"/>
              <w:bottom w:val="nil"/>
              <w:right w:val="nil"/>
            </w:tcBorders>
            <w:vAlign w:val="bottom"/>
          </w:tcPr>
          <w:p w:rsidR="00000000" w:rsidRDefault="00000000">
            <w:pPr>
              <w:keepNext/>
              <w:rPr>
                <w:sz w:val="17"/>
              </w:rPr>
            </w:pPr>
            <w:r>
              <w:rPr>
                <w:sz w:val="17"/>
              </w:rPr>
              <w:t>1995 год</w:t>
            </w:r>
          </w:p>
        </w:tc>
        <w:tc>
          <w:tcPr>
            <w:tcW w:w="1260" w:type="dxa"/>
            <w:tcBorders>
              <w:top w:val="nil"/>
              <w:left w:val="nil"/>
              <w:bottom w:val="nil"/>
              <w:right w:val="nil"/>
            </w:tcBorders>
            <w:vAlign w:val="bottom"/>
          </w:tcPr>
          <w:p w:rsidR="00000000" w:rsidRDefault="00000000">
            <w:pPr>
              <w:keepNext/>
              <w:jc w:val="right"/>
              <w:rPr>
                <w:sz w:val="17"/>
              </w:rPr>
            </w:pPr>
            <w:r>
              <w:rPr>
                <w:sz w:val="17"/>
              </w:rPr>
              <w:t>77,1</w:t>
            </w:r>
          </w:p>
        </w:tc>
        <w:tc>
          <w:tcPr>
            <w:tcW w:w="1260" w:type="dxa"/>
            <w:tcBorders>
              <w:top w:val="nil"/>
              <w:left w:val="nil"/>
              <w:bottom w:val="nil"/>
              <w:right w:val="nil"/>
            </w:tcBorders>
            <w:vAlign w:val="bottom"/>
          </w:tcPr>
          <w:p w:rsidR="00000000" w:rsidRDefault="00000000">
            <w:pPr>
              <w:keepNext/>
              <w:jc w:val="right"/>
              <w:rPr>
                <w:sz w:val="17"/>
              </w:rPr>
            </w:pPr>
            <w:r>
              <w:rPr>
                <w:sz w:val="17"/>
              </w:rPr>
              <w:t>76,5</w:t>
            </w:r>
          </w:p>
        </w:tc>
        <w:tc>
          <w:tcPr>
            <w:tcW w:w="1350" w:type="dxa"/>
            <w:tcBorders>
              <w:top w:val="nil"/>
              <w:left w:val="nil"/>
              <w:bottom w:val="nil"/>
              <w:right w:val="nil"/>
            </w:tcBorders>
          </w:tcPr>
          <w:p w:rsidR="00000000" w:rsidRDefault="00000000">
            <w:pPr>
              <w:keepNext/>
              <w:jc w:val="right"/>
              <w:rPr>
                <w:sz w:val="17"/>
              </w:rPr>
            </w:pPr>
            <w:r>
              <w:rPr>
                <w:sz w:val="17"/>
              </w:rPr>
              <w:t>57</w:t>
            </w:r>
          </w:p>
        </w:tc>
        <w:tc>
          <w:tcPr>
            <w:tcW w:w="1350" w:type="dxa"/>
            <w:tcBorders>
              <w:top w:val="nil"/>
              <w:left w:val="nil"/>
              <w:bottom w:val="nil"/>
              <w:right w:val="nil"/>
            </w:tcBorders>
            <w:vAlign w:val="bottom"/>
          </w:tcPr>
          <w:p w:rsidR="00000000" w:rsidRDefault="00000000">
            <w:pPr>
              <w:keepNext/>
              <w:jc w:val="right"/>
              <w:rPr>
                <w:sz w:val="17"/>
              </w:rPr>
            </w:pPr>
            <w:r>
              <w:rPr>
                <w:sz w:val="17"/>
              </w:rPr>
              <w:t>45,7</w:t>
            </w:r>
          </w:p>
        </w:tc>
      </w:tr>
      <w:tr w:rsidR="00000000">
        <w:tblPrEx>
          <w:tblCellMar>
            <w:top w:w="0" w:type="dxa"/>
            <w:left w:w="0" w:type="dxa"/>
            <w:bottom w:w="0" w:type="dxa"/>
            <w:right w:w="0" w:type="dxa"/>
          </w:tblCellMar>
        </w:tblPrEx>
        <w:tc>
          <w:tcPr>
            <w:tcW w:w="882" w:type="dxa"/>
            <w:tcBorders>
              <w:top w:val="nil"/>
              <w:left w:val="nil"/>
              <w:bottom w:val="single" w:sz="12" w:space="0" w:color="auto"/>
              <w:right w:val="nil"/>
            </w:tcBorders>
            <w:vAlign w:val="bottom"/>
          </w:tcPr>
          <w:p w:rsidR="00000000" w:rsidRDefault="00000000">
            <w:pPr>
              <w:rPr>
                <w:sz w:val="17"/>
              </w:rPr>
            </w:pPr>
            <w:r>
              <w:rPr>
                <w:sz w:val="17"/>
              </w:rPr>
              <w:t>2002 год</w:t>
            </w:r>
          </w:p>
        </w:tc>
        <w:tc>
          <w:tcPr>
            <w:tcW w:w="1260" w:type="dxa"/>
            <w:tcBorders>
              <w:top w:val="nil"/>
              <w:left w:val="nil"/>
              <w:bottom w:val="single" w:sz="12" w:space="0" w:color="auto"/>
              <w:right w:val="nil"/>
            </w:tcBorders>
            <w:vAlign w:val="bottom"/>
          </w:tcPr>
          <w:p w:rsidR="00000000" w:rsidRDefault="00000000">
            <w:pPr>
              <w:jc w:val="right"/>
              <w:rPr>
                <w:sz w:val="17"/>
              </w:rPr>
            </w:pPr>
            <w:r>
              <w:rPr>
                <w:sz w:val="17"/>
              </w:rPr>
              <w:t>73,2</w:t>
            </w:r>
          </w:p>
        </w:tc>
        <w:tc>
          <w:tcPr>
            <w:tcW w:w="1260" w:type="dxa"/>
            <w:tcBorders>
              <w:top w:val="nil"/>
              <w:left w:val="nil"/>
              <w:bottom w:val="single" w:sz="12" w:space="0" w:color="auto"/>
              <w:right w:val="nil"/>
            </w:tcBorders>
            <w:vAlign w:val="bottom"/>
          </w:tcPr>
          <w:p w:rsidR="00000000" w:rsidRDefault="00000000">
            <w:pPr>
              <w:jc w:val="right"/>
              <w:rPr>
                <w:sz w:val="17"/>
              </w:rPr>
            </w:pPr>
            <w:r>
              <w:rPr>
                <w:sz w:val="17"/>
              </w:rPr>
              <w:t>71,6</w:t>
            </w:r>
          </w:p>
        </w:tc>
        <w:tc>
          <w:tcPr>
            <w:tcW w:w="1350" w:type="dxa"/>
            <w:tcBorders>
              <w:top w:val="nil"/>
              <w:left w:val="nil"/>
              <w:bottom w:val="single" w:sz="12" w:space="0" w:color="auto"/>
              <w:right w:val="nil"/>
            </w:tcBorders>
          </w:tcPr>
          <w:p w:rsidR="00000000" w:rsidRDefault="00000000">
            <w:pPr>
              <w:jc w:val="right"/>
              <w:rPr>
                <w:sz w:val="17"/>
              </w:rPr>
            </w:pPr>
            <w:r>
              <w:rPr>
                <w:sz w:val="17"/>
              </w:rPr>
              <w:t>47,1</w:t>
            </w:r>
          </w:p>
        </w:tc>
        <w:tc>
          <w:tcPr>
            <w:tcW w:w="1350" w:type="dxa"/>
            <w:tcBorders>
              <w:top w:val="nil"/>
              <w:left w:val="nil"/>
              <w:bottom w:val="single" w:sz="12" w:space="0" w:color="auto"/>
              <w:right w:val="nil"/>
            </w:tcBorders>
            <w:vAlign w:val="bottom"/>
          </w:tcPr>
          <w:p w:rsidR="00000000" w:rsidRDefault="00000000">
            <w:pPr>
              <w:jc w:val="right"/>
              <w:rPr>
                <w:sz w:val="17"/>
              </w:rPr>
            </w:pPr>
            <w:r>
              <w:rPr>
                <w:sz w:val="17"/>
              </w:rPr>
              <w:t>43,3</w:t>
            </w:r>
          </w:p>
        </w:tc>
      </w:tr>
    </w:tbl>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r>
      <w:r>
        <w:t>Кроме того, по данным обследования по многим показателям с примен</w:t>
      </w:r>
      <w:r>
        <w:t>е</w:t>
      </w:r>
      <w:r>
        <w:t xml:space="preserve">нием гнездовой выборки (ОПГВ2), в течение 2000-2001 учебного года 45 процентов детей в возрасте от 6 до 14 лет не посещали школу.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Среди этих детей девочек было больше, чем мальчиков: 49 процентов по сравнению с 41 процентом.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Причины такого положения дел носят двоякий хара</w:t>
      </w:r>
      <w:r>
        <w:t>к</w:t>
      </w:r>
      <w:r>
        <w:t>тер: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прежде всего следует отметить общую нищету. Уровень жизни д</w:t>
      </w:r>
      <w:r>
        <w:t>о</w:t>
      </w:r>
      <w:r>
        <w:t>мохозяйств оказывает воздействие на посещаемость школ детьми. Если в обе</w:t>
      </w:r>
      <w:r>
        <w:t>с</w:t>
      </w:r>
      <w:r>
        <w:t>печенных семьях школы посещают 81 процент детей, то в бедных семьях лишь 39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 социально-культурном плане снижение уровня посещаемости школ объясняется тем, что школа теряет свое значение в качестве обязательного фа</w:t>
      </w:r>
      <w:r>
        <w:t>к</w:t>
      </w:r>
      <w:r>
        <w:t>тора для обретения определенного социального положения. Ценность свид</w:t>
      </w:r>
      <w:r>
        <w:t>е</w:t>
      </w:r>
      <w:r>
        <w:t xml:space="preserve">тельств о школьном образовании все в большей степени девальвируется.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Многие родители, особенно проживающие в сельской местности, более не считают важным посылать своих детей в школы. Они рассматривают пос</w:t>
      </w:r>
      <w:r>
        <w:t>е</w:t>
      </w:r>
      <w:r>
        <w:t>щение школ как потерю времени.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r>
      <w:r>
        <w:rPr>
          <w:b/>
        </w:rPr>
        <w:t>Потери системы образования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Потери системы образования в ДРК являются очень большими. Из 100 детей, поступивших в первый класс, лишь 25 достигают пятого класса н</w:t>
      </w:r>
      <w:r>
        <w:t>а</w:t>
      </w:r>
      <w:r>
        <w:t xml:space="preserve">чальной школы.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Наиболее часто подобное положение дел объясняется следующим: отсу</w:t>
      </w:r>
      <w:r>
        <w:t>т</w:t>
      </w:r>
      <w:r>
        <w:t>ствием финансовых средств для оплаты обучения в школах; удаленностью школ; з</w:t>
      </w:r>
      <w:r>
        <w:t>а</w:t>
      </w:r>
      <w:r>
        <w:t xml:space="preserve">грузкой работой.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 этим причинам, которые касаются всех учащихся, следует добавить х</w:t>
      </w:r>
      <w:r>
        <w:t>а</w:t>
      </w:r>
      <w:r>
        <w:t>рактерную для девочек проблему раннего срока беременности и трудности с</w:t>
      </w:r>
      <w:r>
        <w:t>о</w:t>
      </w:r>
      <w:r>
        <w:t>циально-культурного характера, в результате которых женщины ставятся в подчиненное положение. Таким образом, когда родители сталкиваются с пр</w:t>
      </w:r>
      <w:r>
        <w:t>о</w:t>
      </w:r>
      <w:r>
        <w:t>блемой оплаты обучения в школах и им приходится делать выбор, то, как пр</w:t>
      </w:r>
      <w:r>
        <w:t>а</w:t>
      </w:r>
      <w:r>
        <w:t>вило, они делают его в пользу обучения мальчика, а не д</w:t>
      </w:r>
      <w:r>
        <w:t>е</w:t>
      </w:r>
      <w:r>
        <w:t>вочки.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Органы государственной власти почти не предпринимают усилий по во</w:t>
      </w:r>
      <w:r>
        <w:t>з</w:t>
      </w:r>
      <w:r>
        <w:t xml:space="preserve">вращению в школы девочек, ставших жертвами потерь системы образования.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Одним из немногих исключений является Женский центр им. Марии А</w:t>
      </w:r>
      <w:r>
        <w:t>н</w:t>
      </w:r>
      <w:r>
        <w:t>туанетты, который организует занятия на курсах кройки и шитья, обучение практической канцелярской работе, обучение работе продавцом и обучение грам</w:t>
      </w:r>
      <w:r>
        <w:t>о</w:t>
      </w:r>
      <w:r>
        <w:t>те.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Частный сектор и НПО пытаются исправить это положение, не располагая для этого значительными средствами. Так, был осуществлен целый ряд ин</w:t>
      </w:r>
      <w:r>
        <w:t>и</w:t>
      </w:r>
      <w:r>
        <w:t>циатив по обучению молодых девушек, не прошедших обычный школьный курс. Среди таких НПО можно назвать Национальный союз женщин (НСЖ) и организацию "Деятельность в интересах информирования, женщин и семьи" (АИФФА), которая обеспечивает прохождение обучения молодыми матерями и обучение грамоте взрослых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сентябре 2003 года при поддержке ЮНЕСКО НПО "Центр по вопросам образования и социальным вопросам им. г-жи Соки" организовала под руков</w:t>
      </w:r>
      <w:r>
        <w:t>о</w:t>
      </w:r>
      <w:r>
        <w:t>дством министерства по социальным делам и министерства по делам семьи и женщин проведение семинара по теме повышения осведомленности о необх</w:t>
      </w:r>
      <w:r>
        <w:t>о</w:t>
      </w:r>
      <w:r>
        <w:t>димости посещения школ девочками, находящимися в неблагоприятном пол</w:t>
      </w:r>
      <w:r>
        <w:t>о</w:t>
      </w:r>
      <w:r>
        <w:t>жении. В ходе семинара несколько НПО приняли решение объединить усилия для обеспечения обучения девочек, являющихся выходцами из малообеспече</w:t>
      </w:r>
      <w:r>
        <w:t>н</w:t>
      </w:r>
      <w:r>
        <w:t>ных семей.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r>
      <w:r>
        <w:rPr>
          <w:b/>
        </w:rPr>
        <w:t>Неграмотность среди взрослых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Судя по данным обследований по многим показателям с применением гнездовой выборки (10), уровень неграмотности в ДРК является очень выс</w:t>
      </w:r>
      <w:r>
        <w:t>о</w:t>
      </w:r>
      <w:r>
        <w:t xml:space="preserve">ким, и он не изменился в период с 1995 по 2001 год.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Если в масштабах страны в 1995 году он составлял 33 процента, то в 2001  году - 32 процента; в отношении мужчин этот показатель изменился с 18 процентов до 19 процентов, а в отношении женщин - с 46 процентов до 44 процентов (9).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Если говорить в целом, то один взрослый из трех является неграмотным; неграмотными являются каждая вторая женщина и каждый п</w:t>
      </w:r>
      <w:r>
        <w:t>я</w:t>
      </w:r>
      <w:r>
        <w:t xml:space="preserve">тый мужчина.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целях поощрения обучения девочек в школах правительство при по</w:t>
      </w:r>
      <w:r>
        <w:t>д</w:t>
      </w:r>
      <w:r>
        <w:t>держке ЮНИСЕФ начало в 2003 году проведение кампании в интересах пр</w:t>
      </w:r>
      <w:r>
        <w:t>и</w:t>
      </w:r>
      <w:r>
        <w:t>влеч</w:t>
      </w:r>
      <w:r>
        <w:t>е</w:t>
      </w:r>
      <w:r>
        <w:t xml:space="preserve">ния девочек в школы.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Для побуждения родителей к обучению своих дочерей в школах проп</w:t>
      </w:r>
      <w:r>
        <w:t>а</w:t>
      </w:r>
      <w:r>
        <w:t xml:space="preserve">гандировались рекламные материалы с использованием аудио-визуальных средств. На главных улицах города Киншасы развешивались соответствующие афиши и плакаты. </w:t>
      </w:r>
    </w:p>
    <w:p w:rsidR="00000000" w:rsidRDefault="00000000">
      <w:pPr>
        <w:pStyle w:val="SingleTxt"/>
        <w:numPr>
          <w:ilvl w:val="0"/>
          <w:numId w:val="317"/>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Безусловно очевидным является то, что общее состояние бедности, характерное для конголезского населения в настоящее время, я</w:t>
      </w:r>
      <w:r>
        <w:rPr>
          <w:b/>
        </w:rPr>
        <w:t>в</w:t>
      </w:r>
      <w:r>
        <w:rPr>
          <w:b/>
        </w:rPr>
        <w:t xml:space="preserve">ляется сдерживающим фактором на пути образования. </w:t>
      </w:r>
    </w:p>
    <w:p w:rsidR="00000000" w:rsidRDefault="00000000">
      <w:pPr>
        <w:pStyle w:val="SingleTxt"/>
        <w:numPr>
          <w:ilvl w:val="0"/>
          <w:numId w:val="317"/>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Представляется очевидным также, что большая доля населения считает, что обучение в школах мальчиков является более важным, нежели обучение в школах девочек.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Таким образом, необходимо, чтобы государство взяло на себя ответс</w:t>
      </w:r>
      <w:r>
        <w:rPr>
          <w:b/>
        </w:rPr>
        <w:t>т</w:t>
      </w:r>
      <w:r>
        <w:rPr>
          <w:b/>
        </w:rPr>
        <w:t>венность за субсидирование образования, оплату услуг учителей и созд</w:t>
      </w:r>
      <w:r>
        <w:rPr>
          <w:b/>
        </w:rPr>
        <w:t>а</w:t>
      </w:r>
      <w:r>
        <w:rPr>
          <w:b/>
        </w:rPr>
        <w:t>ние усл</w:t>
      </w:r>
      <w:r>
        <w:rPr>
          <w:b/>
        </w:rPr>
        <w:t>о</w:t>
      </w:r>
      <w:r>
        <w:rPr>
          <w:b/>
        </w:rPr>
        <w:t xml:space="preserve">вий для экономического восстановления.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Необходимо также принять меры для пропагандирования идеи о том, что образование девочек представляет собой не меньшую ценность, чем образов</w:t>
      </w:r>
      <w:r>
        <w:rPr>
          <w:b/>
        </w:rPr>
        <w:t>а</w:t>
      </w:r>
      <w:r>
        <w:rPr>
          <w:b/>
        </w:rPr>
        <w:t>ние мальчиков.</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7.</w:t>
      </w:r>
      <w:r>
        <w:tab/>
        <w:t xml:space="preserve">Женщины и здравоохранение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а)</w:t>
      </w:r>
      <w:r>
        <w:rPr>
          <w:b/>
        </w:rPr>
        <w:tab/>
        <w:t>Правовые рамки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статье 50 Конституции говорится, что государство обязано обеспеч</w:t>
      </w:r>
      <w:r>
        <w:t>и</w:t>
      </w:r>
      <w:r>
        <w:t>вать благосостояние в отношении санитарии и продовольственную безопа</w:t>
      </w:r>
      <w:r>
        <w:t>с</w:t>
      </w:r>
      <w:r>
        <w:t>ность.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b)</w:t>
      </w:r>
      <w:r>
        <w:rPr>
          <w:b/>
        </w:rPr>
        <w:tab/>
        <w:t>Общий контекст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Проблемы оказания медицинских услуг женщинам рассматриваются не в плане дискриминации, а скорее в плане самой системы санитарии в Конго, к</w:t>
      </w:r>
      <w:r>
        <w:t>о</w:t>
      </w:r>
      <w:r>
        <w:t>торая работает неудовлетворительно и для которой характерны серьезные н</w:t>
      </w:r>
      <w:r>
        <w:t>е</w:t>
      </w:r>
      <w:r>
        <w:t>достатки.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Общий кризис, существующий в стране, повлек за собой прекращение а</w:t>
      </w:r>
      <w:r>
        <w:t>с</w:t>
      </w:r>
      <w:r>
        <w:t>сигнований для субсидирования секторов здравоохранения, вследствие чего наблюдаются следующие явления: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упадок инфраструктуры;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ветхость оборудования;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нехватка медицинского персонала;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недостаточное качество услуг;</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отсутствие основных медикаментов;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высокая стоимость услуг по консультированию и уходу;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неудовлетворительное отношение к труду персонала, занимающег</w:t>
      </w:r>
      <w:r>
        <w:t>о</w:t>
      </w:r>
      <w:r>
        <w:t>ся оказанием услуг, в частности, из-за низкой заработной платы и нерегуля</w:t>
      </w:r>
      <w:r>
        <w:t>р</w:t>
      </w:r>
      <w:r>
        <w:t>ных выплат ее.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Кроме того, большинство медицинских пунктов, созданных для оказания доступных услуг как с точки зрения их стоимости, так и с точки зрения расп</w:t>
      </w:r>
      <w:r>
        <w:t>о</w:t>
      </w:r>
      <w:r>
        <w:t xml:space="preserve">ложенности, в настоящее время находятся в заброшенном состоянии. Лишь 30 процентов из них все еще продолжают функционировать. Такое положение дел вновь обострило проблему отдаленности медицинских пунктов.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сельской местности, например, одной женщине из трех приходится преодолевать более 15 км для того, чтобы добраться до ближайшего медици</w:t>
      </w:r>
      <w:r>
        <w:t>н</w:t>
      </w:r>
      <w:r>
        <w:t>ского пункта (5).</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Судя по проведенным оценкам, в настоящее время доступ к каким-либо формам медицинских услуг имеет менее 37 процентов населения.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результате отстранения государства от исполнения своих обязанностей был создан ряд медицинских центров, работающих в частном секторе. Хотя они и функционируют, расценки на их услуги являются недосягаемыми для людей со скромным доходом. Когда же они являются доступными для всех, то вызывает сомнение качество оказываемых ими услуг.</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Такова атмосфера, сопровождающая рассмотрение применения статьи 12 КЛДЖ, которая призывает государства-участники принимать надлежащие м</w:t>
      </w:r>
      <w:r>
        <w:t>е</w:t>
      </w:r>
      <w:r>
        <w:t>ры по ликвидации дискриминации в отношении женщин в сфере здравоохр</w:t>
      </w:r>
      <w:r>
        <w:t>а</w:t>
      </w:r>
      <w:r>
        <w:t>нения и оказывать надлежащие услуги женщинам в период беременности, а также до и после родов.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Если говорить в целом, то состояние здоровья населения в течение 10 последних лет значительно ухудшилось. Регистрируется возобновление ц</w:t>
      </w:r>
      <w:r>
        <w:t>е</w:t>
      </w:r>
      <w:r>
        <w:t>лого ряда эпидемий, усиление проявления новых и периодически возникающих заболеваний, в первую очередь инфекционного и паразитарного характера. Все это повлекло за собой рост заболеваемости и смертности и падение продолж</w:t>
      </w:r>
      <w:r>
        <w:t>и</w:t>
      </w:r>
      <w:r>
        <w:t>тельности предстоящей жизни после рождения с 52 до 39 лет (55,5 лет для женщин и 48,9 лет для мужчин) (6).</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Коэффициент младенческой и детской смертности увеличился со 190 процентов до 213 процентов. Средний показатель для Африки составляет 174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Главными причинами смертности и заболеваемости среди женщин явл</w:t>
      </w:r>
      <w:r>
        <w:t>я</w:t>
      </w:r>
      <w:r>
        <w:t>ются: недоедание, ЗППП и СПИД, раковые заболевания половых органов (гр</w:t>
      </w:r>
      <w:r>
        <w:t>у</w:t>
      </w:r>
      <w:r>
        <w:t>ди и матки), многочисленные и преждевременные беременности, диабет, п</w:t>
      </w:r>
      <w:r>
        <w:t>о</w:t>
      </w:r>
      <w:r>
        <w:t>выше</w:t>
      </w:r>
      <w:r>
        <w:t>н</w:t>
      </w:r>
      <w:r>
        <w:t>ное кровяное давление и болезни сердца.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Положение женщин по-прежнему остается тяжелым из-за чрезвычайной загруженности работой, незнания элементарных мер гигиены и неосведомле</w:t>
      </w:r>
      <w:r>
        <w:t>н</w:t>
      </w:r>
      <w:r>
        <w:t>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1.</w:t>
      </w:r>
      <w:r>
        <w:rPr>
          <w:i/>
        </w:rPr>
        <w:tab/>
        <w:t>Предродовой уход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Результаты ОПГВ2, проведенного в 2001 году, свидетельствуют о сл</w:t>
      </w:r>
      <w:r>
        <w:t>е</w:t>
      </w:r>
      <w:r>
        <w:t>дующем: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68 процентов беременных женщин обеспечиваются дородовым ух</w:t>
      </w:r>
      <w:r>
        <w:t>о</w:t>
      </w:r>
      <w:r>
        <w:t>дом квалифицированным персоналом;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27 процентов женщин не получают консультаций в дородовой пер</w:t>
      </w:r>
      <w:r>
        <w:t>и</w:t>
      </w:r>
      <w:r>
        <w:t>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4 процента беременных женщин получают консультации неквалиф</w:t>
      </w:r>
      <w:r>
        <w:t>и</w:t>
      </w:r>
      <w:r>
        <w:t xml:space="preserve">цированного персонала (традиционные акушерки).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Как это ни парадоксально, чем выше уровень консультирования, тем в</w:t>
      </w:r>
      <w:r>
        <w:t>ы</w:t>
      </w:r>
      <w:r>
        <w:t>ше показатель материнской смертности. Этот показатель говорит о слабой взаимосвязи между доступом к дородовому уходу и смертностью.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Целевая группа по вопросам женщин и здравоохранения, созданная мин</w:t>
      </w:r>
      <w:r>
        <w:t>и</w:t>
      </w:r>
      <w:r>
        <w:t>стерством по делам семьи и женщин, поставила перед собой конкретную цель сокращения коэффициента материнской смертности с 1289 женщин до 500 на 1000 рождений в течение пяти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2.</w:t>
      </w:r>
      <w:r>
        <w:rPr>
          <w:i/>
        </w:rPr>
        <w:tab/>
        <w:t>Родовспоможение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целом по стране 61 проценту женщин оказывается помощь во время р</w:t>
      </w:r>
      <w:r>
        <w:t>о</w:t>
      </w:r>
      <w:r>
        <w:t xml:space="preserve">дов квалифицированным персоналом, в том числе 3 процентам врачом, 20 процентам - медицинской сестрой или медицинским братом и 37 процентам - акушеркой.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городских районах родовспоможение оказывается 83 процентам же</w:t>
      </w:r>
      <w:r>
        <w:t>н</w:t>
      </w:r>
      <w:r>
        <w:t>щин, т</w:t>
      </w:r>
      <w:r>
        <w:t>о</w:t>
      </w:r>
      <w:r>
        <w:t>гда как в сельских районах - 51 проценту.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3.</w:t>
      </w:r>
      <w:r>
        <w:rPr>
          <w:i/>
        </w:rPr>
        <w:tab/>
        <w:t>Питание матерей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 данным доклада, опубликованного в 2002 году МПП, недоедание з</w:t>
      </w:r>
      <w:r>
        <w:t>а</w:t>
      </w:r>
      <w:r>
        <w:t xml:space="preserve">трагивает 33 процента населения ДРК.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Эта цифра достигает 41 процента, когда речь идет о детях, проживающих в зонах конфликтов.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 данным ОПГВ-2, по-прежнему вызывает обеспокоенность положение с питанием матерей: от недоедания страдают 17 процентов матерей, а от ож</w:t>
      </w:r>
      <w:r>
        <w:t>и</w:t>
      </w:r>
      <w:r>
        <w:t>рения - 2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 сожалению, наблюдается связь между недоеданием детей и недоедан</w:t>
      </w:r>
      <w:r>
        <w:t>и</w:t>
      </w:r>
      <w:r>
        <w:t>ем матерей. Так, рождающиеся у не получавших достаточного питания матерей дети также страдают от недоедания, имеют недостаточный вес и страдают от истощения.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4.</w:t>
      </w:r>
      <w:r>
        <w:rPr>
          <w:i/>
        </w:rPr>
        <w:tab/>
        <w:t>Женщины и ВИЧ/СПИД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В 1996 году женщины составляли 40 процентов всех инфицированных лиц в мире (8).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Судя по докладу Организации Объединенных Наций, опубликованному в декабре 2002 года, в настоящее время женщины составляют 50 процентов ВИЧ-инфицированных лиц в мире; в Африке эта цифра достигла уже 58 процентов. Именно это имел в виду Генеральный секретарь Организации Объединенных Наций, сказавший, что СПИД имеет женское лицо.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К сожалению, этой печальной реальности не удалось избежать и ДРК. В настоящее время коэффициент заболеваемости составляет порядка 5,1 процента.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Кроме того, Национальной программе по борьбе с ВИЧ/СПИДом (НПБС) необходимо активизировать свою деятельность по ведению информ</w:t>
      </w:r>
      <w:r>
        <w:t>а</w:t>
      </w:r>
      <w:r>
        <w:t>ционно-просветительской работы, пропаганде методов профилактики среди населения, а также контролю и распространению медикаментов среди заб</w:t>
      </w:r>
      <w:r>
        <w:t>о</w:t>
      </w:r>
      <w:r>
        <w:t>левших лиц.</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информационно-просветительской работе принимает участие большое число НПО, и в настоящее время женщины, имеющие ВИЧ, проявляют гото</w:t>
      </w:r>
      <w:r>
        <w:t>в</w:t>
      </w:r>
      <w:r>
        <w:t xml:space="preserve">ность открыто обращаться к врачу.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Результаты ОПГВ-2 показывают, что не более 10 процентов женщин х</w:t>
      </w:r>
      <w:r>
        <w:t>о</w:t>
      </w:r>
      <w:r>
        <w:t xml:space="preserve">рошо осведомлены о способах передачи СПИДа.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Кроме того, большое число женщин до сих пор идут на контакты, связа</w:t>
      </w:r>
      <w:r>
        <w:t>н</w:t>
      </w:r>
      <w:r>
        <w:t>ные с ри</w:t>
      </w:r>
      <w:r>
        <w:t>с</w:t>
      </w:r>
      <w:r>
        <w:t>ком: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11 процентов женщин в возрасте половой зрелости в 2000-2001 годах имели случайные половые связи;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13 процентов из них предохранялись во время этих связей;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24 процента опрошенных женщин имели первую половую связь в возрасте до 15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Кроме того, женщины в большей мере подвержены ВИЧ в результате н</w:t>
      </w:r>
      <w:r>
        <w:t>а</w:t>
      </w:r>
      <w:r>
        <w:t>силия, особенно в зонах вооруженных конфликтов. В докладе НПБС говорится, что 16,3 процента доноров крови в Гома в 2002 году были ВИЧ-инфицированными.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5.</w:t>
      </w:r>
      <w:r>
        <w:rPr>
          <w:i/>
        </w:rPr>
        <w:tab/>
        <w:t>Планирование семьи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Планирование семьи является частью Национальной программы в обла</w:t>
      </w:r>
      <w:r>
        <w:t>с</w:t>
      </w:r>
      <w:r>
        <w:t>ти репродуктивного здоровья (НПРЗ) министерства здравоохранения, которая была создана в следующих целях: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обеспечение улучшения качества жизни отдельных лиц, пар, семей и общин в отношении репродуктивного здоровья;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содействие улучшению здоровья в области репродуктивной функции и половых отношений на основе равенства и справедливости в отношении мужчин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борьба со всеми болезненными последствиями, которые ведут к о</w:t>
      </w:r>
      <w:r>
        <w:t>с</w:t>
      </w:r>
      <w:r>
        <w:t>лаблению здоровья человека в области половых отношений и репродуктивной функции.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Представляется, что эти услуги слабо используются населением, поскол</w:t>
      </w:r>
      <w:r>
        <w:t>ь</w:t>
      </w:r>
      <w:r>
        <w:t xml:space="preserve">ку распространенность использования противозачаточных средств сократилась с 8 процентов в 1991 году до 4,4 процента в 2002 году. Это является причиной большого коэффициента плодовитости, зачастую связанной с нежелательной беременностью, что ведет к ухудшению положения в отношении беспризорных детей и детей, страдающих от недоедания.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то же время современными противозачаточными средствами пользую</w:t>
      </w:r>
      <w:r>
        <w:t>т</w:t>
      </w:r>
      <w:r>
        <w:t>ся 27 процентов женщин и 4,4 процента мужчин.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Подобное положение дел объясняется, главным образом, тремя катег</w:t>
      </w:r>
      <w:r>
        <w:t>о</w:t>
      </w:r>
      <w:r>
        <w:t>риями сдерживающих факторов:</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187"/>
        <w:rPr>
          <w:i/>
        </w:rPr>
      </w:pPr>
      <w:r>
        <w:rPr>
          <w:i/>
        </w:rPr>
        <w:t>Сдерживающие факторы культурного и религиозного характера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Ребенок является даром Бога, приход которого в мир не может сдерж</w:t>
      </w:r>
      <w:r>
        <w:t>и</w:t>
      </w:r>
      <w:r>
        <w:t>ваться никакими другими средствами и который сам по себе является сокр</w:t>
      </w:r>
      <w:r>
        <w:t>о</w:t>
      </w:r>
      <w:r>
        <w:t>вищем. Кроме того, женщинам трудно применять противозачаточные средства без с</w:t>
      </w:r>
      <w:r>
        <w:t>о</w:t>
      </w:r>
      <w:r>
        <w:t>гласия супруга.</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5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50" w:hanging="450"/>
        <w:rPr>
          <w:i/>
        </w:rPr>
      </w:pPr>
      <w:r>
        <w:rPr>
          <w:i/>
        </w:rPr>
        <w:t>Сдерживающие факторы, связанные с географической доступн</w:t>
      </w:r>
      <w:r>
        <w:rPr>
          <w:i/>
        </w:rPr>
        <w:t>о</w:t>
      </w:r>
      <w:r>
        <w:rPr>
          <w:i/>
        </w:rPr>
        <w:t xml:space="preserve">стью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Киншасе действительно существует много родильных домов, где же</w:t>
      </w:r>
      <w:r>
        <w:t>н</w:t>
      </w:r>
      <w:r>
        <w:t>щины могут иметь доступ к информации и к услугам в области планирования семьи, тогда как во внутренней части страны эти услуги распространены сл</w:t>
      </w:r>
      <w:r>
        <w:t>а</w:t>
      </w:r>
      <w:r>
        <w:t>бо. Таким образом, подобными услугами в области здравоохранения не охвач</w:t>
      </w:r>
      <w:r>
        <w:t>е</w:t>
      </w:r>
      <w:r>
        <w:t>но все население.</w:t>
      </w:r>
    </w:p>
    <w:p w:rsidR="00000000" w:rsidRDefault="00000000">
      <w:pPr>
        <w:pStyle w:val="SingleTxt"/>
        <w:numPr>
          <w:ilvl w:val="0"/>
          <w:numId w:val="315"/>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187"/>
        <w:rPr>
          <w:i/>
        </w:rPr>
      </w:pPr>
      <w:r>
        <w:rPr>
          <w:i/>
        </w:rPr>
        <w:t>Сдерживающие факторы финансового характера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Программа находится в слишком большой зависимости от междунаро</w:t>
      </w:r>
      <w:r>
        <w:t>д</w:t>
      </w:r>
      <w:r>
        <w:t>ных организаций, оказывающих ей поддержку в ее деятельности.</w:t>
      </w:r>
    </w:p>
    <w:p w:rsidR="00000000" w:rsidRDefault="00000000">
      <w:pPr>
        <w:pStyle w:val="SingleTxt"/>
        <w:spacing w:after="0" w:line="180" w:lineRule="auto"/>
        <w:rPr>
          <w:sz w:val="10"/>
        </w:rPr>
      </w:pPr>
      <w:r>
        <w:rPr>
          <w:b/>
        </w:rP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8.</w:t>
      </w:r>
      <w:r>
        <w:tab/>
        <w:t xml:space="preserve">Женщины и экономика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Как это уже подчеркивалось, жизнь в Демократической Республике Конго характеризуется всеобщим кризисом, царящим в стране уже на протяжении двух десятилетий. Этот кризис осложняется двумя массовыми грабежами, имевшими место в 1991 и 1993 годах, а также войнами, разразившимися на востоке страны в 1996 и 1998 годах. Поскольку в то время средства произво</w:t>
      </w:r>
      <w:r>
        <w:t>д</w:t>
      </w:r>
      <w:r>
        <w:t>ства были уничтожены, тысячи человек пополнили армию безработных.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 сокращением возможностей в плане поиска работы в результате экон</w:t>
      </w:r>
      <w:r>
        <w:t>о</w:t>
      </w:r>
      <w:r>
        <w:t>мического кризиса на плечи женщин легла значительная часть обязанностей, ибо они теперь вынуждены вносить еще больший вклад в обеспечение семе</w:t>
      </w:r>
      <w:r>
        <w:t>й</w:t>
      </w:r>
      <w:r>
        <w:t>ных д</w:t>
      </w:r>
      <w:r>
        <w:t>о</w:t>
      </w:r>
      <w:r>
        <w:t>ходов.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настоящее время многие домашние хозяйства не прекращают своего существования только благодаря находчивости женщин, которые, к тому же, занимаются часто деятельностью, не приносящей достаточных доходов. П</w:t>
      </w:r>
      <w:r>
        <w:t>о</w:t>
      </w:r>
      <w:r>
        <w:t>скольку они главным образом задействованы в неформальном секторе (сел</w:t>
      </w:r>
      <w:r>
        <w:t>ь</w:t>
      </w:r>
      <w:r>
        <w:t>ское хозяйство, разведение скота, торговля и т.д.), для них доступ к кредитам практически з</w:t>
      </w:r>
      <w:r>
        <w:t>а</w:t>
      </w:r>
      <w:r>
        <w:t>крыт.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Сельское хозяйство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этом секторе женщины работают изнурительно по 14-16 часов в день. Как это уже подчеркивалось выше, они зачастую используют лишь самые пр</w:t>
      </w:r>
      <w:r>
        <w:t>о</w:t>
      </w:r>
      <w:r>
        <w:t>стые средства производства, переработки и хранения сельскохозяйственной продукции.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У них нет возможности получить ни рассаду, ни семена улучшенного к</w:t>
      </w:r>
      <w:r>
        <w:t>а</w:t>
      </w:r>
      <w:r>
        <w:t>чества, ни удобрения. Они заняты на всех этапах производственного цикла и сами обе</w:t>
      </w:r>
      <w:r>
        <w:t>с</w:t>
      </w:r>
      <w:r>
        <w:t>печивают сбыт своей продукции.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Вывоз продукции в пункты потребления осуществляется в ужасных усл</w:t>
      </w:r>
      <w:r>
        <w:t>о</w:t>
      </w:r>
      <w:r>
        <w:t>виях ввиду плохого состояния дорог на засушливой территории, на которой находятся сельскохозяйственные угодья. Нередко женщинам приходится пер</w:t>
      </w:r>
      <w:r>
        <w:t>е</w:t>
      </w:r>
      <w:r>
        <w:t xml:space="preserve">двигаться на перегруженных грузовиках с риском для своей жизни.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Торговля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Женщины не знакомы с основами счетоводства и не умеют вести бухга</w:t>
      </w:r>
      <w:r>
        <w:t>л</w:t>
      </w:r>
      <w:r>
        <w:t xml:space="preserve">терские документы.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Они не имеют доступа к финансовым кредитам. Как правило, для того чтобы начать какое-либо коммерческое предприятие, они прибегают к системе тонт</w:t>
      </w:r>
      <w:r>
        <w:t>и</w:t>
      </w:r>
      <w:r>
        <w:t>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Неправительственные организации начали все чаще вкладывать средства в сферу микрокредитования. Женщины предпочитают пользоваться услугами этих структур, которые являются, пожалуй, для них доступными.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рамках осуществляемой на уровне министерства по делам семьи и женщин Национальной программы улучшения положения конголезских же</w:t>
      </w:r>
      <w:r>
        <w:t>н</w:t>
      </w:r>
      <w:r>
        <w:t>щин было зарегистрировано 50 неправительственных организаций и ассоци</w:t>
      </w:r>
      <w:r>
        <w:t>а</w:t>
      </w:r>
      <w:r>
        <w:t>ций, работающих в области микрокредитования. В июне 2003 года 77 женщин, представлявших эти неправительственные организации, смогли принять уч</w:t>
      </w:r>
      <w:r>
        <w:t>а</w:t>
      </w:r>
      <w:r>
        <w:t>стие в конференции по вопросам микрокредитования, которая была организ</w:t>
      </w:r>
      <w:r>
        <w:t>о</w:t>
      </w:r>
      <w:r>
        <w:t xml:space="preserve">вана Всемирной организацией по миграции.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Что касается деятельности на местах, то была разработана исследовател</w:t>
      </w:r>
      <w:r>
        <w:t>ь</w:t>
      </w:r>
      <w:r>
        <w:t>ская программа неправительственных организаций по положению семьи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Осуществление этого проекта было начато в 1998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Благодаря небольшому начальному фонду в 19 209 869 бельгийских франков эта программа и группировки, которые захотели получить официал</w:t>
      </w:r>
      <w:r>
        <w:t>ь</w:t>
      </w:r>
      <w:r>
        <w:t>ный статус микропредприятий, создали систему, основывающуюся на кассах вза</w:t>
      </w:r>
      <w:r>
        <w:t>и</w:t>
      </w:r>
      <w:r>
        <w:t>мосбережений и взаимокредитования.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Доклад о деятельности за 2001 год показывает, что эта структура до сих пор функциональна, поскольку благодаря этой программе удалось организ</w:t>
      </w:r>
      <w:r>
        <w:t>о</w:t>
      </w:r>
      <w:r>
        <w:t>вать учебные сессии по вопросам микрофинансирования и женского предпр</w:t>
      </w:r>
      <w:r>
        <w:t>и</w:t>
      </w:r>
      <w:r>
        <w:t>нимательства, организации и функционирования касс взаимосбережений и взаимокредитования, управления микропредприятиями и разработки предпр</w:t>
      </w:r>
      <w:r>
        <w:t>и</w:t>
      </w:r>
      <w:r>
        <w:t>нимательских пр</w:t>
      </w:r>
      <w:r>
        <w:t>о</w:t>
      </w:r>
      <w:r>
        <w:t>ектов.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Сегодня благодаря созданию Тематической группы "Доступ к ресурсам" женщины, занимающиеся коммерцией, имеют возможность объединиться с ц</w:t>
      </w:r>
      <w:r>
        <w:t>е</w:t>
      </w:r>
      <w:r>
        <w:t>лью защиты своих интересов для совместного поиска кредитов.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Киншаса</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tab/>
      </w:r>
      <w:r>
        <w:tab/>
      </w:r>
      <w:r>
        <w:rPr>
          <w:b/>
        </w:rPr>
        <w:t>Таблица 1. Финансовые учреждения и неправительственные организации,</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ab/>
      </w:r>
      <w:r>
        <w:rPr>
          <w:b/>
        </w:rPr>
        <w:tab/>
        <w:t xml:space="preserve">предоставляющие кредиты женщинам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990" w:type="dxa"/>
        <w:tblLayout w:type="fixed"/>
        <w:tblCellMar>
          <w:left w:w="0" w:type="dxa"/>
          <w:right w:w="0" w:type="dxa"/>
        </w:tblCellMar>
        <w:tblLook w:val="0000" w:firstRow="0" w:lastRow="0" w:firstColumn="0" w:lastColumn="0" w:noHBand="0" w:noVBand="0"/>
      </w:tblPr>
      <w:tblGrid>
        <w:gridCol w:w="1800"/>
        <w:gridCol w:w="810"/>
        <w:gridCol w:w="806"/>
        <w:gridCol w:w="810"/>
        <w:gridCol w:w="806"/>
        <w:gridCol w:w="806"/>
      </w:tblGrid>
      <w:tr w:rsidR="00000000">
        <w:tblPrEx>
          <w:tblCellMar>
            <w:top w:w="0" w:type="dxa"/>
            <w:left w:w="0" w:type="dxa"/>
            <w:bottom w:w="0" w:type="dxa"/>
            <w:right w:w="0" w:type="dxa"/>
          </w:tblCellMar>
        </w:tblPrEx>
        <w:trPr>
          <w:cantSplit/>
          <w:trHeight w:val="440"/>
          <w:tblHeader/>
        </w:trPr>
        <w:tc>
          <w:tcPr>
            <w:tcW w:w="1800" w:type="dxa"/>
            <w:tcBorders>
              <w:top w:val="single" w:sz="4" w:space="0" w:color="auto"/>
              <w:bottom w:val="single" w:sz="12" w:space="0" w:color="auto"/>
            </w:tcBorders>
            <w:vAlign w:val="center"/>
          </w:tcPr>
          <w:p w:rsidR="00000000" w:rsidRDefault="00000000">
            <w:pPr>
              <w:rPr>
                <w:i/>
                <w:sz w:val="14"/>
              </w:rPr>
            </w:pPr>
            <w:r>
              <w:rPr>
                <w:i/>
                <w:sz w:val="14"/>
              </w:rPr>
              <w:t>Год</w:t>
            </w:r>
          </w:p>
        </w:tc>
        <w:tc>
          <w:tcPr>
            <w:tcW w:w="810" w:type="dxa"/>
            <w:tcBorders>
              <w:top w:val="single" w:sz="4" w:space="0" w:color="auto"/>
              <w:bottom w:val="single" w:sz="12" w:space="0" w:color="auto"/>
            </w:tcBorders>
            <w:vAlign w:val="center"/>
          </w:tcPr>
          <w:p w:rsidR="00000000" w:rsidRDefault="00000000">
            <w:pPr>
              <w:ind w:right="90"/>
              <w:jc w:val="right"/>
              <w:rPr>
                <w:i/>
                <w:sz w:val="14"/>
              </w:rPr>
            </w:pPr>
            <w:r>
              <w:rPr>
                <w:i/>
                <w:sz w:val="14"/>
              </w:rPr>
              <w:t>1999</w:t>
            </w:r>
          </w:p>
        </w:tc>
        <w:tc>
          <w:tcPr>
            <w:tcW w:w="806" w:type="dxa"/>
            <w:tcBorders>
              <w:top w:val="single" w:sz="4" w:space="0" w:color="auto"/>
              <w:bottom w:val="single" w:sz="12" w:space="0" w:color="auto"/>
            </w:tcBorders>
            <w:vAlign w:val="center"/>
          </w:tcPr>
          <w:p w:rsidR="00000000" w:rsidRDefault="00000000">
            <w:pPr>
              <w:ind w:right="90"/>
              <w:jc w:val="right"/>
              <w:rPr>
                <w:i/>
                <w:sz w:val="14"/>
              </w:rPr>
            </w:pPr>
            <w:r>
              <w:rPr>
                <w:i/>
                <w:sz w:val="14"/>
              </w:rPr>
              <w:t>2000</w:t>
            </w:r>
          </w:p>
        </w:tc>
        <w:tc>
          <w:tcPr>
            <w:tcW w:w="810" w:type="dxa"/>
            <w:tcBorders>
              <w:top w:val="single" w:sz="4" w:space="0" w:color="auto"/>
              <w:bottom w:val="single" w:sz="12" w:space="0" w:color="auto"/>
            </w:tcBorders>
            <w:vAlign w:val="center"/>
          </w:tcPr>
          <w:p w:rsidR="00000000" w:rsidRDefault="00000000">
            <w:pPr>
              <w:ind w:right="90"/>
              <w:jc w:val="right"/>
              <w:rPr>
                <w:i/>
                <w:sz w:val="14"/>
              </w:rPr>
            </w:pPr>
            <w:r>
              <w:rPr>
                <w:i/>
                <w:sz w:val="14"/>
              </w:rPr>
              <w:t>2001</w:t>
            </w:r>
          </w:p>
        </w:tc>
        <w:tc>
          <w:tcPr>
            <w:tcW w:w="806" w:type="dxa"/>
            <w:tcBorders>
              <w:top w:val="single" w:sz="4" w:space="0" w:color="auto"/>
              <w:bottom w:val="single" w:sz="12" w:space="0" w:color="auto"/>
            </w:tcBorders>
            <w:vAlign w:val="center"/>
          </w:tcPr>
          <w:p w:rsidR="00000000" w:rsidRDefault="00000000">
            <w:pPr>
              <w:ind w:right="90"/>
              <w:jc w:val="right"/>
              <w:rPr>
                <w:i/>
                <w:sz w:val="14"/>
              </w:rPr>
            </w:pPr>
            <w:r>
              <w:rPr>
                <w:i/>
                <w:sz w:val="14"/>
              </w:rPr>
              <w:t>2002</w:t>
            </w:r>
          </w:p>
        </w:tc>
        <w:tc>
          <w:tcPr>
            <w:tcW w:w="806" w:type="dxa"/>
            <w:tcBorders>
              <w:top w:val="single" w:sz="4" w:space="0" w:color="auto"/>
              <w:bottom w:val="single" w:sz="12" w:space="0" w:color="auto"/>
            </w:tcBorders>
            <w:vAlign w:val="center"/>
          </w:tcPr>
          <w:p w:rsidR="00000000" w:rsidRDefault="00000000">
            <w:pPr>
              <w:ind w:right="90"/>
              <w:jc w:val="right"/>
              <w:rPr>
                <w:i/>
                <w:sz w:val="14"/>
              </w:rPr>
            </w:pPr>
            <w:r>
              <w:rPr>
                <w:i/>
                <w:sz w:val="14"/>
              </w:rPr>
              <w:t>2003</w:t>
            </w:r>
          </w:p>
        </w:tc>
      </w:tr>
      <w:tr w:rsidR="00000000">
        <w:tblPrEx>
          <w:tblCellMar>
            <w:top w:w="0" w:type="dxa"/>
            <w:left w:w="0" w:type="dxa"/>
            <w:bottom w:w="0" w:type="dxa"/>
            <w:right w:w="0" w:type="dxa"/>
          </w:tblCellMar>
        </w:tblPrEx>
        <w:trPr>
          <w:cantSplit/>
          <w:trHeight w:val="200"/>
        </w:trPr>
        <w:tc>
          <w:tcPr>
            <w:tcW w:w="1800" w:type="dxa"/>
            <w:vAlign w:val="bottom"/>
          </w:tcPr>
          <w:p w:rsidR="00000000" w:rsidRDefault="00000000">
            <w:pPr>
              <w:spacing w:after="120" w:line="210" w:lineRule="exact"/>
              <w:rPr>
                <w:sz w:val="17"/>
              </w:rPr>
            </w:pPr>
            <w:r>
              <w:rPr>
                <w:sz w:val="17"/>
              </w:rPr>
              <w:t>Учреждение</w:t>
            </w:r>
          </w:p>
        </w:tc>
        <w:tc>
          <w:tcPr>
            <w:tcW w:w="810" w:type="dxa"/>
            <w:vAlign w:val="bottom"/>
          </w:tcPr>
          <w:p w:rsidR="00000000" w:rsidRDefault="00000000">
            <w:pPr>
              <w:spacing w:after="120" w:line="210" w:lineRule="exact"/>
              <w:jc w:val="right"/>
              <w:rPr>
                <w:sz w:val="17"/>
              </w:rPr>
            </w:pPr>
          </w:p>
        </w:tc>
        <w:tc>
          <w:tcPr>
            <w:tcW w:w="806" w:type="dxa"/>
            <w:vAlign w:val="bottom"/>
          </w:tcPr>
          <w:p w:rsidR="00000000" w:rsidRDefault="00000000">
            <w:pPr>
              <w:spacing w:after="120" w:line="210" w:lineRule="exact"/>
              <w:jc w:val="right"/>
              <w:rPr>
                <w:sz w:val="17"/>
              </w:rPr>
            </w:pPr>
          </w:p>
        </w:tc>
        <w:tc>
          <w:tcPr>
            <w:tcW w:w="810" w:type="dxa"/>
            <w:vAlign w:val="bottom"/>
          </w:tcPr>
          <w:p w:rsidR="00000000" w:rsidRDefault="00000000">
            <w:pPr>
              <w:spacing w:after="120" w:line="210" w:lineRule="exact"/>
              <w:jc w:val="right"/>
              <w:rPr>
                <w:sz w:val="17"/>
              </w:rPr>
            </w:pPr>
          </w:p>
        </w:tc>
        <w:tc>
          <w:tcPr>
            <w:tcW w:w="806" w:type="dxa"/>
            <w:vAlign w:val="bottom"/>
          </w:tcPr>
          <w:p w:rsidR="00000000" w:rsidRDefault="00000000">
            <w:pPr>
              <w:spacing w:after="120" w:line="210" w:lineRule="exact"/>
              <w:jc w:val="right"/>
              <w:rPr>
                <w:sz w:val="17"/>
              </w:rPr>
            </w:pPr>
          </w:p>
        </w:tc>
        <w:tc>
          <w:tcPr>
            <w:tcW w:w="806" w:type="dxa"/>
            <w:vAlign w:val="bottom"/>
          </w:tcPr>
          <w:p w:rsidR="00000000" w:rsidRDefault="00000000">
            <w:pPr>
              <w:spacing w:after="120" w:line="210" w:lineRule="exact"/>
              <w:jc w:val="right"/>
              <w:rPr>
                <w:sz w:val="17"/>
              </w:rPr>
            </w:pPr>
          </w:p>
        </w:tc>
      </w:tr>
      <w:tr w:rsidR="00000000">
        <w:tblPrEx>
          <w:tblCellMar>
            <w:top w:w="0" w:type="dxa"/>
            <w:left w:w="0" w:type="dxa"/>
            <w:bottom w:w="0" w:type="dxa"/>
            <w:right w:w="0" w:type="dxa"/>
          </w:tblCellMar>
        </w:tblPrEx>
        <w:trPr>
          <w:cantSplit/>
          <w:trHeight w:val="200"/>
        </w:trPr>
        <w:tc>
          <w:tcPr>
            <w:tcW w:w="1800" w:type="dxa"/>
            <w:vAlign w:val="bottom"/>
          </w:tcPr>
          <w:p w:rsidR="00000000" w:rsidRDefault="00000000">
            <w:pPr>
              <w:spacing w:after="120" w:line="210" w:lineRule="exact"/>
              <w:rPr>
                <w:sz w:val="17"/>
              </w:rPr>
            </w:pPr>
            <w:r>
              <w:rPr>
                <w:sz w:val="17"/>
              </w:rPr>
              <w:t>BCD</w:t>
            </w:r>
          </w:p>
        </w:tc>
        <w:tc>
          <w:tcPr>
            <w:tcW w:w="810" w:type="dxa"/>
            <w:vAlign w:val="bottom"/>
          </w:tcPr>
          <w:p w:rsidR="00000000" w:rsidRDefault="00000000">
            <w:pPr>
              <w:spacing w:after="120" w:line="210" w:lineRule="exact"/>
              <w:jc w:val="right"/>
              <w:rPr>
                <w:sz w:val="17"/>
              </w:rPr>
            </w:pPr>
            <w:r>
              <w:rPr>
                <w:sz w:val="17"/>
              </w:rPr>
              <w:t>0</w:t>
            </w:r>
          </w:p>
        </w:tc>
        <w:tc>
          <w:tcPr>
            <w:tcW w:w="806" w:type="dxa"/>
            <w:vAlign w:val="bottom"/>
          </w:tcPr>
          <w:p w:rsidR="00000000" w:rsidRDefault="00000000">
            <w:pPr>
              <w:spacing w:after="120" w:line="210" w:lineRule="exact"/>
              <w:jc w:val="right"/>
              <w:rPr>
                <w:sz w:val="17"/>
              </w:rPr>
            </w:pPr>
            <w:r>
              <w:rPr>
                <w:sz w:val="17"/>
              </w:rPr>
              <w:t>2</w:t>
            </w:r>
          </w:p>
        </w:tc>
        <w:tc>
          <w:tcPr>
            <w:tcW w:w="810" w:type="dxa"/>
            <w:vAlign w:val="bottom"/>
          </w:tcPr>
          <w:p w:rsidR="00000000" w:rsidRDefault="00000000">
            <w:pPr>
              <w:spacing w:after="120" w:line="210" w:lineRule="exact"/>
              <w:jc w:val="right"/>
              <w:rPr>
                <w:sz w:val="17"/>
              </w:rPr>
            </w:pPr>
            <w:r>
              <w:rPr>
                <w:sz w:val="17"/>
              </w:rPr>
              <w:t>2</w:t>
            </w:r>
          </w:p>
        </w:tc>
        <w:tc>
          <w:tcPr>
            <w:tcW w:w="806" w:type="dxa"/>
            <w:vAlign w:val="bottom"/>
          </w:tcPr>
          <w:p w:rsidR="00000000" w:rsidRDefault="00000000">
            <w:pPr>
              <w:spacing w:after="120" w:line="210" w:lineRule="exact"/>
              <w:jc w:val="right"/>
              <w:rPr>
                <w:sz w:val="17"/>
              </w:rPr>
            </w:pPr>
            <w:r>
              <w:rPr>
                <w:sz w:val="17"/>
              </w:rPr>
              <w:t>8</w:t>
            </w:r>
          </w:p>
        </w:tc>
        <w:tc>
          <w:tcPr>
            <w:tcW w:w="806" w:type="dxa"/>
            <w:vAlign w:val="bottom"/>
          </w:tcPr>
          <w:p w:rsidR="00000000" w:rsidRDefault="00000000">
            <w:pPr>
              <w:spacing w:after="120" w:line="210" w:lineRule="exact"/>
              <w:jc w:val="right"/>
              <w:rPr>
                <w:sz w:val="17"/>
              </w:rPr>
            </w:pPr>
            <w:r>
              <w:rPr>
                <w:sz w:val="17"/>
              </w:rPr>
              <w:t>1</w:t>
            </w:r>
          </w:p>
        </w:tc>
      </w:tr>
      <w:tr w:rsidR="00000000">
        <w:tblPrEx>
          <w:tblCellMar>
            <w:top w:w="0" w:type="dxa"/>
            <w:left w:w="0" w:type="dxa"/>
            <w:bottom w:w="0" w:type="dxa"/>
            <w:right w:w="0" w:type="dxa"/>
          </w:tblCellMar>
        </w:tblPrEx>
        <w:trPr>
          <w:cantSplit/>
          <w:trHeight w:val="200"/>
        </w:trPr>
        <w:tc>
          <w:tcPr>
            <w:tcW w:w="1800" w:type="dxa"/>
            <w:vAlign w:val="bottom"/>
          </w:tcPr>
          <w:p w:rsidR="00000000" w:rsidRDefault="00000000">
            <w:pPr>
              <w:spacing w:after="120" w:line="210" w:lineRule="exact"/>
              <w:rPr>
                <w:sz w:val="17"/>
              </w:rPr>
            </w:pPr>
            <w:r>
              <w:rPr>
                <w:sz w:val="17"/>
              </w:rPr>
              <w:t>UBC</w:t>
            </w:r>
          </w:p>
        </w:tc>
        <w:tc>
          <w:tcPr>
            <w:tcW w:w="810" w:type="dxa"/>
            <w:vAlign w:val="bottom"/>
          </w:tcPr>
          <w:p w:rsidR="00000000" w:rsidRDefault="00000000">
            <w:pPr>
              <w:spacing w:after="120" w:line="210" w:lineRule="exact"/>
              <w:jc w:val="right"/>
              <w:rPr>
                <w:sz w:val="17"/>
              </w:rPr>
            </w:pPr>
            <w:r>
              <w:rPr>
                <w:sz w:val="17"/>
              </w:rPr>
              <w:t>0</w:t>
            </w:r>
          </w:p>
        </w:tc>
        <w:tc>
          <w:tcPr>
            <w:tcW w:w="806" w:type="dxa"/>
            <w:vAlign w:val="bottom"/>
          </w:tcPr>
          <w:p w:rsidR="00000000" w:rsidRDefault="00000000">
            <w:pPr>
              <w:spacing w:after="120" w:line="210" w:lineRule="exact"/>
              <w:jc w:val="right"/>
              <w:rPr>
                <w:sz w:val="17"/>
              </w:rPr>
            </w:pPr>
            <w:r>
              <w:rPr>
                <w:sz w:val="17"/>
              </w:rPr>
              <w:t>4</w:t>
            </w:r>
          </w:p>
        </w:tc>
        <w:tc>
          <w:tcPr>
            <w:tcW w:w="810" w:type="dxa"/>
            <w:vAlign w:val="bottom"/>
          </w:tcPr>
          <w:p w:rsidR="00000000" w:rsidRDefault="00000000">
            <w:pPr>
              <w:spacing w:after="120" w:line="210" w:lineRule="exact"/>
              <w:jc w:val="right"/>
              <w:rPr>
                <w:sz w:val="17"/>
              </w:rPr>
            </w:pPr>
            <w:r>
              <w:rPr>
                <w:sz w:val="17"/>
              </w:rPr>
              <w:t>10</w:t>
            </w:r>
          </w:p>
        </w:tc>
        <w:tc>
          <w:tcPr>
            <w:tcW w:w="806" w:type="dxa"/>
            <w:vAlign w:val="bottom"/>
          </w:tcPr>
          <w:p w:rsidR="00000000" w:rsidRDefault="00000000">
            <w:pPr>
              <w:spacing w:after="120" w:line="210" w:lineRule="exact"/>
              <w:jc w:val="right"/>
              <w:rPr>
                <w:sz w:val="17"/>
              </w:rPr>
            </w:pPr>
            <w:r>
              <w:rPr>
                <w:sz w:val="17"/>
              </w:rPr>
              <w:t>2</w:t>
            </w:r>
          </w:p>
        </w:tc>
        <w:tc>
          <w:tcPr>
            <w:tcW w:w="806" w:type="dxa"/>
            <w:vAlign w:val="bottom"/>
          </w:tcPr>
          <w:p w:rsidR="00000000" w:rsidRDefault="00000000">
            <w:pPr>
              <w:spacing w:after="120" w:line="210" w:lineRule="exact"/>
              <w:jc w:val="right"/>
              <w:rPr>
                <w:sz w:val="17"/>
              </w:rPr>
            </w:pPr>
            <w:r>
              <w:rPr>
                <w:sz w:val="17"/>
              </w:rPr>
              <w:t>2</w:t>
            </w:r>
          </w:p>
        </w:tc>
      </w:tr>
      <w:tr w:rsidR="00000000">
        <w:tblPrEx>
          <w:tblCellMar>
            <w:top w:w="0" w:type="dxa"/>
            <w:left w:w="0" w:type="dxa"/>
            <w:bottom w:w="0" w:type="dxa"/>
            <w:right w:w="0" w:type="dxa"/>
          </w:tblCellMar>
        </w:tblPrEx>
        <w:trPr>
          <w:cantSplit/>
          <w:trHeight w:val="200"/>
        </w:trPr>
        <w:tc>
          <w:tcPr>
            <w:tcW w:w="1800" w:type="dxa"/>
            <w:vAlign w:val="bottom"/>
          </w:tcPr>
          <w:p w:rsidR="00000000" w:rsidRDefault="00000000">
            <w:pPr>
              <w:spacing w:after="120" w:line="210" w:lineRule="exact"/>
              <w:rPr>
                <w:sz w:val="17"/>
              </w:rPr>
            </w:pPr>
            <w:r>
              <w:rPr>
                <w:sz w:val="17"/>
              </w:rPr>
              <w:t>FPI</w:t>
            </w:r>
          </w:p>
        </w:tc>
        <w:tc>
          <w:tcPr>
            <w:tcW w:w="810" w:type="dxa"/>
            <w:vAlign w:val="bottom"/>
          </w:tcPr>
          <w:p w:rsidR="00000000" w:rsidRDefault="00000000">
            <w:pPr>
              <w:spacing w:after="120" w:line="210" w:lineRule="exact"/>
              <w:jc w:val="right"/>
              <w:rPr>
                <w:sz w:val="17"/>
              </w:rPr>
            </w:pPr>
            <w:r>
              <w:rPr>
                <w:sz w:val="17"/>
              </w:rPr>
              <w:t>-</w:t>
            </w:r>
          </w:p>
        </w:tc>
        <w:tc>
          <w:tcPr>
            <w:tcW w:w="806" w:type="dxa"/>
            <w:vAlign w:val="bottom"/>
          </w:tcPr>
          <w:p w:rsidR="00000000" w:rsidRDefault="00000000">
            <w:pPr>
              <w:spacing w:after="120" w:line="210" w:lineRule="exact"/>
              <w:jc w:val="right"/>
              <w:rPr>
                <w:sz w:val="17"/>
              </w:rPr>
            </w:pPr>
            <w:r>
              <w:rPr>
                <w:sz w:val="17"/>
              </w:rPr>
              <w:t>-</w:t>
            </w:r>
          </w:p>
        </w:tc>
        <w:tc>
          <w:tcPr>
            <w:tcW w:w="810" w:type="dxa"/>
            <w:vAlign w:val="bottom"/>
          </w:tcPr>
          <w:p w:rsidR="00000000" w:rsidRDefault="00000000">
            <w:pPr>
              <w:spacing w:after="120" w:line="210" w:lineRule="exact"/>
              <w:jc w:val="right"/>
              <w:rPr>
                <w:sz w:val="17"/>
              </w:rPr>
            </w:pPr>
            <w:r>
              <w:rPr>
                <w:sz w:val="17"/>
              </w:rPr>
              <w:t>-</w:t>
            </w:r>
          </w:p>
        </w:tc>
        <w:tc>
          <w:tcPr>
            <w:tcW w:w="806" w:type="dxa"/>
            <w:vAlign w:val="bottom"/>
          </w:tcPr>
          <w:p w:rsidR="00000000" w:rsidRDefault="00000000">
            <w:pPr>
              <w:spacing w:after="120" w:line="210" w:lineRule="exact"/>
              <w:jc w:val="right"/>
              <w:rPr>
                <w:sz w:val="17"/>
              </w:rPr>
            </w:pPr>
            <w:r>
              <w:rPr>
                <w:sz w:val="17"/>
              </w:rPr>
              <w:t>0</w:t>
            </w:r>
          </w:p>
        </w:tc>
        <w:tc>
          <w:tcPr>
            <w:tcW w:w="806" w:type="dxa"/>
            <w:vAlign w:val="bottom"/>
          </w:tcPr>
          <w:p w:rsidR="00000000" w:rsidRDefault="00000000">
            <w:pPr>
              <w:spacing w:after="120" w:line="210" w:lineRule="exact"/>
              <w:jc w:val="right"/>
              <w:rPr>
                <w:sz w:val="17"/>
              </w:rPr>
            </w:pPr>
            <w:r>
              <w:rPr>
                <w:sz w:val="17"/>
              </w:rPr>
              <w:t>1</w:t>
            </w:r>
          </w:p>
        </w:tc>
      </w:tr>
      <w:tr w:rsidR="00000000">
        <w:tblPrEx>
          <w:tblCellMar>
            <w:top w:w="0" w:type="dxa"/>
            <w:left w:w="0" w:type="dxa"/>
            <w:bottom w:w="0" w:type="dxa"/>
            <w:right w:w="0" w:type="dxa"/>
          </w:tblCellMar>
        </w:tblPrEx>
        <w:trPr>
          <w:cantSplit/>
          <w:trHeight w:val="200"/>
        </w:trPr>
        <w:tc>
          <w:tcPr>
            <w:tcW w:w="1800" w:type="dxa"/>
            <w:tcBorders>
              <w:bottom w:val="single" w:sz="12" w:space="0" w:color="auto"/>
            </w:tcBorders>
            <w:vAlign w:val="bottom"/>
          </w:tcPr>
          <w:p w:rsidR="00000000" w:rsidRDefault="00000000">
            <w:pPr>
              <w:spacing w:after="120" w:line="210" w:lineRule="exact"/>
              <w:rPr>
                <w:sz w:val="17"/>
              </w:rPr>
            </w:pPr>
            <w:r>
              <w:rPr>
                <w:sz w:val="17"/>
              </w:rPr>
              <w:t>BCDC</w:t>
            </w:r>
          </w:p>
        </w:tc>
        <w:tc>
          <w:tcPr>
            <w:tcW w:w="810" w:type="dxa"/>
            <w:tcBorders>
              <w:bottom w:val="single" w:sz="12" w:space="0" w:color="auto"/>
            </w:tcBorders>
            <w:vAlign w:val="bottom"/>
          </w:tcPr>
          <w:p w:rsidR="00000000" w:rsidRDefault="00000000">
            <w:pPr>
              <w:spacing w:after="120" w:line="210" w:lineRule="exact"/>
              <w:jc w:val="right"/>
              <w:rPr>
                <w:sz w:val="17"/>
              </w:rPr>
            </w:pPr>
            <w:r>
              <w:rPr>
                <w:sz w:val="17"/>
              </w:rPr>
              <w:t>-</w:t>
            </w:r>
          </w:p>
        </w:tc>
        <w:tc>
          <w:tcPr>
            <w:tcW w:w="806" w:type="dxa"/>
            <w:tcBorders>
              <w:bottom w:val="single" w:sz="12" w:space="0" w:color="auto"/>
            </w:tcBorders>
            <w:vAlign w:val="bottom"/>
          </w:tcPr>
          <w:p w:rsidR="00000000" w:rsidRDefault="00000000">
            <w:pPr>
              <w:spacing w:after="120" w:line="210" w:lineRule="exact"/>
              <w:jc w:val="right"/>
              <w:rPr>
                <w:sz w:val="17"/>
              </w:rPr>
            </w:pPr>
            <w:r>
              <w:rPr>
                <w:sz w:val="17"/>
              </w:rPr>
              <w:t>-</w:t>
            </w:r>
          </w:p>
        </w:tc>
        <w:tc>
          <w:tcPr>
            <w:tcW w:w="810" w:type="dxa"/>
            <w:tcBorders>
              <w:bottom w:val="single" w:sz="12" w:space="0" w:color="auto"/>
            </w:tcBorders>
            <w:vAlign w:val="bottom"/>
          </w:tcPr>
          <w:p w:rsidR="00000000" w:rsidRDefault="00000000">
            <w:pPr>
              <w:spacing w:after="120" w:line="210" w:lineRule="exact"/>
              <w:jc w:val="right"/>
              <w:rPr>
                <w:sz w:val="17"/>
              </w:rPr>
            </w:pPr>
            <w:r>
              <w:rPr>
                <w:sz w:val="17"/>
              </w:rPr>
              <w:t>1</w:t>
            </w:r>
          </w:p>
        </w:tc>
        <w:tc>
          <w:tcPr>
            <w:tcW w:w="806" w:type="dxa"/>
            <w:tcBorders>
              <w:bottom w:val="single" w:sz="12" w:space="0" w:color="auto"/>
            </w:tcBorders>
            <w:vAlign w:val="bottom"/>
          </w:tcPr>
          <w:p w:rsidR="00000000" w:rsidRDefault="00000000">
            <w:pPr>
              <w:spacing w:after="120" w:line="210" w:lineRule="exact"/>
              <w:jc w:val="right"/>
              <w:rPr>
                <w:sz w:val="17"/>
              </w:rPr>
            </w:pPr>
            <w:r>
              <w:rPr>
                <w:sz w:val="17"/>
              </w:rPr>
              <w:t>0</w:t>
            </w:r>
          </w:p>
        </w:tc>
        <w:tc>
          <w:tcPr>
            <w:tcW w:w="806" w:type="dxa"/>
            <w:tcBorders>
              <w:bottom w:val="single" w:sz="12" w:space="0" w:color="auto"/>
            </w:tcBorders>
            <w:vAlign w:val="bottom"/>
          </w:tcPr>
          <w:p w:rsidR="00000000" w:rsidRDefault="00000000">
            <w:pPr>
              <w:spacing w:after="120" w:line="210" w:lineRule="exact"/>
              <w:jc w:val="right"/>
              <w:rPr>
                <w:sz w:val="17"/>
              </w:rPr>
            </w:pPr>
            <w:r>
              <w:rPr>
                <w:sz w:val="17"/>
              </w:rPr>
              <w:t>-</w:t>
            </w:r>
          </w:p>
        </w:tc>
      </w:tr>
    </w:tbl>
    <w:p w:rsidR="00000000" w:rsidRDefault="00000000">
      <w:pPr>
        <w:autoSpaceDE w:val="0"/>
        <w:autoSpaceDN w:val="0"/>
        <w:adjustRightInd w:val="0"/>
        <w:spacing w:line="240" w:lineRule="auto"/>
        <w:ind w:left="2970" w:right="2020" w:hanging="990"/>
        <w:rPr>
          <w:b/>
        </w:rPr>
      </w:pPr>
      <w:r>
        <w:rPr>
          <w:i/>
        </w:rPr>
        <w:t>Источник</w:t>
      </w:r>
      <w:r>
        <w:t>:</w:t>
      </w:r>
      <w:r>
        <w:tab/>
        <w:t>Учреждения, указанные в первой колонке.</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tab/>
      </w:r>
      <w:r>
        <w:tab/>
      </w:r>
      <w:r>
        <w:rPr>
          <w:b/>
        </w:rPr>
        <w:t xml:space="preserve">Таблица 2. Условия доступа к кредитам для женщин в Киншасе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60" w:type="dxa"/>
        <w:tblLayout w:type="fixed"/>
        <w:tblCellMar>
          <w:left w:w="0" w:type="dxa"/>
          <w:right w:w="0" w:type="dxa"/>
        </w:tblCellMar>
        <w:tblLook w:val="0000" w:firstRow="0" w:lastRow="0" w:firstColumn="0" w:lastColumn="0" w:noHBand="0" w:noVBand="0"/>
      </w:tblPr>
      <w:tblGrid>
        <w:gridCol w:w="270"/>
        <w:gridCol w:w="1710"/>
        <w:gridCol w:w="1080"/>
        <w:gridCol w:w="1170"/>
        <w:gridCol w:w="1620"/>
        <w:gridCol w:w="1530"/>
      </w:tblGrid>
      <w:tr w:rsidR="00000000">
        <w:tblPrEx>
          <w:tblCellMar>
            <w:top w:w="0" w:type="dxa"/>
            <w:left w:w="0" w:type="dxa"/>
            <w:bottom w:w="0" w:type="dxa"/>
            <w:right w:w="0" w:type="dxa"/>
          </w:tblCellMar>
        </w:tblPrEx>
        <w:trPr>
          <w:cantSplit/>
          <w:trHeight w:val="440"/>
          <w:tblHeader/>
        </w:trPr>
        <w:tc>
          <w:tcPr>
            <w:tcW w:w="270" w:type="dxa"/>
            <w:tcBorders>
              <w:top w:val="single" w:sz="4" w:space="0" w:color="auto"/>
              <w:bottom w:val="single" w:sz="12" w:space="0" w:color="auto"/>
            </w:tcBorders>
            <w:vAlign w:val="center"/>
          </w:tcPr>
          <w:p w:rsidR="00000000" w:rsidRDefault="00000000">
            <w:pPr>
              <w:rPr>
                <w:i/>
                <w:sz w:val="14"/>
              </w:rPr>
            </w:pPr>
          </w:p>
        </w:tc>
        <w:tc>
          <w:tcPr>
            <w:tcW w:w="1710" w:type="dxa"/>
            <w:tcBorders>
              <w:top w:val="single" w:sz="4" w:space="0" w:color="auto"/>
              <w:bottom w:val="single" w:sz="12" w:space="0" w:color="auto"/>
            </w:tcBorders>
            <w:vAlign w:val="center"/>
          </w:tcPr>
          <w:p w:rsidR="00000000" w:rsidRDefault="00000000">
            <w:pPr>
              <w:ind w:right="90"/>
              <w:jc w:val="right"/>
              <w:rPr>
                <w:i/>
                <w:sz w:val="14"/>
              </w:rPr>
            </w:pPr>
            <w:r>
              <w:rPr>
                <w:i/>
                <w:sz w:val="14"/>
              </w:rPr>
              <w:t>Предоставляемый</w:t>
            </w:r>
          </w:p>
          <w:p w:rsidR="00000000" w:rsidRDefault="00000000">
            <w:pPr>
              <w:ind w:right="90"/>
              <w:jc w:val="right"/>
              <w:rPr>
                <w:i/>
                <w:sz w:val="14"/>
              </w:rPr>
            </w:pPr>
            <w:r>
              <w:rPr>
                <w:i/>
                <w:sz w:val="14"/>
              </w:rPr>
              <w:t>кр</w:t>
            </w:r>
            <w:r>
              <w:rPr>
                <w:i/>
                <w:sz w:val="14"/>
              </w:rPr>
              <w:t>е</w:t>
            </w:r>
            <w:r>
              <w:rPr>
                <w:i/>
                <w:sz w:val="14"/>
              </w:rPr>
              <w:t>дит</w:t>
            </w:r>
          </w:p>
        </w:tc>
        <w:tc>
          <w:tcPr>
            <w:tcW w:w="1080" w:type="dxa"/>
            <w:tcBorders>
              <w:top w:val="single" w:sz="4" w:space="0" w:color="auto"/>
              <w:bottom w:val="single" w:sz="12" w:space="0" w:color="auto"/>
            </w:tcBorders>
            <w:vAlign w:val="center"/>
          </w:tcPr>
          <w:p w:rsidR="00000000" w:rsidRDefault="00000000">
            <w:pPr>
              <w:spacing w:line="240" w:lineRule="auto"/>
              <w:ind w:right="90"/>
              <w:jc w:val="right"/>
              <w:rPr>
                <w:i/>
                <w:sz w:val="14"/>
              </w:rPr>
            </w:pPr>
            <w:r>
              <w:rPr>
                <w:i/>
                <w:sz w:val="14"/>
              </w:rPr>
              <w:t>Ежемеся</w:t>
            </w:r>
            <w:r>
              <w:rPr>
                <w:i/>
                <w:sz w:val="14"/>
              </w:rPr>
              <w:t>ч</w:t>
            </w:r>
            <w:r>
              <w:rPr>
                <w:i/>
                <w:sz w:val="14"/>
              </w:rPr>
              <w:t>ная</w:t>
            </w:r>
          </w:p>
          <w:p w:rsidR="00000000" w:rsidRDefault="00000000">
            <w:pPr>
              <w:spacing w:line="240" w:lineRule="auto"/>
              <w:ind w:right="90"/>
              <w:jc w:val="right"/>
              <w:rPr>
                <w:i/>
                <w:sz w:val="14"/>
              </w:rPr>
            </w:pPr>
            <w:r>
              <w:rPr>
                <w:i/>
                <w:sz w:val="14"/>
              </w:rPr>
              <w:t>процентная ставка</w:t>
            </w:r>
          </w:p>
        </w:tc>
        <w:tc>
          <w:tcPr>
            <w:tcW w:w="1170" w:type="dxa"/>
            <w:tcBorders>
              <w:top w:val="single" w:sz="4" w:space="0" w:color="auto"/>
              <w:bottom w:val="single" w:sz="12" w:space="0" w:color="auto"/>
            </w:tcBorders>
            <w:vAlign w:val="center"/>
          </w:tcPr>
          <w:p w:rsidR="00000000" w:rsidRDefault="00000000">
            <w:pPr>
              <w:spacing w:line="240" w:lineRule="auto"/>
              <w:ind w:right="90"/>
              <w:jc w:val="right"/>
              <w:rPr>
                <w:i/>
                <w:sz w:val="14"/>
              </w:rPr>
            </w:pPr>
            <w:r>
              <w:rPr>
                <w:i/>
                <w:sz w:val="14"/>
              </w:rPr>
              <w:t>Срок кредита (в месяцах)</w:t>
            </w:r>
          </w:p>
        </w:tc>
        <w:tc>
          <w:tcPr>
            <w:tcW w:w="1620" w:type="dxa"/>
            <w:tcBorders>
              <w:top w:val="single" w:sz="4" w:space="0" w:color="auto"/>
              <w:bottom w:val="single" w:sz="12" w:space="0" w:color="auto"/>
            </w:tcBorders>
            <w:vAlign w:val="center"/>
          </w:tcPr>
          <w:p w:rsidR="00000000" w:rsidRDefault="00000000">
            <w:pPr>
              <w:spacing w:line="240" w:lineRule="auto"/>
              <w:ind w:right="90"/>
              <w:jc w:val="right"/>
              <w:rPr>
                <w:i/>
                <w:sz w:val="14"/>
              </w:rPr>
            </w:pPr>
            <w:r>
              <w:rPr>
                <w:i/>
                <w:sz w:val="14"/>
              </w:rPr>
              <w:t>Число получателей кредитов</w:t>
            </w:r>
          </w:p>
        </w:tc>
        <w:tc>
          <w:tcPr>
            <w:tcW w:w="1530" w:type="dxa"/>
            <w:tcBorders>
              <w:top w:val="single" w:sz="4" w:space="0" w:color="auto"/>
              <w:bottom w:val="single" w:sz="12" w:space="0" w:color="auto"/>
            </w:tcBorders>
            <w:vAlign w:val="center"/>
          </w:tcPr>
          <w:p w:rsidR="00000000" w:rsidRDefault="00000000">
            <w:pPr>
              <w:spacing w:line="240" w:lineRule="auto"/>
              <w:ind w:right="90"/>
              <w:jc w:val="right"/>
              <w:rPr>
                <w:i/>
                <w:sz w:val="14"/>
              </w:rPr>
            </w:pPr>
            <w:r>
              <w:rPr>
                <w:i/>
                <w:sz w:val="14"/>
              </w:rPr>
              <w:t>Процент погашения</w:t>
            </w:r>
          </w:p>
        </w:tc>
      </w:tr>
      <w:tr w:rsidR="00000000">
        <w:tblPrEx>
          <w:tblCellMar>
            <w:top w:w="0" w:type="dxa"/>
            <w:left w:w="0" w:type="dxa"/>
            <w:bottom w:w="0" w:type="dxa"/>
            <w:right w:w="0" w:type="dxa"/>
          </w:tblCellMar>
        </w:tblPrEx>
        <w:trPr>
          <w:cantSplit/>
          <w:trHeight w:val="200"/>
        </w:trPr>
        <w:tc>
          <w:tcPr>
            <w:tcW w:w="270" w:type="dxa"/>
            <w:vAlign w:val="bottom"/>
          </w:tcPr>
          <w:p w:rsidR="00000000" w:rsidRDefault="00000000">
            <w:pPr>
              <w:spacing w:after="120" w:line="210" w:lineRule="exact"/>
              <w:rPr>
                <w:sz w:val="17"/>
              </w:rPr>
            </w:pPr>
            <w:r>
              <w:rPr>
                <w:sz w:val="17"/>
              </w:rPr>
              <w:t>1</w:t>
            </w:r>
          </w:p>
        </w:tc>
        <w:tc>
          <w:tcPr>
            <w:tcW w:w="1710" w:type="dxa"/>
            <w:vAlign w:val="bottom"/>
          </w:tcPr>
          <w:p w:rsidR="00000000" w:rsidRDefault="00000000">
            <w:pPr>
              <w:spacing w:after="120" w:line="210" w:lineRule="exact"/>
              <w:jc w:val="right"/>
              <w:rPr>
                <w:sz w:val="17"/>
              </w:rPr>
            </w:pPr>
            <w:r>
              <w:rPr>
                <w:sz w:val="17"/>
              </w:rPr>
              <w:t>50 долл. США</w:t>
            </w:r>
          </w:p>
        </w:tc>
        <w:tc>
          <w:tcPr>
            <w:tcW w:w="1080" w:type="dxa"/>
            <w:vAlign w:val="bottom"/>
          </w:tcPr>
          <w:p w:rsidR="00000000" w:rsidRDefault="00000000">
            <w:pPr>
              <w:spacing w:after="120" w:line="210" w:lineRule="exact"/>
              <w:jc w:val="right"/>
              <w:rPr>
                <w:sz w:val="17"/>
              </w:rPr>
            </w:pPr>
            <w:r>
              <w:rPr>
                <w:sz w:val="17"/>
              </w:rPr>
              <w:t xml:space="preserve">5% </w:t>
            </w:r>
          </w:p>
        </w:tc>
        <w:tc>
          <w:tcPr>
            <w:tcW w:w="1170" w:type="dxa"/>
            <w:vAlign w:val="bottom"/>
          </w:tcPr>
          <w:p w:rsidR="00000000" w:rsidRDefault="00000000">
            <w:pPr>
              <w:spacing w:after="120" w:line="210" w:lineRule="exact"/>
              <w:jc w:val="right"/>
              <w:rPr>
                <w:sz w:val="17"/>
              </w:rPr>
            </w:pPr>
            <w:r>
              <w:rPr>
                <w:sz w:val="17"/>
              </w:rPr>
              <w:t xml:space="preserve">3 </w:t>
            </w:r>
          </w:p>
        </w:tc>
        <w:tc>
          <w:tcPr>
            <w:tcW w:w="1620" w:type="dxa"/>
            <w:vAlign w:val="bottom"/>
          </w:tcPr>
          <w:p w:rsidR="00000000" w:rsidRDefault="00000000">
            <w:pPr>
              <w:spacing w:after="120" w:line="210" w:lineRule="exact"/>
              <w:jc w:val="right"/>
              <w:rPr>
                <w:sz w:val="17"/>
              </w:rPr>
            </w:pPr>
            <w:r>
              <w:rPr>
                <w:sz w:val="17"/>
              </w:rPr>
              <w:t>166 женщин</w:t>
            </w:r>
          </w:p>
        </w:tc>
        <w:tc>
          <w:tcPr>
            <w:tcW w:w="1530" w:type="dxa"/>
            <w:vAlign w:val="bottom"/>
          </w:tcPr>
          <w:p w:rsidR="00000000" w:rsidRDefault="00000000">
            <w:pPr>
              <w:spacing w:after="120" w:line="210" w:lineRule="exact"/>
              <w:jc w:val="right"/>
              <w:rPr>
                <w:sz w:val="17"/>
              </w:rPr>
            </w:pPr>
            <w:r>
              <w:rPr>
                <w:sz w:val="17"/>
              </w:rPr>
              <w:t>100%</w:t>
            </w:r>
          </w:p>
        </w:tc>
      </w:tr>
      <w:tr w:rsidR="00000000">
        <w:tblPrEx>
          <w:tblCellMar>
            <w:top w:w="0" w:type="dxa"/>
            <w:left w:w="0" w:type="dxa"/>
            <w:bottom w:w="0" w:type="dxa"/>
            <w:right w:w="0" w:type="dxa"/>
          </w:tblCellMar>
        </w:tblPrEx>
        <w:trPr>
          <w:cantSplit/>
          <w:trHeight w:val="200"/>
        </w:trPr>
        <w:tc>
          <w:tcPr>
            <w:tcW w:w="270" w:type="dxa"/>
            <w:vAlign w:val="bottom"/>
          </w:tcPr>
          <w:p w:rsidR="00000000" w:rsidRDefault="00000000">
            <w:pPr>
              <w:spacing w:after="120" w:line="210" w:lineRule="exact"/>
              <w:rPr>
                <w:sz w:val="17"/>
              </w:rPr>
            </w:pPr>
            <w:r>
              <w:rPr>
                <w:sz w:val="17"/>
              </w:rPr>
              <w:t>2</w:t>
            </w:r>
          </w:p>
        </w:tc>
        <w:tc>
          <w:tcPr>
            <w:tcW w:w="1710" w:type="dxa"/>
            <w:vAlign w:val="bottom"/>
          </w:tcPr>
          <w:p w:rsidR="00000000" w:rsidRDefault="00000000">
            <w:pPr>
              <w:spacing w:after="120" w:line="210" w:lineRule="exact"/>
              <w:jc w:val="right"/>
              <w:rPr>
                <w:sz w:val="17"/>
              </w:rPr>
            </w:pPr>
            <w:r>
              <w:rPr>
                <w:sz w:val="17"/>
              </w:rPr>
              <w:t>50 долл. США</w:t>
            </w:r>
          </w:p>
        </w:tc>
        <w:tc>
          <w:tcPr>
            <w:tcW w:w="1080" w:type="dxa"/>
            <w:vAlign w:val="bottom"/>
          </w:tcPr>
          <w:p w:rsidR="00000000" w:rsidRDefault="00000000">
            <w:pPr>
              <w:spacing w:after="120" w:line="210" w:lineRule="exact"/>
              <w:jc w:val="right"/>
              <w:rPr>
                <w:sz w:val="17"/>
              </w:rPr>
            </w:pPr>
            <w:r>
              <w:rPr>
                <w:sz w:val="17"/>
              </w:rPr>
              <w:t>3%</w:t>
            </w:r>
          </w:p>
        </w:tc>
        <w:tc>
          <w:tcPr>
            <w:tcW w:w="1170" w:type="dxa"/>
            <w:vAlign w:val="bottom"/>
          </w:tcPr>
          <w:p w:rsidR="00000000" w:rsidRDefault="00000000">
            <w:pPr>
              <w:spacing w:after="120" w:line="210" w:lineRule="exact"/>
              <w:jc w:val="right"/>
              <w:rPr>
                <w:sz w:val="17"/>
              </w:rPr>
            </w:pPr>
            <w:r>
              <w:rPr>
                <w:sz w:val="17"/>
              </w:rPr>
              <w:t xml:space="preserve">3 </w:t>
            </w:r>
          </w:p>
        </w:tc>
        <w:tc>
          <w:tcPr>
            <w:tcW w:w="1620" w:type="dxa"/>
            <w:vAlign w:val="bottom"/>
          </w:tcPr>
          <w:p w:rsidR="00000000" w:rsidRDefault="00000000">
            <w:pPr>
              <w:spacing w:after="120" w:line="210" w:lineRule="exact"/>
              <w:jc w:val="right"/>
              <w:rPr>
                <w:sz w:val="17"/>
              </w:rPr>
            </w:pPr>
            <w:r>
              <w:rPr>
                <w:sz w:val="17"/>
              </w:rPr>
              <w:t>40 женщин</w:t>
            </w:r>
          </w:p>
        </w:tc>
        <w:tc>
          <w:tcPr>
            <w:tcW w:w="1530" w:type="dxa"/>
            <w:vAlign w:val="bottom"/>
          </w:tcPr>
          <w:p w:rsidR="00000000" w:rsidRDefault="00000000">
            <w:pPr>
              <w:spacing w:after="120" w:line="210" w:lineRule="exact"/>
              <w:jc w:val="right"/>
              <w:rPr>
                <w:sz w:val="17"/>
              </w:rPr>
            </w:pPr>
            <w:r>
              <w:rPr>
                <w:sz w:val="17"/>
              </w:rPr>
              <w:t>100%</w:t>
            </w:r>
          </w:p>
        </w:tc>
      </w:tr>
      <w:tr w:rsidR="00000000">
        <w:tblPrEx>
          <w:tblCellMar>
            <w:top w:w="0" w:type="dxa"/>
            <w:left w:w="0" w:type="dxa"/>
            <w:bottom w:w="0" w:type="dxa"/>
            <w:right w:w="0" w:type="dxa"/>
          </w:tblCellMar>
        </w:tblPrEx>
        <w:trPr>
          <w:cantSplit/>
          <w:trHeight w:val="200"/>
        </w:trPr>
        <w:tc>
          <w:tcPr>
            <w:tcW w:w="270" w:type="dxa"/>
          </w:tcPr>
          <w:p w:rsidR="00000000" w:rsidRDefault="00000000">
            <w:pPr>
              <w:spacing w:after="120" w:line="210" w:lineRule="exact"/>
              <w:rPr>
                <w:sz w:val="17"/>
              </w:rPr>
            </w:pPr>
            <w:r>
              <w:rPr>
                <w:sz w:val="17"/>
              </w:rPr>
              <w:t>3</w:t>
            </w:r>
          </w:p>
        </w:tc>
        <w:tc>
          <w:tcPr>
            <w:tcW w:w="1710" w:type="dxa"/>
            <w:vAlign w:val="bottom"/>
          </w:tcPr>
          <w:p w:rsidR="00000000" w:rsidRDefault="00000000">
            <w:pPr>
              <w:spacing w:after="120" w:line="210" w:lineRule="exact"/>
              <w:jc w:val="right"/>
              <w:rPr>
                <w:sz w:val="17"/>
              </w:rPr>
            </w:pPr>
            <w:r>
              <w:rPr>
                <w:sz w:val="17"/>
              </w:rPr>
              <w:t>Семена риса и вв</w:t>
            </w:r>
            <w:r>
              <w:rPr>
                <w:sz w:val="17"/>
              </w:rPr>
              <w:t>о</w:t>
            </w:r>
            <w:r>
              <w:rPr>
                <w:sz w:val="17"/>
              </w:rPr>
              <w:t>димые с/х р</w:t>
            </w:r>
            <w:r>
              <w:rPr>
                <w:sz w:val="17"/>
              </w:rPr>
              <w:t>е</w:t>
            </w:r>
            <w:r>
              <w:rPr>
                <w:sz w:val="17"/>
              </w:rPr>
              <w:t>сурсы</w:t>
            </w:r>
          </w:p>
        </w:tc>
        <w:tc>
          <w:tcPr>
            <w:tcW w:w="1080" w:type="dxa"/>
            <w:vAlign w:val="bottom"/>
          </w:tcPr>
          <w:p w:rsidR="00000000" w:rsidRDefault="00000000">
            <w:pPr>
              <w:spacing w:after="120" w:line="210" w:lineRule="exact"/>
              <w:jc w:val="right"/>
              <w:rPr>
                <w:sz w:val="17"/>
              </w:rPr>
            </w:pPr>
            <w:r>
              <w:rPr>
                <w:sz w:val="17"/>
              </w:rPr>
              <w:t>50%</w:t>
            </w:r>
          </w:p>
        </w:tc>
        <w:tc>
          <w:tcPr>
            <w:tcW w:w="1170" w:type="dxa"/>
            <w:vAlign w:val="bottom"/>
          </w:tcPr>
          <w:p w:rsidR="00000000" w:rsidRDefault="00000000">
            <w:pPr>
              <w:spacing w:after="120" w:line="210" w:lineRule="exact"/>
              <w:jc w:val="right"/>
              <w:rPr>
                <w:sz w:val="17"/>
              </w:rPr>
            </w:pPr>
            <w:r>
              <w:rPr>
                <w:sz w:val="17"/>
              </w:rPr>
              <w:t xml:space="preserve">6 </w:t>
            </w:r>
          </w:p>
        </w:tc>
        <w:tc>
          <w:tcPr>
            <w:tcW w:w="1620" w:type="dxa"/>
            <w:vAlign w:val="bottom"/>
          </w:tcPr>
          <w:p w:rsidR="00000000" w:rsidRDefault="00000000">
            <w:pPr>
              <w:spacing w:after="120" w:line="210" w:lineRule="exact"/>
              <w:jc w:val="right"/>
              <w:rPr>
                <w:sz w:val="17"/>
              </w:rPr>
            </w:pPr>
            <w:r>
              <w:rPr>
                <w:sz w:val="17"/>
              </w:rPr>
              <w:t>323 женщины</w:t>
            </w:r>
          </w:p>
        </w:tc>
        <w:tc>
          <w:tcPr>
            <w:tcW w:w="1530" w:type="dxa"/>
            <w:vAlign w:val="bottom"/>
          </w:tcPr>
          <w:p w:rsidR="00000000" w:rsidRDefault="00000000">
            <w:pPr>
              <w:spacing w:after="120" w:line="210" w:lineRule="exact"/>
              <w:jc w:val="right"/>
              <w:rPr>
                <w:sz w:val="17"/>
              </w:rPr>
            </w:pPr>
            <w:r>
              <w:rPr>
                <w:sz w:val="17"/>
              </w:rPr>
              <w:t>20% ежемесячных сб</w:t>
            </w:r>
            <w:r>
              <w:rPr>
                <w:sz w:val="17"/>
              </w:rPr>
              <w:t>е</w:t>
            </w:r>
            <w:r>
              <w:rPr>
                <w:sz w:val="17"/>
              </w:rPr>
              <w:t>режений</w:t>
            </w:r>
          </w:p>
        </w:tc>
      </w:tr>
      <w:tr w:rsidR="00000000">
        <w:tblPrEx>
          <w:tblCellMar>
            <w:top w:w="0" w:type="dxa"/>
            <w:left w:w="0" w:type="dxa"/>
            <w:bottom w:w="0" w:type="dxa"/>
            <w:right w:w="0" w:type="dxa"/>
          </w:tblCellMar>
        </w:tblPrEx>
        <w:trPr>
          <w:cantSplit/>
          <w:trHeight w:val="200"/>
        </w:trPr>
        <w:tc>
          <w:tcPr>
            <w:tcW w:w="270" w:type="dxa"/>
            <w:vAlign w:val="bottom"/>
          </w:tcPr>
          <w:p w:rsidR="00000000" w:rsidRDefault="00000000">
            <w:pPr>
              <w:spacing w:after="120" w:line="210" w:lineRule="exact"/>
              <w:rPr>
                <w:sz w:val="17"/>
              </w:rPr>
            </w:pPr>
            <w:r>
              <w:rPr>
                <w:sz w:val="17"/>
              </w:rPr>
              <w:t>4</w:t>
            </w:r>
          </w:p>
        </w:tc>
        <w:tc>
          <w:tcPr>
            <w:tcW w:w="1710" w:type="dxa"/>
            <w:vAlign w:val="bottom"/>
          </w:tcPr>
          <w:p w:rsidR="00000000" w:rsidRDefault="00000000">
            <w:pPr>
              <w:spacing w:after="120" w:line="210" w:lineRule="exact"/>
              <w:jc w:val="right"/>
              <w:rPr>
                <w:sz w:val="17"/>
              </w:rPr>
            </w:pPr>
            <w:r>
              <w:rPr>
                <w:sz w:val="17"/>
              </w:rPr>
              <w:t>100 долл. США</w:t>
            </w:r>
          </w:p>
        </w:tc>
        <w:tc>
          <w:tcPr>
            <w:tcW w:w="1080" w:type="dxa"/>
            <w:vAlign w:val="bottom"/>
          </w:tcPr>
          <w:p w:rsidR="00000000" w:rsidRDefault="00000000">
            <w:pPr>
              <w:spacing w:after="120" w:line="210" w:lineRule="exact"/>
              <w:jc w:val="right"/>
              <w:rPr>
                <w:sz w:val="17"/>
              </w:rPr>
            </w:pPr>
            <w:r>
              <w:rPr>
                <w:sz w:val="17"/>
              </w:rPr>
              <w:t>2,5%</w:t>
            </w:r>
          </w:p>
        </w:tc>
        <w:tc>
          <w:tcPr>
            <w:tcW w:w="1170" w:type="dxa"/>
            <w:vAlign w:val="bottom"/>
          </w:tcPr>
          <w:p w:rsidR="00000000" w:rsidRDefault="00000000">
            <w:pPr>
              <w:spacing w:after="120" w:line="210" w:lineRule="exact"/>
              <w:jc w:val="right"/>
              <w:rPr>
                <w:sz w:val="17"/>
              </w:rPr>
            </w:pPr>
            <w:r>
              <w:rPr>
                <w:sz w:val="17"/>
              </w:rPr>
              <w:t>4-6</w:t>
            </w:r>
          </w:p>
        </w:tc>
        <w:tc>
          <w:tcPr>
            <w:tcW w:w="1620" w:type="dxa"/>
            <w:vAlign w:val="bottom"/>
          </w:tcPr>
          <w:p w:rsidR="00000000" w:rsidRDefault="00000000">
            <w:pPr>
              <w:spacing w:after="120" w:line="210" w:lineRule="exact"/>
              <w:jc w:val="right"/>
              <w:rPr>
                <w:sz w:val="17"/>
              </w:rPr>
            </w:pPr>
            <w:r>
              <w:rPr>
                <w:sz w:val="17"/>
              </w:rPr>
              <w:t>10 женщин</w:t>
            </w:r>
          </w:p>
        </w:tc>
        <w:tc>
          <w:tcPr>
            <w:tcW w:w="1530" w:type="dxa"/>
            <w:vAlign w:val="bottom"/>
          </w:tcPr>
          <w:p w:rsidR="00000000" w:rsidRDefault="00000000">
            <w:pPr>
              <w:spacing w:after="120" w:line="210" w:lineRule="exact"/>
              <w:jc w:val="right"/>
              <w:rPr>
                <w:sz w:val="17"/>
              </w:rPr>
            </w:pPr>
            <w:r>
              <w:rPr>
                <w:sz w:val="17"/>
              </w:rPr>
              <w:t>Предоставленный кредит + 10%</w:t>
            </w:r>
          </w:p>
        </w:tc>
      </w:tr>
      <w:tr w:rsidR="00000000">
        <w:tblPrEx>
          <w:tblCellMar>
            <w:top w:w="0" w:type="dxa"/>
            <w:left w:w="0" w:type="dxa"/>
            <w:bottom w:w="0" w:type="dxa"/>
            <w:right w:w="0" w:type="dxa"/>
          </w:tblCellMar>
        </w:tblPrEx>
        <w:trPr>
          <w:cantSplit/>
          <w:trHeight w:val="200"/>
        </w:trPr>
        <w:tc>
          <w:tcPr>
            <w:tcW w:w="270" w:type="dxa"/>
            <w:vAlign w:val="bottom"/>
          </w:tcPr>
          <w:p w:rsidR="00000000" w:rsidRDefault="00000000">
            <w:pPr>
              <w:spacing w:after="120" w:line="210" w:lineRule="exact"/>
              <w:rPr>
                <w:sz w:val="17"/>
              </w:rPr>
            </w:pPr>
            <w:r>
              <w:rPr>
                <w:sz w:val="17"/>
              </w:rPr>
              <w:t>5</w:t>
            </w:r>
          </w:p>
        </w:tc>
        <w:tc>
          <w:tcPr>
            <w:tcW w:w="1710" w:type="dxa"/>
            <w:vAlign w:val="bottom"/>
          </w:tcPr>
          <w:p w:rsidR="00000000" w:rsidRDefault="00000000">
            <w:pPr>
              <w:spacing w:after="120" w:line="210" w:lineRule="exact"/>
              <w:jc w:val="right"/>
              <w:rPr>
                <w:sz w:val="17"/>
              </w:rPr>
            </w:pPr>
            <w:r>
              <w:rPr>
                <w:sz w:val="17"/>
              </w:rPr>
              <w:t>50-100 долл. США</w:t>
            </w:r>
          </w:p>
        </w:tc>
        <w:tc>
          <w:tcPr>
            <w:tcW w:w="1080" w:type="dxa"/>
            <w:vAlign w:val="bottom"/>
          </w:tcPr>
          <w:p w:rsidR="00000000" w:rsidRDefault="00000000">
            <w:pPr>
              <w:spacing w:after="120" w:line="210" w:lineRule="exact"/>
              <w:jc w:val="right"/>
              <w:rPr>
                <w:sz w:val="17"/>
              </w:rPr>
            </w:pPr>
            <w:r>
              <w:rPr>
                <w:sz w:val="17"/>
              </w:rPr>
              <w:t>15%</w:t>
            </w:r>
          </w:p>
        </w:tc>
        <w:tc>
          <w:tcPr>
            <w:tcW w:w="1170" w:type="dxa"/>
            <w:vAlign w:val="bottom"/>
          </w:tcPr>
          <w:p w:rsidR="00000000" w:rsidRDefault="00000000">
            <w:pPr>
              <w:spacing w:after="120" w:line="210" w:lineRule="exact"/>
              <w:jc w:val="right"/>
              <w:rPr>
                <w:sz w:val="17"/>
              </w:rPr>
            </w:pPr>
            <w:r>
              <w:rPr>
                <w:sz w:val="17"/>
              </w:rPr>
              <w:t xml:space="preserve">1 </w:t>
            </w:r>
          </w:p>
        </w:tc>
        <w:tc>
          <w:tcPr>
            <w:tcW w:w="1620" w:type="dxa"/>
            <w:vAlign w:val="bottom"/>
          </w:tcPr>
          <w:p w:rsidR="00000000" w:rsidRDefault="00000000">
            <w:pPr>
              <w:spacing w:after="120" w:line="210" w:lineRule="exact"/>
              <w:jc w:val="right"/>
              <w:rPr>
                <w:sz w:val="17"/>
              </w:rPr>
            </w:pPr>
            <w:r>
              <w:rPr>
                <w:sz w:val="17"/>
              </w:rPr>
              <w:t>633 человека (544 женщины)</w:t>
            </w:r>
          </w:p>
        </w:tc>
        <w:tc>
          <w:tcPr>
            <w:tcW w:w="1530" w:type="dxa"/>
            <w:vAlign w:val="bottom"/>
          </w:tcPr>
          <w:p w:rsidR="00000000" w:rsidRDefault="00000000">
            <w:pPr>
              <w:spacing w:after="120" w:line="210" w:lineRule="exact"/>
              <w:jc w:val="right"/>
              <w:rPr>
                <w:sz w:val="17"/>
              </w:rPr>
            </w:pPr>
            <w:r>
              <w:rPr>
                <w:sz w:val="17"/>
              </w:rPr>
              <w:t>60-90%</w:t>
            </w:r>
          </w:p>
        </w:tc>
      </w:tr>
      <w:tr w:rsidR="00000000">
        <w:tblPrEx>
          <w:tblCellMar>
            <w:top w:w="0" w:type="dxa"/>
            <w:left w:w="0" w:type="dxa"/>
            <w:bottom w:w="0" w:type="dxa"/>
            <w:right w:w="0" w:type="dxa"/>
          </w:tblCellMar>
        </w:tblPrEx>
        <w:trPr>
          <w:cantSplit/>
          <w:trHeight w:val="200"/>
        </w:trPr>
        <w:tc>
          <w:tcPr>
            <w:tcW w:w="270" w:type="dxa"/>
            <w:vAlign w:val="bottom"/>
          </w:tcPr>
          <w:p w:rsidR="00000000" w:rsidRDefault="00000000">
            <w:pPr>
              <w:spacing w:after="120" w:line="210" w:lineRule="exact"/>
              <w:rPr>
                <w:sz w:val="17"/>
              </w:rPr>
            </w:pPr>
            <w:r>
              <w:rPr>
                <w:sz w:val="17"/>
              </w:rPr>
              <w:t>6</w:t>
            </w:r>
          </w:p>
        </w:tc>
        <w:tc>
          <w:tcPr>
            <w:tcW w:w="1710" w:type="dxa"/>
            <w:vAlign w:val="bottom"/>
          </w:tcPr>
          <w:p w:rsidR="00000000" w:rsidRDefault="00000000">
            <w:pPr>
              <w:spacing w:after="120" w:line="210" w:lineRule="exact"/>
              <w:jc w:val="right"/>
              <w:rPr>
                <w:sz w:val="17"/>
              </w:rPr>
            </w:pPr>
            <w:r>
              <w:rPr>
                <w:sz w:val="17"/>
              </w:rPr>
              <w:t>100 долл. США</w:t>
            </w:r>
          </w:p>
        </w:tc>
        <w:tc>
          <w:tcPr>
            <w:tcW w:w="1080" w:type="dxa"/>
            <w:vAlign w:val="bottom"/>
          </w:tcPr>
          <w:p w:rsidR="00000000" w:rsidRDefault="00000000">
            <w:pPr>
              <w:spacing w:after="120" w:line="210" w:lineRule="exact"/>
              <w:jc w:val="right"/>
              <w:rPr>
                <w:sz w:val="17"/>
              </w:rPr>
            </w:pPr>
            <w:r>
              <w:rPr>
                <w:sz w:val="17"/>
              </w:rPr>
              <w:t>5%</w:t>
            </w:r>
          </w:p>
        </w:tc>
        <w:tc>
          <w:tcPr>
            <w:tcW w:w="1170" w:type="dxa"/>
            <w:vAlign w:val="bottom"/>
          </w:tcPr>
          <w:p w:rsidR="00000000" w:rsidRDefault="00000000">
            <w:pPr>
              <w:spacing w:after="120" w:line="210" w:lineRule="exact"/>
              <w:jc w:val="right"/>
              <w:rPr>
                <w:sz w:val="17"/>
              </w:rPr>
            </w:pPr>
            <w:r>
              <w:rPr>
                <w:sz w:val="17"/>
              </w:rPr>
              <w:t>3-12</w:t>
            </w:r>
          </w:p>
        </w:tc>
        <w:tc>
          <w:tcPr>
            <w:tcW w:w="1620" w:type="dxa"/>
            <w:vAlign w:val="bottom"/>
          </w:tcPr>
          <w:p w:rsidR="00000000" w:rsidRDefault="00000000">
            <w:pPr>
              <w:spacing w:after="120" w:line="210" w:lineRule="exact"/>
              <w:jc w:val="right"/>
              <w:rPr>
                <w:sz w:val="17"/>
              </w:rPr>
            </w:pPr>
            <w:r>
              <w:rPr>
                <w:sz w:val="17"/>
              </w:rPr>
              <w:t>201 чел., в т.ч. 127 мужчин и 74 женщины</w:t>
            </w:r>
          </w:p>
        </w:tc>
        <w:tc>
          <w:tcPr>
            <w:tcW w:w="1530" w:type="dxa"/>
            <w:vAlign w:val="bottom"/>
          </w:tcPr>
          <w:p w:rsidR="00000000" w:rsidRDefault="00000000">
            <w:pPr>
              <w:spacing w:after="120" w:line="210" w:lineRule="exact"/>
              <w:jc w:val="right"/>
              <w:rPr>
                <w:sz w:val="17"/>
              </w:rPr>
            </w:pPr>
            <w:r>
              <w:rPr>
                <w:sz w:val="17"/>
              </w:rPr>
              <w:t>83%</w:t>
            </w:r>
          </w:p>
        </w:tc>
      </w:tr>
      <w:tr w:rsidR="00000000">
        <w:tblPrEx>
          <w:tblCellMar>
            <w:top w:w="0" w:type="dxa"/>
            <w:left w:w="0" w:type="dxa"/>
            <w:bottom w:w="0" w:type="dxa"/>
            <w:right w:w="0" w:type="dxa"/>
          </w:tblCellMar>
        </w:tblPrEx>
        <w:trPr>
          <w:cantSplit/>
          <w:trHeight w:val="200"/>
        </w:trPr>
        <w:tc>
          <w:tcPr>
            <w:tcW w:w="270" w:type="dxa"/>
            <w:vAlign w:val="bottom"/>
          </w:tcPr>
          <w:p w:rsidR="00000000" w:rsidRDefault="00000000">
            <w:pPr>
              <w:spacing w:after="120" w:line="210" w:lineRule="exact"/>
              <w:rPr>
                <w:sz w:val="17"/>
              </w:rPr>
            </w:pPr>
            <w:r>
              <w:rPr>
                <w:sz w:val="17"/>
              </w:rPr>
              <w:t>7</w:t>
            </w:r>
          </w:p>
        </w:tc>
        <w:tc>
          <w:tcPr>
            <w:tcW w:w="1710" w:type="dxa"/>
            <w:vAlign w:val="bottom"/>
          </w:tcPr>
          <w:p w:rsidR="00000000" w:rsidRDefault="00000000">
            <w:pPr>
              <w:spacing w:after="120" w:line="210" w:lineRule="exact"/>
              <w:jc w:val="right"/>
              <w:rPr>
                <w:sz w:val="17"/>
              </w:rPr>
            </w:pPr>
            <w:r>
              <w:rPr>
                <w:sz w:val="17"/>
              </w:rPr>
              <w:t>10-200 долл. США</w:t>
            </w:r>
          </w:p>
        </w:tc>
        <w:tc>
          <w:tcPr>
            <w:tcW w:w="1080" w:type="dxa"/>
            <w:vAlign w:val="bottom"/>
          </w:tcPr>
          <w:p w:rsidR="00000000" w:rsidRDefault="00000000">
            <w:pPr>
              <w:spacing w:after="120" w:line="210" w:lineRule="exact"/>
              <w:jc w:val="right"/>
              <w:rPr>
                <w:sz w:val="17"/>
              </w:rPr>
            </w:pPr>
            <w:r>
              <w:rPr>
                <w:sz w:val="17"/>
              </w:rPr>
              <w:t>5-25%</w:t>
            </w:r>
          </w:p>
        </w:tc>
        <w:tc>
          <w:tcPr>
            <w:tcW w:w="1170" w:type="dxa"/>
            <w:vAlign w:val="bottom"/>
          </w:tcPr>
          <w:p w:rsidR="00000000" w:rsidRDefault="00000000">
            <w:pPr>
              <w:spacing w:after="120" w:line="210" w:lineRule="exact"/>
              <w:jc w:val="right"/>
              <w:rPr>
                <w:sz w:val="17"/>
              </w:rPr>
            </w:pPr>
            <w:r>
              <w:rPr>
                <w:sz w:val="17"/>
              </w:rPr>
              <w:t>3-6</w:t>
            </w:r>
          </w:p>
        </w:tc>
        <w:tc>
          <w:tcPr>
            <w:tcW w:w="1620" w:type="dxa"/>
            <w:vAlign w:val="bottom"/>
          </w:tcPr>
          <w:p w:rsidR="00000000" w:rsidRDefault="00000000">
            <w:pPr>
              <w:spacing w:after="120" w:line="210" w:lineRule="exact"/>
              <w:jc w:val="right"/>
              <w:rPr>
                <w:sz w:val="17"/>
              </w:rPr>
            </w:pPr>
            <w:r>
              <w:rPr>
                <w:sz w:val="17"/>
              </w:rPr>
              <w:t>133 женщины и 27 мужчин</w:t>
            </w:r>
          </w:p>
        </w:tc>
        <w:tc>
          <w:tcPr>
            <w:tcW w:w="1530" w:type="dxa"/>
            <w:vAlign w:val="bottom"/>
          </w:tcPr>
          <w:p w:rsidR="00000000" w:rsidRDefault="00000000">
            <w:pPr>
              <w:spacing w:after="120" w:line="210" w:lineRule="exact"/>
              <w:jc w:val="right"/>
              <w:rPr>
                <w:sz w:val="17"/>
              </w:rPr>
            </w:pPr>
            <w:r>
              <w:rPr>
                <w:sz w:val="17"/>
              </w:rPr>
              <w:t>20%</w:t>
            </w:r>
          </w:p>
        </w:tc>
      </w:tr>
      <w:tr w:rsidR="00000000">
        <w:tblPrEx>
          <w:tblCellMar>
            <w:top w:w="0" w:type="dxa"/>
            <w:left w:w="0" w:type="dxa"/>
            <w:bottom w:w="0" w:type="dxa"/>
            <w:right w:w="0" w:type="dxa"/>
          </w:tblCellMar>
        </w:tblPrEx>
        <w:trPr>
          <w:cantSplit/>
          <w:trHeight w:val="200"/>
        </w:trPr>
        <w:tc>
          <w:tcPr>
            <w:tcW w:w="270" w:type="dxa"/>
            <w:vAlign w:val="bottom"/>
          </w:tcPr>
          <w:p w:rsidR="00000000" w:rsidRDefault="00000000">
            <w:pPr>
              <w:spacing w:after="120" w:line="210" w:lineRule="exact"/>
              <w:rPr>
                <w:sz w:val="17"/>
              </w:rPr>
            </w:pPr>
            <w:r>
              <w:rPr>
                <w:sz w:val="17"/>
              </w:rPr>
              <w:t>8</w:t>
            </w:r>
          </w:p>
        </w:tc>
        <w:tc>
          <w:tcPr>
            <w:tcW w:w="1710" w:type="dxa"/>
            <w:vAlign w:val="bottom"/>
          </w:tcPr>
          <w:p w:rsidR="00000000" w:rsidRDefault="00000000">
            <w:pPr>
              <w:spacing w:after="120" w:line="210" w:lineRule="exact"/>
              <w:jc w:val="right"/>
              <w:rPr>
                <w:sz w:val="17"/>
              </w:rPr>
            </w:pPr>
            <w:r>
              <w:rPr>
                <w:sz w:val="17"/>
              </w:rPr>
              <w:t>30-120 долл. США</w:t>
            </w:r>
          </w:p>
        </w:tc>
        <w:tc>
          <w:tcPr>
            <w:tcW w:w="1080" w:type="dxa"/>
            <w:vAlign w:val="bottom"/>
          </w:tcPr>
          <w:p w:rsidR="00000000" w:rsidRDefault="00000000">
            <w:pPr>
              <w:spacing w:after="120" w:line="210" w:lineRule="exact"/>
              <w:jc w:val="right"/>
              <w:rPr>
                <w:sz w:val="17"/>
              </w:rPr>
            </w:pPr>
            <w:r>
              <w:rPr>
                <w:sz w:val="17"/>
              </w:rPr>
              <w:t>10%</w:t>
            </w:r>
          </w:p>
        </w:tc>
        <w:tc>
          <w:tcPr>
            <w:tcW w:w="1170" w:type="dxa"/>
            <w:vAlign w:val="bottom"/>
          </w:tcPr>
          <w:p w:rsidR="00000000" w:rsidRDefault="00000000">
            <w:pPr>
              <w:spacing w:after="120" w:line="210" w:lineRule="exact"/>
              <w:jc w:val="right"/>
              <w:rPr>
                <w:sz w:val="17"/>
              </w:rPr>
            </w:pPr>
            <w:r>
              <w:rPr>
                <w:sz w:val="17"/>
              </w:rPr>
              <w:t>1-6</w:t>
            </w:r>
          </w:p>
        </w:tc>
        <w:tc>
          <w:tcPr>
            <w:tcW w:w="1620" w:type="dxa"/>
            <w:vAlign w:val="bottom"/>
          </w:tcPr>
          <w:p w:rsidR="00000000" w:rsidRDefault="00000000">
            <w:pPr>
              <w:spacing w:after="120" w:line="210" w:lineRule="exact"/>
              <w:jc w:val="right"/>
              <w:rPr>
                <w:sz w:val="17"/>
              </w:rPr>
            </w:pPr>
            <w:r>
              <w:rPr>
                <w:sz w:val="17"/>
              </w:rPr>
              <w:t>42 женщины</w:t>
            </w:r>
          </w:p>
        </w:tc>
        <w:tc>
          <w:tcPr>
            <w:tcW w:w="1530" w:type="dxa"/>
            <w:vAlign w:val="bottom"/>
          </w:tcPr>
          <w:p w:rsidR="00000000" w:rsidRDefault="00000000">
            <w:pPr>
              <w:spacing w:after="120" w:line="210" w:lineRule="exact"/>
              <w:jc w:val="right"/>
              <w:rPr>
                <w:sz w:val="17"/>
              </w:rPr>
            </w:pPr>
            <w:r>
              <w:rPr>
                <w:sz w:val="17"/>
              </w:rPr>
              <w:t>85%</w:t>
            </w:r>
          </w:p>
        </w:tc>
      </w:tr>
      <w:tr w:rsidR="00000000">
        <w:tblPrEx>
          <w:tblCellMar>
            <w:top w:w="0" w:type="dxa"/>
            <w:left w:w="0" w:type="dxa"/>
            <w:bottom w:w="0" w:type="dxa"/>
            <w:right w:w="0" w:type="dxa"/>
          </w:tblCellMar>
        </w:tblPrEx>
        <w:trPr>
          <w:cantSplit/>
          <w:trHeight w:val="200"/>
        </w:trPr>
        <w:tc>
          <w:tcPr>
            <w:tcW w:w="270" w:type="dxa"/>
            <w:vAlign w:val="bottom"/>
          </w:tcPr>
          <w:p w:rsidR="00000000" w:rsidRDefault="00000000">
            <w:pPr>
              <w:spacing w:after="120" w:line="210" w:lineRule="exact"/>
              <w:rPr>
                <w:sz w:val="17"/>
              </w:rPr>
            </w:pPr>
            <w:r>
              <w:rPr>
                <w:sz w:val="17"/>
              </w:rPr>
              <w:t>9</w:t>
            </w:r>
          </w:p>
        </w:tc>
        <w:tc>
          <w:tcPr>
            <w:tcW w:w="1710" w:type="dxa"/>
            <w:vAlign w:val="bottom"/>
          </w:tcPr>
          <w:p w:rsidR="00000000" w:rsidRDefault="00000000">
            <w:pPr>
              <w:spacing w:after="120" w:line="210" w:lineRule="exact"/>
              <w:jc w:val="right"/>
              <w:rPr>
                <w:sz w:val="17"/>
              </w:rPr>
            </w:pPr>
            <w:r>
              <w:rPr>
                <w:sz w:val="17"/>
              </w:rPr>
              <w:t>30-50 долл. США</w:t>
            </w:r>
          </w:p>
        </w:tc>
        <w:tc>
          <w:tcPr>
            <w:tcW w:w="1080" w:type="dxa"/>
            <w:vAlign w:val="bottom"/>
          </w:tcPr>
          <w:p w:rsidR="00000000" w:rsidRDefault="00000000">
            <w:pPr>
              <w:spacing w:after="120" w:line="210" w:lineRule="exact"/>
              <w:jc w:val="right"/>
              <w:rPr>
                <w:sz w:val="17"/>
              </w:rPr>
            </w:pPr>
            <w:r>
              <w:rPr>
                <w:sz w:val="17"/>
              </w:rPr>
              <w:t>5%</w:t>
            </w:r>
          </w:p>
        </w:tc>
        <w:tc>
          <w:tcPr>
            <w:tcW w:w="1170" w:type="dxa"/>
            <w:vAlign w:val="bottom"/>
          </w:tcPr>
          <w:p w:rsidR="00000000" w:rsidRDefault="00000000">
            <w:pPr>
              <w:spacing w:after="120" w:line="210" w:lineRule="exact"/>
              <w:jc w:val="right"/>
              <w:rPr>
                <w:sz w:val="17"/>
              </w:rPr>
            </w:pPr>
            <w:r>
              <w:rPr>
                <w:sz w:val="17"/>
              </w:rPr>
              <w:t>3-12</w:t>
            </w:r>
          </w:p>
        </w:tc>
        <w:tc>
          <w:tcPr>
            <w:tcW w:w="1620" w:type="dxa"/>
            <w:vAlign w:val="bottom"/>
          </w:tcPr>
          <w:p w:rsidR="00000000" w:rsidRDefault="00000000">
            <w:pPr>
              <w:spacing w:after="120" w:line="210" w:lineRule="exact"/>
              <w:jc w:val="right"/>
              <w:rPr>
                <w:sz w:val="17"/>
              </w:rPr>
            </w:pPr>
            <w:r>
              <w:rPr>
                <w:sz w:val="17"/>
              </w:rPr>
              <w:t>76 женщин и 4 мужчины</w:t>
            </w:r>
          </w:p>
        </w:tc>
        <w:tc>
          <w:tcPr>
            <w:tcW w:w="1530" w:type="dxa"/>
            <w:vAlign w:val="bottom"/>
          </w:tcPr>
          <w:p w:rsidR="00000000" w:rsidRDefault="00000000">
            <w:pPr>
              <w:spacing w:after="120" w:line="210" w:lineRule="exact"/>
              <w:jc w:val="right"/>
              <w:rPr>
                <w:sz w:val="17"/>
              </w:rPr>
            </w:pPr>
            <w:r>
              <w:rPr>
                <w:sz w:val="17"/>
              </w:rPr>
              <w:t>98%</w:t>
            </w:r>
          </w:p>
        </w:tc>
      </w:tr>
      <w:tr w:rsidR="00000000">
        <w:tblPrEx>
          <w:tblCellMar>
            <w:top w:w="0" w:type="dxa"/>
            <w:left w:w="0" w:type="dxa"/>
            <w:bottom w:w="0" w:type="dxa"/>
            <w:right w:w="0" w:type="dxa"/>
          </w:tblCellMar>
        </w:tblPrEx>
        <w:trPr>
          <w:cantSplit/>
          <w:trHeight w:val="200"/>
        </w:trPr>
        <w:tc>
          <w:tcPr>
            <w:tcW w:w="270" w:type="dxa"/>
            <w:tcBorders>
              <w:bottom w:val="single" w:sz="12" w:space="0" w:color="auto"/>
            </w:tcBorders>
            <w:vAlign w:val="bottom"/>
          </w:tcPr>
          <w:p w:rsidR="00000000" w:rsidRDefault="00000000">
            <w:pPr>
              <w:spacing w:after="120" w:line="210" w:lineRule="exact"/>
              <w:rPr>
                <w:sz w:val="17"/>
              </w:rPr>
            </w:pPr>
            <w:r>
              <w:rPr>
                <w:sz w:val="17"/>
              </w:rPr>
              <w:t>10</w:t>
            </w:r>
          </w:p>
        </w:tc>
        <w:tc>
          <w:tcPr>
            <w:tcW w:w="1710" w:type="dxa"/>
            <w:tcBorders>
              <w:bottom w:val="single" w:sz="12" w:space="0" w:color="auto"/>
            </w:tcBorders>
            <w:vAlign w:val="bottom"/>
          </w:tcPr>
          <w:p w:rsidR="00000000" w:rsidRDefault="00000000">
            <w:pPr>
              <w:spacing w:after="120" w:line="210" w:lineRule="exact"/>
              <w:jc w:val="right"/>
              <w:rPr>
                <w:sz w:val="17"/>
              </w:rPr>
            </w:pPr>
            <w:r>
              <w:rPr>
                <w:sz w:val="17"/>
              </w:rPr>
              <w:t>50-100 долл. США</w:t>
            </w:r>
          </w:p>
        </w:tc>
        <w:tc>
          <w:tcPr>
            <w:tcW w:w="1080" w:type="dxa"/>
            <w:tcBorders>
              <w:bottom w:val="single" w:sz="12" w:space="0" w:color="auto"/>
            </w:tcBorders>
            <w:vAlign w:val="bottom"/>
          </w:tcPr>
          <w:p w:rsidR="00000000" w:rsidRDefault="00000000">
            <w:pPr>
              <w:spacing w:after="120" w:line="210" w:lineRule="exact"/>
              <w:jc w:val="right"/>
              <w:rPr>
                <w:sz w:val="17"/>
              </w:rPr>
            </w:pPr>
            <w:r>
              <w:rPr>
                <w:sz w:val="17"/>
              </w:rPr>
              <w:t>5%</w:t>
            </w:r>
          </w:p>
        </w:tc>
        <w:tc>
          <w:tcPr>
            <w:tcW w:w="1170" w:type="dxa"/>
            <w:tcBorders>
              <w:bottom w:val="single" w:sz="12" w:space="0" w:color="auto"/>
            </w:tcBorders>
            <w:vAlign w:val="bottom"/>
          </w:tcPr>
          <w:p w:rsidR="00000000" w:rsidRDefault="00000000">
            <w:pPr>
              <w:spacing w:after="120" w:line="210" w:lineRule="exact"/>
              <w:jc w:val="right"/>
              <w:rPr>
                <w:sz w:val="17"/>
              </w:rPr>
            </w:pPr>
            <w:r>
              <w:rPr>
                <w:sz w:val="17"/>
              </w:rPr>
              <w:t>6</w:t>
            </w:r>
          </w:p>
        </w:tc>
        <w:tc>
          <w:tcPr>
            <w:tcW w:w="1620" w:type="dxa"/>
            <w:tcBorders>
              <w:bottom w:val="single" w:sz="12" w:space="0" w:color="auto"/>
            </w:tcBorders>
            <w:vAlign w:val="bottom"/>
          </w:tcPr>
          <w:p w:rsidR="00000000" w:rsidRDefault="00000000">
            <w:pPr>
              <w:spacing w:after="120" w:line="210" w:lineRule="exact"/>
              <w:jc w:val="right"/>
              <w:rPr>
                <w:sz w:val="17"/>
              </w:rPr>
            </w:pPr>
            <w:r>
              <w:rPr>
                <w:sz w:val="17"/>
              </w:rPr>
              <w:t xml:space="preserve">19 женщин </w:t>
            </w:r>
          </w:p>
        </w:tc>
        <w:tc>
          <w:tcPr>
            <w:tcW w:w="1530" w:type="dxa"/>
            <w:tcBorders>
              <w:bottom w:val="single" w:sz="12" w:space="0" w:color="auto"/>
            </w:tcBorders>
            <w:vAlign w:val="bottom"/>
          </w:tcPr>
          <w:p w:rsidR="00000000" w:rsidRDefault="00000000">
            <w:pPr>
              <w:spacing w:after="120" w:line="210" w:lineRule="exact"/>
              <w:jc w:val="right"/>
              <w:rPr>
                <w:sz w:val="17"/>
              </w:rPr>
            </w:pPr>
            <w:r>
              <w:rPr>
                <w:sz w:val="17"/>
              </w:rPr>
              <w:t>67%</w:t>
            </w:r>
          </w:p>
        </w:tc>
      </w:tr>
    </w:tbl>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1260"/>
        <w:rPr>
          <w:b/>
        </w:rPr>
      </w:pPr>
      <w:r>
        <w:tab/>
      </w:r>
      <w:r>
        <w:rPr>
          <w:b/>
        </w:rPr>
        <w:t xml:space="preserve">Таблица 3. Положение с осуществлением микропроектов </w:t>
      </w:r>
      <w:r>
        <w:rPr>
          <w:b/>
        </w:rPr>
        <w:tab/>
        <w:t xml:space="preserve">микрофинансирования в провинции Северная Киву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0" w:type="dxa"/>
        <w:tblLayout w:type="fixed"/>
        <w:tblCellMar>
          <w:left w:w="72" w:type="dxa"/>
          <w:right w:w="72" w:type="dxa"/>
        </w:tblCellMar>
        <w:tblLook w:val="0000" w:firstRow="0" w:lastRow="0" w:firstColumn="0" w:lastColumn="0" w:noHBand="0" w:noVBand="0"/>
      </w:tblPr>
      <w:tblGrid>
        <w:gridCol w:w="270"/>
        <w:gridCol w:w="972"/>
        <w:gridCol w:w="1170"/>
        <w:gridCol w:w="990"/>
        <w:gridCol w:w="1350"/>
        <w:gridCol w:w="900"/>
        <w:gridCol w:w="1080"/>
        <w:gridCol w:w="990"/>
      </w:tblGrid>
      <w:tr w:rsidR="00000000">
        <w:tblPrEx>
          <w:tblCellMar>
            <w:top w:w="0" w:type="dxa"/>
            <w:bottom w:w="0" w:type="dxa"/>
          </w:tblCellMar>
        </w:tblPrEx>
        <w:trPr>
          <w:cantSplit/>
          <w:trHeight w:val="440"/>
          <w:tblHeader/>
        </w:trPr>
        <w:tc>
          <w:tcPr>
            <w:tcW w:w="270" w:type="dxa"/>
            <w:tcBorders>
              <w:top w:val="single" w:sz="4" w:space="0" w:color="auto"/>
              <w:bottom w:val="single" w:sz="12" w:space="0" w:color="auto"/>
            </w:tcBorders>
            <w:vAlign w:val="center"/>
          </w:tcPr>
          <w:p w:rsidR="00000000" w:rsidRDefault="00000000">
            <w:pPr>
              <w:rPr>
                <w:i/>
                <w:sz w:val="12"/>
              </w:rPr>
            </w:pPr>
          </w:p>
        </w:tc>
        <w:tc>
          <w:tcPr>
            <w:tcW w:w="972" w:type="dxa"/>
            <w:tcBorders>
              <w:top w:val="single" w:sz="4" w:space="0" w:color="auto"/>
              <w:bottom w:val="single" w:sz="12" w:space="0" w:color="auto"/>
            </w:tcBorders>
            <w:vAlign w:val="center"/>
          </w:tcPr>
          <w:p w:rsidR="00000000" w:rsidRDefault="00000000">
            <w:pPr>
              <w:spacing w:line="240" w:lineRule="auto"/>
              <w:ind w:right="86"/>
              <w:jc w:val="right"/>
              <w:rPr>
                <w:i/>
                <w:sz w:val="12"/>
              </w:rPr>
            </w:pPr>
            <w:r>
              <w:rPr>
                <w:i/>
                <w:sz w:val="12"/>
              </w:rPr>
              <w:t>НПО</w:t>
            </w:r>
          </w:p>
        </w:tc>
        <w:tc>
          <w:tcPr>
            <w:tcW w:w="1170" w:type="dxa"/>
            <w:tcBorders>
              <w:top w:val="single" w:sz="4" w:space="0" w:color="auto"/>
              <w:bottom w:val="single" w:sz="12" w:space="0" w:color="auto"/>
            </w:tcBorders>
            <w:vAlign w:val="center"/>
          </w:tcPr>
          <w:p w:rsidR="00000000" w:rsidRDefault="00000000">
            <w:pPr>
              <w:spacing w:line="240" w:lineRule="auto"/>
              <w:ind w:right="86"/>
              <w:jc w:val="right"/>
              <w:rPr>
                <w:i/>
                <w:sz w:val="12"/>
              </w:rPr>
            </w:pPr>
            <w:r>
              <w:rPr>
                <w:i/>
                <w:sz w:val="12"/>
              </w:rPr>
              <w:t>Вид кредита</w:t>
            </w:r>
          </w:p>
        </w:tc>
        <w:tc>
          <w:tcPr>
            <w:tcW w:w="990" w:type="dxa"/>
            <w:tcBorders>
              <w:top w:val="single" w:sz="4" w:space="0" w:color="auto"/>
              <w:bottom w:val="single" w:sz="12" w:space="0" w:color="auto"/>
            </w:tcBorders>
          </w:tcPr>
          <w:p w:rsidR="00000000" w:rsidRDefault="00000000">
            <w:pPr>
              <w:spacing w:line="240" w:lineRule="auto"/>
              <w:ind w:right="86"/>
              <w:jc w:val="right"/>
              <w:rPr>
                <w:i/>
                <w:sz w:val="12"/>
              </w:rPr>
            </w:pPr>
            <w:r>
              <w:rPr>
                <w:i/>
                <w:sz w:val="12"/>
              </w:rPr>
              <w:t>Число бен</w:t>
            </w:r>
            <w:r>
              <w:rPr>
                <w:i/>
                <w:sz w:val="12"/>
              </w:rPr>
              <w:t>е</w:t>
            </w:r>
            <w:r>
              <w:rPr>
                <w:i/>
                <w:sz w:val="12"/>
              </w:rPr>
              <w:t>фициаров</w:t>
            </w:r>
          </w:p>
        </w:tc>
        <w:tc>
          <w:tcPr>
            <w:tcW w:w="1350" w:type="dxa"/>
            <w:tcBorders>
              <w:top w:val="single" w:sz="4" w:space="0" w:color="auto"/>
              <w:bottom w:val="single" w:sz="12" w:space="0" w:color="auto"/>
            </w:tcBorders>
            <w:vAlign w:val="center"/>
          </w:tcPr>
          <w:p w:rsidR="00000000" w:rsidRDefault="00000000">
            <w:pPr>
              <w:spacing w:line="240" w:lineRule="auto"/>
              <w:ind w:right="86"/>
              <w:jc w:val="right"/>
              <w:rPr>
                <w:i/>
                <w:sz w:val="12"/>
              </w:rPr>
            </w:pPr>
            <w:r>
              <w:rPr>
                <w:i/>
                <w:sz w:val="12"/>
              </w:rPr>
              <w:t>Целевые группы</w:t>
            </w:r>
          </w:p>
        </w:tc>
        <w:tc>
          <w:tcPr>
            <w:tcW w:w="900" w:type="dxa"/>
            <w:tcBorders>
              <w:top w:val="single" w:sz="4" w:space="0" w:color="auto"/>
              <w:bottom w:val="single" w:sz="12" w:space="0" w:color="auto"/>
            </w:tcBorders>
            <w:vAlign w:val="center"/>
          </w:tcPr>
          <w:p w:rsidR="00000000" w:rsidRDefault="00000000">
            <w:pPr>
              <w:spacing w:line="240" w:lineRule="auto"/>
              <w:ind w:right="86"/>
              <w:jc w:val="right"/>
              <w:rPr>
                <w:i/>
                <w:sz w:val="12"/>
              </w:rPr>
            </w:pPr>
            <w:r>
              <w:rPr>
                <w:i/>
                <w:sz w:val="12"/>
              </w:rPr>
              <w:t>Процен</w:t>
            </w:r>
            <w:r>
              <w:rPr>
                <w:i/>
                <w:sz w:val="12"/>
              </w:rPr>
              <w:t>т</w:t>
            </w:r>
            <w:r>
              <w:rPr>
                <w:i/>
                <w:sz w:val="12"/>
              </w:rPr>
              <w:t>ная ставка</w:t>
            </w:r>
          </w:p>
        </w:tc>
        <w:tc>
          <w:tcPr>
            <w:tcW w:w="1080" w:type="dxa"/>
            <w:tcBorders>
              <w:top w:val="single" w:sz="4" w:space="0" w:color="auto"/>
              <w:bottom w:val="single" w:sz="12" w:space="0" w:color="auto"/>
            </w:tcBorders>
            <w:vAlign w:val="center"/>
          </w:tcPr>
          <w:p w:rsidR="00000000" w:rsidRDefault="00000000">
            <w:pPr>
              <w:spacing w:line="240" w:lineRule="auto"/>
              <w:ind w:right="86"/>
              <w:jc w:val="right"/>
              <w:rPr>
                <w:i/>
                <w:sz w:val="12"/>
              </w:rPr>
            </w:pPr>
            <w:r>
              <w:rPr>
                <w:i/>
                <w:sz w:val="12"/>
              </w:rPr>
              <w:t>Состояние с отчетностью</w:t>
            </w:r>
          </w:p>
        </w:tc>
        <w:tc>
          <w:tcPr>
            <w:tcW w:w="990" w:type="dxa"/>
            <w:tcBorders>
              <w:top w:val="single" w:sz="4" w:space="0" w:color="auto"/>
              <w:bottom w:val="single" w:sz="12" w:space="0" w:color="auto"/>
            </w:tcBorders>
            <w:vAlign w:val="center"/>
          </w:tcPr>
          <w:p w:rsidR="00000000" w:rsidRDefault="00000000">
            <w:pPr>
              <w:spacing w:line="240" w:lineRule="auto"/>
              <w:ind w:right="86"/>
              <w:jc w:val="right"/>
              <w:rPr>
                <w:i/>
                <w:sz w:val="12"/>
              </w:rPr>
            </w:pPr>
            <w:r>
              <w:rPr>
                <w:i/>
                <w:sz w:val="12"/>
              </w:rPr>
              <w:t>Этап осущ</w:t>
            </w:r>
            <w:r>
              <w:rPr>
                <w:i/>
                <w:sz w:val="12"/>
              </w:rPr>
              <w:t>е</w:t>
            </w:r>
            <w:r>
              <w:rPr>
                <w:i/>
                <w:sz w:val="12"/>
              </w:rPr>
              <w:t>ствления проекта</w:t>
            </w:r>
          </w:p>
        </w:tc>
      </w:tr>
      <w:tr w:rsidR="00000000">
        <w:tblPrEx>
          <w:tblCellMar>
            <w:top w:w="0" w:type="dxa"/>
            <w:bottom w:w="0" w:type="dxa"/>
          </w:tblCellMar>
        </w:tblPrEx>
        <w:trPr>
          <w:cantSplit/>
          <w:trHeight w:val="200"/>
        </w:trPr>
        <w:tc>
          <w:tcPr>
            <w:tcW w:w="270" w:type="dxa"/>
          </w:tcPr>
          <w:p w:rsidR="00000000" w:rsidRDefault="00000000">
            <w:pPr>
              <w:spacing w:after="120" w:line="210" w:lineRule="exact"/>
              <w:rPr>
                <w:sz w:val="16"/>
              </w:rPr>
            </w:pPr>
            <w:r>
              <w:rPr>
                <w:sz w:val="16"/>
              </w:rPr>
              <w:t>1</w:t>
            </w:r>
          </w:p>
        </w:tc>
        <w:tc>
          <w:tcPr>
            <w:tcW w:w="972" w:type="dxa"/>
          </w:tcPr>
          <w:p w:rsidR="00000000" w:rsidRDefault="00000000">
            <w:pPr>
              <w:spacing w:after="120" w:line="210" w:lineRule="exact"/>
              <w:rPr>
                <w:sz w:val="16"/>
              </w:rPr>
            </w:pPr>
            <w:r>
              <w:rPr>
                <w:sz w:val="16"/>
              </w:rPr>
              <w:t>APPRONA</w:t>
            </w:r>
          </w:p>
        </w:tc>
        <w:tc>
          <w:tcPr>
            <w:tcW w:w="1170" w:type="dxa"/>
          </w:tcPr>
          <w:p w:rsidR="00000000" w:rsidRDefault="00000000">
            <w:pPr>
              <w:spacing w:after="120" w:line="210" w:lineRule="exact"/>
              <w:rPr>
                <w:sz w:val="16"/>
              </w:rPr>
            </w:pPr>
            <w:r>
              <w:rPr>
                <w:sz w:val="16"/>
              </w:rPr>
              <w:t xml:space="preserve">Натуральная помощь </w:t>
            </w:r>
          </w:p>
        </w:tc>
        <w:tc>
          <w:tcPr>
            <w:tcW w:w="990" w:type="dxa"/>
          </w:tcPr>
          <w:p w:rsidR="00000000" w:rsidRDefault="00000000">
            <w:pPr>
              <w:spacing w:after="120" w:line="210" w:lineRule="exact"/>
              <w:jc w:val="right"/>
              <w:rPr>
                <w:sz w:val="16"/>
              </w:rPr>
            </w:pPr>
            <w:r>
              <w:rPr>
                <w:sz w:val="16"/>
              </w:rPr>
              <w:t>1000</w:t>
            </w:r>
          </w:p>
        </w:tc>
        <w:tc>
          <w:tcPr>
            <w:tcW w:w="1350" w:type="dxa"/>
          </w:tcPr>
          <w:p w:rsidR="00000000" w:rsidRDefault="00000000">
            <w:pPr>
              <w:spacing w:after="120" w:line="210" w:lineRule="exact"/>
              <w:rPr>
                <w:sz w:val="16"/>
              </w:rPr>
            </w:pPr>
            <w:r>
              <w:rPr>
                <w:sz w:val="16"/>
              </w:rPr>
              <w:t>Крестьянские хозяйства</w:t>
            </w:r>
          </w:p>
        </w:tc>
        <w:tc>
          <w:tcPr>
            <w:tcW w:w="900" w:type="dxa"/>
          </w:tcPr>
          <w:p w:rsidR="00000000" w:rsidRDefault="00000000">
            <w:pPr>
              <w:spacing w:after="120" w:line="210" w:lineRule="exact"/>
              <w:jc w:val="right"/>
              <w:rPr>
                <w:sz w:val="16"/>
              </w:rPr>
            </w:pPr>
            <w:r>
              <w:rPr>
                <w:sz w:val="16"/>
              </w:rPr>
              <w:t>100%*</w:t>
            </w:r>
          </w:p>
        </w:tc>
        <w:tc>
          <w:tcPr>
            <w:tcW w:w="1080" w:type="dxa"/>
          </w:tcPr>
          <w:p w:rsidR="00000000" w:rsidRDefault="00000000">
            <w:pPr>
              <w:spacing w:after="120" w:line="210" w:lineRule="exact"/>
              <w:rPr>
                <w:sz w:val="16"/>
              </w:rPr>
            </w:pPr>
            <w:r>
              <w:rPr>
                <w:sz w:val="16"/>
              </w:rPr>
              <w:t>Хорошее</w:t>
            </w:r>
          </w:p>
        </w:tc>
        <w:tc>
          <w:tcPr>
            <w:tcW w:w="990" w:type="dxa"/>
          </w:tcPr>
          <w:p w:rsidR="00000000" w:rsidRDefault="00000000">
            <w:pPr>
              <w:spacing w:after="120" w:line="210" w:lineRule="exact"/>
              <w:rPr>
                <w:sz w:val="16"/>
              </w:rPr>
            </w:pPr>
            <w:r>
              <w:rPr>
                <w:sz w:val="16"/>
              </w:rPr>
              <w:t>Закончен</w:t>
            </w:r>
          </w:p>
        </w:tc>
      </w:tr>
      <w:tr w:rsidR="00000000">
        <w:tblPrEx>
          <w:tblCellMar>
            <w:top w:w="0" w:type="dxa"/>
            <w:bottom w:w="0" w:type="dxa"/>
          </w:tblCellMar>
        </w:tblPrEx>
        <w:trPr>
          <w:cantSplit/>
          <w:trHeight w:val="200"/>
        </w:trPr>
        <w:tc>
          <w:tcPr>
            <w:tcW w:w="270" w:type="dxa"/>
          </w:tcPr>
          <w:p w:rsidR="00000000" w:rsidRDefault="00000000">
            <w:pPr>
              <w:spacing w:after="120" w:line="210" w:lineRule="exact"/>
              <w:rPr>
                <w:sz w:val="16"/>
              </w:rPr>
            </w:pPr>
            <w:r>
              <w:rPr>
                <w:sz w:val="16"/>
              </w:rPr>
              <w:t>2</w:t>
            </w:r>
          </w:p>
        </w:tc>
        <w:tc>
          <w:tcPr>
            <w:tcW w:w="972" w:type="dxa"/>
          </w:tcPr>
          <w:p w:rsidR="00000000" w:rsidRDefault="00000000">
            <w:pPr>
              <w:spacing w:after="120" w:line="210" w:lineRule="exact"/>
              <w:rPr>
                <w:sz w:val="16"/>
              </w:rPr>
            </w:pPr>
            <w:r>
              <w:rPr>
                <w:sz w:val="16"/>
              </w:rPr>
              <w:t>SIFRENA</w:t>
            </w:r>
          </w:p>
        </w:tc>
        <w:tc>
          <w:tcPr>
            <w:tcW w:w="1170" w:type="dxa"/>
          </w:tcPr>
          <w:p w:rsidR="00000000" w:rsidRDefault="00000000">
            <w:pPr>
              <w:spacing w:after="120" w:line="210" w:lineRule="exact"/>
              <w:rPr>
                <w:sz w:val="16"/>
              </w:rPr>
            </w:pPr>
            <w:r>
              <w:rPr>
                <w:sz w:val="16"/>
              </w:rPr>
              <w:t>Финанс</w:t>
            </w:r>
            <w:r>
              <w:rPr>
                <w:sz w:val="16"/>
              </w:rPr>
              <w:t>о</w:t>
            </w:r>
            <w:r>
              <w:rPr>
                <w:sz w:val="16"/>
              </w:rPr>
              <w:t>вый</w:t>
            </w:r>
          </w:p>
        </w:tc>
        <w:tc>
          <w:tcPr>
            <w:tcW w:w="990" w:type="dxa"/>
          </w:tcPr>
          <w:p w:rsidR="00000000" w:rsidRDefault="00000000">
            <w:pPr>
              <w:spacing w:after="120" w:line="210" w:lineRule="exact"/>
              <w:jc w:val="right"/>
              <w:rPr>
                <w:sz w:val="16"/>
              </w:rPr>
            </w:pPr>
            <w:r>
              <w:rPr>
                <w:sz w:val="16"/>
              </w:rPr>
              <w:t>200</w:t>
            </w:r>
          </w:p>
        </w:tc>
        <w:tc>
          <w:tcPr>
            <w:tcW w:w="1350" w:type="dxa"/>
          </w:tcPr>
          <w:p w:rsidR="00000000" w:rsidRDefault="00000000">
            <w:pPr>
              <w:spacing w:after="120" w:line="210" w:lineRule="exact"/>
              <w:rPr>
                <w:sz w:val="16"/>
              </w:rPr>
            </w:pPr>
            <w:r>
              <w:rPr>
                <w:sz w:val="16"/>
              </w:rPr>
              <w:t>Обездоленные группы насел</w:t>
            </w:r>
            <w:r>
              <w:rPr>
                <w:sz w:val="16"/>
              </w:rPr>
              <w:t>е</w:t>
            </w:r>
            <w:r>
              <w:rPr>
                <w:sz w:val="16"/>
              </w:rPr>
              <w:t>ния</w:t>
            </w:r>
          </w:p>
        </w:tc>
        <w:tc>
          <w:tcPr>
            <w:tcW w:w="900" w:type="dxa"/>
          </w:tcPr>
          <w:p w:rsidR="00000000" w:rsidRDefault="00000000">
            <w:pPr>
              <w:spacing w:after="120" w:line="210" w:lineRule="exact"/>
              <w:jc w:val="right"/>
              <w:rPr>
                <w:sz w:val="16"/>
              </w:rPr>
            </w:pPr>
            <w:r>
              <w:rPr>
                <w:sz w:val="16"/>
              </w:rPr>
              <w:t>100%*</w:t>
            </w:r>
          </w:p>
        </w:tc>
        <w:tc>
          <w:tcPr>
            <w:tcW w:w="1080" w:type="dxa"/>
          </w:tcPr>
          <w:p w:rsidR="00000000" w:rsidRDefault="00000000">
            <w:pPr>
              <w:spacing w:after="120" w:line="210" w:lineRule="exact"/>
              <w:rPr>
                <w:sz w:val="16"/>
              </w:rPr>
            </w:pPr>
            <w:r>
              <w:rPr>
                <w:sz w:val="16"/>
              </w:rPr>
              <w:t>Хорошее</w:t>
            </w:r>
          </w:p>
        </w:tc>
        <w:tc>
          <w:tcPr>
            <w:tcW w:w="990" w:type="dxa"/>
          </w:tcPr>
          <w:p w:rsidR="00000000" w:rsidRDefault="00000000">
            <w:pPr>
              <w:spacing w:after="120" w:line="210" w:lineRule="exact"/>
              <w:rPr>
                <w:sz w:val="16"/>
              </w:rPr>
            </w:pPr>
            <w:r>
              <w:rPr>
                <w:sz w:val="16"/>
              </w:rPr>
              <w:t>В процессе осущест</w:t>
            </w:r>
            <w:r>
              <w:rPr>
                <w:sz w:val="16"/>
              </w:rPr>
              <w:t>в</w:t>
            </w:r>
            <w:r>
              <w:rPr>
                <w:sz w:val="16"/>
              </w:rPr>
              <w:t>ления</w:t>
            </w:r>
          </w:p>
        </w:tc>
      </w:tr>
      <w:tr w:rsidR="00000000">
        <w:tblPrEx>
          <w:tblCellMar>
            <w:top w:w="0" w:type="dxa"/>
            <w:bottom w:w="0" w:type="dxa"/>
          </w:tblCellMar>
        </w:tblPrEx>
        <w:trPr>
          <w:cantSplit/>
          <w:trHeight w:val="200"/>
        </w:trPr>
        <w:tc>
          <w:tcPr>
            <w:tcW w:w="270" w:type="dxa"/>
          </w:tcPr>
          <w:p w:rsidR="00000000" w:rsidRDefault="00000000">
            <w:pPr>
              <w:spacing w:after="120" w:line="210" w:lineRule="exact"/>
              <w:rPr>
                <w:sz w:val="16"/>
              </w:rPr>
            </w:pPr>
            <w:r>
              <w:rPr>
                <w:sz w:val="16"/>
              </w:rPr>
              <w:t>3</w:t>
            </w:r>
          </w:p>
        </w:tc>
        <w:tc>
          <w:tcPr>
            <w:tcW w:w="972" w:type="dxa"/>
          </w:tcPr>
          <w:p w:rsidR="00000000" w:rsidRDefault="00000000">
            <w:pPr>
              <w:spacing w:after="120" w:line="210" w:lineRule="exact"/>
              <w:rPr>
                <w:sz w:val="16"/>
              </w:rPr>
            </w:pPr>
            <w:r>
              <w:rPr>
                <w:sz w:val="16"/>
              </w:rPr>
              <w:t>AFEVESA</w:t>
            </w:r>
          </w:p>
        </w:tc>
        <w:tc>
          <w:tcPr>
            <w:tcW w:w="1170" w:type="dxa"/>
          </w:tcPr>
          <w:p w:rsidR="00000000" w:rsidRDefault="00000000">
            <w:pPr>
              <w:spacing w:after="120" w:line="210" w:lineRule="exact"/>
              <w:rPr>
                <w:sz w:val="16"/>
              </w:rPr>
            </w:pPr>
            <w:r>
              <w:rPr>
                <w:sz w:val="16"/>
              </w:rPr>
              <w:t>Финанс</w:t>
            </w:r>
            <w:r>
              <w:rPr>
                <w:sz w:val="16"/>
              </w:rPr>
              <w:t>о</w:t>
            </w:r>
            <w:r>
              <w:rPr>
                <w:sz w:val="16"/>
              </w:rPr>
              <w:t>вый</w:t>
            </w:r>
          </w:p>
        </w:tc>
        <w:tc>
          <w:tcPr>
            <w:tcW w:w="990" w:type="dxa"/>
          </w:tcPr>
          <w:p w:rsidR="00000000" w:rsidRDefault="00000000">
            <w:pPr>
              <w:spacing w:after="120" w:line="210" w:lineRule="exact"/>
              <w:jc w:val="right"/>
              <w:rPr>
                <w:sz w:val="16"/>
              </w:rPr>
            </w:pPr>
            <w:r>
              <w:rPr>
                <w:sz w:val="16"/>
              </w:rPr>
              <w:t>150</w:t>
            </w:r>
          </w:p>
        </w:tc>
        <w:tc>
          <w:tcPr>
            <w:tcW w:w="1350" w:type="dxa"/>
          </w:tcPr>
          <w:p w:rsidR="00000000" w:rsidRDefault="00000000">
            <w:pPr>
              <w:spacing w:after="120" w:line="210" w:lineRule="exact"/>
              <w:rPr>
                <w:sz w:val="16"/>
              </w:rPr>
            </w:pPr>
            <w:r>
              <w:rPr>
                <w:sz w:val="16"/>
              </w:rPr>
              <w:t>Мелкооптовые прода</w:t>
            </w:r>
            <w:r>
              <w:rPr>
                <w:sz w:val="16"/>
              </w:rPr>
              <w:t>в</w:t>
            </w:r>
            <w:r>
              <w:rPr>
                <w:sz w:val="16"/>
              </w:rPr>
              <w:t>цы</w:t>
            </w:r>
          </w:p>
        </w:tc>
        <w:tc>
          <w:tcPr>
            <w:tcW w:w="900" w:type="dxa"/>
          </w:tcPr>
          <w:p w:rsidR="00000000" w:rsidRDefault="00000000">
            <w:pPr>
              <w:spacing w:after="120" w:line="210" w:lineRule="exact"/>
              <w:jc w:val="right"/>
              <w:rPr>
                <w:sz w:val="16"/>
              </w:rPr>
            </w:pPr>
            <w:r>
              <w:rPr>
                <w:sz w:val="16"/>
              </w:rPr>
              <w:t>100%*</w:t>
            </w:r>
          </w:p>
        </w:tc>
        <w:tc>
          <w:tcPr>
            <w:tcW w:w="1080" w:type="dxa"/>
          </w:tcPr>
          <w:p w:rsidR="00000000" w:rsidRDefault="00000000">
            <w:pPr>
              <w:spacing w:after="120" w:line="210" w:lineRule="exact"/>
              <w:rPr>
                <w:sz w:val="16"/>
              </w:rPr>
            </w:pPr>
            <w:r>
              <w:rPr>
                <w:sz w:val="16"/>
              </w:rPr>
              <w:t>Хорошее</w:t>
            </w:r>
          </w:p>
        </w:tc>
        <w:tc>
          <w:tcPr>
            <w:tcW w:w="990" w:type="dxa"/>
          </w:tcPr>
          <w:p w:rsidR="00000000" w:rsidRDefault="00000000">
            <w:pPr>
              <w:spacing w:after="120" w:line="210" w:lineRule="exact"/>
              <w:rPr>
                <w:sz w:val="16"/>
              </w:rPr>
            </w:pPr>
            <w:r>
              <w:rPr>
                <w:sz w:val="16"/>
              </w:rPr>
              <w:t>В процессе осущест</w:t>
            </w:r>
            <w:r>
              <w:rPr>
                <w:sz w:val="16"/>
              </w:rPr>
              <w:t>в</w:t>
            </w:r>
            <w:r>
              <w:rPr>
                <w:sz w:val="16"/>
              </w:rPr>
              <w:t>ления</w:t>
            </w:r>
          </w:p>
        </w:tc>
      </w:tr>
      <w:tr w:rsidR="00000000">
        <w:tblPrEx>
          <w:tblCellMar>
            <w:top w:w="0" w:type="dxa"/>
            <w:bottom w:w="0" w:type="dxa"/>
          </w:tblCellMar>
        </w:tblPrEx>
        <w:trPr>
          <w:cantSplit/>
          <w:trHeight w:val="200"/>
        </w:trPr>
        <w:tc>
          <w:tcPr>
            <w:tcW w:w="270" w:type="dxa"/>
          </w:tcPr>
          <w:p w:rsidR="00000000" w:rsidRDefault="00000000">
            <w:pPr>
              <w:spacing w:after="120" w:line="210" w:lineRule="exact"/>
              <w:rPr>
                <w:sz w:val="16"/>
              </w:rPr>
            </w:pPr>
            <w:r>
              <w:rPr>
                <w:sz w:val="16"/>
              </w:rPr>
              <w:t>4</w:t>
            </w:r>
          </w:p>
        </w:tc>
        <w:tc>
          <w:tcPr>
            <w:tcW w:w="972" w:type="dxa"/>
          </w:tcPr>
          <w:p w:rsidR="00000000" w:rsidRDefault="00000000">
            <w:pPr>
              <w:spacing w:after="120" w:line="210" w:lineRule="exact"/>
              <w:rPr>
                <w:sz w:val="16"/>
              </w:rPr>
            </w:pPr>
            <w:r>
              <w:rPr>
                <w:sz w:val="16"/>
              </w:rPr>
              <w:t>ALCIM</w:t>
            </w:r>
          </w:p>
        </w:tc>
        <w:tc>
          <w:tcPr>
            <w:tcW w:w="1170" w:type="dxa"/>
          </w:tcPr>
          <w:p w:rsidR="00000000" w:rsidRDefault="00000000">
            <w:pPr>
              <w:spacing w:after="120" w:line="210" w:lineRule="exact"/>
              <w:rPr>
                <w:sz w:val="16"/>
              </w:rPr>
            </w:pPr>
            <w:r>
              <w:rPr>
                <w:sz w:val="16"/>
              </w:rPr>
              <w:t>Финанс</w:t>
            </w:r>
            <w:r>
              <w:rPr>
                <w:sz w:val="16"/>
              </w:rPr>
              <w:t>о</w:t>
            </w:r>
            <w:r>
              <w:rPr>
                <w:sz w:val="16"/>
              </w:rPr>
              <w:t>вый</w:t>
            </w:r>
          </w:p>
        </w:tc>
        <w:tc>
          <w:tcPr>
            <w:tcW w:w="990" w:type="dxa"/>
          </w:tcPr>
          <w:p w:rsidR="00000000" w:rsidRDefault="00000000">
            <w:pPr>
              <w:spacing w:after="120" w:line="210" w:lineRule="exact"/>
              <w:jc w:val="right"/>
              <w:rPr>
                <w:sz w:val="16"/>
              </w:rPr>
            </w:pPr>
            <w:r>
              <w:rPr>
                <w:sz w:val="16"/>
              </w:rPr>
              <w:t>489</w:t>
            </w:r>
          </w:p>
        </w:tc>
        <w:tc>
          <w:tcPr>
            <w:tcW w:w="1350" w:type="dxa"/>
          </w:tcPr>
          <w:p w:rsidR="00000000" w:rsidRDefault="00000000">
            <w:pPr>
              <w:spacing w:after="120" w:line="210" w:lineRule="exact"/>
              <w:rPr>
                <w:sz w:val="16"/>
              </w:rPr>
            </w:pPr>
            <w:r>
              <w:rPr>
                <w:sz w:val="16"/>
              </w:rPr>
              <w:t>Перемещенные вдовы и деву</w:t>
            </w:r>
            <w:r>
              <w:rPr>
                <w:sz w:val="16"/>
              </w:rPr>
              <w:t>ш</w:t>
            </w:r>
            <w:r>
              <w:rPr>
                <w:sz w:val="16"/>
              </w:rPr>
              <w:t>ки, мат</w:t>
            </w:r>
            <w:r>
              <w:rPr>
                <w:sz w:val="16"/>
              </w:rPr>
              <w:t>е</w:t>
            </w:r>
            <w:r>
              <w:rPr>
                <w:sz w:val="16"/>
              </w:rPr>
              <w:t>ри</w:t>
            </w:r>
          </w:p>
        </w:tc>
        <w:tc>
          <w:tcPr>
            <w:tcW w:w="900" w:type="dxa"/>
          </w:tcPr>
          <w:p w:rsidR="00000000" w:rsidRDefault="00000000">
            <w:pPr>
              <w:spacing w:after="120" w:line="210" w:lineRule="exact"/>
              <w:jc w:val="right"/>
              <w:rPr>
                <w:sz w:val="16"/>
              </w:rPr>
            </w:pPr>
            <w:r>
              <w:rPr>
                <w:sz w:val="16"/>
              </w:rPr>
              <w:t>65%*</w:t>
            </w:r>
          </w:p>
        </w:tc>
        <w:tc>
          <w:tcPr>
            <w:tcW w:w="1080" w:type="dxa"/>
          </w:tcPr>
          <w:p w:rsidR="00000000" w:rsidRDefault="00000000">
            <w:pPr>
              <w:spacing w:after="120" w:line="210" w:lineRule="exact"/>
              <w:rPr>
                <w:sz w:val="16"/>
              </w:rPr>
            </w:pPr>
            <w:r>
              <w:rPr>
                <w:sz w:val="16"/>
              </w:rPr>
              <w:t>Неудовл.</w:t>
            </w:r>
          </w:p>
        </w:tc>
        <w:tc>
          <w:tcPr>
            <w:tcW w:w="990" w:type="dxa"/>
          </w:tcPr>
          <w:p w:rsidR="00000000" w:rsidRDefault="00000000">
            <w:pPr>
              <w:spacing w:after="120" w:line="210" w:lineRule="exact"/>
              <w:rPr>
                <w:sz w:val="16"/>
              </w:rPr>
            </w:pPr>
            <w:r>
              <w:rPr>
                <w:sz w:val="16"/>
              </w:rPr>
              <w:t>В процессе осущест</w:t>
            </w:r>
            <w:r>
              <w:rPr>
                <w:sz w:val="16"/>
              </w:rPr>
              <w:t>в</w:t>
            </w:r>
            <w:r>
              <w:rPr>
                <w:sz w:val="16"/>
              </w:rPr>
              <w:t>ления</w:t>
            </w:r>
          </w:p>
        </w:tc>
      </w:tr>
      <w:tr w:rsidR="00000000">
        <w:tblPrEx>
          <w:tblCellMar>
            <w:top w:w="0" w:type="dxa"/>
            <w:bottom w:w="0" w:type="dxa"/>
          </w:tblCellMar>
        </w:tblPrEx>
        <w:trPr>
          <w:cantSplit/>
          <w:trHeight w:val="200"/>
        </w:trPr>
        <w:tc>
          <w:tcPr>
            <w:tcW w:w="270" w:type="dxa"/>
          </w:tcPr>
          <w:p w:rsidR="00000000" w:rsidRDefault="00000000">
            <w:pPr>
              <w:spacing w:after="120" w:line="210" w:lineRule="exact"/>
              <w:rPr>
                <w:sz w:val="16"/>
              </w:rPr>
            </w:pPr>
            <w:r>
              <w:rPr>
                <w:sz w:val="16"/>
              </w:rPr>
              <w:t>5</w:t>
            </w:r>
          </w:p>
        </w:tc>
        <w:tc>
          <w:tcPr>
            <w:tcW w:w="972" w:type="dxa"/>
          </w:tcPr>
          <w:p w:rsidR="00000000" w:rsidRDefault="00000000">
            <w:pPr>
              <w:spacing w:after="120" w:line="210" w:lineRule="exact"/>
              <w:rPr>
                <w:sz w:val="16"/>
              </w:rPr>
            </w:pPr>
            <w:r>
              <w:rPr>
                <w:sz w:val="16"/>
              </w:rPr>
              <w:t>COOFCO</w:t>
            </w:r>
          </w:p>
        </w:tc>
        <w:tc>
          <w:tcPr>
            <w:tcW w:w="1170" w:type="dxa"/>
          </w:tcPr>
          <w:p w:rsidR="00000000" w:rsidRDefault="00000000">
            <w:pPr>
              <w:spacing w:after="120" w:line="210" w:lineRule="exact"/>
              <w:rPr>
                <w:sz w:val="16"/>
              </w:rPr>
            </w:pPr>
            <w:r>
              <w:rPr>
                <w:sz w:val="16"/>
              </w:rPr>
              <w:t>Финанс</w:t>
            </w:r>
            <w:r>
              <w:rPr>
                <w:sz w:val="16"/>
              </w:rPr>
              <w:t>о</w:t>
            </w:r>
            <w:r>
              <w:rPr>
                <w:sz w:val="16"/>
              </w:rPr>
              <w:t>вый</w:t>
            </w:r>
          </w:p>
        </w:tc>
        <w:tc>
          <w:tcPr>
            <w:tcW w:w="990" w:type="dxa"/>
          </w:tcPr>
          <w:p w:rsidR="00000000" w:rsidRDefault="00000000">
            <w:pPr>
              <w:spacing w:after="120" w:line="210" w:lineRule="exact"/>
              <w:jc w:val="right"/>
              <w:rPr>
                <w:sz w:val="16"/>
              </w:rPr>
            </w:pPr>
            <w:r>
              <w:rPr>
                <w:sz w:val="16"/>
              </w:rPr>
              <w:t>220</w:t>
            </w:r>
          </w:p>
        </w:tc>
        <w:tc>
          <w:tcPr>
            <w:tcW w:w="1350" w:type="dxa"/>
          </w:tcPr>
          <w:p w:rsidR="00000000" w:rsidRDefault="00000000">
            <w:pPr>
              <w:spacing w:after="120" w:line="210" w:lineRule="exact"/>
              <w:rPr>
                <w:sz w:val="16"/>
              </w:rPr>
            </w:pPr>
            <w:r>
              <w:rPr>
                <w:sz w:val="16"/>
              </w:rPr>
              <w:t>Жертвы ст</w:t>
            </w:r>
            <w:r>
              <w:rPr>
                <w:sz w:val="16"/>
              </w:rPr>
              <w:t>и</w:t>
            </w:r>
            <w:r>
              <w:rPr>
                <w:sz w:val="16"/>
              </w:rPr>
              <w:t>хийных бедс</w:t>
            </w:r>
            <w:r>
              <w:rPr>
                <w:sz w:val="16"/>
              </w:rPr>
              <w:t>т</w:t>
            </w:r>
            <w:r>
              <w:rPr>
                <w:sz w:val="16"/>
              </w:rPr>
              <w:t>вий</w:t>
            </w:r>
          </w:p>
        </w:tc>
        <w:tc>
          <w:tcPr>
            <w:tcW w:w="900" w:type="dxa"/>
          </w:tcPr>
          <w:p w:rsidR="00000000" w:rsidRDefault="00000000">
            <w:pPr>
              <w:spacing w:after="120" w:line="210" w:lineRule="exact"/>
              <w:jc w:val="right"/>
              <w:rPr>
                <w:sz w:val="16"/>
              </w:rPr>
            </w:pPr>
            <w:r>
              <w:rPr>
                <w:sz w:val="16"/>
              </w:rPr>
              <w:t>95,7%*</w:t>
            </w:r>
          </w:p>
        </w:tc>
        <w:tc>
          <w:tcPr>
            <w:tcW w:w="1080" w:type="dxa"/>
          </w:tcPr>
          <w:p w:rsidR="00000000" w:rsidRDefault="00000000">
            <w:pPr>
              <w:spacing w:after="120" w:line="210" w:lineRule="exact"/>
              <w:rPr>
                <w:sz w:val="16"/>
              </w:rPr>
            </w:pPr>
            <w:r>
              <w:rPr>
                <w:sz w:val="16"/>
              </w:rPr>
              <w:t>Хорошее</w:t>
            </w:r>
          </w:p>
        </w:tc>
        <w:tc>
          <w:tcPr>
            <w:tcW w:w="990" w:type="dxa"/>
          </w:tcPr>
          <w:p w:rsidR="00000000" w:rsidRDefault="00000000">
            <w:pPr>
              <w:spacing w:after="120" w:line="210" w:lineRule="exact"/>
              <w:rPr>
                <w:sz w:val="16"/>
              </w:rPr>
            </w:pPr>
            <w:r>
              <w:rPr>
                <w:sz w:val="16"/>
              </w:rPr>
              <w:t>В процессе осущест</w:t>
            </w:r>
            <w:r>
              <w:rPr>
                <w:sz w:val="16"/>
              </w:rPr>
              <w:t>в</w:t>
            </w:r>
            <w:r>
              <w:rPr>
                <w:sz w:val="16"/>
              </w:rPr>
              <w:t>ления</w:t>
            </w:r>
          </w:p>
        </w:tc>
      </w:tr>
      <w:tr w:rsidR="00000000">
        <w:tblPrEx>
          <w:tblCellMar>
            <w:top w:w="0" w:type="dxa"/>
            <w:bottom w:w="0" w:type="dxa"/>
          </w:tblCellMar>
        </w:tblPrEx>
        <w:trPr>
          <w:cantSplit/>
          <w:trHeight w:val="200"/>
        </w:trPr>
        <w:tc>
          <w:tcPr>
            <w:tcW w:w="270" w:type="dxa"/>
          </w:tcPr>
          <w:p w:rsidR="00000000" w:rsidRDefault="00000000">
            <w:pPr>
              <w:spacing w:after="120" w:line="210" w:lineRule="exact"/>
              <w:rPr>
                <w:sz w:val="16"/>
              </w:rPr>
            </w:pPr>
            <w:r>
              <w:rPr>
                <w:sz w:val="16"/>
              </w:rPr>
              <w:t>6</w:t>
            </w:r>
          </w:p>
        </w:tc>
        <w:tc>
          <w:tcPr>
            <w:tcW w:w="972" w:type="dxa"/>
          </w:tcPr>
          <w:p w:rsidR="00000000" w:rsidRDefault="00000000">
            <w:pPr>
              <w:spacing w:after="120" w:line="210" w:lineRule="exact"/>
              <w:rPr>
                <w:sz w:val="16"/>
              </w:rPr>
            </w:pPr>
            <w:r>
              <w:rPr>
                <w:sz w:val="16"/>
              </w:rPr>
              <w:t>ADCIC</w:t>
            </w:r>
          </w:p>
        </w:tc>
        <w:tc>
          <w:tcPr>
            <w:tcW w:w="1170" w:type="dxa"/>
          </w:tcPr>
          <w:p w:rsidR="00000000" w:rsidRDefault="00000000">
            <w:pPr>
              <w:spacing w:after="120" w:line="210" w:lineRule="exact"/>
              <w:rPr>
                <w:sz w:val="16"/>
              </w:rPr>
            </w:pPr>
            <w:r>
              <w:rPr>
                <w:sz w:val="16"/>
              </w:rPr>
              <w:t>Финанс</w:t>
            </w:r>
            <w:r>
              <w:rPr>
                <w:sz w:val="16"/>
              </w:rPr>
              <w:t>о</w:t>
            </w:r>
            <w:r>
              <w:rPr>
                <w:sz w:val="16"/>
              </w:rPr>
              <w:t>вый</w:t>
            </w:r>
          </w:p>
        </w:tc>
        <w:tc>
          <w:tcPr>
            <w:tcW w:w="990" w:type="dxa"/>
          </w:tcPr>
          <w:p w:rsidR="00000000" w:rsidRDefault="00000000">
            <w:pPr>
              <w:spacing w:after="120" w:line="210" w:lineRule="exact"/>
              <w:jc w:val="right"/>
              <w:rPr>
                <w:sz w:val="16"/>
              </w:rPr>
            </w:pPr>
            <w:r>
              <w:rPr>
                <w:sz w:val="16"/>
              </w:rPr>
              <w:t>80</w:t>
            </w:r>
          </w:p>
        </w:tc>
        <w:tc>
          <w:tcPr>
            <w:tcW w:w="1350" w:type="dxa"/>
          </w:tcPr>
          <w:p w:rsidR="00000000" w:rsidRDefault="00000000">
            <w:pPr>
              <w:spacing w:after="120" w:line="210" w:lineRule="exact"/>
              <w:rPr>
                <w:sz w:val="16"/>
              </w:rPr>
            </w:pPr>
            <w:r>
              <w:rPr>
                <w:sz w:val="16"/>
              </w:rPr>
              <w:t>Лица, стр</w:t>
            </w:r>
            <w:r>
              <w:rPr>
                <w:sz w:val="16"/>
              </w:rPr>
              <w:t>а</w:t>
            </w:r>
            <w:r>
              <w:rPr>
                <w:sz w:val="16"/>
              </w:rPr>
              <w:t>дающие диаб</w:t>
            </w:r>
            <w:r>
              <w:rPr>
                <w:sz w:val="16"/>
              </w:rPr>
              <w:t>е</w:t>
            </w:r>
            <w:r>
              <w:rPr>
                <w:sz w:val="16"/>
              </w:rPr>
              <w:t>том</w:t>
            </w:r>
          </w:p>
        </w:tc>
        <w:tc>
          <w:tcPr>
            <w:tcW w:w="900" w:type="dxa"/>
          </w:tcPr>
          <w:p w:rsidR="00000000" w:rsidRDefault="00000000">
            <w:pPr>
              <w:spacing w:after="120" w:line="210" w:lineRule="exact"/>
              <w:jc w:val="right"/>
              <w:rPr>
                <w:sz w:val="16"/>
              </w:rPr>
            </w:pPr>
            <w:r>
              <w:rPr>
                <w:sz w:val="16"/>
              </w:rPr>
              <w:t>100%*</w:t>
            </w:r>
          </w:p>
        </w:tc>
        <w:tc>
          <w:tcPr>
            <w:tcW w:w="1080" w:type="dxa"/>
          </w:tcPr>
          <w:p w:rsidR="00000000" w:rsidRDefault="00000000">
            <w:pPr>
              <w:spacing w:after="120" w:line="210" w:lineRule="exact"/>
              <w:rPr>
                <w:sz w:val="16"/>
              </w:rPr>
            </w:pPr>
            <w:r>
              <w:rPr>
                <w:sz w:val="16"/>
              </w:rPr>
              <w:t>Хорошее</w:t>
            </w:r>
          </w:p>
        </w:tc>
        <w:tc>
          <w:tcPr>
            <w:tcW w:w="990" w:type="dxa"/>
          </w:tcPr>
          <w:p w:rsidR="00000000" w:rsidRDefault="00000000">
            <w:pPr>
              <w:spacing w:after="120" w:line="210" w:lineRule="exact"/>
              <w:rPr>
                <w:sz w:val="16"/>
              </w:rPr>
            </w:pPr>
            <w:r>
              <w:rPr>
                <w:sz w:val="16"/>
              </w:rPr>
              <w:t>В процессе осущест</w:t>
            </w:r>
            <w:r>
              <w:rPr>
                <w:sz w:val="16"/>
              </w:rPr>
              <w:t>в</w:t>
            </w:r>
            <w:r>
              <w:rPr>
                <w:sz w:val="16"/>
              </w:rPr>
              <w:t>ления</w:t>
            </w:r>
          </w:p>
        </w:tc>
      </w:tr>
      <w:tr w:rsidR="00000000">
        <w:tblPrEx>
          <w:tblCellMar>
            <w:top w:w="0" w:type="dxa"/>
            <w:bottom w:w="0" w:type="dxa"/>
          </w:tblCellMar>
        </w:tblPrEx>
        <w:trPr>
          <w:cantSplit/>
          <w:trHeight w:val="200"/>
        </w:trPr>
        <w:tc>
          <w:tcPr>
            <w:tcW w:w="270" w:type="dxa"/>
            <w:tcBorders>
              <w:bottom w:val="single" w:sz="12" w:space="0" w:color="auto"/>
            </w:tcBorders>
          </w:tcPr>
          <w:p w:rsidR="00000000" w:rsidRDefault="00000000">
            <w:pPr>
              <w:spacing w:after="120" w:line="210" w:lineRule="exact"/>
              <w:rPr>
                <w:sz w:val="16"/>
              </w:rPr>
            </w:pPr>
            <w:r>
              <w:rPr>
                <w:sz w:val="16"/>
              </w:rPr>
              <w:t>7</w:t>
            </w:r>
          </w:p>
        </w:tc>
        <w:tc>
          <w:tcPr>
            <w:tcW w:w="972" w:type="dxa"/>
            <w:tcBorders>
              <w:bottom w:val="single" w:sz="12" w:space="0" w:color="auto"/>
            </w:tcBorders>
          </w:tcPr>
          <w:p w:rsidR="00000000" w:rsidRDefault="00000000">
            <w:pPr>
              <w:spacing w:after="120" w:line="210" w:lineRule="exact"/>
              <w:rPr>
                <w:sz w:val="16"/>
              </w:rPr>
            </w:pPr>
            <w:r>
              <w:rPr>
                <w:sz w:val="16"/>
              </w:rPr>
              <w:t>AEED</w:t>
            </w:r>
          </w:p>
        </w:tc>
        <w:tc>
          <w:tcPr>
            <w:tcW w:w="1170" w:type="dxa"/>
            <w:tcBorders>
              <w:bottom w:val="single" w:sz="12" w:space="0" w:color="auto"/>
            </w:tcBorders>
          </w:tcPr>
          <w:p w:rsidR="00000000" w:rsidRDefault="00000000">
            <w:pPr>
              <w:spacing w:after="120" w:line="210" w:lineRule="exact"/>
              <w:rPr>
                <w:sz w:val="16"/>
              </w:rPr>
            </w:pPr>
            <w:r>
              <w:rPr>
                <w:sz w:val="16"/>
              </w:rPr>
              <w:t>Финанс</w:t>
            </w:r>
            <w:r>
              <w:rPr>
                <w:sz w:val="16"/>
              </w:rPr>
              <w:t>о</w:t>
            </w:r>
            <w:r>
              <w:rPr>
                <w:sz w:val="16"/>
              </w:rPr>
              <w:t>вый</w:t>
            </w:r>
          </w:p>
        </w:tc>
        <w:tc>
          <w:tcPr>
            <w:tcW w:w="990" w:type="dxa"/>
            <w:tcBorders>
              <w:bottom w:val="single" w:sz="12" w:space="0" w:color="auto"/>
            </w:tcBorders>
          </w:tcPr>
          <w:p w:rsidR="00000000" w:rsidRDefault="00000000">
            <w:pPr>
              <w:spacing w:after="120" w:line="210" w:lineRule="exact"/>
              <w:jc w:val="right"/>
              <w:rPr>
                <w:sz w:val="16"/>
              </w:rPr>
            </w:pPr>
            <w:r>
              <w:rPr>
                <w:sz w:val="16"/>
              </w:rPr>
              <w:t>114</w:t>
            </w:r>
          </w:p>
        </w:tc>
        <w:tc>
          <w:tcPr>
            <w:tcW w:w="1350" w:type="dxa"/>
            <w:tcBorders>
              <w:bottom w:val="single" w:sz="12" w:space="0" w:color="auto"/>
            </w:tcBorders>
          </w:tcPr>
          <w:p w:rsidR="00000000" w:rsidRDefault="00000000">
            <w:pPr>
              <w:spacing w:after="120" w:line="210" w:lineRule="exact"/>
              <w:rPr>
                <w:sz w:val="16"/>
              </w:rPr>
            </w:pPr>
            <w:r>
              <w:rPr>
                <w:sz w:val="16"/>
              </w:rPr>
              <w:t>Перемещенные лица</w:t>
            </w:r>
          </w:p>
        </w:tc>
        <w:tc>
          <w:tcPr>
            <w:tcW w:w="900" w:type="dxa"/>
            <w:tcBorders>
              <w:bottom w:val="single" w:sz="12" w:space="0" w:color="auto"/>
            </w:tcBorders>
          </w:tcPr>
          <w:p w:rsidR="00000000" w:rsidRDefault="00000000">
            <w:pPr>
              <w:spacing w:after="120" w:line="210" w:lineRule="exact"/>
              <w:jc w:val="right"/>
              <w:rPr>
                <w:sz w:val="16"/>
              </w:rPr>
            </w:pPr>
            <w:r>
              <w:rPr>
                <w:sz w:val="16"/>
              </w:rPr>
              <w:t>84%*</w:t>
            </w:r>
          </w:p>
        </w:tc>
        <w:tc>
          <w:tcPr>
            <w:tcW w:w="1080" w:type="dxa"/>
            <w:tcBorders>
              <w:bottom w:val="single" w:sz="12" w:space="0" w:color="auto"/>
            </w:tcBorders>
          </w:tcPr>
          <w:p w:rsidR="00000000" w:rsidRDefault="00000000">
            <w:pPr>
              <w:spacing w:after="120" w:line="210" w:lineRule="exact"/>
              <w:rPr>
                <w:sz w:val="16"/>
              </w:rPr>
            </w:pPr>
            <w:r>
              <w:rPr>
                <w:sz w:val="16"/>
              </w:rPr>
              <w:t>Хорошее</w:t>
            </w:r>
          </w:p>
        </w:tc>
        <w:tc>
          <w:tcPr>
            <w:tcW w:w="990" w:type="dxa"/>
            <w:tcBorders>
              <w:bottom w:val="single" w:sz="12" w:space="0" w:color="auto"/>
            </w:tcBorders>
          </w:tcPr>
          <w:p w:rsidR="00000000" w:rsidRDefault="00000000">
            <w:pPr>
              <w:spacing w:after="120" w:line="210" w:lineRule="exact"/>
              <w:rPr>
                <w:sz w:val="16"/>
              </w:rPr>
            </w:pPr>
            <w:r>
              <w:rPr>
                <w:sz w:val="16"/>
              </w:rPr>
              <w:t>В процессе осущест</w:t>
            </w:r>
            <w:r>
              <w:rPr>
                <w:sz w:val="16"/>
              </w:rPr>
              <w:t>в</w:t>
            </w:r>
            <w:r>
              <w:rPr>
                <w:sz w:val="16"/>
              </w:rPr>
              <w:t>ления</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Ставка, зафиксированная на конец первой выплаты взносов за двухмесячные* и семимесячные** кредиты.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Женское предпринимательство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документе о стратегии учета гендерного фактора в политике и пр</w:t>
      </w:r>
      <w:r>
        <w:t>о</w:t>
      </w:r>
      <w:r>
        <w:t>граммах развития, который был подготовлен Национальной программой улу</w:t>
      </w:r>
      <w:r>
        <w:t>ч</w:t>
      </w:r>
      <w:r>
        <w:t>шения положения конголезских женщин в ноябре 2003 года, указано, что тол</w:t>
      </w:r>
      <w:r>
        <w:t>ь</w:t>
      </w:r>
      <w:r>
        <w:t>ко 8 процентов женщин занимаются общей предпринимательской деятельн</w:t>
      </w:r>
      <w:r>
        <w:t>о</w:t>
      </w:r>
      <w:r>
        <w:t>стью в неформальном секторе (ателье по пошиву одежды, парикмахерские, мыловаренное производство, соленье рыбы, предприятия питания).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настоящее время в формальном секторе женщины стоят во главе только пяти предприятий по сравнению с 95 процентами мужчин.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Ассоциация женщин-предпринимателей Демократической Республики Конго при решении различного рода проблем продолжала вкладывать средства в повышение уровня технической грамотности своих членов путем реализации программ технической подготовки и информационных программ в области предпринимательства.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Здесь также следует отметить, что женщины-предприниматели сталкив</w:t>
      </w:r>
      <w:r>
        <w:t>а</w:t>
      </w:r>
      <w:r>
        <w:t>ются с проблемами, связанными с отсутствием финансирования их деятельн</w:t>
      </w:r>
      <w:r>
        <w:t>о</w:t>
      </w:r>
      <w:r>
        <w:t>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то же время Сеть женщин, работающих в государственных и полугос</w:t>
      </w:r>
      <w:r>
        <w:t>у</w:t>
      </w:r>
      <w:r>
        <w:t>дарственных предприятиях (REFEC), занимается определенной деятельностью как в г</w:t>
      </w:r>
      <w:r>
        <w:t>о</w:t>
      </w:r>
      <w:r>
        <w:t>сударственных, так и частных предприятиях.</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9.</w:t>
      </w:r>
      <w:r>
        <w:tab/>
        <w:t xml:space="preserve">Сельские женщины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Генеральный секретарь Организации Объединенных Наций называет женщин хребтом, позволяющим стоять обществу на ногах, и их работа соста</w:t>
      </w:r>
      <w:r>
        <w:t>в</w:t>
      </w:r>
      <w:r>
        <w:t>ляет экономическую основу сельских общин.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Другими словами, важность работы сельских женщин нельзя переоц</w:t>
      </w:r>
      <w:r>
        <w:t>е</w:t>
      </w:r>
      <w:r>
        <w:t>нить. В Демократической Республике Конго женщины обеспечивают 75 процентов сельскохозяйственного производства в сельской местности.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Сегодняшняя проблема </w:t>
      </w:r>
      <w:r>
        <w:noBreakHyphen/>
        <w:t xml:space="preserve"> разобраться в том, какие механизмы создало о</w:t>
      </w:r>
      <w:r>
        <w:t>б</w:t>
      </w:r>
      <w:r>
        <w:t>щество для того, чтобы облегчить задачу сельских женщин и позволить им разв</w:t>
      </w:r>
      <w:r>
        <w:t>и</w:t>
      </w:r>
      <w:r>
        <w:t>ваться на основе справедливости.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Все исследования, проведенные по вопросам, касающимся положения сельских женщин, показывают, что им приходится много работать и делать это в сложных условиях.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Министерство по делам семьи и женщин при поддержке финансовых у</w:t>
      </w:r>
      <w:r>
        <w:t>ч</w:t>
      </w:r>
      <w:r>
        <w:t>реждений Организации Объединенных Наций в 1988 году приступило к ос</w:t>
      </w:r>
      <w:r>
        <w:t>у</w:t>
      </w:r>
      <w:r>
        <w:t>ществлению ряда проектов, направленных на улучшение условий труда же</w:t>
      </w:r>
      <w:r>
        <w:t>н</w:t>
      </w:r>
      <w:r>
        <w:t>щин. Речь идет о проектах распространения соответствующей технологии и строительства мельниц.</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После массовых грабежей в 1991 году такое структурное сотрудничество было нарушено, и осуществление этих проектов было приостановлено ввиду нехватки средств.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ЮНФПА недавно возродил учебный элемент этих проектов, организовав подготовку женщин по соответствующим технологиям.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Доступ к услугам в области здравоохранения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Диспансеры и медицинские центры в сельских районах находятся в по</w:t>
      </w:r>
      <w:r>
        <w:t>л</w:t>
      </w:r>
      <w:r>
        <w:t>ном запустении. Им не хватает всего: медицинского оборудования, лекарств и зачастую квалифицированных специалистов.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Зоны охраны здоровья, созданные министерством здравоохранения для облегчения доступа больных к медицинским услугам, сегодня в целом также находятся в состоянии заброшенности. Обследование, проведенное Наци</w:t>
      </w:r>
      <w:r>
        <w:t>о</w:t>
      </w:r>
      <w:r>
        <w:t>нальной программой по улучшению положения конголезских женщин в 2002 году, показывает, что "в большинстве случаев в сельской местности ка</w:t>
      </w:r>
      <w:r>
        <w:t>ж</w:t>
      </w:r>
      <w:r>
        <w:t>дой третьей женщине приходится проходить по 15 км, чтобы попасть в бл</w:t>
      </w:r>
      <w:r>
        <w:t>и</w:t>
      </w:r>
      <w:r>
        <w:t>жайший медици</w:t>
      </w:r>
      <w:r>
        <w:t>н</w:t>
      </w:r>
      <w:r>
        <w:t>ский центр".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Сегодня женщины, находящиеся в самом неблагоприятном положении, пользуются медицинскими услугами, которые оказываются центрами, созда</w:t>
      </w:r>
      <w:r>
        <w:t>н</w:t>
      </w:r>
      <w:r>
        <w:t>ными церковью или неправительственными организациями. В противном сл</w:t>
      </w:r>
      <w:r>
        <w:t>у</w:t>
      </w:r>
      <w:r>
        <w:t>чае им приходится прибегать к нетрадиционным методам лечения.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Доступ к орошаемым землям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Самые плодородные земли принадлежат мужчинам. Ввиду своего низкого уровня образования женщины не могут использовать удобрения для повыш</w:t>
      </w:r>
      <w:r>
        <w:t>е</w:t>
      </w:r>
      <w:r>
        <w:t>ния пр</w:t>
      </w:r>
      <w:r>
        <w:t>о</w:t>
      </w:r>
      <w:r>
        <w:t>изводительности.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Здесь следует отметить работу ФАО, которая занимается осуществлением проекта DRC/2000/001/А/01/12, предусматривающего оказание поддержки р</w:t>
      </w:r>
      <w:r>
        <w:t>а</w:t>
      </w:r>
      <w:r>
        <w:t>ботн</w:t>
      </w:r>
      <w:r>
        <w:t>и</w:t>
      </w:r>
      <w:r>
        <w:t>кам сельскохозяйственного сектора на сумму в 4 247 320 долл. США.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Благодаря осуществлению этого проекта была оказана помощь 300 группам и ассоциациям во внутренней части Киншасы, на территории К</w:t>
      </w:r>
      <w:r>
        <w:t>а</w:t>
      </w:r>
      <w:r>
        <w:t>саи и Катанги в области выращивания риса, рыболовства, овощеводства и ра</w:t>
      </w:r>
      <w:r>
        <w:t>з</w:t>
      </w:r>
      <w:r>
        <w:t>ведения птицы и мелкого скота.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Естественно, все принятые меры касались не только женщин, но они смогли получить эту помощь, поскольку они составляют большую часть тех, кто занят в сельском хозяйстве.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2000 году министерство сельского хозяйства и животноводства прист</w:t>
      </w:r>
      <w:r>
        <w:t>у</w:t>
      </w:r>
      <w:r>
        <w:t>пило к осуществлению программы поддержки сельскохозяйственных произв</w:t>
      </w:r>
      <w:r>
        <w:t>о</w:t>
      </w:r>
      <w:r>
        <w:t>дителей Киншасы, которые получили помощь в виде рассады и семян пов</w:t>
      </w:r>
      <w:r>
        <w:t>ы</w:t>
      </w:r>
      <w:r>
        <w:t>шенного качества и удобрений. Другие же смогли получить несушек и цыплят для того, чтобы начать собственное дело. Осуществление этого проекта было вскоре прекращено ввиду нехватки специалистов и непринятия необходимых последующих мер.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Улучшение средств производства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Другая проблема здесь заключается в том, чтобы дать женщинам возмо</w:t>
      </w:r>
      <w:r>
        <w:t>ж</w:t>
      </w:r>
      <w:r>
        <w:t>ность приобрести сельскохозяйственную технику для повышения производ</w:t>
      </w:r>
      <w:r>
        <w:t>и</w:t>
      </w:r>
      <w:r>
        <w:t>тельности труда.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 сожалению, до сегодняшнего дня они все еще вынуждены использовать самые простые средства сельскохозяйственного производства.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Впрочем, даже помощь партнеров по деятельности в этой области зача</w:t>
      </w:r>
      <w:r>
        <w:t>с</w:t>
      </w:r>
      <w:r>
        <w:t>тую состоит в распределении мотыг, мачете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Доступ к питьевой воде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Министерству развития сельских районов удалось добиться финансир</w:t>
      </w:r>
      <w:r>
        <w:t>о</w:t>
      </w:r>
      <w:r>
        <w:t>вания от ЮСЭЙД, Японского агентства по международному сотрудничеству, ЮНИСЕФ и Европейского сообщества в целях облегчения доступа женщин к питьевой воде.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Благодаря этим средствам было оборудовано 1954 источников питьевой воды и вырыто 736 колодцев для примерно 1 534 700 жителей в различных районах страны.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результате нарушения структурного сотрудничества, которое произо</w:t>
      </w:r>
      <w:r>
        <w:t>ш</w:t>
      </w:r>
      <w:r>
        <w:t>ло в 1991 году вследствие массовых грабежей, темпы осуществления этой пр</w:t>
      </w:r>
      <w:r>
        <w:t>о</w:t>
      </w:r>
      <w:r>
        <w:t>граммы замедлились.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После 1999 года международные неправительственные организации вновь проявили интерес к проектам снабжения питьевой водой в сельских районах. Речь, в частности, идет об ОКПГ, "Визьон мондьяль", "Мемиса бельжик" и Бельгийском Красном Кресте.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местном плане инициативы здесь предпринимались Фондом Миба, О</w:t>
      </w:r>
      <w:r>
        <w:t>р</w:t>
      </w:r>
      <w:r>
        <w:t>ганизацией по развитию инфраструктуры в сельских районах и Центром ко</w:t>
      </w:r>
      <w:r>
        <w:t>м</w:t>
      </w:r>
      <w:r>
        <w:t>плексного развития сельских районов.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Так, за период с 1999 по 2003 год различные предпринятые меры позв</w:t>
      </w:r>
      <w:r>
        <w:t>о</w:t>
      </w:r>
      <w:r>
        <w:t>лили обустроить 3130 источников питьевой воды и пробурить или восстан</w:t>
      </w:r>
      <w:r>
        <w:t>о</w:t>
      </w:r>
      <w:r>
        <w:t>вить 466 колодцев для населения общей численностью в 129 600 человек.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Создание сельских радиостанций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Министерство развития сельских районов приступило к осуществлению программы создания сельских радиостанций с целью улучшения условий жи</w:t>
      </w:r>
      <w:r>
        <w:t>з</w:t>
      </w:r>
      <w:r>
        <w:t>ни в сельских районах и более широкого освещения информации, касающейся: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методов и способов ведения сельского хозяйства;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санитарно-гигиенических мер.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рамках этой программы две станции были созданы в Кананге и Мба</w:t>
      </w:r>
      <w:r>
        <w:t>н</w:t>
      </w:r>
      <w:r>
        <w:t>кане (на территории Киншасы). Ведется создание и других радиостанций.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Следует отметить, что с открытием возможностей для посреднической деятельности резко увеличилось число частных станций, передающих пр</w:t>
      </w:r>
      <w:r>
        <w:t>о</w:t>
      </w:r>
      <w:r>
        <w:t>граммы, представляющие определенный интерес для сельских женщин. Одн</w:t>
      </w:r>
      <w:r>
        <w:t>а</w:t>
      </w:r>
      <w:r>
        <w:t>ко при этом все еще необходимо освободить женщин от дневных обязанностей, для того чтобы они могли слушать эти программы.</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10.</w:t>
      </w:r>
      <w:r>
        <w:tab/>
        <w:t xml:space="preserve">Женщины и домашний очаг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 xml:space="preserve">Семья - основная ячейка общества - должна представлять собой оазис мира, в котором было бы приятно жить всем ее членам.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Для того чтобы такой мир не прекращался, он должен основываться на уважении, равенстве и справедливости.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Однако развитию женщины в семье препятствует целый ряд факторов.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Положения семейного кодекса строят супружескую жизнь на дискрим</w:t>
      </w:r>
      <w:r>
        <w:t>и</w:t>
      </w:r>
      <w:r>
        <w:t>национной основе: главой хозяйства является мужчина, а жена должна ему подчиняться. В случае отсутствия мужа, установленного судом, или в случае его смерти жена совместно ведет домашнее хозяйство с одним из членов семьи мужа.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Поэтому положение женщин находится в зависимости от таких изъянов в правовых текстах, и ей, к тому же, приходится сталкиваться с реакционными убеждениями, ставящими ее в подчиненное положение.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Гендерные факторы по-прежнему не учитываются даже в тех супруж</w:t>
      </w:r>
      <w:r>
        <w:t>е</w:t>
      </w:r>
      <w:r>
        <w:t>ских парах, которые имеют определенный уровень образования.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Домашние хлопоты всегда лежат на плечах женщин, даже если они, как и мужчины, занимаются какой-либо деятельностью, помимо домашнего хозяйс</w:t>
      </w:r>
      <w:r>
        <w:t>т</w:t>
      </w:r>
      <w:r>
        <w:t>ва. Так, например, когда муж и жена возвращаются усталые со своей работы, жена должна, к тому же, заниматься приготовлением пищи, пока ее муж отд</w:t>
      </w:r>
      <w:r>
        <w:t>ы</w:t>
      </w:r>
      <w:r>
        <w:t>хает, ожидая, когда его позовут к столу.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дополнение к такой концепции, занимающей положение женщин, сл</w:t>
      </w:r>
      <w:r>
        <w:t>е</w:t>
      </w:r>
      <w:r>
        <w:t>дует также обратить внимание и на другие факторы, например вмешательство так называемой "большой семьи" в жизнь супружеской пары. Жена часто по</w:t>
      </w:r>
      <w:r>
        <w:t>д</w:t>
      </w:r>
      <w:r>
        <w:t>вергается оскорблению со стороны свекрови, особенно если у супружеской п</w:t>
      </w:r>
      <w:r>
        <w:t>а</w:t>
      </w:r>
      <w:r>
        <w:t>ры нет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Следует также отметить и зачастую чрезмерную многочисленность чл</w:t>
      </w:r>
      <w:r>
        <w:t>е</w:t>
      </w:r>
      <w:r>
        <w:t>нов домашнего хозяйства. Справедливо, что отношения в африканских семьях строятся на принципе солидарности. Однако эти принципы иногда могут п</w:t>
      </w:r>
      <w:r>
        <w:t>а</w:t>
      </w:r>
      <w:r>
        <w:t xml:space="preserve">губно отразиться на развитии женщины.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Всеобщий кризис и то, что население начинает в массовом порядке пок</w:t>
      </w:r>
      <w:r>
        <w:t>и</w:t>
      </w:r>
      <w:r>
        <w:t>дать сельские районы, вынуждают супружеские пары принимать в своей семье столько членов, скольких содержать они не могут. Нередко в доме с одной спальней ютятся шесть человек. В таких условиях у супружеской пары нет и</w:t>
      </w:r>
      <w:r>
        <w:t>н</w:t>
      </w:r>
      <w:r>
        <w:t>тимной жизни. Такая перенаселенность зачастую является источником ко</w:t>
      </w:r>
      <w:r>
        <w:t>н</w:t>
      </w:r>
      <w:r>
        <w:t>фликтов между женщиной и гостями.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Согласно результатам второго обследования по многим показателям с применением гнездовой выработки, в 14 процентах домашних хозяйств в спальне размещается по одному человеку, в то время как в 43 процентах д</w:t>
      </w:r>
      <w:r>
        <w:t>о</w:t>
      </w:r>
      <w:r>
        <w:t>машних хозяйств в одной спальне размещается более четырех человек, а в 43 процентах домов им</w:t>
      </w:r>
      <w:r>
        <w:t>е</w:t>
      </w:r>
      <w:r>
        <w:t>ется только по две спальни.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Следует обратить внимание еще на один факт, который заключается в том, что по незнанию женщина вступает в фактический союз, ограничивающийся только внесением выкупа или религиозным венчанием. Многие пары не рег</w:t>
      </w:r>
      <w:r>
        <w:t>и</w:t>
      </w:r>
      <w:r>
        <w:t>стрируют свой брак в государственных отделах регистрации актов гражданск</w:t>
      </w:r>
      <w:r>
        <w:t>о</w:t>
      </w:r>
      <w:r>
        <w:t>го состояния.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Министерство по делам семьи и женщин при поддержке ЮНИСЕФ в 2001 году приступило к проведению широкой информационной кампании по разъяснению необходимости регистрации брака и рождения в отделах регис</w:t>
      </w:r>
      <w:r>
        <w:t>т</w:t>
      </w:r>
      <w:r>
        <w:t>рации актов гражданского состояния.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Все эти обеспокоенности привели сегодня к тому, что стал проводиться всеобщий учет зарегистрированных этим министерством браков.</w:t>
      </w:r>
    </w:p>
    <w:p w:rsidR="00000000" w:rsidRDefault="00000000">
      <w:pPr>
        <w:pStyle w:val="SingleTxt"/>
        <w:spacing w:after="0" w:line="180" w:lineRule="auto"/>
        <w:rPr>
          <w:sz w:val="10"/>
        </w:rPr>
      </w:pPr>
      <w: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11.</w:t>
      </w:r>
      <w:r>
        <w:tab/>
        <w:t xml:space="preserve">Насилие в отношении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Нельзя дать оценку хода осуществления Конвенции о ликвидации всех форм дискриминации в отношении женщин, если не обратить внимание на случаи насилия, которому женщины подвергаются ежедневно и которое пр</w:t>
      </w:r>
      <w:r>
        <w:t>е</w:t>
      </w:r>
      <w:r>
        <w:t>пятствует их развитию.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Вопрос о насилии в отношении женщин не раз возникал в Демократич</w:t>
      </w:r>
      <w:r>
        <w:t>е</w:t>
      </w:r>
      <w:r>
        <w:t>ской Республике Конго, и он, к тому же, усугубляется вооруженными конфли</w:t>
      </w:r>
      <w:r>
        <w:t>к</w:t>
      </w:r>
      <w:r>
        <w:t>тами, поскольку некоторые уже известные формы насилия достигли невида</w:t>
      </w:r>
      <w:r>
        <w:t>н</w:t>
      </w:r>
      <w:r>
        <w:t>ных масштабов (случаи изнасилования). Кроме того, стали появляться новые формы насилия, такие, как ампутирование конечностей, обрезание, захорон</w:t>
      </w:r>
      <w:r>
        <w:t>е</w:t>
      </w:r>
      <w:r>
        <w:t>ние живых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Случаи насилия в отношении женщин можно классифицировать по-разному. В рамках проведенного в 2002 году обследования наиболее часто встречающиеся случаи насилия были разбиты на нижеследующие три катег</w:t>
      </w:r>
      <w:r>
        <w:t>о</w:t>
      </w:r>
      <w:r>
        <w:t>рии. Можно также добавить четвертую, касающуюся случаев насилия в резул</w:t>
      </w:r>
      <w:r>
        <w:t>ь</w:t>
      </w:r>
      <w:r>
        <w:t>тате ведения военных действий.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80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33"/>
        <w:rPr>
          <w:b/>
        </w:rPr>
      </w:pPr>
      <w:r>
        <w:rPr>
          <w:b/>
        </w:rPr>
        <w:t>а)</w:t>
      </w:r>
      <w:r>
        <w:rPr>
          <w:b/>
        </w:rPr>
        <w:tab/>
        <w:t>Насилие, связанное с отношениями между родственниками и выт</w:t>
      </w:r>
      <w:r>
        <w:rPr>
          <w:b/>
        </w:rPr>
        <w:t>е</w:t>
      </w:r>
      <w:r>
        <w:rPr>
          <w:b/>
        </w:rPr>
        <w:t>кающее из систематических или постоянных межличностных отн</w:t>
      </w:r>
      <w:r>
        <w:rPr>
          <w:b/>
        </w:rPr>
        <w:t>о</w:t>
      </w:r>
      <w:r>
        <w:rPr>
          <w:b/>
        </w:rPr>
        <w:t>шений: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устное оскорбление;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побои и ранения;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сексуальное домогательство;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изнасилование;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неверность супруга.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80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33"/>
        <w:rPr>
          <w:b/>
        </w:rPr>
      </w:pPr>
      <w:r>
        <w:rPr>
          <w:b/>
        </w:rPr>
        <w:t>b)</w:t>
      </w:r>
      <w:r>
        <w:rPr>
          <w:b/>
        </w:rPr>
        <w:tab/>
        <w:t>Организационное насилие, вытекающее из применения законов и постановлений, необходимых для организации и функционирования частн</w:t>
      </w:r>
      <w:r>
        <w:rPr>
          <w:b/>
        </w:rPr>
        <w:t>о</w:t>
      </w:r>
      <w:r>
        <w:rPr>
          <w:b/>
        </w:rPr>
        <w:t>го или государственного секторов общества: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принижающие положение женщин обычаи;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необходимость получения разрешения супруга;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предпочтительный или принудительный брак;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отказ в предоставлении социальных льгот;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проблемы с получением наследства;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придирки со стороны полиции;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невыплата окончательного расчета или пожизненной ренты.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Насилию способствуют, в частности, следу</w:t>
      </w:r>
      <w:r>
        <w:t>ю</w:t>
      </w:r>
      <w:r>
        <w:t>щие факторы: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обычаи, которые пропагандируют второстепенное положение же</w:t>
      </w:r>
      <w:r>
        <w:t>н</w:t>
      </w:r>
      <w:r>
        <w:t>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низкий уровень доходов женщины, которые ставят ее в экономич</w:t>
      </w:r>
      <w:r>
        <w:t>е</w:t>
      </w:r>
      <w:r>
        <w:t>скую и финансовую зависимость от мужчины;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уровень образования: проведенное обследование показало, что обр</w:t>
      </w:r>
      <w:r>
        <w:t>а</w:t>
      </w:r>
      <w:r>
        <w:t>зованная женщина лучше защищается от насилия по сравнению с другими о</w:t>
      </w:r>
      <w:r>
        <w:t>п</w:t>
      </w:r>
      <w:r>
        <w:t>рошенными женщинами, 47 процентов женщин не закончили свою учебу, а 4 процента имеют свидетельство об окончании высшего учебного заведения;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условия жизни: жизнь в тесноте и скученности способствует распр</w:t>
      </w:r>
      <w:r>
        <w:t>о</w:t>
      </w:r>
      <w:r>
        <w:t>стр</w:t>
      </w:r>
      <w:r>
        <w:t>а</w:t>
      </w:r>
      <w:r>
        <w:t>нению случаев изнасилования, кровосмешения, избиения и оскорбления;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сфера занятости: случаи сексуального домогательства наиболее ра</w:t>
      </w:r>
      <w:r>
        <w:t>с</w:t>
      </w:r>
      <w:r>
        <w:t>пространены на раб</w:t>
      </w:r>
      <w:r>
        <w:t>о</w:t>
      </w:r>
      <w:r>
        <w:t>чем месте, в школах и высших учебных заведениях;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семейное положение: замужние женщины чаще подвергаются нас</w:t>
      </w:r>
      <w:r>
        <w:t>и</w:t>
      </w:r>
      <w:r>
        <w:t>лию, чем другие (ограбление, избиение, необходимость получения согласия мужа, оскор</w:t>
      </w:r>
      <w:r>
        <w:t>б</w:t>
      </w:r>
      <w:r>
        <w:t>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800"/>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33"/>
        <w:rPr>
          <w:b/>
        </w:rPr>
      </w:pPr>
      <w:r>
        <w:rPr>
          <w:b/>
        </w:rPr>
        <w:t>с)</w:t>
      </w:r>
      <w:r>
        <w:rPr>
          <w:b/>
        </w:rPr>
        <w:tab/>
        <w:t>Функциональное насилие, вызванное необходимостью функционир</w:t>
      </w:r>
      <w:r>
        <w:rPr>
          <w:b/>
        </w:rPr>
        <w:t>о</w:t>
      </w:r>
      <w:r>
        <w:rPr>
          <w:b/>
        </w:rPr>
        <w:t>вания институтов, которые используются в качестве средства пол</w:t>
      </w:r>
      <w:r>
        <w:rPr>
          <w:b/>
        </w:rPr>
        <w:t>у</w:t>
      </w:r>
      <w:r>
        <w:rPr>
          <w:b/>
        </w:rPr>
        <w:t>чения преимуществ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Невыплата выкупа;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Принуждение к аборту;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Принуждение к проституции;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Колдовство со смертельным исходом;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Лишение жены крова в супружеском доме.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Распространению случаев такого вида насилия способствуют следующие факторы: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обычаи, которые пропагандируют второстепенное положение же</w:t>
      </w:r>
      <w:r>
        <w:t>н</w:t>
      </w:r>
      <w:r>
        <w:t>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низкий уровень доходов женщины, которые ставят ее в экономич</w:t>
      </w:r>
      <w:r>
        <w:t>е</w:t>
      </w:r>
      <w:r>
        <w:t>скую и финансовую зависимость от мужчины;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уровень образования: проведенное обследование показало, что обр</w:t>
      </w:r>
      <w:r>
        <w:t>а</w:t>
      </w:r>
      <w:r>
        <w:t>зованная женщина лучше защищается от насилия по сравнению с другими о</w:t>
      </w:r>
      <w:r>
        <w:t>п</w:t>
      </w:r>
      <w:r>
        <w:t>рошенными женщинами, 47 процентов женщин не закончили свою учебу, а 4 процента имеют свидетельство об окончании высшего учебного заведения;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условия жизни: жизнь в тесноте и скученности способствует распр</w:t>
      </w:r>
      <w:r>
        <w:t>о</w:t>
      </w:r>
      <w:r>
        <w:t>стр</w:t>
      </w:r>
      <w:r>
        <w:t>а</w:t>
      </w:r>
      <w:r>
        <w:t>нению случаев изнасилования, кровосмешения, избиения и оскорбления;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сфера занятости: случаи сексуального домогательства наиболее ра</w:t>
      </w:r>
      <w:r>
        <w:t>с</w:t>
      </w:r>
      <w:r>
        <w:t>пространены на раб</w:t>
      </w:r>
      <w:r>
        <w:t>о</w:t>
      </w:r>
      <w:r>
        <w:t>чем месте, в школах и высших учебных заведениях;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семейное положение: замужние женщины чаще подвергаются нас</w:t>
      </w:r>
      <w:r>
        <w:t>и</w:t>
      </w:r>
      <w:r>
        <w:t>лию, чем другие (ограбление, избиение, необходимость получения согласия мужа, оскор</w:t>
      </w:r>
      <w:r>
        <w:t>б</w:t>
      </w:r>
      <w:r>
        <w:t>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лишение жены крова в супружеском доме.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br w:type="page"/>
      </w:r>
      <w:r>
        <w:rPr>
          <w:b/>
        </w:rPr>
        <w:t>d)</w:t>
      </w:r>
      <w:r>
        <w:rPr>
          <w:b/>
        </w:rPr>
        <w:tab/>
        <w:t>Насилие, связанное с ведением военных действий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1.</w:t>
      </w:r>
      <w:r>
        <w:rPr>
          <w:i/>
        </w:rPr>
        <w:tab/>
        <w:t>Сексуальное насилие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Из всех форм насилия следует особо отметить сексуальное насилие, ма</w:t>
      </w:r>
      <w:r>
        <w:t>с</w:t>
      </w:r>
      <w:r>
        <w:t>штабам и распространенности которого способствует ведение военных дейс</w:t>
      </w:r>
      <w:r>
        <w:t>т</w:t>
      </w:r>
      <w:r>
        <w:t>вий, особенно на востоке страны.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своем докладе, опубликованном в 2002 году, организации "Хьюман райтс уотч" отмечает, что сексуальное насилие используется в качестве средс</w:t>
      </w:r>
      <w:r>
        <w:t>т</w:t>
      </w:r>
      <w:r>
        <w:t>ва ведения войны. Действительно, большинство сил, принимавших участие в конфликтах, насилуют женщин и детей для того, чтобы осуществлять эффе</w:t>
      </w:r>
      <w:r>
        <w:t>к</w:t>
      </w:r>
      <w:r>
        <w:t>тивный контроль за гражданским населением. Агрессоры пытаются унизить и запугать с целью дестабилизации и наказания общин, обвиняемых в поддержке противоборствующего лагеря.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Эти акты варварства были совершены над людьми независимо от их во</w:t>
      </w:r>
      <w:r>
        <w:t>з</w:t>
      </w:r>
      <w:r>
        <w:t>раста.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докладе за 2004 год организации "Врачи без границ" сообщается о том, что в Бараке в маленьком местечке Южная Киву, которое расположено на бер</w:t>
      </w:r>
      <w:r>
        <w:t>е</w:t>
      </w:r>
      <w:r>
        <w:t>гу озера Танганьика, она лечила жертвы в возрасте от 4 до 70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Неправительственная организация "Медицинская помощь" осудила сл</w:t>
      </w:r>
      <w:r>
        <w:t>у</w:t>
      </w:r>
      <w:r>
        <w:t>чаи изнасилования, совершенные на экваторе в отношении двух старых же</w:t>
      </w:r>
      <w:r>
        <w:t>н</w:t>
      </w:r>
      <w:r>
        <w:t>щин в возрасте 80 лет. Не щадили даже беременных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Многие неправительственные организации сообщают о подтвержденных свидетелями случаях изнасилования.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География сексуального насилия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r>
      <w:r>
        <w:t>Случаи сексуального насилия наиболее распространены в следующих районах: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провинция Южная Киву: по оценкам правительства этой провинции, в период с конца 1999 года по середину 2001 года было зарегистрировано 2500-3000 изнасилованных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Восточная провинция, провинции Северная Киву, Маниема, Экват</w:t>
      </w:r>
      <w:r>
        <w:t>о</w:t>
      </w:r>
      <w:r>
        <w:t>риальная область и северная часть Катанги;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провинция Центральная Оламе в районе Увиры (Южная Киву) в я</w:t>
      </w:r>
      <w:r>
        <w:t>н</w:t>
      </w:r>
      <w:r>
        <w:t>варе 2003 года приняла 117 женщин и девочек, изнасилованных различными военными группировками;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 рамках своего проекта борьбы с нищетой ГТЗ зарегистрировало 2500 жертв изнасилования.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Последствия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Сексуальное насилие имеет следующие многочисленные последствия:</w:t>
      </w:r>
    </w:p>
    <w:p w:rsidR="00000000" w:rsidRDefault="00000000">
      <w:pPr>
        <w:pStyle w:val="SingleTxt"/>
        <w:numPr>
          <w:ilvl w:val="0"/>
          <w:numId w:val="320"/>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80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810"/>
        <w:rPr>
          <w:i/>
        </w:rPr>
      </w:pPr>
      <w:r>
        <w:rPr>
          <w:i/>
        </w:rPr>
        <w:t>Медицинские последствия: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нежелательная беременность;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заражение заболеваниями, передающимися половым путем, и ВИЧ/СПИДом; опасность здесь возрастает в связи с тем, что принуждение к вступлению к половой связи сопровождается ранениями и кровотечен</w:t>
      </w:r>
      <w:r>
        <w:t>и</w:t>
      </w:r>
      <w:r>
        <w:t>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сильные раны с кровотечением;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опущение матки и фистулы;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следы побоев.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Организация "Врачи без границ" отмечает, что ей приходилось ухаживать за избитыми женщинами.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Другие жаловались на боли в бедрах или спине, поскольку им силой ра</w:t>
      </w:r>
      <w:r>
        <w:t>з</w:t>
      </w:r>
      <w:r>
        <w:t>двигали ноги и держали в таком состоянии длительное время.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Многие женщины, которые были приняты вышеуказанной междунаро</w:t>
      </w:r>
      <w:r>
        <w:t>д</w:t>
      </w:r>
      <w:r>
        <w:t>ной организацией в Бараке, заявляли о том, что в результате изнасилования у них появились проблемы с репродуктивным здоровьем, в частности это касае</w:t>
      </w:r>
      <w:r>
        <w:t>т</w:t>
      </w:r>
      <w:r>
        <w:t>ся преждевременных родов со смертельным исходом.</w:t>
      </w:r>
    </w:p>
    <w:p w:rsidR="00000000" w:rsidRDefault="00000000">
      <w:pPr>
        <w:pStyle w:val="SingleTxt"/>
        <w:numPr>
          <w:ilvl w:val="0"/>
          <w:numId w:val="320"/>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80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810"/>
        <w:rPr>
          <w:i/>
        </w:rPr>
      </w:pPr>
      <w:r>
        <w:rPr>
          <w:i/>
        </w:rPr>
        <w:t>Социальные последствия: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Заклеймение и отвергание семьей и обществом. Некоторые мужья чувс</w:t>
      </w:r>
      <w:r>
        <w:t>т</w:t>
      </w:r>
      <w:r>
        <w:t>вуют семя униженными в результате изнасилования их жен, и поэтому они просто отказываются от своих жен. С этого момента эти женщины продолжают жить, испытывая чувство стыда, и они не могут больше вести нормальную жизнь.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Другие же, наоборот, из-за страха быть опозоренными предпочитают держать в тайне то, что их жены были изнасилованы. Однако нередко в резул</w:t>
      </w:r>
      <w:r>
        <w:t>ь</w:t>
      </w:r>
      <w:r>
        <w:t>тате этого создается нездоровая обстановка молчаливой враждебности.</w:t>
      </w:r>
    </w:p>
    <w:p w:rsidR="00000000" w:rsidRDefault="00000000">
      <w:pPr>
        <w:pStyle w:val="SingleTxt"/>
        <w:numPr>
          <w:ilvl w:val="0"/>
          <w:numId w:val="320"/>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80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810"/>
        <w:rPr>
          <w:i/>
        </w:rPr>
      </w:pPr>
      <w:r>
        <w:rPr>
          <w:i/>
        </w:rPr>
        <w:t>Экономические последствия: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Жертвы изнасилования, получив такую серьезную травму, живут в страхе и не осмеливаются выходить работать в поле или заниматься коммерческой деятельностью, и их положение становится шатким.</w:t>
      </w:r>
    </w:p>
    <w:p w:rsidR="00000000" w:rsidRDefault="00000000">
      <w:pPr>
        <w:pStyle w:val="SingleTxt"/>
        <w:numPr>
          <w:ilvl w:val="0"/>
          <w:numId w:val="320"/>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80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810"/>
        <w:rPr>
          <w:i/>
        </w:rPr>
      </w:pPr>
      <w:r>
        <w:rPr>
          <w:i/>
        </w:rPr>
        <w:t>Правовые последствия: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Такие варварские акты нередко остаются безнаказанными. Зачастую жертвы продолжают жить вместе с их насильниками и боятся разоблачить их. У них нет ни храбрости, ни средств для того, чтобы возбудить иск в судебном порядке.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2.</w:t>
      </w:r>
      <w:r>
        <w:rPr>
          <w:i/>
        </w:rPr>
        <w:tab/>
        <w:t>Ампутация частей тела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Во время празднования в 2004 году Дня 8 марта, темой которого стало "Нет насилию в отношении женщин", в Киншасе перед общественностью в</w:t>
      </w:r>
      <w:r>
        <w:t>ы</w:t>
      </w:r>
      <w:r>
        <w:t>ступила одна женщина, у которой были ампутированы руки. Трудно предст</w:t>
      </w:r>
      <w:r>
        <w:t>а</w:t>
      </w:r>
      <w:r>
        <w:t>вить себе все трудности, с которыми эта женщина сталкивается в повседневной жизни, поскольку она полностью и постоянно нуждается в посторонней пом</w:t>
      </w:r>
      <w:r>
        <w:t>о</w:t>
      </w:r>
      <w:r>
        <w:t>щи и не имеет личной жизни. Для нее жизнь закончилась. Подобные случаи ампутации нередки.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br w:type="page"/>
      </w:r>
      <w:r>
        <w:rPr>
          <w:i/>
        </w:rPr>
        <w:t>3.</w:t>
      </w:r>
      <w:r>
        <w:rPr>
          <w:i/>
        </w:rPr>
        <w:tab/>
        <w:t>Захоронение живых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Мвенге, маленьком местечке, расположенном в Южной Киву, военные в своей жестокости дошли до крайности, похоронив 11 живых, ни в чем не п</w:t>
      </w:r>
      <w:r>
        <w:t>о</w:t>
      </w:r>
      <w:r>
        <w:t>винных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Уход за жертвами насилия</w:t>
      </w:r>
    </w:p>
    <w:p w:rsidR="00000000" w:rsidRDefault="00000000">
      <w:pPr>
        <w:pStyle w:val="SingleTxt"/>
        <w:numPr>
          <w:ilvl w:val="0"/>
          <w:numId w:val="321"/>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727"/>
        <w:rPr>
          <w:b/>
        </w:rPr>
      </w:pPr>
      <w:r>
        <w:rPr>
          <w:b/>
        </w:rPr>
        <w:t>Правительство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Каких-либо функциональных структур, занимающихся данным вопросом, не имеется. Тем не менее можно отметить несколько инициатив: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Министерства юстиции, по правам человека и по делам семьи и женщин совместно с системой Организации Объединенных Наций приняли участие в разработке программы "Совместная инициатива по борьбе с секс</w:t>
      </w:r>
      <w:r>
        <w:t>у</w:t>
      </w:r>
      <w:r>
        <w:t>альным насилием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правительство вместе с сетью женских организаций и организаци</w:t>
      </w:r>
      <w:r>
        <w:t>я</w:t>
      </w:r>
      <w:r>
        <w:t>ми гражданского общества приступило к проведению кампании борьбы с се</w:t>
      </w:r>
      <w:r>
        <w:t>к</w:t>
      </w:r>
      <w:r>
        <w:t>суальным насилием в отношении женщин и в 2003 году приняло участие в о</w:t>
      </w:r>
      <w:r>
        <w:t>р</w:t>
      </w:r>
      <w:r>
        <w:t>ганизации 16 мероприятий по борьбе с насилием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министерство по делам семьи и женщин в рамках Национальной программы улучшения положения конголезских женщин приступило к пров</w:t>
      </w:r>
      <w:r>
        <w:t>е</w:t>
      </w:r>
      <w:r>
        <w:t>дению ряда пропагандистско-информационных мероприятий, начав с выпуска иллюстрированного руководства по Конвенции о ликвидации всех форм ди</w:t>
      </w:r>
      <w:r>
        <w:t>с</w:t>
      </w:r>
      <w:r>
        <w:t>криминации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министерство здравоохранения учредило Комитет по борьбе с нас</w:t>
      </w:r>
      <w:r>
        <w:t>и</w:t>
      </w:r>
      <w:r>
        <w:t>лием в отношении женщин и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Эффективность всех этих принятых мер оценить пока сложно.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своем докладе за 2004 год организация "Врачи без границ" сообщила о том, что она в Бараке в маленьком местечке в Южной Киву на берегу озера Танганьика оказывала услуги по лечению жертвам в возрасте от 4 до 70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Неправительственная организация "Медицинская помощь" сообщала о случаях изнасилования, совершенных в Экваториальной области в отношении двух женщин в возрасте 80 лет. Не щадили даже беременных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Насилие, связанное с ведением военных действий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33"/>
        <w:rPr>
          <w:b/>
        </w:rPr>
      </w:pPr>
      <w:r>
        <w:rPr>
          <w:b/>
        </w:rPr>
        <w:t>1.</w:t>
      </w:r>
      <w:r>
        <w:rPr>
          <w:b/>
        </w:rPr>
        <w:tab/>
        <w:t>Насилие, связанное с отношениями родственников, вытекающее из систематич</w:t>
      </w:r>
      <w:r>
        <w:rPr>
          <w:b/>
        </w:rPr>
        <w:t>е</w:t>
      </w:r>
      <w:r>
        <w:rPr>
          <w:b/>
        </w:rPr>
        <w:t>ских или постоянных межличностных отношений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Устное оскорбление;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Побои и ранения;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Сексуальное домогательство;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Изнасилование;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Неверность супруга.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33"/>
        <w:rPr>
          <w:b/>
        </w:rPr>
      </w:pPr>
      <w:r>
        <w:rPr>
          <w:b/>
        </w:rPr>
        <w:t>2.</w:t>
      </w:r>
      <w:r>
        <w:rPr>
          <w:b/>
        </w:rPr>
        <w:tab/>
        <w:t>Организационное насилие, вытекающее из применения законов и постановлений, необходимых для организации и функционирования частных или государственных секторов общества: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Обычаи, неблагоприятные для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Необходимость получения разрешения супруга;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Предпочтительный или принудительный брак;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Отказ в предоставлении социальных льгот;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Проблемы с получением наследства;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Придирки со стороны полиции;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Невыплата окончательного расчета или пожизненной ренты.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33"/>
        <w:rPr>
          <w:b/>
        </w:rPr>
      </w:pPr>
      <w:r>
        <w:rPr>
          <w:b/>
        </w:rPr>
        <w:t>3.</w:t>
      </w:r>
      <w:r>
        <w:rPr>
          <w:b/>
        </w:rPr>
        <w:tab/>
        <w:t>"Функциональное" насилие, вытекающее из необходимости фун</w:t>
      </w:r>
      <w:r>
        <w:rPr>
          <w:b/>
        </w:rPr>
        <w:t>к</w:t>
      </w:r>
      <w:r>
        <w:rPr>
          <w:b/>
        </w:rPr>
        <w:t>ционирования институтов, которые используются в качестве средс</w:t>
      </w:r>
      <w:r>
        <w:rPr>
          <w:b/>
        </w:rPr>
        <w:t>т</w:t>
      </w:r>
      <w:r>
        <w:rPr>
          <w:b/>
        </w:rPr>
        <w:t>ва п</w:t>
      </w:r>
      <w:r>
        <w:rPr>
          <w:b/>
        </w:rPr>
        <w:t>о</w:t>
      </w:r>
      <w:r>
        <w:rPr>
          <w:b/>
        </w:rPr>
        <w:t>лучения преимущества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Невыплата выкупа;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w:t>
      </w:r>
      <w:r>
        <w:tab/>
        <w:t>Принуждение к аборту.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Совместная инициатива по борьбе с насилием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Эта инициатива была совместно разработана министерствами юстиции, по правам человека и по делам семьи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Комиссия по установлению истины и примирению, которая является о</w:t>
      </w:r>
      <w:r>
        <w:t>д</w:t>
      </w:r>
      <w:r>
        <w:t>ним из пяти лежащих в основе демократии институтов, естественно, внесет свой вклад в решение данных проблем, поскольку в ее обязанности, в частн</w:t>
      </w:r>
      <w:r>
        <w:t>о</w:t>
      </w:r>
      <w:r>
        <w:t>сти, входит: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принятие признаний лиц, совершивших акты насилия, и любых др</w:t>
      </w:r>
      <w:r>
        <w:t>у</w:t>
      </w:r>
      <w:r>
        <w:t>гих показаний свидетелей в отношении преступлений и массовых нарушений прав человека, в частности тех, которые связаны с изнасилованием женщин и девушек в военное время;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выявление жертв и определение масштабов нанесенного ущерба;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изыскание всех соответствующих средств защиты лиц, опасающихся посягательства на их безопасность после дачи показаний.</w:t>
      </w:r>
    </w:p>
    <w:p w:rsidR="00000000" w:rsidRDefault="00000000">
      <w:pPr>
        <w:pStyle w:val="SingleTxt"/>
        <w:numPr>
          <w:ilvl w:val="0"/>
          <w:numId w:val="321"/>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727"/>
        <w:rPr>
          <w:b/>
        </w:rPr>
      </w:pPr>
      <w:r>
        <w:rPr>
          <w:b/>
        </w:rPr>
        <w:t>Неправительственные организации и религиозные конфессии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На местах в районах, затронутых конфликтами, гражданское общество понимает необходимость изобличения случаев сексуального насилия и оказ</w:t>
      </w:r>
      <w:r>
        <w:t>а</w:t>
      </w:r>
      <w:r>
        <w:t>ния помощи их жертвам.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Мобилизация общественности наиболее существенна в южной части пр</w:t>
      </w:r>
      <w:r>
        <w:t>о</w:t>
      </w:r>
      <w:r>
        <w:t>винции Киву.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Букаву многие неправительственные организации ведут борьбу с секс</w:t>
      </w:r>
      <w:r>
        <w:t>у</w:t>
      </w:r>
      <w:r>
        <w:t>альным насилием, проводя информационно-пропагандистские кампании, а также оказывая помощь жертвам такого насилия. Среди основных организаций здесь можно отметить следующие: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r>
      <w:r>
        <w:rPr>
          <w:b/>
        </w:rPr>
        <w:t>Женский базовый центр</w:t>
      </w:r>
      <w:r>
        <w:t>, который представляет собой платформу, объединяющую 11 неправительственных организаций;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r>
      <w:r>
        <w:rPr>
          <w:b/>
        </w:rPr>
        <w:t>Центр Оламе</w:t>
      </w:r>
      <w:r>
        <w:t>, структура архидьяконства Букаву, которая занимае</w:t>
      </w:r>
      <w:r>
        <w:t>т</w:t>
      </w:r>
      <w:r>
        <w:t>ся, в частности, оказанием помощи жертвам сексуального насилия;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 ноябре 2002 года этот центр принял у себя и оказал помощь 117 женщинам и девочкам, которые были изнасилованы сторонниками разли</w:t>
      </w:r>
      <w:r>
        <w:t>ч</w:t>
      </w:r>
      <w:r>
        <w:t>ных вооруженных группировок;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r>
      <w:r>
        <w:rPr>
          <w:b/>
        </w:rPr>
        <w:t>Комитет женских организаций</w:t>
      </w:r>
      <w:r>
        <w:t>, который объединяет семь неправ</w:t>
      </w:r>
      <w:r>
        <w:t>и</w:t>
      </w:r>
      <w:r>
        <w:t>тельственных организаций и  работает при поддержке ГТЗ. Он создал 33 базовые структуры, которые были названы центрами оказания чрезвыча</w:t>
      </w:r>
      <w:r>
        <w:t>й</w:t>
      </w:r>
      <w:r>
        <w:t>ной помощи и консультаций. Будучи близкими к населению, эти центры явл</w:t>
      </w:r>
      <w:r>
        <w:t>я</w:t>
      </w:r>
      <w:r>
        <w:t>ются первыми структурами, которые узнают о случаях сексуального насилия. Они регистрируют жертв такого насилия и оказывают им медицинскую и пс</w:t>
      </w:r>
      <w:r>
        <w:t>и</w:t>
      </w:r>
      <w:r>
        <w:t>хо-социальную помощь. Так, было зарегистрировано 2500 жертв насилия, а медико-санитарная помощь была оказана 943 человекам;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r>
      <w:r>
        <w:rPr>
          <w:b/>
        </w:rPr>
        <w:t>Сеть женщин в защиту прав и мира</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r>
      <w:r>
        <w:rPr>
          <w:b/>
        </w:rPr>
        <w:t>Организация "Объединим наши усилия"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r>
      <w:r>
        <w:rPr>
          <w:b/>
        </w:rPr>
        <w:t>Федерация женщин-протестанток</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Большинство жертв насилия направляется в медицинские центры, кот</w:t>
      </w:r>
      <w:r>
        <w:t>о</w:t>
      </w:r>
      <w:r>
        <w:t>рые находятся в ведении протестантской церкви, в частности по линии СЕЛПА.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r>
      <w:r>
        <w:rPr>
          <w:b/>
        </w:rPr>
        <w:t>Католическая церковь</w:t>
      </w:r>
      <w:r>
        <w:t xml:space="preserve"> через свою Комиссию справедливости и м</w:t>
      </w:r>
      <w:r>
        <w:t>и</w:t>
      </w:r>
      <w:r>
        <w:t>ра и Управления медицинской помощи оказывает медико-санитарную и психо-социальную помощь жертвам сексуального насилия. В Калеми, городе, расп</w:t>
      </w:r>
      <w:r>
        <w:t>о</w:t>
      </w:r>
      <w:r>
        <w:t>ложенном в провинции Катанга, Комиссия справедливости и мира епархии в</w:t>
      </w:r>
      <w:r>
        <w:t>е</w:t>
      </w:r>
      <w:r>
        <w:t>дет весьма активную работу. В других затронутых конфликтом провинциях н</w:t>
      </w:r>
      <w:r>
        <w:t>е</w:t>
      </w:r>
      <w:r>
        <w:t>правительственные организации работают без какой-либо координации со ст</w:t>
      </w:r>
      <w:r>
        <w:t>о</w:t>
      </w:r>
      <w:r>
        <w:t>роны. Усилия по обеспечению синергии в работе находятся только в зачато</w:t>
      </w:r>
      <w:r>
        <w:t>ч</w:t>
      </w:r>
      <w:r>
        <w:t>ном состоянии.</w:t>
      </w:r>
    </w:p>
    <w:p w:rsidR="00000000" w:rsidRDefault="00000000">
      <w:pPr>
        <w:pStyle w:val="SingleTxt"/>
        <w:numPr>
          <w:ilvl w:val="0"/>
          <w:numId w:val="321"/>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800"/>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800" w:hanging="540"/>
        <w:rPr>
          <w:b/>
        </w:rPr>
      </w:pPr>
      <w:r>
        <w:rPr>
          <w:b/>
        </w:rPr>
        <w:t>Учреждения системы Организации Объединенных Наций и наци</w:t>
      </w:r>
      <w:r>
        <w:rPr>
          <w:b/>
        </w:rPr>
        <w:t>о</w:t>
      </w:r>
      <w:r>
        <w:rPr>
          <w:b/>
        </w:rPr>
        <w:t>нальные и международные неправительственные организации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Что касается борьбы с сексуальным насилием, то ЮНИСЕФ поддержив</w:t>
      </w:r>
      <w:r>
        <w:t>а</w:t>
      </w:r>
      <w:r>
        <w:t>ет местные и неправительственные организации в их деятельности по оказ</w:t>
      </w:r>
      <w:r>
        <w:t>а</w:t>
      </w:r>
      <w:r>
        <w:t>нию медико-санитарной и психологической помощи женщинам и детям - жер</w:t>
      </w:r>
      <w:r>
        <w:t>т</w:t>
      </w:r>
      <w:r>
        <w:t>вам травм и насилия, связанных с вооруженными конфликтами. В настоящее время он оказывает свою помощь больнице Панзи в провинции Букаву и орг</w:t>
      </w:r>
      <w:r>
        <w:t>а</w:t>
      </w:r>
      <w:r>
        <w:t>низации "Международное сотрудничество" в Итури, в которых лечатся пр</w:t>
      </w:r>
      <w:r>
        <w:t>и</w:t>
      </w:r>
      <w:r>
        <w:t>мерно 2500 жертв такого насилия.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ПРООН включила гендерный фактор во все свои мероприятия и усилия по оказанию поддержки Национальной программе улучшения положения ко</w:t>
      </w:r>
      <w:r>
        <w:t>н</w:t>
      </w:r>
      <w:r>
        <w:t>голезских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Организация "Врачи без границ" занимается оказанием медицинской и психо-социальной помощи жертвам насилия в Бараке в провинции Южная К</w:t>
      </w:r>
      <w:r>
        <w:t>и</w:t>
      </w:r>
      <w:r>
        <w:t xml:space="preserve">ву.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Следует отметить, что непросто оценить все масштабы катастрофы, вызванной войной. Равным образом невозможно и точно определить к</w:t>
      </w:r>
      <w:r>
        <w:rPr>
          <w:b/>
        </w:rPr>
        <w:t>о</w:t>
      </w:r>
      <w:r>
        <w:rPr>
          <w:b/>
        </w:rPr>
        <w:t>личество жертв, поскольку большинство из них предпочитают не расск</w:t>
      </w:r>
      <w:r>
        <w:rPr>
          <w:b/>
        </w:rPr>
        <w:t>а</w:t>
      </w:r>
      <w:r>
        <w:rPr>
          <w:b/>
        </w:rPr>
        <w:t>зывать о том, что они пережили. Поэтому цифры, приводимые в разли</w:t>
      </w:r>
      <w:r>
        <w:rPr>
          <w:b/>
        </w:rPr>
        <w:t>ч</w:t>
      </w:r>
      <w:r>
        <w:rPr>
          <w:b/>
        </w:rPr>
        <w:t>ных докладах, носят чисто ориентировочный характер.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Для оказания помощи жертвам насилия все еще предпринимается мало мер. Правительство должно приложить дополнительные усилия для непосредственной работы с жертвами насилия, учитывая при этом также инициативы, предпринимаемые организациями на местах.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rPr>
          <w:b/>
        </w:rPr>
        <w:tab/>
        <w:t>Международное сообщество хотело бы, чтобы Комиссия по устано</w:t>
      </w:r>
      <w:r>
        <w:rPr>
          <w:b/>
        </w:rPr>
        <w:t>в</w:t>
      </w:r>
      <w:r>
        <w:rPr>
          <w:b/>
        </w:rPr>
        <w:t>лению истины и примирению, которая лежит в основе поддержки дем</w:t>
      </w:r>
      <w:r>
        <w:rPr>
          <w:b/>
        </w:rPr>
        <w:t>о</w:t>
      </w:r>
      <w:r>
        <w:rPr>
          <w:b/>
        </w:rPr>
        <w:t>кратии и в задачи которой входят установление истины, обеспечение справедливости, прощение и примирение, рассказала правду о случаях н</w:t>
      </w:r>
      <w:r>
        <w:rPr>
          <w:b/>
        </w:rPr>
        <w:t>а</w:t>
      </w:r>
      <w:r>
        <w:rPr>
          <w:b/>
        </w:rPr>
        <w:t>силия, которые были совершены во время войны и за которые женщины платят большую цену; это нужно для того, чтобы многочисленные жертвы т</w:t>
      </w:r>
      <w:r>
        <w:rPr>
          <w:b/>
        </w:rPr>
        <w:t>а</w:t>
      </w:r>
      <w:r>
        <w:rPr>
          <w:b/>
        </w:rPr>
        <w:t>кого насилия могли получить компенсацию.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rPr>
          <w:b/>
        </w:rP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pPr>
      <w:r>
        <w:t xml:space="preserve">Рекомендации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w:t>
      </w:r>
      <w:r>
        <w:tab/>
        <w:t xml:space="preserve">Правительство должно: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освободить правовое пространство от всех существующих правовых изъянов, которые все еще препятствуют всестороннему осуществлению Ко</w:t>
      </w:r>
      <w:r>
        <w:t>н</w:t>
      </w:r>
      <w:r>
        <w:t>венции о ликвидации всех форм дискриминации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выделить достаточные кредиты министерству по делам семьи и женщин, с тем чтобы оно могло выполнить свои задачи;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обеспечить представленность женщин на уровне не менее 30 процентов в директивных органах в период демократической перестройки;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активизировать информационно-пропагандистские кампании по ра</w:t>
      </w:r>
      <w:r>
        <w:t>с</w:t>
      </w:r>
      <w:r>
        <w:t>пространению законодательных текстов, касающихся женщин, в том числе Конвенции о ликвидации всех форм дискриминации в отношении женщин, на местных языках и облегчить ознакомление с ними путем использования соо</w:t>
      </w:r>
      <w:r>
        <w:t>т</w:t>
      </w:r>
      <w:r>
        <w:t>ветствующих средств;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укрепить возможности учреждений и тех, кто отвечает за сбор д</w:t>
      </w:r>
      <w:r>
        <w:t>е</w:t>
      </w:r>
      <w:r>
        <w:t>загрегированных данных по женщинам и проводить их периодическую оценку;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продолжить процесс восстановления мира и объединения страны с целью возобновления экономического подъема и тем самым остановить пр</w:t>
      </w:r>
      <w:r>
        <w:t>о</w:t>
      </w:r>
      <w:r>
        <w:t>цесс обнищ</w:t>
      </w:r>
      <w:r>
        <w:t>а</w:t>
      </w:r>
      <w:r>
        <w:t>ния населения, от которого страдают в первую очередь женщины;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создать в срочном порядке национальную программу борьбы с се</w:t>
      </w:r>
      <w:r>
        <w:t>к</w:t>
      </w:r>
      <w:r>
        <w:t>суальным насилием в отношении женщин и девушек;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оказать ощутимую поддержку национальной комиссии по цензуре в ее борьбе за запрещение унижающего их достоинство изображения женщин в средствах информации и в народном языке;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распространить и принять документ о национальной стратегии включения гендерного фактора в политику и программы национального разв</w:t>
      </w:r>
      <w:r>
        <w:t>и</w:t>
      </w:r>
      <w:r>
        <w:t>тия.</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II.</w:t>
      </w:r>
      <w:r>
        <w:tab/>
        <w:t xml:space="preserve">Неправительственные организации и ассоциации, работающие в области улучшения положения женщины должны: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работать совместно и в координации в рамках тематических групп и сетей с целью повышения эффективности своей деятельности;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активизировать информационную и пропагандистскую деятельность;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принять дополнительные меры для изменения менталитета с целью искоренения сексистских стереотипов, представлений, обычаев и традиций, пропагандирующих второстепенное место женщины.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sz w:val="10"/>
        </w:rPr>
      </w:pPr>
      <w:r>
        <w:br w:type="page"/>
      </w: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III.</w:t>
      </w:r>
      <w:r>
        <w:tab/>
        <w:t xml:space="preserve">Женщины должны: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взять на себя индивидуальную и коллективную ответственность на равной основе с мужчинами, как партнерами;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обеспечить гендерное воспитание своих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изменить менталитет.</w:t>
      </w: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IV.</w:t>
      </w:r>
      <w:r>
        <w:tab/>
        <w:t xml:space="preserve">Двусторонние и многосторонние организации должны: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значительно усилить свою поддержку министерства по делам семьи и женщин в рамках осуществления Национальной программы улучшения п</w:t>
      </w:r>
      <w:r>
        <w:t>о</w:t>
      </w:r>
      <w:r>
        <w:t>ложения конголезских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w:t>
      </w:r>
      <w:r>
        <w:tab/>
        <w:t>принять совместные меры в порядке поддержки Национальной пр</w:t>
      </w:r>
      <w:r>
        <w:t>о</w:t>
      </w:r>
      <w:r>
        <w:t>граммы улучшения положения конголезских женщин с целью повышения ее эффективности и результативности.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pPr>
      <w:r>
        <w:t xml:space="preserve">Заключение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Мы хотели бы завершить проделанную нами работу, рассказав о случае, который произошел 8 марта 2004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Группа женщин, одетых в специальные наряды по случаю проведения Международного женского дня, собралась на автобусной остановке в ожидании транспорта, на котором она могла бы добраться до Народного дворца, где было намечено проведение соответствующих манифестаций.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Один мужчина, привлеченный их нарядами, подошел к ним и спросил: "Же</w:t>
      </w:r>
      <w:r>
        <w:t>н</w:t>
      </w:r>
      <w:r>
        <w:t>щины, куда вы собираетесь отправиться, столь нарядно одетые?"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Довольные женщины ответили: "Мы едем в Народный дворец, сегодня женский праздник, это наш праздник".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Этот мужчина ответил: "Праздник по какому поводу, женщины ведь и есть женщины". Это означает, что они должны находиться на ступеньку ниже му</w:t>
      </w:r>
      <w:r>
        <w:t>ж</w:t>
      </w:r>
      <w:r>
        <w:t>чин.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Мы рассказали об этом случае, чтобы показать все масштабы той задачи, которую предстоит выполнить для того, чтобы общество начало понимать, что мужчины и женщины являются естественными партнерами, которые должны шагать по жизни вместе, бок о бок, взаимно уважая друг друга, на условиях взаимности и равенства.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pPr>
      <w:r>
        <w:t>Документация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w:t>
      </w:r>
      <w:r>
        <w:tab/>
        <w:t xml:space="preserve">Тексты законов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w:t>
      </w:r>
      <w:r>
        <w:tab/>
        <w:t xml:space="preserve">Закон № 87-010 о семейном кодексе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w:t>
      </w:r>
      <w:r>
        <w:tab/>
        <w:t>Рамочный закон № 86-005 от 22 сентября 1986 года о национальном обр</w:t>
      </w:r>
      <w:r>
        <w:t>а</w:t>
      </w:r>
      <w:r>
        <w:t>зовании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w:t>
      </w:r>
      <w:r>
        <w:tab/>
        <w:t>Закон № 015/2002 от 16 октября 2002 года о трудовом кодексе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w:t>
      </w:r>
      <w:r>
        <w:tab/>
        <w:t>Закон № 04/003 от 31 марта 2004 года о государственном бюджете на ф</w:t>
      </w:r>
      <w:r>
        <w:t>и</w:t>
      </w:r>
      <w:r>
        <w:t>нансовый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w:t>
      </w:r>
      <w:r>
        <w:tab/>
        <w:t>Указ № 197 о внесении изменений и дополнений в закон № 81-002 от 29 июня о конголезской национальности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w:t>
      </w:r>
      <w:r>
        <w:tab/>
        <w:t>Временная конституция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w:t>
      </w:r>
      <w:r>
        <w:tab/>
        <w:t>Глобальное и всеобщее соглашение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II.</w:t>
      </w:r>
      <w:r>
        <w:tab/>
        <w:t xml:space="preserve">Доклады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w:t>
      </w:r>
      <w:r>
        <w:tab/>
        <w:t>Всемирный доклад о развитии людских ресурсов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w:t>
      </w:r>
      <w:r>
        <w:tab/>
        <w:t>Доклад о положении женщин на местах в Демократической Республике Конго, Сангана Бидуайа, апрель 2003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w:t>
      </w:r>
      <w:r>
        <w:tab/>
        <w:t>Доклад консультативной миссии по информационно-пропагандистской работе.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w:t>
      </w:r>
      <w:r>
        <w:tab/>
        <w:t>Часть 1 "Препятствия на пути улучшения положения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w:t>
      </w:r>
      <w:r>
        <w:tab/>
        <w:t>Доклад о работе информационного семинара о степени охвата девочек, находящихся в сложном положении в Киншасе, системой школьного образов</w:t>
      </w:r>
      <w:r>
        <w:t>а</w:t>
      </w:r>
      <w:r>
        <w:t>ния, сентябрь 2003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w:t>
      </w:r>
      <w:r>
        <w:tab/>
        <w:t>Ежегодный доклад Национальной программы по улучшению положения конголезских женщин за 2003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w:t>
      </w:r>
      <w:r>
        <w:tab/>
        <w:t>Ежегодный доклад ДИРАФ за 2001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w:t>
      </w:r>
      <w:r>
        <w:tab/>
        <w:t>Национальный доклад Демократической Республики Конго об изучении и оценке плана действий "Пекин+10"</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w:t>
      </w:r>
      <w:r>
        <w:tab/>
        <w:t>Сообщение для прессы организации "Врачи без границ", апрель 2004 года (положение в Бараке)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III.</w:t>
      </w:r>
      <w:r>
        <w:tab/>
        <w:t xml:space="preserve">Различные документы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1.</w:t>
      </w:r>
      <w:r>
        <w:tab/>
        <w:t>Положение с нормами обычного права и правами женщин в Дем</w:t>
      </w:r>
      <w:r>
        <w:t>о</w:t>
      </w:r>
      <w:r>
        <w:t>кратической Республике Конго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2.</w:t>
      </w:r>
      <w:r>
        <w:tab/>
        <w:t>Оценка хода осуществления Конвенции о ликвидации всех форм дискриминации в отношении женщин в Заире, Боли-Нонква, 1996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3.</w:t>
      </w:r>
      <w:r>
        <w:tab/>
        <w:t>Стратегии включения гендерного фактора в политику и программы развития Демократической Республики Конго, ноябрь 2003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4.</w:t>
      </w:r>
      <w:r>
        <w:tab/>
        <w:t>Национальное обследование положения женщин и детей в 1995 году, обследование по многим показателям с применением гнездовой выработки 1 (ОПГВ-1)</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5.</w:t>
      </w:r>
      <w:r>
        <w:tab/>
        <w:t>Национальное обследование положения женщин и детей в 2001 году, ОПГВ-2</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6.</w:t>
      </w:r>
      <w:r>
        <w:tab/>
        <w:t>Документ о стратегии сокращения нищеты (промежуточный вар</w:t>
      </w:r>
      <w:r>
        <w:t>и</w:t>
      </w:r>
      <w:r>
        <w:t>ант), министерство планирования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7.</w:t>
      </w:r>
      <w:r>
        <w:tab/>
        <w:t>Многосекторальная программа оказания чрезвычайной помощи и восстановления, "Основные причины и варианты", май 2003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8.</w:t>
      </w:r>
      <w:r>
        <w:tab/>
        <w:t>Меморандум о правовом статусе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pPr>
      <w:r>
        <w:t>Библиографические ссылки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w:t>
      </w:r>
      <w:r>
        <w:tab/>
        <w:t>"Во имя спасения Африки спасем африканских женщин", послание Ген</w:t>
      </w:r>
      <w:r>
        <w:t>е</w:t>
      </w:r>
      <w:r>
        <w:t>рального секретаря Организации Объединенных Наций г-на Кофи Анана по случаю празднования Нового года в 2003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w:t>
      </w:r>
      <w:r>
        <w:tab/>
        <w:t>Всемирный доклад о развитии людских ресурсов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w:t>
      </w:r>
      <w:r>
        <w:tab/>
        <w:t>Доклад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w:t>
      </w:r>
      <w:r>
        <w:tab/>
        <w:t>Положение с нормами обычного права и правами женщин в Демократич</w:t>
      </w:r>
      <w:r>
        <w:t>е</w:t>
      </w:r>
      <w:r>
        <w:t>ской Республике Конго, Гамбебмо Гавийа, апрель 1999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w:t>
      </w:r>
      <w:r>
        <w:tab/>
        <w:t>Там же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w:t>
      </w:r>
      <w:r>
        <w:tab/>
        <w:t>Доклад миссии по информационно-пропагандистской работе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w:t>
      </w:r>
      <w:r>
        <w:tab/>
        <w:t>ДСРП</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w:t>
      </w:r>
      <w:r>
        <w:tab/>
        <w:t>ОПГВ-2, стр. 77 французского текста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w:t>
      </w:r>
      <w:r>
        <w:tab/>
        <w:t>ОПГВ-2, стр. 82 французского текста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w:t>
      </w:r>
      <w:r>
        <w:tab/>
        <w:t>Межсекторальная программа оказания чрезвычайной помощи и реконс</w:t>
      </w:r>
      <w:r>
        <w:t>т</w:t>
      </w:r>
      <w:r>
        <w:t>рукции, стр. 36 французского текста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w:t>
      </w:r>
      <w:r>
        <w:tab/>
        <w:t>Стратегии включения гендерного фактора в политику и программы разв</w:t>
      </w:r>
      <w:r>
        <w:t>и</w:t>
      </w:r>
      <w:r>
        <w:t xml:space="preserve">тия, стр. 27 французского текста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w:t>
      </w:r>
      <w:r>
        <w:tab/>
        <w:t>Случаи насилия в отношении женщин и девочек в Демократической Ре</w:t>
      </w:r>
      <w:r>
        <w:t>с</w:t>
      </w:r>
      <w:r>
        <w:t>публике Конго, стр. 9 и последующие страницы французского текста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ab/>
      </w:r>
      <w:r>
        <w:rPr>
          <w:b/>
        </w:rPr>
        <w:t>Настоящий доклад был подготовлен г</w:t>
      </w:r>
      <w:r>
        <w:rPr>
          <w:b/>
        </w:rPr>
        <w:noBreakHyphen/>
        <w:t>жой ......., консультантом при содействии: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w:t>
      </w:r>
      <w:r>
        <w:tab/>
        <w:t>группы сотрудников министерства по делам семьи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w:t>
      </w:r>
      <w:r>
        <w:tab/>
        <w:t>группы сотрудников проекта "Поддержка Национальной программы улучшения положения конголезских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w:t>
      </w:r>
      <w:r>
        <w:tab/>
        <w:t>г-на Сабана Бруно, директора Национального института статистики.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r>
      <w:r>
        <w:rPr>
          <w:b/>
        </w:rPr>
        <w:t>А также при технической поддержке</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w:t>
      </w:r>
      <w:r>
        <w:tab/>
        <w:t>г-жи Мишику Шанталь;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w:t>
      </w:r>
      <w:r>
        <w:tab/>
        <w:t>г-жи Ингуера Мари Луиза, секретарь.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pPr>
      <w:r>
        <w:t>Рекомендации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1.</w:t>
      </w:r>
      <w:r>
        <w:tab/>
        <w:t xml:space="preserve">Правительство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r>
      <w:r>
        <w:t>В статье 51 временный конституции делается значительный прорыв вп</w:t>
      </w:r>
      <w:r>
        <w:t>е</w:t>
      </w:r>
      <w:r>
        <w:t>ред в том, что касается законов, затрагивающих женщин, поскольку в ней четко закрепляется обязанность государства выполнять положения Конвенции о ли</w:t>
      </w:r>
      <w:r>
        <w:t>к</w:t>
      </w:r>
      <w:r>
        <w:t xml:space="preserve">видации всех форм дискриминации в отношении женщин, и такое стремление нашло также свое отражение в том, что структура, занимающаяся улучшением положения женщин, была возведена в ранг министерства.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Для закрепления этого государство должно исключить из своего правов</w:t>
      </w:r>
      <w:r>
        <w:t>о</w:t>
      </w:r>
      <w:r>
        <w:t>го пространства все правовые изъяны, которые до сих пор существуют и пр</w:t>
      </w:r>
      <w:r>
        <w:t>е</w:t>
      </w:r>
      <w:r>
        <w:t>пя</w:t>
      </w:r>
      <w:r>
        <w:t>т</w:t>
      </w:r>
      <w:r>
        <w:t>ствуют всестороннему осуществлению положений Конвенции.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Оно должно также и впредь принимать усилия для обеспечения предста</w:t>
      </w:r>
      <w:r>
        <w:t>в</w:t>
      </w:r>
      <w:r>
        <w:t>ленности женщин во всех сферах принятия решений на уровне 30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Для того чтобы не подрывать доверия к себе, правительство не должно ограничиваться заявлениями о намерении и общими директивными указани</w:t>
      </w:r>
      <w:r>
        <w:t>я</w:t>
      </w:r>
      <w:r>
        <w:t>ми. Свои убеждения оно должно подкрепить выделением министерству по д</w:t>
      </w:r>
      <w:r>
        <w:t>е</w:t>
      </w:r>
      <w:r>
        <w:t>лам семьи и женщин достаточных средств, с тем чтобы оно могло выполнить стоящие перед ним задачи в области улучшения положения женщин путем:</w:t>
      </w:r>
    </w:p>
    <w:p w:rsidR="00000000" w:rsidRDefault="00000000">
      <w:pPr>
        <w:pStyle w:val="SingleTxt"/>
        <w:numPr>
          <w:ilvl w:val="0"/>
          <w:numId w:val="321"/>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277"/>
      </w:pPr>
      <w:r>
        <w:t>организации и/или активизации информационно-пропагандистских кампаний по распространению различных законодательных текстов, касающихся, в частности, Конвенции о ликвидации всех форм дискр</w:t>
      </w:r>
      <w:r>
        <w:t>и</w:t>
      </w:r>
      <w:r>
        <w:t>минации в отношении женщин, семейного и трудов</w:t>
      </w:r>
      <w:r>
        <w:t>о</w:t>
      </w:r>
      <w:r>
        <w:t>го кодексов;</w:t>
      </w:r>
    </w:p>
    <w:p w:rsidR="00000000" w:rsidRDefault="00000000">
      <w:pPr>
        <w:pStyle w:val="SingleTxt"/>
        <w:numPr>
          <w:ilvl w:val="0"/>
          <w:numId w:val="321"/>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277"/>
      </w:pPr>
      <w:r>
        <w:t>перевода текста Конвенции на четыре национальных языка с целью о</w:t>
      </w:r>
      <w:r>
        <w:t>б</w:t>
      </w:r>
      <w:r>
        <w:t>легчения ее понимания возросшим числом женщин;</w:t>
      </w:r>
    </w:p>
    <w:p w:rsidR="00000000" w:rsidRDefault="00000000">
      <w:pPr>
        <w:pStyle w:val="SingleTxt"/>
        <w:numPr>
          <w:ilvl w:val="0"/>
          <w:numId w:val="321"/>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277"/>
      </w:pPr>
      <w:r>
        <w:t>укрепления организационных возможностей и возможностей лиц, о</w:t>
      </w:r>
      <w:r>
        <w:t>т</w:t>
      </w:r>
      <w:r>
        <w:t>ветственных как на национальном, так и на местном уровне за улучш</w:t>
      </w:r>
      <w:r>
        <w:t>е</w:t>
      </w:r>
      <w:r>
        <w:t>ние работы механизмов контроля за осуществлением положений Ко</w:t>
      </w:r>
      <w:r>
        <w:t>н</w:t>
      </w:r>
      <w:r>
        <w:t>ве</w:t>
      </w:r>
      <w:r>
        <w:t>н</w:t>
      </w:r>
      <w:r>
        <w:t>ции;</w:t>
      </w:r>
    </w:p>
    <w:p w:rsidR="00000000" w:rsidRDefault="00000000">
      <w:pPr>
        <w:pStyle w:val="SingleTxt"/>
        <w:numPr>
          <w:ilvl w:val="0"/>
          <w:numId w:val="321"/>
        </w:numP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hanging="277"/>
      </w:pPr>
      <w:r>
        <w:t>стандартизации системы сбора данных с целью получения надежных результатов по всем районам страны и периодической организации о</w:t>
      </w:r>
      <w:r>
        <w:t>б</w:t>
      </w:r>
      <w:r>
        <w:t>щенациональных обследований.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Государство должно также укрепить процесс восстановления мира в стране для того, чтобы действительно приступить к программе экономического подъема и тем самым воспрепятствовать обнищанию населения, поскольку развитие без мира невозможно.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Государство должно вновь взять на себя ответственность и субсидировать социальный сектор, в частности, в том, что касается образования и здрав</w:t>
      </w:r>
      <w:r>
        <w:t>о</w:t>
      </w:r>
      <w:r>
        <w:t>охранения.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Государство должно принять все меры для того, чтобы оздоровить сре</w:t>
      </w:r>
      <w:r>
        <w:t>д</w:t>
      </w:r>
      <w:r>
        <w:t>ства информации и дать Комиссии по цензуре возможность играть свою роль в том, что касается запрещения публикации непристойной и унижающей дост</w:t>
      </w:r>
      <w:r>
        <w:t>о</w:t>
      </w:r>
      <w:r>
        <w:t>инство женщин информации и лицензирования передач и песен.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2.</w:t>
      </w:r>
      <w:r>
        <w:tab/>
        <w:t xml:space="preserve">Неправительственные организации и ассоциации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b/>
        </w:rPr>
        <w:tab/>
      </w:r>
      <w:r>
        <w:t>Неправительственные организации и ассоциации, работающие в области улучшения положения женщин, организованные в рамках тематической группы "Женщины и руководство", должны усилить свою совместную работу и проя</w:t>
      </w:r>
      <w:r>
        <w:t>в</w:t>
      </w:r>
      <w:r>
        <w:t>лять большую активность при проведении информационно-пропагандистских кампаний, а также активизировать свою информационную деятельность, с тем чтобы женщины осознали весь смысл борьбы за включение гендерного факт</w:t>
      </w:r>
      <w:r>
        <w:t>о</w:t>
      </w:r>
      <w:r>
        <w:t>ра в национальные программы.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3.</w:t>
      </w:r>
      <w:r>
        <w:tab/>
        <w:t>Женщины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Женщины, на которых распространяется Конвенция о ликвидации всех форм расовой дискриминации, должны понять, что им необходимо вести и</w:t>
      </w:r>
      <w:r>
        <w:t>н</w:t>
      </w:r>
      <w:r>
        <w:t>тенсивную борьбу, чтобы изменить сексистские стереотипы и представления, из-за которых на протяжении многих лет женщины всегда подвергались ди</w:t>
      </w:r>
      <w:r>
        <w:t>с</w:t>
      </w:r>
      <w:r>
        <w:t>криминации и занимали в обществе второстепенное положение.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Воспитать женщину - значит воспитать нацию; женщина - хранительница традиций, которая передает другим в обществе моральные ценности; необх</w:t>
      </w:r>
      <w:r>
        <w:t>о</w:t>
      </w:r>
      <w:r>
        <w:t>димо особое внимание уделять ее положению, но и ей также следует изменить свой менталитет. Она должна в достаточной степени понимать, за что она б</w:t>
      </w:r>
      <w:r>
        <w:t>о</w:t>
      </w:r>
      <w:r>
        <w:t>рется.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Фактически, успешное осуществление программы улучшения положения женщин будет в значительной степени зависеть от того, какими она воспитает своих детей с самого раннего возраста.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Она должна дать понять обществу, что она является неизбежным партн</w:t>
      </w:r>
      <w:r>
        <w:t>е</w:t>
      </w:r>
      <w:r>
        <w:t>ром по развитию и что подготовка и разработка программ развития без учета ее интересов одновременно означает подрыв ее успешного осуществления и пр</w:t>
      </w:r>
      <w:r>
        <w:t>е</w:t>
      </w:r>
      <w:r>
        <w:t>дания забвению крупной категории общества. Для того чтобы такая информ</w:t>
      </w:r>
      <w:r>
        <w:t>а</w:t>
      </w:r>
      <w:r>
        <w:t>ционно-пропагандистская работа принесла свои плоды, важно, чтобы женщ</w:t>
      </w:r>
      <w:r>
        <w:t>и</w:t>
      </w:r>
      <w:r>
        <w:t>ны, отвечающие всем необходимым критериям, а их становится все больше и больше, более решительно занимали места в директивных органах, с тем чт</w:t>
      </w:r>
      <w:r>
        <w:t>о</w:t>
      </w:r>
      <w:r>
        <w:t>бы их голос можно было услышать и на этом уровне.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rPr>
          <w:sz w:val="10"/>
        </w:rPr>
      </w:pPr>
      <w:r>
        <w:tab/>
        <w:t>4.</w:t>
      </w:r>
      <w:r>
        <w:tab/>
        <w:t>Международные организации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Международные организации должны в рамках соответствующих согл</w:t>
      </w:r>
      <w:r>
        <w:t>а</w:t>
      </w:r>
      <w:r>
        <w:t>шений по линии министерства по делам семьи и женщин продолжать оказ</w:t>
      </w:r>
      <w:r>
        <w:t>ы</w:t>
      </w:r>
      <w:r>
        <w:t>вать женщинам свою поддержку.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pPr>
      <w:r>
        <w:t>_________</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pP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NO&gt;&gt;N0467204R&lt;&lt;ODS JOB NO&gt;&gt;</w:t>
      </w:r>
    </w:p>
    <w:p w:rsidR="00000000" w:rsidRDefault="00000000">
      <w:pPr>
        <w:pStyle w:val="CommentText"/>
        <w:rPr>
          <w:lang w:val="en-US"/>
        </w:rPr>
      </w:pPr>
      <w:r>
        <w:rPr>
          <w:lang w:val="en-US"/>
        </w:rPr>
        <w:t>&lt;&lt;ODS DOC SYMBOL1&gt;&gt;CEDAW/C/COD/4-5&lt;&lt;ODS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w:t>
    </w:r>
    <w:r>
      <w:rPr>
        <w:b w:val="0"/>
        <w:noProof w:val="0"/>
        <w:sz w:val="20"/>
        <w:lang w:val="en-US"/>
      </w:rPr>
      <w:t>67204</w:t>
    </w:r>
    <w:r>
      <w:rPr>
        <w:b w:val="0"/>
        <w:sz w:val="20"/>
      </w:rPr>
      <w:t xml:space="preserve"> (R) </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*0467204*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доклад издается без официального редактирования.</w:t>
      </w:r>
    </w:p>
    <w:p w:rsidR="00000000" w:rsidRDefault="00000000">
      <w:pPr>
        <w:pStyle w:val="FootnoteText"/>
        <w:tabs>
          <w:tab w:val="clear" w:pos="418"/>
          <w:tab w:val="right" w:pos="1195"/>
          <w:tab w:val="left" w:pos="1267"/>
          <w:tab w:val="left" w:pos="1742"/>
          <w:tab w:val="left" w:pos="2218"/>
          <w:tab w:val="left" w:pos="2693"/>
        </w:tabs>
        <w:ind w:left="1267" w:right="1260" w:hanging="432"/>
      </w:pP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Первоначальный доклад, представленный правительством Демократической Республики Конго (бывший Заир), см. в документе </w:t>
      </w:r>
      <w:r>
        <w:rPr>
          <w:lang w:val="en-US"/>
        </w:rPr>
        <w:t>CEDAW</w:t>
      </w:r>
      <w:r>
        <w:t>/</w:t>
      </w:r>
      <w:r>
        <w:rPr>
          <w:lang w:val="en-US"/>
        </w:rPr>
        <w:t>C</w:t>
      </w:r>
      <w:r>
        <w:t xml:space="preserve">/ZAR/1, который Комитет рассмотрел на своей двадцать второй сессии. Второй периодический доклад, представленный правительством Демократической Республики Конго, см. в документах </w:t>
      </w:r>
      <w:r>
        <w:rPr>
          <w:lang w:val="en-US"/>
        </w:rPr>
        <w:t>CEDAW</w:t>
      </w:r>
      <w:r>
        <w:t>/</w:t>
      </w:r>
      <w:r>
        <w:rPr>
          <w:lang w:val="en-US"/>
        </w:rPr>
        <w:t>C</w:t>
      </w:r>
      <w:r>
        <w:t xml:space="preserve">/ZAR/2 и </w:t>
      </w:r>
      <w:r>
        <w:rPr>
          <w:lang w:val="en-US"/>
        </w:rPr>
        <w:t>CEDAW</w:t>
      </w:r>
      <w:r>
        <w:t>/</w:t>
      </w:r>
      <w:r>
        <w:rPr>
          <w:lang w:val="en-US"/>
        </w:rPr>
        <w:t>C</w:t>
      </w:r>
      <w:r>
        <w:t>/ZAR/2/</w:t>
      </w:r>
      <w:r>
        <w:rPr>
          <w:lang w:val="en-US"/>
        </w:rPr>
        <w:t>Add</w:t>
      </w:r>
      <w:r>
        <w:t xml:space="preserve">.1, которые Комитет рассмотрел на своей двадцать второй сессии. Третий периодический доклад, представленный правительством Демократической Республики Конго, см. в документе </w:t>
      </w:r>
      <w:r>
        <w:rPr>
          <w:lang w:val="en-US"/>
        </w:rPr>
        <w:t>CEDAW</w:t>
      </w:r>
      <w:r>
        <w:t>/</w:t>
      </w:r>
      <w:r>
        <w:rPr>
          <w:lang w:val="en-US"/>
        </w:rPr>
        <w:t>C</w:t>
      </w:r>
      <w:r>
        <w:t>/</w:t>
      </w:r>
      <w:r>
        <w:rPr>
          <w:lang w:val="en-US"/>
        </w:rPr>
        <w:t>COD</w:t>
      </w:r>
      <w:r>
        <w:t>/3, который Комитет рассмотрел на своей двадцать второй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/C/COD/4-5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30 November 2004</w:t>
          </w:r>
        </w:p>
        <w:p w:rsidR="00000000" w:rsidRDefault="00000000">
          <w:pPr>
            <w:rPr>
              <w:lang w:val="en-US"/>
            </w:rPr>
          </w:pPr>
          <w:r>
            <w:rPr>
              <w:lang w:val="en-US"/>
            </w:rPr>
            <w:t>Russian</w:t>
          </w:r>
        </w:p>
        <w:p w:rsidR="00000000" w:rsidRDefault="00000000">
          <w:pPr>
            <w:rPr>
              <w:lang w:val="en-US"/>
            </w:rPr>
          </w:pPr>
          <w:r>
            <w:rPr>
              <w:lang w:val="en-US"/>
            </w:rPr>
            <w:t>Original: French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CEDAW/C/COD/4-5</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CEDAW/C/COD/4-5</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8D603A4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5D605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29E75E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FDE849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
    <w:nsid w:val="06EE7E36"/>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21">
    <w:nsid w:val="06FF0D37"/>
    <w:multiLevelType w:val="multilevel"/>
    <w:tmpl w:val="2D580E42"/>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2">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8BA78F5"/>
    <w:multiLevelType w:val="singleLevel"/>
    <w:tmpl w:val="F938A33E"/>
    <w:lvl w:ilvl="0">
      <w:numFmt w:val="bullet"/>
      <w:lvlText w:val="-"/>
      <w:lvlJc w:val="left"/>
      <w:pPr>
        <w:tabs>
          <w:tab w:val="num" w:pos="360"/>
        </w:tabs>
        <w:ind w:left="360" w:hanging="360"/>
      </w:pPr>
      <w:rPr>
        <w:rFonts w:hint="default"/>
      </w:rPr>
    </w:lvl>
  </w:abstractNum>
  <w:abstractNum w:abstractNumId="27">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2">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4">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6">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7">
    <w:nsid w:val="0C55490E"/>
    <w:multiLevelType w:val="singleLevel"/>
    <w:tmpl w:val="F938A33E"/>
    <w:lvl w:ilvl="0">
      <w:numFmt w:val="bullet"/>
      <w:lvlText w:val="-"/>
      <w:lvlJc w:val="left"/>
      <w:pPr>
        <w:tabs>
          <w:tab w:val="num" w:pos="360"/>
        </w:tabs>
        <w:ind w:left="360" w:hanging="360"/>
      </w:pPr>
      <w:rPr>
        <w:rFonts w:hint="default"/>
      </w:rPr>
    </w:lvl>
  </w:abstractNum>
  <w:abstractNum w:abstractNumId="38">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9">
    <w:nsid w:val="0F321979"/>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40">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41">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4">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10C8709E"/>
    <w:multiLevelType w:val="singleLevel"/>
    <w:tmpl w:val="E556B404"/>
    <w:lvl w:ilvl="0">
      <w:start w:val="1"/>
      <w:numFmt w:val="decimal"/>
      <w:lvlText w:val="%1."/>
      <w:lvlJc w:val="left"/>
      <w:pPr>
        <w:tabs>
          <w:tab w:val="num" w:pos="648"/>
        </w:tabs>
        <w:ind w:left="288" w:firstLine="0"/>
      </w:pPr>
    </w:lvl>
  </w:abstractNum>
  <w:abstractNum w:abstractNumId="46">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49">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50">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1">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4">
    <w:nsid w:val="126E317D"/>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55">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6">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7">
    <w:nsid w:val="135420E0"/>
    <w:multiLevelType w:val="singleLevel"/>
    <w:tmpl w:val="05143C68"/>
    <w:lvl w:ilvl="0">
      <w:start w:val="43"/>
      <w:numFmt w:val="decimal"/>
      <w:lvlText w:val="%1."/>
      <w:lvlJc w:val="left"/>
      <w:pPr>
        <w:tabs>
          <w:tab w:val="num" w:pos="648"/>
        </w:tabs>
        <w:ind w:left="360" w:hanging="72"/>
      </w:pPr>
    </w:lvl>
  </w:abstractNum>
  <w:abstractNum w:abstractNumId="58">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59">
    <w:nsid w:val="14C740E3"/>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60">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1">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3">
    <w:nsid w:val="15D36F16"/>
    <w:multiLevelType w:val="singleLevel"/>
    <w:tmpl w:val="0409000F"/>
    <w:lvl w:ilvl="0">
      <w:start w:val="1"/>
      <w:numFmt w:val="decimal"/>
      <w:lvlText w:val="%1."/>
      <w:lvlJc w:val="left"/>
      <w:pPr>
        <w:tabs>
          <w:tab w:val="num" w:pos="360"/>
        </w:tabs>
        <w:ind w:left="360" w:hanging="360"/>
      </w:pPr>
    </w:lvl>
  </w:abstractNum>
  <w:abstractNum w:abstractNumId="64">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5">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6">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67">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
    <w:nsid w:val="18094EC5"/>
    <w:multiLevelType w:val="singleLevel"/>
    <w:tmpl w:val="0409000F"/>
    <w:lvl w:ilvl="0">
      <w:start w:val="1"/>
      <w:numFmt w:val="decimal"/>
      <w:lvlText w:val="%1."/>
      <w:lvlJc w:val="left"/>
      <w:pPr>
        <w:tabs>
          <w:tab w:val="num" w:pos="360"/>
        </w:tabs>
        <w:ind w:left="360" w:hanging="360"/>
      </w:pPr>
    </w:lvl>
  </w:abstractNum>
  <w:abstractNum w:abstractNumId="69">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70">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71">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2">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74">
    <w:nsid w:val="18BF2026"/>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75">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6">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7">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78">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9">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0">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81">
    <w:nsid w:val="1F1772A6"/>
    <w:multiLevelType w:val="singleLevel"/>
    <w:tmpl w:val="AA5AC07E"/>
    <w:lvl w:ilvl="0">
      <w:start w:val="132"/>
      <w:numFmt w:val="decimal"/>
      <w:lvlText w:val="%1."/>
      <w:lvlJc w:val="left"/>
      <w:pPr>
        <w:tabs>
          <w:tab w:val="num" w:pos="648"/>
        </w:tabs>
        <w:ind w:left="288" w:firstLine="0"/>
      </w:pPr>
    </w:lvl>
  </w:abstractNum>
  <w:abstractNum w:abstractNumId="82">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83">
    <w:nsid w:val="201C0F9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84">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221234C1"/>
    <w:multiLevelType w:val="singleLevel"/>
    <w:tmpl w:val="CE0084AC"/>
    <w:lvl w:ilvl="0">
      <w:start w:val="1"/>
      <w:numFmt w:val="decimal"/>
      <w:lvlText w:val="%1."/>
      <w:lvlJc w:val="left"/>
      <w:pPr>
        <w:tabs>
          <w:tab w:val="num" w:pos="360"/>
        </w:tabs>
        <w:ind w:left="360" w:hanging="360"/>
      </w:pPr>
    </w:lvl>
  </w:abstractNum>
  <w:abstractNum w:abstractNumId="87">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8">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9">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0">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91">
    <w:nsid w:val="2518546C"/>
    <w:multiLevelType w:val="singleLevel"/>
    <w:tmpl w:val="0409000F"/>
    <w:lvl w:ilvl="0">
      <w:start w:val="1"/>
      <w:numFmt w:val="decimal"/>
      <w:lvlText w:val="%1."/>
      <w:lvlJc w:val="left"/>
      <w:pPr>
        <w:tabs>
          <w:tab w:val="num" w:pos="360"/>
        </w:tabs>
        <w:ind w:left="360" w:hanging="360"/>
      </w:pPr>
    </w:lvl>
  </w:abstractNum>
  <w:abstractNum w:abstractNumId="92">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93">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4">
    <w:nsid w:val="262C2491"/>
    <w:multiLevelType w:val="hybridMultilevel"/>
    <w:tmpl w:val="0FEC3E64"/>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95">
    <w:nsid w:val="267333E2"/>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96">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7">
    <w:nsid w:val="281F7A4C"/>
    <w:multiLevelType w:val="multilevel"/>
    <w:tmpl w:val="7034EA74"/>
    <w:lvl w:ilvl="0">
      <w:start w:val="1"/>
      <w:numFmt w:val="decimal"/>
      <w:lvlText w:val="%1."/>
      <w:lvlJc w:val="left"/>
      <w:pPr>
        <w:tabs>
          <w:tab w:val="num" w:pos="924"/>
        </w:tabs>
        <w:ind w:left="924" w:hanging="56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8">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99">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0">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101">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02">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3">
    <w:nsid w:val="2A856AD7"/>
    <w:multiLevelType w:val="singleLevel"/>
    <w:tmpl w:val="E556B404"/>
    <w:lvl w:ilvl="0">
      <w:start w:val="1"/>
      <w:numFmt w:val="decimal"/>
      <w:lvlText w:val="%1."/>
      <w:lvlJc w:val="left"/>
      <w:pPr>
        <w:tabs>
          <w:tab w:val="num" w:pos="648"/>
        </w:tabs>
        <w:ind w:left="288" w:firstLine="0"/>
      </w:pPr>
    </w:lvl>
  </w:abstractNum>
  <w:abstractNum w:abstractNumId="104">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5">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6">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7">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8">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9">
    <w:nsid w:val="2F127D9A"/>
    <w:multiLevelType w:val="singleLevel"/>
    <w:tmpl w:val="BBBA8180"/>
    <w:lvl w:ilvl="0">
      <w:numFmt w:val="bullet"/>
      <w:lvlText w:val="-"/>
      <w:lvlJc w:val="left"/>
      <w:pPr>
        <w:tabs>
          <w:tab w:val="num" w:pos="720"/>
        </w:tabs>
        <w:ind w:left="720" w:hanging="720"/>
      </w:pPr>
      <w:rPr>
        <w:rFonts w:hint="default"/>
      </w:rPr>
    </w:lvl>
  </w:abstractNum>
  <w:abstractNum w:abstractNumId="110">
    <w:nsid w:val="2F4A5879"/>
    <w:multiLevelType w:val="singleLevel"/>
    <w:tmpl w:val="F938A33E"/>
    <w:lvl w:ilvl="0">
      <w:numFmt w:val="bullet"/>
      <w:lvlText w:val="-"/>
      <w:lvlJc w:val="left"/>
      <w:pPr>
        <w:tabs>
          <w:tab w:val="num" w:pos="360"/>
        </w:tabs>
        <w:ind w:left="360" w:hanging="360"/>
      </w:pPr>
      <w:rPr>
        <w:rFonts w:hint="default"/>
      </w:rPr>
    </w:lvl>
  </w:abstractNum>
  <w:abstractNum w:abstractNumId="111">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3">
    <w:nsid w:val="2FFC19A7"/>
    <w:multiLevelType w:val="singleLevel"/>
    <w:tmpl w:val="40BE0C7C"/>
    <w:lvl w:ilvl="0">
      <w:start w:val="131"/>
      <w:numFmt w:val="decimal"/>
      <w:lvlText w:val="%1."/>
      <w:lvlJc w:val="left"/>
      <w:pPr>
        <w:tabs>
          <w:tab w:val="num" w:pos="648"/>
        </w:tabs>
        <w:ind w:left="288" w:firstLine="0"/>
      </w:pPr>
    </w:lvl>
  </w:abstractNum>
  <w:abstractNum w:abstractNumId="114">
    <w:nsid w:val="30782CD8"/>
    <w:multiLevelType w:val="hybridMultilevel"/>
    <w:tmpl w:val="385453DE"/>
    <w:lvl w:ilvl="0">
      <w:start w:val="1"/>
      <w:numFmt w:val="bullet"/>
      <w:lvlText w:val=""/>
      <w:lvlJc w:val="left"/>
      <w:pPr>
        <w:tabs>
          <w:tab w:val="num" w:pos="2070"/>
        </w:tabs>
        <w:ind w:left="2070" w:hanging="360"/>
      </w:pPr>
      <w:rPr>
        <w:rFonts w:ascii="Wingdings" w:hAnsi="Wingdings" w:hint="default"/>
      </w:rPr>
    </w:lvl>
    <w:lvl w:ilvl="1" w:tentative="1">
      <w:start w:val="1"/>
      <w:numFmt w:val="bullet"/>
      <w:lvlText w:val="o"/>
      <w:lvlJc w:val="left"/>
      <w:pPr>
        <w:tabs>
          <w:tab w:val="num" w:pos="2790"/>
        </w:tabs>
        <w:ind w:left="2790" w:hanging="360"/>
      </w:pPr>
      <w:rPr>
        <w:rFonts w:ascii="Courier New" w:hAnsi="Courier New" w:hint="default"/>
      </w:rPr>
    </w:lvl>
    <w:lvl w:ilvl="2" w:tentative="1">
      <w:start w:val="1"/>
      <w:numFmt w:val="bullet"/>
      <w:lvlText w:val=""/>
      <w:lvlJc w:val="left"/>
      <w:pPr>
        <w:tabs>
          <w:tab w:val="num" w:pos="3510"/>
        </w:tabs>
        <w:ind w:left="3510" w:hanging="360"/>
      </w:pPr>
      <w:rPr>
        <w:rFonts w:ascii="Wingdings" w:hAnsi="Wingdings" w:hint="default"/>
      </w:rPr>
    </w:lvl>
    <w:lvl w:ilvl="3" w:tentative="1">
      <w:start w:val="1"/>
      <w:numFmt w:val="bullet"/>
      <w:lvlText w:val=""/>
      <w:lvlJc w:val="left"/>
      <w:pPr>
        <w:tabs>
          <w:tab w:val="num" w:pos="4230"/>
        </w:tabs>
        <w:ind w:left="4230" w:hanging="360"/>
      </w:pPr>
      <w:rPr>
        <w:rFonts w:ascii="Symbol" w:hAnsi="Symbol" w:hint="default"/>
      </w:rPr>
    </w:lvl>
    <w:lvl w:ilvl="4" w:tentative="1">
      <w:start w:val="1"/>
      <w:numFmt w:val="bullet"/>
      <w:lvlText w:val="o"/>
      <w:lvlJc w:val="left"/>
      <w:pPr>
        <w:tabs>
          <w:tab w:val="num" w:pos="4950"/>
        </w:tabs>
        <w:ind w:left="4950" w:hanging="360"/>
      </w:pPr>
      <w:rPr>
        <w:rFonts w:ascii="Courier New" w:hAnsi="Courier New" w:hint="default"/>
      </w:rPr>
    </w:lvl>
    <w:lvl w:ilvl="5" w:tentative="1">
      <w:start w:val="1"/>
      <w:numFmt w:val="bullet"/>
      <w:lvlText w:val=""/>
      <w:lvlJc w:val="left"/>
      <w:pPr>
        <w:tabs>
          <w:tab w:val="num" w:pos="5670"/>
        </w:tabs>
        <w:ind w:left="5670" w:hanging="360"/>
      </w:pPr>
      <w:rPr>
        <w:rFonts w:ascii="Wingdings" w:hAnsi="Wingdings" w:hint="default"/>
      </w:rPr>
    </w:lvl>
    <w:lvl w:ilvl="6" w:tentative="1">
      <w:start w:val="1"/>
      <w:numFmt w:val="bullet"/>
      <w:lvlText w:val=""/>
      <w:lvlJc w:val="left"/>
      <w:pPr>
        <w:tabs>
          <w:tab w:val="num" w:pos="6390"/>
        </w:tabs>
        <w:ind w:left="6390" w:hanging="360"/>
      </w:pPr>
      <w:rPr>
        <w:rFonts w:ascii="Symbol" w:hAnsi="Symbol" w:hint="default"/>
      </w:rPr>
    </w:lvl>
    <w:lvl w:ilvl="7" w:tentative="1">
      <w:start w:val="1"/>
      <w:numFmt w:val="bullet"/>
      <w:lvlText w:val="o"/>
      <w:lvlJc w:val="left"/>
      <w:pPr>
        <w:tabs>
          <w:tab w:val="num" w:pos="7110"/>
        </w:tabs>
        <w:ind w:left="7110" w:hanging="360"/>
      </w:pPr>
      <w:rPr>
        <w:rFonts w:ascii="Courier New" w:hAnsi="Courier New" w:hint="default"/>
      </w:rPr>
    </w:lvl>
    <w:lvl w:ilvl="8" w:tentative="1">
      <w:start w:val="1"/>
      <w:numFmt w:val="bullet"/>
      <w:lvlText w:val=""/>
      <w:lvlJc w:val="left"/>
      <w:pPr>
        <w:tabs>
          <w:tab w:val="num" w:pos="7830"/>
        </w:tabs>
        <w:ind w:left="7830" w:hanging="360"/>
      </w:pPr>
      <w:rPr>
        <w:rFonts w:ascii="Wingdings" w:hAnsi="Wingdings" w:hint="default"/>
      </w:rPr>
    </w:lvl>
  </w:abstractNum>
  <w:abstractNum w:abstractNumId="115">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6">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17">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8">
    <w:nsid w:val="31FB367B"/>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19">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1">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2">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3">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4">
    <w:nsid w:val="343D5175"/>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125">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6">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27">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28">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29">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0">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1">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32">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3">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5">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6">
    <w:nsid w:val="38B24D7E"/>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37">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38">
    <w:nsid w:val="391F1A82"/>
    <w:multiLevelType w:val="singleLevel"/>
    <w:tmpl w:val="E0743FFA"/>
    <w:lvl w:ilvl="0">
      <w:start w:val="1"/>
      <w:numFmt w:val="decimal"/>
      <w:lvlText w:val="%1."/>
      <w:lvlJc w:val="left"/>
      <w:pPr>
        <w:tabs>
          <w:tab w:val="num" w:pos="648"/>
        </w:tabs>
        <w:ind w:left="360" w:hanging="72"/>
      </w:pPr>
    </w:lvl>
  </w:abstractNum>
  <w:abstractNum w:abstractNumId="139">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0">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1">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2">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43">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4">
    <w:nsid w:val="3AAB773F"/>
    <w:multiLevelType w:val="singleLevel"/>
    <w:tmpl w:val="F938A33E"/>
    <w:lvl w:ilvl="0">
      <w:numFmt w:val="bullet"/>
      <w:lvlText w:val="-"/>
      <w:lvlJc w:val="left"/>
      <w:pPr>
        <w:tabs>
          <w:tab w:val="num" w:pos="360"/>
        </w:tabs>
        <w:ind w:left="360" w:hanging="360"/>
      </w:pPr>
      <w:rPr>
        <w:rFonts w:hint="default"/>
      </w:rPr>
    </w:lvl>
  </w:abstractNum>
  <w:abstractNum w:abstractNumId="145">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47">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9">
    <w:nsid w:val="3DE81D6B"/>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50">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51">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3">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54">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3FAF4C3C"/>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56">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7">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0">
    <w:nsid w:val="411E6E92"/>
    <w:multiLevelType w:val="singleLevel"/>
    <w:tmpl w:val="E0743FFA"/>
    <w:lvl w:ilvl="0">
      <w:start w:val="1"/>
      <w:numFmt w:val="decimal"/>
      <w:lvlText w:val="%1."/>
      <w:lvlJc w:val="left"/>
      <w:pPr>
        <w:tabs>
          <w:tab w:val="num" w:pos="648"/>
        </w:tabs>
        <w:ind w:left="360" w:hanging="72"/>
      </w:pPr>
    </w:lvl>
  </w:abstractNum>
  <w:abstractNum w:abstractNumId="161">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2">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63">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4">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5">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66">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7">
    <w:nsid w:val="437B078D"/>
    <w:multiLevelType w:val="multilevel"/>
    <w:tmpl w:val="FF1ECD5A"/>
    <w:lvl w:ilvl="0">
      <w:start w:val="1"/>
      <w:numFmt w:val="upperRoman"/>
      <w:lvlText w:val="%1."/>
      <w:lvlJc w:val="right"/>
      <w:pPr>
        <w:tabs>
          <w:tab w:val="num" w:pos="1296"/>
        </w:tabs>
        <w:ind w:left="1296" w:hanging="216"/>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8">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9">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0">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1">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2">
    <w:nsid w:val="494A6BC7"/>
    <w:multiLevelType w:val="singleLevel"/>
    <w:tmpl w:val="F938A33E"/>
    <w:lvl w:ilvl="0">
      <w:numFmt w:val="bullet"/>
      <w:lvlText w:val="-"/>
      <w:lvlJc w:val="left"/>
      <w:pPr>
        <w:tabs>
          <w:tab w:val="num" w:pos="360"/>
        </w:tabs>
        <w:ind w:left="360" w:hanging="360"/>
      </w:pPr>
      <w:rPr>
        <w:rFonts w:hint="default"/>
      </w:rPr>
    </w:lvl>
  </w:abstractNum>
  <w:abstractNum w:abstractNumId="173">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4">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5">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6">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77">
    <w:nsid w:val="4C5B7580"/>
    <w:multiLevelType w:val="hybridMultilevel"/>
    <w:tmpl w:val="F5905C4E"/>
    <w:lvl w:ilvl="0">
      <w:start w:val="1"/>
      <w:numFmt w:val="bullet"/>
      <w:lvlText w:val=""/>
      <w:lvlJc w:val="left"/>
      <w:pPr>
        <w:tabs>
          <w:tab w:val="num" w:pos="2459"/>
        </w:tabs>
        <w:ind w:left="2459" w:hanging="360"/>
      </w:pPr>
      <w:rPr>
        <w:rFonts w:ascii="Symbol" w:hAnsi="Symbol" w:hint="default"/>
      </w:rPr>
    </w:lvl>
    <w:lvl w:ilvl="1" w:tentative="1">
      <w:start w:val="1"/>
      <w:numFmt w:val="bullet"/>
      <w:lvlText w:val="o"/>
      <w:lvlJc w:val="left"/>
      <w:pPr>
        <w:tabs>
          <w:tab w:val="num" w:pos="3179"/>
        </w:tabs>
        <w:ind w:left="3179" w:hanging="360"/>
      </w:pPr>
      <w:rPr>
        <w:rFonts w:ascii="Courier New" w:hAnsi="Courier New" w:hint="default"/>
      </w:rPr>
    </w:lvl>
    <w:lvl w:ilvl="2" w:tentative="1">
      <w:start w:val="1"/>
      <w:numFmt w:val="bullet"/>
      <w:lvlText w:val=""/>
      <w:lvlJc w:val="left"/>
      <w:pPr>
        <w:tabs>
          <w:tab w:val="num" w:pos="3899"/>
        </w:tabs>
        <w:ind w:left="3899" w:hanging="360"/>
      </w:pPr>
      <w:rPr>
        <w:rFonts w:ascii="Wingdings" w:hAnsi="Wingdings" w:hint="default"/>
      </w:rPr>
    </w:lvl>
    <w:lvl w:ilvl="3" w:tentative="1">
      <w:start w:val="1"/>
      <w:numFmt w:val="bullet"/>
      <w:lvlText w:val=""/>
      <w:lvlJc w:val="left"/>
      <w:pPr>
        <w:tabs>
          <w:tab w:val="num" w:pos="4619"/>
        </w:tabs>
        <w:ind w:left="4619" w:hanging="360"/>
      </w:pPr>
      <w:rPr>
        <w:rFonts w:ascii="Symbol" w:hAnsi="Symbol" w:hint="default"/>
      </w:rPr>
    </w:lvl>
    <w:lvl w:ilvl="4" w:tentative="1">
      <w:start w:val="1"/>
      <w:numFmt w:val="bullet"/>
      <w:lvlText w:val="o"/>
      <w:lvlJc w:val="left"/>
      <w:pPr>
        <w:tabs>
          <w:tab w:val="num" w:pos="5339"/>
        </w:tabs>
        <w:ind w:left="5339" w:hanging="360"/>
      </w:pPr>
      <w:rPr>
        <w:rFonts w:ascii="Courier New" w:hAnsi="Courier New" w:hint="default"/>
      </w:rPr>
    </w:lvl>
    <w:lvl w:ilvl="5" w:tentative="1">
      <w:start w:val="1"/>
      <w:numFmt w:val="bullet"/>
      <w:lvlText w:val=""/>
      <w:lvlJc w:val="left"/>
      <w:pPr>
        <w:tabs>
          <w:tab w:val="num" w:pos="6059"/>
        </w:tabs>
        <w:ind w:left="6059" w:hanging="360"/>
      </w:pPr>
      <w:rPr>
        <w:rFonts w:ascii="Wingdings" w:hAnsi="Wingdings" w:hint="default"/>
      </w:rPr>
    </w:lvl>
    <w:lvl w:ilvl="6" w:tentative="1">
      <w:start w:val="1"/>
      <w:numFmt w:val="bullet"/>
      <w:lvlText w:val=""/>
      <w:lvlJc w:val="left"/>
      <w:pPr>
        <w:tabs>
          <w:tab w:val="num" w:pos="6779"/>
        </w:tabs>
        <w:ind w:left="6779" w:hanging="360"/>
      </w:pPr>
      <w:rPr>
        <w:rFonts w:ascii="Symbol" w:hAnsi="Symbol" w:hint="default"/>
      </w:rPr>
    </w:lvl>
    <w:lvl w:ilvl="7" w:tentative="1">
      <w:start w:val="1"/>
      <w:numFmt w:val="bullet"/>
      <w:lvlText w:val="o"/>
      <w:lvlJc w:val="left"/>
      <w:pPr>
        <w:tabs>
          <w:tab w:val="num" w:pos="7499"/>
        </w:tabs>
        <w:ind w:left="7499" w:hanging="360"/>
      </w:pPr>
      <w:rPr>
        <w:rFonts w:ascii="Courier New" w:hAnsi="Courier New" w:hint="default"/>
      </w:rPr>
    </w:lvl>
    <w:lvl w:ilvl="8" w:tentative="1">
      <w:start w:val="1"/>
      <w:numFmt w:val="bullet"/>
      <w:lvlText w:val=""/>
      <w:lvlJc w:val="left"/>
      <w:pPr>
        <w:tabs>
          <w:tab w:val="num" w:pos="8219"/>
        </w:tabs>
        <w:ind w:left="8219" w:hanging="360"/>
      </w:pPr>
      <w:rPr>
        <w:rFonts w:ascii="Wingdings" w:hAnsi="Wingdings" w:hint="default"/>
      </w:rPr>
    </w:lvl>
  </w:abstractNum>
  <w:abstractNum w:abstractNumId="178">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9">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0">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1">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2">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3">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84">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5">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6">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7">
    <w:nsid w:val="507A1C8B"/>
    <w:multiLevelType w:val="singleLevel"/>
    <w:tmpl w:val="F938A33E"/>
    <w:lvl w:ilvl="0">
      <w:numFmt w:val="bullet"/>
      <w:lvlText w:val="-"/>
      <w:lvlJc w:val="left"/>
      <w:pPr>
        <w:tabs>
          <w:tab w:val="num" w:pos="360"/>
        </w:tabs>
        <w:ind w:left="360" w:hanging="360"/>
      </w:pPr>
      <w:rPr>
        <w:rFonts w:hint="default"/>
      </w:rPr>
    </w:lvl>
  </w:abstractNum>
  <w:abstractNum w:abstractNumId="188">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9">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90">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1">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192">
    <w:nsid w:val="52C34885"/>
    <w:multiLevelType w:val="singleLevel"/>
    <w:tmpl w:val="E556B404"/>
    <w:lvl w:ilvl="0">
      <w:start w:val="1"/>
      <w:numFmt w:val="decimal"/>
      <w:lvlText w:val="%1."/>
      <w:lvlJc w:val="left"/>
      <w:pPr>
        <w:tabs>
          <w:tab w:val="num" w:pos="648"/>
        </w:tabs>
        <w:ind w:left="288" w:firstLine="0"/>
      </w:pPr>
    </w:lvl>
  </w:abstractNum>
  <w:abstractNum w:abstractNumId="193">
    <w:nsid w:val="52F00051"/>
    <w:multiLevelType w:val="singleLevel"/>
    <w:tmpl w:val="E556B404"/>
    <w:lvl w:ilvl="0">
      <w:start w:val="1"/>
      <w:numFmt w:val="decimal"/>
      <w:lvlText w:val="%1."/>
      <w:lvlJc w:val="left"/>
      <w:pPr>
        <w:tabs>
          <w:tab w:val="num" w:pos="648"/>
        </w:tabs>
        <w:ind w:left="288" w:firstLine="0"/>
      </w:pPr>
    </w:lvl>
  </w:abstractNum>
  <w:abstractNum w:abstractNumId="194">
    <w:nsid w:val="53081281"/>
    <w:multiLevelType w:val="singleLevel"/>
    <w:tmpl w:val="E556B404"/>
    <w:lvl w:ilvl="0">
      <w:start w:val="1"/>
      <w:numFmt w:val="decimal"/>
      <w:lvlText w:val="%1."/>
      <w:lvlJc w:val="left"/>
      <w:pPr>
        <w:tabs>
          <w:tab w:val="num" w:pos="648"/>
        </w:tabs>
        <w:ind w:left="288" w:firstLine="0"/>
      </w:pPr>
    </w:lvl>
  </w:abstractNum>
  <w:abstractNum w:abstractNumId="195">
    <w:nsid w:val="54C24DB7"/>
    <w:multiLevelType w:val="singleLevel"/>
    <w:tmpl w:val="79D089C4"/>
    <w:lvl w:ilvl="0">
      <w:start w:val="1"/>
      <w:numFmt w:val="decimal"/>
      <w:lvlText w:val="%1."/>
      <w:lvlJc w:val="left"/>
      <w:pPr>
        <w:tabs>
          <w:tab w:val="num" w:pos="360"/>
        </w:tabs>
        <w:ind w:left="0" w:firstLine="0"/>
      </w:pPr>
    </w:lvl>
  </w:abstractNum>
  <w:abstractNum w:abstractNumId="196">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560E1ED1"/>
    <w:multiLevelType w:val="singleLevel"/>
    <w:tmpl w:val="0409000F"/>
    <w:lvl w:ilvl="0">
      <w:start w:val="1"/>
      <w:numFmt w:val="decimal"/>
      <w:lvlText w:val="%1."/>
      <w:lvlJc w:val="left"/>
      <w:pPr>
        <w:tabs>
          <w:tab w:val="num" w:pos="360"/>
        </w:tabs>
        <w:ind w:left="360" w:hanging="360"/>
      </w:pPr>
    </w:lvl>
  </w:abstractNum>
  <w:abstractNum w:abstractNumId="198">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9">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0">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201">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202">
    <w:nsid w:val="58904877"/>
    <w:multiLevelType w:val="hybridMultilevel"/>
    <w:tmpl w:val="96D4E0E8"/>
    <w:lvl w:ilvl="0">
      <w:start w:val="1"/>
      <w:numFmt w:val="bullet"/>
      <w:lvlText w:val=""/>
      <w:lvlJc w:val="left"/>
      <w:pPr>
        <w:tabs>
          <w:tab w:val="num" w:pos="2459"/>
        </w:tabs>
        <w:ind w:left="2459" w:hanging="360"/>
      </w:pPr>
      <w:rPr>
        <w:rFonts w:ascii="Symbol" w:hAnsi="Symbol" w:hint="default"/>
      </w:rPr>
    </w:lvl>
    <w:lvl w:ilvl="1" w:tentative="1">
      <w:start w:val="1"/>
      <w:numFmt w:val="bullet"/>
      <w:lvlText w:val="o"/>
      <w:lvlJc w:val="left"/>
      <w:pPr>
        <w:tabs>
          <w:tab w:val="num" w:pos="3179"/>
        </w:tabs>
        <w:ind w:left="3179" w:hanging="360"/>
      </w:pPr>
      <w:rPr>
        <w:rFonts w:ascii="Courier New" w:hAnsi="Courier New" w:hint="default"/>
      </w:rPr>
    </w:lvl>
    <w:lvl w:ilvl="2" w:tentative="1">
      <w:start w:val="1"/>
      <w:numFmt w:val="bullet"/>
      <w:lvlText w:val=""/>
      <w:lvlJc w:val="left"/>
      <w:pPr>
        <w:tabs>
          <w:tab w:val="num" w:pos="3899"/>
        </w:tabs>
        <w:ind w:left="3899" w:hanging="360"/>
      </w:pPr>
      <w:rPr>
        <w:rFonts w:ascii="Wingdings" w:hAnsi="Wingdings" w:hint="default"/>
      </w:rPr>
    </w:lvl>
    <w:lvl w:ilvl="3" w:tentative="1">
      <w:start w:val="1"/>
      <w:numFmt w:val="bullet"/>
      <w:lvlText w:val=""/>
      <w:lvlJc w:val="left"/>
      <w:pPr>
        <w:tabs>
          <w:tab w:val="num" w:pos="4619"/>
        </w:tabs>
        <w:ind w:left="4619" w:hanging="360"/>
      </w:pPr>
      <w:rPr>
        <w:rFonts w:ascii="Symbol" w:hAnsi="Symbol" w:hint="default"/>
      </w:rPr>
    </w:lvl>
    <w:lvl w:ilvl="4" w:tentative="1">
      <w:start w:val="1"/>
      <w:numFmt w:val="bullet"/>
      <w:lvlText w:val="o"/>
      <w:lvlJc w:val="left"/>
      <w:pPr>
        <w:tabs>
          <w:tab w:val="num" w:pos="5339"/>
        </w:tabs>
        <w:ind w:left="5339" w:hanging="360"/>
      </w:pPr>
      <w:rPr>
        <w:rFonts w:ascii="Courier New" w:hAnsi="Courier New" w:hint="default"/>
      </w:rPr>
    </w:lvl>
    <w:lvl w:ilvl="5" w:tentative="1">
      <w:start w:val="1"/>
      <w:numFmt w:val="bullet"/>
      <w:lvlText w:val=""/>
      <w:lvlJc w:val="left"/>
      <w:pPr>
        <w:tabs>
          <w:tab w:val="num" w:pos="6059"/>
        </w:tabs>
        <w:ind w:left="6059" w:hanging="360"/>
      </w:pPr>
      <w:rPr>
        <w:rFonts w:ascii="Wingdings" w:hAnsi="Wingdings" w:hint="default"/>
      </w:rPr>
    </w:lvl>
    <w:lvl w:ilvl="6" w:tentative="1">
      <w:start w:val="1"/>
      <w:numFmt w:val="bullet"/>
      <w:lvlText w:val=""/>
      <w:lvlJc w:val="left"/>
      <w:pPr>
        <w:tabs>
          <w:tab w:val="num" w:pos="6779"/>
        </w:tabs>
        <w:ind w:left="6779" w:hanging="360"/>
      </w:pPr>
      <w:rPr>
        <w:rFonts w:ascii="Symbol" w:hAnsi="Symbol" w:hint="default"/>
      </w:rPr>
    </w:lvl>
    <w:lvl w:ilvl="7" w:tentative="1">
      <w:start w:val="1"/>
      <w:numFmt w:val="bullet"/>
      <w:lvlText w:val="o"/>
      <w:lvlJc w:val="left"/>
      <w:pPr>
        <w:tabs>
          <w:tab w:val="num" w:pos="7499"/>
        </w:tabs>
        <w:ind w:left="7499" w:hanging="360"/>
      </w:pPr>
      <w:rPr>
        <w:rFonts w:ascii="Courier New" w:hAnsi="Courier New" w:hint="default"/>
      </w:rPr>
    </w:lvl>
    <w:lvl w:ilvl="8" w:tentative="1">
      <w:start w:val="1"/>
      <w:numFmt w:val="bullet"/>
      <w:lvlText w:val=""/>
      <w:lvlJc w:val="left"/>
      <w:pPr>
        <w:tabs>
          <w:tab w:val="num" w:pos="8219"/>
        </w:tabs>
        <w:ind w:left="8219" w:hanging="360"/>
      </w:pPr>
      <w:rPr>
        <w:rFonts w:ascii="Wingdings" w:hAnsi="Wingdings" w:hint="default"/>
      </w:rPr>
    </w:lvl>
  </w:abstractNum>
  <w:abstractNum w:abstractNumId="203">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04">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5">
    <w:nsid w:val="5A9F4AB8"/>
    <w:multiLevelType w:val="hybridMultilevel"/>
    <w:tmpl w:val="8E8AE524"/>
    <w:lvl w:ilvl="0">
      <w:start w:val="1"/>
      <w:numFmt w:val="bullet"/>
      <w:lvlText w:val=""/>
      <w:lvlJc w:val="left"/>
      <w:pPr>
        <w:tabs>
          <w:tab w:val="num" w:pos="2101"/>
        </w:tabs>
        <w:ind w:left="2101" w:hanging="360"/>
      </w:pPr>
      <w:rPr>
        <w:rFonts w:ascii="Symbol" w:hAnsi="Symbol" w:hint="default"/>
      </w:rPr>
    </w:lvl>
    <w:lvl w:ilvl="1" w:tentative="1">
      <w:start w:val="1"/>
      <w:numFmt w:val="bullet"/>
      <w:lvlText w:val="o"/>
      <w:lvlJc w:val="left"/>
      <w:pPr>
        <w:tabs>
          <w:tab w:val="num" w:pos="2821"/>
        </w:tabs>
        <w:ind w:left="2821" w:hanging="360"/>
      </w:pPr>
      <w:rPr>
        <w:rFonts w:ascii="Courier New" w:hAnsi="Courier New" w:hint="default"/>
      </w:rPr>
    </w:lvl>
    <w:lvl w:ilvl="2" w:tentative="1">
      <w:start w:val="1"/>
      <w:numFmt w:val="bullet"/>
      <w:lvlText w:val=""/>
      <w:lvlJc w:val="left"/>
      <w:pPr>
        <w:tabs>
          <w:tab w:val="num" w:pos="3541"/>
        </w:tabs>
        <w:ind w:left="3541" w:hanging="360"/>
      </w:pPr>
      <w:rPr>
        <w:rFonts w:ascii="Wingdings" w:hAnsi="Wingdings" w:hint="default"/>
      </w:rPr>
    </w:lvl>
    <w:lvl w:ilvl="3" w:tentative="1">
      <w:start w:val="1"/>
      <w:numFmt w:val="bullet"/>
      <w:lvlText w:val=""/>
      <w:lvlJc w:val="left"/>
      <w:pPr>
        <w:tabs>
          <w:tab w:val="num" w:pos="4261"/>
        </w:tabs>
        <w:ind w:left="4261" w:hanging="360"/>
      </w:pPr>
      <w:rPr>
        <w:rFonts w:ascii="Symbol" w:hAnsi="Symbol" w:hint="default"/>
      </w:rPr>
    </w:lvl>
    <w:lvl w:ilvl="4" w:tentative="1">
      <w:start w:val="1"/>
      <w:numFmt w:val="bullet"/>
      <w:lvlText w:val="o"/>
      <w:lvlJc w:val="left"/>
      <w:pPr>
        <w:tabs>
          <w:tab w:val="num" w:pos="4981"/>
        </w:tabs>
        <w:ind w:left="4981" w:hanging="360"/>
      </w:pPr>
      <w:rPr>
        <w:rFonts w:ascii="Courier New" w:hAnsi="Courier New" w:hint="default"/>
      </w:rPr>
    </w:lvl>
    <w:lvl w:ilvl="5" w:tentative="1">
      <w:start w:val="1"/>
      <w:numFmt w:val="bullet"/>
      <w:lvlText w:val=""/>
      <w:lvlJc w:val="left"/>
      <w:pPr>
        <w:tabs>
          <w:tab w:val="num" w:pos="5701"/>
        </w:tabs>
        <w:ind w:left="5701" w:hanging="360"/>
      </w:pPr>
      <w:rPr>
        <w:rFonts w:ascii="Wingdings" w:hAnsi="Wingdings" w:hint="default"/>
      </w:rPr>
    </w:lvl>
    <w:lvl w:ilvl="6" w:tentative="1">
      <w:start w:val="1"/>
      <w:numFmt w:val="bullet"/>
      <w:lvlText w:val=""/>
      <w:lvlJc w:val="left"/>
      <w:pPr>
        <w:tabs>
          <w:tab w:val="num" w:pos="6421"/>
        </w:tabs>
        <w:ind w:left="6421" w:hanging="360"/>
      </w:pPr>
      <w:rPr>
        <w:rFonts w:ascii="Symbol" w:hAnsi="Symbol" w:hint="default"/>
      </w:rPr>
    </w:lvl>
    <w:lvl w:ilvl="7" w:tentative="1">
      <w:start w:val="1"/>
      <w:numFmt w:val="bullet"/>
      <w:lvlText w:val="o"/>
      <w:lvlJc w:val="left"/>
      <w:pPr>
        <w:tabs>
          <w:tab w:val="num" w:pos="7141"/>
        </w:tabs>
        <w:ind w:left="7141" w:hanging="360"/>
      </w:pPr>
      <w:rPr>
        <w:rFonts w:ascii="Courier New" w:hAnsi="Courier New" w:hint="default"/>
      </w:rPr>
    </w:lvl>
    <w:lvl w:ilvl="8" w:tentative="1">
      <w:start w:val="1"/>
      <w:numFmt w:val="bullet"/>
      <w:lvlText w:val=""/>
      <w:lvlJc w:val="left"/>
      <w:pPr>
        <w:tabs>
          <w:tab w:val="num" w:pos="7861"/>
        </w:tabs>
        <w:ind w:left="7861" w:hanging="360"/>
      </w:pPr>
      <w:rPr>
        <w:rFonts w:ascii="Wingdings" w:hAnsi="Wingdings" w:hint="default"/>
      </w:rPr>
    </w:lvl>
  </w:abstractNum>
  <w:abstractNum w:abstractNumId="206">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7">
    <w:nsid w:val="5B1738B9"/>
    <w:multiLevelType w:val="singleLevel"/>
    <w:tmpl w:val="0409000F"/>
    <w:lvl w:ilvl="0">
      <w:start w:val="1"/>
      <w:numFmt w:val="decimal"/>
      <w:lvlText w:val="%1."/>
      <w:lvlJc w:val="left"/>
      <w:pPr>
        <w:tabs>
          <w:tab w:val="num" w:pos="360"/>
        </w:tabs>
        <w:ind w:left="360" w:hanging="360"/>
      </w:pPr>
    </w:lvl>
  </w:abstractNum>
  <w:abstractNum w:abstractNumId="208">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09">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0">
    <w:nsid w:val="5B9476C9"/>
    <w:multiLevelType w:val="singleLevel"/>
    <w:tmpl w:val="E0743FFA"/>
    <w:lvl w:ilvl="0">
      <w:start w:val="1"/>
      <w:numFmt w:val="decimal"/>
      <w:lvlText w:val="%1."/>
      <w:lvlJc w:val="left"/>
      <w:pPr>
        <w:tabs>
          <w:tab w:val="num" w:pos="648"/>
        </w:tabs>
        <w:ind w:left="360" w:hanging="72"/>
      </w:pPr>
    </w:lvl>
  </w:abstractNum>
  <w:abstractNum w:abstractNumId="211">
    <w:nsid w:val="5BAB79B9"/>
    <w:multiLevelType w:val="singleLevel"/>
    <w:tmpl w:val="0409000F"/>
    <w:lvl w:ilvl="0">
      <w:start w:val="1"/>
      <w:numFmt w:val="decimal"/>
      <w:lvlText w:val="%1."/>
      <w:lvlJc w:val="left"/>
      <w:pPr>
        <w:tabs>
          <w:tab w:val="num" w:pos="360"/>
        </w:tabs>
        <w:ind w:left="360" w:hanging="360"/>
      </w:pPr>
    </w:lvl>
  </w:abstractNum>
  <w:abstractNum w:abstractNumId="212">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3">
    <w:nsid w:val="5CD64E73"/>
    <w:multiLevelType w:val="hybridMultilevel"/>
    <w:tmpl w:val="8B4ECCF2"/>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14">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5">
    <w:nsid w:val="5D1C4F26"/>
    <w:multiLevelType w:val="hybridMultilevel"/>
    <w:tmpl w:val="96D4E0E8"/>
    <w:lvl w:ilvl="0">
      <w:start w:val="1"/>
      <w:numFmt w:val="bullet"/>
      <w:lvlText w:val=""/>
      <w:lvlJc w:val="left"/>
      <w:pPr>
        <w:tabs>
          <w:tab w:val="num" w:pos="2459"/>
        </w:tabs>
        <w:ind w:left="2459" w:hanging="360"/>
      </w:pPr>
      <w:rPr>
        <w:rFonts w:ascii="Wingdings" w:hAnsi="Wingdings" w:hint="default"/>
      </w:rPr>
    </w:lvl>
    <w:lvl w:ilvl="1" w:tentative="1">
      <w:start w:val="1"/>
      <w:numFmt w:val="bullet"/>
      <w:lvlText w:val="o"/>
      <w:lvlJc w:val="left"/>
      <w:pPr>
        <w:tabs>
          <w:tab w:val="num" w:pos="3179"/>
        </w:tabs>
        <w:ind w:left="3179" w:hanging="360"/>
      </w:pPr>
      <w:rPr>
        <w:rFonts w:ascii="Courier New" w:hAnsi="Courier New" w:hint="default"/>
      </w:rPr>
    </w:lvl>
    <w:lvl w:ilvl="2" w:tentative="1">
      <w:start w:val="1"/>
      <w:numFmt w:val="bullet"/>
      <w:lvlText w:val=""/>
      <w:lvlJc w:val="left"/>
      <w:pPr>
        <w:tabs>
          <w:tab w:val="num" w:pos="3899"/>
        </w:tabs>
        <w:ind w:left="3899" w:hanging="360"/>
      </w:pPr>
      <w:rPr>
        <w:rFonts w:ascii="Wingdings" w:hAnsi="Wingdings" w:hint="default"/>
      </w:rPr>
    </w:lvl>
    <w:lvl w:ilvl="3" w:tentative="1">
      <w:start w:val="1"/>
      <w:numFmt w:val="bullet"/>
      <w:lvlText w:val=""/>
      <w:lvlJc w:val="left"/>
      <w:pPr>
        <w:tabs>
          <w:tab w:val="num" w:pos="4619"/>
        </w:tabs>
        <w:ind w:left="4619" w:hanging="360"/>
      </w:pPr>
      <w:rPr>
        <w:rFonts w:ascii="Symbol" w:hAnsi="Symbol" w:hint="default"/>
      </w:rPr>
    </w:lvl>
    <w:lvl w:ilvl="4" w:tentative="1">
      <w:start w:val="1"/>
      <w:numFmt w:val="bullet"/>
      <w:lvlText w:val="o"/>
      <w:lvlJc w:val="left"/>
      <w:pPr>
        <w:tabs>
          <w:tab w:val="num" w:pos="5339"/>
        </w:tabs>
        <w:ind w:left="5339" w:hanging="360"/>
      </w:pPr>
      <w:rPr>
        <w:rFonts w:ascii="Courier New" w:hAnsi="Courier New" w:hint="default"/>
      </w:rPr>
    </w:lvl>
    <w:lvl w:ilvl="5" w:tentative="1">
      <w:start w:val="1"/>
      <w:numFmt w:val="bullet"/>
      <w:lvlText w:val=""/>
      <w:lvlJc w:val="left"/>
      <w:pPr>
        <w:tabs>
          <w:tab w:val="num" w:pos="6059"/>
        </w:tabs>
        <w:ind w:left="6059" w:hanging="360"/>
      </w:pPr>
      <w:rPr>
        <w:rFonts w:ascii="Wingdings" w:hAnsi="Wingdings" w:hint="default"/>
      </w:rPr>
    </w:lvl>
    <w:lvl w:ilvl="6" w:tentative="1">
      <w:start w:val="1"/>
      <w:numFmt w:val="bullet"/>
      <w:lvlText w:val=""/>
      <w:lvlJc w:val="left"/>
      <w:pPr>
        <w:tabs>
          <w:tab w:val="num" w:pos="6779"/>
        </w:tabs>
        <w:ind w:left="6779" w:hanging="360"/>
      </w:pPr>
      <w:rPr>
        <w:rFonts w:ascii="Symbol" w:hAnsi="Symbol" w:hint="default"/>
      </w:rPr>
    </w:lvl>
    <w:lvl w:ilvl="7" w:tentative="1">
      <w:start w:val="1"/>
      <w:numFmt w:val="bullet"/>
      <w:lvlText w:val="o"/>
      <w:lvlJc w:val="left"/>
      <w:pPr>
        <w:tabs>
          <w:tab w:val="num" w:pos="7499"/>
        </w:tabs>
        <w:ind w:left="7499" w:hanging="360"/>
      </w:pPr>
      <w:rPr>
        <w:rFonts w:ascii="Courier New" w:hAnsi="Courier New" w:hint="default"/>
      </w:rPr>
    </w:lvl>
    <w:lvl w:ilvl="8" w:tentative="1">
      <w:start w:val="1"/>
      <w:numFmt w:val="bullet"/>
      <w:lvlText w:val=""/>
      <w:lvlJc w:val="left"/>
      <w:pPr>
        <w:tabs>
          <w:tab w:val="num" w:pos="8219"/>
        </w:tabs>
        <w:ind w:left="8219" w:hanging="360"/>
      </w:pPr>
      <w:rPr>
        <w:rFonts w:ascii="Wingdings" w:hAnsi="Wingdings" w:hint="default"/>
      </w:rPr>
    </w:lvl>
  </w:abstractNum>
  <w:abstractNum w:abstractNumId="216">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7">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8">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19">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0">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21">
    <w:nsid w:val="602827E8"/>
    <w:multiLevelType w:val="singleLevel"/>
    <w:tmpl w:val="79D089C4"/>
    <w:lvl w:ilvl="0">
      <w:start w:val="1"/>
      <w:numFmt w:val="decimal"/>
      <w:lvlText w:val="%1."/>
      <w:lvlJc w:val="left"/>
      <w:pPr>
        <w:tabs>
          <w:tab w:val="num" w:pos="360"/>
        </w:tabs>
        <w:ind w:left="0" w:firstLine="0"/>
      </w:pPr>
    </w:lvl>
  </w:abstractNum>
  <w:abstractNum w:abstractNumId="222">
    <w:nsid w:val="605C02FF"/>
    <w:multiLevelType w:val="singleLevel"/>
    <w:tmpl w:val="77743DB6"/>
    <w:lvl w:ilvl="0">
      <w:start w:val="1"/>
      <w:numFmt w:val="lowerLetter"/>
      <w:lvlText w:val="(%1)"/>
      <w:lvlJc w:val="left"/>
      <w:pPr>
        <w:tabs>
          <w:tab w:val="num" w:pos="360"/>
        </w:tabs>
        <w:ind w:left="360" w:hanging="360"/>
      </w:pPr>
    </w:lvl>
  </w:abstractNum>
  <w:abstractNum w:abstractNumId="223">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24">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5">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6">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7">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8">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29">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30">
    <w:nsid w:val="625A5FCE"/>
    <w:multiLevelType w:val="singleLevel"/>
    <w:tmpl w:val="F938A33E"/>
    <w:lvl w:ilvl="0">
      <w:numFmt w:val="bullet"/>
      <w:lvlText w:val="-"/>
      <w:lvlJc w:val="left"/>
      <w:pPr>
        <w:tabs>
          <w:tab w:val="num" w:pos="360"/>
        </w:tabs>
        <w:ind w:left="360" w:hanging="360"/>
      </w:pPr>
      <w:rPr>
        <w:rFonts w:hint="default"/>
      </w:rPr>
    </w:lvl>
  </w:abstractNum>
  <w:abstractNum w:abstractNumId="231">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2">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33">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4">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5">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36">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7">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38">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9">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40">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1">
    <w:nsid w:val="67197D68"/>
    <w:multiLevelType w:val="singleLevel"/>
    <w:tmpl w:val="0409000F"/>
    <w:lvl w:ilvl="0">
      <w:start w:val="1"/>
      <w:numFmt w:val="decimal"/>
      <w:lvlText w:val="%1."/>
      <w:lvlJc w:val="left"/>
      <w:pPr>
        <w:tabs>
          <w:tab w:val="num" w:pos="360"/>
        </w:tabs>
        <w:ind w:left="360" w:hanging="360"/>
      </w:pPr>
    </w:lvl>
  </w:abstractNum>
  <w:abstractNum w:abstractNumId="242">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3">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4">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5">
    <w:nsid w:val="68F2588B"/>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46">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7">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8">
    <w:nsid w:val="6ABE516E"/>
    <w:multiLevelType w:val="hybridMultilevel"/>
    <w:tmpl w:val="79366E46"/>
    <w:lvl w:ilvl="0">
      <w:start w:val="1"/>
      <w:numFmt w:val="bullet"/>
      <w:lvlText w:val=""/>
      <w:lvlJc w:val="left"/>
      <w:pPr>
        <w:tabs>
          <w:tab w:val="num" w:pos="2070"/>
        </w:tabs>
        <w:ind w:left="2070" w:hanging="360"/>
      </w:pPr>
      <w:rPr>
        <w:rFonts w:ascii="Wingdings" w:hAnsi="Wingdings" w:hint="default"/>
      </w:rPr>
    </w:lvl>
    <w:lvl w:ilvl="1" w:tentative="1">
      <w:start w:val="1"/>
      <w:numFmt w:val="bullet"/>
      <w:lvlText w:val="o"/>
      <w:lvlJc w:val="left"/>
      <w:pPr>
        <w:tabs>
          <w:tab w:val="num" w:pos="2790"/>
        </w:tabs>
        <w:ind w:left="2790" w:hanging="360"/>
      </w:pPr>
      <w:rPr>
        <w:rFonts w:ascii="Courier New" w:hAnsi="Courier New" w:hint="default"/>
      </w:rPr>
    </w:lvl>
    <w:lvl w:ilvl="2" w:tentative="1">
      <w:start w:val="1"/>
      <w:numFmt w:val="bullet"/>
      <w:lvlText w:val=""/>
      <w:lvlJc w:val="left"/>
      <w:pPr>
        <w:tabs>
          <w:tab w:val="num" w:pos="3510"/>
        </w:tabs>
        <w:ind w:left="3510" w:hanging="360"/>
      </w:pPr>
      <w:rPr>
        <w:rFonts w:ascii="Wingdings" w:hAnsi="Wingdings" w:hint="default"/>
      </w:rPr>
    </w:lvl>
    <w:lvl w:ilvl="3" w:tentative="1">
      <w:start w:val="1"/>
      <w:numFmt w:val="bullet"/>
      <w:lvlText w:val=""/>
      <w:lvlJc w:val="left"/>
      <w:pPr>
        <w:tabs>
          <w:tab w:val="num" w:pos="4230"/>
        </w:tabs>
        <w:ind w:left="4230" w:hanging="360"/>
      </w:pPr>
      <w:rPr>
        <w:rFonts w:ascii="Symbol" w:hAnsi="Symbol" w:hint="default"/>
      </w:rPr>
    </w:lvl>
    <w:lvl w:ilvl="4" w:tentative="1">
      <w:start w:val="1"/>
      <w:numFmt w:val="bullet"/>
      <w:lvlText w:val="o"/>
      <w:lvlJc w:val="left"/>
      <w:pPr>
        <w:tabs>
          <w:tab w:val="num" w:pos="4950"/>
        </w:tabs>
        <w:ind w:left="4950" w:hanging="360"/>
      </w:pPr>
      <w:rPr>
        <w:rFonts w:ascii="Courier New" w:hAnsi="Courier New" w:hint="default"/>
      </w:rPr>
    </w:lvl>
    <w:lvl w:ilvl="5" w:tentative="1">
      <w:start w:val="1"/>
      <w:numFmt w:val="bullet"/>
      <w:lvlText w:val=""/>
      <w:lvlJc w:val="left"/>
      <w:pPr>
        <w:tabs>
          <w:tab w:val="num" w:pos="5670"/>
        </w:tabs>
        <w:ind w:left="5670" w:hanging="360"/>
      </w:pPr>
      <w:rPr>
        <w:rFonts w:ascii="Wingdings" w:hAnsi="Wingdings" w:hint="default"/>
      </w:rPr>
    </w:lvl>
    <w:lvl w:ilvl="6" w:tentative="1">
      <w:start w:val="1"/>
      <w:numFmt w:val="bullet"/>
      <w:lvlText w:val=""/>
      <w:lvlJc w:val="left"/>
      <w:pPr>
        <w:tabs>
          <w:tab w:val="num" w:pos="6390"/>
        </w:tabs>
        <w:ind w:left="6390" w:hanging="360"/>
      </w:pPr>
      <w:rPr>
        <w:rFonts w:ascii="Symbol" w:hAnsi="Symbol" w:hint="default"/>
      </w:rPr>
    </w:lvl>
    <w:lvl w:ilvl="7" w:tentative="1">
      <w:start w:val="1"/>
      <w:numFmt w:val="bullet"/>
      <w:lvlText w:val="o"/>
      <w:lvlJc w:val="left"/>
      <w:pPr>
        <w:tabs>
          <w:tab w:val="num" w:pos="7110"/>
        </w:tabs>
        <w:ind w:left="7110" w:hanging="360"/>
      </w:pPr>
      <w:rPr>
        <w:rFonts w:ascii="Courier New" w:hAnsi="Courier New" w:hint="default"/>
      </w:rPr>
    </w:lvl>
    <w:lvl w:ilvl="8" w:tentative="1">
      <w:start w:val="1"/>
      <w:numFmt w:val="bullet"/>
      <w:lvlText w:val=""/>
      <w:lvlJc w:val="left"/>
      <w:pPr>
        <w:tabs>
          <w:tab w:val="num" w:pos="7830"/>
        </w:tabs>
        <w:ind w:left="7830" w:hanging="360"/>
      </w:pPr>
      <w:rPr>
        <w:rFonts w:ascii="Wingdings" w:hAnsi="Wingdings" w:hint="default"/>
      </w:rPr>
    </w:lvl>
  </w:abstractNum>
  <w:abstractNum w:abstractNumId="249">
    <w:nsid w:val="6B002D51"/>
    <w:multiLevelType w:val="hybridMultilevel"/>
    <w:tmpl w:val="4E00B866"/>
    <w:lvl w:ilvl="0">
      <w:start w:val="1"/>
      <w:numFmt w:val="bullet"/>
      <w:lvlText w:val=""/>
      <w:lvlJc w:val="left"/>
      <w:pPr>
        <w:tabs>
          <w:tab w:val="num" w:pos="1980"/>
        </w:tabs>
        <w:ind w:left="1980" w:hanging="360"/>
      </w:pPr>
      <w:rPr>
        <w:rFonts w:ascii="Symbol" w:hAnsi="Symbol" w:hint="default"/>
      </w:rPr>
    </w:lvl>
    <w:lvl w:ilvl="1" w:tentative="1">
      <w:start w:val="1"/>
      <w:numFmt w:val="bullet"/>
      <w:lvlText w:val="o"/>
      <w:lvlJc w:val="left"/>
      <w:pPr>
        <w:tabs>
          <w:tab w:val="num" w:pos="2700"/>
        </w:tabs>
        <w:ind w:left="2700" w:hanging="360"/>
      </w:pPr>
      <w:rPr>
        <w:rFonts w:ascii="Courier New" w:hAnsi="Courier New" w:hint="default"/>
      </w:rPr>
    </w:lvl>
    <w:lvl w:ilvl="2" w:tentative="1">
      <w:start w:val="1"/>
      <w:numFmt w:val="bullet"/>
      <w:lvlText w:val=""/>
      <w:lvlJc w:val="left"/>
      <w:pPr>
        <w:tabs>
          <w:tab w:val="num" w:pos="3420"/>
        </w:tabs>
        <w:ind w:left="3420" w:hanging="360"/>
      </w:pPr>
      <w:rPr>
        <w:rFonts w:ascii="Wingdings" w:hAnsi="Wingdings" w:hint="default"/>
      </w:rPr>
    </w:lvl>
    <w:lvl w:ilvl="3" w:tentative="1">
      <w:start w:val="1"/>
      <w:numFmt w:val="bullet"/>
      <w:lvlText w:val=""/>
      <w:lvlJc w:val="left"/>
      <w:pPr>
        <w:tabs>
          <w:tab w:val="num" w:pos="4140"/>
        </w:tabs>
        <w:ind w:left="4140" w:hanging="360"/>
      </w:pPr>
      <w:rPr>
        <w:rFonts w:ascii="Symbol" w:hAnsi="Symbol" w:hint="default"/>
      </w:rPr>
    </w:lvl>
    <w:lvl w:ilvl="4" w:tentative="1">
      <w:start w:val="1"/>
      <w:numFmt w:val="bullet"/>
      <w:lvlText w:val="o"/>
      <w:lvlJc w:val="left"/>
      <w:pPr>
        <w:tabs>
          <w:tab w:val="num" w:pos="4860"/>
        </w:tabs>
        <w:ind w:left="4860" w:hanging="360"/>
      </w:pPr>
      <w:rPr>
        <w:rFonts w:ascii="Courier New" w:hAnsi="Courier New" w:hint="default"/>
      </w:rPr>
    </w:lvl>
    <w:lvl w:ilvl="5" w:tentative="1">
      <w:start w:val="1"/>
      <w:numFmt w:val="bullet"/>
      <w:lvlText w:val=""/>
      <w:lvlJc w:val="left"/>
      <w:pPr>
        <w:tabs>
          <w:tab w:val="num" w:pos="5580"/>
        </w:tabs>
        <w:ind w:left="5580" w:hanging="360"/>
      </w:pPr>
      <w:rPr>
        <w:rFonts w:ascii="Wingdings" w:hAnsi="Wingdings" w:hint="default"/>
      </w:rPr>
    </w:lvl>
    <w:lvl w:ilvl="6" w:tentative="1">
      <w:start w:val="1"/>
      <w:numFmt w:val="bullet"/>
      <w:lvlText w:val=""/>
      <w:lvlJc w:val="left"/>
      <w:pPr>
        <w:tabs>
          <w:tab w:val="num" w:pos="6300"/>
        </w:tabs>
        <w:ind w:left="6300" w:hanging="360"/>
      </w:pPr>
      <w:rPr>
        <w:rFonts w:ascii="Symbol" w:hAnsi="Symbol" w:hint="default"/>
      </w:rPr>
    </w:lvl>
    <w:lvl w:ilvl="7" w:tentative="1">
      <w:start w:val="1"/>
      <w:numFmt w:val="bullet"/>
      <w:lvlText w:val="o"/>
      <w:lvlJc w:val="left"/>
      <w:pPr>
        <w:tabs>
          <w:tab w:val="num" w:pos="7020"/>
        </w:tabs>
        <w:ind w:left="7020" w:hanging="360"/>
      </w:pPr>
      <w:rPr>
        <w:rFonts w:ascii="Courier New" w:hAnsi="Courier New" w:hint="default"/>
      </w:rPr>
    </w:lvl>
    <w:lvl w:ilvl="8" w:tentative="1">
      <w:start w:val="1"/>
      <w:numFmt w:val="bullet"/>
      <w:lvlText w:val=""/>
      <w:lvlJc w:val="left"/>
      <w:pPr>
        <w:tabs>
          <w:tab w:val="num" w:pos="7740"/>
        </w:tabs>
        <w:ind w:left="7740" w:hanging="360"/>
      </w:pPr>
      <w:rPr>
        <w:rFonts w:ascii="Wingdings" w:hAnsi="Wingdings" w:hint="default"/>
      </w:rPr>
    </w:lvl>
  </w:abstractNum>
  <w:abstractNum w:abstractNumId="250">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51">
    <w:nsid w:val="6B87739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52">
    <w:nsid w:val="6BEA3A31"/>
    <w:multiLevelType w:val="hybridMultilevel"/>
    <w:tmpl w:val="40B613CA"/>
    <w:lvl w:ilvl="0">
      <w:start w:val="1"/>
      <w:numFmt w:val="bullet"/>
      <w:lvlText w:val=""/>
      <w:lvlJc w:val="left"/>
      <w:pPr>
        <w:tabs>
          <w:tab w:val="num" w:pos="1987"/>
        </w:tabs>
        <w:ind w:left="1987" w:hanging="360"/>
      </w:pPr>
      <w:rPr>
        <w:rFonts w:ascii="Wingdings" w:hAnsi="Wingdings"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53">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4">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5">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6">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57">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8">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9">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0">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61">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62">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63">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64">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65">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6">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7">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8">
    <w:nsid w:val="76DD4F12"/>
    <w:multiLevelType w:val="hybridMultilevel"/>
    <w:tmpl w:val="601EE980"/>
    <w:lvl w:ilvl="0">
      <w:start w:val="1"/>
      <w:numFmt w:val="bullet"/>
      <w:lvlText w:val=""/>
      <w:lvlJc w:val="left"/>
      <w:pPr>
        <w:tabs>
          <w:tab w:val="num" w:pos="1987"/>
        </w:tabs>
        <w:ind w:left="1987" w:hanging="360"/>
      </w:pPr>
      <w:rPr>
        <w:rFonts w:ascii="Wingdings" w:hAnsi="Wingdings"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69">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0">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71">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72">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3">
    <w:nsid w:val="7A1B1F4C"/>
    <w:multiLevelType w:val="hybridMultilevel"/>
    <w:tmpl w:val="A5F2C46E"/>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74">
    <w:nsid w:val="7A2660EC"/>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75">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6">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7">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8">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9">
    <w:nsid w:val="7F401B4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80">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28"/>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56"/>
  </w:num>
  <w:num w:numId="13">
    <w:abstractNumId w:val="189"/>
  </w:num>
  <w:num w:numId="14">
    <w:abstractNumId w:val="9"/>
  </w:num>
  <w:num w:numId="15">
    <w:abstractNumId w:val="261"/>
  </w:num>
  <w:num w:numId="16">
    <w:abstractNumId w:val="232"/>
  </w:num>
  <w:num w:numId="17">
    <w:abstractNumId w:val="220"/>
  </w:num>
  <w:num w:numId="18">
    <w:abstractNumId w:val="70"/>
  </w:num>
  <w:num w:numId="19">
    <w:abstractNumId w:val="223"/>
  </w:num>
  <w:num w:numId="20">
    <w:abstractNumId w:val="162"/>
  </w:num>
  <w:num w:numId="21">
    <w:abstractNumId w:val="263"/>
  </w:num>
  <w:num w:numId="22">
    <w:abstractNumId w:val="116"/>
  </w:num>
  <w:num w:numId="23">
    <w:abstractNumId w:val="127"/>
  </w:num>
  <w:num w:numId="24">
    <w:abstractNumId w:val="200"/>
  </w:num>
  <w:num w:numId="25">
    <w:abstractNumId w:val="90"/>
  </w:num>
  <w:num w:numId="26">
    <w:abstractNumId w:val="131"/>
  </w:num>
  <w:num w:numId="27">
    <w:abstractNumId w:val="239"/>
  </w:num>
  <w:num w:numId="28">
    <w:abstractNumId w:val="69"/>
  </w:num>
  <w:num w:numId="29">
    <w:abstractNumId w:val="57"/>
  </w:num>
  <w:num w:numId="30">
    <w:abstractNumId w:val="210"/>
  </w:num>
  <w:num w:numId="31">
    <w:abstractNumId w:val="160"/>
  </w:num>
  <w:num w:numId="32">
    <w:abstractNumId w:val="138"/>
  </w:num>
  <w:num w:numId="33">
    <w:abstractNumId w:val="63"/>
  </w:num>
  <w:num w:numId="34">
    <w:abstractNumId w:val="241"/>
  </w:num>
  <w:num w:numId="35">
    <w:abstractNumId w:val="207"/>
  </w:num>
  <w:num w:numId="36">
    <w:abstractNumId w:val="211"/>
  </w:num>
  <w:num w:numId="37">
    <w:abstractNumId w:val="221"/>
  </w:num>
  <w:num w:numId="38">
    <w:abstractNumId w:val="270"/>
  </w:num>
  <w:num w:numId="39">
    <w:abstractNumId w:val="176"/>
  </w:num>
  <w:num w:numId="40">
    <w:abstractNumId w:val="191"/>
  </w:num>
  <w:num w:numId="41">
    <w:abstractNumId w:val="172"/>
  </w:num>
  <w:num w:numId="42">
    <w:abstractNumId w:val="37"/>
  </w:num>
  <w:num w:numId="43">
    <w:abstractNumId w:val="230"/>
  </w:num>
  <w:num w:numId="44">
    <w:abstractNumId w:val="110"/>
  </w:num>
  <w:num w:numId="45">
    <w:abstractNumId w:val="187"/>
  </w:num>
  <w:num w:numId="46">
    <w:abstractNumId w:val="144"/>
  </w:num>
  <w:num w:numId="47">
    <w:abstractNumId w:val="26"/>
  </w:num>
  <w:num w:numId="48">
    <w:abstractNumId w:val="109"/>
  </w:num>
  <w:num w:numId="49">
    <w:abstractNumId w:val="208"/>
  </w:num>
  <w:num w:numId="50">
    <w:abstractNumId w:val="73"/>
  </w:num>
  <w:num w:numId="51">
    <w:abstractNumId w:val="33"/>
  </w:num>
  <w:num w:numId="52">
    <w:abstractNumId w:val="61"/>
  </w:num>
  <w:num w:numId="53">
    <w:abstractNumId w:val="22"/>
  </w:num>
  <w:num w:numId="54">
    <w:abstractNumId w:val="195"/>
  </w:num>
  <w:num w:numId="55">
    <w:abstractNumId w:val="68"/>
  </w:num>
  <w:num w:numId="56">
    <w:abstractNumId w:val="80"/>
  </w:num>
  <w:num w:numId="57">
    <w:abstractNumId w:val="43"/>
  </w:num>
  <w:num w:numId="58">
    <w:abstractNumId w:val="235"/>
  </w:num>
  <w:num w:numId="59">
    <w:abstractNumId w:val="30"/>
  </w:num>
  <w:num w:numId="60">
    <w:abstractNumId w:val="86"/>
  </w:num>
  <w:num w:numId="61">
    <w:abstractNumId w:val="218"/>
  </w:num>
  <w:num w:numId="62">
    <w:abstractNumId w:val="146"/>
  </w:num>
  <w:num w:numId="63">
    <w:abstractNumId w:val="280"/>
  </w:num>
  <w:num w:numId="64">
    <w:abstractNumId w:val="150"/>
  </w:num>
  <w:num w:numId="65">
    <w:abstractNumId w:val="65"/>
  </w:num>
  <w:num w:numId="66">
    <w:abstractNumId w:val="40"/>
  </w:num>
  <w:num w:numId="67">
    <w:abstractNumId w:val="36"/>
  </w:num>
  <w:num w:numId="68">
    <w:abstractNumId w:val="126"/>
  </w:num>
  <w:num w:numId="69">
    <w:abstractNumId w:val="60"/>
  </w:num>
  <w:num w:numId="70">
    <w:abstractNumId w:val="227"/>
  </w:num>
  <w:num w:numId="71">
    <w:abstractNumId w:val="125"/>
  </w:num>
  <w:num w:numId="72">
    <w:abstractNumId w:val="222"/>
  </w:num>
  <w:num w:numId="73">
    <w:abstractNumId w:val="78"/>
  </w:num>
  <w:num w:numId="74">
    <w:abstractNumId w:val="168"/>
  </w:num>
  <w:num w:numId="75">
    <w:abstractNumId w:val="98"/>
  </w:num>
  <w:num w:numId="76">
    <w:abstractNumId w:val="31"/>
  </w:num>
  <w:num w:numId="77">
    <w:abstractNumId w:val="203"/>
  </w:num>
  <w:num w:numId="78">
    <w:abstractNumId w:val="66"/>
  </w:num>
  <w:num w:numId="79">
    <w:abstractNumId w:val="165"/>
  </w:num>
  <w:num w:numId="80">
    <w:abstractNumId w:val="264"/>
  </w:num>
  <w:num w:numId="81">
    <w:abstractNumId w:val="99"/>
  </w:num>
  <w:num w:numId="82">
    <w:abstractNumId w:val="16"/>
  </w:num>
  <w:num w:numId="83">
    <w:abstractNumId w:val="228"/>
  </w:num>
  <w:num w:numId="84">
    <w:abstractNumId w:val="105"/>
  </w:num>
  <w:num w:numId="85">
    <w:abstractNumId w:val="100"/>
  </w:num>
  <w:num w:numId="86">
    <w:abstractNumId w:val="197"/>
  </w:num>
  <w:num w:numId="87">
    <w:abstractNumId w:val="192"/>
  </w:num>
  <w:num w:numId="88">
    <w:abstractNumId w:val="193"/>
  </w:num>
  <w:num w:numId="89">
    <w:abstractNumId w:val="194"/>
  </w:num>
  <w:num w:numId="90">
    <w:abstractNumId w:val="45"/>
  </w:num>
  <w:num w:numId="91">
    <w:abstractNumId w:val="103"/>
  </w:num>
  <w:num w:numId="92">
    <w:abstractNumId w:val="81"/>
  </w:num>
  <w:num w:numId="93">
    <w:abstractNumId w:val="113"/>
  </w:num>
  <w:num w:numId="94">
    <w:abstractNumId w:val="84"/>
  </w:num>
  <w:num w:numId="95">
    <w:abstractNumId w:val="184"/>
  </w:num>
  <w:num w:numId="96">
    <w:abstractNumId w:val="247"/>
  </w:num>
  <w:num w:numId="97">
    <w:abstractNumId w:val="10"/>
  </w:num>
  <w:num w:numId="98">
    <w:abstractNumId w:val="154"/>
  </w:num>
  <w:num w:numId="99">
    <w:abstractNumId w:val="88"/>
  </w:num>
  <w:num w:numId="100">
    <w:abstractNumId w:val="17"/>
  </w:num>
  <w:num w:numId="101">
    <w:abstractNumId w:val="87"/>
  </w:num>
  <w:num w:numId="102">
    <w:abstractNumId w:val="50"/>
  </w:num>
  <w:num w:numId="103">
    <w:abstractNumId w:val="175"/>
  </w:num>
  <w:num w:numId="104">
    <w:abstractNumId w:val="72"/>
  </w:num>
  <w:num w:numId="105">
    <w:abstractNumId w:val="11"/>
  </w:num>
  <w:num w:numId="106">
    <w:abstractNumId w:val="47"/>
  </w:num>
  <w:num w:numId="107">
    <w:abstractNumId w:val="201"/>
  </w:num>
  <w:num w:numId="108">
    <w:abstractNumId w:val="23"/>
  </w:num>
  <w:num w:numId="109">
    <w:abstractNumId w:val="260"/>
  </w:num>
  <w:num w:numId="110">
    <w:abstractNumId w:val="157"/>
  </w:num>
  <w:num w:numId="111">
    <w:abstractNumId w:val="115"/>
  </w:num>
  <w:num w:numId="112">
    <w:abstractNumId w:val="209"/>
  </w:num>
  <w:num w:numId="113">
    <w:abstractNumId w:val="89"/>
  </w:num>
  <w:num w:numId="114">
    <w:abstractNumId w:val="183"/>
  </w:num>
  <w:num w:numId="115">
    <w:abstractNumId w:val="75"/>
  </w:num>
  <w:num w:numId="116">
    <w:abstractNumId w:val="79"/>
  </w:num>
  <w:num w:numId="117">
    <w:abstractNumId w:val="46"/>
  </w:num>
  <w:num w:numId="118">
    <w:abstractNumId w:val="82"/>
  </w:num>
  <w:num w:numId="119">
    <w:abstractNumId w:val="170"/>
  </w:num>
  <w:num w:numId="120">
    <w:abstractNumId w:val="262"/>
  </w:num>
  <w:num w:numId="121">
    <w:abstractNumId w:val="267"/>
  </w:num>
  <w:num w:numId="122">
    <w:abstractNumId w:val="42"/>
  </w:num>
  <w:num w:numId="123">
    <w:abstractNumId w:val="142"/>
  </w:num>
  <w:num w:numId="124">
    <w:abstractNumId w:val="34"/>
  </w:num>
  <w:num w:numId="125">
    <w:abstractNumId w:val="181"/>
  </w:num>
  <w:num w:numId="126">
    <w:abstractNumId w:val="161"/>
  </w:num>
  <w:num w:numId="127">
    <w:abstractNumId w:val="255"/>
  </w:num>
  <w:num w:numId="128">
    <w:abstractNumId w:val="147"/>
  </w:num>
  <w:num w:numId="129">
    <w:abstractNumId w:val="145"/>
  </w:num>
  <w:num w:numId="130">
    <w:abstractNumId w:val="178"/>
  </w:num>
  <w:num w:numId="131">
    <w:abstractNumId w:val="101"/>
  </w:num>
  <w:num w:numId="132">
    <w:abstractNumId w:val="217"/>
  </w:num>
  <w:num w:numId="133">
    <w:abstractNumId w:val="224"/>
  </w:num>
  <w:num w:numId="134">
    <w:abstractNumId w:val="180"/>
  </w:num>
  <w:num w:numId="135">
    <w:abstractNumId w:val="151"/>
  </w:num>
  <w:num w:numId="136">
    <w:abstractNumId w:val="15"/>
  </w:num>
  <w:num w:numId="137">
    <w:abstractNumId w:val="107"/>
  </w:num>
  <w:num w:numId="138">
    <w:abstractNumId w:val="108"/>
  </w:num>
  <w:num w:numId="139">
    <w:abstractNumId w:val="250"/>
  </w:num>
  <w:num w:numId="140">
    <w:abstractNumId w:val="271"/>
  </w:num>
  <w:num w:numId="141">
    <w:abstractNumId w:val="77"/>
  </w:num>
  <w:num w:numId="142">
    <w:abstractNumId w:val="44"/>
  </w:num>
  <w:num w:numId="143">
    <w:abstractNumId w:val="135"/>
  </w:num>
  <w:num w:numId="144">
    <w:abstractNumId w:val="186"/>
  </w:num>
  <w:num w:numId="145">
    <w:abstractNumId w:val="19"/>
  </w:num>
  <w:num w:numId="146">
    <w:abstractNumId w:val="219"/>
  </w:num>
  <w:num w:numId="147">
    <w:abstractNumId w:val="51"/>
  </w:num>
  <w:num w:numId="148">
    <w:abstractNumId w:val="153"/>
  </w:num>
  <w:num w:numId="149">
    <w:abstractNumId w:val="233"/>
  </w:num>
  <w:num w:numId="150">
    <w:abstractNumId w:val="277"/>
  </w:num>
  <w:num w:numId="151">
    <w:abstractNumId w:val="27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278"/>
  </w:num>
  <w:num w:numId="153">
    <w:abstractNumId w:val="27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36"/>
  </w:num>
  <w:num w:numId="155">
    <w:abstractNumId w:val="23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25"/>
  </w:num>
  <w:num w:numId="157">
    <w:abstractNumId w:val="244"/>
  </w:num>
  <w:num w:numId="158">
    <w:abstractNumId w:val="35"/>
  </w:num>
  <w:num w:numId="159">
    <w:abstractNumId w:val="56"/>
  </w:num>
  <w:num w:numId="160">
    <w:abstractNumId w:val="48"/>
  </w:num>
  <w:num w:numId="161">
    <w:abstractNumId w:val="269"/>
  </w:num>
  <w:num w:numId="162">
    <w:abstractNumId w:val="216"/>
  </w:num>
  <w:num w:numId="163">
    <w:abstractNumId w:val="21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59"/>
  </w:num>
  <w:num w:numId="165">
    <w:abstractNumId w:val="15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20"/>
  </w:num>
  <w:num w:numId="167">
    <w:abstractNumId w:val="214"/>
  </w:num>
  <w:num w:numId="168">
    <w:abstractNumId w:val="38"/>
  </w:num>
  <w:num w:numId="169">
    <w:abstractNumId w:val="206"/>
  </w:num>
  <w:num w:numId="170">
    <w:abstractNumId w:val="206"/>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18"/>
  </w:num>
  <w:num w:numId="172">
    <w:abstractNumId w:val="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75"/>
  </w:num>
  <w:num w:numId="174">
    <w:abstractNumId w:val="27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93"/>
  </w:num>
  <w:num w:numId="176">
    <w:abstractNumId w:val="9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31"/>
  </w:num>
  <w:num w:numId="178">
    <w:abstractNumId w:val="266"/>
  </w:num>
  <w:num w:numId="179">
    <w:abstractNumId w:val="237"/>
  </w:num>
  <w:num w:numId="180">
    <w:abstractNumId w:val="169"/>
  </w:num>
  <w:num w:numId="181">
    <w:abstractNumId w:val="1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62"/>
  </w:num>
  <w:num w:numId="183">
    <w:abstractNumId w:val="6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46"/>
  </w:num>
  <w:num w:numId="185">
    <w:abstractNumId w:val="130"/>
  </w:num>
  <w:num w:numId="186">
    <w:abstractNumId w:val="132"/>
  </w:num>
  <w:num w:numId="187">
    <w:abstractNumId w:val="13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102"/>
  </w:num>
  <w:num w:numId="189">
    <w:abstractNumId w:val="10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73"/>
  </w:num>
  <w:num w:numId="191">
    <w:abstractNumId w:val="17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21"/>
  </w:num>
  <w:num w:numId="193">
    <w:abstractNumId w:val="12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43"/>
  </w:num>
  <w:num w:numId="195">
    <w:abstractNumId w:val="64"/>
  </w:num>
  <w:num w:numId="196">
    <w:abstractNumId w:val="6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39"/>
  </w:num>
  <w:num w:numId="198">
    <w:abstractNumId w:val="117"/>
  </w:num>
  <w:num w:numId="199">
    <w:abstractNumId w:val="11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38"/>
  </w:num>
  <w:num w:numId="201">
    <w:abstractNumId w:val="182"/>
  </w:num>
  <w:num w:numId="202">
    <w:abstractNumId w:val="53"/>
  </w:num>
  <w:num w:numId="203">
    <w:abstractNumId w:val="5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34"/>
  </w:num>
  <w:num w:numId="205">
    <w:abstractNumId w:val="13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5"/>
  </w:num>
  <w:num w:numId="207">
    <w:abstractNumId w:val="5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23"/>
  </w:num>
  <w:num w:numId="209">
    <w:abstractNumId w:val="12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204"/>
  </w:num>
  <w:num w:numId="211">
    <w:abstractNumId w:val="20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74"/>
  </w:num>
  <w:num w:numId="213">
    <w:abstractNumId w:val="112"/>
  </w:num>
  <w:num w:numId="214">
    <w:abstractNumId w:val="179"/>
  </w:num>
  <w:num w:numId="215">
    <w:abstractNumId w:val="106"/>
  </w:num>
  <w:num w:numId="216">
    <w:abstractNumId w:val="10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71"/>
  </w:num>
  <w:num w:numId="218">
    <w:abstractNumId w:val="7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66"/>
  </w:num>
  <w:num w:numId="220">
    <w:abstractNumId w:val="16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59"/>
  </w:num>
  <w:num w:numId="222">
    <w:abstractNumId w:val="25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41"/>
  </w:num>
  <w:num w:numId="224">
    <w:abstractNumId w:val="14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4"/>
  </w:num>
  <w:num w:numId="226">
    <w:abstractNumId w:val="96"/>
  </w:num>
  <w:num w:numId="227">
    <w:abstractNumId w:val="243"/>
  </w:num>
  <w:num w:numId="228">
    <w:abstractNumId w:val="24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52"/>
  </w:num>
  <w:num w:numId="230">
    <w:abstractNumId w:val="171"/>
  </w:num>
  <w:num w:numId="231">
    <w:abstractNumId w:val="212"/>
  </w:num>
  <w:num w:numId="232">
    <w:abstractNumId w:val="76"/>
  </w:num>
  <w:num w:numId="233">
    <w:abstractNumId w:val="188"/>
  </w:num>
  <w:num w:numId="234">
    <w:abstractNumId w:val="148"/>
  </w:num>
  <w:num w:numId="235">
    <w:abstractNumId w:val="14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29"/>
  </w:num>
  <w:num w:numId="237">
    <w:abstractNumId w:val="163"/>
  </w:num>
  <w:num w:numId="238">
    <w:abstractNumId w:val="1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37"/>
  </w:num>
  <w:num w:numId="240">
    <w:abstractNumId w:val="122"/>
  </w:num>
  <w:num w:numId="241">
    <w:abstractNumId w:val="12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49"/>
  </w:num>
  <w:num w:numId="243">
    <w:abstractNumId w:val="14"/>
  </w:num>
  <w:num w:numId="244">
    <w:abstractNumId w:val="58"/>
  </w:num>
  <w:num w:numId="245">
    <w:abstractNumId w:val="67"/>
  </w:num>
  <w:num w:numId="246">
    <w:abstractNumId w:val="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104"/>
  </w:num>
  <w:num w:numId="248">
    <w:abstractNumId w:val="129"/>
  </w:num>
  <w:num w:numId="249">
    <w:abstractNumId w:val="276"/>
  </w:num>
  <w:num w:numId="250">
    <w:abstractNumId w:val="92"/>
  </w:num>
  <w:num w:numId="251">
    <w:abstractNumId w:val="258"/>
  </w:num>
  <w:num w:numId="252">
    <w:abstractNumId w:val="164"/>
  </w:num>
  <w:num w:numId="253">
    <w:abstractNumId w:val="226"/>
  </w:num>
  <w:num w:numId="254">
    <w:abstractNumId w:val="22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198"/>
  </w:num>
  <w:num w:numId="256">
    <w:abstractNumId w:val="19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54"/>
  </w:num>
  <w:num w:numId="258">
    <w:abstractNumId w:val="25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190"/>
  </w:num>
  <w:num w:numId="260">
    <w:abstractNumId w:val="133"/>
  </w:num>
  <w:num w:numId="261">
    <w:abstractNumId w:val="13"/>
  </w:num>
  <w:num w:numId="262">
    <w:abstractNumId w:val="242"/>
  </w:num>
  <w:num w:numId="263">
    <w:abstractNumId w:val="185"/>
  </w:num>
  <w:num w:numId="264">
    <w:abstractNumId w:val="156"/>
  </w:num>
  <w:num w:numId="265">
    <w:abstractNumId w:val="85"/>
  </w:num>
  <w:num w:numId="266">
    <w:abstractNumId w:val="12"/>
  </w:num>
  <w:num w:numId="267">
    <w:abstractNumId w:val="265"/>
  </w:num>
  <w:num w:numId="268">
    <w:abstractNumId w:val="240"/>
  </w:num>
  <w:num w:numId="269">
    <w:abstractNumId w:val="199"/>
  </w:num>
  <w:num w:numId="270">
    <w:abstractNumId w:val="32"/>
  </w:num>
  <w:num w:numId="271">
    <w:abstractNumId w:val="272"/>
  </w:num>
  <w:num w:numId="272">
    <w:abstractNumId w:val="25"/>
  </w:num>
  <w:num w:numId="273">
    <w:abstractNumId w:val="140"/>
  </w:num>
  <w:num w:numId="274">
    <w:abstractNumId w:val="111"/>
  </w:num>
  <w:num w:numId="275">
    <w:abstractNumId w:val="119"/>
  </w:num>
  <w:num w:numId="276">
    <w:abstractNumId w:val="52"/>
  </w:num>
  <w:num w:numId="277">
    <w:abstractNumId w:val="234"/>
  </w:num>
  <w:num w:numId="278">
    <w:abstractNumId w:val="41"/>
  </w:num>
  <w:num w:numId="279">
    <w:abstractNumId w:val="29"/>
  </w:num>
  <w:num w:numId="280">
    <w:abstractNumId w:val="257"/>
  </w:num>
  <w:num w:numId="281">
    <w:abstractNumId w:val="158"/>
  </w:num>
  <w:num w:numId="282">
    <w:abstractNumId w:val="27"/>
  </w:num>
  <w:num w:numId="283">
    <w:abstractNumId w:val="28"/>
  </w:num>
  <w:num w:numId="284">
    <w:abstractNumId w:val="253"/>
  </w:num>
  <w:num w:numId="285">
    <w:abstractNumId w:val="196"/>
  </w:num>
  <w:num w:numId="286">
    <w:abstractNumId w:val="7"/>
  </w:num>
  <w:num w:numId="287">
    <w:abstractNumId w:val="6"/>
  </w:num>
  <w:num w:numId="288">
    <w:abstractNumId w:val="5"/>
  </w:num>
  <w:num w:numId="289">
    <w:abstractNumId w:val="4"/>
  </w:num>
  <w:num w:numId="290">
    <w:abstractNumId w:val="20"/>
  </w:num>
  <w:num w:numId="291">
    <w:abstractNumId w:val="124"/>
  </w:num>
  <w:num w:numId="292">
    <w:abstractNumId w:val="167"/>
  </w:num>
  <w:num w:numId="293">
    <w:abstractNumId w:val="251"/>
  </w:num>
  <w:num w:numId="294">
    <w:abstractNumId w:val="91"/>
  </w:num>
  <w:num w:numId="295">
    <w:abstractNumId w:val="274"/>
  </w:num>
  <w:num w:numId="296">
    <w:abstractNumId w:val="59"/>
  </w:num>
  <w:num w:numId="297">
    <w:abstractNumId w:val="279"/>
  </w:num>
  <w:num w:numId="298">
    <w:abstractNumId w:val="95"/>
  </w:num>
  <w:num w:numId="299">
    <w:abstractNumId w:val="54"/>
  </w:num>
  <w:num w:numId="300">
    <w:abstractNumId w:val="149"/>
  </w:num>
  <w:num w:numId="301">
    <w:abstractNumId w:val="97"/>
  </w:num>
  <w:num w:numId="302">
    <w:abstractNumId w:val="21"/>
  </w:num>
  <w:num w:numId="303">
    <w:abstractNumId w:val="136"/>
  </w:num>
  <w:num w:numId="304">
    <w:abstractNumId w:val="83"/>
  </w:num>
  <w:num w:numId="305">
    <w:abstractNumId w:val="118"/>
  </w:num>
  <w:num w:numId="306">
    <w:abstractNumId w:val="155"/>
  </w:num>
  <w:num w:numId="307">
    <w:abstractNumId w:val="245"/>
  </w:num>
  <w:num w:numId="308">
    <w:abstractNumId w:val="74"/>
  </w:num>
  <w:num w:numId="309">
    <w:abstractNumId w:val="39"/>
  </w:num>
  <w:num w:numId="310">
    <w:abstractNumId w:val="177"/>
  </w:num>
  <w:num w:numId="311">
    <w:abstractNumId w:val="213"/>
  </w:num>
  <w:num w:numId="312">
    <w:abstractNumId w:val="249"/>
  </w:num>
  <w:num w:numId="313">
    <w:abstractNumId w:val="248"/>
  </w:num>
  <w:num w:numId="314">
    <w:abstractNumId w:val="205"/>
  </w:num>
  <w:num w:numId="315">
    <w:abstractNumId w:val="94"/>
  </w:num>
  <w:num w:numId="316">
    <w:abstractNumId w:val="252"/>
  </w:num>
  <w:num w:numId="317">
    <w:abstractNumId w:val="268"/>
  </w:num>
  <w:num w:numId="318">
    <w:abstractNumId w:val="202"/>
  </w:num>
  <w:num w:numId="319">
    <w:abstractNumId w:val="215"/>
  </w:num>
  <w:num w:numId="320">
    <w:abstractNumId w:val="114"/>
  </w:num>
  <w:num w:numId="321">
    <w:abstractNumId w:val="2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467204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BodyText2">
    <w:name w:val="Body Text 2"/>
    <w:basedOn w:val="Normal"/>
    <w:semiHidden/>
    <w:pPr>
      <w:spacing w:line="480" w:lineRule="auto"/>
      <w:jc w:val="both"/>
    </w:pPr>
    <w:rPr>
      <w:spacing w:val="0"/>
      <w:w w:val="100"/>
      <w:kern w:val="0"/>
      <w:sz w:val="28"/>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4</Pages>
  <Words>18234</Words>
  <Characters>103937</Characters>
  <Application>Microsoft Office Word</Application>
  <DocSecurity>4</DocSecurity>
  <Lines>866</Lines>
  <Paragraphs>207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127641</CharactersWithSpaces>
  <SharedDoc>false</SharedDoc>
  <HLinks>
    <vt:vector size="6" baseType="variant">
      <vt:variant>
        <vt:i4>8257630</vt:i4>
      </vt:variant>
      <vt:variant>
        <vt:i4>254748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Larisa.Sokolova</cp:lastModifiedBy>
  <cp:revision>8</cp:revision>
  <cp:lastPrinted>2005-03-11T13:02:00Z</cp:lastPrinted>
  <dcterms:created xsi:type="dcterms:W3CDTF">2005-03-11T08:00:00Z</dcterms:created>
  <dcterms:modified xsi:type="dcterms:W3CDTF">2005-03-11T13:25:00Z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CEDAW/C/COD/4-5</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63</vt:lpwstr>
  </property>
  <property fmtid="{D5CDD505-2E9C-101B-9397-08002B2CF9AE}" pid="7" name="Operator">
    <vt:lpwstr>Sokolova</vt:lpwstr>
  </property>
  <property fmtid="{D5CDD505-2E9C-101B-9397-08002B2CF9AE}" pid="8" name="JobNo">
    <vt:lpwstr>0467204R</vt:lpwstr>
  </property>
</Properties>
</file>