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lang w:val="es-ES_tradnl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1" type="#_x0000_t75" style="position:absolute;margin-left:85.05pt;margin-top:119.05pt;width:68.05pt;height:63.9pt;z-index:6;visibility:visible;mso-wrap-edited:f;mso-position-horizontal:absolute;mso-position-horizontal-relative:page;mso-position-vertical:absolute;mso-position-vertical-relative:page" o:allowincell="f">
            <v:imagedata r:id="rId7" o:title=""/>
            <w10:wrap anchorx="page" anchory="page"/>
          </v:shape>
          <o:OLEObject Type="Embed" ProgID="Word.Picture.8" ShapeID="_x0000_s1031" DrawAspect="Content" ObjectID="_1392485963" r:id="rId8"/>
        </w:pict>
      </w:r>
      <w:r>
        <w:rPr>
          <w:noProof/>
        </w:rPr>
        <w:pict>
          <v:rect id="_x0000_s1030" style="position:absolute;margin-left:165.6pt;margin-top:124.75pt;width:158.4pt;height:59.6pt;z-index:-8;mso-position-horizontal:absolute;mso-position-horizontal-relative:page;mso-position-vertical:absolute;mso-position-vertical-relative:page" o:allowincell="f" filled="f" stroked="f" strokeweight="0">
            <v:textbox style="mso-next-textbox:#_x0000_s1030" inset="0,0,0,0">
              <w:txbxContent>
                <w:p w:rsidR="00000000" w:rsidRDefault="00000000">
                  <w:pPr>
                    <w:pStyle w:val="Heading2"/>
                  </w:pPr>
                  <w:r>
                    <w:t>Pacto Internacional de Derechos Civiles</w:t>
                  </w:r>
                </w:p>
                <w:p w:rsidR="00000000" w:rsidRDefault="00000000">
                  <w:pPr>
                    <w:pStyle w:val="Heading2"/>
                  </w:pPr>
                  <w:r>
                    <w:t xml:space="preserve">y Políticos </w:t>
                  </w:r>
                </w:p>
              </w:txbxContent>
            </v:textbox>
            <w10:wrap anchorx="page" anchory="page"/>
          </v:rect>
        </w:pict>
      </w: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439.2pt;margin-top:51.05pt;width:113.6pt;height:44.2pt;z-index:2;mso-position-horizontal:absolute;mso-position-horizontal-relative:page;mso-position-vertical:absolute;mso-position-vertical-relative:page" o:allowincell="f" filled="f" stroked="f">
            <v:textbox inset="0,0,0,0">
              <w:txbxContent>
                <w:p w:rsidR="00000000" w:rsidRDefault="00000000">
                  <w:pPr>
                    <w:pStyle w:val="BodyText"/>
                    <w:rPr>
                      <w:sz w:val="72"/>
                    </w:rPr>
                  </w:pPr>
                  <w:r>
                    <w:rPr>
                      <w:sz w:val="72"/>
                    </w:rPr>
                    <w:t>CCPR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6" type="#_x0000_t202" style="position:absolute;margin-left:85.05pt;margin-top:56.7pt;width:94.95pt;height:36.3pt;z-index:1;mso-position-horizontal:absolute;mso-position-horizontal-relative:page;mso-position-vertical:absolute;mso-position-vertical-relative:page" o:allowincell="f" filled="f" stroked="f">
            <v:textbox inset="0">
              <w:txbxContent>
                <w:p w:rsidR="00000000" w:rsidRDefault="00000000">
                  <w:pPr>
                    <w:pStyle w:val="BodyText"/>
                  </w:pPr>
                  <w:r>
                    <w:t>NACIONES UNIDAS</w:t>
                  </w:r>
                </w:p>
              </w:txbxContent>
            </v:textbox>
            <w10:wrap anchorx="page" anchory="page"/>
          </v:shape>
        </w:pict>
      </w:r>
    </w:p>
    <w:p w:rsidR="00000000" w:rsidRDefault="00000000">
      <w:pPr>
        <w:rPr>
          <w:lang w:val="es-ES_tradnl"/>
        </w:rPr>
      </w:pPr>
      <w:r>
        <w:rPr>
          <w:noProof/>
        </w:rPr>
        <w:pict>
          <v:rect id="_x0000_s1029" style="position:absolute;margin-left:.05pt;margin-top:249.5pt;width:467.7pt;height:4.25pt;z-index:-9;mso-position-horizontal:absolute;mso-position-horizontal-relative:margin;mso-position-vertical:absolute;mso-position-vertical-relative:page" o:allowincell="f" fillcolor="black" stroked="f" strokeweight="0">
            <v:fill color2="black"/>
            <w10:wrap anchorx="margin" anchory="page"/>
            <w10:anchorlock/>
          </v:rect>
        </w:pict>
      </w:r>
      <w:r>
        <w:rPr>
          <w:noProof/>
        </w:rPr>
        <w:pict>
          <v:rect id="_x0000_s1028" style="position:absolute;margin-left:-.1pt;margin-top:104.9pt;width:467.7pt;height:.95pt;z-index:-10;mso-position-horizontal:absolute;mso-position-horizontal-relative:margin;mso-position-vertical:absolute;mso-position-vertical-relative:page" o:allowincell="f" fillcolor="black" stroked="f" strokeweight="0">
            <v:fill color2="black"/>
            <w10:wrap anchorx="margin" anchory="page"/>
            <w10:anchorlock/>
          </v:rect>
        </w:pict>
      </w:r>
    </w:p>
    <w:p w:rsidR="00000000" w:rsidRDefault="00000000">
      <w:pPr>
        <w:rPr>
          <w:lang w:val="es-ES_tradnl"/>
        </w:rPr>
      </w:pPr>
    </w:p>
    <w:p w:rsidR="00000000" w:rsidRDefault="00000000">
      <w:pPr>
        <w:spacing w:after="240"/>
        <w:ind w:left="7230"/>
        <w:rPr>
          <w:lang w:val="es-ES_tradnl"/>
        </w:rPr>
      </w:pPr>
      <w:r>
        <w:rPr>
          <w:noProof/>
        </w:rPr>
        <w:pict>
          <v:shape id="_x0000_s1037" type="#_x0000_t202" style="position:absolute;left:0;text-align:left;margin-left:191.7pt;margin-top:149.1pt;width:127.8pt;height:7.1pt;z-index:12;mso-position-horizontal:absolute;mso-position-horizontal-relative:page;mso-position-vertical:absolute;mso-position-vertical-relative:page" o:allowincell="f" filled="f" stroked="f">
            <v:textbox>
              <w:txbxContent>
                <w:p w:rsidR="00000000" w:rsidRDefault="00000000"/>
              </w:txbxContent>
            </v:textbox>
            <w10:wrap anchorx="page" anchory="page"/>
            <w10:anchorlock/>
          </v:shape>
        </w:pict>
      </w:r>
      <w:r>
        <w:rPr>
          <w:noProof/>
        </w:rPr>
        <w:pict>
          <v:shape id="_x0000_s1036" type="#_x0000_t202" style="position:absolute;left:0;text-align:left;margin-left:177.5pt;margin-top:149.1pt;width:163.3pt;height:7.1pt;z-index:11;mso-position-horizontal:absolute;mso-position-horizontal-relative:page;mso-position-vertical:absolute;mso-position-vertical-relative:page" o:allowincell="f" filled="f" stroked="f">
            <v:textbox>
              <w:txbxContent>
                <w:p w:rsidR="00000000" w:rsidRDefault="00000000"/>
              </w:txbxContent>
            </v:textbox>
            <w10:wrap anchorx="page" anchory="page"/>
            <w10:anchorlock/>
          </v:shape>
        </w:pict>
      </w:r>
      <w:r>
        <w:rPr>
          <w:noProof/>
        </w:rPr>
        <w:pict>
          <v:shape id="_x0000_s1035" type="#_x0000_t202" style="position:absolute;left:0;text-align:left;margin-left:177.5pt;margin-top:127.8pt;width:191.7pt;height:7.1pt;z-index:10;mso-position-horizontal:absolute;mso-position-horizontal-relative:page;mso-position-vertical:absolute;mso-position-vertical-relative:page" o:allowincell="f" filled="f" stroked="f">
            <v:textbox>
              <w:txbxContent>
                <w:p w:rsidR="00000000" w:rsidRDefault="00000000"/>
              </w:txbxContent>
            </v:textbox>
            <w10:wrap anchorx="page" anchory="page"/>
            <w10:anchorlock/>
          </v:shape>
        </w:pict>
      </w:r>
      <w:proofErr w:type="spellStart"/>
      <w:r>
        <w:rPr>
          <w:lang w:val="es-ES_tradnl"/>
        </w:rPr>
        <w:t>Distr</w:t>
      </w:r>
      <w:proofErr w:type="spellEnd"/>
      <w:r>
        <w:rPr>
          <w:lang w:val="es-ES_tradnl"/>
        </w:rPr>
        <w:t>.</w:t>
      </w:r>
      <w:r>
        <w:rPr>
          <w:lang w:val="es-ES_tradnl"/>
        </w:rPr>
        <w:br/>
        <w:t>GENERAL</w:t>
      </w:r>
    </w:p>
    <w:p w:rsidR="00000000" w:rsidRDefault="00000000">
      <w:pPr>
        <w:spacing w:after="240"/>
        <w:ind w:left="7230"/>
        <w:rPr>
          <w:lang w:val="es-ES_tradnl"/>
        </w:rPr>
      </w:pPr>
      <w:r>
        <w:rPr>
          <w:lang w:val="es-ES_tradnl"/>
        </w:rPr>
        <w:t>CCPR/C/69/L/KWT</w:t>
      </w:r>
      <w:r>
        <w:rPr>
          <w:lang w:val="es-ES_tradnl"/>
        </w:rPr>
        <w:br/>
        <w:t>25 de abril de 2000</w:t>
      </w:r>
    </w:p>
    <w:p w:rsidR="00000000" w:rsidRDefault="00000000">
      <w:pPr>
        <w:spacing w:after="720"/>
        <w:ind w:left="7230"/>
        <w:rPr>
          <w:lang w:val="es-ES_tradnl"/>
        </w:rPr>
      </w:pPr>
      <w:r>
        <w:rPr>
          <w:lang w:val="es-ES_tradnl"/>
        </w:rPr>
        <w:t>ESPAÑOL</w:t>
      </w:r>
      <w:r>
        <w:rPr>
          <w:lang w:val="es-ES_tradnl"/>
        </w:rPr>
        <w:br/>
        <w:t>Original:  INGLÉS</w:t>
      </w:r>
    </w:p>
    <w:p w:rsidR="00000000" w:rsidRDefault="00000000">
      <w:pPr>
        <w:spacing w:after="1200"/>
        <w:rPr>
          <w:lang w:val="es-ES_tradnl"/>
        </w:rPr>
      </w:pPr>
      <w:r>
        <w:rPr>
          <w:lang w:val="es-ES_tradnl"/>
        </w:rPr>
        <w:t>COMITÉ DE DERECHOS HUMANOS</w:t>
      </w:r>
      <w:r>
        <w:rPr>
          <w:lang w:val="es-ES_tradnl"/>
        </w:rPr>
        <w:br/>
        <w:t>69º período de sesiones</w:t>
      </w:r>
    </w:p>
    <w:p w:rsidR="00000000" w:rsidRDefault="00000000">
      <w:pPr>
        <w:spacing w:after="240"/>
        <w:jc w:val="center"/>
        <w:rPr>
          <w:lang w:val="es-ES_tradnl"/>
        </w:rPr>
      </w:pPr>
      <w:r>
        <w:rPr>
          <w:lang w:val="es-ES_tradnl"/>
        </w:rPr>
        <w:t>LISTA DE CUESTIONES QUE DEBEN ABORDARSE AL EXAMINAR</w:t>
      </w:r>
      <w:r>
        <w:rPr>
          <w:lang w:val="es-ES_tradnl"/>
        </w:rPr>
        <w:br/>
        <w:t>EL INFORME INICIAL DEL ESTADO DE KUWAIT</w:t>
      </w:r>
      <w:r>
        <w:rPr>
          <w:lang w:val="es-ES_tradnl"/>
        </w:rPr>
        <w:br/>
        <w:t>(CCPR/C/120/Add.1)</w:t>
      </w:r>
    </w:p>
    <w:p w:rsidR="00000000" w:rsidRDefault="00000000">
      <w:pPr>
        <w:spacing w:after="480"/>
        <w:jc w:val="center"/>
        <w:rPr>
          <w:u w:val="single"/>
          <w:lang w:val="es-ES_tradnl"/>
        </w:rPr>
      </w:pPr>
      <w:r>
        <w:rPr>
          <w:u w:val="single"/>
          <w:lang w:val="es-ES_tradnl"/>
        </w:rPr>
        <w:t>Aprobada por el Comité de Derechos Humanos el 30 de marzo de 2000</w:t>
      </w:r>
    </w:p>
    <w:p w:rsidR="00000000" w:rsidRDefault="00000000">
      <w:pPr>
        <w:pStyle w:val="H23"/>
        <w:keepNext w:val="0"/>
        <w:keepLines w:val="0"/>
        <w:suppressAutoHyphens w:val="0"/>
        <w:spacing w:after="240" w:line="240" w:lineRule="auto"/>
        <w:outlineLvl w:val="9"/>
        <w:rPr>
          <w:b w:val="0"/>
          <w:sz w:val="24"/>
          <w:u w:val="single"/>
        </w:rPr>
      </w:pPr>
      <w:r>
        <w:rPr>
          <w:b w:val="0"/>
          <w:sz w:val="24"/>
          <w:u w:val="single"/>
        </w:rPr>
        <w:t>Marco constitucional y jurídico para la aplicación del Pacto (art. 2)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</w:tabs>
        <w:spacing w:after="240" w:line="240" w:lineRule="auto"/>
        <w:ind w:left="0" w:right="0"/>
        <w:jc w:val="left"/>
        <w:rPr>
          <w:sz w:val="24"/>
        </w:rPr>
      </w:pPr>
      <w:r>
        <w:rPr>
          <w:sz w:val="24"/>
        </w:rPr>
        <w:t>1.</w:t>
      </w:r>
      <w:r>
        <w:rPr>
          <w:sz w:val="24"/>
        </w:rPr>
        <w:tab/>
        <w:t xml:space="preserve">¿Los derechos </w:t>
      </w:r>
      <w:proofErr w:type="spellStart"/>
      <w:r>
        <w:rPr>
          <w:sz w:val="24"/>
        </w:rPr>
        <w:t>dimanantes</w:t>
      </w:r>
      <w:proofErr w:type="spellEnd"/>
      <w:r>
        <w:rPr>
          <w:sz w:val="24"/>
        </w:rPr>
        <w:t xml:space="preserve"> del Pacto, que en virtud de la Constitución de K</w:t>
      </w:r>
      <w:r>
        <w:rPr>
          <w:sz w:val="24"/>
        </w:rPr>
        <w:t>u</w:t>
      </w:r>
      <w:r>
        <w:rPr>
          <w:sz w:val="24"/>
        </w:rPr>
        <w:t>wait forman parte del ordenamiento jurídico interno (informe, párr. 37), pu</w:t>
      </w:r>
      <w:r>
        <w:rPr>
          <w:sz w:val="24"/>
        </w:rPr>
        <w:t>e</w:t>
      </w:r>
      <w:r>
        <w:rPr>
          <w:sz w:val="24"/>
        </w:rPr>
        <w:t>den invocarse directamente ante los tribunales?  En caso afirmativo, ¿podrían brindarse a</w:t>
      </w:r>
      <w:r>
        <w:rPr>
          <w:sz w:val="24"/>
        </w:rPr>
        <w:t>l</w:t>
      </w:r>
      <w:r>
        <w:rPr>
          <w:sz w:val="24"/>
        </w:rPr>
        <w:t>gunos ejemplos?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</w:tabs>
        <w:spacing w:after="240" w:line="240" w:lineRule="auto"/>
        <w:ind w:left="0" w:right="0"/>
        <w:jc w:val="left"/>
        <w:rPr>
          <w:sz w:val="24"/>
        </w:rPr>
      </w:pPr>
      <w:r>
        <w:rPr>
          <w:sz w:val="24"/>
        </w:rPr>
        <w:t>2.</w:t>
      </w:r>
      <w:r>
        <w:rPr>
          <w:sz w:val="24"/>
        </w:rPr>
        <w:tab/>
        <w:t>¿Ha considerado el Estado de Kuwait la posibilidad de retirar las declaraciones relativas al párrafo 1 del artículo 2, al artículo 3 y a los párrafos 2 y 3 del artículo 23, así como su reserva al artículo 25 b) del Pacto?  En caso negativo, ¿podría brindarse alguna explicación al respecto?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</w:tabs>
        <w:spacing w:after="840" w:line="240" w:lineRule="auto"/>
        <w:ind w:left="0" w:right="0"/>
        <w:jc w:val="left"/>
        <w:rPr>
          <w:sz w:val="24"/>
        </w:rPr>
      </w:pPr>
      <w:r>
        <w:rPr>
          <w:sz w:val="24"/>
        </w:rPr>
        <w:t>3.</w:t>
      </w:r>
      <w:r>
        <w:rPr>
          <w:sz w:val="24"/>
        </w:rPr>
        <w:tab/>
        <w:t>¿Cuáles son las facultades y funciones del Comité de Derechos Humanos de la Asamblea Nacional de Kuwait (párr. 185)?  ¿Cuántas recomendaciones ha hecho, y con qué resultados?  ¿Cuáles son las facultades y las funci</w:t>
      </w:r>
      <w:r>
        <w:rPr>
          <w:sz w:val="24"/>
        </w:rPr>
        <w:t>o</w:t>
      </w:r>
      <w:r>
        <w:rPr>
          <w:sz w:val="24"/>
        </w:rPr>
        <w:t>nes del Comité de Derechos H</w:t>
      </w:r>
      <w:r>
        <w:rPr>
          <w:sz w:val="24"/>
        </w:rPr>
        <w:t>u</w:t>
      </w:r>
      <w:r>
        <w:rPr>
          <w:sz w:val="24"/>
        </w:rPr>
        <w:t>manos del Ministerio del Interior?</w:t>
      </w:r>
    </w:p>
    <w:p w:rsidR="00000000" w:rsidRDefault="00000000">
      <w:pPr>
        <w:pStyle w:val="H23"/>
        <w:keepNext w:val="0"/>
        <w:keepLines w:val="0"/>
        <w:suppressAutoHyphens w:val="0"/>
        <w:spacing w:after="240" w:line="240" w:lineRule="auto"/>
        <w:outlineLvl w:val="9"/>
        <w:rPr>
          <w:b w:val="0"/>
          <w:sz w:val="24"/>
        </w:rPr>
      </w:pPr>
      <w:r>
        <w:rPr>
          <w:b w:val="0"/>
          <w:sz w:val="24"/>
        </w:rPr>
        <w:t>GE.00-41639  (S)</w:t>
      </w:r>
    </w:p>
    <w:p w:rsidR="00000000" w:rsidRDefault="00000000">
      <w:pPr>
        <w:pStyle w:val="H23"/>
        <w:keepNext w:val="0"/>
        <w:keepLines w:val="0"/>
        <w:suppressAutoHyphens w:val="0"/>
        <w:spacing w:after="240" w:line="240" w:lineRule="auto"/>
        <w:outlineLvl w:val="9"/>
        <w:rPr>
          <w:b w:val="0"/>
          <w:sz w:val="24"/>
          <w:u w:val="single"/>
        </w:rPr>
      </w:pPr>
      <w:r>
        <w:rPr>
          <w:b w:val="0"/>
          <w:sz w:val="24"/>
          <w:u w:val="single"/>
        </w:rPr>
        <w:t>Igualdad entre hombres y mujeres y nacionalidad de los hijos (</w:t>
      </w:r>
      <w:proofErr w:type="spellStart"/>
      <w:r>
        <w:rPr>
          <w:b w:val="0"/>
          <w:sz w:val="24"/>
          <w:u w:val="single"/>
        </w:rPr>
        <w:t>arts</w:t>
      </w:r>
      <w:proofErr w:type="spellEnd"/>
      <w:r>
        <w:rPr>
          <w:b w:val="0"/>
          <w:sz w:val="24"/>
          <w:u w:val="single"/>
        </w:rPr>
        <w:t>. 3 y 23 a 26)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</w:tabs>
        <w:spacing w:after="240" w:line="240" w:lineRule="auto"/>
        <w:ind w:left="0" w:right="0"/>
        <w:jc w:val="left"/>
        <w:rPr>
          <w:sz w:val="24"/>
        </w:rPr>
      </w:pPr>
      <w:r>
        <w:rPr>
          <w:sz w:val="24"/>
        </w:rPr>
        <w:t>4.</w:t>
      </w:r>
      <w:r>
        <w:rPr>
          <w:sz w:val="24"/>
        </w:rPr>
        <w:tab/>
        <w:t>¿Qué medidas legislativas se prevén para velar por que la mujer disfrute pl</w:t>
      </w:r>
      <w:r>
        <w:rPr>
          <w:sz w:val="24"/>
        </w:rPr>
        <w:t>e</w:t>
      </w:r>
      <w:r>
        <w:rPr>
          <w:sz w:val="24"/>
        </w:rPr>
        <w:t>namente y en igualdad con el hombre de los derechos establecidos en el Pacto, en particular en relación con las elecciones y la posibilidad de ocupar cargos públicos electivos (párr. 306)?  Sírvase proporcionar estadísticas detalladas sobre la situación de las mujeres en la sociedad, el mundo laboral, la administración, la educación y las univers</w:t>
      </w:r>
      <w:r>
        <w:rPr>
          <w:sz w:val="24"/>
        </w:rPr>
        <w:t>i</w:t>
      </w:r>
      <w:r>
        <w:rPr>
          <w:sz w:val="24"/>
        </w:rPr>
        <w:t>d</w:t>
      </w:r>
      <w:r>
        <w:rPr>
          <w:sz w:val="24"/>
        </w:rPr>
        <w:t>a</w:t>
      </w:r>
      <w:r>
        <w:rPr>
          <w:sz w:val="24"/>
        </w:rPr>
        <w:t>des.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</w:tabs>
        <w:spacing w:after="240" w:line="240" w:lineRule="auto"/>
        <w:ind w:left="0" w:right="0"/>
        <w:jc w:val="left"/>
        <w:rPr>
          <w:sz w:val="24"/>
        </w:rPr>
      </w:pPr>
      <w:r>
        <w:rPr>
          <w:sz w:val="24"/>
        </w:rPr>
        <w:t>5.</w:t>
      </w:r>
      <w:r>
        <w:rPr>
          <w:sz w:val="24"/>
        </w:rPr>
        <w:tab/>
        <w:t>Sírvase explicar la condición jurídica de la mujer en relación con su derecho a heredar, a contraer matrimonio de acuerdo con su libre voluntad y a qué edad, a divorciarse, a obtener la custodia de sus hijos y a transmitir la nacionalidad a sus hijos.  ¿Disfrutan las mujeres que no son musulmanas de los mismos derechos a este respecto que las mujeres musulmanas?  Sírvase proporcionar información detallada sobre la situación existente en el Estado Parte, de hecho y de derecho, en lo que se r</w:t>
      </w:r>
      <w:r>
        <w:rPr>
          <w:sz w:val="24"/>
        </w:rPr>
        <w:t>e</w:t>
      </w:r>
      <w:r>
        <w:rPr>
          <w:sz w:val="24"/>
        </w:rPr>
        <w:t>fiere a los problemas del repudio, la poligamia, los delitos contra el honor, el adulterio y la capacidad para prestar testimonio?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</w:tabs>
        <w:spacing w:after="240" w:line="240" w:lineRule="auto"/>
        <w:ind w:left="0" w:right="0"/>
        <w:jc w:val="left"/>
        <w:rPr>
          <w:sz w:val="24"/>
        </w:rPr>
      </w:pPr>
      <w:r>
        <w:rPr>
          <w:sz w:val="24"/>
        </w:rPr>
        <w:t>6.</w:t>
      </w:r>
      <w:r>
        <w:rPr>
          <w:sz w:val="24"/>
        </w:rPr>
        <w:tab/>
        <w:t>¿Tienen las mujeres, de hecho y de derecho, el mismo acceso que los hombres al empleo en la administración pública y gozan del derecho a igual salario por trabajo de igual valor en los sectores público y privado?  Sírvase presentar i</w:t>
      </w:r>
      <w:r>
        <w:rPr>
          <w:sz w:val="24"/>
        </w:rPr>
        <w:t>n</w:t>
      </w:r>
      <w:r>
        <w:rPr>
          <w:sz w:val="24"/>
        </w:rPr>
        <w:t>formación estadística relativa a la proporción de mujeres que ocupan cargos superi</w:t>
      </w:r>
      <w:r>
        <w:rPr>
          <w:sz w:val="24"/>
        </w:rPr>
        <w:t>o</w:t>
      </w:r>
      <w:r>
        <w:rPr>
          <w:sz w:val="24"/>
        </w:rPr>
        <w:t>res.</w:t>
      </w:r>
    </w:p>
    <w:p w:rsidR="00000000" w:rsidRDefault="00000000">
      <w:pPr>
        <w:pStyle w:val="H23"/>
        <w:keepNext w:val="0"/>
        <w:keepLines w:val="0"/>
        <w:suppressAutoHyphens w:val="0"/>
        <w:spacing w:after="240" w:line="240" w:lineRule="auto"/>
        <w:outlineLvl w:val="9"/>
        <w:rPr>
          <w:b w:val="0"/>
          <w:sz w:val="24"/>
          <w:u w:val="single"/>
        </w:rPr>
      </w:pPr>
      <w:r>
        <w:rPr>
          <w:b w:val="0"/>
          <w:sz w:val="24"/>
          <w:u w:val="single"/>
        </w:rPr>
        <w:t>Principio de no discriminación y protección de las minorías (</w:t>
      </w:r>
      <w:proofErr w:type="spellStart"/>
      <w:r>
        <w:rPr>
          <w:b w:val="0"/>
          <w:sz w:val="24"/>
          <w:u w:val="single"/>
        </w:rPr>
        <w:t>arts</w:t>
      </w:r>
      <w:proofErr w:type="spellEnd"/>
      <w:r>
        <w:rPr>
          <w:b w:val="0"/>
          <w:sz w:val="24"/>
          <w:u w:val="single"/>
        </w:rPr>
        <w:t>. 2 y 27)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</w:tabs>
        <w:spacing w:after="240" w:line="240" w:lineRule="auto"/>
        <w:ind w:left="0" w:right="0"/>
        <w:jc w:val="left"/>
        <w:rPr>
          <w:sz w:val="24"/>
        </w:rPr>
      </w:pPr>
      <w:r>
        <w:rPr>
          <w:sz w:val="24"/>
        </w:rPr>
        <w:t>7.</w:t>
      </w:r>
      <w:r>
        <w:rPr>
          <w:sz w:val="24"/>
        </w:rPr>
        <w:tab/>
        <w:t>Sírvase hacer observaciones sobre la situación jurídica y de hecho de los tr</w:t>
      </w:r>
      <w:r>
        <w:rPr>
          <w:sz w:val="24"/>
        </w:rPr>
        <w:t>a</w:t>
      </w:r>
      <w:r>
        <w:rPr>
          <w:sz w:val="24"/>
        </w:rPr>
        <w:t>bajadores extranjeros en Kuwait.  ¿Los protege la legislación laboral?  Sírvase hacer observaciones sobre los informes de que ha habido empleadores que han ejercido presión sobre sus empleados extranjeros reteniendo sus p</w:t>
      </w:r>
      <w:r>
        <w:rPr>
          <w:sz w:val="24"/>
        </w:rPr>
        <w:t>a</w:t>
      </w:r>
      <w:r>
        <w:rPr>
          <w:sz w:val="24"/>
        </w:rPr>
        <w:t>saportes</w:t>
      </w:r>
      <w:r>
        <w:rPr>
          <w:b/>
          <w:sz w:val="24"/>
        </w:rPr>
        <w:t xml:space="preserve">, </w:t>
      </w:r>
      <w:r>
        <w:rPr>
          <w:sz w:val="24"/>
        </w:rPr>
        <w:t>así como sobre los informes de malos tratos, incluso violación, de empleadas del servicio doméstico.  ¿Cómo se investigan las d</w:t>
      </w:r>
      <w:r>
        <w:rPr>
          <w:sz w:val="24"/>
        </w:rPr>
        <w:t>e</w:t>
      </w:r>
      <w:r>
        <w:rPr>
          <w:sz w:val="24"/>
        </w:rPr>
        <w:t xml:space="preserve">nuncias y qué tipo de reparación se concede a las víctimas, habida cuenta de su temor de ser deportadas si </w:t>
      </w:r>
      <w:proofErr w:type="spellStart"/>
      <w:r>
        <w:rPr>
          <w:sz w:val="24"/>
        </w:rPr>
        <w:t>interponen</w:t>
      </w:r>
      <w:proofErr w:type="spellEnd"/>
      <w:r>
        <w:rPr>
          <w:sz w:val="24"/>
        </w:rPr>
        <w:t xml:space="preserve"> una denuncia contra sus empleadores?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</w:tabs>
        <w:spacing w:after="240" w:line="240" w:lineRule="auto"/>
        <w:ind w:left="0" w:right="0"/>
        <w:jc w:val="left"/>
        <w:rPr>
          <w:sz w:val="24"/>
        </w:rPr>
      </w:pPr>
      <w:r>
        <w:rPr>
          <w:sz w:val="24"/>
        </w:rPr>
        <w:t>8.</w:t>
      </w:r>
      <w:r>
        <w:rPr>
          <w:sz w:val="24"/>
        </w:rPr>
        <w:tab/>
        <w:t xml:space="preserve">¿Qué medidas existen o se prevén para que los </w:t>
      </w:r>
      <w:proofErr w:type="spellStart"/>
      <w:r>
        <w:rPr>
          <w:sz w:val="24"/>
          <w:u w:val="single"/>
        </w:rPr>
        <w:t>bidun</w:t>
      </w:r>
      <w:proofErr w:type="spellEnd"/>
      <w:r>
        <w:rPr>
          <w:sz w:val="24"/>
        </w:rPr>
        <w:t xml:space="preserve"> (residentes sin documentación) disfruten de todos los derechos establecidos en el Pacto?  ¿Cuál fue el result</w:t>
      </w:r>
      <w:r>
        <w:rPr>
          <w:sz w:val="24"/>
        </w:rPr>
        <w:t>a</w:t>
      </w:r>
      <w:r>
        <w:rPr>
          <w:sz w:val="24"/>
        </w:rPr>
        <w:t xml:space="preserve">do de la labor del Comité Central encargado de resolver la situación de los </w:t>
      </w:r>
      <w:proofErr w:type="spellStart"/>
      <w:r>
        <w:rPr>
          <w:sz w:val="24"/>
          <w:u w:val="single"/>
        </w:rPr>
        <w:t>bidun</w:t>
      </w:r>
      <w:proofErr w:type="spellEnd"/>
      <w:r>
        <w:rPr>
          <w:sz w:val="24"/>
        </w:rPr>
        <w:t>, establecido en 1993?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</w:tabs>
        <w:spacing w:after="240" w:line="240" w:lineRule="auto"/>
        <w:ind w:left="0" w:right="0"/>
        <w:jc w:val="left"/>
        <w:rPr>
          <w:sz w:val="24"/>
        </w:rPr>
      </w:pPr>
      <w:r>
        <w:rPr>
          <w:sz w:val="24"/>
        </w:rPr>
        <w:t>9.</w:t>
      </w:r>
      <w:r>
        <w:rPr>
          <w:sz w:val="24"/>
        </w:rPr>
        <w:tab/>
        <w:t>Dado que el informe nada dice con respecto al artículo 27 del Pacto, sírvase i</w:t>
      </w:r>
      <w:r>
        <w:rPr>
          <w:sz w:val="24"/>
        </w:rPr>
        <w:t>n</w:t>
      </w:r>
      <w:r>
        <w:rPr>
          <w:sz w:val="24"/>
        </w:rPr>
        <w:t>formar al Comité sobre las minorías étnicas, religiosas o lingüísticas que exi</w:t>
      </w:r>
      <w:r>
        <w:rPr>
          <w:sz w:val="24"/>
        </w:rPr>
        <w:t>s</w:t>
      </w:r>
      <w:r>
        <w:rPr>
          <w:sz w:val="24"/>
        </w:rPr>
        <w:t>ten en Kuwait, así como sobre la manera en que las personas que pe</w:t>
      </w:r>
      <w:r>
        <w:rPr>
          <w:sz w:val="24"/>
        </w:rPr>
        <w:t>r</w:t>
      </w:r>
      <w:r>
        <w:rPr>
          <w:sz w:val="24"/>
        </w:rPr>
        <w:t>tenecen a dichas minorías pueden disfrutar de sus derechos, junto con los d</w:t>
      </w:r>
      <w:r>
        <w:rPr>
          <w:sz w:val="24"/>
        </w:rPr>
        <w:t>e</w:t>
      </w:r>
      <w:r>
        <w:rPr>
          <w:sz w:val="24"/>
        </w:rPr>
        <w:t>más miembros de su comunidad, de conformidad con lo dispuesto en el Pacto.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</w:tabs>
        <w:spacing w:after="240" w:line="240" w:lineRule="auto"/>
        <w:ind w:left="0" w:right="0"/>
        <w:jc w:val="left"/>
        <w:rPr>
          <w:sz w:val="24"/>
        </w:rPr>
      </w:pPr>
      <w:r>
        <w:rPr>
          <w:sz w:val="24"/>
        </w:rPr>
        <w:t>10.</w:t>
      </w:r>
      <w:r>
        <w:rPr>
          <w:sz w:val="24"/>
        </w:rPr>
        <w:tab/>
        <w:t>¿Pueden naturalizarse quienes no son musulmanes, sean hombres o mujeres?</w:t>
      </w:r>
    </w:p>
    <w:p w:rsidR="00000000" w:rsidRDefault="00000000">
      <w:pPr>
        <w:pStyle w:val="H23"/>
        <w:keepLines w:val="0"/>
        <w:suppressAutoHyphens w:val="0"/>
        <w:spacing w:after="240" w:line="240" w:lineRule="auto"/>
        <w:outlineLvl w:val="9"/>
        <w:rPr>
          <w:b w:val="0"/>
          <w:sz w:val="24"/>
          <w:u w:val="single"/>
        </w:rPr>
      </w:pPr>
      <w:r>
        <w:rPr>
          <w:b w:val="0"/>
          <w:sz w:val="24"/>
          <w:u w:val="single"/>
        </w:rPr>
        <w:t>Derecho a la vida y protección contra la tortura y tratos degradantes (</w:t>
      </w:r>
      <w:proofErr w:type="spellStart"/>
      <w:r>
        <w:rPr>
          <w:b w:val="0"/>
          <w:sz w:val="24"/>
          <w:u w:val="single"/>
        </w:rPr>
        <w:t>arts</w:t>
      </w:r>
      <w:proofErr w:type="spellEnd"/>
      <w:r>
        <w:rPr>
          <w:b w:val="0"/>
          <w:sz w:val="24"/>
          <w:u w:val="single"/>
        </w:rPr>
        <w:t>. 6 y 7)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</w:tabs>
        <w:spacing w:after="240" w:line="240" w:lineRule="auto"/>
        <w:ind w:left="0" w:right="0"/>
        <w:jc w:val="left"/>
        <w:rPr>
          <w:b/>
          <w:sz w:val="24"/>
        </w:rPr>
      </w:pPr>
      <w:r>
        <w:rPr>
          <w:sz w:val="24"/>
        </w:rPr>
        <w:t>11.</w:t>
      </w:r>
      <w:r>
        <w:rPr>
          <w:sz w:val="24"/>
        </w:rPr>
        <w:tab/>
        <w:t>¿Cuáles son los crímenes por los cuales se puede imponer la pena de muerte (párr. 101)?  Sírvase dar ejemplos de casos en que se haya impuesto y ejec</w:t>
      </w:r>
      <w:r>
        <w:rPr>
          <w:sz w:val="24"/>
        </w:rPr>
        <w:t>u</w:t>
      </w:r>
      <w:r>
        <w:rPr>
          <w:sz w:val="24"/>
        </w:rPr>
        <w:t>t</w:t>
      </w:r>
      <w:r>
        <w:rPr>
          <w:sz w:val="24"/>
        </w:rPr>
        <w:t>a</w:t>
      </w:r>
      <w:r>
        <w:rPr>
          <w:sz w:val="24"/>
        </w:rPr>
        <w:t>do efectivamente la pena de muerte.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</w:tabs>
        <w:spacing w:after="240" w:line="240" w:lineRule="auto"/>
        <w:ind w:left="0" w:right="0"/>
        <w:jc w:val="left"/>
        <w:rPr>
          <w:sz w:val="24"/>
        </w:rPr>
      </w:pPr>
      <w:r>
        <w:rPr>
          <w:sz w:val="24"/>
        </w:rPr>
        <w:t>12.</w:t>
      </w:r>
      <w:r>
        <w:rPr>
          <w:sz w:val="24"/>
        </w:rPr>
        <w:tab/>
        <w:t>Sírvase hacer observaciones sobre las denuncias según las cuales más de 70 personas, cuyo paradero se sigue desconociendo, "desaparecieron" en 1991, tras haber sido detenidas y acusadas de colaborar con el Iraq.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</w:tabs>
        <w:spacing w:after="240" w:line="240" w:lineRule="auto"/>
        <w:ind w:left="0" w:right="0"/>
        <w:jc w:val="left"/>
        <w:rPr>
          <w:sz w:val="24"/>
        </w:rPr>
      </w:pPr>
      <w:r>
        <w:rPr>
          <w:sz w:val="24"/>
        </w:rPr>
        <w:t>13.</w:t>
      </w:r>
      <w:r>
        <w:rPr>
          <w:sz w:val="24"/>
        </w:rPr>
        <w:tab/>
        <w:t>¿Siguen practicándose las penas corporales en Kuwait, como sanción penal o como medida disciplinaria en las escuelas o las cárceles?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</w:tabs>
        <w:spacing w:after="240" w:line="240" w:lineRule="auto"/>
        <w:ind w:left="0" w:right="0"/>
        <w:jc w:val="left"/>
        <w:rPr>
          <w:sz w:val="24"/>
        </w:rPr>
      </w:pPr>
      <w:r>
        <w:rPr>
          <w:sz w:val="24"/>
        </w:rPr>
        <w:t>14.</w:t>
      </w:r>
      <w:r>
        <w:rPr>
          <w:sz w:val="24"/>
        </w:rPr>
        <w:tab/>
        <w:t>¿Está prohibido el aborto, sin excepción alguna (</w:t>
      </w:r>
      <w:proofErr w:type="spellStart"/>
      <w:r>
        <w:rPr>
          <w:sz w:val="24"/>
        </w:rPr>
        <w:t>párrs</w:t>
      </w:r>
      <w:proofErr w:type="spellEnd"/>
      <w:r>
        <w:rPr>
          <w:sz w:val="24"/>
        </w:rPr>
        <w:t>. 84 y 85)?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</w:tabs>
        <w:spacing w:after="240" w:line="240" w:lineRule="auto"/>
        <w:ind w:left="0" w:right="0"/>
        <w:jc w:val="left"/>
        <w:rPr>
          <w:sz w:val="24"/>
        </w:rPr>
      </w:pPr>
      <w:r>
        <w:rPr>
          <w:sz w:val="24"/>
        </w:rPr>
        <w:t>15.</w:t>
      </w:r>
      <w:r>
        <w:rPr>
          <w:sz w:val="24"/>
        </w:rPr>
        <w:tab/>
        <w:t>Sírvase hacer observaciones sobre las denuncias de malos tratos y torturas c</w:t>
      </w:r>
      <w:r>
        <w:rPr>
          <w:sz w:val="24"/>
        </w:rPr>
        <w:t>o</w:t>
      </w:r>
      <w:r>
        <w:rPr>
          <w:sz w:val="24"/>
        </w:rPr>
        <w:t>metidos por miembros de la policía y de las fuerzas de seguridad contra los detenidos sometidos a interrogatorio, especialmente contra quienes no son ci</w:t>
      </w:r>
      <w:r>
        <w:rPr>
          <w:sz w:val="24"/>
        </w:rPr>
        <w:t>u</w:t>
      </w:r>
      <w:r>
        <w:rPr>
          <w:sz w:val="24"/>
        </w:rPr>
        <w:t>dadanos.  ¿Se castiga la tortura en todos los casos?  Sírvase brindar inform</w:t>
      </w:r>
      <w:r>
        <w:rPr>
          <w:sz w:val="24"/>
        </w:rPr>
        <w:t>a</w:t>
      </w:r>
      <w:r>
        <w:rPr>
          <w:sz w:val="24"/>
        </w:rPr>
        <w:t>ción sobre los mecanismos previstos para la investigación y el enjuiciamiento de tales viol</w:t>
      </w:r>
      <w:r>
        <w:rPr>
          <w:sz w:val="24"/>
        </w:rPr>
        <w:t>a</w:t>
      </w:r>
      <w:r>
        <w:rPr>
          <w:sz w:val="24"/>
        </w:rPr>
        <w:t>ciones de los derechos humanos.</w:t>
      </w:r>
    </w:p>
    <w:p w:rsidR="00000000" w:rsidRDefault="00000000">
      <w:pPr>
        <w:pStyle w:val="H23"/>
        <w:keepNext w:val="0"/>
        <w:keepLines w:val="0"/>
        <w:suppressAutoHyphens w:val="0"/>
        <w:spacing w:after="240" w:line="240" w:lineRule="auto"/>
        <w:outlineLvl w:val="9"/>
        <w:rPr>
          <w:b w:val="0"/>
          <w:sz w:val="24"/>
          <w:u w:val="single"/>
        </w:rPr>
      </w:pPr>
      <w:r>
        <w:rPr>
          <w:b w:val="0"/>
          <w:sz w:val="24"/>
          <w:u w:val="single"/>
        </w:rPr>
        <w:t>Libertad y seguridad personales; tratamiento de los reclusos (</w:t>
      </w:r>
      <w:proofErr w:type="spellStart"/>
      <w:r>
        <w:rPr>
          <w:b w:val="0"/>
          <w:sz w:val="24"/>
          <w:u w:val="single"/>
        </w:rPr>
        <w:t>arts</w:t>
      </w:r>
      <w:proofErr w:type="spellEnd"/>
      <w:r>
        <w:rPr>
          <w:b w:val="0"/>
          <w:sz w:val="24"/>
          <w:u w:val="single"/>
        </w:rPr>
        <w:t>. 9 y 10)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</w:tabs>
        <w:spacing w:after="240" w:line="240" w:lineRule="auto"/>
        <w:ind w:left="0" w:right="0"/>
        <w:jc w:val="left"/>
        <w:rPr>
          <w:sz w:val="24"/>
        </w:rPr>
      </w:pPr>
      <w:r>
        <w:rPr>
          <w:sz w:val="24"/>
        </w:rPr>
        <w:t>16.</w:t>
      </w:r>
      <w:r>
        <w:rPr>
          <w:sz w:val="24"/>
        </w:rPr>
        <w:tab/>
        <w:t>Sírvase explicar con más detalle por cuánto tiempo una persona puede perm</w:t>
      </w:r>
      <w:r>
        <w:rPr>
          <w:sz w:val="24"/>
        </w:rPr>
        <w:t>a</w:t>
      </w:r>
      <w:r>
        <w:rPr>
          <w:sz w:val="24"/>
        </w:rPr>
        <w:t>necer detenida por la policía antes de que se obtenga de la autoridad judicial competente la autorización para prorrogar dicha detención, y durante cuánto tiempo puede prolongarse la detención preventiva (</w:t>
      </w:r>
      <w:proofErr w:type="spellStart"/>
      <w:r>
        <w:rPr>
          <w:sz w:val="24"/>
        </w:rPr>
        <w:t>párrs</w:t>
      </w:r>
      <w:proofErr w:type="spellEnd"/>
      <w:r>
        <w:rPr>
          <w:sz w:val="24"/>
        </w:rPr>
        <w:t>. 161 y 162).  ¿Cuándo y en qué circunstancias se reconoce el derecho del detenido a ver a un abogado o a un médico y a ponerse en contacto con sus familiares?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</w:tabs>
        <w:spacing w:after="240" w:line="240" w:lineRule="auto"/>
        <w:ind w:left="0" w:right="0"/>
        <w:jc w:val="left"/>
        <w:rPr>
          <w:sz w:val="24"/>
        </w:rPr>
      </w:pPr>
      <w:r>
        <w:rPr>
          <w:sz w:val="24"/>
        </w:rPr>
        <w:t>17.</w:t>
      </w:r>
      <w:r>
        <w:rPr>
          <w:sz w:val="24"/>
        </w:rPr>
        <w:tab/>
        <w:t>¿Qué mecanismos de protección existen para que los reclusos puedan denu</w:t>
      </w:r>
      <w:r>
        <w:rPr>
          <w:sz w:val="24"/>
        </w:rPr>
        <w:t>n</w:t>
      </w:r>
      <w:r>
        <w:rPr>
          <w:sz w:val="24"/>
        </w:rPr>
        <w:t>ciar los tratos inhumanos a que se vean sometidos y para que se investiguen dichas denuncias?</w:t>
      </w:r>
    </w:p>
    <w:p w:rsidR="00000000" w:rsidRDefault="00000000">
      <w:pPr>
        <w:pStyle w:val="H23"/>
        <w:keepNext w:val="0"/>
        <w:keepLines w:val="0"/>
        <w:suppressAutoHyphens w:val="0"/>
        <w:spacing w:after="240" w:line="240" w:lineRule="auto"/>
        <w:outlineLvl w:val="9"/>
        <w:rPr>
          <w:b w:val="0"/>
          <w:sz w:val="24"/>
        </w:rPr>
      </w:pPr>
      <w:r>
        <w:rPr>
          <w:b w:val="0"/>
          <w:sz w:val="24"/>
          <w:u w:val="single"/>
        </w:rPr>
        <w:t>Derecho a un juicio imparcial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</w:tabs>
        <w:spacing w:after="240" w:line="240" w:lineRule="auto"/>
        <w:ind w:left="0" w:right="0"/>
        <w:jc w:val="left"/>
        <w:rPr>
          <w:sz w:val="24"/>
        </w:rPr>
      </w:pPr>
      <w:r>
        <w:rPr>
          <w:sz w:val="24"/>
        </w:rPr>
        <w:t>18.</w:t>
      </w:r>
      <w:r>
        <w:rPr>
          <w:sz w:val="24"/>
        </w:rPr>
        <w:tab/>
        <w:t>Sírvase explicar la manera en que la judicatura y los tribunales, en los procedimientos judiciales que aplican, cumplen todas las disposiciones del artículo 14.</w:t>
      </w:r>
    </w:p>
    <w:p w:rsidR="00000000" w:rsidRDefault="00000000">
      <w:pPr>
        <w:pStyle w:val="H23"/>
        <w:keepNext w:val="0"/>
        <w:keepLines w:val="0"/>
        <w:suppressAutoHyphens w:val="0"/>
        <w:spacing w:after="240" w:line="240" w:lineRule="auto"/>
        <w:outlineLvl w:val="9"/>
        <w:rPr>
          <w:b w:val="0"/>
          <w:sz w:val="24"/>
          <w:u w:val="single"/>
        </w:rPr>
      </w:pPr>
      <w:r>
        <w:rPr>
          <w:b w:val="0"/>
          <w:sz w:val="24"/>
          <w:u w:val="single"/>
        </w:rPr>
        <w:t>Libertad de religión (art. 18)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</w:tabs>
        <w:spacing w:after="240" w:line="240" w:lineRule="auto"/>
        <w:ind w:left="0" w:right="0"/>
        <w:jc w:val="left"/>
        <w:rPr>
          <w:sz w:val="24"/>
        </w:rPr>
      </w:pPr>
      <w:r>
        <w:rPr>
          <w:sz w:val="24"/>
        </w:rPr>
        <w:t>19.</w:t>
      </w:r>
      <w:r>
        <w:rPr>
          <w:sz w:val="24"/>
        </w:rPr>
        <w:tab/>
        <w:t>Sírvase brindar información sobre la posibilidad de convertirse de una religión a otra, y dar detalles sobre las consecuencias jurídicas.</w:t>
      </w:r>
    </w:p>
    <w:p w:rsidR="00000000" w:rsidRDefault="00000000">
      <w:pPr>
        <w:pStyle w:val="H23"/>
        <w:keepNext w:val="0"/>
        <w:keepLines w:val="0"/>
        <w:suppressAutoHyphens w:val="0"/>
        <w:spacing w:after="240" w:line="240" w:lineRule="auto"/>
        <w:outlineLvl w:val="9"/>
        <w:rPr>
          <w:b w:val="0"/>
          <w:sz w:val="24"/>
          <w:u w:val="single"/>
        </w:rPr>
      </w:pPr>
      <w:r>
        <w:rPr>
          <w:b w:val="0"/>
          <w:sz w:val="24"/>
          <w:u w:val="single"/>
        </w:rPr>
        <w:t>Libertad de expresión y asociación (</w:t>
      </w:r>
      <w:proofErr w:type="spellStart"/>
      <w:r>
        <w:rPr>
          <w:b w:val="0"/>
          <w:sz w:val="24"/>
          <w:u w:val="single"/>
        </w:rPr>
        <w:t>arts</w:t>
      </w:r>
      <w:proofErr w:type="spellEnd"/>
      <w:r>
        <w:rPr>
          <w:b w:val="0"/>
          <w:sz w:val="24"/>
          <w:u w:val="single"/>
        </w:rPr>
        <w:t>. 19, 22 y 25)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</w:tabs>
        <w:spacing w:after="240" w:line="240" w:lineRule="auto"/>
        <w:ind w:left="0" w:right="0"/>
        <w:jc w:val="left"/>
        <w:rPr>
          <w:sz w:val="24"/>
        </w:rPr>
      </w:pPr>
      <w:r>
        <w:rPr>
          <w:sz w:val="24"/>
        </w:rPr>
        <w:t>20.</w:t>
      </w:r>
      <w:r>
        <w:rPr>
          <w:sz w:val="24"/>
        </w:rPr>
        <w:tab/>
        <w:t xml:space="preserve">Sírvase brindar información sobre la aplicación de las sanciones penales y administrativas establecidas en el derecho de Kuwait, en particular la Ley </w:t>
      </w:r>
      <w:proofErr w:type="spellStart"/>
      <w:r>
        <w:rPr>
          <w:sz w:val="24"/>
        </w:rPr>
        <w:t>Nº</w:t>
      </w:r>
      <w:proofErr w:type="spellEnd"/>
      <w:r>
        <w:rPr>
          <w:sz w:val="24"/>
        </w:rPr>
        <w:t xml:space="preserve"> 3, de 1961, sobre prensa y publicaciones.  Explique asimismo el proced</w:t>
      </w:r>
      <w:r>
        <w:rPr>
          <w:sz w:val="24"/>
        </w:rPr>
        <w:t>i</w:t>
      </w:r>
      <w:r>
        <w:rPr>
          <w:sz w:val="24"/>
        </w:rPr>
        <w:t>miento para autorizar la publicación de un periódico.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</w:tabs>
        <w:spacing w:after="240" w:line="240" w:lineRule="auto"/>
        <w:ind w:left="0" w:right="0"/>
        <w:jc w:val="left"/>
        <w:rPr>
          <w:sz w:val="24"/>
        </w:rPr>
      </w:pPr>
      <w:r>
        <w:rPr>
          <w:sz w:val="24"/>
        </w:rPr>
        <w:t>21.</w:t>
      </w:r>
      <w:r>
        <w:rPr>
          <w:sz w:val="24"/>
        </w:rPr>
        <w:tab/>
        <w:t>¿De qué manera se pueden ejercer en Kuwait los derechos sindicales?  ¿Se e</w:t>
      </w:r>
      <w:r>
        <w:rPr>
          <w:sz w:val="24"/>
        </w:rPr>
        <w:t>x</w:t>
      </w:r>
      <w:r>
        <w:rPr>
          <w:sz w:val="24"/>
        </w:rPr>
        <w:t xml:space="preserve">cluye a quienes no son </w:t>
      </w:r>
      <w:proofErr w:type="spellStart"/>
      <w:r>
        <w:rPr>
          <w:sz w:val="24"/>
        </w:rPr>
        <w:t>kuwaitíes</w:t>
      </w:r>
      <w:proofErr w:type="spellEnd"/>
      <w:r>
        <w:rPr>
          <w:sz w:val="24"/>
        </w:rPr>
        <w:t xml:space="preserve"> de la posibilidad de afiliarse a los sindicatos?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</w:tabs>
        <w:spacing w:after="240" w:line="240" w:lineRule="auto"/>
        <w:ind w:left="0" w:right="0"/>
        <w:jc w:val="left"/>
        <w:rPr>
          <w:sz w:val="24"/>
        </w:rPr>
      </w:pPr>
      <w:r>
        <w:rPr>
          <w:sz w:val="24"/>
        </w:rPr>
        <w:t>22.</w:t>
      </w:r>
      <w:r>
        <w:rPr>
          <w:sz w:val="24"/>
        </w:rPr>
        <w:tab/>
        <w:t xml:space="preserve">¿De qué manera pueden los ciudadanos </w:t>
      </w:r>
      <w:proofErr w:type="spellStart"/>
      <w:r>
        <w:rPr>
          <w:sz w:val="24"/>
        </w:rPr>
        <w:t>kuwaitíes</w:t>
      </w:r>
      <w:proofErr w:type="spellEnd"/>
      <w:r>
        <w:rPr>
          <w:sz w:val="24"/>
        </w:rPr>
        <w:t xml:space="preserve"> organizarse políticamente, habida cuenta de que no existen partidos políticos (párr. 261)?</w:t>
      </w:r>
    </w:p>
    <w:p w:rsidR="00000000" w:rsidRDefault="00000000">
      <w:pPr>
        <w:pStyle w:val="H23"/>
        <w:keepNext w:val="0"/>
        <w:keepLines w:val="0"/>
        <w:suppressAutoHyphens w:val="0"/>
        <w:spacing w:after="240" w:line="240" w:lineRule="auto"/>
        <w:outlineLvl w:val="9"/>
        <w:rPr>
          <w:b w:val="0"/>
          <w:sz w:val="24"/>
          <w:u w:val="single"/>
        </w:rPr>
      </w:pPr>
      <w:r>
        <w:rPr>
          <w:b w:val="0"/>
          <w:sz w:val="24"/>
          <w:u w:val="single"/>
        </w:rPr>
        <w:t>Difusión de información sobre el Pacto (art. 2)</w:t>
      </w:r>
    </w:p>
    <w:p w:rsidR="00000000" w:rsidRDefault="00000000">
      <w:pPr>
        <w:pStyle w:val="SingleTxt"/>
        <w:tabs>
          <w:tab w:val="clear" w:pos="1267"/>
          <w:tab w:val="clear" w:pos="1742"/>
          <w:tab w:val="clear" w:pos="2218"/>
          <w:tab w:val="clear" w:pos="2693"/>
          <w:tab w:val="clear" w:pos="3182"/>
          <w:tab w:val="clear" w:pos="3658"/>
          <w:tab w:val="clear" w:pos="4133"/>
          <w:tab w:val="clear" w:pos="4622"/>
          <w:tab w:val="clear" w:pos="5098"/>
          <w:tab w:val="clear" w:pos="5573"/>
          <w:tab w:val="clear" w:pos="6048"/>
        </w:tabs>
        <w:spacing w:after="240" w:line="240" w:lineRule="auto"/>
        <w:ind w:left="0" w:right="0"/>
        <w:jc w:val="left"/>
        <w:rPr>
          <w:sz w:val="24"/>
        </w:rPr>
      </w:pPr>
      <w:r>
        <w:rPr>
          <w:sz w:val="24"/>
        </w:rPr>
        <w:t>23.</w:t>
      </w:r>
      <w:r>
        <w:rPr>
          <w:sz w:val="24"/>
        </w:rPr>
        <w:tab/>
        <w:t>Sírvase indicar qué medidas se han adoptado para difundir información sobre la presentación del informe y su examen por el Comité.  Además, facilite i</w:t>
      </w:r>
      <w:r>
        <w:rPr>
          <w:sz w:val="24"/>
        </w:rPr>
        <w:t>n</w:t>
      </w:r>
      <w:r>
        <w:rPr>
          <w:sz w:val="24"/>
        </w:rPr>
        <w:t>formación sobre la educación y capacitación que en relación con el Pacto se brinda a los funcionarios gubernamentales, maestros de escuela, magistrados, abogados y age</w:t>
      </w:r>
      <w:r>
        <w:rPr>
          <w:sz w:val="24"/>
        </w:rPr>
        <w:t>n</w:t>
      </w:r>
      <w:r>
        <w:rPr>
          <w:sz w:val="24"/>
        </w:rPr>
        <w:t>tes de pol</w:t>
      </w:r>
      <w:bookmarkStart w:id="0" w:name="tmpfsave"/>
      <w:bookmarkEnd w:id="0"/>
      <w:r>
        <w:rPr>
          <w:sz w:val="24"/>
        </w:rPr>
        <w:t>icía.</w:t>
      </w:r>
    </w:p>
    <w:p w:rsidR="00000000" w:rsidRDefault="00000000">
      <w:pPr>
        <w:spacing w:after="240"/>
        <w:jc w:val="center"/>
        <w:rPr>
          <w:lang w:val="es-ES_tradnl"/>
        </w:rPr>
      </w:pPr>
      <w:r>
        <w:rPr>
          <w:noProof/>
        </w:rPr>
        <w:pict>
          <v:shape id="_x0000_s1034" type="#_x0000_t202" style="position:absolute;left:0;text-align:left;margin-left:191.7pt;margin-top:149.1pt;width:127.8pt;height:7.1pt;z-index:9;mso-position-horizontal:absolute;mso-position-horizontal-relative:page;mso-position-vertical:absolute;mso-position-vertical-relative:page" o:allowincell="f" filled="f" stroked="f">
            <v:textbox>
              <w:txbxContent>
                <w:p w:rsidR="00000000" w:rsidRDefault="00000000"/>
              </w:txbxContent>
            </v:textbox>
            <w10:wrap anchorx="page" anchory="page"/>
            <w10:anchorlock/>
          </v:shape>
        </w:pict>
      </w:r>
      <w:r>
        <w:rPr>
          <w:noProof/>
        </w:rPr>
        <w:pict>
          <v:shape id="_x0000_s1033" type="#_x0000_t202" style="position:absolute;left:0;text-align:left;margin-left:177.5pt;margin-top:149.1pt;width:163.3pt;height:7.1pt;z-index:8;mso-position-horizontal:absolute;mso-position-horizontal-relative:page;mso-position-vertical:absolute;mso-position-vertical-relative:page" o:allowincell="f" filled="f" stroked="f">
            <v:textbox>
              <w:txbxContent>
                <w:p w:rsidR="00000000" w:rsidRDefault="00000000"/>
              </w:txbxContent>
            </v:textbox>
            <w10:wrap anchorx="page" anchory="page"/>
            <w10:anchorlock/>
          </v:shape>
        </w:pict>
      </w:r>
      <w:r>
        <w:rPr>
          <w:noProof/>
        </w:rPr>
        <w:pict>
          <v:shape id="_x0000_s1032" type="#_x0000_t202" style="position:absolute;left:0;text-align:left;margin-left:177.5pt;margin-top:127.8pt;width:191.7pt;height:7.1pt;z-index:7;mso-position-horizontal:absolute;mso-position-horizontal-relative:page;mso-position-vertical:absolute;mso-position-vertical-relative:page" o:allowincell="f" filled="f" stroked="f">
            <v:textbox>
              <w:txbxContent>
                <w:p w:rsidR="00000000" w:rsidRDefault="00000000"/>
              </w:txbxContent>
            </v:textbox>
            <w10:wrap anchorx="page" anchory="page"/>
            <w10:anchorlock/>
          </v:shape>
        </w:pict>
      </w:r>
      <w:r>
        <w:rPr>
          <w:lang w:val="es-ES_tradnl"/>
        </w:rPr>
        <w:t>-----</w:t>
      </w:r>
    </w:p>
    <w:p w:rsidR="00000000" w:rsidRDefault="00000000">
      <w:pPr>
        <w:rPr>
          <w:lang w:val="es-ES_tradnl"/>
        </w:rPr>
      </w:pPr>
    </w:p>
    <w:sectPr w:rsidR="00000000">
      <w:headerReference w:type="even" r:id="rId9"/>
      <w:headerReference w:type="default" r:id="rId10"/>
      <w:pgSz w:w="11906" w:h="16838"/>
      <w:pgMar w:top="1701" w:right="850" w:bottom="1984" w:left="1701" w:header="85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r>
        <w:separator/>
      </w:r>
    </w:p>
  </w:endnote>
  <w:endnote w:type="continuationSeparator" w:id="0">
    <w:p w:rsidR="00000000" w:rsidRDefault="000000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r>
        <w:separator/>
      </w:r>
    </w:p>
  </w:footnote>
  <w:footnote w:type="continuationSeparator" w:id="0">
    <w:p w:rsidR="00000000" w:rsidRDefault="000000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t>CCPR/C/69/L/KWT</w:t>
    </w:r>
  </w:p>
  <w:p w:rsidR="00000000" w:rsidRDefault="00000000">
    <w:pPr>
      <w:pStyle w:val="Header"/>
    </w:pPr>
    <w:r>
      <w:t xml:space="preserve">página </w:t>
    </w:r>
    <w:r>
      <w:rPr/>
      <w:fldChar w:fldCharType="begin"/>
    </w:r>
    <w:r>
      <w:rPr/>
      <w:instrText xml:space="preserve"> PAGE </w:instrText>
    </w:r>
    <w:r>
      <w:rPr/>
      <w:fldChar w:fldCharType="separate"/>
    </w:r>
    <w:r>
      <w:rPr>
        <w:noProof/>
      </w:rPr>
      <w:t>4</w:t>
    </w:r>
    <w:r>
      <w:rPr/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clear" w:pos="4252"/>
        <w:tab w:val="clear" w:pos="8504"/>
        <w:tab w:val="left" w:pos="6803"/>
      </w:tabs>
    </w:pPr>
    <w:r>
      <w:tab/>
      <w:t>CCPR/C/69/L/KWT</w:t>
    </w:r>
  </w:p>
  <w:p w:rsidR="00000000" w:rsidRDefault="00000000">
    <w:pPr>
      <w:pStyle w:val="Header"/>
      <w:tabs>
        <w:tab w:val="clear" w:pos="4252"/>
        <w:tab w:val="clear" w:pos="8504"/>
        <w:tab w:val="left" w:pos="6803"/>
      </w:tabs>
    </w:pPr>
    <w:r>
      <w:tab/>
      <w:t xml:space="preserve">página </w:t>
    </w:r>
    <w:r>
      <w:rPr/>
      <w:fldChar w:fldCharType="begin"/>
    </w:r>
    <w:r>
      <w:rPr/>
      <w:instrText xml:space="preserve"> PAGE </w:instrText>
    </w:r>
    <w:r>
      <w:rPr/>
      <w:fldChar w:fldCharType="separate"/>
    </w:r>
    <w:r>
      <w:rPr>
        <w:noProof/>
      </w:rPr>
      <w:t>3</w:t>
    </w:r>
    <w:r>
      <w:rPr/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8D33A3"/>
    <w:multiLevelType w:val="singleLevel"/>
    <w:tmpl w:val="A4341008"/>
    <w:lvl w:ilvl="0">
      <w:start w:val="6"/>
      <w:numFmt w:val="decimal"/>
      <w:lvlRestart w:val="0"/>
      <w:lvlText w:val="%1."/>
      <w:lvlJc w:val="left"/>
      <w:pPr>
        <w:tabs>
          <w:tab w:val="num" w:pos="1742"/>
        </w:tabs>
        <w:ind w:left="1267" w:firstLine="0"/>
      </w:pPr>
      <w:rPr>
        <w:spacing w:val="0"/>
        <w:w w:val="10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0"/>
  <w:proofState w:spelling="clean" w:grammar="clean"/>
  <w:attachedTemplate r:id="rId1"/>
  <w:doNotTrackMoves/>
  <w:defaultTabStop w:val="567"/>
  <w:hyphenationZone w:val="425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lang w:val="es-ES"/>
    </w:rPr>
  </w:style>
  <w:style w:type="paragraph" w:styleId="Heading2">
    <w:name w:val="heading 2"/>
    <w:basedOn w:val="Normal"/>
    <w:next w:val="Normal"/>
    <w:qFormat/>
    <w:pPr>
      <w:keepNext/>
      <w:widowControl w:val="0"/>
      <w:tabs>
        <w:tab w:val="left" w:pos="0"/>
        <w:tab w:val="left" w:pos="566"/>
        <w:tab w:val="left" w:pos="1134"/>
        <w:tab w:val="left" w:pos="1700"/>
        <w:tab w:val="left" w:pos="2268"/>
        <w:tab w:val="left" w:pos="2834"/>
        <w:tab w:val="left" w:pos="3402"/>
        <w:tab w:val="left" w:pos="3968"/>
        <w:tab w:val="left" w:pos="4534"/>
        <w:tab w:val="left" w:pos="5102"/>
        <w:tab w:val="left" w:pos="5668"/>
        <w:tab w:val="left" w:pos="6236"/>
        <w:tab w:val="left" w:pos="6802"/>
        <w:tab w:val="left" w:pos="7370"/>
        <w:tab w:val="left" w:pos="7936"/>
        <w:tab w:val="left" w:pos="8504"/>
        <w:tab w:val="left" w:pos="9070"/>
        <w:tab w:val="left" w:pos="9637"/>
        <w:tab w:val="left" w:pos="10204"/>
        <w:tab w:val="left" w:pos="10771"/>
        <w:tab w:val="left" w:pos="11338"/>
        <w:tab w:val="left" w:pos="11905"/>
      </w:tabs>
      <w:outlineLvl w:val="1"/>
    </w:pPr>
    <w:rPr>
      <w:rFonts w:ascii="Arial" w:hAnsi="Arial"/>
      <w:b/>
      <w:snapToGrid w:val="0"/>
      <w:sz w:val="32"/>
      <w:lang w:val="es-ES_tradnl" w:eastAsia="es-E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semiHidden/>
    <w:rPr>
      <w:rFonts w:ascii="Arial" w:hAnsi="Arial"/>
      <w:b/>
      <w:sz w:val="28"/>
      <w:lang w:val="es-ES_tradnl"/>
    </w:rPr>
  </w:style>
  <w:style w:type="paragraph" w:styleId="Header">
    <w:name w:val="header"/>
    <w:basedOn w:val="Normal"/>
    <w:semiHidden/>
    <w:pPr>
      <w:tabs>
        <w:tab w:val="center" w:pos="4252"/>
        <w:tab w:val="right" w:pos="8504"/>
      </w:tabs>
    </w:pPr>
  </w:style>
  <w:style w:type="paragraph" w:styleId="Footer">
    <w:name w:val="footer"/>
    <w:basedOn w:val="Normal"/>
    <w:semiHidden/>
    <w:pPr>
      <w:tabs>
        <w:tab w:val="center" w:pos="4252"/>
        <w:tab w:val="right" w:pos="8504"/>
      </w:tabs>
    </w:pPr>
  </w:style>
  <w:style w:type="paragraph" w:customStyle="1" w:styleId="H23">
    <w:name w:val="_ H_2/3"/>
    <w:basedOn w:val="Normal"/>
    <w:next w:val="SingleTxt"/>
    <w:pPr>
      <w:keepNext/>
      <w:keepLines/>
      <w:suppressAutoHyphens/>
      <w:spacing w:line="240" w:lineRule="exact"/>
      <w:outlineLvl w:val="1"/>
    </w:pPr>
    <w:rPr>
      <w:b/>
      <w:spacing w:val="2"/>
      <w:w w:val="103"/>
      <w:kern w:val="14"/>
      <w:sz w:val="20"/>
    </w:r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120" w:line="240" w:lineRule="exact"/>
      <w:ind w:left="1267" w:right="1267"/>
      <w:jc w:val="both"/>
    </w:pPr>
    <w:rPr>
      <w:spacing w:val="4"/>
      <w:w w:val="103"/>
      <w:kern w:val="14"/>
      <w:sz w:val="20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97\planword\CCP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</Template>
  <TotalTime>11</TotalTime>
  <Pages>1</Pages>
  <Words>1061</Words>
  <Characters>6050</Characters>
  <Application>Microsoft Office Word</Application>
  <DocSecurity>4</DocSecurity>
  <Lines>50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CCPR/C/69/L/KWT - 00-41639</vt:lpstr>
    </vt:vector>
  </TitlesOfParts>
  <Company>ONU</Company>
  <LinksUpToDate>false</LinksUpToDate>
  <CharactersWithSpaces>7429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CCPR/C/69/L/KWT - 00-41639</dc:title>
  <dc:subject/>
  <dc:creator>RSM</dc:creator>
  <cp:keywords/>
  <dc:description/>
  <cp:lastModifiedBy>RSM</cp:lastModifiedBy>
  <cp:revision>2</cp:revision>
  <cp:lastPrinted>1999-05-03T09:54:00Z</cp:lastPrinted>
  <dcterms:created xsi:type="dcterms:W3CDTF">2000-05-16T13:14:00Z</dcterms:created>
  <dcterms:modified xsi:type="dcterms:W3CDTF">2000-05-16T13:25:00Z</dcterms:modified>
</cp:coreProperties>
</file>