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A58" w:rsidRDefault="00E91A58">
      <w:pPr>
        <w:spacing w:line="240" w:lineRule="auto"/>
        <w:rPr>
          <w:sz w:val="6"/>
        </w:rPr>
      </w:pPr>
      <w:r>
        <w:rPr>
          <w:rStyle w:val="CommentReference"/>
        </w:rPr>
        <w:commentReference w:id="0"/>
      </w:r>
    </w:p>
    <w:p w:rsidR="008A20D4" w:rsidRPr="00E91A58" w:rsidRDefault="008A20D4" w:rsidP="00E91A58">
      <w:pPr>
        <w:spacing w:line="20" w:lineRule="exact"/>
        <w:rPr>
          <w:sz w:val="2"/>
        </w:rPr>
        <w:sectPr w:rsidR="008A20D4" w:rsidRPr="00E91A5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noEndnote/>
          <w:titlePg/>
          <w:docGrid w:linePitch="209"/>
        </w:sectPr>
      </w:pPr>
    </w:p>
    <w:p w:rsidR="008A20D4" w:rsidRDefault="008A20D4">
      <w:pPr>
        <w:pStyle w:val="H1"/>
      </w:pPr>
      <w:r>
        <w:t>Comité para la Eliminación de la Discriminación</w:t>
      </w:r>
      <w:r>
        <w:br/>
        <w:t>contra la Mujer</w:t>
      </w:r>
    </w:p>
    <w:p w:rsidR="008A20D4" w:rsidRDefault="008A20D4">
      <w:pPr>
        <w:pStyle w:val="H23"/>
      </w:pPr>
      <w:r>
        <w:t>37º período de sesiones</w:t>
      </w:r>
    </w:p>
    <w:p w:rsidR="008A20D4" w:rsidRDefault="008A20D4">
      <w:pPr>
        <w:spacing w:line="240" w:lineRule="auto"/>
        <w:rPr>
          <w:sz w:val="12"/>
        </w:rPr>
      </w:pPr>
    </w:p>
    <w:p w:rsidR="008A20D4" w:rsidRDefault="008A20D4">
      <w:pPr>
        <w:pStyle w:val="H23"/>
      </w:pPr>
      <w:r>
        <w:t>Acta resumida de la 760ª sesión (Sala B)</w:t>
      </w:r>
    </w:p>
    <w:p w:rsidR="008A20D4" w:rsidRDefault="008A20D4">
      <w:r>
        <w:t>Celebrada en la Sede, Nueva York, el miércoles 17 de enero de 2007, a las 15.00 horas</w:t>
      </w:r>
    </w:p>
    <w:p w:rsidR="008A20D4" w:rsidRDefault="008A20D4">
      <w:pPr>
        <w:spacing w:line="120" w:lineRule="exact"/>
        <w:rPr>
          <w:sz w:val="10"/>
        </w:rPr>
      </w:pPr>
    </w:p>
    <w:p w:rsidR="008A20D4" w:rsidRDefault="008A20D4">
      <w:pPr>
        <w:tabs>
          <w:tab w:val="right" w:pos="907"/>
          <w:tab w:val="left" w:pos="1267"/>
          <w:tab w:val="right" w:leader="dot" w:pos="8568"/>
        </w:tabs>
        <w:ind w:right="1267"/>
      </w:pPr>
      <w:r>
        <w:rPr>
          <w:i/>
        </w:rPr>
        <w:tab/>
        <w:t>Presidenta</w:t>
      </w:r>
      <w:r>
        <w:t>:</w:t>
      </w:r>
      <w:r>
        <w:tab/>
        <w:t>Sra. Šimonović</w:t>
      </w:r>
    </w:p>
    <w:p w:rsidR="008A20D4" w:rsidRDefault="008A20D4">
      <w:pPr>
        <w:tabs>
          <w:tab w:val="right" w:pos="907"/>
          <w:tab w:val="left" w:pos="1267"/>
          <w:tab w:val="right" w:leader="dot" w:pos="8568"/>
        </w:tabs>
        <w:spacing w:line="120" w:lineRule="exact"/>
        <w:ind w:right="1267"/>
        <w:rPr>
          <w:sz w:val="10"/>
        </w:rPr>
      </w:pPr>
    </w:p>
    <w:p w:rsidR="008A20D4" w:rsidRDefault="008A20D4">
      <w:pPr>
        <w:tabs>
          <w:tab w:val="right" w:pos="907"/>
          <w:tab w:val="left" w:pos="1267"/>
          <w:tab w:val="right" w:leader="dot" w:pos="8568"/>
        </w:tabs>
        <w:spacing w:line="120" w:lineRule="exact"/>
        <w:ind w:right="1267"/>
        <w:rPr>
          <w:sz w:val="10"/>
        </w:rPr>
      </w:pPr>
    </w:p>
    <w:p w:rsidR="008A20D4" w:rsidRDefault="008A20D4">
      <w:pPr>
        <w:tabs>
          <w:tab w:val="right" w:pos="907"/>
          <w:tab w:val="left" w:pos="1267"/>
          <w:tab w:val="right" w:leader="dot" w:pos="8568"/>
        </w:tabs>
        <w:spacing w:line="120" w:lineRule="exact"/>
        <w:ind w:right="1267"/>
        <w:rPr>
          <w:sz w:val="10"/>
        </w:rPr>
      </w:pPr>
    </w:p>
    <w:p w:rsidR="008A20D4" w:rsidRDefault="008A20D4">
      <w:pPr>
        <w:pStyle w:val="HCh"/>
        <w:rPr>
          <w:b w:val="0"/>
        </w:rPr>
      </w:pPr>
      <w:r>
        <w:rPr>
          <w:b w:val="0"/>
        </w:rPr>
        <w:t>Sumario</w:t>
      </w:r>
    </w:p>
    <w:p w:rsidR="008A20D4" w:rsidRDefault="008A20D4">
      <w:pPr>
        <w:pStyle w:val="HCh"/>
        <w:spacing w:line="240" w:lineRule="auto"/>
        <w:rPr>
          <w:b w:val="0"/>
          <w:sz w:val="12"/>
        </w:rPr>
      </w:pPr>
    </w:p>
    <w:p w:rsidR="008A20D4" w:rsidRDefault="008A20D4">
      <w:pPr>
        <w:pStyle w:val="SingleTxt"/>
        <w:jc w:val="left"/>
      </w:pPr>
      <w:r>
        <w:t>Examen de los informes presentados por los Estados partes con arreglo al artículo 18 de la Convención (</w:t>
      </w:r>
      <w:r>
        <w:rPr>
          <w:i/>
        </w:rPr>
        <w:t>continuación</w:t>
      </w:r>
      <w:r>
        <w:t>)</w:t>
      </w:r>
    </w:p>
    <w:p w:rsidR="008A20D4" w:rsidRDefault="008A20D4">
      <w:pPr>
        <w:pStyle w:val="SingleTxt"/>
        <w:suppressAutoHyphens/>
        <w:jc w:val="left"/>
        <w:rPr>
          <w:i/>
        </w:rPr>
      </w:pPr>
      <w:r>
        <w:tab/>
      </w:r>
      <w:r>
        <w:rPr>
          <w:i/>
        </w:rPr>
        <w:t>Informes periódicos quinto y sexto combinados de Viet Nam (continuación)</w:t>
      </w:r>
    </w:p>
    <w:p w:rsidR="008A20D4" w:rsidRDefault="008A20D4">
      <w:pPr>
        <w:pStyle w:val="H4"/>
        <w:tabs>
          <w:tab w:val="right" w:pos="360"/>
          <w:tab w:val="left" w:pos="475"/>
          <w:tab w:val="left" w:pos="965"/>
          <w:tab w:val="left" w:pos="1440"/>
          <w:tab w:val="left" w:pos="1915"/>
          <w:tab w:val="left" w:pos="2405"/>
          <w:tab w:val="left" w:pos="2880"/>
          <w:tab w:val="left" w:pos="3355"/>
        </w:tabs>
        <w:ind w:left="475" w:hanging="475"/>
        <w:rPr>
          <w:i w:val="0"/>
        </w:rPr>
        <w:sectPr w:rsidR="008A20D4">
          <w:endnotePr>
            <w:numFmt w:val="decimal"/>
          </w:endnotePr>
          <w:type w:val="continuous"/>
          <w:pgSz w:w="12240" w:h="15840" w:code="1"/>
          <w:pgMar w:top="1742" w:right="1195" w:bottom="1901" w:left="1195" w:header="576" w:footer="1037" w:gutter="0"/>
          <w:cols w:space="720"/>
          <w:noEndnote/>
          <w:docGrid w:linePitch="209"/>
        </w:sectPr>
      </w:pPr>
      <w:r>
        <w:rPr>
          <w:i w:val="0"/>
        </w:rPr>
        <w:br w:type="page"/>
      </w:r>
    </w:p>
    <w:p w:rsidR="008A20D4" w:rsidRDefault="008A20D4">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15.00 horas.</w:t>
      </w:r>
    </w:p>
    <w:p w:rsidR="008A20D4" w:rsidRDefault="008A20D4">
      <w:pPr>
        <w:pStyle w:val="DualTxt"/>
        <w:spacing w:after="0" w:line="120" w:lineRule="exact"/>
        <w:rPr>
          <w:sz w:val="10"/>
        </w:rPr>
      </w:pPr>
    </w:p>
    <w:p w:rsidR="008A20D4" w:rsidRDefault="008A20D4">
      <w:pPr>
        <w:pStyle w:val="DualTxt"/>
        <w:spacing w:after="0" w:line="120" w:lineRule="exact"/>
        <w:rPr>
          <w:sz w:val="10"/>
        </w:rPr>
      </w:pPr>
    </w:p>
    <w:p w:rsidR="008A20D4" w:rsidRDefault="008A20D4">
      <w:pPr>
        <w:pStyle w:val="DualTxt"/>
        <w:spacing w:after="0" w:line="120" w:lineRule="exact"/>
        <w:rPr>
          <w:sz w:val="10"/>
        </w:rPr>
      </w:pPr>
    </w:p>
    <w:p w:rsidR="008A20D4" w:rsidRDefault="008A20D4">
      <w:pPr>
        <w:pStyle w:val="H23"/>
        <w:tabs>
          <w:tab w:val="right" w:pos="360"/>
          <w:tab w:val="left" w:pos="475"/>
          <w:tab w:val="left" w:pos="965"/>
          <w:tab w:val="left" w:pos="1440"/>
          <w:tab w:val="left" w:pos="1915"/>
          <w:tab w:val="left" w:pos="2405"/>
          <w:tab w:val="left" w:pos="2880"/>
          <w:tab w:val="left" w:pos="3355"/>
        </w:tabs>
        <w:rPr>
          <w:b w:val="0"/>
        </w:rPr>
      </w:pPr>
      <w:r>
        <w:tab/>
        <w:t xml:space="preserve">Examen de los informes presentados por los Estados partes con arreglo al artículo 18 de la Convención </w:t>
      </w:r>
      <w:r>
        <w:rPr>
          <w:b w:val="0"/>
        </w:rPr>
        <w:t>(</w:t>
      </w:r>
      <w:r>
        <w:rPr>
          <w:b w:val="0"/>
          <w:i/>
        </w:rPr>
        <w:t>continuación</w:t>
      </w:r>
      <w:r>
        <w:rPr>
          <w:b w:val="0"/>
        </w:rPr>
        <w:t>)</w:t>
      </w:r>
    </w:p>
    <w:p w:rsidR="008A20D4" w:rsidRDefault="008A20D4">
      <w:pPr>
        <w:pStyle w:val="DualTxt"/>
        <w:spacing w:after="0" w:line="120" w:lineRule="exact"/>
        <w:rPr>
          <w:sz w:val="10"/>
        </w:rPr>
      </w:pPr>
    </w:p>
    <w:p w:rsidR="008A20D4" w:rsidRDefault="008A20D4">
      <w:pPr>
        <w:pStyle w:val="DualTxt"/>
        <w:spacing w:after="0" w:line="120" w:lineRule="exact"/>
        <w:rPr>
          <w:sz w:val="10"/>
        </w:rPr>
      </w:pPr>
    </w:p>
    <w:p w:rsidR="008A20D4" w:rsidRDefault="008A20D4">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Informes periódicos quinto y sexto combinados de Viet Nam </w:t>
      </w:r>
      <w:r>
        <w:rPr>
          <w:i w:val="0"/>
        </w:rPr>
        <w:t>(CEDAW/C/VNM/5-6)</w:t>
      </w:r>
    </w:p>
    <w:p w:rsidR="008A20D4" w:rsidRDefault="008A20D4">
      <w:pPr>
        <w:pStyle w:val="DualTxt"/>
        <w:spacing w:after="0" w:line="120" w:lineRule="exact"/>
        <w:rPr>
          <w:sz w:val="10"/>
        </w:rPr>
      </w:pPr>
    </w:p>
    <w:p w:rsidR="008A20D4" w:rsidRDefault="008A20D4">
      <w:pPr>
        <w:pStyle w:val="DualTxt"/>
        <w:rPr>
          <w:i/>
        </w:rPr>
      </w:pPr>
      <w:r>
        <w:t>1.</w:t>
      </w:r>
      <w:r>
        <w:tab/>
      </w:r>
      <w:r>
        <w:rPr>
          <w:i/>
        </w:rPr>
        <w:t>Por invitación de la Presidenta, los miembros de la delegación de Viet Nam toman asiento a la mesa del Comité.</w:t>
      </w:r>
    </w:p>
    <w:p w:rsidR="008A20D4" w:rsidRDefault="008A20D4">
      <w:pPr>
        <w:pStyle w:val="DualTxt"/>
        <w:spacing w:after="0" w:line="120" w:lineRule="exact"/>
        <w:rPr>
          <w:sz w:val="10"/>
        </w:rPr>
      </w:pPr>
    </w:p>
    <w:p w:rsidR="008A20D4" w:rsidRDefault="008A20D4">
      <w:pPr>
        <w:pStyle w:val="H4"/>
        <w:tabs>
          <w:tab w:val="left" w:pos="475"/>
          <w:tab w:val="left" w:pos="965"/>
          <w:tab w:val="left" w:pos="1440"/>
          <w:tab w:val="left" w:pos="1915"/>
          <w:tab w:val="left" w:pos="2405"/>
          <w:tab w:val="left" w:pos="2880"/>
          <w:tab w:val="left" w:pos="3355"/>
        </w:tabs>
        <w:ind w:left="475" w:hanging="475"/>
      </w:pPr>
      <w:r>
        <w:tab/>
        <w:t>Artículos 7 a 9 (continuación</w:t>
      </w:r>
      <w:r>
        <w:rPr>
          <w:i w:val="0"/>
        </w:rPr>
        <w:t>)</w:t>
      </w:r>
    </w:p>
    <w:p w:rsidR="008A20D4" w:rsidRDefault="008A20D4">
      <w:pPr>
        <w:pStyle w:val="DualTxt"/>
        <w:spacing w:after="0" w:line="120" w:lineRule="exact"/>
        <w:rPr>
          <w:sz w:val="10"/>
        </w:rPr>
      </w:pPr>
    </w:p>
    <w:p w:rsidR="008A20D4" w:rsidRDefault="008A20D4">
      <w:pPr>
        <w:pStyle w:val="DualTxt"/>
      </w:pPr>
      <w:r>
        <w:t>2.</w:t>
      </w:r>
      <w:r>
        <w:tab/>
      </w:r>
      <w:r>
        <w:rPr>
          <w:b/>
        </w:rPr>
        <w:t>La Sra. Tran Thi Mai Huong</w:t>
      </w:r>
      <w:r>
        <w:t xml:space="preserve"> (Viet Nam), ref</w:t>
      </w:r>
      <w:r>
        <w:t>i</w:t>
      </w:r>
      <w:r>
        <w:t>riéndose al artículo 7, dice que el plan de acción para la aplicación de la segunda fase de la Estrategia Naci</w:t>
      </w:r>
      <w:r>
        <w:t>o</w:t>
      </w:r>
      <w:r>
        <w:t>nal para el Adelanto de la Mujer Vietnamita, que aba</w:t>
      </w:r>
      <w:r>
        <w:t>r</w:t>
      </w:r>
      <w:r>
        <w:t>ca hasta 2010, comprende medidas concretas tales c</w:t>
      </w:r>
      <w:r>
        <w:t>o</w:t>
      </w:r>
      <w:r>
        <w:t>mo la incorporación de las cuestiones relativas a la m</w:t>
      </w:r>
      <w:r>
        <w:t>u</w:t>
      </w:r>
      <w:r>
        <w:t>jer en el desarrollo de los recursos humanos y la refo</w:t>
      </w:r>
      <w:r>
        <w:t>r</w:t>
      </w:r>
      <w:r>
        <w:t>ma de la administración pública, la capacitación de funcionarias y expertas, el fomento de la capacidad de las mujeres para la aplicación de la reforma de la a</w:t>
      </w:r>
      <w:r>
        <w:t>d</w:t>
      </w:r>
      <w:r>
        <w:t xml:space="preserve">ministración pública, y la formación de mujeres para puestos directivos y de liderazgo. </w:t>
      </w:r>
    </w:p>
    <w:p w:rsidR="008A20D4" w:rsidRDefault="008A20D4">
      <w:pPr>
        <w:pStyle w:val="DualTxt"/>
      </w:pPr>
      <w:r>
        <w:t>3.</w:t>
      </w:r>
      <w:r>
        <w:tab/>
        <w:t xml:space="preserve">En lo que respecta a la diferencia en la edad máxima de contratación de funcionarios (55 años para los hombres y 50 para las mujeres) se ha propuesto al Primer Ministro la modificación del reglamento en cuestión. </w:t>
      </w:r>
    </w:p>
    <w:p w:rsidR="008A20D4" w:rsidRDefault="008A20D4">
      <w:pPr>
        <w:pStyle w:val="DualTxt"/>
      </w:pPr>
      <w:r>
        <w:t>4.</w:t>
      </w:r>
      <w:r>
        <w:tab/>
      </w:r>
      <w:r>
        <w:rPr>
          <w:b/>
        </w:rPr>
        <w:t>La Sra. Gaspard</w:t>
      </w:r>
      <w:r>
        <w:t xml:space="preserve"> señala que el Gobierno ha d</w:t>
      </w:r>
      <w:r>
        <w:t>e</w:t>
      </w:r>
      <w:r>
        <w:t>mostrado claramente su voluntad de incrementar la participación de las mujeres en los procesos de ado</w:t>
      </w:r>
      <w:r>
        <w:t>p</w:t>
      </w:r>
      <w:r>
        <w:t>ción de decisiones de la administración pública. No obstante, agradecería más información sobre las med</w:t>
      </w:r>
      <w:r>
        <w:t>i</w:t>
      </w:r>
      <w:r>
        <w:t>das concretas que se están aplicando para alcanzar los objetivos que se ha fijado el Gobierno en esa esfera. También manifiesta su preocupación por el bajo núm</w:t>
      </w:r>
      <w:r>
        <w:t>e</w:t>
      </w:r>
      <w:r>
        <w:t>ro de mujeres elegidas en las elecciones locales, e insta al Gobierno a que adopte medidas concretas para c</w:t>
      </w:r>
      <w:r>
        <w:t>o</w:t>
      </w:r>
      <w:r>
        <w:t>rregir esa situación.</w:t>
      </w:r>
    </w:p>
    <w:p w:rsidR="008A20D4" w:rsidRDefault="008A20D4">
      <w:pPr>
        <w:pStyle w:val="DualTxt"/>
      </w:pPr>
      <w:r>
        <w:t>5.</w:t>
      </w:r>
      <w:r>
        <w:tab/>
      </w:r>
      <w:r>
        <w:rPr>
          <w:b/>
        </w:rPr>
        <w:t>La Sra. Tran Thi Mai Huong</w:t>
      </w:r>
      <w:r>
        <w:t xml:space="preserve"> (Viet Nam) r</w:t>
      </w:r>
      <w:r>
        <w:t>e</w:t>
      </w:r>
      <w:r>
        <w:t>cuerda que la Estrategia Nacional para el Adelanto de la Mujer contiene varias medidas concretas. El Gobie</w:t>
      </w:r>
      <w:r>
        <w:t>r</w:t>
      </w:r>
      <w:r>
        <w:t>no ha elaborado diversas políticas encaminadas a pr</w:t>
      </w:r>
      <w:r>
        <w:t>o</w:t>
      </w:r>
      <w:r>
        <w:t>mover la capacitación de mujeres, y ha aprobado el e</w:t>
      </w:r>
      <w:r>
        <w:t>s</w:t>
      </w:r>
      <w:r>
        <w:t>tablecimiento de un Instituto para la Mujer, cuyas act</w:t>
      </w:r>
      <w:r>
        <w:t>i</w:t>
      </w:r>
      <w:r>
        <w:t>vidades se centrarán en la formación de cuadros fem</w:t>
      </w:r>
      <w:r>
        <w:t>e</w:t>
      </w:r>
      <w:r>
        <w:t>ninos. Además, en todos los cursos de capacitación g</w:t>
      </w:r>
      <w:r>
        <w:t>u</w:t>
      </w:r>
      <w:r>
        <w:t>bernamentales se establecen cuotas de participación femenina.</w:t>
      </w:r>
    </w:p>
    <w:p w:rsidR="008A20D4" w:rsidRDefault="008A20D4">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8A20D4" w:rsidRDefault="008A20D4">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8A20D4" w:rsidRDefault="008A20D4">
      <w:pPr>
        <w:pStyle w:val="DualTxt"/>
        <w:spacing w:after="0" w:line="120" w:lineRule="exact"/>
        <w:rPr>
          <w:sz w:val="10"/>
        </w:rPr>
      </w:pPr>
    </w:p>
    <w:p w:rsidR="008A20D4" w:rsidRDefault="008A20D4">
      <w:pPr>
        <w:pStyle w:val="DualTxt"/>
      </w:pPr>
      <w:r>
        <w:t>6.</w:t>
      </w:r>
      <w:r>
        <w:tab/>
      </w:r>
      <w:r>
        <w:rPr>
          <w:b/>
        </w:rPr>
        <w:t>La Sra. Arocha-Domínguez</w:t>
      </w:r>
      <w:r>
        <w:t>, refiriéndose al art</w:t>
      </w:r>
      <w:r>
        <w:t>í</w:t>
      </w:r>
      <w:r>
        <w:t>culo 10, dice que agradecería que se facilitara más i</w:t>
      </w:r>
      <w:r>
        <w:t>n</w:t>
      </w:r>
      <w:r>
        <w:t>formación sobre el “Plan de Acción Nacional de Ed</w:t>
      </w:r>
      <w:r>
        <w:t>u</w:t>
      </w:r>
      <w:r>
        <w:t>cación para Todos” para el período 2003-2015, en pa</w:t>
      </w:r>
      <w:r>
        <w:t>r</w:t>
      </w:r>
      <w:r>
        <w:t>ticular en lo que respecta a las mujeres de las zonas r</w:t>
      </w:r>
      <w:r>
        <w:t>u</w:t>
      </w:r>
      <w:r>
        <w:t>rales. Observa que en los últimos tres años no ha a</w:t>
      </w:r>
      <w:r>
        <w:t>u</w:t>
      </w:r>
      <w:r>
        <w:t>mentado la matrícula femenina en las escuelas, e incl</w:t>
      </w:r>
      <w:r>
        <w:t>u</w:t>
      </w:r>
      <w:r>
        <w:t>so ha disminuido la proporción de niñas matriculadas en guarderías. Resulta sorprendente que un plan de a</w:t>
      </w:r>
      <w:r>
        <w:t>c</w:t>
      </w:r>
      <w:r>
        <w:t>ción de tal alcance haya conseguido resultados tan e</w:t>
      </w:r>
      <w:r>
        <w:t>s</w:t>
      </w:r>
      <w:r>
        <w:t>casos. También agradecería que se aportara inform</w:t>
      </w:r>
      <w:r>
        <w:t>a</w:t>
      </w:r>
      <w:r>
        <w:t>ción sobre las mujeres matriculadas en carreras en las que predominan tradicionalmente los varones, como las de ciencias aplicadas y las técnicas. Por último, pr</w:t>
      </w:r>
      <w:r>
        <w:t>e</w:t>
      </w:r>
      <w:r>
        <w:t>gunta si hay programas especiales para la incorpor</w:t>
      </w:r>
      <w:r>
        <w:t>a</w:t>
      </w:r>
      <w:r>
        <w:t>ción de mujeres adultas a cursos de educación altern</w:t>
      </w:r>
      <w:r>
        <w:t>a</w:t>
      </w:r>
      <w:r>
        <w:t>tivos.</w:t>
      </w:r>
    </w:p>
    <w:p w:rsidR="008A20D4" w:rsidRDefault="008A20D4">
      <w:pPr>
        <w:pStyle w:val="DualTxt"/>
      </w:pPr>
      <w:r>
        <w:t>7.</w:t>
      </w:r>
      <w:r>
        <w:tab/>
      </w:r>
      <w:r>
        <w:rPr>
          <w:b/>
        </w:rPr>
        <w:t>La Sra. Chutikul</w:t>
      </w:r>
      <w:r>
        <w:t xml:space="preserve"> desea saber si el “Plan de A</w:t>
      </w:r>
      <w:r>
        <w:t>c</w:t>
      </w:r>
      <w:r>
        <w:t>ción Nacional de Educación para Todos” comprende programas de formación de personal docente y de ed</w:t>
      </w:r>
      <w:r>
        <w:t>u</w:t>
      </w:r>
      <w:r>
        <w:t>cación parental en los que se tengan en cuenta las cue</w:t>
      </w:r>
      <w:r>
        <w:t>s</w:t>
      </w:r>
      <w:r>
        <w:t>tiones de género, y si el plan de acción ofrece soluci</w:t>
      </w:r>
      <w:r>
        <w:t>o</w:t>
      </w:r>
      <w:r>
        <w:t>nes innovadoras para proporcionar educación de cal</w:t>
      </w:r>
      <w:r>
        <w:t>i</w:t>
      </w:r>
      <w:r>
        <w:t>dad a las mujeres pertenecientes a minorías étnicas y a las mujeres rurales. Subraya la importancia de la ed</w:t>
      </w:r>
      <w:r>
        <w:t>u</w:t>
      </w:r>
      <w:r>
        <w:t>cación en derechos humanos como factor clave para cambiar las actitudes hacia la igualdad de género, y s</w:t>
      </w:r>
      <w:r>
        <w:t>e</w:t>
      </w:r>
      <w:r>
        <w:t>ñala que los programas pertinentes deben adecuarse al grupo de edad de los estudiantes y a su nivel de des</w:t>
      </w:r>
      <w:r>
        <w:t>a</w:t>
      </w:r>
      <w:r>
        <w:t>rrollo.</w:t>
      </w:r>
    </w:p>
    <w:p w:rsidR="008A20D4" w:rsidRDefault="008A20D4">
      <w:pPr>
        <w:pStyle w:val="DualTxt"/>
      </w:pPr>
      <w:r>
        <w:t>8.</w:t>
      </w:r>
      <w:r>
        <w:tab/>
      </w:r>
      <w:r>
        <w:rPr>
          <w:b/>
        </w:rPr>
        <w:t>La Sra. Tavares da Silva</w:t>
      </w:r>
      <w:r>
        <w:t xml:space="preserve"> encomia al Gobierno por sus esfuerzos por promover los derechos de las m</w:t>
      </w:r>
      <w:r>
        <w:t>u</w:t>
      </w:r>
      <w:r>
        <w:t>jeres de minorías étnicas. No obstante, señala que esas mujeres siguen sufriendo las consecuencias de costu</w:t>
      </w:r>
      <w:r>
        <w:t>m</w:t>
      </w:r>
      <w:r>
        <w:t>bres y prácticas anticuadas, y pregunta si ha resultado eficaz el decreto promulgado en 2002 por el Gobierno sobre la aplicación de la Ley del Matrimonio y la F</w:t>
      </w:r>
      <w:r>
        <w:t>a</w:t>
      </w:r>
      <w:r>
        <w:t>milia a las minorías étnicas. También le interesa saber si la Asamblea Nacional ha aprobado el proyecto de Ley sobre las Nacionalidades y si la Ley de Igualdad de Género y la Estrategia Nacional para el Adelanto de la Mujer contienen medidas concretas para atender a las necesidades de las mujeres pertenecientes a minor</w:t>
      </w:r>
      <w:r>
        <w:t>í</w:t>
      </w:r>
      <w:r>
        <w:t>as étnicas.</w:t>
      </w:r>
    </w:p>
    <w:p w:rsidR="008A20D4" w:rsidRDefault="008A20D4">
      <w:pPr>
        <w:pStyle w:val="DualTxt"/>
      </w:pPr>
      <w:r>
        <w:t>9.</w:t>
      </w:r>
      <w:r>
        <w:tab/>
      </w:r>
      <w:r>
        <w:rPr>
          <w:b/>
        </w:rPr>
        <w:t>La Sra. Patten</w:t>
      </w:r>
      <w:r>
        <w:t xml:space="preserve"> elogia los esfuerzos del Estado parte para mejorar la situación de la mujer en el me</w:t>
      </w:r>
      <w:r>
        <w:t>r</w:t>
      </w:r>
      <w:r>
        <w:t>cado laboral. Sin embargo, desea saber cómo se planea abordar el problema del elevado porcentaje de mujeres a las que no se aplican las disposiciones del Código del Trabajo revisado porque trabajan en el sector no estru</w:t>
      </w:r>
      <w:r>
        <w:t>c</w:t>
      </w:r>
      <w:r>
        <w:t>turado, y si se están adoptando medidas para ayudar a esas mujeres a incorporarse al sector estructurado. Pr</w:t>
      </w:r>
      <w:r>
        <w:t>e</w:t>
      </w:r>
      <w:r>
        <w:t>gunta qué mecanismos se han establecido para superv</w:t>
      </w:r>
      <w:r>
        <w:t>i</w:t>
      </w:r>
      <w:r>
        <w:t>sar la aplicación del Código del Trabajo revisado y si la Inspección del Trabajo de Viet Nam cuenta con recu</w:t>
      </w:r>
      <w:r>
        <w:t>r</w:t>
      </w:r>
      <w:r>
        <w:t>sos suficientes.</w:t>
      </w:r>
    </w:p>
    <w:p w:rsidR="008A20D4" w:rsidRDefault="008A20D4">
      <w:pPr>
        <w:pStyle w:val="DualTxt"/>
      </w:pPr>
      <w:r>
        <w:t>10.</w:t>
      </w:r>
      <w:r>
        <w:tab/>
        <w:t>El Comité ha tenido conocimiento por otras fue</w:t>
      </w:r>
      <w:r>
        <w:t>n</w:t>
      </w:r>
      <w:r>
        <w:t>tes de que las mujeres que trabajan en determinados sectores están expuestas a violaciones graves de los d</w:t>
      </w:r>
      <w:r>
        <w:t>e</w:t>
      </w:r>
      <w:r>
        <w:t>rechos humanos, por lo que desearía saber qué está haciendo el Gobierno al respecto. Pregunta si la Ley de Igualdad de Género contiene disposiciones que dupl</w:t>
      </w:r>
      <w:r>
        <w:t>i</w:t>
      </w:r>
      <w:r>
        <w:t>quen otras del Código del Trabajo revisado, y cómo protege Viet Nam los derechos de las mujeres vietn</w:t>
      </w:r>
      <w:r>
        <w:t>a</w:t>
      </w:r>
      <w:r>
        <w:t>mitas que trabajan en el extranjero. El Estado parte ha indicado en su informe que se garantiza la igualdad de remuneración por trabajo igual, pero cabe preguntarse porqué no se refiere también al trabajo de igual valor. Las diferencias de sueldo entre hombres y mujeres en Viet Nam son motivo de seria preocupación. Pregunta qué medidas se han adoptado para garantizar que las mujeres disfruten de las prestaciones sociales, si el C</w:t>
      </w:r>
      <w:r>
        <w:t>ó</w:t>
      </w:r>
      <w:r>
        <w:t>digo del Trabajo contiene medidas relativas al acoso sexual en el lugar de trabajo, y si se han introducido medidas para facilitar la preparación de mujeres para incorporarse a trabajos tradicionalmente reservados principalmente a los hombres.</w:t>
      </w:r>
    </w:p>
    <w:p w:rsidR="008A20D4" w:rsidRDefault="008A20D4">
      <w:pPr>
        <w:pStyle w:val="DualTxt"/>
      </w:pPr>
      <w:r>
        <w:t>11.</w:t>
      </w:r>
      <w:r>
        <w:tab/>
      </w:r>
      <w:r>
        <w:rPr>
          <w:b/>
        </w:rPr>
        <w:t>La Sra. Tan</w:t>
      </w:r>
      <w:r>
        <w:t xml:space="preserve"> dice que, según la información obt</w:t>
      </w:r>
      <w:r>
        <w:t>e</w:t>
      </w:r>
      <w:r>
        <w:t>nida de otras fuentes, el número de abortos practicados en Viet Nam es considerablemente mayor que el ind</w:t>
      </w:r>
      <w:r>
        <w:t>i</w:t>
      </w:r>
      <w:r>
        <w:t>cado en el informe del Estado parte. Pregunta, en co</w:t>
      </w:r>
      <w:r>
        <w:t>n</w:t>
      </w:r>
      <w:r>
        <w:t>secuencia, cuál es la razón de esa discrepancia, en qué grupo de edad se da el mayor número de abortos, qué medidas se vienen aplicando para hacer frente a esa s</w:t>
      </w:r>
      <w:r>
        <w:t>i</w:t>
      </w:r>
      <w:r>
        <w:t>tuación, y cuántas mujeres mueren anualmente como resultado de abortos. El Estado parte debería propo</w:t>
      </w:r>
      <w:r>
        <w:t>r</w:t>
      </w:r>
      <w:r>
        <w:t>cionar asimismo información acerca de las opiniones de las mujeres vietnamitas sobre los métodos antico</w:t>
      </w:r>
      <w:r>
        <w:t>n</w:t>
      </w:r>
      <w:r>
        <w:t>ceptivos, y sobre el porcentaje de abortos relacionados con la trata de mujeres y la prostitución.</w:t>
      </w:r>
    </w:p>
    <w:p w:rsidR="008A20D4" w:rsidRDefault="008A20D4">
      <w:pPr>
        <w:pStyle w:val="DualTxt"/>
      </w:pPr>
      <w:r>
        <w:t>12.</w:t>
      </w:r>
      <w:r>
        <w:tab/>
        <w:t>La oradora se pregunta si el aumento de la inc</w:t>
      </w:r>
      <w:r>
        <w:t>i</w:t>
      </w:r>
      <w:r>
        <w:t>dencia del VIH/SIDA, especialmente entre los cons</w:t>
      </w:r>
      <w:r>
        <w:t>u</w:t>
      </w:r>
      <w:r>
        <w:t>midores de drogas inyectables, se debe a la ineficiencia de las campañas de información o a que no se ha oto</w:t>
      </w:r>
      <w:r>
        <w:t>r</w:t>
      </w:r>
      <w:r>
        <w:t>gado prioridad a ese grupo específico. También agr</w:t>
      </w:r>
      <w:r>
        <w:t>a</w:t>
      </w:r>
      <w:r>
        <w:t>decería información acerca de la incidencia de la transmisión vertical de VIH/SIDA y la disponibilidad de pruebas del VIH/SIDA y de asesoramiento sobre la enfermedad, en particular en zonas remotas. Es ese</w:t>
      </w:r>
      <w:r>
        <w:t>n</w:t>
      </w:r>
      <w:r>
        <w:t>cial informar a los niños y a los padres sobre la pr</w:t>
      </w:r>
      <w:r>
        <w:t>e</w:t>
      </w:r>
      <w:r>
        <w:t>vención del VIH/SIDA antes de la edad a la que se despierta la curiosidad sexual de los niños. Por último, desea saber cuántas mujeres han contraído enfermed</w:t>
      </w:r>
      <w:r>
        <w:t>a</w:t>
      </w:r>
      <w:r>
        <w:t>des de transmisión sexual, si la incidencia de éstas es mayor entre las mujeres que entre los hombres, en pa</w:t>
      </w:r>
      <w:r>
        <w:t>r</w:t>
      </w:r>
      <w:r>
        <w:t>ticular entre la juventud, y si se informa debidamente sobre esas enfermedades.</w:t>
      </w:r>
    </w:p>
    <w:p w:rsidR="008A20D4" w:rsidRDefault="008A20D4">
      <w:pPr>
        <w:pStyle w:val="DualTxt"/>
      </w:pPr>
      <w:r>
        <w:t>13.</w:t>
      </w:r>
      <w:r>
        <w:tab/>
      </w:r>
      <w:r>
        <w:rPr>
          <w:b/>
        </w:rPr>
        <w:t xml:space="preserve">La Sra. Pham Nguyen Cuong </w:t>
      </w:r>
      <w:r>
        <w:t>(Viet Nam) dice que el Gobierno trabaja en colaboración con ONG y organizaciones internacionales para ofrecer una amplia gama de programas de formación profesional y otros programas dirigidos a ayudar a las mujeres a aumentar sus ingresos, mejorar el nivel de vida de sus familias y trasladarse con éxito de un entorno rural a un entorno urbano. Las mujeres trabajadoras también están prot</w:t>
      </w:r>
      <w:r>
        <w:t>e</w:t>
      </w:r>
      <w:r>
        <w:t>gidas por la legislación sobre seguridad en el lugar de trabajo, que las empresas extranjeras tienen la oblig</w:t>
      </w:r>
      <w:r>
        <w:t>a</w:t>
      </w:r>
      <w:r>
        <w:t>ción de cumplir.  Sin embargo, muchas disposiciones del Código de Trabajo son ineficaces en el contexto de la economía de mercado, y deberán modificarse para ponerlos en  conformidad con la Ley de Igualdad de Género. En julio de 2007 entrará en vigor nueva legi</w:t>
      </w:r>
      <w:r>
        <w:t>s</w:t>
      </w:r>
      <w:r>
        <w:t>lación para proteger a las mujeres vietnamitas que tr</w:t>
      </w:r>
      <w:r>
        <w:t>a</w:t>
      </w:r>
      <w:r>
        <w:t xml:space="preserve">bajan en el extranjero. Las mujeres ganan en promedio un 40% menos que los hombres, en parte porque no tienen los mismos conocimientos y aptitudes que los hombres, pero también como consecuencia de su papel tradicional de amas de casa. </w:t>
      </w:r>
    </w:p>
    <w:p w:rsidR="008A20D4" w:rsidRDefault="008A20D4">
      <w:pPr>
        <w:pStyle w:val="DualTxt"/>
      </w:pPr>
      <w:r>
        <w:t>14.</w:t>
      </w:r>
      <w:r>
        <w:tab/>
      </w:r>
      <w:r>
        <w:rPr>
          <w:b/>
        </w:rPr>
        <w:t>La Sra. Ha Thi Khiet</w:t>
      </w:r>
      <w:r>
        <w:t xml:space="preserve"> (Viet Nam) dice que la s</w:t>
      </w:r>
      <w:r>
        <w:t>i</w:t>
      </w:r>
      <w:r>
        <w:t>tuación de las mujeres pertenecientes a minorías étn</w:t>
      </w:r>
      <w:r>
        <w:t>i</w:t>
      </w:r>
      <w:r>
        <w:t>cas es muy preocupante. El Gobierno ha introducido medidas preferenciales para facilitar la educación de los grupos minoritarios, entre las que se cuentan el e</w:t>
      </w:r>
      <w:r>
        <w:t>s</w:t>
      </w:r>
      <w:r>
        <w:t>tablecimiento de internados, la concesión de becas y la gratuidad de los estudios universitarios. Sin embargo, como existen muchos grupos minoritarios diferentes, cada uno de ellos con sus propios valores culturales, resulta difícil introducir legislación que sea universa</w:t>
      </w:r>
      <w:r>
        <w:t>l</w:t>
      </w:r>
      <w:r>
        <w:t xml:space="preserve">mente aceptable </w:t>
      </w:r>
      <w:r>
        <w:rPr>
          <w:spacing w:val="2"/>
        </w:rPr>
        <w:t>— de ahí las dificultades que han su</w:t>
      </w:r>
      <w:r>
        <w:rPr>
          <w:spacing w:val="2"/>
        </w:rPr>
        <w:t>r</w:t>
      </w:r>
      <w:r>
        <w:rPr>
          <w:spacing w:val="2"/>
        </w:rPr>
        <w:t>gido en la elaboración de la ley sobre las minorías étn</w:t>
      </w:r>
      <w:r>
        <w:rPr>
          <w:spacing w:val="2"/>
        </w:rPr>
        <w:t>i</w:t>
      </w:r>
      <w:r>
        <w:rPr>
          <w:spacing w:val="2"/>
        </w:rPr>
        <w:t>cas. El Gobierno es consciente de que debe redoblar sus esfuerzos por elaborar una ley que recoja las aspiraci</w:t>
      </w:r>
      <w:r>
        <w:rPr>
          <w:spacing w:val="2"/>
        </w:rPr>
        <w:t>o</w:t>
      </w:r>
      <w:r>
        <w:rPr>
          <w:spacing w:val="2"/>
        </w:rPr>
        <w:t>nes de las minorías étnicas, pero la cuestión es muy compleja y no se cuenta con los recursos suficientes. La elevada tasa de abortos y la propagación del VIH/SIDA se deben en parte a la introducción de valores no trad</w:t>
      </w:r>
      <w:r>
        <w:rPr>
          <w:spacing w:val="2"/>
        </w:rPr>
        <w:t>i</w:t>
      </w:r>
      <w:r>
        <w:rPr>
          <w:spacing w:val="2"/>
        </w:rPr>
        <w:t>cionales y de estilos de vida liberales procedentes del extranjero, así como a los efectos de la globalización y de la economía de mercado. El Gobierno está trabajando en colaboración con ONG para sensibilizar a los jóvenes sobre las cuestiones relacionadas con la salud reprodu</w:t>
      </w:r>
      <w:r>
        <w:rPr>
          <w:spacing w:val="2"/>
        </w:rPr>
        <w:t>c</w:t>
      </w:r>
      <w:r>
        <w:rPr>
          <w:spacing w:val="2"/>
        </w:rPr>
        <w:t>tiva, pero se trata de temas muy delicados. Agradece los consejos y las críticas del Comité, y reconoce que Viet Nam debe hacer mayores esfuerzos por afrontar esos problemas</w:t>
      </w:r>
      <w:r>
        <w:t>.</w:t>
      </w:r>
    </w:p>
    <w:p w:rsidR="008A20D4" w:rsidRDefault="008A20D4">
      <w:pPr>
        <w:pStyle w:val="DualTxt"/>
      </w:pPr>
      <w:r>
        <w:t>15.</w:t>
      </w:r>
      <w:r>
        <w:tab/>
      </w:r>
      <w:r>
        <w:rPr>
          <w:b/>
        </w:rPr>
        <w:t>La Sra. Tran Thi Mai Huong</w:t>
      </w:r>
      <w:r>
        <w:t xml:space="preserve"> (Viet Nam), ref</w:t>
      </w:r>
      <w:r>
        <w:t>i</w:t>
      </w:r>
      <w:r>
        <w:t>riéndose a las cuestiones educativas, dice que dispo</w:t>
      </w:r>
      <w:r>
        <w:t>n</w:t>
      </w:r>
      <w:r>
        <w:t>drá que se facilite al Comité información sobre la r</w:t>
      </w:r>
      <w:r>
        <w:t>e</w:t>
      </w:r>
      <w:r>
        <w:t>ciente disminución del número de niñas en las guard</w:t>
      </w:r>
      <w:r>
        <w:t>e</w:t>
      </w:r>
      <w:r>
        <w:t>rías. Tampoco está aumentando la matrícula de la ens</w:t>
      </w:r>
      <w:r>
        <w:t>e</w:t>
      </w:r>
      <w:r>
        <w:t>ñanza primaria, porque, tras conseguir reducir la p</w:t>
      </w:r>
      <w:r>
        <w:t>o</w:t>
      </w:r>
      <w:r>
        <w:t>blación del país, el Gobierno está tratando de estabil</w:t>
      </w:r>
      <w:r>
        <w:t>i</w:t>
      </w:r>
      <w:r>
        <w:t>zarla, lo que redunda en una reducción proporcional de las necesidades educativas. Tanto para los niños como para las niñas se observa una gran diferencia entre la educación que se ofrece en las zonas urbanas del delta y en las zonas rurales montañosas. La población esc</w:t>
      </w:r>
      <w:r>
        <w:t>o</w:t>
      </w:r>
      <w:r>
        <w:t>lar total es menor en las zonas montañosas, en las que la tasa de escolarización de las niñas de edad compre</w:t>
      </w:r>
      <w:r>
        <w:t>n</w:t>
      </w:r>
      <w:r>
        <w:t>dida entre 6 y 10 años es de sólo el 10%. En cuanto a las diferencias de género en la formación profesional, el Ministerio de Educación no orienta a las niñas ni a los niños hacia profesiones determinadas, pero sí lo hacen sus padres, y las niñas gravitan tradicionalmente hacia la enseñanza y los servicios de salud. Las estadí</w:t>
      </w:r>
      <w:r>
        <w:t>s</w:t>
      </w:r>
      <w:r>
        <w:t>ticas recientes indican que en 2001-2002 el número t</w:t>
      </w:r>
      <w:r>
        <w:t>o</w:t>
      </w:r>
      <w:r>
        <w:t>tal de mujeres matriculadas en carreras científicas y tecnológicas aumentó al 44%: 16% en tecnología, 49% en ciencias y 8% en medicina. El Ministerio de Educ</w:t>
      </w:r>
      <w:r>
        <w:t>a</w:t>
      </w:r>
      <w:r>
        <w:t>ción ha puesto en marcha, en el marco de sus activid</w:t>
      </w:r>
      <w:r>
        <w:t>a</w:t>
      </w:r>
      <w:r>
        <w:t>des para el adelanto de la mujer, un programa de err</w:t>
      </w:r>
      <w:r>
        <w:t>a</w:t>
      </w:r>
      <w:r>
        <w:t>dicación del analfabetismo entre las mujeres. Trabaja en colaboración con la Unión de Mujeres para invertir más recursos en las zonas rurales y montañosas.</w:t>
      </w:r>
    </w:p>
    <w:p w:rsidR="008A20D4" w:rsidRDefault="008A20D4">
      <w:pPr>
        <w:pStyle w:val="DualTxt"/>
      </w:pPr>
      <w:r>
        <w:t>16.</w:t>
      </w:r>
      <w:r>
        <w:tab/>
        <w:t xml:space="preserve">Está aumentando la transmisión del </w:t>
      </w:r>
      <w:r>
        <w:rPr>
          <w:spacing w:val="2"/>
        </w:rPr>
        <w:t>VIH/SIDA de madres a hijos, aunque la tasa de incidencia del SIDA entre las mujeres es de 15-16%, proporción bastante b</w:t>
      </w:r>
      <w:r>
        <w:rPr>
          <w:spacing w:val="2"/>
        </w:rPr>
        <w:t>a</w:t>
      </w:r>
      <w:r>
        <w:rPr>
          <w:spacing w:val="2"/>
        </w:rPr>
        <w:t>ja en comparación con otros países. A pesar de los e</w:t>
      </w:r>
      <w:r>
        <w:rPr>
          <w:spacing w:val="2"/>
        </w:rPr>
        <w:t>s</w:t>
      </w:r>
      <w:r>
        <w:rPr>
          <w:spacing w:val="2"/>
        </w:rPr>
        <w:t>fuerzos del Gobierno por reducir esa cifra, cada año n</w:t>
      </w:r>
      <w:r>
        <w:rPr>
          <w:spacing w:val="2"/>
        </w:rPr>
        <w:t>a</w:t>
      </w:r>
      <w:r>
        <w:rPr>
          <w:spacing w:val="2"/>
        </w:rPr>
        <w:t>cen alrededor de 2.000 niños infectados de entre alred</w:t>
      </w:r>
      <w:r>
        <w:rPr>
          <w:spacing w:val="2"/>
        </w:rPr>
        <w:t>e</w:t>
      </w:r>
      <w:r>
        <w:rPr>
          <w:spacing w:val="2"/>
        </w:rPr>
        <w:t>dor de 1 millón de mujeres embarazadas con SIDA</w:t>
      </w:r>
      <w:r>
        <w:t>.</w:t>
      </w:r>
    </w:p>
    <w:p w:rsidR="008A20D4" w:rsidRDefault="008A20D4">
      <w:pPr>
        <w:pStyle w:val="DualTxt"/>
      </w:pPr>
      <w:r>
        <w:t>17.</w:t>
      </w:r>
      <w:r>
        <w:tab/>
      </w:r>
      <w:r>
        <w:rPr>
          <w:b/>
        </w:rPr>
        <w:t>El Sr. Vu Anh Quang</w:t>
      </w:r>
      <w:r>
        <w:t xml:space="preserve"> (Viet Nam) observa que, aunque su Gobierno ha alcanzado ya siete de los obj</w:t>
      </w:r>
      <w:r>
        <w:t>e</w:t>
      </w:r>
      <w:r>
        <w:t>tivos de desarrollo del Milenio, está encontrando dif</w:t>
      </w:r>
      <w:r>
        <w:t>i</w:t>
      </w:r>
      <w:r>
        <w:t xml:space="preserve">cultades para combatir el </w:t>
      </w:r>
      <w:r>
        <w:rPr>
          <w:spacing w:val="2"/>
        </w:rPr>
        <w:t xml:space="preserve">VIH/SIDA, cuya eliminación no está prevista sino para </w:t>
      </w:r>
      <w:r>
        <w:t xml:space="preserve">2015. </w:t>
      </w:r>
    </w:p>
    <w:p w:rsidR="008A20D4" w:rsidRDefault="008A20D4">
      <w:pPr>
        <w:pStyle w:val="DualTxt"/>
      </w:pPr>
      <w:r>
        <w:t>18.</w:t>
      </w:r>
      <w:r>
        <w:tab/>
        <w:t>La proporción de mujeres que estudian derecho y relaciones internacionales es elevada; en la escuela d</w:t>
      </w:r>
      <w:r>
        <w:t>i</w:t>
      </w:r>
      <w:r>
        <w:t>plomática de Hanoi, por ejemplo, hay más mujeres que hombres. La disminución del número de niñas en las guarderías es un problema que deriva de una clara pr</w:t>
      </w:r>
      <w:r>
        <w:t>e</w:t>
      </w:r>
      <w:r>
        <w:t>ferencia de los progenitores por tener hijos varones, que redunda en un desequilibrio entre los nacimientos de niños y los de niñas y en la consiguiente dismin</w:t>
      </w:r>
      <w:r>
        <w:t>u</w:t>
      </w:r>
      <w:r>
        <w:t>ción de la proporción de niñas en el sistema educativo. Se prevé, sin embargo, que en unos años se llegará a una situación más equilibrada. En las escuelas se ha i</w:t>
      </w:r>
      <w:r>
        <w:t>n</w:t>
      </w:r>
      <w:r>
        <w:t xml:space="preserve">troducido un programa de educación en derechos humanos hasta la enseñanza secundaria, que adopta la forma de educación cívica en la enseñanza primaria. </w:t>
      </w:r>
    </w:p>
    <w:p w:rsidR="008A20D4" w:rsidRDefault="008A20D4">
      <w:pPr>
        <w:pStyle w:val="DualTxt"/>
      </w:pPr>
      <w:r>
        <w:t>19.</w:t>
      </w:r>
      <w:r>
        <w:tab/>
        <w:t>Hasta el momento, Viet Nam ha traducido los convenios internacionales que ha firmado sólo al vie</w:t>
      </w:r>
      <w:r>
        <w:t>t</w:t>
      </w:r>
      <w:r>
        <w:t>namita, y no a los otros 53 idiomas que se hablan en el país. No obstante, el Gobierno está ayudando a habla</w:t>
      </w:r>
      <w:r>
        <w:t>n</w:t>
      </w:r>
      <w:r>
        <w:t>tes de los otros idiomas y dialectos a establecer un si</w:t>
      </w:r>
      <w:r>
        <w:t>s</w:t>
      </w:r>
      <w:r>
        <w:t>tema de escritura, después de lo cual será posible tr</w:t>
      </w:r>
      <w:r>
        <w:t>a</w:t>
      </w:r>
      <w:r>
        <w:t>ducir los convenios a todos los idiomas.</w:t>
      </w:r>
    </w:p>
    <w:p w:rsidR="008A20D4" w:rsidRDefault="008A20D4">
      <w:pPr>
        <w:pStyle w:val="DualTxt"/>
      </w:pPr>
      <w:r>
        <w:t>20.</w:t>
      </w:r>
      <w:r>
        <w:tab/>
        <w:t>Con el fin de alentar la incorporación de mie</w:t>
      </w:r>
      <w:r>
        <w:t>m</w:t>
      </w:r>
      <w:r>
        <w:t>bros de minorías étnicas a la administración pública, el Gobierno está tomando diversas medidas para mejorar sus cualificaciones y facilitar su ascenso. Por ejemplo, los miembros de minorías étnicas están exentos del r</w:t>
      </w:r>
      <w:r>
        <w:t>e</w:t>
      </w:r>
      <w:r>
        <w:t>quisito de aprendizaje de un segundo idioma, lo que les permite ascender más rápidamente.</w:t>
      </w:r>
    </w:p>
    <w:p w:rsidR="008A20D4" w:rsidRDefault="008A20D4">
      <w:pPr>
        <w:pStyle w:val="DualTxt"/>
      </w:pPr>
      <w:r>
        <w:t>21.</w:t>
      </w:r>
      <w:r>
        <w:tab/>
      </w:r>
      <w:r>
        <w:rPr>
          <w:b/>
        </w:rPr>
        <w:t>La Sra. Patten</w:t>
      </w:r>
      <w:r>
        <w:t>, refiriéndose al artículo 14, pr</w:t>
      </w:r>
      <w:r>
        <w:t>e</w:t>
      </w:r>
      <w:r>
        <w:t>gunta si se ha llevado a cabo una evaluación del pr</w:t>
      </w:r>
      <w:r>
        <w:t>o</w:t>
      </w:r>
      <w:r>
        <w:t>grama piloto para ofrecer seguro social voluntario en diversas localidades rurales, y si se ha extendido a otras localidades. Desearía que se facilitara inform</w:t>
      </w:r>
      <w:r>
        <w:t>a</w:t>
      </w:r>
      <w:r>
        <w:t>ción más concreta sobre las prestaciones sociales a las que tienen acceso en general las mujeres rurales, que, según el informe (párr. 14.5), carecen de una red de s</w:t>
      </w:r>
      <w:r>
        <w:t>e</w:t>
      </w:r>
      <w:r>
        <w:t>guridad.</w:t>
      </w:r>
    </w:p>
    <w:p w:rsidR="008A20D4" w:rsidRDefault="008A20D4">
      <w:pPr>
        <w:pStyle w:val="DualTxt"/>
      </w:pPr>
      <w:r>
        <w:t>22.</w:t>
      </w:r>
      <w:r>
        <w:tab/>
        <w:t>Agradecería que se facilitara más información sobre los programas de reducción de la pobreza y los planes de empleo que aumentan el acceso a los alime</w:t>
      </w:r>
      <w:r>
        <w:t>n</w:t>
      </w:r>
      <w:r>
        <w:t>tos de las mujeres que viven en situación de pobreza extrema, y sobre los programas dirigidos a las mujeres más desfavorecidas de zonas rurales remotas. Se pr</w:t>
      </w:r>
      <w:r>
        <w:t>e</w:t>
      </w:r>
      <w:r>
        <w:t>gunta si el Gobierno está tratando de facilitar el acceso de esas mujeres a servicios financieros estableciendo vínculos entre los bancos y servicios innovadores de préstamo que integren las actividades crediticias con programas y actividades de formación dirigidos a la mujer.</w:t>
      </w:r>
    </w:p>
    <w:p w:rsidR="008A20D4" w:rsidRDefault="008A20D4">
      <w:pPr>
        <w:pStyle w:val="DualTxt"/>
      </w:pPr>
      <w:r>
        <w:t>23.</w:t>
      </w:r>
      <w:r>
        <w:tab/>
        <w:t>Habida cuenta de la estrecha relación entre p</w:t>
      </w:r>
      <w:r>
        <w:t>o</w:t>
      </w:r>
      <w:r>
        <w:t>breza y degradación ambiental, también resultaría útil saber qué medidas está adoptando el Gobierno para f</w:t>
      </w:r>
      <w:r>
        <w:t>a</w:t>
      </w:r>
      <w:r>
        <w:t>cilitar el acceso de las mujeres rurales a las actividades de información y educación, incluidas enseñanzas cie</w:t>
      </w:r>
      <w:r>
        <w:t>n</w:t>
      </w:r>
      <w:r>
        <w:t>tíficas, tecnológicas y económicas, que les permitirían mejorar sus conocimientos y las oportunidades de pa</w:t>
      </w:r>
      <w:r>
        <w:t>r</w:t>
      </w:r>
      <w:r>
        <w:t>ticipar en la adopción de decisiones sobre cuestiones ambientales; y qué estrategias se aplican para aumentar la participación de mujeres rurales, en particular a n</w:t>
      </w:r>
      <w:r>
        <w:t>i</w:t>
      </w:r>
      <w:r>
        <w:t>vel de base, en los procesos de adopción de decisiones y planificación de la gestión de los recursos naturales y programas de protección y conservación del medio ambiente.</w:t>
      </w:r>
    </w:p>
    <w:p w:rsidR="008A20D4" w:rsidRDefault="008A20D4">
      <w:pPr>
        <w:pStyle w:val="DualTxt"/>
      </w:pPr>
      <w:r>
        <w:t>24.</w:t>
      </w:r>
      <w:r>
        <w:tab/>
      </w:r>
      <w:r>
        <w:rPr>
          <w:b/>
        </w:rPr>
        <w:t>La Sra. Gurnede Shelton</w:t>
      </w:r>
      <w:r>
        <w:t xml:space="preserve"> pide a la delegación que explique cómo puede conciliarse la afirmación contenida en la respuesta a la pregunta 19 de la lista de cuestiones y preguntas de que la legislación laboral de Viet Nam ha eliminado toda discriminación salarial y todos los hombre y mujeres reciben igual remuneración por trabajo igual con la información que se acaba de facilitar de que la remuneración de las mujeres es en promedio inferior en un 40% a la de los hombres y con la afirmación contenida en el informe (párr. 14.1) de que entre los trabajadores agrícolas los ingresos de las mujeres equivalen en promedio a alrededor del 73% de los de los hombres. Se pregunta asimismo si los ingr</w:t>
      </w:r>
      <w:r>
        <w:t>e</w:t>
      </w:r>
      <w:r>
        <w:t>sos de las mujeres han aumentado o disminuido desde 2002 y si el número de trabajadoras agrícolas y propi</w:t>
      </w:r>
      <w:r>
        <w:t>e</w:t>
      </w:r>
      <w:r>
        <w:t>tarias de explotaciones agrícolas ha aumentado o di</w:t>
      </w:r>
      <w:r>
        <w:t>s</w:t>
      </w:r>
      <w:r>
        <w:t xml:space="preserve">minuido en los últimos años. </w:t>
      </w:r>
    </w:p>
    <w:p w:rsidR="008A20D4" w:rsidRDefault="008A20D4">
      <w:pPr>
        <w:pStyle w:val="DualTxt"/>
      </w:pPr>
      <w:r>
        <w:t>25.</w:t>
      </w:r>
      <w:r>
        <w:tab/>
        <w:t>Encomia al Gobierno por la labor que está real</w:t>
      </w:r>
      <w:r>
        <w:t>i</w:t>
      </w:r>
      <w:r>
        <w:t>zando entre los jóvenes para tratar de facilitar el acceso de las minorías étnicas a la información y a los recu</w:t>
      </w:r>
      <w:r>
        <w:t>r</w:t>
      </w:r>
      <w:r>
        <w:t>sos; pregunta, sin embargo, si también las mujeres de edad de las comunidades étnicas gozan de acceso a la información y pueden participar en el desarrollo y la planificación comunitarios, estar debidamente repr</w:t>
      </w:r>
      <w:r>
        <w:t>e</w:t>
      </w:r>
      <w:r>
        <w:t xml:space="preserve">sentadas y hacer escuchar su voz. </w:t>
      </w:r>
    </w:p>
    <w:p w:rsidR="008A20D4" w:rsidRDefault="008A20D4">
      <w:pPr>
        <w:pStyle w:val="DualTxt"/>
      </w:pPr>
      <w:r>
        <w:t>26.</w:t>
      </w:r>
      <w:r>
        <w:tab/>
        <w:t>El Gobierno describe en el informe (párr. 14.3) importantes mejoras de la infraestructura que han a</w:t>
      </w:r>
      <w:r>
        <w:t>u</w:t>
      </w:r>
      <w:r>
        <w:t>mentado el acceso de las mujeres rurales a la atención de salud, pero informes externos indican que los pr</w:t>
      </w:r>
      <w:r>
        <w:t>o</w:t>
      </w:r>
      <w:r>
        <w:t>blemas de salud de las minorías étnicas no se están abordando adecuadamente y que existe una tasa muy elevada de mortalidad materna. Esa discrepancia pla</w:t>
      </w:r>
      <w:r>
        <w:t>n</w:t>
      </w:r>
      <w:r>
        <w:t>tea la cuestión de cómo se elaboran las estadísticas of</w:t>
      </w:r>
      <w:r>
        <w:t>i</w:t>
      </w:r>
      <w:r>
        <w:t xml:space="preserve">ciales y en qué medida son un reflejo fiable de lo que ocurre sobre el terreno. </w:t>
      </w:r>
    </w:p>
    <w:p w:rsidR="008A20D4" w:rsidRDefault="008A20D4">
      <w:pPr>
        <w:pStyle w:val="DualTxt"/>
      </w:pPr>
      <w:r>
        <w:t>27.</w:t>
      </w:r>
      <w:r>
        <w:tab/>
        <w:t>Volviendo a la cuestión de los certificados de uso de la tierra, sigue sin entender si los nombres de ambos cónyuges han de figurar obligatoriamente en todos los certificados o sólo en los de reciente emisión.</w:t>
      </w:r>
    </w:p>
    <w:p w:rsidR="008A20D4" w:rsidRDefault="008A20D4">
      <w:pPr>
        <w:pStyle w:val="DualTxt"/>
      </w:pPr>
      <w:r>
        <w:t>28.</w:t>
      </w:r>
      <w:r>
        <w:tab/>
      </w:r>
      <w:r>
        <w:rPr>
          <w:b/>
        </w:rPr>
        <w:t>La Sra. Pham Nguyen Cuong</w:t>
      </w:r>
      <w:r>
        <w:t xml:space="preserve"> (Viet Nam) dice que en 2006 la Asamblea Nacional promulgó una Ley sobre instrumentos sociales que contiene un capítulo dedicado a los instrumentos sociales voluntarios y en virtud de la cual los instrumentos sociales han de c</w:t>
      </w:r>
      <w:r>
        <w:t>u</w:t>
      </w:r>
      <w:r>
        <w:t>brir asimismo a las familias que trabajan en el sector no estructurado. Se estima que participarán en la ca</w:t>
      </w:r>
      <w:r>
        <w:t>m</w:t>
      </w:r>
      <w:r>
        <w:t>paña 30 millones de personas. Antes de que la Ley e</w:t>
      </w:r>
      <w:r>
        <w:t>n</w:t>
      </w:r>
      <w:r>
        <w:t>tre en vigor deberán redactarse los documentos que habrán de regir su aplicación.</w:t>
      </w:r>
    </w:p>
    <w:p w:rsidR="008A20D4" w:rsidRDefault="008A20D4">
      <w:pPr>
        <w:pStyle w:val="DualTxt"/>
      </w:pPr>
      <w:r>
        <w:t>29.</w:t>
      </w:r>
      <w:r>
        <w:tab/>
        <w:t>La ley dispone que los hombres y mujeres que realicen el mismo trabajo y tengan el mismo nivel de conocimientos han de recibir la misma remuneración. El hecho de que los ingresos de las mujeres sean en promedio inferiores a los de los hombres se debe a que son menos las mujeres que trabajan en actividades muy bien remuneradas y en profesiones peligrosas.</w:t>
      </w:r>
    </w:p>
    <w:p w:rsidR="008A20D4" w:rsidRDefault="008A20D4">
      <w:pPr>
        <w:pStyle w:val="DualTxt"/>
      </w:pPr>
      <w:r>
        <w:t>30.</w:t>
      </w:r>
      <w:r>
        <w:tab/>
        <w:t>De los 24 millones de personas que trabajan en la agricultura, el 56% son mujeres. Se compromete a hacer lo posible para obtener en breve datos actualiz</w:t>
      </w:r>
      <w:r>
        <w:t>a</w:t>
      </w:r>
      <w:r>
        <w:t>dos sobre el porcentaje de mujeres entre los trabajad</w:t>
      </w:r>
      <w:r>
        <w:t>o</w:t>
      </w:r>
      <w:r>
        <w:t>res agrícolas y los propietarios de explotaciones agr</w:t>
      </w:r>
      <w:r>
        <w:t>í</w:t>
      </w:r>
      <w:r>
        <w:t xml:space="preserve">colas. No obstante, puede adelantar que más del 30% de las explotaciones agrícolas y las empresas del país son propiedad de mujeres. </w:t>
      </w:r>
    </w:p>
    <w:p w:rsidR="008A20D4" w:rsidRDefault="008A20D4">
      <w:pPr>
        <w:pStyle w:val="DualTxt"/>
      </w:pPr>
      <w:r>
        <w:t>31.</w:t>
      </w:r>
      <w:r>
        <w:tab/>
        <w:t>En 2007 el Gobierno adoptará un programa n</w:t>
      </w:r>
      <w:r>
        <w:t>a</w:t>
      </w:r>
      <w:r>
        <w:t>cional de seguridad en el trabajo, en cuyo marco se re</w:t>
      </w:r>
      <w:r>
        <w:t>a</w:t>
      </w:r>
      <w:r>
        <w:t>lizarán campañas de educación y capacitación. Se han promovido actividades de capacitación en las zonas r</w:t>
      </w:r>
      <w:r>
        <w:t>u</w:t>
      </w:r>
      <w:r>
        <w:t>rales, y en el sur del país se organizó una semana n</w:t>
      </w:r>
      <w:r>
        <w:t>a</w:t>
      </w:r>
      <w:r>
        <w:t>cional de la seguridad en el trabajo.</w:t>
      </w:r>
    </w:p>
    <w:p w:rsidR="008A20D4" w:rsidRDefault="008A20D4">
      <w:pPr>
        <w:pStyle w:val="DualTxt"/>
      </w:pPr>
      <w:r>
        <w:t>32.</w:t>
      </w:r>
      <w:r>
        <w:tab/>
      </w:r>
      <w:r>
        <w:rPr>
          <w:b/>
        </w:rPr>
        <w:t xml:space="preserve">La Sra. Tran Thi Mai Huong </w:t>
      </w:r>
      <w:r>
        <w:t>(Viet Nam) dice que, en la Ley del Suelo y en la Ley del Matrimonio se estipula que la tierra, ya se utilice con fines residenci</w:t>
      </w:r>
      <w:r>
        <w:t>a</w:t>
      </w:r>
      <w:r>
        <w:t>les o de cultivo, es propiedad conjunta de ambos có</w:t>
      </w:r>
      <w:r>
        <w:t>n</w:t>
      </w:r>
      <w:r>
        <w:t>yuges. En virtud de la nueva legislación, si la tierra es de propiedad conjunta, en el certificado de uso de la tierra deben figurar los nombres de ambos cónyuges. El hecho de que algunas personas hayan recibido el certificado antiguo, en el que sólo figura el cabeza de familia, puede, en efecto, generar confusión. Por ese motivo, el Gobierno ha emitido una directiva por la que cualquiera que desee que se modifiquen los no</w:t>
      </w:r>
      <w:r>
        <w:t>m</w:t>
      </w:r>
      <w:r>
        <w:t>bres que figuran en el certificado puede presentar una solicitud a tal efecto a las autoridades locales. Las a</w:t>
      </w:r>
      <w:r>
        <w:t>u</w:t>
      </w:r>
      <w:r>
        <w:t>toridades no pueden volver a emitir todos los certific</w:t>
      </w:r>
      <w:r>
        <w:t>a</w:t>
      </w:r>
      <w:r>
        <w:t>dos por la enorme carga financiera y administrativa que ello entrañaría. El objetivo es educar a la población s</w:t>
      </w:r>
      <w:r>
        <w:t>o</w:t>
      </w:r>
      <w:r>
        <w:t>bre la importancia de los certificados de uso de la tierra y sobre sus propios derechos. Corresponde a cada pe</w:t>
      </w:r>
      <w:r>
        <w:t>r</w:t>
      </w:r>
      <w:r>
        <w:t xml:space="preserve">sona decidir si desea cambiar los nombres que figuran en el certificado. </w:t>
      </w:r>
    </w:p>
    <w:p w:rsidR="008A20D4" w:rsidRDefault="008A20D4">
      <w:pPr>
        <w:pStyle w:val="DualTxt"/>
      </w:pPr>
      <w:r>
        <w:t>33.</w:t>
      </w:r>
      <w:r>
        <w:tab/>
        <w:t>El medio ambiente es una de las tres esferas pri</w:t>
      </w:r>
      <w:r>
        <w:t>o</w:t>
      </w:r>
      <w:r>
        <w:t>ritarias mencionadas en el Plan de Desarrollo Socio</w:t>
      </w:r>
      <w:r>
        <w:t>e</w:t>
      </w:r>
      <w:r>
        <w:t>conómico 2006-2010. A ese respecto, el Gobierno está difundiendo información sobre el medio ambiente y alentando a la población a ocuparse más de su prote</w:t>
      </w:r>
      <w:r>
        <w:t>c</w:t>
      </w:r>
      <w:r>
        <w:t>ción. Sin embargo, es necesaria una mayor inversión. Entre los proyectos concretos que ya se están aplicando cabe mencionar la campaña de la Unión de Mujeres p</w:t>
      </w:r>
      <w:r>
        <w:t>a</w:t>
      </w:r>
      <w:r>
        <w:t>ra promover el acceso a agua no contaminada y el pr</w:t>
      </w:r>
      <w:r>
        <w:t>o</w:t>
      </w:r>
      <w:r>
        <w:t>grama de protección de los bosques impulsado por el Ministerio de Agricultura y Desarrollo Rural. También se están aplicando planes para promover el uso de energías no contaminantes, como la energía solar.</w:t>
      </w:r>
    </w:p>
    <w:p w:rsidR="008A20D4" w:rsidRDefault="008A20D4">
      <w:pPr>
        <w:pStyle w:val="DualTxt"/>
      </w:pPr>
      <w:r>
        <w:t>34.</w:t>
      </w:r>
      <w:r>
        <w:tab/>
        <w:t>Las mujeres de edad se enfrentan realmente a muchas dificultades. De ahí que se las haya incluido en los planes de acción del Gobierno y que se hayan rec</w:t>
      </w:r>
      <w:r>
        <w:t>a</w:t>
      </w:r>
      <w:r>
        <w:t>bado sus opiniones para incorporarlas a los programas nacionales de reducción de la pobreza. También se ha pedido a las autoridades locales que se coordinen con la Unión de Mujeres y otras organizaciones similares y las asociaciones de personas de edad con el fin de pre</w:t>
      </w:r>
      <w:r>
        <w:t>s</w:t>
      </w:r>
      <w:r>
        <w:t>tar apoyo a esas mujeres. Gracias al sistema de redes de ayuda existente en Viet Nam y al espíritu de solid</w:t>
      </w:r>
      <w:r>
        <w:t>a</w:t>
      </w:r>
      <w:r>
        <w:t>ridad con los necesitados que caracteriza al pueblo vietnamita, el programa ha resultado muy eficaz.</w:t>
      </w:r>
    </w:p>
    <w:p w:rsidR="008A20D4" w:rsidRDefault="008A20D4">
      <w:pPr>
        <w:pStyle w:val="DualTxt"/>
        <w:spacing w:after="0" w:line="120" w:lineRule="exact"/>
        <w:rPr>
          <w:sz w:val="10"/>
        </w:rPr>
      </w:pPr>
    </w:p>
    <w:p w:rsidR="008A20D4" w:rsidRDefault="008A20D4">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8A20D4" w:rsidRDefault="008A20D4">
      <w:pPr>
        <w:pStyle w:val="DualTxt"/>
        <w:spacing w:after="0" w:line="120" w:lineRule="exact"/>
        <w:rPr>
          <w:sz w:val="10"/>
        </w:rPr>
      </w:pPr>
    </w:p>
    <w:p w:rsidR="008A20D4" w:rsidRDefault="008A20D4">
      <w:pPr>
        <w:pStyle w:val="DualTxt"/>
      </w:pPr>
      <w:r>
        <w:t>35.</w:t>
      </w:r>
      <w:r>
        <w:tab/>
      </w:r>
      <w:r>
        <w:rPr>
          <w:b/>
        </w:rPr>
        <w:t>La Sra. Tan</w:t>
      </w:r>
      <w:r>
        <w:t xml:space="preserve"> señala que, según el informe, la edad mínima para contraer matrimonio es de 20 años para los hombres y de 18 para las mujeres. El hecho de que en la práctica los hombres se casen en promedio a los 26 años y las mujeres a los 22,8 es irrelevante. La edad mínima debería ser la misma para ambos sexos, pues las mujeres que se casan a una edad más temprana no disfrutan de las mismas oportunidades en materia de educación, empleo y carrera profesional. </w:t>
      </w:r>
    </w:p>
    <w:p w:rsidR="008A20D4" w:rsidRDefault="008A20D4">
      <w:pPr>
        <w:pStyle w:val="DualTxt"/>
      </w:pPr>
      <w:r>
        <w:t>36.</w:t>
      </w:r>
      <w:r>
        <w:tab/>
        <w:t>En el informe se afirma asimismo que las num</w:t>
      </w:r>
      <w:r>
        <w:t>e</w:t>
      </w:r>
      <w:r>
        <w:t>rosas costumbres y prácticas anticuadas que persisten en zonas montañosas y remotas se eliminarán con la entrada en vigor del Decreto 32/2002/ND-CP sobre la aplicación de la Ley de Matrimonio y Familia entre las minorías étnicas. Si ese Decreto ha entrado ya en vigor, interesaría saber si ha modificado la situación en la práctica, y si contiene medidas concretas que puedan hacerse valer judicialmente.</w:t>
      </w:r>
    </w:p>
    <w:p w:rsidR="008A20D4" w:rsidRDefault="008A20D4">
      <w:pPr>
        <w:pStyle w:val="DualTxt"/>
      </w:pPr>
      <w:r>
        <w:t>37.</w:t>
      </w:r>
      <w:r>
        <w:tab/>
        <w:t>En el informe se indica asimismo que en las z</w:t>
      </w:r>
      <w:r>
        <w:t>o</w:t>
      </w:r>
      <w:r>
        <w:t>nas pobladas por minorías étnicas el divorcio por lo general no se tramita con arreglo a la ley, sino que está regido por las costumbres y las prácticas de esas min</w:t>
      </w:r>
      <w:r>
        <w:t>o</w:t>
      </w:r>
      <w:r>
        <w:t>rías. Interesaría saber qué se está haciendo para educar a las comunidades étnicas y a sus dirigentes sobre los derechos y obligaciones de hombres y mujeres en vi</w:t>
      </w:r>
      <w:r>
        <w:t>r</w:t>
      </w:r>
      <w:r>
        <w:t>tud de la Ley de Matrimonio y Familia y sobre el der</w:t>
      </w:r>
      <w:r>
        <w:t>e</w:t>
      </w:r>
      <w:r>
        <w:t>cho de ambos cónyuges a iniciar procedimientos de d</w:t>
      </w:r>
      <w:r>
        <w:t>i</w:t>
      </w:r>
      <w:r>
        <w:t>vorcio, y cómo garantiza el Gobierno la aplicación de la Ley de Matrimonio y Familia en esas comunidades.</w:t>
      </w:r>
    </w:p>
    <w:p w:rsidR="008A20D4" w:rsidRDefault="008A20D4">
      <w:pPr>
        <w:pStyle w:val="DualTxt"/>
      </w:pPr>
      <w:r>
        <w:t>38.</w:t>
      </w:r>
      <w:r>
        <w:tab/>
      </w:r>
      <w:r>
        <w:rPr>
          <w:b/>
        </w:rPr>
        <w:t>La Sra. Belmihoub-Zerdani</w:t>
      </w:r>
      <w:r>
        <w:t xml:space="preserve"> señala que, como consecuencia de las dificultades de transporte, muchas personas que viven en zonas montañosas y remotas no pueden registrar su matrimonio como estipula la ley. El Estado parte podría estudiar la posibilidad de facilitar la inscripción de los matrimonios por medio de un r</w:t>
      </w:r>
      <w:r>
        <w:t>e</w:t>
      </w:r>
      <w:r>
        <w:t>gistro itinerante. Ese sistema, que se ha utilizado en otros países con problemas similares, permitiría a los habitantes de esas zonas registrar sus matrimonios y cumplir así la ley.</w:t>
      </w:r>
    </w:p>
    <w:p w:rsidR="008A20D4" w:rsidRDefault="008A20D4">
      <w:pPr>
        <w:pStyle w:val="DualTxt"/>
      </w:pPr>
      <w:r>
        <w:t>39.</w:t>
      </w:r>
      <w:r>
        <w:tab/>
      </w:r>
      <w:r>
        <w:rPr>
          <w:b/>
        </w:rPr>
        <w:t>La Sra. Manolo</w:t>
      </w:r>
      <w:r>
        <w:t xml:space="preserve"> observa que en los nuevos cert</w:t>
      </w:r>
      <w:r>
        <w:t>i</w:t>
      </w:r>
      <w:r>
        <w:t>ficados de uso de la tierra sólo figuran los nombres de ambos cónyuges si así lo solicitan, se pregunta si el d</w:t>
      </w:r>
      <w:r>
        <w:t>e</w:t>
      </w:r>
      <w:r>
        <w:t>recho de la mujer a la propiedad está realmente prot</w:t>
      </w:r>
      <w:r>
        <w:t>e</w:t>
      </w:r>
      <w:r>
        <w:t>gido por la ley. De las respuestas dadas por el Estado parte se desprende que muchas mujeres no son con</w:t>
      </w:r>
      <w:r>
        <w:t>s</w:t>
      </w:r>
      <w:r>
        <w:t>cientes de su derecho de heredar propiedades. Además, parece que son muchas las mujeres que han visto sus propiedades expropiadas por el Estado. A la luz de esos datos, cabe preguntarse si la campaña de información será suficiente.</w:t>
      </w:r>
    </w:p>
    <w:p w:rsidR="008A20D4" w:rsidRDefault="008A20D4">
      <w:pPr>
        <w:pStyle w:val="DualTxt"/>
      </w:pPr>
      <w:r>
        <w:t>40.</w:t>
      </w:r>
      <w:r>
        <w:tab/>
      </w:r>
      <w:r>
        <w:rPr>
          <w:b/>
        </w:rPr>
        <w:t>La Sra. Duong Thi Thanh Mai</w:t>
      </w:r>
      <w:r>
        <w:t xml:space="preserve"> (Viet Nam) dice que su delegación ha tomado nota de la petición de que se establezca para hombres y mujeres la misma edad mínima para contraer matrimonio, y la transmitirá a su Gobierno. Sin embargo, la cuestión deberá estudiarse detenidamente. Además, los ciudadanos vietnamitas tienen libertad para elegir la edad a la que desean co</w:t>
      </w:r>
      <w:r>
        <w:t>n</w:t>
      </w:r>
      <w:r>
        <w:t>traer matrimonio.</w:t>
      </w:r>
    </w:p>
    <w:p w:rsidR="008A20D4" w:rsidRDefault="008A20D4">
      <w:pPr>
        <w:pStyle w:val="DualTxt"/>
      </w:pPr>
      <w:r>
        <w:t>41.</w:t>
      </w:r>
      <w:r>
        <w:tab/>
        <w:t>El Decreto 32/2002/ND-CP sobre la aplicación de la Ley de Matrimonio y Familia entre las minorías é</w:t>
      </w:r>
      <w:r>
        <w:t>t</w:t>
      </w:r>
      <w:r>
        <w:t>nicas respeta las costumbres y tradiciones de esas m</w:t>
      </w:r>
      <w:r>
        <w:t>i</w:t>
      </w:r>
      <w:r>
        <w:t>norías al tiempo que garantiza su protección jurídica. Por ejemplo, el Decreto estipula que las parejas pert</w:t>
      </w:r>
      <w:r>
        <w:t>e</w:t>
      </w:r>
      <w:r>
        <w:t>necientes a minorías étnicas pueden optar por registrar su matrimonio en la oficina del comité popular de la comuna en la que vivan o solicitar que un funcionario debidamente facultado acuda a su domicilio para regi</w:t>
      </w:r>
      <w:r>
        <w:t>s</w:t>
      </w:r>
      <w:r>
        <w:t>trar el matrimonio, lo que alienta los matrimonios y su registro entre la población de las zonas remotas y mo</w:t>
      </w:r>
      <w:r>
        <w:t>n</w:t>
      </w:r>
      <w:r>
        <w:t>tañosas y facilita el cumplimiento de las obligaciones legales. El Ministerio de Justicia también ha realizado una campaña tendente a conseguir que se registraran los matrimonios no registrados, garantizando así la protección de los derechos y los intereses de las muj</w:t>
      </w:r>
      <w:r>
        <w:t>e</w:t>
      </w:r>
      <w:r>
        <w:t>res y los niños en esas familias. Como resultado de esa campaña, se ha conseguido que en Viet Nam todos los matrimonios estén registrados.</w:t>
      </w:r>
    </w:p>
    <w:p w:rsidR="008A20D4" w:rsidRDefault="008A20D4">
      <w:pPr>
        <w:pStyle w:val="DualTxt"/>
      </w:pPr>
      <w:r>
        <w:t>42.</w:t>
      </w:r>
      <w:r>
        <w:tab/>
        <w:t>Por último, la Ley de Matrimonio y Familia, el Código Penal y la Ordenanza sobre sanciones por i</w:t>
      </w:r>
      <w:r>
        <w:t>n</w:t>
      </w:r>
      <w:r>
        <w:t>fracciones administrativas contienen disposiciones r</w:t>
      </w:r>
      <w:r>
        <w:t>e</w:t>
      </w:r>
      <w:r>
        <w:t xml:space="preserve">lativas a los matrimonios tempranos, que se siguen practicando en las comunidades étnicas. Además, el Gobierno se está esforzando activamente por educar a la población y modificar las actitudes respecto de la edad de matrimonio. </w:t>
      </w:r>
    </w:p>
    <w:p w:rsidR="008A20D4" w:rsidRDefault="008A20D4">
      <w:pPr>
        <w:pStyle w:val="DualTxt"/>
      </w:pPr>
      <w:r>
        <w:t>43.</w:t>
      </w:r>
      <w:r>
        <w:tab/>
      </w:r>
      <w:r>
        <w:rPr>
          <w:b/>
        </w:rPr>
        <w:t>La Sra. Begum</w:t>
      </w:r>
      <w:r>
        <w:t xml:space="preserve"> pregunta si en Viet Nam es obl</w:t>
      </w:r>
      <w:r>
        <w:t>i</w:t>
      </w:r>
      <w:r>
        <w:t>gatorio el registro de los nacimientos, y, en tal caso, si  esa función compete a la administración local. Le i</w:t>
      </w:r>
      <w:r>
        <w:t>n</w:t>
      </w:r>
      <w:r>
        <w:t xml:space="preserve">teresa en particular la situación en las zonas rurales y en las zonas montañosas. </w:t>
      </w:r>
    </w:p>
    <w:p w:rsidR="008A20D4" w:rsidRDefault="008A20D4">
      <w:pPr>
        <w:pStyle w:val="DualTxt"/>
      </w:pPr>
      <w:r>
        <w:t>44.</w:t>
      </w:r>
      <w:r>
        <w:tab/>
      </w:r>
      <w:r>
        <w:rPr>
          <w:b/>
        </w:rPr>
        <w:t>La Sra. Duong Thi Thanh Mai</w:t>
      </w:r>
      <w:r>
        <w:t xml:space="preserve"> (Viet Nam) dice que el registro de los nacimientos es, en efecto, oblig</w:t>
      </w:r>
      <w:r>
        <w:t>a</w:t>
      </w:r>
      <w:r>
        <w:t>torio, y es responsabilidad de los progenitores. Ta</w:t>
      </w:r>
      <w:r>
        <w:t>m</w:t>
      </w:r>
      <w:r>
        <w:t>bién se aplican medidas de ayuda a las personas que viven en zonas remotas y montañosas. De 2002 a 2005 el Gobierno realizó una campaña nacional para la in</w:t>
      </w:r>
      <w:r>
        <w:t>s</w:t>
      </w:r>
      <w:r>
        <w:t>cripción de todos los niños no registrados, que reveló la existencia de muchos niños de 10 a 15 años de edad no inscritos. No se sancionó a los padres de esos niños, sino que se les ofreció la oportunidad de inscribir gr</w:t>
      </w:r>
      <w:r>
        <w:t>a</w:t>
      </w:r>
      <w:r>
        <w:t>tuitamente a sus hijos. Por consiguiente, el problema de los nacimientos no registrados ya se ha resuelto.</w:t>
      </w:r>
    </w:p>
    <w:p w:rsidR="008A20D4" w:rsidRDefault="008A20D4">
      <w:pPr>
        <w:pStyle w:val="DualTxt"/>
      </w:pPr>
      <w:r>
        <w:t>45.</w:t>
      </w:r>
      <w:r>
        <w:tab/>
        <w:t>En Viet Nam hombres y mujeres tienen por ley el mismo derecho al divorcio. Sin embargo, el marido no puede iniciar un procedimiento de divorcio mientras su mujer está embarazada o cuidando a un niño menor de un año. Las estadísticas indican que más de la mitad de los divorcios han sido solicitados por la mujer.</w:t>
      </w:r>
    </w:p>
    <w:p w:rsidR="008A20D4" w:rsidRDefault="008A20D4">
      <w:pPr>
        <w:pStyle w:val="DualTxt"/>
      </w:pPr>
      <w:r>
        <w:t>46.</w:t>
      </w:r>
      <w:r>
        <w:tab/>
      </w:r>
      <w:r>
        <w:rPr>
          <w:b/>
        </w:rPr>
        <w:t>La Presidenta</w:t>
      </w:r>
      <w:r>
        <w:t xml:space="preserve"> expresa su agradecimiento a la d</w:t>
      </w:r>
      <w:r>
        <w:t>e</w:t>
      </w:r>
      <w:r>
        <w:t>legación de Viet Nam por el diálogo constructivo que ha mantenido.</w:t>
      </w:r>
    </w:p>
    <w:p w:rsidR="008A20D4" w:rsidRDefault="008A20D4">
      <w:pPr>
        <w:pStyle w:val="DualTxt"/>
      </w:pPr>
      <w:r>
        <w:t>47.</w:t>
      </w:r>
      <w:r>
        <w:tab/>
      </w:r>
      <w:r>
        <w:rPr>
          <w:b/>
        </w:rPr>
        <w:t>La Sra. Ha Thi Khiet</w:t>
      </w:r>
      <w:r>
        <w:t xml:space="preserve"> (Viet Nam) dice que ha s</w:t>
      </w:r>
      <w:r>
        <w:t>i</w:t>
      </w:r>
      <w:r>
        <w:t>do un honor para su delegación entablar un diálogo con el Comité, y a su regreso a Viet Nam transmitirá al G</w:t>
      </w:r>
      <w:r>
        <w:t>o</w:t>
      </w:r>
      <w:r>
        <w:t>bierno los comentarios y observaciones del Comité y les dará publicidad por todo el país. El Gobierno y el pueblo de Viet Nam comparten las preocupaciones planteadas por el Comité y son muy conscientes de que el país sólo podrá prosperar cuando se eliminen la de</w:t>
      </w:r>
      <w:r>
        <w:t>s</w:t>
      </w:r>
      <w:r>
        <w:t>igualdad de género y la discriminación contra la mujer. El Gobierno está firmemente resuelto a mejorar sus l</w:t>
      </w:r>
      <w:r>
        <w:t>e</w:t>
      </w:r>
      <w:r>
        <w:t>yes, programas y planes pertinentes para aplicar deb</w:t>
      </w:r>
      <w:r>
        <w:t>i</w:t>
      </w:r>
      <w:r>
        <w:t>damente la Convención, y buscará formas más eficaces de proteger los intereses y los derechos de las mujeres. Pide a la comunidad internacional que siga apoyando los esfuerzos de Viet Nam en esa esfera.</w:t>
      </w:r>
    </w:p>
    <w:p w:rsidR="008A20D4" w:rsidRDefault="008A20D4">
      <w:pPr>
        <w:pStyle w:val="DualTxt"/>
        <w:jc w:val="left"/>
      </w:pPr>
      <w:r>
        <w:rPr>
          <w:i/>
          <w:iCs/>
        </w:rPr>
        <w:t>Se levanta la sesión a las 17.10 horas</w:t>
      </w:r>
      <w:r>
        <w:t>.</w:t>
      </w:r>
    </w:p>
    <w:sectPr w:rsidR="008A20D4">
      <w:endnotePr>
        <w:numFmt w:val="decimal"/>
      </w:endnotePr>
      <w:type w:val="continuous"/>
      <w:pgSz w:w="12240" w:h="15840" w:code="1"/>
      <w:pgMar w:top="1742" w:right="1195" w:bottom="1898" w:left="1195" w:header="576" w:footer="1030" w:gutter="0"/>
      <w:cols w:num="2" w:space="24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21T01:48:00Z" w:initials="Start">
    <w:p w:rsidR="00F40472" w:rsidRPr="00F40472" w:rsidRDefault="00E91A58">
      <w:pPr>
        <w:pStyle w:val="CommentText"/>
        <w:rPr>
          <w:lang w:val="en-US"/>
        </w:rPr>
      </w:pPr>
      <w:r>
        <w:fldChar w:fldCharType="begin"/>
      </w:r>
      <w:r w:rsidRPr="00E91A58">
        <w:rPr>
          <w:rStyle w:val="CommentReference"/>
          <w:lang w:val="en-US"/>
        </w:rPr>
        <w:instrText xml:space="preserve"> </w:instrText>
      </w:r>
      <w:r w:rsidRPr="00E91A58">
        <w:rPr>
          <w:lang w:val="en-US"/>
        </w:rPr>
        <w:instrText>PAGE \# "'Page: '#'</w:instrText>
      </w:r>
      <w:r w:rsidRPr="00E91A58">
        <w:rPr>
          <w:lang w:val="en-US"/>
        </w:rPr>
        <w:br/>
        <w:instrText>'"</w:instrText>
      </w:r>
      <w:r w:rsidRPr="00E91A58">
        <w:rPr>
          <w:rStyle w:val="CommentReference"/>
          <w:lang w:val="en-US"/>
        </w:rPr>
        <w:instrText xml:space="preserve"> </w:instrText>
      </w:r>
      <w:r>
        <w:fldChar w:fldCharType="end"/>
      </w:r>
      <w:r>
        <w:rPr>
          <w:rStyle w:val="CommentReference"/>
        </w:rPr>
        <w:annotationRef/>
      </w:r>
      <w:r w:rsidR="00F40472" w:rsidRPr="00F40472">
        <w:rPr>
          <w:lang w:val="en-US"/>
        </w:rPr>
        <w:t>&lt;&lt;ODS JOB NO&gt;&gt;N0721143S&lt;&lt;ODS JOB NO&gt;&gt;</w:t>
      </w:r>
    </w:p>
    <w:p w:rsidR="00F40472" w:rsidRPr="00F40472" w:rsidRDefault="00F40472">
      <w:pPr>
        <w:pStyle w:val="CommentText"/>
        <w:rPr>
          <w:lang w:val="en-US"/>
        </w:rPr>
      </w:pPr>
      <w:r w:rsidRPr="00F40472">
        <w:rPr>
          <w:lang w:val="en-US"/>
        </w:rPr>
        <w:t>&lt;&lt;ODS DOC SYMBOL1&gt;&gt;CEDAW/C/SR.760 (A)&lt;&lt;ODS DOC SYMBOL1&gt;&gt;</w:t>
      </w:r>
    </w:p>
    <w:p w:rsidR="00E91A58" w:rsidRPr="00E91A58" w:rsidRDefault="00F40472">
      <w:pPr>
        <w:pStyle w:val="CommentText"/>
        <w:rPr>
          <w:lang w:val="en-US"/>
        </w:rPr>
      </w:pPr>
      <w:r w:rsidRPr="00F4047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755" w:rsidRDefault="003F4755">
      <w:r>
        <w:separator/>
      </w:r>
    </w:p>
  </w:endnote>
  <w:endnote w:type="continuationSeparator" w:id="0">
    <w:p w:rsidR="003F4755" w:rsidRDefault="003F4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91A58">
      <w:tblPrEx>
        <w:tblCellMar>
          <w:top w:w="0" w:type="dxa"/>
          <w:bottom w:w="0" w:type="dxa"/>
        </w:tblCellMar>
      </w:tblPrEx>
      <w:tc>
        <w:tcPr>
          <w:tcW w:w="5033" w:type="dxa"/>
          <w:vAlign w:val="bottom"/>
        </w:tcPr>
        <w:p w:rsidR="00E91A58" w:rsidRDefault="00E91A58">
          <w:pPr>
            <w:pStyle w:val="Footer"/>
            <w:rPr>
              <w:sz w:val="14"/>
            </w:rPr>
          </w:pPr>
          <w:r>
            <w:rPr>
              <w:rStyle w:val="PageNumber"/>
              <w:sz w:val="14"/>
            </w:rPr>
            <w:fldChar w:fldCharType="begin"/>
          </w:r>
          <w:r>
            <w:rPr>
              <w:rStyle w:val="PageNumber"/>
              <w:sz w:val="14"/>
            </w:rPr>
            <w:instrText xml:space="preserve"> PAGE </w:instrText>
          </w:r>
          <w:r>
            <w:rPr>
              <w:rStyle w:val="PageNumber"/>
              <w:sz w:val="14"/>
            </w:rPr>
            <w:fldChar w:fldCharType="separate"/>
          </w:r>
          <w:r w:rsidR="00F40472">
            <w:rPr>
              <w:rStyle w:val="PageNumber"/>
              <w:sz w:val="14"/>
            </w:rPr>
            <w:t>6</w:t>
          </w:r>
          <w:r>
            <w:rPr>
              <w:rStyle w:val="PageNumber"/>
              <w:sz w:val="14"/>
            </w:rPr>
            <w:fldChar w:fldCharType="end"/>
          </w:r>
        </w:p>
      </w:tc>
      <w:tc>
        <w:tcPr>
          <w:tcW w:w="5033" w:type="dxa"/>
          <w:vAlign w:val="bottom"/>
        </w:tcPr>
        <w:p w:rsidR="00E91A58" w:rsidRDefault="00E91A58">
          <w:pPr>
            <w:pStyle w:val="Footer"/>
            <w:jc w:val="right"/>
            <w:rPr>
              <w:sz w:val="14"/>
            </w:rPr>
          </w:pPr>
          <w:r>
            <w:rPr>
              <w:sz w:val="14"/>
            </w:rPr>
            <w:t>0721143s</w:t>
          </w:r>
        </w:p>
      </w:tc>
    </w:tr>
  </w:tbl>
  <w:p w:rsidR="00E91A58" w:rsidRDefault="00E91A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91A58">
      <w:tblPrEx>
        <w:tblCellMar>
          <w:top w:w="0" w:type="dxa"/>
          <w:bottom w:w="0" w:type="dxa"/>
        </w:tblCellMar>
      </w:tblPrEx>
      <w:tc>
        <w:tcPr>
          <w:tcW w:w="5033" w:type="dxa"/>
          <w:vAlign w:val="bottom"/>
        </w:tcPr>
        <w:p w:rsidR="00E91A58" w:rsidRDefault="00E91A58">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F40472">
            <w:rPr>
              <w:b w:val="0"/>
              <w:sz w:val="14"/>
            </w:rPr>
            <w:t>0721143s.doc</w:t>
          </w:r>
          <w:r>
            <w:rPr>
              <w:b w:val="0"/>
              <w:sz w:val="14"/>
            </w:rPr>
            <w:fldChar w:fldCharType="end"/>
          </w:r>
        </w:p>
      </w:tc>
      <w:tc>
        <w:tcPr>
          <w:tcW w:w="5033" w:type="dxa"/>
          <w:vAlign w:val="bottom"/>
        </w:tcPr>
        <w:p w:rsidR="00E91A58" w:rsidRDefault="00E91A58">
          <w:pPr>
            <w:pStyle w:val="Footer"/>
            <w:jc w:val="right"/>
            <w:rPr>
              <w:b w:val="0"/>
              <w:sz w:val="14"/>
            </w:rPr>
          </w:pPr>
          <w:r>
            <w:rPr>
              <w:rStyle w:val="PageNumber"/>
              <w:sz w:val="14"/>
            </w:rPr>
            <w:fldChar w:fldCharType="begin"/>
          </w:r>
          <w:r>
            <w:rPr>
              <w:rStyle w:val="PageNumber"/>
              <w:sz w:val="14"/>
            </w:rPr>
            <w:instrText xml:space="preserve"> PAGE </w:instrText>
          </w:r>
          <w:r>
            <w:rPr>
              <w:rStyle w:val="PageNumber"/>
              <w:sz w:val="14"/>
            </w:rPr>
            <w:fldChar w:fldCharType="separate"/>
          </w:r>
          <w:r w:rsidR="00F40472">
            <w:rPr>
              <w:rStyle w:val="PageNumber"/>
              <w:sz w:val="14"/>
            </w:rPr>
            <w:t>7</w:t>
          </w:r>
          <w:r>
            <w:rPr>
              <w:rStyle w:val="PageNumber"/>
              <w:sz w:val="14"/>
            </w:rPr>
            <w:fldChar w:fldCharType="end"/>
          </w:r>
        </w:p>
      </w:tc>
    </w:tr>
  </w:tbl>
  <w:p w:rsidR="00E91A58" w:rsidRDefault="00E91A5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A58" w:rsidRDefault="00E91A58">
    <w:pPr>
      <w:pStyle w:val="Footer"/>
      <w:pBdr>
        <w:top w:val="single" w:sz="2" w:space="1" w:color="auto"/>
      </w:pBdr>
      <w:rPr>
        <w:sz w:val="2"/>
      </w:rPr>
    </w:pPr>
  </w:p>
  <w:p w:rsidR="00E91A58" w:rsidRDefault="00E91A58">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E91A58" w:rsidRDefault="00E91A58">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E91A58" w:rsidRDefault="00E91A58">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E91A58" w:rsidRDefault="00E91A58">
    <w:pPr>
      <w:pStyle w:val="FootnoteText"/>
      <w:spacing w:line="120" w:lineRule="exact"/>
      <w:ind w:left="1267" w:right="1267" w:firstLine="0"/>
      <w:rPr>
        <w:sz w:val="10"/>
      </w:rPr>
    </w:pPr>
  </w:p>
  <w:p w:rsidR="00E91A58" w:rsidRDefault="00E91A58">
    <w:pPr>
      <w:pStyle w:val="Footer"/>
      <w:rPr>
        <w:b w:val="0"/>
        <w:sz w:val="20"/>
      </w:rPr>
    </w:pPr>
    <w:r>
      <w:rPr>
        <w:b w:val="0"/>
        <w:sz w:val="20"/>
      </w:rPr>
      <w:t>07-21143 (S)</w:t>
    </w:r>
  </w:p>
  <w:p w:rsidR="00E91A58" w:rsidRPr="00E91A58" w:rsidRDefault="00E91A58" w:rsidP="00E91A58">
    <w:pPr>
      <w:pStyle w:val="Footer"/>
      <w:spacing w:before="120" w:line="240" w:lineRule="exact"/>
      <w:rPr>
        <w:rFonts w:ascii="Barcode 3 of 9 by request" w:hAnsi="Barcode 3 of 9 by request"/>
        <w:b w:val="0"/>
        <w:sz w:val="24"/>
      </w:rPr>
    </w:pPr>
    <w:r w:rsidRPr="00E91A58">
      <w:rPr>
        <w:rFonts w:ascii="Barcode 3 of 9 by request" w:hAnsi="Barcode 3 of 9 by request"/>
        <w:b w:val="0"/>
        <w:sz w:val="24"/>
      </w:rPr>
      <w:t>*0721143*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755" w:rsidRDefault="003F4755">
      <w:r>
        <w:separator/>
      </w:r>
    </w:p>
  </w:footnote>
  <w:footnote w:type="continuationSeparator" w:id="0">
    <w:p w:rsidR="003F4755" w:rsidRDefault="003F47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A58" w:rsidRDefault="00E91A58">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91A58">
                  <w:tblPrEx>
                    <w:tblCellMar>
                      <w:top w:w="0" w:type="dxa"/>
                      <w:bottom w:w="0" w:type="dxa"/>
                    </w:tblCellMar>
                  </w:tblPrEx>
                  <w:trPr>
                    <w:trHeight w:hRule="exact" w:val="864"/>
                  </w:trPr>
                  <w:tc>
                    <w:tcPr>
                      <w:tcW w:w="4838" w:type="dxa"/>
                      <w:vAlign w:val="bottom"/>
                    </w:tcPr>
                    <w:p w:rsidR="00E91A58" w:rsidRDefault="00E91A58">
                      <w:pPr>
                        <w:pStyle w:val="Header"/>
                        <w:spacing w:after="80"/>
                        <w:rPr>
                          <w:b/>
                        </w:rPr>
                      </w:pPr>
                      <w:r>
                        <w:rPr>
                          <w:b/>
                        </w:rPr>
                        <w:t>CEDAW/C/SR.760 (B)</w:t>
                      </w:r>
                    </w:p>
                  </w:tc>
                  <w:tc>
                    <w:tcPr>
                      <w:tcW w:w="5048" w:type="dxa"/>
                      <w:vAlign w:val="bottom"/>
                    </w:tcPr>
                    <w:p w:rsidR="00E91A58" w:rsidRDefault="00E91A58">
                      <w:pPr>
                        <w:pStyle w:val="Header"/>
                      </w:pPr>
                    </w:p>
                  </w:tc>
                </w:tr>
              </w:tbl>
              <w:p w:rsidR="00E91A58" w:rsidRDefault="00E91A58">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A58" w:rsidRDefault="00E91A58">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91A58">
                  <w:tblPrEx>
                    <w:tblCellMar>
                      <w:top w:w="0" w:type="dxa"/>
                      <w:bottom w:w="0" w:type="dxa"/>
                    </w:tblCellMar>
                  </w:tblPrEx>
                  <w:trPr>
                    <w:trHeight w:hRule="exact" w:val="864"/>
                  </w:trPr>
                  <w:tc>
                    <w:tcPr>
                      <w:tcW w:w="4838" w:type="dxa"/>
                      <w:vAlign w:val="bottom"/>
                    </w:tcPr>
                    <w:p w:rsidR="00E91A58" w:rsidRDefault="00E91A58">
                      <w:pPr>
                        <w:pStyle w:val="Header"/>
                      </w:pPr>
                    </w:p>
                  </w:tc>
                  <w:tc>
                    <w:tcPr>
                      <w:tcW w:w="5048" w:type="dxa"/>
                      <w:vAlign w:val="bottom"/>
                    </w:tcPr>
                    <w:p w:rsidR="00E91A58" w:rsidRDefault="00E91A58">
                      <w:pPr>
                        <w:pStyle w:val="Header"/>
                        <w:spacing w:after="80"/>
                        <w:jc w:val="right"/>
                        <w:rPr>
                          <w:b/>
                        </w:rPr>
                      </w:pPr>
                      <w:r>
                        <w:rPr>
                          <w:b/>
                        </w:rPr>
                        <w:t>CEDAW/C/SR.760 (B)</w:t>
                      </w:r>
                    </w:p>
                  </w:tc>
                </w:tr>
              </w:tbl>
              <w:p w:rsidR="00E91A58" w:rsidRDefault="00E91A58">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91A5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E91A58" w:rsidRDefault="00E91A58">
          <w:pPr>
            <w:pStyle w:val="Header"/>
            <w:spacing w:after="120"/>
          </w:pPr>
        </w:p>
      </w:tc>
      <w:tc>
        <w:tcPr>
          <w:tcW w:w="2059" w:type="dxa"/>
          <w:tcBorders>
            <w:top w:val="nil"/>
            <w:left w:val="nil"/>
            <w:bottom w:val="single" w:sz="4" w:space="0" w:color="auto"/>
            <w:right w:val="nil"/>
          </w:tcBorders>
          <w:vAlign w:val="bottom"/>
        </w:tcPr>
        <w:p w:rsidR="00E91A58" w:rsidRDefault="00E91A58">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E91A58" w:rsidRDefault="00E91A58">
          <w:pPr>
            <w:pStyle w:val="Header"/>
            <w:spacing w:after="120"/>
          </w:pPr>
        </w:p>
      </w:tc>
      <w:tc>
        <w:tcPr>
          <w:tcW w:w="6523" w:type="dxa"/>
          <w:gridSpan w:val="3"/>
          <w:tcBorders>
            <w:top w:val="nil"/>
            <w:left w:val="nil"/>
            <w:bottom w:val="single" w:sz="4" w:space="0" w:color="auto"/>
            <w:right w:val="nil"/>
          </w:tcBorders>
          <w:vAlign w:val="bottom"/>
        </w:tcPr>
        <w:p w:rsidR="00E91A58" w:rsidRPr="00F40472" w:rsidRDefault="00F40472" w:rsidP="00F40472">
          <w:pPr>
            <w:spacing w:line="240" w:lineRule="auto"/>
            <w:jc w:val="right"/>
            <w:rPr>
              <w:position w:val="-4"/>
            </w:rPr>
          </w:pPr>
          <w:r>
            <w:rPr>
              <w:position w:val="-4"/>
              <w:sz w:val="40"/>
            </w:rPr>
            <w:t>CEDAW</w:t>
          </w:r>
          <w:r>
            <w:rPr>
              <w:position w:val="-4"/>
            </w:rPr>
            <w:t>/C/SR.760 (A)</w:t>
          </w:r>
        </w:p>
      </w:tc>
    </w:tr>
    <w:tr w:rsidR="00E91A58">
      <w:tblPrEx>
        <w:tblCellMar>
          <w:top w:w="0" w:type="dxa"/>
          <w:bottom w:w="0" w:type="dxa"/>
        </w:tblCellMar>
      </w:tblPrEx>
      <w:trPr>
        <w:trHeight w:hRule="exact" w:val="2880"/>
      </w:trPr>
      <w:tc>
        <w:tcPr>
          <w:tcW w:w="1267" w:type="dxa"/>
          <w:tcBorders>
            <w:left w:val="nil"/>
            <w:bottom w:val="single" w:sz="12" w:space="0" w:color="auto"/>
            <w:right w:val="nil"/>
          </w:tcBorders>
        </w:tcPr>
        <w:p w:rsidR="00E91A58" w:rsidRDefault="00E91A58">
          <w:pPr>
            <w:pStyle w:val="Header"/>
            <w:spacing w:before="109"/>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91A58" w:rsidRDefault="00E91A58">
          <w:pPr>
            <w:pStyle w:val="Header"/>
            <w:spacing w:before="109"/>
            <w:rPr>
              <w:lang w:val="es-ES"/>
            </w:rPr>
          </w:pPr>
        </w:p>
      </w:tc>
      <w:tc>
        <w:tcPr>
          <w:tcW w:w="5227" w:type="dxa"/>
          <w:gridSpan w:val="3"/>
          <w:tcBorders>
            <w:left w:val="nil"/>
            <w:bottom w:val="single" w:sz="12" w:space="0" w:color="auto"/>
            <w:right w:val="nil"/>
          </w:tcBorders>
        </w:tcPr>
        <w:p w:rsidR="00E91A58" w:rsidRDefault="00E91A58">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E91A58" w:rsidRDefault="00E91A58">
          <w:pPr>
            <w:pStyle w:val="Header"/>
            <w:spacing w:before="109"/>
            <w:rPr>
              <w:lang w:val="es-ES"/>
            </w:rPr>
          </w:pPr>
        </w:p>
      </w:tc>
      <w:tc>
        <w:tcPr>
          <w:tcW w:w="3180" w:type="dxa"/>
          <w:gridSpan w:val="2"/>
          <w:tcBorders>
            <w:left w:val="nil"/>
            <w:bottom w:val="single" w:sz="12" w:space="0" w:color="auto"/>
            <w:right w:val="nil"/>
          </w:tcBorders>
        </w:tcPr>
        <w:p w:rsidR="00E91A58" w:rsidRDefault="00E91A58">
          <w:pPr>
            <w:spacing w:before="240"/>
          </w:pPr>
          <w:r>
            <w:t>Distr. general</w:t>
          </w:r>
        </w:p>
        <w:p w:rsidR="00E91A58" w:rsidRDefault="00E91A58">
          <w:r>
            <w:t>26 de enero de 2007</w:t>
          </w:r>
        </w:p>
        <w:p w:rsidR="00E91A58" w:rsidRDefault="00E91A58">
          <w:r>
            <w:t>Español</w:t>
          </w:r>
        </w:p>
        <w:p w:rsidR="00E91A58" w:rsidRDefault="00E91A58">
          <w:r>
            <w:t>Original: inglés</w:t>
          </w:r>
        </w:p>
      </w:tc>
    </w:tr>
  </w:tbl>
  <w:p w:rsidR="00E91A58" w:rsidRDefault="00E91A58">
    <w:pPr>
      <w:pStyle w:val="Header"/>
      <w:rPr>
        <w:sz w:val="2"/>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14"/>
  <w:doNotHyphenateCaps/>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43*"/>
    <w:docVar w:name="CreationDt" w:val="3/13/2007 1:58: PM"/>
    <w:docVar w:name="DocCategory" w:val="SROthers"/>
    <w:docVar w:name="DocType" w:val="Final"/>
    <w:docVar w:name="jobn" w:val="07-21143 (S)"/>
    <w:docVar w:name="JobNo" w:val="0721143S"/>
    <w:docVar w:name="OandT" w:val="Gloria"/>
    <w:docVar w:name="sss1" w:val="CEDAW/C/SR.760 (A)"/>
    <w:docVar w:name="sss2" w:val="-"/>
    <w:docVar w:name="Symbol1" w:val="CEDAW/C/SR.760 (A)"/>
    <w:docVar w:name="Symbol2" w:val="-"/>
  </w:docVars>
  <w:rsids>
    <w:rsidRoot w:val="003C09B1"/>
    <w:rsid w:val="003A2209"/>
    <w:rsid w:val="003C09B1"/>
    <w:rsid w:val="003F4755"/>
    <w:rsid w:val="008A20D4"/>
    <w:rsid w:val="00982F65"/>
    <w:rsid w:val="00E76CFF"/>
    <w:rsid w:val="00E91A58"/>
    <w:rsid w:val="00EE5381"/>
    <w:rsid w:val="00F27413"/>
    <w:rsid w:val="00F4047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tyle>
  <w:style w:type="paragraph" w:styleId="BalloonText">
    <w:name w:val="Balloon Text"/>
    <w:basedOn w:val="Normal"/>
    <w:semiHidden/>
    <w:rsid w:val="003C09B1"/>
    <w:rPr>
      <w:rFonts w:ascii="Tahoma" w:hAnsi="Tahoma" w:cs="Tahoma"/>
      <w:sz w:val="16"/>
      <w:szCs w:val="16"/>
    </w:rPr>
  </w:style>
  <w:style w:type="paragraph" w:styleId="CommentSubject">
    <w:name w:val="annotation subject"/>
    <w:basedOn w:val="CommentText"/>
    <w:next w:val="CommentText"/>
    <w:semiHidden/>
    <w:rsid w:val="003A22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4258</Words>
  <Characters>24274</Characters>
  <Application>Microsoft Office Word</Application>
  <DocSecurity>4</DocSecurity>
  <Lines>202</Lines>
  <Paragraphs>56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28476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gloria</dc:creator>
  <cp:keywords/>
  <dc:description/>
  <cp:lastModifiedBy>FALLA, Bertha</cp:lastModifiedBy>
  <cp:revision>6</cp:revision>
  <cp:lastPrinted>2007-03-20T23:28:00Z</cp:lastPrinted>
  <dcterms:created xsi:type="dcterms:W3CDTF">2007-03-20T23:24:00Z</dcterms:created>
  <dcterms:modified xsi:type="dcterms:W3CDTF">2007-03-20T23:49:00Z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0721143</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7</vt:lpwstr>
  </property>
  <property fmtid="{D5CDD505-2E9C-101B-9397-08002B2CF9AE}" pid="7" name="Operator">
    <vt:lpwstr>Gloria/Nelly</vt:lpwstr>
  </property>
  <property fmtid="{D5CDD505-2E9C-101B-9397-08002B2CF9AE}" pid="8" name="Symbol1">
    <vt:lpwstr>CEDAW/C/SR.760 (A)</vt:lpwstr>
  </property>
  <property fmtid="{D5CDD505-2E9C-101B-9397-08002B2CF9AE}" pid="9" name="sss1">
    <vt:lpwstr>CEDAW/C/SR.760 (A)</vt:lpwstr>
  </property>
</Properties>
</file>