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4D69D2C0" w14:textId="77777777" w:rsidTr="00C01462">
        <w:trPr>
          <w:cantSplit/>
          <w:trHeight w:hRule="exact" w:val="851"/>
        </w:trPr>
        <w:tc>
          <w:tcPr>
            <w:tcW w:w="1276" w:type="dxa"/>
            <w:tcBorders>
              <w:bottom w:val="single" w:sz="4" w:space="0" w:color="auto"/>
            </w:tcBorders>
            <w:vAlign w:val="bottom"/>
          </w:tcPr>
          <w:p w14:paraId="0B81A3AC" w14:textId="77777777" w:rsidR="00307688" w:rsidRPr="007233F9" w:rsidRDefault="00307688" w:rsidP="007233F9">
            <w:pPr>
              <w:pStyle w:val="SingleTxtG"/>
            </w:pPr>
          </w:p>
        </w:tc>
        <w:tc>
          <w:tcPr>
            <w:tcW w:w="2268" w:type="dxa"/>
            <w:tcBorders>
              <w:bottom w:val="single" w:sz="4" w:space="0" w:color="auto"/>
            </w:tcBorders>
            <w:vAlign w:val="bottom"/>
          </w:tcPr>
          <w:p w14:paraId="0770A580"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789D2D4" w14:textId="7F8123B6" w:rsidR="00307688" w:rsidRPr="002E51B7" w:rsidRDefault="00B72AB4" w:rsidP="00B72AB4">
            <w:pPr>
              <w:suppressAutoHyphens w:val="0"/>
              <w:spacing w:after="20"/>
              <w:jc w:val="right"/>
            </w:pPr>
            <w:r w:rsidRPr="003B425C">
              <w:rPr>
                <w:sz w:val="40"/>
              </w:rPr>
              <w:t>CERD</w:t>
            </w:r>
            <w:r w:rsidRPr="003B425C">
              <w:t>/C/KAZ/Q/8-10</w:t>
            </w:r>
          </w:p>
        </w:tc>
      </w:tr>
      <w:tr w:rsidR="00307688" w14:paraId="779A5616" w14:textId="77777777" w:rsidTr="00C01462">
        <w:trPr>
          <w:cantSplit/>
          <w:trHeight w:hRule="exact" w:val="2835"/>
        </w:trPr>
        <w:tc>
          <w:tcPr>
            <w:tcW w:w="1276" w:type="dxa"/>
            <w:tcBorders>
              <w:top w:val="single" w:sz="4" w:space="0" w:color="auto"/>
              <w:bottom w:val="single" w:sz="12" w:space="0" w:color="auto"/>
            </w:tcBorders>
          </w:tcPr>
          <w:p w14:paraId="6FC6F161" w14:textId="77777777" w:rsidR="00307688" w:rsidRDefault="00307688" w:rsidP="00C01462">
            <w:pPr>
              <w:spacing w:before="120"/>
              <w:jc w:val="center"/>
            </w:pPr>
            <w:r>
              <w:rPr>
                <w:noProof/>
                <w:lang w:eastAsia="en-GB"/>
              </w:rPr>
              <w:drawing>
                <wp:inline distT="0" distB="0" distL="0" distR="0" wp14:anchorId="6BF4E5BC" wp14:editId="2D1E5F60">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270A14"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ABA7435"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5E091860" w14:textId="77777777" w:rsidR="00307688" w:rsidRDefault="00B72AB4" w:rsidP="00B72AB4">
            <w:pPr>
              <w:spacing w:before="240"/>
            </w:pPr>
            <w:r>
              <w:t>Distr.: General</w:t>
            </w:r>
          </w:p>
          <w:p w14:paraId="1DF91649" w14:textId="77777777" w:rsidR="00B72AB4" w:rsidRDefault="00B72AB4" w:rsidP="00B72AB4">
            <w:pPr>
              <w:suppressAutoHyphens w:val="0"/>
            </w:pPr>
            <w:r>
              <w:t>16 February 2022</w:t>
            </w:r>
          </w:p>
          <w:p w14:paraId="77D8A836" w14:textId="77777777" w:rsidR="00B72AB4" w:rsidRDefault="00B72AB4" w:rsidP="00B72AB4">
            <w:pPr>
              <w:suppressAutoHyphens w:val="0"/>
            </w:pPr>
          </w:p>
          <w:p w14:paraId="47011F46" w14:textId="77777777" w:rsidR="00B72AB4" w:rsidRDefault="00B72AB4" w:rsidP="00B72AB4">
            <w:pPr>
              <w:suppressAutoHyphens w:val="0"/>
            </w:pPr>
            <w:r>
              <w:t>Original: English</w:t>
            </w:r>
          </w:p>
          <w:p w14:paraId="4DBA1A93" w14:textId="1119A390" w:rsidR="003B425C" w:rsidRDefault="003B425C" w:rsidP="00B72AB4">
            <w:pPr>
              <w:suppressAutoHyphens w:val="0"/>
            </w:pPr>
            <w:r>
              <w:t>English, French, Russian and Spanish only</w:t>
            </w:r>
          </w:p>
        </w:tc>
      </w:tr>
    </w:tbl>
    <w:p w14:paraId="552B0A9D" w14:textId="77777777" w:rsidR="00B72AB4" w:rsidRDefault="00B72AB4" w:rsidP="00B72AB4">
      <w:pPr>
        <w:spacing w:before="120"/>
        <w:rPr>
          <w:b/>
          <w:sz w:val="24"/>
          <w:szCs w:val="24"/>
        </w:rPr>
      </w:pPr>
      <w:r>
        <w:rPr>
          <w:b/>
          <w:sz w:val="24"/>
          <w:szCs w:val="24"/>
        </w:rPr>
        <w:t>Committee on the Elimination of Racial Discrimination</w:t>
      </w:r>
    </w:p>
    <w:p w14:paraId="6F431F6B" w14:textId="77777777" w:rsidR="00B72AB4" w:rsidRDefault="00B72AB4" w:rsidP="00B72AB4">
      <w:pPr>
        <w:rPr>
          <w:b/>
        </w:rPr>
      </w:pPr>
      <w:r>
        <w:rPr>
          <w:b/>
        </w:rPr>
        <w:t>106th session</w:t>
      </w:r>
    </w:p>
    <w:p w14:paraId="7D194BC5" w14:textId="77777777" w:rsidR="00B72AB4" w:rsidRDefault="00B72AB4" w:rsidP="00B72AB4">
      <w:r>
        <w:t>11–29 April 2022</w:t>
      </w:r>
    </w:p>
    <w:p w14:paraId="4E7CC72A" w14:textId="77777777" w:rsidR="00B72AB4" w:rsidRDefault="00B72AB4" w:rsidP="00B72AB4">
      <w:r>
        <w:t>Item 6 of the provisional agenda</w:t>
      </w:r>
    </w:p>
    <w:p w14:paraId="03DB98ED" w14:textId="359D0E58" w:rsidR="00B72AB4" w:rsidRDefault="00B72AB4" w:rsidP="00504379">
      <w:pPr>
        <w:rPr>
          <w:b/>
          <w:bCs/>
        </w:rPr>
      </w:pPr>
      <w:r>
        <w:rPr>
          <w:b/>
          <w:bCs/>
        </w:rPr>
        <w:t>Consideration of reports, comments and information submitted</w:t>
      </w:r>
      <w:r w:rsidR="00504379">
        <w:rPr>
          <w:b/>
          <w:bCs/>
        </w:rPr>
        <w:br/>
      </w:r>
      <w:r>
        <w:rPr>
          <w:b/>
          <w:bCs/>
        </w:rPr>
        <w:t>by States parties under article 9 of the Convention</w:t>
      </w:r>
    </w:p>
    <w:p w14:paraId="1A866BD4" w14:textId="77777777" w:rsidR="00B72AB4" w:rsidRDefault="00B72AB4" w:rsidP="00B72AB4">
      <w:pPr>
        <w:pStyle w:val="HChG"/>
      </w:pPr>
      <w:r>
        <w:tab/>
      </w:r>
      <w:r>
        <w:tab/>
        <w:t>List of themes in relation to the combined eighth to tenth reports of Kazakhstan</w:t>
      </w:r>
    </w:p>
    <w:p w14:paraId="31E3728B" w14:textId="77777777" w:rsidR="00B72AB4" w:rsidRDefault="00B72AB4" w:rsidP="00B72AB4">
      <w:pPr>
        <w:pStyle w:val="H1G"/>
      </w:pPr>
      <w:r>
        <w:tab/>
      </w:r>
      <w:r>
        <w:tab/>
        <w:t>Note by the Country Rapporteur</w:t>
      </w:r>
    </w:p>
    <w:p w14:paraId="7DADFFC1" w14:textId="71B1FE22" w:rsidR="00B72AB4" w:rsidRPr="00016909" w:rsidRDefault="00DF4353" w:rsidP="00DF4353">
      <w:pPr>
        <w:pStyle w:val="SingleTxtG"/>
        <w:tabs>
          <w:tab w:val="left" w:pos="2835"/>
        </w:tabs>
        <w:kinsoku w:val="0"/>
        <w:overflowPunct w:val="0"/>
        <w:autoSpaceDE w:val="0"/>
        <w:autoSpaceDN w:val="0"/>
        <w:adjustRightInd w:val="0"/>
        <w:snapToGrid w:val="0"/>
      </w:pPr>
      <w:r w:rsidRPr="00016909">
        <w:t>1.</w:t>
      </w:r>
      <w:r w:rsidRPr="00016909">
        <w:tab/>
      </w:r>
      <w:r w:rsidR="00B72AB4">
        <w:t>The Committee on the Elimination of Racial Discrimination decided, at its seventy-sixth session,</w:t>
      </w:r>
      <w:r w:rsidR="00B72AB4">
        <w:rPr>
          <w:rStyle w:val="FootnoteReference"/>
        </w:rPr>
        <w:footnoteReference w:id="1"/>
      </w:r>
      <w:r w:rsidR="00B72AB4">
        <w:t xml:space="preserve"> that the Country Rapporteur would send to the State party concerned a short list of themes with a view to guiding and focusing the dialogue between the State party</w:t>
      </w:r>
      <w:r w:rsidR="00D713B8">
        <w:t>’</w:t>
      </w:r>
      <w:r w:rsidR="00B72AB4">
        <w:t>s delegation and the Committee during the consideration of the State party</w:t>
      </w:r>
      <w:r w:rsidR="00D713B8">
        <w:t>’</w:t>
      </w:r>
      <w:r w:rsidR="00B72AB4">
        <w:t>s report. The present document contains a list of such themes. It is not an exhaustive list; other issues may also be raised in the course of the dialogue. No written replies are required.</w:t>
      </w:r>
    </w:p>
    <w:p w14:paraId="17399756" w14:textId="77777777" w:rsidR="00B72AB4" w:rsidRPr="00016909" w:rsidRDefault="00B72AB4" w:rsidP="00504379">
      <w:pPr>
        <w:pStyle w:val="H23G"/>
      </w:pPr>
      <w:r w:rsidRPr="00016909">
        <w:tab/>
      </w:r>
      <w:r w:rsidRPr="00016909">
        <w:tab/>
        <w:t>Convention in domestic law and the institutional and policy framework for its</w:t>
      </w:r>
      <w:r>
        <w:t xml:space="preserve"> implementation (arts. 1–2</w:t>
      </w:r>
      <w:r w:rsidRPr="00016909">
        <w:t xml:space="preserve"> </w:t>
      </w:r>
      <w:r>
        <w:t>and 6</w:t>
      </w:r>
      <w:r w:rsidRPr="00016909">
        <w:t>)</w:t>
      </w:r>
    </w:p>
    <w:p w14:paraId="176F7A6A" w14:textId="685A77C7" w:rsidR="00B72AB4" w:rsidRDefault="00DF4353" w:rsidP="00DF4353">
      <w:pPr>
        <w:pStyle w:val="SingleTxtG"/>
        <w:tabs>
          <w:tab w:val="left" w:pos="2835"/>
        </w:tabs>
        <w:kinsoku w:val="0"/>
        <w:overflowPunct w:val="0"/>
        <w:autoSpaceDE w:val="0"/>
        <w:autoSpaceDN w:val="0"/>
        <w:adjustRightInd w:val="0"/>
        <w:snapToGrid w:val="0"/>
      </w:pPr>
      <w:r>
        <w:t>2.</w:t>
      </w:r>
      <w:r>
        <w:tab/>
      </w:r>
      <w:r w:rsidR="00B72AB4">
        <w:t>Information on m</w:t>
      </w:r>
      <w:r w:rsidR="00B72AB4" w:rsidRPr="006638AF">
        <w:t xml:space="preserve">easures taken to collect and publicize reliable statistical data on the social and economic situation of </w:t>
      </w:r>
      <w:r w:rsidR="00B72AB4">
        <w:t>individuals belonging to ethnic minority groups, migrants and refugees; and statistics</w:t>
      </w:r>
      <w:r w:rsidR="00B72AB4" w:rsidRPr="006638AF">
        <w:t xml:space="preserve"> on the ethnic composition of the prison population</w:t>
      </w:r>
      <w:r w:rsidR="00B72AB4">
        <w:t>.</w:t>
      </w:r>
      <w:r w:rsidR="00B72AB4">
        <w:rPr>
          <w:rStyle w:val="FootnoteReference"/>
        </w:rPr>
        <w:footnoteReference w:id="2"/>
      </w:r>
    </w:p>
    <w:p w14:paraId="2AB7E284" w14:textId="40B7DB07" w:rsidR="00B72AB4" w:rsidRDefault="00DF4353" w:rsidP="00DF4353">
      <w:pPr>
        <w:pStyle w:val="SingleTxtG"/>
        <w:tabs>
          <w:tab w:val="left" w:pos="2835"/>
        </w:tabs>
        <w:kinsoku w:val="0"/>
        <w:overflowPunct w:val="0"/>
        <w:autoSpaceDE w:val="0"/>
        <w:autoSpaceDN w:val="0"/>
        <w:adjustRightInd w:val="0"/>
        <w:snapToGrid w:val="0"/>
      </w:pPr>
      <w:r>
        <w:t>3.</w:t>
      </w:r>
      <w:r>
        <w:tab/>
      </w:r>
      <w:r w:rsidR="00B72AB4" w:rsidRPr="0038767F">
        <w:t>Information on steps taken towards adopting a comprehensive anti-discrimination law including a definition of direct and indirect discrimination</w:t>
      </w:r>
      <w:r w:rsidR="00B72AB4">
        <w:t>; and m</w:t>
      </w:r>
      <w:r w:rsidR="00B72AB4" w:rsidRPr="0038767F">
        <w:t>easures taken to disseminate information to the public, especially minorities</w:t>
      </w:r>
      <w:r w:rsidR="00B72AB4">
        <w:t>, but also lawyers, magistrates and other law enforcement officers</w:t>
      </w:r>
      <w:r w:rsidR="00B72AB4" w:rsidRPr="0038767F">
        <w:t xml:space="preserve">, about </w:t>
      </w:r>
      <w:r w:rsidR="00B72AB4">
        <w:t>the prohibition of racial</w:t>
      </w:r>
      <w:r w:rsidR="00B72AB4" w:rsidRPr="0038767F">
        <w:t xml:space="preserve"> discriminati</w:t>
      </w:r>
      <w:r w:rsidR="00B72AB4">
        <w:t>on and available remedies for victims.</w:t>
      </w:r>
      <w:r w:rsidR="00B72AB4">
        <w:rPr>
          <w:rStyle w:val="FootnoteReference"/>
        </w:rPr>
        <w:footnoteReference w:id="3"/>
      </w:r>
      <w:r w:rsidR="00B72AB4" w:rsidRPr="0038767F">
        <w:t xml:space="preserve"> </w:t>
      </w:r>
    </w:p>
    <w:p w14:paraId="6B79A9A8" w14:textId="25F84690" w:rsidR="00B72AB4" w:rsidRDefault="00DF4353" w:rsidP="00DF4353">
      <w:pPr>
        <w:pStyle w:val="SingleTxtG"/>
        <w:tabs>
          <w:tab w:val="left" w:pos="2835"/>
        </w:tabs>
        <w:kinsoku w:val="0"/>
        <w:overflowPunct w:val="0"/>
        <w:autoSpaceDE w:val="0"/>
        <w:autoSpaceDN w:val="0"/>
        <w:adjustRightInd w:val="0"/>
        <w:snapToGrid w:val="0"/>
      </w:pPr>
      <w:r>
        <w:t>4.</w:t>
      </w:r>
      <w:r>
        <w:tab/>
      </w:r>
      <w:r w:rsidR="00B72AB4">
        <w:t>Updated i</w:t>
      </w:r>
      <w:r w:rsidR="00B72AB4" w:rsidRPr="000526BD">
        <w:t xml:space="preserve">nformation on </w:t>
      </w:r>
      <w:r w:rsidR="00B72AB4">
        <w:t>amending</w:t>
      </w:r>
      <w:r w:rsidR="00B72AB4" w:rsidRPr="000526BD">
        <w:t xml:space="preserve"> </w:t>
      </w:r>
      <w:r w:rsidR="00B72AB4">
        <w:t xml:space="preserve">the </w:t>
      </w:r>
      <w:r w:rsidR="00B72AB4" w:rsidRPr="000526BD">
        <w:t>legislation to provide for the possibility of adopting special measures, in accordance with article</w:t>
      </w:r>
      <w:r w:rsidR="00B72AB4">
        <w:t>s</w:t>
      </w:r>
      <w:r w:rsidR="00221456">
        <w:t xml:space="preserve"> </w:t>
      </w:r>
      <w:r w:rsidR="00B72AB4" w:rsidRPr="000526BD">
        <w:t>1</w:t>
      </w:r>
      <w:r w:rsidR="00B72AB4">
        <w:t xml:space="preserve"> (4)</w:t>
      </w:r>
      <w:r w:rsidR="00B72AB4" w:rsidRPr="000526BD">
        <w:t xml:space="preserve"> and 2</w:t>
      </w:r>
      <w:r w:rsidR="00B72AB4">
        <w:t xml:space="preserve"> (</w:t>
      </w:r>
      <w:r w:rsidR="00B72AB4" w:rsidRPr="000526BD">
        <w:t>2</w:t>
      </w:r>
      <w:r w:rsidR="00B72AB4">
        <w:t>)</w:t>
      </w:r>
      <w:r w:rsidR="00B72AB4" w:rsidRPr="000526BD">
        <w:t xml:space="preserve"> of the Convention</w:t>
      </w:r>
      <w:r w:rsidR="00B72AB4">
        <w:t>.</w:t>
      </w:r>
      <w:r w:rsidR="00B72AB4">
        <w:rPr>
          <w:rStyle w:val="FootnoteReference"/>
        </w:rPr>
        <w:footnoteReference w:id="4"/>
      </w:r>
    </w:p>
    <w:p w14:paraId="356E8BB7" w14:textId="232A39CE" w:rsidR="00B72AB4" w:rsidRPr="00F6327B" w:rsidRDefault="00DF4353" w:rsidP="00DF4353">
      <w:pPr>
        <w:pStyle w:val="SingleTxtG"/>
        <w:tabs>
          <w:tab w:val="left" w:pos="2835"/>
        </w:tabs>
        <w:kinsoku w:val="0"/>
        <w:overflowPunct w:val="0"/>
        <w:autoSpaceDE w:val="0"/>
        <w:autoSpaceDN w:val="0"/>
        <w:adjustRightInd w:val="0"/>
        <w:snapToGrid w:val="0"/>
      </w:pPr>
      <w:r w:rsidRPr="00F6327B">
        <w:t>5.</w:t>
      </w:r>
      <w:r w:rsidRPr="00F6327B">
        <w:tab/>
      </w:r>
      <w:r w:rsidR="00B72AB4">
        <w:t>Updated i</w:t>
      </w:r>
      <w:r w:rsidR="00B72AB4" w:rsidRPr="004D458C">
        <w:t xml:space="preserve">nformation on measures to strengthen the mandate </w:t>
      </w:r>
      <w:r w:rsidR="00B72AB4">
        <w:t xml:space="preserve">of the Commissioner for Human Rights </w:t>
      </w:r>
      <w:r w:rsidR="00B72AB4" w:rsidRPr="004D458C">
        <w:t>to effectively promote human rights and fight racial discrimination</w:t>
      </w:r>
      <w:r w:rsidR="00B72AB4">
        <w:t>,</w:t>
      </w:r>
      <w:r w:rsidR="00B72AB4" w:rsidRPr="00223C7C">
        <w:t xml:space="preserve"> </w:t>
      </w:r>
      <w:r w:rsidR="00B72AB4" w:rsidRPr="004D458C">
        <w:t xml:space="preserve">to </w:t>
      </w:r>
      <w:r w:rsidR="00B72AB4">
        <w:t>increase the Commissioner</w:t>
      </w:r>
      <w:r w:rsidR="00D713B8">
        <w:t>’</w:t>
      </w:r>
      <w:r w:rsidR="00B72AB4">
        <w:t xml:space="preserve">s financial and human resources, to </w:t>
      </w:r>
      <w:r w:rsidR="00B72AB4" w:rsidRPr="004D458C">
        <w:t>ensure that the Commissioner enjoys public confidence and full independence</w:t>
      </w:r>
      <w:r w:rsidR="00B72AB4">
        <w:t xml:space="preserve"> and</w:t>
      </w:r>
      <w:r w:rsidR="00B72AB4" w:rsidRPr="004D458C">
        <w:t xml:space="preserve"> </w:t>
      </w:r>
      <w:r w:rsidR="00B72AB4">
        <w:t>to m</w:t>
      </w:r>
      <w:r w:rsidR="00B72AB4" w:rsidRPr="004D458C">
        <w:t>ake</w:t>
      </w:r>
      <w:r w:rsidR="00B72AB4" w:rsidRPr="00B879F4">
        <w:t xml:space="preserve"> public the reports on the </w:t>
      </w:r>
      <w:r w:rsidR="00B72AB4" w:rsidRPr="00F6327B">
        <w:t>Commissioner</w:t>
      </w:r>
      <w:r w:rsidR="00D713B8">
        <w:t>’</w:t>
      </w:r>
      <w:r w:rsidR="00B72AB4" w:rsidRPr="00F6327B">
        <w:t>s work against racial discrimination, on a regular basis.</w:t>
      </w:r>
      <w:r w:rsidR="00B72AB4" w:rsidRPr="00F6327B">
        <w:rPr>
          <w:rStyle w:val="FootnoteReference"/>
        </w:rPr>
        <w:footnoteReference w:id="5"/>
      </w:r>
    </w:p>
    <w:p w14:paraId="6CF2C4B8" w14:textId="526260D9" w:rsidR="00B72AB4" w:rsidRPr="00F6327B" w:rsidRDefault="00DF4353" w:rsidP="00DF4353">
      <w:pPr>
        <w:pStyle w:val="SingleTxtG"/>
        <w:tabs>
          <w:tab w:val="left" w:pos="2835"/>
        </w:tabs>
        <w:kinsoku w:val="0"/>
        <w:overflowPunct w:val="0"/>
        <w:autoSpaceDE w:val="0"/>
        <w:autoSpaceDN w:val="0"/>
        <w:adjustRightInd w:val="0"/>
        <w:snapToGrid w:val="0"/>
        <w:rPr>
          <w:rFonts w:eastAsia="Times New Roman"/>
        </w:rPr>
      </w:pPr>
      <w:r w:rsidRPr="00F6327B">
        <w:rPr>
          <w:rFonts w:eastAsia="Times New Roman"/>
        </w:rPr>
        <w:t>6.</w:t>
      </w:r>
      <w:r w:rsidRPr="00F6327B">
        <w:rPr>
          <w:rFonts w:eastAsia="Times New Roman"/>
        </w:rPr>
        <w:tab/>
      </w:r>
      <w:r w:rsidR="00B72AB4" w:rsidRPr="00F6327B">
        <w:t xml:space="preserve">Information on measures to ensure the effective investigation of, and remedies for, any act of racial discrimination; updated information on the domestic application of the </w:t>
      </w:r>
      <w:r w:rsidR="00B72AB4" w:rsidRPr="00F6327B">
        <w:lastRenderedPageBreak/>
        <w:t>Convention; and analysis of the reasons for the low number of racial discrimination cases found by the Commissioner for Human Rights</w:t>
      </w:r>
      <w:r w:rsidR="00B72AB4" w:rsidRPr="00F6327B">
        <w:rPr>
          <w:rFonts w:eastAsia="Times New Roman"/>
        </w:rPr>
        <w:t>.</w:t>
      </w:r>
      <w:r w:rsidR="00B72AB4" w:rsidRPr="00F6327B">
        <w:rPr>
          <w:rStyle w:val="FootnoteReference"/>
          <w:rFonts w:eastAsia="Times New Roman"/>
        </w:rPr>
        <w:footnoteReference w:id="6"/>
      </w:r>
    </w:p>
    <w:p w14:paraId="3871AD7F" w14:textId="245E57FE" w:rsidR="00B72AB4" w:rsidRPr="001D462C" w:rsidRDefault="00DF4353" w:rsidP="00DF4353">
      <w:pPr>
        <w:pStyle w:val="SingleTxtG"/>
        <w:tabs>
          <w:tab w:val="left" w:pos="2835"/>
        </w:tabs>
        <w:kinsoku w:val="0"/>
        <w:overflowPunct w:val="0"/>
        <w:autoSpaceDE w:val="0"/>
        <w:autoSpaceDN w:val="0"/>
        <w:adjustRightInd w:val="0"/>
        <w:snapToGrid w:val="0"/>
      </w:pPr>
      <w:r w:rsidRPr="001D462C">
        <w:t>7.</w:t>
      </w:r>
      <w:r w:rsidRPr="001D462C">
        <w:tab/>
      </w:r>
      <w:r w:rsidR="00B72AB4" w:rsidRPr="00F6327B">
        <w:t>Measures to strengthen the legal aid system</w:t>
      </w:r>
      <w:r w:rsidR="00B72AB4" w:rsidRPr="001D462C">
        <w:t xml:space="preserve"> and provide assistance to individuals and associations to facilitate lit</w:t>
      </w:r>
      <w:r w:rsidR="00B72AB4">
        <w:t>igation in racial discrimination cases.</w:t>
      </w:r>
      <w:r w:rsidR="00B72AB4">
        <w:rPr>
          <w:rStyle w:val="FootnoteReference"/>
        </w:rPr>
        <w:footnoteReference w:id="7"/>
      </w:r>
    </w:p>
    <w:p w14:paraId="7C19B547" w14:textId="77777777" w:rsidR="00B72AB4" w:rsidRPr="006D41CA" w:rsidRDefault="00B72AB4" w:rsidP="00173225">
      <w:pPr>
        <w:pStyle w:val="H23G"/>
      </w:pPr>
      <w:r>
        <w:tab/>
      </w:r>
      <w:r>
        <w:tab/>
      </w:r>
      <w:r w:rsidRPr="006D41CA">
        <w:t>Racist hate crimes, hate speech and freedom of expression (art</w:t>
      </w:r>
      <w:r>
        <w:t>s</w:t>
      </w:r>
      <w:r w:rsidRPr="006D41CA">
        <w:t>. 4</w:t>
      </w:r>
      <w:r>
        <w:t xml:space="preserve"> and 7</w:t>
      </w:r>
      <w:r w:rsidRPr="006D41CA">
        <w:t>)</w:t>
      </w:r>
    </w:p>
    <w:p w14:paraId="014C6453" w14:textId="47BC7842" w:rsidR="00B72AB4" w:rsidRPr="00B7112E" w:rsidRDefault="00DF4353" w:rsidP="00DF4353">
      <w:pPr>
        <w:pStyle w:val="SingleTxtG"/>
        <w:tabs>
          <w:tab w:val="left" w:pos="2835"/>
        </w:tabs>
        <w:kinsoku w:val="0"/>
        <w:overflowPunct w:val="0"/>
        <w:autoSpaceDE w:val="0"/>
        <w:autoSpaceDN w:val="0"/>
        <w:adjustRightInd w:val="0"/>
        <w:snapToGrid w:val="0"/>
      </w:pPr>
      <w:r w:rsidRPr="00B7112E">
        <w:t>8.</w:t>
      </w:r>
      <w:r w:rsidRPr="00B7112E">
        <w:tab/>
      </w:r>
      <w:r w:rsidR="00B72AB4" w:rsidRPr="00B7112E">
        <w:t xml:space="preserve">Updated information on measures </w:t>
      </w:r>
      <w:r w:rsidR="00B72AB4">
        <w:t>to effectively investigate, prosecute</w:t>
      </w:r>
      <w:r w:rsidR="00B72AB4" w:rsidRPr="00B7112E">
        <w:t xml:space="preserve"> </w:t>
      </w:r>
      <w:r w:rsidR="00B72AB4">
        <w:t xml:space="preserve">and combat racist </w:t>
      </w:r>
      <w:r w:rsidR="00B72AB4" w:rsidRPr="00B7112E">
        <w:t>hate speech</w:t>
      </w:r>
      <w:r w:rsidR="00B72AB4">
        <w:t xml:space="preserve"> and to </w:t>
      </w:r>
      <w:r w:rsidR="00B72AB4" w:rsidRPr="00B7112E">
        <w:t>punish</w:t>
      </w:r>
      <w:r w:rsidR="00B72AB4">
        <w:t xml:space="preserve"> perpetrators</w:t>
      </w:r>
      <w:r w:rsidR="00B72AB4" w:rsidRPr="00B7112E">
        <w:t xml:space="preserve">; </w:t>
      </w:r>
      <w:r w:rsidR="00B72AB4">
        <w:t xml:space="preserve">and </w:t>
      </w:r>
      <w:r w:rsidR="00B72AB4" w:rsidRPr="0088348A">
        <w:t>measures to promote tolerance, intercultural dialogue and respect for diversity, with a focus on the role of journalists and</w:t>
      </w:r>
      <w:r w:rsidR="00B72AB4">
        <w:t xml:space="preserve"> public officials</w:t>
      </w:r>
      <w:r w:rsidR="00B72AB4" w:rsidRPr="0088348A">
        <w:t>.</w:t>
      </w:r>
      <w:r w:rsidR="00B72AB4">
        <w:rPr>
          <w:rStyle w:val="FootnoteReference"/>
        </w:rPr>
        <w:footnoteReference w:id="8"/>
      </w:r>
    </w:p>
    <w:p w14:paraId="6AB17D9F" w14:textId="162FEDA4" w:rsidR="00B72AB4" w:rsidRDefault="00DF4353" w:rsidP="00DF4353">
      <w:pPr>
        <w:pStyle w:val="SingleTxtG"/>
        <w:tabs>
          <w:tab w:val="left" w:pos="2835"/>
        </w:tabs>
        <w:kinsoku w:val="0"/>
        <w:overflowPunct w:val="0"/>
        <w:autoSpaceDE w:val="0"/>
        <w:autoSpaceDN w:val="0"/>
        <w:adjustRightInd w:val="0"/>
        <w:snapToGrid w:val="0"/>
      </w:pPr>
      <w:r>
        <w:t>9.</w:t>
      </w:r>
      <w:r>
        <w:tab/>
      </w:r>
      <w:r w:rsidR="00B72AB4">
        <w:t xml:space="preserve">Updated information on measures to ensure that the </w:t>
      </w:r>
      <w:r w:rsidR="00B72AB4" w:rsidRPr="00272FD9">
        <w:t xml:space="preserve">legislation </w:t>
      </w:r>
      <w:r w:rsidR="00B72AB4">
        <w:t>against incitement to racist violence and on extremist organizations is fully in line with the requirements of article 4 (a) and (b), as well as with article 1, of the Convention</w:t>
      </w:r>
      <w:r w:rsidR="00B72AB4" w:rsidRPr="0088348A">
        <w:t>.</w:t>
      </w:r>
      <w:r w:rsidR="00B72AB4">
        <w:rPr>
          <w:rStyle w:val="FootnoteReference"/>
        </w:rPr>
        <w:footnoteReference w:id="9"/>
      </w:r>
    </w:p>
    <w:p w14:paraId="362D22D1" w14:textId="01BBA184" w:rsidR="00B72AB4" w:rsidRDefault="00DF4353" w:rsidP="00DF4353">
      <w:pPr>
        <w:pStyle w:val="SingleTxtG"/>
        <w:tabs>
          <w:tab w:val="left" w:pos="2835"/>
        </w:tabs>
        <w:kinsoku w:val="0"/>
        <w:overflowPunct w:val="0"/>
        <w:autoSpaceDE w:val="0"/>
        <w:autoSpaceDN w:val="0"/>
        <w:adjustRightInd w:val="0"/>
        <w:snapToGrid w:val="0"/>
      </w:pPr>
      <w:r>
        <w:t>10.</w:t>
      </w:r>
      <w:r>
        <w:tab/>
      </w:r>
      <w:r w:rsidR="00B72AB4">
        <w:t>Information on m</w:t>
      </w:r>
      <w:r w:rsidR="00B72AB4" w:rsidRPr="000B35DA">
        <w:t xml:space="preserve">easures taken to clearly define criminal offences, in particular those </w:t>
      </w:r>
      <w:r w:rsidR="00B72AB4">
        <w:t xml:space="preserve">described </w:t>
      </w:r>
      <w:r w:rsidR="00B72AB4" w:rsidRPr="000B35DA">
        <w:t>in articl</w:t>
      </w:r>
      <w:r w:rsidR="00B72AB4">
        <w:t>e 17</w:t>
      </w:r>
      <w:r w:rsidR="00B72AB4" w:rsidRPr="000B35DA">
        <w:t xml:space="preserve">4 of the </w:t>
      </w:r>
      <w:r w:rsidR="00B72AB4">
        <w:t>C</w:t>
      </w:r>
      <w:r w:rsidR="00B72AB4" w:rsidRPr="000B35DA">
        <w:t xml:space="preserve">riminal </w:t>
      </w:r>
      <w:r w:rsidR="00B72AB4">
        <w:t>C</w:t>
      </w:r>
      <w:r w:rsidR="00B72AB4" w:rsidRPr="000B35DA">
        <w:t xml:space="preserve">ode, to ensure that they do not result in unnecessary or disproportionate interference with freedom of expression, including </w:t>
      </w:r>
      <w:r w:rsidR="00B72AB4">
        <w:t>among</w:t>
      </w:r>
      <w:r w:rsidR="00B72AB4" w:rsidRPr="000B35DA">
        <w:t xml:space="preserve"> </w:t>
      </w:r>
      <w:r w:rsidR="00B72AB4">
        <w:t>minority communities</w:t>
      </w:r>
      <w:r w:rsidR="00B72AB4" w:rsidRPr="0088348A">
        <w:t>.</w:t>
      </w:r>
      <w:r w:rsidR="00B72AB4">
        <w:rPr>
          <w:rStyle w:val="FootnoteReference"/>
        </w:rPr>
        <w:footnoteReference w:id="10"/>
      </w:r>
    </w:p>
    <w:p w14:paraId="7C9D79FF" w14:textId="77EAB200" w:rsidR="00B72AB4" w:rsidRPr="00B7112E" w:rsidRDefault="00DF4353" w:rsidP="00DF4353">
      <w:pPr>
        <w:pStyle w:val="SingleTxtG"/>
        <w:tabs>
          <w:tab w:val="left" w:pos="2835"/>
        </w:tabs>
        <w:kinsoku w:val="0"/>
        <w:overflowPunct w:val="0"/>
        <w:autoSpaceDE w:val="0"/>
        <w:autoSpaceDN w:val="0"/>
        <w:adjustRightInd w:val="0"/>
        <w:snapToGrid w:val="0"/>
      </w:pPr>
      <w:r w:rsidRPr="00B7112E">
        <w:t>11.</w:t>
      </w:r>
      <w:r w:rsidRPr="00B7112E">
        <w:tab/>
      </w:r>
      <w:r w:rsidR="00B72AB4">
        <w:t xml:space="preserve">Information on measures to investigate </w:t>
      </w:r>
      <w:r w:rsidR="00B72AB4" w:rsidRPr="00B7112E">
        <w:t>allegations of incitement to violence and of hate speech against the Dungan minority</w:t>
      </w:r>
      <w:r w:rsidR="00B72AB4">
        <w:t xml:space="preserve"> group</w:t>
      </w:r>
      <w:r w:rsidR="00B72AB4" w:rsidRPr="00B7112E">
        <w:t xml:space="preserve">, in relation to the violent events of 7 </w:t>
      </w:r>
      <w:r w:rsidR="00B72AB4">
        <w:t>and</w:t>
      </w:r>
      <w:r w:rsidR="00B72AB4" w:rsidRPr="00B7112E">
        <w:t xml:space="preserve"> 8 February 2020 in the Korday District; </w:t>
      </w:r>
      <w:r w:rsidR="00B72AB4">
        <w:t xml:space="preserve">and </w:t>
      </w:r>
      <w:r w:rsidR="00B72AB4" w:rsidRPr="00B7112E">
        <w:t xml:space="preserve">steps taken to ensure that persons from the Dungan community </w:t>
      </w:r>
      <w:r w:rsidR="00B72AB4">
        <w:t xml:space="preserve">who </w:t>
      </w:r>
      <w:r w:rsidR="00B72AB4" w:rsidRPr="00B7112E">
        <w:t>are subject to criminal investigations and p</w:t>
      </w:r>
      <w:r w:rsidR="00B72AB4">
        <w:t>roceedings receive a fair trial.</w:t>
      </w:r>
      <w:r w:rsidR="00B72AB4">
        <w:rPr>
          <w:rStyle w:val="FootnoteReference"/>
        </w:rPr>
        <w:footnoteReference w:id="11"/>
      </w:r>
    </w:p>
    <w:p w14:paraId="405E362E" w14:textId="77777777" w:rsidR="00B72AB4" w:rsidRPr="00073A1F" w:rsidRDefault="00B72AB4" w:rsidP="00173225">
      <w:pPr>
        <w:pStyle w:val="H23G"/>
      </w:pPr>
      <w:r>
        <w:tab/>
      </w:r>
      <w:r>
        <w:tab/>
      </w:r>
      <w:r w:rsidRPr="00073A1F">
        <w:t>Situation of ethnic minorit</w:t>
      </w:r>
      <w:r>
        <w:t>y groups</w:t>
      </w:r>
      <w:r w:rsidRPr="00073A1F">
        <w:t xml:space="preserve"> (art. 5)</w:t>
      </w:r>
    </w:p>
    <w:p w14:paraId="79515701" w14:textId="08B08BAA" w:rsidR="00B72AB4" w:rsidRDefault="00DF4353" w:rsidP="00DF4353">
      <w:pPr>
        <w:pStyle w:val="SingleTxtG"/>
        <w:tabs>
          <w:tab w:val="left" w:pos="2835"/>
        </w:tabs>
        <w:kinsoku w:val="0"/>
        <w:overflowPunct w:val="0"/>
        <w:autoSpaceDE w:val="0"/>
        <w:autoSpaceDN w:val="0"/>
        <w:adjustRightInd w:val="0"/>
        <w:snapToGrid w:val="0"/>
      </w:pPr>
      <w:r>
        <w:t>12.</w:t>
      </w:r>
      <w:r>
        <w:tab/>
      </w:r>
      <w:r w:rsidR="00B72AB4">
        <w:t>D</w:t>
      </w:r>
      <w:r w:rsidR="00B72AB4" w:rsidRPr="002F36B1">
        <w:t xml:space="preserve">isaggregated </w:t>
      </w:r>
      <w:r w:rsidR="00B72AB4">
        <w:t xml:space="preserve">data </w:t>
      </w:r>
      <w:r w:rsidR="00B72AB4" w:rsidRPr="002F36B1">
        <w:t>on</w:t>
      </w:r>
      <w:r w:rsidR="00B72AB4">
        <w:t>, and measures to facilitate and increase</w:t>
      </w:r>
      <w:r w:rsidR="00B72AB4" w:rsidRPr="002F36B1">
        <w:t xml:space="preserve"> the representation of</w:t>
      </w:r>
      <w:r w:rsidR="00B72AB4">
        <w:t>,</w:t>
      </w:r>
      <w:r w:rsidR="00B72AB4" w:rsidRPr="002F36B1">
        <w:t xml:space="preserve"> </w:t>
      </w:r>
      <w:r w:rsidR="00B72AB4">
        <w:t xml:space="preserve">ethnic </w:t>
      </w:r>
      <w:r w:rsidR="00B72AB4" w:rsidRPr="002F36B1">
        <w:t>mino</w:t>
      </w:r>
      <w:r w:rsidR="00B72AB4">
        <w:t xml:space="preserve">rity groups in political and </w:t>
      </w:r>
      <w:r w:rsidR="00B72AB4" w:rsidRPr="002F36B1">
        <w:t xml:space="preserve">decision-making </w:t>
      </w:r>
      <w:r w:rsidR="00B72AB4">
        <w:t>bodies</w:t>
      </w:r>
      <w:r w:rsidR="00B72AB4" w:rsidRPr="002F36B1">
        <w:t xml:space="preserve"> and </w:t>
      </w:r>
      <w:r w:rsidR="00B72AB4">
        <w:t xml:space="preserve">in the </w:t>
      </w:r>
      <w:r w:rsidR="00B72AB4" w:rsidRPr="002F36B1">
        <w:t>civil service</w:t>
      </w:r>
      <w:r w:rsidR="00B72AB4">
        <w:t>, at all levels.</w:t>
      </w:r>
      <w:r w:rsidR="00B72AB4">
        <w:rPr>
          <w:rStyle w:val="FootnoteReference"/>
        </w:rPr>
        <w:footnoteReference w:id="12"/>
      </w:r>
      <w:r w:rsidR="00B72AB4" w:rsidRPr="00373EFA">
        <w:t xml:space="preserve"> </w:t>
      </w:r>
    </w:p>
    <w:p w14:paraId="4083A877" w14:textId="2A36859C" w:rsidR="00B72AB4" w:rsidRDefault="00DF4353" w:rsidP="00DF4353">
      <w:pPr>
        <w:pStyle w:val="SingleTxtG"/>
        <w:tabs>
          <w:tab w:val="left" w:pos="2835"/>
        </w:tabs>
        <w:kinsoku w:val="0"/>
        <w:overflowPunct w:val="0"/>
        <w:autoSpaceDE w:val="0"/>
        <w:autoSpaceDN w:val="0"/>
        <w:adjustRightInd w:val="0"/>
        <w:snapToGrid w:val="0"/>
      </w:pPr>
      <w:r>
        <w:t>13.</w:t>
      </w:r>
      <w:r>
        <w:tab/>
      </w:r>
      <w:r w:rsidR="00B72AB4">
        <w:t>Update on m</w:t>
      </w:r>
      <w:r w:rsidR="00B72AB4" w:rsidRPr="00C60B8B">
        <w:t>easures to increase access for children from ethnic minorit</w:t>
      </w:r>
      <w:r w:rsidR="00B72AB4">
        <w:t>y groups</w:t>
      </w:r>
      <w:r w:rsidR="00B72AB4" w:rsidRPr="00C60B8B">
        <w:t xml:space="preserve"> to instruction in</w:t>
      </w:r>
      <w:r w:rsidR="00B72AB4">
        <w:t>,</w:t>
      </w:r>
      <w:r w:rsidR="00B72AB4" w:rsidRPr="00C60B8B">
        <w:t xml:space="preserve"> and </w:t>
      </w:r>
      <w:r w:rsidR="00B72AB4">
        <w:t xml:space="preserve">the </w:t>
      </w:r>
      <w:r w:rsidR="00B72AB4" w:rsidRPr="00C60B8B">
        <w:t>study of</w:t>
      </w:r>
      <w:r w:rsidR="00B72AB4">
        <w:t>,</w:t>
      </w:r>
      <w:r w:rsidR="00B72AB4" w:rsidRPr="00C60B8B">
        <w:t xml:space="preserve"> their mother tongue</w:t>
      </w:r>
      <w:r w:rsidR="00B72AB4">
        <w:t xml:space="preserve">; and an update on </w:t>
      </w:r>
      <w:r w:rsidR="00B72AB4" w:rsidRPr="00C60B8B">
        <w:t xml:space="preserve">special measures to ensure improved access to higher education for </w:t>
      </w:r>
      <w:r w:rsidR="00B72AB4">
        <w:t>students f</w:t>
      </w:r>
      <w:r w:rsidR="00B72AB4" w:rsidRPr="00C60B8B">
        <w:t>r</w:t>
      </w:r>
      <w:r w:rsidR="00B72AB4">
        <w:t>o</w:t>
      </w:r>
      <w:r w:rsidR="00B72AB4" w:rsidRPr="00C60B8B">
        <w:t>m all ethni</w:t>
      </w:r>
      <w:r w:rsidR="00B72AB4">
        <w:t>c groups, without discrimination, and the results of any such measures.</w:t>
      </w:r>
      <w:r w:rsidR="00B72AB4">
        <w:rPr>
          <w:rStyle w:val="FootnoteReference"/>
        </w:rPr>
        <w:footnoteReference w:id="13"/>
      </w:r>
    </w:p>
    <w:p w14:paraId="15E2B4AD" w14:textId="127EEC28" w:rsidR="00B72AB4" w:rsidRDefault="00DF4353" w:rsidP="00DF4353">
      <w:pPr>
        <w:pStyle w:val="SingleTxtG"/>
        <w:tabs>
          <w:tab w:val="left" w:pos="2835"/>
        </w:tabs>
        <w:kinsoku w:val="0"/>
        <w:overflowPunct w:val="0"/>
        <w:autoSpaceDE w:val="0"/>
        <w:autoSpaceDN w:val="0"/>
        <w:adjustRightInd w:val="0"/>
        <w:snapToGrid w:val="0"/>
      </w:pPr>
      <w:r>
        <w:t>14.</w:t>
      </w:r>
      <w:r>
        <w:tab/>
      </w:r>
      <w:r w:rsidR="00B72AB4">
        <w:t>Up</w:t>
      </w:r>
      <w:r w:rsidR="00B72AB4" w:rsidRPr="00727D07">
        <w:t xml:space="preserve">date on amending the </w:t>
      </w:r>
      <w:r w:rsidR="00B72AB4">
        <w:t>L</w:t>
      </w:r>
      <w:r w:rsidR="00B72AB4" w:rsidRPr="00727D07">
        <w:t xml:space="preserve">abour </w:t>
      </w:r>
      <w:r w:rsidR="00B72AB4">
        <w:t>C</w:t>
      </w:r>
      <w:r w:rsidR="00B72AB4" w:rsidRPr="00727D07">
        <w:t>ode to explicitly prohibit</w:t>
      </w:r>
      <w:r w:rsidR="00B72AB4">
        <w:t xml:space="preserve"> discrimination based on colour</w:t>
      </w:r>
      <w:r w:rsidR="00B72AB4" w:rsidRPr="00727D07">
        <w:t>.</w:t>
      </w:r>
      <w:r w:rsidR="00B72AB4">
        <w:rPr>
          <w:rStyle w:val="FootnoteReference"/>
        </w:rPr>
        <w:footnoteReference w:id="14"/>
      </w:r>
    </w:p>
    <w:p w14:paraId="353A035A" w14:textId="77777777" w:rsidR="00B72AB4" w:rsidRPr="00073A1F" w:rsidRDefault="00B72AB4" w:rsidP="00173225">
      <w:pPr>
        <w:pStyle w:val="H23G"/>
      </w:pPr>
      <w:r>
        <w:tab/>
      </w:r>
      <w:r>
        <w:tab/>
      </w:r>
      <w:r w:rsidRPr="00073A1F">
        <w:t>Situation of migrants, asylum seekers, refugees and stateless persons (arts. 2 and 5)</w:t>
      </w:r>
    </w:p>
    <w:p w14:paraId="0D9F5782" w14:textId="0FC1A260" w:rsidR="00B72AB4" w:rsidRDefault="00DF4353" w:rsidP="00DF4353">
      <w:pPr>
        <w:pStyle w:val="SingleTxtG"/>
        <w:tabs>
          <w:tab w:val="left" w:pos="2835"/>
        </w:tabs>
        <w:kinsoku w:val="0"/>
        <w:overflowPunct w:val="0"/>
        <w:autoSpaceDE w:val="0"/>
        <w:autoSpaceDN w:val="0"/>
        <w:adjustRightInd w:val="0"/>
        <w:snapToGrid w:val="0"/>
      </w:pPr>
      <w:r>
        <w:t>15.</w:t>
      </w:r>
      <w:r>
        <w:tab/>
      </w:r>
      <w:r w:rsidR="00B72AB4" w:rsidRPr="006169D4">
        <w:t xml:space="preserve">Information on measures taken to </w:t>
      </w:r>
      <w:r w:rsidR="00B72AB4">
        <w:t xml:space="preserve">amend the Population Migration Act of 2011 and related regulations to ensure </w:t>
      </w:r>
      <w:r w:rsidR="00B72AB4" w:rsidRPr="006169D4">
        <w:t xml:space="preserve">that the requirements to become a sole trader are not overly restrictive and </w:t>
      </w:r>
      <w:r w:rsidR="00B72AB4">
        <w:t xml:space="preserve">are </w:t>
      </w:r>
      <w:r w:rsidR="00B72AB4" w:rsidRPr="006169D4">
        <w:t>not discrimi</w:t>
      </w:r>
      <w:r w:rsidR="00B72AB4">
        <w:t>natory, in line with article 1 (1) of the Convention</w:t>
      </w:r>
      <w:r w:rsidR="00B72AB4" w:rsidRPr="00727D07">
        <w:t>.</w:t>
      </w:r>
      <w:r w:rsidR="00B72AB4">
        <w:rPr>
          <w:rStyle w:val="FootnoteReference"/>
        </w:rPr>
        <w:footnoteReference w:id="15"/>
      </w:r>
    </w:p>
    <w:p w14:paraId="34ECD877" w14:textId="615833A1" w:rsidR="00B72AB4" w:rsidRDefault="00DF4353" w:rsidP="00DF4353">
      <w:pPr>
        <w:pStyle w:val="SingleTxtG"/>
        <w:tabs>
          <w:tab w:val="left" w:pos="2835"/>
        </w:tabs>
        <w:kinsoku w:val="0"/>
        <w:overflowPunct w:val="0"/>
        <w:autoSpaceDE w:val="0"/>
        <w:autoSpaceDN w:val="0"/>
        <w:adjustRightInd w:val="0"/>
        <w:snapToGrid w:val="0"/>
      </w:pPr>
      <w:r>
        <w:t>16.</w:t>
      </w:r>
      <w:r>
        <w:tab/>
      </w:r>
      <w:r w:rsidR="00B72AB4" w:rsidRPr="00CA1A76">
        <w:t xml:space="preserve">Updated information on measures to ensure that migrant workers </w:t>
      </w:r>
      <w:r w:rsidR="00B72AB4" w:rsidRPr="005175AC">
        <w:t xml:space="preserve">and their families </w:t>
      </w:r>
      <w:r w:rsidR="00B72AB4">
        <w:t>enjoy equal access to education and</w:t>
      </w:r>
      <w:r w:rsidR="00B72AB4" w:rsidRPr="005175AC">
        <w:t xml:space="preserve"> health care</w:t>
      </w:r>
      <w:r w:rsidR="00B72AB4">
        <w:t>;</w:t>
      </w:r>
      <w:r w:rsidR="00B72AB4" w:rsidRPr="005175AC">
        <w:t xml:space="preserve"> </w:t>
      </w:r>
      <w:r w:rsidR="00B72AB4">
        <w:t>d</w:t>
      </w:r>
      <w:r w:rsidR="00B72AB4" w:rsidRPr="005175AC">
        <w:t xml:space="preserve">isaggregated data on all categories of </w:t>
      </w:r>
      <w:r w:rsidR="00B72AB4" w:rsidRPr="005175AC">
        <w:lastRenderedPageBreak/>
        <w:t xml:space="preserve">migrant workers and on </w:t>
      </w:r>
      <w:r w:rsidR="00B72AB4">
        <w:t>their enjoyment of their rights; and information on s</w:t>
      </w:r>
      <w:r w:rsidR="00B72AB4" w:rsidRPr="001B31F4">
        <w:t>trengthen</w:t>
      </w:r>
      <w:r w:rsidR="00B72AB4">
        <w:t>ing</w:t>
      </w:r>
      <w:r w:rsidR="00B72AB4" w:rsidRPr="001B31F4">
        <w:t xml:space="preserve"> measures to prevent incidents of violence, extortion and trafficking against migrant workers and </w:t>
      </w:r>
      <w:r w:rsidR="00B72AB4">
        <w:t xml:space="preserve">to </w:t>
      </w:r>
      <w:r w:rsidR="00B72AB4" w:rsidRPr="001B31F4">
        <w:t>prosecute and p</w:t>
      </w:r>
      <w:r w:rsidR="00B72AB4">
        <w:t>unish perpetrators of such acts</w:t>
      </w:r>
      <w:r w:rsidR="00B72AB4" w:rsidRPr="00727D07">
        <w:t>.</w:t>
      </w:r>
      <w:r w:rsidR="00B72AB4">
        <w:rPr>
          <w:rStyle w:val="FootnoteReference"/>
        </w:rPr>
        <w:footnoteReference w:id="16"/>
      </w:r>
    </w:p>
    <w:p w14:paraId="7D391695" w14:textId="4745F1C0" w:rsidR="00B72AB4" w:rsidRDefault="00DF4353" w:rsidP="00DF4353">
      <w:pPr>
        <w:pStyle w:val="SingleTxtG"/>
        <w:tabs>
          <w:tab w:val="left" w:pos="2835"/>
        </w:tabs>
        <w:kinsoku w:val="0"/>
        <w:overflowPunct w:val="0"/>
        <w:autoSpaceDE w:val="0"/>
        <w:autoSpaceDN w:val="0"/>
        <w:adjustRightInd w:val="0"/>
        <w:snapToGrid w:val="0"/>
      </w:pPr>
      <w:r>
        <w:t>17.</w:t>
      </w:r>
      <w:r>
        <w:tab/>
      </w:r>
      <w:r w:rsidR="00B72AB4">
        <w:t xml:space="preserve">Information on the </w:t>
      </w:r>
      <w:r w:rsidR="00B72AB4" w:rsidRPr="006F7B35">
        <w:t>establish</w:t>
      </w:r>
      <w:r w:rsidR="00B72AB4">
        <w:t>ment of</w:t>
      </w:r>
      <w:r w:rsidR="00B72AB4" w:rsidRPr="006F7B35">
        <w:t xml:space="preserve"> a referral procedure for the Migration Police Departments and the Border Guard Service at all border points, including international airports and transit zones, in compliance with international norms and standards, in particular t</w:t>
      </w:r>
      <w:r w:rsidR="00B72AB4">
        <w:t>he principle of non-refoulement</w:t>
      </w:r>
      <w:r w:rsidR="00B72AB4" w:rsidRPr="00727D07">
        <w:t>.</w:t>
      </w:r>
      <w:r w:rsidR="00B72AB4">
        <w:rPr>
          <w:rStyle w:val="FootnoteReference"/>
        </w:rPr>
        <w:footnoteReference w:id="17"/>
      </w:r>
    </w:p>
    <w:p w14:paraId="12244BAA" w14:textId="0D53147F" w:rsidR="00B72AB4" w:rsidRPr="006E0664" w:rsidRDefault="00DF4353" w:rsidP="00DF4353">
      <w:pPr>
        <w:pStyle w:val="SingleTxtG"/>
        <w:tabs>
          <w:tab w:val="left" w:pos="2835"/>
        </w:tabs>
        <w:kinsoku w:val="0"/>
        <w:overflowPunct w:val="0"/>
        <w:autoSpaceDE w:val="0"/>
        <w:autoSpaceDN w:val="0"/>
        <w:adjustRightInd w:val="0"/>
        <w:snapToGrid w:val="0"/>
      </w:pPr>
      <w:r w:rsidRPr="006E0664">
        <w:t>18.</w:t>
      </w:r>
      <w:r w:rsidRPr="006E0664">
        <w:tab/>
      </w:r>
      <w:r w:rsidR="00B72AB4" w:rsidRPr="003B0FF3">
        <w:t>Measures to ensure that all persons who are not formally recognized as refugees, but nonetheless are unable to return to their country of origin due to other compelling reasons, are allowed to stay in the country until it is safe for them to return and can exercise and enjoy their economic, social and cultural rights without discrimination.</w:t>
      </w:r>
      <w:r w:rsidR="00B72AB4">
        <w:rPr>
          <w:rStyle w:val="FootnoteReference"/>
        </w:rPr>
        <w:footnoteReference w:id="18"/>
      </w:r>
    </w:p>
    <w:p w14:paraId="15778437" w14:textId="3F2BC5E1" w:rsidR="00B72AB4" w:rsidRDefault="00DF4353" w:rsidP="00DF4353">
      <w:pPr>
        <w:pStyle w:val="SingleTxtG"/>
        <w:tabs>
          <w:tab w:val="left" w:pos="2835"/>
        </w:tabs>
        <w:kinsoku w:val="0"/>
        <w:overflowPunct w:val="0"/>
        <w:autoSpaceDE w:val="0"/>
        <w:autoSpaceDN w:val="0"/>
        <w:adjustRightInd w:val="0"/>
        <w:snapToGrid w:val="0"/>
      </w:pPr>
      <w:r>
        <w:t>19.</w:t>
      </w:r>
      <w:r>
        <w:tab/>
      </w:r>
      <w:r w:rsidR="00B72AB4" w:rsidRPr="0053556E">
        <w:t xml:space="preserve">Information on measures to </w:t>
      </w:r>
      <w:r w:rsidR="00B72AB4">
        <w:t xml:space="preserve">prevent and protect people from </w:t>
      </w:r>
      <w:r w:rsidR="00B72AB4" w:rsidRPr="0053556E">
        <w:t>statelessness</w:t>
      </w:r>
      <w:r w:rsidR="00B72AB4">
        <w:t xml:space="preserve">, including on the statelessness determination procedure; statistics on stateless persons and those </w:t>
      </w:r>
      <w:r w:rsidR="00B72AB4" w:rsidRPr="0053556E">
        <w:t xml:space="preserve">at risk of statelessness, including their ethnic origin; </w:t>
      </w:r>
      <w:r w:rsidR="00B72AB4">
        <w:t>and i</w:t>
      </w:r>
      <w:r w:rsidR="00B72AB4" w:rsidRPr="0053556E">
        <w:t xml:space="preserve">nformation on measures to </w:t>
      </w:r>
      <w:r w:rsidR="00B72AB4" w:rsidRPr="006E0664">
        <w:t>address childhood statelessness at birth</w:t>
      </w:r>
      <w:r w:rsidR="00B72AB4" w:rsidRPr="0053556E">
        <w:t>.</w:t>
      </w:r>
      <w:r w:rsidR="00B72AB4">
        <w:rPr>
          <w:rStyle w:val="FootnoteReference"/>
        </w:rPr>
        <w:footnoteReference w:id="19"/>
      </w:r>
    </w:p>
    <w:p w14:paraId="2517E216" w14:textId="1C352DD3" w:rsidR="00B72AB4" w:rsidRPr="00EB64F8" w:rsidRDefault="00DF4353" w:rsidP="00DF4353">
      <w:pPr>
        <w:pStyle w:val="SingleTxtG"/>
        <w:tabs>
          <w:tab w:val="left" w:pos="2835"/>
        </w:tabs>
        <w:kinsoku w:val="0"/>
        <w:overflowPunct w:val="0"/>
        <w:autoSpaceDE w:val="0"/>
        <w:autoSpaceDN w:val="0"/>
        <w:adjustRightInd w:val="0"/>
        <w:snapToGrid w:val="0"/>
      </w:pPr>
      <w:r w:rsidRPr="00EB64F8">
        <w:t>20.</w:t>
      </w:r>
      <w:r w:rsidRPr="00EB64F8">
        <w:tab/>
      </w:r>
      <w:r w:rsidR="00B72AB4">
        <w:t>S</w:t>
      </w:r>
      <w:r w:rsidR="00B72AB4" w:rsidRPr="0053556E">
        <w:t>tatistics on the acquisition of Kazakh citizenship</w:t>
      </w:r>
      <w:r w:rsidR="00B72AB4">
        <w:t>;</w:t>
      </w:r>
      <w:r w:rsidR="00B72AB4" w:rsidRPr="0053556E">
        <w:t xml:space="preserve"> </w:t>
      </w:r>
      <w:r w:rsidR="00B72AB4">
        <w:t xml:space="preserve">and measures to ensure the acquisition of valid identity documents, and the </w:t>
      </w:r>
      <w:r w:rsidR="00B72AB4" w:rsidRPr="0053556E">
        <w:t xml:space="preserve">number of persons who lack </w:t>
      </w:r>
      <w:r w:rsidR="00B72AB4">
        <w:t xml:space="preserve">such </w:t>
      </w:r>
      <w:r w:rsidR="00B72AB4" w:rsidRPr="0053556E">
        <w:t>documents.</w:t>
      </w:r>
      <w:r w:rsidR="00B72AB4">
        <w:rPr>
          <w:rStyle w:val="FootnoteReference"/>
        </w:rPr>
        <w:footnoteReference w:id="20"/>
      </w:r>
      <w:r w:rsidR="00B72AB4" w:rsidRPr="0053556E" w:rsidDel="009F6081">
        <w:t xml:space="preserve"> </w:t>
      </w:r>
    </w:p>
    <w:p w14:paraId="204930FF" w14:textId="1F0BA13C" w:rsidR="00B72AB4" w:rsidRDefault="00DF4353" w:rsidP="00DF4353">
      <w:pPr>
        <w:pStyle w:val="SingleTxtG"/>
        <w:tabs>
          <w:tab w:val="left" w:pos="2835"/>
        </w:tabs>
        <w:kinsoku w:val="0"/>
        <w:overflowPunct w:val="0"/>
        <w:autoSpaceDE w:val="0"/>
        <w:autoSpaceDN w:val="0"/>
        <w:adjustRightInd w:val="0"/>
        <w:snapToGrid w:val="0"/>
      </w:pPr>
      <w:r>
        <w:t>21.</w:t>
      </w:r>
      <w:r>
        <w:tab/>
      </w:r>
      <w:r w:rsidR="00B72AB4">
        <w:t>U</w:t>
      </w:r>
      <w:r w:rsidR="00B72AB4" w:rsidRPr="00EB64F8">
        <w:t>pdated information on the enjoyment of economic, social and cultural rights by Roma</w:t>
      </w:r>
      <w:r w:rsidR="00B72AB4">
        <w:t xml:space="preserve"> people</w:t>
      </w:r>
      <w:r w:rsidR="00B72AB4" w:rsidRPr="00011880">
        <w:t>,</w:t>
      </w:r>
      <w:r w:rsidR="00B72AB4">
        <w:t xml:space="preserve"> </w:t>
      </w:r>
      <w:r w:rsidR="00B72AB4" w:rsidRPr="00011880">
        <w:t>without prejudice or stereotyping</w:t>
      </w:r>
      <w:r w:rsidR="00B72AB4">
        <w:t>; and m</w:t>
      </w:r>
      <w:r w:rsidR="00B72AB4" w:rsidRPr="00EB64F8">
        <w:t>easures to provide</w:t>
      </w:r>
      <w:r w:rsidR="00B72AB4">
        <w:t xml:space="preserve"> and ensure potential R</w:t>
      </w:r>
      <w:r w:rsidR="00B72AB4" w:rsidRPr="00EB64F8">
        <w:t xml:space="preserve">oma victims of discrimination with </w:t>
      </w:r>
      <w:r w:rsidR="00B72AB4">
        <w:t xml:space="preserve">information on </w:t>
      </w:r>
      <w:r w:rsidR="00B72AB4" w:rsidRPr="00EB64F8">
        <w:t>access to remedies</w:t>
      </w:r>
      <w:r w:rsidR="00B72AB4">
        <w:t>, including through domestic courts or bodies.</w:t>
      </w:r>
      <w:r w:rsidR="00B72AB4">
        <w:rPr>
          <w:rStyle w:val="FootnoteReference"/>
        </w:rPr>
        <w:footnoteReference w:id="21"/>
      </w:r>
    </w:p>
    <w:p w14:paraId="2F730E35" w14:textId="20129574" w:rsidR="007268F9" w:rsidRPr="00342AC8" w:rsidRDefault="00B72AB4" w:rsidP="00286A43">
      <w:pPr>
        <w:pStyle w:val="SingleTxtG"/>
        <w:spacing w:before="240"/>
        <w:jc w:val="center"/>
      </w:pPr>
      <w:r>
        <w:rPr>
          <w:u w:val="single"/>
        </w:rPr>
        <w:tab/>
      </w:r>
      <w:r w:rsidR="00D856EE">
        <w:rPr>
          <w:u w:val="single"/>
        </w:rPr>
        <w:tab/>
      </w:r>
      <w:r w:rsidR="00D856EE">
        <w:rPr>
          <w:u w:val="single"/>
        </w:rPr>
        <w:tab/>
      </w:r>
      <w:r>
        <w:rPr>
          <w:u w:val="single"/>
        </w:rPr>
        <w:tab/>
      </w:r>
    </w:p>
    <w:sectPr w:rsidR="007268F9" w:rsidRPr="00342A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68D3C" w14:textId="77777777" w:rsidR="00A12586" w:rsidRPr="00A0297D" w:rsidRDefault="00A12586" w:rsidP="00A0297D">
      <w:pPr>
        <w:pStyle w:val="Footer"/>
      </w:pPr>
    </w:p>
  </w:endnote>
  <w:endnote w:type="continuationSeparator" w:id="0">
    <w:p w14:paraId="1CC07033" w14:textId="77777777" w:rsidR="00A12586" w:rsidRPr="00A0297D" w:rsidRDefault="00A1258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0B99D" w14:textId="1394C194" w:rsidR="00B72AB4" w:rsidRDefault="00B72AB4" w:rsidP="00504379">
    <w:pPr>
      <w:pStyle w:val="Footer"/>
      <w:tabs>
        <w:tab w:val="right" w:pos="9638"/>
      </w:tabs>
    </w:pPr>
    <w:r w:rsidRPr="00B72AB4">
      <w:rPr>
        <w:b/>
        <w:bCs/>
        <w:sz w:val="18"/>
      </w:rPr>
      <w:fldChar w:fldCharType="begin"/>
    </w:r>
    <w:r w:rsidRPr="00B72AB4">
      <w:rPr>
        <w:b/>
        <w:bCs/>
        <w:sz w:val="18"/>
      </w:rPr>
      <w:instrText xml:space="preserve"> PAGE  \* MERGEFORMAT </w:instrText>
    </w:r>
    <w:r w:rsidRPr="00B72AB4">
      <w:rPr>
        <w:b/>
        <w:bCs/>
        <w:sz w:val="18"/>
      </w:rPr>
      <w:fldChar w:fldCharType="separate"/>
    </w:r>
    <w:r w:rsidR="00C60B15">
      <w:rPr>
        <w:b/>
        <w:bCs/>
        <w:noProof/>
        <w:sz w:val="18"/>
      </w:rPr>
      <w:t>2</w:t>
    </w:r>
    <w:r w:rsidRPr="00B72AB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2E02F" w14:textId="79AAC55F" w:rsidR="00B72AB4" w:rsidRDefault="00B72AB4" w:rsidP="00B72AB4">
    <w:pPr>
      <w:pStyle w:val="Footer"/>
      <w:tabs>
        <w:tab w:val="right" w:pos="9638"/>
      </w:tabs>
    </w:pPr>
    <w:r>
      <w:tab/>
    </w:r>
    <w:r w:rsidRPr="00B72AB4">
      <w:rPr>
        <w:b/>
        <w:bCs/>
        <w:sz w:val="18"/>
      </w:rPr>
      <w:fldChar w:fldCharType="begin"/>
    </w:r>
    <w:r w:rsidRPr="00B72AB4">
      <w:rPr>
        <w:b/>
        <w:bCs/>
        <w:sz w:val="18"/>
      </w:rPr>
      <w:instrText xml:space="preserve"> PAGE  \* MERGEFORMAT </w:instrText>
    </w:r>
    <w:r w:rsidRPr="00B72AB4">
      <w:rPr>
        <w:b/>
        <w:bCs/>
        <w:sz w:val="18"/>
      </w:rPr>
      <w:fldChar w:fldCharType="separate"/>
    </w:r>
    <w:r w:rsidR="00C60B15">
      <w:rPr>
        <w:b/>
        <w:bCs/>
        <w:noProof/>
        <w:sz w:val="18"/>
      </w:rPr>
      <w:t>3</w:t>
    </w:r>
    <w:r w:rsidRPr="00B72AB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CCA50" w14:textId="4A2AA69B" w:rsidR="00DF4353" w:rsidRDefault="00DF4353" w:rsidP="00DF4353">
    <w:pPr>
      <w:pStyle w:val="Footer"/>
    </w:pPr>
    <w:r w:rsidRPr="0027112F">
      <w:rPr>
        <w:noProof/>
        <w:lang w:val="en-US"/>
      </w:rPr>
      <w:drawing>
        <wp:anchor distT="0" distB="0" distL="114300" distR="114300" simplePos="0" relativeHeight="251659264" behindDoc="0" locked="1" layoutInCell="1" allowOverlap="1" wp14:anchorId="3B7573EA" wp14:editId="23ECB00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4677E0" w14:textId="4CA6CF17" w:rsidR="00DF4353" w:rsidRPr="00DF4353" w:rsidRDefault="00DF4353" w:rsidP="00DF4353">
    <w:pPr>
      <w:pStyle w:val="Footer"/>
      <w:ind w:right="1134"/>
      <w:rPr>
        <w:sz w:val="20"/>
      </w:rPr>
    </w:pPr>
    <w:r>
      <w:rPr>
        <w:sz w:val="20"/>
      </w:rPr>
      <w:t>GE.22-02130(E)</w:t>
    </w:r>
    <w:r>
      <w:rPr>
        <w:noProof/>
        <w:sz w:val="20"/>
      </w:rPr>
      <w:drawing>
        <wp:anchor distT="0" distB="0" distL="114300" distR="114300" simplePos="0" relativeHeight="251660288" behindDoc="0" locked="0" layoutInCell="1" allowOverlap="1" wp14:anchorId="4F28DCFD" wp14:editId="7F4BD2E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03E7B" w14:textId="77777777" w:rsidR="00A12586" w:rsidRPr="00A0297D" w:rsidRDefault="00A12586" w:rsidP="00A0297D">
      <w:pPr>
        <w:tabs>
          <w:tab w:val="right" w:pos="2155"/>
        </w:tabs>
        <w:spacing w:after="80" w:line="240" w:lineRule="auto"/>
        <w:ind w:left="680"/>
      </w:pPr>
      <w:r>
        <w:rPr>
          <w:u w:val="single"/>
        </w:rPr>
        <w:tab/>
      </w:r>
    </w:p>
  </w:footnote>
  <w:footnote w:type="continuationSeparator" w:id="0">
    <w:p w14:paraId="1C6393D6" w14:textId="77777777" w:rsidR="00A12586" w:rsidRPr="00A0297D" w:rsidRDefault="00A12586" w:rsidP="00A0297D">
      <w:pPr>
        <w:tabs>
          <w:tab w:val="right" w:pos="2155"/>
        </w:tabs>
        <w:spacing w:after="80" w:line="240" w:lineRule="auto"/>
        <w:ind w:left="680"/>
      </w:pPr>
      <w:r>
        <w:rPr>
          <w:u w:val="single"/>
        </w:rPr>
        <w:tab/>
      </w:r>
    </w:p>
  </w:footnote>
  <w:footnote w:id="1">
    <w:p w14:paraId="41ED05C3" w14:textId="69060F01" w:rsidR="00B72AB4" w:rsidRPr="00AA1D48" w:rsidRDefault="00B72AB4" w:rsidP="00B72AB4">
      <w:pPr>
        <w:pStyle w:val="FootnoteText"/>
        <w:rPr>
          <w:lang w:val="es-ES"/>
        </w:rPr>
      </w:pPr>
      <w:r>
        <w:tab/>
      </w:r>
      <w:r>
        <w:rPr>
          <w:rStyle w:val="FootnoteReference"/>
        </w:rPr>
        <w:footnoteRef/>
      </w:r>
      <w:r w:rsidRPr="00AA1D48">
        <w:rPr>
          <w:lang w:val="es-ES"/>
        </w:rPr>
        <w:tab/>
      </w:r>
      <w:hyperlink r:id="rId1" w:history="1">
        <w:r w:rsidRPr="003B425C">
          <w:rPr>
            <w:rStyle w:val="Hyperlink"/>
            <w:lang w:val="es-ES"/>
          </w:rPr>
          <w:t>A/65/18</w:t>
        </w:r>
      </w:hyperlink>
      <w:r w:rsidRPr="00AA1D48">
        <w:rPr>
          <w:lang w:val="es-ES"/>
        </w:rPr>
        <w:t xml:space="preserve">, para. 85. </w:t>
      </w:r>
    </w:p>
  </w:footnote>
  <w:footnote w:id="2">
    <w:p w14:paraId="3D02DA9D" w14:textId="1BFE58BF" w:rsidR="00B72AB4" w:rsidRPr="00DF4353" w:rsidRDefault="00B72AB4" w:rsidP="00B72AB4">
      <w:pPr>
        <w:pStyle w:val="FootnoteText"/>
        <w:rPr>
          <w:lang w:val="es-ES"/>
        </w:rPr>
      </w:pPr>
      <w:r w:rsidRPr="00AA1D48">
        <w:rPr>
          <w:lang w:val="es-ES"/>
        </w:rPr>
        <w:tab/>
      </w:r>
      <w:r>
        <w:rPr>
          <w:rStyle w:val="FootnoteReference"/>
        </w:rPr>
        <w:footnoteRef/>
      </w:r>
      <w:r w:rsidRPr="00AA1D48">
        <w:rPr>
          <w:lang w:val="es-ES"/>
        </w:rPr>
        <w:tab/>
      </w:r>
      <w:hyperlink r:id="rId2" w:history="1">
        <w:r w:rsidRPr="003B425C">
          <w:rPr>
            <w:rStyle w:val="Hyperlink"/>
            <w:lang w:val="es-ES"/>
          </w:rPr>
          <w:t>CERD/C/KAZ/CO/6-7</w:t>
        </w:r>
      </w:hyperlink>
      <w:r w:rsidRPr="00AA1D48">
        <w:rPr>
          <w:lang w:val="es-ES"/>
        </w:rPr>
        <w:t xml:space="preserve">, para. </w:t>
      </w:r>
      <w:r w:rsidRPr="00DF4353">
        <w:rPr>
          <w:lang w:val="es-ES"/>
        </w:rPr>
        <w:t xml:space="preserve">7; and </w:t>
      </w:r>
      <w:hyperlink r:id="rId3" w:history="1">
        <w:r w:rsidRPr="00DF4353">
          <w:rPr>
            <w:rStyle w:val="Hyperlink"/>
            <w:lang w:val="es-ES"/>
          </w:rPr>
          <w:t>CERD/C/KAZ/8-10</w:t>
        </w:r>
      </w:hyperlink>
      <w:r w:rsidRPr="00DF4353">
        <w:rPr>
          <w:lang w:val="es-ES"/>
        </w:rPr>
        <w:t xml:space="preserve">, para. 14, and annex, paras. 13–20. </w:t>
      </w:r>
    </w:p>
  </w:footnote>
  <w:footnote w:id="3">
    <w:p w14:paraId="31898B88" w14:textId="4313884D" w:rsidR="00B72AB4" w:rsidRPr="00DF4353" w:rsidRDefault="00B72AB4" w:rsidP="00B72AB4">
      <w:pPr>
        <w:pStyle w:val="FootnoteText"/>
        <w:rPr>
          <w:lang w:val="es-ES"/>
        </w:rPr>
      </w:pPr>
      <w:r w:rsidRPr="00DF4353">
        <w:rPr>
          <w:lang w:val="es-ES"/>
        </w:rPr>
        <w:tab/>
      </w:r>
      <w:r>
        <w:rPr>
          <w:rStyle w:val="FootnoteReference"/>
        </w:rPr>
        <w:footnoteRef/>
      </w:r>
      <w:r w:rsidRPr="003B425C">
        <w:rPr>
          <w:lang w:val="es-ES"/>
        </w:rPr>
        <w:tab/>
      </w:r>
      <w:hyperlink r:id="rId4" w:history="1">
        <w:r w:rsidRPr="003B425C">
          <w:rPr>
            <w:rStyle w:val="Hyperlink"/>
            <w:lang w:val="es-ES"/>
          </w:rPr>
          <w:t>CERD/C/KAZ/CO/6-7</w:t>
        </w:r>
      </w:hyperlink>
      <w:r w:rsidRPr="003B425C">
        <w:rPr>
          <w:lang w:val="es-ES"/>
        </w:rPr>
        <w:t xml:space="preserve">, para. </w:t>
      </w:r>
      <w:r w:rsidRPr="00DF4353">
        <w:rPr>
          <w:lang w:val="es-ES"/>
        </w:rPr>
        <w:t xml:space="preserve">6; and </w:t>
      </w:r>
      <w:hyperlink r:id="rId5" w:history="1">
        <w:r w:rsidRPr="00DF4353">
          <w:rPr>
            <w:rStyle w:val="Hyperlink"/>
            <w:lang w:val="es-ES"/>
          </w:rPr>
          <w:t>CERD/C/KAZ/8-10</w:t>
        </w:r>
      </w:hyperlink>
      <w:r w:rsidRPr="00DF4353">
        <w:rPr>
          <w:lang w:val="es-ES"/>
        </w:rPr>
        <w:t xml:space="preserve">, annex, paras. 1–12. </w:t>
      </w:r>
    </w:p>
  </w:footnote>
  <w:footnote w:id="4">
    <w:p w14:paraId="04BAB9BA" w14:textId="2696DC3D" w:rsidR="00B72AB4" w:rsidRPr="00DF4353" w:rsidRDefault="00B72AB4" w:rsidP="00B72AB4">
      <w:pPr>
        <w:pStyle w:val="FootnoteText"/>
        <w:rPr>
          <w:lang w:val="es-ES"/>
        </w:rPr>
      </w:pPr>
      <w:r w:rsidRPr="00DF4353">
        <w:rPr>
          <w:lang w:val="es-ES"/>
        </w:rPr>
        <w:tab/>
      </w:r>
      <w:r>
        <w:rPr>
          <w:rStyle w:val="FootnoteReference"/>
        </w:rPr>
        <w:footnoteRef/>
      </w:r>
      <w:r w:rsidRPr="003B425C">
        <w:rPr>
          <w:lang w:val="es-ES"/>
        </w:rPr>
        <w:tab/>
      </w:r>
      <w:hyperlink r:id="rId6" w:history="1">
        <w:r w:rsidRPr="003B425C">
          <w:rPr>
            <w:rStyle w:val="Hyperlink"/>
            <w:lang w:val="es-ES"/>
          </w:rPr>
          <w:t>CERD/C/KAZ/CO/6-7</w:t>
        </w:r>
      </w:hyperlink>
      <w:r w:rsidRPr="003B425C">
        <w:rPr>
          <w:lang w:val="es-ES"/>
        </w:rPr>
        <w:t xml:space="preserve">, paras. </w:t>
      </w:r>
      <w:r w:rsidRPr="00DF4353">
        <w:rPr>
          <w:lang w:val="es-ES"/>
        </w:rPr>
        <w:t xml:space="preserve">8–9; and </w:t>
      </w:r>
      <w:hyperlink r:id="rId7" w:history="1">
        <w:r w:rsidRPr="00DF4353">
          <w:rPr>
            <w:rStyle w:val="Hyperlink"/>
            <w:lang w:val="es-ES"/>
          </w:rPr>
          <w:t>CERD/C/KAZ/8-10</w:t>
        </w:r>
      </w:hyperlink>
      <w:r w:rsidRPr="00DF4353">
        <w:rPr>
          <w:lang w:val="es-ES"/>
        </w:rPr>
        <w:t xml:space="preserve">, para. 51, and annex, paras. 21–38. </w:t>
      </w:r>
    </w:p>
  </w:footnote>
  <w:footnote w:id="5">
    <w:p w14:paraId="0A73B578" w14:textId="6F7FAACD" w:rsidR="00B72AB4" w:rsidRPr="00DF4353" w:rsidRDefault="00B72AB4" w:rsidP="00B72AB4">
      <w:pPr>
        <w:pStyle w:val="FootnoteText"/>
        <w:rPr>
          <w:lang w:val="es-ES"/>
        </w:rPr>
      </w:pPr>
      <w:r w:rsidRPr="00DF4353">
        <w:rPr>
          <w:lang w:val="es-ES"/>
        </w:rPr>
        <w:tab/>
      </w:r>
      <w:r>
        <w:rPr>
          <w:rStyle w:val="FootnoteReference"/>
        </w:rPr>
        <w:footnoteRef/>
      </w:r>
      <w:r w:rsidRPr="003B425C">
        <w:rPr>
          <w:lang w:val="es-ES"/>
        </w:rPr>
        <w:tab/>
      </w:r>
      <w:hyperlink r:id="rId8" w:history="1">
        <w:r w:rsidRPr="003B425C">
          <w:rPr>
            <w:rStyle w:val="Hyperlink"/>
            <w:lang w:val="es-ES"/>
          </w:rPr>
          <w:t>CERD/C/KAZ/CO/6-7</w:t>
        </w:r>
      </w:hyperlink>
      <w:r w:rsidRPr="003B425C">
        <w:rPr>
          <w:lang w:val="es-ES"/>
        </w:rPr>
        <w:t xml:space="preserve">, para. </w:t>
      </w:r>
      <w:r w:rsidRPr="00DF4353">
        <w:rPr>
          <w:lang w:val="es-ES"/>
        </w:rPr>
        <w:t xml:space="preserve">10; and </w:t>
      </w:r>
      <w:hyperlink r:id="rId9" w:history="1">
        <w:r w:rsidRPr="00DF4353">
          <w:rPr>
            <w:rStyle w:val="Hyperlink"/>
            <w:lang w:val="es-ES"/>
          </w:rPr>
          <w:t>CERD/C/KAZ/8-10</w:t>
        </w:r>
      </w:hyperlink>
      <w:r w:rsidRPr="00DF4353">
        <w:rPr>
          <w:lang w:val="es-ES"/>
        </w:rPr>
        <w:t xml:space="preserve">, annex, paras. 45–48. </w:t>
      </w:r>
    </w:p>
  </w:footnote>
  <w:footnote w:id="6">
    <w:p w14:paraId="1405661B" w14:textId="02D87C71" w:rsidR="00B72AB4" w:rsidRPr="00380204" w:rsidRDefault="00B72AB4" w:rsidP="00B72AB4">
      <w:pPr>
        <w:pStyle w:val="FootnoteText"/>
        <w:rPr>
          <w:lang w:val="en-US"/>
        </w:rPr>
      </w:pPr>
      <w:r w:rsidRPr="00DF4353">
        <w:rPr>
          <w:lang w:val="es-ES"/>
        </w:rPr>
        <w:tab/>
      </w:r>
      <w:r>
        <w:rPr>
          <w:rStyle w:val="FootnoteReference"/>
        </w:rPr>
        <w:footnoteRef/>
      </w:r>
      <w:r w:rsidRPr="003B425C">
        <w:rPr>
          <w:lang w:val="es-ES"/>
        </w:rPr>
        <w:tab/>
      </w:r>
      <w:hyperlink r:id="rId10" w:history="1">
        <w:r w:rsidRPr="003B425C">
          <w:rPr>
            <w:rStyle w:val="Hyperlink"/>
            <w:lang w:val="es-ES"/>
          </w:rPr>
          <w:t>CERD/C/KAZ/CO/6-7</w:t>
        </w:r>
      </w:hyperlink>
      <w:r w:rsidRPr="003B425C">
        <w:rPr>
          <w:lang w:val="es-ES"/>
        </w:rPr>
        <w:t xml:space="preserve">, para. </w:t>
      </w:r>
      <w:r w:rsidRPr="00680C36">
        <w:t xml:space="preserve">21; </w:t>
      </w:r>
      <w:r>
        <w:t xml:space="preserve">and </w:t>
      </w:r>
      <w:hyperlink r:id="rId11" w:history="1">
        <w:r w:rsidRPr="003B425C">
          <w:rPr>
            <w:rStyle w:val="Hyperlink"/>
          </w:rPr>
          <w:t>CERD/C/KAZ/8-10</w:t>
        </w:r>
      </w:hyperlink>
      <w:r w:rsidRPr="00680C36">
        <w:t>, paras</w:t>
      </w:r>
      <w:r>
        <w:t>.</w:t>
      </w:r>
      <w:r w:rsidRPr="00680C36">
        <w:t xml:space="preserve"> 69</w:t>
      </w:r>
      <w:r>
        <w:t>–</w:t>
      </w:r>
      <w:r w:rsidRPr="00680C36">
        <w:t>79</w:t>
      </w:r>
      <w:r>
        <w:t>,</w:t>
      </w:r>
      <w:r w:rsidRPr="00680C36">
        <w:t xml:space="preserve"> </w:t>
      </w:r>
      <w:r>
        <w:t xml:space="preserve">and </w:t>
      </w:r>
      <w:r w:rsidRPr="00680C36">
        <w:t>annex, paras. 1</w:t>
      </w:r>
      <w:r>
        <w:t>–</w:t>
      </w:r>
      <w:r w:rsidRPr="00680C36">
        <w:t xml:space="preserve">12 </w:t>
      </w:r>
      <w:r>
        <w:t xml:space="preserve">and </w:t>
      </w:r>
      <w:r w:rsidRPr="00680C36">
        <w:t>160</w:t>
      </w:r>
      <w:r>
        <w:t>–</w:t>
      </w:r>
      <w:r w:rsidRPr="00680C36">
        <w:t>166</w:t>
      </w:r>
      <w:r>
        <w:t>.</w:t>
      </w:r>
    </w:p>
  </w:footnote>
  <w:footnote w:id="7">
    <w:p w14:paraId="2E2AE56A" w14:textId="31427EB4" w:rsidR="00B72AB4" w:rsidRPr="007C04C6" w:rsidRDefault="00B72AB4" w:rsidP="00B72AB4">
      <w:pPr>
        <w:pStyle w:val="FootnoteText"/>
        <w:rPr>
          <w:lang w:val="en-US"/>
        </w:rPr>
      </w:pPr>
      <w:r>
        <w:tab/>
      </w:r>
      <w:r>
        <w:rPr>
          <w:rStyle w:val="FootnoteReference"/>
        </w:rPr>
        <w:footnoteRef/>
      </w:r>
      <w:r w:rsidRPr="00DF4353">
        <w:rPr>
          <w:lang w:val="en-US"/>
        </w:rPr>
        <w:tab/>
      </w:r>
      <w:hyperlink r:id="rId12" w:history="1">
        <w:r w:rsidRPr="00DF4353">
          <w:rPr>
            <w:rStyle w:val="Hyperlink"/>
            <w:lang w:val="en-US"/>
          </w:rPr>
          <w:t>CERD/C/KAZ/CO/6-7</w:t>
        </w:r>
      </w:hyperlink>
      <w:r w:rsidRPr="00DF4353">
        <w:rPr>
          <w:lang w:val="en-US"/>
        </w:rPr>
        <w:t xml:space="preserve">, para. </w:t>
      </w:r>
      <w:r w:rsidRPr="007C04C6">
        <w:t xml:space="preserve">21; </w:t>
      </w:r>
      <w:r>
        <w:t xml:space="preserve">and </w:t>
      </w:r>
      <w:hyperlink r:id="rId13" w:history="1">
        <w:r w:rsidRPr="003B425C">
          <w:rPr>
            <w:rStyle w:val="Hyperlink"/>
          </w:rPr>
          <w:t>CERD/C/KAZ/8-10</w:t>
        </w:r>
      </w:hyperlink>
      <w:r w:rsidRPr="007C04C6">
        <w:t>, paras</w:t>
      </w:r>
      <w:r>
        <w:t>.</w:t>
      </w:r>
      <w:r w:rsidRPr="007C04C6">
        <w:t xml:space="preserve"> 69</w:t>
      </w:r>
      <w:r>
        <w:t>–</w:t>
      </w:r>
      <w:r w:rsidRPr="007C04C6">
        <w:t>79</w:t>
      </w:r>
      <w:r>
        <w:t>,</w:t>
      </w:r>
      <w:r w:rsidRPr="007C04C6">
        <w:t xml:space="preserve"> </w:t>
      </w:r>
      <w:r>
        <w:t xml:space="preserve">and </w:t>
      </w:r>
      <w:r w:rsidRPr="007C04C6">
        <w:t>annex, paras. 7</w:t>
      </w:r>
      <w:r>
        <w:t>–</w:t>
      </w:r>
      <w:r w:rsidRPr="007C04C6">
        <w:t>12</w:t>
      </w:r>
      <w:r>
        <w:t xml:space="preserve"> and</w:t>
      </w:r>
      <w:r w:rsidRPr="007C04C6">
        <w:t xml:space="preserve"> 160</w:t>
      </w:r>
      <w:r>
        <w:t>–</w:t>
      </w:r>
      <w:r w:rsidRPr="007C04C6">
        <w:t>166</w:t>
      </w:r>
      <w:r>
        <w:t xml:space="preserve">. </w:t>
      </w:r>
    </w:p>
  </w:footnote>
  <w:footnote w:id="8">
    <w:p w14:paraId="3EAFD18D" w14:textId="0E2E4BA1" w:rsidR="00B72AB4" w:rsidRPr="00DF4353" w:rsidRDefault="00B72AB4" w:rsidP="00B72AB4">
      <w:pPr>
        <w:pStyle w:val="FootnoteText"/>
        <w:rPr>
          <w:lang w:val="en-US"/>
        </w:rPr>
      </w:pPr>
      <w:r>
        <w:tab/>
      </w:r>
      <w:r>
        <w:rPr>
          <w:rStyle w:val="FootnoteReference"/>
        </w:rPr>
        <w:footnoteRef/>
      </w:r>
      <w:r w:rsidRPr="00DF4353">
        <w:rPr>
          <w:lang w:val="en-US"/>
        </w:rPr>
        <w:tab/>
      </w:r>
      <w:hyperlink r:id="rId14" w:history="1">
        <w:r w:rsidRPr="00DF4353">
          <w:rPr>
            <w:rStyle w:val="Hyperlink"/>
            <w:lang w:val="en-US"/>
          </w:rPr>
          <w:t>CERD/C/KAZ/CO/6-7</w:t>
        </w:r>
      </w:hyperlink>
      <w:r w:rsidRPr="00DF4353">
        <w:rPr>
          <w:lang w:val="en-US"/>
        </w:rPr>
        <w:t xml:space="preserve">, para. 11; and </w:t>
      </w:r>
      <w:hyperlink r:id="rId15" w:history="1">
        <w:r w:rsidRPr="00DF4353">
          <w:rPr>
            <w:rStyle w:val="Hyperlink"/>
            <w:lang w:val="en-US"/>
          </w:rPr>
          <w:t>CERD/C/KAZ/8-10</w:t>
        </w:r>
      </w:hyperlink>
      <w:r w:rsidRPr="00DF4353">
        <w:rPr>
          <w:lang w:val="en-US"/>
        </w:rPr>
        <w:t xml:space="preserve">, annex, paras. 49–58. </w:t>
      </w:r>
    </w:p>
  </w:footnote>
  <w:footnote w:id="9">
    <w:p w14:paraId="7A06D0FB" w14:textId="25C14098" w:rsidR="00B72AB4" w:rsidRPr="00DF4353" w:rsidRDefault="00B72AB4" w:rsidP="00B72AB4">
      <w:pPr>
        <w:pStyle w:val="FootnoteText"/>
        <w:rPr>
          <w:lang w:val="en-US"/>
        </w:rPr>
      </w:pPr>
      <w:r w:rsidRPr="00DF4353">
        <w:rPr>
          <w:lang w:val="en-US"/>
        </w:rPr>
        <w:tab/>
      </w:r>
      <w:r>
        <w:rPr>
          <w:rStyle w:val="FootnoteReference"/>
        </w:rPr>
        <w:footnoteRef/>
      </w:r>
      <w:r w:rsidRPr="00DF4353">
        <w:rPr>
          <w:lang w:val="en-US"/>
        </w:rPr>
        <w:tab/>
      </w:r>
      <w:hyperlink r:id="rId16" w:history="1">
        <w:r w:rsidRPr="00DF4353">
          <w:rPr>
            <w:rStyle w:val="Hyperlink"/>
            <w:lang w:val="en-US"/>
          </w:rPr>
          <w:t>CERD/C/KAZ/CO/6-7</w:t>
        </w:r>
      </w:hyperlink>
      <w:r w:rsidRPr="00DF4353">
        <w:rPr>
          <w:lang w:val="en-US"/>
        </w:rPr>
        <w:t xml:space="preserve">, para. 12; and </w:t>
      </w:r>
      <w:hyperlink r:id="rId17" w:history="1">
        <w:r w:rsidRPr="00DF4353">
          <w:rPr>
            <w:rStyle w:val="Hyperlink"/>
            <w:lang w:val="en-US"/>
          </w:rPr>
          <w:t>CERD/C/KAZ/8-10</w:t>
        </w:r>
      </w:hyperlink>
      <w:r w:rsidRPr="00DF4353">
        <w:rPr>
          <w:lang w:val="en-US"/>
        </w:rPr>
        <w:t xml:space="preserve">, annex, paras. 59–70. </w:t>
      </w:r>
    </w:p>
  </w:footnote>
  <w:footnote w:id="10">
    <w:p w14:paraId="728C2750" w14:textId="02ED9B3E" w:rsidR="00B72AB4" w:rsidRPr="0088661C" w:rsidRDefault="00B72AB4" w:rsidP="00B72AB4">
      <w:pPr>
        <w:pStyle w:val="FootnoteText"/>
        <w:rPr>
          <w:lang w:val="en-US"/>
        </w:rPr>
      </w:pPr>
      <w:r w:rsidRPr="00DF4353">
        <w:rPr>
          <w:lang w:val="en-US"/>
        </w:rPr>
        <w:tab/>
      </w:r>
      <w:r>
        <w:rPr>
          <w:rStyle w:val="FootnoteReference"/>
        </w:rPr>
        <w:footnoteRef/>
      </w:r>
      <w:r w:rsidRPr="00DF4353">
        <w:rPr>
          <w:lang w:val="en-US"/>
        </w:rPr>
        <w:tab/>
      </w:r>
      <w:hyperlink r:id="rId18" w:history="1">
        <w:r w:rsidRPr="00DF4353">
          <w:rPr>
            <w:rStyle w:val="Hyperlink"/>
            <w:lang w:val="en-US"/>
          </w:rPr>
          <w:t>CERD/C/KAZ/CO/6-7</w:t>
        </w:r>
      </w:hyperlink>
      <w:r w:rsidRPr="00DF4353">
        <w:rPr>
          <w:lang w:val="en-US"/>
        </w:rPr>
        <w:t xml:space="preserve">, para. </w:t>
      </w:r>
      <w:r w:rsidRPr="0088661C">
        <w:t xml:space="preserve">13; </w:t>
      </w:r>
      <w:r>
        <w:t xml:space="preserve">and </w:t>
      </w:r>
      <w:hyperlink r:id="rId19" w:history="1">
        <w:r w:rsidRPr="003B425C">
          <w:rPr>
            <w:rStyle w:val="Hyperlink"/>
          </w:rPr>
          <w:t>CERD/C/KAZ/8-10</w:t>
        </w:r>
      </w:hyperlink>
      <w:r w:rsidRPr="0088661C">
        <w:t>, annex</w:t>
      </w:r>
      <w:r>
        <w:t>,</w:t>
      </w:r>
      <w:r w:rsidRPr="0088661C">
        <w:t xml:space="preserve"> paras. 64–76</w:t>
      </w:r>
      <w:r>
        <w:t xml:space="preserve">. </w:t>
      </w:r>
    </w:p>
  </w:footnote>
  <w:footnote w:id="11">
    <w:p w14:paraId="05CD2B44" w14:textId="751EAB76" w:rsidR="00B72AB4" w:rsidRPr="006564A9" w:rsidRDefault="00B72AB4" w:rsidP="00B72AB4">
      <w:pPr>
        <w:pStyle w:val="FootnoteText"/>
        <w:rPr>
          <w:lang w:val="en-US"/>
        </w:rPr>
      </w:pPr>
      <w:r>
        <w:tab/>
      </w:r>
      <w:r>
        <w:rPr>
          <w:rStyle w:val="FootnoteReference"/>
        </w:rPr>
        <w:footnoteRef/>
      </w:r>
      <w:r>
        <w:tab/>
        <w:t xml:space="preserve">See </w:t>
      </w:r>
      <w:r w:rsidRPr="00550EDF">
        <w:t>https://tbinternet.ohchr.org/Treaties/</w:t>
      </w:r>
      <w:r w:rsidRPr="00D713B8">
        <w:t>CERD/Shared%20Documents/KAZ/INT_CERD_ALE_KAZ_9502_E.pdf</w:t>
      </w:r>
      <w:r>
        <w:t>.</w:t>
      </w:r>
    </w:p>
  </w:footnote>
  <w:footnote w:id="12">
    <w:p w14:paraId="2B018547" w14:textId="61803F21" w:rsidR="00B72AB4" w:rsidRPr="006A0F24" w:rsidRDefault="00B72AB4" w:rsidP="00B72AB4">
      <w:pPr>
        <w:pStyle w:val="FootnoteText"/>
        <w:rPr>
          <w:lang w:val="en-US"/>
        </w:rPr>
      </w:pPr>
      <w:r>
        <w:tab/>
      </w:r>
      <w:r>
        <w:rPr>
          <w:rStyle w:val="FootnoteReference"/>
        </w:rPr>
        <w:footnoteRef/>
      </w:r>
      <w:r w:rsidRPr="00AA1D48">
        <w:rPr>
          <w:lang w:val="es-ES"/>
        </w:rPr>
        <w:tab/>
      </w:r>
      <w:hyperlink r:id="rId20" w:history="1">
        <w:r w:rsidRPr="003B425C">
          <w:rPr>
            <w:rStyle w:val="Hyperlink"/>
            <w:lang w:val="es-ES"/>
          </w:rPr>
          <w:t>CERD/C/KAZ/CO/6-7</w:t>
        </w:r>
      </w:hyperlink>
      <w:r w:rsidRPr="00AA1D48">
        <w:rPr>
          <w:lang w:val="es-ES"/>
        </w:rPr>
        <w:t xml:space="preserve">, para. </w:t>
      </w:r>
      <w:r w:rsidRPr="006A0F24">
        <w:t xml:space="preserve">9; </w:t>
      </w:r>
      <w:r>
        <w:t xml:space="preserve">and </w:t>
      </w:r>
      <w:hyperlink r:id="rId21" w:history="1">
        <w:r w:rsidRPr="003B425C">
          <w:rPr>
            <w:rStyle w:val="Hyperlink"/>
          </w:rPr>
          <w:t>CERD/C/KAZ/8-10</w:t>
        </w:r>
      </w:hyperlink>
      <w:r w:rsidRPr="006A0F24">
        <w:t xml:space="preserve">, paras. 88–89, </w:t>
      </w:r>
      <w:r>
        <w:t xml:space="preserve">and </w:t>
      </w:r>
      <w:r w:rsidRPr="006A0F24">
        <w:t>annex</w:t>
      </w:r>
      <w:r>
        <w:t>,</w:t>
      </w:r>
      <w:r w:rsidRPr="006A0F24">
        <w:t xml:space="preserve"> paras. 17–20 </w:t>
      </w:r>
      <w:r>
        <w:t xml:space="preserve">and </w:t>
      </w:r>
      <w:r w:rsidRPr="006A0F24">
        <w:t>39–44</w:t>
      </w:r>
      <w:r>
        <w:t xml:space="preserve">. </w:t>
      </w:r>
    </w:p>
  </w:footnote>
  <w:footnote w:id="13">
    <w:p w14:paraId="7462C9C2" w14:textId="01D3A481" w:rsidR="00B72AB4" w:rsidRPr="00DF4353" w:rsidRDefault="00B72AB4" w:rsidP="00B72AB4">
      <w:pPr>
        <w:pStyle w:val="FootnoteText"/>
        <w:rPr>
          <w:lang w:val="en-US"/>
        </w:rPr>
      </w:pPr>
      <w:r>
        <w:tab/>
      </w:r>
      <w:r>
        <w:rPr>
          <w:rStyle w:val="FootnoteReference"/>
        </w:rPr>
        <w:footnoteRef/>
      </w:r>
      <w:r w:rsidRPr="00DF4353">
        <w:rPr>
          <w:lang w:val="en-US"/>
        </w:rPr>
        <w:tab/>
      </w:r>
      <w:hyperlink r:id="rId22" w:history="1">
        <w:r w:rsidRPr="00DF4353">
          <w:rPr>
            <w:rStyle w:val="Hyperlink"/>
            <w:lang w:val="en-US"/>
          </w:rPr>
          <w:t>CERD/C/KAZ/CO/6-7</w:t>
        </w:r>
      </w:hyperlink>
      <w:r w:rsidRPr="00DF4353">
        <w:rPr>
          <w:lang w:val="en-US"/>
        </w:rPr>
        <w:t xml:space="preserve">, para. 17; and </w:t>
      </w:r>
      <w:hyperlink r:id="rId23" w:history="1">
        <w:r w:rsidRPr="00DF4353">
          <w:rPr>
            <w:rStyle w:val="Hyperlink"/>
            <w:lang w:val="en-US"/>
          </w:rPr>
          <w:t>CERD/C/KAZ/8-10</w:t>
        </w:r>
      </w:hyperlink>
      <w:r w:rsidRPr="00DF4353">
        <w:rPr>
          <w:lang w:val="en-US"/>
        </w:rPr>
        <w:t xml:space="preserve">, paras. 201–202, and annex, paras. 121– 152. </w:t>
      </w:r>
    </w:p>
  </w:footnote>
  <w:footnote w:id="14">
    <w:p w14:paraId="0CE316EF" w14:textId="4286935C" w:rsidR="00B72AB4" w:rsidRPr="00DF4353" w:rsidRDefault="00B72AB4" w:rsidP="00B72AB4">
      <w:pPr>
        <w:pStyle w:val="FootnoteText"/>
        <w:rPr>
          <w:lang w:val="en-US"/>
        </w:rPr>
      </w:pPr>
      <w:r w:rsidRPr="00DF4353">
        <w:rPr>
          <w:lang w:val="en-US"/>
        </w:rPr>
        <w:tab/>
      </w:r>
      <w:r>
        <w:rPr>
          <w:rStyle w:val="FootnoteReference"/>
        </w:rPr>
        <w:footnoteRef/>
      </w:r>
      <w:r w:rsidRPr="00DF4353">
        <w:rPr>
          <w:lang w:val="en-US"/>
        </w:rPr>
        <w:tab/>
      </w:r>
      <w:hyperlink r:id="rId24" w:history="1">
        <w:r w:rsidRPr="00DF4353">
          <w:rPr>
            <w:rStyle w:val="Hyperlink"/>
            <w:lang w:val="en-US"/>
          </w:rPr>
          <w:t>CERD/C/KAZ/CO/6-7</w:t>
        </w:r>
      </w:hyperlink>
      <w:r w:rsidRPr="00DF4353">
        <w:rPr>
          <w:lang w:val="en-US"/>
        </w:rPr>
        <w:t xml:space="preserve">, para. 14; and </w:t>
      </w:r>
      <w:hyperlink r:id="rId25" w:history="1">
        <w:r w:rsidRPr="00DF4353">
          <w:rPr>
            <w:rStyle w:val="Hyperlink"/>
            <w:lang w:val="en-US"/>
          </w:rPr>
          <w:t>CERD/C/KAZ/8-10</w:t>
        </w:r>
      </w:hyperlink>
      <w:r w:rsidRPr="00DF4353">
        <w:rPr>
          <w:lang w:val="en-US"/>
        </w:rPr>
        <w:t xml:space="preserve">, annex, paras. 77–82. </w:t>
      </w:r>
    </w:p>
  </w:footnote>
  <w:footnote w:id="15">
    <w:p w14:paraId="7EF3813F" w14:textId="612BD52D" w:rsidR="00B72AB4" w:rsidRPr="002E7BC6" w:rsidRDefault="00B72AB4" w:rsidP="00B72AB4">
      <w:pPr>
        <w:pStyle w:val="FootnoteText"/>
        <w:rPr>
          <w:lang w:val="en-US"/>
        </w:rPr>
      </w:pPr>
      <w:r w:rsidRPr="00DF4353">
        <w:rPr>
          <w:lang w:val="en-US"/>
        </w:rPr>
        <w:tab/>
      </w:r>
      <w:r>
        <w:rPr>
          <w:rStyle w:val="FootnoteReference"/>
        </w:rPr>
        <w:footnoteRef/>
      </w:r>
      <w:r w:rsidRPr="00DF4353">
        <w:rPr>
          <w:lang w:val="en-US"/>
        </w:rPr>
        <w:tab/>
      </w:r>
      <w:hyperlink r:id="rId26" w:history="1">
        <w:r w:rsidRPr="00DF4353">
          <w:rPr>
            <w:rStyle w:val="Hyperlink"/>
            <w:lang w:val="en-US"/>
          </w:rPr>
          <w:t>CERD/C/KAZ/CO/6-7</w:t>
        </w:r>
      </w:hyperlink>
      <w:r w:rsidRPr="00DF4353">
        <w:rPr>
          <w:lang w:val="en-US"/>
        </w:rPr>
        <w:t xml:space="preserve">, para. </w:t>
      </w:r>
      <w:r w:rsidRPr="002E7BC6">
        <w:t xml:space="preserve">15; </w:t>
      </w:r>
      <w:r>
        <w:t xml:space="preserve">and </w:t>
      </w:r>
      <w:hyperlink r:id="rId27" w:history="1">
        <w:r w:rsidRPr="003B425C">
          <w:rPr>
            <w:rStyle w:val="Hyperlink"/>
          </w:rPr>
          <w:t>CERD/C/KAZ/8-10</w:t>
        </w:r>
      </w:hyperlink>
      <w:r w:rsidRPr="002E7BC6">
        <w:t>, annex</w:t>
      </w:r>
      <w:r>
        <w:t>,</w:t>
      </w:r>
      <w:r w:rsidRPr="002E7BC6">
        <w:t xml:space="preserve"> paras. 83–103</w:t>
      </w:r>
      <w:r>
        <w:t xml:space="preserve">. </w:t>
      </w:r>
    </w:p>
  </w:footnote>
  <w:footnote w:id="16">
    <w:p w14:paraId="5EB25774" w14:textId="6199AA1F" w:rsidR="00B72AB4" w:rsidRPr="00A36D20" w:rsidRDefault="00B72AB4" w:rsidP="00B72AB4">
      <w:pPr>
        <w:pStyle w:val="FootnoteText"/>
        <w:rPr>
          <w:lang w:val="en-US"/>
        </w:rPr>
      </w:pPr>
      <w:r>
        <w:tab/>
      </w:r>
      <w:r>
        <w:rPr>
          <w:rStyle w:val="FootnoteReference"/>
        </w:rPr>
        <w:footnoteRef/>
      </w:r>
      <w:r w:rsidRPr="00DF4353">
        <w:rPr>
          <w:lang w:val="en-US"/>
        </w:rPr>
        <w:tab/>
      </w:r>
      <w:hyperlink r:id="rId28" w:history="1">
        <w:r w:rsidRPr="00DF4353">
          <w:rPr>
            <w:rStyle w:val="Hyperlink"/>
            <w:lang w:val="en-US"/>
          </w:rPr>
          <w:t>CERD/C/KAZ/CO/6-7</w:t>
        </w:r>
      </w:hyperlink>
      <w:r w:rsidRPr="00DF4353">
        <w:rPr>
          <w:lang w:val="en-US"/>
        </w:rPr>
        <w:t xml:space="preserve">, para. </w:t>
      </w:r>
      <w:r w:rsidRPr="00A36D20">
        <w:t xml:space="preserve">16; </w:t>
      </w:r>
      <w:r>
        <w:t xml:space="preserve">and </w:t>
      </w:r>
      <w:hyperlink r:id="rId29" w:history="1">
        <w:r w:rsidRPr="003B425C">
          <w:rPr>
            <w:rStyle w:val="Hyperlink"/>
          </w:rPr>
          <w:t>CERD/C/KAZ/8-10</w:t>
        </w:r>
      </w:hyperlink>
      <w:r w:rsidRPr="00A36D20">
        <w:t>, annex</w:t>
      </w:r>
      <w:r>
        <w:t>,</w:t>
      </w:r>
      <w:r w:rsidRPr="00A36D20">
        <w:t xml:space="preserve"> paras. 88, 104–120 </w:t>
      </w:r>
      <w:r>
        <w:t xml:space="preserve">and </w:t>
      </w:r>
      <w:r w:rsidRPr="00A36D20">
        <w:t>127</w:t>
      </w:r>
      <w:r>
        <w:t>–</w:t>
      </w:r>
      <w:r w:rsidRPr="00A36D20">
        <w:t>128</w:t>
      </w:r>
      <w:r>
        <w:t>.</w:t>
      </w:r>
    </w:p>
  </w:footnote>
  <w:footnote w:id="17">
    <w:p w14:paraId="7AD1E9DC" w14:textId="549146D5" w:rsidR="00B72AB4" w:rsidRPr="00DD42B4" w:rsidRDefault="00B72AB4" w:rsidP="00B72AB4">
      <w:pPr>
        <w:pStyle w:val="FootnoteText"/>
        <w:rPr>
          <w:lang w:val="en-US"/>
        </w:rPr>
      </w:pPr>
      <w:r>
        <w:tab/>
      </w:r>
      <w:r>
        <w:rPr>
          <w:rStyle w:val="FootnoteReference"/>
        </w:rPr>
        <w:footnoteRef/>
      </w:r>
      <w:r w:rsidRPr="00AA1D48">
        <w:rPr>
          <w:lang w:val="es-ES"/>
        </w:rPr>
        <w:tab/>
      </w:r>
      <w:hyperlink r:id="rId30" w:history="1">
        <w:r w:rsidRPr="003B425C">
          <w:rPr>
            <w:rStyle w:val="Hyperlink"/>
            <w:lang w:val="es-ES"/>
          </w:rPr>
          <w:t>CERD/C/KAZ/CO/6-7</w:t>
        </w:r>
      </w:hyperlink>
      <w:r w:rsidRPr="00AA1D48">
        <w:rPr>
          <w:lang w:val="es-ES"/>
        </w:rPr>
        <w:t xml:space="preserve">, para. </w:t>
      </w:r>
      <w:r w:rsidRPr="00DD42B4">
        <w:t xml:space="preserve">18; </w:t>
      </w:r>
      <w:r>
        <w:t xml:space="preserve">and </w:t>
      </w:r>
      <w:hyperlink r:id="rId31" w:history="1">
        <w:r w:rsidRPr="003B425C">
          <w:rPr>
            <w:rStyle w:val="Hyperlink"/>
          </w:rPr>
          <w:t>CERD/C/KAZ/8-10</w:t>
        </w:r>
      </w:hyperlink>
      <w:r w:rsidRPr="00DD42B4">
        <w:t>, annex</w:t>
      </w:r>
      <w:r>
        <w:t>,</w:t>
      </w:r>
      <w:r w:rsidRPr="00DD42B4">
        <w:t xml:space="preserve"> paras. 153–155</w:t>
      </w:r>
      <w:r>
        <w:t xml:space="preserve">. </w:t>
      </w:r>
    </w:p>
  </w:footnote>
  <w:footnote w:id="18">
    <w:p w14:paraId="62058C43" w14:textId="77777777" w:rsidR="00B72AB4" w:rsidRDefault="00B72AB4" w:rsidP="00B72AB4">
      <w:pPr>
        <w:pStyle w:val="FootnoteText"/>
      </w:pPr>
      <w:r>
        <w:rPr>
          <w:lang w:val="en-US"/>
        </w:rPr>
        <w:tab/>
      </w:r>
      <w:r>
        <w:rPr>
          <w:rStyle w:val="FootnoteReference"/>
        </w:rPr>
        <w:footnoteRef/>
      </w:r>
      <w:r>
        <w:tab/>
      </w:r>
      <w:r w:rsidRPr="00F859D3">
        <w:t>Submission</w:t>
      </w:r>
      <w:r>
        <w:t xml:space="preserve"> by the Office of the </w:t>
      </w:r>
      <w:r w:rsidRPr="00264191">
        <w:t>United Nations High Commissioner for Refugees</w:t>
      </w:r>
      <w:r>
        <w:t>, in the context of the third</w:t>
      </w:r>
      <w:r w:rsidRPr="00264191">
        <w:t xml:space="preserve"> universal periodic review</w:t>
      </w:r>
      <w:r>
        <w:t xml:space="preserve"> cycle, for the review of Kazakhstan, </w:t>
      </w:r>
      <w:r w:rsidRPr="00264191">
        <w:t>p. 3</w:t>
      </w:r>
      <w:r>
        <w:t>.</w:t>
      </w:r>
      <w:r w:rsidRPr="00264191">
        <w:t xml:space="preserve"> </w:t>
      </w:r>
    </w:p>
  </w:footnote>
  <w:footnote w:id="19">
    <w:p w14:paraId="09E2E38C" w14:textId="726CB313" w:rsidR="00B72AB4" w:rsidRPr="00355A2D" w:rsidRDefault="00B72AB4" w:rsidP="00B72AB4">
      <w:pPr>
        <w:pStyle w:val="FootnoteText"/>
        <w:rPr>
          <w:lang w:val="en-US"/>
        </w:rPr>
      </w:pPr>
      <w:r>
        <w:tab/>
      </w:r>
      <w:r>
        <w:rPr>
          <w:rStyle w:val="FootnoteReference"/>
        </w:rPr>
        <w:footnoteRef/>
      </w:r>
      <w:r w:rsidRPr="00AA1D48">
        <w:rPr>
          <w:lang w:val="es-ES"/>
        </w:rPr>
        <w:tab/>
      </w:r>
      <w:hyperlink r:id="rId32" w:history="1">
        <w:r w:rsidRPr="003B425C">
          <w:rPr>
            <w:rStyle w:val="Hyperlink"/>
            <w:lang w:val="es-ES"/>
          </w:rPr>
          <w:t>CERD/C/KAZ/CO/6-7</w:t>
        </w:r>
      </w:hyperlink>
      <w:r w:rsidRPr="00AA1D48">
        <w:rPr>
          <w:lang w:val="es-ES"/>
        </w:rPr>
        <w:t xml:space="preserve">, para. </w:t>
      </w:r>
      <w:r w:rsidRPr="00355A2D">
        <w:t xml:space="preserve">19; </w:t>
      </w:r>
      <w:r>
        <w:t xml:space="preserve">and </w:t>
      </w:r>
      <w:hyperlink r:id="rId33" w:history="1">
        <w:r w:rsidRPr="003B425C">
          <w:rPr>
            <w:rStyle w:val="Hyperlink"/>
          </w:rPr>
          <w:t>CERD/C/KAZ/8-10</w:t>
        </w:r>
      </w:hyperlink>
      <w:r w:rsidRPr="00355A2D">
        <w:t>, annex, para. 156</w:t>
      </w:r>
      <w:r>
        <w:t xml:space="preserve">. </w:t>
      </w:r>
    </w:p>
  </w:footnote>
  <w:footnote w:id="20">
    <w:p w14:paraId="60403957" w14:textId="77777777" w:rsidR="00B72AB4" w:rsidRPr="009E32E3" w:rsidRDefault="00B72AB4" w:rsidP="00B72AB4">
      <w:pPr>
        <w:pStyle w:val="FootnoteText"/>
        <w:rPr>
          <w:lang w:val="en-US"/>
        </w:rPr>
      </w:pPr>
      <w:r>
        <w:tab/>
      </w:r>
      <w:r>
        <w:rPr>
          <w:rStyle w:val="FootnoteReference"/>
        </w:rPr>
        <w:footnoteRef/>
      </w:r>
      <w:r>
        <w:tab/>
        <w:t xml:space="preserve">Ibid. </w:t>
      </w:r>
    </w:p>
  </w:footnote>
  <w:footnote w:id="21">
    <w:p w14:paraId="1AE4A363" w14:textId="54DF0E1F" w:rsidR="00B72AB4" w:rsidRPr="008029AA" w:rsidRDefault="00B72AB4" w:rsidP="00B72AB4">
      <w:pPr>
        <w:pStyle w:val="FootnoteText"/>
        <w:rPr>
          <w:lang w:val="en-US"/>
        </w:rPr>
      </w:pPr>
      <w:r>
        <w:tab/>
      </w:r>
      <w:r>
        <w:rPr>
          <w:rStyle w:val="FootnoteReference"/>
        </w:rPr>
        <w:footnoteRef/>
      </w:r>
      <w:r>
        <w:tab/>
      </w:r>
      <w:hyperlink r:id="rId34" w:history="1">
        <w:r w:rsidRPr="003B425C">
          <w:rPr>
            <w:rStyle w:val="Hyperlink"/>
          </w:rPr>
          <w:t>CERD/C/KAZ/CO/6-7</w:t>
        </w:r>
      </w:hyperlink>
      <w:r w:rsidRPr="008029AA">
        <w:t xml:space="preserve">, para. 20; </w:t>
      </w:r>
      <w:r>
        <w:t xml:space="preserve">and </w:t>
      </w:r>
      <w:hyperlink r:id="rId35" w:history="1">
        <w:r w:rsidRPr="003B425C">
          <w:rPr>
            <w:rStyle w:val="Hyperlink"/>
          </w:rPr>
          <w:t>CERD/C/KAZ/8-10</w:t>
        </w:r>
      </w:hyperlink>
      <w:r w:rsidRPr="008029AA">
        <w:t>, annex, paras. 157–159</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4B063" w14:textId="77777777" w:rsidR="00B72AB4" w:rsidRDefault="00B72AB4" w:rsidP="00B72AB4">
    <w:pPr>
      <w:pStyle w:val="Header"/>
    </w:pPr>
    <w:r>
      <w:t>CERD/C/KAZ/Q/8-10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41427" w14:textId="77777777" w:rsidR="00B72AB4" w:rsidRDefault="00B72AB4" w:rsidP="00B72AB4">
    <w:pPr>
      <w:pStyle w:val="Header"/>
      <w:jc w:val="right"/>
    </w:pPr>
    <w:r>
      <w:t>CERD/C/KAZ/Q/8-10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5357CED"/>
    <w:multiLevelType w:val="hybridMultilevel"/>
    <w:tmpl w:val="E7CE5A5E"/>
    <w:lvl w:ilvl="0" w:tplc="0809000F">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586"/>
    <w:rsid w:val="00021C97"/>
    <w:rsid w:val="00046E92"/>
    <w:rsid w:val="00173225"/>
    <w:rsid w:val="001C3218"/>
    <w:rsid w:val="00221456"/>
    <w:rsid w:val="00247E2C"/>
    <w:rsid w:val="00286A43"/>
    <w:rsid w:val="002D6C53"/>
    <w:rsid w:val="002F5595"/>
    <w:rsid w:val="00307688"/>
    <w:rsid w:val="00334F6A"/>
    <w:rsid w:val="00342AC8"/>
    <w:rsid w:val="003B425C"/>
    <w:rsid w:val="003B4550"/>
    <w:rsid w:val="00461253"/>
    <w:rsid w:val="005042C2"/>
    <w:rsid w:val="00504379"/>
    <w:rsid w:val="00557F19"/>
    <w:rsid w:val="00625676"/>
    <w:rsid w:val="00671529"/>
    <w:rsid w:val="007233F9"/>
    <w:rsid w:val="007268F9"/>
    <w:rsid w:val="00735147"/>
    <w:rsid w:val="0078341E"/>
    <w:rsid w:val="007B4FC6"/>
    <w:rsid w:val="007C52B0"/>
    <w:rsid w:val="00883988"/>
    <w:rsid w:val="00892176"/>
    <w:rsid w:val="008B0171"/>
    <w:rsid w:val="008E0F96"/>
    <w:rsid w:val="009411B4"/>
    <w:rsid w:val="009D0139"/>
    <w:rsid w:val="009F5CDC"/>
    <w:rsid w:val="00A0297D"/>
    <w:rsid w:val="00A12586"/>
    <w:rsid w:val="00A775CF"/>
    <w:rsid w:val="00A8196B"/>
    <w:rsid w:val="00B06045"/>
    <w:rsid w:val="00B65189"/>
    <w:rsid w:val="00B72AB4"/>
    <w:rsid w:val="00C01462"/>
    <w:rsid w:val="00C35A27"/>
    <w:rsid w:val="00C60B15"/>
    <w:rsid w:val="00CB1FB9"/>
    <w:rsid w:val="00D70FE1"/>
    <w:rsid w:val="00D713B8"/>
    <w:rsid w:val="00D856EE"/>
    <w:rsid w:val="00DA7116"/>
    <w:rsid w:val="00DE532E"/>
    <w:rsid w:val="00DF4353"/>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B7935FA"/>
  <w15:docId w15:val="{0158DAEA-C8F6-4872-B3F8-68F205A2B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B72AB4"/>
    <w:rPr>
      <w:rFonts w:ascii="Times New Roman" w:hAnsi="Times New Roman" w:cs="Times New Roman"/>
      <w:sz w:val="20"/>
      <w:szCs w:val="20"/>
    </w:rPr>
  </w:style>
  <w:style w:type="character" w:styleId="Hyperlink">
    <w:name w:val="Hyperlink"/>
    <w:basedOn w:val="DefaultParagraphFont"/>
    <w:uiPriority w:val="99"/>
    <w:unhideWhenUsed/>
    <w:rsid w:val="003B425C"/>
    <w:rPr>
      <w:color w:val="0000FF" w:themeColor="hyperlink"/>
      <w:u w:val="none"/>
    </w:rPr>
  </w:style>
  <w:style w:type="character" w:customStyle="1" w:styleId="UnresolvedMention1">
    <w:name w:val="Unresolved Mention1"/>
    <w:basedOn w:val="DefaultParagraphFont"/>
    <w:uiPriority w:val="99"/>
    <w:semiHidden/>
    <w:unhideWhenUsed/>
    <w:rsid w:val="003B42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KAZ/CO/6-7" TargetMode="External"/><Relationship Id="rId13" Type="http://schemas.openxmlformats.org/officeDocument/2006/relationships/hyperlink" Target="http://undocs.org/en/CERD/C/KAZ/8-10" TargetMode="External"/><Relationship Id="rId18" Type="http://schemas.openxmlformats.org/officeDocument/2006/relationships/hyperlink" Target="http://undocs.org/en/CERD/C/KAZ/CO/6-7" TargetMode="External"/><Relationship Id="rId26" Type="http://schemas.openxmlformats.org/officeDocument/2006/relationships/hyperlink" Target="http://undocs.org/en/CERD/C/KAZ/CO/6-7" TargetMode="External"/><Relationship Id="rId3" Type="http://schemas.openxmlformats.org/officeDocument/2006/relationships/hyperlink" Target="http://undocs.org/en/CERD/C/KAZ/8-10" TargetMode="External"/><Relationship Id="rId21" Type="http://schemas.openxmlformats.org/officeDocument/2006/relationships/hyperlink" Target="http://undocs.org/en/CERD/C/KAZ/8-10" TargetMode="External"/><Relationship Id="rId34" Type="http://schemas.openxmlformats.org/officeDocument/2006/relationships/hyperlink" Target="http://undocs.org/en/CERD/C/KAZ/CO/6-7" TargetMode="External"/><Relationship Id="rId7" Type="http://schemas.openxmlformats.org/officeDocument/2006/relationships/hyperlink" Target="http://undocs.org/en/CERD/C/KAZ/8-10" TargetMode="External"/><Relationship Id="rId12" Type="http://schemas.openxmlformats.org/officeDocument/2006/relationships/hyperlink" Target="http://undocs.org/en/CERD/C/KAZ/CO/6-7" TargetMode="External"/><Relationship Id="rId17" Type="http://schemas.openxmlformats.org/officeDocument/2006/relationships/hyperlink" Target="http://undocs.org/en/CERD/C/KAZ/8-10" TargetMode="External"/><Relationship Id="rId25" Type="http://schemas.openxmlformats.org/officeDocument/2006/relationships/hyperlink" Target="http://undocs.org/en/CERD/C/KAZ/8-10" TargetMode="External"/><Relationship Id="rId33" Type="http://schemas.openxmlformats.org/officeDocument/2006/relationships/hyperlink" Target="http://undocs.org/en/CERD/C/KAZ/8-10" TargetMode="External"/><Relationship Id="rId2" Type="http://schemas.openxmlformats.org/officeDocument/2006/relationships/hyperlink" Target="http://undocs.org/en/CERD/C/KAZ/CO/6-7" TargetMode="External"/><Relationship Id="rId16" Type="http://schemas.openxmlformats.org/officeDocument/2006/relationships/hyperlink" Target="http://undocs.org/en/CERD/C/KAZ/CO/6-7" TargetMode="External"/><Relationship Id="rId20" Type="http://schemas.openxmlformats.org/officeDocument/2006/relationships/hyperlink" Target="http://undocs.org/en/CERD/C/KAZ/CO/6-7" TargetMode="External"/><Relationship Id="rId29" Type="http://schemas.openxmlformats.org/officeDocument/2006/relationships/hyperlink" Target="http://undocs.org/en/CERD/C/KAZ/8-10" TargetMode="External"/><Relationship Id="rId1" Type="http://schemas.openxmlformats.org/officeDocument/2006/relationships/hyperlink" Target="http://undocs.org/en/A/65/18" TargetMode="External"/><Relationship Id="rId6" Type="http://schemas.openxmlformats.org/officeDocument/2006/relationships/hyperlink" Target="http://undocs.org/en/CERD/C/KAZ/CO/6-7" TargetMode="External"/><Relationship Id="rId11" Type="http://schemas.openxmlformats.org/officeDocument/2006/relationships/hyperlink" Target="http://undocs.org/en/CERD/C/KAZ/8-10" TargetMode="External"/><Relationship Id="rId24" Type="http://schemas.openxmlformats.org/officeDocument/2006/relationships/hyperlink" Target="http://undocs.org/en/CERD/C/KAZ/CO/6-7" TargetMode="External"/><Relationship Id="rId32" Type="http://schemas.openxmlformats.org/officeDocument/2006/relationships/hyperlink" Target="http://undocs.org/en/CERD/C/KAZ/CO/6-7" TargetMode="External"/><Relationship Id="rId5" Type="http://schemas.openxmlformats.org/officeDocument/2006/relationships/hyperlink" Target="http://undocs.org/en/CERD/C/KAZ/8-10" TargetMode="External"/><Relationship Id="rId15" Type="http://schemas.openxmlformats.org/officeDocument/2006/relationships/hyperlink" Target="http://undocs.org/en/CERD/C/KAZ/8" TargetMode="External"/><Relationship Id="rId23" Type="http://schemas.openxmlformats.org/officeDocument/2006/relationships/hyperlink" Target="http://undocs.org/en/CERD/C/KAZ/8-10" TargetMode="External"/><Relationship Id="rId28" Type="http://schemas.openxmlformats.org/officeDocument/2006/relationships/hyperlink" Target="http://undocs.org/en/CERD/C/KAZ/CO/6-7" TargetMode="External"/><Relationship Id="rId10" Type="http://schemas.openxmlformats.org/officeDocument/2006/relationships/hyperlink" Target="http://undocs.org/en/CERD/C/KAZ/CO/6-7" TargetMode="External"/><Relationship Id="rId19" Type="http://schemas.openxmlformats.org/officeDocument/2006/relationships/hyperlink" Target="http://undocs.org/en/CERD/C/KAZ/8-10" TargetMode="External"/><Relationship Id="rId31" Type="http://schemas.openxmlformats.org/officeDocument/2006/relationships/hyperlink" Target="http://undocs.org/en/CERD/C/KAZ/8-10" TargetMode="External"/><Relationship Id="rId4" Type="http://schemas.openxmlformats.org/officeDocument/2006/relationships/hyperlink" Target="http://undocs.org/en/CERD/C/KAZ/CO/6-7" TargetMode="External"/><Relationship Id="rId9" Type="http://schemas.openxmlformats.org/officeDocument/2006/relationships/hyperlink" Target="http://undocs.org/en/CERD/C/KAZ/8-10" TargetMode="External"/><Relationship Id="rId14" Type="http://schemas.openxmlformats.org/officeDocument/2006/relationships/hyperlink" Target="http://undocs.org/en/CERD/C/KAZ/CO/6-7" TargetMode="External"/><Relationship Id="rId22" Type="http://schemas.openxmlformats.org/officeDocument/2006/relationships/hyperlink" Target="http://undocs.org/en/CERD/C/KAZ/CO/6-7" TargetMode="External"/><Relationship Id="rId27" Type="http://schemas.openxmlformats.org/officeDocument/2006/relationships/hyperlink" Target="http://undocs.org/en/CERD/C/KAZ/8-10" TargetMode="External"/><Relationship Id="rId30" Type="http://schemas.openxmlformats.org/officeDocument/2006/relationships/hyperlink" Target="http://undocs.org/en/CERD/C/KAZ/CO/6-7" TargetMode="External"/><Relationship Id="rId35" Type="http://schemas.openxmlformats.org/officeDocument/2006/relationships/hyperlink" Target="http://undocs.org/en/CERD/C/KAZ/8-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6787DE-46F5-420E-BA07-652879025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1053</Words>
  <Characters>5951</Characters>
  <Application>Microsoft Office Word</Application>
  <DocSecurity>0</DocSecurity>
  <Lines>106</Lines>
  <Paragraphs>39</Paragraphs>
  <ScaleCrop>false</ScaleCrop>
  <HeadingPairs>
    <vt:vector size="2" baseType="variant">
      <vt:variant>
        <vt:lpstr>Title</vt:lpstr>
      </vt:variant>
      <vt:variant>
        <vt:i4>1</vt:i4>
      </vt:variant>
    </vt:vector>
  </HeadingPairs>
  <TitlesOfParts>
    <vt:vector size="1" baseType="lpstr">
      <vt:lpstr>CERD/C/KAZ/Q/8-10</vt:lpstr>
    </vt:vector>
  </TitlesOfParts>
  <Company>DCM</Company>
  <LinksUpToDate>false</LinksUpToDate>
  <CharactersWithSpaces>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CERD/C/KAZ/Q/8-10</dc:title>
  <dc:subject>2202130</dc:subject>
  <dc:creator>AVT</dc:creator>
  <cp:keywords/>
  <dc:description/>
  <cp:lastModifiedBy>Edna Kay</cp:lastModifiedBy>
  <cp:revision>2</cp:revision>
  <dcterms:created xsi:type="dcterms:W3CDTF">2022-02-16T13:49:00Z</dcterms:created>
  <dcterms:modified xsi:type="dcterms:W3CDTF">2022-02-16T13:49:00Z</dcterms:modified>
</cp:coreProperties>
</file>