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Тридцать первая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657-м заседании,</w:t>
      </w:r>
    </w:p>
    <w:p w:rsidR="00000000" w:rsidRDefault="00000000">
      <w:r>
        <w:t>состоявшемся в Центральных учреждениях, Нью-Йорк, в среду, 14 июля 2004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 г</w:t>
      </w:r>
      <w:r>
        <w:noBreakHyphen/>
        <w:t xml:space="preserve">жа Асар 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i/>
        </w:rPr>
        <w:t xml:space="preserve">             </w:t>
      </w:r>
      <w:r>
        <w:rPr>
          <w:i/>
        </w:rPr>
        <w:tab/>
        <w:t>затем</w:t>
      </w:r>
      <w:r>
        <w:t>: г</w:t>
      </w:r>
      <w:r>
        <w:noBreakHyphen/>
        <w:t>жа Шин (заместитель Председателя)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i/>
        </w:rPr>
        <w:t xml:space="preserve">             </w:t>
      </w:r>
      <w:r>
        <w:rPr>
          <w:i/>
        </w:rPr>
        <w:tab/>
        <w:t>затем</w:t>
      </w:r>
      <w:r>
        <w:t>: г</w:t>
      </w:r>
      <w:r>
        <w:noBreakHyphen/>
        <w:t>жа Асар (Председатель)</w:t>
      </w:r>
    </w:p>
    <w:p w:rsidR="00000000" w:rsidRDefault="00000000">
      <w:pPr>
        <w:tabs>
          <w:tab w:val="left" w:pos="1368"/>
          <w:tab w:val="right" w:leader="dot" w:pos="8568"/>
        </w:tabs>
        <w:ind w:right="1267"/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jc w:val="left"/>
      </w:pPr>
      <w:r>
        <w:t xml:space="preserve">Рассмотрение докладов, представленных государствами-участниками </w:t>
      </w:r>
      <w:r>
        <w:br/>
        <w:t>в соо</w:t>
      </w:r>
      <w:r>
        <w:t>т</w:t>
      </w:r>
      <w:r>
        <w:t>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ind w:left="1742" w:hanging="475"/>
      </w:pPr>
      <w:r>
        <w:tab/>
      </w:r>
      <w:r>
        <w:rPr>
          <w:i/>
        </w:rPr>
        <w:t>Объединенные первоначальный, второй и третий периодические доклады Ла</w:t>
      </w:r>
      <w:r>
        <w:rPr>
          <w:i/>
        </w:rPr>
        <w:t>т</w:t>
      </w:r>
      <w:r>
        <w:rPr>
          <w:i/>
        </w:rPr>
        <w:t>вии</w:t>
      </w: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 ч. 30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</w:t>
      </w:r>
      <w:r>
        <w:br/>
        <w:t xml:space="preserve">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Объединенные первоначальный, второй и третий периодические доклады Латвии </w:t>
      </w:r>
      <w:r>
        <w:rPr>
          <w:i w:val="0"/>
        </w:rPr>
        <w:t>(CEDAW/C/LVA/1–3)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Латвии занимает места за ст</w:t>
      </w:r>
      <w:r>
        <w:t>о</w:t>
      </w:r>
      <w:r>
        <w:t>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Йегерманис</w:t>
      </w:r>
      <w:r>
        <w:t xml:space="preserve"> (Латвия) говорит, что он х</w:t>
      </w:r>
      <w:r>
        <w:t>о</w:t>
      </w:r>
      <w:r>
        <w:t>тел бы охарактеризовать исторические условия представления его страной объединенных первон</w:t>
      </w:r>
      <w:r>
        <w:t>а</w:t>
      </w:r>
      <w:r>
        <w:t>чального, второго и третьего периодических докл</w:t>
      </w:r>
      <w:r>
        <w:t>а</w:t>
      </w:r>
      <w:r>
        <w:t>дов. Латвия оказалась на 50 лет вычеркнутой из и</w:t>
      </w:r>
      <w:r>
        <w:t>с</w:t>
      </w:r>
      <w:r>
        <w:t>торического развития в период советского госпо</w:t>
      </w:r>
      <w:r>
        <w:t>д</w:t>
      </w:r>
      <w:r>
        <w:t>ства и вновь обрела независимость лишь в 1991 году. С этого момента его страна сразу же пр</w:t>
      </w:r>
      <w:r>
        <w:t>и</w:t>
      </w:r>
      <w:r>
        <w:t>ступила к восстановлению своей экономики, своего общества и своей законодательной системы. Н</w:t>
      </w:r>
      <w:r>
        <w:t>е</w:t>
      </w:r>
      <w:r>
        <w:t>смотря на большие достижения, Латвия не имела времени добиться всего того, чего ей хотелось бы. Российские войска покинули территорию страны лишь в 1994 году, и после этого главной задачей Латвии стало вступление в члены Европейского союза (ЕС) и Организации Североатлантического договора (НАТО). Только сейчас после получения членства в этих организациях страна может уделить внимание и другим вопросам. Однако оратор не х</w:t>
      </w:r>
      <w:r>
        <w:t>о</w:t>
      </w:r>
      <w:r>
        <w:t>чет, чтобы сложилось впечатление, что его делег</w:t>
      </w:r>
      <w:r>
        <w:t>а</w:t>
      </w:r>
      <w:r>
        <w:t>ция намерена оправдываться перед Комитетом. С</w:t>
      </w:r>
      <w:r>
        <w:t>о</w:t>
      </w:r>
      <w:r>
        <w:t>всем наоборот, она готова выслушать любые крит</w:t>
      </w:r>
      <w:r>
        <w:t>и</w:t>
      </w:r>
      <w:r>
        <w:t>ческие замечания и вопросы. Он также приветств</w:t>
      </w:r>
      <w:r>
        <w:t>у</w:t>
      </w:r>
      <w:r>
        <w:t>ет диалог с неправительственными организациями, поскольку лишь путем диалога могут быть дости</w:t>
      </w:r>
      <w:r>
        <w:t>г</w:t>
      </w:r>
      <w:r>
        <w:t>нуты резул</w:t>
      </w:r>
      <w:r>
        <w:t>ь</w:t>
      </w:r>
      <w:r>
        <w:t>таты.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Друвиете </w:t>
      </w:r>
      <w:r>
        <w:t>(Латвия), внося на рассмотр</w:t>
      </w:r>
      <w:r>
        <w:t>е</w:t>
      </w:r>
      <w:r>
        <w:t>ние доклад своей страны, говорит, что после во</w:t>
      </w:r>
      <w:r>
        <w:t>з</w:t>
      </w:r>
      <w:r>
        <w:t>вращения себе независимости Латвия ратифицир</w:t>
      </w:r>
      <w:r>
        <w:t>о</w:t>
      </w:r>
      <w:r>
        <w:t>вала большое число международных документов в области прав человека, включая Конвенцию о ли</w:t>
      </w:r>
      <w:r>
        <w:t>к</w:t>
      </w:r>
      <w:r>
        <w:t>видации всех форм дискриминации в отношении женщин, которая вступила в силу в мае 1992 года. Конституция Латвии содержит общий принцип з</w:t>
      </w:r>
      <w:r>
        <w:t>а</w:t>
      </w:r>
      <w:r>
        <w:t>прещения дискриминации, а также принцип раве</w:t>
      </w:r>
      <w:r>
        <w:t>н</w:t>
      </w:r>
      <w:r>
        <w:t>ства. Ее правительство заложило законодательную основу для поощрения равенства между мужчинами и женщинами, запретив дискриминацию по призн</w:t>
      </w:r>
      <w:r>
        <w:t>а</w:t>
      </w:r>
      <w:r>
        <w:t>ку пола и приняв соответствующие нормативные акты в интересах улучшения положения женщин. В этой связи к числу наиболее значительных законов относятся Закон об охране труда, новый Трудовой кодекс и Закон об охране сексуального и репроду</w:t>
      </w:r>
      <w:r>
        <w:t>к</w:t>
      </w:r>
      <w:r>
        <w:t>тивного здоровья. Проводимая государственными учреждениями деятельность предусмотрена зак</w:t>
      </w:r>
      <w:r>
        <w:t>о</w:t>
      </w:r>
      <w:r>
        <w:t>нами, регулирующими их функционирование, кот</w:t>
      </w:r>
      <w:r>
        <w:t>о</w:t>
      </w:r>
      <w:r>
        <w:t>рые в свою очередь подчиняются конституции и с</w:t>
      </w:r>
      <w:r>
        <w:t>о</w:t>
      </w:r>
      <w:r>
        <w:t>гласовываются с ней, обеспечивая тем самым с</w:t>
      </w:r>
      <w:r>
        <w:t>о</w:t>
      </w:r>
      <w:r>
        <w:t>блюдение принципа гендерного равенства. Полож</w:t>
      </w:r>
      <w:r>
        <w:t>е</w:t>
      </w:r>
      <w:r>
        <w:t>ния, направленные на ликвидацию дискриминации в отношении женщин, включены в законы по ка</w:t>
      </w:r>
      <w:r>
        <w:t>ж</w:t>
      </w:r>
      <w:r>
        <w:t>дой отдельной области, как, например, образование, средства массовой информации и деятельность с</w:t>
      </w:r>
      <w:r>
        <w:t>у</w:t>
      </w:r>
      <w:r>
        <w:t>дебных органов.</w:t>
      </w:r>
    </w:p>
    <w:p w:rsidR="00000000" w:rsidRDefault="00000000">
      <w:pPr>
        <w:pStyle w:val="DualTxt"/>
      </w:pPr>
      <w:r>
        <w:t>4.</w:t>
      </w:r>
      <w:r>
        <w:tab/>
        <w:t>В 1999 году для координации гендерных в</w:t>
      </w:r>
      <w:r>
        <w:t>о</w:t>
      </w:r>
      <w:r>
        <w:t>просов в Министерстве благосостояния был создан Департамент по разработке политики в социальной области, а в 2000 году — Отдел по вопросам соц</w:t>
      </w:r>
      <w:r>
        <w:t>и</w:t>
      </w:r>
      <w:r>
        <w:t>альной интеграции и гендерного равенства. В о</w:t>
      </w:r>
      <w:r>
        <w:t>к</w:t>
      </w:r>
      <w:r>
        <w:t>тябре 2001 года кабинет министров принял Конце</w:t>
      </w:r>
      <w:r>
        <w:t>п</w:t>
      </w:r>
      <w:r>
        <w:t>цию осуществления гендерного равенства в Латвии, включающую в себя институциональный механизм решения вопросов гендерного равенства. В конце 2001 года была создана рабочая группа по коорд</w:t>
      </w:r>
      <w:r>
        <w:t>и</w:t>
      </w:r>
      <w:r>
        <w:t>нации вопросов гендерного равенства, включающая в себя представителей министерств, неправительс</w:t>
      </w:r>
      <w:r>
        <w:t>т</w:t>
      </w:r>
      <w:r>
        <w:t>венных организаций и исследовательских инстит</w:t>
      </w:r>
      <w:r>
        <w:t>у</w:t>
      </w:r>
      <w:r>
        <w:t>тов. Рабочей группе было поручено разработать программу действий по обеспечению гендерного равенства и осуществлять координацию усилий, н</w:t>
      </w:r>
      <w:r>
        <w:t>а</w:t>
      </w:r>
      <w:r>
        <w:t>правленных на обеспечение включения принципа гендерного равенства в существующие и будущие законы.</w:t>
      </w:r>
    </w:p>
    <w:p w:rsidR="00000000" w:rsidRDefault="00000000">
      <w:pPr>
        <w:pStyle w:val="DualTxt"/>
      </w:pPr>
      <w:r>
        <w:t>5.</w:t>
      </w:r>
      <w:r>
        <w:tab/>
        <w:t>Среди других заслуживающих особого вним</w:t>
      </w:r>
      <w:r>
        <w:t>а</w:t>
      </w:r>
      <w:r>
        <w:t>ния учреждений, которые были созданы в после</w:t>
      </w:r>
      <w:r>
        <w:t>д</w:t>
      </w:r>
      <w:r>
        <w:t>ние годы, фигурирует Латвийская ассоциация по вопросам гендерного равенства (2000 год), Совет по вопросам гендерного равенства и министерские секретариаты по делам детей и семьи и по вопросам социальной интеграции (2002 год), а также Парл</w:t>
      </w:r>
      <w:r>
        <w:t>а</w:t>
      </w:r>
      <w:r>
        <w:t>ментская подкомиссия по гендерному равенству (2003 год). Кроме того, совет министров вскоре примет Программу действий по осуществлению гендерного равенства (2005–2006 годы).</w:t>
      </w:r>
    </w:p>
    <w:p w:rsidR="00000000" w:rsidRDefault="00000000">
      <w:pPr>
        <w:pStyle w:val="DualTxt"/>
      </w:pPr>
      <w:r>
        <w:t>6.</w:t>
      </w:r>
      <w:r>
        <w:tab/>
        <w:t>По традиции культурную основу в Латвии с</w:t>
      </w:r>
      <w:r>
        <w:t>о</w:t>
      </w:r>
      <w:r>
        <w:t>ставляет патриархальная крестьянская семья, в к</w:t>
      </w:r>
      <w:r>
        <w:t>о</w:t>
      </w:r>
      <w:r>
        <w:t>торой женщины пользуются большим уважением, однако рассматриваются в первую очередь в качес</w:t>
      </w:r>
      <w:r>
        <w:t>т</w:t>
      </w:r>
      <w:r>
        <w:t>ве матерей. Влияние христианских традиций и к</w:t>
      </w:r>
      <w:r>
        <w:t>а</w:t>
      </w:r>
      <w:r>
        <w:t>нонического права способствует укреплению этой традиции. Женщины пользовались равными с му</w:t>
      </w:r>
      <w:r>
        <w:t>ж</w:t>
      </w:r>
      <w:r>
        <w:t>чинами политическими и гражданскими правами с момента создания Латвийской Республики в 1918 году до аннексии бывшим Советским Союзом в 1940 году. Равенство мужчин и женщин, которое проповедовалось в советский период, часто не уч</w:t>
      </w:r>
      <w:r>
        <w:t>и</w:t>
      </w:r>
      <w:r>
        <w:t>тывало особые физиологические и психологические потребности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7.</w:t>
      </w:r>
      <w:r>
        <w:tab/>
        <w:t>После возвращения независимости взгляды в отношении вопросов гендерного равенства пост</w:t>
      </w:r>
      <w:r>
        <w:t>е</w:t>
      </w:r>
      <w:r>
        <w:t>пенно меняются. Население страны получило до</w:t>
      </w:r>
      <w:r>
        <w:t>с</w:t>
      </w:r>
      <w:r>
        <w:t>туп к информации о деятельности женских орган</w:t>
      </w:r>
      <w:r>
        <w:t>и</w:t>
      </w:r>
      <w:r>
        <w:t>заций, политических партий и ассоциаций, напра</w:t>
      </w:r>
      <w:r>
        <w:t>в</w:t>
      </w:r>
      <w:r>
        <w:t>ленной на изменение стереотипных взглядов. В то же время, хотя достигнут определенный прогресс, ее правительству, неправительственным организ</w:t>
      </w:r>
      <w:r>
        <w:t>а</w:t>
      </w:r>
      <w:r>
        <w:t>циям и обществу в целом многое еще предстоит сделать.</w:t>
      </w:r>
    </w:p>
    <w:p w:rsidR="00000000" w:rsidRDefault="00000000">
      <w:pPr>
        <w:pStyle w:val="DualTxt"/>
      </w:pPr>
      <w:r>
        <w:t>8.</w:t>
      </w:r>
      <w:r>
        <w:tab/>
        <w:t>Что касается недопущения дискриминации в политической и гражданской жизни, то особое вн</w:t>
      </w:r>
      <w:r>
        <w:t>и</w:t>
      </w:r>
      <w:r>
        <w:t>мание здесь уделяется вопросам гендерного раве</w:t>
      </w:r>
      <w:r>
        <w:t>н</w:t>
      </w:r>
      <w:r>
        <w:t>ства на всех уровнях процесса принятия решений. Не существует никаких ограничений, касающихся избирательных прав. Из 100 мест в нынешнем ла</w:t>
      </w:r>
      <w:r>
        <w:t>т</w:t>
      </w:r>
      <w:r>
        <w:t>вийском Сейме (парламенте) 18 занимают женщ</w:t>
      </w:r>
      <w:r>
        <w:t>и</w:t>
      </w:r>
      <w:r>
        <w:t>ны, а Комиссия по правам человека и государстве</w:t>
      </w:r>
      <w:r>
        <w:t>н</w:t>
      </w:r>
      <w:r>
        <w:t>ным вопросам, Комиссия по осуществлению закона о гражданстве и Комиссия по социальным и труд</w:t>
      </w:r>
      <w:r>
        <w:t>о</w:t>
      </w:r>
      <w:r>
        <w:t>вым вопросам возглавляются женщинами. Кроме того, в латвийском законе не предусмотрено ник</w:t>
      </w:r>
      <w:r>
        <w:t>а</w:t>
      </w:r>
      <w:r>
        <w:t>ких ограничений касательно участия женщин в ра</w:t>
      </w:r>
      <w:r>
        <w:t>з</w:t>
      </w:r>
      <w:r>
        <w:t>работке национальной политики или их права з</w:t>
      </w:r>
      <w:r>
        <w:t>а</w:t>
      </w:r>
      <w:r>
        <w:t>нимать государственные должности. С 1999 года пост президента занимает женщина, так же как и посты министров культуры, юстиции и благосо</w:t>
      </w:r>
      <w:r>
        <w:t>с</w:t>
      </w:r>
      <w:r>
        <w:t>тояния. Помимо этого, сравнительно большое число женщин находится на дипломатической службе Латвии.</w:t>
      </w:r>
    </w:p>
    <w:p w:rsidR="00000000" w:rsidRDefault="00000000">
      <w:pPr>
        <w:pStyle w:val="DualTxt"/>
      </w:pPr>
      <w:r>
        <w:t>9.</w:t>
      </w:r>
      <w:r>
        <w:tab/>
        <w:t>Право на работу является одним из неотъе</w:t>
      </w:r>
      <w:r>
        <w:t>м</w:t>
      </w:r>
      <w:r>
        <w:t>лемых прав, гарантируемых в равной степени и мужчинам и женщинам, и Закон о труде запрещает какое</w:t>
      </w:r>
      <w:r>
        <w:noBreakHyphen/>
        <w:t>либо неравенство по гендерному признаку. Женщины, считающие, что их права на работу н</w:t>
      </w:r>
      <w:r>
        <w:t>а</w:t>
      </w:r>
      <w:r>
        <w:t>рушаются, имеют право обращаться за помощью в суды, хотя в Латвийское национальное управление по правам человека поступило весьма незначител</w:t>
      </w:r>
      <w:r>
        <w:t>ь</w:t>
      </w:r>
      <w:r>
        <w:t>ное число жалоб по очевидным случаям гендерной дискриминации. Граждане имеют возможность уч</w:t>
      </w:r>
      <w:r>
        <w:t>а</w:t>
      </w:r>
      <w:r>
        <w:t>ствовать в различных областях экономической жи</w:t>
      </w:r>
      <w:r>
        <w:t>з</w:t>
      </w:r>
      <w:r>
        <w:t>ни без опасности быть подвергнутым дискримин</w:t>
      </w:r>
      <w:r>
        <w:t>а</w:t>
      </w:r>
      <w:r>
        <w:t>ции, и никаких ограничений гендерного характера не применяется в отношении свободного выбора профессии и места работы. В законе о гражданской службе предусмотрены критерии тестирования ка</w:t>
      </w:r>
      <w:r>
        <w:t>н</w:t>
      </w:r>
      <w:r>
        <w:t>дидатов, и дискриминация по гендерному признаку не допускается. Женщины составляют до 60 процентов от общей численности гражданской службы. Хотя большинство должностей высшего уровня в гражданском обществе по</w:t>
      </w:r>
      <w:r>
        <w:noBreakHyphen/>
        <w:t>прежнему з</w:t>
      </w:r>
      <w:r>
        <w:t>а</w:t>
      </w:r>
      <w:r>
        <w:t>нимают мужчины, участие женщин продолжает расширяться. В профсоюзах разработана конкре</w:t>
      </w:r>
      <w:r>
        <w:t>т</w:t>
      </w:r>
      <w:r>
        <w:t>ная программа по обеспечению равенства труд</w:t>
      </w:r>
      <w:r>
        <w:t>я</w:t>
      </w:r>
      <w:r>
        <w:t>щихся женщин.</w:t>
      </w:r>
    </w:p>
    <w:p w:rsidR="00000000" w:rsidRDefault="00000000">
      <w:pPr>
        <w:pStyle w:val="DualTxt"/>
      </w:pPr>
      <w:r>
        <w:t>10.</w:t>
      </w:r>
      <w:r>
        <w:tab/>
        <w:t>Право на одинаковую оплату за одинаковую работу закреплено в Трудовом кодексе. Однако в 2002 году средняя валовая зарплата женщин с</w:t>
      </w:r>
      <w:r>
        <w:t>о</w:t>
      </w:r>
      <w:r>
        <w:t>ставляла лишь 82 процента от аналогичного показ</w:t>
      </w:r>
      <w:r>
        <w:t>а</w:t>
      </w:r>
      <w:r>
        <w:t>теля среди мужчин. Это отчасти объясняется ге</w:t>
      </w:r>
      <w:r>
        <w:t>н</w:t>
      </w:r>
      <w:r>
        <w:t>дерной сегрегацией на рынке труда. Например, ст</w:t>
      </w:r>
      <w:r>
        <w:t>а</w:t>
      </w:r>
      <w:r>
        <w:t>тистические данные свидетельствуют о том, что большинство женщин предпочитают работать в г</w:t>
      </w:r>
      <w:r>
        <w:t>о</w:t>
      </w:r>
      <w:r>
        <w:t>сударственных или муниципальных предприятиях, которые предлагают надежные социальные льготы, однако меньше платят. Система социального стр</w:t>
      </w:r>
      <w:r>
        <w:t>а</w:t>
      </w:r>
      <w:r>
        <w:t>хования гарантирует равенство в сфере социальных услуг, независимо от половой принадлежности, н</w:t>
      </w:r>
      <w:r>
        <w:t>а</w:t>
      </w:r>
      <w:r>
        <w:t>циональности или религиозных взглядов. В то же время, по данным Латвийского национального управления по правам человека, проблемы нищеты включают в себя явный гендерный компонент. Женщины с детьми являются менее обеспеченн</w:t>
      </w:r>
      <w:r>
        <w:t>ы</w:t>
      </w:r>
      <w:r>
        <w:t>ми, чем женщины без детей, поскольку уход за р</w:t>
      </w:r>
      <w:r>
        <w:t>е</w:t>
      </w:r>
      <w:r>
        <w:t>бенком ограничивает экономический потенциал женщины. В нормативных положениях, регул</w:t>
      </w:r>
      <w:r>
        <w:t>и</w:t>
      </w:r>
      <w:r>
        <w:t>рующих пособия по безработице, никакой дискр</w:t>
      </w:r>
      <w:r>
        <w:t>и</w:t>
      </w:r>
      <w:r>
        <w:t>минации по п</w:t>
      </w:r>
      <w:r>
        <w:t>о</w:t>
      </w:r>
      <w:r>
        <w:t>ловому признаку не отмечается.</w:t>
      </w:r>
    </w:p>
    <w:p w:rsidR="00000000" w:rsidRDefault="00000000">
      <w:pPr>
        <w:pStyle w:val="DualTxt"/>
      </w:pPr>
      <w:r>
        <w:t>11.</w:t>
      </w:r>
      <w:r>
        <w:tab/>
        <w:t>Для пресечения дискриминации в отношении женщин в силу брака или наличия ребенка в Закон о труде включено положение, запрещающее работ</w:t>
      </w:r>
      <w:r>
        <w:t>о</w:t>
      </w:r>
      <w:r>
        <w:t>дателям пытаться определить, являются ли бер</w:t>
      </w:r>
      <w:r>
        <w:t>е</w:t>
      </w:r>
      <w:r>
        <w:t>менными поступающие на работу женщины. Кроме того, в Законе также предусмотрено, что береме</w:t>
      </w:r>
      <w:r>
        <w:t>н</w:t>
      </w:r>
      <w:r>
        <w:t>ные женщины или женщины с детьми в возрасте до трех лет не могут быть уволены. Продолжает ра</w:t>
      </w:r>
      <w:r>
        <w:t>с</w:t>
      </w:r>
      <w:r>
        <w:t>ширяться доступ к медицинскому обслуживанию, и особое внимание уделяется репродуктивному зд</w:t>
      </w:r>
      <w:r>
        <w:t>о</w:t>
      </w:r>
      <w:r>
        <w:t>ровью. Закон о сексуальном и репродуктивном зд</w:t>
      </w:r>
      <w:r>
        <w:t>о</w:t>
      </w:r>
      <w:r>
        <w:t>ровье населения вступил в силу в июле 2002 года. Центр содействия здоровью, Национальный центр содействия здоровью семьи и Латвийская ассоци</w:t>
      </w:r>
      <w:r>
        <w:t>а</w:t>
      </w:r>
      <w:r>
        <w:t>ция по вопросам планирования семьи и сексуал</w:t>
      </w:r>
      <w:r>
        <w:t>ь</w:t>
      </w:r>
      <w:r>
        <w:t>ному здоровью предоставляют информацию по в</w:t>
      </w:r>
      <w:r>
        <w:t>о</w:t>
      </w:r>
      <w:r>
        <w:t>просам семейного здоровья, семейного благопол</w:t>
      </w:r>
      <w:r>
        <w:t>у</w:t>
      </w:r>
      <w:r>
        <w:t>чия и планирования численности семьи. В то же время быстрыми темпами расширяются масштабы наркомании и инфицирования ВИЧ/СПИДом. Большинство инфицированных ВИЧ/СПИДом с</w:t>
      </w:r>
      <w:r>
        <w:t>о</w:t>
      </w:r>
      <w:r>
        <w:t>ставляют люди в возрасте от 15 до 49 лет. Имеются тревожные признаки того, что уровень гетеросекс</w:t>
      </w:r>
      <w:r>
        <w:t>у</w:t>
      </w:r>
      <w:r>
        <w:t>ального и вертикального распространения болезни будет еще более повышаться. Что касается бытов</w:t>
      </w:r>
      <w:r>
        <w:t>о</w:t>
      </w:r>
      <w:r>
        <w:t>го насилия, то она отмечает, что Латвийское наци</w:t>
      </w:r>
      <w:r>
        <w:t>о</w:t>
      </w:r>
      <w:r>
        <w:t>нальное управление по правам человека получило лишь незначительное число жалоб на случаи быт</w:t>
      </w:r>
      <w:r>
        <w:t>о</w:t>
      </w:r>
      <w:r>
        <w:t>вого насилия. Однако, хотя в национальных законах и предусмотрена уголовная ответственность за ф</w:t>
      </w:r>
      <w:r>
        <w:t>и</w:t>
      </w:r>
      <w:r>
        <w:t>зическое насилие, правоприменительные органы не всегда уделяют проявлениям физического насилия достаточное внимание. Помимо этого, в законах не признается психологическое насилие, будь то на работе или дома. Стремясь исправить отношение полиции к проблеме бытового насилия, Централ</w:t>
      </w:r>
      <w:r>
        <w:t>ь</w:t>
      </w:r>
      <w:r>
        <w:t>ная комиссия уголовной полиции проводит работу с центром кризисов, а сотрудникам полиции предо</w:t>
      </w:r>
      <w:r>
        <w:t>с</w:t>
      </w:r>
      <w:r>
        <w:t>тавляется возможность для обучения по вопросам кризисных ситуаций и бытового нас</w:t>
      </w:r>
      <w:r>
        <w:t>и</w:t>
      </w:r>
      <w:r>
        <w:t>лия.</w:t>
      </w:r>
    </w:p>
    <w:p w:rsidR="00000000" w:rsidRDefault="00000000">
      <w:pPr>
        <w:pStyle w:val="DualTxt"/>
      </w:pPr>
      <w:r>
        <w:t>12.</w:t>
      </w:r>
      <w:r>
        <w:tab/>
        <w:t>Латвия подписала Конвенцию о борьбе с то</w:t>
      </w:r>
      <w:r>
        <w:t>р</w:t>
      </w:r>
      <w:r>
        <w:t>говлей людьми и с эксплуатацией проституции третьими лицами. Однако национальные законы не в полной степени соответствуют международным стандартам в этой области. Стремясь исправить существующее положение, Комитет министров принял Национальную программу предупреждения торговли людьми (2004–2008 годы). Хотя в наци</w:t>
      </w:r>
      <w:r>
        <w:t>о</w:t>
      </w:r>
      <w:r>
        <w:t>нальном законе предусмотрено уголовное наказание за поощрение к занятию проституцией и за торго</w:t>
      </w:r>
      <w:r>
        <w:t>в</w:t>
      </w:r>
      <w:r>
        <w:t>лю людьми, масштабы секс-туризма и торговли женщинами увеличиваются, и особую тревогу в</w:t>
      </w:r>
      <w:r>
        <w:t>ы</w:t>
      </w:r>
      <w:r>
        <w:t>зывает вовлечение в проституцию несовершенн</w:t>
      </w:r>
      <w:r>
        <w:t>о</w:t>
      </w:r>
      <w:r>
        <w:t>летних.</w:t>
      </w:r>
    </w:p>
    <w:p w:rsidR="00000000" w:rsidRDefault="00000000">
      <w:pPr>
        <w:pStyle w:val="DualTxt"/>
      </w:pPr>
      <w:r>
        <w:t>13.</w:t>
      </w:r>
      <w:r>
        <w:tab/>
        <w:t>В отношении образования она отмечает, что право женщин на образование без дискриминации гарантируется конституцией. В 2002–2003 учебном году 61,7 процента от общего числа учащихся в высших учебных заведениях составляли женщины. Не существует никаких имеющих гендерную осн</w:t>
      </w:r>
      <w:r>
        <w:t>о</w:t>
      </w:r>
      <w:r>
        <w:t>ву ограничений, касающихся доступности кредитов для учащихся. В то же время для успешного выпо</w:t>
      </w:r>
      <w:r>
        <w:t>л</w:t>
      </w:r>
      <w:r>
        <w:t>нения программы осуществления гендерного раве</w:t>
      </w:r>
      <w:r>
        <w:t>н</w:t>
      </w:r>
      <w:r>
        <w:t>ства требуется, чтобы общество имело лучшее представление о вопросах гендерного равенства, и это в свою очередь требует изменений в содерж</w:t>
      </w:r>
      <w:r>
        <w:t>а</w:t>
      </w:r>
      <w:r>
        <w:t>нии образования. Учебные заведения также прин</w:t>
      </w:r>
      <w:r>
        <w:t>я</w:t>
      </w:r>
      <w:r>
        <w:t>ли меры по ликвидации негативных стереотипов, однако Латвийская ассоциация по вопросам генде</w:t>
      </w:r>
      <w:r>
        <w:t>р</w:t>
      </w:r>
      <w:r>
        <w:t>ного равенства указала, что в этом отношении тр</w:t>
      </w:r>
      <w:r>
        <w:t>е</w:t>
      </w:r>
      <w:r>
        <w:t>буются дополн</w:t>
      </w:r>
      <w:r>
        <w:t>и</w:t>
      </w:r>
      <w:r>
        <w:t>тельные усилия.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 xml:space="preserve"> говорит, что она, разумеется, пон</w:t>
      </w:r>
      <w:r>
        <w:t>и</w:t>
      </w:r>
      <w:r>
        <w:t>мает, что в последнее время политические приор</w:t>
      </w:r>
      <w:r>
        <w:t>и</w:t>
      </w:r>
      <w:r>
        <w:t>теты Латвии заключались во вступлении в члены Европейского союза и НАТО, однако для Комитета первостепенное значение имеют договорные обяз</w:t>
      </w:r>
      <w:r>
        <w:t>а</w:t>
      </w:r>
      <w:r>
        <w:t>тельства данного государства в соответствии с Ко</w:t>
      </w:r>
      <w:r>
        <w:t>н</w:t>
      </w:r>
      <w:r>
        <w:t>венцией. Она приветствует повторное избрание президентом Латвии женщины и надеется, что ла</w:t>
      </w:r>
      <w:r>
        <w:t>т</w:t>
      </w:r>
      <w:r>
        <w:t>вийская делегация сможет представить недоста</w:t>
      </w:r>
      <w:r>
        <w:t>ю</w:t>
      </w:r>
      <w:r>
        <w:t>щую в докладе информацию, как, например, стат</w:t>
      </w:r>
      <w:r>
        <w:t>и</w:t>
      </w:r>
      <w:r>
        <w:t>стические данные и подробные сведения о практ</w:t>
      </w:r>
      <w:r>
        <w:t>и</w:t>
      </w:r>
      <w:r>
        <w:t>ческом выполнении законов с разбивкой по мужч</w:t>
      </w:r>
      <w:r>
        <w:t>и</w:t>
      </w:r>
      <w:r>
        <w:t>нам и женщинам. Факт отсутствия жалоб, подава</w:t>
      </w:r>
      <w:r>
        <w:t>е</w:t>
      </w:r>
      <w:r>
        <w:t>мых латвийскими женщинами, не означает того, что таких жалоб не имеется; зачастую женщины не п</w:t>
      </w:r>
      <w:r>
        <w:t>о</w:t>
      </w:r>
      <w:r>
        <w:t>дают жалобы лишь в силу неосведомленности о своих правах, отсутствия гарантий и механизма п</w:t>
      </w:r>
      <w:r>
        <w:t>о</w:t>
      </w:r>
      <w:r>
        <w:t>следующей деятельности и осущ</w:t>
      </w:r>
      <w:r>
        <w:t>е</w:t>
      </w:r>
      <w:r>
        <w:t>ствления.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Шимонович</w:t>
      </w:r>
      <w:r>
        <w:t>, отмечая, что Латвия рат</w:t>
      </w:r>
      <w:r>
        <w:t>и</w:t>
      </w:r>
      <w:r>
        <w:t>фицировала Конвенцию в 1992 году, спрашивает, почему она так долго не представляла свой доклад, и выражает надежду, что будущие доклады будут представляться более своевременно. Было бы п</w:t>
      </w:r>
      <w:r>
        <w:t>о</w:t>
      </w:r>
      <w:r>
        <w:t>лезно знать, переводился ли доклад на латвийский язык и доступен ли он для широкой публики. Так же было бы полезно знать, участвовали ли в подг</w:t>
      </w:r>
      <w:r>
        <w:t>о</w:t>
      </w:r>
      <w:r>
        <w:t>товке доклада другие неправительственные орган</w:t>
      </w:r>
      <w:r>
        <w:t>и</w:t>
      </w:r>
      <w:r>
        <w:t>зации, помимо Латвийской ассоциации по вопросам гендерного равенства. Следует представить инфо</w:t>
      </w:r>
      <w:r>
        <w:t>р</w:t>
      </w:r>
      <w:r>
        <w:t>мацию о выделяемых для неправительственных о</w:t>
      </w:r>
      <w:r>
        <w:t>р</w:t>
      </w:r>
      <w:r>
        <w:t>ганизаций правительственных финансовых средс</w:t>
      </w:r>
      <w:r>
        <w:t>т</w:t>
      </w:r>
      <w:r>
        <w:t>вах, а также дополнительную информацию об ос</w:t>
      </w:r>
      <w:r>
        <w:t>у</w:t>
      </w:r>
      <w:r>
        <w:t>ществлении Пекинской платформы действий и «П</w:t>
      </w:r>
      <w:r>
        <w:t>е</w:t>
      </w:r>
      <w:r>
        <w:t>кин+5». Далее она просит представить данные о нынешнем и потенциальном будущем числе же</w:t>
      </w:r>
      <w:r>
        <w:t>н</w:t>
      </w:r>
      <w:r>
        <w:t>щин, занятых в судебных органах, и спрашивает, намерена ли Латвия ратифицировать Факультати</w:t>
      </w:r>
      <w:r>
        <w:t>в</w:t>
      </w:r>
      <w:r>
        <w:t>ный протокол к Конвенции.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 Морваи</w:t>
      </w:r>
      <w:r>
        <w:t xml:space="preserve"> просит представить подробную информацию о проектах в области обеспечения гендерного равенства, которые уже выполнены, и о достигнутых результатах. Она также хотела бы знать, как предполагается осуществлять Программу обеспечения гендерного равенства на 2005–2006 годы, контролировать ее, а также имеют ли министе</w:t>
      </w:r>
      <w:r>
        <w:t>р</w:t>
      </w:r>
      <w:r>
        <w:t>ства стандартные каналы сотрудничества с соотве</w:t>
      </w:r>
      <w:r>
        <w:t>т</w:t>
      </w:r>
      <w:r>
        <w:t>ствующим национальным механизмом в свете п</w:t>
      </w:r>
      <w:r>
        <w:t>о</w:t>
      </w:r>
      <w:r>
        <w:t>требностей, касающихся актуализации гендерной проблематики. Кроме того, было бы полезно, если бы государство-участник смогло указать, каким о</w:t>
      </w:r>
      <w:r>
        <w:t>б</w:t>
      </w:r>
      <w:r>
        <w:t>разом неправительственные организации приним</w:t>
      </w:r>
      <w:r>
        <w:t>а</w:t>
      </w:r>
      <w:r>
        <w:t>ют участие в кратко-, средне- и долгосрочном пл</w:t>
      </w:r>
      <w:r>
        <w:t>а</w:t>
      </w:r>
      <w:r>
        <w:t>нировании и в контроле. Хотелось бы получить подробную информацию о количестве женских НПО и об их деятельности; в частности, она хотела бы знать, получают ли они финансовые средства от правительства и, если это так, каковы условия и процедуры подачи соответствующих заявок. Пом</w:t>
      </w:r>
      <w:r>
        <w:t>и</w:t>
      </w:r>
      <w:r>
        <w:t>мо этого, необходимо представить конкретные да</w:t>
      </w:r>
      <w:r>
        <w:t>н</w:t>
      </w:r>
      <w:r>
        <w:t>ные о средствах, которые выделялись неправител</w:t>
      </w:r>
      <w:r>
        <w:t>ь</w:t>
      </w:r>
      <w:r>
        <w:t>ственным организациям в последние годы, а также подробные сведения о получ</w:t>
      </w:r>
      <w:r>
        <w:t>а</w:t>
      </w:r>
      <w:r>
        <w:t xml:space="preserve">телях.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просит гос</w:t>
      </w:r>
      <w:r>
        <w:t>у</w:t>
      </w:r>
      <w:r>
        <w:t>дарство-участника указать, включаются ли в пересматр</w:t>
      </w:r>
      <w:r>
        <w:t>и</w:t>
      </w:r>
      <w:r>
        <w:t>вавшиеся в последнее время латвийские законы упоминания о Конвенции, с тем чтобы привести их в соответствие с директивами Европейского союза. Также следует разъяснить юридическую основу принятия специальных временных мер с учетом т</w:t>
      </w:r>
      <w:r>
        <w:t>о</w:t>
      </w:r>
      <w:r>
        <w:t>го, что как страна переходного периода Латвия все еще сохраняет большое число дискриминационных взглядов и традиций, которые необходимо ликвид</w:t>
      </w:r>
      <w:r>
        <w:t>и</w:t>
      </w:r>
      <w:r>
        <w:t>ровать. В этой связи она хотела бы получить и</w:t>
      </w:r>
      <w:r>
        <w:t>н</w:t>
      </w:r>
      <w:r>
        <w:t>формацию о любой временной специальной мере, включенной в Программу осуществления гендерн</w:t>
      </w:r>
      <w:r>
        <w:t>о</w:t>
      </w:r>
      <w:r>
        <w:t>го равенства, и о соответствующих сферах деятел</w:t>
      </w:r>
      <w:r>
        <w:t>ь</w:t>
      </w:r>
      <w:r>
        <w:t>ности. Если таких мер не принималось, следует указать прич</w:t>
      </w:r>
      <w:r>
        <w:t>и</w:t>
      </w:r>
      <w:r>
        <w:t>ну.</w:t>
      </w:r>
    </w:p>
    <w:p w:rsidR="00000000" w:rsidRDefault="00000000">
      <w:pPr>
        <w:pStyle w:val="DualTxt"/>
      </w:pPr>
      <w:r>
        <w:t>18.</w:t>
      </w:r>
      <w:r>
        <w:tab/>
        <w:t>Латвийские судьи безусловно нуждаются в обучении по гендерным вопросам. Латвийские женщины, занимающие высокие государственные должности, должны призывать других латвийских женщин добиваться осуществления своих законных прав.</w:t>
      </w:r>
    </w:p>
    <w:p w:rsidR="00000000" w:rsidRDefault="00000000">
      <w:pPr>
        <w:pStyle w:val="DualTxt"/>
      </w:pPr>
      <w:r>
        <w:t>19.</w:t>
      </w:r>
      <w:r>
        <w:tab/>
        <w:t>И наконец, она хотела бы знать, почему в Ла</w:t>
      </w:r>
      <w:r>
        <w:t>т</w:t>
      </w:r>
      <w:r>
        <w:t>вии не выпускается никаких публикаций о правах женщин в соответствии с международными док</w:t>
      </w:r>
      <w:r>
        <w:t>у</w:t>
      </w:r>
      <w:r>
        <w:t>ментами, в частности с Конвенцией, и настоятельно призывает эту страну такие публикации выпускать. Было бы полезно узнать, по крайней мере включают ли в себя гендерный аспект выпускавшиеся публ</w:t>
      </w:r>
      <w:r>
        <w:t>и</w:t>
      </w:r>
      <w:r>
        <w:t>кации по правам человека.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Шимонович</w:t>
      </w:r>
      <w:r>
        <w:t xml:space="preserve"> просит представить прим</w:t>
      </w:r>
      <w:r>
        <w:t>е</w:t>
      </w:r>
      <w:r>
        <w:t>ры любых случаев, когда Конвенция применялась национальными судами Латвии или конституцио</w:t>
      </w:r>
      <w:r>
        <w:t>н</w:t>
      </w:r>
      <w:r>
        <w:t>ным судом этой страны. Она также хотела бы знать, включается ли изучение Конвенции в качестве р</w:t>
      </w:r>
      <w:r>
        <w:t>е</w:t>
      </w:r>
      <w:r>
        <w:t>гулярной темы в учебную программу юридических уче</w:t>
      </w:r>
      <w:r>
        <w:t>б</w:t>
      </w:r>
      <w:r>
        <w:t>ных заведений.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 xml:space="preserve"> спрашивает, намерена ли Латвия привести свою конституцию в соответствие с Ко</w:t>
      </w:r>
      <w:r>
        <w:t>н</w:t>
      </w:r>
      <w:r>
        <w:t>венцией, включив в нее определение дискримин</w:t>
      </w:r>
      <w:r>
        <w:t>а</w:t>
      </w:r>
      <w:r>
        <w:t>ции. Необходимо представить подробную информ</w:t>
      </w:r>
      <w:r>
        <w:t>а</w:t>
      </w:r>
      <w:r>
        <w:t>цию о проектах обеспечения гендерного равенства, которые уже были выполнены, и о прилагаемых в настоящее время усилиях по обеспечению всест</w:t>
      </w:r>
      <w:r>
        <w:t>о</w:t>
      </w:r>
      <w:r>
        <w:t>роннего воплощения в жизнь принятых законов, призванных защищать права женщин. Она также хотела бы получить информацию о мерах, прин</w:t>
      </w:r>
      <w:r>
        <w:t>и</w:t>
      </w:r>
      <w:r>
        <w:t>маемых латвийским правительством по повышению уровня осведомленности женщин о таких законах. В частности, было бы полезно узнать, существует ли какая</w:t>
      </w:r>
      <w:r>
        <w:noBreakHyphen/>
        <w:t>либо система юридической помощи и, е</w:t>
      </w:r>
      <w:r>
        <w:t>с</w:t>
      </w:r>
      <w:r>
        <w:t>ли существует, каков ее бюджет, охватывает ли она все типы дел, в том числе касающиеся трудовых отношений и семьи, и сколько женщин воспольз</w:t>
      </w:r>
      <w:r>
        <w:t>о</w:t>
      </w:r>
      <w:r>
        <w:t>вались ее услугами. Наконец, она просит предст</w:t>
      </w:r>
      <w:r>
        <w:t>а</w:t>
      </w:r>
      <w:r>
        <w:t>вить данные о количестве женщин, занятых в с</w:t>
      </w:r>
      <w:r>
        <w:t>у</w:t>
      </w:r>
      <w:r>
        <w:t>дебной системе.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н Флинтерман</w:t>
      </w:r>
      <w:r>
        <w:t xml:space="preserve"> желает больше узнать о роли Национального управления по правам человека, в частности размер его бюджета, количество рассма</w:t>
      </w:r>
      <w:r>
        <w:t>т</w:t>
      </w:r>
      <w:r>
        <w:t>ривавшихся им дел, возможность инициировать рассмотрение в судах, обязаны ли женщины сначала подавать жалобу в Управление, прежде чем обр</w:t>
      </w:r>
      <w:r>
        <w:t>а</w:t>
      </w:r>
      <w:r>
        <w:t>щаться в суд, и достаточно ли хорошо известны его процедуры. Далее он интересуется ролью Управл</w:t>
      </w:r>
      <w:r>
        <w:t>е</w:t>
      </w:r>
      <w:r>
        <w:t>ния в информировании, просвещении и повышении осведомленности женщин, а также спрашивает, представляет ли Управление рекомендации прав</w:t>
      </w:r>
      <w:r>
        <w:t>и</w:t>
      </w:r>
      <w:r>
        <w:t>тельству и другим орг</w:t>
      </w:r>
      <w:r>
        <w:t>а</w:t>
      </w:r>
      <w:r>
        <w:t>нам.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просит представить организацио</w:t>
      </w:r>
      <w:r>
        <w:t>н</w:t>
      </w:r>
      <w:r>
        <w:t>ную структуру правительства, с тем чтобы четко определить, какие из многих вышеупомянутых о</w:t>
      </w:r>
      <w:r>
        <w:t>р</w:t>
      </w:r>
      <w:r>
        <w:t>ганов отвечают за разработку и осуществление стратегий в области обеспечения гендерного раве</w:t>
      </w:r>
      <w:r>
        <w:t>н</w:t>
      </w:r>
      <w:r>
        <w:t>ства. Она также желает знать количество сотрудн</w:t>
      </w:r>
      <w:r>
        <w:t>и</w:t>
      </w:r>
      <w:r>
        <w:t>ков в каждом органе и размер предоставляемого каждому органу бюджета с учетом того, что сил</w:t>
      </w:r>
      <w:r>
        <w:t>ь</w:t>
      </w:r>
      <w:r>
        <w:t>ный национальный механизм обеспечения генде</w:t>
      </w:r>
      <w:r>
        <w:t>р</w:t>
      </w:r>
      <w:r>
        <w:t>ного равенства имеет исключительно важное знач</w:t>
      </w:r>
      <w:r>
        <w:t>е</w:t>
      </w:r>
      <w:r>
        <w:t>ние для успеха актуализации гендерной проблем</w:t>
      </w:r>
      <w:r>
        <w:t>а</w:t>
      </w:r>
      <w:r>
        <w:t>тики. Наконец, следовало бы разъяснить взаим</w:t>
      </w:r>
      <w:r>
        <w:t>о</w:t>
      </w:r>
      <w:r>
        <w:t>связь между таким механизмов и Национальным управлением по правам человека, а также следует указать, переправляет ли указанный механизм ж</w:t>
      </w:r>
      <w:r>
        <w:t>а</w:t>
      </w:r>
      <w:r>
        <w:t>лобы в Управление или рассматривает их самосто</w:t>
      </w:r>
      <w:r>
        <w:t>я</w:t>
      </w:r>
      <w:r>
        <w:t>тельно.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 Гомес</w:t>
      </w:r>
      <w:r>
        <w:t xml:space="preserve"> говорит, что она также не совсем четко понимает функции отдельных стру</w:t>
      </w:r>
      <w:r>
        <w:t>к</w:t>
      </w:r>
      <w:r>
        <w:t>турных образований в рамках национального мех</w:t>
      </w:r>
      <w:r>
        <w:t>а</w:t>
      </w:r>
      <w:r>
        <w:t>низма и характера их взаимодействия. Она просит разъяснить, как министерство по делам детей и с</w:t>
      </w:r>
      <w:r>
        <w:t>е</w:t>
      </w:r>
      <w:r>
        <w:t>мьи осуществляет широкий диапазон требуемой деятельности; было бы более целесообразно, если бы в названии министерства присутствовало слово «женщин» с учетом важности гендерной перспе</w:t>
      </w:r>
      <w:r>
        <w:t>к</w:t>
      </w:r>
      <w:r>
        <w:t>тивы. Поскольку деятельность гражданского общ</w:t>
      </w:r>
      <w:r>
        <w:t>е</w:t>
      </w:r>
      <w:r>
        <w:t>ства Латвии в связанных с улучшением положения женщин областях считается недостаточной, она спрашивает, почему была отклонена идея о созд</w:t>
      </w:r>
      <w:r>
        <w:t>а</w:t>
      </w:r>
      <w:r>
        <w:t>нии центра для поощрения гендерного равенства и механизма рассмотрения имеющих гендерную о</w:t>
      </w:r>
      <w:r>
        <w:t>к</w:t>
      </w:r>
      <w:r>
        <w:t>раску споров. Она также просит представить и</w:t>
      </w:r>
      <w:r>
        <w:t>н</w:t>
      </w:r>
      <w:r>
        <w:t>формацию об основных особенностях программы осуществления гендерного равенства и о деятел</w:t>
      </w:r>
      <w:r>
        <w:t>ь</w:t>
      </w:r>
      <w:r>
        <w:t>ности и результатах проектов в области обеспеч</w:t>
      </w:r>
      <w:r>
        <w:t>е</w:t>
      </w:r>
      <w:r>
        <w:t>ния гендерного равенства, которые уже заверш</w:t>
      </w:r>
      <w:r>
        <w:t>е</w:t>
      </w:r>
      <w:r>
        <w:t>ны.</w:t>
      </w:r>
    </w:p>
    <w:p w:rsidR="00000000" w:rsidRDefault="00000000">
      <w:pPr>
        <w:pStyle w:val="DualTxt"/>
      </w:pPr>
      <w:r>
        <w:t>25.</w:t>
      </w:r>
      <w:r>
        <w:tab/>
        <w:t>Г</w:t>
      </w:r>
      <w:r>
        <w:noBreakHyphen/>
        <w:t>жа Шин (заместитель Председателя) зан</w:t>
      </w:r>
      <w:r>
        <w:t>и</w:t>
      </w:r>
      <w:r>
        <w:t>мает место Предс</w:t>
      </w:r>
      <w:r>
        <w:t>е</w:t>
      </w:r>
      <w:r>
        <w:t>дателя.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 Сильва</w:t>
      </w:r>
      <w:r>
        <w:t xml:space="preserve"> просит представить разъяснение относительного национального мех</w:t>
      </w:r>
      <w:r>
        <w:t>а</w:t>
      </w:r>
      <w:r>
        <w:t>низма обеспечения гендерного равенства и о том, является ли предложенный центр поощрения ге</w:t>
      </w:r>
      <w:r>
        <w:t>н</w:t>
      </w:r>
      <w:r>
        <w:t>дерного равенства каким</w:t>
      </w:r>
      <w:r>
        <w:noBreakHyphen/>
        <w:t>то новым механизмом или же это то же самое, что и Совет гендерного раве</w:t>
      </w:r>
      <w:r>
        <w:t>н</w:t>
      </w:r>
      <w:r>
        <w:t>ства. Поскольку в Латвии насчитывается 33 же</w:t>
      </w:r>
      <w:r>
        <w:t>н</w:t>
      </w:r>
      <w:r>
        <w:t>ские неправительственные организации, предста</w:t>
      </w:r>
      <w:r>
        <w:t>в</w:t>
      </w:r>
      <w:r>
        <w:t>ляющее доклад государство должно объяснить пр</w:t>
      </w:r>
      <w:r>
        <w:t>и</w:t>
      </w:r>
      <w:r>
        <w:t>чину имеющих, как представляется, место особых отношений между правительством и Латвийской ассоциацией по вопросам гендерного равенства, в частности. Она была бы признательна за получение подробной информации о том, поддерживает ли правительство формальные отношения с неправ</w:t>
      </w:r>
      <w:r>
        <w:t>и</w:t>
      </w:r>
      <w:r>
        <w:t>тельственными организациями или же они объед</w:t>
      </w:r>
      <w:r>
        <w:t>и</w:t>
      </w:r>
      <w:r>
        <w:t>нены в какой</w:t>
      </w:r>
      <w:r>
        <w:noBreakHyphen/>
        <w:t>то совет, а также проводят ли они де</w:t>
      </w:r>
      <w:r>
        <w:t>я</w:t>
      </w:r>
      <w:r>
        <w:t>тельность по проектам на специальной о</w:t>
      </w:r>
      <w:r>
        <w:t>с</w:t>
      </w:r>
      <w:r>
        <w:t>нове.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Шёпп-Шиллинг </w:t>
      </w:r>
      <w:r>
        <w:t>обращает внимание латвийской делегации на общую рекомендацию 25 и спрашивает, все ли общие рекомендации Комит</w:t>
      </w:r>
      <w:r>
        <w:t>е</w:t>
      </w:r>
      <w:r>
        <w:t>та были переведены на латвийский язык.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Бельмихуб-Зердани</w:t>
      </w:r>
      <w:r>
        <w:t xml:space="preserve"> говорит, что улу</w:t>
      </w:r>
      <w:r>
        <w:t>ч</w:t>
      </w:r>
      <w:r>
        <w:t>шение положения женщин может быть достигнуто значительно быстрее путем принятия специальных временных мер, и подчеркивает важность испол</w:t>
      </w:r>
      <w:r>
        <w:t>ь</w:t>
      </w:r>
      <w:r>
        <w:t>зования всего диапазона возможностей средств массовой информации для привлечения внимания к образу женщины, пропаганды Конвенции и пов</w:t>
      </w:r>
      <w:r>
        <w:t>ы</w:t>
      </w:r>
      <w:r>
        <w:t>шения уровня осведомленности о тех выводах, к</w:t>
      </w:r>
      <w:r>
        <w:t>о</w:t>
      </w:r>
      <w:r>
        <w:t>торые будут получены благодаря ее осуществл</w:t>
      </w:r>
      <w:r>
        <w:t>е</w:t>
      </w:r>
      <w:r>
        <w:t>нию. Поэтому она предлагает латвийской делегации тщательно изучить и систематически выполнять общую рекомендацию 25 для скорейшего достиж</w:t>
      </w:r>
      <w:r>
        <w:t>е</w:t>
      </w:r>
      <w:r>
        <w:t>ния гендерного раве</w:t>
      </w:r>
      <w:r>
        <w:t>н</w:t>
      </w:r>
      <w:r>
        <w:t>ства.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 Сильва</w:t>
      </w:r>
      <w:r>
        <w:t xml:space="preserve"> обращает внимание на содержащееся в докладе заявление о том, что, поскольку гендерное равенство гарантируется на конституционном уровне, для Латвии нетипичны конкретные меры, направленные на содействие р</w:t>
      </w:r>
      <w:r>
        <w:t>а</w:t>
      </w:r>
      <w:r>
        <w:t>венству де</w:t>
      </w:r>
      <w:r>
        <w:noBreakHyphen/>
        <w:t>факто; это заявление вызывает удивл</w:t>
      </w:r>
      <w:r>
        <w:t>е</w:t>
      </w:r>
      <w:r>
        <w:t>ние, поскольку в других разделах доклада четко г</w:t>
      </w:r>
      <w:r>
        <w:t>о</w:t>
      </w:r>
      <w:r>
        <w:t>ворится, что, несмотря на эти гарантии, неравенс</w:t>
      </w:r>
      <w:r>
        <w:t>т</w:t>
      </w:r>
      <w:r>
        <w:t>во сохраняется. Одних только законодательных мер недо</w:t>
      </w:r>
      <w:r>
        <w:t>с</w:t>
      </w:r>
      <w:r>
        <w:t>таточно; например, даже и при президенте-женщине женщины составляют менее 30 процентов от общего числа членов парламента, и этот показ</w:t>
      </w:r>
      <w:r>
        <w:t>а</w:t>
      </w:r>
      <w:r>
        <w:t>тель не увеличивается. Многое еще предстоит сд</w:t>
      </w:r>
      <w:r>
        <w:t>е</w:t>
      </w:r>
      <w:r>
        <w:t>лать для обеспечения в обществе реальных пер</w:t>
      </w:r>
      <w:r>
        <w:t>е</w:t>
      </w:r>
      <w:r>
        <w:t>мен; иногда для этого требуются специальные м</w:t>
      </w:r>
      <w:r>
        <w:t>е</w:t>
      </w:r>
      <w:r>
        <w:t>ры, и делегации следует внимательно ознакомиться с содержанием рекомендации 25.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 xml:space="preserve"> выражает обеспокоенность в связи с отсутствием данных о насилии в отношении женщин и принимаемых в целях борьбы с ним мер правительства, поскольку насилие по признаку пола является одной из форм дискриминации и серье</w:t>
      </w:r>
      <w:r>
        <w:t>з</w:t>
      </w:r>
      <w:r>
        <w:t>ным препятствием на пути к обеспечению равенс</w:t>
      </w:r>
      <w:r>
        <w:t>т</w:t>
      </w:r>
      <w:r>
        <w:t>ва между мужчинами и женщинами. Она спрашив</w:t>
      </w:r>
      <w:r>
        <w:t>а</w:t>
      </w:r>
      <w:r>
        <w:t>ет, имеет ли отсутствие конкретного закона в этой связи что</w:t>
      </w:r>
      <w:r>
        <w:noBreakHyphen/>
        <w:t>либо общее с тем, что правительство ра</w:t>
      </w:r>
      <w:r>
        <w:t>с</w:t>
      </w:r>
      <w:r>
        <w:t>сматривает внутринациональную жизнь в качестве частной области. В устном заявлении не было пре</w:t>
      </w:r>
      <w:r>
        <w:t>д</w:t>
      </w:r>
      <w:r>
        <w:t>ставлено какой</w:t>
      </w:r>
      <w:r>
        <w:noBreakHyphen/>
        <w:t>либо новой информации — помимо той, которая заявлена в докладе; ей хотелось бы знать, планируется ли принятие какого</w:t>
      </w:r>
      <w:r>
        <w:noBreakHyphen/>
        <w:t>либо нового закона по этому вопросу, и она настоятельно пр</w:t>
      </w:r>
      <w:r>
        <w:t>и</w:t>
      </w:r>
      <w:r>
        <w:t>зывает правительство принять все надлежащие м</w:t>
      </w:r>
      <w:r>
        <w:t>е</w:t>
      </w:r>
      <w:r>
        <w:t>ры, в том числе законы, поскольку государства об</w:t>
      </w:r>
      <w:r>
        <w:t>я</w:t>
      </w:r>
      <w:r>
        <w:t>заны защищать женщин от насилия и оказывать поддержку его жертвам. В докладе упоминается взаимодействие между полицией и центром по пр</w:t>
      </w:r>
      <w:r>
        <w:t>е</w:t>
      </w:r>
      <w:r>
        <w:t>одолению кризисной обстановки, при этом было бы полезным знать, сколько центров по преодолению кризисной обстановки имеется в стране, а также созданы ли соответствующие приюты. В Уголовном кодексе не содержится конкретного упоминания о бытовом насилии. Она интересуется, обеспечивае</w:t>
      </w:r>
      <w:r>
        <w:t>т</w:t>
      </w:r>
      <w:r>
        <w:t>ся ли конкретная профессиональная подготовка для сотрудников судебных и правоохранительных орг</w:t>
      </w:r>
      <w:r>
        <w:t>а</w:t>
      </w:r>
      <w:r>
        <w:t>нов по вопросам насилия по признаку пола и скол</w:t>
      </w:r>
      <w:r>
        <w:t>ь</w:t>
      </w:r>
      <w:r>
        <w:t>ко в органах полиции имеется с</w:t>
      </w:r>
      <w:r>
        <w:t>о</w:t>
      </w:r>
      <w:r>
        <w:t>трудниц-женщин.</w:t>
      </w:r>
    </w:p>
    <w:p w:rsidR="00000000" w:rsidRDefault="00000000">
      <w:pPr>
        <w:pStyle w:val="DualTxt"/>
      </w:pPr>
      <w:r>
        <w:t>31.</w:t>
      </w:r>
      <w:r>
        <w:tab/>
        <w:t>В докладе упоминается незначительное число жалоб, представленных в Национальное управление по правам человека в связи с бытовым насилием; хотелось бы знать, какими полномочиями распол</w:t>
      </w:r>
      <w:r>
        <w:t>а</w:t>
      </w:r>
      <w:r>
        <w:t>гает Управление по правам человека в рамках таких дел и каким образом оно рассматривает жал</w:t>
      </w:r>
      <w:r>
        <w:t>о</w:t>
      </w:r>
      <w:r>
        <w:t>бы.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Председатель</w:t>
      </w:r>
      <w:r>
        <w:t>, выступая в своем личном кач</w:t>
      </w:r>
      <w:r>
        <w:t>е</w:t>
      </w:r>
      <w:r>
        <w:t>стве, спрашивает, проводились ли какие</w:t>
      </w:r>
      <w:r>
        <w:noBreakHyphen/>
        <w:t>либо н</w:t>
      </w:r>
      <w:r>
        <w:t>а</w:t>
      </w:r>
      <w:r>
        <w:t>циональные обследования по теме насилия в отн</w:t>
      </w:r>
      <w:r>
        <w:t>о</w:t>
      </w:r>
      <w:r>
        <w:t>шении женщин, в особенности бытового насилия. Согласно проведенным обследованиям, в некоторых странах на долю бытового насилия приходится от 30 до 70 процентов всех случаев насилия. Сбор ст</w:t>
      </w:r>
      <w:r>
        <w:t>а</w:t>
      </w:r>
      <w:r>
        <w:t>тистических данных, свидетельствующих о реал</w:t>
      </w:r>
      <w:r>
        <w:t>ь</w:t>
      </w:r>
      <w:r>
        <w:t>ном положении женщин, является исходным пун</w:t>
      </w:r>
      <w:r>
        <w:t>к</w:t>
      </w:r>
      <w:r>
        <w:t>том для решения этого вопроса. Государству, пре</w:t>
      </w:r>
      <w:r>
        <w:t>д</w:t>
      </w:r>
      <w:r>
        <w:t>ставившему доклад, следует указать, имеется ли план действий в интересах женщин, а если имеется, то охватывается ли этим планом проблема насилия, в особенности бытового н</w:t>
      </w:r>
      <w:r>
        <w:t>а</w:t>
      </w:r>
      <w:r>
        <w:t>силия.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обращает внимание на содерж</w:t>
      </w:r>
      <w:r>
        <w:t>а</w:t>
      </w:r>
      <w:r>
        <w:t>щееся в докладе заявление о том, что меры, напра</w:t>
      </w:r>
      <w:r>
        <w:t>в</w:t>
      </w:r>
      <w:r>
        <w:t>ленные на достижение равенства, нередко приводят к противоположным результатам. Правительству следует указать, каким образом оно предлагает р</w:t>
      </w:r>
      <w:r>
        <w:t>е</w:t>
      </w:r>
      <w:r>
        <w:t>шить этот вопрос, и в докладе далее отмечается, что, поскольку Латвия вновь обрела независимость в 1991 году, основное внимание уделялось индив</w:t>
      </w:r>
      <w:r>
        <w:t>и</w:t>
      </w:r>
      <w:r>
        <w:t>дуальным предпочтениям женщин. Необходимо следить не только за наличием равных возможн</w:t>
      </w:r>
      <w:r>
        <w:t>о</w:t>
      </w:r>
      <w:r>
        <w:t>стей, но также за тем, обеспечивают ли равные во</w:t>
      </w:r>
      <w:r>
        <w:t>з</w:t>
      </w:r>
      <w:r>
        <w:t>можности одинаковые результаты; такие возможн</w:t>
      </w:r>
      <w:r>
        <w:t>о</w:t>
      </w:r>
      <w:r>
        <w:t>сти нередко имеются, однако соответствующие р</w:t>
      </w:r>
      <w:r>
        <w:t>е</w:t>
      </w:r>
      <w:r>
        <w:t>зультаты отсутствуют. Национальное управление по правам человека рекомендовало внести поправки в уголовное законодательство, при этом хотелось бы знать, каким образом правительство планирует удовлетворить потребность в конкретном законе о бытовом насилии, поскольку это та область, в кот</w:t>
      </w:r>
      <w:r>
        <w:t>о</w:t>
      </w:r>
      <w:r>
        <w:t>рой правительства пр</w:t>
      </w:r>
      <w:r>
        <w:t>и</w:t>
      </w:r>
      <w:r>
        <w:t>званы сыграть важную роль.</w:t>
      </w:r>
    </w:p>
    <w:p w:rsidR="00000000" w:rsidRDefault="00000000">
      <w:pPr>
        <w:pStyle w:val="DualTxt"/>
      </w:pPr>
      <w:r>
        <w:t>34.</w:t>
      </w:r>
      <w:r>
        <w:tab/>
        <w:t>Было бы целесообразно представить дополн</w:t>
      </w:r>
      <w:r>
        <w:t>и</w:t>
      </w:r>
      <w:r>
        <w:t>тельную информацию о национальном механизме обеспечения прав женщин и прав человека, а также о роли НПО в этой области. Содержание пунктов 34 и 35 доклада свидетельствует о важном значении одновременного осуществления всех мер, при этом координацию всех предпринимаемых усилий до</w:t>
      </w:r>
      <w:r>
        <w:t>л</w:t>
      </w:r>
      <w:r>
        <w:t>жен осуществлять наци</w:t>
      </w:r>
      <w:r>
        <w:t>о</w:t>
      </w:r>
      <w:r>
        <w:t>нальный механизм.</w:t>
      </w:r>
    </w:p>
    <w:p w:rsidR="00000000" w:rsidRDefault="00000000">
      <w:pPr>
        <w:pStyle w:val="DualTxt"/>
      </w:pPr>
      <w:r>
        <w:t>35.</w:t>
      </w:r>
      <w:r>
        <w:tab/>
        <w:t>Г</w:t>
      </w:r>
      <w:r>
        <w:noBreakHyphen/>
        <w:t>жа Ачар (Председатель) вновь занимает м</w:t>
      </w:r>
      <w:r>
        <w:t>е</w:t>
      </w:r>
      <w:r>
        <w:t>сто Председателя.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</w:t>
      </w:r>
      <w:r>
        <w:t> </w:t>
      </w:r>
      <w:r>
        <w:rPr>
          <w:b/>
        </w:rPr>
        <w:t xml:space="preserve">Морвай </w:t>
      </w:r>
      <w:r>
        <w:t>говорит о необходимости пр</w:t>
      </w:r>
      <w:r>
        <w:t>е</w:t>
      </w:r>
      <w:r>
        <w:t>доставить информацию о количестве женщин, к</w:t>
      </w:r>
      <w:r>
        <w:t>о</w:t>
      </w:r>
      <w:r>
        <w:t>торых ежегодно убивают мужья или партнеры или бывшие мужья или партнеры, поскольку нападения, приводящие к смертному исходу, нередко в стат</w:t>
      </w:r>
      <w:r>
        <w:t>и</w:t>
      </w:r>
      <w:r>
        <w:t>стических отчетах фигурируют как нападение, а не как убийство. Таким убийствам обычно предшес</w:t>
      </w:r>
      <w:r>
        <w:t>т</w:t>
      </w:r>
      <w:r>
        <w:t>вуют долгие годы грубого обращения в семье, кот</w:t>
      </w:r>
      <w:r>
        <w:t>о</w:t>
      </w:r>
      <w:r>
        <w:t>рые государство должно сдерживать, например с помощью запретительного судебного приказа, п</w:t>
      </w:r>
      <w:r>
        <w:t>о</w:t>
      </w:r>
      <w:r>
        <w:t>скольку один из основных принципов правосудия состоит в том, что дом должно покинуть лицо, с</w:t>
      </w:r>
      <w:r>
        <w:t>о</w:t>
      </w:r>
      <w:r>
        <w:t>вершающее насилие, а не жертвы насилия. Пре</w:t>
      </w:r>
      <w:r>
        <w:t>д</w:t>
      </w:r>
      <w:r>
        <w:t>ставляется неясным, имеется ли в системе Латвии концепция запретительного судебного приказа; если имеется, то она была бы признательна за предо</w:t>
      </w:r>
      <w:r>
        <w:t>с</w:t>
      </w:r>
      <w:r>
        <w:t>тавление информации о том, сколько таких прик</w:t>
      </w:r>
      <w:r>
        <w:t>а</w:t>
      </w:r>
      <w:r>
        <w:t>зов отдается каждый год, а если такой концепции не имеется, то сколько арестов производится в целях сдерживания бытового насилия. Реагировать на случаи бытового насилия обязаны органы полиции, а не Национальное управление по правам человека. Она обращает внимание на необходимость наличия достаточного числа приютов для подвергшихся и</w:t>
      </w:r>
      <w:r>
        <w:t>з</w:t>
      </w:r>
      <w:r>
        <w:t>биениям женщин, даже в тех случаях если издаются приказы об обеспечении защиты (общая рекоме</w:t>
      </w:r>
      <w:r>
        <w:t>н</w:t>
      </w:r>
      <w:r>
        <w:t>дация 19); хотелось бы знать, сколько имеется коек в этих приютах и какие средства выделяются для их по</w:t>
      </w:r>
      <w:r>
        <w:t>д</w:t>
      </w:r>
      <w:r>
        <w:t>держки.</w:t>
      </w:r>
    </w:p>
    <w:p w:rsidR="00000000" w:rsidRDefault="00000000">
      <w:pPr>
        <w:pStyle w:val="DualTxt"/>
      </w:pPr>
      <w:r>
        <w:t>37.</w:t>
      </w:r>
      <w:r>
        <w:tab/>
        <w:t>Хотя вопрос об абортах рассматривается по статье 12, в Латвии, как и в других странах Восто</w:t>
      </w:r>
      <w:r>
        <w:t>ч</w:t>
      </w:r>
      <w:r>
        <w:t>ной Европы, масштабы применения абортов дост</w:t>
      </w:r>
      <w:r>
        <w:t>а</w:t>
      </w:r>
      <w:r>
        <w:t>точно велики, а это означает, что аборт также явл</w:t>
      </w:r>
      <w:r>
        <w:t>я</w:t>
      </w:r>
      <w:r>
        <w:t>ется формой надругательства. Она приветствует тот факт, что число абортов сократилось, однако инт</w:t>
      </w:r>
      <w:r>
        <w:t>е</w:t>
      </w:r>
      <w:r>
        <w:t>ресуется, известно ли делегациям о том, что их п</w:t>
      </w:r>
      <w:r>
        <w:t>о</w:t>
      </w:r>
      <w:r>
        <w:t>казатели в пять–шесть раз превышают средние п</w:t>
      </w:r>
      <w:r>
        <w:t>о</w:t>
      </w:r>
      <w:r>
        <w:t>казатели по Европейскому союзу в целом. Аборт создает проблемы как для тела, так и для души женщины, и при этом следует осознавать ответс</w:t>
      </w:r>
      <w:r>
        <w:t>т</w:t>
      </w:r>
      <w:r>
        <w:t>венность мужчин за планирование семьи.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приветствует тот факт, что делег</w:t>
      </w:r>
      <w:r>
        <w:t>а</w:t>
      </w:r>
      <w:r>
        <w:t>ция Латвии подробно рассмотрела как в докладе, так и в устном заявлении вопрос об отсутствии п</w:t>
      </w:r>
      <w:r>
        <w:t>о</w:t>
      </w:r>
      <w:r>
        <w:t>нимания принципа недискриминации и преоблад</w:t>
      </w:r>
      <w:r>
        <w:t>а</w:t>
      </w:r>
      <w:r>
        <w:t>ния крестьянской и патриархальной ментальности; тем не менее она считает подход правительства фрагментарным, а не комплексным. Необходимо принять такие временные специальные меры, как усилия по обеспечению просвещения с учетом ге</w:t>
      </w:r>
      <w:r>
        <w:t>н</w:t>
      </w:r>
      <w:r>
        <w:t>дерных вопросов, поскольку в рамках системы о</w:t>
      </w:r>
      <w:r>
        <w:t>б</w:t>
      </w:r>
      <w:r>
        <w:t>разования Латвии предпочтение по</w:t>
      </w:r>
      <w:r>
        <w:noBreakHyphen/>
        <w:t>прежнему отд</w:t>
      </w:r>
      <w:r>
        <w:t>а</w:t>
      </w:r>
      <w:r>
        <w:t>ется сегрегации по признаку пола. Она приветств</w:t>
      </w:r>
      <w:r>
        <w:t>у</w:t>
      </w:r>
      <w:r>
        <w:t>ет Закон о рекламе, в котором запрещена дискрим</w:t>
      </w:r>
      <w:r>
        <w:t>и</w:t>
      </w:r>
      <w:r>
        <w:t>нация по признаку пола, однако мер наказания за дискриминационную в гендерном отношении пол</w:t>
      </w:r>
      <w:r>
        <w:t>и</w:t>
      </w:r>
      <w:r>
        <w:t>тику найма на работу не имеется. В телевизионных рекламных материалах и других средствах масс</w:t>
      </w:r>
      <w:r>
        <w:t>о</w:t>
      </w:r>
      <w:r>
        <w:t>вой информации женщины действительно не из</w:t>
      </w:r>
      <w:r>
        <w:t>о</w:t>
      </w:r>
      <w:r>
        <w:t>бражаются в качестве секс-объектов, что весьма п</w:t>
      </w:r>
      <w:r>
        <w:t>о</w:t>
      </w:r>
      <w:r>
        <w:t>хвально, но хотелось бы знать, имеется ли в стране какой</w:t>
      </w:r>
      <w:r>
        <w:noBreakHyphen/>
        <w:t>либо цензурный орган, контролирующий т</w:t>
      </w:r>
      <w:r>
        <w:t>а</w:t>
      </w:r>
      <w:r>
        <w:t>кие вопросы. Хотелось бы также знать, какие ос</w:t>
      </w:r>
      <w:r>
        <w:t>у</w:t>
      </w:r>
      <w:r>
        <w:t>ществляются меры по популяризации Конвенции на латышском, русском или других языках, каким о</w:t>
      </w:r>
      <w:r>
        <w:t>б</w:t>
      </w:r>
      <w:r>
        <w:t>разом национальный механизм координирует его деятельность с деятельностью министерства по д</w:t>
      </w:r>
      <w:r>
        <w:t>е</w:t>
      </w:r>
      <w:r>
        <w:t>лам детей и семьи и Подкомитета парламента по социальным вопросам, какой орган несет в коне</w:t>
      </w:r>
      <w:r>
        <w:t>ч</w:t>
      </w:r>
      <w:r>
        <w:t>ном счете ответственность за распространение и</w:t>
      </w:r>
      <w:r>
        <w:t>н</w:t>
      </w:r>
      <w:r>
        <w:t>формации о Конвенции и включены ли ее полож</w:t>
      </w:r>
      <w:r>
        <w:t>е</w:t>
      </w:r>
      <w:r>
        <w:t>ния в правительственную Программу обеспечения равенс</w:t>
      </w:r>
      <w:r>
        <w:t>т</w:t>
      </w:r>
      <w:r>
        <w:t>ва мужчин и женщин (2005–2006 годы).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 Кокер-Аппиа</w:t>
      </w:r>
      <w:r>
        <w:t xml:space="preserve"> говорит о необходимости представить дополнительную подробную информ</w:t>
      </w:r>
      <w:r>
        <w:t>а</w:t>
      </w:r>
      <w:r>
        <w:t>цию о любых программах профессиональной по</w:t>
      </w:r>
      <w:r>
        <w:t>д</w:t>
      </w:r>
      <w:r>
        <w:t>готовки сотрудников правоохранительных органов, полиции и судов, а также работников системы здр</w:t>
      </w:r>
      <w:r>
        <w:t>а</w:t>
      </w:r>
      <w:r>
        <w:t>воохранения по вопросам борьбы с насилием в о</w:t>
      </w:r>
      <w:r>
        <w:t>т</w:t>
      </w:r>
      <w:r>
        <w:t>ношении женщин. В докладе отмечается, что отн</w:t>
      </w:r>
      <w:r>
        <w:t>о</w:t>
      </w:r>
      <w:r>
        <w:t>шение всех этих органов и отдельных лиц опред</w:t>
      </w:r>
      <w:r>
        <w:t>е</w:t>
      </w:r>
      <w:r>
        <w:t>ляется тем, сообщают ли женщины о случаях нас</w:t>
      </w:r>
      <w:r>
        <w:t>и</w:t>
      </w:r>
      <w:r>
        <w:t>лия в органы полиции и каким образом они это д</w:t>
      </w:r>
      <w:r>
        <w:t>е</w:t>
      </w:r>
      <w:r>
        <w:t>лают. Представляется неясным, имеется ли пр</w:t>
      </w:r>
      <w:r>
        <w:t>о</w:t>
      </w:r>
      <w:r>
        <w:t>грамма информирования общественности об этом вопросе. В докладе упоминается превалирующее в Латвии патриархальное отношение к женщинам; одной из причин насилия в отношении женщин я</w:t>
      </w:r>
      <w:r>
        <w:t>в</w:t>
      </w:r>
      <w:r>
        <w:t>ляются стереотипы гендерного характера.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 Гомес</w:t>
      </w:r>
      <w:r>
        <w:t>, ссылаясь на упомянутые в докладе семинары, практикумы и кампании и</w:t>
      </w:r>
      <w:r>
        <w:t>с</w:t>
      </w:r>
      <w:r>
        <w:t>пользования средств массовой информации в целях борьбы со стереотип</w:t>
      </w:r>
      <w:r>
        <w:t>а</w:t>
      </w:r>
      <w:r>
        <w:t>ми, просит государство-участника указать, были ли это одноразовые или регулярные мероприятия и предназначались ли они для всего латвийского общества или только для женщин. В докладе содержится ссылка на Ассоци</w:t>
      </w:r>
      <w:r>
        <w:t>а</w:t>
      </w:r>
      <w:r>
        <w:t>цию по вопросам гендерного равенства; она инт</w:t>
      </w:r>
      <w:r>
        <w:t>е</w:t>
      </w:r>
      <w:r>
        <w:t>ресуется, осуществляет ли прав</w:t>
      </w:r>
      <w:r>
        <w:t>и</w:t>
      </w:r>
      <w:r>
        <w:t>тельство какую-либо систематическую работу в этой области, п</w:t>
      </w:r>
      <w:r>
        <w:t>о</w:t>
      </w:r>
      <w:r>
        <w:t>скольку бремя этой деятельности не должны нести только НПО. В докладе не упоминается какая-либо государственная программа борьбы со стереотип</w:t>
      </w:r>
      <w:r>
        <w:t>а</w:t>
      </w:r>
      <w:r>
        <w:t>ми, например, путем профессиональной подготовки учителей, врачей и юристов и обеспечения инфо</w:t>
      </w:r>
      <w:r>
        <w:t>р</w:t>
      </w:r>
      <w:r>
        <w:t>мированности женщин об имеющихся у них правах. Хорошо было бы представить информацию о том, переведена ли эта Конвенция на местные языки и принята ли она в качес</w:t>
      </w:r>
      <w:r>
        <w:t>т</w:t>
      </w:r>
      <w:r>
        <w:t>ве закона в Латвии.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 Сильва</w:t>
      </w:r>
      <w:r>
        <w:t xml:space="preserve"> отмечает серьезное положение в области проституции. Очень молодые женщины и девочки, которые подвергались секс</w:t>
      </w:r>
      <w:r>
        <w:t>у</w:t>
      </w:r>
      <w:r>
        <w:t>альным надругательствам в детстве и у которых нет постоянного места жительства, отправляются в с</w:t>
      </w:r>
      <w:r>
        <w:t>о</w:t>
      </w:r>
      <w:r>
        <w:t>седние страны или в Латвию из соседних стран и оказываются в беспомощном положении. В докладе упоминается социально-экономическое положение в Латвии в качестве причины, по которой для их р</w:t>
      </w:r>
      <w:r>
        <w:t>е</w:t>
      </w:r>
      <w:r>
        <w:t>интеграции в общество нет дополнительной пом</w:t>
      </w:r>
      <w:r>
        <w:t>о</w:t>
      </w:r>
      <w:r>
        <w:t>щи и поддержки. На карту поставлены основные и основополагающие права этих молодых женщин. Были приняты меры взаимодействия с другими г</w:t>
      </w:r>
      <w:r>
        <w:t>о</w:t>
      </w:r>
      <w:r>
        <w:t>сударствами в целях решения этой проблемы, и это похвально, однако необходимо проделать дополн</w:t>
      </w:r>
      <w:r>
        <w:t>и</w:t>
      </w:r>
      <w:r>
        <w:t>тельную работу; для обеспечения их прав и дост</w:t>
      </w:r>
      <w:r>
        <w:t>о</w:t>
      </w:r>
      <w:r>
        <w:t>инства требуются полномасштабные ответные м</w:t>
      </w:r>
      <w:r>
        <w:t>е</w:t>
      </w:r>
      <w:r>
        <w:t>ры. В докладе упоминается Программа предотвр</w:t>
      </w:r>
      <w:r>
        <w:t>а</w:t>
      </w:r>
      <w:r>
        <w:t>щения торговли людьми в 2004–2008 годах, в кот</w:t>
      </w:r>
      <w:r>
        <w:t>о</w:t>
      </w:r>
      <w:r>
        <w:t>рую будут включены меры профилактики и реаб</w:t>
      </w:r>
      <w:r>
        <w:t>и</w:t>
      </w:r>
      <w:r>
        <w:t>литации, и хотелось бы знать, начато ли осущест</w:t>
      </w:r>
      <w:r>
        <w:t>в</w:t>
      </w:r>
      <w:r>
        <w:t>ление этой программы и осуществляется ли она эффективным образом.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Морвай</w:t>
      </w:r>
      <w:r>
        <w:t xml:space="preserve"> говорит о необходимости пр</w:t>
      </w:r>
      <w:r>
        <w:t>е</w:t>
      </w:r>
      <w:r>
        <w:t>доставления конкретных данных о весьма серье</w:t>
      </w:r>
      <w:r>
        <w:t>з</w:t>
      </w:r>
      <w:r>
        <w:t>ном преступлении, например, по вопросу о том, сколько женщин было переправлено в Латвию или из Латвии. Наличие данных о численности женщин и девочек, занимающихся проституцией, позволит составить представление о количестве их клиентов-мужчин, что является одним из аспектов данной проблемы, не всегда принимаемым в расчет. Де</w:t>
      </w:r>
      <w:r>
        <w:t>я</w:t>
      </w:r>
      <w:r>
        <w:t>тельность Организации Объединенных Наций и опыт осуществления документов, касающихся н</w:t>
      </w:r>
      <w:r>
        <w:t>е</w:t>
      </w:r>
      <w:r>
        <w:t>законной торговли женщинами, свидетельствует о том, что наиболее эффективным путем предотвр</w:t>
      </w:r>
      <w:r>
        <w:t>а</w:t>
      </w:r>
      <w:r>
        <w:t>щения незаконной торговли является решение тесно связанной с ней проблемы проституции, а наиболее эффективным путем решения проблемы простит</w:t>
      </w:r>
      <w:r>
        <w:t>у</w:t>
      </w:r>
      <w:r>
        <w:t>ции является борьба со спросом на услуги прост</w:t>
      </w:r>
      <w:r>
        <w:t>и</w:t>
      </w:r>
      <w:r>
        <w:t>туток. Численность клиентов легко рассчитать, взяв число женщин, занимающихся проституцией, и у</w:t>
      </w:r>
      <w:r>
        <w:t>м</w:t>
      </w:r>
      <w:r>
        <w:t>ножив его на 5–10 случаев в день; это будет показ</w:t>
      </w:r>
      <w:r>
        <w:t>а</w:t>
      </w:r>
      <w:r>
        <w:t>телем числа мужчин, обычно женатых и имеющих детей, которые используют этих женщин и девочек в качестве предметов, и в отношении их следует в первую очередь принимать необходимые меры. Она интересуется, какие конкретные результаты дости</w:t>
      </w:r>
      <w:r>
        <w:t>г</w:t>
      </w:r>
      <w:r>
        <w:t>нуты в рамках проводимой странами Северной Е</w:t>
      </w:r>
      <w:r>
        <w:t>в</w:t>
      </w:r>
      <w:r>
        <w:t>ропы кампании по борьбе с торговлей женщинами и какие бюджетные средства Латвии выделены на эту кампанию. Следует предоставить дополнительные данные о том, является ли преступлением испол</w:t>
      </w:r>
      <w:r>
        <w:t>ь</w:t>
      </w:r>
      <w:r>
        <w:t>зование детей в возрасте до 18 лет в целях прост</w:t>
      </w:r>
      <w:r>
        <w:t>и</w:t>
      </w:r>
      <w:r>
        <w:t>туции и является ли возможным проведение суде</w:t>
      </w:r>
      <w:r>
        <w:t>б</w:t>
      </w:r>
      <w:r>
        <w:t>ного разбирательства в отношении клиентов пр</w:t>
      </w:r>
      <w:r>
        <w:t>о</w:t>
      </w:r>
      <w:r>
        <w:t>стит</w:t>
      </w:r>
      <w:r>
        <w:t>у</w:t>
      </w:r>
      <w:r>
        <w:t>ток.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отмечает, что у Латвии еще имеются возможности для более активного осуществления усилий по борьбе с незаконной то</w:t>
      </w:r>
      <w:r>
        <w:t>р</w:t>
      </w:r>
      <w:r>
        <w:t>говлей как на двусторонней, так и на многосторо</w:t>
      </w:r>
      <w:r>
        <w:t>н</w:t>
      </w:r>
      <w:r>
        <w:t>ней основе, поскольку некоторые конвенции еще не ратифицированы. Однако, как уже отмечалось, на</w:t>
      </w:r>
      <w:r>
        <w:t>и</w:t>
      </w:r>
      <w:r>
        <w:t>более важным представляется устранение причин незаконной торговли. Хотелось бы знать, провод</w:t>
      </w:r>
      <w:r>
        <w:t>и</w:t>
      </w:r>
      <w:r>
        <w:t>лось ли исследование по вопросу о том, почему м</w:t>
      </w:r>
      <w:r>
        <w:t>о</w:t>
      </w:r>
      <w:r>
        <w:t>лодые женщины все чаще соблазняются возможн</w:t>
      </w:r>
      <w:r>
        <w:t>о</w:t>
      </w:r>
      <w:r>
        <w:t>стью выезда за рубеж и является ли причиной этого возможность получения выгодной «работы», кот</w:t>
      </w:r>
      <w:r>
        <w:t>о</w:t>
      </w:r>
      <w:r>
        <w:t>рая оказывается совсем не тем, чего они ожидали, и обеспечивается ли их информирование о связанных с этим опасностях в школах или силами НПО. Если причины эмиграции экономические, то хотелось бы знать, какие возможности занятости имеются у них в Латвии.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7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говорит о необходимости пр</w:t>
      </w:r>
      <w:r>
        <w:t>е</w:t>
      </w:r>
      <w:r>
        <w:t>доставить данные о процентной доле женщин в парламенте Латвии. Она приветствует то обсто</w:t>
      </w:r>
      <w:r>
        <w:t>я</w:t>
      </w:r>
      <w:r>
        <w:t>тельство, что в местные органы власти избрано большое число женщин. Органы власти призваны играть важную роль в деле борьбы с насилием и о</w:t>
      </w:r>
      <w:r>
        <w:t>р</w:t>
      </w:r>
      <w:r>
        <w:t>ганизации таких аспектов каждодневной жизни, как обеспечение баланса между производственной з</w:t>
      </w:r>
      <w:r>
        <w:t>а</w:t>
      </w:r>
      <w:r>
        <w:t>нятостью и выполнением домашних обязанностей. Во многих скандинавских странах практикуется «составление бюджета с учетом гендерной спец</w:t>
      </w:r>
      <w:r>
        <w:t>и</w:t>
      </w:r>
      <w:r>
        <w:t>фики», и она интересуется, поощряются ли такие меры и в Латвии. Государство, представившее до</w:t>
      </w:r>
      <w:r>
        <w:t>к</w:t>
      </w:r>
      <w:r>
        <w:t>лад, должно конкретно указать, сколько женщин выступало в качестве кандидатов в ходе выборов в Европейский парл</w:t>
      </w:r>
      <w:r>
        <w:t>а</w:t>
      </w:r>
      <w:r>
        <w:t>мент.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Бельмихуб-Зердани</w:t>
      </w:r>
      <w:r>
        <w:t>, отметив, что во</w:t>
      </w:r>
      <w:r>
        <w:t>з</w:t>
      </w:r>
      <w:r>
        <w:t>растной ценз для участия в выборах в местные о</w:t>
      </w:r>
      <w:r>
        <w:t>р</w:t>
      </w:r>
      <w:r>
        <w:t>ганы власти и в парламент установлен на уровне 21 года, спрашивает, должен ли возраст кандидатов в президенты также составлять 21 год. В органах исполнительной власти число женщин весьма нев</w:t>
      </w:r>
      <w:r>
        <w:t>е</w:t>
      </w:r>
      <w:r>
        <w:t>лико, и она интересуется, будет ли рассмотрение законопроекта о борьбе с дискриминацией более оперативным в плане его принятия, если количес</w:t>
      </w:r>
      <w:r>
        <w:t>т</w:t>
      </w:r>
      <w:r>
        <w:t>во женщин в этих органах будет более значител</w:t>
      </w:r>
      <w:r>
        <w:t>ь</w:t>
      </w:r>
      <w:r>
        <w:t>ным. Парламент отверг предложение, согласно к</w:t>
      </w:r>
      <w:r>
        <w:t>о</w:t>
      </w:r>
      <w:r>
        <w:t>торому в перечнях кандидатов число мужчин не должно превышать 75 процентов, а число женщин должно составлять не менее 25 процентов; это предложение необходимо вновь представить на ра</w:t>
      </w:r>
      <w:r>
        <w:t>с</w:t>
      </w:r>
      <w:r>
        <w:t>смотрение, учитывая предложение Межпарламен</w:t>
      </w:r>
      <w:r>
        <w:t>т</w:t>
      </w:r>
      <w:r>
        <w:t>ского союза, согласно которому женщины должны представлять как минимум 30 процентов членов парламента, с тем чтобы обеспечивать их эффе</w:t>
      </w:r>
      <w:r>
        <w:t>к</w:t>
      </w:r>
      <w:r>
        <w:t>тивное воздействие на процесс принятия решений и ликвидации дискриминации в отношении их самих. Она также интересуется, проводятся ли выборы с</w:t>
      </w:r>
      <w:r>
        <w:t>у</w:t>
      </w:r>
      <w:r>
        <w:t>дей или они назначаются на эти должности, а если назначаются, то почему среди них так мало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46.</w:t>
      </w:r>
      <w:r>
        <w:tab/>
        <w:t>В стране должны быть прошедшие специал</w:t>
      </w:r>
      <w:r>
        <w:t>ь</w:t>
      </w:r>
      <w:r>
        <w:t>ную подготовку женщины-сотрудницы органов п</w:t>
      </w:r>
      <w:r>
        <w:t>о</w:t>
      </w:r>
      <w:r>
        <w:t>лиции, которые занимались бы проблемами борьбы с проституцией и торговлей женщинами и возгла</w:t>
      </w:r>
      <w:r>
        <w:t>в</w:t>
      </w:r>
      <w:r>
        <w:t>ляли бы группы, проводящие расследования по т</w:t>
      </w:r>
      <w:r>
        <w:t>а</w:t>
      </w:r>
      <w:r>
        <w:t>ким делам.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9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Кокер-Аппиа</w:t>
      </w:r>
      <w:r>
        <w:t xml:space="preserve"> просит представить раз</w:t>
      </w:r>
      <w:r>
        <w:t>ъ</w:t>
      </w:r>
      <w:r>
        <w:t>яснение относительно законов о гражданстве: пр</w:t>
      </w:r>
      <w:r>
        <w:t>и</w:t>
      </w:r>
      <w:r>
        <w:t>обретают ли лица, родившиеся в Латвии от латви</w:t>
      </w:r>
      <w:r>
        <w:t>й</w:t>
      </w:r>
      <w:r>
        <w:t>ских родителей, гражданство автоматически или, как это подразумевается в пункте 77 доклада, на основе регистрации; могут ли женщины, а также мужчины передавать латвийское гражданство своим родившимся за рубежом супругам и своим д</w:t>
      </w:r>
      <w:r>
        <w:t>е</w:t>
      </w:r>
      <w:r>
        <w:t>тям?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Флинтерман </w:t>
      </w:r>
      <w:r>
        <w:t>дает позитивную оценку проводимой правительством политике интеграции русскоговорящего меньшинства этой страны, пре</w:t>
      </w:r>
      <w:r>
        <w:t>д</w:t>
      </w:r>
      <w:r>
        <w:t>ставителям которого, несмотря на их давнишние связи с этой страной, отказывают в гражданстве, — через посредство процесса натурализации в соо</w:t>
      </w:r>
      <w:r>
        <w:t>т</w:t>
      </w:r>
      <w:r>
        <w:t>ветствии с Законом о гражданстве 1994 года; она спрашивает, в полной ли мере пользуются этими правами в соответствии с Конвенцией женщины, относящиеся к этому национальному меньшинству. Трудно представить себе ситуацию, в рамках кот</w:t>
      </w:r>
      <w:r>
        <w:t>о</w:t>
      </w:r>
      <w:r>
        <w:t>рой родившийся в Латвии ребенок в возрасте 13 лет не признается латвийским гражданином, поскольку он (она) содержался/содержалась в тюрьме сроком более пяти лет за совершение преступления (пункт 76 доклада). Она также спрашивает, почему с ходатайствами о натурализации, как правило, о</w:t>
      </w:r>
      <w:r>
        <w:t>б</w:t>
      </w:r>
      <w:r>
        <w:t>ращается большее число женщин, чем мужчин (там же, пункт 79), и интересуется, какое число женщин прошло натурализацию. Заявление (там же, пункт 80) о том, что профессии, в которых домин</w:t>
      </w:r>
      <w:r>
        <w:t>и</w:t>
      </w:r>
      <w:r>
        <w:t>рующее положение занимает мужчина, пользуются более высоким престижем в обществе, не соотве</w:t>
      </w:r>
      <w:r>
        <w:t>т</w:t>
      </w:r>
      <w:r>
        <w:t>ствует положениям Конве</w:t>
      </w:r>
      <w:r>
        <w:t>н</w:t>
      </w:r>
      <w:r>
        <w:t>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10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спрашивает, участвуют ли же</w:t>
      </w:r>
      <w:r>
        <w:t>н</w:t>
      </w:r>
      <w:r>
        <w:t>щины, на долю которых приходится 50 процентов учащихся, в более традиционных курсах, а не тол</w:t>
      </w:r>
      <w:r>
        <w:t>ь</w:t>
      </w:r>
      <w:r>
        <w:t>ко в курсах по научно-техническим вопросам. В докладе нет информации о количестве женщин, з</w:t>
      </w:r>
      <w:r>
        <w:t>а</w:t>
      </w:r>
      <w:r>
        <w:t>нимающих должности преподавателей или должн</w:t>
      </w:r>
      <w:r>
        <w:t>о</w:t>
      </w:r>
      <w:r>
        <w:t>сти старших руководителей в университетах; с</w:t>
      </w:r>
      <w:r>
        <w:t>о</w:t>
      </w:r>
      <w:r>
        <w:t>гласно данным из внешних источников, число таких женщин весьма незначительное, и было бы инт</w:t>
      </w:r>
      <w:r>
        <w:t>е</w:t>
      </w:r>
      <w:r>
        <w:t>ресно узнать, планирует ли Латвия исправить п</w:t>
      </w:r>
      <w:r>
        <w:t>о</w:t>
      </w:r>
      <w:r>
        <w:t>ложение в этой области, приняв специальные меры в соответствии с пунктом 1 статьи 4 Конвенции. Она обращается к правительству с настоятельным призывом разработать специальные учебные пр</w:t>
      </w:r>
      <w:r>
        <w:t>о</w:t>
      </w:r>
      <w:r>
        <w:t>граммы для девушек, которые бросили учебу в школе и для которых в настоящее время ничего не делается (пункт 110 доклада): она, вероятно, могла бы обратиться за помощью к неправительственным организациям, выделив финансовые средства для достижения этой цели. Тот факт, что в начальных и средних школах читаются курсы социальных и</w:t>
      </w:r>
      <w:r>
        <w:t>с</w:t>
      </w:r>
      <w:r>
        <w:t>следований по вопросам прав женщин, является удовлетворительным, однако она интересуется, б</w:t>
      </w:r>
      <w:r>
        <w:t>ы</w:t>
      </w:r>
      <w:r>
        <w:t>ли ли используемые учебные пособия подвергнуты проверке на предмет наличия в них стереот</w:t>
      </w:r>
      <w:r>
        <w:t>и</w:t>
      </w:r>
      <w:r>
        <w:t xml:space="preserve">пов. 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просит представить информацию о курсах, которые преподаются в рамках системы непрерывного образования (пункт 108 доклада), и статистические данные о численности учащихся, бросивших учебу в школе, и количестве частных и государственных школ. Эти статистические данные должны быть представлены с разбивкой по призн</w:t>
      </w:r>
      <w:r>
        <w:t>а</w:t>
      </w:r>
      <w:r>
        <w:t>ку пола, возраста, этнического происхождения, а также с указанием места проживания — в сельской местности или в городах. Она была бы признател</w:t>
      </w:r>
      <w:r>
        <w:t>ь</w:t>
      </w:r>
      <w:r>
        <w:t>на за объяснение причины роста безработицы среди женщин. Вероятно, из</w:t>
      </w:r>
      <w:r>
        <w:noBreakHyphen/>
        <w:t>за наличия стереотипов женщины направляются на изучение тех курсов, к</w:t>
      </w:r>
      <w:r>
        <w:t>о</w:t>
      </w:r>
      <w:r>
        <w:t>торые не обеспечивают их подготовку для име</w:t>
      </w:r>
      <w:r>
        <w:t>ю</w:t>
      </w:r>
      <w:r>
        <w:t>щихся рабочих мест.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интересуется, имеет ли место дискриминация в отношениях между мужчинами и женщинами в области профессиональной подгото</w:t>
      </w:r>
      <w:r>
        <w:t>в</w:t>
      </w:r>
      <w:r>
        <w:t>ки, предлагаемой в рамках курсов повышения кв</w:t>
      </w:r>
      <w:r>
        <w:t>а</w:t>
      </w:r>
      <w:r>
        <w:t>лификации преподавательского состава, и пров</w:t>
      </w:r>
      <w:r>
        <w:t>о</w:t>
      </w:r>
      <w:r>
        <w:t>дятся ли в школах кампании направления девушек на изучение научных и инженерно-технических дисциплин. Было бы полезно получить большое к</w:t>
      </w:r>
      <w:r>
        <w:t>о</w:t>
      </w:r>
      <w:r>
        <w:t>личество статистических данных о положении в о</w:t>
      </w:r>
      <w:r>
        <w:t>б</w:t>
      </w:r>
      <w:r>
        <w:t>ласти образования с разбивкой по признаку пола, в особенности в области высшего образов</w:t>
      </w:r>
      <w:r>
        <w:t>а</w:t>
      </w:r>
      <w:r>
        <w:t>ния.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11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интересуется, какое количество женщин досрочно вышло на пенсию в результате критического уровня безработицы среди женщин, в особенности в сельских районах, какая процентная доля русскоговорящих женщин, женщин-цыганок и женщин из других групп меньшинств безработна и какая доля безработных женщин получает страх</w:t>
      </w:r>
      <w:r>
        <w:t>о</w:t>
      </w:r>
      <w:r>
        <w:t>вание по безработице. Не ясно, имеется ли в гос</w:t>
      </w:r>
      <w:r>
        <w:t>у</w:t>
      </w:r>
      <w:r>
        <w:t>дарственном секторе разрыв в заработной плате между мужчинами и женщинами всех профессий (пункт 151 доклада) и имеются ли в государстве</w:t>
      </w:r>
      <w:r>
        <w:t>н</w:t>
      </w:r>
      <w:r>
        <w:t>ном секторе профсоюзы, выступающие за принятие специальных мер. Было бы полезно знать, что дел</w:t>
      </w:r>
      <w:r>
        <w:t>а</w:t>
      </w:r>
      <w:r>
        <w:t xml:space="preserve">ет правительство для сокращения безработицы и уменьшения разрыва в заработной плате. 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 Гомес</w:t>
      </w:r>
      <w:r>
        <w:t xml:space="preserve"> отмечает, что, хотя в Тр</w:t>
      </w:r>
      <w:r>
        <w:t>у</w:t>
      </w:r>
      <w:r>
        <w:t>довом кодексе дискриминация по признаку пола з</w:t>
      </w:r>
      <w:r>
        <w:t>а</w:t>
      </w:r>
      <w:r>
        <w:t>прещена, в нем, вероятно, допускаются исключения в отношении тех случаев, когда функции той или иной должности может выполнять только предст</w:t>
      </w:r>
      <w:r>
        <w:t>а</w:t>
      </w:r>
      <w:r>
        <w:t>витель конкретного пола (пункты 124–125 доклада). Она спрашивает, рассматриваются ли некоторые виды трудовой деятельности в качестве исключ</w:t>
      </w:r>
      <w:r>
        <w:t>и</w:t>
      </w:r>
      <w:r>
        <w:t>тельно мужской сферы занятости и выступали ли женщины когда-либо против таких утверждений.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жа Гнакадья</w:t>
      </w:r>
      <w:r>
        <w:t xml:space="preserve"> говорит, что в плане получ</w:t>
      </w:r>
      <w:r>
        <w:t>е</w:t>
      </w:r>
      <w:r>
        <w:t>ния работы женщины находятся в невыгодном п</w:t>
      </w:r>
      <w:r>
        <w:t>о</w:t>
      </w:r>
      <w:r>
        <w:t>ложении, поскольку их кандидатуры нередко откл</w:t>
      </w:r>
      <w:r>
        <w:t>о</w:t>
      </w:r>
      <w:r>
        <w:t>няются по причине их возможной беременности или того факта, что у них есть маленькие дети (пункт 125 доклада). Дискриминация, вероятно, существует, хотя в докладе (пункт 127) упоминаю</w:t>
      </w:r>
      <w:r>
        <w:t>т</w:t>
      </w:r>
      <w:r>
        <w:t>ся только два случая судебного разбирательства, связанного с нарушениями принципа равных во</w:t>
      </w:r>
      <w:r>
        <w:t>з</w:t>
      </w:r>
      <w:r>
        <w:t>можностей. Женщины исключены из некоторых профессий, их заработная плата ниже и им не в</w:t>
      </w:r>
      <w:r>
        <w:t>ы</w:t>
      </w:r>
      <w:r>
        <w:t>плачиваются пособия в области социального обе</w:t>
      </w:r>
      <w:r>
        <w:t>с</w:t>
      </w:r>
      <w:r>
        <w:t>печения (пункты 152–153 доклада). В качестве пр</w:t>
      </w:r>
      <w:r>
        <w:t>и</w:t>
      </w:r>
      <w:r>
        <w:t>чин сохранения дискриминации в области труда упоминалось отсутствие надлежащих данных и э</w:t>
      </w:r>
      <w:r>
        <w:t>ф</w:t>
      </w:r>
      <w:r>
        <w:t>фективного механизма оперативного реагирования. Она надеется, что предстоящая Программа по обе</w:t>
      </w:r>
      <w:r>
        <w:t>с</w:t>
      </w:r>
      <w:r>
        <w:t>печению равенства мужчин и женщин (2005–</w:t>
      </w:r>
      <w:r>
        <w:br/>
        <w:t>2006 годы) исправит положение в этой области и что на ее осуществление будут выделены надлеж</w:t>
      </w:r>
      <w:r>
        <w:t>а</w:t>
      </w:r>
      <w:r>
        <w:t>щие средства. Не ясно, какое правительственное учреждение несет ответственность за каждодне</w:t>
      </w:r>
      <w:r>
        <w:t>в</w:t>
      </w:r>
      <w:r>
        <w:t>ный контроль за обеспечением равных возможн</w:t>
      </w:r>
      <w:r>
        <w:t>о</w:t>
      </w:r>
      <w:r>
        <w:t>стей в области занятости и обеспечивается ли также и на местном уровне социальная помощь тем л</w:t>
      </w:r>
      <w:r>
        <w:t>и</w:t>
      </w:r>
      <w:r>
        <w:t>цам, на которых не распространяются меры в о</w:t>
      </w:r>
      <w:r>
        <w:t>б</w:t>
      </w:r>
      <w:r>
        <w:t>ласти социального обеспеч</w:t>
      </w:r>
      <w:r>
        <w:t>е</w:t>
      </w:r>
      <w:r>
        <w:t>ния.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 xml:space="preserve"> спрашивает, предусмотрены ли в Трудовом кодексе какие-либо механизмы контроля, такие, как промышленные суды для рассмотрения жалоб, в том числе жалоб на сексуальные домог</w:t>
      </w:r>
      <w:r>
        <w:t>а</w:t>
      </w:r>
      <w:r>
        <w:t>тельства, и информируются ли женщины об име</w:t>
      </w:r>
      <w:r>
        <w:t>ю</w:t>
      </w:r>
      <w:r>
        <w:t>щихся у них правах. Располагает ли Национальное управление по правам человека мандатом на ра</w:t>
      </w:r>
      <w:r>
        <w:t>с</w:t>
      </w:r>
      <w:r>
        <w:t>смотрение нарушений в области законов о труде? Необходимо предоставить статистические данные о должностях, занимаемых женщинами в таких се</w:t>
      </w:r>
      <w:r>
        <w:t>к</w:t>
      </w:r>
      <w:r>
        <w:t>торах, как гражданская служба, в частности на уровне высшего руководства, и информацию о том, что делает правительство в отношении сегрегир</w:t>
      </w:r>
      <w:r>
        <w:t>о</w:t>
      </w:r>
      <w:r>
        <w:t>ванного по принципу пола рынка труда и отсутс</w:t>
      </w:r>
      <w:r>
        <w:t>т</w:t>
      </w:r>
      <w:r>
        <w:t>вия равного вознаграждения за равный труд. И</w:t>
      </w:r>
      <w:r>
        <w:t>с</w:t>
      </w:r>
      <w:r>
        <w:t>правлению положения в этой области способств</w:t>
      </w:r>
      <w:r>
        <w:t>о</w:t>
      </w:r>
      <w:r>
        <w:t>вала бы нейтральная в гендерном отношении си</w:t>
      </w:r>
      <w:r>
        <w:t>с</w:t>
      </w:r>
      <w:r>
        <w:t>тема оценки рабочих мест.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спрашивает, известно ли министерствам, в настоящее время разрабат</w:t>
      </w:r>
      <w:r>
        <w:t>ы</w:t>
      </w:r>
      <w:r>
        <w:t>вающим новые шкалы окладов, о скрытых проявл</w:t>
      </w:r>
      <w:r>
        <w:t>е</w:t>
      </w:r>
      <w:r>
        <w:t>ниях гендерной тенденциозности в рамках системы. Ее тревожит содержащееся в устном введении з</w:t>
      </w:r>
      <w:r>
        <w:t>а</w:t>
      </w:r>
      <w:r>
        <w:t>мечание о специальных психосоциологических и психологических потребностях женщин, поскольку информация о таких различиях уже давно опр</w:t>
      </w:r>
      <w:r>
        <w:t>о</w:t>
      </w:r>
      <w:r>
        <w:t>вергнута. Ее беспокоит также то обстоятельство, что вопрос о сумме компенсации, выплачиваемой жертвам дискриминации, отдается на усмотрение судов, что может означать о</w:t>
      </w:r>
      <w:r>
        <w:t>т</w:t>
      </w:r>
      <w:r>
        <w:t>сутствие мер защиты.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 xml:space="preserve"> спрашивает, какие меры законод</w:t>
      </w:r>
      <w:r>
        <w:t>а</w:t>
      </w:r>
      <w:r>
        <w:t>тельного характера рассматриваются в настоящее время правительством в области труда в интересах женщин и какую помощь оно оказывает матерям с детьми, которые в особой степени подвержены во</w:t>
      </w:r>
      <w:r>
        <w:t>з</w:t>
      </w:r>
      <w:r>
        <w:t>действию нищ</w:t>
      </w:r>
      <w:r>
        <w:t>е</w:t>
      </w:r>
      <w:r>
        <w:t>ты.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>жа Кокер-Аппиа</w:t>
      </w:r>
      <w:r>
        <w:t xml:space="preserve"> говорит, что в докладе о</w:t>
      </w:r>
      <w:r>
        <w:t>т</w:t>
      </w:r>
      <w:r>
        <w:t>сутствует информация о политике правительства в отношении ВИЧ/СПИДа и плане предоставления бесплатных медикаментов, что имеет важное знач</w:t>
      </w:r>
      <w:r>
        <w:t>е</w:t>
      </w:r>
      <w:r>
        <w:t>ние ввиду вызывающего тревогу 100</w:t>
      </w:r>
      <w:r>
        <w:noBreakHyphen/>
        <w:t>процентного роста масштабов распространения этого заболев</w:t>
      </w:r>
      <w:r>
        <w:t>а</w:t>
      </w:r>
      <w:r>
        <w:t>ния среди женщин в п</w:t>
      </w:r>
      <w:r>
        <w:t>е</w:t>
      </w:r>
      <w:r>
        <w:t>риод с 1998 по 2000 год.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Бельмихуб-Зердани </w:t>
      </w:r>
      <w:r>
        <w:t>просит представить информацию о проводимой правительством пол</w:t>
      </w:r>
      <w:r>
        <w:t>и</w:t>
      </w:r>
      <w:r>
        <w:t>тике в области планирования семьи, в том числе о возрасте, в котором молодые девушки имеют право пользоваться противозачаточными средствами, и о том, предоставляются ли они бесплатно или по ни</w:t>
      </w:r>
      <w:r>
        <w:t>з</w:t>
      </w:r>
      <w:r>
        <w:t>кой цене. Было бы также полезно знать, обеспеч</w:t>
      </w:r>
      <w:r>
        <w:t>и</w:t>
      </w:r>
      <w:r>
        <w:t>вается ли просвещение в отношении методов ко</w:t>
      </w:r>
      <w:r>
        <w:t>н</w:t>
      </w:r>
      <w:r>
        <w:t>трацепции также и с мужчинами и предпринимаю</w:t>
      </w:r>
      <w:r>
        <w:t>т</w:t>
      </w:r>
      <w:r>
        <w:t>ся ли реальные усилия с целью выхода за рамки принципа, согласно которому главное — получение удовлетворения мужчинами, к более современному подходу. Одним из ключевых элементов Конвенции является освобождение женщин путем восстано</w:t>
      </w:r>
      <w:r>
        <w:t>в</w:t>
      </w:r>
      <w:r>
        <w:t>ления их полного контроля над своим т</w:t>
      </w:r>
      <w:r>
        <w:t>е</w:t>
      </w:r>
      <w:r>
        <w:t>лом.</w:t>
      </w: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спрашивает, пользую</w:t>
      </w:r>
      <w:r>
        <w:t>т</w:t>
      </w:r>
      <w:r>
        <w:t>ся ли пожилые женщины бесплатной медицинской помощью или же вынуждены платить за медици</w:t>
      </w:r>
      <w:r>
        <w:t>н</w:t>
      </w:r>
      <w:r>
        <w:t>ские услуги, что может ограничивать их доступ к этим услугам.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61.</w:t>
      </w:r>
      <w:r>
        <w:tab/>
      </w:r>
      <w:r>
        <w:rPr>
          <w:b/>
        </w:rPr>
        <w:t>Г</w:t>
      </w:r>
      <w:r>
        <w:rPr>
          <w:b/>
        </w:rPr>
        <w:noBreakHyphen/>
        <w:t>жа Шимонович</w:t>
      </w:r>
      <w:r>
        <w:t xml:space="preserve"> спрашивает, получают ли в сельских районах мужчины, а также женщины только начальное образование и обеспечивается ли для сельского насел</w:t>
      </w:r>
      <w:r>
        <w:t>е</w:t>
      </w:r>
      <w:r>
        <w:t>ния среднее образование.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62.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просит представить разъясн</w:t>
      </w:r>
      <w:r>
        <w:t>е</w:t>
      </w:r>
      <w:r>
        <w:t>ние относительно исключительных обстоятельств, которые позволили бы 16</w:t>
      </w:r>
      <w:r>
        <w:noBreakHyphen/>
        <w:t>летним вступать в брак, хотя предусмотренный в законодательстве возраст вступления в брак — 18 лет (пункт 301 до</w:t>
      </w:r>
      <w:r>
        <w:t>к</w:t>
      </w:r>
      <w:r>
        <w:t>лада).</w:t>
      </w:r>
    </w:p>
    <w:p w:rsidR="00000000" w:rsidRDefault="00000000">
      <w:pPr>
        <w:pStyle w:val="DualTxt"/>
      </w:pPr>
      <w:r>
        <w:t>63.</w:t>
      </w:r>
      <w:r>
        <w:tab/>
      </w:r>
      <w:r>
        <w:rPr>
          <w:b/>
        </w:rPr>
        <w:t>Г</w:t>
      </w:r>
      <w:r>
        <w:rPr>
          <w:b/>
        </w:rPr>
        <w:noBreakHyphen/>
        <w:t>жа Шимонович</w:t>
      </w:r>
      <w:r>
        <w:t xml:space="preserve"> просит делегацию разъя</w:t>
      </w:r>
      <w:r>
        <w:t>с</w:t>
      </w:r>
      <w:r>
        <w:t>нить такое несоответствие. В докладе (пункт 321) отмечается, что женатый мужчина имеет право пр</w:t>
      </w:r>
      <w:r>
        <w:t>и</w:t>
      </w:r>
      <w:r>
        <w:t>знать отцовство в отношении ребенка, родившегося у другой женщины, независимо от согласия его ж</w:t>
      </w:r>
      <w:r>
        <w:t>е</w:t>
      </w:r>
      <w:r>
        <w:t>ны, в то время как согласно информации, предста</w:t>
      </w:r>
      <w:r>
        <w:t>в</w:t>
      </w:r>
      <w:r>
        <w:t>ленной неправительственными организациями, п</w:t>
      </w:r>
      <w:r>
        <w:t>о</w:t>
      </w:r>
      <w:r>
        <w:t>ложение в этой области — прямо противоположное, а именно: в соответствии с гражданским правом о</w:t>
      </w:r>
      <w:r>
        <w:t>т</w:t>
      </w:r>
      <w:r>
        <w:t>цовство может быть признано только не имеющим брачных обязательств мужчиной и что в случае ж</w:t>
      </w:r>
      <w:r>
        <w:t>е</w:t>
      </w:r>
      <w:r>
        <w:t>натых мужчин требуе</w:t>
      </w:r>
      <w:r>
        <w:t>т</w:t>
      </w:r>
      <w:r>
        <w:t>ся согласие жены.</w:t>
      </w:r>
    </w:p>
    <w:p w:rsidR="00000000" w:rsidRDefault="00000000">
      <w:pPr>
        <w:pStyle w:val="DualTxt"/>
      </w:pPr>
      <w:r>
        <w:t>64.</w:t>
      </w:r>
      <w:r>
        <w:tab/>
      </w:r>
      <w:r>
        <w:rPr>
          <w:b/>
        </w:rPr>
        <w:t>Г</w:t>
      </w:r>
      <w:r>
        <w:rPr>
          <w:b/>
        </w:rPr>
        <w:noBreakHyphen/>
        <w:t>жа Друвьете</w:t>
      </w:r>
      <w:r>
        <w:t xml:space="preserve"> (Латвия) выражает призн</w:t>
      </w:r>
      <w:r>
        <w:t>а</w:t>
      </w:r>
      <w:r>
        <w:t>тельность Комитету за внимательное рассмотрение доклада ее правительства, за проявленный им инт</w:t>
      </w:r>
      <w:r>
        <w:t>е</w:t>
      </w:r>
      <w:r>
        <w:t>рес к вопросам равенства мужчин и женщин в Ла</w:t>
      </w:r>
      <w:r>
        <w:t>т</w:t>
      </w:r>
      <w:r>
        <w:t>вии и за затронутые важные вопросы. На основе совместных усилий Латвия должна обеспечить ра</w:t>
      </w:r>
      <w:r>
        <w:t>в</w:t>
      </w:r>
      <w:r>
        <w:t>ные права в соответствии с международными ста</w:t>
      </w:r>
      <w:r>
        <w:t>н</w:t>
      </w:r>
      <w:r>
        <w:t>дартами.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 ч. 00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NO&gt;&gt;N0442505R&lt;&lt;ODS JOB NO&gt;&gt;</w:t>
      </w:r>
    </w:p>
    <w:p w:rsidR="00000000" w:rsidRDefault="00000000">
      <w:pPr>
        <w:pStyle w:val="CommentText"/>
      </w:pPr>
      <w:r>
        <w:t>&lt;&lt;ODS DOC SYMBOL1&gt;&gt;CEDAW/C/SR.657&lt;&lt;ODS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04-42505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*0442505*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CEDAW/C/SR.657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CEDAW/C/SR.657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/C/SR.657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10 June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475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8/06/2005 9:23::09"/>
    <w:docVar w:name="DocCategory" w:val="SROthers"/>
    <w:docVar w:name="DocType" w:val="Final"/>
    <w:docVar w:name="JobNo" w:val="0442505R"/>
    <w:docVar w:name="OandT" w:val=" "/>
    <w:docVar w:name="Symbol1" w:val="CEDAW/C/SR.657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3</Pages>
  <Words>6744</Words>
  <Characters>38442</Characters>
  <Application>Microsoft Office Word</Application>
  <DocSecurity>4</DocSecurity>
  <Lines>320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47209</CharactersWithSpaces>
  <SharedDoc>false</SharedDoc>
  <HLinks>
    <vt:vector size="6" baseType="variant">
      <vt:variant>
        <vt:i4>4522087</vt:i4>
      </vt:variant>
      <vt:variant>
        <vt:i4>94502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Taissia.Mitrofanova</dc:creator>
  <cp:keywords/>
  <dc:description/>
  <cp:lastModifiedBy>Irina.Zinovieva</cp:lastModifiedBy>
  <cp:revision>13</cp:revision>
  <cp:lastPrinted>2005-06-09T15:47:00Z</cp:lastPrinted>
  <dcterms:created xsi:type="dcterms:W3CDTF">2005-06-09T15:27:00Z</dcterms:created>
  <dcterms:modified xsi:type="dcterms:W3CDTF">2005-06-09T16:14:00Z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0442505</vt:lpwstr>
  </property>
  <property fmtid="{D5CDD505-2E9C-101B-9397-08002B2CF9AE}" pid="3" name="Symbol1">
    <vt:lpwstr>CEDAW/C/SR.657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12</vt:lpwstr>
  </property>
  <property fmtid="{D5CDD505-2E9C-101B-9397-08002B2CF9AE}" pid="8" name="Operator">
    <vt:lpwstr>Blaskovich</vt:lpwstr>
  </property>
</Properties>
</file>