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D668DF1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1C52AC" w14:textId="77777777" w:rsidR="002D5AAC" w:rsidRDefault="002D5AAC" w:rsidP="003D7D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F9C57E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BE4A3A3" w14:textId="04E18603" w:rsidR="002D5AAC" w:rsidRDefault="003D7DBF" w:rsidP="003D7DBF">
            <w:pPr>
              <w:jc w:val="right"/>
            </w:pPr>
            <w:r w:rsidRPr="003D7DBF">
              <w:rPr>
                <w:sz w:val="40"/>
              </w:rPr>
              <w:t>CAT</w:t>
            </w:r>
            <w:r>
              <w:t>/C/SRB/CO/3</w:t>
            </w:r>
          </w:p>
        </w:tc>
      </w:tr>
      <w:tr w:rsidR="002D5AAC" w:rsidRPr="003D7DBF" w14:paraId="66F7848E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60156B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C1C1B44" wp14:editId="7D4ECA6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226C8F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B6D6DB1" w14:textId="77777777" w:rsidR="002D5AAC" w:rsidRPr="003D7DBF" w:rsidRDefault="003D7DBF" w:rsidP="00F90E40">
            <w:pPr>
              <w:spacing w:before="240"/>
              <w:rPr>
                <w:lang w:val="en-US"/>
              </w:rPr>
            </w:pPr>
            <w:r w:rsidRPr="003D7DBF">
              <w:rPr>
                <w:lang w:val="en-US"/>
              </w:rPr>
              <w:t>Distr.: General</w:t>
            </w:r>
          </w:p>
          <w:p w14:paraId="4059A8D2" w14:textId="521C51D5" w:rsidR="003D7DBF" w:rsidRPr="003D7DBF" w:rsidRDefault="003D7DBF" w:rsidP="003D7D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3D7DBF">
              <w:rPr>
                <w:lang w:val="en-US"/>
              </w:rPr>
              <w:t xml:space="preserve">0 </w:t>
            </w:r>
            <w:r>
              <w:rPr>
                <w:lang w:val="en-US"/>
              </w:rPr>
              <w:t>December</w:t>
            </w:r>
            <w:r w:rsidRPr="003D7DBF">
              <w:rPr>
                <w:lang w:val="en-US"/>
              </w:rPr>
              <w:t xml:space="preserve"> 202</w:t>
            </w:r>
            <w:r>
              <w:rPr>
                <w:lang w:val="en-US"/>
              </w:rPr>
              <w:t>1</w:t>
            </w:r>
          </w:p>
          <w:p w14:paraId="0EEFC762" w14:textId="77777777" w:rsidR="003D7DBF" w:rsidRPr="003D7DBF" w:rsidRDefault="003D7DBF" w:rsidP="003D7DBF">
            <w:pPr>
              <w:spacing w:line="240" w:lineRule="exact"/>
              <w:rPr>
                <w:lang w:val="en-US"/>
              </w:rPr>
            </w:pPr>
            <w:r w:rsidRPr="003D7DBF">
              <w:rPr>
                <w:lang w:val="en-US"/>
              </w:rPr>
              <w:t>Russian</w:t>
            </w:r>
          </w:p>
          <w:p w14:paraId="62AB76C0" w14:textId="3D61ACC2" w:rsidR="003D7DBF" w:rsidRPr="003D7DBF" w:rsidRDefault="003D7DBF" w:rsidP="003D7DBF">
            <w:pPr>
              <w:spacing w:line="240" w:lineRule="exact"/>
              <w:rPr>
                <w:lang w:val="en-US"/>
              </w:rPr>
            </w:pPr>
            <w:r w:rsidRPr="003D7DBF">
              <w:rPr>
                <w:lang w:val="en-US"/>
              </w:rPr>
              <w:t>Original: English</w:t>
            </w:r>
          </w:p>
        </w:tc>
      </w:tr>
    </w:tbl>
    <w:p w14:paraId="76E98ADB" w14:textId="77777777" w:rsidR="003D7DBF" w:rsidRPr="0003218F" w:rsidRDefault="003D7DBF" w:rsidP="003D7DBF">
      <w:pPr>
        <w:spacing w:before="120"/>
        <w:rPr>
          <w:b/>
          <w:sz w:val="24"/>
          <w:szCs w:val="24"/>
        </w:rPr>
      </w:pPr>
      <w:r w:rsidRPr="0003218F">
        <w:rPr>
          <w:b/>
          <w:bCs/>
          <w:sz w:val="24"/>
          <w:szCs w:val="24"/>
        </w:rPr>
        <w:t>Комитет против пыток</w:t>
      </w:r>
    </w:p>
    <w:p w14:paraId="7880F33C" w14:textId="77777777" w:rsidR="003D7DBF" w:rsidRPr="004927B1" w:rsidRDefault="003D7DBF" w:rsidP="0003218F">
      <w:pPr>
        <w:pStyle w:val="HChG"/>
        <w:rPr>
          <w:szCs w:val="28"/>
        </w:rPr>
      </w:pPr>
      <w:r>
        <w:tab/>
      </w:r>
      <w:r>
        <w:tab/>
        <w:t>Заключительные замечания по третьему периодическому докладу Сербии</w:t>
      </w:r>
      <w:r w:rsidRPr="0003218F">
        <w:rPr>
          <w:b w:val="0"/>
          <w:bCs/>
          <w:sz w:val="20"/>
        </w:rPr>
        <w:footnoteReference w:customMarkFollows="1" w:id="1"/>
        <w:t>*</w:t>
      </w:r>
    </w:p>
    <w:p w14:paraId="0600326C" w14:textId="77777777" w:rsidR="003D7DBF" w:rsidRPr="004927B1" w:rsidRDefault="003D7DBF" w:rsidP="003D7DBF">
      <w:pPr>
        <w:pStyle w:val="SingleTxtG"/>
        <w:rPr>
          <w:b/>
        </w:rPr>
      </w:pPr>
      <w:r>
        <w:t>1.</w:t>
      </w:r>
      <w:r>
        <w:tab/>
        <w:t>Комитет против пыток рассмотрел третий периодический доклад Сербии</w:t>
      </w:r>
      <w:r w:rsidRPr="0058067D">
        <w:rPr>
          <w:rStyle w:val="aa"/>
        </w:rPr>
        <w:footnoteReference w:id="2"/>
      </w:r>
      <w:r>
        <w:t xml:space="preserve"> на своих 1862-м и 1865-м заседаниях</w:t>
      </w:r>
      <w:r w:rsidRPr="0058067D">
        <w:rPr>
          <w:rStyle w:val="aa"/>
        </w:rPr>
        <w:footnoteReference w:id="3"/>
      </w:r>
      <w:r>
        <w:t>, состоявшихся 23 и 24 ноября 2021 года, и на своем 1874-м заседании 1 декабря 2021 года принял настоящие заключительные замечания.</w:t>
      </w:r>
    </w:p>
    <w:p w14:paraId="509B02D2" w14:textId="753C4A2A" w:rsidR="003D7DBF" w:rsidRPr="004927B1" w:rsidRDefault="0003218F" w:rsidP="0003218F">
      <w:pPr>
        <w:pStyle w:val="H1G"/>
      </w:pPr>
      <w:r>
        <w:tab/>
      </w:r>
      <w:r w:rsidR="003D7DBF">
        <w:t>A.</w:t>
      </w:r>
      <w:r w:rsidR="003D7DBF">
        <w:tab/>
        <w:t>Введение</w:t>
      </w:r>
    </w:p>
    <w:p w14:paraId="65C804DC" w14:textId="77777777" w:rsidR="003D7DBF" w:rsidRPr="004927B1" w:rsidRDefault="003D7DBF" w:rsidP="003D7DBF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периодического доклада в соответствии с ней, поскольку это способствует совершенствованию сотрудничества между государством-участником и Комитетом и задает более четкую направленность рассмотрению доклада и диалогу с делегацией.</w:t>
      </w:r>
    </w:p>
    <w:p w14:paraId="456F4C34" w14:textId="77777777" w:rsidR="003D7DBF" w:rsidRPr="004927B1" w:rsidRDefault="003D7DBF" w:rsidP="003D7DBF">
      <w:pPr>
        <w:pStyle w:val="SingleTxtG"/>
      </w:pPr>
      <w:r>
        <w:t>3.</w:t>
      </w:r>
      <w:r>
        <w:tab/>
        <w:t>Комитет высоко оценивает диалог с делегацией государства-участника, а также представленные</w:t>
      </w:r>
      <w:r w:rsidRPr="004927B1">
        <w:t xml:space="preserve"> </w:t>
      </w:r>
      <w:r>
        <w:t>дополнительную информацию и разъяснения.</w:t>
      </w:r>
    </w:p>
    <w:p w14:paraId="59CB5063" w14:textId="2A9363FC" w:rsidR="003D7DBF" w:rsidRPr="004927B1" w:rsidRDefault="003D7DBF" w:rsidP="003D7DBF">
      <w:pPr>
        <w:pStyle w:val="SingleTxtG"/>
      </w:pPr>
      <w:r>
        <w:t>4.</w:t>
      </w:r>
      <w:r>
        <w:tab/>
        <w:t>Комитет напоминает о своих предыдущих заключительных замечаниях</w:t>
      </w:r>
      <w:r w:rsidRPr="0058067D">
        <w:rPr>
          <w:rStyle w:val="aa"/>
          <w:lang w:eastAsia="en-GB"/>
        </w:rPr>
        <w:footnoteReference w:id="4"/>
      </w:r>
      <w:r>
        <w:t xml:space="preserve"> в</w:t>
      </w:r>
      <w:r w:rsidR="0003218F">
        <w:rPr>
          <w:lang w:val="en-US"/>
        </w:rPr>
        <w:t> </w:t>
      </w:r>
      <w:r>
        <w:t xml:space="preserve">отношении заявления государства-участника о том, что оно не может </w:t>
      </w:r>
      <w:r w:rsidR="0003218F">
        <w:br/>
      </w:r>
      <w:r>
        <w:t>следить за применением Конвенции в Косово в связи с тем, что в соответствии с резолюцией 1244 (1999) Совета Безопасности гражданская власть там осуществляется Миссией Организации Объединенных Наций по делам временной администрации в Косово.</w:t>
      </w:r>
    </w:p>
    <w:p w14:paraId="67D7DC93" w14:textId="736F834D" w:rsidR="003D7DBF" w:rsidRPr="004927B1" w:rsidRDefault="0003218F" w:rsidP="0003218F">
      <w:pPr>
        <w:pStyle w:val="H1G"/>
      </w:pPr>
      <w:r>
        <w:tab/>
      </w:r>
      <w:r w:rsidR="003D7DBF">
        <w:t>B.</w:t>
      </w:r>
      <w:r w:rsidR="003D7DBF">
        <w:tab/>
        <w:t>Позитивные аспекты</w:t>
      </w:r>
    </w:p>
    <w:p w14:paraId="5F35E1D8" w14:textId="77777777" w:rsidR="003D7DBF" w:rsidRPr="004927B1" w:rsidRDefault="003D7DBF" w:rsidP="003D7DBF">
      <w:pPr>
        <w:pStyle w:val="SingleTxtG"/>
      </w:pPr>
      <w:r>
        <w:t>5.</w:t>
      </w:r>
      <w:r>
        <w:tab/>
        <w:t>Комитет приветствует следующие законодательные, административные и институциональные меры, принятые государством-участником в областях, имеющих отношение к Конвенции:</w:t>
      </w:r>
    </w:p>
    <w:p w14:paraId="312611A2" w14:textId="4723D6AF" w:rsidR="003D7DBF" w:rsidRPr="004927B1" w:rsidRDefault="003D7DBF" w:rsidP="003D7DBF">
      <w:pPr>
        <w:pStyle w:val="SingleTxtG"/>
        <w:ind w:firstLine="567"/>
      </w:pPr>
      <w:r>
        <w:t>a)</w:t>
      </w:r>
      <w:r>
        <w:tab/>
        <w:t>принятие в октябре 2021 года Национальной стратегии уголовного преследования за военные преступления на 2021</w:t>
      </w:r>
      <w:r w:rsidR="0003218F" w:rsidRPr="0003218F">
        <w:t>–</w:t>
      </w:r>
      <w:r>
        <w:t>2026 годы;</w:t>
      </w:r>
    </w:p>
    <w:p w14:paraId="1C7F387D" w14:textId="3E4D4C2C" w:rsidR="003D7DBF" w:rsidRPr="004927B1" w:rsidRDefault="003D7DBF" w:rsidP="003D7DBF">
      <w:pPr>
        <w:pStyle w:val="SingleTxtG"/>
        <w:ind w:firstLine="567"/>
      </w:pPr>
      <w:r>
        <w:t>b)</w:t>
      </w:r>
      <w:r>
        <w:tab/>
        <w:t>принятие в апреле 2021 года Стратегии предупреждения и пресечения гендерного насилия в отношении женщин и домашнего насилия на 2021</w:t>
      </w:r>
      <w:r w:rsidR="0003218F" w:rsidRPr="0003218F">
        <w:t>–</w:t>
      </w:r>
      <w:r>
        <w:t>2025 годы;</w:t>
      </w:r>
    </w:p>
    <w:p w14:paraId="57A6D592" w14:textId="047E8170" w:rsidR="003D7DBF" w:rsidRPr="004927B1" w:rsidRDefault="003D7DBF" w:rsidP="003D7DBF">
      <w:pPr>
        <w:pStyle w:val="SingleTxtG"/>
        <w:ind w:firstLine="567"/>
      </w:pPr>
      <w:r>
        <w:t>c)</w:t>
      </w:r>
      <w:r>
        <w:tab/>
        <w:t>принятие в марте 2020 года Стратегии по улучшению положения инвалидов на 2020</w:t>
      </w:r>
      <w:r w:rsidR="0003218F" w:rsidRPr="0003218F">
        <w:t>–</w:t>
      </w:r>
      <w:r>
        <w:t>2024 годы;</w:t>
      </w:r>
    </w:p>
    <w:p w14:paraId="365C2ACA" w14:textId="4607A6A4" w:rsidR="003D7DBF" w:rsidRPr="004927B1" w:rsidRDefault="003D7DBF" w:rsidP="003D7DBF">
      <w:pPr>
        <w:pStyle w:val="SingleTxtG"/>
        <w:ind w:firstLine="567"/>
      </w:pPr>
      <w:r>
        <w:t>d)</w:t>
      </w:r>
      <w:r>
        <w:tab/>
        <w:t>принятие в 2020 году Национальной стратегии реализации прав жертв и свидетелей преступлений на 2020</w:t>
      </w:r>
      <w:r w:rsidR="0003218F" w:rsidRPr="0003218F">
        <w:t>–</w:t>
      </w:r>
      <w:r>
        <w:t>2025 годы;</w:t>
      </w:r>
    </w:p>
    <w:p w14:paraId="08E25EAE" w14:textId="77777777" w:rsidR="003D7DBF" w:rsidRPr="004927B1" w:rsidRDefault="003D7DBF" w:rsidP="003D7DBF">
      <w:pPr>
        <w:pStyle w:val="SingleTxtG"/>
        <w:ind w:firstLine="567"/>
      </w:pPr>
      <w:r>
        <w:lastRenderedPageBreak/>
        <w:t>e)</w:t>
      </w:r>
      <w:r>
        <w:tab/>
        <w:t>внесение в декабре 2019 года поправки к статье 137 (часть 3) Уголовного кодекса с целью ужесточения наказания за жестокое обращение и пытки;</w:t>
      </w:r>
    </w:p>
    <w:p w14:paraId="6F56DDC6" w14:textId="77777777" w:rsidR="003D7DBF" w:rsidRPr="004927B1" w:rsidRDefault="003D7DBF" w:rsidP="003D7DBF">
      <w:pPr>
        <w:pStyle w:val="SingleTxtG"/>
        <w:ind w:firstLine="567"/>
      </w:pPr>
      <w:r>
        <w:t>f)</w:t>
      </w:r>
      <w:r>
        <w:tab/>
        <w:t>принятие Закона о бесплатной юридической помощи, № 87/2018, который вступил в силу в октябре 2019 года;</w:t>
      </w:r>
    </w:p>
    <w:p w14:paraId="7286E758" w14:textId="77777777" w:rsidR="003D7DBF" w:rsidRPr="004927B1" w:rsidRDefault="003D7DBF" w:rsidP="003D7DBF">
      <w:pPr>
        <w:pStyle w:val="SingleTxtG"/>
        <w:ind w:firstLine="567"/>
      </w:pPr>
      <w:r>
        <w:t>g)</w:t>
      </w:r>
      <w:r>
        <w:tab/>
        <w:t>принятие Закона об убежище и временной защите, № 24/2018, который вступил в силу в марте 2018 года;</w:t>
      </w:r>
    </w:p>
    <w:p w14:paraId="3C6602E5" w14:textId="77777777" w:rsidR="003D7DBF" w:rsidRPr="004927B1" w:rsidRDefault="003D7DBF" w:rsidP="003D7DBF">
      <w:pPr>
        <w:pStyle w:val="SingleTxtG"/>
        <w:ind w:firstLine="567"/>
      </w:pPr>
      <w:r>
        <w:t>h)</w:t>
      </w:r>
      <w:r>
        <w:tab/>
        <w:t>принятие Закона о предотвращении домашнего насилия, № 94/2016, который вступил в силу в июне 2017 года;</w:t>
      </w:r>
    </w:p>
    <w:p w14:paraId="3089E2A2" w14:textId="77777777" w:rsidR="003D7DBF" w:rsidRPr="004927B1" w:rsidRDefault="003D7DBF" w:rsidP="003D7DBF">
      <w:pPr>
        <w:pStyle w:val="SingleTxtG"/>
        <w:ind w:firstLine="567"/>
      </w:pPr>
      <w:r>
        <w:t>i)</w:t>
      </w:r>
      <w:r>
        <w:tab/>
        <w:t>принятие в мае 2017 года Стратегии сокращения переполненности пенитенциарных учреждений в период до 2020 года, № 43/2017.</w:t>
      </w:r>
    </w:p>
    <w:p w14:paraId="34C839B8" w14:textId="1E1C3C3A" w:rsidR="003D7DBF" w:rsidRPr="004927B1" w:rsidRDefault="0003218F" w:rsidP="003D7DBF">
      <w:pPr>
        <w:pStyle w:val="H1G"/>
      </w:pPr>
      <w:r>
        <w:rPr>
          <w:bCs/>
        </w:rPr>
        <w:tab/>
      </w:r>
      <w:r w:rsidR="003D7DBF">
        <w:rPr>
          <w:bCs/>
        </w:rPr>
        <w:t>C.</w:t>
      </w:r>
      <w:r w:rsidR="003D7DBF">
        <w:tab/>
      </w:r>
      <w:r w:rsidR="003D7DBF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3D7DBF">
        <w:rPr>
          <w:bCs/>
        </w:rPr>
        <w:t>рекомендации</w:t>
      </w:r>
    </w:p>
    <w:p w14:paraId="005B0BA8" w14:textId="445B418B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3F3BA3">
        <w:rPr>
          <w:bCs/>
        </w:rPr>
        <w:t> </w:t>
      </w:r>
      <w:r>
        <w:rPr>
          <w:bCs/>
        </w:rPr>
        <w:t>времени предыдущего цикла представления докладов</w:t>
      </w:r>
    </w:p>
    <w:p w14:paraId="3FDAEE45" w14:textId="621EC8AC" w:rsidR="003D7DBF" w:rsidRPr="004927B1" w:rsidRDefault="003D7DBF" w:rsidP="003D7DBF">
      <w:pPr>
        <w:pStyle w:val="SingleTxtG"/>
      </w:pPr>
      <w:r>
        <w:t>6.</w:t>
      </w:r>
      <w:r>
        <w:tab/>
        <w:t>В своих предыдущих заключительных замечаниях</w:t>
      </w:r>
      <w:r w:rsidRPr="0058067D">
        <w:rPr>
          <w:rStyle w:val="aa"/>
          <w:lang w:eastAsia="en-GB"/>
        </w:rPr>
        <w:footnoteReference w:id="5"/>
      </w:r>
      <w:r>
        <w:t xml:space="preserve"> Комитет просил государство-участник представить информацию о выполнении им рекомендаций Комитета, касающихся мер по практическому обеспечению того, чтобы задержанные с момента взятия под стражу проходили независимый медицинский осмотр</w:t>
      </w:r>
      <w:r w:rsidRPr="0058067D">
        <w:rPr>
          <w:rStyle w:val="aa"/>
          <w:lang w:eastAsia="en-GB"/>
        </w:rPr>
        <w:footnoteReference w:id="6"/>
      </w:r>
      <w:r>
        <w:t>, и</w:t>
      </w:r>
      <w:r w:rsidR="0003218F">
        <w:rPr>
          <w:lang w:val="en-US"/>
        </w:rPr>
        <w:t> </w:t>
      </w:r>
      <w:r>
        <w:t xml:space="preserve">публичного осуждения и расследования угроз и нападений на правозащитников, журналистов, лесбиянок, геев, </w:t>
      </w:r>
      <w:proofErr w:type="spellStart"/>
      <w:r>
        <w:t>бисексов</w:t>
      </w:r>
      <w:proofErr w:type="spellEnd"/>
      <w:r>
        <w:t>, трансгендеров и интерсексов, а также членов общины рома</w:t>
      </w:r>
      <w:r w:rsidRPr="0058067D">
        <w:rPr>
          <w:rStyle w:val="aa"/>
          <w:lang w:eastAsia="en-GB"/>
        </w:rPr>
        <w:footnoteReference w:id="7"/>
      </w:r>
      <w:r>
        <w:t>. Комитет выражает признательность государству-участнику за его ответ по этим вопросам и за существенную информацию о последующих мерах, представленную 2 августа 2016 года</w:t>
      </w:r>
      <w:r w:rsidRPr="0058067D">
        <w:rPr>
          <w:rStyle w:val="aa"/>
          <w:szCs w:val="18"/>
        </w:rPr>
        <w:footnoteReference w:id="8"/>
      </w:r>
      <w:r>
        <w:t xml:space="preserve">, а также в его третьем периодическом докладе. Комитет считает, что вышеупомянутые рекомендации были выполнены лишь частично (см. </w:t>
      </w:r>
      <w:proofErr w:type="spellStart"/>
      <w:r>
        <w:t>пп</w:t>
      </w:r>
      <w:proofErr w:type="spellEnd"/>
      <w:r>
        <w:t>. 14 c) и 42 ниже).</w:t>
      </w:r>
    </w:p>
    <w:p w14:paraId="4CF3966C" w14:textId="77777777" w:rsidR="003D7DBF" w:rsidRPr="00C47755" w:rsidRDefault="003D7DBF" w:rsidP="003D7DBF">
      <w:pPr>
        <w:pStyle w:val="H23G"/>
      </w:pPr>
      <w:r>
        <w:tab/>
      </w:r>
      <w:r>
        <w:tab/>
      </w:r>
      <w:r>
        <w:rPr>
          <w:bCs/>
        </w:rPr>
        <w:t>Определение пытки</w:t>
      </w:r>
    </w:p>
    <w:p w14:paraId="37DE8ECB" w14:textId="7BEE5BAB" w:rsidR="003D7DBF" w:rsidRPr="004927B1" w:rsidRDefault="003D7DBF" w:rsidP="0003218F">
      <w:pPr>
        <w:pStyle w:val="SingleTxtG"/>
      </w:pPr>
      <w:r>
        <w:t>7.</w:t>
      </w:r>
      <w:r>
        <w:tab/>
        <w:t>Комитет приветствует внесение в 2019 году изменений и дополнений в Уголовный кодекс с целью обеспечения более сурового наказания за акты пыток, совершаемые государственными должностными лицами. Он отмечает, что статья 25 Конституции Сербии запрещает пытки, бесчеловечное или унижающее достоинство обращение или наказание и что статья 16 Конституции позволяет напрямую применять общепринятые нормы международного права и ратифицированные международные договоры. Вместе с тем Комитет обеспокоен тем, что определение пытки в Уголовном кодексе не соответствует статье 1 Конвенции, что за акты пыток или жестокого обращения не предусмотрены наказания, соразмерные их тяжкому характеру, и что на преступлени</w:t>
      </w:r>
      <w:r w:rsidR="0003218F">
        <w:t>я</w:t>
      </w:r>
      <w:r>
        <w:t xml:space="preserve"> в виде пытки по-прежнему распространяется срок давности (ст. 1 и 4).</w:t>
      </w:r>
    </w:p>
    <w:p w14:paraId="7018C840" w14:textId="1D18E1D4" w:rsidR="003D7DBF" w:rsidRPr="004927B1" w:rsidRDefault="003D7DBF" w:rsidP="003D7DBF">
      <w:pPr>
        <w:pStyle w:val="SingleTxtG"/>
        <w:rPr>
          <w:b/>
        </w:rPr>
      </w:pPr>
      <w:r>
        <w:t>8.</w:t>
      </w:r>
      <w:r>
        <w:tab/>
      </w:r>
      <w:r>
        <w:rPr>
          <w:b/>
          <w:bCs/>
        </w:rPr>
        <w:t>Комитет ссылается на свои предыдущие заключительные замечания</w:t>
      </w:r>
      <w:r w:rsidRPr="0058067D">
        <w:rPr>
          <w:rStyle w:val="aa"/>
          <w:bCs/>
          <w:lang w:eastAsia="en-GB"/>
        </w:rPr>
        <w:footnoteReference w:id="9"/>
      </w:r>
      <w:r>
        <w:rPr>
          <w:b/>
          <w:bCs/>
        </w:rPr>
        <w:t xml:space="preserve"> и</w:t>
      </w:r>
      <w:r w:rsidR="008D78E5">
        <w:rPr>
          <w:b/>
          <w:bCs/>
        </w:rPr>
        <w:t> </w:t>
      </w:r>
      <w:r>
        <w:rPr>
          <w:b/>
          <w:bCs/>
        </w:rPr>
        <w:t>просит государство-участник в приоритетном порядке ускорить разработку и принятие поправок к статьям 136 и 137 Уголовного кодекса, с тем чтобы включить в юридическое определение пытки все элементы, содержащиеся в статье 1 Конвенции, и обеспечить, чтобы наказания за пытки соответствовали тяжести преступления, как это предусмотрено в пункте 2 статьи 4 Конвенции.</w:t>
      </w:r>
      <w:r>
        <w:t xml:space="preserve"> </w:t>
      </w:r>
      <w:r>
        <w:rPr>
          <w:b/>
          <w:bCs/>
        </w:rPr>
        <w:t>Для того чтобы предотвратить любую возможность безнаказанности в контексте</w:t>
      </w:r>
      <w:r w:rsidRPr="002E3D64">
        <w:rPr>
          <w:b/>
          <w:bCs/>
          <w:highlight w:val="yellow"/>
        </w:rPr>
        <w:t xml:space="preserve"> </w:t>
      </w:r>
      <w:r w:rsidRPr="00BB5A32">
        <w:rPr>
          <w:b/>
          <w:bCs/>
        </w:rPr>
        <w:t>расследований актов пыток,</w:t>
      </w:r>
      <w:r>
        <w:rPr>
          <w:b/>
          <w:bCs/>
        </w:rPr>
        <w:t xml:space="preserve"> привлечения к судебной ответственности и наказания виновных, государству-участнику следует отменить срок давности за такое преступление, как пытки.</w:t>
      </w:r>
    </w:p>
    <w:p w14:paraId="01C73C89" w14:textId="77777777" w:rsidR="003D7DBF" w:rsidRPr="004927B1" w:rsidRDefault="003D7DBF" w:rsidP="003D7DBF">
      <w:pPr>
        <w:pStyle w:val="H23G"/>
      </w:pPr>
      <w:r>
        <w:lastRenderedPageBreak/>
        <w:tab/>
      </w:r>
      <w:r>
        <w:tab/>
      </w:r>
      <w:r>
        <w:rPr>
          <w:bCs/>
        </w:rPr>
        <w:t>Конвенция как источник права в национальных судах</w:t>
      </w:r>
    </w:p>
    <w:p w14:paraId="5369FBDB" w14:textId="77777777" w:rsidR="003D7DBF" w:rsidRPr="004927B1" w:rsidRDefault="003D7DBF" w:rsidP="003D7DBF">
      <w:pPr>
        <w:pStyle w:val="SingleTxtG"/>
      </w:pPr>
      <w:r>
        <w:t>9.</w:t>
      </w:r>
      <w:r>
        <w:tab/>
        <w:t>Комитет отмечает, что в соответствии со статьей 167 (</w:t>
      </w:r>
      <w:proofErr w:type="spellStart"/>
      <w:r>
        <w:t>пп</w:t>
      </w:r>
      <w:proofErr w:type="spellEnd"/>
      <w:r>
        <w:t>. 1 и 2) Конституции Конституционный суд уполномочен решать вопрос о соответствии ратифицированных международных договоров Конституции. Он далее с озабоченностью отмечает, что Конвенция крайне редко цитируется и прямо применяется при рассмотрении дел в судах государства (ст. 2 и 10).</w:t>
      </w:r>
    </w:p>
    <w:p w14:paraId="23EFE138" w14:textId="77777777" w:rsidR="003D7DBF" w:rsidRPr="004927B1" w:rsidRDefault="003D7DBF" w:rsidP="003D7DBF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Государству-участнику следует обеспечить:</w:t>
      </w:r>
    </w:p>
    <w:p w14:paraId="449FF7F6" w14:textId="7950885D" w:rsidR="003D7DBF" w:rsidRPr="0003218F" w:rsidRDefault="003D7DBF" w:rsidP="0003218F">
      <w:pPr>
        <w:pStyle w:val="SingleTxtG"/>
        <w:ind w:firstLine="567"/>
        <w:rPr>
          <w:b/>
          <w:bCs/>
        </w:rPr>
      </w:pPr>
      <w:r w:rsidRPr="0003218F">
        <w:rPr>
          <w:b/>
          <w:bCs/>
        </w:rPr>
        <w:t>a)</w:t>
      </w:r>
      <w:r w:rsidRPr="0003218F">
        <w:rPr>
          <w:b/>
          <w:bCs/>
        </w:rPr>
        <w:tab/>
        <w:t>полное и прямое применение Конвенции в национальных судах, с</w:t>
      </w:r>
      <w:r w:rsidR="007F1A2F">
        <w:rPr>
          <w:b/>
          <w:bCs/>
        </w:rPr>
        <w:t> </w:t>
      </w:r>
      <w:r w:rsidRPr="0003218F">
        <w:rPr>
          <w:b/>
          <w:bCs/>
        </w:rPr>
        <w:t>тем чтобы в них можно было ссылаться на ее положения, и прояснить вопрос о приоритете международных договоров по правам человека, участником которых является государство, над национальным законодательством в случае коллизии;</w:t>
      </w:r>
    </w:p>
    <w:p w14:paraId="47F8714F" w14:textId="77777777" w:rsidR="003D7DBF" w:rsidRPr="004927B1" w:rsidRDefault="003D7DBF" w:rsidP="0003218F">
      <w:pPr>
        <w:pStyle w:val="SingleTxtG"/>
        <w:ind w:firstLine="567"/>
        <w:rPr>
          <w:b/>
          <w:bCs/>
        </w:rPr>
      </w:pPr>
      <w:r w:rsidRPr="0003218F">
        <w:rPr>
          <w:b/>
          <w:bCs/>
        </w:rPr>
        <w:t>b)</w:t>
      </w:r>
      <w:r w:rsidRPr="0003218F">
        <w:rPr>
          <w:b/>
          <w:bCs/>
        </w:rPr>
        <w:tab/>
        <w:t>прохождение государственными служащими, включая судей, прокуроров и адвокатов, подготовки по положениям Конвенции с целью обеспечения соблю</w:t>
      </w:r>
      <w:r>
        <w:rPr>
          <w:b/>
          <w:bCs/>
        </w:rPr>
        <w:t>дения установленных в этих положениях прав, их учета и прямого применения в национальных судах.</w:t>
      </w:r>
    </w:p>
    <w:p w14:paraId="211FAE7B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577562CC" w14:textId="77777777" w:rsidR="003D7DBF" w:rsidRPr="004927B1" w:rsidRDefault="003D7DBF" w:rsidP="003D7DBF">
      <w:pPr>
        <w:pStyle w:val="SingleTxtG"/>
      </w:pPr>
      <w:r>
        <w:t>11.</w:t>
      </w:r>
      <w:r>
        <w:tab/>
        <w:t>Комитет обеспокоен сообщениями о том, что Защитник граждан не обладает достаточной</w:t>
      </w:r>
      <w:r w:rsidRPr="00BB5A32">
        <w:t xml:space="preserve"> независимост</w:t>
      </w:r>
      <w:r>
        <w:t>ью</w:t>
      </w:r>
      <w:r w:rsidRPr="00BB5A32">
        <w:t>, эффективност</w:t>
      </w:r>
      <w:r>
        <w:t>ью</w:t>
      </w:r>
      <w:r w:rsidRPr="00BB5A32">
        <w:t xml:space="preserve"> и авторитет</w:t>
      </w:r>
      <w:r>
        <w:t>ом. Он также озабочен заметным сокращением числа посещений, проводимых национальным превентивным механизмом, особенно полицейских изоляторов и в период ограничений, связанных с пандемией коронавирусной болезни (COVID-19), задержкой публикации его выводов и рекомендаций и ощущаемым недоверием со стороны организаций гражданского общества, ранее сотрудничавших с этим механизмом (ст. 2).</w:t>
      </w:r>
    </w:p>
    <w:p w14:paraId="4D5C1C34" w14:textId="77777777" w:rsidR="003D7DBF" w:rsidRPr="004927B1" w:rsidRDefault="003D7DBF" w:rsidP="003D7DBF">
      <w:pPr>
        <w:pStyle w:val="SingleTxtG"/>
      </w:pPr>
      <w:r>
        <w:t>12.</w:t>
      </w:r>
      <w:r>
        <w:tab/>
      </w:r>
      <w:r>
        <w:rPr>
          <w:b/>
          <w:bCs/>
        </w:rPr>
        <w:t>Государству-участнику следует принять меры по укреплению независимости Защитника граждан, включая независимость сотрудников его канцелярии, отвечающих за содействие работе национального превентивного механизма, и его оперативной автономии, в частности в том, что касается проведения независимых, регулярных и незапланированных посещений всех мест лишения свободы, включая учреждения для лиц с психосоциальной инвалидностью и дома социального ухода, в сотрудничестве с представителями организаций гражданского общества.</w:t>
      </w:r>
      <w:r>
        <w:t xml:space="preserve"> </w:t>
      </w:r>
      <w:r>
        <w:rPr>
          <w:b/>
          <w:bCs/>
        </w:rPr>
        <w:t>Национальный превентивный механизм должен иметь возможность физического доступа ко всем местам лишения свободы, при условии соблюдения мер предосторожности, связанных с пандемией COVID-19, чтобы эффективно выполнять свои превентивные функции.</w:t>
      </w:r>
      <w:r>
        <w:t xml:space="preserve"> </w:t>
      </w:r>
      <w:r>
        <w:rPr>
          <w:b/>
          <w:bCs/>
        </w:rPr>
        <w:t>Государству-участнику следует принять меры к тому, чтобы национальный превентивный механизм своевременно публично отчитывался о своих выводах и предупреждал власти о неблагоприятных условиях содержания под стражей или поведении, равносильном пыткам или жестокому обращению.</w:t>
      </w:r>
      <w:r>
        <w:t xml:space="preserve"> </w:t>
      </w:r>
    </w:p>
    <w:p w14:paraId="61B2C68A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22777932" w14:textId="624AA754" w:rsidR="003D7DBF" w:rsidRPr="004927B1" w:rsidRDefault="003D7DBF" w:rsidP="003D7DBF">
      <w:pPr>
        <w:pStyle w:val="SingleTxtG"/>
      </w:pPr>
      <w:r>
        <w:t>13.</w:t>
      </w:r>
      <w:r>
        <w:tab/>
        <w:t xml:space="preserve">Комитет обеспокоен тем, что правовые рамки, предусматривающие юридические гарантии для задержанных лиц, неэффективно применяются на практике, включая случаи, когда лицам не разъясняют их права в момент задержания, назначенные судом адвокаты предоставляют услуги низкого качества, медицинские осмотры проводятся в присутствии сотрудников полиции, медицинские работники не документируют травмы и другие следы пыток и жестокого обращения в соответствии с международными стандартами и медицинские заключения не направляются в установленные сроки прокурору и соответствующим судебным органам </w:t>
      </w:r>
      <w:r w:rsidR="00EF0A9A">
        <w:br/>
      </w:r>
      <w:r>
        <w:t>(ст. 2 и 11</w:t>
      </w:r>
      <w:r w:rsidR="00EF0A9A">
        <w:t>–</w:t>
      </w:r>
      <w:r>
        <w:t>12).</w:t>
      </w:r>
    </w:p>
    <w:p w14:paraId="5C713D91" w14:textId="77777777" w:rsidR="003D7DBF" w:rsidRPr="004927B1" w:rsidRDefault="003D7DBF" w:rsidP="003D7DBF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Ссылаясь на свои предыдущие рекомендации</w:t>
      </w:r>
      <w:r w:rsidRPr="0058067D">
        <w:rPr>
          <w:rStyle w:val="aa"/>
          <w:bCs/>
          <w:lang w:eastAsia="en-GB"/>
        </w:rPr>
        <w:footnoteReference w:id="10"/>
      </w:r>
      <w:r>
        <w:rPr>
          <w:b/>
          <w:bCs/>
        </w:rPr>
        <w:t xml:space="preserve">, Комитет настоятельно призывает государство-участник обеспечить, чтобы все основные правовые гарантии против пыток были не только прописаны в законе, но и на практике </w:t>
      </w:r>
      <w:r>
        <w:rPr>
          <w:b/>
          <w:bCs/>
        </w:rPr>
        <w:lastRenderedPageBreak/>
        <w:t>предоставлялись всем задержанным лицам с момента взятия под стражу в соответствии с международными стандартами, и чтобы им гарантировались следующие права:</w:t>
      </w:r>
    </w:p>
    <w:p w14:paraId="7F53CBAC" w14:textId="77777777" w:rsidR="003D7DBF" w:rsidRPr="007F1A2F" w:rsidRDefault="003D7DBF" w:rsidP="00EF0A9A">
      <w:pPr>
        <w:pStyle w:val="SingleTxtG"/>
        <w:ind w:firstLine="567"/>
        <w:rPr>
          <w:b/>
          <w:bCs/>
        </w:rPr>
      </w:pPr>
      <w:r w:rsidRPr="007F1A2F">
        <w:rPr>
          <w:b/>
          <w:bCs/>
        </w:rPr>
        <w:t>a)</w:t>
      </w:r>
      <w:r w:rsidRPr="007F1A2F">
        <w:rPr>
          <w:b/>
          <w:bCs/>
        </w:rPr>
        <w:tab/>
        <w:t>быть своевременно проинформированным на понятном им языке, как в устной, так и в письменной форме, о своих правах, в том числе путем вручения им памятки об их правах; быть уведомленным о причинах задержания и предъявленных обвинениях; подписать документ, подтверждающий понимание предоставленной информации; и уведомить членов семьи или любое другое лицо по своему выбору о заключении под стражу;</w:t>
      </w:r>
    </w:p>
    <w:p w14:paraId="4CB98A2F" w14:textId="77777777" w:rsidR="003D7DBF" w:rsidRPr="007F1A2F" w:rsidRDefault="003D7DBF" w:rsidP="00EF0A9A">
      <w:pPr>
        <w:pStyle w:val="SingleTxtG"/>
        <w:ind w:firstLine="567"/>
        <w:rPr>
          <w:b/>
          <w:bCs/>
        </w:rPr>
      </w:pPr>
      <w:r w:rsidRPr="007F1A2F">
        <w:rPr>
          <w:b/>
          <w:bCs/>
        </w:rPr>
        <w:t>b)</w:t>
      </w:r>
      <w:r w:rsidRPr="007F1A2F">
        <w:rPr>
          <w:b/>
          <w:bCs/>
        </w:rPr>
        <w:tab/>
        <w:t xml:space="preserve">иметь доступ к компетентному и независимому адвокату, в связи с чем необходимо укреплять систему бесплатной юридической помощи; </w:t>
      </w:r>
    </w:p>
    <w:p w14:paraId="04F6FAEE" w14:textId="77777777" w:rsidR="003D7DBF" w:rsidRPr="007F1A2F" w:rsidRDefault="003D7DBF" w:rsidP="00EF0A9A">
      <w:pPr>
        <w:pStyle w:val="SingleTxtG"/>
        <w:ind w:firstLine="567"/>
        <w:rPr>
          <w:b/>
          <w:bCs/>
        </w:rPr>
      </w:pPr>
      <w:r w:rsidRPr="007F1A2F">
        <w:rPr>
          <w:b/>
          <w:bCs/>
        </w:rPr>
        <w:t>c)</w:t>
      </w:r>
      <w:r w:rsidRPr="007F1A2F">
        <w:rPr>
          <w:b/>
          <w:bCs/>
        </w:rPr>
        <w:tab/>
        <w:t>требовать проведения медицинского осмотра независимым врачом и проходить такой осмотр незамедлительно после задержания; медицинский осмотр должен проводиться вне пределов слышимости и видимости сотрудников полиции и тюремного персонала, если только соответствующий врач прямо не просит об ином; во всех случаях, когда имеются прямые или косвенные признаки применения пыток или жестокого обращения, медицинское заключение безотлагательно доводится до сведения прокурора; медицинские работники при выполнении своих обязанностей должны быть свободны от какого-либо необоснованного давления или угрозы возмездия;</w:t>
      </w:r>
    </w:p>
    <w:p w14:paraId="12052560" w14:textId="743170FF" w:rsidR="003D7DBF" w:rsidRPr="004927B1" w:rsidRDefault="003D7DBF" w:rsidP="00EF0A9A">
      <w:pPr>
        <w:pStyle w:val="SingleTxtG"/>
        <w:ind w:firstLine="567"/>
        <w:rPr>
          <w:b/>
          <w:bCs/>
        </w:rPr>
      </w:pPr>
      <w:r w:rsidRPr="007F1A2F">
        <w:rPr>
          <w:b/>
          <w:bCs/>
        </w:rPr>
        <w:t>d)</w:t>
      </w:r>
      <w:r w:rsidRPr="007F1A2F">
        <w:rPr>
          <w:b/>
          <w:bCs/>
        </w:rPr>
        <w:tab/>
        <w:t>на систематическую регистрацию задержания в журнале по месту содержания под стражей и в центральном реестр</w:t>
      </w:r>
      <w:r>
        <w:rPr>
          <w:b/>
          <w:bCs/>
        </w:rPr>
        <w:t>е лиц, лишенных свободы, к</w:t>
      </w:r>
      <w:r w:rsidR="00970D03">
        <w:rPr>
          <w:b/>
          <w:bCs/>
        </w:rPr>
        <w:t> </w:t>
      </w:r>
      <w:r>
        <w:rPr>
          <w:b/>
          <w:bCs/>
        </w:rPr>
        <w:t>которым должны иметь доступ их адвокаты и члены семьи, в соответствии со Сводом принципов защиты всех лиц, подвергаемых задержанию или заключению в какой бы то ни было форме.</w:t>
      </w:r>
      <w:r>
        <w:t xml:space="preserve"> </w:t>
      </w:r>
    </w:p>
    <w:p w14:paraId="6A778E18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07930DBB" w14:textId="74EFA018" w:rsidR="003D7DBF" w:rsidRPr="004927B1" w:rsidRDefault="003D7DBF" w:rsidP="003D7DBF">
      <w:pPr>
        <w:pStyle w:val="SingleTxtG"/>
      </w:pPr>
      <w:r>
        <w:t>15.</w:t>
      </w:r>
      <w:r>
        <w:tab/>
        <w:t>Комитет приветствует значительные шаги, предпринятые для сокращения переполненности тюрем, в том числе путем ремонта и увеличения вместимости существующих объектов пенитенциарной системы, а также использования мер, не связанных с лишением свободы. Вместе с тем он с озабоченностью отмечает, что проблема переполненности следственных изоляторов и тюрем по всей стране все еще не решена. Он также обеспокоен нехваткой тюремного персонала и, как следствие, неспособностью предотвращать насилие и обеспечивать защиту уязвимых заключенных в этом контексте (ст. 2, 11 и 16).</w:t>
      </w:r>
    </w:p>
    <w:p w14:paraId="2F827EB3" w14:textId="77777777" w:rsidR="003D7DBF" w:rsidRPr="004927B1" w:rsidRDefault="003D7DBF" w:rsidP="003D7DBF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C43629C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970D03">
        <w:rPr>
          <w:b/>
          <w:bCs/>
        </w:rPr>
        <w:t>a)</w:t>
      </w:r>
      <w:r w:rsidRPr="00970D03">
        <w:rPr>
          <w:b/>
          <w:bCs/>
        </w:rPr>
        <w:tab/>
        <w:t>на</w:t>
      </w:r>
      <w:r>
        <w:rPr>
          <w:b/>
          <w:bCs/>
        </w:rPr>
        <w:t xml:space="preserve"> основе опыта, полученного в условиях пандемии COVID-19, </w:t>
      </w:r>
      <w:r w:rsidRPr="00EF0A9A">
        <w:rPr>
          <w:b/>
          <w:bCs/>
        </w:rPr>
        <w:t>активизировать усилия для значительного снижения уровня переполненности пенитенциарных учреждений путем принятия мер по уменьшению притока заключенных и более широкого использования альтернатив лишению свободы, таких как условное и досрочное освобождение,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Pr="00EF0A9A">
        <w:rPr>
          <w:b/>
          <w:bCs/>
        </w:rPr>
        <w:t>Бангкокские</w:t>
      </w:r>
      <w:proofErr w:type="spellEnd"/>
      <w:r w:rsidRPr="00EF0A9A">
        <w:rPr>
          <w:b/>
          <w:bCs/>
        </w:rPr>
        <w:t xml:space="preserve"> правила);</w:t>
      </w:r>
    </w:p>
    <w:p w14:paraId="002ABC63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b)</w:t>
      </w:r>
      <w:r w:rsidRPr="00EF0A9A">
        <w:rPr>
          <w:b/>
          <w:bCs/>
        </w:rPr>
        <w:tab/>
        <w:t>продолжать модернизацию всех нуждающихся в ней мест заключения с целью улучшения их инфраструктуры и материальных условий и обеспечить соответствие условий содержания под стражей Минимальным стандартным правилам Организации Объединенных Наций в отношении обращения с заключенными (Правила Нельсона Манделы) и Европейским тюремным правилам Совета Европы;</w:t>
      </w:r>
    </w:p>
    <w:p w14:paraId="0289E0E9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c)</w:t>
      </w:r>
      <w:r w:rsidRPr="00EF0A9A">
        <w:rPr>
          <w:b/>
          <w:bCs/>
        </w:rPr>
        <w:tab/>
        <w:t xml:space="preserve">улучшить оплату и условия труда, а также увеличить численность персонала в местах содержания под стражей, организовать обучение по работе с заключенными и усилить меры контроля в целях предотвращения насилия среди </w:t>
      </w:r>
      <w:r w:rsidRPr="00EF0A9A">
        <w:rPr>
          <w:b/>
          <w:bCs/>
        </w:rPr>
        <w:lastRenderedPageBreak/>
        <w:t>заключенных и обеспечения защиты уязвимых и других подвергающихся риску заключенных.</w:t>
      </w:r>
    </w:p>
    <w:p w14:paraId="7E85EDEF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Медицинское обслуживание в тюрьмах</w:t>
      </w:r>
      <w:r>
        <w:t xml:space="preserve"> </w:t>
      </w:r>
    </w:p>
    <w:p w14:paraId="7305E73D" w14:textId="77777777" w:rsidR="003D7DBF" w:rsidRPr="004927B1" w:rsidRDefault="003D7DBF" w:rsidP="003D7DBF">
      <w:pPr>
        <w:pStyle w:val="SingleTxtG"/>
      </w:pPr>
      <w:r>
        <w:t>17.</w:t>
      </w:r>
      <w:r>
        <w:tab/>
        <w:t xml:space="preserve">Комитет приветствует меры, принятые в области профессиональной подготовки медицинского персонала, а также по реконструкции и ремонту </w:t>
      </w:r>
      <w:r w:rsidRPr="00BB5A32">
        <w:t>медицинских блоков</w:t>
      </w:r>
      <w:r>
        <w:t xml:space="preserve"> в тюрьмах. Однако он обеспокоен сообщениями о низком качестве медицинских услуг в тюрьмах, особенно в том, что касается психиатрического лечения, и отмечает, что медицинское обследование вновь прибывших заключенных, включая регистрацию и анализ полученных ими травм, носит поверхностный характер и что отсутствует систематизированная практика представления отчетов судебным органам (ст. 12 и 13).</w:t>
      </w:r>
    </w:p>
    <w:p w14:paraId="4485120F" w14:textId="43114911" w:rsidR="003D7DBF" w:rsidRPr="004927B1" w:rsidRDefault="003D7DBF" w:rsidP="003D7DBF">
      <w:pPr>
        <w:pStyle w:val="SingleTxtG"/>
      </w:pPr>
      <w:r>
        <w:t>18.</w:t>
      </w:r>
      <w:r>
        <w:tab/>
      </w:r>
      <w:r>
        <w:rPr>
          <w:b/>
          <w:bCs/>
        </w:rPr>
        <w:t>Государству-участнику следует повысить качество медицинских услуг, предоставляемых заключенным;</w:t>
      </w:r>
      <w:r>
        <w:t xml:space="preserve"> </w:t>
      </w:r>
      <w:r>
        <w:rPr>
          <w:b/>
          <w:bCs/>
        </w:rPr>
        <w:t>проводить оперативный медицинский осмотр заключенных при поступлении в места лишения свободы и после перевода в другое учреждение, в частности для выявления и предотвращения распространения инфекционных заболеваний, включая COVID-19;</w:t>
      </w:r>
      <w:r>
        <w:t xml:space="preserve"> </w:t>
      </w:r>
      <w:r w:rsidRPr="00710240">
        <w:rPr>
          <w:b/>
          <w:bCs/>
        </w:rPr>
        <w:t>комплектовать штат</w:t>
      </w:r>
      <w:r>
        <w:rPr>
          <w:b/>
          <w:bCs/>
        </w:rPr>
        <w:t xml:space="preserve"> более квалифицированным медицинским персоналом, включая психиатров;</w:t>
      </w:r>
      <w:r>
        <w:t xml:space="preserve"> </w:t>
      </w:r>
      <w:r>
        <w:rPr>
          <w:b/>
          <w:bCs/>
        </w:rPr>
        <w:t>надлежащим образом вести медицинские файлы и журналы, включая те, которые используются для регистрации травм;</w:t>
      </w:r>
      <w:r>
        <w:t xml:space="preserve"> </w:t>
      </w:r>
      <w:r>
        <w:rPr>
          <w:b/>
          <w:bCs/>
        </w:rPr>
        <w:t>и</w:t>
      </w:r>
      <w:r w:rsidR="00970D03">
        <w:rPr>
          <w:b/>
          <w:bCs/>
        </w:rPr>
        <w:t> </w:t>
      </w:r>
      <w:r>
        <w:rPr>
          <w:b/>
          <w:bCs/>
        </w:rPr>
        <w:t>обеспечить, чтобы медицинские заключения о телесных повреждениях, свидетельствующих о жестоком обращении, незамедлительно направлялись в независимый механизм, ответственный за проведение тщательного осмотра и расследования.</w:t>
      </w:r>
    </w:p>
    <w:p w14:paraId="4012AFE0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Безнаказанность за акты пыток и жестокое обращение</w:t>
      </w:r>
    </w:p>
    <w:p w14:paraId="27F209D4" w14:textId="7416B755" w:rsidR="003D7DBF" w:rsidRPr="004927B1" w:rsidRDefault="003D7DBF" w:rsidP="003D7DBF">
      <w:pPr>
        <w:pStyle w:val="SingleTxtG"/>
      </w:pPr>
      <w:r>
        <w:t>19.</w:t>
      </w:r>
      <w:r>
        <w:tab/>
        <w:t>Комитет выражает озабоченность по поводу того, что не предпринимается достаточных усилий для расследования подавляющего большинства уголовных жалоб, поданных в отношении сотрудников полиции, тюремного персонала и других государственных должностных лиц. Отмечая незначительное число зарегистрированных и рассмотренных жалоб на акты пыток и другие виды жестокого обращения, Комитет серьезно обеспокоен крайне незначительной долей обвинительных приговоров по сравнению с оправдательными и отказами в возбуждении уголовного дела, а также отмечает, что наказания, назначаемые государственным служащим, как правило, неадекватны и несоразмерны тяжести акта пыток (ст. 12</w:t>
      </w:r>
      <w:r w:rsidR="00EF0A9A">
        <w:t>–</w:t>
      </w:r>
      <w:r>
        <w:t>13).</w:t>
      </w:r>
    </w:p>
    <w:p w14:paraId="0B6FE19C" w14:textId="77777777" w:rsidR="003D7DBF" w:rsidRPr="004927B1" w:rsidRDefault="003D7DBF" w:rsidP="003D7DBF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</w:p>
    <w:p w14:paraId="5E2EDE1C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a)</w:t>
      </w:r>
      <w:r w:rsidRPr="00EF0A9A">
        <w:rPr>
          <w:b/>
          <w:bCs/>
        </w:rPr>
        <w:tab/>
        <w:t>обеспечивать оперативное и беспристрастное расследование независимым органом всех жалоб на пытки и жестокое обращение, а также исключить наличие институциональных или иерархических связей между следователями этого органа и лицами, подозреваемыми в совершении таких актов;</w:t>
      </w:r>
    </w:p>
    <w:p w14:paraId="470BBA1A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b)</w:t>
      </w:r>
      <w:r w:rsidRPr="00EF0A9A">
        <w:rPr>
          <w:b/>
          <w:bCs/>
        </w:rPr>
        <w:tab/>
        <w:t>обеспечивать, чтобы власти начинали расследования во всех случаях, когда имеются разумные основания полагать, что был совершен акт пыток или жестокого обращения;</w:t>
      </w:r>
    </w:p>
    <w:p w14:paraId="27EF60CC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c)</w:t>
      </w:r>
      <w:r w:rsidRPr="00EF0A9A">
        <w:rPr>
          <w:b/>
          <w:bCs/>
        </w:rPr>
        <w:tab/>
        <w:t>обеспечивать, чтобы лиц, подозреваемых в применении пыток или жестоком обращении, незамедлительно отстраняли от исполнения их должностных обязанностей на весь период следствия, особенно если существует опасность того, что в противном случае они могут повторить инкриминируемое им деяние, отомстить предполагаемому потерпевшему или воспрепятствовать расследованию;</w:t>
      </w:r>
    </w:p>
    <w:p w14:paraId="2561346C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d)</w:t>
      </w:r>
      <w:r w:rsidRPr="00EF0A9A">
        <w:rPr>
          <w:b/>
          <w:bCs/>
        </w:rPr>
        <w:tab/>
        <w:t>обеспечить надлежащие меры наказания как за преступление пытки, так и за попытку его совершения, которые были бы соизмеримы с тяжестью этих преступлений, как это предусмотрено в пункте 2 статьи 4 Конвенции;</w:t>
      </w:r>
    </w:p>
    <w:p w14:paraId="1D24E38F" w14:textId="77777777" w:rsidR="003D7DBF" w:rsidRPr="00EF0A9A" w:rsidRDefault="003D7DBF" w:rsidP="00EF0A9A">
      <w:pPr>
        <w:pStyle w:val="SingleTxtG"/>
        <w:ind w:firstLine="567"/>
        <w:rPr>
          <w:b/>
          <w:bCs/>
        </w:rPr>
      </w:pPr>
      <w:r w:rsidRPr="00EF0A9A">
        <w:rPr>
          <w:b/>
          <w:bCs/>
        </w:rPr>
        <w:t>e)</w:t>
      </w:r>
      <w:r w:rsidRPr="00EF0A9A">
        <w:rPr>
          <w:b/>
          <w:bCs/>
        </w:rPr>
        <w:tab/>
        <w:t xml:space="preserve">собирать и публиковать всеобъемлющие дезагрегированные статистические данные по всем полученным жалобам и сообщениям о пытках </w:t>
      </w:r>
      <w:r w:rsidRPr="00EF0A9A">
        <w:rPr>
          <w:b/>
          <w:bCs/>
        </w:rPr>
        <w:lastRenderedPageBreak/>
        <w:t>или жестоком обращении, включая информацию о том, проводились ли по этим жалобам расследования, и если да, то каким органом, были ли по результатам расследований приняты дисциплинарные меры или возбуждены уголовные дела и было ли предоставлено возмещение пострадавшим.</w:t>
      </w:r>
    </w:p>
    <w:p w14:paraId="2B3AB400" w14:textId="134C95A5" w:rsidR="003D7DBF" w:rsidRPr="004927B1" w:rsidRDefault="00970D03" w:rsidP="00970D03">
      <w:pPr>
        <w:pStyle w:val="H23G"/>
      </w:pPr>
      <w:r>
        <w:tab/>
      </w:r>
      <w:r>
        <w:tab/>
      </w:r>
      <w:r w:rsidR="003D7DBF">
        <w:t>Включение в Уголовный кодекс наказания в виде пожизненного лишения свободы</w:t>
      </w:r>
    </w:p>
    <w:p w14:paraId="06182FAE" w14:textId="60B51FAC" w:rsidR="003D7DBF" w:rsidRPr="004927B1" w:rsidRDefault="003D7DBF" w:rsidP="003D7DBF">
      <w:pPr>
        <w:pStyle w:val="SingleTxtG"/>
      </w:pPr>
      <w:r>
        <w:t>21.</w:t>
      </w:r>
      <w:r>
        <w:tab/>
        <w:t>Комитет обеспокоен внесением в 2019 году поправок в Уголовный кодекс, в</w:t>
      </w:r>
      <w:r w:rsidR="00970D03">
        <w:t> </w:t>
      </w:r>
      <w:r>
        <w:t xml:space="preserve">соответствии с которыми за ряд преступлений устанавливается наказание в виде пожизненного лишения свободы и в отношении четырех из них отменяется условно-досрочное освобождение, что исключает перспективу освобождения заключенного и возможность пересмотра приговора и таким образом приравнивается к причинению </w:t>
      </w:r>
      <w:r w:rsidRPr="00710240">
        <w:t>душевной боли и страданий</w:t>
      </w:r>
      <w:r>
        <w:t xml:space="preserve"> в нарушение положений Конвенции (ст. 2 и 4).</w:t>
      </w:r>
    </w:p>
    <w:p w14:paraId="68E9EB38" w14:textId="77777777" w:rsidR="003D7DBF" w:rsidRPr="004927B1" w:rsidRDefault="003D7DBF" w:rsidP="003D7DBF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Государству-участнику следует пересмотреть введение наказания в виде пожизненного лишения свободы без возможности условно-досрочного освобождения и обеспечить, чтобы осужденные, отбывающие такое наказание, имели право на судебный пересмотр приговора и могли претендовать на условно-досрочное освобождение.</w:t>
      </w:r>
    </w:p>
    <w:p w14:paraId="70F1A858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01D4327B" w14:textId="7E2FD3D5" w:rsidR="003D7DBF" w:rsidRPr="004927B1" w:rsidRDefault="003D7DBF" w:rsidP="003D7DBF">
      <w:pPr>
        <w:pStyle w:val="SingleTxtG"/>
      </w:pPr>
      <w:r>
        <w:t>23.</w:t>
      </w:r>
      <w:r>
        <w:tab/>
        <w:t>Комитет выражает озабоченность ограниченностью образовательных реабилитационных программ для детей, лишенных свободы и находящихся в исправительных учреждениях, а также сообщениями о жестоком обращении с ними, в</w:t>
      </w:r>
      <w:r w:rsidR="00970D03">
        <w:t> </w:t>
      </w:r>
      <w:r>
        <w:t>том числе в качестве дисциплинарной меры (ст. 11 и 16).</w:t>
      </w:r>
    </w:p>
    <w:p w14:paraId="44A14B8F" w14:textId="77777777" w:rsidR="003D7DBF" w:rsidRPr="004927B1" w:rsidRDefault="003D7DBF" w:rsidP="003D7DBF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следует:</w:t>
      </w:r>
    </w:p>
    <w:p w14:paraId="7ADC939A" w14:textId="1DD64B86" w:rsidR="003D7DBF" w:rsidRPr="00362BCA" w:rsidRDefault="003D7DBF" w:rsidP="00362BCA">
      <w:pPr>
        <w:pStyle w:val="SingleTxtG"/>
        <w:ind w:firstLine="567"/>
        <w:rPr>
          <w:b/>
          <w:bCs/>
        </w:rPr>
      </w:pPr>
      <w:r w:rsidRPr="00362BCA">
        <w:rPr>
          <w:b/>
          <w:bCs/>
        </w:rPr>
        <w:t>a)</w:t>
      </w:r>
      <w:r w:rsidRPr="00362BCA">
        <w:rPr>
          <w:b/>
          <w:bCs/>
        </w:rPr>
        <w:tab/>
        <w:t>рассмотреть возможность создания эффективной, специализированной и должным образом функционирующей системы ювенальной юстиции в соответствии с международными стандартами, включая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 и Руководящие принципы Организации Объединенных Наций по предупреждению преступности среди несовершеннолетних (Эр</w:t>
      </w:r>
      <w:r w:rsidR="00636FA9">
        <w:rPr>
          <w:b/>
          <w:bCs/>
        </w:rPr>
        <w:noBreakHyphen/>
      </w:r>
      <w:proofErr w:type="spellStart"/>
      <w:r w:rsidRPr="00362BCA">
        <w:rPr>
          <w:b/>
          <w:bCs/>
        </w:rPr>
        <w:t>Риядские</w:t>
      </w:r>
      <w:proofErr w:type="spellEnd"/>
      <w:r w:rsidRPr="00362BCA">
        <w:rPr>
          <w:b/>
          <w:bCs/>
        </w:rPr>
        <w:t xml:space="preserve"> руководящие принципы);</w:t>
      </w:r>
    </w:p>
    <w:p w14:paraId="7B1765F1" w14:textId="77777777" w:rsidR="003D7DBF" w:rsidRPr="00362BCA" w:rsidRDefault="003D7DBF" w:rsidP="00362BCA">
      <w:pPr>
        <w:pStyle w:val="SingleTxtG"/>
        <w:ind w:firstLine="567"/>
        <w:rPr>
          <w:b/>
          <w:bCs/>
        </w:rPr>
      </w:pPr>
      <w:r w:rsidRPr="00362BCA">
        <w:rPr>
          <w:b/>
          <w:bCs/>
        </w:rPr>
        <w:t>b)</w:t>
      </w:r>
      <w:r w:rsidRPr="00362BCA">
        <w:rPr>
          <w:b/>
          <w:bCs/>
        </w:rPr>
        <w:tab/>
        <w:t>принимать эффективные меры для предотвращения жестокого обращения с детьми со стороны государственных служащих, в том числе путем расследования таких действий и обеспечения принятия соответствующих дисциплинарных или уголовных мер;</w:t>
      </w:r>
    </w:p>
    <w:p w14:paraId="4BAEB713" w14:textId="1A9359C2" w:rsidR="003D7DBF" w:rsidRPr="00362BCA" w:rsidRDefault="003D7DBF" w:rsidP="00362BCA">
      <w:pPr>
        <w:pStyle w:val="SingleTxtG"/>
        <w:ind w:firstLine="567"/>
        <w:rPr>
          <w:b/>
          <w:bCs/>
        </w:rPr>
      </w:pPr>
      <w:r w:rsidRPr="00362BCA">
        <w:rPr>
          <w:b/>
          <w:bCs/>
        </w:rPr>
        <w:t>c)</w:t>
      </w:r>
      <w:r w:rsidRPr="00362BCA">
        <w:rPr>
          <w:b/>
          <w:bCs/>
        </w:rPr>
        <w:tab/>
        <w:t>укреплять существующие и разрабатывать новые образовательные и реабилитационные программы, направленные на снижение рецидивизма</w:t>
      </w:r>
      <w:r w:rsidR="00636FA9">
        <w:rPr>
          <w:b/>
          <w:bCs/>
        </w:rPr>
        <w:t xml:space="preserve"> </w:t>
      </w:r>
      <w:proofErr w:type="gramStart"/>
      <w:r w:rsidR="00636FA9">
        <w:rPr>
          <w:b/>
          <w:bCs/>
        </w:rPr>
        <w:t>среди несовершеннолетних</w:t>
      </w:r>
      <w:proofErr w:type="gramEnd"/>
      <w:r w:rsidR="00636FA9">
        <w:rPr>
          <w:b/>
          <w:bCs/>
        </w:rPr>
        <w:t xml:space="preserve"> </w:t>
      </w:r>
      <w:r w:rsidRPr="00362BCA">
        <w:rPr>
          <w:b/>
          <w:bCs/>
        </w:rPr>
        <w:t xml:space="preserve">и поощрение </w:t>
      </w:r>
      <w:proofErr w:type="spellStart"/>
      <w:r w:rsidRPr="00362BCA">
        <w:rPr>
          <w:b/>
          <w:bCs/>
        </w:rPr>
        <w:t>просоциального</w:t>
      </w:r>
      <w:proofErr w:type="spellEnd"/>
      <w:r w:rsidRPr="00362BCA">
        <w:rPr>
          <w:b/>
          <w:bCs/>
        </w:rPr>
        <w:t xml:space="preserve"> поведения, обеспечивать наличие надлежащих досуговых мероприятий, способствующих социальной интеграции детей, лишенных свободы, и решать проблему дефицита квалифицированных сотрудников, специально подготовленных для работы с несовершеннолетними. </w:t>
      </w:r>
    </w:p>
    <w:p w14:paraId="08B23CBB" w14:textId="6CF3C8F6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Обращение с лицами, находящимися в учреждениях социальной защиты и</w:t>
      </w:r>
      <w:r w:rsidR="004568FE">
        <w:rPr>
          <w:bCs/>
        </w:rPr>
        <w:t> </w:t>
      </w:r>
      <w:r>
        <w:rPr>
          <w:bCs/>
        </w:rPr>
        <w:t>психиатрических учреждениях</w:t>
      </w:r>
      <w:r>
        <w:t xml:space="preserve"> </w:t>
      </w:r>
    </w:p>
    <w:p w14:paraId="38D089D5" w14:textId="77777777" w:rsidR="003D7DBF" w:rsidRPr="004927B1" w:rsidRDefault="003D7DBF" w:rsidP="003D7DBF">
      <w:pPr>
        <w:pStyle w:val="SingleTxtG"/>
      </w:pPr>
      <w:r>
        <w:t>25.</w:t>
      </w:r>
      <w:r>
        <w:tab/>
        <w:t>Комитет выражает сожаление в связи с тем, что государство-участник практически не продвинулось в решении ранее обозначенных Комитетом проблем</w:t>
      </w:r>
      <w:r w:rsidRPr="0058067D">
        <w:rPr>
          <w:rStyle w:val="aa"/>
          <w:lang w:eastAsia="en-GB"/>
        </w:rPr>
        <w:footnoteReference w:id="11"/>
      </w:r>
      <w:r>
        <w:t xml:space="preserve">, касающихся недобровольного помещения лиц с психическими и психосоциальными расстройствами в психиатрические учреждения, их </w:t>
      </w:r>
      <w:proofErr w:type="spellStart"/>
      <w:r>
        <w:t>деинституционализации</w:t>
      </w:r>
      <w:proofErr w:type="spellEnd"/>
      <w:r>
        <w:t xml:space="preserve"> и продолжающегося использования средств физического усмирения. Комитет особенно обеспокоен положением женщин с инвалидностью в учреждениях интернатного типа, </w:t>
      </w:r>
      <w:r>
        <w:lastRenderedPageBreak/>
        <w:t>которые часто сталкиваются с насилием, а какие-либо профилактические или защитные меры при этом отсутствуют. Он также обеспокоен неудовлетворительными условиями жизни и ограниченным доступом к медицинскому обслуживанию, образованию и реабилитации живущих в интернатах детей с инвалидностью, которые подвергаются жестокому, бесчеловечному и унижающему достоинство обращению без возможности получить возмещение ущерба (ст. 2, 11, 13 и 16).</w:t>
      </w:r>
    </w:p>
    <w:p w14:paraId="33447730" w14:textId="77777777" w:rsidR="003D7DBF" w:rsidRPr="004927B1" w:rsidRDefault="003D7DBF" w:rsidP="003D7DBF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Ссылаясь на свои предыдущие рекомендации</w:t>
      </w:r>
      <w:r w:rsidRPr="0058067D">
        <w:rPr>
          <w:rStyle w:val="aa"/>
          <w:bCs/>
          <w:lang w:eastAsia="en-GB"/>
        </w:rPr>
        <w:footnoteReference w:id="12"/>
      </w:r>
      <w:r>
        <w:rPr>
          <w:b/>
          <w:bCs/>
        </w:rPr>
        <w:t>, Комитет призывает государство-участник:</w:t>
      </w:r>
    </w:p>
    <w:p w14:paraId="649D38DD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a)</w:t>
      </w:r>
      <w:r w:rsidRPr="004568FE">
        <w:rPr>
          <w:b/>
          <w:bCs/>
        </w:rPr>
        <w:tab/>
        <w:t>обеспечить, чтобы национальное законодательство предусматривало эффективные правовые гарантии для всех лиц с психической и психосоциальной инвалидностью в отношении недобровольной госпитализации, включая механизм подачи жалоб и эффективный судебный контроль, а также в отношении недобровольного психиатрического и иного лечения в психиатрических учреждениях и установить строгий надзор за использованием химических и физических средств усмирения;</w:t>
      </w:r>
    </w:p>
    <w:p w14:paraId="7E9B5A9C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b)</w:t>
      </w:r>
      <w:r w:rsidRPr="004568FE">
        <w:rPr>
          <w:b/>
          <w:bCs/>
        </w:rPr>
        <w:tab/>
        <w:t>принять меры к тому, чтобы национальный превентивный механизм имел возможность проводить регулярные и внеплановые посещения психиатрических и других учреждений социального ухода без каких-либо ограничений;</w:t>
      </w:r>
    </w:p>
    <w:p w14:paraId="28F01B31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c)</w:t>
      </w:r>
      <w:r w:rsidRPr="004568FE">
        <w:rPr>
          <w:b/>
          <w:bCs/>
        </w:rPr>
        <w:tab/>
        <w:t>эффективно, оперативно и беспристрастно расследовать все жалобы на жестокое обращение с лицами с психической и психосоциальной инвалидностью, включая детей и лиц, госпитализированных в психиатрические учреждения, привлекать виновных к ответственности и предоставлять возмещение пострадавшим;</w:t>
      </w:r>
    </w:p>
    <w:p w14:paraId="1E4FFED8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d)</w:t>
      </w:r>
      <w:r w:rsidRPr="004568FE">
        <w:rPr>
          <w:b/>
          <w:bCs/>
        </w:rPr>
        <w:tab/>
        <w:t>обеспечить достаточное и надлежащее финансирование служб охраны психического здоровья в общинах.</w:t>
      </w:r>
    </w:p>
    <w:p w14:paraId="7DF0685A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в судебной сфере</w:t>
      </w:r>
      <w:r>
        <w:t xml:space="preserve"> </w:t>
      </w:r>
    </w:p>
    <w:p w14:paraId="0AE03444" w14:textId="36EE6C31" w:rsidR="003D7DBF" w:rsidRPr="004927B1" w:rsidRDefault="003D7DBF" w:rsidP="003D7DBF">
      <w:pPr>
        <w:pStyle w:val="SingleTxtG"/>
      </w:pPr>
      <w:r>
        <w:t>27.</w:t>
      </w:r>
      <w:r>
        <w:tab/>
        <w:t>Комитет обеспокоен тем, что государство-участник отказывается выдавать лиц, подозреваемых в совершении преступлений, связанных с применением пыток, и</w:t>
      </w:r>
      <w:r w:rsidR="001364FC">
        <w:t> </w:t>
      </w:r>
      <w:r>
        <w:t xml:space="preserve">медлит с расследованием этих утверждений и привлечением виновных к ответственности. Комитет отмечает отсутствие действий со стороны государства-участника по выполнению постановления о выдаче, принятого Международным остаточным механизмом для уголовных трибуналов по делу </w:t>
      </w:r>
      <w:proofErr w:type="spellStart"/>
      <w:r>
        <w:t>Петара</w:t>
      </w:r>
      <w:proofErr w:type="spellEnd"/>
      <w:r>
        <w:t xml:space="preserve"> </w:t>
      </w:r>
      <w:proofErr w:type="spellStart"/>
      <w:r>
        <w:t>Йоича</w:t>
      </w:r>
      <w:proofErr w:type="spellEnd"/>
      <w:r>
        <w:t xml:space="preserve"> и </w:t>
      </w:r>
      <w:proofErr w:type="spellStart"/>
      <w:r>
        <w:t>Вьерицы</w:t>
      </w:r>
      <w:proofErr w:type="spellEnd"/>
      <w:r>
        <w:t xml:space="preserve"> </w:t>
      </w:r>
      <w:proofErr w:type="spellStart"/>
      <w:r>
        <w:t>Радеты</w:t>
      </w:r>
      <w:proofErr w:type="spellEnd"/>
      <w:r>
        <w:t>, что негативно сказывается на его сотрудничестве с Механизмом (ст. 5 и 7</w:t>
      </w:r>
      <w:r w:rsidR="004568FE">
        <w:t>–</w:t>
      </w:r>
      <w:r>
        <w:t>8).</w:t>
      </w:r>
    </w:p>
    <w:p w14:paraId="5641DA03" w14:textId="77777777" w:rsidR="003D7DBF" w:rsidRPr="004927B1" w:rsidRDefault="003D7DBF" w:rsidP="003D7DBF">
      <w:pPr>
        <w:pStyle w:val="SingleTxtG"/>
        <w:rPr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обеспечить привлечение к ответственности всех лиц, подозреваемых в совершении военных преступлений и преступлений против человечности и</w:t>
      </w:r>
      <w:r w:rsidRPr="0018402F">
        <w:rPr>
          <w:b/>
          <w:bCs/>
        </w:rPr>
        <w:t xml:space="preserve"> </w:t>
      </w:r>
      <w:r>
        <w:rPr>
          <w:b/>
          <w:bCs/>
        </w:rPr>
        <w:t>соучастии в них, включая высокопоставленных сотрудников полиции, военнослужащих и политических деятелей.</w:t>
      </w:r>
      <w:r>
        <w:t xml:space="preserve"> </w:t>
      </w:r>
      <w:r>
        <w:rPr>
          <w:b/>
          <w:bCs/>
        </w:rPr>
        <w:t>Государству-участнику следует, в соответствии со своими международными обязательствами, либо экстрадировать предполагаемых виновных в применении пыток и жестокого обращения в государство, обладающее юрисдикцией в отношении этого преступления, или в международный уголовный трибунал, либо возбудить в отношении этих лиц уголовное преследование с учетом положений Конвенции.</w:t>
      </w:r>
    </w:p>
    <w:p w14:paraId="37557F9B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Возмещение ущерба и компенсация</w:t>
      </w:r>
    </w:p>
    <w:p w14:paraId="660D20F8" w14:textId="77777777" w:rsidR="003D7DBF" w:rsidRPr="004927B1" w:rsidRDefault="003D7DBF" w:rsidP="003D7DBF">
      <w:pPr>
        <w:pStyle w:val="SingleTxtG"/>
        <w:rPr>
          <w:rFonts w:eastAsia="Cambria"/>
          <w:bCs/>
        </w:rPr>
      </w:pPr>
      <w:r>
        <w:t>29.</w:t>
      </w:r>
      <w:r>
        <w:tab/>
        <w:t xml:space="preserve">Приветствуя создание рабочих групп для совершенствования процесса выплаты компенсации жертвам тяжких преступлений и защиты прав потерпевших и свидетелей, Комитет выражает сожаление по поводу отсутствия конкретной информации о результатах этих инициатив. Комитет также с сожалением отмечает, что государство-участник не указало, получают ли жертвы пыток медицинскую или психосоциальную реабилитацию. Комитет обеспокоен тем, что государство-участник не представило конкретных сведений о возмещении и компенсации пострадавшим от </w:t>
      </w:r>
      <w:r>
        <w:lastRenderedPageBreak/>
        <w:t>действий лиц, осужденных Международным трибуналом по бывшей Югославии или Международным остаточным механизмом для уголовных трибуналов (ст. 2 и 14).</w:t>
      </w:r>
    </w:p>
    <w:p w14:paraId="20B6A4C2" w14:textId="77777777" w:rsidR="003D7DBF" w:rsidRPr="004927B1" w:rsidRDefault="003D7DBF" w:rsidP="003D7DBF">
      <w:pPr>
        <w:pStyle w:val="SingleTxtG"/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3 (2012) об осуществлении статьи 14, Комитет рекомендует государству-участнику принять все необходимые законодательные меры для обеспечения того, чтобы жертвы актов пыток или жестокого обращения, совершенных в государстве-участнике или за рубежом, получали полное и эффективное возмещение, включая средства реабилитации и другую помощь, соответствующие их конкретным потребностям.</w:t>
      </w:r>
      <w:r>
        <w:t xml:space="preserve"> </w:t>
      </w:r>
      <w:r>
        <w:rPr>
          <w:b/>
          <w:bCs/>
        </w:rPr>
        <w:t>Государству-участнику следует собрать и представить Комитету информацию о возмещении и компенсации, включая средства реабилитации, которые были назначены судами или другими государственными органами и фактически предоставлены жертвам пыток и неправомерного обращения.</w:t>
      </w:r>
    </w:p>
    <w:p w14:paraId="19DB7813" w14:textId="77777777" w:rsidR="003D7DBF" w:rsidRPr="00C47755" w:rsidRDefault="003D7DBF" w:rsidP="003D7DBF">
      <w:pPr>
        <w:pStyle w:val="H23G"/>
      </w:pPr>
      <w:r>
        <w:tab/>
      </w:r>
      <w:r>
        <w:tab/>
      </w:r>
      <w:r>
        <w:rPr>
          <w:bCs/>
        </w:rPr>
        <w:t>Принудительная высылка и дипломатические заверения</w:t>
      </w:r>
    </w:p>
    <w:p w14:paraId="139A4354" w14:textId="274B1FA6" w:rsidR="003D7DBF" w:rsidRPr="004927B1" w:rsidRDefault="003D7DBF" w:rsidP="003D7DBF">
      <w:pPr>
        <w:pStyle w:val="SingleTxtG"/>
      </w:pPr>
      <w:r>
        <w:t>31.</w:t>
      </w:r>
      <w:r>
        <w:tab/>
        <w:t>Комитет напоминает о своем решении 2019</w:t>
      </w:r>
      <w:r w:rsidR="001364FC">
        <w:t xml:space="preserve"> </w:t>
      </w:r>
      <w:proofErr w:type="gramStart"/>
      <w:r w:rsidR="001364FC">
        <w:t xml:space="preserve">года </w:t>
      </w:r>
      <w:r>
        <w:t>по индивидуальному сообщению</w:t>
      </w:r>
      <w:proofErr w:type="gramEnd"/>
      <w:r>
        <w:t xml:space="preserve">, представленному </w:t>
      </w:r>
      <w:proofErr w:type="spellStart"/>
      <w:r>
        <w:t>Джевдетом</w:t>
      </w:r>
      <w:proofErr w:type="spellEnd"/>
      <w:r>
        <w:t xml:space="preserve"> </w:t>
      </w:r>
      <w:proofErr w:type="spellStart"/>
      <w:r>
        <w:t>Аязом</w:t>
      </w:r>
      <w:proofErr w:type="spellEnd"/>
      <w:r>
        <w:t xml:space="preserve">, в котором было установлено, что неправомерная выдача г-на </w:t>
      </w:r>
      <w:proofErr w:type="spellStart"/>
      <w:r>
        <w:t>Аяза</w:t>
      </w:r>
      <w:proofErr w:type="spellEnd"/>
      <w:r>
        <w:t xml:space="preserve"> в Турцию представляла собой нарушение Сербией статей 3 и 22 Конвенции</w:t>
      </w:r>
      <w:r w:rsidRPr="0058067D">
        <w:rPr>
          <w:rStyle w:val="aa"/>
          <w:lang w:eastAsia="en-GB"/>
        </w:rPr>
        <w:footnoteReference w:id="13"/>
      </w:r>
      <w:r>
        <w:t>. Он выражает сожаление в связи с отсутствием прогресса в проведении государством-участником всестороннего мониторинга положения заявителя после высылки и обеспечении возмещения ущерба (ст. 2</w:t>
      </w:r>
      <w:r w:rsidR="004568FE">
        <w:t>–</w:t>
      </w:r>
      <w:r>
        <w:t>3 и 12</w:t>
      </w:r>
      <w:r w:rsidR="004568FE">
        <w:t>–</w:t>
      </w:r>
      <w:r>
        <w:t>13).</w:t>
      </w:r>
    </w:p>
    <w:p w14:paraId="20159980" w14:textId="77777777" w:rsidR="003D7DBF" w:rsidRPr="004927B1" w:rsidRDefault="003D7DBF" w:rsidP="003D7DBF">
      <w:pPr>
        <w:pStyle w:val="SingleTxtG"/>
      </w:pPr>
      <w:r>
        <w:t>32.</w:t>
      </w:r>
      <w:r>
        <w:tab/>
      </w:r>
      <w:r>
        <w:rPr>
          <w:b/>
          <w:bCs/>
        </w:rPr>
        <w:t xml:space="preserve">Государству-участнику следует создать механизм для объективного, беспристрастного и надежного мониторинга положения г-на </w:t>
      </w:r>
      <w:proofErr w:type="spellStart"/>
      <w:r>
        <w:rPr>
          <w:b/>
          <w:bCs/>
        </w:rPr>
        <w:t>Аяза</w:t>
      </w:r>
      <w:proofErr w:type="spellEnd"/>
      <w:r>
        <w:rPr>
          <w:b/>
          <w:bCs/>
        </w:rPr>
        <w:t xml:space="preserve"> после высылки, а также предоставить заявителю возмещение, включая адекватную компенсацию нематериального ущерба в результате причиненного ему физического и психического вреда, и представить Комитету информацию об институциональных и правовых реформах, проведенных во избежание аналогичной неправомерной экстрадиции в будущем.</w:t>
      </w:r>
    </w:p>
    <w:p w14:paraId="77AE8EE0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Система предоставления убежища и принцип недопустимости принудительного возвращения</w:t>
      </w:r>
    </w:p>
    <w:p w14:paraId="7EAC1D3C" w14:textId="63D9A99C" w:rsidR="003D7DBF" w:rsidRPr="004927B1" w:rsidRDefault="003D7DBF" w:rsidP="003D7DBF">
      <w:pPr>
        <w:pStyle w:val="SingleTxtG"/>
      </w:pPr>
      <w:r>
        <w:t>33.</w:t>
      </w:r>
      <w:r>
        <w:tab/>
        <w:t xml:space="preserve">Приветствуя принятие в 2018 году Закона об убежище и временной защите, Комитет озабочен тем, что на практике просители убежища не имеют доступа к процедуре предоставления убежища и возможности быть идентифицированными на ранней стадии из-за недостаточных </w:t>
      </w:r>
      <w:r w:rsidRPr="00710240">
        <w:t>процессуальных гарантий оценки заявлений и предоставления международной защиты</w:t>
      </w:r>
      <w:r>
        <w:t xml:space="preserve">, в частности в транзитной зоне международного аэропорта «Никола Тесла» в Белграде и на пограничных пунктах въезда. Это включает отсутствие механизма проверки, учитывающего необходимость защиты, в рамках процесса определения статуса беженца и недостаточное количество квалифицированного персонала, в том числе в пограничной полиции и Управления по вопросам предоставления убежища, для обеспечения справедливого и эффективного принятия решений согласно соответствующим международным стандартам </w:t>
      </w:r>
      <w:r w:rsidR="004568FE">
        <w:br/>
      </w:r>
      <w:r>
        <w:t>(ст. 2</w:t>
      </w:r>
      <w:r w:rsidR="004568FE">
        <w:t>–</w:t>
      </w:r>
      <w:r>
        <w:t>3 и 16).</w:t>
      </w:r>
    </w:p>
    <w:p w14:paraId="2BEA7C5C" w14:textId="77777777" w:rsidR="003D7DBF" w:rsidRPr="004927B1" w:rsidRDefault="003D7DBF" w:rsidP="003D7DBF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Ссылаясь на свои предыдущие рекомендации</w:t>
      </w:r>
      <w:r w:rsidRPr="0058067D">
        <w:rPr>
          <w:rStyle w:val="aa"/>
          <w:bCs/>
          <w:szCs w:val="18"/>
        </w:rPr>
        <w:footnoteReference w:id="14"/>
      </w:r>
      <w:r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5DB1AF1C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a)</w:t>
      </w:r>
      <w:r w:rsidRPr="004568FE">
        <w:rPr>
          <w:b/>
          <w:bCs/>
        </w:rPr>
        <w:tab/>
        <w:t xml:space="preserve">обеспечить гражданский статус Управления по вопросам предоставления убежища и вывести его из компетенции Управления пограничной полиции; </w:t>
      </w:r>
    </w:p>
    <w:p w14:paraId="0497AF46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b)</w:t>
      </w:r>
      <w:r w:rsidRPr="004568FE">
        <w:rPr>
          <w:b/>
          <w:bCs/>
        </w:rPr>
        <w:tab/>
        <w:t>гарантировать возможность независимого, справедливого и эффективного судебного обжалования отрицательных решений о предоставлении убежища путем внесения поправок в Закон об убежище и временной защите с целью введения судебного пересмотра во второй инстанции Административным судом;</w:t>
      </w:r>
    </w:p>
    <w:p w14:paraId="4A2BCBB3" w14:textId="04519F82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c)</w:t>
      </w:r>
      <w:r w:rsidRPr="004568FE">
        <w:rPr>
          <w:b/>
          <w:bCs/>
        </w:rPr>
        <w:tab/>
        <w:t>организовать обучение сотрудников иммиграционных органов по международному беженскому праву и международному праву прав человека, в</w:t>
      </w:r>
      <w:r w:rsidR="00717C0E">
        <w:rPr>
          <w:b/>
          <w:bCs/>
        </w:rPr>
        <w:t> </w:t>
      </w:r>
      <w:r w:rsidRPr="004568FE">
        <w:rPr>
          <w:b/>
          <w:bCs/>
        </w:rPr>
        <w:t xml:space="preserve">частности по принципу </w:t>
      </w:r>
      <w:proofErr w:type="spellStart"/>
      <w:r w:rsidRPr="004568FE">
        <w:rPr>
          <w:b/>
          <w:bCs/>
        </w:rPr>
        <w:t>невыдворения</w:t>
      </w:r>
      <w:proofErr w:type="spellEnd"/>
      <w:r w:rsidRPr="004568FE">
        <w:rPr>
          <w:b/>
          <w:bCs/>
        </w:rPr>
        <w:t>, а также обеспечить, чтобы все внутренние документы и стандартные операционные процедуры включали достаточные гарантии против принудительного возвращения;</w:t>
      </w:r>
    </w:p>
    <w:p w14:paraId="0D325F82" w14:textId="00108266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d)</w:t>
      </w:r>
      <w:r w:rsidRPr="004568FE">
        <w:rPr>
          <w:b/>
          <w:bCs/>
        </w:rPr>
        <w:tab/>
        <w:t>разрешить доступ на территорию страны и достаточную и эффективную защиту от выдворения в международном аэропорту «Никола</w:t>
      </w:r>
      <w:r w:rsidR="008447D9">
        <w:rPr>
          <w:b/>
          <w:bCs/>
        </w:rPr>
        <w:t> </w:t>
      </w:r>
      <w:r w:rsidRPr="004568FE">
        <w:rPr>
          <w:b/>
          <w:bCs/>
        </w:rPr>
        <w:t>Тесла» путем обеспечения того, чтобы лицам, задержанным в транзитной зоне аэропорта, незамедлительно и на понятном языке предоставлялась информация об их праве ходатайствовать об убежище, а также гарантировался реальный доступ к процедуре предоставления убежища;</w:t>
      </w:r>
    </w:p>
    <w:p w14:paraId="6086AAA8" w14:textId="14673C01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e)</w:t>
      </w:r>
      <w:r w:rsidRPr="004568FE">
        <w:rPr>
          <w:b/>
          <w:bCs/>
        </w:rPr>
        <w:tab/>
        <w:t xml:space="preserve">ввести механизм пограничного мониторинга, включающий представителей независимых структур, таких как международные организации и гражданское общество, обладающих опытом в области международного беженского права и международного права прав человека, для обеспечения того, чтобы пограничные службы действовали в соответствии с принципом недопустимости принудительного возвращения и запретом коллективной высылки, а также для целей сбора точных данных; </w:t>
      </w:r>
    </w:p>
    <w:p w14:paraId="294DE439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f)</w:t>
      </w:r>
      <w:r w:rsidRPr="004568FE">
        <w:rPr>
          <w:b/>
          <w:bCs/>
        </w:rPr>
        <w:tab/>
        <w:t>принять меры к тому, чтобы просители убежища и мигранты, содержащиеся под стражей, получали надлежащую медицинскую и психиатрическую помощь, включая медицинский осмотр по прибытии и плановые обследования, фиксировать любые признаки, подтверждающие их заявления о пытках или жестоком обращении, и предоставлять им услуги по поддержке.</w:t>
      </w:r>
    </w:p>
    <w:p w14:paraId="2C39157B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Обучение</w:t>
      </w:r>
    </w:p>
    <w:p w14:paraId="24F9E10F" w14:textId="57AD0554" w:rsidR="003D7DBF" w:rsidRPr="004927B1" w:rsidRDefault="003D7DBF" w:rsidP="004568FE">
      <w:pPr>
        <w:pStyle w:val="SingleTxtG"/>
      </w:pPr>
      <w:r>
        <w:t>35.</w:t>
      </w:r>
      <w:r>
        <w:tab/>
        <w:t>Высоко оценивая учебные модули по Конвенции, которые были включены в программы подготовки сотрудников полиции, служб безопасности и иммиграционных органов, Комитет отмечает отсутствие информации о том, предоставляется ли такая подготовка военнослужащим, в том числе при направлении в зарубежные миссии, и</w:t>
      </w:r>
      <w:r w:rsidR="008447D9">
        <w:t> </w:t>
      </w:r>
      <w:r>
        <w:t>адаптирована ли она к условиям пандемии COVID-19 (ст. 10).</w:t>
      </w:r>
    </w:p>
    <w:p w14:paraId="213BB9F8" w14:textId="77777777" w:rsidR="003D7DBF" w:rsidRPr="004927B1" w:rsidRDefault="003D7DBF" w:rsidP="004568FE">
      <w:pPr>
        <w:shd w:val="clear" w:color="auto" w:fill="FFFFFF"/>
        <w:spacing w:after="100" w:afterAutospacing="1" w:line="240" w:lineRule="auto"/>
        <w:ind w:left="1134" w:right="1133"/>
        <w:jc w:val="both"/>
      </w:pPr>
      <w:r>
        <w:t>36.</w:t>
      </w:r>
      <w:r>
        <w:tab/>
      </w:r>
      <w:r>
        <w:rPr>
          <w:b/>
          <w:bCs/>
        </w:rPr>
        <w:t>Государству-участнику надлежит обеспечить наличие обязательного обучения по положениям Конвенции для всех сотрудников правоохранительных органов и других государственных должностных лиц, работающих с лицами, лишенными свободы, мигрантами и просителями убежища, в том числе по вопросу об абсолютном запрете пыток и жестокого обращения, а также наказаний, которым они могут подвергнуться в случае невыполнения своих обязательств в этом отношении, предусмотрев меры по адаптации такой подготовки к чрезвычайным обстоятельствам.</w:t>
      </w:r>
      <w:r>
        <w:t xml:space="preserve"> </w:t>
      </w:r>
      <w:r>
        <w:rPr>
          <w:b/>
          <w:bCs/>
        </w:rPr>
        <w:t>Государству следует продолжать принимать меры к тому, чтобы все соответствующие сотрудники, включая медицинский персонал, проходили специализированную подготовку по вопросам выявления случаев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14:paraId="0B5A1772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Борьба с терроризмом</w:t>
      </w:r>
      <w:r>
        <w:t xml:space="preserve"> </w:t>
      </w:r>
    </w:p>
    <w:p w14:paraId="1A42144F" w14:textId="2AF6E5C1" w:rsidR="003D7DBF" w:rsidRPr="004927B1" w:rsidRDefault="003D7DBF" w:rsidP="003D7DBF">
      <w:pPr>
        <w:pStyle w:val="SingleTxtG"/>
      </w:pPr>
      <w:r>
        <w:t>37.</w:t>
      </w:r>
      <w:r>
        <w:tab/>
        <w:t>Комитет сожалеет, что государство-участник не представило ему информацию о лицах, осужденных в соответствии с законодательством о борьбе с терроризмом, о</w:t>
      </w:r>
      <w:r w:rsidR="008447D9">
        <w:t> </w:t>
      </w:r>
      <w:r>
        <w:t>правовых гарантиях и средствах правовой защиты, имеющихся в распоряжении лиц, подвергшихся контртеррористическим мерам, в законодательстве и на практике, о</w:t>
      </w:r>
      <w:r w:rsidR="008447D9">
        <w:t> </w:t>
      </w:r>
      <w:r>
        <w:t>наличии жалоб на несоблюдение международных стандартов в этой области и о результатах рассмотрения этих жалоб (ст. 2, 11 и 16).</w:t>
      </w:r>
    </w:p>
    <w:p w14:paraId="7411CE66" w14:textId="77777777" w:rsidR="003D7DBF" w:rsidRPr="004927B1" w:rsidRDefault="003D7DBF" w:rsidP="003D7DBF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Государству-участнику следует обеспечить:</w:t>
      </w:r>
    </w:p>
    <w:p w14:paraId="6A2805A1" w14:textId="5FE9B144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a)</w:t>
      </w:r>
      <w:r w:rsidRPr="004568FE">
        <w:rPr>
          <w:b/>
          <w:bCs/>
        </w:rPr>
        <w:tab/>
        <w:t>соответствие мер по борьбе с терроризмом положениям</w:t>
      </w:r>
      <w:r w:rsidR="008447D9">
        <w:rPr>
          <w:b/>
          <w:bCs/>
        </w:rPr>
        <w:t xml:space="preserve"> </w:t>
      </w:r>
      <w:proofErr w:type="gramStart"/>
      <w:r w:rsidR="008447D9">
        <w:rPr>
          <w:b/>
          <w:bCs/>
        </w:rPr>
        <w:t>Конвенции</w:t>
      </w:r>
      <w:proofErr w:type="gramEnd"/>
      <w:r w:rsidRPr="004568FE">
        <w:rPr>
          <w:b/>
          <w:bCs/>
        </w:rPr>
        <w:t xml:space="preserve"> и чтобы они принимались исключительно в случае необходимости с учетом ситуации и требований принципа соразмерности;</w:t>
      </w:r>
    </w:p>
    <w:p w14:paraId="1C6CE4F5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lastRenderedPageBreak/>
        <w:t>b)</w:t>
      </w:r>
      <w:r w:rsidRPr="004568FE">
        <w:rPr>
          <w:b/>
          <w:bCs/>
        </w:rPr>
        <w:tab/>
        <w:t>проведение быстрого, беспристрастного и эффективного расследования по всем заявлениям о пытках и жестоком обращении с лицами, обвиняемыми в участии в террористических актах, привлечение виновных к ответственности и их надлежащее наказание;</w:t>
      </w:r>
    </w:p>
    <w:p w14:paraId="18983AF6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c)</w:t>
      </w:r>
      <w:r w:rsidRPr="004568FE">
        <w:rPr>
          <w:b/>
          <w:bCs/>
        </w:rPr>
        <w:tab/>
        <w:t>предоставление Комитету запрошенной информации о лицах, осужденных в соответствии с законодательством о борьбе с терроризмом;</w:t>
      </w:r>
    </w:p>
    <w:p w14:paraId="231AAC70" w14:textId="77777777" w:rsidR="003D7DBF" w:rsidRPr="004568FE" w:rsidRDefault="003D7DBF" w:rsidP="004568FE">
      <w:pPr>
        <w:pStyle w:val="SingleTxtG"/>
        <w:ind w:firstLine="567"/>
        <w:rPr>
          <w:b/>
          <w:bCs/>
        </w:rPr>
      </w:pPr>
      <w:r w:rsidRPr="004568FE">
        <w:rPr>
          <w:b/>
          <w:bCs/>
        </w:rPr>
        <w:t>d)</w:t>
      </w:r>
      <w:r w:rsidRPr="004568FE">
        <w:rPr>
          <w:b/>
          <w:bCs/>
        </w:rPr>
        <w:tab/>
        <w:t>включение правозащитного компонента Глобальной контртеррористической стратегии Организации Объединенных Наций в учебные программы в сфере борьбы с терроризмом и проведение оценки воздействия этих программ обучения.</w:t>
      </w:r>
    </w:p>
    <w:p w14:paraId="5155F996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6A54D278" w14:textId="77777777" w:rsidR="003D7DBF" w:rsidRPr="004927B1" w:rsidRDefault="003D7DBF" w:rsidP="003D7DBF">
      <w:pPr>
        <w:pStyle w:val="SingleTxtG"/>
      </w:pPr>
      <w:r>
        <w:t>39.</w:t>
      </w:r>
      <w:r>
        <w:tab/>
        <w:t>Комитет выражает сожаление в связи с тем, что так и не была устранена его прежняя озабоченность</w:t>
      </w:r>
      <w:r w:rsidRPr="0058067D">
        <w:rPr>
          <w:rStyle w:val="aa"/>
          <w:lang w:eastAsia="en-GB"/>
        </w:rPr>
        <w:footnoteReference w:id="15"/>
      </w:r>
      <w:r>
        <w:t xml:space="preserve"> по поводу политического вмешательства в процесс назначения судей (ст. 2 и 12).</w:t>
      </w:r>
    </w:p>
    <w:p w14:paraId="531B43C6" w14:textId="77777777" w:rsidR="003D7DBF" w:rsidRPr="004927B1" w:rsidRDefault="003D7DBF" w:rsidP="003D7DBF">
      <w:pPr>
        <w:pStyle w:val="SingleTxtG"/>
      </w:pPr>
      <w:r>
        <w:t>40.</w:t>
      </w:r>
      <w:r>
        <w:tab/>
      </w:r>
      <w:r>
        <w:rPr>
          <w:b/>
          <w:bCs/>
        </w:rPr>
        <w:t>Государству-участнику следует обеспечить полную независимость, беспристрастность и эффективность судебной системы, в том числе путем приведения процесса назначения судей в полное соответствие с международными стандартами, включая Основные принципы независимости судебных органов.</w:t>
      </w:r>
    </w:p>
    <w:p w14:paraId="5803D846" w14:textId="77777777" w:rsidR="003D7DBF" w:rsidRPr="00C47755" w:rsidRDefault="003D7DBF" w:rsidP="003D7DBF">
      <w:pPr>
        <w:pStyle w:val="H23G"/>
      </w:pPr>
      <w:r>
        <w:tab/>
      </w:r>
      <w:r>
        <w:tab/>
      </w:r>
      <w:r>
        <w:rPr>
          <w:bCs/>
        </w:rPr>
        <w:t>Нападения на журналистов и правозащитников</w:t>
      </w:r>
    </w:p>
    <w:p w14:paraId="268CCB00" w14:textId="2A21BEC4" w:rsidR="003D7DBF" w:rsidRPr="004927B1" w:rsidRDefault="003D7DBF" w:rsidP="003D7DBF">
      <w:pPr>
        <w:pStyle w:val="SingleTxtG"/>
      </w:pPr>
      <w:r>
        <w:t>41.</w:t>
      </w:r>
      <w:r>
        <w:tab/>
        <w:t>Комитет глубоко обеспокоен многочисленными постоянно поступающими сообщениями о нападениях, преследовании, запугивании, произвольных арестах и задержаниях, с которыми сталкиваются журналисты и правозащитники, пытающиеся реализовать свое право на свободу ассоциации или выражения мнений в государстве-участнике (ст. 2, 12</w:t>
      </w:r>
      <w:r w:rsidR="00F5483F">
        <w:t>–</w:t>
      </w:r>
      <w:r>
        <w:t>13 и 16).</w:t>
      </w:r>
    </w:p>
    <w:p w14:paraId="0254831D" w14:textId="77777777" w:rsidR="003D7DBF" w:rsidRPr="004927B1" w:rsidRDefault="003D7DBF" w:rsidP="003D7DBF">
      <w:pPr>
        <w:pStyle w:val="SingleTxtG"/>
      </w:pPr>
      <w:r>
        <w:t>42.</w:t>
      </w:r>
      <w:r>
        <w:tab/>
      </w:r>
      <w:r>
        <w:rPr>
          <w:b/>
          <w:bCs/>
        </w:rPr>
        <w:t>Ссылаясь на свои предыдущие рекомендации</w:t>
      </w:r>
      <w:r w:rsidRPr="0058067D">
        <w:rPr>
          <w:rStyle w:val="aa"/>
          <w:bCs/>
          <w:lang w:eastAsia="en-GB"/>
        </w:rPr>
        <w:footnoteReference w:id="16"/>
      </w:r>
      <w:r>
        <w:rPr>
          <w:b/>
          <w:bCs/>
        </w:rPr>
        <w:t>, Комитет настоятельно призывает государство-участник принять и осуществлять государственную политику защиты журналистов и правозащитников, разработанную в рамках основанного на широком участии процесса, и тщательно изучить причины беспрецедентного насилия в отношении этих групп, с тем чтобы журналисты и правозащитники могли свободно осуществлять свою работу и деятельность в государстве-участнике, не опасаясь репрессий или нападений.</w:t>
      </w:r>
    </w:p>
    <w:p w14:paraId="7F36A747" w14:textId="77777777" w:rsidR="003D7DBF" w:rsidRPr="00C47755" w:rsidRDefault="003D7DBF" w:rsidP="003D7DBF">
      <w:pPr>
        <w:pStyle w:val="H23G"/>
      </w:pPr>
      <w:r>
        <w:tab/>
      </w:r>
      <w:r>
        <w:tab/>
      </w:r>
      <w:r>
        <w:rPr>
          <w:bCs/>
        </w:rPr>
        <w:t>Гендерное и семейно-бытовое насилие</w:t>
      </w:r>
      <w:r>
        <w:t xml:space="preserve"> </w:t>
      </w:r>
    </w:p>
    <w:p w14:paraId="6EBC5464" w14:textId="7A0D43CA" w:rsidR="003D7DBF" w:rsidRPr="004927B1" w:rsidRDefault="003D7DBF" w:rsidP="003D7DBF">
      <w:pPr>
        <w:pStyle w:val="SingleTxtG"/>
      </w:pPr>
      <w:r>
        <w:t>43.</w:t>
      </w:r>
      <w:r>
        <w:tab/>
        <w:t>Комитет с удовлетворением отмечает усилия государства-участника по кодификации прав женщин и криминализации гендерного насилия в Уголовном кодексе. Однако он выражает озабоченность по поводу незначительного количества обвинительных приговоров по делам о семейно-бытовом насилии и того, что, несмотря на законодательные положения о чрезвычайных мерах, для большинства жертв не предусмотрены</w:t>
      </w:r>
      <w:r w:rsidRPr="00710240">
        <w:t xml:space="preserve"> индивидуальные планы защиты</w:t>
      </w:r>
      <w:r>
        <w:t xml:space="preserve"> (ст. 2, 12</w:t>
      </w:r>
      <w:r w:rsidR="00F5483F">
        <w:t>–</w:t>
      </w:r>
      <w:r>
        <w:t xml:space="preserve">14 и 16). Он также обеспокоен ограниченным количеством приютов, доступных для жертв домашнего насилия на территории государства-участника. </w:t>
      </w:r>
    </w:p>
    <w:p w14:paraId="49FE6C00" w14:textId="69EEA247" w:rsidR="003D7DBF" w:rsidRPr="004927B1" w:rsidRDefault="003D7DBF" w:rsidP="003D7DBF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58067D">
        <w:rPr>
          <w:rStyle w:val="aa"/>
          <w:bCs/>
          <w:lang w:eastAsia="en-GB"/>
        </w:rPr>
        <w:footnoteReference w:id="17"/>
      </w:r>
      <w:r>
        <w:rPr>
          <w:b/>
          <w:bCs/>
        </w:rPr>
        <w:t xml:space="preserve"> и вновь призывает государство-участник обеспечить, чтобы все случаи семейно-бытового и гендерного насилия оперативно и тщательно расследовались, чтобы предполагаемые виновные привлекались к ответственности и в случае осуждения несли соответствующее наказание, а жертвы получали возмещение, включая адекватную компенсацию и реабилитацию.</w:t>
      </w:r>
      <w:r>
        <w:t xml:space="preserve"> </w:t>
      </w:r>
      <w:r>
        <w:rPr>
          <w:b/>
          <w:bCs/>
        </w:rPr>
        <w:t xml:space="preserve">Он также настоятельно рекомендует государству-участнику принимать меры по предотвращению насилия, в том числе путем устранения юридических препятствий для женщин, </w:t>
      </w:r>
      <w:r>
        <w:rPr>
          <w:b/>
          <w:bCs/>
        </w:rPr>
        <w:lastRenderedPageBreak/>
        <w:t>ставших жертвами домашнего насилия, чтобы они могли незамедлительно обращаться к властям с заявлением о принятии мер защиты, включая судебные защитные предписания и раздельное проживание по решению суда.</w:t>
      </w:r>
      <w:r>
        <w:t xml:space="preserve"> </w:t>
      </w:r>
      <w:r>
        <w:rPr>
          <w:b/>
          <w:bCs/>
        </w:rPr>
        <w:t>Комитет рекомендует государству-участнику увеличить количество специализированных приютов в стране и обеспечить, чтобы пострадавшие от гендерного насилия имели доступ к этим приютам и получали необходимую медицинскую, психологическую и юридическую помощь, соответствующую их потребностям.</w:t>
      </w:r>
    </w:p>
    <w:p w14:paraId="40821697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59A9697C" w14:textId="77777777" w:rsidR="003D7DBF" w:rsidRPr="004927B1" w:rsidRDefault="003D7DBF" w:rsidP="003D7DBF">
      <w:pPr>
        <w:pStyle w:val="SingleTxtG"/>
      </w:pPr>
      <w:r>
        <w:t>45.</w:t>
      </w:r>
      <w:r>
        <w:tab/>
      </w:r>
      <w:r>
        <w:rPr>
          <w:b/>
          <w:bCs/>
        </w:rPr>
        <w:t xml:space="preserve">Комитет просит государство-участник представить к 30 декабря 2022 года информацию о последующих мерах по выполнению рекомендаций Комитета, касающихся определения пытки, национального правозащитного учреждения и безнаказанности за акты пыток и жестокого обращения (см. </w:t>
      </w:r>
      <w:proofErr w:type="spellStart"/>
      <w:r>
        <w:rPr>
          <w:b/>
          <w:bCs/>
        </w:rPr>
        <w:t>пп</w:t>
      </w:r>
      <w:proofErr w:type="spellEnd"/>
      <w:r>
        <w:rPr>
          <w:b/>
          <w:bCs/>
        </w:rPr>
        <w:t>. 8, 12 и 20 а)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53409097" w14:textId="77777777" w:rsidR="003D7DBF" w:rsidRPr="004927B1" w:rsidRDefault="003D7DBF" w:rsidP="003D7DBF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6EF7C2D3" w14:textId="77777777" w:rsidR="003D7DBF" w:rsidRPr="004927B1" w:rsidRDefault="003D7DBF" w:rsidP="003D7DBF">
      <w:pPr>
        <w:pStyle w:val="SingleTxtG"/>
      </w:pPr>
      <w:r>
        <w:t>46.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мероприятиях, проводимых им в целях распространения.</w:t>
      </w:r>
    </w:p>
    <w:p w14:paraId="31FA0DEB" w14:textId="77777777" w:rsidR="003D7DBF" w:rsidRPr="004927B1" w:rsidRDefault="003D7DBF" w:rsidP="003D7DBF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Комитет просит государство-участник представить свой следующий, четвертый периодический доклад не позднее 30 декабря 2025 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направит государству-участнику перечень вопросов до получения его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четвертый периодический доклад в соответствии со статьей 19 Конвенции.</w:t>
      </w:r>
    </w:p>
    <w:p w14:paraId="40A52F80" w14:textId="0BD07D32" w:rsidR="003D7DBF" w:rsidRPr="003D7DBF" w:rsidRDefault="003D7DBF" w:rsidP="003D7DB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D7DBF" w:rsidRPr="003D7DBF" w:rsidSect="003D7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C6354" w14:textId="77777777" w:rsidR="00E84B88" w:rsidRPr="00A312BC" w:rsidRDefault="00E84B88" w:rsidP="00A312BC"/>
  </w:endnote>
  <w:endnote w:type="continuationSeparator" w:id="0">
    <w:p w14:paraId="4B49D87D" w14:textId="77777777" w:rsidR="00E84B88" w:rsidRPr="00A312BC" w:rsidRDefault="00E84B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89363" w14:textId="0859D96C" w:rsidR="003D7DBF" w:rsidRPr="003D7DBF" w:rsidRDefault="003D7DBF">
    <w:pPr>
      <w:pStyle w:val="a8"/>
    </w:pPr>
    <w:r w:rsidRPr="003D7DBF">
      <w:rPr>
        <w:b/>
        <w:sz w:val="18"/>
      </w:rPr>
      <w:fldChar w:fldCharType="begin"/>
    </w:r>
    <w:r w:rsidRPr="003D7DBF">
      <w:rPr>
        <w:b/>
        <w:sz w:val="18"/>
      </w:rPr>
      <w:instrText xml:space="preserve"> PAGE  \* MERGEFORMAT </w:instrText>
    </w:r>
    <w:r w:rsidRPr="003D7DBF">
      <w:rPr>
        <w:b/>
        <w:sz w:val="18"/>
      </w:rPr>
      <w:fldChar w:fldCharType="separate"/>
    </w:r>
    <w:r w:rsidRPr="003D7DBF">
      <w:rPr>
        <w:b/>
        <w:noProof/>
        <w:sz w:val="18"/>
      </w:rPr>
      <w:t>2</w:t>
    </w:r>
    <w:r w:rsidRPr="003D7DBF">
      <w:rPr>
        <w:b/>
        <w:sz w:val="18"/>
      </w:rPr>
      <w:fldChar w:fldCharType="end"/>
    </w:r>
    <w:r>
      <w:rPr>
        <w:b/>
        <w:sz w:val="18"/>
      </w:rPr>
      <w:tab/>
    </w:r>
    <w:r>
      <w:t>GE.21-19329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FA23" w14:textId="6AEA56DD" w:rsidR="003D7DBF" w:rsidRPr="003D7DBF" w:rsidRDefault="003D7DBF" w:rsidP="003D7DBF">
    <w:pPr>
      <w:pStyle w:val="a8"/>
      <w:tabs>
        <w:tab w:val="clear" w:pos="9639"/>
        <w:tab w:val="right" w:pos="9638"/>
      </w:tabs>
      <w:rPr>
        <w:b/>
        <w:sz w:val="18"/>
      </w:rPr>
    </w:pPr>
    <w:r>
      <w:t>GE.21-19329</w:t>
    </w:r>
    <w:r>
      <w:tab/>
    </w:r>
    <w:r w:rsidRPr="003D7DBF">
      <w:rPr>
        <w:b/>
        <w:sz w:val="18"/>
      </w:rPr>
      <w:fldChar w:fldCharType="begin"/>
    </w:r>
    <w:r w:rsidRPr="003D7DBF">
      <w:rPr>
        <w:b/>
        <w:sz w:val="18"/>
      </w:rPr>
      <w:instrText xml:space="preserve"> PAGE  \* MERGEFORMAT </w:instrText>
    </w:r>
    <w:r w:rsidRPr="003D7DBF">
      <w:rPr>
        <w:b/>
        <w:sz w:val="18"/>
      </w:rPr>
      <w:fldChar w:fldCharType="separate"/>
    </w:r>
    <w:r w:rsidRPr="003D7DBF">
      <w:rPr>
        <w:b/>
        <w:noProof/>
        <w:sz w:val="18"/>
      </w:rPr>
      <w:t>3</w:t>
    </w:r>
    <w:r w:rsidRPr="003D7D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7EF32" w14:textId="79965577" w:rsidR="00042B72" w:rsidRPr="003D7DBF" w:rsidRDefault="003D7DBF" w:rsidP="003D7DB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A405192" wp14:editId="2AF510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19329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9CD6800" wp14:editId="1DD1510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140222  160322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7D54A" w14:textId="77777777" w:rsidR="00E84B88" w:rsidRPr="001075E9" w:rsidRDefault="00E84B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05CA5C" w14:textId="77777777" w:rsidR="00E84B88" w:rsidRDefault="00E84B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0F4AE2F" w14:textId="03427518" w:rsidR="003D7DBF" w:rsidRPr="004927B1" w:rsidRDefault="003D7DBF" w:rsidP="003D7DBF">
      <w:pPr>
        <w:pStyle w:val="ad"/>
      </w:pPr>
      <w:r>
        <w:tab/>
        <w:t>*</w:t>
      </w:r>
      <w:r>
        <w:tab/>
        <w:t xml:space="preserve">Приняты Комитетом на его семьдесят второй сессии (8 ноября </w:t>
      </w:r>
      <w:r w:rsidR="0003218F" w:rsidRPr="0003218F">
        <w:t>—</w:t>
      </w:r>
      <w:r>
        <w:t xml:space="preserve"> 3 декабря 2021 года).</w:t>
      </w:r>
    </w:p>
  </w:footnote>
  <w:footnote w:id="2">
    <w:p w14:paraId="25CB3BA9" w14:textId="5768C99D" w:rsidR="003D7DBF" w:rsidRPr="003D7DBF" w:rsidRDefault="003D7DBF" w:rsidP="003D7DBF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hyperlink r:id="rId1" w:history="1">
        <w:r w:rsidRPr="00F5483F">
          <w:rPr>
            <w:rStyle w:val="af1"/>
            <w:lang w:val="en-US"/>
          </w:rPr>
          <w:t>CAT/C/SRB/3</w:t>
        </w:r>
      </w:hyperlink>
      <w:r w:rsidRPr="004927B1">
        <w:rPr>
          <w:lang w:val="en-US"/>
        </w:rPr>
        <w:t>.</w:t>
      </w:r>
    </w:p>
  </w:footnote>
  <w:footnote w:id="3">
    <w:p w14:paraId="00BC7C2B" w14:textId="1A740597" w:rsidR="003D7DBF" w:rsidRPr="003D7DBF" w:rsidRDefault="003D7DBF" w:rsidP="003D7DBF">
      <w:pPr>
        <w:pStyle w:val="ad"/>
        <w:rPr>
          <w:lang w:val="en-US"/>
        </w:rPr>
      </w:pPr>
      <w:r w:rsidRPr="004927B1">
        <w:rPr>
          <w:lang w:val="en-US"/>
        </w:rP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r>
        <w:t>См</w:t>
      </w:r>
      <w:r w:rsidRPr="004927B1">
        <w:rPr>
          <w:lang w:val="en-US"/>
        </w:rPr>
        <w:t xml:space="preserve">. </w:t>
      </w:r>
      <w:hyperlink r:id="rId2" w:history="1">
        <w:r w:rsidRPr="00F5483F">
          <w:rPr>
            <w:rStyle w:val="af1"/>
            <w:lang w:val="en-US"/>
          </w:rPr>
          <w:t>CAT/C/SR.1862</w:t>
        </w:r>
      </w:hyperlink>
      <w:r w:rsidRPr="004927B1">
        <w:rPr>
          <w:lang w:val="en-US"/>
        </w:rPr>
        <w:t xml:space="preserve"> </w:t>
      </w:r>
      <w:r>
        <w:t>и</w:t>
      </w:r>
      <w:r w:rsidRPr="004927B1">
        <w:rPr>
          <w:lang w:val="en-US"/>
        </w:rPr>
        <w:t xml:space="preserve"> </w:t>
      </w:r>
      <w:hyperlink r:id="rId3" w:history="1">
        <w:r w:rsidRPr="00F5483F">
          <w:rPr>
            <w:rStyle w:val="af1"/>
            <w:lang w:val="en-US"/>
          </w:rPr>
          <w:t>CAT/C/SR.1865</w:t>
        </w:r>
      </w:hyperlink>
      <w:r w:rsidRPr="004927B1">
        <w:rPr>
          <w:lang w:val="en-US"/>
        </w:rPr>
        <w:t>.</w:t>
      </w:r>
    </w:p>
  </w:footnote>
  <w:footnote w:id="4">
    <w:p w14:paraId="59F432D2" w14:textId="49CB680B" w:rsidR="003D7DBF" w:rsidRPr="003D7DBF" w:rsidRDefault="003D7DBF" w:rsidP="003D7DBF">
      <w:pPr>
        <w:pStyle w:val="ad"/>
        <w:rPr>
          <w:lang w:val="en-US"/>
        </w:rPr>
      </w:pPr>
      <w:r w:rsidRPr="004927B1">
        <w:rPr>
          <w:lang w:val="en-US"/>
        </w:rP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hyperlink r:id="rId4" w:history="1">
        <w:r w:rsidRPr="00F5483F">
          <w:rPr>
            <w:rStyle w:val="af1"/>
            <w:lang w:val="en-US"/>
          </w:rPr>
          <w:t>CAT/C/SRB/CO/2</w:t>
        </w:r>
      </w:hyperlink>
      <w:r w:rsidRPr="004927B1">
        <w:rPr>
          <w:lang w:val="en-US"/>
        </w:rPr>
        <w:t xml:space="preserve">, </w:t>
      </w:r>
      <w:r>
        <w:t>п</w:t>
      </w:r>
      <w:r w:rsidRPr="004927B1">
        <w:rPr>
          <w:lang w:val="en-US"/>
        </w:rPr>
        <w:t>. 4.</w:t>
      </w:r>
    </w:p>
  </w:footnote>
  <w:footnote w:id="5">
    <w:p w14:paraId="084E7AC9" w14:textId="77777777" w:rsidR="003D7DBF" w:rsidRPr="004927B1" w:rsidRDefault="003D7DBF" w:rsidP="003D7DBF">
      <w:pPr>
        <w:pStyle w:val="ad"/>
      </w:pPr>
      <w:r w:rsidRPr="004927B1">
        <w:rPr>
          <w:lang w:val="en-US"/>
        </w:rPr>
        <w:tab/>
      </w:r>
      <w:r>
        <w:rPr>
          <w:rStyle w:val="aa"/>
        </w:rPr>
        <w:footnoteRef/>
      </w:r>
      <w:r>
        <w:tab/>
        <w:t>Там же, п. 23.</w:t>
      </w:r>
    </w:p>
  </w:footnote>
  <w:footnote w:id="6">
    <w:p w14:paraId="45C91D74" w14:textId="77777777" w:rsidR="003D7DBF" w:rsidRPr="004927B1" w:rsidRDefault="003D7DBF" w:rsidP="003D7DBF">
      <w:pPr>
        <w:pStyle w:val="ad"/>
      </w:pPr>
      <w:r w:rsidRPr="008566DF">
        <w:tab/>
      </w:r>
      <w:r>
        <w:rPr>
          <w:rStyle w:val="aa"/>
        </w:rPr>
        <w:footnoteRef/>
      </w:r>
      <w:r>
        <w:tab/>
        <w:t>Там же, п. 9 a).</w:t>
      </w:r>
    </w:p>
  </w:footnote>
  <w:footnote w:id="7">
    <w:p w14:paraId="4F7BB9F7" w14:textId="77777777" w:rsidR="003D7DBF" w:rsidRPr="003D7DBF" w:rsidRDefault="003D7DBF" w:rsidP="003D7DBF">
      <w:pPr>
        <w:pStyle w:val="ad"/>
        <w:rPr>
          <w:lang w:val="en-US"/>
        </w:rPr>
      </w:pPr>
      <w:r w:rsidRPr="008566DF"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r>
        <w:t>Там</w:t>
      </w:r>
      <w:r w:rsidRPr="004927B1">
        <w:rPr>
          <w:lang w:val="en-US"/>
        </w:rPr>
        <w:t xml:space="preserve"> </w:t>
      </w:r>
      <w:r>
        <w:t>же</w:t>
      </w:r>
      <w:r w:rsidRPr="004927B1">
        <w:rPr>
          <w:lang w:val="en-US"/>
        </w:rPr>
        <w:t xml:space="preserve">, </w:t>
      </w:r>
      <w:r>
        <w:t>п</w:t>
      </w:r>
      <w:r w:rsidRPr="004927B1">
        <w:rPr>
          <w:lang w:val="en-US"/>
        </w:rPr>
        <w:t>. 19.</w:t>
      </w:r>
    </w:p>
  </w:footnote>
  <w:footnote w:id="8">
    <w:p w14:paraId="589A15DD" w14:textId="43C56C02" w:rsidR="003D7DBF" w:rsidRPr="003D7DBF" w:rsidRDefault="003D7DBF" w:rsidP="003D7DBF">
      <w:pPr>
        <w:pStyle w:val="ad"/>
        <w:rPr>
          <w:lang w:val="en-US"/>
        </w:rPr>
      </w:pPr>
      <w:r w:rsidRPr="004927B1">
        <w:rPr>
          <w:lang w:val="en-US"/>
        </w:rP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hyperlink r:id="rId5" w:history="1">
        <w:r w:rsidRPr="00F5483F">
          <w:rPr>
            <w:rStyle w:val="af1"/>
            <w:lang w:val="en-US"/>
          </w:rPr>
          <w:t>CAT/C/SRB/CO/2/Add.1</w:t>
        </w:r>
      </w:hyperlink>
      <w:r w:rsidRPr="004927B1">
        <w:rPr>
          <w:lang w:val="en-US"/>
        </w:rPr>
        <w:t>.</w:t>
      </w:r>
    </w:p>
  </w:footnote>
  <w:footnote w:id="9">
    <w:p w14:paraId="2A45B706" w14:textId="08194DB6" w:rsidR="003D7DBF" w:rsidRPr="003D7DBF" w:rsidRDefault="003D7DBF" w:rsidP="003D7DBF">
      <w:pPr>
        <w:pStyle w:val="ad"/>
        <w:rPr>
          <w:lang w:val="en-US"/>
        </w:rPr>
      </w:pPr>
      <w:r w:rsidRPr="004927B1">
        <w:rPr>
          <w:lang w:val="en-US"/>
        </w:rP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hyperlink r:id="rId6" w:history="1">
        <w:r w:rsidRPr="00F5483F">
          <w:rPr>
            <w:rStyle w:val="af1"/>
            <w:lang w:val="en-US"/>
          </w:rPr>
          <w:t>CAT/C/SRB/CO/2</w:t>
        </w:r>
      </w:hyperlink>
      <w:r w:rsidR="002721A7">
        <w:rPr>
          <w:lang w:val="en-US"/>
        </w:rPr>
        <w:t xml:space="preserve">, </w:t>
      </w:r>
      <w:r w:rsidR="002721A7">
        <w:t>п</w:t>
      </w:r>
      <w:r w:rsidR="002721A7" w:rsidRPr="004927B1">
        <w:rPr>
          <w:lang w:val="en-US"/>
        </w:rPr>
        <w:t xml:space="preserve">. </w:t>
      </w:r>
      <w:r w:rsidR="002721A7">
        <w:rPr>
          <w:lang w:val="en-US"/>
        </w:rPr>
        <w:t xml:space="preserve">8. </w:t>
      </w:r>
    </w:p>
  </w:footnote>
  <w:footnote w:id="10">
    <w:p w14:paraId="4F8B1EB2" w14:textId="77777777" w:rsidR="003D7DBF" w:rsidRPr="004927B1" w:rsidRDefault="003D7DBF" w:rsidP="003D7DBF">
      <w:pPr>
        <w:pStyle w:val="ad"/>
      </w:pPr>
      <w:r w:rsidRPr="004927B1">
        <w:rPr>
          <w:lang w:val="en-US"/>
        </w:rPr>
        <w:tab/>
      </w:r>
      <w:r>
        <w:rPr>
          <w:rStyle w:val="aa"/>
        </w:rPr>
        <w:footnoteRef/>
      </w:r>
      <w:r>
        <w:tab/>
        <w:t>Там же, п. 9.</w:t>
      </w:r>
    </w:p>
  </w:footnote>
  <w:footnote w:id="11">
    <w:p w14:paraId="27257160" w14:textId="77777777" w:rsidR="003D7DBF" w:rsidRPr="004927B1" w:rsidRDefault="003D7DBF" w:rsidP="003D7DBF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18.</w:t>
      </w:r>
    </w:p>
  </w:footnote>
  <w:footnote w:id="12">
    <w:p w14:paraId="627B3A21" w14:textId="77777777" w:rsidR="003D7DBF" w:rsidRPr="004927B1" w:rsidRDefault="003D7DBF" w:rsidP="003D7DBF">
      <w:pPr>
        <w:pStyle w:val="ad"/>
      </w:pPr>
      <w:r>
        <w:tab/>
      </w:r>
      <w:r>
        <w:rPr>
          <w:rStyle w:val="aa"/>
        </w:rPr>
        <w:footnoteRef/>
      </w:r>
      <w:r>
        <w:tab/>
        <w:t>Там же.</w:t>
      </w:r>
    </w:p>
  </w:footnote>
  <w:footnote w:id="13">
    <w:p w14:paraId="2C71DE0E" w14:textId="2ECF0902" w:rsidR="003D7DBF" w:rsidRPr="00F5483F" w:rsidRDefault="003D7DBF" w:rsidP="003D7DBF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7" w:history="1">
        <w:r w:rsidRPr="00F5483F">
          <w:rPr>
            <w:rStyle w:val="af1"/>
            <w:lang w:val="en-US"/>
          </w:rPr>
          <w:t>CAT/C/67/D/857/2017</w:t>
        </w:r>
      </w:hyperlink>
      <w:r w:rsidRPr="00F5483F">
        <w:rPr>
          <w:lang w:val="en-US"/>
        </w:rPr>
        <w:t>.</w:t>
      </w:r>
    </w:p>
  </w:footnote>
  <w:footnote w:id="14">
    <w:p w14:paraId="27607F4D" w14:textId="25AA5F60" w:rsidR="003D7DBF" w:rsidRPr="003D7DBF" w:rsidRDefault="003D7DBF" w:rsidP="003D7DBF">
      <w:pPr>
        <w:pStyle w:val="ad"/>
        <w:rPr>
          <w:lang w:val="en-US"/>
        </w:rPr>
      </w:pPr>
      <w:r w:rsidRPr="00F5483F">
        <w:rPr>
          <w:lang w:val="en-US"/>
        </w:rPr>
        <w:tab/>
      </w:r>
      <w:r>
        <w:rPr>
          <w:rStyle w:val="aa"/>
        </w:rPr>
        <w:footnoteRef/>
      </w:r>
      <w:r w:rsidRPr="004927B1">
        <w:rPr>
          <w:lang w:val="en-US"/>
        </w:rPr>
        <w:tab/>
      </w:r>
      <w:hyperlink r:id="rId8" w:history="1">
        <w:r w:rsidRPr="00F5483F">
          <w:rPr>
            <w:rStyle w:val="af1"/>
            <w:lang w:val="en-US"/>
          </w:rPr>
          <w:t>CAT/C/SRB/CO/2</w:t>
        </w:r>
      </w:hyperlink>
      <w:r w:rsidRPr="004927B1">
        <w:rPr>
          <w:lang w:val="en-US"/>
        </w:rPr>
        <w:t xml:space="preserve">, </w:t>
      </w:r>
      <w:proofErr w:type="spellStart"/>
      <w:r>
        <w:t>пп</w:t>
      </w:r>
      <w:proofErr w:type="spellEnd"/>
      <w:r w:rsidRPr="004927B1">
        <w:rPr>
          <w:lang w:val="en-US"/>
        </w:rPr>
        <w:t>. 14–15.</w:t>
      </w:r>
    </w:p>
  </w:footnote>
  <w:footnote w:id="15">
    <w:p w14:paraId="3C007A00" w14:textId="77777777" w:rsidR="003D7DBF" w:rsidRPr="004927B1" w:rsidRDefault="003D7DBF" w:rsidP="003D7DBF">
      <w:pPr>
        <w:pStyle w:val="ad"/>
      </w:pPr>
      <w:r w:rsidRPr="004927B1">
        <w:rPr>
          <w:lang w:val="en-US"/>
        </w:rPr>
        <w:tab/>
      </w:r>
      <w:r>
        <w:rPr>
          <w:rStyle w:val="aa"/>
        </w:rPr>
        <w:footnoteRef/>
      </w:r>
      <w:r>
        <w:tab/>
        <w:t>Там же, п. 22.</w:t>
      </w:r>
    </w:p>
  </w:footnote>
  <w:footnote w:id="16">
    <w:p w14:paraId="79552159" w14:textId="14199A07" w:rsidR="003D7DBF" w:rsidRPr="004927B1" w:rsidRDefault="003D7DBF" w:rsidP="003D7DBF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19.</w:t>
      </w:r>
    </w:p>
  </w:footnote>
  <w:footnote w:id="17">
    <w:p w14:paraId="51ED3AE2" w14:textId="77777777" w:rsidR="003D7DBF" w:rsidRDefault="003D7DBF" w:rsidP="003D7DBF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77B5" w14:textId="59042D47" w:rsidR="003D7DBF" w:rsidRPr="003D7DBF" w:rsidRDefault="003D7DBF">
    <w:pPr>
      <w:pStyle w:val="a5"/>
    </w:pPr>
    <w:fldSimple w:instr=" TITLE  \* MERGEFORMAT ">
      <w:r w:rsidR="005774E4">
        <w:t>CAT/C/SRB/CO/3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4903D" w14:textId="7FA149A5" w:rsidR="003D7DBF" w:rsidRPr="003D7DBF" w:rsidRDefault="003D7DBF" w:rsidP="003D7DBF">
    <w:pPr>
      <w:pStyle w:val="a5"/>
      <w:jc w:val="right"/>
    </w:pPr>
    <w:fldSimple w:instr=" TITLE  \* MERGEFORMAT ">
      <w:r w:rsidR="005774E4">
        <w:t>CAT/C/SRB/CO/3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A784" w14:textId="77777777" w:rsidR="003D7DBF" w:rsidRDefault="003D7DBF" w:rsidP="003D7DB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 w:insDel="0" w:formatting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88"/>
    <w:rsid w:val="00030741"/>
    <w:rsid w:val="0003218F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364FC"/>
    <w:rsid w:val="00180183"/>
    <w:rsid w:val="0018024D"/>
    <w:rsid w:val="0018649F"/>
    <w:rsid w:val="00196389"/>
    <w:rsid w:val="001B3EF6"/>
    <w:rsid w:val="001C7A89"/>
    <w:rsid w:val="002721A7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62BCA"/>
    <w:rsid w:val="00374EC6"/>
    <w:rsid w:val="00381C24"/>
    <w:rsid w:val="00393C46"/>
    <w:rsid w:val="003958D0"/>
    <w:rsid w:val="003B00E5"/>
    <w:rsid w:val="003D7DBF"/>
    <w:rsid w:val="003F3BA3"/>
    <w:rsid w:val="00403C9E"/>
    <w:rsid w:val="00407B78"/>
    <w:rsid w:val="00422B21"/>
    <w:rsid w:val="00424203"/>
    <w:rsid w:val="00452493"/>
    <w:rsid w:val="00454E07"/>
    <w:rsid w:val="004568FE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759D4"/>
    <w:rsid w:val="005774E4"/>
    <w:rsid w:val="0058663C"/>
    <w:rsid w:val="005961C8"/>
    <w:rsid w:val="005D7914"/>
    <w:rsid w:val="005E2B41"/>
    <w:rsid w:val="005F0B42"/>
    <w:rsid w:val="00636FA9"/>
    <w:rsid w:val="00681A10"/>
    <w:rsid w:val="006A1ED8"/>
    <w:rsid w:val="006C2031"/>
    <w:rsid w:val="006D461A"/>
    <w:rsid w:val="006F35EE"/>
    <w:rsid w:val="007021FF"/>
    <w:rsid w:val="00712895"/>
    <w:rsid w:val="00717C0E"/>
    <w:rsid w:val="00757357"/>
    <w:rsid w:val="007F1A2F"/>
    <w:rsid w:val="00825F8D"/>
    <w:rsid w:val="00834B71"/>
    <w:rsid w:val="00834CC0"/>
    <w:rsid w:val="008447D9"/>
    <w:rsid w:val="0086445C"/>
    <w:rsid w:val="00894693"/>
    <w:rsid w:val="008A08D7"/>
    <w:rsid w:val="008B6909"/>
    <w:rsid w:val="008D78E5"/>
    <w:rsid w:val="00906890"/>
    <w:rsid w:val="00911BE4"/>
    <w:rsid w:val="00951972"/>
    <w:rsid w:val="00953B7A"/>
    <w:rsid w:val="009569AF"/>
    <w:rsid w:val="009608F3"/>
    <w:rsid w:val="00970D03"/>
    <w:rsid w:val="009A24AC"/>
    <w:rsid w:val="00A211FF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84B88"/>
    <w:rsid w:val="00EA2C9F"/>
    <w:rsid w:val="00ED0BDA"/>
    <w:rsid w:val="00EF0A9A"/>
    <w:rsid w:val="00EF1360"/>
    <w:rsid w:val="00EF3220"/>
    <w:rsid w:val="00F21B00"/>
    <w:rsid w:val="00F5483F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D980A4"/>
  <w15:docId w15:val="{C691D8E9-F94F-402B-B2CC-BA97A6D5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locked/>
    <w:rsid w:val="003D7DB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548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access-ods.un.org/access.nsf/Get?OpenAgent&amp;DS=CAT/C/SRB/CO/2&amp;Lang=E" TargetMode="External"/><Relationship Id="rId3" Type="http://schemas.openxmlformats.org/officeDocument/2006/relationships/hyperlink" Target="https://documents-dds-ny.un.org/doc/UNDOC/GEN/G21/354/17/PDF/G2135417.pdf?OpenElement" TargetMode="External"/><Relationship Id="rId7" Type="http://schemas.openxmlformats.org/officeDocument/2006/relationships/hyperlink" Target="https://documents-dds-ny.un.org/doc/UNDOC/GEN/G19/259/72/PDF/G1925972.pdf?OpenElement" TargetMode="External"/><Relationship Id="rId2" Type="http://schemas.openxmlformats.org/officeDocument/2006/relationships/hyperlink" Target="https://documents-dds-ny.un.org/doc/UNDOC/GEN/G21/352/32/PDF/G2135232.pdf?OpenElement" TargetMode="External"/><Relationship Id="rId1" Type="http://schemas.openxmlformats.org/officeDocument/2006/relationships/hyperlink" Target="https://documents-dds-ny.un.org/doc/UNDOC/GEN/G19/299/55/PDF/G1929955.pdf?OpenElement" TargetMode="External"/><Relationship Id="rId6" Type="http://schemas.openxmlformats.org/officeDocument/2006/relationships/hyperlink" Target="https://daccess-ods.un.org/access.nsf/Get?OpenAgent&amp;DS=CAT/C/SRB/CO/2&amp;Lang=E" TargetMode="External"/><Relationship Id="rId5" Type="http://schemas.openxmlformats.org/officeDocument/2006/relationships/hyperlink" Target="https://documents-dds-ny.un.org/doc/UNDOC/GEN/G16/180/29/PDF/G1618029.pdf?OpenElement" TargetMode="External"/><Relationship Id="rId4" Type="http://schemas.openxmlformats.org/officeDocument/2006/relationships/hyperlink" Target="https://daccess-ods.un.org/access.nsf/Get?OpenAgent&amp;DS=CAT/C/SRB/CO/2&amp;Lang=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34</TotalTime>
  <Pages>11</Pages>
  <Words>4171</Words>
  <Characters>29537</Characters>
  <Application>Microsoft Office Word</Application>
  <DocSecurity>0</DocSecurity>
  <Lines>536</Lines>
  <Paragraphs>121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CAT/C/SRB/CO/3</dc:title>
  <dc:subject/>
  <dc:creator>Shuvalova NATALIA</dc:creator>
  <cp:keywords/>
  <cp:lastModifiedBy>Natalia Shuvalova</cp:lastModifiedBy>
  <cp:revision>3</cp:revision>
  <cp:lastPrinted>2022-03-16T13:35:00Z</cp:lastPrinted>
  <dcterms:created xsi:type="dcterms:W3CDTF">2022-03-16T13:35:00Z</dcterms:created>
  <dcterms:modified xsi:type="dcterms:W3CDTF">2022-03-16T13:36:00Z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