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1029" type="#_x0000_t202" style="position:absolute;margin-left:76.05pt;margin-top:695.65pt;width:126pt;height:18pt;z-index:1;mso-wrap-distance-top:56.7pt;mso-wrap-distance-bottom:56.7pt;mso-position-horizontal-relative:page" o:allowincell="f" filled="f" stroked="f" strokecolor="white">
                  <v:textbox inset="0,0,0,0">
                    <w:txbxContent>
                      <w:p w:rsidR="00000000" w:rsidRDefault="00000000">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43659</w:t>
                        </w:r>
                        <w:r>
                          <w:rPr>
                            <w:lang w:val="en-US"/>
                          </w:rPr>
                          <w:fldChar w:fldCharType="end"/>
                        </w:r>
                        <w:r>
                          <w:rPr>
                            <w:lang w:val="en-US"/>
                          </w:rPr>
                          <w:t xml:space="preserve"> (R)</w:t>
                        </w:r>
                      </w:p>
                    </w:txbxContent>
                  </v:textbox>
                  <w10:wrap type="topAndBottom" anchorx="page"/>
                  <w10:anchorlock/>
                </v:shape>
              </w:pict>
            </w: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lang w:val="en-US"/>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Е/1990/6/</w:t>
            </w:r>
            <w:proofErr w:type="spellStart"/>
            <w:r>
              <w:rPr>
                <w:lang w:val="en-US"/>
              </w:rPr>
              <w:t>Add.26</w:t>
            </w:r>
            <w:proofErr w:type="spellEnd"/>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28 July 2000</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Original:  FRENCH</w:t>
            </w:r>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rPr>
            </w:pPr>
          </w:p>
        </w:tc>
      </w:tr>
    </w:tbl>
    <w:p w:rsidR="00000000" w:rsidRDefault="00000000">
      <w:pPr>
        <w:jc w:val="both"/>
      </w:pPr>
    </w:p>
    <w:p w:rsidR="00000000" w:rsidRDefault="00000000">
      <w:pPr>
        <w:jc w:val="both"/>
      </w:pPr>
      <w:r>
        <w:t>Основная сессия 2000 года</w:t>
      </w:r>
    </w:p>
    <w:p w:rsidR="00000000" w:rsidRDefault="00000000">
      <w:pPr>
        <w:jc w:val="both"/>
      </w:pPr>
    </w:p>
    <w:p w:rsidR="00000000" w:rsidRDefault="00000000">
      <w:pPr>
        <w:jc w:val="both"/>
      </w:pPr>
    </w:p>
    <w:p w:rsidR="00000000" w:rsidRDefault="00000000">
      <w:pPr>
        <w:pStyle w:val="16"/>
      </w:pPr>
      <w:r>
        <w:t>ОСУЩЕСТВЛЕНИЕ МЕЖДУНАРОДНОГО ПАКТА ОБ ЭКОНОМИЧЕСКИХ, СОЦИАЛЬНЫХ И КУЛЬТУРНЫХ ПРАВАХ</w:t>
      </w:r>
    </w:p>
    <w:p w:rsidR="00000000" w:rsidRDefault="00000000">
      <w:pPr>
        <w:pStyle w:val="16"/>
      </w:pPr>
    </w:p>
    <w:p w:rsidR="00000000" w:rsidRDefault="00000000">
      <w:pPr>
        <w:pStyle w:val="16"/>
      </w:pPr>
    </w:p>
    <w:p w:rsidR="00000000" w:rsidRDefault="00000000">
      <w:pPr>
        <w:pStyle w:val="11"/>
      </w:pPr>
      <w:r>
        <w:t>Вторые периодические доклады, представленные государствами-участниками в соответствии со статьями 16 и 17 Пакта</w:t>
      </w:r>
    </w:p>
    <w:p w:rsidR="00000000" w:rsidRDefault="00000000">
      <w:pPr>
        <w:pStyle w:val="11"/>
      </w:pPr>
    </w:p>
    <w:p w:rsidR="00000000" w:rsidRDefault="00000000">
      <w:pPr>
        <w:pStyle w:val="11"/>
      </w:pPr>
    </w:p>
    <w:p w:rsidR="00000000" w:rsidRDefault="00000000">
      <w:pPr>
        <w:jc w:val="center"/>
        <w:rPr>
          <w:u w:val="single"/>
        </w:rPr>
      </w:pPr>
      <w:r>
        <w:rPr>
          <w:u w:val="single"/>
        </w:rPr>
        <w:t>Добавление</w:t>
      </w:r>
    </w:p>
    <w:p w:rsidR="00000000" w:rsidRDefault="00000000">
      <w:pPr>
        <w:jc w:val="center"/>
        <w:rPr>
          <w:u w:val="single"/>
        </w:rPr>
      </w:pPr>
    </w:p>
    <w:p w:rsidR="00000000" w:rsidRDefault="00000000">
      <w:pPr>
        <w:jc w:val="center"/>
      </w:pPr>
      <w:r>
        <w:t>АЛЖИР*</w:t>
      </w:r>
    </w:p>
    <w:p w:rsidR="00000000" w:rsidRDefault="00000000">
      <w:pPr>
        <w:jc w:val="center"/>
      </w:pPr>
    </w:p>
    <w:p w:rsidR="00000000" w:rsidRDefault="00000000">
      <w:pPr>
        <w:jc w:val="center"/>
      </w:pPr>
    </w:p>
    <w:p w:rsidR="00000000" w:rsidRDefault="00000000">
      <w:pPr>
        <w:jc w:val="right"/>
      </w:pPr>
      <w:r>
        <w:t>[22 мая 2000 года]</w:t>
      </w:r>
    </w:p>
    <w:p w:rsidR="00000000" w:rsidRDefault="00000000">
      <w:pPr>
        <w:jc w:val="center"/>
      </w:pPr>
    </w:p>
    <w:p w:rsidR="00000000" w:rsidRDefault="00000000">
      <w:pPr>
        <w:jc w:val="center"/>
      </w:pPr>
    </w:p>
    <w:p w:rsidR="00000000" w:rsidRDefault="00000000">
      <w:pPr>
        <w:jc w:val="center"/>
      </w:pP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val="en-US" w:eastAsia="en-US"/>
        </w:rPr>
      </w:pPr>
      <w:r>
        <w:rPr>
          <w:rFonts w:ascii="Times New Roman" w:hAnsi="Times New Roman"/>
          <w:snapToGrid/>
          <w:lang w:val="en-US" w:eastAsia="en-US"/>
        </w:rPr>
        <w:t>_____________</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val="en-US" w:eastAsia="en-US"/>
        </w:rPr>
      </w:pPr>
    </w:p>
    <w:p w:rsidR="00000000" w:rsidRDefault="00000000">
      <w:pPr>
        <w:spacing w:line="240" w:lineRule="auto"/>
      </w:pPr>
      <w:r>
        <w:t>*</w:t>
      </w:r>
      <w:r>
        <w:tab/>
        <w:t xml:space="preserve">Первоначальный доклад, касающийся прав, охватываемых статьями 1-15 Пакта (E/1990/5/Add.22), представленный правительством Алжира, был рассмотрен Комитетом по экономическим, социальным и культурным правам на его тринадцатой сессии (см. документы </w:t>
      </w:r>
      <w:proofErr w:type="spellStart"/>
      <w:r>
        <w:t>E</w:t>
      </w:r>
      <w:proofErr w:type="spellEnd"/>
      <w:r>
        <w:t>/</w:t>
      </w:r>
      <w:proofErr w:type="spellStart"/>
      <w:r>
        <w:t>C.12</w:t>
      </w:r>
      <w:proofErr w:type="spellEnd"/>
      <w:r>
        <w:t>/1995/</w:t>
      </w:r>
      <w:proofErr w:type="spellStart"/>
      <w:r>
        <w:t>SR.46-48</w:t>
      </w:r>
      <w:proofErr w:type="spellEnd"/>
      <w:r>
        <w:t>).</w:t>
      </w:r>
    </w:p>
    <w:p w:rsidR="00000000" w:rsidRDefault="00000000">
      <w:pPr>
        <w:spacing w:line="240" w:lineRule="auto"/>
        <w:rPr>
          <w:lang w:val="en-US"/>
        </w:rPr>
      </w:pPr>
    </w:p>
    <w:p w:rsidR="00000000" w:rsidRDefault="00000000">
      <w:pPr>
        <w:jc w:val="center"/>
      </w:pPr>
      <w:r>
        <w:t>СОДЕРЖАНИЕ</w:t>
      </w:r>
    </w:p>
    <w:p w:rsidR="00000000" w:rsidRDefault="00000000">
      <w:pPr>
        <w:jc w:val="center"/>
      </w:pPr>
    </w:p>
    <w:p w:rsidR="00000000" w:rsidRDefault="00000000">
      <w:pPr>
        <w:tabs>
          <w:tab w:val="clear" w:pos="6237"/>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center" w:pos="8039"/>
          <w:tab w:val="center" w:pos="9122"/>
        </w:tabs>
      </w:pP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288" w:lineRule="auto"/>
      </w:pPr>
      <w:r>
        <w:t>Введение</w:t>
      </w:r>
      <w:r>
        <w:tab/>
      </w:r>
      <w:r>
        <w:tab/>
        <w:t>1 – 3</w:t>
      </w:r>
      <w:r>
        <w:tab/>
        <w:t>4</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288" w:lineRule="auto"/>
      </w:pP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jc w:val="center"/>
        <w:rPr>
          <w:b/>
          <w:iCs/>
        </w:rPr>
      </w:pPr>
      <w:r>
        <w:rPr>
          <w:b/>
          <w:iCs/>
        </w:rPr>
        <w:t>Часть первая</w:t>
      </w: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jc w:val="center"/>
        <w:rPr>
          <w:b/>
          <w:i/>
        </w:rPr>
      </w:pP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jc w:val="center"/>
        <w:rPr>
          <w:b/>
          <w:i/>
        </w:rPr>
      </w:pPr>
      <w:r>
        <w:rPr>
          <w:b/>
          <w:i/>
        </w:rPr>
        <w:t>Общие сведения</w:t>
      </w: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proofErr w:type="spellStart"/>
      <w:r>
        <w:t>I</w:t>
      </w:r>
      <w:proofErr w:type="spellEnd"/>
      <w:r>
        <w:t>.</w:t>
      </w:r>
      <w:r>
        <w:tab/>
        <w:t>ОБЩАЯ ПОЛИТИЧЕСКАЯ СТРУКТУРА</w:t>
      </w:r>
      <w:r>
        <w:tab/>
      </w:r>
      <w:r>
        <w:tab/>
        <w:t>5 – 11</w:t>
      </w:r>
      <w:r>
        <w:tab/>
        <w:t>5</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proofErr w:type="spellStart"/>
      <w:r>
        <w:t>II</w:t>
      </w:r>
      <w:proofErr w:type="spellEnd"/>
      <w:r>
        <w:t>.</w:t>
      </w:r>
      <w:r>
        <w:tab/>
        <w:t>ОБЩЕПРАВОВАЯ ОСНОВА ЗАЩИТЫ ПРАВ</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t>ЧЕЛОВЕКА</w:t>
      </w:r>
      <w:r>
        <w:tab/>
      </w:r>
      <w:r>
        <w:tab/>
        <w:t>12 – 34</w:t>
      </w:r>
      <w:r>
        <w:tab/>
        <w:t>7</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t>А.</w:t>
      </w:r>
      <w:r>
        <w:tab/>
        <w:t>Правозащитные механизмы</w:t>
      </w:r>
      <w:r>
        <w:tab/>
      </w:r>
      <w:r>
        <w:tab/>
        <w:t>12 – 27</w:t>
      </w:r>
      <w:r>
        <w:tab/>
        <w:t>7</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t>В.</w:t>
      </w:r>
      <w:r>
        <w:tab/>
        <w:t>Международные договоры и внутригосударственное</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r>
      <w:r>
        <w:tab/>
        <w:t>право</w:t>
      </w:r>
      <w:r>
        <w:tab/>
      </w:r>
      <w:r>
        <w:tab/>
        <w:t>28 – 29</w:t>
      </w:r>
      <w:r>
        <w:tab/>
        <w:t>11</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proofErr w:type="spellStart"/>
      <w:r>
        <w:t>III</w:t>
      </w:r>
      <w:proofErr w:type="spellEnd"/>
      <w:r>
        <w:t>.</w:t>
      </w:r>
      <w:r>
        <w:tab/>
        <w:t>ИНФОРМИРОВАНИЕ И ПРОПАГАНДА</w:t>
      </w:r>
      <w:r>
        <w:tab/>
      </w:r>
      <w:r>
        <w:tab/>
        <w:t>30 – 34</w:t>
      </w:r>
      <w:r>
        <w:tab/>
        <w:t>12</w:t>
      </w: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jc w:val="center"/>
        <w:rPr>
          <w:b/>
          <w:iCs/>
        </w:rPr>
      </w:pPr>
      <w:r>
        <w:rPr>
          <w:b/>
          <w:iCs/>
        </w:rPr>
        <w:t>Часть вторая</w:t>
      </w: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jc w:val="center"/>
        <w:rPr>
          <w:b/>
          <w:i/>
        </w:rPr>
      </w:pP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jc w:val="center"/>
      </w:pPr>
      <w:r>
        <w:rPr>
          <w:b/>
          <w:i/>
        </w:rPr>
        <w:t xml:space="preserve">Информация по конкретным положениям Пакта </w:t>
      </w: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jc w:val="center"/>
      </w:pPr>
    </w:p>
    <w:p w:rsidR="00000000" w:rsidRDefault="00000000">
      <w:pPr>
        <w:pStyle w:val="FootnoteText"/>
        <w:tabs>
          <w:tab w:val="clear" w:pos="1701"/>
          <w:tab w:val="clear" w:pos="6237"/>
          <w:tab w:val="left" w:pos="567"/>
          <w:tab w:val="left" w:pos="1134"/>
          <w:tab w:val="left" w:pos="1985"/>
          <w:tab w:val="left" w:pos="2268"/>
          <w:tab w:val="right" w:leader="dot" w:pos="7172"/>
          <w:tab w:val="center" w:pos="8039"/>
          <w:tab w:val="center" w:pos="9122"/>
        </w:tabs>
        <w:spacing w:line="288" w:lineRule="auto"/>
      </w:pPr>
      <w:r>
        <w:tab/>
        <w:t>Статья 1:</w:t>
      </w:r>
      <w:r>
        <w:tab/>
        <w:t>Право народов на самоопределение</w:t>
      </w:r>
      <w:r>
        <w:tab/>
      </w:r>
      <w:r>
        <w:tab/>
        <w:t>35 – 36</w:t>
      </w:r>
      <w:r>
        <w:tab/>
        <w:t>13</w:t>
      </w:r>
    </w:p>
    <w:p w:rsidR="00000000" w:rsidRDefault="00000000">
      <w:pPr>
        <w:pStyle w:val="FootnoteText"/>
        <w:tabs>
          <w:tab w:val="clear" w:pos="1701"/>
          <w:tab w:val="clear" w:pos="6237"/>
          <w:tab w:val="left" w:pos="567"/>
          <w:tab w:val="left" w:pos="1134"/>
          <w:tab w:val="left" w:pos="1985"/>
          <w:tab w:val="left" w:pos="2268"/>
          <w:tab w:val="right" w:leader="dot" w:pos="7172"/>
          <w:tab w:val="center" w:pos="8039"/>
          <w:tab w:val="center" w:pos="9122"/>
        </w:tabs>
        <w:spacing w:line="288" w:lineRule="auto"/>
      </w:pPr>
    </w:p>
    <w:p w:rsidR="00000000" w:rsidRDefault="00000000">
      <w:pPr>
        <w:pStyle w:val="FootnoteText"/>
        <w:tabs>
          <w:tab w:val="clear" w:pos="1701"/>
          <w:tab w:val="clear" w:pos="6237"/>
          <w:tab w:val="left" w:pos="567"/>
          <w:tab w:val="left" w:pos="1134"/>
          <w:tab w:val="left" w:pos="1985"/>
          <w:tab w:val="left" w:pos="2268"/>
          <w:tab w:val="right" w:leader="dot" w:pos="7172"/>
          <w:tab w:val="center" w:pos="8039"/>
          <w:tab w:val="center" w:pos="9122"/>
        </w:tabs>
        <w:spacing w:line="288" w:lineRule="auto"/>
      </w:pPr>
      <w:r>
        <w:tab/>
        <w:t>Статья 2:</w:t>
      </w:r>
      <w:r>
        <w:tab/>
        <w:t>Обязательства государств-участников</w:t>
      </w:r>
      <w:r>
        <w:tab/>
      </w:r>
      <w:r>
        <w:tab/>
        <w:t>37 – 39</w:t>
      </w:r>
      <w:r>
        <w:tab/>
        <w:t>14</w:t>
      </w:r>
    </w:p>
    <w:p w:rsidR="00000000" w:rsidRDefault="00000000">
      <w:pPr>
        <w:pStyle w:val="FootnoteText"/>
        <w:tabs>
          <w:tab w:val="clear" w:pos="1701"/>
          <w:tab w:val="clear" w:pos="6237"/>
          <w:tab w:val="left" w:pos="567"/>
          <w:tab w:val="left" w:pos="1134"/>
          <w:tab w:val="left" w:pos="1985"/>
          <w:tab w:val="left" w:pos="2268"/>
          <w:tab w:val="right" w:leader="dot" w:pos="7172"/>
          <w:tab w:val="center" w:pos="8039"/>
          <w:tab w:val="center" w:pos="9122"/>
        </w:tabs>
        <w:spacing w:line="288" w:lineRule="auto"/>
      </w:pPr>
    </w:p>
    <w:p w:rsidR="00000000" w:rsidRDefault="00000000">
      <w:pPr>
        <w:pStyle w:val="FootnoteText"/>
        <w:tabs>
          <w:tab w:val="clear" w:pos="1701"/>
          <w:tab w:val="clear" w:pos="6237"/>
          <w:tab w:val="left" w:pos="567"/>
          <w:tab w:val="left" w:pos="1134"/>
          <w:tab w:val="left" w:pos="1985"/>
          <w:tab w:val="left" w:pos="2268"/>
          <w:tab w:val="right" w:leader="dot" w:pos="7172"/>
          <w:tab w:val="center" w:pos="8039"/>
          <w:tab w:val="center" w:pos="9122"/>
        </w:tabs>
        <w:spacing w:line="288" w:lineRule="auto"/>
      </w:pPr>
      <w:r>
        <w:tab/>
        <w:t>Статья 3:</w:t>
      </w:r>
      <w:r>
        <w:tab/>
        <w:t xml:space="preserve">Равенство прав мужчин и женщин </w:t>
      </w:r>
      <w:r>
        <w:tab/>
      </w:r>
      <w:r>
        <w:tab/>
        <w:t>40 – 45</w:t>
      </w:r>
      <w:r>
        <w:tab/>
        <w:t>15</w:t>
      </w:r>
    </w:p>
    <w:p w:rsidR="00000000" w:rsidRDefault="00000000">
      <w:pPr>
        <w:pStyle w:val="FootnoteText"/>
        <w:tabs>
          <w:tab w:val="clear" w:pos="1701"/>
          <w:tab w:val="clear" w:pos="6237"/>
          <w:tab w:val="left" w:pos="567"/>
          <w:tab w:val="left" w:pos="1134"/>
          <w:tab w:val="left" w:pos="1985"/>
          <w:tab w:val="left" w:pos="2268"/>
          <w:tab w:val="right" w:leader="dot" w:pos="7172"/>
          <w:tab w:val="center" w:pos="8039"/>
          <w:tab w:val="center" w:pos="9122"/>
        </w:tabs>
        <w:spacing w:line="288" w:lineRule="auto"/>
      </w:pPr>
    </w:p>
    <w:p w:rsidR="00000000" w:rsidRDefault="00000000">
      <w:pPr>
        <w:pStyle w:val="FootnoteText"/>
        <w:tabs>
          <w:tab w:val="clear" w:pos="1701"/>
          <w:tab w:val="clear" w:pos="6237"/>
          <w:tab w:val="left" w:pos="567"/>
          <w:tab w:val="left" w:pos="1134"/>
          <w:tab w:val="left" w:pos="1985"/>
          <w:tab w:val="left" w:pos="2268"/>
          <w:tab w:val="right" w:leader="dot" w:pos="7172"/>
          <w:tab w:val="center" w:pos="8039"/>
          <w:tab w:val="center" w:pos="9122"/>
        </w:tabs>
        <w:spacing w:line="288" w:lineRule="auto"/>
      </w:pPr>
      <w:r>
        <w:tab/>
        <w:t>Статьи 4 и 5:</w:t>
      </w:r>
      <w:r>
        <w:tab/>
        <w:t>Ограничения прав, закрепленных в Пакте</w:t>
      </w:r>
      <w:r>
        <w:tab/>
      </w:r>
      <w:r>
        <w:tab/>
        <w:t>46 – 53</w:t>
      </w:r>
      <w:r>
        <w:tab/>
        <w:t>18</w:t>
      </w:r>
    </w:p>
    <w:p w:rsidR="00000000" w:rsidRDefault="00000000">
      <w:pPr>
        <w:pStyle w:val="FootnoteText"/>
        <w:tabs>
          <w:tab w:val="clear" w:pos="1701"/>
          <w:tab w:val="clear" w:pos="6237"/>
          <w:tab w:val="left" w:pos="567"/>
          <w:tab w:val="left" w:pos="1134"/>
          <w:tab w:val="left" w:pos="1985"/>
          <w:tab w:val="left" w:pos="2268"/>
          <w:tab w:val="right" w:leader="dot" w:pos="7172"/>
          <w:tab w:val="center" w:pos="8039"/>
          <w:tab w:val="center" w:pos="9122"/>
        </w:tabs>
        <w:spacing w:line="288" w:lineRule="auto"/>
      </w:pPr>
    </w:p>
    <w:p w:rsidR="00000000" w:rsidRDefault="00000000">
      <w:pPr>
        <w:pStyle w:val="FootnoteText"/>
        <w:tabs>
          <w:tab w:val="clear" w:pos="1701"/>
          <w:tab w:val="clear" w:pos="6237"/>
          <w:tab w:val="left" w:pos="567"/>
          <w:tab w:val="left" w:pos="1134"/>
          <w:tab w:val="left" w:pos="1985"/>
          <w:tab w:val="left" w:pos="2268"/>
          <w:tab w:val="right" w:leader="dot" w:pos="7172"/>
          <w:tab w:val="center" w:pos="8039"/>
          <w:tab w:val="center" w:pos="9122"/>
        </w:tabs>
        <w:spacing w:line="288" w:lineRule="auto"/>
      </w:pPr>
      <w:r>
        <w:tab/>
        <w:t>Статья 6:</w:t>
      </w:r>
      <w:r>
        <w:tab/>
        <w:t>Право на труд</w:t>
      </w:r>
      <w:r>
        <w:tab/>
      </w:r>
      <w:r>
        <w:tab/>
        <w:t>54 – 75</w:t>
      </w:r>
      <w:r>
        <w:tab/>
        <w:t>20</w:t>
      </w:r>
    </w:p>
    <w:p w:rsidR="00000000" w:rsidRDefault="00000000">
      <w:pPr>
        <w:pStyle w:val="FootnoteText"/>
        <w:tabs>
          <w:tab w:val="clear" w:pos="1701"/>
          <w:tab w:val="clear" w:pos="6237"/>
          <w:tab w:val="left" w:pos="567"/>
          <w:tab w:val="left" w:pos="1134"/>
          <w:tab w:val="left" w:pos="1985"/>
          <w:tab w:val="left" w:pos="2268"/>
          <w:tab w:val="right" w:leader="dot" w:pos="7172"/>
          <w:tab w:val="center" w:pos="8039"/>
          <w:tab w:val="center" w:pos="9122"/>
        </w:tabs>
        <w:spacing w:line="288" w:lineRule="auto"/>
      </w:pPr>
    </w:p>
    <w:p w:rsidR="00000000" w:rsidRDefault="00000000">
      <w:pPr>
        <w:jc w:val="center"/>
      </w:pPr>
      <w:r>
        <w:br w:type="page"/>
        <w:t>СОДЕРЖАНИЕ</w:t>
      </w:r>
    </w:p>
    <w:p w:rsidR="00000000" w:rsidRDefault="00000000">
      <w:pPr>
        <w:jc w:val="center"/>
      </w:pPr>
    </w:p>
    <w:p w:rsidR="00000000" w:rsidRDefault="00000000">
      <w:pPr>
        <w:tabs>
          <w:tab w:val="clear" w:pos="6237"/>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center" w:pos="8039"/>
          <w:tab w:val="center" w:pos="9122"/>
        </w:tabs>
      </w:pPr>
    </w:p>
    <w:p w:rsidR="00000000" w:rsidRDefault="00000000">
      <w:pPr>
        <w:pStyle w:val="FootnoteText"/>
        <w:tabs>
          <w:tab w:val="clear" w:pos="1701"/>
          <w:tab w:val="clear" w:pos="6237"/>
          <w:tab w:val="left" w:pos="567"/>
          <w:tab w:val="left" w:pos="1134"/>
          <w:tab w:val="left" w:pos="1985"/>
          <w:tab w:val="left" w:pos="2268"/>
          <w:tab w:val="right" w:leader="dot" w:pos="7172"/>
          <w:tab w:val="center" w:pos="8039"/>
          <w:tab w:val="center" w:pos="9122"/>
        </w:tabs>
        <w:spacing w:line="288" w:lineRule="auto"/>
      </w:pPr>
      <w:r>
        <w:tab/>
        <w:t>Статья 7:</w:t>
      </w:r>
      <w:r>
        <w:tab/>
        <w:t>Право на справедливые и благоприятные</w:t>
      </w:r>
    </w:p>
    <w:p w:rsidR="00000000" w:rsidRDefault="00000000">
      <w:pPr>
        <w:pStyle w:val="FootnoteText"/>
        <w:tabs>
          <w:tab w:val="clear" w:pos="1701"/>
          <w:tab w:val="clear" w:pos="6237"/>
          <w:tab w:val="left" w:pos="567"/>
          <w:tab w:val="left" w:pos="1134"/>
          <w:tab w:val="left" w:pos="1985"/>
          <w:tab w:val="left" w:pos="2268"/>
          <w:tab w:val="right" w:leader="dot" w:pos="7172"/>
          <w:tab w:val="center" w:pos="8039"/>
          <w:tab w:val="center" w:pos="9122"/>
        </w:tabs>
        <w:spacing w:line="288" w:lineRule="auto"/>
      </w:pPr>
      <w:r>
        <w:tab/>
      </w:r>
      <w:r>
        <w:tab/>
      </w:r>
      <w:r>
        <w:tab/>
        <w:t>условия труда</w:t>
      </w:r>
      <w:r>
        <w:tab/>
      </w:r>
      <w:r>
        <w:tab/>
        <w:t>76 – 79</w:t>
      </w:r>
      <w:r>
        <w:tab/>
        <w:t>26</w:t>
      </w:r>
    </w:p>
    <w:p w:rsidR="00000000" w:rsidRDefault="00000000">
      <w:pPr>
        <w:pStyle w:val="FootnoteText"/>
        <w:tabs>
          <w:tab w:val="clear" w:pos="1701"/>
          <w:tab w:val="clear" w:pos="6237"/>
          <w:tab w:val="left" w:pos="567"/>
          <w:tab w:val="left" w:pos="1134"/>
          <w:tab w:val="left" w:pos="1985"/>
          <w:tab w:val="left" w:pos="2268"/>
          <w:tab w:val="right" w:leader="dot" w:pos="7172"/>
          <w:tab w:val="center" w:pos="8039"/>
          <w:tab w:val="center" w:pos="9122"/>
        </w:tabs>
        <w:spacing w:line="288" w:lineRule="auto"/>
      </w:pPr>
    </w:p>
    <w:p w:rsidR="00000000" w:rsidRDefault="00000000">
      <w:pPr>
        <w:pStyle w:val="FootnoteText"/>
        <w:tabs>
          <w:tab w:val="clear" w:pos="1701"/>
          <w:tab w:val="clear" w:pos="6237"/>
          <w:tab w:val="left" w:pos="567"/>
          <w:tab w:val="left" w:pos="1134"/>
          <w:tab w:val="left" w:pos="1985"/>
          <w:tab w:val="left" w:pos="2268"/>
          <w:tab w:val="right" w:leader="dot" w:pos="7172"/>
          <w:tab w:val="center" w:pos="8039"/>
          <w:tab w:val="center" w:pos="9122"/>
        </w:tabs>
        <w:spacing w:line="288" w:lineRule="auto"/>
      </w:pPr>
      <w:r>
        <w:tab/>
        <w:t>Статья 8:</w:t>
      </w:r>
      <w:r>
        <w:tab/>
        <w:t>Свобода ассоциации и профсоюзные свободы</w:t>
      </w:r>
      <w:r>
        <w:tab/>
      </w:r>
      <w:r>
        <w:tab/>
        <w:t>80 – 86</w:t>
      </w:r>
      <w:r>
        <w:tab/>
        <w:t>27</w:t>
      </w:r>
    </w:p>
    <w:p w:rsidR="00000000" w:rsidRDefault="00000000">
      <w:pPr>
        <w:pStyle w:val="FootnoteText"/>
        <w:tabs>
          <w:tab w:val="clear" w:pos="1701"/>
          <w:tab w:val="clear" w:pos="6237"/>
          <w:tab w:val="left" w:pos="567"/>
          <w:tab w:val="left" w:pos="1134"/>
          <w:tab w:val="left" w:pos="1985"/>
          <w:tab w:val="left" w:pos="2268"/>
          <w:tab w:val="right" w:leader="dot" w:pos="7172"/>
          <w:tab w:val="center" w:pos="8039"/>
          <w:tab w:val="center" w:pos="9122"/>
        </w:tabs>
        <w:spacing w:line="288" w:lineRule="auto"/>
      </w:pPr>
    </w:p>
    <w:p w:rsidR="00000000" w:rsidRDefault="00000000">
      <w:pPr>
        <w:pStyle w:val="FootnoteText"/>
        <w:tabs>
          <w:tab w:val="clear" w:pos="1701"/>
          <w:tab w:val="clear" w:pos="6237"/>
          <w:tab w:val="left" w:pos="567"/>
          <w:tab w:val="left" w:pos="1134"/>
          <w:tab w:val="left" w:pos="1985"/>
          <w:tab w:val="left" w:pos="2268"/>
          <w:tab w:val="right" w:leader="dot" w:pos="7172"/>
          <w:tab w:val="center" w:pos="8039"/>
          <w:tab w:val="center" w:pos="9122"/>
        </w:tabs>
        <w:spacing w:line="288" w:lineRule="auto"/>
      </w:pPr>
      <w:r>
        <w:tab/>
        <w:t>Статья 9:</w:t>
      </w:r>
      <w:r>
        <w:tab/>
        <w:t>Право на социальное обеспечение и социальное</w:t>
      </w:r>
    </w:p>
    <w:p w:rsidR="00000000" w:rsidRDefault="00000000">
      <w:pPr>
        <w:pStyle w:val="FootnoteText"/>
        <w:tabs>
          <w:tab w:val="clear" w:pos="1701"/>
          <w:tab w:val="clear" w:pos="6237"/>
          <w:tab w:val="left" w:pos="567"/>
          <w:tab w:val="left" w:pos="1134"/>
          <w:tab w:val="left" w:pos="1985"/>
          <w:tab w:val="left" w:pos="2268"/>
          <w:tab w:val="right" w:leader="dot" w:pos="7172"/>
          <w:tab w:val="center" w:pos="8039"/>
          <w:tab w:val="center" w:pos="9122"/>
        </w:tabs>
        <w:spacing w:line="288" w:lineRule="auto"/>
      </w:pPr>
      <w:r>
        <w:tab/>
      </w:r>
      <w:r>
        <w:tab/>
      </w:r>
      <w:r>
        <w:tab/>
        <w:t>страхование</w:t>
      </w:r>
      <w:r>
        <w:tab/>
      </w:r>
      <w:r>
        <w:tab/>
        <w:t>87 – 90</w:t>
      </w:r>
      <w:r>
        <w:tab/>
        <w:t>30</w:t>
      </w:r>
    </w:p>
    <w:p w:rsidR="00000000" w:rsidRDefault="00000000">
      <w:pPr>
        <w:pStyle w:val="FootnoteText"/>
        <w:tabs>
          <w:tab w:val="clear" w:pos="1701"/>
          <w:tab w:val="clear" w:pos="6237"/>
          <w:tab w:val="left" w:pos="567"/>
          <w:tab w:val="left" w:pos="1134"/>
          <w:tab w:val="left" w:pos="1985"/>
          <w:tab w:val="left" w:pos="2268"/>
          <w:tab w:val="right" w:leader="dot" w:pos="7172"/>
          <w:tab w:val="center" w:pos="8039"/>
          <w:tab w:val="center" w:pos="9122"/>
        </w:tabs>
        <w:spacing w:line="288" w:lineRule="auto"/>
      </w:pPr>
    </w:p>
    <w:p w:rsidR="00000000" w:rsidRDefault="00000000">
      <w:pPr>
        <w:pStyle w:val="FootnoteText"/>
        <w:tabs>
          <w:tab w:val="clear" w:pos="1701"/>
          <w:tab w:val="clear" w:pos="6237"/>
          <w:tab w:val="left" w:pos="567"/>
          <w:tab w:val="left" w:pos="1134"/>
          <w:tab w:val="left" w:pos="1985"/>
          <w:tab w:val="left" w:pos="2268"/>
          <w:tab w:val="right" w:leader="dot" w:pos="7172"/>
          <w:tab w:val="center" w:pos="8039"/>
          <w:tab w:val="center" w:pos="9122"/>
        </w:tabs>
        <w:spacing w:line="288" w:lineRule="auto"/>
      </w:pPr>
      <w:r>
        <w:tab/>
        <w:t>Статья 10:</w:t>
      </w:r>
      <w:r>
        <w:tab/>
        <w:t>Охрана семьи и детства</w:t>
      </w:r>
      <w:r>
        <w:tab/>
      </w:r>
      <w:r>
        <w:tab/>
        <w:t>91 – 104</w:t>
      </w:r>
      <w:r>
        <w:tab/>
        <w:t>31</w:t>
      </w:r>
    </w:p>
    <w:p w:rsidR="00000000" w:rsidRDefault="00000000">
      <w:pPr>
        <w:pStyle w:val="FootnoteText"/>
        <w:tabs>
          <w:tab w:val="clear" w:pos="1701"/>
          <w:tab w:val="clear" w:pos="6237"/>
          <w:tab w:val="left" w:pos="567"/>
          <w:tab w:val="left" w:pos="1134"/>
          <w:tab w:val="left" w:pos="1985"/>
          <w:tab w:val="left" w:pos="2268"/>
          <w:tab w:val="right" w:leader="dot" w:pos="7172"/>
          <w:tab w:val="center" w:pos="8039"/>
          <w:tab w:val="center" w:pos="9122"/>
        </w:tabs>
        <w:spacing w:line="288" w:lineRule="auto"/>
      </w:pPr>
    </w:p>
    <w:p w:rsidR="00000000" w:rsidRDefault="00000000">
      <w:pPr>
        <w:pStyle w:val="FootnoteText"/>
        <w:tabs>
          <w:tab w:val="clear" w:pos="1701"/>
          <w:tab w:val="clear" w:pos="6237"/>
          <w:tab w:val="left" w:pos="567"/>
          <w:tab w:val="left" w:pos="1134"/>
          <w:tab w:val="left" w:pos="1985"/>
          <w:tab w:val="left" w:pos="2268"/>
          <w:tab w:val="right" w:leader="dot" w:pos="7172"/>
          <w:tab w:val="center" w:pos="8039"/>
          <w:tab w:val="center" w:pos="9122"/>
        </w:tabs>
        <w:spacing w:line="288" w:lineRule="auto"/>
      </w:pPr>
      <w:r>
        <w:tab/>
        <w:t>Статья 11:</w:t>
      </w:r>
      <w:r>
        <w:tab/>
        <w:t>Право на жилище и достаточный жизненный</w:t>
      </w:r>
    </w:p>
    <w:p w:rsidR="00000000" w:rsidRDefault="00000000">
      <w:pPr>
        <w:pStyle w:val="FootnoteText"/>
        <w:tabs>
          <w:tab w:val="clear" w:pos="1701"/>
          <w:tab w:val="clear" w:pos="6237"/>
          <w:tab w:val="left" w:pos="567"/>
          <w:tab w:val="left" w:pos="1134"/>
          <w:tab w:val="left" w:pos="1985"/>
          <w:tab w:val="left" w:pos="2268"/>
          <w:tab w:val="right" w:leader="dot" w:pos="7172"/>
          <w:tab w:val="center" w:pos="8039"/>
          <w:tab w:val="center" w:pos="9122"/>
        </w:tabs>
        <w:spacing w:line="288" w:lineRule="auto"/>
      </w:pPr>
      <w:r>
        <w:tab/>
      </w:r>
      <w:r>
        <w:tab/>
      </w:r>
      <w:r>
        <w:tab/>
        <w:t>уровень</w:t>
      </w:r>
      <w:r>
        <w:tab/>
      </w:r>
      <w:r>
        <w:tab/>
        <w:t>105 – 118</w:t>
      </w:r>
      <w:r>
        <w:tab/>
        <w:t>33</w:t>
      </w:r>
    </w:p>
    <w:p w:rsidR="00000000" w:rsidRDefault="00000000">
      <w:pPr>
        <w:pStyle w:val="FootnoteText"/>
        <w:tabs>
          <w:tab w:val="clear" w:pos="1701"/>
          <w:tab w:val="clear" w:pos="6237"/>
          <w:tab w:val="left" w:pos="567"/>
          <w:tab w:val="left" w:pos="1134"/>
          <w:tab w:val="left" w:pos="1985"/>
          <w:tab w:val="left" w:pos="2268"/>
          <w:tab w:val="right" w:leader="dot" w:pos="7172"/>
          <w:tab w:val="center" w:pos="8039"/>
          <w:tab w:val="center" w:pos="9122"/>
        </w:tabs>
        <w:spacing w:line="288" w:lineRule="auto"/>
      </w:pPr>
    </w:p>
    <w:p w:rsidR="00000000" w:rsidRDefault="00000000">
      <w:pPr>
        <w:pStyle w:val="FootnoteText"/>
        <w:tabs>
          <w:tab w:val="clear" w:pos="1701"/>
          <w:tab w:val="clear" w:pos="6237"/>
          <w:tab w:val="left" w:pos="567"/>
          <w:tab w:val="left" w:pos="1134"/>
          <w:tab w:val="left" w:pos="1985"/>
          <w:tab w:val="left" w:pos="2268"/>
          <w:tab w:val="right" w:leader="dot" w:pos="7172"/>
          <w:tab w:val="center" w:pos="8039"/>
          <w:tab w:val="center" w:pos="9122"/>
        </w:tabs>
        <w:spacing w:line="288" w:lineRule="auto"/>
      </w:pPr>
      <w:r>
        <w:tab/>
        <w:t>Статья 12:</w:t>
      </w:r>
      <w:r>
        <w:tab/>
        <w:t>Право на охрану здоровья</w:t>
      </w:r>
      <w:r>
        <w:tab/>
      </w:r>
      <w:r>
        <w:tab/>
        <w:t>119 – 160</w:t>
      </w:r>
      <w:r>
        <w:tab/>
        <w:t>37</w:t>
      </w:r>
    </w:p>
    <w:p w:rsidR="00000000" w:rsidRDefault="00000000">
      <w:pPr>
        <w:pStyle w:val="FootnoteText"/>
        <w:tabs>
          <w:tab w:val="clear" w:pos="1701"/>
          <w:tab w:val="clear" w:pos="6237"/>
          <w:tab w:val="left" w:pos="567"/>
          <w:tab w:val="left" w:pos="1134"/>
          <w:tab w:val="left" w:pos="1985"/>
          <w:tab w:val="left" w:pos="2268"/>
          <w:tab w:val="right" w:leader="dot" w:pos="7172"/>
          <w:tab w:val="center" w:pos="8039"/>
          <w:tab w:val="center" w:pos="9122"/>
        </w:tabs>
        <w:spacing w:line="288" w:lineRule="auto"/>
      </w:pPr>
    </w:p>
    <w:p w:rsidR="00000000" w:rsidRDefault="00000000">
      <w:pPr>
        <w:pStyle w:val="FootnoteText"/>
        <w:tabs>
          <w:tab w:val="clear" w:pos="1701"/>
          <w:tab w:val="clear" w:pos="6237"/>
          <w:tab w:val="left" w:pos="567"/>
          <w:tab w:val="left" w:pos="1134"/>
          <w:tab w:val="left" w:pos="1985"/>
          <w:tab w:val="left" w:pos="2268"/>
          <w:tab w:val="right" w:leader="dot" w:pos="7172"/>
          <w:tab w:val="center" w:pos="8039"/>
          <w:tab w:val="center" w:pos="9122"/>
        </w:tabs>
        <w:spacing w:line="288" w:lineRule="auto"/>
      </w:pPr>
      <w:r>
        <w:tab/>
        <w:t>Статья 13:</w:t>
      </w:r>
      <w:r>
        <w:tab/>
        <w:t>Право на образование</w:t>
      </w:r>
      <w:r>
        <w:tab/>
      </w:r>
      <w:r>
        <w:tab/>
        <w:t>161 – 179</w:t>
      </w:r>
      <w:r>
        <w:tab/>
        <w:t>50</w:t>
      </w:r>
    </w:p>
    <w:p w:rsidR="00000000" w:rsidRDefault="00000000">
      <w:pPr>
        <w:pStyle w:val="FootnoteText"/>
        <w:tabs>
          <w:tab w:val="clear" w:pos="1701"/>
          <w:tab w:val="clear" w:pos="6237"/>
          <w:tab w:val="left" w:pos="567"/>
          <w:tab w:val="left" w:pos="1134"/>
          <w:tab w:val="left" w:pos="1985"/>
          <w:tab w:val="left" w:pos="2268"/>
          <w:tab w:val="right" w:leader="dot" w:pos="7172"/>
          <w:tab w:val="center" w:pos="8039"/>
          <w:tab w:val="center" w:pos="9122"/>
        </w:tabs>
        <w:spacing w:line="288" w:lineRule="auto"/>
      </w:pPr>
    </w:p>
    <w:p w:rsidR="00000000" w:rsidRDefault="00000000">
      <w:pPr>
        <w:pStyle w:val="FootnoteText"/>
        <w:tabs>
          <w:tab w:val="clear" w:pos="1701"/>
          <w:tab w:val="clear" w:pos="6237"/>
          <w:tab w:val="left" w:pos="567"/>
          <w:tab w:val="left" w:pos="1134"/>
          <w:tab w:val="left" w:pos="1985"/>
          <w:tab w:val="left" w:pos="2268"/>
          <w:tab w:val="right" w:leader="dot" w:pos="7172"/>
          <w:tab w:val="center" w:pos="8039"/>
          <w:tab w:val="center" w:pos="9122"/>
        </w:tabs>
        <w:spacing w:line="288" w:lineRule="auto"/>
      </w:pPr>
      <w:r>
        <w:tab/>
        <w:t>Статья 15:</w:t>
      </w:r>
      <w:r>
        <w:tab/>
        <w:t xml:space="preserve">Право на участие в культурной жизни, </w:t>
      </w:r>
    </w:p>
    <w:p w:rsidR="00000000" w:rsidRDefault="00000000">
      <w:pPr>
        <w:pStyle w:val="FootnoteText"/>
        <w:tabs>
          <w:tab w:val="clear" w:pos="1701"/>
          <w:tab w:val="clear" w:pos="6237"/>
          <w:tab w:val="left" w:pos="567"/>
          <w:tab w:val="left" w:pos="1134"/>
          <w:tab w:val="left" w:pos="1985"/>
          <w:tab w:val="left" w:pos="2268"/>
          <w:tab w:val="right" w:leader="dot" w:pos="7172"/>
          <w:tab w:val="center" w:pos="8039"/>
          <w:tab w:val="center" w:pos="9122"/>
        </w:tabs>
        <w:spacing w:line="288" w:lineRule="auto"/>
      </w:pPr>
      <w:r>
        <w:tab/>
      </w:r>
      <w:r>
        <w:tab/>
      </w:r>
      <w:r>
        <w:tab/>
        <w:t>пользование результатами научного прогресса</w:t>
      </w:r>
    </w:p>
    <w:p w:rsidR="00000000" w:rsidRDefault="00000000">
      <w:pPr>
        <w:pStyle w:val="FootnoteText"/>
        <w:tabs>
          <w:tab w:val="clear" w:pos="1701"/>
          <w:tab w:val="clear" w:pos="6237"/>
          <w:tab w:val="left" w:pos="567"/>
          <w:tab w:val="left" w:pos="1134"/>
          <w:tab w:val="left" w:pos="1985"/>
          <w:tab w:val="left" w:pos="2268"/>
          <w:tab w:val="right" w:leader="dot" w:pos="7172"/>
          <w:tab w:val="center" w:pos="8039"/>
          <w:tab w:val="center" w:pos="9122"/>
        </w:tabs>
        <w:spacing w:line="288" w:lineRule="auto"/>
      </w:pPr>
      <w:r>
        <w:tab/>
      </w:r>
      <w:r>
        <w:tab/>
      </w:r>
      <w:r>
        <w:tab/>
        <w:t>и защит авторских прав</w:t>
      </w:r>
      <w:r>
        <w:tab/>
      </w:r>
      <w:r>
        <w:tab/>
        <w:t>180 – 188</w:t>
      </w:r>
      <w:r>
        <w:tab/>
        <w:t>54</w:t>
      </w:r>
    </w:p>
    <w:p w:rsidR="00000000" w:rsidRDefault="00000000">
      <w:pPr>
        <w:pStyle w:val="FootnoteText"/>
        <w:tabs>
          <w:tab w:val="clear" w:pos="1701"/>
          <w:tab w:val="clear" w:pos="6237"/>
          <w:tab w:val="left" w:pos="567"/>
          <w:tab w:val="left" w:pos="1134"/>
          <w:tab w:val="left" w:pos="1985"/>
          <w:tab w:val="left" w:pos="2268"/>
          <w:tab w:val="right" w:leader="dot" w:pos="7172"/>
          <w:tab w:val="center" w:pos="8039"/>
          <w:tab w:val="center" w:pos="9122"/>
        </w:tabs>
        <w:spacing w:line="288" w:lineRule="auto"/>
      </w:pPr>
    </w:p>
    <w:p w:rsidR="00000000" w:rsidRDefault="00000000">
      <w:pPr>
        <w:pStyle w:val="FootnoteText"/>
        <w:tabs>
          <w:tab w:val="clear" w:pos="6237"/>
          <w:tab w:val="left" w:pos="567"/>
          <w:tab w:val="left" w:pos="1134"/>
          <w:tab w:val="left" w:pos="1701"/>
          <w:tab w:val="left" w:pos="1985"/>
          <w:tab w:val="left" w:pos="2268"/>
          <w:tab w:val="right" w:leader="dot" w:pos="7172"/>
          <w:tab w:val="center" w:pos="8039"/>
          <w:tab w:val="center" w:pos="9122"/>
        </w:tabs>
        <w:spacing w:line="288" w:lineRule="auto"/>
        <w:jc w:val="center"/>
        <w:rPr>
          <w:bCs/>
          <w:u w:val="single"/>
        </w:rPr>
      </w:pPr>
      <w:r>
        <w:br w:type="page"/>
      </w:r>
      <w:r>
        <w:rPr>
          <w:bCs/>
          <w:u w:val="single"/>
        </w:rPr>
        <w:t>Введение</w:t>
      </w:r>
    </w:p>
    <w:p w:rsidR="00000000" w:rsidRDefault="00000000">
      <w:pPr>
        <w:pStyle w:val="FootnoteText"/>
        <w:tabs>
          <w:tab w:val="clear" w:pos="6237"/>
          <w:tab w:val="left" w:pos="567"/>
          <w:tab w:val="left" w:pos="1134"/>
          <w:tab w:val="left" w:pos="1701"/>
          <w:tab w:val="left" w:pos="1985"/>
          <w:tab w:val="left" w:pos="2268"/>
          <w:tab w:val="right" w:leader="dot" w:pos="7172"/>
          <w:tab w:val="center" w:pos="8039"/>
          <w:tab w:val="center" w:pos="9122"/>
        </w:tabs>
        <w:spacing w:line="288" w:lineRule="auto"/>
        <w:jc w:val="center"/>
        <w:rPr>
          <w:b/>
        </w:rPr>
      </w:pPr>
    </w:p>
    <w:p w:rsidR="00000000" w:rsidRDefault="00000000">
      <w:pPr>
        <w:pStyle w:val="FootnoteText"/>
        <w:tabs>
          <w:tab w:val="clear" w:pos="6237"/>
          <w:tab w:val="left" w:pos="567"/>
          <w:tab w:val="left" w:pos="1134"/>
          <w:tab w:val="left" w:pos="1701"/>
          <w:tab w:val="left" w:pos="1985"/>
          <w:tab w:val="left" w:pos="2268"/>
          <w:tab w:val="right" w:leader="dot" w:pos="7172"/>
          <w:tab w:val="center" w:pos="8039"/>
          <w:tab w:val="center" w:pos="9122"/>
        </w:tabs>
        <w:spacing w:line="288" w:lineRule="auto"/>
      </w:pPr>
      <w:r>
        <w:t>1.</w:t>
      </w:r>
      <w:r>
        <w:tab/>
        <w:t>Алжир ратифицировал Международный пакт об экономических, социальных и культурных правах 12 декабря 1989 года.  В ходе представления первоначального доклада (E/1990/5/Add.22) 30 ноября и 1 декабря 1995 года делегация Алжира изложила программу политических и экономических реформ, начатую с момента принятия 23 февраля 1989 года Конституции, предусматривающей создание новых институтов, основывающихся на политическом плюрализме, разделении властей, независимости судебной власти, свободе выражения своего мнения и убеждений и переходе к рыночной экономике.  Делегация Алжира подчеркнула также, что в международном плане правительство Алжира намерено активно продолжать процесс присоединения к различным международно-правовым актам в области прав человека.</w:t>
      </w:r>
    </w:p>
    <w:p w:rsidR="00000000" w:rsidRDefault="00000000">
      <w:pPr>
        <w:pStyle w:val="FootnoteText"/>
        <w:tabs>
          <w:tab w:val="clear" w:pos="6237"/>
          <w:tab w:val="left" w:pos="567"/>
          <w:tab w:val="left" w:pos="1134"/>
          <w:tab w:val="left" w:pos="1701"/>
          <w:tab w:val="left" w:pos="1985"/>
          <w:tab w:val="left" w:pos="2268"/>
          <w:tab w:val="right" w:leader="dot" w:pos="7172"/>
          <w:tab w:val="center" w:pos="8039"/>
          <w:tab w:val="center" w:pos="9122"/>
        </w:tabs>
        <w:spacing w:line="288" w:lineRule="auto"/>
      </w:pPr>
    </w:p>
    <w:p w:rsidR="00000000" w:rsidRDefault="00000000">
      <w:pPr>
        <w:pStyle w:val="FootnoteText"/>
        <w:tabs>
          <w:tab w:val="clear" w:pos="6237"/>
          <w:tab w:val="left" w:pos="567"/>
          <w:tab w:val="left" w:pos="1134"/>
          <w:tab w:val="left" w:pos="1701"/>
          <w:tab w:val="left" w:pos="1985"/>
          <w:tab w:val="left" w:pos="2268"/>
          <w:tab w:val="right" w:leader="dot" w:pos="7172"/>
          <w:tab w:val="center" w:pos="8039"/>
          <w:tab w:val="center" w:pos="9122"/>
        </w:tabs>
        <w:spacing w:line="288" w:lineRule="auto"/>
      </w:pPr>
      <w:r>
        <w:t>2.</w:t>
      </w:r>
      <w:r>
        <w:tab/>
        <w:t>С момента представления первоначального доклада органы государственной власти Алжира не прекращали усилий по укреплению правового государства, упрочению позиций демократии и плюрализма и поощрения и защиты прав человека, несмотря на трудности, связанные с преступной  деятельностью террористов.  Так, например, благодаря внесению 28 ноября 1996 года изменений в Конституцию были созданы новые институты, укреплены уже имеющиеся механизмы поощрения прав человека и приведены в соответствие с новыми реальностями отдельные положения экономического, социального и культурного законодательства.  Благодаря все более благоприятным условиям существенно активизировалось движение в поддержку создания массовых объединений граждан.</w:t>
      </w:r>
    </w:p>
    <w:p w:rsidR="00000000" w:rsidRDefault="00000000">
      <w:pPr>
        <w:pStyle w:val="FootnoteText"/>
        <w:tabs>
          <w:tab w:val="clear" w:pos="6237"/>
          <w:tab w:val="left" w:pos="567"/>
          <w:tab w:val="left" w:pos="1134"/>
          <w:tab w:val="left" w:pos="1701"/>
          <w:tab w:val="left" w:pos="1985"/>
          <w:tab w:val="left" w:pos="2268"/>
          <w:tab w:val="right" w:leader="dot" w:pos="7172"/>
          <w:tab w:val="center" w:pos="8039"/>
          <w:tab w:val="center" w:pos="9122"/>
        </w:tabs>
        <w:spacing w:line="288" w:lineRule="auto"/>
      </w:pPr>
    </w:p>
    <w:p w:rsidR="00000000" w:rsidRDefault="00000000">
      <w:pPr>
        <w:pStyle w:val="FootnoteText"/>
        <w:tabs>
          <w:tab w:val="clear" w:pos="6237"/>
          <w:tab w:val="left" w:pos="567"/>
          <w:tab w:val="left" w:pos="1134"/>
          <w:tab w:val="left" w:pos="1701"/>
          <w:tab w:val="left" w:pos="1985"/>
          <w:tab w:val="left" w:pos="2268"/>
          <w:tab w:val="right" w:leader="dot" w:pos="7172"/>
          <w:tab w:val="center" w:pos="8039"/>
          <w:tab w:val="center" w:pos="9122"/>
        </w:tabs>
        <w:spacing w:line="288" w:lineRule="auto"/>
      </w:pPr>
      <w:r>
        <w:t>3.</w:t>
      </w:r>
      <w:r>
        <w:tab/>
        <w:t xml:space="preserve">В соответствии с руководящими принципами Комитета по экономическим, социальным и культурным правам настоящий периодический доклад подразделяется на две части.  В первой части, озаглавленной "Общие сведения", содержится описание общей политической структуры страны и приводятся данные о правовой основе защиты прав человека.  Вторая часть включает информацию по конкретным положениям Пакта, в реализации которых с момента подготовки первоначального доклада имели место существенные изменения.      </w:t>
      </w:r>
    </w:p>
    <w:p w:rsidR="00000000" w:rsidRDefault="00000000">
      <w:pPr>
        <w:pStyle w:val="FootnoteText"/>
        <w:tabs>
          <w:tab w:val="clear" w:pos="6237"/>
          <w:tab w:val="left" w:pos="567"/>
          <w:tab w:val="left" w:pos="1134"/>
          <w:tab w:val="left" w:pos="1701"/>
          <w:tab w:val="left" w:pos="1985"/>
          <w:tab w:val="left" w:pos="2268"/>
          <w:tab w:val="right" w:leader="dot" w:pos="7172"/>
          <w:tab w:val="center" w:pos="8039"/>
          <w:tab w:val="center" w:pos="9122"/>
        </w:tabs>
        <w:spacing w:line="288" w:lineRule="auto"/>
      </w:pPr>
    </w:p>
    <w:p w:rsidR="00000000" w:rsidRDefault="00000000">
      <w:pPr>
        <w:jc w:val="center"/>
        <w:rPr>
          <w:b/>
          <w:bCs/>
        </w:rPr>
      </w:pPr>
      <w:r>
        <w:rPr>
          <w:b/>
          <w:bCs/>
        </w:rPr>
        <w:br w:type="page"/>
        <w:t>Часть первая</w:t>
      </w:r>
    </w:p>
    <w:p w:rsidR="00000000" w:rsidRDefault="00000000">
      <w:pPr>
        <w:pStyle w:val="10"/>
        <w:rPr>
          <w:bCs/>
        </w:rPr>
      </w:pPr>
    </w:p>
    <w:p w:rsidR="00000000" w:rsidRDefault="00000000">
      <w:pPr>
        <w:pStyle w:val="13"/>
        <w:rPr>
          <w:b w:val="0"/>
          <w:i w:val="0"/>
        </w:rPr>
      </w:pPr>
      <w:r>
        <w:rPr>
          <w:bCs/>
          <w:iCs/>
        </w:rPr>
        <w:t>Общие сведения</w:t>
      </w:r>
    </w:p>
    <w:p w:rsidR="00000000" w:rsidRDefault="00000000">
      <w:pPr>
        <w:pStyle w:val="13"/>
        <w:rPr>
          <w:b w:val="0"/>
          <w:i w:val="0"/>
        </w:rPr>
      </w:pPr>
    </w:p>
    <w:p w:rsidR="00000000" w:rsidRDefault="00000000">
      <w:pPr>
        <w:pStyle w:val="13"/>
        <w:jc w:val="left"/>
        <w:rPr>
          <w:b w:val="0"/>
          <w:i w:val="0"/>
        </w:rPr>
      </w:pPr>
      <w:r>
        <w:rPr>
          <w:b w:val="0"/>
          <w:i w:val="0"/>
        </w:rPr>
        <w:t>4.</w:t>
      </w:r>
      <w:r>
        <w:rPr>
          <w:b w:val="0"/>
          <w:i w:val="0"/>
        </w:rPr>
        <w:tab/>
        <w:t>С момента обретения Алжиром независимости в 1962 году страна ведет активную работу по строительству государства, основанного на широком участии народных масс и уважении прав человека и основных свобод.  Универсально признанные принципы в этой области неизменно находили отражение в различных конституциях независимого Алжира.  Но только с поворотом страны к многопартийности в 1989 году в Алжире набрал силу активный процесс присоединения к международно-правовым актам по правам человека.  С тех пор Алжир представляет свои доклады в соответствии с принятыми им международными обязательствами.</w:t>
      </w:r>
    </w:p>
    <w:p w:rsidR="00000000" w:rsidRDefault="00000000">
      <w:pPr>
        <w:pStyle w:val="13"/>
        <w:jc w:val="left"/>
        <w:rPr>
          <w:b w:val="0"/>
          <w:i w:val="0"/>
        </w:rPr>
      </w:pPr>
    </w:p>
    <w:p w:rsidR="00000000" w:rsidRDefault="00000000">
      <w:pPr>
        <w:pStyle w:val="13"/>
        <w:rPr>
          <w:b w:val="0"/>
          <w:i w:val="0"/>
        </w:rPr>
      </w:pPr>
      <w:proofErr w:type="spellStart"/>
      <w:r>
        <w:rPr>
          <w:b w:val="0"/>
          <w:i w:val="0"/>
        </w:rPr>
        <w:t>I</w:t>
      </w:r>
      <w:proofErr w:type="spellEnd"/>
      <w:r>
        <w:rPr>
          <w:b w:val="0"/>
          <w:i w:val="0"/>
        </w:rPr>
        <w:t>.</w:t>
      </w:r>
      <w:r>
        <w:rPr>
          <w:b w:val="0"/>
          <w:i w:val="0"/>
        </w:rPr>
        <w:tab/>
        <w:t>ОБЩАЯ ПОЛИТИЧЕСКАЯ СТРУКТУРА</w:t>
      </w:r>
    </w:p>
    <w:p w:rsidR="00000000" w:rsidRDefault="00000000">
      <w:pPr>
        <w:pStyle w:val="13"/>
        <w:rPr>
          <w:b w:val="0"/>
          <w:i w:val="0"/>
        </w:rPr>
      </w:pPr>
    </w:p>
    <w:p w:rsidR="00000000" w:rsidRDefault="00000000">
      <w:pPr>
        <w:pStyle w:val="13"/>
        <w:jc w:val="left"/>
        <w:rPr>
          <w:b w:val="0"/>
          <w:i w:val="0"/>
        </w:rPr>
      </w:pPr>
      <w:r>
        <w:rPr>
          <w:b w:val="0"/>
          <w:i w:val="0"/>
        </w:rPr>
        <w:t>5.</w:t>
      </w:r>
      <w:r>
        <w:rPr>
          <w:b w:val="0"/>
          <w:i w:val="0"/>
        </w:rPr>
        <w:tab/>
        <w:t>На заре своей независимости Алжир столкнулся с многочисленными проблемами:  возвращением беженцев, необходимостью оказания социальной и моральной поддержки правопреемникам жертв национально-освободительной войны, обеспечения национального возрождения во всех его аспектах и создания государственных структур.  Решение всех этих возникающих перед молодой страной проблем было невозможно без концептуальной разработки и практического создания необходимых институтов и обеспечения, с учетом остроты момента, контроля за эффективностью их деятельности.  Такая работа по восстановлению страны позволила обеспечить всеобщее обязательное школьное образование, бесплатное медицинское обслуживание и реализацию политики всеобщей занятости.</w:t>
      </w:r>
    </w:p>
    <w:p w:rsidR="00000000" w:rsidRDefault="00000000">
      <w:pPr>
        <w:pStyle w:val="13"/>
        <w:jc w:val="left"/>
        <w:rPr>
          <w:b w:val="0"/>
          <w:i w:val="0"/>
        </w:rPr>
      </w:pPr>
    </w:p>
    <w:p w:rsidR="00000000" w:rsidRDefault="00000000">
      <w:pPr>
        <w:pStyle w:val="13"/>
        <w:jc w:val="left"/>
        <w:rPr>
          <w:b w:val="0"/>
          <w:i w:val="0"/>
        </w:rPr>
      </w:pPr>
      <w:r>
        <w:rPr>
          <w:b w:val="0"/>
          <w:i w:val="0"/>
        </w:rPr>
        <w:t>6.</w:t>
      </w:r>
      <w:r>
        <w:rPr>
          <w:b w:val="0"/>
          <w:i w:val="0"/>
        </w:rPr>
        <w:tab/>
        <w:t xml:space="preserve">Начиная с 1988 года актуальным для Алжира стало требование укрепления правового государства и перестройки общественных отношений по двум направлениям, ведущим к демократизации политической системы и либерализации экономики.  Как и во всех других странах, такой процесс не мог развиваться бесконфликтно.  На пути построения современного государства, демократического по своим функциям и </w:t>
      </w:r>
      <w:proofErr w:type="spellStart"/>
      <w:r>
        <w:rPr>
          <w:b w:val="0"/>
          <w:i w:val="0"/>
        </w:rPr>
        <w:t>транспарентного</w:t>
      </w:r>
      <w:proofErr w:type="spellEnd"/>
      <w:r>
        <w:rPr>
          <w:b w:val="0"/>
          <w:i w:val="0"/>
        </w:rPr>
        <w:t xml:space="preserve"> в вопросах управления, не могли не возникнуть внутренние препятствия, связанные со сложившейся культурой однопартийной системы, а также экономическими и социальными проблемами.</w:t>
      </w:r>
    </w:p>
    <w:p w:rsidR="00000000" w:rsidRDefault="00000000">
      <w:pPr>
        <w:pStyle w:val="13"/>
        <w:jc w:val="left"/>
        <w:rPr>
          <w:b w:val="0"/>
          <w:i w:val="0"/>
        </w:rPr>
      </w:pPr>
    </w:p>
    <w:p w:rsidR="00000000" w:rsidRDefault="00000000">
      <w:pPr>
        <w:pStyle w:val="13"/>
        <w:jc w:val="left"/>
        <w:rPr>
          <w:b w:val="0"/>
          <w:i w:val="0"/>
        </w:rPr>
      </w:pPr>
      <w:r>
        <w:rPr>
          <w:b w:val="0"/>
          <w:i w:val="0"/>
        </w:rPr>
        <w:t>7.</w:t>
      </w:r>
      <w:r>
        <w:rPr>
          <w:b w:val="0"/>
          <w:i w:val="0"/>
        </w:rPr>
        <w:tab/>
        <w:t>Результатом начатых с этого момента государственными властями политических реформ, после длительного процесса диалога со всеми политическими партиями, готовыми считаться с Конституцией и законами Республики, стало создание государственных институтов, избираемых на основе всеобщего избирательного права.  В принятой 28 ноября 1996 года путем референдума пересмотренной Конституции, помимо всего прочего, нашли еще более прочное закрепление такие принципы, как уважение гражданских свобод, политический плюрализм, разделение властей и независимость судебной власти.</w:t>
      </w:r>
    </w:p>
    <w:p w:rsidR="00000000" w:rsidRDefault="00000000">
      <w:pPr>
        <w:pStyle w:val="13"/>
        <w:jc w:val="left"/>
        <w:rPr>
          <w:b w:val="0"/>
          <w:i w:val="0"/>
        </w:rPr>
      </w:pPr>
    </w:p>
    <w:p w:rsidR="00000000" w:rsidRDefault="00000000">
      <w:pPr>
        <w:pStyle w:val="13"/>
        <w:jc w:val="left"/>
        <w:rPr>
          <w:b w:val="0"/>
          <w:i w:val="0"/>
        </w:rPr>
      </w:pPr>
      <w:r>
        <w:rPr>
          <w:b w:val="0"/>
          <w:i w:val="0"/>
        </w:rPr>
        <w:t>8.</w:t>
      </w:r>
      <w:r>
        <w:rPr>
          <w:b w:val="0"/>
          <w:i w:val="0"/>
        </w:rPr>
        <w:tab/>
        <w:t>Сегодня, помимо Конституции, дальнейшей демократизации общественной жизни в Алжире способствуют три следующих важных закона:</w:t>
      </w:r>
    </w:p>
    <w:p w:rsidR="00000000" w:rsidRDefault="00000000">
      <w:pPr>
        <w:pStyle w:val="13"/>
        <w:jc w:val="left"/>
        <w:rPr>
          <w:b w:val="0"/>
          <w:i w:val="0"/>
        </w:rPr>
      </w:pPr>
    </w:p>
    <w:p w:rsidR="00000000" w:rsidRDefault="00000000">
      <w:pPr>
        <w:pStyle w:val="13"/>
        <w:jc w:val="left"/>
        <w:rPr>
          <w:b w:val="0"/>
          <w:i w:val="0"/>
        </w:rPr>
      </w:pPr>
      <w:r>
        <w:rPr>
          <w:b w:val="0"/>
          <w:i w:val="0"/>
        </w:rPr>
        <w:tab/>
        <w:t>а)</w:t>
      </w:r>
      <w:r>
        <w:rPr>
          <w:b w:val="0"/>
          <w:i w:val="0"/>
        </w:rPr>
        <w:tab/>
        <w:t>принятый в 1989 году закон о политических партиях с изменениями, внесенными в 1997 году, сделал возможным появление на политической арене более чем 60 политических группировок.  Последующий процесс более четкого идейного и организационного оформления деятельности этих группировок привел к новому раскладу политических сил, в результате которого сегодня существует 28 партий.</w:t>
      </w:r>
    </w:p>
    <w:p w:rsidR="00000000" w:rsidRDefault="00000000">
      <w:pPr>
        <w:pStyle w:val="13"/>
        <w:jc w:val="left"/>
        <w:rPr>
          <w:b w:val="0"/>
          <w:i w:val="0"/>
        </w:rPr>
      </w:pPr>
    </w:p>
    <w:p w:rsidR="00000000" w:rsidRDefault="00000000">
      <w:pPr>
        <w:pStyle w:val="13"/>
        <w:jc w:val="left"/>
        <w:rPr>
          <w:b w:val="0"/>
          <w:i w:val="0"/>
        </w:rPr>
      </w:pPr>
      <w:r>
        <w:rPr>
          <w:b w:val="0"/>
          <w:i w:val="0"/>
        </w:rPr>
        <w:tab/>
      </w:r>
      <w:proofErr w:type="spellStart"/>
      <w:r>
        <w:rPr>
          <w:b w:val="0"/>
          <w:i w:val="0"/>
        </w:rPr>
        <w:t>b</w:t>
      </w:r>
      <w:proofErr w:type="spellEnd"/>
      <w:r>
        <w:rPr>
          <w:b w:val="0"/>
          <w:i w:val="0"/>
        </w:rPr>
        <w:t>)</w:t>
      </w:r>
      <w:r>
        <w:rPr>
          <w:b w:val="0"/>
          <w:i w:val="0"/>
        </w:rPr>
        <w:tab/>
        <w:t xml:space="preserve">изданный в 1988 году закон об общественных объединениях с изменениями, внесенными в 1990 году;  на основании этого закона общественные объединения могут создаваться путем простого уведомления, представляемого основателями объединения в </w:t>
      </w:r>
      <w:proofErr w:type="spellStart"/>
      <w:r>
        <w:rPr>
          <w:b w:val="0"/>
          <w:i w:val="0"/>
        </w:rPr>
        <w:t>вилайю</w:t>
      </w:r>
      <w:proofErr w:type="spellEnd"/>
      <w:r>
        <w:rPr>
          <w:b w:val="0"/>
          <w:i w:val="0"/>
        </w:rPr>
        <w:t xml:space="preserve"> (префектуру), либо в том случае, если объединение претендует на общенациональный статус, путем уведомления, направляемого в министерство внутренних дел.  В настоящее время в Алжире действуют около 50 000 общественных объединений;  некоторые из них, такие, как ассоциации защиты и поощрения прав женщин, ходатайствуют о признании за ними статуса общественно полезных.</w:t>
      </w:r>
    </w:p>
    <w:p w:rsidR="00000000" w:rsidRDefault="00000000">
      <w:pPr>
        <w:pStyle w:val="13"/>
        <w:jc w:val="left"/>
        <w:rPr>
          <w:b w:val="0"/>
          <w:i w:val="0"/>
        </w:rPr>
      </w:pPr>
    </w:p>
    <w:p w:rsidR="00000000" w:rsidRDefault="00000000">
      <w:pPr>
        <w:pStyle w:val="13"/>
        <w:jc w:val="left"/>
        <w:rPr>
          <w:b w:val="0"/>
          <w:i w:val="0"/>
        </w:rPr>
      </w:pPr>
      <w:r>
        <w:rPr>
          <w:b w:val="0"/>
          <w:i w:val="0"/>
        </w:rPr>
        <w:tab/>
        <w:t>с)</w:t>
      </w:r>
      <w:r>
        <w:rPr>
          <w:b w:val="0"/>
          <w:i w:val="0"/>
        </w:rPr>
        <w:tab/>
        <w:t>принятый в 1990 году закон об информации, открывший возможность существования независимой или политически ориентированной печати наряду с государственными органами печати.</w:t>
      </w:r>
    </w:p>
    <w:p w:rsidR="00000000" w:rsidRDefault="00000000">
      <w:pPr>
        <w:pStyle w:val="13"/>
        <w:jc w:val="left"/>
        <w:rPr>
          <w:b w:val="0"/>
          <w:i w:val="0"/>
        </w:rPr>
      </w:pPr>
    </w:p>
    <w:p w:rsidR="00000000" w:rsidRDefault="00000000">
      <w:pPr>
        <w:pStyle w:val="13"/>
        <w:jc w:val="left"/>
        <w:rPr>
          <w:b w:val="0"/>
          <w:i w:val="0"/>
        </w:rPr>
      </w:pPr>
      <w:r>
        <w:rPr>
          <w:b w:val="0"/>
          <w:i w:val="0"/>
        </w:rPr>
        <w:t>9.</w:t>
      </w:r>
      <w:r>
        <w:rPr>
          <w:b w:val="0"/>
          <w:i w:val="0"/>
        </w:rPr>
        <w:tab/>
        <w:t>Первые основанные на началах плюрализма выборы президента Республики состоялись 16 ноября 1995 года.  Вслед за этим 15 апреля 1999 года состоялись досрочные президентские выборы.  Одно и то же лицо не может занимать должность президента более двух сроков подряд.  Президент осуществляет высшую власть в пределах, устанавливаемых Конституцией, и назначает главу правительства.  Премьер-министр разрабатывает свою программу и представляет ее на утверждение Национального народного собрания.</w:t>
      </w:r>
    </w:p>
    <w:p w:rsidR="00000000" w:rsidRDefault="00000000">
      <w:pPr>
        <w:pStyle w:val="13"/>
        <w:jc w:val="left"/>
        <w:rPr>
          <w:b w:val="0"/>
          <w:i w:val="0"/>
        </w:rPr>
      </w:pPr>
    </w:p>
    <w:p w:rsidR="00000000" w:rsidRDefault="00000000">
      <w:pPr>
        <w:pStyle w:val="13"/>
        <w:jc w:val="left"/>
        <w:rPr>
          <w:b w:val="0"/>
          <w:i w:val="0"/>
        </w:rPr>
      </w:pPr>
      <w:r>
        <w:rPr>
          <w:b w:val="0"/>
          <w:i w:val="0"/>
        </w:rPr>
        <w:t>10.</w:t>
      </w:r>
      <w:r>
        <w:rPr>
          <w:b w:val="0"/>
          <w:i w:val="0"/>
        </w:rPr>
        <w:tab/>
        <w:t>Законодательная власть осуществляется парламентом, состоящим из двух палат:  Национального народного собрания и Совета нации.  Парламент контролирует деятельность правительства и принимает законы.  В Национальном народном собрании насчитывается 380 депутатов.  После парламентских выборов, состоявшихся 5 июня 1997 года, в нем представлены 10 политических партий и 11 независимых депутатов.  В созданном в декабре 1997 года Совете нации - 144 депутата.  Две трети их избираются путем непрямых выборов коллегией в составе членов Народных коммунальных собраний и собраний провинций, а одна треть, т.е. 48 членов, назначаются президентом Республики.</w:t>
      </w:r>
    </w:p>
    <w:p w:rsidR="00000000" w:rsidRDefault="00000000">
      <w:pPr>
        <w:pStyle w:val="13"/>
        <w:jc w:val="left"/>
        <w:rPr>
          <w:b w:val="0"/>
          <w:i w:val="0"/>
        </w:rPr>
      </w:pPr>
    </w:p>
    <w:p w:rsidR="00000000" w:rsidRDefault="00000000">
      <w:pPr>
        <w:pStyle w:val="13"/>
        <w:jc w:val="left"/>
        <w:rPr>
          <w:b w:val="0"/>
          <w:i w:val="0"/>
        </w:rPr>
      </w:pPr>
      <w:r>
        <w:rPr>
          <w:b w:val="0"/>
          <w:i w:val="0"/>
        </w:rPr>
        <w:t>11.</w:t>
      </w:r>
      <w:r>
        <w:rPr>
          <w:b w:val="0"/>
          <w:i w:val="0"/>
        </w:rPr>
        <w:tab/>
        <w:t>Независимость судебной власти закреплена в статье 138 Конституции.</w:t>
      </w:r>
    </w:p>
    <w:p w:rsidR="00000000" w:rsidRDefault="00000000">
      <w:pPr>
        <w:pStyle w:val="13"/>
        <w:jc w:val="left"/>
        <w:rPr>
          <w:b w:val="0"/>
          <w:i w:val="0"/>
        </w:rPr>
      </w:pPr>
    </w:p>
    <w:p w:rsidR="00000000" w:rsidRDefault="00000000">
      <w:pPr>
        <w:pStyle w:val="13"/>
        <w:rPr>
          <w:b w:val="0"/>
          <w:i w:val="0"/>
        </w:rPr>
      </w:pPr>
      <w:proofErr w:type="spellStart"/>
      <w:r>
        <w:rPr>
          <w:b w:val="0"/>
          <w:i w:val="0"/>
        </w:rPr>
        <w:t>II</w:t>
      </w:r>
      <w:proofErr w:type="spellEnd"/>
      <w:r>
        <w:rPr>
          <w:b w:val="0"/>
          <w:i w:val="0"/>
        </w:rPr>
        <w:t>.</w:t>
      </w:r>
      <w:r>
        <w:rPr>
          <w:b w:val="0"/>
          <w:i w:val="0"/>
        </w:rPr>
        <w:tab/>
        <w:t>ОБЩЕПРАВОВАЯ ОСНОВА ЗАЩИТЫ ПРАВ ЧЕЛОВЕКА</w:t>
      </w:r>
    </w:p>
    <w:p w:rsidR="00000000" w:rsidRDefault="00000000">
      <w:pPr>
        <w:pStyle w:val="13"/>
        <w:rPr>
          <w:b w:val="0"/>
          <w:i w:val="0"/>
        </w:rPr>
      </w:pPr>
    </w:p>
    <w:p w:rsidR="00000000" w:rsidRDefault="00000000">
      <w:pPr>
        <w:pStyle w:val="13"/>
        <w:rPr>
          <w:b w:val="0"/>
          <w:i w:val="0"/>
        </w:rPr>
      </w:pPr>
      <w:r>
        <w:rPr>
          <w:b w:val="0"/>
          <w:i w:val="0"/>
        </w:rPr>
        <w:t>А.</w:t>
      </w:r>
      <w:r>
        <w:rPr>
          <w:b w:val="0"/>
          <w:i w:val="0"/>
        </w:rPr>
        <w:tab/>
      </w:r>
      <w:r>
        <w:rPr>
          <w:b w:val="0"/>
          <w:i w:val="0"/>
          <w:u w:val="single"/>
        </w:rPr>
        <w:t>Правозащитные механизмы</w:t>
      </w:r>
    </w:p>
    <w:p w:rsidR="00000000" w:rsidRDefault="00000000">
      <w:pPr>
        <w:pStyle w:val="13"/>
        <w:rPr>
          <w:b w:val="0"/>
          <w:i w:val="0"/>
        </w:rPr>
      </w:pPr>
    </w:p>
    <w:p w:rsidR="00000000" w:rsidRDefault="00000000">
      <w:pPr>
        <w:pStyle w:val="13"/>
        <w:jc w:val="left"/>
        <w:rPr>
          <w:b w:val="0"/>
          <w:i w:val="0"/>
        </w:rPr>
      </w:pPr>
      <w:r>
        <w:rPr>
          <w:b w:val="0"/>
          <w:i w:val="0"/>
        </w:rPr>
        <w:t>12.</w:t>
      </w:r>
      <w:r>
        <w:rPr>
          <w:b w:val="0"/>
          <w:i w:val="0"/>
        </w:rPr>
        <w:tab/>
        <w:t>Сегодня в Алжире уже создана основная часть механизмов наблюдения за осуществлением прав человека.  Эти механизмы обеспечивают защиту индивидуальных, гражданских и политических прав, а также коллективных, экономических, социальных и культурных прав.  Все действующие на взаимодополняющей основе механизмы можно разделить на четыре большие категории.</w:t>
      </w:r>
    </w:p>
    <w:p w:rsidR="00000000" w:rsidRDefault="00000000">
      <w:pPr>
        <w:pStyle w:val="13"/>
        <w:jc w:val="left"/>
        <w:rPr>
          <w:b w:val="0"/>
          <w:i w:val="0"/>
        </w:rPr>
      </w:pPr>
    </w:p>
    <w:p w:rsidR="00000000" w:rsidRDefault="00000000">
      <w:pPr>
        <w:pStyle w:val="13"/>
        <w:rPr>
          <w:b w:val="0"/>
          <w:i w:val="0"/>
        </w:rPr>
      </w:pPr>
      <w:r>
        <w:rPr>
          <w:b w:val="0"/>
          <w:i w:val="0"/>
        </w:rPr>
        <w:t>1.</w:t>
      </w:r>
      <w:r>
        <w:rPr>
          <w:b w:val="0"/>
          <w:i w:val="0"/>
        </w:rPr>
        <w:tab/>
      </w:r>
      <w:r>
        <w:rPr>
          <w:b w:val="0"/>
          <w:i w:val="0"/>
          <w:u w:val="single"/>
        </w:rPr>
        <w:t>Политические механизмы</w:t>
      </w:r>
    </w:p>
    <w:p w:rsidR="00000000" w:rsidRDefault="00000000">
      <w:pPr>
        <w:pStyle w:val="13"/>
        <w:rPr>
          <w:b w:val="0"/>
          <w:i w:val="0"/>
        </w:rPr>
      </w:pPr>
    </w:p>
    <w:p w:rsidR="00000000" w:rsidRDefault="00000000">
      <w:pPr>
        <w:pStyle w:val="13"/>
        <w:jc w:val="left"/>
        <w:rPr>
          <w:b w:val="0"/>
          <w:i w:val="0"/>
        </w:rPr>
      </w:pPr>
      <w:r>
        <w:rPr>
          <w:b w:val="0"/>
          <w:i w:val="0"/>
        </w:rPr>
        <w:t>13.</w:t>
      </w:r>
      <w:r>
        <w:rPr>
          <w:b w:val="0"/>
          <w:i w:val="0"/>
        </w:rPr>
        <w:tab/>
        <w:t>Функционирование этих механизмов связано с деятельностью парламента, который в лице своих двух палат - Национального народного собрания и Совета нации - выполняет роль проводника чаяний и устремлений граждан страны.  Вопросы, касающиеся прав человека, занимают важное место в его работе, реализуемой через постоянные комиссии, учрежденные с этой целью в обеих палатах.</w:t>
      </w:r>
    </w:p>
    <w:p w:rsidR="00000000" w:rsidRDefault="00000000">
      <w:pPr>
        <w:pStyle w:val="13"/>
        <w:jc w:val="left"/>
        <w:rPr>
          <w:b w:val="0"/>
          <w:i w:val="0"/>
        </w:rPr>
      </w:pPr>
    </w:p>
    <w:p w:rsidR="00000000" w:rsidRDefault="00000000">
      <w:pPr>
        <w:pStyle w:val="13"/>
        <w:jc w:val="left"/>
        <w:rPr>
          <w:b w:val="0"/>
          <w:i w:val="0"/>
        </w:rPr>
      </w:pPr>
      <w:r>
        <w:rPr>
          <w:b w:val="0"/>
          <w:i w:val="0"/>
        </w:rPr>
        <w:t>14.</w:t>
      </w:r>
      <w:r>
        <w:rPr>
          <w:b w:val="0"/>
          <w:i w:val="0"/>
        </w:rPr>
        <w:tab/>
        <w:t>В соответствии с законом политические партии считаются неотъемлемым элементом общей системы механизмов поощрения прав человека.  В принятом 8 июля 1989 года законе о политических партиях с изменениями, внесенными в марте 1997 года, предписывается, чтобы уставы и программы партий конкретно называли среди преследуемых ими целей гарантию прав человека и основных свобод.  Статья 3 этого закона гласит:</w:t>
      </w:r>
    </w:p>
    <w:p w:rsidR="00000000" w:rsidRDefault="00000000">
      <w:pPr>
        <w:pStyle w:val="13"/>
        <w:jc w:val="left"/>
        <w:rPr>
          <w:b w:val="0"/>
          <w:i w:val="0"/>
        </w:rPr>
      </w:pPr>
    </w:p>
    <w:p w:rsidR="00000000" w:rsidRDefault="00000000">
      <w:pPr>
        <w:pStyle w:val="13"/>
        <w:ind w:left="567" w:hanging="567"/>
        <w:jc w:val="left"/>
        <w:rPr>
          <w:b w:val="0"/>
          <w:i w:val="0"/>
        </w:rPr>
      </w:pPr>
      <w:r>
        <w:rPr>
          <w:b w:val="0"/>
          <w:i w:val="0"/>
        </w:rPr>
        <w:tab/>
        <w:t>"Во всей своей деятельности политическая партия обязана действовать в соответствии со следующими принципами и целями:</w:t>
      </w:r>
    </w:p>
    <w:p w:rsidR="00000000" w:rsidRDefault="00000000"/>
    <w:p w:rsidR="00000000" w:rsidRDefault="00000000">
      <w:pPr>
        <w:ind w:left="1701" w:hanging="1701"/>
      </w:pPr>
      <w:r>
        <w:tab/>
      </w:r>
      <w:r>
        <w:tab/>
        <w:t>-</w:t>
      </w:r>
      <w:r>
        <w:tab/>
        <w:t>уважение индивидуальных и коллективных свобод и уважение прав человека;</w:t>
      </w:r>
    </w:p>
    <w:p w:rsidR="00000000" w:rsidRDefault="00000000">
      <w:pPr>
        <w:ind w:left="1701" w:hanging="1701"/>
      </w:pPr>
    </w:p>
    <w:p w:rsidR="00000000" w:rsidRDefault="00000000">
      <w:pPr>
        <w:ind w:left="1701" w:hanging="1701"/>
      </w:pPr>
      <w:r>
        <w:tab/>
      </w:r>
      <w:r>
        <w:tab/>
        <w:t>-</w:t>
      </w:r>
      <w:r>
        <w:tab/>
        <w:t>приверженность демократии при уважении национальных ценностей;</w:t>
      </w:r>
    </w:p>
    <w:p w:rsidR="00000000" w:rsidRDefault="00000000">
      <w:pPr>
        <w:ind w:left="1701" w:hanging="1701"/>
      </w:pPr>
      <w:r>
        <w:tab/>
      </w:r>
      <w:r>
        <w:tab/>
        <w:t>-</w:t>
      </w:r>
      <w:r>
        <w:tab/>
        <w:t>приверженность политическому плюрализму;</w:t>
      </w:r>
    </w:p>
    <w:p w:rsidR="00000000" w:rsidRDefault="00000000">
      <w:pPr>
        <w:ind w:left="1701" w:hanging="1701"/>
      </w:pPr>
    </w:p>
    <w:p w:rsidR="00000000" w:rsidRDefault="00000000">
      <w:pPr>
        <w:ind w:left="1701" w:hanging="1701"/>
      </w:pPr>
      <w:r>
        <w:tab/>
      </w:r>
      <w:r>
        <w:tab/>
        <w:t>-</w:t>
      </w:r>
      <w:r>
        <w:tab/>
        <w:t>уважение демократического и республиканского характера государства".</w:t>
      </w:r>
    </w:p>
    <w:p w:rsidR="00000000" w:rsidRDefault="00000000">
      <w:pPr>
        <w:ind w:left="1701" w:hanging="1701"/>
      </w:pPr>
    </w:p>
    <w:p w:rsidR="00000000" w:rsidRDefault="00000000">
      <w:pPr>
        <w:ind w:left="1701" w:hanging="1701"/>
        <w:jc w:val="center"/>
        <w:rPr>
          <w:u w:val="single"/>
        </w:rPr>
      </w:pPr>
      <w:r>
        <w:t>2.</w:t>
      </w:r>
      <w:r>
        <w:tab/>
      </w:r>
      <w:r>
        <w:rPr>
          <w:u w:val="single"/>
        </w:rPr>
        <w:t>Судебные механизмы</w:t>
      </w:r>
    </w:p>
    <w:p w:rsidR="00000000" w:rsidRDefault="00000000">
      <w:pPr>
        <w:ind w:left="1701" w:hanging="1701"/>
        <w:jc w:val="center"/>
      </w:pPr>
    </w:p>
    <w:p w:rsidR="00000000" w:rsidRDefault="00000000">
      <w:r>
        <w:t>15.</w:t>
      </w:r>
      <w:r>
        <w:tab/>
        <w:t>В алжирском государстве созданы судебные механизмы, призванные, во</w:t>
      </w:r>
      <w:r>
        <w:noBreakHyphen/>
        <w:t>первых, гарантировать права граждан и, во</w:t>
      </w:r>
      <w:r>
        <w:noBreakHyphen/>
        <w:t xml:space="preserve">вторых, обеспечивать независимость принятия решений судебными органами.  С этой целью в Алжире предусмотрена следующая структура судов:  а)  районный суд на уровне дайры (супрефектуры),  </w:t>
      </w:r>
      <w:r>
        <w:rPr>
          <w:lang w:val="en-US"/>
        </w:rPr>
        <w:t>b</w:t>
      </w:r>
      <w:r>
        <w:t>)</w:t>
      </w:r>
      <w:r>
        <w:rPr>
          <w:lang w:val="en-US"/>
        </w:rPr>
        <w:t>  </w:t>
      </w:r>
      <w:r>
        <w:t xml:space="preserve">окружной суд на уровне </w:t>
      </w:r>
      <w:proofErr w:type="spellStart"/>
      <w:r>
        <w:t>вилайи</w:t>
      </w:r>
      <w:proofErr w:type="spellEnd"/>
      <w:r>
        <w:t xml:space="preserve"> (провинции) и </w:t>
      </w:r>
      <w:r>
        <w:rPr>
          <w:lang w:val="en-US"/>
        </w:rPr>
        <w:t xml:space="preserve"> c</w:t>
      </w:r>
      <w:r>
        <w:t>)</w:t>
      </w:r>
      <w:r>
        <w:rPr>
          <w:lang w:val="en-US"/>
        </w:rPr>
        <w:t>  </w:t>
      </w:r>
      <w:r>
        <w:t>Верховный суд на общенациональном уровне.</w:t>
      </w:r>
    </w:p>
    <w:p w:rsidR="00000000" w:rsidRDefault="00000000"/>
    <w:p w:rsidR="00000000" w:rsidRDefault="00000000">
      <w:r>
        <w:t>16.</w:t>
      </w:r>
      <w:r>
        <w:tab/>
        <w:t>Кроме того, в статье 152 Конституции предусматривается учреждение Государственного совета – созданного 17 июня 1998 года органа, регулирующего деятельность органов административной юстиции.  Государственный совет состоит из 44 членов.</w:t>
      </w:r>
    </w:p>
    <w:p w:rsidR="00000000" w:rsidRDefault="00000000"/>
    <w:p w:rsidR="00000000" w:rsidRDefault="00000000">
      <w:r>
        <w:t>17.</w:t>
      </w:r>
      <w:r>
        <w:tab/>
        <w:t>Наконец, парламентом принят закон о суде по спорам о компетенции, на который возлагается урегулирование коллизионных конфликтов между Верховным судом и Государственным советом, создание которого предусмотрено в статье 152 Конституции.</w:t>
      </w:r>
    </w:p>
    <w:p w:rsidR="00000000" w:rsidRDefault="00000000"/>
    <w:p w:rsidR="00000000" w:rsidRDefault="00000000">
      <w:pPr>
        <w:jc w:val="center"/>
        <w:rPr>
          <w:u w:val="single"/>
        </w:rPr>
      </w:pPr>
      <w:r>
        <w:t>3.</w:t>
      </w:r>
      <w:r>
        <w:tab/>
      </w:r>
      <w:r>
        <w:rPr>
          <w:u w:val="single"/>
        </w:rPr>
        <w:t>Свобода печати</w:t>
      </w:r>
    </w:p>
    <w:p w:rsidR="00000000" w:rsidRDefault="00000000">
      <w:pPr>
        <w:jc w:val="center"/>
      </w:pPr>
    </w:p>
    <w:p w:rsidR="00000000" w:rsidRDefault="00000000">
      <w:r>
        <w:t>18.</w:t>
      </w:r>
      <w:r>
        <w:tab/>
        <w:t>Право свободно искать и распространять информацию и свобода печати являются, согласно закону, одним из важнейших механизмов соблюдения и защиты прав граждан.  Благодаря быстрому развитию средств массовой информации в Алжире печать стала подлинным инструментом коллективной защиты прав человека.  В настоящее время в стране насчитывается 25 ежедневных изданий, из которых восемь являются государственными, а 17 издаются частными компаниями или политическими организациями.  Их средний тираж составляет в целом около 1 млн. экземпляров в день.  Что касается еженедельных изданий, то их общий средний тираж равняется 1,4 млн. экземпляров в неделю, выходящих под 43 названиями.  Наконец, имеется также 20 других периодических изданий, выходящих два раза в месяц или ежемесячно, тираж которых составляет 300 000 экземпляров в месяц.  Общее количество читателей оценивается в 9 млн. человек в неделю.</w:t>
      </w:r>
    </w:p>
    <w:p w:rsidR="00000000" w:rsidRDefault="00000000"/>
    <w:p w:rsidR="00000000" w:rsidRDefault="00000000">
      <w:r>
        <w:t>19.</w:t>
      </w:r>
      <w:r>
        <w:tab/>
        <w:t>Вопреки тому, что сообщается в некоторых средствах массовой информации, никто из алжирских журналистов не был осужден за высказывание своего мнения.  Единственными зарегистрированными случаями можно считать иски, возбуждавшиеся в судах по обвинению в диффамации или распространении непроверенных данных.  Кроме того, невыход некоторых из периодических изданий обычно связан с наличием коммерческих споров с типографскими предприятиями или является следствием банкротств, как это случается и в других странах.</w:t>
      </w:r>
    </w:p>
    <w:p w:rsidR="00000000" w:rsidRDefault="00000000"/>
    <w:p w:rsidR="00000000" w:rsidRDefault="00000000">
      <w:r>
        <w:t>20.</w:t>
      </w:r>
      <w:r>
        <w:tab/>
        <w:t>По признанию самих международных организаций, алжирская печать является одной из наиболее свободных во всем третьем мире.  Международная федерация журналистов, в исполком которой входит и Алжир, аккредитована в Алжире;  бюро этой Федерации по Северной Африке располагается в столице страны.</w:t>
      </w:r>
    </w:p>
    <w:p w:rsidR="00000000" w:rsidRDefault="00000000"/>
    <w:p w:rsidR="00000000" w:rsidRDefault="00000000">
      <w:r>
        <w:t>21.</w:t>
      </w:r>
      <w:r>
        <w:tab/>
        <w:t>С момента завершения институционального процесса, благодаря которому в Алжире были созданы все юридические инструменты, связанные с демократическим функционированием правового государства, не было случая, чтобы какое-либо издание привлекалось к судебной ответственности, несмотря на то, что во многих случаях неоднократно публиковавшиеся некоторыми газетами материалы диффамационного или оскорбительного характера, полностью оправдывали бы обращение в суд с иском о защите нарушенных прав.  В этой связи следует подтвердить, что вводившиеся в определенный момент ограничения в области обращения с информацией, имеющей отношение к сфере безопасности, были сняты.</w:t>
      </w:r>
    </w:p>
    <w:p w:rsidR="00000000" w:rsidRDefault="00000000"/>
    <w:p w:rsidR="00000000" w:rsidRDefault="00000000">
      <w:r>
        <w:t>22.</w:t>
      </w:r>
      <w:r>
        <w:tab/>
        <w:t>Следует отметить также, что в Алжире регулярно получают аккредитацию многочисленные иностранные журналисты.  В целях обеспечения большей гибкости и оперативности при решении вопросов об удовлетворении просьб об аккредитации создан специальный механизм.  В качестве доказательства простоты доступа иностранных журналистов в Алжир можно отметить, что в 1997 году в стране находились 1 200 иностранных журналистов, а в 1998 году – 626.  Материалы негативного, а порой и тенденциозного характера, публикуемые некоторыми из этих журналистов, тем не менее не помешали им по несколько раз приезжать в Алжир.</w:t>
      </w:r>
    </w:p>
    <w:p w:rsidR="00000000" w:rsidRDefault="00000000"/>
    <w:p w:rsidR="00000000" w:rsidRDefault="00000000">
      <w:pPr>
        <w:pStyle w:val="16"/>
        <w:rPr>
          <w:u w:val="single"/>
        </w:rPr>
      </w:pPr>
      <w:r>
        <w:t>4.</w:t>
      </w:r>
      <w:r>
        <w:tab/>
      </w:r>
      <w:r>
        <w:rPr>
          <w:u w:val="single"/>
        </w:rPr>
        <w:t>Общественные и профсоюзные механизмы</w:t>
      </w:r>
    </w:p>
    <w:p w:rsidR="00000000" w:rsidRDefault="00000000">
      <w:pPr>
        <w:pStyle w:val="16"/>
      </w:pPr>
    </w:p>
    <w:p w:rsidR="00000000" w:rsidRDefault="00000000">
      <w:pPr>
        <w:pStyle w:val="16"/>
        <w:jc w:val="left"/>
      </w:pPr>
      <w:r>
        <w:t>23.</w:t>
      </w:r>
      <w:r>
        <w:tab/>
        <w:t>После 1988 года существенно расширились масштабы массового общественного движения.  В настоящее время в стране насчитывается около 50 000 общественных ассоциаций, активно действующих в различных областях.  В Конституции Алжира свободе образования общественных правозащитных организаций отведено важное место.  В статье 32 Конституции гарантируется индивидуальная и коллективная защита этих прав, а в статье 41 называются конкретные права, пользующиеся защитой Конституции:  свобода выражения своих убеждений, право на объединение и свобода собраний.  Свобода ассоциации распространяется, разумеется, и на политическую область, но она также находит свое выражение и в защите некоторых категорий конкретных прав, таких, как права женщин, права ребенка, права больных и инвалидов, права потребителей и пользователей общественными службами.  Государство поддерживает деятельность общественных организаций путем выделения им субсидий и предоставления возможностей и средств для осуществления их деятельности.</w:t>
      </w:r>
    </w:p>
    <w:p w:rsidR="00000000" w:rsidRDefault="00000000">
      <w:pPr>
        <w:pStyle w:val="16"/>
        <w:jc w:val="left"/>
      </w:pPr>
    </w:p>
    <w:p w:rsidR="00000000" w:rsidRDefault="00000000">
      <w:pPr>
        <w:pStyle w:val="16"/>
        <w:jc w:val="left"/>
      </w:pPr>
      <w:r>
        <w:t>24.</w:t>
      </w:r>
      <w:r>
        <w:tab/>
        <w:t>Большинство общественных организаций имеют сегодня устав, собственность и программу деятельности, что позволяет им интегрироваться в международные ассоциации.  Особенно активно действуют общественные организации, занимающиеся поощрением прав женщин, права на образование или борьбой с неграмотностью.</w:t>
      </w:r>
    </w:p>
    <w:p w:rsidR="00000000" w:rsidRDefault="00000000">
      <w:pPr>
        <w:pStyle w:val="16"/>
        <w:jc w:val="left"/>
      </w:pPr>
    </w:p>
    <w:p w:rsidR="00000000" w:rsidRDefault="00000000">
      <w:pPr>
        <w:pStyle w:val="16"/>
        <w:jc w:val="left"/>
      </w:pPr>
      <w:r>
        <w:t>25.</w:t>
      </w:r>
      <w:r>
        <w:tab/>
        <w:t>Свобода профсоюзной деятельности была подтверждена в Конституции, и ее соблюдение регулируется законом от 21 декабря 1991 года.  Более подробная информация в этом отношении содержится в части второй настоящего доклада, в том ее разделе, который посвящен статье 8.</w:t>
      </w:r>
    </w:p>
    <w:p w:rsidR="00000000" w:rsidRDefault="00000000">
      <w:pPr>
        <w:pStyle w:val="16"/>
        <w:jc w:val="left"/>
      </w:pPr>
    </w:p>
    <w:p w:rsidR="00000000" w:rsidRDefault="00000000">
      <w:pPr>
        <w:pStyle w:val="16"/>
        <w:rPr>
          <w:u w:val="single"/>
        </w:rPr>
      </w:pPr>
      <w:r>
        <w:t>5.</w:t>
      </w:r>
      <w:r>
        <w:tab/>
      </w:r>
      <w:r>
        <w:rPr>
          <w:u w:val="single"/>
        </w:rPr>
        <w:t>Иные механизмы защиты и поощрения прав человека</w:t>
      </w:r>
    </w:p>
    <w:p w:rsidR="00000000" w:rsidRDefault="00000000">
      <w:pPr>
        <w:pStyle w:val="16"/>
      </w:pPr>
    </w:p>
    <w:p w:rsidR="00000000" w:rsidRDefault="00000000">
      <w:pPr>
        <w:pStyle w:val="16"/>
        <w:jc w:val="left"/>
      </w:pPr>
      <w:r>
        <w:t>26.</w:t>
      </w:r>
      <w:r>
        <w:tab/>
        <w:t>Благодаря переходу к политическому плюрализму и присоединению к международным договорам в области прав человека правительство Алжира в соответствии с рекомендациями Организации Объединенных Наций и по примеру других стран приняло решение создать национальный орган наблюдения за осуществлением прав человека, который был создан по указу президента № 92-72 от 22 февраля 1992 года.  Общественная неправительственная организация, действующая на паритетных началах (в ее составе как избранные, так и назначенные члены), подотчетная президенту Республики, пользующаяся административной и финансовой автономией и не подлежащая контролю со стороны министерств </w:t>
      </w:r>
      <w:r>
        <w:noBreakHyphen/>
        <w:t xml:space="preserve"> Алжирский национальный комитет по наблюдению за осуществлением прав человека является наблюдательным и контролирующим органом в правозащитной сфере.  На него возложена функция консультирования органов государственной власти по вопросам, касающимся прав человека.  Хотя он является лишь консультативным органом, порученный ему мандат представляется весьма широким, поскольку ему надлежит:</w:t>
      </w:r>
    </w:p>
    <w:p w:rsidR="00000000" w:rsidRDefault="00000000"/>
    <w:p w:rsidR="00000000" w:rsidRDefault="00000000">
      <w:r>
        <w:tab/>
        <w:t>а)</w:t>
      </w:r>
      <w:r>
        <w:tab/>
        <w:t>поощрять права человека в соответствии с принципами Всеобщей декларации прав человека;</w:t>
      </w:r>
    </w:p>
    <w:p w:rsidR="00000000" w:rsidRDefault="00000000"/>
    <w:p w:rsidR="00000000" w:rsidRDefault="00000000">
      <w:r>
        <w:tab/>
      </w:r>
      <w:r>
        <w:rPr>
          <w:lang w:val="en-US"/>
        </w:rPr>
        <w:t>b</w:t>
      </w:r>
      <w:r>
        <w:t>)</w:t>
      </w:r>
      <w:r>
        <w:tab/>
        <w:t>наблюдать за реализацией на практике положений в области прав человека, содержащихся в ратифицированных Алжиром международных конвенциях, а также положений Конституции, законов и иных нормативных актов;</w:t>
      </w:r>
    </w:p>
    <w:p w:rsidR="00000000" w:rsidRDefault="00000000">
      <w:r>
        <w:tab/>
        <w:t>с)</w:t>
      </w:r>
      <w:r>
        <w:tab/>
        <w:t>предпринимать все необходимые действия в случае установления фактов нарушения прав человека или в тех случаях, когда ему становится известно о таких нарушениях;</w:t>
      </w:r>
    </w:p>
    <w:p w:rsidR="00000000" w:rsidRDefault="00000000"/>
    <w:p w:rsidR="00000000" w:rsidRDefault="00000000">
      <w:r>
        <w:tab/>
      </w:r>
      <w:r>
        <w:rPr>
          <w:lang w:val="en-US"/>
        </w:rPr>
        <w:t>d</w:t>
      </w:r>
      <w:r>
        <w:t>)</w:t>
      </w:r>
      <w:r>
        <w:tab/>
        <w:t>составлять ежегодно итоговый доклад о состоянии дел с соблюдением прав человека в стране и представлять его президенту Республики.</w:t>
      </w:r>
    </w:p>
    <w:p w:rsidR="00000000" w:rsidRDefault="00000000"/>
    <w:p w:rsidR="00000000" w:rsidRDefault="00000000">
      <w:r>
        <w:t>27.</w:t>
      </w:r>
      <w:r>
        <w:tab/>
        <w:t>Алжирский национальный комитет осуществляет деятельность по более широкому ознакомлению общественности и пропаганде принципов прав человека, закрепленных в национальном законодательстве и международных правовых актах.  В этой связи он публикует ежеквартальный обзор состояния дел в области прав человека, обзор сообщений печати и внутренний информационный бюллетень, имеющий отношение к его деятельности.  Вместе с тем на практике этот национальный комитет, в функции которого изначально входило "консультирование органов государственной власти" по вопросам прав человека, все чаще выступает в качестве посредника между государством и гражданами, с тем чтобы конфликты не перерастали систематически в судебные иски.</w:t>
      </w:r>
    </w:p>
    <w:p w:rsidR="00000000" w:rsidRDefault="00000000"/>
    <w:p w:rsidR="00000000" w:rsidRDefault="00000000">
      <w:pPr>
        <w:jc w:val="center"/>
        <w:rPr>
          <w:u w:val="single"/>
        </w:rPr>
      </w:pPr>
      <w:r>
        <w:t>В.</w:t>
      </w:r>
      <w:r>
        <w:tab/>
      </w:r>
      <w:r>
        <w:rPr>
          <w:u w:val="single"/>
        </w:rPr>
        <w:t>Международные договоры и внутригосударственное право</w:t>
      </w:r>
    </w:p>
    <w:p w:rsidR="00000000" w:rsidRDefault="00000000"/>
    <w:p w:rsidR="00000000" w:rsidRDefault="00000000">
      <w:r>
        <w:t>28.</w:t>
      </w:r>
      <w:r>
        <w:tab/>
        <w:t>Международные обязательства Алжира имеют приоритет по отношению к внутригосударственным законам.  Так, в решении от 20 августа 1989 года Конституционный совет подтвердил конституционный принцип, согласно которому ратифицированные международные договоры имеют преимущественную силу перед нормами внутригосударственных законов.  В этом решении буквально говорится, "что после ратификации и с момента опубликования любая конвенция инкорпорируется во внутреннее право и в соответствии со статьей 132 Конституции обладает приоритетом в отношении законов, давая любому алжирскому гражданину право ссылаться на ее положения в суде".  Таким образом, после исчерпания внутренних средств правовой защиты граждане имеют право в целях защиты своих прав прибегать к использованию механизмов, созданных Комитетом по правам человека или Комитетом против пыток.</w:t>
      </w:r>
    </w:p>
    <w:p w:rsidR="00000000" w:rsidRDefault="00000000"/>
    <w:p w:rsidR="00000000" w:rsidRDefault="00000000">
      <w:r>
        <w:t>29.</w:t>
      </w:r>
      <w:r>
        <w:tab/>
        <w:t>Алжирские власти, Алжирский национальный комитет по наблюдению за осуществлением прав человека, общественные объединения, а также средства массовой информации широко информируют общественность об этих возможностях обращения в международные структуры.  На практике алжирским гражданам и их адвокатам, по</w:t>
      </w:r>
      <w:r>
        <w:noBreakHyphen/>
        <w:t>видимому, оказывается достаточным использование многочисленных имеющихся внутренних средств правовой защиты (суды, Алжирский национальный комитет по наблюдению за осуществлением прав человека).</w:t>
      </w:r>
    </w:p>
    <w:p w:rsidR="00000000" w:rsidRDefault="00000000"/>
    <w:p w:rsidR="00000000" w:rsidRDefault="00000000">
      <w:pPr>
        <w:jc w:val="center"/>
        <w:rPr>
          <w:u w:val="single"/>
        </w:rPr>
      </w:pPr>
      <w:r>
        <w:rPr>
          <w:lang w:val="en-US"/>
        </w:rPr>
        <w:t>III</w:t>
      </w:r>
      <w:r>
        <w:t>.</w:t>
      </w:r>
      <w:r>
        <w:tab/>
        <w:t>И</w:t>
      </w:r>
      <w:r>
        <w:rPr>
          <w:caps/>
        </w:rPr>
        <w:t>нформирование и пропаганда</w:t>
      </w:r>
    </w:p>
    <w:p w:rsidR="00000000" w:rsidRDefault="00000000">
      <w:pPr>
        <w:pStyle w:val="11"/>
        <w:tabs>
          <w:tab w:val="left" w:pos="567"/>
          <w:tab w:val="left" w:pos="1134"/>
          <w:tab w:val="left" w:pos="1701"/>
          <w:tab w:val="left" w:pos="2268"/>
          <w:tab w:val="left" w:pos="6237"/>
        </w:tabs>
      </w:pPr>
    </w:p>
    <w:p w:rsidR="00000000" w:rsidRDefault="00000000">
      <w:r>
        <w:t>30.</w:t>
      </w:r>
      <w:r>
        <w:tab/>
        <w:t>Ратификация Алжиром международно-правовых актов о правах человека получила широкое освещение в национальных средствах массовой информации в момент представления этих актов на рассмотрение и утверждение Национального собрания.  Все ратифицированные документы были опубликованы в "</w:t>
      </w:r>
      <w:proofErr w:type="spellStart"/>
      <w:r>
        <w:t>Журналь</w:t>
      </w:r>
      <w:proofErr w:type="spellEnd"/>
      <w:r>
        <w:t xml:space="preserve"> </w:t>
      </w:r>
      <w:proofErr w:type="spellStart"/>
      <w:r>
        <w:t>офисьель</w:t>
      </w:r>
      <w:proofErr w:type="spellEnd"/>
      <w:r>
        <w:t xml:space="preserve"> де </w:t>
      </w:r>
      <w:proofErr w:type="spellStart"/>
      <w:r>
        <w:t>ла</w:t>
      </w:r>
      <w:proofErr w:type="spellEnd"/>
      <w:r>
        <w:t xml:space="preserve"> </w:t>
      </w:r>
      <w:proofErr w:type="spellStart"/>
      <w:r>
        <w:t>Репюблик</w:t>
      </w:r>
      <w:proofErr w:type="spellEnd"/>
      <w:r>
        <w:t xml:space="preserve"> </w:t>
      </w:r>
      <w:proofErr w:type="spellStart"/>
      <w:r>
        <w:t>Альжерьен</w:t>
      </w:r>
      <w:proofErr w:type="spellEnd"/>
      <w:r>
        <w:t>".</w:t>
      </w:r>
    </w:p>
    <w:p w:rsidR="00000000" w:rsidRDefault="00000000"/>
    <w:p w:rsidR="00000000" w:rsidRDefault="00000000">
      <w:r>
        <w:t>31.</w:t>
      </w:r>
      <w:r>
        <w:tab/>
        <w:t>Наряду с регулярно организуемыми коллоквиумами и семинарами на соответствующую тему удобной возможностью для повышения уровня осведомленности алжирской общественности о различных международных договорах в области прав человека, ратифицированных Алжиром, становится отмечаемый ежегодно 10 декабря День прав человека.  Задаче подтверждения места и роли женщин и детей в обществе служат также и регулярно отмечаемые дни 8 марта и 1 июня.</w:t>
      </w:r>
    </w:p>
    <w:p w:rsidR="00000000" w:rsidRDefault="00000000"/>
    <w:p w:rsidR="00000000" w:rsidRDefault="00000000">
      <w:r>
        <w:t>32.</w:t>
      </w:r>
      <w:r>
        <w:tab/>
        <w:t xml:space="preserve">В высшей школе вновь введен преподававшийся на юридических факультетах курс  под названием "Общественные свободы" с обновленным содержанием, учитывающим международные события и присоединение Алжира к новым конвенциям.  В ряде университетов (например, в Оране, </w:t>
      </w:r>
      <w:proofErr w:type="spellStart"/>
      <w:r>
        <w:t>Тизи</w:t>
      </w:r>
      <w:r>
        <w:noBreakHyphen/>
        <w:t>Узу</w:t>
      </w:r>
      <w:proofErr w:type="spellEnd"/>
      <w:r>
        <w:t xml:space="preserve"> и </w:t>
      </w:r>
      <w:proofErr w:type="spellStart"/>
      <w:r>
        <w:t>Аннабе</w:t>
      </w:r>
      <w:proofErr w:type="spellEnd"/>
      <w:r>
        <w:t>) уже ведется работа по разработке учебных курсов по конкретным категориям прав.  Права человека преподаются обучающимся в Национальном институте магистратуры, Высшей школе полиции и Национальной школе пенитенциарной администрации.</w:t>
      </w:r>
    </w:p>
    <w:p w:rsidR="00000000" w:rsidRDefault="00000000"/>
    <w:p w:rsidR="00000000" w:rsidRDefault="00000000">
      <w:r>
        <w:t>33.</w:t>
      </w:r>
      <w:r>
        <w:tab/>
        <w:t>В университете города Оран открыта кафедра ЮНЕСКО по правам человека.  Эта созданная в 1995 году педагогическая структура имеет целью организацию и поощрение деятельности комплексной системы научных исследований, подготовки, информации и документации в области прав человека.  На кафедре идет, в частности, подготовительная работа для введения магистерского курса по "правам человека".  Регулярно организуются дни изучения прав человека и гуманитарного права и публикуются соответствующие работы.  Со своей стороны Алжирский национальный комитет по наблюдению за осуществлением прав человека ведет работу по популяризации принципов прав человека, закрепленных во внутригосударственном законодательстве, а также в ратифицированных Алжиром международных договорах.  Проводимая этим органом просветительская работа принимает, в частности, вид издания обзоров и организации и проведения семинаров, выставок и учебных дней при содействии массовых общественных движений.</w:t>
      </w:r>
    </w:p>
    <w:p w:rsidR="00000000" w:rsidRDefault="00000000"/>
    <w:p w:rsidR="00000000" w:rsidRDefault="00000000">
      <w:r>
        <w:t>34.</w:t>
      </w:r>
      <w:r>
        <w:tab/>
        <w:t>С начала 90</w:t>
      </w:r>
      <w:r>
        <w:noBreakHyphen/>
        <w:t xml:space="preserve">х годов Алжир переживает период перестройки в двух направлениях.  Речь идет о переходе к демократии, строящейся на началах плюрализма, и к рыночной экономике;  этот сложный период сопровождается определенными трудностями, обусловленными главным образом ситуацией, сложившейся в национальной экономике и неблагоприятными международными экономическими условиями.  Эти экономические трудности породили в алжирском обществе недовольство, которым захотели воспользоваться определенные силы с целью сорвать происходящий в стране процесс преобразований, в том числе и с помощью террористических актов.  Именно с тем, чтобы противостоять такому развитию ситуации, алжирское государство приняло решение о введении с февраля 1992 года чрезвычайного положения.  Хотя с объявлением чрезвычайного положения и были введены некоторые ограничения на осуществление прав и общественных свобод, данная ситуация не привела к приостановлению действия обязательств государства в отношении гарантии осуществления основных свобод граждан, закрепленных во внутреннем конституционном порядке и в международных конвенциях, ратифицированных Алжиром.  Аналогичным образом, все мероприятия по поддержанию общественного порядка и защите лиц и имущества от проявлений терроризма всегда осуществлялись в рамках закона и при соблюдении обязательств, вытекающих из различных международно-правовых актов.  Эти действия направлены на укрепление правового государства и создание условий, которые позволили, благодаря действительно свободным, многопартийным и демократическим всеобщим выборам, которые проходили в Алжире в 1995, 1996 и 1997 годах, а также в 1999 году, </w:t>
      </w:r>
      <w:proofErr w:type="spellStart"/>
      <w:r>
        <w:t>легитимизировать</w:t>
      </w:r>
      <w:proofErr w:type="spellEnd"/>
      <w:r>
        <w:t xml:space="preserve"> новые государственные институты.</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 w:rsidR="00000000" w:rsidRDefault="00000000">
      <w:pPr>
        <w:pStyle w:val="16"/>
        <w:rPr>
          <w:b/>
          <w:bCs/>
        </w:rPr>
      </w:pPr>
      <w:r>
        <w:rPr>
          <w:b/>
          <w:bCs/>
        </w:rPr>
        <w:t>Часть вторая</w:t>
      </w:r>
    </w:p>
    <w:p w:rsidR="00000000" w:rsidRDefault="00000000">
      <w:pPr>
        <w:pStyle w:val="16"/>
      </w:pPr>
    </w:p>
    <w:p w:rsidR="00000000" w:rsidRDefault="00000000">
      <w:pPr>
        <w:pStyle w:val="12"/>
        <w:rPr>
          <w:b/>
          <w:bCs/>
          <w:caps/>
        </w:rPr>
      </w:pPr>
      <w:r>
        <w:rPr>
          <w:b/>
          <w:bCs/>
          <w:caps/>
        </w:rPr>
        <w:t>И</w:t>
      </w:r>
      <w:r>
        <w:rPr>
          <w:b/>
          <w:bCs/>
        </w:rPr>
        <w:t>нформация по конкретным положениям Пакта</w:t>
      </w:r>
    </w:p>
    <w:p w:rsidR="00000000" w:rsidRDefault="00000000">
      <w:pPr>
        <w:pStyle w:val="12"/>
        <w:rPr>
          <w:caps/>
        </w:rPr>
      </w:pPr>
    </w:p>
    <w:p w:rsidR="00000000" w:rsidRDefault="00000000">
      <w:pPr>
        <w:pStyle w:val="12"/>
      </w:pPr>
      <w:r>
        <w:t>Статья 1</w:t>
      </w:r>
    </w:p>
    <w:p w:rsidR="00000000" w:rsidRDefault="00000000">
      <w:pPr>
        <w:pStyle w:val="12"/>
      </w:pPr>
    </w:p>
    <w:p w:rsidR="00000000" w:rsidRDefault="00000000">
      <w:pPr>
        <w:pStyle w:val="11"/>
      </w:pPr>
      <w:r>
        <w:t>Право народов на самоопределение</w:t>
      </w:r>
    </w:p>
    <w:p w:rsidR="00000000" w:rsidRDefault="00000000">
      <w:pPr>
        <w:pStyle w:val="11"/>
      </w:pPr>
    </w:p>
    <w:p w:rsidR="00000000" w:rsidRDefault="00000000">
      <w:r>
        <w:t>35.</w:t>
      </w:r>
      <w:r>
        <w:tab/>
        <w:t xml:space="preserve">В Алжире действует в качестве конституционного принцип солидарности "со всеми народами, борющимися за политическое и экономическое освобождение, за право на самоопределение и против расовой дискриминации" (статья 27).  Этот аспект исторически связан с борьбой алжирского народа за восстановление своей независимости и его неизменной поддержкой народов, борющихся за свою независимость.  Кроме того, алжирская дипломатия работает в направлении "укрепления международного сотрудничества и развития дружественных отношений между государствами на основе равенства, общности интересов и невмешательства во внутренние дела" (статья 28). </w:t>
      </w:r>
    </w:p>
    <w:p w:rsidR="00000000" w:rsidRDefault="00000000">
      <w:r>
        <w:br w:type="page"/>
        <w:t>В Конституции прямо записано также, что руководители страны должны "воздерживаться от применения войны с целью нарушения законного суверенитета и свободы других народов" (статья 26).</w:t>
      </w:r>
    </w:p>
    <w:p w:rsidR="00000000" w:rsidRDefault="00000000"/>
    <w:p w:rsidR="00000000" w:rsidRDefault="00000000">
      <w:r>
        <w:t>36.</w:t>
      </w:r>
      <w:r>
        <w:tab/>
        <w:t>Следствием включения этих положений в Конституцию от 28 ноября 1996 года стало отнесение принципа солидарности, упомянутого в статье 27, только к "колониальным народам и территориям", упомянутым в резолюции 1514 (</w:t>
      </w:r>
      <w:r>
        <w:rPr>
          <w:lang w:val="en-US"/>
        </w:rPr>
        <w:t>XV</w:t>
      </w:r>
      <w:r>
        <w:t>) Генеральной Ассамблеи от 14 декабря 1960 года.  Соответственно Алжир продолжал оказывать помощь народам, борющимся за свое национальное освобождение, в частности народам Палестины и Западной Сахары.  Одновременно алжирское правительство продолжает проводить активную и целеустремленную политику поддержки всех мер на международном уровне, призванных способствовать борьбе со всеми формами политической, расовой или религиозной дискриминации.</w:t>
      </w:r>
    </w:p>
    <w:p w:rsidR="00000000" w:rsidRDefault="00000000"/>
    <w:p w:rsidR="00000000" w:rsidRDefault="00000000">
      <w:pPr>
        <w:pStyle w:val="16"/>
      </w:pPr>
      <w:r>
        <w:rPr>
          <w:i/>
        </w:rPr>
        <w:t>Статья 2</w:t>
      </w:r>
    </w:p>
    <w:p w:rsidR="00000000" w:rsidRDefault="00000000">
      <w:pPr>
        <w:pStyle w:val="16"/>
      </w:pPr>
    </w:p>
    <w:p w:rsidR="00000000" w:rsidRDefault="00000000">
      <w:pPr>
        <w:pStyle w:val="16"/>
      </w:pPr>
      <w:r>
        <w:rPr>
          <w:u w:val="single"/>
        </w:rPr>
        <w:t>Обязательства государств-участников</w:t>
      </w:r>
    </w:p>
    <w:p w:rsidR="00000000" w:rsidRDefault="00000000">
      <w:pPr>
        <w:pStyle w:val="16"/>
      </w:pPr>
    </w:p>
    <w:p w:rsidR="00000000" w:rsidRDefault="00000000">
      <w:pPr>
        <w:pStyle w:val="16"/>
        <w:jc w:val="left"/>
      </w:pPr>
      <w:r>
        <w:t>37.</w:t>
      </w:r>
      <w:r>
        <w:tab/>
        <w:t>С момента обретения Алжиром независимости законодательная ветвь государственной власти в стране строго следит за реализацией на практике принципа недопустимости какой бы то ни было дискриминации между гражданами.  Применение этой нормы облегчается еще и тем обстоятельством, что традиционно алжирское общество свободно от каких бы то ни было проявлений дискриминации.</w:t>
      </w:r>
    </w:p>
    <w:p w:rsidR="00000000" w:rsidRDefault="00000000">
      <w:pPr>
        <w:pStyle w:val="16"/>
        <w:jc w:val="left"/>
      </w:pPr>
    </w:p>
    <w:p w:rsidR="00000000" w:rsidRDefault="00000000">
      <w:pPr>
        <w:pStyle w:val="16"/>
        <w:jc w:val="left"/>
      </w:pPr>
      <w:r>
        <w:t>38.</w:t>
      </w:r>
      <w:r>
        <w:tab/>
        <w:t>Любая дискриминация по признаку расы, языка или религии запрещается в статьях 27 и 42 Конституции.  Положения Гражданского кодекса, Уголовного кодекса, Уголовно-процессуального кодекса, Кодекса законов о выборах и иных отраслевых кодексов (торговля, информация, здравоохранение, деятельность таможни и т.д.) имеют в своей основе принцип равенства всех граждан.  Конституционным советом было установлено, что ни одно из положений вышеуказанных законов не противоречит духу и букве Международного пакта об экономических, социальных и культурных правах.  Следует напомнить, что в задачу этого совета входит, в частности, контроль за соответствием законов Конституции и подписанным Алжиром международным конвенциям, пресечение любых нарушений принципа равноправия граждан и надзор за тем, чтобы применяемые к иностранным гражданам законодательные и иные нормы были совместимы с положениями Конституции и ратифицированных Алжиром международных конвенций.</w:t>
      </w:r>
    </w:p>
    <w:p w:rsidR="00000000" w:rsidRDefault="00000000">
      <w:pPr>
        <w:pStyle w:val="16"/>
        <w:jc w:val="left"/>
      </w:pPr>
    </w:p>
    <w:p w:rsidR="00000000" w:rsidRDefault="00000000">
      <w:pPr>
        <w:pStyle w:val="16"/>
        <w:jc w:val="left"/>
      </w:pPr>
      <w:r>
        <w:t>39.</w:t>
      </w:r>
      <w:r>
        <w:tab/>
        <w:t xml:space="preserve">Следует также отметить, что присоединение Алжира к международно-правовым актам о правах человека, в том числе и к Пакту об экономических, социальных и культурных правах, а также сотрудничество с договорными и </w:t>
      </w:r>
      <w:proofErr w:type="spellStart"/>
      <w:r>
        <w:t>недоговорными</w:t>
      </w:r>
      <w:proofErr w:type="spellEnd"/>
      <w:r>
        <w:t xml:space="preserve"> органами способствует более глубокому пониманию значимости прав человека.</w:t>
      </w:r>
    </w:p>
    <w:p w:rsidR="00000000" w:rsidRDefault="00000000">
      <w:pPr>
        <w:pStyle w:val="16"/>
        <w:jc w:val="left"/>
      </w:pPr>
    </w:p>
    <w:p w:rsidR="00000000" w:rsidRDefault="00000000">
      <w:pPr>
        <w:pStyle w:val="16"/>
      </w:pPr>
      <w:r>
        <w:rPr>
          <w:i/>
        </w:rPr>
        <w:t>Статья 3</w:t>
      </w:r>
    </w:p>
    <w:p w:rsidR="00000000" w:rsidRDefault="00000000">
      <w:pPr>
        <w:pStyle w:val="16"/>
      </w:pPr>
    </w:p>
    <w:p w:rsidR="00000000" w:rsidRDefault="00000000">
      <w:pPr>
        <w:pStyle w:val="16"/>
      </w:pPr>
      <w:r>
        <w:rPr>
          <w:u w:val="single"/>
        </w:rPr>
        <w:t>Равенство прав мужчин и женщин</w:t>
      </w:r>
    </w:p>
    <w:p w:rsidR="00000000" w:rsidRDefault="00000000">
      <w:pPr>
        <w:pStyle w:val="16"/>
      </w:pPr>
    </w:p>
    <w:p w:rsidR="00000000" w:rsidRDefault="00000000">
      <w:pPr>
        <w:pStyle w:val="16"/>
        <w:jc w:val="left"/>
      </w:pPr>
      <w:r>
        <w:t>40.</w:t>
      </w:r>
      <w:r>
        <w:tab/>
        <w:t xml:space="preserve">После обретения Алжиром независимости в стране были отменены дискриминационные законодательные и </w:t>
      </w:r>
      <w:proofErr w:type="spellStart"/>
      <w:r>
        <w:t>регламентарные</w:t>
      </w:r>
      <w:proofErr w:type="spellEnd"/>
      <w:r>
        <w:t xml:space="preserve"> нормы.  Принцип, согласно которому все граждане являются равными в своих правах и обязанностях и пользуются одинаковой защитой закона, провозглашен в статье 29 Конституции.  Алжирские законы, в значительной степени опирающиеся на нормы международных конвенций, построены в соответствии с указанным принципом недопустимости дискриминации.</w:t>
      </w:r>
    </w:p>
    <w:p w:rsidR="00000000" w:rsidRDefault="00000000">
      <w:pPr>
        <w:pStyle w:val="16"/>
        <w:jc w:val="left"/>
      </w:pPr>
    </w:p>
    <w:p w:rsidR="00000000" w:rsidRDefault="00000000">
      <w:pPr>
        <w:pStyle w:val="16"/>
        <w:jc w:val="left"/>
      </w:pPr>
      <w:r>
        <w:t>41.</w:t>
      </w:r>
      <w:r>
        <w:tab/>
        <w:t>Равенство прав обоих полов закреплено в статьях 29, 31, 33, 34, 36 и 51 Конституции.  В этой связи следует отметить, что женщины точно так же, как и мужчины:</w:t>
      </w:r>
    </w:p>
    <w:p w:rsidR="00000000" w:rsidRDefault="00000000">
      <w:pPr>
        <w:pStyle w:val="16"/>
        <w:jc w:val="left"/>
      </w:pPr>
    </w:p>
    <w:p w:rsidR="00000000" w:rsidRDefault="00000000">
      <w:pPr>
        <w:pStyle w:val="16"/>
        <w:tabs>
          <w:tab w:val="left" w:pos="567"/>
          <w:tab w:val="right" w:pos="1134"/>
        </w:tabs>
        <w:jc w:val="left"/>
      </w:pPr>
      <w:r>
        <w:tab/>
      </w:r>
      <w:r>
        <w:tab/>
      </w:r>
      <w:proofErr w:type="spellStart"/>
      <w:r>
        <w:rPr>
          <w:lang w:val="en-US"/>
        </w:rPr>
        <w:t>i</w:t>
      </w:r>
      <w:proofErr w:type="spellEnd"/>
      <w:r>
        <w:t>)</w:t>
      </w:r>
      <w:r>
        <w:tab/>
        <w:t>имеют право доступа к любым должностям на государственной службе;</w:t>
      </w:r>
    </w:p>
    <w:p w:rsidR="00000000" w:rsidRDefault="00000000">
      <w:pPr>
        <w:pStyle w:val="16"/>
        <w:tabs>
          <w:tab w:val="left" w:pos="567"/>
          <w:tab w:val="right" w:pos="1134"/>
        </w:tabs>
        <w:jc w:val="left"/>
      </w:pPr>
    </w:p>
    <w:p w:rsidR="00000000" w:rsidRDefault="00000000">
      <w:pPr>
        <w:pStyle w:val="16"/>
        <w:tabs>
          <w:tab w:val="left" w:pos="567"/>
          <w:tab w:val="right" w:pos="1134"/>
        </w:tabs>
        <w:ind w:left="1701" w:hanging="1701"/>
        <w:jc w:val="left"/>
      </w:pPr>
      <w:r>
        <w:tab/>
      </w:r>
      <w:r>
        <w:tab/>
      </w:r>
      <w:r>
        <w:rPr>
          <w:lang w:val="en-US"/>
        </w:rPr>
        <w:t>ii</w:t>
      </w:r>
      <w:r>
        <w:t>)</w:t>
      </w:r>
      <w:r>
        <w:tab/>
        <w:t>имеют право выбирать и отдавать свои голоса за кандидатов на выборные должности;</w:t>
      </w:r>
    </w:p>
    <w:p w:rsidR="00000000" w:rsidRDefault="00000000">
      <w:pPr>
        <w:pStyle w:val="16"/>
        <w:tabs>
          <w:tab w:val="left" w:pos="567"/>
          <w:tab w:val="right" w:pos="1134"/>
        </w:tabs>
        <w:ind w:left="1701" w:hanging="1701"/>
        <w:jc w:val="left"/>
      </w:pPr>
    </w:p>
    <w:p w:rsidR="00000000" w:rsidRDefault="00000000">
      <w:pPr>
        <w:pStyle w:val="16"/>
        <w:tabs>
          <w:tab w:val="left" w:pos="567"/>
          <w:tab w:val="right" w:pos="1134"/>
        </w:tabs>
        <w:ind w:left="1701" w:hanging="1701"/>
        <w:jc w:val="left"/>
      </w:pPr>
      <w:r>
        <w:tab/>
      </w:r>
      <w:r>
        <w:tab/>
      </w:r>
      <w:r>
        <w:rPr>
          <w:lang w:val="en-US"/>
        </w:rPr>
        <w:t>iii</w:t>
      </w:r>
      <w:r>
        <w:t>)</w:t>
      </w:r>
      <w:r>
        <w:tab/>
        <w:t>могут выставлять свои кандидатуры на выборах всех уровней, включая президентские;</w:t>
      </w:r>
    </w:p>
    <w:p w:rsidR="00000000" w:rsidRDefault="00000000">
      <w:pPr>
        <w:pStyle w:val="16"/>
        <w:tabs>
          <w:tab w:val="left" w:pos="567"/>
          <w:tab w:val="right" w:pos="1134"/>
        </w:tabs>
        <w:ind w:left="1701" w:hanging="1701"/>
        <w:jc w:val="left"/>
      </w:pPr>
    </w:p>
    <w:p w:rsidR="00000000" w:rsidRDefault="00000000">
      <w:pPr>
        <w:pStyle w:val="16"/>
        <w:tabs>
          <w:tab w:val="left" w:pos="567"/>
          <w:tab w:val="right" w:pos="1134"/>
        </w:tabs>
        <w:ind w:left="1701" w:hanging="1701"/>
        <w:jc w:val="left"/>
      </w:pPr>
      <w:r>
        <w:tab/>
      </w:r>
      <w:r>
        <w:tab/>
      </w:r>
      <w:r>
        <w:rPr>
          <w:lang w:val="en-US"/>
        </w:rPr>
        <w:t>iv</w:t>
      </w:r>
      <w:r>
        <w:t>)</w:t>
      </w:r>
      <w:r>
        <w:tab/>
        <w:t>имеют право основывать партии, ассоциации, профсоюзы и участвовать в их руководящих и представительных органах;</w:t>
      </w:r>
    </w:p>
    <w:p w:rsidR="00000000" w:rsidRDefault="00000000">
      <w:pPr>
        <w:pStyle w:val="16"/>
        <w:tabs>
          <w:tab w:val="left" w:pos="567"/>
          <w:tab w:val="right" w:pos="1134"/>
        </w:tabs>
        <w:ind w:left="1701" w:hanging="1701"/>
        <w:jc w:val="left"/>
      </w:pPr>
    </w:p>
    <w:p w:rsidR="00000000" w:rsidRDefault="00000000">
      <w:pPr>
        <w:pStyle w:val="16"/>
        <w:tabs>
          <w:tab w:val="left" w:pos="567"/>
          <w:tab w:val="right" w:pos="1134"/>
        </w:tabs>
        <w:ind w:left="1701" w:hanging="1701"/>
        <w:jc w:val="left"/>
      </w:pPr>
      <w:r>
        <w:tab/>
      </w:r>
      <w:r>
        <w:tab/>
      </w:r>
      <w:r>
        <w:rPr>
          <w:lang w:val="en-US"/>
        </w:rPr>
        <w:t>v</w:t>
      </w:r>
      <w:r>
        <w:t>)</w:t>
      </w:r>
      <w:r>
        <w:tab/>
        <w:t>имеют право свободно выражать свои убеждения, используя для этого любые средства;</w:t>
      </w:r>
    </w:p>
    <w:p w:rsidR="00000000" w:rsidRDefault="00000000">
      <w:pPr>
        <w:pStyle w:val="16"/>
        <w:tabs>
          <w:tab w:val="left" w:pos="567"/>
          <w:tab w:val="right" w:pos="1134"/>
        </w:tabs>
        <w:ind w:left="1701" w:hanging="1701"/>
        <w:jc w:val="left"/>
      </w:pPr>
    </w:p>
    <w:p w:rsidR="00000000" w:rsidRDefault="00000000">
      <w:pPr>
        <w:pStyle w:val="16"/>
        <w:tabs>
          <w:tab w:val="left" w:pos="567"/>
          <w:tab w:val="right" w:pos="1134"/>
        </w:tabs>
        <w:jc w:val="left"/>
      </w:pPr>
      <w:r>
        <w:tab/>
      </w:r>
      <w:r>
        <w:tab/>
      </w:r>
      <w:r>
        <w:rPr>
          <w:lang w:val="en-US"/>
        </w:rPr>
        <w:t>vi</w:t>
      </w:r>
      <w:r>
        <w:t>)</w:t>
      </w:r>
      <w:r>
        <w:tab/>
        <w:t>имеют право участвовать в собраниях и манифестациях;</w:t>
      </w:r>
    </w:p>
    <w:p w:rsidR="00000000" w:rsidRDefault="00000000">
      <w:pPr>
        <w:pStyle w:val="16"/>
        <w:tabs>
          <w:tab w:val="left" w:pos="567"/>
          <w:tab w:val="right" w:pos="1134"/>
        </w:tabs>
        <w:jc w:val="left"/>
      </w:pPr>
    </w:p>
    <w:p w:rsidR="00000000" w:rsidRDefault="00000000">
      <w:pPr>
        <w:pStyle w:val="16"/>
        <w:tabs>
          <w:tab w:val="left" w:pos="567"/>
          <w:tab w:val="right" w:pos="1134"/>
        </w:tabs>
        <w:jc w:val="left"/>
      </w:pPr>
      <w:r>
        <w:tab/>
      </w:r>
      <w:r>
        <w:tab/>
      </w:r>
      <w:r>
        <w:rPr>
          <w:lang w:val="en-US"/>
        </w:rPr>
        <w:t>vii</w:t>
      </w:r>
      <w:r>
        <w:t>)</w:t>
      </w:r>
      <w:r>
        <w:tab/>
        <w:t>имеют право обращаться в суды и любые иные органы судебной системы;</w:t>
      </w:r>
    </w:p>
    <w:p w:rsidR="00000000" w:rsidRDefault="00000000">
      <w:pPr>
        <w:pStyle w:val="16"/>
        <w:tabs>
          <w:tab w:val="left" w:pos="567"/>
          <w:tab w:val="right" w:pos="1134"/>
        </w:tabs>
        <w:jc w:val="left"/>
      </w:pPr>
    </w:p>
    <w:p w:rsidR="00000000" w:rsidRDefault="00000000">
      <w:pPr>
        <w:pStyle w:val="16"/>
        <w:tabs>
          <w:tab w:val="left" w:pos="567"/>
          <w:tab w:val="right" w:pos="1134"/>
        </w:tabs>
        <w:ind w:left="1701" w:hanging="1701"/>
        <w:jc w:val="left"/>
        <w:rPr>
          <w:lang w:val="en-US"/>
        </w:rPr>
      </w:pPr>
      <w:r>
        <w:tab/>
      </w:r>
      <w:r>
        <w:tab/>
      </w:r>
      <w:r>
        <w:rPr>
          <w:lang w:val="en-US"/>
        </w:rPr>
        <w:t>viii</w:t>
      </w:r>
      <w:r>
        <w:t>)</w:t>
      </w:r>
      <w:r>
        <w:tab/>
        <w:t>имеют право выбирать место жительства и свободно перемещаться по территории страны и выезжать за границу;</w:t>
      </w:r>
    </w:p>
    <w:p w:rsidR="00000000" w:rsidRDefault="00000000">
      <w:pPr>
        <w:pStyle w:val="16"/>
        <w:tabs>
          <w:tab w:val="left" w:pos="567"/>
          <w:tab w:val="right" w:pos="1134"/>
        </w:tabs>
        <w:ind w:left="1701" w:hanging="1701"/>
        <w:jc w:val="left"/>
      </w:pPr>
      <w:r>
        <w:rPr>
          <w:lang w:val="en-US"/>
        </w:rPr>
        <w:tab/>
      </w:r>
      <w:r>
        <w:rPr>
          <w:lang w:val="en-US"/>
        </w:rPr>
        <w:tab/>
        <w:t>ix</w:t>
      </w:r>
      <w:r>
        <w:t>)</w:t>
      </w:r>
      <w:r>
        <w:tab/>
        <w:t>имеют право пользоваться всем комплексом предусмотренных законом социальных услуг;</w:t>
      </w:r>
    </w:p>
    <w:p w:rsidR="00000000" w:rsidRDefault="00000000">
      <w:pPr>
        <w:pStyle w:val="16"/>
        <w:tabs>
          <w:tab w:val="left" w:pos="567"/>
          <w:tab w:val="right" w:pos="1134"/>
        </w:tabs>
        <w:ind w:left="1701" w:hanging="1701"/>
        <w:jc w:val="left"/>
      </w:pPr>
    </w:p>
    <w:p w:rsidR="00000000" w:rsidRDefault="00000000">
      <w:pPr>
        <w:pStyle w:val="16"/>
        <w:tabs>
          <w:tab w:val="left" w:pos="567"/>
          <w:tab w:val="right" w:pos="1134"/>
        </w:tabs>
        <w:ind w:left="1701" w:hanging="1701"/>
        <w:jc w:val="left"/>
      </w:pPr>
      <w:r>
        <w:tab/>
      </w:r>
      <w:r>
        <w:tab/>
      </w:r>
      <w:r>
        <w:rPr>
          <w:lang w:val="en-US"/>
        </w:rPr>
        <w:t>x</w:t>
      </w:r>
      <w:r>
        <w:t>)</w:t>
      </w:r>
      <w:r>
        <w:tab/>
        <w:t>имеют право на получение начального, неполного среднего, среднего и высшего образования;</w:t>
      </w:r>
    </w:p>
    <w:p w:rsidR="00000000" w:rsidRDefault="00000000">
      <w:pPr>
        <w:pStyle w:val="16"/>
        <w:tabs>
          <w:tab w:val="left" w:pos="567"/>
          <w:tab w:val="right" w:pos="1134"/>
        </w:tabs>
        <w:ind w:left="1701" w:hanging="1701"/>
        <w:jc w:val="left"/>
      </w:pPr>
    </w:p>
    <w:p w:rsidR="00000000" w:rsidRDefault="00000000">
      <w:pPr>
        <w:pStyle w:val="16"/>
        <w:tabs>
          <w:tab w:val="left" w:pos="567"/>
          <w:tab w:val="right" w:pos="1134"/>
        </w:tabs>
        <w:ind w:left="1701" w:hanging="1701"/>
        <w:jc w:val="left"/>
      </w:pPr>
      <w:r>
        <w:tab/>
      </w:r>
      <w:r>
        <w:tab/>
      </w:r>
      <w:proofErr w:type="spellStart"/>
      <w:r>
        <w:rPr>
          <w:lang w:val="en-US"/>
        </w:rPr>
        <w:t>xi</w:t>
      </w:r>
      <w:proofErr w:type="spellEnd"/>
      <w:r>
        <w:t>)</w:t>
      </w:r>
      <w:r>
        <w:tab/>
        <w:t>имеют право получать профессиональную подготовку во всех отраслях, включая те, которые считаются мужскими;</w:t>
      </w:r>
    </w:p>
    <w:p w:rsidR="00000000" w:rsidRDefault="00000000">
      <w:pPr>
        <w:pStyle w:val="16"/>
        <w:tabs>
          <w:tab w:val="left" w:pos="567"/>
          <w:tab w:val="right" w:pos="1134"/>
        </w:tabs>
        <w:ind w:left="1701" w:hanging="1701"/>
        <w:jc w:val="left"/>
      </w:pPr>
    </w:p>
    <w:p w:rsidR="00000000" w:rsidRDefault="00000000">
      <w:pPr>
        <w:pStyle w:val="16"/>
        <w:tabs>
          <w:tab w:val="left" w:pos="567"/>
          <w:tab w:val="right" w:pos="1134"/>
        </w:tabs>
        <w:ind w:left="1701" w:hanging="1701"/>
        <w:jc w:val="left"/>
      </w:pPr>
      <w:r>
        <w:tab/>
      </w:r>
      <w:r>
        <w:tab/>
      </w:r>
      <w:r>
        <w:rPr>
          <w:lang w:val="en-US"/>
        </w:rPr>
        <w:t>xii</w:t>
      </w:r>
      <w:r>
        <w:t>)</w:t>
      </w:r>
      <w:r>
        <w:tab/>
        <w:t>имеют право на медицинское обслуживание, будь то профилактическое или лечебное;</w:t>
      </w:r>
    </w:p>
    <w:p w:rsidR="00000000" w:rsidRDefault="00000000">
      <w:pPr>
        <w:pStyle w:val="16"/>
        <w:tabs>
          <w:tab w:val="left" w:pos="567"/>
          <w:tab w:val="right" w:pos="1134"/>
        </w:tabs>
        <w:ind w:left="1701" w:hanging="1701"/>
        <w:jc w:val="left"/>
      </w:pPr>
    </w:p>
    <w:p w:rsidR="00000000" w:rsidRDefault="00000000">
      <w:pPr>
        <w:pStyle w:val="16"/>
        <w:tabs>
          <w:tab w:val="left" w:pos="567"/>
          <w:tab w:val="right" w:pos="1134"/>
        </w:tabs>
        <w:jc w:val="left"/>
      </w:pPr>
      <w:r>
        <w:tab/>
      </w:r>
      <w:r>
        <w:tab/>
      </w:r>
      <w:r>
        <w:rPr>
          <w:lang w:val="en-US"/>
        </w:rPr>
        <w:t>xiii</w:t>
      </w:r>
      <w:r>
        <w:t>)</w:t>
      </w:r>
      <w:r>
        <w:tab/>
        <w:t>имеют право заключать контракты любого рода;</w:t>
      </w:r>
    </w:p>
    <w:p w:rsidR="00000000" w:rsidRDefault="00000000">
      <w:pPr>
        <w:pStyle w:val="16"/>
        <w:tabs>
          <w:tab w:val="left" w:pos="567"/>
          <w:tab w:val="right" w:pos="1134"/>
        </w:tabs>
        <w:jc w:val="left"/>
      </w:pPr>
    </w:p>
    <w:p w:rsidR="00000000" w:rsidRDefault="00000000">
      <w:pPr>
        <w:pStyle w:val="16"/>
        <w:tabs>
          <w:tab w:val="left" w:pos="567"/>
          <w:tab w:val="right" w:pos="1134"/>
        </w:tabs>
        <w:ind w:left="1701" w:hanging="1701"/>
        <w:jc w:val="left"/>
      </w:pPr>
      <w:r>
        <w:tab/>
      </w:r>
      <w:r>
        <w:tab/>
      </w:r>
      <w:r>
        <w:rPr>
          <w:lang w:val="en-US"/>
        </w:rPr>
        <w:t>xiv</w:t>
      </w:r>
      <w:r>
        <w:t>)</w:t>
      </w:r>
      <w:r>
        <w:tab/>
        <w:t>имеют право получения кредитов или использования любых других схожих форм заимствования, предусмотренных законом.  Закон не устанавливает никакой дискриминации в отношении предоставления женщинам банковских и ипотечных кредитов;</w:t>
      </w:r>
    </w:p>
    <w:p w:rsidR="00000000" w:rsidRDefault="00000000">
      <w:pPr>
        <w:pStyle w:val="16"/>
        <w:tabs>
          <w:tab w:val="left" w:pos="567"/>
          <w:tab w:val="right" w:pos="1134"/>
        </w:tabs>
        <w:ind w:left="1701" w:hanging="1701"/>
        <w:jc w:val="left"/>
      </w:pPr>
    </w:p>
    <w:p w:rsidR="00000000" w:rsidRDefault="00000000">
      <w:pPr>
        <w:pStyle w:val="16"/>
        <w:tabs>
          <w:tab w:val="left" w:pos="567"/>
          <w:tab w:val="right" w:pos="1134"/>
        </w:tabs>
        <w:ind w:left="1701" w:hanging="1701"/>
        <w:jc w:val="left"/>
      </w:pPr>
      <w:r>
        <w:tab/>
      </w:r>
      <w:r>
        <w:tab/>
      </w:r>
      <w:r>
        <w:rPr>
          <w:lang w:val="en-US"/>
        </w:rPr>
        <w:t>xv</w:t>
      </w:r>
      <w:r>
        <w:t>)</w:t>
      </w:r>
      <w:r>
        <w:tab/>
        <w:t>имеют право на труд и пользуются гарантиями профессионального роста и продвижения по службе;  и</w:t>
      </w:r>
    </w:p>
    <w:p w:rsidR="00000000" w:rsidRDefault="00000000">
      <w:pPr>
        <w:pStyle w:val="16"/>
        <w:tabs>
          <w:tab w:val="left" w:pos="567"/>
          <w:tab w:val="right" w:pos="1134"/>
        </w:tabs>
        <w:ind w:left="1701" w:hanging="1701"/>
        <w:jc w:val="left"/>
      </w:pPr>
    </w:p>
    <w:p w:rsidR="00000000" w:rsidRDefault="00000000">
      <w:pPr>
        <w:pStyle w:val="16"/>
        <w:tabs>
          <w:tab w:val="left" w:pos="567"/>
          <w:tab w:val="right" w:pos="1134"/>
        </w:tabs>
        <w:ind w:left="1701" w:hanging="1701"/>
        <w:jc w:val="left"/>
      </w:pPr>
      <w:r>
        <w:tab/>
      </w:r>
      <w:r>
        <w:tab/>
      </w:r>
      <w:r>
        <w:rPr>
          <w:lang w:val="en-US"/>
        </w:rPr>
        <w:t>xvi</w:t>
      </w:r>
      <w:r>
        <w:t>)</w:t>
      </w:r>
      <w:r>
        <w:tab/>
        <w:t>имеют право на равную плату за равный труд, на предусмотренный законом отдых и выход на пенсию.</w:t>
      </w:r>
    </w:p>
    <w:p w:rsidR="00000000" w:rsidRDefault="00000000">
      <w:pPr>
        <w:pStyle w:val="16"/>
        <w:tabs>
          <w:tab w:val="left" w:pos="567"/>
          <w:tab w:val="right" w:pos="1134"/>
        </w:tabs>
        <w:ind w:left="1701" w:hanging="1701"/>
        <w:jc w:val="left"/>
      </w:pPr>
    </w:p>
    <w:p w:rsidR="00000000" w:rsidRDefault="00000000">
      <w:pPr>
        <w:pStyle w:val="16"/>
        <w:jc w:val="left"/>
      </w:pPr>
      <w:r>
        <w:t>42.</w:t>
      </w:r>
      <w:r>
        <w:tab/>
        <w:t>Отсутствие дискриминации может быть проиллюстрировано на примере положения дел в трех важных секторах, таких, как образование, правосудие и медицинское обслуживание:</w:t>
      </w:r>
    </w:p>
    <w:p w:rsidR="00000000" w:rsidRDefault="00000000">
      <w:pPr>
        <w:pStyle w:val="16"/>
        <w:jc w:val="left"/>
      </w:pPr>
    </w:p>
    <w:p w:rsidR="00000000" w:rsidRDefault="00000000">
      <w:pPr>
        <w:pStyle w:val="16"/>
        <w:jc w:val="left"/>
      </w:pPr>
      <w:r>
        <w:tab/>
        <w:t>а)</w:t>
      </w:r>
      <w:r>
        <w:tab/>
        <w:t xml:space="preserve">образование:  сегодня лица женского пола составляют от </w:t>
      </w:r>
      <w:proofErr w:type="spellStart"/>
      <w:r>
        <w:t>45%</w:t>
      </w:r>
      <w:proofErr w:type="spellEnd"/>
      <w:r>
        <w:t xml:space="preserve"> до </w:t>
      </w:r>
      <w:proofErr w:type="spellStart"/>
      <w:r>
        <w:t>48%</w:t>
      </w:r>
      <w:proofErr w:type="spellEnd"/>
      <w:r>
        <w:t xml:space="preserve"> от общего числа обучающихся в учебных заведениях систем начального, неполного среднего, среднего и университетского образования.  Кроме того, в системе начального образования </w:t>
      </w:r>
      <w:proofErr w:type="spellStart"/>
      <w:r>
        <w:t>43%</w:t>
      </w:r>
      <w:proofErr w:type="spellEnd"/>
      <w:r>
        <w:t xml:space="preserve"> от общего числа преподавателей составляют женщины (эта доля увеличивается до </w:t>
      </w:r>
      <w:proofErr w:type="spellStart"/>
      <w:r>
        <w:t>82%</w:t>
      </w:r>
      <w:proofErr w:type="spellEnd"/>
      <w:r>
        <w:t xml:space="preserve"> в пяти наиболее крупных городах страны – Алжире, Оране, Константине, </w:t>
      </w:r>
      <w:proofErr w:type="spellStart"/>
      <w:r>
        <w:t>Аннабе</w:t>
      </w:r>
      <w:proofErr w:type="spellEnd"/>
      <w:r>
        <w:t xml:space="preserve"> и </w:t>
      </w:r>
      <w:proofErr w:type="spellStart"/>
      <w:r>
        <w:t>Сетифе</w:t>
      </w:r>
      <w:proofErr w:type="spellEnd"/>
      <w:r>
        <w:t xml:space="preserve">), </w:t>
      </w:r>
      <w:proofErr w:type="spellStart"/>
      <w:r>
        <w:t>45%</w:t>
      </w:r>
      <w:proofErr w:type="spellEnd"/>
      <w:r>
        <w:t xml:space="preserve"> – в системе неполного среднего образования (</w:t>
      </w:r>
      <w:proofErr w:type="spellStart"/>
      <w:r>
        <w:t>71%</w:t>
      </w:r>
      <w:proofErr w:type="spellEnd"/>
      <w:r>
        <w:t xml:space="preserve"> в указанных городах) и </w:t>
      </w:r>
      <w:proofErr w:type="spellStart"/>
      <w:r>
        <w:t>33%</w:t>
      </w:r>
      <w:proofErr w:type="spellEnd"/>
      <w:r>
        <w:t xml:space="preserve"> – в системе среднего образования (</w:t>
      </w:r>
      <w:proofErr w:type="spellStart"/>
      <w:r>
        <w:t>61%</w:t>
      </w:r>
      <w:proofErr w:type="spellEnd"/>
      <w:r>
        <w:t xml:space="preserve"> в указанных городах).  Со временем, пусть даже не самыми быстрыми темпами, такую фактическую ситуацию неизбежно будет сопровождать и пересмотр нормативных оснований;</w:t>
      </w:r>
    </w:p>
    <w:p w:rsidR="00000000" w:rsidRDefault="00000000">
      <w:pPr>
        <w:pStyle w:val="16"/>
        <w:jc w:val="left"/>
      </w:pPr>
    </w:p>
    <w:p w:rsidR="00000000" w:rsidRDefault="00000000">
      <w:r>
        <w:tab/>
      </w:r>
      <w:proofErr w:type="spellStart"/>
      <w:r>
        <w:t>b</w:t>
      </w:r>
      <w:proofErr w:type="spellEnd"/>
      <w:r>
        <w:t>)</w:t>
      </w:r>
      <w:r>
        <w:tab/>
        <w:t xml:space="preserve">правосудие:  из 2 510 магистров 667 – женщины, что составляет </w:t>
      </w:r>
      <w:proofErr w:type="spellStart"/>
      <w:r>
        <w:t>26,57%</w:t>
      </w:r>
      <w:proofErr w:type="spellEnd"/>
      <w:r>
        <w:t>.  В созданном в июне 1998 года Государственном совете из 34 образующих его должностных лиц 16 – женщины.  Наконец, проводимые в последние годы конкурсные экзамены на занятие должностей в корпусе магистратуры показывают, что из 200 отобранных кандидатов в среднем на магистратские должности выдвигаются 110 женщин.  Такая тенденция отражает принцип отсутствия дискриминации между мужчинами и женщинами;</w:t>
      </w:r>
    </w:p>
    <w:p w:rsidR="00000000" w:rsidRDefault="00000000"/>
    <w:p w:rsidR="00000000" w:rsidRDefault="00000000">
      <w:r>
        <w:tab/>
      </w:r>
      <w:proofErr w:type="spellStart"/>
      <w:r>
        <w:t>c</w:t>
      </w:r>
      <w:proofErr w:type="spellEnd"/>
      <w:r>
        <w:t>)</w:t>
      </w:r>
      <w:r>
        <w:tab/>
        <w:t xml:space="preserve">медицинское обслуживание:  статистические данные говорят о все большем смещении соотношения мужчин и женщин, занятых в области медицины и фармацевтики, в пользу женщин.  В 1996 году женщины составляли </w:t>
      </w:r>
      <w:proofErr w:type="spellStart"/>
      <w:r>
        <w:t>51%</w:t>
      </w:r>
      <w:proofErr w:type="spellEnd"/>
      <w:r>
        <w:t xml:space="preserve"> от общего числа лиц, работающих в этих областях;  что касается врачей, то в университетских клиниках женщины составляют </w:t>
      </w:r>
      <w:proofErr w:type="spellStart"/>
      <w:r>
        <w:t>36%</w:t>
      </w:r>
      <w:proofErr w:type="spellEnd"/>
      <w:r>
        <w:t xml:space="preserve">, среди врачей-специалистов – </w:t>
      </w:r>
      <w:proofErr w:type="spellStart"/>
      <w:r>
        <w:t>46,7%</w:t>
      </w:r>
      <w:proofErr w:type="spellEnd"/>
      <w:r>
        <w:t xml:space="preserve"> и среди врачей- терапевтов – </w:t>
      </w:r>
      <w:proofErr w:type="spellStart"/>
      <w:r>
        <w:t>48,6%</w:t>
      </w:r>
      <w:proofErr w:type="spellEnd"/>
      <w:r>
        <w:t xml:space="preserve">.  В стране </w:t>
      </w:r>
      <w:proofErr w:type="spellStart"/>
      <w:r>
        <w:t>64,4%</w:t>
      </w:r>
      <w:proofErr w:type="spellEnd"/>
      <w:r>
        <w:t xml:space="preserve"> женщин среди хирургов-стоматологов и </w:t>
      </w:r>
      <w:proofErr w:type="spellStart"/>
      <w:r>
        <w:t>65,4%</w:t>
      </w:r>
      <w:proofErr w:type="spellEnd"/>
      <w:r>
        <w:t> - среди фармацевтов.</w:t>
      </w:r>
    </w:p>
    <w:p w:rsidR="00000000" w:rsidRDefault="00000000"/>
    <w:p w:rsidR="00000000" w:rsidRDefault="00000000">
      <w:r>
        <w:t>43.</w:t>
      </w:r>
      <w:r>
        <w:tab/>
        <w:t>Замужняя женщина-работница пользуется статусом застрахованного лица в своем качестве работника, вносящего взносы в кассу социального страхования.  Семейное положение никак не отражается на ее праве на участие в системе социального страхования.  Кстати сказать, в законе нет ни одного положения, которое препятствовало бы осуществлению права замужней женщины на труд.  На основании статьи 17 закона 90.11 от 21 февраля 1990 года, регулирующего трудовые отношения, всякая дискриминация, связанная с семейным положением женщины, запрещается.  Кроме того, женщинам предоставляется ряд льгот, таких, например, как возможность взять отпуск для воспитания ребенка в возрасте до пяти лет или по уходу за ребенком-инвалидом.</w:t>
      </w:r>
    </w:p>
    <w:p w:rsidR="00000000" w:rsidRDefault="00000000"/>
    <w:p w:rsidR="00000000" w:rsidRDefault="00000000">
      <w:r>
        <w:t>44.</w:t>
      </w:r>
      <w:r>
        <w:tab/>
        <w:t xml:space="preserve">В отношении условий найма на работу следует отметить, что в законе закреплен принцип равного доступа к трудоустройству без какой-либо дискриминации по признаку пола.  В качестве примера можно привести то обстоятельство, что среди работников, зачисленных на государственную службу в 1996 и 1997 годах, было явно больше женщин, т.е. соответственно </w:t>
      </w:r>
      <w:proofErr w:type="spellStart"/>
      <w:r>
        <w:t>65%</w:t>
      </w:r>
      <w:proofErr w:type="spellEnd"/>
      <w:r>
        <w:t xml:space="preserve"> и </w:t>
      </w:r>
      <w:proofErr w:type="spellStart"/>
      <w:r>
        <w:t>58%</w:t>
      </w:r>
      <w:proofErr w:type="spellEnd"/>
      <w:r>
        <w:t>.  Следует напомнить, что женщинам не требуется разрешения супруга для устройства на работу.  При обращении в административные органы от женщин требуются те же самые документы, что и от мужчин.</w:t>
      </w:r>
    </w:p>
    <w:p w:rsidR="00000000" w:rsidRDefault="00000000"/>
    <w:p w:rsidR="00000000" w:rsidRDefault="00000000">
      <w:r>
        <w:t>45.</w:t>
      </w:r>
      <w:r>
        <w:tab/>
        <w:t>Равенство вознаграждения за труд закреплено в законе и весьма эффективно и со всей строгостью применяется на практике как в государственном, так и в частном секторе.  Надзор за применением этого принципа возложен на трудовую инспекцию.</w:t>
      </w:r>
    </w:p>
    <w:p w:rsidR="00000000" w:rsidRDefault="00000000">
      <w:pPr>
        <w:jc w:val="center"/>
        <w:rPr>
          <w:i/>
          <w:iCs/>
        </w:rPr>
      </w:pPr>
      <w:r>
        <w:br w:type="page"/>
      </w:r>
      <w:r>
        <w:rPr>
          <w:i/>
          <w:iCs/>
        </w:rPr>
        <w:t>Статьи 4 и 5</w:t>
      </w:r>
    </w:p>
    <w:p w:rsidR="00000000" w:rsidRDefault="00000000">
      <w:pPr>
        <w:pStyle w:val="16"/>
        <w:rPr>
          <w:u w:val="single"/>
        </w:rPr>
      </w:pPr>
    </w:p>
    <w:p w:rsidR="00000000" w:rsidRDefault="00000000">
      <w:pPr>
        <w:pStyle w:val="11"/>
      </w:pPr>
      <w:r>
        <w:t>Ограничения прав, закрепленных в Пакте</w:t>
      </w:r>
    </w:p>
    <w:p w:rsidR="00000000" w:rsidRDefault="00000000">
      <w:pPr>
        <w:pStyle w:val="11"/>
      </w:pPr>
    </w:p>
    <w:p w:rsidR="00000000" w:rsidRDefault="00000000">
      <w:r>
        <w:t>46.</w:t>
      </w:r>
      <w:r>
        <w:tab/>
        <w:t>Меры, принятые в рамках чрезвычайного положения, никак не затрагивают осуществление Международного пакта об экономических, социальных и культурных правах.  Алжирские граждане продолжали в полном объеме пользоваться признанными в Пакте правами, несмотря на ущерб, причиняемый преступниками-террористами, и творимые ими злодеяния.  Одним из главных факторов, мешавших осуществлению Пакта, со всех точек зрения являлся терроризм.  Преступники-террористы, поставившие своей целью запугать население, не только совершали ужасные и отвратительные посягательства на жизнь граждан, но и прибегали к массовому уничтожению экономической, культурной, больничной и административной инфраструктуры.</w:t>
      </w:r>
    </w:p>
    <w:p w:rsidR="00000000" w:rsidRDefault="00000000"/>
    <w:p w:rsidR="00000000" w:rsidRDefault="00000000">
      <w:r>
        <w:t>47.</w:t>
      </w:r>
      <w:r>
        <w:tab/>
        <w:t>Эти неслыханные варварские акты причинили огромный ущерб, в значительной мере сказавшийся на возможностях осуществления положений Пакта.  Террористические акты были направлены против государственного достояния всех видов.  Речь фактически шла о стратегии систематических разрушений, направленной против основ алжирского государства и его инфраструктуры (производственных предприятий, школ, мэрий, медицинских центров, отделений связи).  Вынужденные принимать ответные меры, государственные власти весьма оперативно организовали конкретную работу в практическом и юридическом плане, чтобы наладить эффективную защиту материальных ценностей.</w:t>
      </w:r>
    </w:p>
    <w:p w:rsidR="00000000" w:rsidRDefault="00000000"/>
    <w:p w:rsidR="00000000" w:rsidRDefault="00000000">
      <w:r>
        <w:t>48.</w:t>
      </w:r>
      <w:r>
        <w:tab/>
        <w:t>В секторе образования и профессиональной подготовки было зарегистрировано 914 случаев нападений или диверсионных актов, направленных против школ, особенно в сельской местности, колледжей, лицеев и центров профессиональной подготовки.  Вместе с тем все эти инфраструктуры удалось достаточно быстро восстановить и предоставить их в распоряжение обучающихся, на что в общей сложности было затрачено 3 млрд. алжирских динаров.</w:t>
      </w:r>
    </w:p>
    <w:p w:rsidR="00000000" w:rsidRDefault="00000000"/>
    <w:p w:rsidR="00000000" w:rsidRDefault="00000000">
      <w:r>
        <w:t>49.</w:t>
      </w:r>
      <w:r>
        <w:tab/>
        <w:t xml:space="preserve">В секторе производства было отмечено 706 диверсий, в частности посредством преступного поджога.  Наиболее часто такие акты совершались в отношении местных государственных предприятий, понесших наиболее значительный ущерб.  В этих условиях государством были приняты меры, призванные обеспечить охрану источников электроснабжения и </w:t>
      </w:r>
      <w:proofErr w:type="spellStart"/>
      <w:r>
        <w:t>водонасосных</w:t>
      </w:r>
      <w:proofErr w:type="spellEnd"/>
      <w:r>
        <w:t xml:space="preserve"> станций, систематически заменялись опоры линий </w:t>
      </w:r>
      <w:proofErr w:type="spellStart"/>
      <w:r>
        <w:t>электропередач</w:t>
      </w:r>
      <w:proofErr w:type="spellEnd"/>
      <w:r>
        <w:t>, трансформаторы и иное уничтоженные оборудование на сумму в 2,3 млрд. динаров.</w:t>
      </w:r>
    </w:p>
    <w:p w:rsidR="00000000" w:rsidRDefault="00000000"/>
    <w:p w:rsidR="00000000" w:rsidRDefault="00000000">
      <w:r>
        <w:t>50.</w:t>
      </w:r>
      <w:r>
        <w:tab/>
        <w:t xml:space="preserve">Диверсионные акты были направлены также и против стратегического сектора базовой инфраструктуры.  Объектами диверсий стали 223 различных сооружения:  мосты, транспортные развязки и т.д.  Одним из наиболее пострадавших </w:t>
      </w:r>
      <w:proofErr w:type="spellStart"/>
      <w:r>
        <w:t>подсекторов</w:t>
      </w:r>
      <w:proofErr w:type="spellEnd"/>
      <w:r>
        <w:t xml:space="preserve"> стал железнодорожный транспорт (110 диверсионных актов).  Все это создавало трудности для пользователей, вызывало задержки со снабжением продовольствием населения, серьезные экономические потери.  Несмотря на диверсии, этот вид транспорта продолжал выполнять свои функции в любых условиях и в любое время, в связи с чем государству пришлось израсходовать 1,5 млрд. динаров.</w:t>
      </w:r>
    </w:p>
    <w:p w:rsidR="00000000" w:rsidRDefault="00000000"/>
    <w:p w:rsidR="00000000" w:rsidRDefault="00000000">
      <w:r>
        <w:t>51.</w:t>
      </w:r>
      <w:r>
        <w:tab/>
        <w:t>Серьезный ущерб был нанесен и еще одному сектору обслуживания граждан, а именно административным инфраструктурам, в частности зданиям, где размещались органы управления коммун, административные центры, налоговые организации, в отношении которых в общей сложности было совершено 690 террористических актов и на восстановление которых было затрачено 6,3 млрд. динаров.  Пострадал и сектор здравоохранения:  из бюджета пришлось выделить 500 млн. динаров на ремонт и восстановление объектов инфраструктуры (медицинских центров, поликлиник, родильных домов в сельской местности и т.д.), в отношении которых было совершено 395 диверсионных актов.</w:t>
      </w:r>
    </w:p>
    <w:p w:rsidR="00000000" w:rsidRDefault="00000000"/>
    <w:p w:rsidR="00000000" w:rsidRDefault="00000000">
      <w:r>
        <w:t>52.</w:t>
      </w:r>
      <w:r>
        <w:tab/>
        <w:t>851 террористический акт был совершен в отношении предприятий связи и телекоммуникаций, на восстановление которых потребовалось 900 млн. динаров.</w:t>
      </w:r>
    </w:p>
    <w:p w:rsidR="00000000" w:rsidRDefault="00000000"/>
    <w:p w:rsidR="00000000" w:rsidRDefault="00000000">
      <w:r>
        <w:t>53.</w:t>
      </w:r>
      <w:r>
        <w:tab/>
        <w:t>По состоянию на 30 апреля 1998 года на всей территории страны было зарегистрировано 6 032 террористических подрывных акта, направленных против объектов инфраструктуры, для восстановления которых государству пришлось израсходовать более 22 млрд. динаров.</w:t>
      </w:r>
    </w:p>
    <w:p w:rsidR="00000000" w:rsidRDefault="00000000"/>
    <w:p w:rsidR="00000000" w:rsidRDefault="00000000"/>
    <w:p w:rsidR="00000000" w:rsidRDefault="00000000">
      <w:pPr>
        <w:jc w:val="center"/>
        <w:rPr>
          <w:u w:val="single"/>
        </w:rPr>
      </w:pPr>
      <w:r>
        <w:rPr>
          <w:u w:val="single"/>
        </w:rPr>
        <w:t>Стоимость восстановления государственного имущества, разрушенного</w:t>
      </w:r>
    </w:p>
    <w:p w:rsidR="00000000" w:rsidRDefault="00000000">
      <w:pPr>
        <w:jc w:val="center"/>
        <w:rPr>
          <w:u w:val="single"/>
        </w:rPr>
      </w:pPr>
      <w:r>
        <w:rPr>
          <w:u w:val="single"/>
        </w:rPr>
        <w:t>в результате террористических актов</w:t>
      </w:r>
    </w:p>
    <w:p w:rsidR="00000000" w:rsidRDefault="00000000">
      <w:pPr>
        <w:jc w:val="center"/>
        <w:rPr>
          <w:u w:val="single"/>
        </w:rPr>
      </w:pPr>
    </w:p>
    <w:tbl>
      <w:tblPr>
        <w:tblW w:w="0" w:type="auto"/>
        <w:jc w:val="center"/>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
        <w:gridCol w:w="4490"/>
        <w:gridCol w:w="2551"/>
        <w:gridCol w:w="2328"/>
      </w:tblGrid>
      <w:tr w:rsidR="00000000">
        <w:tblPrEx>
          <w:tblCellMar>
            <w:top w:w="0" w:type="dxa"/>
            <w:bottom w:w="0" w:type="dxa"/>
          </w:tblCellMar>
        </w:tblPrEx>
        <w:trPr>
          <w:tblHeader/>
          <w:jc w:val="center"/>
        </w:trPr>
        <w:tc>
          <w:tcPr>
            <w:tcW w:w="4503" w:type="dxa"/>
            <w:gridSpan w:val="2"/>
            <w:shd w:val="clear" w:color="auto" w:fill="E6E6E6"/>
            <w:vAlign w:val="center"/>
          </w:tcPr>
          <w:p w:rsidR="00000000" w:rsidRDefault="00000000">
            <w:pPr>
              <w:spacing w:before="40" w:after="40" w:line="240" w:lineRule="auto"/>
              <w:jc w:val="center"/>
              <w:rPr>
                <w:sz w:val="20"/>
              </w:rPr>
            </w:pPr>
            <w:r>
              <w:rPr>
                <w:sz w:val="20"/>
              </w:rPr>
              <w:t>Имущество по секторам</w:t>
            </w:r>
          </w:p>
        </w:tc>
        <w:tc>
          <w:tcPr>
            <w:tcW w:w="2551" w:type="dxa"/>
            <w:shd w:val="clear" w:color="auto" w:fill="E6E6E6"/>
            <w:vAlign w:val="center"/>
          </w:tcPr>
          <w:p w:rsidR="00000000" w:rsidRDefault="00000000">
            <w:pPr>
              <w:tabs>
                <w:tab w:val="clear" w:pos="1701"/>
                <w:tab w:val="clear" w:pos="2268"/>
                <w:tab w:val="left" w:pos="1877"/>
                <w:tab w:val="left" w:pos="2903"/>
              </w:tabs>
              <w:spacing w:before="40" w:after="40" w:line="240" w:lineRule="auto"/>
              <w:ind w:right="-108"/>
              <w:jc w:val="center"/>
              <w:rPr>
                <w:sz w:val="20"/>
              </w:rPr>
            </w:pPr>
            <w:r>
              <w:rPr>
                <w:sz w:val="20"/>
              </w:rPr>
              <w:t>Количество восстановленных объектов</w:t>
            </w:r>
          </w:p>
        </w:tc>
        <w:tc>
          <w:tcPr>
            <w:tcW w:w="2328" w:type="dxa"/>
            <w:shd w:val="clear" w:color="auto" w:fill="E6E6E6"/>
            <w:vAlign w:val="center"/>
          </w:tcPr>
          <w:p w:rsidR="00000000" w:rsidRDefault="00000000">
            <w:pPr>
              <w:spacing w:before="40" w:after="40" w:line="240" w:lineRule="auto"/>
              <w:ind w:right="-144"/>
              <w:jc w:val="center"/>
              <w:rPr>
                <w:sz w:val="20"/>
              </w:rPr>
            </w:pPr>
            <w:r>
              <w:rPr>
                <w:sz w:val="20"/>
              </w:rPr>
              <w:t>Стоимость восстановительных работ</w:t>
            </w:r>
          </w:p>
        </w:tc>
      </w:tr>
      <w:tr w:rsidR="00000000">
        <w:tblPrEx>
          <w:tblCellMar>
            <w:top w:w="0" w:type="dxa"/>
            <w:bottom w:w="0" w:type="dxa"/>
          </w:tblCellMar>
        </w:tblPrEx>
        <w:trPr>
          <w:jc w:val="center"/>
        </w:trPr>
        <w:tc>
          <w:tcPr>
            <w:tcW w:w="4503" w:type="dxa"/>
            <w:gridSpan w:val="2"/>
            <w:vAlign w:val="center"/>
          </w:tcPr>
          <w:p w:rsidR="00000000" w:rsidRDefault="00000000">
            <w:pPr>
              <w:pStyle w:val="a0"/>
              <w:widowControl/>
              <w:tabs>
                <w:tab w:val="left" w:pos="567"/>
                <w:tab w:val="left" w:pos="1134"/>
                <w:tab w:val="left" w:pos="1701"/>
                <w:tab w:val="left" w:pos="2268"/>
                <w:tab w:val="left" w:pos="6237"/>
              </w:tabs>
              <w:spacing w:before="40" w:after="40" w:line="216" w:lineRule="auto"/>
              <w:rPr>
                <w:rFonts w:ascii="Times New Roman" w:hAnsi="Times New Roman"/>
                <w:snapToGrid/>
                <w:sz w:val="20"/>
                <w:lang w:eastAsia="en-US"/>
              </w:rPr>
            </w:pPr>
            <w:r>
              <w:rPr>
                <w:rFonts w:ascii="Times New Roman" w:hAnsi="Times New Roman"/>
                <w:snapToGrid/>
                <w:sz w:val="20"/>
                <w:lang w:eastAsia="en-US"/>
              </w:rPr>
              <w:t>Административный сектор</w:t>
            </w:r>
          </w:p>
        </w:tc>
        <w:tc>
          <w:tcPr>
            <w:tcW w:w="2551" w:type="dxa"/>
            <w:vAlign w:val="center"/>
          </w:tcPr>
          <w:p w:rsidR="00000000" w:rsidRDefault="00000000">
            <w:pPr>
              <w:tabs>
                <w:tab w:val="clear" w:pos="567"/>
                <w:tab w:val="clear" w:pos="1134"/>
                <w:tab w:val="clear" w:pos="1701"/>
                <w:tab w:val="clear" w:pos="2268"/>
              </w:tabs>
              <w:spacing w:before="40" w:after="40" w:line="216" w:lineRule="auto"/>
              <w:ind w:left="1005" w:right="680" w:hanging="1005"/>
              <w:jc w:val="right"/>
              <w:rPr>
                <w:sz w:val="20"/>
                <w:lang w:val="en-US"/>
              </w:rPr>
            </w:pPr>
            <w:r>
              <w:rPr>
                <w:sz w:val="20"/>
                <w:lang w:val="en-US"/>
              </w:rPr>
              <w:t>690</w:t>
            </w:r>
          </w:p>
        </w:tc>
        <w:tc>
          <w:tcPr>
            <w:tcW w:w="2328" w:type="dxa"/>
            <w:vAlign w:val="center"/>
          </w:tcPr>
          <w:p w:rsidR="00000000" w:rsidRDefault="00000000">
            <w:pPr>
              <w:tabs>
                <w:tab w:val="clear" w:pos="567"/>
                <w:tab w:val="clear" w:pos="1134"/>
                <w:tab w:val="clear" w:pos="1701"/>
                <w:tab w:val="clear" w:pos="2268"/>
              </w:tabs>
              <w:spacing w:before="40" w:after="40" w:line="216" w:lineRule="auto"/>
              <w:ind w:left="1101" w:right="680" w:hanging="1101"/>
              <w:jc w:val="right"/>
              <w:rPr>
                <w:sz w:val="20"/>
                <w:lang w:val="en-US"/>
              </w:rPr>
            </w:pPr>
            <w:r>
              <w:rPr>
                <w:sz w:val="20"/>
                <w:lang w:val="en-US"/>
              </w:rPr>
              <w:t>6 317 236</w:t>
            </w:r>
          </w:p>
        </w:tc>
      </w:tr>
      <w:tr w:rsidR="00000000">
        <w:tblPrEx>
          <w:tblCellMar>
            <w:top w:w="0" w:type="dxa"/>
            <w:bottom w:w="0" w:type="dxa"/>
          </w:tblCellMar>
        </w:tblPrEx>
        <w:trPr>
          <w:jc w:val="center"/>
        </w:trPr>
        <w:tc>
          <w:tcPr>
            <w:tcW w:w="4503" w:type="dxa"/>
            <w:gridSpan w:val="2"/>
            <w:vAlign w:val="center"/>
          </w:tcPr>
          <w:p w:rsidR="00000000" w:rsidRDefault="00000000">
            <w:pPr>
              <w:spacing w:before="40" w:after="40" w:line="216" w:lineRule="auto"/>
              <w:rPr>
                <w:sz w:val="20"/>
              </w:rPr>
            </w:pPr>
            <w:r>
              <w:rPr>
                <w:sz w:val="20"/>
              </w:rPr>
              <w:t>Сектор культуры</w:t>
            </w:r>
          </w:p>
        </w:tc>
        <w:tc>
          <w:tcPr>
            <w:tcW w:w="2551" w:type="dxa"/>
            <w:vAlign w:val="center"/>
          </w:tcPr>
          <w:p w:rsidR="00000000" w:rsidRDefault="00000000">
            <w:pPr>
              <w:tabs>
                <w:tab w:val="clear" w:pos="567"/>
                <w:tab w:val="clear" w:pos="1134"/>
                <w:tab w:val="clear" w:pos="1701"/>
                <w:tab w:val="clear" w:pos="2268"/>
              </w:tabs>
              <w:spacing w:before="40" w:after="40" w:line="216" w:lineRule="auto"/>
              <w:ind w:left="1005" w:right="680" w:hanging="1005"/>
              <w:jc w:val="right"/>
              <w:rPr>
                <w:sz w:val="20"/>
                <w:lang w:val="en-US"/>
              </w:rPr>
            </w:pPr>
            <w:r>
              <w:rPr>
                <w:sz w:val="20"/>
                <w:lang w:val="en-US"/>
              </w:rPr>
              <w:t>126</w:t>
            </w:r>
          </w:p>
        </w:tc>
        <w:tc>
          <w:tcPr>
            <w:tcW w:w="2328" w:type="dxa"/>
            <w:vAlign w:val="center"/>
          </w:tcPr>
          <w:p w:rsidR="00000000" w:rsidRDefault="00000000">
            <w:pPr>
              <w:tabs>
                <w:tab w:val="clear" w:pos="567"/>
                <w:tab w:val="clear" w:pos="1134"/>
                <w:tab w:val="clear" w:pos="1701"/>
                <w:tab w:val="clear" w:pos="2268"/>
              </w:tabs>
              <w:spacing w:before="40" w:after="40" w:line="216" w:lineRule="auto"/>
              <w:ind w:left="1101" w:right="680" w:hanging="1101"/>
              <w:jc w:val="right"/>
              <w:rPr>
                <w:sz w:val="20"/>
                <w:lang w:val="en-US"/>
              </w:rPr>
            </w:pPr>
            <w:r>
              <w:rPr>
                <w:sz w:val="20"/>
                <w:lang w:val="en-US"/>
              </w:rPr>
              <w:t>224 570</w:t>
            </w:r>
          </w:p>
        </w:tc>
      </w:tr>
      <w:tr w:rsidR="00000000">
        <w:tblPrEx>
          <w:tblCellMar>
            <w:top w:w="0" w:type="dxa"/>
            <w:bottom w:w="0" w:type="dxa"/>
          </w:tblCellMar>
        </w:tblPrEx>
        <w:trPr>
          <w:jc w:val="center"/>
        </w:trPr>
        <w:tc>
          <w:tcPr>
            <w:tcW w:w="4503" w:type="dxa"/>
            <w:gridSpan w:val="2"/>
            <w:vAlign w:val="center"/>
          </w:tcPr>
          <w:p w:rsidR="00000000" w:rsidRDefault="00000000">
            <w:pPr>
              <w:pStyle w:val="a0"/>
              <w:widowControl/>
              <w:tabs>
                <w:tab w:val="left" w:pos="567"/>
                <w:tab w:val="left" w:pos="1134"/>
                <w:tab w:val="left" w:pos="1701"/>
                <w:tab w:val="left" w:pos="2268"/>
                <w:tab w:val="left" w:pos="6237"/>
              </w:tabs>
              <w:spacing w:before="40" w:after="40" w:line="216" w:lineRule="auto"/>
              <w:rPr>
                <w:rFonts w:ascii="Times New Roman" w:hAnsi="Times New Roman"/>
                <w:snapToGrid/>
                <w:sz w:val="20"/>
                <w:lang w:eastAsia="en-US"/>
              </w:rPr>
            </w:pPr>
            <w:r>
              <w:rPr>
                <w:rFonts w:ascii="Times New Roman" w:hAnsi="Times New Roman"/>
                <w:snapToGrid/>
                <w:sz w:val="20"/>
                <w:lang w:eastAsia="en-US"/>
              </w:rPr>
              <w:t>Сектор религии</w:t>
            </w:r>
          </w:p>
        </w:tc>
        <w:tc>
          <w:tcPr>
            <w:tcW w:w="2551" w:type="dxa"/>
            <w:vAlign w:val="center"/>
          </w:tcPr>
          <w:p w:rsidR="00000000" w:rsidRDefault="00000000">
            <w:pPr>
              <w:tabs>
                <w:tab w:val="clear" w:pos="567"/>
                <w:tab w:val="clear" w:pos="1134"/>
                <w:tab w:val="clear" w:pos="1701"/>
                <w:tab w:val="clear" w:pos="2268"/>
              </w:tabs>
              <w:spacing w:before="40" w:after="40" w:line="216" w:lineRule="auto"/>
              <w:ind w:left="1005" w:right="680" w:hanging="1005"/>
              <w:jc w:val="right"/>
              <w:rPr>
                <w:sz w:val="20"/>
                <w:lang w:val="en-US"/>
              </w:rPr>
            </w:pPr>
            <w:r>
              <w:rPr>
                <w:sz w:val="20"/>
                <w:lang w:val="en-US"/>
              </w:rPr>
              <w:t>139</w:t>
            </w:r>
          </w:p>
        </w:tc>
        <w:tc>
          <w:tcPr>
            <w:tcW w:w="2328" w:type="dxa"/>
            <w:vAlign w:val="center"/>
          </w:tcPr>
          <w:p w:rsidR="00000000" w:rsidRDefault="00000000">
            <w:pPr>
              <w:tabs>
                <w:tab w:val="clear" w:pos="567"/>
                <w:tab w:val="clear" w:pos="1134"/>
                <w:tab w:val="clear" w:pos="1701"/>
                <w:tab w:val="clear" w:pos="2268"/>
              </w:tabs>
              <w:spacing w:before="40" w:after="40" w:line="216" w:lineRule="auto"/>
              <w:ind w:left="1101" w:right="680" w:hanging="1101"/>
              <w:jc w:val="right"/>
              <w:rPr>
                <w:sz w:val="20"/>
                <w:lang w:val="en-US"/>
              </w:rPr>
            </w:pPr>
            <w:r>
              <w:rPr>
                <w:sz w:val="20"/>
                <w:lang w:val="en-US"/>
              </w:rPr>
              <w:t>11 221</w:t>
            </w:r>
          </w:p>
        </w:tc>
      </w:tr>
      <w:tr w:rsidR="00000000">
        <w:tblPrEx>
          <w:tblCellMar>
            <w:top w:w="0" w:type="dxa"/>
            <w:bottom w:w="0" w:type="dxa"/>
          </w:tblCellMar>
        </w:tblPrEx>
        <w:trPr>
          <w:jc w:val="center"/>
        </w:trPr>
        <w:tc>
          <w:tcPr>
            <w:tcW w:w="4503" w:type="dxa"/>
            <w:gridSpan w:val="2"/>
            <w:vAlign w:val="center"/>
          </w:tcPr>
          <w:p w:rsidR="00000000" w:rsidRDefault="00000000">
            <w:pPr>
              <w:spacing w:before="40" w:after="40" w:line="216" w:lineRule="auto"/>
              <w:rPr>
                <w:sz w:val="20"/>
              </w:rPr>
            </w:pPr>
            <w:r>
              <w:rPr>
                <w:sz w:val="20"/>
              </w:rPr>
              <w:t>Сектор образования</w:t>
            </w:r>
          </w:p>
        </w:tc>
        <w:tc>
          <w:tcPr>
            <w:tcW w:w="2551" w:type="dxa"/>
            <w:vAlign w:val="center"/>
          </w:tcPr>
          <w:p w:rsidR="00000000" w:rsidRDefault="00000000">
            <w:pPr>
              <w:tabs>
                <w:tab w:val="clear" w:pos="567"/>
                <w:tab w:val="clear" w:pos="1134"/>
                <w:tab w:val="clear" w:pos="1701"/>
                <w:tab w:val="clear" w:pos="2268"/>
              </w:tabs>
              <w:spacing w:before="40" w:after="40" w:line="216" w:lineRule="auto"/>
              <w:ind w:left="1005" w:right="680" w:hanging="1005"/>
              <w:jc w:val="right"/>
              <w:rPr>
                <w:sz w:val="20"/>
                <w:lang w:val="en-US"/>
              </w:rPr>
            </w:pPr>
            <w:r>
              <w:rPr>
                <w:sz w:val="20"/>
                <w:lang w:val="en-US"/>
              </w:rPr>
              <w:t>914</w:t>
            </w:r>
          </w:p>
        </w:tc>
        <w:tc>
          <w:tcPr>
            <w:tcW w:w="2328" w:type="dxa"/>
            <w:vAlign w:val="center"/>
          </w:tcPr>
          <w:p w:rsidR="00000000" w:rsidRDefault="00000000">
            <w:pPr>
              <w:tabs>
                <w:tab w:val="clear" w:pos="567"/>
                <w:tab w:val="clear" w:pos="1134"/>
                <w:tab w:val="clear" w:pos="1701"/>
                <w:tab w:val="clear" w:pos="2268"/>
              </w:tabs>
              <w:spacing w:before="40" w:after="40" w:line="216" w:lineRule="auto"/>
              <w:ind w:left="1101" w:right="680" w:hanging="1101"/>
              <w:jc w:val="right"/>
              <w:rPr>
                <w:sz w:val="20"/>
                <w:lang w:val="en-US"/>
              </w:rPr>
            </w:pPr>
            <w:r>
              <w:rPr>
                <w:sz w:val="20"/>
                <w:lang w:val="en-US"/>
              </w:rPr>
              <w:t>3 192 573</w:t>
            </w:r>
          </w:p>
        </w:tc>
      </w:tr>
      <w:tr w:rsidR="00000000">
        <w:tblPrEx>
          <w:tblCellMar>
            <w:top w:w="0" w:type="dxa"/>
            <w:bottom w:w="0" w:type="dxa"/>
          </w:tblCellMar>
        </w:tblPrEx>
        <w:trPr>
          <w:jc w:val="center"/>
        </w:trPr>
        <w:tc>
          <w:tcPr>
            <w:tcW w:w="4503" w:type="dxa"/>
            <w:gridSpan w:val="2"/>
            <w:vAlign w:val="center"/>
          </w:tcPr>
          <w:p w:rsidR="00000000" w:rsidRDefault="00000000">
            <w:pPr>
              <w:spacing w:before="40" w:after="40" w:line="216" w:lineRule="auto"/>
              <w:rPr>
                <w:sz w:val="20"/>
              </w:rPr>
            </w:pPr>
            <w:r>
              <w:rPr>
                <w:sz w:val="20"/>
              </w:rPr>
              <w:t>Сектор здравоохранения</w:t>
            </w:r>
          </w:p>
        </w:tc>
        <w:tc>
          <w:tcPr>
            <w:tcW w:w="2551" w:type="dxa"/>
            <w:vAlign w:val="center"/>
          </w:tcPr>
          <w:p w:rsidR="00000000" w:rsidRDefault="00000000">
            <w:pPr>
              <w:tabs>
                <w:tab w:val="clear" w:pos="567"/>
                <w:tab w:val="clear" w:pos="1134"/>
                <w:tab w:val="clear" w:pos="1701"/>
                <w:tab w:val="clear" w:pos="2268"/>
              </w:tabs>
              <w:spacing w:before="40" w:after="40" w:line="216" w:lineRule="auto"/>
              <w:ind w:left="1005" w:right="680" w:hanging="1005"/>
              <w:jc w:val="right"/>
              <w:rPr>
                <w:sz w:val="20"/>
                <w:lang w:val="en-US"/>
              </w:rPr>
            </w:pPr>
            <w:r>
              <w:rPr>
                <w:sz w:val="20"/>
                <w:lang w:val="en-US"/>
              </w:rPr>
              <w:t>395</w:t>
            </w:r>
          </w:p>
        </w:tc>
        <w:tc>
          <w:tcPr>
            <w:tcW w:w="2328" w:type="dxa"/>
            <w:vAlign w:val="center"/>
          </w:tcPr>
          <w:p w:rsidR="00000000" w:rsidRDefault="00000000">
            <w:pPr>
              <w:tabs>
                <w:tab w:val="clear" w:pos="567"/>
                <w:tab w:val="clear" w:pos="1134"/>
                <w:tab w:val="clear" w:pos="1701"/>
                <w:tab w:val="clear" w:pos="2268"/>
              </w:tabs>
              <w:spacing w:before="40" w:after="40" w:line="216" w:lineRule="auto"/>
              <w:ind w:left="1101" w:right="680" w:hanging="1101"/>
              <w:jc w:val="right"/>
              <w:rPr>
                <w:sz w:val="20"/>
                <w:lang w:val="en-US"/>
              </w:rPr>
            </w:pPr>
            <w:r>
              <w:rPr>
                <w:sz w:val="20"/>
                <w:lang w:val="en-US"/>
              </w:rPr>
              <w:t>435 434</w:t>
            </w:r>
          </w:p>
        </w:tc>
      </w:tr>
      <w:tr w:rsidR="00000000">
        <w:tblPrEx>
          <w:tblCellMar>
            <w:top w:w="0" w:type="dxa"/>
            <w:bottom w:w="0" w:type="dxa"/>
          </w:tblCellMar>
        </w:tblPrEx>
        <w:trPr>
          <w:jc w:val="center"/>
        </w:trPr>
        <w:tc>
          <w:tcPr>
            <w:tcW w:w="4503" w:type="dxa"/>
            <w:gridSpan w:val="2"/>
            <w:vAlign w:val="center"/>
          </w:tcPr>
          <w:p w:rsidR="00000000" w:rsidRDefault="00000000">
            <w:pPr>
              <w:spacing w:before="40" w:after="40" w:line="216" w:lineRule="auto"/>
              <w:rPr>
                <w:sz w:val="20"/>
              </w:rPr>
            </w:pPr>
            <w:r>
              <w:rPr>
                <w:sz w:val="20"/>
              </w:rPr>
              <w:t>Сектор связи</w:t>
            </w:r>
          </w:p>
        </w:tc>
        <w:tc>
          <w:tcPr>
            <w:tcW w:w="2551" w:type="dxa"/>
            <w:vAlign w:val="center"/>
          </w:tcPr>
          <w:p w:rsidR="00000000" w:rsidRDefault="00000000">
            <w:pPr>
              <w:tabs>
                <w:tab w:val="clear" w:pos="567"/>
                <w:tab w:val="clear" w:pos="1134"/>
                <w:tab w:val="clear" w:pos="1701"/>
                <w:tab w:val="clear" w:pos="2268"/>
              </w:tabs>
              <w:spacing w:before="40" w:after="40" w:line="216" w:lineRule="auto"/>
              <w:ind w:left="1005" w:right="680" w:hanging="1005"/>
              <w:jc w:val="right"/>
              <w:rPr>
                <w:sz w:val="20"/>
                <w:lang w:val="en-US"/>
              </w:rPr>
            </w:pPr>
            <w:r>
              <w:rPr>
                <w:sz w:val="20"/>
                <w:lang w:val="en-US"/>
              </w:rPr>
              <w:t>1 563</w:t>
            </w:r>
          </w:p>
        </w:tc>
        <w:tc>
          <w:tcPr>
            <w:tcW w:w="2328" w:type="dxa"/>
            <w:vAlign w:val="center"/>
          </w:tcPr>
          <w:p w:rsidR="00000000" w:rsidRDefault="00000000">
            <w:pPr>
              <w:tabs>
                <w:tab w:val="clear" w:pos="567"/>
                <w:tab w:val="clear" w:pos="1134"/>
                <w:tab w:val="clear" w:pos="1701"/>
                <w:tab w:val="clear" w:pos="2268"/>
              </w:tabs>
              <w:spacing w:before="40" w:after="40" w:line="216" w:lineRule="auto"/>
              <w:ind w:left="1101" w:right="680" w:hanging="1101"/>
              <w:jc w:val="right"/>
              <w:rPr>
                <w:sz w:val="20"/>
                <w:lang w:val="en-US"/>
              </w:rPr>
            </w:pPr>
            <w:r>
              <w:rPr>
                <w:sz w:val="20"/>
                <w:lang w:val="en-US"/>
              </w:rPr>
              <w:t>880 210</w:t>
            </w:r>
          </w:p>
        </w:tc>
      </w:tr>
      <w:tr w:rsidR="00000000">
        <w:tblPrEx>
          <w:tblCellMar>
            <w:top w:w="0" w:type="dxa"/>
            <w:bottom w:w="0" w:type="dxa"/>
          </w:tblCellMar>
        </w:tblPrEx>
        <w:trPr>
          <w:jc w:val="center"/>
        </w:trPr>
        <w:tc>
          <w:tcPr>
            <w:tcW w:w="4503" w:type="dxa"/>
            <w:gridSpan w:val="2"/>
            <w:vAlign w:val="center"/>
          </w:tcPr>
          <w:p w:rsidR="00000000" w:rsidRDefault="00000000">
            <w:pPr>
              <w:spacing w:before="40" w:after="40" w:line="216" w:lineRule="auto"/>
              <w:rPr>
                <w:sz w:val="20"/>
              </w:rPr>
            </w:pPr>
            <w:r>
              <w:rPr>
                <w:sz w:val="20"/>
              </w:rPr>
              <w:t>Сектор энергетики (электроснабжение)</w:t>
            </w:r>
          </w:p>
        </w:tc>
        <w:tc>
          <w:tcPr>
            <w:tcW w:w="2551" w:type="dxa"/>
            <w:vAlign w:val="center"/>
          </w:tcPr>
          <w:p w:rsidR="00000000" w:rsidRDefault="00000000">
            <w:pPr>
              <w:tabs>
                <w:tab w:val="clear" w:pos="567"/>
                <w:tab w:val="clear" w:pos="1134"/>
                <w:tab w:val="clear" w:pos="1701"/>
                <w:tab w:val="clear" w:pos="2268"/>
              </w:tabs>
              <w:spacing w:before="40" w:after="40" w:line="216" w:lineRule="auto"/>
              <w:ind w:left="1005" w:right="680" w:hanging="1005"/>
              <w:jc w:val="right"/>
              <w:rPr>
                <w:sz w:val="20"/>
                <w:lang w:val="en-US"/>
              </w:rPr>
            </w:pPr>
            <w:r>
              <w:rPr>
                <w:sz w:val="20"/>
                <w:lang w:val="en-US"/>
              </w:rPr>
              <w:t>1 563</w:t>
            </w:r>
          </w:p>
        </w:tc>
        <w:tc>
          <w:tcPr>
            <w:tcW w:w="2328" w:type="dxa"/>
            <w:vAlign w:val="center"/>
          </w:tcPr>
          <w:p w:rsidR="00000000" w:rsidRDefault="00000000">
            <w:pPr>
              <w:tabs>
                <w:tab w:val="clear" w:pos="567"/>
                <w:tab w:val="clear" w:pos="1134"/>
                <w:tab w:val="clear" w:pos="1701"/>
                <w:tab w:val="clear" w:pos="2268"/>
              </w:tabs>
              <w:spacing w:before="40" w:after="40" w:line="216" w:lineRule="auto"/>
              <w:ind w:left="1101" w:right="680" w:hanging="1101"/>
              <w:jc w:val="right"/>
              <w:rPr>
                <w:sz w:val="20"/>
                <w:lang w:val="en-US"/>
              </w:rPr>
            </w:pPr>
            <w:r>
              <w:rPr>
                <w:sz w:val="20"/>
                <w:lang w:val="en-US"/>
              </w:rPr>
              <w:t>2 292 331</w:t>
            </w:r>
          </w:p>
        </w:tc>
      </w:tr>
      <w:tr w:rsidR="00000000">
        <w:tblPrEx>
          <w:tblCellMar>
            <w:top w:w="0" w:type="dxa"/>
            <w:bottom w:w="0" w:type="dxa"/>
          </w:tblCellMar>
        </w:tblPrEx>
        <w:trPr>
          <w:jc w:val="center"/>
        </w:trPr>
        <w:tc>
          <w:tcPr>
            <w:tcW w:w="4503" w:type="dxa"/>
            <w:gridSpan w:val="2"/>
            <w:vAlign w:val="center"/>
          </w:tcPr>
          <w:p w:rsidR="00000000" w:rsidRDefault="00000000">
            <w:pPr>
              <w:spacing w:before="40" w:after="40" w:line="216" w:lineRule="auto"/>
              <w:rPr>
                <w:sz w:val="20"/>
              </w:rPr>
            </w:pPr>
            <w:r>
              <w:br w:type="page"/>
            </w:r>
            <w:r>
              <w:rPr>
                <w:sz w:val="20"/>
              </w:rPr>
              <w:t>Гидротехнический сектор</w:t>
            </w:r>
          </w:p>
        </w:tc>
        <w:tc>
          <w:tcPr>
            <w:tcW w:w="2551" w:type="dxa"/>
            <w:vAlign w:val="center"/>
          </w:tcPr>
          <w:p w:rsidR="00000000" w:rsidRDefault="00000000">
            <w:pPr>
              <w:tabs>
                <w:tab w:val="clear" w:pos="567"/>
                <w:tab w:val="clear" w:pos="1134"/>
                <w:tab w:val="clear" w:pos="1701"/>
                <w:tab w:val="clear" w:pos="2268"/>
              </w:tabs>
              <w:spacing w:before="40" w:after="40" w:line="216" w:lineRule="auto"/>
              <w:ind w:left="1005" w:right="680" w:hanging="1005"/>
              <w:jc w:val="right"/>
              <w:rPr>
                <w:sz w:val="20"/>
                <w:lang w:val="en-US"/>
              </w:rPr>
            </w:pPr>
            <w:r>
              <w:rPr>
                <w:sz w:val="20"/>
                <w:lang w:val="en-US"/>
              </w:rPr>
              <w:t>273</w:t>
            </w:r>
          </w:p>
        </w:tc>
        <w:tc>
          <w:tcPr>
            <w:tcW w:w="2328" w:type="dxa"/>
            <w:vAlign w:val="center"/>
          </w:tcPr>
          <w:p w:rsidR="00000000" w:rsidRDefault="00000000">
            <w:pPr>
              <w:tabs>
                <w:tab w:val="clear" w:pos="567"/>
                <w:tab w:val="clear" w:pos="1134"/>
                <w:tab w:val="clear" w:pos="1701"/>
                <w:tab w:val="clear" w:pos="2268"/>
              </w:tabs>
              <w:spacing w:before="40" w:after="40" w:line="216" w:lineRule="auto"/>
              <w:ind w:left="1101" w:right="680" w:hanging="1101"/>
              <w:jc w:val="right"/>
              <w:rPr>
                <w:sz w:val="20"/>
                <w:lang w:val="en-US"/>
              </w:rPr>
            </w:pPr>
            <w:r>
              <w:rPr>
                <w:sz w:val="20"/>
                <w:lang w:val="en-US"/>
              </w:rPr>
              <w:t>382 010</w:t>
            </w:r>
          </w:p>
        </w:tc>
      </w:tr>
      <w:tr w:rsidR="00000000">
        <w:tblPrEx>
          <w:tblCellMar>
            <w:top w:w="0" w:type="dxa"/>
            <w:bottom w:w="0" w:type="dxa"/>
          </w:tblCellMar>
        </w:tblPrEx>
        <w:trPr>
          <w:gridBefore w:val="1"/>
          <w:wBefore w:w="13" w:type="dxa"/>
          <w:jc w:val="center"/>
        </w:trPr>
        <w:tc>
          <w:tcPr>
            <w:tcW w:w="4490" w:type="dxa"/>
            <w:vAlign w:val="center"/>
          </w:tcPr>
          <w:p w:rsidR="00000000" w:rsidRDefault="00000000">
            <w:pPr>
              <w:pStyle w:val="a0"/>
              <w:widowControl/>
              <w:tabs>
                <w:tab w:val="left" w:pos="567"/>
                <w:tab w:val="left" w:pos="1134"/>
                <w:tab w:val="left" w:pos="1701"/>
                <w:tab w:val="left" w:pos="2268"/>
                <w:tab w:val="left" w:pos="6237"/>
              </w:tabs>
              <w:spacing w:before="40" w:after="40" w:line="216" w:lineRule="auto"/>
              <w:rPr>
                <w:rFonts w:ascii="Times New Roman" w:hAnsi="Times New Roman"/>
                <w:snapToGrid/>
                <w:sz w:val="20"/>
                <w:lang w:eastAsia="en-US"/>
              </w:rPr>
            </w:pPr>
            <w:r>
              <w:rPr>
                <w:rFonts w:ascii="Times New Roman" w:hAnsi="Times New Roman"/>
                <w:snapToGrid/>
                <w:lang w:eastAsia="en-US"/>
              </w:rPr>
              <w:br w:type="page"/>
            </w:r>
            <w:r>
              <w:rPr>
                <w:rFonts w:ascii="Times New Roman" w:hAnsi="Times New Roman"/>
                <w:snapToGrid/>
                <w:sz w:val="20"/>
                <w:lang w:eastAsia="en-US"/>
              </w:rPr>
              <w:t>Финансовый сектор (банки и страховые агентства)</w:t>
            </w:r>
          </w:p>
        </w:tc>
        <w:tc>
          <w:tcPr>
            <w:tcW w:w="2551" w:type="dxa"/>
            <w:vAlign w:val="center"/>
          </w:tcPr>
          <w:p w:rsidR="00000000" w:rsidRDefault="00000000">
            <w:pPr>
              <w:tabs>
                <w:tab w:val="clear" w:pos="567"/>
                <w:tab w:val="clear" w:pos="1134"/>
                <w:tab w:val="clear" w:pos="1701"/>
                <w:tab w:val="clear" w:pos="2268"/>
              </w:tabs>
              <w:spacing w:before="40" w:after="40" w:line="216" w:lineRule="auto"/>
              <w:ind w:left="1004" w:right="680" w:hanging="1004"/>
              <w:jc w:val="right"/>
              <w:rPr>
                <w:sz w:val="20"/>
                <w:lang w:val="en-US"/>
              </w:rPr>
            </w:pPr>
            <w:r>
              <w:rPr>
                <w:sz w:val="20"/>
                <w:lang w:val="en-US"/>
              </w:rPr>
              <w:t>42</w:t>
            </w:r>
          </w:p>
        </w:tc>
        <w:tc>
          <w:tcPr>
            <w:tcW w:w="2328" w:type="dxa"/>
            <w:vAlign w:val="center"/>
          </w:tcPr>
          <w:p w:rsidR="00000000" w:rsidRDefault="00000000">
            <w:pPr>
              <w:tabs>
                <w:tab w:val="clear" w:pos="567"/>
                <w:tab w:val="clear" w:pos="1134"/>
                <w:tab w:val="clear" w:pos="1701"/>
                <w:tab w:val="clear" w:pos="2268"/>
              </w:tabs>
              <w:spacing w:before="40" w:after="40" w:line="216" w:lineRule="auto"/>
              <w:ind w:left="1101" w:right="680" w:hanging="1101"/>
              <w:jc w:val="right"/>
              <w:rPr>
                <w:sz w:val="20"/>
                <w:lang w:val="en-US"/>
              </w:rPr>
            </w:pPr>
            <w:r>
              <w:rPr>
                <w:sz w:val="20"/>
                <w:lang w:val="en-US"/>
              </w:rPr>
              <w:t>147 228</w:t>
            </w:r>
          </w:p>
        </w:tc>
      </w:tr>
      <w:tr w:rsidR="00000000">
        <w:tblPrEx>
          <w:tblCellMar>
            <w:top w:w="0" w:type="dxa"/>
            <w:bottom w:w="0" w:type="dxa"/>
          </w:tblCellMar>
        </w:tblPrEx>
        <w:trPr>
          <w:gridBefore w:val="1"/>
          <w:wBefore w:w="13" w:type="dxa"/>
          <w:jc w:val="center"/>
        </w:trPr>
        <w:tc>
          <w:tcPr>
            <w:tcW w:w="4490" w:type="dxa"/>
            <w:vAlign w:val="center"/>
          </w:tcPr>
          <w:p w:rsidR="00000000" w:rsidRDefault="00000000">
            <w:pPr>
              <w:spacing w:before="40" w:after="40" w:line="216" w:lineRule="auto"/>
              <w:rPr>
                <w:sz w:val="20"/>
              </w:rPr>
            </w:pPr>
            <w:r>
              <w:rPr>
                <w:sz w:val="20"/>
              </w:rPr>
              <w:t>Сектор транспорта (железнодорожный транспорт)</w:t>
            </w:r>
          </w:p>
        </w:tc>
        <w:tc>
          <w:tcPr>
            <w:tcW w:w="2551" w:type="dxa"/>
            <w:vAlign w:val="center"/>
          </w:tcPr>
          <w:p w:rsidR="00000000" w:rsidRDefault="00000000">
            <w:pPr>
              <w:tabs>
                <w:tab w:val="clear" w:pos="567"/>
                <w:tab w:val="clear" w:pos="1134"/>
                <w:tab w:val="clear" w:pos="1701"/>
                <w:tab w:val="clear" w:pos="2268"/>
              </w:tabs>
              <w:spacing w:before="40" w:after="40" w:line="216" w:lineRule="auto"/>
              <w:ind w:left="1004" w:right="680" w:hanging="1004"/>
              <w:jc w:val="right"/>
              <w:rPr>
                <w:sz w:val="20"/>
                <w:lang w:val="en-US"/>
              </w:rPr>
            </w:pPr>
            <w:r>
              <w:rPr>
                <w:sz w:val="20"/>
                <w:lang w:val="en-US"/>
              </w:rPr>
              <w:t>110</w:t>
            </w:r>
          </w:p>
        </w:tc>
        <w:tc>
          <w:tcPr>
            <w:tcW w:w="2328" w:type="dxa"/>
            <w:vAlign w:val="center"/>
          </w:tcPr>
          <w:p w:rsidR="00000000" w:rsidRDefault="00000000">
            <w:pPr>
              <w:tabs>
                <w:tab w:val="clear" w:pos="567"/>
                <w:tab w:val="clear" w:pos="1134"/>
                <w:tab w:val="clear" w:pos="1701"/>
                <w:tab w:val="clear" w:pos="2268"/>
              </w:tabs>
              <w:spacing w:before="40" w:after="40" w:line="216" w:lineRule="auto"/>
              <w:ind w:left="1101" w:right="680" w:hanging="1101"/>
              <w:jc w:val="right"/>
              <w:rPr>
                <w:sz w:val="20"/>
                <w:lang w:val="en-US"/>
              </w:rPr>
            </w:pPr>
            <w:r>
              <w:rPr>
                <w:sz w:val="20"/>
                <w:lang w:val="en-US"/>
              </w:rPr>
              <w:t>1 591 777</w:t>
            </w:r>
          </w:p>
        </w:tc>
      </w:tr>
      <w:tr w:rsidR="00000000">
        <w:tblPrEx>
          <w:tblCellMar>
            <w:top w:w="0" w:type="dxa"/>
            <w:bottom w:w="0" w:type="dxa"/>
          </w:tblCellMar>
        </w:tblPrEx>
        <w:trPr>
          <w:gridBefore w:val="1"/>
          <w:wBefore w:w="13" w:type="dxa"/>
          <w:jc w:val="center"/>
        </w:trPr>
        <w:tc>
          <w:tcPr>
            <w:tcW w:w="4490" w:type="dxa"/>
            <w:vAlign w:val="center"/>
          </w:tcPr>
          <w:p w:rsidR="00000000" w:rsidRDefault="00000000">
            <w:pPr>
              <w:spacing w:line="216" w:lineRule="auto"/>
              <w:rPr>
                <w:sz w:val="20"/>
              </w:rPr>
            </w:pPr>
            <w:r>
              <w:rPr>
                <w:sz w:val="20"/>
              </w:rPr>
              <w:t>Экономический сектор (производственные предприятия)</w:t>
            </w:r>
          </w:p>
        </w:tc>
        <w:tc>
          <w:tcPr>
            <w:tcW w:w="2551" w:type="dxa"/>
            <w:vAlign w:val="center"/>
          </w:tcPr>
          <w:p w:rsidR="00000000" w:rsidRDefault="00000000">
            <w:pPr>
              <w:tabs>
                <w:tab w:val="clear" w:pos="567"/>
                <w:tab w:val="clear" w:pos="1134"/>
                <w:tab w:val="clear" w:pos="1701"/>
                <w:tab w:val="clear" w:pos="2268"/>
              </w:tabs>
              <w:spacing w:line="216" w:lineRule="auto"/>
              <w:ind w:left="1004" w:right="680" w:hanging="1004"/>
              <w:jc w:val="right"/>
              <w:rPr>
                <w:sz w:val="20"/>
                <w:lang w:val="en-US"/>
              </w:rPr>
            </w:pPr>
            <w:r>
              <w:rPr>
                <w:sz w:val="20"/>
                <w:lang w:val="en-US"/>
              </w:rPr>
              <w:t>706</w:t>
            </w:r>
          </w:p>
        </w:tc>
        <w:tc>
          <w:tcPr>
            <w:tcW w:w="2328" w:type="dxa"/>
            <w:vAlign w:val="center"/>
          </w:tcPr>
          <w:p w:rsidR="00000000" w:rsidRDefault="00000000">
            <w:pPr>
              <w:tabs>
                <w:tab w:val="clear" w:pos="567"/>
                <w:tab w:val="clear" w:pos="1134"/>
                <w:tab w:val="clear" w:pos="1701"/>
                <w:tab w:val="clear" w:pos="2268"/>
              </w:tabs>
              <w:spacing w:line="216" w:lineRule="auto"/>
              <w:ind w:left="1101" w:right="680" w:hanging="1101"/>
              <w:jc w:val="right"/>
              <w:rPr>
                <w:sz w:val="20"/>
                <w:lang w:val="en-US"/>
              </w:rPr>
            </w:pPr>
            <w:r>
              <w:rPr>
                <w:sz w:val="20"/>
                <w:lang w:val="en-US"/>
              </w:rPr>
              <w:t>30 807 401</w:t>
            </w:r>
          </w:p>
        </w:tc>
      </w:tr>
      <w:tr w:rsidR="00000000">
        <w:tblPrEx>
          <w:tblCellMar>
            <w:top w:w="0" w:type="dxa"/>
            <w:bottom w:w="0" w:type="dxa"/>
          </w:tblCellMar>
        </w:tblPrEx>
        <w:trPr>
          <w:gridBefore w:val="1"/>
          <w:wBefore w:w="13" w:type="dxa"/>
          <w:jc w:val="center"/>
        </w:trPr>
        <w:tc>
          <w:tcPr>
            <w:tcW w:w="4490" w:type="dxa"/>
            <w:vAlign w:val="center"/>
          </w:tcPr>
          <w:p w:rsidR="00000000" w:rsidRDefault="00000000">
            <w:pPr>
              <w:spacing w:line="216" w:lineRule="auto"/>
              <w:rPr>
                <w:sz w:val="20"/>
              </w:rPr>
            </w:pPr>
            <w:r>
              <w:rPr>
                <w:sz w:val="20"/>
              </w:rPr>
              <w:t>Базовая инфраструктура (крупные объекты и сооружения)</w:t>
            </w:r>
          </w:p>
        </w:tc>
        <w:tc>
          <w:tcPr>
            <w:tcW w:w="2551" w:type="dxa"/>
            <w:vAlign w:val="center"/>
          </w:tcPr>
          <w:p w:rsidR="00000000" w:rsidRDefault="00000000">
            <w:pPr>
              <w:tabs>
                <w:tab w:val="clear" w:pos="567"/>
                <w:tab w:val="clear" w:pos="1134"/>
                <w:tab w:val="clear" w:pos="1701"/>
                <w:tab w:val="clear" w:pos="2268"/>
              </w:tabs>
              <w:spacing w:line="216" w:lineRule="auto"/>
              <w:ind w:left="1004" w:right="680" w:hanging="1004"/>
              <w:jc w:val="right"/>
              <w:rPr>
                <w:sz w:val="20"/>
                <w:lang w:val="en-US"/>
              </w:rPr>
            </w:pPr>
            <w:r>
              <w:rPr>
                <w:sz w:val="20"/>
                <w:lang w:val="en-US"/>
              </w:rPr>
              <w:t>223</w:t>
            </w:r>
          </w:p>
        </w:tc>
        <w:tc>
          <w:tcPr>
            <w:tcW w:w="2328" w:type="dxa"/>
            <w:vAlign w:val="center"/>
          </w:tcPr>
          <w:p w:rsidR="00000000" w:rsidRDefault="00000000">
            <w:pPr>
              <w:tabs>
                <w:tab w:val="clear" w:pos="567"/>
                <w:tab w:val="clear" w:pos="1134"/>
                <w:tab w:val="clear" w:pos="1701"/>
                <w:tab w:val="clear" w:pos="2268"/>
              </w:tabs>
              <w:spacing w:line="216" w:lineRule="auto"/>
              <w:ind w:left="1101" w:right="680" w:hanging="1101"/>
              <w:jc w:val="right"/>
              <w:rPr>
                <w:sz w:val="20"/>
                <w:lang w:val="en-US"/>
              </w:rPr>
            </w:pPr>
            <w:r>
              <w:rPr>
                <w:sz w:val="20"/>
                <w:lang w:val="en-US"/>
              </w:rPr>
              <w:t>3 358 253</w:t>
            </w:r>
          </w:p>
        </w:tc>
      </w:tr>
    </w:tbl>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pStyle w:val="12"/>
        <w:tabs>
          <w:tab w:val="left" w:pos="567"/>
          <w:tab w:val="left" w:pos="1134"/>
          <w:tab w:val="left" w:pos="1701"/>
          <w:tab w:val="left" w:pos="2268"/>
          <w:tab w:val="left" w:pos="6237"/>
        </w:tabs>
      </w:pPr>
      <w:r>
        <w:t>Статья 6</w:t>
      </w:r>
    </w:p>
    <w:p w:rsidR="00000000" w:rsidRDefault="00000000">
      <w:pPr>
        <w:jc w:val="center"/>
        <w:rPr>
          <w:i/>
          <w:u w:val="single"/>
        </w:rPr>
      </w:pPr>
    </w:p>
    <w:p w:rsidR="00000000" w:rsidRDefault="00000000">
      <w:pPr>
        <w:jc w:val="center"/>
        <w:rPr>
          <w:u w:val="single"/>
        </w:rPr>
      </w:pPr>
      <w:r>
        <w:rPr>
          <w:u w:val="single"/>
        </w:rPr>
        <w:t>Право на труд</w:t>
      </w:r>
    </w:p>
    <w:p w:rsidR="00000000" w:rsidRDefault="00000000">
      <w:pPr>
        <w:jc w:val="center"/>
        <w:rPr>
          <w:u w:val="single"/>
        </w:rPr>
      </w:pPr>
    </w:p>
    <w:p w:rsidR="00000000" w:rsidRDefault="00000000">
      <w:pPr>
        <w:jc w:val="center"/>
        <w:rPr>
          <w:iCs/>
          <w:u w:val="single"/>
        </w:rPr>
      </w:pPr>
      <w:r>
        <w:rPr>
          <w:iCs/>
        </w:rPr>
        <w:t>1.</w:t>
      </w:r>
      <w:r>
        <w:rPr>
          <w:iCs/>
        </w:rPr>
        <w:tab/>
      </w:r>
      <w:r>
        <w:rPr>
          <w:iCs/>
          <w:u w:val="single"/>
        </w:rPr>
        <w:t>Общие сведения</w:t>
      </w:r>
    </w:p>
    <w:p w:rsidR="00000000" w:rsidRDefault="00000000">
      <w:pPr>
        <w:jc w:val="center"/>
        <w:rPr>
          <w:i/>
          <w:u w:val="single"/>
        </w:rPr>
      </w:pPr>
    </w:p>
    <w:p w:rsidR="00000000" w:rsidRDefault="00000000">
      <w:r>
        <w:t>54.</w:t>
      </w:r>
      <w:r>
        <w:tab/>
        <w:t>Право на труд было закреплено во всех конституциях независимого Алжира.  В статье 55 основного закона от 28 ноября 1996 года, в частности, говорится, что:  "все граждане имеют право на труд.  Право на защиту, безопасность и гигиену труда гарантируется законом".</w:t>
      </w:r>
    </w:p>
    <w:p w:rsidR="00000000" w:rsidRDefault="00000000"/>
    <w:p w:rsidR="00000000" w:rsidRDefault="00000000">
      <w:r>
        <w:t>55.</w:t>
      </w:r>
      <w:r>
        <w:tab/>
        <w:t>Как будет видно из приводимых ниже статистических данных, равенство прав гарантируется также Законом о трудоустройстве, заработной плате и развитии личности.  Такие меры способствовали существенному продвижению вперед в различных областях деятельности.  В отношении государственной службы в принятых по аналогии с типовым уставом государственной службы положениях законов и иных нормативных актов (декрет 85-59 от 23 марта 1985 года) не устанавливается никакой дискриминации.</w:t>
      </w:r>
    </w:p>
    <w:p w:rsidR="00000000" w:rsidRDefault="00000000"/>
    <w:p w:rsidR="00000000" w:rsidRDefault="00000000">
      <w:r>
        <w:t>56.</w:t>
      </w:r>
      <w:r>
        <w:tab/>
        <w:t xml:space="preserve">В законе 90-11 о трудовых отношениях перечислены основные права, которыми наделены работники (право на участие в коллективных переговорах, право на социальное страхование, право на здоровые и безопасные условия труда и охрану труда, право на отдых, право на забастовку и т.д.).  Кроме того, в нем подтверждается право на защиту от дискриминации в области труда на основаниях иных, нежели способности и достоинства работника (статья 6).  В статье 17 говорится:  "любое положение коллективного договора или соглашения или трудового контракта, способное повлечь за собой любого рода дискриминацию в области труда по признаку возраста, пола, социального или семейного положения, семейных связей, политических взглядов и членства в профсоюзах, считается недействительным и не имеющим силы".  Наказания за такого рода дискриминацию предусмотрены в статьях 142 и 143 этого же закона. </w:t>
      </w:r>
    </w:p>
    <w:p w:rsidR="00000000" w:rsidRDefault="00000000"/>
    <w:p w:rsidR="00000000" w:rsidRDefault="00000000">
      <w:pPr>
        <w:jc w:val="center"/>
        <w:rPr>
          <w:iCs/>
          <w:u w:val="single"/>
        </w:rPr>
      </w:pPr>
      <w:r>
        <w:rPr>
          <w:iCs/>
        </w:rPr>
        <w:t>2.</w:t>
      </w:r>
      <w:r>
        <w:rPr>
          <w:iCs/>
        </w:rPr>
        <w:tab/>
      </w:r>
      <w:r>
        <w:rPr>
          <w:iCs/>
          <w:u w:val="single"/>
        </w:rPr>
        <w:t>Структурная перестройка и занятость</w:t>
      </w:r>
    </w:p>
    <w:p w:rsidR="00000000" w:rsidRDefault="00000000">
      <w:pPr>
        <w:jc w:val="center"/>
        <w:rPr>
          <w:i/>
          <w:u w:val="single"/>
        </w:rPr>
      </w:pPr>
    </w:p>
    <w:p w:rsidR="00000000" w:rsidRDefault="00000000">
      <w:r>
        <w:t>57.</w:t>
      </w:r>
      <w:r>
        <w:tab/>
        <w:t>Следует отметить, что темпы осуществления решительно претворявшиеся в жизнь в 70</w:t>
      </w:r>
      <w:r>
        <w:noBreakHyphen/>
        <w:t>е годы политики полной занятости и капиталовложений замедлились в начале 80</w:t>
      </w:r>
      <w:r>
        <w:noBreakHyphen/>
        <w:t>х годов при соответствующем спаде производства вследствие снижения уровня доходов от продажи нефти и трудностей, связанных с погашением внешней задолженности.</w:t>
      </w:r>
    </w:p>
    <w:p w:rsidR="00000000" w:rsidRDefault="00000000"/>
    <w:p w:rsidR="00000000" w:rsidRDefault="00000000">
      <w:r>
        <w:t>58.</w:t>
      </w:r>
      <w:r>
        <w:tab/>
        <w:t>Приостановка роста капиталовложений неизбежно повлекла за собой сокращение числа имеющихся постоянных рабочих мест во всех секторах, за исключением сельского хозяйства.  В начале 90</w:t>
      </w:r>
      <w:r>
        <w:noBreakHyphen/>
        <w:t>х годов макроэкономические трудности, требования коренной перестройки экономического и торгового секторов, основная доля капитала в которых принадлежит государству, стремление обеспечить более высокую степень экономической отдачи факторов производства и переход к рыночной экономике, подтвердили тенденцию экономического спада, проявившегося в замедлении темпов создания новых рабочих мест.  Даже секторы, до этого времени являвшиеся традиционными источниками новых рабочих мест, исчерпали свои возможности.  Неформальные виды занятости и рост безработицы впервые стали уделом обладателей университетских дипломов.</w:t>
      </w:r>
    </w:p>
    <w:p w:rsidR="00000000" w:rsidRDefault="00000000"/>
    <w:p w:rsidR="00000000" w:rsidRDefault="00000000">
      <w:r>
        <w:t>59.</w:t>
      </w:r>
      <w:r>
        <w:tab/>
        <w:t>В текущем десятилетии начиная с 1994 года, в частности, вследствие обострения макроэкономических и финансовых диспропорций, Алжир был вынужден прибегнуть к реструктуризации своей задолженности.  В связи с этим страна приняла программу макроэкономической стабилизации, опирающейся на соглашение о соблюдении договоренностей и заключенное позднее соглашение о механизме расширенного финансирования.</w:t>
      </w:r>
    </w:p>
    <w:p w:rsidR="00000000" w:rsidRDefault="00000000"/>
    <w:p w:rsidR="00000000" w:rsidRDefault="00000000">
      <w:r>
        <w:t>60.</w:t>
      </w:r>
      <w:r>
        <w:tab/>
        <w:t xml:space="preserve">Благодаря этим программам удалось повысить темпы роста </w:t>
      </w:r>
      <w:proofErr w:type="spellStart"/>
      <w:r>
        <w:t>ВВП</w:t>
      </w:r>
      <w:proofErr w:type="spellEnd"/>
      <w:r>
        <w:t xml:space="preserve"> с </w:t>
      </w:r>
      <w:proofErr w:type="spellStart"/>
      <w:r>
        <w:t>1%</w:t>
      </w:r>
      <w:proofErr w:type="spellEnd"/>
      <w:r>
        <w:t xml:space="preserve"> в 1993 году и </w:t>
      </w:r>
      <w:proofErr w:type="spellStart"/>
      <w:r>
        <w:t>2%</w:t>
      </w:r>
      <w:proofErr w:type="spellEnd"/>
      <w:r>
        <w:t xml:space="preserve"> в 1994 году до среднегодового уровня в </w:t>
      </w:r>
      <w:proofErr w:type="spellStart"/>
      <w:r>
        <w:t>3,4%</w:t>
      </w:r>
      <w:proofErr w:type="spellEnd"/>
      <w:r>
        <w:t xml:space="preserve"> в период между 1994 и 1998 годами.  Существенно замедлились темпы инфляции, перейдя от среднегодового уровня в </w:t>
      </w:r>
      <w:proofErr w:type="spellStart"/>
      <w:r>
        <w:t>29%</w:t>
      </w:r>
      <w:proofErr w:type="spellEnd"/>
      <w:r>
        <w:t xml:space="preserve"> в 1994 году до </w:t>
      </w:r>
      <w:proofErr w:type="spellStart"/>
      <w:r>
        <w:t>18,7%</w:t>
      </w:r>
      <w:proofErr w:type="spellEnd"/>
      <w:r>
        <w:t xml:space="preserve"> в 1996 году и </w:t>
      </w:r>
      <w:proofErr w:type="spellStart"/>
      <w:r>
        <w:t>5%</w:t>
      </w:r>
      <w:proofErr w:type="spellEnd"/>
      <w:r>
        <w:t xml:space="preserve"> в 1998 году.  Наконец, было обеспечено возвращение к бюджетному равновесию, поскольку из дефицитного в 1994 году (-</w:t>
      </w:r>
      <w:proofErr w:type="spellStart"/>
      <w:r>
        <w:t>4,4%</w:t>
      </w:r>
      <w:proofErr w:type="spellEnd"/>
      <w:r>
        <w:t xml:space="preserve">) бюджет стал </w:t>
      </w:r>
      <w:proofErr w:type="spellStart"/>
      <w:r>
        <w:t>профицитным</w:t>
      </w:r>
      <w:proofErr w:type="spellEnd"/>
      <w:r>
        <w:t xml:space="preserve"> в 1997 году (+</w:t>
      </w:r>
      <w:proofErr w:type="spellStart"/>
      <w:r>
        <w:t>2,4%</w:t>
      </w:r>
      <w:proofErr w:type="spellEnd"/>
      <w:r>
        <w:t>).</w:t>
      </w:r>
    </w:p>
    <w:p w:rsidR="00000000" w:rsidRDefault="00000000"/>
    <w:p w:rsidR="00000000" w:rsidRDefault="00000000">
      <w:r>
        <w:t>61.</w:t>
      </w:r>
      <w:r>
        <w:tab/>
        <w:t xml:space="preserve">Реализация этих целей, тем не менее, уменьшила покупательную способность домашних хозяйств и отрицательно отразилась на занятости.  Согласно оценкам, уровень безработицы среди экономически активного населения составляет </w:t>
      </w:r>
      <w:proofErr w:type="spellStart"/>
      <w:r>
        <w:t>29,2%</w:t>
      </w:r>
      <w:proofErr w:type="spellEnd"/>
      <w:r>
        <w:t>, или 2,3 млн. человек.  Такой рост числа безработных является результатом существенного замедления</w:t>
      </w:r>
    </w:p>
    <w:p w:rsidR="00000000" w:rsidRDefault="00000000">
      <w:r>
        <w:br w:type="page"/>
        <w:t xml:space="preserve">темпов создания новых рабочих мест, а также сокращения численности работающих вследствие проводимых экономических реформ:  в период с 1994 по 1998 год работу потеряли 360 000 человек, или более </w:t>
      </w:r>
      <w:proofErr w:type="spellStart"/>
      <w:r>
        <w:t>8%</w:t>
      </w:r>
      <w:proofErr w:type="spellEnd"/>
      <w:r>
        <w:t xml:space="preserve"> занятого населения.</w:t>
      </w:r>
    </w:p>
    <w:p w:rsidR="00000000" w:rsidRDefault="00000000"/>
    <w:p w:rsidR="00000000" w:rsidRDefault="00000000">
      <w:pPr>
        <w:jc w:val="center"/>
        <w:rPr>
          <w:u w:val="single"/>
        </w:rPr>
      </w:pPr>
      <w:r>
        <w:rPr>
          <w:u w:val="single"/>
        </w:rPr>
        <w:t>Динамика безработицы в 1993-1997 годах</w:t>
      </w:r>
    </w:p>
    <w:p w:rsidR="00000000" w:rsidRDefault="00000000">
      <w:pPr>
        <w:jc w:val="center"/>
      </w:pPr>
      <w:r>
        <w:t>(в тыс. человек и в процентах)</w:t>
      </w:r>
    </w:p>
    <w:p w:rsidR="00000000" w:rsidRDefault="00000000">
      <w:pPr>
        <w:jc w:val="center"/>
      </w:pPr>
    </w:p>
    <w:tbl>
      <w:tblPr>
        <w:tblW w:w="9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52"/>
        <w:gridCol w:w="1984"/>
        <w:gridCol w:w="851"/>
        <w:gridCol w:w="1984"/>
        <w:gridCol w:w="992"/>
      </w:tblGrid>
      <w:tr w:rsidR="00000000">
        <w:tblPrEx>
          <w:tblCellMar>
            <w:top w:w="0" w:type="dxa"/>
            <w:bottom w:w="0" w:type="dxa"/>
          </w:tblCellMar>
        </w:tblPrEx>
        <w:trPr>
          <w:cantSplit/>
        </w:trPr>
        <w:tc>
          <w:tcPr>
            <w:tcW w:w="3652" w:type="dxa"/>
            <w:shd w:val="clear" w:color="000000" w:fill="E6E6E6"/>
          </w:tcPr>
          <w:p w:rsidR="00000000" w:rsidRDefault="00000000">
            <w:pPr>
              <w:spacing w:before="40" w:after="40"/>
              <w:jc w:val="center"/>
              <w:rPr>
                <w:sz w:val="20"/>
              </w:rPr>
            </w:pPr>
          </w:p>
        </w:tc>
        <w:tc>
          <w:tcPr>
            <w:tcW w:w="2835" w:type="dxa"/>
            <w:gridSpan w:val="2"/>
            <w:shd w:val="clear" w:color="000000" w:fill="E6E6E6"/>
            <w:vAlign w:val="center"/>
          </w:tcPr>
          <w:p w:rsidR="00000000" w:rsidRDefault="00000000">
            <w:pPr>
              <w:spacing w:before="40" w:after="40"/>
              <w:jc w:val="center"/>
              <w:rPr>
                <w:sz w:val="20"/>
              </w:rPr>
            </w:pPr>
            <w:r>
              <w:rPr>
                <w:sz w:val="20"/>
              </w:rPr>
              <w:t>1994 год</w:t>
            </w:r>
          </w:p>
        </w:tc>
        <w:tc>
          <w:tcPr>
            <w:tcW w:w="2976" w:type="dxa"/>
            <w:gridSpan w:val="2"/>
            <w:shd w:val="clear" w:color="000000" w:fill="E6E6E6"/>
          </w:tcPr>
          <w:p w:rsidR="00000000" w:rsidRDefault="00000000">
            <w:pPr>
              <w:spacing w:before="40" w:after="40"/>
              <w:jc w:val="center"/>
              <w:rPr>
                <w:sz w:val="20"/>
              </w:rPr>
            </w:pPr>
            <w:r>
              <w:rPr>
                <w:sz w:val="20"/>
              </w:rPr>
              <w:t>1997 год</w:t>
            </w:r>
          </w:p>
        </w:tc>
      </w:tr>
      <w:tr w:rsidR="00000000">
        <w:tblPrEx>
          <w:tblCellMar>
            <w:top w:w="0" w:type="dxa"/>
            <w:bottom w:w="0" w:type="dxa"/>
          </w:tblCellMar>
        </w:tblPrEx>
        <w:tc>
          <w:tcPr>
            <w:tcW w:w="3652" w:type="dxa"/>
            <w:vAlign w:val="center"/>
          </w:tcPr>
          <w:p w:rsidR="00000000" w:rsidRDefault="00000000">
            <w:pPr>
              <w:spacing w:before="40" w:after="40"/>
              <w:rPr>
                <w:sz w:val="20"/>
              </w:rPr>
            </w:pPr>
          </w:p>
        </w:tc>
        <w:tc>
          <w:tcPr>
            <w:tcW w:w="1984" w:type="dxa"/>
            <w:tcBorders>
              <w:right w:val="nil"/>
            </w:tcBorders>
            <w:vAlign w:val="center"/>
          </w:tcPr>
          <w:p w:rsidR="00000000" w:rsidRDefault="00000000">
            <w:pPr>
              <w:spacing w:before="40" w:after="40"/>
              <w:jc w:val="center"/>
              <w:rPr>
                <w:sz w:val="20"/>
              </w:rPr>
            </w:pPr>
            <w:r>
              <w:rPr>
                <w:sz w:val="20"/>
              </w:rPr>
              <w:t>Число безработных</w:t>
            </w:r>
          </w:p>
        </w:tc>
        <w:tc>
          <w:tcPr>
            <w:tcW w:w="851" w:type="dxa"/>
            <w:tcBorders>
              <w:left w:val="nil"/>
            </w:tcBorders>
            <w:vAlign w:val="center"/>
          </w:tcPr>
          <w:p w:rsidR="00000000" w:rsidRDefault="00000000">
            <w:pPr>
              <w:spacing w:before="40" w:after="40"/>
              <w:jc w:val="center"/>
              <w:rPr>
                <w:sz w:val="20"/>
              </w:rPr>
            </w:pPr>
            <w:r>
              <w:rPr>
                <w:sz w:val="20"/>
              </w:rPr>
              <w:t>%</w:t>
            </w:r>
          </w:p>
        </w:tc>
        <w:tc>
          <w:tcPr>
            <w:tcW w:w="1984" w:type="dxa"/>
            <w:tcBorders>
              <w:right w:val="nil"/>
            </w:tcBorders>
            <w:vAlign w:val="center"/>
          </w:tcPr>
          <w:p w:rsidR="00000000" w:rsidRDefault="00000000">
            <w:pPr>
              <w:spacing w:before="40" w:after="40"/>
              <w:jc w:val="center"/>
              <w:rPr>
                <w:sz w:val="20"/>
              </w:rPr>
            </w:pPr>
            <w:r>
              <w:rPr>
                <w:sz w:val="20"/>
              </w:rPr>
              <w:t>Число безработных</w:t>
            </w:r>
          </w:p>
        </w:tc>
        <w:tc>
          <w:tcPr>
            <w:tcW w:w="992" w:type="dxa"/>
            <w:tcBorders>
              <w:left w:val="nil"/>
            </w:tcBorders>
            <w:vAlign w:val="center"/>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3652" w:type="dxa"/>
          </w:tcPr>
          <w:p w:rsidR="00000000" w:rsidRDefault="00000000">
            <w:pPr>
              <w:spacing w:before="40" w:after="40"/>
              <w:rPr>
                <w:sz w:val="20"/>
              </w:rPr>
            </w:pPr>
            <w:r>
              <w:rPr>
                <w:sz w:val="20"/>
              </w:rPr>
              <w:t>Активное население</w:t>
            </w:r>
          </w:p>
        </w:tc>
        <w:tc>
          <w:tcPr>
            <w:tcW w:w="1984" w:type="dxa"/>
            <w:tcBorders>
              <w:right w:val="nil"/>
            </w:tcBorders>
          </w:tcPr>
          <w:p w:rsidR="00000000" w:rsidRDefault="00000000">
            <w:pPr>
              <w:tabs>
                <w:tab w:val="clear" w:pos="567"/>
                <w:tab w:val="clear" w:pos="1134"/>
                <w:tab w:val="clear" w:pos="1701"/>
              </w:tabs>
              <w:spacing w:before="40" w:after="40"/>
              <w:ind w:right="567"/>
              <w:jc w:val="right"/>
              <w:rPr>
                <w:sz w:val="20"/>
                <w:lang w:val="en-US"/>
              </w:rPr>
            </w:pPr>
            <w:r>
              <w:rPr>
                <w:sz w:val="20"/>
                <w:lang w:val="en-US"/>
              </w:rPr>
              <w:t>6 814</w:t>
            </w:r>
          </w:p>
        </w:tc>
        <w:tc>
          <w:tcPr>
            <w:tcW w:w="851" w:type="dxa"/>
            <w:tcBorders>
              <w:left w:val="nil"/>
            </w:tcBorders>
          </w:tcPr>
          <w:p w:rsidR="00000000" w:rsidRDefault="00000000">
            <w:pPr>
              <w:spacing w:before="40" w:after="40"/>
              <w:rPr>
                <w:sz w:val="20"/>
              </w:rPr>
            </w:pPr>
          </w:p>
        </w:tc>
        <w:tc>
          <w:tcPr>
            <w:tcW w:w="1984" w:type="dxa"/>
            <w:tcBorders>
              <w:right w:val="nil"/>
            </w:tcBorders>
          </w:tcPr>
          <w:p w:rsidR="00000000" w:rsidRDefault="00000000">
            <w:pPr>
              <w:tabs>
                <w:tab w:val="clear" w:pos="567"/>
                <w:tab w:val="clear" w:pos="1134"/>
              </w:tabs>
              <w:spacing w:before="40" w:after="40"/>
              <w:ind w:right="680"/>
              <w:jc w:val="right"/>
              <w:rPr>
                <w:sz w:val="20"/>
                <w:lang w:val="en-US"/>
              </w:rPr>
            </w:pPr>
            <w:r>
              <w:rPr>
                <w:sz w:val="20"/>
                <w:lang w:val="en-US"/>
              </w:rPr>
              <w:t>8 069</w:t>
            </w:r>
          </w:p>
        </w:tc>
        <w:tc>
          <w:tcPr>
            <w:tcW w:w="992" w:type="dxa"/>
            <w:tcBorders>
              <w:left w:val="nil"/>
            </w:tcBorders>
          </w:tcPr>
          <w:p w:rsidR="00000000" w:rsidRDefault="00000000">
            <w:pPr>
              <w:tabs>
                <w:tab w:val="clear" w:pos="567"/>
              </w:tabs>
              <w:spacing w:before="40" w:after="40"/>
              <w:rPr>
                <w:sz w:val="20"/>
              </w:rPr>
            </w:pPr>
          </w:p>
        </w:tc>
      </w:tr>
      <w:tr w:rsidR="00000000">
        <w:tblPrEx>
          <w:tblCellMar>
            <w:top w:w="0" w:type="dxa"/>
            <w:bottom w:w="0" w:type="dxa"/>
          </w:tblCellMar>
        </w:tblPrEx>
        <w:trPr>
          <w:trHeight w:val="393"/>
        </w:trPr>
        <w:tc>
          <w:tcPr>
            <w:tcW w:w="3652" w:type="dxa"/>
          </w:tcPr>
          <w:p w:rsidR="00000000" w:rsidRDefault="00000000">
            <w:pPr>
              <w:spacing w:before="40" w:after="40"/>
              <w:rPr>
                <w:sz w:val="20"/>
              </w:rPr>
            </w:pPr>
            <w:r>
              <w:rPr>
                <w:sz w:val="20"/>
              </w:rPr>
              <w:t>Занятое население</w:t>
            </w:r>
          </w:p>
        </w:tc>
        <w:tc>
          <w:tcPr>
            <w:tcW w:w="1984" w:type="dxa"/>
            <w:tcBorders>
              <w:right w:val="nil"/>
            </w:tcBorders>
          </w:tcPr>
          <w:p w:rsidR="00000000" w:rsidRDefault="00000000">
            <w:pPr>
              <w:tabs>
                <w:tab w:val="clear" w:pos="567"/>
                <w:tab w:val="clear" w:pos="1134"/>
                <w:tab w:val="clear" w:pos="1701"/>
              </w:tabs>
              <w:spacing w:before="40" w:after="40"/>
              <w:ind w:right="567"/>
              <w:jc w:val="right"/>
              <w:rPr>
                <w:sz w:val="20"/>
                <w:lang w:val="en-US"/>
              </w:rPr>
            </w:pPr>
            <w:r>
              <w:rPr>
                <w:sz w:val="20"/>
                <w:lang w:val="en-US"/>
              </w:rPr>
              <w:t>5 154</w:t>
            </w:r>
          </w:p>
        </w:tc>
        <w:tc>
          <w:tcPr>
            <w:tcW w:w="851" w:type="dxa"/>
            <w:tcBorders>
              <w:left w:val="nil"/>
            </w:tcBorders>
          </w:tcPr>
          <w:p w:rsidR="00000000" w:rsidRDefault="00000000">
            <w:pPr>
              <w:tabs>
                <w:tab w:val="clear" w:pos="567"/>
                <w:tab w:val="clear" w:pos="1134"/>
              </w:tabs>
              <w:spacing w:before="40" w:after="40"/>
              <w:ind w:right="227"/>
              <w:jc w:val="right"/>
              <w:rPr>
                <w:sz w:val="20"/>
                <w:lang w:val="en-US"/>
              </w:rPr>
            </w:pPr>
            <w:r>
              <w:rPr>
                <w:sz w:val="20"/>
                <w:lang w:val="en-US"/>
              </w:rPr>
              <w:t>100</w:t>
            </w:r>
          </w:p>
        </w:tc>
        <w:tc>
          <w:tcPr>
            <w:tcW w:w="1984" w:type="dxa"/>
            <w:tcBorders>
              <w:right w:val="nil"/>
            </w:tcBorders>
          </w:tcPr>
          <w:p w:rsidR="00000000" w:rsidRDefault="00000000">
            <w:pPr>
              <w:tabs>
                <w:tab w:val="clear" w:pos="567"/>
                <w:tab w:val="clear" w:pos="1134"/>
              </w:tabs>
              <w:spacing w:before="40" w:after="40"/>
              <w:ind w:right="680"/>
              <w:jc w:val="right"/>
              <w:rPr>
                <w:sz w:val="20"/>
                <w:lang w:val="en-US"/>
              </w:rPr>
            </w:pPr>
            <w:r>
              <w:rPr>
                <w:sz w:val="20"/>
                <w:lang w:val="en-US"/>
              </w:rPr>
              <w:t>5 710</w:t>
            </w:r>
          </w:p>
        </w:tc>
        <w:tc>
          <w:tcPr>
            <w:tcW w:w="992" w:type="dxa"/>
            <w:tcBorders>
              <w:left w:val="nil"/>
            </w:tcBorders>
          </w:tcPr>
          <w:p w:rsidR="00000000" w:rsidRDefault="00000000">
            <w:pPr>
              <w:tabs>
                <w:tab w:val="clear" w:pos="567"/>
              </w:tabs>
              <w:spacing w:before="40" w:after="40"/>
              <w:ind w:right="284"/>
              <w:jc w:val="right"/>
              <w:rPr>
                <w:sz w:val="20"/>
                <w:lang w:val="en-US"/>
              </w:rPr>
            </w:pPr>
            <w:r>
              <w:rPr>
                <w:sz w:val="20"/>
                <w:lang w:val="en-US"/>
              </w:rPr>
              <w:t>100</w:t>
            </w:r>
          </w:p>
        </w:tc>
      </w:tr>
      <w:tr w:rsidR="00000000">
        <w:tblPrEx>
          <w:tblCellMar>
            <w:top w:w="0" w:type="dxa"/>
            <w:bottom w:w="0" w:type="dxa"/>
          </w:tblCellMar>
        </w:tblPrEx>
        <w:tc>
          <w:tcPr>
            <w:tcW w:w="3652" w:type="dxa"/>
          </w:tcPr>
          <w:p w:rsidR="00000000" w:rsidRDefault="00000000">
            <w:pPr>
              <w:spacing w:before="40" w:after="40"/>
              <w:rPr>
                <w:sz w:val="20"/>
              </w:rPr>
            </w:pPr>
            <w:r>
              <w:rPr>
                <w:sz w:val="20"/>
              </w:rPr>
              <w:t>Из них:</w:t>
            </w:r>
          </w:p>
        </w:tc>
        <w:tc>
          <w:tcPr>
            <w:tcW w:w="1984" w:type="dxa"/>
            <w:tcBorders>
              <w:right w:val="nil"/>
            </w:tcBorders>
          </w:tcPr>
          <w:p w:rsidR="00000000" w:rsidRDefault="00000000">
            <w:pPr>
              <w:tabs>
                <w:tab w:val="clear" w:pos="567"/>
                <w:tab w:val="clear" w:pos="1134"/>
                <w:tab w:val="clear" w:pos="1701"/>
              </w:tabs>
              <w:spacing w:before="40" w:after="40"/>
              <w:ind w:right="567"/>
              <w:jc w:val="right"/>
              <w:rPr>
                <w:sz w:val="20"/>
              </w:rPr>
            </w:pPr>
          </w:p>
        </w:tc>
        <w:tc>
          <w:tcPr>
            <w:tcW w:w="851" w:type="dxa"/>
            <w:tcBorders>
              <w:left w:val="nil"/>
            </w:tcBorders>
          </w:tcPr>
          <w:p w:rsidR="00000000" w:rsidRDefault="00000000">
            <w:pPr>
              <w:tabs>
                <w:tab w:val="clear" w:pos="567"/>
                <w:tab w:val="clear" w:pos="1134"/>
              </w:tabs>
              <w:spacing w:before="40" w:after="40"/>
              <w:ind w:right="227"/>
              <w:jc w:val="right"/>
              <w:rPr>
                <w:sz w:val="20"/>
              </w:rPr>
            </w:pPr>
          </w:p>
        </w:tc>
        <w:tc>
          <w:tcPr>
            <w:tcW w:w="1984" w:type="dxa"/>
            <w:tcBorders>
              <w:right w:val="nil"/>
            </w:tcBorders>
          </w:tcPr>
          <w:p w:rsidR="00000000" w:rsidRDefault="00000000">
            <w:pPr>
              <w:tabs>
                <w:tab w:val="clear" w:pos="567"/>
                <w:tab w:val="clear" w:pos="1134"/>
              </w:tabs>
              <w:spacing w:before="40" w:after="40"/>
              <w:ind w:right="680"/>
              <w:jc w:val="right"/>
              <w:rPr>
                <w:sz w:val="20"/>
              </w:rPr>
            </w:pPr>
          </w:p>
        </w:tc>
        <w:tc>
          <w:tcPr>
            <w:tcW w:w="992" w:type="dxa"/>
            <w:tcBorders>
              <w:left w:val="nil"/>
            </w:tcBorders>
          </w:tcPr>
          <w:p w:rsidR="00000000" w:rsidRDefault="00000000">
            <w:pPr>
              <w:tabs>
                <w:tab w:val="clear" w:pos="567"/>
              </w:tabs>
              <w:spacing w:before="40" w:after="40"/>
              <w:ind w:right="284"/>
              <w:jc w:val="right"/>
              <w:rPr>
                <w:sz w:val="20"/>
              </w:rPr>
            </w:pPr>
          </w:p>
        </w:tc>
      </w:tr>
      <w:tr w:rsidR="00000000">
        <w:tblPrEx>
          <w:tblCellMar>
            <w:top w:w="0" w:type="dxa"/>
            <w:bottom w:w="0" w:type="dxa"/>
          </w:tblCellMar>
        </w:tblPrEx>
        <w:tc>
          <w:tcPr>
            <w:tcW w:w="3652" w:type="dxa"/>
          </w:tcPr>
          <w:p w:rsidR="00000000" w:rsidRDefault="00000000">
            <w:pPr>
              <w:spacing w:before="40" w:after="40"/>
              <w:rPr>
                <w:sz w:val="20"/>
              </w:rPr>
            </w:pPr>
            <w:r>
              <w:rPr>
                <w:sz w:val="20"/>
              </w:rPr>
              <w:t>Организованные рабочие места</w:t>
            </w:r>
          </w:p>
        </w:tc>
        <w:tc>
          <w:tcPr>
            <w:tcW w:w="1984" w:type="dxa"/>
            <w:tcBorders>
              <w:right w:val="nil"/>
            </w:tcBorders>
          </w:tcPr>
          <w:p w:rsidR="00000000" w:rsidRDefault="00000000">
            <w:pPr>
              <w:tabs>
                <w:tab w:val="clear" w:pos="567"/>
                <w:tab w:val="clear" w:pos="1134"/>
                <w:tab w:val="clear" w:pos="1701"/>
              </w:tabs>
              <w:spacing w:before="40" w:after="40"/>
              <w:ind w:right="567"/>
              <w:jc w:val="right"/>
              <w:rPr>
                <w:sz w:val="20"/>
                <w:lang w:val="en-US"/>
              </w:rPr>
            </w:pPr>
            <w:r>
              <w:rPr>
                <w:sz w:val="20"/>
                <w:lang w:val="en-US"/>
              </w:rPr>
              <w:t>4 325</w:t>
            </w:r>
          </w:p>
        </w:tc>
        <w:tc>
          <w:tcPr>
            <w:tcW w:w="851" w:type="dxa"/>
            <w:tcBorders>
              <w:left w:val="nil"/>
            </w:tcBorders>
          </w:tcPr>
          <w:p w:rsidR="00000000" w:rsidRDefault="00000000">
            <w:pPr>
              <w:tabs>
                <w:tab w:val="clear" w:pos="567"/>
                <w:tab w:val="clear" w:pos="1134"/>
              </w:tabs>
              <w:spacing w:before="40" w:after="40"/>
              <w:ind w:right="227"/>
              <w:jc w:val="right"/>
              <w:rPr>
                <w:sz w:val="20"/>
                <w:lang w:val="en-US"/>
              </w:rPr>
            </w:pPr>
            <w:r>
              <w:rPr>
                <w:sz w:val="20"/>
                <w:lang w:val="en-US"/>
              </w:rPr>
              <w:t>84,0</w:t>
            </w:r>
          </w:p>
        </w:tc>
        <w:tc>
          <w:tcPr>
            <w:tcW w:w="1984" w:type="dxa"/>
            <w:tcBorders>
              <w:right w:val="nil"/>
            </w:tcBorders>
          </w:tcPr>
          <w:p w:rsidR="00000000" w:rsidRDefault="00000000">
            <w:pPr>
              <w:tabs>
                <w:tab w:val="clear" w:pos="567"/>
                <w:tab w:val="clear" w:pos="1134"/>
              </w:tabs>
              <w:spacing w:before="40" w:after="40"/>
              <w:ind w:right="680"/>
              <w:jc w:val="right"/>
              <w:rPr>
                <w:sz w:val="20"/>
                <w:lang w:val="en-US"/>
              </w:rPr>
            </w:pPr>
            <w:r>
              <w:rPr>
                <w:sz w:val="20"/>
                <w:lang w:val="en-US"/>
              </w:rPr>
              <w:t>4 743</w:t>
            </w:r>
          </w:p>
        </w:tc>
        <w:tc>
          <w:tcPr>
            <w:tcW w:w="992" w:type="dxa"/>
            <w:tcBorders>
              <w:left w:val="nil"/>
            </w:tcBorders>
          </w:tcPr>
          <w:p w:rsidR="00000000" w:rsidRDefault="00000000">
            <w:pPr>
              <w:tabs>
                <w:tab w:val="clear" w:pos="567"/>
              </w:tabs>
              <w:spacing w:before="40" w:after="40"/>
              <w:ind w:right="284"/>
              <w:jc w:val="right"/>
              <w:rPr>
                <w:sz w:val="20"/>
                <w:lang w:val="en-US"/>
              </w:rPr>
            </w:pPr>
            <w:r>
              <w:rPr>
                <w:sz w:val="20"/>
                <w:lang w:val="en-US"/>
              </w:rPr>
              <w:t>83,1</w:t>
            </w:r>
          </w:p>
        </w:tc>
      </w:tr>
      <w:tr w:rsidR="00000000">
        <w:tblPrEx>
          <w:tblCellMar>
            <w:top w:w="0" w:type="dxa"/>
            <w:bottom w:w="0" w:type="dxa"/>
          </w:tblCellMar>
        </w:tblPrEx>
        <w:tc>
          <w:tcPr>
            <w:tcW w:w="3652" w:type="dxa"/>
          </w:tcPr>
          <w:p w:rsidR="00000000" w:rsidRDefault="00000000">
            <w:pPr>
              <w:spacing w:before="40" w:after="40"/>
              <w:rPr>
                <w:sz w:val="20"/>
              </w:rPr>
            </w:pPr>
            <w:r>
              <w:rPr>
                <w:sz w:val="20"/>
              </w:rPr>
              <w:t>Сельское хозяйство</w:t>
            </w:r>
          </w:p>
        </w:tc>
        <w:tc>
          <w:tcPr>
            <w:tcW w:w="1984" w:type="dxa"/>
            <w:tcBorders>
              <w:right w:val="nil"/>
            </w:tcBorders>
          </w:tcPr>
          <w:p w:rsidR="00000000" w:rsidRDefault="00000000">
            <w:pPr>
              <w:tabs>
                <w:tab w:val="clear" w:pos="567"/>
                <w:tab w:val="clear" w:pos="1134"/>
                <w:tab w:val="clear" w:pos="1701"/>
              </w:tabs>
              <w:spacing w:before="40" w:after="40"/>
              <w:ind w:right="567"/>
              <w:jc w:val="right"/>
              <w:rPr>
                <w:sz w:val="20"/>
                <w:lang w:val="en-US"/>
              </w:rPr>
            </w:pPr>
            <w:r>
              <w:rPr>
                <w:sz w:val="20"/>
                <w:lang w:val="en-US"/>
              </w:rPr>
              <w:t>1 023</w:t>
            </w:r>
          </w:p>
        </w:tc>
        <w:tc>
          <w:tcPr>
            <w:tcW w:w="851" w:type="dxa"/>
            <w:tcBorders>
              <w:left w:val="nil"/>
            </w:tcBorders>
          </w:tcPr>
          <w:p w:rsidR="00000000" w:rsidRDefault="00000000">
            <w:pPr>
              <w:tabs>
                <w:tab w:val="clear" w:pos="567"/>
                <w:tab w:val="clear" w:pos="1134"/>
              </w:tabs>
              <w:spacing w:before="40" w:after="40"/>
              <w:ind w:right="227"/>
              <w:jc w:val="right"/>
              <w:rPr>
                <w:sz w:val="20"/>
                <w:lang w:val="en-US"/>
              </w:rPr>
            </w:pPr>
            <w:r>
              <w:rPr>
                <w:sz w:val="20"/>
                <w:lang w:val="en-US"/>
              </w:rPr>
              <w:t>19,8</w:t>
            </w:r>
          </w:p>
        </w:tc>
        <w:tc>
          <w:tcPr>
            <w:tcW w:w="1984" w:type="dxa"/>
            <w:tcBorders>
              <w:right w:val="nil"/>
            </w:tcBorders>
          </w:tcPr>
          <w:p w:rsidR="00000000" w:rsidRDefault="00000000">
            <w:pPr>
              <w:tabs>
                <w:tab w:val="clear" w:pos="567"/>
                <w:tab w:val="clear" w:pos="1134"/>
              </w:tabs>
              <w:spacing w:before="40" w:after="40"/>
              <w:ind w:right="680"/>
              <w:jc w:val="right"/>
              <w:rPr>
                <w:sz w:val="20"/>
                <w:lang w:val="en-US"/>
              </w:rPr>
            </w:pPr>
            <w:r>
              <w:rPr>
                <w:sz w:val="20"/>
                <w:lang w:val="en-US"/>
              </w:rPr>
              <w:t>1 200</w:t>
            </w:r>
          </w:p>
        </w:tc>
        <w:tc>
          <w:tcPr>
            <w:tcW w:w="992" w:type="dxa"/>
            <w:tcBorders>
              <w:left w:val="nil"/>
            </w:tcBorders>
          </w:tcPr>
          <w:p w:rsidR="00000000" w:rsidRDefault="00000000">
            <w:pPr>
              <w:tabs>
                <w:tab w:val="clear" w:pos="567"/>
              </w:tabs>
              <w:spacing w:before="40" w:after="40"/>
              <w:ind w:right="284"/>
              <w:jc w:val="right"/>
              <w:rPr>
                <w:sz w:val="20"/>
                <w:lang w:val="en-US"/>
              </w:rPr>
            </w:pPr>
            <w:r>
              <w:rPr>
                <w:sz w:val="20"/>
                <w:lang w:val="en-US"/>
              </w:rPr>
              <w:t>21,0</w:t>
            </w:r>
          </w:p>
        </w:tc>
      </w:tr>
      <w:tr w:rsidR="00000000">
        <w:tblPrEx>
          <w:tblCellMar>
            <w:top w:w="0" w:type="dxa"/>
            <w:bottom w:w="0" w:type="dxa"/>
          </w:tblCellMar>
        </w:tblPrEx>
        <w:tc>
          <w:tcPr>
            <w:tcW w:w="3652" w:type="dxa"/>
          </w:tcPr>
          <w:p w:rsidR="00000000" w:rsidRDefault="00000000">
            <w:pPr>
              <w:spacing w:before="40" w:after="40"/>
              <w:rPr>
                <w:sz w:val="20"/>
              </w:rPr>
            </w:pPr>
            <w:r>
              <w:rPr>
                <w:sz w:val="20"/>
              </w:rPr>
              <w:t>Промышленность</w:t>
            </w:r>
          </w:p>
        </w:tc>
        <w:tc>
          <w:tcPr>
            <w:tcW w:w="1984" w:type="dxa"/>
            <w:tcBorders>
              <w:right w:val="nil"/>
            </w:tcBorders>
          </w:tcPr>
          <w:p w:rsidR="00000000" w:rsidRDefault="00000000">
            <w:pPr>
              <w:tabs>
                <w:tab w:val="clear" w:pos="567"/>
                <w:tab w:val="clear" w:pos="1134"/>
                <w:tab w:val="clear" w:pos="1701"/>
              </w:tabs>
              <w:spacing w:before="40" w:after="40"/>
              <w:ind w:right="567"/>
              <w:jc w:val="right"/>
              <w:rPr>
                <w:sz w:val="20"/>
                <w:lang w:val="en-US"/>
              </w:rPr>
            </w:pPr>
            <w:r>
              <w:rPr>
                <w:sz w:val="20"/>
                <w:lang w:val="en-US"/>
              </w:rPr>
              <w:t>528</w:t>
            </w:r>
          </w:p>
        </w:tc>
        <w:tc>
          <w:tcPr>
            <w:tcW w:w="851" w:type="dxa"/>
            <w:tcBorders>
              <w:left w:val="nil"/>
            </w:tcBorders>
          </w:tcPr>
          <w:p w:rsidR="00000000" w:rsidRDefault="00000000">
            <w:pPr>
              <w:tabs>
                <w:tab w:val="clear" w:pos="567"/>
                <w:tab w:val="clear" w:pos="1134"/>
              </w:tabs>
              <w:spacing w:before="40" w:after="40"/>
              <w:ind w:right="227"/>
              <w:jc w:val="right"/>
              <w:rPr>
                <w:sz w:val="20"/>
                <w:lang w:val="en-US"/>
              </w:rPr>
            </w:pPr>
            <w:r>
              <w:rPr>
                <w:sz w:val="20"/>
                <w:lang w:val="en-US"/>
              </w:rPr>
              <w:t>10,3</w:t>
            </w:r>
          </w:p>
        </w:tc>
        <w:tc>
          <w:tcPr>
            <w:tcW w:w="1984" w:type="dxa"/>
            <w:tcBorders>
              <w:right w:val="nil"/>
            </w:tcBorders>
          </w:tcPr>
          <w:p w:rsidR="00000000" w:rsidRDefault="00000000">
            <w:pPr>
              <w:tabs>
                <w:tab w:val="clear" w:pos="567"/>
                <w:tab w:val="clear" w:pos="1134"/>
              </w:tabs>
              <w:spacing w:before="40" w:after="40"/>
              <w:ind w:right="680"/>
              <w:jc w:val="right"/>
              <w:rPr>
                <w:sz w:val="20"/>
                <w:lang w:val="en-US"/>
              </w:rPr>
            </w:pPr>
            <w:r>
              <w:rPr>
                <w:sz w:val="20"/>
                <w:lang w:val="en-US"/>
              </w:rPr>
              <w:t>500</w:t>
            </w:r>
          </w:p>
        </w:tc>
        <w:tc>
          <w:tcPr>
            <w:tcW w:w="992" w:type="dxa"/>
            <w:tcBorders>
              <w:left w:val="nil"/>
            </w:tcBorders>
          </w:tcPr>
          <w:p w:rsidR="00000000" w:rsidRDefault="00000000">
            <w:pPr>
              <w:tabs>
                <w:tab w:val="clear" w:pos="567"/>
              </w:tabs>
              <w:spacing w:before="40" w:after="40"/>
              <w:ind w:right="284"/>
              <w:jc w:val="right"/>
              <w:rPr>
                <w:sz w:val="20"/>
                <w:lang w:val="en-US"/>
              </w:rPr>
            </w:pPr>
            <w:r>
              <w:rPr>
                <w:sz w:val="20"/>
                <w:lang w:val="en-US"/>
              </w:rPr>
              <w:t>8,8</w:t>
            </w:r>
          </w:p>
        </w:tc>
      </w:tr>
      <w:tr w:rsidR="00000000">
        <w:tblPrEx>
          <w:tblCellMar>
            <w:top w:w="0" w:type="dxa"/>
            <w:bottom w:w="0" w:type="dxa"/>
          </w:tblCellMar>
        </w:tblPrEx>
        <w:tc>
          <w:tcPr>
            <w:tcW w:w="3652" w:type="dxa"/>
          </w:tcPr>
          <w:p w:rsidR="00000000" w:rsidRDefault="00000000">
            <w:pPr>
              <w:spacing w:before="40" w:after="40"/>
              <w:rPr>
                <w:sz w:val="20"/>
              </w:rPr>
            </w:pPr>
            <w:r>
              <w:rPr>
                <w:sz w:val="20"/>
              </w:rPr>
              <w:t>Строительство и общественные работы</w:t>
            </w:r>
          </w:p>
        </w:tc>
        <w:tc>
          <w:tcPr>
            <w:tcW w:w="1984" w:type="dxa"/>
            <w:tcBorders>
              <w:right w:val="nil"/>
            </w:tcBorders>
          </w:tcPr>
          <w:p w:rsidR="00000000" w:rsidRDefault="00000000">
            <w:pPr>
              <w:tabs>
                <w:tab w:val="clear" w:pos="567"/>
                <w:tab w:val="clear" w:pos="1134"/>
                <w:tab w:val="clear" w:pos="1701"/>
              </w:tabs>
              <w:spacing w:before="40" w:after="40"/>
              <w:ind w:right="567"/>
              <w:jc w:val="right"/>
              <w:rPr>
                <w:sz w:val="20"/>
                <w:lang w:val="en-US"/>
              </w:rPr>
            </w:pPr>
            <w:r>
              <w:rPr>
                <w:sz w:val="20"/>
                <w:lang w:val="en-US"/>
              </w:rPr>
              <w:t>667</w:t>
            </w:r>
          </w:p>
        </w:tc>
        <w:tc>
          <w:tcPr>
            <w:tcW w:w="851" w:type="dxa"/>
            <w:tcBorders>
              <w:left w:val="nil"/>
            </w:tcBorders>
          </w:tcPr>
          <w:p w:rsidR="00000000" w:rsidRDefault="00000000">
            <w:pPr>
              <w:tabs>
                <w:tab w:val="clear" w:pos="567"/>
                <w:tab w:val="clear" w:pos="1134"/>
              </w:tabs>
              <w:spacing w:before="40" w:after="40"/>
              <w:ind w:right="227"/>
              <w:jc w:val="right"/>
              <w:rPr>
                <w:sz w:val="20"/>
                <w:lang w:val="en-US"/>
              </w:rPr>
            </w:pPr>
            <w:r>
              <w:rPr>
                <w:sz w:val="20"/>
                <w:lang w:val="en-US"/>
              </w:rPr>
              <w:t>13,0</w:t>
            </w:r>
          </w:p>
        </w:tc>
        <w:tc>
          <w:tcPr>
            <w:tcW w:w="1984" w:type="dxa"/>
            <w:tcBorders>
              <w:right w:val="nil"/>
            </w:tcBorders>
          </w:tcPr>
          <w:p w:rsidR="00000000" w:rsidRDefault="00000000">
            <w:pPr>
              <w:tabs>
                <w:tab w:val="clear" w:pos="567"/>
                <w:tab w:val="clear" w:pos="1134"/>
              </w:tabs>
              <w:spacing w:before="40" w:after="40"/>
              <w:ind w:right="680"/>
              <w:jc w:val="right"/>
              <w:rPr>
                <w:sz w:val="20"/>
                <w:lang w:val="en-US"/>
              </w:rPr>
            </w:pPr>
            <w:r>
              <w:rPr>
                <w:sz w:val="20"/>
                <w:lang w:val="en-US"/>
              </w:rPr>
              <w:t>700</w:t>
            </w:r>
          </w:p>
        </w:tc>
        <w:tc>
          <w:tcPr>
            <w:tcW w:w="992" w:type="dxa"/>
            <w:tcBorders>
              <w:left w:val="nil"/>
            </w:tcBorders>
          </w:tcPr>
          <w:p w:rsidR="00000000" w:rsidRDefault="00000000">
            <w:pPr>
              <w:tabs>
                <w:tab w:val="clear" w:pos="567"/>
              </w:tabs>
              <w:spacing w:before="40" w:after="40"/>
              <w:ind w:right="284"/>
              <w:jc w:val="right"/>
              <w:rPr>
                <w:sz w:val="20"/>
                <w:lang w:val="en-US"/>
              </w:rPr>
            </w:pPr>
            <w:r>
              <w:rPr>
                <w:sz w:val="20"/>
                <w:lang w:val="en-US"/>
              </w:rPr>
              <w:t>12,3</w:t>
            </w:r>
          </w:p>
        </w:tc>
      </w:tr>
      <w:tr w:rsidR="00000000">
        <w:tblPrEx>
          <w:tblCellMar>
            <w:top w:w="0" w:type="dxa"/>
            <w:bottom w:w="0" w:type="dxa"/>
          </w:tblCellMar>
        </w:tblPrEx>
        <w:tc>
          <w:tcPr>
            <w:tcW w:w="3652" w:type="dxa"/>
          </w:tcPr>
          <w:p w:rsidR="00000000" w:rsidRDefault="00000000">
            <w:pPr>
              <w:spacing w:before="40" w:after="40"/>
              <w:rPr>
                <w:sz w:val="20"/>
              </w:rPr>
            </w:pPr>
            <w:r>
              <w:rPr>
                <w:sz w:val="20"/>
              </w:rPr>
              <w:t>Услуги и связь</w:t>
            </w:r>
          </w:p>
        </w:tc>
        <w:tc>
          <w:tcPr>
            <w:tcW w:w="1984" w:type="dxa"/>
            <w:tcBorders>
              <w:right w:val="nil"/>
            </w:tcBorders>
          </w:tcPr>
          <w:p w:rsidR="00000000" w:rsidRDefault="00000000">
            <w:pPr>
              <w:tabs>
                <w:tab w:val="clear" w:pos="567"/>
                <w:tab w:val="clear" w:pos="1134"/>
                <w:tab w:val="clear" w:pos="1701"/>
              </w:tabs>
              <w:spacing w:before="40" w:after="40"/>
              <w:ind w:right="567"/>
              <w:jc w:val="right"/>
              <w:rPr>
                <w:sz w:val="20"/>
              </w:rPr>
            </w:pPr>
          </w:p>
        </w:tc>
        <w:tc>
          <w:tcPr>
            <w:tcW w:w="851" w:type="dxa"/>
            <w:tcBorders>
              <w:left w:val="nil"/>
            </w:tcBorders>
          </w:tcPr>
          <w:p w:rsidR="00000000" w:rsidRDefault="00000000">
            <w:pPr>
              <w:tabs>
                <w:tab w:val="clear" w:pos="567"/>
                <w:tab w:val="clear" w:pos="1134"/>
              </w:tabs>
              <w:spacing w:before="40" w:after="40"/>
              <w:ind w:right="227"/>
              <w:jc w:val="right"/>
              <w:rPr>
                <w:sz w:val="20"/>
              </w:rPr>
            </w:pPr>
          </w:p>
        </w:tc>
        <w:tc>
          <w:tcPr>
            <w:tcW w:w="1984" w:type="dxa"/>
            <w:tcBorders>
              <w:right w:val="nil"/>
            </w:tcBorders>
          </w:tcPr>
          <w:p w:rsidR="00000000" w:rsidRDefault="00000000">
            <w:pPr>
              <w:tabs>
                <w:tab w:val="clear" w:pos="567"/>
                <w:tab w:val="clear" w:pos="1134"/>
              </w:tabs>
              <w:spacing w:before="40" w:after="40"/>
              <w:ind w:right="680"/>
              <w:jc w:val="right"/>
              <w:rPr>
                <w:sz w:val="20"/>
              </w:rPr>
            </w:pPr>
          </w:p>
        </w:tc>
        <w:tc>
          <w:tcPr>
            <w:tcW w:w="992" w:type="dxa"/>
            <w:tcBorders>
              <w:left w:val="nil"/>
            </w:tcBorders>
          </w:tcPr>
          <w:p w:rsidR="00000000" w:rsidRDefault="00000000">
            <w:pPr>
              <w:tabs>
                <w:tab w:val="clear" w:pos="567"/>
              </w:tabs>
              <w:spacing w:before="40" w:after="40"/>
              <w:ind w:right="284"/>
              <w:jc w:val="right"/>
              <w:rPr>
                <w:sz w:val="20"/>
              </w:rPr>
            </w:pPr>
          </w:p>
        </w:tc>
      </w:tr>
      <w:tr w:rsidR="00000000">
        <w:tblPrEx>
          <w:tblCellMar>
            <w:top w:w="0" w:type="dxa"/>
            <w:bottom w:w="0" w:type="dxa"/>
          </w:tblCellMar>
        </w:tblPrEx>
        <w:tc>
          <w:tcPr>
            <w:tcW w:w="3652" w:type="dxa"/>
          </w:tcPr>
          <w:p w:rsidR="00000000" w:rsidRDefault="00000000">
            <w:pPr>
              <w:spacing w:before="40" w:after="40"/>
              <w:rPr>
                <w:sz w:val="20"/>
              </w:rPr>
            </w:pPr>
            <w:r>
              <w:rPr>
                <w:sz w:val="20"/>
              </w:rPr>
              <w:t>Администрация</w:t>
            </w:r>
          </w:p>
        </w:tc>
        <w:tc>
          <w:tcPr>
            <w:tcW w:w="1984" w:type="dxa"/>
            <w:tcBorders>
              <w:right w:val="nil"/>
            </w:tcBorders>
          </w:tcPr>
          <w:p w:rsidR="00000000" w:rsidRDefault="00000000">
            <w:pPr>
              <w:tabs>
                <w:tab w:val="clear" w:pos="567"/>
                <w:tab w:val="clear" w:pos="1134"/>
                <w:tab w:val="clear" w:pos="1701"/>
              </w:tabs>
              <w:spacing w:before="40" w:after="40"/>
              <w:ind w:right="567"/>
              <w:jc w:val="right"/>
              <w:rPr>
                <w:sz w:val="20"/>
                <w:lang w:val="en-US"/>
              </w:rPr>
            </w:pPr>
            <w:r>
              <w:rPr>
                <w:sz w:val="20"/>
                <w:lang w:val="en-US"/>
              </w:rPr>
              <w:t>1 211</w:t>
            </w:r>
          </w:p>
        </w:tc>
        <w:tc>
          <w:tcPr>
            <w:tcW w:w="851" w:type="dxa"/>
            <w:tcBorders>
              <w:left w:val="nil"/>
            </w:tcBorders>
          </w:tcPr>
          <w:p w:rsidR="00000000" w:rsidRDefault="00000000">
            <w:pPr>
              <w:tabs>
                <w:tab w:val="clear" w:pos="567"/>
                <w:tab w:val="clear" w:pos="1134"/>
              </w:tabs>
              <w:spacing w:before="40" w:after="40"/>
              <w:ind w:right="227"/>
              <w:jc w:val="right"/>
              <w:rPr>
                <w:sz w:val="20"/>
                <w:lang w:val="en-US"/>
              </w:rPr>
            </w:pPr>
            <w:r>
              <w:rPr>
                <w:sz w:val="20"/>
                <w:lang w:val="en-US"/>
              </w:rPr>
              <w:t>23,5</w:t>
            </w:r>
          </w:p>
        </w:tc>
        <w:tc>
          <w:tcPr>
            <w:tcW w:w="1984" w:type="dxa"/>
            <w:tcBorders>
              <w:right w:val="nil"/>
            </w:tcBorders>
          </w:tcPr>
          <w:p w:rsidR="00000000" w:rsidRDefault="00000000">
            <w:pPr>
              <w:tabs>
                <w:tab w:val="clear" w:pos="567"/>
                <w:tab w:val="clear" w:pos="1134"/>
              </w:tabs>
              <w:spacing w:before="40" w:after="40"/>
              <w:ind w:right="680"/>
              <w:jc w:val="right"/>
              <w:rPr>
                <w:sz w:val="20"/>
                <w:lang w:val="en-US"/>
              </w:rPr>
            </w:pPr>
            <w:r>
              <w:rPr>
                <w:sz w:val="20"/>
                <w:lang w:val="en-US"/>
              </w:rPr>
              <w:t>1 327</w:t>
            </w:r>
          </w:p>
        </w:tc>
        <w:tc>
          <w:tcPr>
            <w:tcW w:w="992" w:type="dxa"/>
            <w:tcBorders>
              <w:left w:val="nil"/>
            </w:tcBorders>
          </w:tcPr>
          <w:p w:rsidR="00000000" w:rsidRDefault="00000000">
            <w:pPr>
              <w:tabs>
                <w:tab w:val="clear" w:pos="567"/>
              </w:tabs>
              <w:spacing w:before="40" w:after="40"/>
              <w:ind w:right="284"/>
              <w:jc w:val="right"/>
              <w:rPr>
                <w:sz w:val="20"/>
                <w:lang w:val="en-US"/>
              </w:rPr>
            </w:pPr>
            <w:r>
              <w:rPr>
                <w:sz w:val="20"/>
                <w:lang w:val="en-US"/>
              </w:rPr>
              <w:t>23,2</w:t>
            </w:r>
          </w:p>
        </w:tc>
      </w:tr>
      <w:tr w:rsidR="00000000">
        <w:tblPrEx>
          <w:tblCellMar>
            <w:top w:w="0" w:type="dxa"/>
            <w:bottom w:w="0" w:type="dxa"/>
          </w:tblCellMar>
        </w:tblPrEx>
        <w:tc>
          <w:tcPr>
            <w:tcW w:w="3652" w:type="dxa"/>
          </w:tcPr>
          <w:p w:rsidR="00000000" w:rsidRDefault="00000000">
            <w:pPr>
              <w:spacing w:before="40" w:after="40"/>
              <w:rPr>
                <w:sz w:val="20"/>
              </w:rPr>
            </w:pPr>
            <w:r>
              <w:rPr>
                <w:sz w:val="20"/>
              </w:rPr>
              <w:t>Надомный труд</w:t>
            </w:r>
          </w:p>
        </w:tc>
        <w:tc>
          <w:tcPr>
            <w:tcW w:w="1984" w:type="dxa"/>
            <w:tcBorders>
              <w:right w:val="nil"/>
            </w:tcBorders>
          </w:tcPr>
          <w:p w:rsidR="00000000" w:rsidRDefault="00000000">
            <w:pPr>
              <w:tabs>
                <w:tab w:val="clear" w:pos="567"/>
                <w:tab w:val="clear" w:pos="1134"/>
                <w:tab w:val="clear" w:pos="1701"/>
              </w:tabs>
              <w:spacing w:before="40" w:after="40"/>
              <w:ind w:right="567"/>
              <w:jc w:val="right"/>
              <w:rPr>
                <w:sz w:val="20"/>
                <w:lang w:val="en-US"/>
              </w:rPr>
            </w:pPr>
            <w:r>
              <w:rPr>
                <w:sz w:val="20"/>
                <w:lang w:val="en-US"/>
              </w:rPr>
              <w:t>829</w:t>
            </w:r>
          </w:p>
        </w:tc>
        <w:tc>
          <w:tcPr>
            <w:tcW w:w="851" w:type="dxa"/>
            <w:tcBorders>
              <w:left w:val="nil"/>
            </w:tcBorders>
          </w:tcPr>
          <w:p w:rsidR="00000000" w:rsidRDefault="00000000">
            <w:pPr>
              <w:tabs>
                <w:tab w:val="clear" w:pos="567"/>
                <w:tab w:val="clear" w:pos="1134"/>
              </w:tabs>
              <w:spacing w:before="40" w:after="40"/>
              <w:ind w:right="227"/>
              <w:jc w:val="right"/>
              <w:rPr>
                <w:sz w:val="20"/>
                <w:lang w:val="en-US"/>
              </w:rPr>
            </w:pPr>
            <w:r>
              <w:rPr>
                <w:sz w:val="20"/>
                <w:lang w:val="en-US"/>
              </w:rPr>
              <w:t>16,0</w:t>
            </w:r>
          </w:p>
        </w:tc>
        <w:tc>
          <w:tcPr>
            <w:tcW w:w="1984" w:type="dxa"/>
            <w:tcBorders>
              <w:right w:val="nil"/>
            </w:tcBorders>
          </w:tcPr>
          <w:p w:rsidR="00000000" w:rsidRDefault="00000000">
            <w:pPr>
              <w:tabs>
                <w:tab w:val="clear" w:pos="567"/>
                <w:tab w:val="clear" w:pos="1134"/>
              </w:tabs>
              <w:spacing w:before="40" w:after="40"/>
              <w:ind w:right="680"/>
              <w:jc w:val="right"/>
              <w:rPr>
                <w:sz w:val="20"/>
                <w:lang w:val="en-US"/>
              </w:rPr>
            </w:pPr>
            <w:r>
              <w:rPr>
                <w:sz w:val="20"/>
                <w:lang w:val="en-US"/>
              </w:rPr>
              <w:t>967</w:t>
            </w:r>
          </w:p>
        </w:tc>
        <w:tc>
          <w:tcPr>
            <w:tcW w:w="992" w:type="dxa"/>
            <w:tcBorders>
              <w:left w:val="nil"/>
            </w:tcBorders>
          </w:tcPr>
          <w:p w:rsidR="00000000" w:rsidRDefault="00000000">
            <w:pPr>
              <w:tabs>
                <w:tab w:val="clear" w:pos="567"/>
              </w:tabs>
              <w:spacing w:before="40" w:after="40"/>
              <w:ind w:right="284"/>
              <w:jc w:val="right"/>
              <w:rPr>
                <w:sz w:val="20"/>
                <w:lang w:val="en-US"/>
              </w:rPr>
            </w:pPr>
            <w:r>
              <w:rPr>
                <w:sz w:val="20"/>
                <w:lang w:val="en-US"/>
              </w:rPr>
              <w:t>16,9</w:t>
            </w:r>
          </w:p>
        </w:tc>
      </w:tr>
      <w:tr w:rsidR="00000000">
        <w:tblPrEx>
          <w:tblCellMar>
            <w:top w:w="0" w:type="dxa"/>
            <w:bottom w:w="0" w:type="dxa"/>
          </w:tblCellMar>
        </w:tblPrEx>
        <w:tc>
          <w:tcPr>
            <w:tcW w:w="3652" w:type="dxa"/>
          </w:tcPr>
          <w:p w:rsidR="00000000" w:rsidRDefault="00000000">
            <w:pPr>
              <w:spacing w:before="40" w:after="40"/>
              <w:rPr>
                <w:sz w:val="20"/>
              </w:rPr>
            </w:pPr>
            <w:r>
              <w:rPr>
                <w:sz w:val="20"/>
              </w:rPr>
              <w:t>Безработные</w:t>
            </w:r>
          </w:p>
        </w:tc>
        <w:tc>
          <w:tcPr>
            <w:tcW w:w="1984" w:type="dxa"/>
            <w:tcBorders>
              <w:right w:val="nil"/>
            </w:tcBorders>
          </w:tcPr>
          <w:p w:rsidR="00000000" w:rsidRDefault="00000000">
            <w:pPr>
              <w:tabs>
                <w:tab w:val="clear" w:pos="567"/>
                <w:tab w:val="clear" w:pos="1134"/>
                <w:tab w:val="clear" w:pos="1701"/>
              </w:tabs>
              <w:spacing w:before="40" w:after="40"/>
              <w:ind w:right="567"/>
              <w:jc w:val="right"/>
              <w:rPr>
                <w:sz w:val="20"/>
                <w:lang w:val="en-US"/>
              </w:rPr>
            </w:pPr>
            <w:r>
              <w:rPr>
                <w:sz w:val="20"/>
                <w:lang w:val="en-US"/>
              </w:rPr>
              <w:t>1 660</w:t>
            </w:r>
          </w:p>
        </w:tc>
        <w:tc>
          <w:tcPr>
            <w:tcW w:w="851" w:type="dxa"/>
            <w:tcBorders>
              <w:left w:val="nil"/>
            </w:tcBorders>
          </w:tcPr>
          <w:p w:rsidR="00000000" w:rsidRDefault="00000000">
            <w:pPr>
              <w:tabs>
                <w:tab w:val="clear" w:pos="567"/>
                <w:tab w:val="clear" w:pos="1134"/>
              </w:tabs>
              <w:spacing w:before="40" w:after="40"/>
              <w:ind w:right="227"/>
              <w:jc w:val="right"/>
              <w:rPr>
                <w:sz w:val="20"/>
              </w:rPr>
            </w:pPr>
          </w:p>
        </w:tc>
        <w:tc>
          <w:tcPr>
            <w:tcW w:w="1984" w:type="dxa"/>
            <w:tcBorders>
              <w:right w:val="nil"/>
            </w:tcBorders>
          </w:tcPr>
          <w:p w:rsidR="00000000" w:rsidRDefault="00000000">
            <w:pPr>
              <w:tabs>
                <w:tab w:val="clear" w:pos="567"/>
                <w:tab w:val="clear" w:pos="1134"/>
              </w:tabs>
              <w:spacing w:before="40" w:after="40"/>
              <w:ind w:right="680"/>
              <w:jc w:val="right"/>
              <w:rPr>
                <w:sz w:val="20"/>
                <w:lang w:val="en-US"/>
              </w:rPr>
            </w:pPr>
            <w:r>
              <w:rPr>
                <w:sz w:val="20"/>
                <w:lang w:val="en-US"/>
              </w:rPr>
              <w:t>2 359</w:t>
            </w:r>
          </w:p>
        </w:tc>
        <w:tc>
          <w:tcPr>
            <w:tcW w:w="992" w:type="dxa"/>
            <w:tcBorders>
              <w:left w:val="nil"/>
            </w:tcBorders>
          </w:tcPr>
          <w:p w:rsidR="00000000" w:rsidRDefault="00000000">
            <w:pPr>
              <w:tabs>
                <w:tab w:val="clear" w:pos="567"/>
              </w:tabs>
              <w:spacing w:before="40" w:after="40"/>
              <w:ind w:right="284"/>
              <w:jc w:val="right"/>
              <w:rPr>
                <w:sz w:val="20"/>
              </w:rPr>
            </w:pPr>
          </w:p>
        </w:tc>
      </w:tr>
      <w:tr w:rsidR="00000000">
        <w:tblPrEx>
          <w:tblCellMar>
            <w:top w:w="0" w:type="dxa"/>
            <w:bottom w:w="0" w:type="dxa"/>
          </w:tblCellMar>
        </w:tblPrEx>
        <w:tc>
          <w:tcPr>
            <w:tcW w:w="3652" w:type="dxa"/>
          </w:tcPr>
          <w:p w:rsidR="00000000" w:rsidRDefault="00000000">
            <w:pPr>
              <w:spacing w:before="40" w:after="40"/>
              <w:rPr>
                <w:sz w:val="20"/>
              </w:rPr>
            </w:pPr>
            <w:r>
              <w:rPr>
                <w:sz w:val="20"/>
              </w:rPr>
              <w:t>Уровень безработицы</w:t>
            </w:r>
          </w:p>
        </w:tc>
        <w:tc>
          <w:tcPr>
            <w:tcW w:w="1984" w:type="dxa"/>
            <w:tcBorders>
              <w:right w:val="nil"/>
            </w:tcBorders>
          </w:tcPr>
          <w:p w:rsidR="00000000" w:rsidRDefault="00000000">
            <w:pPr>
              <w:tabs>
                <w:tab w:val="clear" w:pos="567"/>
                <w:tab w:val="clear" w:pos="1134"/>
                <w:tab w:val="clear" w:pos="1701"/>
              </w:tabs>
              <w:spacing w:before="40" w:after="40"/>
              <w:ind w:right="567"/>
              <w:jc w:val="right"/>
              <w:rPr>
                <w:sz w:val="20"/>
              </w:rPr>
            </w:pPr>
          </w:p>
        </w:tc>
        <w:tc>
          <w:tcPr>
            <w:tcW w:w="851" w:type="dxa"/>
            <w:tcBorders>
              <w:left w:val="nil"/>
            </w:tcBorders>
          </w:tcPr>
          <w:p w:rsidR="00000000" w:rsidRDefault="00000000">
            <w:pPr>
              <w:tabs>
                <w:tab w:val="clear" w:pos="567"/>
                <w:tab w:val="clear" w:pos="1134"/>
              </w:tabs>
              <w:spacing w:before="40" w:after="40"/>
              <w:ind w:right="227"/>
              <w:jc w:val="right"/>
              <w:rPr>
                <w:sz w:val="20"/>
                <w:lang w:val="en-US"/>
              </w:rPr>
            </w:pPr>
            <w:r>
              <w:rPr>
                <w:sz w:val="20"/>
                <w:lang w:val="en-US"/>
              </w:rPr>
              <w:t>24,4</w:t>
            </w:r>
          </w:p>
        </w:tc>
        <w:tc>
          <w:tcPr>
            <w:tcW w:w="1984" w:type="dxa"/>
            <w:tcBorders>
              <w:right w:val="nil"/>
            </w:tcBorders>
          </w:tcPr>
          <w:p w:rsidR="00000000" w:rsidRDefault="00000000">
            <w:pPr>
              <w:tabs>
                <w:tab w:val="clear" w:pos="567"/>
                <w:tab w:val="clear" w:pos="1134"/>
              </w:tabs>
              <w:spacing w:before="40" w:after="40"/>
              <w:ind w:right="680"/>
              <w:jc w:val="right"/>
              <w:rPr>
                <w:sz w:val="20"/>
              </w:rPr>
            </w:pPr>
          </w:p>
        </w:tc>
        <w:tc>
          <w:tcPr>
            <w:tcW w:w="992" w:type="dxa"/>
            <w:tcBorders>
              <w:left w:val="nil"/>
            </w:tcBorders>
          </w:tcPr>
          <w:p w:rsidR="00000000" w:rsidRDefault="00000000">
            <w:pPr>
              <w:tabs>
                <w:tab w:val="clear" w:pos="567"/>
              </w:tabs>
              <w:spacing w:before="40" w:after="40"/>
              <w:ind w:right="284"/>
              <w:jc w:val="right"/>
              <w:rPr>
                <w:sz w:val="20"/>
                <w:lang w:val="en-US"/>
              </w:rPr>
            </w:pPr>
            <w:r>
              <w:rPr>
                <w:sz w:val="20"/>
                <w:lang w:val="en-US"/>
              </w:rPr>
              <w:t>29,2</w:t>
            </w:r>
          </w:p>
        </w:tc>
      </w:tr>
    </w:tbl>
    <w:p w:rsidR="00000000" w:rsidRDefault="00000000"/>
    <w:p w:rsidR="00000000" w:rsidRDefault="00000000">
      <w:pPr>
        <w:jc w:val="center"/>
        <w:rPr>
          <w:u w:val="single"/>
        </w:rPr>
      </w:pPr>
      <w:r>
        <w:t>3.</w:t>
      </w:r>
      <w:r>
        <w:tab/>
      </w:r>
      <w:r>
        <w:rPr>
          <w:u w:val="single"/>
        </w:rPr>
        <w:t>Конкретные меры по борьбе с безработицей</w:t>
      </w:r>
    </w:p>
    <w:p w:rsidR="00000000" w:rsidRDefault="00000000">
      <w:pPr>
        <w:jc w:val="center"/>
        <w:rPr>
          <w:u w:val="single"/>
        </w:rPr>
      </w:pPr>
    </w:p>
    <w:p w:rsidR="00000000" w:rsidRDefault="00000000">
      <w:r>
        <w:t>62.</w:t>
      </w:r>
      <w:r>
        <w:tab/>
        <w:t>В целях преодоления трудностей, связанных с осуществлением программы структурной перестройки, правительством принят ряд мер, призванных ослабить негативное воздействие проводимых реформ на уровень занятости.  Эти меры предусматривают, в частности, создание следующих соответствующих механизмов или учреждений.</w:t>
      </w:r>
    </w:p>
    <w:p w:rsidR="00000000" w:rsidRDefault="00000000"/>
    <w:p w:rsidR="00000000" w:rsidRDefault="00000000">
      <w:r>
        <w:t>63.</w:t>
      </w:r>
      <w:r>
        <w:tab/>
        <w:t>Система страхования на случай безработицы в интересах работников, рискующих потерять заработок по не зависящим от них причинам или по экономическим причинам (закон № 98</w:t>
      </w:r>
      <w:r>
        <w:noBreakHyphen/>
        <w:t>07 от 2 августа 1998 года о внесении изменений и дополнений в законодательный декрет № 94</w:t>
      </w:r>
      <w:r>
        <w:noBreakHyphen/>
        <w:t>11 от 26 мая 1994 года).</w:t>
      </w:r>
      <w:r>
        <w:rPr>
          <w:lang w:val="en-US"/>
        </w:rPr>
        <w:t xml:space="preserve"> </w:t>
      </w:r>
      <w:r>
        <w:t xml:space="preserve"> Этот созданный в 1994 году механизм распоряжается средствами, складывающимися из страховых взносов на случай безработицы, уплачиваемых работниками и нанимателями соответственно в размере </w:t>
      </w:r>
      <w:proofErr w:type="spellStart"/>
      <w:r>
        <w:t>1,5%</w:t>
      </w:r>
      <w:proofErr w:type="spellEnd"/>
      <w:r>
        <w:t xml:space="preserve"> и </w:t>
      </w:r>
      <w:proofErr w:type="spellStart"/>
      <w:r>
        <w:t>2,5%</w:t>
      </w:r>
      <w:proofErr w:type="spellEnd"/>
      <w:r>
        <w:t xml:space="preserve"> от общей суммы зарплаты.  Предприятие вносит в Национальную страховую кассу безработных (</w:t>
      </w:r>
      <w:proofErr w:type="spellStart"/>
      <w:r>
        <w:t>НСКБ</w:t>
      </w:r>
      <w:proofErr w:type="spellEnd"/>
      <w:r>
        <w:t>) в момент сокращения работника взнос в связи с возникновением прав (</w:t>
      </w:r>
      <w:proofErr w:type="spellStart"/>
      <w:r>
        <w:t>ВВП</w:t>
      </w:r>
      <w:proofErr w:type="spellEnd"/>
      <w:r>
        <w:t xml:space="preserve">), равный </w:t>
      </w:r>
      <w:proofErr w:type="spellStart"/>
      <w:r>
        <w:t>80%</w:t>
      </w:r>
      <w:proofErr w:type="spellEnd"/>
      <w:r>
        <w:t xml:space="preserve"> годовой зарплаты каждого сокращаемого работника.  "Сокращенные" работники, не получившие права выхода на обычную или досрочную пенсию, пользуются правом на временное содержание </w:t>
      </w:r>
      <w:proofErr w:type="spellStart"/>
      <w:r>
        <w:t>НСКБ</w:t>
      </w:r>
      <w:proofErr w:type="spellEnd"/>
      <w:r>
        <w:t xml:space="preserve"> в рамках страхования на случай безработицы на срок от 12 до 36 месяцев и получают ежемесячное пособие в размере от трех четвертей до трех ставок </w:t>
      </w:r>
      <w:proofErr w:type="spellStart"/>
      <w:r>
        <w:t>межпрофессионального</w:t>
      </w:r>
      <w:proofErr w:type="spellEnd"/>
      <w:r>
        <w:t xml:space="preserve"> гарантированного минимума заработной платы.  Кроме того, </w:t>
      </w:r>
      <w:proofErr w:type="spellStart"/>
      <w:r>
        <w:t>НСКБ</w:t>
      </w:r>
      <w:proofErr w:type="spellEnd"/>
      <w:r>
        <w:t xml:space="preserve"> организует курсы переподготовки для расширения возможностей использования сокращаемых работников на других работах и поощряет создание </w:t>
      </w:r>
      <w:proofErr w:type="spellStart"/>
      <w:r>
        <w:t>микропредприятий</w:t>
      </w:r>
      <w:proofErr w:type="spellEnd"/>
      <w:r>
        <w:t>.  На основании изменения, внесенного в постановление правительства № 97</w:t>
      </w:r>
      <w:r>
        <w:noBreakHyphen/>
        <w:t>01 от 11 января 1997 года (</w:t>
      </w:r>
      <w:proofErr w:type="spellStart"/>
      <w:r>
        <w:rPr>
          <w:lang w:val="en-US"/>
        </w:rPr>
        <w:t>JORA</w:t>
      </w:r>
      <w:proofErr w:type="spellEnd"/>
      <w:r>
        <w:rPr>
          <w:lang w:val="en-US"/>
        </w:rPr>
        <w:t xml:space="preserve"> </w:t>
      </w:r>
      <w:proofErr w:type="spellStart"/>
      <w:r>
        <w:rPr>
          <w:lang w:val="en-US"/>
        </w:rPr>
        <w:t>No.03</w:t>
      </w:r>
      <w:proofErr w:type="spellEnd"/>
      <w:r>
        <w:rPr>
          <w:lang w:val="en-US"/>
        </w:rPr>
        <w:noBreakHyphen/>
        <w:t>1997)</w:t>
      </w:r>
      <w:r>
        <w:t xml:space="preserve"> установлено пособие на случай потери заработка "из-за неблагоприятных погодных условий" для работников сектора строительства и общественных работ и гидротехнического сектора.</w:t>
      </w:r>
    </w:p>
    <w:p w:rsidR="00000000" w:rsidRDefault="00000000"/>
    <w:p w:rsidR="00000000" w:rsidRDefault="00000000">
      <w:r>
        <w:t>64.</w:t>
      </w:r>
      <w:r>
        <w:tab/>
        <w:t>Выкуп акций работниками ликвидируемого предприятия:  использование этого механизма стало возможным благодаря внесению изменений в закон о приватизации от августа 1995 года.  На основе плана реструктуризации и программы выполнения обязательств, а также благодаря полученным банковским ссудам эта формула позволила на конец 1998 года 31 419 работникам стать акционерами предприятий, на которых они работали.  С помощью этого механизма в руки работников перешло более 1 000 предприятий.</w:t>
      </w:r>
    </w:p>
    <w:p w:rsidR="00000000" w:rsidRDefault="00000000"/>
    <w:p w:rsidR="00000000" w:rsidRDefault="00000000">
      <w:r>
        <w:t>65.</w:t>
      </w:r>
      <w:r>
        <w:tab/>
        <w:t>Программа оплачиваемой работы по местной инициативе (</w:t>
      </w:r>
      <w:proofErr w:type="spellStart"/>
      <w:r>
        <w:t>ЕСИЛ</w:t>
      </w:r>
      <w:proofErr w:type="spellEnd"/>
      <w:r>
        <w:t>):  этот механизм позволяет молодым людям, не имеющим работы, приобретать профессиональный опыт на каком</w:t>
      </w:r>
      <w:r>
        <w:noBreakHyphen/>
        <w:t>либо предприятии или в администрации в течение 3</w:t>
      </w:r>
      <w:r>
        <w:noBreakHyphen/>
        <w:t>12 месяцев.  Выделяемые в связи с этим местным общинам дотации идут на покрытие расходов, связанных с выплатой заработной платы, но в то же время их предоставление оговорено условием приема на постоянную работу части этих молодых людей.</w:t>
      </w:r>
    </w:p>
    <w:p w:rsidR="00000000" w:rsidRDefault="00000000"/>
    <w:p w:rsidR="00000000" w:rsidRDefault="00000000">
      <w:r>
        <w:t>66.</w:t>
      </w:r>
      <w:r>
        <w:tab/>
        <w:t>Механизм трудоустройства молодых выпускников высших или средних специальных учебных заведений в рамках контрактов предварительного найма (</w:t>
      </w:r>
      <w:proofErr w:type="spellStart"/>
      <w:r>
        <w:t>КПН</w:t>
      </w:r>
      <w:proofErr w:type="spellEnd"/>
      <w:r>
        <w:t xml:space="preserve">) (циркулярное письмо № 008 от 29 июня 1998 года).  Этот созданный в июле 1998 года механизм предназначен для молодых дипломированных выпускников университетов или высших технических учебных заведений в возрасте от 19 до 35 лет.  Его услугами могут также воспользоваться не имеющие работы лица, ранее занятые в соответствии с промежуточными программами, такими, как </w:t>
      </w:r>
      <w:proofErr w:type="spellStart"/>
      <w:r>
        <w:t>ЕСИЛ</w:t>
      </w:r>
      <w:proofErr w:type="spellEnd"/>
      <w:r>
        <w:t xml:space="preserve"> или программы общественно-полезной деятельности.  Продолжительность контракта составляет один год, контракт может быть возобновлен, и финансирование этих проектов осуществляется из государственного бюджета.  Обладатель контракта предварительного найма получает</w:t>
      </w:r>
    </w:p>
    <w:p w:rsidR="00000000" w:rsidRDefault="00000000">
      <w:r>
        <w:br w:type="page"/>
        <w:t>рабочий сертификат, которым он сможет впоследствии воспользоваться для поступления на работу.  Выплачиваемое вознаграждение приблизительно равняется национальной минимальной гарантированной заработной плате (</w:t>
      </w:r>
      <w:proofErr w:type="spellStart"/>
      <w:r>
        <w:t>НМГЗ</w:t>
      </w:r>
      <w:proofErr w:type="spellEnd"/>
      <w:r>
        <w:t>).</w:t>
      </w:r>
    </w:p>
    <w:p w:rsidR="00000000" w:rsidRDefault="00000000"/>
    <w:p w:rsidR="00000000" w:rsidRDefault="00000000">
      <w:r>
        <w:t>67.</w:t>
      </w:r>
      <w:r>
        <w:tab/>
        <w:t xml:space="preserve">Национальное агентство поддержки занятости молодежи:  учреждение, созданное в сентябре 1996 года и приступившее к работе во втором квартале 1997 года.  Агентству поручено поддерживать и поощрять инвестиционные проекты и проекты создания </w:t>
      </w:r>
      <w:proofErr w:type="spellStart"/>
      <w:r>
        <w:t>микропредприятий</w:t>
      </w:r>
      <w:proofErr w:type="spellEnd"/>
      <w:r>
        <w:t xml:space="preserve">, предлагаемые молодыми предпринимателями, инвестирующими от </w:t>
      </w:r>
      <w:proofErr w:type="spellStart"/>
      <w:r>
        <w:t>5%</w:t>
      </w:r>
      <w:proofErr w:type="spellEnd"/>
      <w:r>
        <w:t xml:space="preserve"> до </w:t>
      </w:r>
      <w:proofErr w:type="spellStart"/>
      <w:r>
        <w:t>20%</w:t>
      </w:r>
      <w:proofErr w:type="spellEnd"/>
      <w:r>
        <w:t xml:space="preserve"> собственного капитала в реализацию проектов капиталовложений.  Услугами агентства могут также пользоваться работники, потерявшие свои места в результате сокращения кадров.  Этот механизм предназначен для молодых людей не старше 35 лет, безработных, освобожденных от обязательств прохождения национальной службы и обладающих стартовым капиталом.  В настоящее время уже действуют 3 570 </w:t>
      </w:r>
      <w:proofErr w:type="spellStart"/>
      <w:r>
        <w:t>микропредприятий</w:t>
      </w:r>
      <w:proofErr w:type="spellEnd"/>
      <w:r>
        <w:t>.  Следует отметить, что на конец марта 1998 года в агентстве насчитывалось 22 700 заявок, из которых более 16 000 могли быть удовлетворены государством с установлением соответствующих льгот.  На данный момент на заключительной стадии рассмотрения находится 3 160 проектов, финансируемых за счет государства, и 3 980 </w:t>
      </w:r>
      <w:proofErr w:type="spellStart"/>
      <w:r>
        <w:t>самофинансируемых</w:t>
      </w:r>
      <w:proofErr w:type="spellEnd"/>
      <w:r>
        <w:t xml:space="preserve"> проектов или проектов со смешанным финансированием.  Кроме того, на основании исполнительного декрета от 9 июня (</w:t>
      </w:r>
      <w:proofErr w:type="spellStart"/>
      <w:r>
        <w:rPr>
          <w:lang w:val="en-US"/>
        </w:rPr>
        <w:t>No.98</w:t>
      </w:r>
      <w:proofErr w:type="spellEnd"/>
      <w:r>
        <w:rPr>
          <w:lang w:val="en-US"/>
        </w:rPr>
        <w:noBreakHyphen/>
        <w:t>200 </w:t>
      </w:r>
      <w:r>
        <w:rPr>
          <w:lang w:val="en-US"/>
        </w:rPr>
        <w:noBreakHyphen/>
        <w:t xml:space="preserve"> </w:t>
      </w:r>
      <w:proofErr w:type="spellStart"/>
      <w:r>
        <w:rPr>
          <w:lang w:val="en-US"/>
        </w:rPr>
        <w:t>JORA</w:t>
      </w:r>
      <w:proofErr w:type="spellEnd"/>
      <w:r>
        <w:rPr>
          <w:lang w:val="en-US"/>
        </w:rPr>
        <w:t xml:space="preserve"> </w:t>
      </w:r>
      <w:proofErr w:type="spellStart"/>
      <w:r>
        <w:rPr>
          <w:lang w:val="en-US"/>
        </w:rPr>
        <w:t>No.42</w:t>
      </w:r>
      <w:proofErr w:type="spellEnd"/>
      <w:r>
        <w:rPr>
          <w:lang w:val="en-US"/>
        </w:rPr>
        <w:noBreakHyphen/>
        <w:t>1998</w:t>
      </w:r>
      <w:r>
        <w:t>) создан фонд взаимного страхования рисков, связанных с кредитованием молодых предпринимателей.</w:t>
      </w:r>
    </w:p>
    <w:p w:rsidR="00000000" w:rsidRDefault="00000000"/>
    <w:p w:rsidR="00000000" w:rsidRDefault="00000000">
      <w:r>
        <w:t>68.</w:t>
      </w:r>
      <w:r>
        <w:tab/>
        <w:t>Согласно недавним статистическим данным в 1998 году было создано 441 834 рабочих места (против 394 274 в 1997 году).  Следует подчеркнуть, что из этих рабочих мест 209 518 являются постоянными (против 175 655 в 1997 году) и к ним добавляются 232 316 рабочих мест, рассматриваемых как "эквивалентные постоянным  рабочим местам" (против 218 619 в 1997 году).</w:t>
      </w:r>
    </w:p>
    <w:p w:rsidR="00000000" w:rsidRDefault="00000000"/>
    <w:p w:rsidR="00000000" w:rsidRDefault="00000000">
      <w:r>
        <w:t>69.</w:t>
      </w:r>
      <w:r>
        <w:tab/>
        <w:t>Что касается постоянных рабочих мест, то больше всего их насчитывается в частном секторе </w:t>
      </w:r>
      <w:r>
        <w:noBreakHyphen/>
        <w:t xml:space="preserve"> 51 604 рабочих места (против 57 244 в 1997 году);  далее следуют рабочие места соответственно в администрации и на государственной службе, где насчитывается 40 736 мест (против 23 219), места, созданные по линии Национального агентства поддержки занятости молодежи </w:t>
      </w:r>
      <w:r>
        <w:noBreakHyphen/>
        <w:t xml:space="preserve"> 37 999, места на предприятиях государственного сектора </w:t>
      </w:r>
      <w:r>
        <w:noBreakHyphen/>
        <w:t xml:space="preserve"> 34 548 мест (против 23 219), места, созданные благодаря приватизации в интересах работников </w:t>
      </w:r>
      <w:r>
        <w:noBreakHyphen/>
        <w:t xml:space="preserve"> 31 419 мест.  Кроме того, 6 972 рабочих места созданы в рамках сельскохозяйственных концессий, 4 898 мест </w:t>
      </w:r>
      <w:r>
        <w:noBreakHyphen/>
        <w:t xml:space="preserve"> по контрактам предварительного найма и 1 342 рабочих места </w:t>
      </w:r>
      <w:r>
        <w:noBreakHyphen/>
        <w:t xml:space="preserve"> благодаря реализации программ, финансируемых за счет внешних кредитов.</w:t>
      </w:r>
    </w:p>
    <w:p w:rsidR="00000000" w:rsidRDefault="00000000"/>
    <w:p w:rsidR="00000000" w:rsidRDefault="00000000">
      <w:r>
        <w:t>70.</w:t>
      </w:r>
      <w:r>
        <w:tab/>
        <w:t xml:space="preserve">Говоря о рабочих местах, рассматриваемых в качестве "эквивалентных постоянным рабочим местам", следует отметить, что 125 715 из 232 316 созданных рабочих мест относятся к "общественно полезной деятельности" (против 125 337 в 1997 году), 72 212 – к "программе оплачиваемой работы по местной инициативе" (против 86 157) и 34 389 – к трудоемким общественным работам "Туп </w:t>
      </w:r>
      <w:proofErr w:type="spellStart"/>
      <w:r>
        <w:t>Химо</w:t>
      </w:r>
      <w:proofErr w:type="spellEnd"/>
      <w:r>
        <w:t>" (против 7 125 в 1997 году).</w:t>
      </w:r>
    </w:p>
    <w:p w:rsidR="00000000" w:rsidRDefault="00000000"/>
    <w:p w:rsidR="00000000" w:rsidRDefault="00000000">
      <w:r>
        <w:t>71.</w:t>
      </w:r>
      <w:r>
        <w:tab/>
        <w:t>Разработанные в настоящее время положения призваны сгладить давление и социальные издержки, вызванные структурной перестройкой, и обеспечить преодоление последствий спада в социальной сфере.  Постепенно они будут подкрепляться другими механизмами, которые уже используются на экспериментальной основе по аналогии с режимом концессии или разрабатываются в качестве крупномасштабных проектов или мероприятий по освоению сельскохозяйственных земель.</w:t>
      </w:r>
    </w:p>
    <w:p w:rsidR="00000000" w:rsidRDefault="00000000"/>
    <w:p w:rsidR="00000000" w:rsidRDefault="00000000">
      <w:r>
        <w:t>72.</w:t>
      </w:r>
      <w:r>
        <w:tab/>
        <w:t>Надомная работа считается приносящей доход деятельностью, которая не подразумевает классические трудовые отношения.  Хотя она не охватывается статистикой, все больше отмечается тот факт, что на дому таким образом занято значительное число женщин.  Существует и другая форма надомного труда.  Этот вид занятости, который начал регламентироваться с декабря 1998 года, обеспечивает широкому кругу женщин возможность осуществления экономической деятельности и получения соответствующих доходов и социальных льгот.  Регламентированию и вознаграждению подлежит работа неполный рабочий день;  она предусматривает такие же социальные льготы, как занятость в течение полного рабочего дня.</w:t>
      </w:r>
    </w:p>
    <w:p w:rsidR="00000000" w:rsidRDefault="00000000"/>
    <w:p w:rsidR="00000000" w:rsidRDefault="00000000">
      <w:r>
        <w:t>73.</w:t>
      </w:r>
      <w:r>
        <w:tab/>
        <w:t xml:space="preserve">В сфере профессиональной подготовки достигнут сравнительно высокий уровень, позволяющий качественно удовлетворять существующие потребности и способствовать развитию людских ресурсов.  В этом секторе, который насчитывает не менее 400 000 стажеров, </w:t>
      </w:r>
      <w:proofErr w:type="spellStart"/>
      <w:r>
        <w:t>50,3%</w:t>
      </w:r>
      <w:proofErr w:type="spellEnd"/>
      <w:r>
        <w:t xml:space="preserve"> молодых учащихся составляют девушки.  </w:t>
      </w:r>
    </w:p>
    <w:p w:rsidR="00000000" w:rsidRDefault="00000000"/>
    <w:p w:rsidR="00000000" w:rsidRDefault="00000000">
      <w:r>
        <w:t>74.</w:t>
      </w:r>
      <w:r>
        <w:tab/>
        <w:t>И наконец, в Основном законе признается право на владение собственностью и ее использование;  в статье 52 Основного закона отмечается, что "частная собственность гарантируется".  Кроме того, в статье 66 указывается, что "каждый гражданин обязан […] уважать собственность других".  Это положение также распространяется на иностранцев, которые находятся в Алжире на законных основаниях, поскольку в статье 67 отмечается, что "всякий иностранец, законно проживающий на территории страны, пользуется […] защитой закона в том, что касается его имущества".</w:t>
      </w:r>
    </w:p>
    <w:p w:rsidR="00000000" w:rsidRDefault="00000000"/>
    <w:p w:rsidR="00000000" w:rsidRDefault="00000000">
      <w:r>
        <w:t>75.</w:t>
      </w:r>
      <w:r>
        <w:tab/>
        <w:t>В статье 20 Конституции закрепляются меры, гарантирующие защиту прав граждан и иностранцев:  "Экспроприация может осуществляться только в рамках закона.  Она предполагает выплату справедливой и сбалансированной компенсации".  Нарушение права собственности других лиц карается санкциями, предусмотренными, в частности, статьями 395, 397, 398 и 450, пункт 4, Уголовного кодекса.</w:t>
      </w:r>
    </w:p>
    <w:p w:rsidR="00000000" w:rsidRDefault="00000000"/>
    <w:p w:rsidR="00000000" w:rsidRDefault="00000000">
      <w:pPr>
        <w:pStyle w:val="11"/>
        <w:rPr>
          <w:i/>
          <w:iCs/>
          <w:u w:val="none"/>
        </w:rPr>
      </w:pPr>
      <w:r>
        <w:rPr>
          <w:i/>
          <w:iCs/>
          <w:u w:val="none"/>
        </w:rPr>
        <w:t>Статья 7</w:t>
      </w:r>
    </w:p>
    <w:p w:rsidR="00000000" w:rsidRDefault="00000000">
      <w:pPr>
        <w:pStyle w:val="11"/>
      </w:pPr>
    </w:p>
    <w:p w:rsidR="00000000" w:rsidRDefault="00000000">
      <w:pPr>
        <w:jc w:val="center"/>
        <w:rPr>
          <w:u w:val="single"/>
        </w:rPr>
      </w:pPr>
      <w:r>
        <w:rPr>
          <w:u w:val="single"/>
        </w:rPr>
        <w:t>Право на справедливые и благоприятные условия труда</w:t>
      </w:r>
    </w:p>
    <w:p w:rsidR="00000000" w:rsidRDefault="00000000">
      <w:pPr>
        <w:jc w:val="center"/>
        <w:rPr>
          <w:u w:val="single"/>
        </w:rPr>
      </w:pPr>
    </w:p>
    <w:p w:rsidR="00000000" w:rsidRDefault="00000000">
      <w:r>
        <w:t>76.</w:t>
      </w:r>
      <w:r>
        <w:tab/>
        <w:t>Как указывается в материалах по статье 3, предусматривающей равноправие мужчин и женщин, данный принцип строго соблюдается в сфере труда.  Если говорить о соответствующем действующем законодательстве, то в статье 25 закона № 92-06 от 27 февраля 1992 года, касающегося индивидуальных трудовых отношений, запрещается всякое ограничение прав или преимуществ по признаку пола.  Это положение в равной степени применяется к найму на работу, к заработной плате и другим пособиям, повышению квалификации и продвижению по службе.  В то же время в статье 15 этого Закона отмечается, что "женщины пользуются особыми привилегиями, затрагивающими общие условия занятости и предупреждение профессиональных рисков".  Статья 16 Закона не допускает использование труда женщин на опасных, тяжелых и вредных работах.</w:t>
      </w:r>
    </w:p>
    <w:p w:rsidR="00000000" w:rsidRDefault="00000000"/>
    <w:p w:rsidR="00000000" w:rsidRDefault="00000000">
      <w:r>
        <w:t>77.</w:t>
      </w:r>
      <w:r>
        <w:tab/>
        <w:t>Предусматриваются следующие конкретные меры по охране прав женщин, в частности, в связи с материнскими обязанностями и ее ролью в семье:  запрещение работы в ночное время;  запрещение работы в официальные выходные дни;  запрещение применения труда женщин на опасных, тяжелых или вредных для здоровья работах;  предоставление отпуска на период до и после родов;  перерывы на кормление грудью (два часа в день в течение первых шести месяцев и один час в день в течение следующих шести месяцев);  и сохранение заработной платы за время отпуска по беременности и родам.  При этом все работодатели обязаны разработать коллективный договор и правила внутреннего распорядка, которые представляются в Трудовую инспекцию для рассмотрения на предмет соответствия положениям Закона.  Коллективное трудовое соглашение заключается между представителями трудящихся и конкретным работодателем.</w:t>
      </w:r>
    </w:p>
    <w:p w:rsidR="00000000" w:rsidRDefault="00000000"/>
    <w:p w:rsidR="00000000" w:rsidRDefault="00000000">
      <w:r>
        <w:t>78.</w:t>
      </w:r>
      <w:r>
        <w:tab/>
        <w:t>Вплоть до настоящего времени алжирские суды не рассматривали трудовых споров, связанных с несоблюдением государственными или частными работодателями действующих нормативных положений, например с выплатой заработной платы ниже уровня национальной минимальной гарантированной заработной платы (</w:t>
      </w:r>
      <w:proofErr w:type="spellStart"/>
      <w:r>
        <w:t>НМГЗП</w:t>
      </w:r>
      <w:proofErr w:type="spellEnd"/>
      <w:r>
        <w:t>) или дискриминацией в вопросах вознаграждения или предоставления иных льгот, обусловленных трудовыми отношениями.</w:t>
      </w:r>
    </w:p>
    <w:p w:rsidR="00000000" w:rsidRDefault="00000000"/>
    <w:p w:rsidR="00000000" w:rsidRDefault="00000000">
      <w:r>
        <w:t>79.</w:t>
      </w:r>
      <w:r>
        <w:tab/>
        <w:t xml:space="preserve">Применительно к стимулированию занятости трудящихся-женщин следует отметить существенное увеличение количества детских садов и яслей, а также предоставление с 1992 года права частному сектору и ассоциациям осуществлять деятельность в данном секторе.  Кроме того, была разрешена и регламентирована практика ухода за детьми на дому. </w:t>
      </w:r>
    </w:p>
    <w:p w:rsidR="00000000" w:rsidRDefault="00000000"/>
    <w:p w:rsidR="00000000" w:rsidRDefault="00000000">
      <w:pPr>
        <w:pStyle w:val="16"/>
        <w:rPr>
          <w:i/>
          <w:iCs/>
        </w:rPr>
      </w:pPr>
      <w:r>
        <w:rPr>
          <w:i/>
          <w:iCs/>
        </w:rPr>
        <w:t>Статья 8</w:t>
      </w:r>
    </w:p>
    <w:p w:rsidR="00000000" w:rsidRDefault="00000000">
      <w:pPr>
        <w:pStyle w:val="16"/>
      </w:pPr>
    </w:p>
    <w:p w:rsidR="00000000" w:rsidRDefault="00000000">
      <w:pPr>
        <w:pStyle w:val="11"/>
      </w:pPr>
      <w:r>
        <w:t>Свобода ассоциации и профсоюзные свободы</w:t>
      </w:r>
    </w:p>
    <w:p w:rsidR="00000000" w:rsidRDefault="00000000">
      <w:pPr>
        <w:pStyle w:val="11"/>
      </w:pPr>
    </w:p>
    <w:p w:rsidR="00000000" w:rsidRDefault="00000000">
      <w:r>
        <w:t>80.</w:t>
      </w:r>
      <w:r>
        <w:tab/>
        <w:t>Право на свободу ассоциации занимает важное место в Алжире.  После политических партий профсоюзное движение является сегодня одним из наиболее динамичных и неотъемлемых факторов общественной, культурной и научной жизни.  Облегчение разрешительной процедуры в соответствии с законом № 90</w:t>
      </w:r>
      <w:r>
        <w:noBreakHyphen/>
        <w:t>31 от 4 декабря 1990 года, касающимся упрощения регистрационных требований, повлекло за собой значительный рост числа ассоциаций.  Если в 1976</w:t>
      </w:r>
      <w:r>
        <w:noBreakHyphen/>
        <w:t>1988 годах, т.е. за 12 лет, было санкционировано создание лишь 98 ассоциаций, то в 1989</w:t>
      </w:r>
      <w:r>
        <w:noBreakHyphen/>
        <w:t>1996 годах, т.е. за период чуть более шести лет, появилось 678 новых ассоциаций.  В течение двух вышеуказанных периодов было создано в общей сложности 776 национальных ассоциаций и 45 000 местных ассоциаций.</w:t>
      </w:r>
    </w:p>
    <w:p w:rsidR="00000000" w:rsidRDefault="00000000"/>
    <w:p w:rsidR="00000000" w:rsidRDefault="00000000">
      <w:r>
        <w:t>81.</w:t>
      </w:r>
      <w:r>
        <w:tab/>
        <w:t>Существующие ассоциации можно подразделить на несколько категорий:</w:t>
      </w:r>
    </w:p>
    <w:p w:rsidR="00000000" w:rsidRDefault="00000000"/>
    <w:p w:rsidR="00000000" w:rsidRDefault="00000000">
      <w:pPr>
        <w:tabs>
          <w:tab w:val="clear" w:pos="6237"/>
          <w:tab w:val="right" w:pos="8505"/>
        </w:tabs>
      </w:pPr>
      <w:r>
        <w:tab/>
        <w:t>Профессиональные</w:t>
      </w:r>
      <w:r>
        <w:tab/>
        <w:t>196</w:t>
      </w:r>
    </w:p>
    <w:p w:rsidR="00000000" w:rsidRDefault="00000000">
      <w:pPr>
        <w:tabs>
          <w:tab w:val="clear" w:pos="6237"/>
          <w:tab w:val="right" w:pos="8505"/>
        </w:tabs>
      </w:pPr>
      <w:r>
        <w:tab/>
        <w:t>Спортивные</w:t>
      </w:r>
      <w:r>
        <w:tab/>
      </w:r>
      <w:r>
        <w:tab/>
        <w:t xml:space="preserve"> 78</w:t>
      </w:r>
    </w:p>
    <w:p w:rsidR="00000000" w:rsidRDefault="00000000">
      <w:pPr>
        <w:tabs>
          <w:tab w:val="clear" w:pos="6237"/>
          <w:tab w:val="right" w:pos="8505"/>
        </w:tabs>
      </w:pPr>
      <w:r>
        <w:tab/>
        <w:t>Культурно-просветительские</w:t>
      </w:r>
      <w:r>
        <w:tab/>
        <w:t xml:space="preserve"> 76</w:t>
      </w:r>
    </w:p>
    <w:p w:rsidR="00000000" w:rsidRDefault="00000000">
      <w:pPr>
        <w:pStyle w:val="a0"/>
        <w:widowControl/>
        <w:tabs>
          <w:tab w:val="left" w:pos="567"/>
          <w:tab w:val="left" w:pos="1134"/>
          <w:tab w:val="left" w:pos="1701"/>
          <w:tab w:val="left" w:pos="2268"/>
          <w:tab w:val="right" w:pos="8505"/>
        </w:tabs>
        <w:spacing w:line="288" w:lineRule="auto"/>
        <w:rPr>
          <w:rFonts w:ascii="Times New Roman" w:hAnsi="Times New Roman"/>
          <w:snapToGrid/>
          <w:lang w:eastAsia="en-US"/>
        </w:rPr>
      </w:pPr>
      <w:r>
        <w:rPr>
          <w:rFonts w:ascii="Times New Roman" w:hAnsi="Times New Roman"/>
          <w:snapToGrid/>
          <w:lang w:eastAsia="en-US"/>
        </w:rPr>
        <w:tab/>
        <w:t>Здравоохранение и медицина</w:t>
      </w:r>
      <w:r>
        <w:rPr>
          <w:rFonts w:ascii="Times New Roman" w:hAnsi="Times New Roman"/>
          <w:snapToGrid/>
          <w:lang w:eastAsia="en-US"/>
        </w:rPr>
        <w:tab/>
        <w:t xml:space="preserve"> 62</w:t>
      </w:r>
    </w:p>
    <w:p w:rsidR="00000000" w:rsidRDefault="00000000">
      <w:pPr>
        <w:tabs>
          <w:tab w:val="clear" w:pos="6237"/>
          <w:tab w:val="right" w:pos="8505"/>
        </w:tabs>
      </w:pPr>
      <w:r>
        <w:tab/>
        <w:t>Научно-технические</w:t>
      </w:r>
      <w:r>
        <w:tab/>
        <w:t xml:space="preserve"> 46</w:t>
      </w:r>
    </w:p>
    <w:p w:rsidR="00000000" w:rsidRDefault="00000000">
      <w:pPr>
        <w:tabs>
          <w:tab w:val="clear" w:pos="6237"/>
          <w:tab w:val="right" w:pos="8505"/>
        </w:tabs>
      </w:pPr>
      <w:r>
        <w:tab/>
        <w:t>Молодежные</w:t>
      </w:r>
      <w:r>
        <w:tab/>
      </w:r>
      <w:r>
        <w:tab/>
        <w:t xml:space="preserve"> 39</w:t>
      </w:r>
    </w:p>
    <w:p w:rsidR="00000000" w:rsidRDefault="00000000">
      <w:pPr>
        <w:tabs>
          <w:tab w:val="clear" w:pos="6237"/>
          <w:tab w:val="right" w:pos="8505"/>
        </w:tabs>
      </w:pPr>
      <w:r>
        <w:tab/>
        <w:t>Кооперативного типа</w:t>
      </w:r>
      <w:r>
        <w:tab/>
        <w:t xml:space="preserve"> 31</w:t>
      </w:r>
    </w:p>
    <w:p w:rsidR="00000000" w:rsidRDefault="00000000">
      <w:pPr>
        <w:tabs>
          <w:tab w:val="clear" w:pos="6237"/>
          <w:tab w:val="right" w:pos="8505"/>
        </w:tabs>
      </w:pPr>
      <w:r>
        <w:tab/>
        <w:t>Бывших студентов</w:t>
      </w:r>
      <w:r>
        <w:tab/>
        <w:t xml:space="preserve"> 21</w:t>
      </w:r>
    </w:p>
    <w:p w:rsidR="00000000" w:rsidRDefault="00000000">
      <w:pPr>
        <w:tabs>
          <w:tab w:val="clear" w:pos="6237"/>
          <w:tab w:val="right" w:pos="8505"/>
        </w:tabs>
      </w:pPr>
      <w:r>
        <w:tab/>
        <w:t>Укрепление дружбы, программы обмена и сотрудничества</w:t>
      </w:r>
      <w:r>
        <w:tab/>
        <w:t xml:space="preserve"> 21</w:t>
      </w:r>
    </w:p>
    <w:p w:rsidR="00000000" w:rsidRDefault="00000000">
      <w:pPr>
        <w:tabs>
          <w:tab w:val="clear" w:pos="6237"/>
          <w:tab w:val="right" w:pos="8505"/>
        </w:tabs>
      </w:pPr>
      <w:r>
        <w:tab/>
        <w:t>Солидарность, оказание помощи и благотворительность</w:t>
      </w:r>
      <w:r>
        <w:tab/>
        <w:t xml:space="preserve"> 16</w:t>
      </w:r>
    </w:p>
    <w:p w:rsidR="00000000" w:rsidRDefault="00000000">
      <w:pPr>
        <w:tabs>
          <w:tab w:val="clear" w:pos="6237"/>
          <w:tab w:val="right" w:pos="8505"/>
        </w:tabs>
      </w:pPr>
      <w:r>
        <w:tab/>
        <w:t>Инвалидов и недееспособных</w:t>
      </w:r>
      <w:r>
        <w:tab/>
        <w:t xml:space="preserve"> 15</w:t>
      </w:r>
    </w:p>
    <w:p w:rsidR="00000000" w:rsidRDefault="00000000">
      <w:pPr>
        <w:pStyle w:val="a0"/>
        <w:widowControl/>
        <w:tabs>
          <w:tab w:val="left" w:pos="567"/>
          <w:tab w:val="left" w:pos="1134"/>
          <w:tab w:val="left" w:pos="1701"/>
          <w:tab w:val="left" w:pos="2268"/>
          <w:tab w:val="right" w:pos="8505"/>
        </w:tabs>
        <w:spacing w:line="288" w:lineRule="auto"/>
        <w:rPr>
          <w:rFonts w:ascii="Times New Roman" w:hAnsi="Times New Roman"/>
          <w:snapToGrid/>
          <w:lang w:eastAsia="en-US"/>
        </w:rPr>
      </w:pPr>
      <w:r>
        <w:rPr>
          <w:rFonts w:ascii="Times New Roman" w:hAnsi="Times New Roman"/>
          <w:snapToGrid/>
          <w:lang w:eastAsia="en-US"/>
        </w:rPr>
        <w:tab/>
        <w:t>Женщин</w:t>
      </w:r>
      <w:r>
        <w:rPr>
          <w:rFonts w:ascii="Times New Roman" w:hAnsi="Times New Roman"/>
          <w:snapToGrid/>
          <w:lang w:eastAsia="en-US"/>
        </w:rPr>
        <w:tab/>
      </w:r>
      <w:r>
        <w:rPr>
          <w:rFonts w:ascii="Times New Roman" w:hAnsi="Times New Roman"/>
          <w:snapToGrid/>
          <w:lang w:eastAsia="en-US"/>
        </w:rPr>
        <w:tab/>
      </w:r>
      <w:r>
        <w:rPr>
          <w:rFonts w:ascii="Times New Roman" w:hAnsi="Times New Roman"/>
          <w:snapToGrid/>
          <w:lang w:eastAsia="en-US"/>
        </w:rPr>
        <w:tab/>
        <w:t xml:space="preserve"> 15</w:t>
      </w:r>
    </w:p>
    <w:p w:rsidR="00000000" w:rsidRDefault="00000000">
      <w:pPr>
        <w:tabs>
          <w:tab w:val="clear" w:pos="6237"/>
          <w:tab w:val="right" w:pos="8505"/>
        </w:tabs>
      </w:pPr>
      <w:r>
        <w:tab/>
        <w:t>Исторические</w:t>
      </w:r>
      <w:r>
        <w:tab/>
      </w:r>
      <w:r>
        <w:tab/>
        <w:t xml:space="preserve"> 14</w:t>
      </w:r>
    </w:p>
    <w:p w:rsidR="00000000" w:rsidRDefault="00000000">
      <w:pPr>
        <w:tabs>
          <w:tab w:val="clear" w:pos="6237"/>
          <w:tab w:val="right" w:pos="8505"/>
        </w:tabs>
      </w:pPr>
      <w:r>
        <w:tab/>
        <w:t>Индустрия туризма и досуга</w:t>
      </w:r>
      <w:r>
        <w:tab/>
        <w:t xml:space="preserve"> 14</w:t>
      </w:r>
    </w:p>
    <w:p w:rsidR="00000000" w:rsidRDefault="00000000">
      <w:pPr>
        <w:tabs>
          <w:tab w:val="clear" w:pos="6237"/>
          <w:tab w:val="right" w:pos="8505"/>
        </w:tabs>
      </w:pPr>
      <w:r>
        <w:tab/>
        <w:t>Зарубежные ассоциации</w:t>
      </w:r>
      <w:r>
        <w:tab/>
        <w:t xml:space="preserve"> 13</w:t>
      </w:r>
    </w:p>
    <w:p w:rsidR="00000000" w:rsidRDefault="00000000">
      <w:pPr>
        <w:pStyle w:val="a0"/>
        <w:widowControl/>
        <w:tabs>
          <w:tab w:val="left" w:pos="567"/>
          <w:tab w:val="left" w:pos="1134"/>
          <w:tab w:val="left" w:pos="1701"/>
          <w:tab w:val="left" w:pos="2268"/>
          <w:tab w:val="right" w:pos="8505"/>
        </w:tabs>
        <w:spacing w:line="288" w:lineRule="auto"/>
        <w:rPr>
          <w:rFonts w:ascii="Times New Roman" w:hAnsi="Times New Roman"/>
          <w:snapToGrid/>
          <w:lang w:eastAsia="en-US"/>
        </w:rPr>
      </w:pPr>
      <w:r>
        <w:rPr>
          <w:rFonts w:ascii="Times New Roman" w:hAnsi="Times New Roman"/>
          <w:snapToGrid/>
          <w:lang w:eastAsia="en-US"/>
        </w:rPr>
        <w:tab/>
        <w:t>Окружающая среда</w:t>
      </w:r>
      <w:r>
        <w:rPr>
          <w:rFonts w:ascii="Times New Roman" w:hAnsi="Times New Roman"/>
          <w:snapToGrid/>
          <w:lang w:eastAsia="en-US"/>
        </w:rPr>
        <w:tab/>
        <w:t xml:space="preserve"> 12</w:t>
      </w:r>
    </w:p>
    <w:p w:rsidR="00000000" w:rsidRDefault="00000000">
      <w:pPr>
        <w:pStyle w:val="a0"/>
        <w:widowControl/>
        <w:tabs>
          <w:tab w:val="left" w:pos="567"/>
          <w:tab w:val="left" w:pos="1134"/>
          <w:tab w:val="left" w:pos="1701"/>
          <w:tab w:val="left" w:pos="2268"/>
          <w:tab w:val="right" w:pos="8505"/>
        </w:tabs>
        <w:spacing w:line="288" w:lineRule="auto"/>
        <w:rPr>
          <w:rFonts w:ascii="Times New Roman" w:hAnsi="Times New Roman"/>
          <w:snapToGrid/>
          <w:lang w:eastAsia="en-US"/>
        </w:rPr>
      </w:pPr>
      <w:r>
        <w:rPr>
          <w:rFonts w:ascii="Times New Roman" w:hAnsi="Times New Roman"/>
          <w:snapToGrid/>
          <w:lang w:eastAsia="en-US"/>
        </w:rPr>
        <w:tab/>
        <w:t>Детей и подростков</w:t>
      </w:r>
      <w:r>
        <w:rPr>
          <w:rFonts w:ascii="Times New Roman" w:hAnsi="Times New Roman"/>
          <w:snapToGrid/>
          <w:lang w:eastAsia="en-US"/>
        </w:rPr>
        <w:tab/>
        <w:t xml:space="preserve"> 10</w:t>
      </w:r>
    </w:p>
    <w:p w:rsidR="00000000" w:rsidRDefault="00000000">
      <w:pPr>
        <w:tabs>
          <w:tab w:val="clear" w:pos="6237"/>
          <w:tab w:val="right" w:pos="8505"/>
        </w:tabs>
      </w:pPr>
      <w:r>
        <w:tab/>
        <w:t>Пенсионеров и престарелых</w:t>
      </w:r>
      <w:r>
        <w:tab/>
        <w:t xml:space="preserve"> 18</w:t>
      </w:r>
    </w:p>
    <w:p w:rsidR="00000000" w:rsidRDefault="00000000">
      <w:pPr>
        <w:tabs>
          <w:tab w:val="clear" w:pos="6237"/>
          <w:tab w:val="right" w:pos="8505"/>
        </w:tabs>
      </w:pPr>
      <w:r>
        <w:tab/>
        <w:t>Правозащитные</w:t>
      </w:r>
      <w:r>
        <w:tab/>
      </w:r>
      <w:r>
        <w:tab/>
        <w:t xml:space="preserve">  5</w:t>
      </w:r>
    </w:p>
    <w:p w:rsidR="00000000" w:rsidRDefault="00000000"/>
    <w:p w:rsidR="00000000" w:rsidRDefault="00000000">
      <w:r>
        <w:t>82.</w:t>
      </w:r>
      <w:r>
        <w:tab/>
        <w:t>Эти ассоциации объединяются в более общие группы по следующим признакам, лежащим в основе их создания:</w:t>
      </w:r>
    </w:p>
    <w:p w:rsidR="00000000" w:rsidRDefault="00000000"/>
    <w:p w:rsidR="00000000" w:rsidRDefault="00000000">
      <w:pPr>
        <w:tabs>
          <w:tab w:val="clear" w:pos="567"/>
          <w:tab w:val="decimal" w:pos="709"/>
        </w:tabs>
      </w:pPr>
      <w:r>
        <w:tab/>
      </w:r>
      <w:proofErr w:type="spellStart"/>
      <w:r>
        <w:rPr>
          <w:lang w:val="en-US"/>
        </w:rPr>
        <w:t>i</w:t>
      </w:r>
      <w:proofErr w:type="spellEnd"/>
      <w:r>
        <w:rPr>
          <w:lang w:val="en-US"/>
        </w:rPr>
        <w:t>)</w:t>
      </w:r>
      <w:r>
        <w:rPr>
          <w:lang w:val="en-US"/>
        </w:rPr>
        <w:tab/>
      </w:r>
      <w:proofErr w:type="spellStart"/>
      <w:r>
        <w:t>корпоратизм</w:t>
      </w:r>
      <w:proofErr w:type="spellEnd"/>
      <w:r>
        <w:t> – 256 ассоциаций;</w:t>
      </w:r>
    </w:p>
    <w:p w:rsidR="00000000" w:rsidRDefault="00000000">
      <w:pPr>
        <w:tabs>
          <w:tab w:val="clear" w:pos="567"/>
          <w:tab w:val="decimal" w:pos="709"/>
        </w:tabs>
      </w:pPr>
    </w:p>
    <w:p w:rsidR="00000000" w:rsidRDefault="00000000">
      <w:pPr>
        <w:tabs>
          <w:tab w:val="clear" w:pos="567"/>
          <w:tab w:val="decimal" w:pos="709"/>
        </w:tabs>
      </w:pPr>
      <w:r>
        <w:tab/>
      </w:r>
      <w:proofErr w:type="spellStart"/>
      <w:r>
        <w:t>ii</w:t>
      </w:r>
      <w:proofErr w:type="spellEnd"/>
      <w:r>
        <w:t>)</w:t>
      </w:r>
      <w:r>
        <w:tab/>
        <w:t>развитие культуры – 168 ассоциаций;</w:t>
      </w:r>
    </w:p>
    <w:p w:rsidR="00000000" w:rsidRDefault="00000000">
      <w:pPr>
        <w:tabs>
          <w:tab w:val="clear" w:pos="567"/>
          <w:tab w:val="decimal" w:pos="709"/>
        </w:tabs>
      </w:pPr>
    </w:p>
    <w:p w:rsidR="00000000" w:rsidRDefault="00000000">
      <w:pPr>
        <w:tabs>
          <w:tab w:val="clear" w:pos="567"/>
          <w:tab w:val="decimal" w:pos="709"/>
        </w:tabs>
      </w:pPr>
      <w:r>
        <w:tab/>
      </w:r>
      <w:proofErr w:type="spellStart"/>
      <w:r>
        <w:t>iii</w:t>
      </w:r>
      <w:proofErr w:type="spellEnd"/>
      <w:r>
        <w:t>)</w:t>
      </w:r>
      <w:r>
        <w:tab/>
        <w:t>научный прогресс – 408 ассоциаций;</w:t>
      </w:r>
    </w:p>
    <w:p w:rsidR="00000000" w:rsidRDefault="00000000">
      <w:pPr>
        <w:tabs>
          <w:tab w:val="clear" w:pos="567"/>
          <w:tab w:val="decimal" w:pos="709"/>
        </w:tabs>
      </w:pPr>
    </w:p>
    <w:p w:rsidR="00000000" w:rsidRDefault="00000000">
      <w:pPr>
        <w:tabs>
          <w:tab w:val="clear" w:pos="567"/>
          <w:tab w:val="decimal" w:pos="709"/>
        </w:tabs>
      </w:pPr>
      <w:r>
        <w:tab/>
      </w:r>
      <w:proofErr w:type="spellStart"/>
      <w:r>
        <w:t>iv</w:t>
      </w:r>
      <w:proofErr w:type="spellEnd"/>
      <w:r>
        <w:t>)</w:t>
      </w:r>
      <w:r>
        <w:tab/>
        <w:t>деятельность, связанная с интересами детей и молодежи, – 46 ассоциаций;</w:t>
      </w:r>
    </w:p>
    <w:p w:rsidR="00000000" w:rsidRDefault="00000000">
      <w:pPr>
        <w:tabs>
          <w:tab w:val="clear" w:pos="567"/>
          <w:tab w:val="decimal" w:pos="709"/>
        </w:tabs>
      </w:pPr>
    </w:p>
    <w:p w:rsidR="00000000" w:rsidRDefault="00000000">
      <w:pPr>
        <w:tabs>
          <w:tab w:val="clear" w:pos="567"/>
          <w:tab w:val="decimal" w:pos="709"/>
        </w:tabs>
        <w:ind w:left="1134" w:hanging="1134"/>
      </w:pPr>
      <w:r>
        <w:tab/>
      </w:r>
      <w:proofErr w:type="spellStart"/>
      <w:r>
        <w:t>v</w:t>
      </w:r>
      <w:proofErr w:type="spellEnd"/>
      <w:r>
        <w:t>)</w:t>
      </w:r>
      <w:r>
        <w:tab/>
        <w:t>альтруистические соображения – 31 ассоциация (солидарность, оказание помощи, благотворительность, интересы инвалидов и недееспособных);</w:t>
      </w:r>
    </w:p>
    <w:p w:rsidR="00000000" w:rsidRDefault="00000000">
      <w:pPr>
        <w:tabs>
          <w:tab w:val="clear" w:pos="567"/>
          <w:tab w:val="decimal" w:pos="709"/>
        </w:tabs>
        <w:ind w:left="1134" w:hanging="1134"/>
      </w:pPr>
    </w:p>
    <w:p w:rsidR="00000000" w:rsidRDefault="00000000">
      <w:pPr>
        <w:tabs>
          <w:tab w:val="clear" w:pos="567"/>
          <w:tab w:val="decimal" w:pos="709"/>
        </w:tabs>
      </w:pPr>
      <w:r>
        <w:tab/>
      </w:r>
      <w:proofErr w:type="spellStart"/>
      <w:r>
        <w:t>vi</w:t>
      </w:r>
      <w:proofErr w:type="spellEnd"/>
      <w:r>
        <w:t>)</w:t>
      </w:r>
      <w:r>
        <w:tab/>
        <w:t xml:space="preserve">укрепление дружбы, программы обмена и сотрудничества – 21 ассоциация. </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r>
        <w:tab/>
        <w:t>Наряду с количественными аспектами, дающими общее представление о характере и направленности общественных движений, немаловажное значение имеют качественные аспекты, связанные, в частности, с конкретными сферами деятельности.  Некоторые ассоциации, пусть даже немногочисленные, имеют определенный вес и влияние в обществе:  таковыми являются, например, ассоциации, занимающиеся вопросами культурного наследия, окружающей среды, защиты прав пользователей, потребителей и т.д.</w:t>
      </w:r>
    </w:p>
    <w:p w:rsidR="00000000" w:rsidRDefault="00000000"/>
    <w:p w:rsidR="00000000" w:rsidRDefault="00000000">
      <w:r>
        <w:t>83.</w:t>
      </w:r>
      <w:r>
        <w:tab/>
        <w:t>Профсоюзные свободы не только закреплены в Конституции, но и подтверждены в законе 90</w:t>
      </w:r>
      <w:r>
        <w:noBreakHyphen/>
        <w:t>14, принятом 2 июня 1990 года, с поправками и дополнениями, внесенными на основании закона 91</w:t>
      </w:r>
      <w:r>
        <w:noBreakHyphen/>
        <w:t>30 от 21 декабря 1991 года и указа 96</w:t>
      </w:r>
      <w:r>
        <w:noBreakHyphen/>
        <w:t>12 от 6 июня 1996 года.  Согласно этому закону за лицами наемного труда, работающими в частном и государственном секторах, признается право образовывать свои независимые профсоюзные организации, не связанные политическими партиями.</w:t>
      </w:r>
    </w:p>
    <w:p w:rsidR="00000000" w:rsidRDefault="00000000"/>
    <w:p w:rsidR="00000000" w:rsidRDefault="00000000">
      <w:r>
        <w:rPr>
          <w:lang w:val="en-US"/>
        </w:rPr>
        <w:t>84.</w:t>
      </w:r>
      <w:r>
        <w:rPr>
          <w:lang w:val="en-US"/>
        </w:rPr>
        <w:tab/>
      </w:r>
      <w:r>
        <w:t>В настоящее время насчитывается 58 общенациональных организаций лиц наемного труда и 19 организаций работодателей, в том числе 2 в государственном секторе и 17 – в частном секторе.  Вместе с тем в настоящее время преобладают профсоюзы, действующие в государственном секторе:</w:t>
      </w:r>
    </w:p>
    <w:p w:rsidR="00000000" w:rsidRDefault="00000000">
      <w:pPr>
        <w:tabs>
          <w:tab w:val="clear" w:pos="567"/>
          <w:tab w:val="decimal" w:pos="709"/>
          <w:tab w:val="left" w:pos="4536"/>
        </w:tabs>
        <w:spacing w:line="264" w:lineRule="auto"/>
      </w:pPr>
      <w:r>
        <w:tab/>
      </w:r>
      <w:proofErr w:type="spellStart"/>
      <w:r>
        <w:rPr>
          <w:lang w:val="en-US"/>
        </w:rPr>
        <w:t>i</w:t>
      </w:r>
      <w:proofErr w:type="spellEnd"/>
      <w:r>
        <w:rPr>
          <w:lang w:val="en-US"/>
        </w:rPr>
        <w:t>)</w:t>
      </w:r>
      <w:r>
        <w:rPr>
          <w:lang w:val="en-US"/>
        </w:rPr>
        <w:tab/>
      </w:r>
      <w:r>
        <w:t xml:space="preserve">здравоохранение </w:t>
      </w:r>
      <w:r>
        <w:noBreakHyphen/>
        <w:t xml:space="preserve"> 9 профсоюзов;</w:t>
      </w:r>
    </w:p>
    <w:p w:rsidR="00000000" w:rsidRDefault="00000000">
      <w:pPr>
        <w:tabs>
          <w:tab w:val="clear" w:pos="567"/>
          <w:tab w:val="decimal" w:pos="709"/>
          <w:tab w:val="left" w:pos="4536"/>
        </w:tabs>
        <w:spacing w:line="264" w:lineRule="auto"/>
      </w:pPr>
    </w:p>
    <w:p w:rsidR="00000000" w:rsidRDefault="00000000">
      <w:pPr>
        <w:tabs>
          <w:tab w:val="clear" w:pos="567"/>
          <w:tab w:val="decimal" w:pos="709"/>
          <w:tab w:val="left" w:pos="4536"/>
        </w:tabs>
        <w:spacing w:line="264" w:lineRule="auto"/>
      </w:pPr>
      <w:r>
        <w:tab/>
      </w:r>
      <w:proofErr w:type="spellStart"/>
      <w:r>
        <w:t>ii</w:t>
      </w:r>
      <w:proofErr w:type="spellEnd"/>
      <w:r>
        <w:t>)</w:t>
      </w:r>
      <w:r>
        <w:tab/>
        <w:t xml:space="preserve">социальное обеспечение </w:t>
      </w:r>
      <w:r>
        <w:noBreakHyphen/>
        <w:t xml:space="preserve"> 9 профсоюзов;</w:t>
      </w:r>
    </w:p>
    <w:p w:rsidR="00000000" w:rsidRDefault="00000000">
      <w:pPr>
        <w:pStyle w:val="FootnoteText"/>
        <w:tabs>
          <w:tab w:val="clear" w:pos="567"/>
          <w:tab w:val="decimal" w:pos="709"/>
          <w:tab w:val="left" w:pos="4536"/>
        </w:tabs>
        <w:spacing w:line="264" w:lineRule="auto"/>
      </w:pPr>
    </w:p>
    <w:p w:rsidR="00000000" w:rsidRDefault="00000000">
      <w:pPr>
        <w:pStyle w:val="FootnoteText"/>
        <w:tabs>
          <w:tab w:val="clear" w:pos="567"/>
          <w:tab w:val="decimal" w:pos="709"/>
          <w:tab w:val="left" w:pos="4536"/>
        </w:tabs>
        <w:spacing w:line="264" w:lineRule="auto"/>
      </w:pPr>
      <w:r>
        <w:tab/>
      </w:r>
      <w:proofErr w:type="spellStart"/>
      <w:r>
        <w:t>iii</w:t>
      </w:r>
      <w:proofErr w:type="spellEnd"/>
      <w:r>
        <w:t>)</w:t>
      </w:r>
      <w:r>
        <w:tab/>
        <w:t xml:space="preserve">транспорт </w:t>
      </w:r>
      <w:r>
        <w:noBreakHyphen/>
        <w:t xml:space="preserve"> 7 профсоюзов;</w:t>
      </w:r>
    </w:p>
    <w:p w:rsidR="00000000" w:rsidRDefault="00000000">
      <w:pPr>
        <w:pStyle w:val="FootnoteText"/>
        <w:tabs>
          <w:tab w:val="clear" w:pos="567"/>
          <w:tab w:val="decimal" w:pos="709"/>
          <w:tab w:val="left" w:pos="4536"/>
        </w:tabs>
        <w:spacing w:line="264" w:lineRule="auto"/>
      </w:pPr>
    </w:p>
    <w:p w:rsidR="00000000" w:rsidRDefault="00000000">
      <w:pPr>
        <w:pStyle w:val="FootnoteText"/>
        <w:tabs>
          <w:tab w:val="clear" w:pos="567"/>
          <w:tab w:val="decimal" w:pos="709"/>
          <w:tab w:val="left" w:pos="4536"/>
        </w:tabs>
        <w:spacing w:line="264" w:lineRule="auto"/>
      </w:pPr>
      <w:r>
        <w:tab/>
      </w:r>
      <w:proofErr w:type="spellStart"/>
      <w:r>
        <w:t>iv</w:t>
      </w:r>
      <w:proofErr w:type="spellEnd"/>
      <w:r>
        <w:t>)</w:t>
      </w:r>
      <w:r>
        <w:tab/>
        <w:t xml:space="preserve">образование </w:t>
      </w:r>
      <w:r>
        <w:noBreakHyphen/>
        <w:t xml:space="preserve"> 6 профсоюзов;</w:t>
      </w:r>
    </w:p>
    <w:p w:rsidR="00000000" w:rsidRDefault="00000000">
      <w:pPr>
        <w:pStyle w:val="FootnoteText"/>
        <w:tabs>
          <w:tab w:val="clear" w:pos="567"/>
          <w:tab w:val="decimal" w:pos="709"/>
          <w:tab w:val="left" w:pos="3686"/>
          <w:tab w:val="left" w:pos="4536"/>
        </w:tabs>
        <w:spacing w:line="288" w:lineRule="auto"/>
      </w:pPr>
    </w:p>
    <w:p w:rsidR="00000000" w:rsidRDefault="00000000">
      <w:pPr>
        <w:pStyle w:val="FootnoteText"/>
        <w:tabs>
          <w:tab w:val="clear" w:pos="567"/>
          <w:tab w:val="decimal" w:pos="709"/>
          <w:tab w:val="left" w:pos="3686"/>
          <w:tab w:val="left" w:pos="4536"/>
        </w:tabs>
        <w:spacing w:line="288" w:lineRule="auto"/>
      </w:pPr>
      <w:r>
        <w:tab/>
      </w:r>
      <w:proofErr w:type="spellStart"/>
      <w:r>
        <w:t>v</w:t>
      </w:r>
      <w:proofErr w:type="spellEnd"/>
      <w:r>
        <w:t>)</w:t>
      </w:r>
      <w:r>
        <w:tab/>
        <w:t xml:space="preserve">профессиональная подготовка </w:t>
      </w:r>
      <w:r>
        <w:noBreakHyphen/>
        <w:t xml:space="preserve"> 6 профсоюзов.</w:t>
      </w:r>
    </w:p>
    <w:p w:rsidR="00000000" w:rsidRDefault="00000000">
      <w:pPr>
        <w:pStyle w:val="FootnoteText"/>
        <w:tabs>
          <w:tab w:val="left" w:pos="3686"/>
          <w:tab w:val="left" w:pos="4536"/>
        </w:tabs>
        <w:spacing w:line="288" w:lineRule="auto"/>
      </w:pPr>
    </w:p>
    <w:p w:rsidR="00000000" w:rsidRDefault="00000000">
      <w:pPr>
        <w:pStyle w:val="FootnoteText"/>
        <w:tabs>
          <w:tab w:val="left" w:pos="3686"/>
          <w:tab w:val="left" w:pos="4536"/>
        </w:tabs>
        <w:spacing w:line="288" w:lineRule="auto"/>
      </w:pPr>
      <w:r>
        <w:t>В то же время существует множество независимых профсоюзов, которые не представлены на национальном уровне.</w:t>
      </w:r>
    </w:p>
    <w:p w:rsidR="00000000" w:rsidRDefault="00000000">
      <w:pPr>
        <w:pStyle w:val="FootnoteText"/>
        <w:tabs>
          <w:tab w:val="left" w:pos="3686"/>
          <w:tab w:val="left" w:pos="4536"/>
        </w:tabs>
        <w:spacing w:line="288" w:lineRule="auto"/>
      </w:pPr>
    </w:p>
    <w:p w:rsidR="00000000" w:rsidRDefault="00000000">
      <w:pPr>
        <w:pStyle w:val="FootnoteText"/>
        <w:tabs>
          <w:tab w:val="left" w:pos="3686"/>
          <w:tab w:val="left" w:pos="4536"/>
        </w:tabs>
        <w:spacing w:line="288" w:lineRule="auto"/>
      </w:pPr>
      <w:r>
        <w:t>85.</w:t>
      </w:r>
      <w:r>
        <w:tab/>
        <w:t>Право на забастовку закреплено в Конституции и кодифицировано на основании закона, принятого Национальным народным собранием.  Количество коллективных споров, случаев третейского разбирательства и социальных конфликтов, регистрируемых каждый год с декабря 1991 года, наглядно свидетельствует об эффективности механизмов поощрения материальных и индивидуальных неимущественных прав различных профессиональных категорий или некоторых категорий трудящихся.  Таким образом, при провале коллективных переговоров объявление забастовки является законным правом, защита которого гарантируется Конституцией, если оно осуществляется в соответствии с существующим законодательством.  Это право является действенным и распространяется на все сектора, включая административные органы и структуры государства.</w:t>
      </w:r>
    </w:p>
    <w:p w:rsidR="00000000" w:rsidRDefault="00000000">
      <w:pPr>
        <w:pStyle w:val="FootnoteText"/>
        <w:tabs>
          <w:tab w:val="left" w:pos="3686"/>
          <w:tab w:val="left" w:pos="4536"/>
        </w:tabs>
        <w:spacing w:line="288" w:lineRule="auto"/>
      </w:pPr>
    </w:p>
    <w:p w:rsidR="00000000" w:rsidRDefault="00000000">
      <w:pPr>
        <w:pStyle w:val="FootnoteText"/>
        <w:tabs>
          <w:tab w:val="left" w:pos="3686"/>
          <w:tab w:val="left" w:pos="4536"/>
        </w:tabs>
        <w:spacing w:line="288" w:lineRule="auto"/>
      </w:pPr>
      <w:r>
        <w:t>86.</w:t>
      </w:r>
      <w:r>
        <w:tab/>
        <w:t xml:space="preserve">С 1991 года динамика забастовок характеризовалась </w:t>
      </w:r>
      <w:proofErr w:type="spellStart"/>
      <w:r>
        <w:t>понижательной</w:t>
      </w:r>
      <w:proofErr w:type="spellEnd"/>
      <w:r>
        <w:t xml:space="preserve"> тенденцией:  их было зарегистрировано 2 290 - в 1989 году, 2 023 - в 1990 году, 1 034 - в 1991 году, 493 - в 1992 году, 537 - в 1993 году, 410 - в 1994 году, 432 - в 1995 году, 441 - в 1996 году, 292 - в 1997 году и 195 - в 1998 году.  Данная тенденция сопровождалась сокращением числа бастующих (</w:t>
      </w:r>
      <w:proofErr w:type="spellStart"/>
      <w:r>
        <w:t>54,78%</w:t>
      </w:r>
      <w:proofErr w:type="spellEnd"/>
      <w:r>
        <w:t> работников соответствующего сектора в среднем в 1995 году), количества затронутых секторов и масштабов понесенного ущерба.  В этой связи следует отметить расширение возможностей сотрудничества, а именно достижения компромисса между различными социальными партнерами.  Наглядным примером торжества принципа политического диалога служат периодические встречи трех социальных партнеров (правительства, предпринимателей и профсоюзов).</w:t>
      </w:r>
    </w:p>
    <w:p w:rsidR="00000000" w:rsidRDefault="00000000">
      <w:pPr>
        <w:pStyle w:val="FootnoteText"/>
        <w:tabs>
          <w:tab w:val="left" w:pos="3686"/>
          <w:tab w:val="left" w:pos="4536"/>
        </w:tabs>
        <w:spacing w:line="288" w:lineRule="auto"/>
      </w:pPr>
    </w:p>
    <w:p w:rsidR="00000000" w:rsidRDefault="00000000">
      <w:pPr>
        <w:pStyle w:val="FootnoteText"/>
        <w:tabs>
          <w:tab w:val="left" w:pos="3686"/>
          <w:tab w:val="left" w:pos="4536"/>
        </w:tabs>
        <w:spacing w:line="288" w:lineRule="auto"/>
        <w:jc w:val="center"/>
        <w:rPr>
          <w:i/>
          <w:iCs/>
        </w:rPr>
      </w:pPr>
      <w:r>
        <w:rPr>
          <w:i/>
          <w:iCs/>
        </w:rPr>
        <w:br w:type="page"/>
        <w:t>Статья 9</w:t>
      </w:r>
    </w:p>
    <w:p w:rsidR="00000000" w:rsidRDefault="00000000">
      <w:pPr>
        <w:pStyle w:val="FootnoteText"/>
        <w:tabs>
          <w:tab w:val="left" w:pos="3686"/>
          <w:tab w:val="left" w:pos="4536"/>
        </w:tabs>
        <w:spacing w:line="288" w:lineRule="auto"/>
        <w:jc w:val="center"/>
        <w:rPr>
          <w:u w:val="single"/>
        </w:rPr>
      </w:pPr>
    </w:p>
    <w:p w:rsidR="00000000" w:rsidRDefault="00000000">
      <w:pPr>
        <w:pStyle w:val="FootnoteText"/>
        <w:tabs>
          <w:tab w:val="left" w:pos="3686"/>
          <w:tab w:val="left" w:pos="4536"/>
        </w:tabs>
        <w:spacing w:line="288" w:lineRule="auto"/>
        <w:jc w:val="center"/>
      </w:pPr>
      <w:r>
        <w:rPr>
          <w:u w:val="single"/>
        </w:rPr>
        <w:t>Право на социальное обеспечение и социальное страхование</w:t>
      </w:r>
    </w:p>
    <w:p w:rsidR="00000000" w:rsidRDefault="00000000">
      <w:pPr>
        <w:pStyle w:val="FootnoteText"/>
        <w:tabs>
          <w:tab w:val="left" w:pos="3686"/>
          <w:tab w:val="left" w:pos="4536"/>
        </w:tabs>
        <w:spacing w:line="288" w:lineRule="auto"/>
        <w:jc w:val="center"/>
      </w:pPr>
    </w:p>
    <w:p w:rsidR="00000000" w:rsidRDefault="00000000">
      <w:pPr>
        <w:pStyle w:val="FootnoteText"/>
        <w:tabs>
          <w:tab w:val="left" w:pos="3686"/>
          <w:tab w:val="left" w:pos="4536"/>
        </w:tabs>
        <w:spacing w:line="288" w:lineRule="auto"/>
      </w:pPr>
      <w:r>
        <w:t>87.</w:t>
      </w:r>
      <w:r>
        <w:tab/>
        <w:t>В рамках действующей системы социального обеспечения за каждым трудящимся закрепляется право на медицинское страхование, право на защиту от несчастных случаев на производстве и право на пенсионное обеспечение.  С использованием механизмов социальной защиты государство заботится о лицах, утрачивающих трудоспособность по причине каких</w:t>
      </w:r>
      <w:r>
        <w:noBreakHyphen/>
        <w:t xml:space="preserve">либо факторов инвалидности.  </w:t>
      </w:r>
    </w:p>
    <w:p w:rsidR="00000000" w:rsidRDefault="00000000">
      <w:pPr>
        <w:pStyle w:val="FootnoteText"/>
        <w:tabs>
          <w:tab w:val="left" w:pos="3686"/>
          <w:tab w:val="left" w:pos="4536"/>
        </w:tabs>
        <w:spacing w:line="288" w:lineRule="auto"/>
      </w:pPr>
    </w:p>
    <w:p w:rsidR="00000000" w:rsidRDefault="00000000">
      <w:pPr>
        <w:pStyle w:val="FootnoteText"/>
        <w:tabs>
          <w:tab w:val="left" w:pos="3686"/>
          <w:tab w:val="left" w:pos="4536"/>
        </w:tabs>
        <w:spacing w:line="288" w:lineRule="auto"/>
      </w:pPr>
      <w:r>
        <w:t>88.</w:t>
      </w:r>
      <w:r>
        <w:tab/>
        <w:t xml:space="preserve">Помимо прав, признанных за любым трудящимся, работающая женщина имеет право на отпуск по беременности и родам продолжительностью 14 недель, оплачиваемый из расчета </w:t>
      </w:r>
      <w:proofErr w:type="spellStart"/>
      <w:r>
        <w:t>100%</w:t>
      </w:r>
      <w:proofErr w:type="spellEnd"/>
      <w:r>
        <w:t> должностного оклада (денежное обеспечение).  Кроме того, она пользуется натуральным обеспечением, подразумевающим полную оплату расходов на медицинское обслуживание и медикаменты и расходов на госпитализацию, связанных с родами.  Неработающие женщины, которые состоят в браке с лицами, охваченными социальным страхованием, также пользуются натуральным обеспечением, предусмотренным по страхованию материнства.  Следует отметить, что матери</w:t>
      </w:r>
      <w:r>
        <w:noBreakHyphen/>
        <w:t>одиночки находятся под защитой государства и на анонимной основе бесплатно получают медицинские услуги в стационаре.  Их социальное положение не может служить препятствием для трудовой деятельности, и они выступают бенефициарами семейных пособий наравне со всеми другими трудящимися.</w:t>
      </w:r>
    </w:p>
    <w:p w:rsidR="00000000" w:rsidRDefault="00000000">
      <w:pPr>
        <w:pStyle w:val="FootnoteText"/>
        <w:tabs>
          <w:tab w:val="left" w:pos="3686"/>
          <w:tab w:val="left" w:pos="4536"/>
        </w:tabs>
        <w:spacing w:line="288" w:lineRule="auto"/>
      </w:pPr>
    </w:p>
    <w:p w:rsidR="00000000" w:rsidRDefault="00000000">
      <w:pPr>
        <w:pStyle w:val="FootnoteText"/>
        <w:tabs>
          <w:tab w:val="left" w:pos="3686"/>
          <w:tab w:val="left" w:pos="4536"/>
        </w:tabs>
        <w:spacing w:line="288" w:lineRule="auto"/>
      </w:pPr>
      <w:r>
        <w:t>89.</w:t>
      </w:r>
      <w:r>
        <w:tab/>
        <w:t>Тогда как для всех трудящихся установленный законом возраст выхода на пенсию составляет 60 лет, женщина может закончить работать уже по достижении 55 лет с возможностью снижения пенсионного возраста на один год за каждого ребенка из расчета максимум трех детей.  Вдова лица, охваченного социальным страхованием, получает пенсию по случаю потери кормильца независимо от своего возраста.  Дочь лица, охваченного социальным страхованием, не имеющая дохода и незамужняя, получает пенсию по случаю потери кормильца независимо от своего возраста.  Эти положения учитывают особенности алжирского общества и гарантируют женщине определенный доход, когда она не имеет никакой оплачиваемой работы.</w:t>
      </w:r>
    </w:p>
    <w:p w:rsidR="00000000" w:rsidRDefault="00000000">
      <w:pPr>
        <w:pStyle w:val="FootnoteText"/>
        <w:tabs>
          <w:tab w:val="left" w:pos="3686"/>
          <w:tab w:val="left" w:pos="4536"/>
        </w:tabs>
        <w:spacing w:line="288" w:lineRule="auto"/>
      </w:pPr>
    </w:p>
    <w:p w:rsidR="00000000" w:rsidRDefault="00000000">
      <w:pPr>
        <w:pStyle w:val="FootnoteText"/>
        <w:tabs>
          <w:tab w:val="left" w:pos="3686"/>
          <w:tab w:val="left" w:pos="4536"/>
        </w:tabs>
        <w:spacing w:line="288" w:lineRule="auto"/>
      </w:pPr>
      <w:r>
        <w:t>90.</w:t>
      </w:r>
      <w:r>
        <w:tab/>
        <w:t xml:space="preserve">Что касается семейных пособий, то лица наемного труда получают семейные пособия на своих несовершеннолетних детей, сумма которых регулярно корректируется.  Домашним хозяйствам, в которых заработную плату получает только один человек, также выплачивается специальное пособие.  </w:t>
      </w:r>
    </w:p>
    <w:p w:rsidR="00000000" w:rsidRDefault="00000000">
      <w:pPr>
        <w:pStyle w:val="FootnoteText"/>
        <w:tabs>
          <w:tab w:val="left" w:pos="3686"/>
          <w:tab w:val="left" w:pos="4536"/>
        </w:tabs>
        <w:spacing w:line="288" w:lineRule="auto"/>
        <w:jc w:val="center"/>
        <w:rPr>
          <w:i/>
          <w:iCs/>
        </w:rPr>
      </w:pPr>
      <w:r>
        <w:br w:type="page"/>
      </w:r>
      <w:r>
        <w:rPr>
          <w:i/>
          <w:iCs/>
        </w:rPr>
        <w:t>Статья 10</w:t>
      </w:r>
    </w:p>
    <w:p w:rsidR="00000000" w:rsidRDefault="00000000">
      <w:pPr>
        <w:jc w:val="center"/>
        <w:rPr>
          <w:i/>
        </w:rPr>
      </w:pPr>
    </w:p>
    <w:p w:rsidR="00000000" w:rsidRDefault="00000000">
      <w:pPr>
        <w:jc w:val="center"/>
        <w:rPr>
          <w:u w:val="single"/>
        </w:rPr>
      </w:pPr>
      <w:r>
        <w:rPr>
          <w:u w:val="single"/>
        </w:rPr>
        <w:t>Охрана семьи и детства</w:t>
      </w:r>
    </w:p>
    <w:p w:rsidR="00000000" w:rsidRDefault="00000000">
      <w:pPr>
        <w:jc w:val="center"/>
        <w:rPr>
          <w:u w:val="single"/>
        </w:rPr>
      </w:pPr>
    </w:p>
    <w:p w:rsidR="00000000" w:rsidRDefault="00000000">
      <w:r>
        <w:t>91.</w:t>
      </w:r>
      <w:r>
        <w:tab/>
        <w:t xml:space="preserve">В статье 58 Конституции предусматривается, что "семья охраняется государством и обществом".  Кроме того, в статье 59 основного закона, касающейся инвалидов, предусматривается, что "гарантируются условия жизни граждан, которые еще, уже или вообще не могут работать".  </w:t>
      </w:r>
    </w:p>
    <w:p w:rsidR="00000000" w:rsidRDefault="00000000"/>
    <w:p w:rsidR="00000000" w:rsidRDefault="00000000">
      <w:r>
        <w:t>92.</w:t>
      </w:r>
      <w:r>
        <w:tab/>
        <w:t xml:space="preserve">Что касается обязанностей гражданина, в главе 5 Конституции содержится целый ряд положений, посвященных семье и обществу.  Можно отметить, в частности, следующие положения: </w:t>
      </w:r>
    </w:p>
    <w:p w:rsidR="00000000" w:rsidRDefault="00000000"/>
    <w:p w:rsidR="00000000" w:rsidRDefault="00000000">
      <w:r>
        <w:tab/>
        <w:t>а)</w:t>
      </w:r>
      <w:r>
        <w:tab/>
        <w:t xml:space="preserve">статья 63:  "Каждый пользуется своими свободами, уважая при этом признанные Конституцией права других лиц, в особенности право на защиту чести и личной жизни, а также на охрану семьи, юности и детства"; </w:t>
      </w:r>
    </w:p>
    <w:p w:rsidR="00000000" w:rsidRDefault="00000000"/>
    <w:p w:rsidR="00000000" w:rsidRDefault="00000000">
      <w:r>
        <w:tab/>
      </w:r>
      <w:proofErr w:type="spellStart"/>
      <w:r>
        <w:t>b</w:t>
      </w:r>
      <w:proofErr w:type="spellEnd"/>
      <w:r>
        <w:t>)</w:t>
      </w:r>
      <w:r>
        <w:tab/>
        <w:t>статья 65:  "Закон обязывает родителей воспитывать и защищать своих детей, а также обязывает детей оказывать помощь и поддержку своим родителям".</w:t>
      </w:r>
    </w:p>
    <w:p w:rsidR="00000000" w:rsidRDefault="00000000"/>
    <w:p w:rsidR="00000000" w:rsidRDefault="00000000">
      <w:r>
        <w:t>93.</w:t>
      </w:r>
      <w:r>
        <w:tab/>
        <w:t>Что касается охраны семьи, то помимо социальной защиты, которая обеспечивается государством в порядке выполнения им своих обычных функций и более подробно рассматривается в материалах по статье 11, можно упомянуть о мерах национальной солидарности с семьями жертв терроризма.</w:t>
      </w:r>
    </w:p>
    <w:p w:rsidR="00000000" w:rsidRDefault="00000000"/>
    <w:p w:rsidR="00000000" w:rsidRDefault="00000000">
      <w:r>
        <w:t>94.</w:t>
      </w:r>
      <w:r>
        <w:tab/>
        <w:t>Нормативный акт по вопросам выплаты возмещения жертвам терроризма состоит из нескольких документов и включает закон о финансах, исполнительный декрет и ряд подзаконных актов.  Этим актом, основанным на принципах национальной солидарности и охраны семьи, предусматривается выплата компенсации законным представителям погибших жертв и возмещение физического и материального ущерба жертвам несчастных случаев, произошедших в результате борьбы с терроризмом.</w:t>
      </w:r>
    </w:p>
    <w:p w:rsidR="00000000" w:rsidRDefault="00000000"/>
    <w:p w:rsidR="00000000" w:rsidRDefault="00000000">
      <w:r>
        <w:t>95.</w:t>
      </w:r>
      <w:r>
        <w:tab/>
        <w:t>Данная система учитывает семейное, социальное и профессиональное положение жертв.  Размеры ежемесячного или одноразового возмещения рассчитываются с учетом ежемесячных доходов жертвы, при этом в отдельных случаях при установлении размеров ежемесячных выплат принимается во внимание профессиональная квалификация жертвы.</w:t>
      </w:r>
    </w:p>
    <w:p w:rsidR="00000000" w:rsidRDefault="00000000"/>
    <w:p w:rsidR="00000000" w:rsidRDefault="00000000">
      <w:r>
        <w:t>96.</w:t>
      </w:r>
      <w:r>
        <w:tab/>
        <w:t xml:space="preserve">Размеры возмещения жертвам, получившим телесные повреждения, устанавливаются с учетом доходов жертвы и степени инвалидности.  И наконец, что касается материального ущерба, то он возмещается на </w:t>
      </w:r>
      <w:proofErr w:type="spellStart"/>
      <w:r>
        <w:t>100%</w:t>
      </w:r>
      <w:proofErr w:type="spellEnd"/>
      <w:r>
        <w:t>.  К настоящему времени для выполнения этого нормативного акта государство выделило порядка 5 млрд. 500 млн. динаров.</w:t>
      </w:r>
    </w:p>
    <w:p w:rsidR="00000000" w:rsidRDefault="00000000"/>
    <w:p w:rsidR="00000000" w:rsidRDefault="00000000">
      <w:r>
        <w:t>97.</w:t>
      </w:r>
      <w:r>
        <w:tab/>
        <w:t>В области медицинского обслуживания министерство здравоохранения и по вопросам народонаселения приняло план срочных действий, предусматривающий закупку медикаментов, медицинских расходных материалов и оборудования.  В целом за последние четыре года на эти цели было израсходовано около 1 002 500 000 динаров.</w:t>
      </w:r>
    </w:p>
    <w:p w:rsidR="00000000" w:rsidRDefault="00000000"/>
    <w:p w:rsidR="00000000" w:rsidRDefault="00000000">
      <w:r>
        <w:t>98.</w:t>
      </w:r>
      <w:r>
        <w:tab/>
        <w:t>Следует особо упомянуть издание министерством здравоохранения и по вопросам народонаселения инструкции, разрешающей прерывание беременности женщинам, ставшим жертвами изнасилования в результате террористических актов.  Лечение, а также консультации психологов и фармацевтические препараты для жертв террористических актов являются бесплатными.</w:t>
      </w:r>
    </w:p>
    <w:p w:rsidR="00000000" w:rsidRDefault="00000000"/>
    <w:p w:rsidR="00000000" w:rsidRDefault="00000000">
      <w:r>
        <w:t>99.</w:t>
      </w:r>
      <w:r>
        <w:tab/>
        <w:t>Реализуются различные схемы оказания помощи пострадавшим, в частности семьям жертв терроризма, посредством предоставления им материальной помощи до тех пор, пока не завершится рассмотрение вопроса о возмещении нанесенного им ущерба.  На выплату различных пособий государство выделило около 20 млрд. сантимов (</w:t>
      </w:r>
      <w:r>
        <w:rPr>
          <w:lang w:val="en-US"/>
        </w:rPr>
        <w:t>sic</w:t>
      </w:r>
      <w:r>
        <w:t xml:space="preserve">).  И наконец, следует упомянуть о создании Фонда для выплаты компенсации жертвам террористических актов, на счет которого переводится </w:t>
      </w:r>
      <w:proofErr w:type="spellStart"/>
      <w:r>
        <w:t>20%</w:t>
      </w:r>
      <w:proofErr w:type="spellEnd"/>
      <w:r>
        <w:t xml:space="preserve"> от суммы средств, поступающих в Специальный фонд национальной солидарности (124 млн. динаров в 1996 году и 151 млн. динаров в 1997 году).</w:t>
      </w:r>
    </w:p>
    <w:p w:rsidR="00000000" w:rsidRDefault="00000000"/>
    <w:p w:rsidR="00000000" w:rsidRDefault="00000000">
      <w:r>
        <w:t>100.</w:t>
      </w:r>
      <w:r>
        <w:tab/>
        <w:t>Финансовая помощь предоставляется также ассоциациям, занимающимся оказанием помощи семьям жертв терроризма.  В 1998 году Национальной ассоциации жертв терроризма было выделено в общей сложности 10 млн. динаров.</w:t>
      </w:r>
    </w:p>
    <w:p w:rsidR="00000000" w:rsidRDefault="00000000"/>
    <w:p w:rsidR="00000000" w:rsidRDefault="00000000">
      <w:r>
        <w:t>101.</w:t>
      </w:r>
      <w:r>
        <w:tab/>
        <w:t>Кроме того, государство частично оплачивает строительство жилья и содействует получению нуждающимися жилья из социального жилищного фонда, в том числе с перспективой улучшения жилищных условий. В 20 вилайетах (префектурах) семьям жертв терроризма было предоставлено 530 единиц жилья.</w:t>
      </w:r>
    </w:p>
    <w:p w:rsidR="00000000" w:rsidRDefault="00000000"/>
    <w:p w:rsidR="00000000" w:rsidRDefault="00000000">
      <w:r>
        <w:t>102.</w:t>
      </w:r>
      <w:r>
        <w:tab/>
        <w:t xml:space="preserve">С целью оказания помощи в трудоустройстве молодым людям из семей жертв терроризма в сотрудничестве с Национальной ассоциацией семей жертв терроризма принимаются меры по созданию </w:t>
      </w:r>
      <w:proofErr w:type="spellStart"/>
      <w:r>
        <w:t>микропредприятий</w:t>
      </w:r>
      <w:proofErr w:type="spellEnd"/>
      <w:r>
        <w:t>.</w:t>
      </w:r>
    </w:p>
    <w:p w:rsidR="00000000" w:rsidRDefault="00000000"/>
    <w:p w:rsidR="00000000" w:rsidRDefault="00000000">
      <w:r>
        <w:br w:type="page"/>
        <w:t>103.</w:t>
      </w:r>
      <w:r>
        <w:tab/>
        <w:t>Что касается заочного обучения, то с Национальным центром заочной профессиональной подготовки (</w:t>
      </w:r>
      <w:proofErr w:type="spellStart"/>
      <w:r>
        <w:t>НЦЗПП</w:t>
      </w:r>
      <w:proofErr w:type="spellEnd"/>
      <w:r>
        <w:t>) было подписано соглашение, согласно которому Центр обеспечит профессиональную подготовку 400 человек, ставших инвалидами в результате террористических актов.  На эти цели из Национального фонда солидарности было выделено 2 800 000 динаров.</w:t>
      </w:r>
    </w:p>
    <w:p w:rsidR="00000000" w:rsidRDefault="00000000"/>
    <w:p w:rsidR="00000000" w:rsidRDefault="00000000">
      <w:r>
        <w:t>104.</w:t>
      </w:r>
      <w:r>
        <w:tab/>
        <w:t>Психологическая реабилитация жертв терроризма, в частности детей, является еще одним важным направлением деятельности в рамках вышеупомянутого механизма.  С этой целью правительство открыло пункты психологической помощи в тех местах, где имелись жертвы среди гражданского населения.  Кроме того, оно поощряло разработку действующими в стране ассоциациями мер по оказанию помощи детям и в этой связи способствовало помещению детей, матерей и сирот в приюты.  Кроме того, в сотрудничестве с заинтересованными ассоциациями организуются летние лагеря для детей жертв терроризма.</w:t>
      </w:r>
    </w:p>
    <w:p w:rsidR="00000000" w:rsidRDefault="00000000"/>
    <w:p w:rsidR="00000000" w:rsidRDefault="00000000">
      <w:pPr>
        <w:pStyle w:val="16"/>
        <w:rPr>
          <w:i/>
          <w:iCs/>
        </w:rPr>
      </w:pPr>
      <w:r>
        <w:rPr>
          <w:i/>
          <w:iCs/>
        </w:rPr>
        <w:t>Статья 11</w:t>
      </w:r>
    </w:p>
    <w:p w:rsidR="00000000" w:rsidRDefault="00000000">
      <w:pPr>
        <w:pStyle w:val="16"/>
      </w:pPr>
    </w:p>
    <w:p w:rsidR="00000000" w:rsidRDefault="00000000">
      <w:pPr>
        <w:pStyle w:val="11"/>
      </w:pPr>
      <w:r>
        <w:t>Право на жилище и достаточный жизненный уровень</w:t>
      </w:r>
    </w:p>
    <w:p w:rsidR="00000000" w:rsidRDefault="00000000">
      <w:pPr>
        <w:pStyle w:val="11"/>
      </w:pPr>
    </w:p>
    <w:p w:rsidR="00000000" w:rsidRDefault="00000000">
      <w:r>
        <w:t>105.</w:t>
      </w:r>
      <w:r>
        <w:tab/>
        <w:t>Численность населения Алжира увеличилась с 10 млн. в 1962 году, когда страна получила независимость, до 12 млн. в 1966 году, когда была проведена первая перепись населения.  В период с 1966 года по 1987 год население страны увеличилось в два раза и превысило 22,8 млн. человек.  В настоящее время численность населения составляет 29,3 млн. человек.</w:t>
      </w:r>
    </w:p>
    <w:p w:rsidR="00000000" w:rsidRDefault="00000000"/>
    <w:p w:rsidR="00000000" w:rsidRDefault="00000000">
      <w:r>
        <w:t>106.</w:t>
      </w:r>
      <w:r>
        <w:tab/>
        <w:t xml:space="preserve">Если в 60-е годы рост численности населения составлял примерно </w:t>
      </w:r>
      <w:proofErr w:type="spellStart"/>
      <w:r>
        <w:t>3,3%</w:t>
      </w:r>
      <w:proofErr w:type="spellEnd"/>
      <w:r>
        <w:t xml:space="preserve">, то в последующий период он сначала стабилизировался на высоком уровне – </w:t>
      </w:r>
      <w:proofErr w:type="spellStart"/>
      <w:r>
        <w:t>3,1%</w:t>
      </w:r>
      <w:proofErr w:type="spellEnd"/>
      <w:r>
        <w:t>, а затем, начиная со второй половины 80</w:t>
      </w:r>
      <w:r>
        <w:noBreakHyphen/>
        <w:t xml:space="preserve">х годов, начал снижаться и закрепился на уровне </w:t>
      </w:r>
      <w:proofErr w:type="spellStart"/>
      <w:r>
        <w:t>2,7%</w:t>
      </w:r>
      <w:proofErr w:type="spellEnd"/>
      <w:r>
        <w:t xml:space="preserve">.  В 1997 году темпы роста численности населения составляли </w:t>
      </w:r>
      <w:proofErr w:type="spellStart"/>
      <w:r>
        <w:t>1,7%</w:t>
      </w:r>
      <w:proofErr w:type="spellEnd"/>
      <w:r>
        <w:t>.</w:t>
      </w:r>
    </w:p>
    <w:p w:rsidR="00000000" w:rsidRDefault="00000000"/>
    <w:p w:rsidR="00000000" w:rsidRDefault="00000000">
      <w:r>
        <w:t>107.</w:t>
      </w:r>
      <w:r>
        <w:tab/>
        <w:t>Высокие темпы роста численности населения за три десятилетия, прошедшие со дня получения страной независимости, привели к тому, что в возрастной структуре велика доля молодежи в возрасте до 30 лет.  Получив профессиональную подготовку, лица, относящиеся к этой категории населения, теперь стремятся получить работу и жилье.</w:t>
      </w:r>
    </w:p>
    <w:p w:rsidR="00000000" w:rsidRDefault="00000000"/>
    <w:p w:rsidR="00000000" w:rsidRDefault="00000000">
      <w:r>
        <w:t>108.</w:t>
      </w:r>
      <w:r>
        <w:tab/>
        <w:t>Проблема жилья всегда вызывала озабоченность у органов власти.  Общий рост объема капиталовложений в этот сектор фактически компенсировался ростом численности населения.  И действительно, число жильцов, приходящихся на одно жилище, которое когда</w:t>
      </w:r>
      <w:r>
        <w:noBreakHyphen/>
        <w:t>то составляло 7,5, в настоящее время в общенациональных масштабах равняется 7,4 и составляет 7,6 в сельской местности и 7,1 в городах.  Хотя  на протяжении десятилетия этот показатель оставался стабильным, он все же слишком высок.  Несмотря на осуществление широкомасштабных государственных программ и поощрение развития сектора частного жилищного строительства, соотношение показателей роста численности населения и увеличения объема производства в секторе жилищного строительства не менялось и соответственно заметно сократить дефицит в этой области не удалось.</w:t>
      </w:r>
    </w:p>
    <w:p w:rsidR="00000000" w:rsidRDefault="00000000"/>
    <w:p w:rsidR="00000000" w:rsidRDefault="00000000">
      <w:r>
        <w:t>109.</w:t>
      </w:r>
      <w:r>
        <w:tab/>
        <w:t xml:space="preserve">Следует отметить, что в отличие от строительства положение в области оборудования жилья улучшилось.  Так, в настоящее время к системам: </w:t>
      </w:r>
    </w:p>
    <w:p w:rsidR="00000000" w:rsidRDefault="00000000"/>
    <w:p w:rsidR="00000000" w:rsidRDefault="00000000">
      <w:pPr>
        <w:tabs>
          <w:tab w:val="clear" w:pos="567"/>
          <w:tab w:val="right" w:pos="709"/>
        </w:tabs>
      </w:pPr>
      <w:r>
        <w:tab/>
      </w:r>
      <w:proofErr w:type="spellStart"/>
      <w:r>
        <w:rPr>
          <w:lang w:val="en-US"/>
        </w:rPr>
        <w:t>i</w:t>
      </w:r>
      <w:proofErr w:type="spellEnd"/>
      <w:r>
        <w:t>)</w:t>
      </w:r>
      <w:r>
        <w:tab/>
        <w:t xml:space="preserve">электроснабжения подключено </w:t>
      </w:r>
      <w:proofErr w:type="spellStart"/>
      <w:r>
        <w:t>93,4%</w:t>
      </w:r>
      <w:proofErr w:type="spellEnd"/>
      <w:r>
        <w:t xml:space="preserve"> жилого фонда против </w:t>
      </w:r>
      <w:proofErr w:type="spellStart"/>
      <w:r>
        <w:t>72,7%</w:t>
      </w:r>
      <w:proofErr w:type="spellEnd"/>
      <w:r>
        <w:t xml:space="preserve"> в 1987 году,</w:t>
      </w:r>
    </w:p>
    <w:p w:rsidR="00000000" w:rsidRDefault="00000000">
      <w:pPr>
        <w:tabs>
          <w:tab w:val="clear" w:pos="567"/>
          <w:tab w:val="right" w:pos="709"/>
        </w:tabs>
      </w:pPr>
    </w:p>
    <w:p w:rsidR="00000000" w:rsidRDefault="00000000">
      <w:pPr>
        <w:tabs>
          <w:tab w:val="clear" w:pos="567"/>
          <w:tab w:val="right" w:pos="709"/>
        </w:tabs>
      </w:pPr>
      <w:r>
        <w:tab/>
      </w:r>
      <w:r>
        <w:rPr>
          <w:lang w:val="en-US"/>
        </w:rPr>
        <w:t>ii</w:t>
      </w:r>
      <w:r>
        <w:t>)</w:t>
      </w:r>
      <w:r>
        <w:tab/>
        <w:t xml:space="preserve">водоснабжения - </w:t>
      </w:r>
      <w:proofErr w:type="spellStart"/>
      <w:r>
        <w:t>76,8%</w:t>
      </w:r>
      <w:proofErr w:type="spellEnd"/>
      <w:r>
        <w:t xml:space="preserve"> против </w:t>
      </w:r>
      <w:proofErr w:type="spellStart"/>
      <w:r>
        <w:t>58%</w:t>
      </w:r>
      <w:proofErr w:type="spellEnd"/>
      <w:r>
        <w:t xml:space="preserve"> в 1987 году,</w:t>
      </w:r>
    </w:p>
    <w:p w:rsidR="00000000" w:rsidRDefault="00000000">
      <w:pPr>
        <w:tabs>
          <w:tab w:val="clear" w:pos="567"/>
          <w:tab w:val="right" w:pos="709"/>
        </w:tabs>
      </w:pPr>
    </w:p>
    <w:p w:rsidR="00000000" w:rsidRDefault="00000000">
      <w:pPr>
        <w:tabs>
          <w:tab w:val="clear" w:pos="567"/>
          <w:tab w:val="right" w:pos="709"/>
        </w:tabs>
      </w:pPr>
      <w:r>
        <w:tab/>
      </w:r>
      <w:r>
        <w:rPr>
          <w:lang w:val="en-US"/>
        </w:rPr>
        <w:t>iii)</w:t>
      </w:r>
      <w:r>
        <w:tab/>
        <w:t xml:space="preserve">канализации - </w:t>
      </w:r>
      <w:proofErr w:type="spellStart"/>
      <w:r>
        <w:t>96,1%</w:t>
      </w:r>
      <w:proofErr w:type="spellEnd"/>
      <w:r>
        <w:t xml:space="preserve"> против </w:t>
      </w:r>
      <w:proofErr w:type="spellStart"/>
      <w:r>
        <w:t>63%</w:t>
      </w:r>
      <w:proofErr w:type="spellEnd"/>
      <w:r>
        <w:t xml:space="preserve"> в 1987 году  и</w:t>
      </w:r>
    </w:p>
    <w:p w:rsidR="00000000" w:rsidRDefault="00000000">
      <w:pPr>
        <w:tabs>
          <w:tab w:val="clear" w:pos="567"/>
          <w:tab w:val="right" w:pos="709"/>
        </w:tabs>
      </w:pPr>
    </w:p>
    <w:p w:rsidR="00000000" w:rsidRDefault="00000000">
      <w:pPr>
        <w:tabs>
          <w:tab w:val="clear" w:pos="567"/>
          <w:tab w:val="right" w:pos="709"/>
        </w:tabs>
      </w:pPr>
      <w:r>
        <w:tab/>
      </w:r>
      <w:r>
        <w:rPr>
          <w:lang w:val="en-US"/>
        </w:rPr>
        <w:t>iv</w:t>
      </w:r>
      <w:r>
        <w:t>)</w:t>
      </w:r>
      <w:r>
        <w:tab/>
        <w:t xml:space="preserve">газоснабжения - </w:t>
      </w:r>
      <w:proofErr w:type="spellStart"/>
      <w:r>
        <w:t>54%</w:t>
      </w:r>
      <w:proofErr w:type="spellEnd"/>
      <w:r>
        <w:t>.</w:t>
      </w:r>
    </w:p>
    <w:p w:rsidR="00000000" w:rsidRDefault="00000000">
      <w:pPr>
        <w:tabs>
          <w:tab w:val="right" w:pos="567"/>
        </w:tabs>
      </w:pPr>
    </w:p>
    <w:p w:rsidR="00000000" w:rsidRDefault="00000000">
      <w:pPr>
        <w:tabs>
          <w:tab w:val="left" w:pos="567"/>
        </w:tabs>
      </w:pPr>
      <w:r>
        <w:t>110.</w:t>
      </w:r>
      <w:r>
        <w:tab/>
        <w:t xml:space="preserve">В 1998 году бюджетные ассигнования на строительство жилья составили 110 млрд. динаров.  К концу сентября 1998 года было введено в строй 225 000 единиц жилья, при этом в стадии строительства находилось еще 393 000 единиц.  С учетом осуществляемых проектов до конца 2000 года в Алжире будет введено в строй 750 000 единиц жилья, к которым необходимо добавить жилье, построенное операторами частного сектора.  Нынешние и будущие усилия в этой области призваны способствовать достижению следующих целей:  удовлетворение спроса на жилье, повышение качества и условий жизни граждан и, наконец, обновление существующего жилого фонда. </w:t>
      </w:r>
    </w:p>
    <w:p w:rsidR="00000000" w:rsidRDefault="00000000"/>
    <w:p w:rsidR="00000000" w:rsidRDefault="00000000">
      <w:r>
        <w:t>111.</w:t>
      </w:r>
      <w:r>
        <w:tab/>
        <w:t>Информация об уровне жизни населения приводится в материалах по статье, касающейся выплачиваемых государством социальных пособий.</w:t>
      </w:r>
    </w:p>
    <w:p w:rsidR="00000000" w:rsidRDefault="00000000"/>
    <w:p w:rsidR="00000000" w:rsidRDefault="00000000">
      <w:r>
        <w:t>112.</w:t>
      </w:r>
      <w:r>
        <w:tab/>
        <w:t xml:space="preserve">Социальные расходы государства, на которые в среднем приходится около </w:t>
      </w:r>
      <w:proofErr w:type="spellStart"/>
      <w:r>
        <w:t>22%</w:t>
      </w:r>
      <w:proofErr w:type="spellEnd"/>
      <w:r>
        <w:t xml:space="preserve"> всех расходов, включают:</w:t>
      </w:r>
    </w:p>
    <w:p w:rsidR="00000000" w:rsidRDefault="00000000"/>
    <w:p w:rsidR="00000000" w:rsidRDefault="00000000">
      <w:r>
        <w:tab/>
      </w:r>
      <w:r>
        <w:rPr>
          <w:lang w:val="en-US"/>
        </w:rPr>
        <w:t>a</w:t>
      </w:r>
      <w:r>
        <w:t>)</w:t>
      </w:r>
      <w:r>
        <w:tab/>
      </w:r>
      <w:r>
        <w:rPr>
          <w:i/>
        </w:rPr>
        <w:t>расходы на выплату денежных пособий,</w:t>
      </w:r>
      <w:r>
        <w:t xml:space="preserve"> т.е. расходы на поддержку системы общего образования и профессиональной подготовки (выплата стипендий, финансирование университетских исследований), расходы на меры солидарности и</w:t>
      </w:r>
    </w:p>
    <w:p w:rsidR="00000000" w:rsidRDefault="00000000">
      <w:r>
        <w:br w:type="page"/>
        <w:t>помощи обездоленным группам населения (выплаты по линии социальной защиты, трудоустройство молодежи) и расходы на выплату семейных пособий и различных пенсий;</w:t>
      </w:r>
    </w:p>
    <w:p w:rsidR="00000000" w:rsidRDefault="00000000"/>
    <w:p w:rsidR="00000000" w:rsidRDefault="00000000">
      <w:r>
        <w:tab/>
      </w:r>
      <w:r>
        <w:rPr>
          <w:lang w:val="en-US"/>
        </w:rPr>
        <w:t>b</w:t>
      </w:r>
      <w:r>
        <w:t>)</w:t>
      </w:r>
      <w:r>
        <w:tab/>
      </w:r>
      <w:r>
        <w:rPr>
          <w:i/>
        </w:rPr>
        <w:t>расходы на оказание надежной помощи</w:t>
      </w:r>
      <w:r>
        <w:t>, т.е. расходы на поддержание цен и предоставление субсидий предприятиям санитарно</w:t>
      </w:r>
      <w:r>
        <w:noBreakHyphen/>
        <w:t>гигиенического профиля и учреждениям социальной защиты;</w:t>
      </w:r>
    </w:p>
    <w:p w:rsidR="00000000" w:rsidRDefault="00000000"/>
    <w:p w:rsidR="00000000" w:rsidRDefault="00000000">
      <w:r>
        <w:tab/>
      </w:r>
      <w:r>
        <w:rPr>
          <w:lang w:val="en-US"/>
        </w:rPr>
        <w:t>c</w:t>
      </w:r>
      <w:r>
        <w:t>)</w:t>
      </w:r>
      <w:r>
        <w:tab/>
      </w:r>
      <w:r>
        <w:rPr>
          <w:i/>
          <w:iCs/>
        </w:rPr>
        <w:t>расходы на выплату пособий по линии социального обеспечения</w:t>
      </w:r>
      <w:r>
        <w:t>, а также меры социальной защиты работников предприятий и членов местных общин.</w:t>
      </w:r>
    </w:p>
    <w:p w:rsidR="00000000" w:rsidRDefault="00000000"/>
    <w:p w:rsidR="00000000" w:rsidRDefault="00000000">
      <w:r>
        <w:t>113.</w:t>
      </w:r>
      <w:r>
        <w:tab/>
        <w:t>С 1992 года функционирует специальный механизм оказания помощи социально уязвимым группам населения в следующих формах:  выплаты по линии социальной защиты, социальная помощь, помещение в специализированные заведения лиц, нуждающихся в такой помощи, и обеспечение ухода и возможности пользоваться транспортом.</w:t>
      </w:r>
    </w:p>
    <w:p w:rsidR="00000000" w:rsidRDefault="00000000"/>
    <w:p w:rsidR="00000000" w:rsidRDefault="00000000">
      <w:pPr>
        <w:jc w:val="center"/>
        <w:rPr>
          <w:u w:val="single"/>
        </w:rPr>
      </w:pPr>
      <w:r>
        <w:t>1.</w:t>
      </w:r>
      <w:r>
        <w:tab/>
      </w:r>
      <w:r>
        <w:rPr>
          <w:u w:val="single"/>
        </w:rPr>
        <w:t>Выплаты по линии социальной защиты</w:t>
      </w:r>
    </w:p>
    <w:p w:rsidR="00000000" w:rsidRDefault="00000000">
      <w:pPr>
        <w:jc w:val="center"/>
        <w:rPr>
          <w:u w:val="single"/>
        </w:rPr>
      </w:pPr>
    </w:p>
    <w:p w:rsidR="00000000" w:rsidRDefault="00000000">
      <w:r>
        <w:t>114.</w:t>
      </w:r>
      <w:r>
        <w:tab/>
        <w:t xml:space="preserve">Выплаты по линии социальной защиты состоят из двух пособий, выплачиваемых из средств государственного бюджета с целью непосредственного увеличения доходов обездоленных лиц и семей.  Такими пособиями являются фиксированное пособие, выплачиваемое в порядке солидарности, и пособие за выполнение общественно полезной работы.  </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rPr>
          <w:u w:val="single"/>
        </w:rPr>
      </w:pPr>
      <w:r>
        <w:rPr>
          <w:lang w:val="en-US"/>
        </w:rPr>
        <w:t>a</w:t>
      </w:r>
      <w:r>
        <w:t>)</w:t>
      </w:r>
      <w:r>
        <w:tab/>
      </w:r>
      <w:r>
        <w:rPr>
          <w:i/>
          <w:iCs/>
          <w:u w:val="single"/>
        </w:rPr>
        <w:t>Фиксированное пособие, выплачиваемое в порядке солидарности (</w:t>
      </w:r>
      <w:proofErr w:type="spellStart"/>
      <w:r>
        <w:rPr>
          <w:i/>
          <w:iCs/>
          <w:u w:val="single"/>
        </w:rPr>
        <w:t>ФПС</w:t>
      </w:r>
      <w:proofErr w:type="spellEnd"/>
      <w:r>
        <w:rPr>
          <w:i/>
          <w:iCs/>
        </w:rPr>
        <w:t>)</w:t>
      </w:r>
    </w:p>
    <w:p w:rsidR="00000000" w:rsidRDefault="00000000">
      <w:pPr>
        <w:rPr>
          <w:u w:val="single"/>
        </w:rPr>
      </w:pPr>
    </w:p>
    <w:p w:rsidR="00000000" w:rsidRDefault="00000000">
      <w:r>
        <w:t>115.</w:t>
      </w:r>
      <w:r>
        <w:tab/>
        <w:t>Это пособие предоставляется престарелым и инвалидам, главам семей или одиночкам.  Расходы на выплату этого пособия в 1997 году увеличились до 4,536 млрд. динаров, что соответствует 75,6 млн. долл. США.  В 1998 году это пособие получили более 420 000 человек, в том числе 195 734 женщины.</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rPr>
          <w:u w:val="single"/>
        </w:rPr>
      </w:pPr>
      <w:r>
        <w:rPr>
          <w:lang w:val="en-US"/>
        </w:rPr>
        <w:t>b</w:t>
      </w:r>
      <w:r>
        <w:t>)</w:t>
      </w:r>
      <w:r>
        <w:tab/>
      </w:r>
      <w:r>
        <w:rPr>
          <w:i/>
          <w:iCs/>
          <w:u w:val="single"/>
        </w:rPr>
        <w:t>Пособие за выполнение общественно-полезной работы (</w:t>
      </w:r>
      <w:proofErr w:type="spellStart"/>
      <w:r>
        <w:rPr>
          <w:i/>
          <w:iCs/>
          <w:u w:val="single"/>
        </w:rPr>
        <w:t>ПОПР</w:t>
      </w:r>
      <w:proofErr w:type="spellEnd"/>
      <w:r>
        <w:rPr>
          <w:i/>
          <w:iCs/>
        </w:rPr>
        <w:t>)</w:t>
      </w:r>
    </w:p>
    <w:p w:rsidR="00000000" w:rsidRDefault="00000000">
      <w:pPr>
        <w:rPr>
          <w:u w:val="single"/>
        </w:rPr>
      </w:pPr>
    </w:p>
    <w:p w:rsidR="00000000" w:rsidRDefault="00000000">
      <w:r>
        <w:t>116.</w:t>
      </w:r>
      <w:r>
        <w:tab/>
        <w:t xml:space="preserve">Это пособие выплачивается лицам, не имеющим дохода, или главам семей, не имеющим дохода, которые взамен должны отработать 22 дня в месяц по восемь часов в день на общественно полезных работах, организуемых местными общинами.  На эту деятельность выделяются средства в размере 12 млрд. динаров или 200 млн. долл. США.  Доля женщин в группе лиц, получающих данное пособие, составляет </w:t>
      </w:r>
      <w:proofErr w:type="spellStart"/>
      <w:r>
        <w:t>38,8%</w:t>
      </w:r>
      <w:proofErr w:type="spellEnd"/>
      <w:r>
        <w:t xml:space="preserve">.  Пособие за общественно полезный труд не только увеличивает доходы обездоленных групп населения, но и способствует улучшению условий жизни и окружающей среды, поскольку значительная часть лиц, относящихся к этой категории, проживает в </w:t>
      </w:r>
      <w:proofErr w:type="spellStart"/>
      <w:r>
        <w:t>анклавных</w:t>
      </w:r>
      <w:proofErr w:type="spellEnd"/>
      <w:r>
        <w:t xml:space="preserve"> бедных районах в плохих жилищных условиях.</w:t>
      </w:r>
    </w:p>
    <w:p w:rsidR="00000000" w:rsidRDefault="00000000"/>
    <w:p w:rsidR="00000000" w:rsidRDefault="00000000">
      <w:pPr>
        <w:jc w:val="center"/>
        <w:rPr>
          <w:u w:val="single"/>
        </w:rPr>
      </w:pPr>
      <w:r>
        <w:t>2.</w:t>
      </w:r>
      <w:r>
        <w:tab/>
      </w:r>
      <w:r>
        <w:rPr>
          <w:u w:val="single"/>
        </w:rPr>
        <w:t>Социальная помощь</w:t>
      </w:r>
    </w:p>
    <w:p w:rsidR="00000000" w:rsidRDefault="00000000">
      <w:pPr>
        <w:jc w:val="center"/>
        <w:rPr>
          <w:u w:val="single"/>
        </w:rPr>
      </w:pPr>
    </w:p>
    <w:p w:rsidR="00000000" w:rsidRDefault="00000000">
      <w:r>
        <w:t>117.</w:t>
      </w:r>
      <w:r>
        <w:tab/>
        <w:t>Социальная помощь заключается в финансовом участии государства в удовлетворении насущных потребностей обездоленных граждан.  Хотя никаких различий при оказании такой помощи не проводится, наибольшую пользу от нее получают женщины и девочки.  Она предназначается для детей, которым требуется помощь государственных служб, и детей, относящихся к уязвимым группам, а также для инвалидов и престарелых.  В 1997 году с этой целью было выделено 1 734 млрд. динаров или 28,9 млн. долл. США.</w:t>
      </w:r>
    </w:p>
    <w:p w:rsidR="00000000" w:rsidRDefault="00000000"/>
    <w:p w:rsidR="00000000" w:rsidRDefault="00000000">
      <w:pPr>
        <w:jc w:val="center"/>
        <w:rPr>
          <w:u w:val="single"/>
        </w:rPr>
      </w:pPr>
      <w:r>
        <w:t>3.</w:t>
      </w:r>
      <w:r>
        <w:tab/>
      </w:r>
      <w:r>
        <w:rPr>
          <w:u w:val="single"/>
        </w:rPr>
        <w:t>Обеспечение ухода</w:t>
      </w:r>
    </w:p>
    <w:p w:rsidR="00000000" w:rsidRDefault="00000000">
      <w:pPr>
        <w:jc w:val="center"/>
        <w:rPr>
          <w:u w:val="single"/>
        </w:rPr>
      </w:pPr>
    </w:p>
    <w:p w:rsidR="00000000" w:rsidRDefault="00000000">
      <w:r>
        <w:t>118.</w:t>
      </w:r>
      <w:r>
        <w:tab/>
        <w:t>Меры по обеспечению ухода имеют особо важное значение для инвалидов и лиц, получающих пособия по линии социальной защиты и являющихся членами системы социального обеспечения.  Расходы на уплату взносов полностью покрываются государством.  В этой связи можно отметить следующее:</w:t>
      </w:r>
    </w:p>
    <w:p w:rsidR="00000000" w:rsidRDefault="00000000"/>
    <w:p w:rsidR="00000000" w:rsidRDefault="00000000">
      <w:r>
        <w:tab/>
      </w:r>
      <w:r>
        <w:rPr>
          <w:lang w:val="en-US"/>
        </w:rPr>
        <w:t>a</w:t>
      </w:r>
      <w:r>
        <w:t>)</w:t>
      </w:r>
      <w:r>
        <w:tab/>
        <w:t>Закон № 83</w:t>
      </w:r>
      <w:r>
        <w:noBreakHyphen/>
        <w:t xml:space="preserve">11 по вопросам социального страхования предусматривает принцип, согласно которому пользоваться услугами системы социального обеспечения может любой инвалид, не занимающийся никакой профессиональной деятельностью.  Таким образом, инвалиды охватываются системой социального страхования и имеют право на получение пособий в натуральном выражении.  Взнос в систему социального страхования за каждого инвалида равен </w:t>
      </w:r>
      <w:proofErr w:type="spellStart"/>
      <w:r>
        <w:t>5%</w:t>
      </w:r>
      <w:proofErr w:type="spellEnd"/>
      <w:r>
        <w:t xml:space="preserve"> от минимальной гарантированной заработной платы (</w:t>
      </w:r>
      <w:proofErr w:type="spellStart"/>
      <w:r>
        <w:t>МГЗП</w:t>
      </w:r>
      <w:proofErr w:type="spellEnd"/>
      <w:r>
        <w:t>) в стране.  В 1997 году сумма таких взносов равнялась 367,4 млн. динаров или 6,12 млн. долл. США.</w:t>
      </w:r>
    </w:p>
    <w:p w:rsidR="00000000" w:rsidRDefault="00000000"/>
    <w:p w:rsidR="00000000" w:rsidRDefault="00000000">
      <w:r>
        <w:tab/>
      </w:r>
      <w:r>
        <w:rPr>
          <w:lang w:val="en-US"/>
        </w:rPr>
        <w:t>b</w:t>
      </w:r>
      <w:r>
        <w:t>)</w:t>
      </w:r>
      <w:r>
        <w:tab/>
        <w:t xml:space="preserve">Фонд социального развития финансирует взносы в систему социального страхования для лиц, имеющих право на получение помощи со стороны органов социальной защиты в размере </w:t>
      </w:r>
      <w:proofErr w:type="spellStart"/>
      <w:r>
        <w:t>6%</w:t>
      </w:r>
      <w:proofErr w:type="spellEnd"/>
      <w:r>
        <w:t xml:space="preserve"> от минимальной гарантированной заработной платы в стране и, таким образом, на эти цели выделяется в общей сложности 2,15 млрд. динаров или 35,83 млн. долл. США.</w:t>
      </w:r>
    </w:p>
    <w:p w:rsidR="00000000" w:rsidRDefault="00000000"/>
    <w:p w:rsidR="00000000" w:rsidRDefault="00000000">
      <w:r>
        <w:rPr>
          <w:lang w:val="en-US"/>
        </w:rPr>
        <w:br w:type="page"/>
      </w:r>
      <w:r>
        <w:rPr>
          <w:lang w:val="en-US"/>
        </w:rPr>
        <w:tab/>
        <w:t>c)</w:t>
      </w:r>
      <w:r>
        <w:tab/>
        <w:t xml:space="preserve">Не охваченные социальным страхованием неимущие лица, которые страдают хроническими заболеваниями, бесплатно получают лекарства, требующиеся с учетом их состояния здоровья.  Кроме того, безвозмездно распространяются 73 лекарственных препарата, необходимых для лечения 8 заболеваний (рака, астмы, психических расстройств, </w:t>
      </w:r>
      <w:proofErr w:type="spellStart"/>
      <w:r>
        <w:t>эндометриоза</w:t>
      </w:r>
      <w:proofErr w:type="spellEnd"/>
      <w:r>
        <w:t>, метаболизма, диабета и других).  Общий объем оказываемой таким образом помощи составляет 417 000 долл. США).</w:t>
      </w:r>
    </w:p>
    <w:p w:rsidR="00000000" w:rsidRDefault="00000000">
      <w:pPr>
        <w:ind w:left="1134" w:hanging="1134"/>
      </w:pPr>
    </w:p>
    <w:p w:rsidR="00000000" w:rsidRDefault="00000000">
      <w:r>
        <w:rPr>
          <w:lang w:val="en-US"/>
        </w:rPr>
        <w:tab/>
        <w:t>d)</w:t>
      </w:r>
      <w:r>
        <w:rPr>
          <w:lang w:val="en-US"/>
        </w:rPr>
        <w:tab/>
      </w:r>
      <w:r>
        <w:t>Если говорить о транспорте, то инвалиды, не имеющие дохода, пользуются льготным и/или бесплатным проездом на городском и междугородном железнодорожном и автомобильном транспорте.</w:t>
      </w:r>
    </w:p>
    <w:p w:rsidR="00000000" w:rsidRDefault="00000000"/>
    <w:p w:rsidR="00000000" w:rsidRDefault="00000000">
      <w:pPr>
        <w:jc w:val="center"/>
        <w:rPr>
          <w:i/>
          <w:iCs/>
        </w:rPr>
      </w:pPr>
      <w:r>
        <w:rPr>
          <w:i/>
          <w:iCs/>
        </w:rPr>
        <w:t>Статья 12</w:t>
      </w:r>
    </w:p>
    <w:p w:rsidR="00000000" w:rsidRDefault="00000000">
      <w:pPr>
        <w:pStyle w:val="11"/>
      </w:pPr>
    </w:p>
    <w:p w:rsidR="00000000" w:rsidRDefault="00000000">
      <w:pPr>
        <w:jc w:val="center"/>
        <w:rPr>
          <w:u w:val="single"/>
        </w:rPr>
      </w:pPr>
      <w:r>
        <w:rPr>
          <w:u w:val="single"/>
        </w:rPr>
        <w:t>Право на охрану здоровья</w:t>
      </w:r>
    </w:p>
    <w:p w:rsidR="00000000" w:rsidRDefault="00000000">
      <w:pPr>
        <w:jc w:val="center"/>
        <w:rPr>
          <w:u w:val="single"/>
        </w:rPr>
      </w:pPr>
    </w:p>
    <w:p w:rsidR="00000000" w:rsidRDefault="00000000">
      <w:pPr>
        <w:jc w:val="center"/>
      </w:pPr>
      <w:r>
        <w:t>1.</w:t>
      </w:r>
      <w:r>
        <w:tab/>
      </w:r>
      <w:r>
        <w:rPr>
          <w:u w:val="single"/>
        </w:rPr>
        <w:t>Общая информация</w:t>
      </w:r>
    </w:p>
    <w:p w:rsidR="00000000" w:rsidRDefault="00000000">
      <w:pPr>
        <w:jc w:val="center"/>
      </w:pPr>
    </w:p>
    <w:p w:rsidR="00000000" w:rsidRDefault="00000000">
      <w:r>
        <w:t>119.</w:t>
      </w:r>
      <w:r>
        <w:tab/>
        <w:t>Право на охрану здоровья является конституционным правом (статья 54 Конституции).  Доступ к медицинским услугам обеспечивается населению без какой</w:t>
      </w:r>
      <w:r>
        <w:noBreakHyphen/>
        <w:t xml:space="preserve">либо дискриминации;  согласно оценкам, медицинским обслуживанием, носящим практически всеобъемлющий характер, охвачены </w:t>
      </w:r>
      <w:proofErr w:type="spellStart"/>
      <w:r>
        <w:t>98%</w:t>
      </w:r>
      <w:proofErr w:type="spellEnd"/>
      <w:r>
        <w:t> жителей страны.  Этому благоприятствует прогресс, достигнутый в развитии здравоохранения, о чем свидетельствуют нижеследующие цифры:</w:t>
      </w:r>
    </w:p>
    <w:p w:rsidR="00000000" w:rsidRDefault="00000000"/>
    <w:p w:rsidR="00000000" w:rsidRDefault="00000000">
      <w:r>
        <w:tab/>
        <w:t>-</w:t>
      </w:r>
      <w:r>
        <w:tab/>
        <w:t>1 врач на 1 262 жителя;</w:t>
      </w:r>
    </w:p>
    <w:p w:rsidR="00000000" w:rsidRDefault="00000000">
      <w:r>
        <w:tab/>
        <w:t>-</w:t>
      </w:r>
      <w:r>
        <w:tab/>
        <w:t>1 пункт базовой медицинской помощи на 5 000 жителей;</w:t>
      </w:r>
    </w:p>
    <w:p w:rsidR="00000000" w:rsidRDefault="00000000">
      <w:r>
        <w:tab/>
        <w:t>-</w:t>
      </w:r>
      <w:r>
        <w:tab/>
        <w:t>2,03 больничной койки на 1 000 жителей;</w:t>
      </w:r>
    </w:p>
    <w:p w:rsidR="00000000" w:rsidRDefault="00000000">
      <w:pPr>
        <w:ind w:left="1134" w:hanging="1134"/>
      </w:pPr>
      <w:r>
        <w:tab/>
        <w:t>-</w:t>
      </w:r>
      <w:r>
        <w:tab/>
        <w:t>1,5 койки в акушерско</w:t>
      </w:r>
      <w:r>
        <w:noBreakHyphen/>
        <w:t>гинекологических отделениях на 1 000 женщин фертильного возраста.</w:t>
      </w:r>
    </w:p>
    <w:p w:rsidR="00000000" w:rsidRDefault="00000000"/>
    <w:p w:rsidR="00000000" w:rsidRDefault="00000000">
      <w:r>
        <w:t>120.</w:t>
      </w:r>
      <w:r>
        <w:tab/>
        <w:t>Правительство Алжира добилось существенного расширения базовой медико</w:t>
      </w:r>
      <w:r>
        <w:noBreakHyphen/>
        <w:t>санитарной инфраструктуры и создало благоприятные условия для подготовки медицинского персонала.  В настоящее время в стране насчитывается большое число учреждений здравоохранения:</w:t>
      </w:r>
    </w:p>
    <w:p w:rsidR="00000000" w:rsidRDefault="00000000"/>
    <w:p w:rsidR="00000000" w:rsidRDefault="00000000">
      <w:r>
        <w:tab/>
        <w:t>-</w:t>
      </w:r>
      <w:r>
        <w:tab/>
        <w:t>13 больничных университетских центров,</w:t>
      </w:r>
    </w:p>
    <w:p w:rsidR="00000000" w:rsidRDefault="00000000">
      <w:r>
        <w:tab/>
        <w:t>-</w:t>
      </w:r>
      <w:r>
        <w:tab/>
        <w:t>19 специализированных лечебных заведений,</w:t>
      </w:r>
    </w:p>
    <w:p w:rsidR="00000000" w:rsidRDefault="00000000">
      <w:r>
        <w:tab/>
        <w:t>-</w:t>
      </w:r>
      <w:r>
        <w:tab/>
        <w:t>184 больницы,</w:t>
      </w:r>
    </w:p>
    <w:p w:rsidR="00000000" w:rsidRDefault="00000000">
      <w:r>
        <w:tab/>
        <w:t>-</w:t>
      </w:r>
      <w:r>
        <w:tab/>
        <w:t>56 клиник,</w:t>
      </w:r>
    </w:p>
    <w:p w:rsidR="00000000" w:rsidRDefault="00000000">
      <w:r>
        <w:tab/>
        <w:t>-</w:t>
      </w:r>
      <w:r>
        <w:tab/>
        <w:t>455 поликлиник (в том числе 186 с родильными отделениями),</w:t>
      </w:r>
    </w:p>
    <w:p w:rsidR="00000000" w:rsidRDefault="00000000">
      <w:r>
        <w:tab/>
        <w:t>-</w:t>
      </w:r>
      <w:r>
        <w:tab/>
        <w:t>1 123 центра здоровья,</w:t>
      </w:r>
    </w:p>
    <w:p w:rsidR="00000000" w:rsidRDefault="00000000">
      <w:r>
        <w:tab/>
        <w:t>-</w:t>
      </w:r>
      <w:r>
        <w:tab/>
        <w:t>3 876 процедурных кабинетов.</w:t>
      </w:r>
    </w:p>
    <w:p w:rsidR="00000000" w:rsidRDefault="00000000"/>
    <w:p w:rsidR="00000000" w:rsidRDefault="00000000">
      <w:r>
        <w:t>121.</w:t>
      </w:r>
      <w:r>
        <w:tab/>
        <w:t>Применительно к кадровой ситуации следует отметить, что в 1997 году в государственном секторе работали 10 640 терапевтов, включая 5 499 женщин, 3 488 врачей</w:t>
      </w:r>
      <w:r>
        <w:noBreakHyphen/>
        <w:t>специалистов, в том числе 1 735 женщин, и 5 467 врачей больничных университетских центров, включая 2 418 женщин.  В частном секторе насчитывается 8 195 врачей, в том числе 4 100 женщин.  Таким образом, общая численность врачей составляет 27 790 человек, из которых 13 752 являются женщинами.  По мнению ВОЗ, в Алжире показатель обеспеченности врачами (1 врач на 1 123 жителя в 1997 году) считается весьма удовлетворительным для развивающейся страны.</w:t>
      </w:r>
    </w:p>
    <w:p w:rsidR="00000000" w:rsidRDefault="00000000"/>
    <w:p w:rsidR="00000000" w:rsidRDefault="00000000">
      <w:r>
        <w:t>122.</w:t>
      </w:r>
      <w:r>
        <w:tab/>
        <w:t xml:space="preserve">Доля государственного бюджета, выделяемая на нужды здравоохранения, наряду с образованием является одной из самых высоких.  Так, управленческие расходы в сфере образования составляют порядка 660 млн. долл., или </w:t>
      </w:r>
      <w:proofErr w:type="spellStart"/>
      <w:r>
        <w:t>7%</w:t>
      </w:r>
      <w:proofErr w:type="spellEnd"/>
      <w:r>
        <w:t> бюджета управленческих расходов государства.</w:t>
      </w:r>
    </w:p>
    <w:p w:rsidR="00000000" w:rsidRDefault="00000000"/>
    <w:p w:rsidR="00000000" w:rsidRDefault="00000000">
      <w:pPr>
        <w:jc w:val="center"/>
      </w:pPr>
      <w:r>
        <w:t>2.</w:t>
      </w:r>
      <w:r>
        <w:tab/>
      </w:r>
      <w:r>
        <w:rPr>
          <w:u w:val="single"/>
        </w:rPr>
        <w:t>Демографическая политика</w:t>
      </w:r>
    </w:p>
    <w:p w:rsidR="00000000" w:rsidRDefault="00000000">
      <w:pPr>
        <w:jc w:val="center"/>
      </w:pPr>
    </w:p>
    <w:p w:rsidR="00000000" w:rsidRDefault="00000000">
      <w:r>
        <w:t>123.</w:t>
      </w:r>
      <w:r>
        <w:tab/>
        <w:t>В первые два десятилетия, последовавшие за достижением независимости, демографическая ситуация характеризовалась динамичными изменениями.  На протяжении 60</w:t>
      </w:r>
      <w:r>
        <w:noBreakHyphen/>
        <w:t>70</w:t>
      </w:r>
      <w:r>
        <w:noBreakHyphen/>
        <w:t xml:space="preserve">х годов и вплоть до 1985 года темпы роста численности населения превышали </w:t>
      </w:r>
      <w:proofErr w:type="spellStart"/>
      <w:r>
        <w:t>3%</w:t>
      </w:r>
      <w:proofErr w:type="spellEnd"/>
      <w:r>
        <w:t xml:space="preserve"> в год.  Высокие темпы демографического роста, сохранявшиеся в этот период, привели к тому, что за 22 года с 1962 по 1985 год численность населения увеличилась на 10 млн. человек, т.е. в два раза.  С учетом трудностей, связанных с демографическим ростом, в области народонаселения была разработана и с 1983 года стала проводиться активная политика государственного регулирования. </w:t>
      </w:r>
    </w:p>
    <w:p w:rsidR="00000000" w:rsidRDefault="00000000"/>
    <w:p w:rsidR="00000000" w:rsidRDefault="00000000">
      <w:r>
        <w:t>124.</w:t>
      </w:r>
      <w:r>
        <w:tab/>
        <w:t>Замедление роста численности населения начало заметно ощущаться с конца 80</w:t>
      </w:r>
      <w:r>
        <w:noBreakHyphen/>
        <w:t xml:space="preserve">х годов.  Соответствующие темпы демографического роста, составлявшие </w:t>
      </w:r>
      <w:proofErr w:type="spellStart"/>
      <w:r>
        <w:t>2,7%</w:t>
      </w:r>
      <w:proofErr w:type="spellEnd"/>
      <w:r>
        <w:t xml:space="preserve"> в 1987 году, снизились до </w:t>
      </w:r>
      <w:proofErr w:type="spellStart"/>
      <w:r>
        <w:t>2,4%</w:t>
      </w:r>
      <w:proofErr w:type="spellEnd"/>
      <w:r>
        <w:t xml:space="preserve"> в 1990 году и </w:t>
      </w:r>
      <w:proofErr w:type="spellStart"/>
      <w:r>
        <w:t>1,7%</w:t>
      </w:r>
      <w:proofErr w:type="spellEnd"/>
      <w:r>
        <w:t> в 1997 году.  При таких показателях период удвоения численности народонаселения составляет порядка 42 лет, т.е. в два раза больше, чем в 60</w:t>
      </w:r>
      <w:r>
        <w:noBreakHyphen/>
        <w:t>70</w:t>
      </w:r>
      <w:r>
        <w:noBreakHyphen/>
        <w:t xml:space="preserve">е годы.  </w:t>
      </w:r>
      <w:proofErr w:type="spellStart"/>
      <w:r>
        <w:t>Понижательная</w:t>
      </w:r>
      <w:proofErr w:type="spellEnd"/>
      <w:r>
        <w:t xml:space="preserve"> демографическая тенденция по существу была вызвана сокращением коэффициента рождаемости, характеризовавшегося следующей динамикой:  50/1 000 в 1970 году, 39/1 000 в 1985 году, 30/1 000 в 1990 году и 22,9/1 000 в 1996 году.  Такое замедление роста численности населения одновременно обусловливается повышением возраста вступления в брак и расширением практики предохранения от беременности.</w:t>
      </w:r>
    </w:p>
    <w:p w:rsidR="00000000" w:rsidRDefault="00000000">
      <w:r>
        <w:rPr>
          <w:lang w:val="en-US"/>
        </w:rPr>
        <w:t>125.</w:t>
      </w:r>
      <w:r>
        <w:tab/>
        <w:t>Повышение брачного возраста, затрагивающее как городские, так и сельские районы, является новым показателем социального развития.  За период 1977</w:t>
      </w:r>
      <w:r>
        <w:noBreakHyphen/>
        <w:t>1992 годов средний возраст вступления в брак в сельской местности повысился с 19,8 года до 24,6 года.  Следствием этого стало сокращение числа случаев ранней беременности:  в 1996 году лишь 19 женщин из 1 000 рожали ребенка до достижения двадцатилетнего возраста (60/1 000 в 1980 году).  Сопутствующим фактором снижения рождаемости является сокращение фертильности.  Коэффициент фертильности снизился с 7 детей на одну женщину в 1990 году до 3,68 в 1994 году и достиг 3,14 детей на одну женщину в 1997 году.  Показатель, предполагающий обеспечение воспроизводства населения, составляет порядка 2,1 ребенка на одну женщину.  Алжир должен выйти на этот показатель примерно в 2010 году.</w:t>
      </w:r>
    </w:p>
    <w:p w:rsidR="00000000" w:rsidRDefault="00000000"/>
    <w:p w:rsidR="00000000" w:rsidRDefault="00000000">
      <w:r>
        <w:t>126.</w:t>
      </w:r>
      <w:r>
        <w:tab/>
        <w:t xml:space="preserve">Программы, осуществляемые в области народонаселения, направлены на улучшение доступа к услугам, касающимся репродуктивного здоровья, с </w:t>
      </w:r>
      <w:proofErr w:type="spellStart"/>
      <w:r>
        <w:t>уделением</w:t>
      </w:r>
      <w:proofErr w:type="spellEnd"/>
      <w:r>
        <w:t xml:space="preserve"> пристального внимания находящимся в неблагоприятном положении районам, а также на развитие информационно</w:t>
      </w:r>
      <w:r>
        <w:noBreakHyphen/>
        <w:t xml:space="preserve">просветительской деятельности и взаимодействия в интересах различных групп населения (молодежи, мужчин, сельских жителей и т.д.), увязку демографической политики с другими мерами социальной политики (обустройство территории, окружающая среда и улучшение положения женщин) и развитием исследований в различных областях, связанных с народонаселением.  </w:t>
      </w:r>
    </w:p>
    <w:p w:rsidR="00000000" w:rsidRDefault="00000000"/>
    <w:p w:rsidR="00000000" w:rsidRDefault="00000000">
      <w:r>
        <w:t>127.</w:t>
      </w:r>
      <w:r>
        <w:tab/>
        <w:t xml:space="preserve">Политика в области здравоохранения, являющаяся краеугольным камнем демографической политики, разрабатывается совместно с другими министерствами, и </w:t>
      </w:r>
      <w:proofErr w:type="spellStart"/>
      <w:r>
        <w:t>межсекторальный</w:t>
      </w:r>
      <w:proofErr w:type="spellEnd"/>
      <w:r>
        <w:t xml:space="preserve"> подход служит руководящим принципом национальной политики в области здравоохранения и народонаселения.  Этот принцип закреплен, в частности, в Хартии, которая была принята на Общенациональной конференции по проблемам здравоохранения в 1998 году и в которой установлены цели, принципы и стратегии деятельности в области здравоохранения на период до 2005 года.  С тем чтобы конкретизировать поставленные задачи, на национальном и местном уровнях разработаны согласованные программы действий. </w:t>
      </w:r>
    </w:p>
    <w:p w:rsidR="00000000" w:rsidRDefault="00000000"/>
    <w:p w:rsidR="00000000" w:rsidRDefault="00000000">
      <w:r>
        <w:t>128.</w:t>
      </w:r>
      <w:r>
        <w:tab/>
        <w:t xml:space="preserve">Например, применительно к народонаселению можно отметить создание в 1996 году Национального комитета по народонаселению.  Этот Комитет, объединяющий представителей 30 управлений различных министерств, национальных учреждений и ассоциаций, занимается разработкой, координацией, осуществлением, мониторингом и оценкой национальной политики в области народонаселения, в том числе по вопросам репродуктивного здоровья и планирования семьи.  </w:t>
      </w:r>
    </w:p>
    <w:p w:rsidR="00000000" w:rsidRDefault="00000000"/>
    <w:p w:rsidR="00000000" w:rsidRDefault="00000000">
      <w:r>
        <w:t>129.</w:t>
      </w:r>
      <w:r>
        <w:tab/>
        <w:t xml:space="preserve">Важным фактором является участие различных ассоциаций в деятельности этих органов.  Кроме того, в процессе разработки и претворения в жизнь политики, касающейся здравоохранения и народонаселения, лучше учитываются потребности гражданского общества.  Наряду с этим в повседневную практику вошло участие с 1998 года в административных советах больничных учреждений представителей общественных организаций (ассоциаций пользователей, пациентов и т.д.). </w:t>
      </w:r>
    </w:p>
    <w:p w:rsidR="00000000" w:rsidRDefault="00000000"/>
    <w:p w:rsidR="00000000" w:rsidRDefault="00000000">
      <w:r>
        <w:t>130.</w:t>
      </w:r>
      <w:r>
        <w:tab/>
      </w:r>
      <w:proofErr w:type="spellStart"/>
      <w:r>
        <w:t>Межсекторальный</w:t>
      </w:r>
      <w:proofErr w:type="spellEnd"/>
      <w:r>
        <w:t xml:space="preserve"> подход также является эффективным решением на региональном уровне.  В 90</w:t>
      </w:r>
      <w:r>
        <w:noBreakHyphen/>
        <w:t>е годы произошла децентрализация программ охраны здоровья.  Так, постепенно были созданы 5 медико-санитарных районов.  Цель районирования заключается в том, чтобы адаптировать программы охраны здоровья к местным особенностям.  Для того чтобы обеспечить координацию осуществления программ охраны здоровья на региональном уровне, были образованы региональные советы по здравоохранению.  Эти советы объединяют представителей различных секторов (образования, охраны окружающей среды, национальной солидарности, трудовых отношений и социального обеспечения) и призваны выполнять функции посредничества и согласования в ходе разработки и осуществления программ охраны здоровья.</w:t>
      </w:r>
    </w:p>
    <w:p w:rsidR="00000000" w:rsidRDefault="00000000"/>
    <w:p w:rsidR="00000000" w:rsidRDefault="00000000">
      <w:pPr>
        <w:jc w:val="center"/>
      </w:pPr>
      <w:r>
        <w:t>3.</w:t>
      </w:r>
      <w:r>
        <w:tab/>
      </w:r>
      <w:r>
        <w:rPr>
          <w:u w:val="single"/>
        </w:rPr>
        <w:t>Доступ к медицинским услугам</w:t>
      </w:r>
    </w:p>
    <w:p w:rsidR="00000000" w:rsidRDefault="00000000">
      <w:pPr>
        <w:jc w:val="center"/>
      </w:pPr>
    </w:p>
    <w:p w:rsidR="00000000" w:rsidRDefault="00000000">
      <w:r>
        <w:t>131.</w:t>
      </w:r>
      <w:r>
        <w:tab/>
        <w:t>Согласно данным, которые содержатся в разделе "Доступ к медицинским услугам" обследования уровня жизни, проведенного Национальным статистическим управлением в конце 1995 года, женщины находились в благоприятном положении в плане доступа к медицинским услугам как в городских, так и в сельских районах (см. таблицу ниже).  Вместе с тем следует отметить небольшие различия между городскими и сельскими районами.</w:t>
      </w:r>
    </w:p>
    <w:p w:rsidR="00000000" w:rsidRDefault="00000000"/>
    <w:p w:rsidR="00000000" w:rsidRDefault="00000000">
      <w:pPr>
        <w:pStyle w:val="11"/>
      </w:pPr>
      <w:r>
        <w:t>Доля больных, обращавшихся за консультацией</w:t>
      </w:r>
    </w:p>
    <w:p w:rsidR="00000000" w:rsidRDefault="00000000">
      <w:pPr>
        <w:pStyle w:val="16"/>
      </w:pPr>
      <w:r>
        <w:t>(в процентах)</w:t>
      </w:r>
    </w:p>
    <w:p w:rsidR="00000000" w:rsidRDefault="00000000">
      <w:pPr>
        <w:pStyle w:val="16"/>
        <w:shd w:val="clear" w:color="auto" w:fill="FFFFFF"/>
      </w:pP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5"/>
        <w:gridCol w:w="2392"/>
        <w:gridCol w:w="2392"/>
        <w:gridCol w:w="2392"/>
      </w:tblGrid>
      <w:tr w:rsidR="00000000">
        <w:tblPrEx>
          <w:tblCellMar>
            <w:top w:w="0" w:type="dxa"/>
            <w:bottom w:w="0" w:type="dxa"/>
          </w:tblCellMar>
        </w:tblPrEx>
        <w:tc>
          <w:tcPr>
            <w:tcW w:w="2285" w:type="dxa"/>
            <w:tcBorders>
              <w:bottom w:val="single" w:sz="4" w:space="0" w:color="auto"/>
            </w:tcBorders>
            <w:shd w:val="clear" w:color="auto" w:fill="E6E6E6"/>
          </w:tcPr>
          <w:p w:rsidR="00000000" w:rsidRDefault="00000000">
            <w:pPr>
              <w:pStyle w:val="FootnoteText"/>
              <w:spacing w:before="40" w:after="40" w:line="216" w:lineRule="auto"/>
              <w:rPr>
                <w:sz w:val="20"/>
              </w:rPr>
            </w:pPr>
          </w:p>
        </w:tc>
        <w:tc>
          <w:tcPr>
            <w:tcW w:w="2392" w:type="dxa"/>
            <w:tcBorders>
              <w:bottom w:val="single" w:sz="4" w:space="0" w:color="auto"/>
            </w:tcBorders>
            <w:shd w:val="clear" w:color="auto" w:fill="E6E6E6"/>
          </w:tcPr>
          <w:p w:rsidR="00000000" w:rsidRDefault="00000000">
            <w:pPr>
              <w:spacing w:before="40" w:after="40" w:line="216" w:lineRule="auto"/>
              <w:jc w:val="center"/>
              <w:rPr>
                <w:sz w:val="20"/>
              </w:rPr>
            </w:pPr>
            <w:r>
              <w:rPr>
                <w:sz w:val="20"/>
              </w:rPr>
              <w:t>Мужчины</w:t>
            </w:r>
          </w:p>
        </w:tc>
        <w:tc>
          <w:tcPr>
            <w:tcW w:w="2392" w:type="dxa"/>
            <w:tcBorders>
              <w:bottom w:val="single" w:sz="4" w:space="0" w:color="auto"/>
            </w:tcBorders>
            <w:shd w:val="clear" w:color="auto" w:fill="E6E6E6"/>
          </w:tcPr>
          <w:p w:rsidR="00000000" w:rsidRDefault="00000000">
            <w:pPr>
              <w:spacing w:before="40" w:after="40" w:line="216" w:lineRule="auto"/>
              <w:jc w:val="center"/>
              <w:rPr>
                <w:sz w:val="20"/>
              </w:rPr>
            </w:pPr>
            <w:r>
              <w:rPr>
                <w:sz w:val="20"/>
              </w:rPr>
              <w:t>Женщины</w:t>
            </w:r>
          </w:p>
        </w:tc>
        <w:tc>
          <w:tcPr>
            <w:tcW w:w="2392" w:type="dxa"/>
            <w:tcBorders>
              <w:bottom w:val="single" w:sz="4" w:space="0" w:color="auto"/>
            </w:tcBorders>
            <w:shd w:val="clear" w:color="auto" w:fill="E6E6E6"/>
          </w:tcPr>
          <w:p w:rsidR="00000000" w:rsidRDefault="00000000">
            <w:pPr>
              <w:spacing w:before="40" w:after="40" w:line="216" w:lineRule="auto"/>
              <w:jc w:val="center"/>
              <w:rPr>
                <w:sz w:val="20"/>
              </w:rPr>
            </w:pPr>
            <w:r>
              <w:rPr>
                <w:sz w:val="20"/>
              </w:rPr>
              <w:t>Всего</w:t>
            </w:r>
          </w:p>
        </w:tc>
      </w:tr>
      <w:tr w:rsidR="00000000">
        <w:tblPrEx>
          <w:tblCellMar>
            <w:top w:w="0" w:type="dxa"/>
            <w:bottom w:w="0" w:type="dxa"/>
          </w:tblCellMar>
        </w:tblPrEx>
        <w:tc>
          <w:tcPr>
            <w:tcW w:w="2285" w:type="dxa"/>
            <w:shd w:val="clear" w:color="auto" w:fill="FFFFFF"/>
          </w:tcPr>
          <w:p w:rsidR="00000000" w:rsidRDefault="00000000">
            <w:pPr>
              <w:pStyle w:val="FootnoteText"/>
              <w:spacing w:before="40" w:after="40" w:line="216" w:lineRule="auto"/>
              <w:rPr>
                <w:sz w:val="20"/>
              </w:rPr>
            </w:pPr>
            <w:r>
              <w:rPr>
                <w:sz w:val="20"/>
              </w:rPr>
              <w:t>Городское население</w:t>
            </w:r>
          </w:p>
        </w:tc>
        <w:tc>
          <w:tcPr>
            <w:tcW w:w="2392" w:type="dxa"/>
            <w:shd w:val="clear" w:color="auto" w:fill="FFFFFF"/>
          </w:tcPr>
          <w:p w:rsidR="00000000" w:rsidRDefault="00000000">
            <w:pPr>
              <w:spacing w:before="40" w:after="40" w:line="216" w:lineRule="auto"/>
              <w:jc w:val="center"/>
              <w:rPr>
                <w:sz w:val="20"/>
              </w:rPr>
            </w:pPr>
            <w:r>
              <w:rPr>
                <w:sz w:val="20"/>
              </w:rPr>
              <w:t>81,1</w:t>
            </w:r>
          </w:p>
        </w:tc>
        <w:tc>
          <w:tcPr>
            <w:tcW w:w="2392" w:type="dxa"/>
            <w:shd w:val="clear" w:color="auto" w:fill="FFFFFF"/>
          </w:tcPr>
          <w:p w:rsidR="00000000" w:rsidRDefault="00000000">
            <w:pPr>
              <w:spacing w:before="40" w:after="40" w:line="216" w:lineRule="auto"/>
              <w:jc w:val="center"/>
              <w:rPr>
                <w:sz w:val="20"/>
              </w:rPr>
            </w:pPr>
            <w:r>
              <w:rPr>
                <w:sz w:val="20"/>
              </w:rPr>
              <w:t>85,7</w:t>
            </w:r>
          </w:p>
        </w:tc>
        <w:tc>
          <w:tcPr>
            <w:tcW w:w="2392" w:type="dxa"/>
            <w:shd w:val="clear" w:color="auto" w:fill="FFFFFF"/>
          </w:tcPr>
          <w:p w:rsidR="00000000" w:rsidRDefault="00000000">
            <w:pPr>
              <w:spacing w:before="40" w:after="40" w:line="216" w:lineRule="auto"/>
              <w:jc w:val="center"/>
              <w:rPr>
                <w:sz w:val="20"/>
              </w:rPr>
            </w:pPr>
            <w:r>
              <w:rPr>
                <w:sz w:val="20"/>
              </w:rPr>
              <w:t>83,1</w:t>
            </w:r>
          </w:p>
        </w:tc>
      </w:tr>
      <w:tr w:rsidR="00000000">
        <w:tblPrEx>
          <w:tblCellMar>
            <w:top w:w="0" w:type="dxa"/>
            <w:bottom w:w="0" w:type="dxa"/>
          </w:tblCellMar>
        </w:tblPrEx>
        <w:tc>
          <w:tcPr>
            <w:tcW w:w="2285" w:type="dxa"/>
            <w:shd w:val="clear" w:color="auto" w:fill="FFFFFF"/>
          </w:tcPr>
          <w:p w:rsidR="00000000" w:rsidRDefault="00000000">
            <w:pPr>
              <w:spacing w:before="40" w:after="40" w:line="216" w:lineRule="auto"/>
              <w:rPr>
                <w:sz w:val="20"/>
              </w:rPr>
            </w:pPr>
            <w:r>
              <w:rPr>
                <w:sz w:val="20"/>
              </w:rPr>
              <w:t>Сельское население</w:t>
            </w:r>
          </w:p>
        </w:tc>
        <w:tc>
          <w:tcPr>
            <w:tcW w:w="2392" w:type="dxa"/>
            <w:shd w:val="clear" w:color="auto" w:fill="FFFFFF"/>
          </w:tcPr>
          <w:p w:rsidR="00000000" w:rsidRDefault="00000000">
            <w:pPr>
              <w:spacing w:before="40" w:after="40" w:line="216" w:lineRule="auto"/>
              <w:jc w:val="center"/>
              <w:rPr>
                <w:sz w:val="20"/>
              </w:rPr>
            </w:pPr>
            <w:r>
              <w:rPr>
                <w:sz w:val="20"/>
              </w:rPr>
              <w:t>72,4</w:t>
            </w:r>
          </w:p>
        </w:tc>
        <w:tc>
          <w:tcPr>
            <w:tcW w:w="2392" w:type="dxa"/>
            <w:shd w:val="clear" w:color="auto" w:fill="FFFFFF"/>
          </w:tcPr>
          <w:p w:rsidR="00000000" w:rsidRDefault="00000000">
            <w:pPr>
              <w:spacing w:before="40" w:after="40" w:line="216" w:lineRule="auto"/>
              <w:jc w:val="center"/>
              <w:rPr>
                <w:sz w:val="20"/>
              </w:rPr>
            </w:pPr>
            <w:r>
              <w:rPr>
                <w:sz w:val="20"/>
              </w:rPr>
              <w:t>73,5</w:t>
            </w:r>
          </w:p>
        </w:tc>
        <w:tc>
          <w:tcPr>
            <w:tcW w:w="2392" w:type="dxa"/>
            <w:shd w:val="clear" w:color="auto" w:fill="FFFFFF"/>
          </w:tcPr>
          <w:p w:rsidR="00000000" w:rsidRDefault="00000000">
            <w:pPr>
              <w:spacing w:before="40" w:after="40" w:line="216" w:lineRule="auto"/>
              <w:jc w:val="center"/>
              <w:rPr>
                <w:sz w:val="20"/>
              </w:rPr>
            </w:pPr>
            <w:r>
              <w:rPr>
                <w:sz w:val="20"/>
              </w:rPr>
              <w:t>72,9</w:t>
            </w:r>
          </w:p>
        </w:tc>
      </w:tr>
      <w:tr w:rsidR="00000000">
        <w:tblPrEx>
          <w:tblCellMar>
            <w:top w:w="0" w:type="dxa"/>
            <w:bottom w:w="0" w:type="dxa"/>
          </w:tblCellMar>
        </w:tblPrEx>
        <w:tc>
          <w:tcPr>
            <w:tcW w:w="2285" w:type="dxa"/>
            <w:shd w:val="clear" w:color="auto" w:fill="FFFFFF"/>
          </w:tcPr>
          <w:p w:rsidR="00000000" w:rsidRDefault="00000000">
            <w:pPr>
              <w:spacing w:before="40" w:after="40" w:line="216" w:lineRule="auto"/>
              <w:rPr>
                <w:sz w:val="20"/>
              </w:rPr>
            </w:pPr>
            <w:r>
              <w:rPr>
                <w:sz w:val="20"/>
              </w:rPr>
              <w:t>Всего</w:t>
            </w:r>
          </w:p>
        </w:tc>
        <w:tc>
          <w:tcPr>
            <w:tcW w:w="2392" w:type="dxa"/>
            <w:shd w:val="clear" w:color="auto" w:fill="FFFFFF"/>
          </w:tcPr>
          <w:p w:rsidR="00000000" w:rsidRDefault="00000000">
            <w:pPr>
              <w:spacing w:before="40" w:after="40" w:line="216" w:lineRule="auto"/>
              <w:jc w:val="center"/>
              <w:rPr>
                <w:sz w:val="20"/>
              </w:rPr>
            </w:pPr>
            <w:r>
              <w:rPr>
                <w:sz w:val="20"/>
              </w:rPr>
              <w:t>76,4</w:t>
            </w:r>
          </w:p>
        </w:tc>
        <w:tc>
          <w:tcPr>
            <w:tcW w:w="2392" w:type="dxa"/>
            <w:shd w:val="clear" w:color="auto" w:fill="FFFFFF"/>
          </w:tcPr>
          <w:p w:rsidR="00000000" w:rsidRDefault="00000000">
            <w:pPr>
              <w:spacing w:before="40" w:after="40" w:line="216" w:lineRule="auto"/>
              <w:jc w:val="center"/>
              <w:rPr>
                <w:sz w:val="20"/>
              </w:rPr>
            </w:pPr>
            <w:r>
              <w:rPr>
                <w:sz w:val="20"/>
              </w:rPr>
              <w:t>79,1</w:t>
            </w:r>
          </w:p>
        </w:tc>
        <w:tc>
          <w:tcPr>
            <w:tcW w:w="2392" w:type="dxa"/>
            <w:shd w:val="clear" w:color="auto" w:fill="FFFFFF"/>
          </w:tcPr>
          <w:p w:rsidR="00000000" w:rsidRDefault="00000000">
            <w:pPr>
              <w:spacing w:before="40" w:after="40" w:line="216" w:lineRule="auto"/>
              <w:jc w:val="center"/>
              <w:rPr>
                <w:sz w:val="20"/>
              </w:rPr>
            </w:pPr>
            <w:r>
              <w:rPr>
                <w:sz w:val="20"/>
              </w:rPr>
              <w:t>77,9</w:t>
            </w:r>
          </w:p>
        </w:tc>
      </w:tr>
    </w:tbl>
    <w:p w:rsidR="00000000" w:rsidRDefault="00000000">
      <w:pPr>
        <w:pStyle w:val="16"/>
        <w:tabs>
          <w:tab w:val="left" w:pos="567"/>
          <w:tab w:val="left" w:pos="1134"/>
          <w:tab w:val="left" w:pos="1701"/>
          <w:tab w:val="left" w:pos="2268"/>
          <w:tab w:val="left" w:pos="6237"/>
        </w:tabs>
      </w:pPr>
    </w:p>
    <w:p w:rsidR="00000000" w:rsidRDefault="00000000">
      <w:r>
        <w:rPr>
          <w:lang w:val="en-US"/>
        </w:rPr>
        <w:t>a</w:t>
      </w:r>
      <w:r>
        <w:t>)</w:t>
      </w:r>
      <w:r>
        <w:tab/>
      </w:r>
      <w:r>
        <w:rPr>
          <w:u w:val="single"/>
        </w:rPr>
        <w:t>Планирование семьи и предупреждение беременности</w:t>
      </w:r>
    </w:p>
    <w:p w:rsidR="00000000" w:rsidRDefault="00000000"/>
    <w:p w:rsidR="00000000" w:rsidRDefault="00000000">
      <w:r>
        <w:t>132.</w:t>
      </w:r>
      <w:r>
        <w:tab/>
        <w:t>Планирование семьи, являющееся ключевым аспектом программ в области народонаселения, интегрировано в глобальную деятельность по охране репродуктивного здоровья, включающую безопасное материнство, профилактику болезней, передаваемых половым путем (</w:t>
      </w:r>
      <w:proofErr w:type="spellStart"/>
      <w:r>
        <w:t>БППП</w:t>
      </w:r>
      <w:proofErr w:type="spellEnd"/>
      <w:r>
        <w:t>), лечение бесплодия и раковых заболеваний половых органов.  Меры планирования семьи также строятся на принципе добровольного участия и свободного выбора.  Национальная стратегия полностью исключает принуждение при принятии решений, касающихся деторождения.  Речь идет не о том, чтобы навязать какой</w:t>
      </w:r>
      <w:r>
        <w:noBreakHyphen/>
        <w:t xml:space="preserve">либо семейный стандарт, а о том, чтобы информировать совместно проживающих лиц и воспитать в них чувство родительской ответственности с целью улучшения санитарных условий и гармоничного развития семьи.  Добровольное участие выступает одним из факторов, определяющих устойчивые поведенческие реакции в отношении планирования семьи.  Следует напомнить, что свобода выбора при регулировании деторождения является неотъемлемым элементом планов действий, принятых в Каире и Пекине. </w:t>
      </w:r>
    </w:p>
    <w:p w:rsidR="00000000" w:rsidRDefault="00000000"/>
    <w:p w:rsidR="00000000" w:rsidRDefault="00000000">
      <w:r>
        <w:t>133.</w:t>
      </w:r>
      <w:r>
        <w:tab/>
        <w:t xml:space="preserve">Коэффициент частотности применения мер предупреждения беременности возрос с </w:t>
      </w:r>
      <w:proofErr w:type="spellStart"/>
      <w:r>
        <w:t>35,5%</w:t>
      </w:r>
      <w:proofErr w:type="spellEnd"/>
      <w:r>
        <w:t> в середине 80</w:t>
      </w:r>
      <w:r>
        <w:noBreakHyphen/>
        <w:t xml:space="preserve">х годов до </w:t>
      </w:r>
      <w:proofErr w:type="spellStart"/>
      <w:r>
        <w:t>56,9%</w:t>
      </w:r>
      <w:proofErr w:type="spellEnd"/>
      <w:r>
        <w:t xml:space="preserve"> в 1995 году.  Такой прогресс в особой степени касался современных методов контрацепции.  Показатель использования современных способов предупреждения беременности возрос с </w:t>
      </w:r>
      <w:proofErr w:type="spellStart"/>
      <w:r>
        <w:t>1,5%</w:t>
      </w:r>
      <w:proofErr w:type="spellEnd"/>
      <w:r>
        <w:t xml:space="preserve"> в 1970 году до </w:t>
      </w:r>
      <w:proofErr w:type="spellStart"/>
      <w:r>
        <w:t>31%</w:t>
      </w:r>
      <w:proofErr w:type="spellEnd"/>
      <w:r>
        <w:t xml:space="preserve"> в 1986 году и </w:t>
      </w:r>
      <w:proofErr w:type="spellStart"/>
      <w:r>
        <w:t>49%</w:t>
      </w:r>
      <w:proofErr w:type="spellEnd"/>
      <w:r>
        <w:t> в 1995 году, тогда как показатель использования естественных или традиционных способов предупреждения беременности каким</w:t>
      </w:r>
      <w:r>
        <w:noBreakHyphen/>
        <w:t>либо существенным образом не изменился:  в указанные годы он составлял соответственно </w:t>
      </w:r>
      <w:proofErr w:type="spellStart"/>
      <w:r>
        <w:t>6,5%</w:t>
      </w:r>
      <w:proofErr w:type="spellEnd"/>
      <w:r>
        <w:t>, </w:t>
      </w:r>
      <w:proofErr w:type="spellStart"/>
      <w:r>
        <w:t>4,5%</w:t>
      </w:r>
      <w:proofErr w:type="spellEnd"/>
      <w:r>
        <w:t> и </w:t>
      </w:r>
      <w:proofErr w:type="spellStart"/>
      <w:r>
        <w:t>7,5%</w:t>
      </w:r>
      <w:proofErr w:type="spellEnd"/>
      <w:r>
        <w:t xml:space="preserve">. </w:t>
      </w:r>
    </w:p>
    <w:p w:rsidR="00000000" w:rsidRDefault="00000000"/>
    <w:p w:rsidR="00000000" w:rsidRDefault="00000000">
      <w:r>
        <w:t>134.</w:t>
      </w:r>
      <w:r>
        <w:tab/>
        <w:t xml:space="preserve">Наиболее широко распространенным противозачаточным средством в Алжире являются таблетки:  согласно оценкам, в 1995 году они применялись в </w:t>
      </w:r>
      <w:proofErr w:type="spellStart"/>
      <w:r>
        <w:t>43,4%</w:t>
      </w:r>
      <w:proofErr w:type="spellEnd"/>
      <w:r>
        <w:t xml:space="preserve"> (из </w:t>
      </w:r>
      <w:proofErr w:type="spellStart"/>
      <w:r>
        <w:t>56,9%</w:t>
      </w:r>
      <w:proofErr w:type="spellEnd"/>
      <w:r>
        <w:t xml:space="preserve">) случаев, т.е. каждой третьей из четырех женщин.  Вторым по значимости методом является использование внутриматочных </w:t>
      </w:r>
      <w:proofErr w:type="spellStart"/>
      <w:r>
        <w:t>контрацептивов</w:t>
      </w:r>
      <w:proofErr w:type="spellEnd"/>
      <w:r>
        <w:t xml:space="preserve"> (ВМК) – </w:t>
      </w:r>
      <w:proofErr w:type="spellStart"/>
      <w:r>
        <w:t>4,1%</w:t>
      </w:r>
      <w:proofErr w:type="spellEnd"/>
      <w:r>
        <w:t xml:space="preserve">.  Другие современные средства (кондомы, </w:t>
      </w:r>
      <w:proofErr w:type="spellStart"/>
      <w:r>
        <w:t>инъекцируемые</w:t>
      </w:r>
      <w:proofErr w:type="spellEnd"/>
      <w:r>
        <w:t xml:space="preserve"> препараты) распространены менее широко – </w:t>
      </w:r>
      <w:proofErr w:type="spellStart"/>
      <w:r>
        <w:t>1,5%</w:t>
      </w:r>
      <w:proofErr w:type="spellEnd"/>
      <w:r>
        <w:t> случаев.  Среди естественных методов по</w:t>
      </w:r>
      <w:r>
        <w:noBreakHyphen/>
        <w:t xml:space="preserve">прежнему чаще всего используется длительное грудное вскармливание.  Следует отметить, что в 1997 году в контексте пересмотра национальной номенклатуры медикаментов и фармацевтических товаров был расширен ассортимент противозачаточных средств, разрешенных к использованию в Алжире;  получили также распространение </w:t>
      </w:r>
      <w:proofErr w:type="spellStart"/>
      <w:r>
        <w:t>инъекцируемые</w:t>
      </w:r>
      <w:proofErr w:type="spellEnd"/>
      <w:r>
        <w:t xml:space="preserve"> </w:t>
      </w:r>
      <w:proofErr w:type="spellStart"/>
      <w:r>
        <w:t>контрацептивы</w:t>
      </w:r>
      <w:proofErr w:type="spellEnd"/>
      <w:r>
        <w:t xml:space="preserve"> и гормональные </w:t>
      </w:r>
      <w:proofErr w:type="spellStart"/>
      <w:r>
        <w:t>имплантанты</w:t>
      </w:r>
      <w:proofErr w:type="spellEnd"/>
      <w:r>
        <w:t>.  На национальном уровне зарегистрировано и разрешено к использованию в общей сложности 29 противозачаточных средств.</w:t>
      </w:r>
    </w:p>
    <w:p w:rsidR="00000000" w:rsidRDefault="00000000"/>
    <w:p w:rsidR="00000000" w:rsidRDefault="00000000">
      <w:r>
        <w:t>135.</w:t>
      </w:r>
      <w:r>
        <w:tab/>
        <w:t xml:space="preserve">Что касается продолжительности практики контрацепции, то за последнее десятилетие средний срок применения противозачаточных методов существенно возрос:  с 25,2 месяцев в 1986 году до 31,5 месяцев в 1995 году.  Средний срок использования таблеток составляет 31,5 месяца, а ВМК – 37,3 месяца.  Текущие программы предполагают стимулирование использования </w:t>
      </w:r>
      <w:proofErr w:type="spellStart"/>
      <w:r>
        <w:t>контрацептивных</w:t>
      </w:r>
      <w:proofErr w:type="spellEnd"/>
      <w:r>
        <w:t xml:space="preserve"> средств длительного действия, особенно ВМК.  Использование ВМК пропагандируется в рамках программ подготовки кадров, врачей и акушерок, в ходе информационно</w:t>
      </w:r>
      <w:r>
        <w:noBreakHyphen/>
        <w:t>просветительских мероприятий и с привлечением частных практикующих врачей, и в частности гинекологов, по линии проекта, осуществляющегося министерством здравоохранения, министерством национальной солидарности и по делам семьи и Национальной кассой социального страхования.</w:t>
      </w:r>
    </w:p>
    <w:p w:rsidR="00000000" w:rsidRDefault="00000000"/>
    <w:p w:rsidR="00000000" w:rsidRDefault="00000000">
      <w:r>
        <w:t>136.</w:t>
      </w:r>
      <w:r>
        <w:tab/>
        <w:t xml:space="preserve">В данной области горячо приветствуется участие мужчин, причем на двух уровнях.  Расширяется практика мужской контрацепции с использованием презерватива, особенно в рамках борьбы с </w:t>
      </w:r>
      <w:proofErr w:type="spellStart"/>
      <w:r>
        <w:t>БППП</w:t>
      </w:r>
      <w:proofErr w:type="spellEnd"/>
      <w:r>
        <w:t>/СПИДом .  Также проводятся информационно</w:t>
      </w:r>
      <w:r>
        <w:noBreakHyphen/>
        <w:t xml:space="preserve">просветительские и разъяснительные мероприятия, конкретно ориентированные на мужчин, в том числе на рабочих местах.  Кроме того, с участием сельских пропагандистов при поддержке </w:t>
      </w:r>
      <w:proofErr w:type="spellStart"/>
      <w:r>
        <w:t>ЮНФПА</w:t>
      </w:r>
      <w:proofErr w:type="spellEnd"/>
      <w:r>
        <w:t xml:space="preserve"> осуществляется проект, направленный на укрепление разъяснительной работы среди мужчин в сельской местности.</w:t>
      </w:r>
    </w:p>
    <w:p w:rsidR="00000000" w:rsidRDefault="00000000"/>
    <w:p w:rsidR="00000000" w:rsidRDefault="00000000">
      <w:r>
        <w:t>137.</w:t>
      </w:r>
      <w:r>
        <w:tab/>
        <w:t xml:space="preserve">Наблюдение за протеканием беременности, и в частности послеродовые обследования, в настоящее время является неотъемлемой частью базового медицинского обслуживания матери и ребенка.  Послеродовые услуги включают как клинические и гинекологические обследования, так и санитарное просвещение и выписывание противозачаточных средств.  Эти услуги безвозмездно оказываются в родильных домах и других базовых учреждениях здравоохранения (поликлиниках и центрах здоровья).  Однако на практике в городской и сельской местности послеродовые консультации пользуются меньшей популярностью среди женщин, чем дородовые консультации.  </w:t>
      </w:r>
    </w:p>
    <w:p w:rsidR="00000000" w:rsidRDefault="00000000"/>
    <w:p w:rsidR="00000000" w:rsidRDefault="00000000">
      <w:r>
        <w:t>138.</w:t>
      </w:r>
      <w:r>
        <w:tab/>
        <w:t>Если говорить конкретно о доступе к услугам, касающимся планирования семьи, то с момента включения этой деятельности в .базовые программы охраны здоровья в конце 60</w:t>
      </w:r>
      <w:r>
        <w:noBreakHyphen/>
        <w:t>х годов в данной области был достигнут ощутимый прогресс.  Эти успехи получили дальнейшее развитие в 90</w:t>
      </w:r>
      <w:r>
        <w:noBreakHyphen/>
        <w:t xml:space="preserve">е годы в контексте осуществления национальной политики в области народонаселения.  Практически все женщины осведомлены о практике контрацепции (в 1995 году </w:t>
      </w:r>
      <w:proofErr w:type="spellStart"/>
      <w:r>
        <w:t>99%</w:t>
      </w:r>
      <w:proofErr w:type="spellEnd"/>
      <w:r>
        <w:t xml:space="preserve"> женщин знали по крайней мере один современный способ предупреждения беременности);  как видно из представленной ниже таблицы, практика применения противозачаточных методов постоянно расширяется. </w:t>
      </w:r>
    </w:p>
    <w:p w:rsidR="00000000" w:rsidRDefault="00000000"/>
    <w:p w:rsidR="00000000" w:rsidRDefault="00000000">
      <w:pPr>
        <w:pStyle w:val="11"/>
      </w:pPr>
      <w:r>
        <w:t xml:space="preserve">Коэффициент частотности применения противозачаточных методов </w:t>
      </w:r>
    </w:p>
    <w:p w:rsidR="00000000" w:rsidRDefault="00000000">
      <w:pPr>
        <w:pStyle w:val="11"/>
        <w:rPr>
          <w:u w:val="none"/>
        </w:rPr>
      </w:pPr>
      <w:r>
        <w:rPr>
          <w:u w:val="none"/>
        </w:rPr>
        <w:t>(</w:t>
      </w:r>
      <w:r>
        <w:t>% замужних женщин в плодовитом возрасте</w:t>
      </w:r>
      <w:r>
        <w:rPr>
          <w:u w:val="none"/>
        </w:rPr>
        <w:t>)</w:t>
      </w:r>
    </w:p>
    <w:p w:rsidR="00000000" w:rsidRDefault="00000000">
      <w:pPr>
        <w:pStyle w:val="11"/>
      </w:pP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978"/>
        <w:gridCol w:w="1063"/>
        <w:gridCol w:w="1063"/>
        <w:gridCol w:w="1063"/>
        <w:gridCol w:w="1063"/>
        <w:gridCol w:w="1063"/>
        <w:gridCol w:w="1064"/>
      </w:tblGrid>
      <w:tr w:rsidR="00000000">
        <w:tblPrEx>
          <w:tblCellMar>
            <w:top w:w="0" w:type="dxa"/>
            <w:bottom w:w="0" w:type="dxa"/>
          </w:tblCellMar>
        </w:tblPrEx>
        <w:tc>
          <w:tcPr>
            <w:tcW w:w="2978" w:type="dxa"/>
            <w:shd w:val="clear" w:color="auto" w:fill="E6E6E6"/>
          </w:tcPr>
          <w:p w:rsidR="00000000" w:rsidRDefault="00000000">
            <w:pPr>
              <w:pStyle w:val="11"/>
              <w:tabs>
                <w:tab w:val="clear" w:pos="2268"/>
                <w:tab w:val="clear" w:pos="6237"/>
                <w:tab w:val="left" w:pos="2552"/>
                <w:tab w:val="left" w:pos="5954"/>
              </w:tabs>
              <w:spacing w:before="40" w:after="40" w:line="216" w:lineRule="auto"/>
              <w:rPr>
                <w:sz w:val="20"/>
                <w:u w:val="none"/>
              </w:rPr>
            </w:pPr>
            <w:r>
              <w:rPr>
                <w:sz w:val="20"/>
                <w:u w:val="none"/>
              </w:rPr>
              <w:t>Год</w:t>
            </w:r>
          </w:p>
        </w:tc>
        <w:tc>
          <w:tcPr>
            <w:tcW w:w="1063" w:type="dxa"/>
            <w:shd w:val="clear" w:color="auto" w:fill="E6E6E6"/>
          </w:tcPr>
          <w:p w:rsidR="00000000" w:rsidRDefault="00000000">
            <w:pPr>
              <w:pStyle w:val="11"/>
              <w:spacing w:before="40" w:after="40" w:line="216" w:lineRule="auto"/>
              <w:ind w:left="618" w:hanging="618"/>
              <w:rPr>
                <w:sz w:val="20"/>
                <w:u w:val="none"/>
              </w:rPr>
            </w:pPr>
            <w:r>
              <w:rPr>
                <w:sz w:val="20"/>
                <w:u w:val="none"/>
              </w:rPr>
              <w:t>1970</w:t>
            </w:r>
          </w:p>
        </w:tc>
        <w:tc>
          <w:tcPr>
            <w:tcW w:w="1063" w:type="dxa"/>
            <w:shd w:val="clear" w:color="auto" w:fill="E6E6E6"/>
          </w:tcPr>
          <w:p w:rsidR="00000000" w:rsidRDefault="00000000">
            <w:pPr>
              <w:pStyle w:val="11"/>
              <w:spacing w:before="40" w:after="40" w:line="216" w:lineRule="auto"/>
              <w:rPr>
                <w:sz w:val="20"/>
                <w:u w:val="none"/>
              </w:rPr>
            </w:pPr>
            <w:r>
              <w:rPr>
                <w:sz w:val="20"/>
                <w:u w:val="none"/>
              </w:rPr>
              <w:t>1984</w:t>
            </w:r>
          </w:p>
        </w:tc>
        <w:tc>
          <w:tcPr>
            <w:tcW w:w="1063" w:type="dxa"/>
            <w:shd w:val="clear" w:color="auto" w:fill="E6E6E6"/>
          </w:tcPr>
          <w:p w:rsidR="00000000" w:rsidRDefault="00000000">
            <w:pPr>
              <w:pStyle w:val="11"/>
              <w:tabs>
                <w:tab w:val="clear" w:pos="567"/>
                <w:tab w:val="clear" w:pos="1134"/>
                <w:tab w:val="clear" w:pos="1701"/>
                <w:tab w:val="clear" w:pos="2268"/>
              </w:tabs>
              <w:spacing w:before="40" w:after="40" w:line="216" w:lineRule="auto"/>
              <w:ind w:left="-108"/>
              <w:rPr>
                <w:sz w:val="20"/>
                <w:u w:val="none"/>
              </w:rPr>
            </w:pPr>
            <w:r>
              <w:rPr>
                <w:sz w:val="20"/>
                <w:u w:val="none"/>
              </w:rPr>
              <w:t>1986</w:t>
            </w:r>
          </w:p>
        </w:tc>
        <w:tc>
          <w:tcPr>
            <w:tcW w:w="1063" w:type="dxa"/>
            <w:shd w:val="clear" w:color="auto" w:fill="E6E6E6"/>
          </w:tcPr>
          <w:p w:rsidR="00000000" w:rsidRDefault="00000000">
            <w:pPr>
              <w:pStyle w:val="11"/>
              <w:tabs>
                <w:tab w:val="clear" w:pos="567"/>
                <w:tab w:val="clear" w:pos="1134"/>
                <w:tab w:val="clear" w:pos="1701"/>
              </w:tabs>
              <w:spacing w:before="40" w:after="40" w:line="216" w:lineRule="auto"/>
              <w:ind w:left="85"/>
              <w:rPr>
                <w:sz w:val="20"/>
                <w:u w:val="none"/>
              </w:rPr>
            </w:pPr>
            <w:r>
              <w:rPr>
                <w:sz w:val="20"/>
                <w:u w:val="none"/>
              </w:rPr>
              <w:t>1990</w:t>
            </w:r>
          </w:p>
        </w:tc>
        <w:tc>
          <w:tcPr>
            <w:tcW w:w="1063" w:type="dxa"/>
            <w:shd w:val="clear" w:color="auto" w:fill="E6E6E6"/>
          </w:tcPr>
          <w:p w:rsidR="00000000" w:rsidRDefault="00000000">
            <w:pPr>
              <w:pStyle w:val="11"/>
              <w:tabs>
                <w:tab w:val="clear" w:pos="567"/>
                <w:tab w:val="clear" w:pos="1134"/>
                <w:tab w:val="clear" w:pos="1701"/>
              </w:tabs>
              <w:spacing w:before="40" w:after="40" w:line="216" w:lineRule="auto"/>
              <w:rPr>
                <w:sz w:val="20"/>
                <w:u w:val="none"/>
              </w:rPr>
            </w:pPr>
            <w:r>
              <w:rPr>
                <w:sz w:val="20"/>
                <w:u w:val="none"/>
              </w:rPr>
              <w:t>1992</w:t>
            </w:r>
          </w:p>
        </w:tc>
        <w:tc>
          <w:tcPr>
            <w:tcW w:w="1064" w:type="dxa"/>
            <w:shd w:val="clear" w:color="auto" w:fill="E6E6E6"/>
          </w:tcPr>
          <w:p w:rsidR="00000000" w:rsidRDefault="00000000">
            <w:pPr>
              <w:pStyle w:val="11"/>
              <w:spacing w:before="40" w:after="40" w:line="216" w:lineRule="auto"/>
              <w:ind w:left="-2170" w:firstLine="2170"/>
              <w:rPr>
                <w:sz w:val="20"/>
                <w:u w:val="none"/>
              </w:rPr>
            </w:pPr>
            <w:r>
              <w:rPr>
                <w:sz w:val="20"/>
                <w:u w:val="none"/>
              </w:rPr>
              <w:t>1995</w:t>
            </w:r>
          </w:p>
        </w:tc>
      </w:tr>
      <w:tr w:rsidR="00000000">
        <w:tblPrEx>
          <w:tblCellMar>
            <w:top w:w="0" w:type="dxa"/>
            <w:bottom w:w="0" w:type="dxa"/>
          </w:tblCellMar>
        </w:tblPrEx>
        <w:tc>
          <w:tcPr>
            <w:tcW w:w="2978" w:type="dxa"/>
          </w:tcPr>
          <w:p w:rsidR="00000000" w:rsidRDefault="00000000">
            <w:pPr>
              <w:pStyle w:val="11"/>
              <w:spacing w:before="40" w:after="40" w:line="216" w:lineRule="auto"/>
              <w:jc w:val="left"/>
              <w:rPr>
                <w:sz w:val="20"/>
                <w:u w:val="none"/>
              </w:rPr>
            </w:pPr>
            <w:r>
              <w:rPr>
                <w:sz w:val="20"/>
                <w:u w:val="none"/>
              </w:rPr>
              <w:t xml:space="preserve">Коэффициент частотности применения </w:t>
            </w:r>
            <w:proofErr w:type="spellStart"/>
            <w:r>
              <w:rPr>
                <w:sz w:val="20"/>
                <w:u w:val="none"/>
              </w:rPr>
              <w:t>противоза-чаточных</w:t>
            </w:r>
            <w:proofErr w:type="spellEnd"/>
            <w:r>
              <w:rPr>
                <w:sz w:val="20"/>
                <w:u w:val="none"/>
              </w:rPr>
              <w:t xml:space="preserve"> методов (%)</w:t>
            </w:r>
          </w:p>
        </w:tc>
        <w:tc>
          <w:tcPr>
            <w:tcW w:w="1063" w:type="dxa"/>
            <w:vAlign w:val="bottom"/>
          </w:tcPr>
          <w:p w:rsidR="00000000" w:rsidRDefault="00000000">
            <w:pPr>
              <w:pStyle w:val="11"/>
              <w:spacing w:before="40" w:after="40" w:line="216" w:lineRule="auto"/>
              <w:rPr>
                <w:sz w:val="20"/>
                <w:u w:val="none"/>
              </w:rPr>
            </w:pPr>
            <w:r>
              <w:rPr>
                <w:sz w:val="20"/>
                <w:u w:val="none"/>
              </w:rPr>
              <w:t>8</w:t>
            </w:r>
          </w:p>
        </w:tc>
        <w:tc>
          <w:tcPr>
            <w:tcW w:w="1063" w:type="dxa"/>
            <w:vAlign w:val="bottom"/>
          </w:tcPr>
          <w:p w:rsidR="00000000" w:rsidRDefault="00000000">
            <w:pPr>
              <w:pStyle w:val="11"/>
              <w:spacing w:before="40" w:after="40" w:line="216" w:lineRule="auto"/>
              <w:rPr>
                <w:sz w:val="20"/>
                <w:u w:val="none"/>
              </w:rPr>
            </w:pPr>
            <w:r>
              <w:rPr>
                <w:sz w:val="20"/>
                <w:u w:val="none"/>
              </w:rPr>
              <w:t>25</w:t>
            </w:r>
          </w:p>
        </w:tc>
        <w:tc>
          <w:tcPr>
            <w:tcW w:w="1063" w:type="dxa"/>
            <w:vAlign w:val="bottom"/>
          </w:tcPr>
          <w:p w:rsidR="00000000" w:rsidRDefault="00000000">
            <w:pPr>
              <w:pStyle w:val="11"/>
              <w:tabs>
                <w:tab w:val="clear" w:pos="567"/>
                <w:tab w:val="clear" w:pos="1134"/>
                <w:tab w:val="left" w:pos="1026"/>
              </w:tabs>
              <w:spacing w:before="40" w:after="40" w:line="216" w:lineRule="auto"/>
              <w:rPr>
                <w:sz w:val="20"/>
                <w:u w:val="none"/>
              </w:rPr>
            </w:pPr>
            <w:r>
              <w:rPr>
                <w:sz w:val="20"/>
                <w:u w:val="none"/>
              </w:rPr>
              <w:t>35,5</w:t>
            </w:r>
          </w:p>
        </w:tc>
        <w:tc>
          <w:tcPr>
            <w:tcW w:w="1063" w:type="dxa"/>
            <w:vAlign w:val="bottom"/>
          </w:tcPr>
          <w:p w:rsidR="00000000" w:rsidRDefault="00000000">
            <w:pPr>
              <w:pStyle w:val="11"/>
              <w:spacing w:before="40" w:after="40" w:line="216" w:lineRule="auto"/>
              <w:ind w:left="-209"/>
              <w:rPr>
                <w:sz w:val="20"/>
                <w:u w:val="none"/>
              </w:rPr>
            </w:pPr>
            <w:r>
              <w:rPr>
                <w:sz w:val="20"/>
                <w:u w:val="none"/>
              </w:rPr>
              <w:t>40,6</w:t>
            </w:r>
          </w:p>
        </w:tc>
        <w:tc>
          <w:tcPr>
            <w:tcW w:w="1063" w:type="dxa"/>
            <w:vAlign w:val="bottom"/>
          </w:tcPr>
          <w:p w:rsidR="00000000" w:rsidRDefault="00000000">
            <w:pPr>
              <w:pStyle w:val="11"/>
              <w:spacing w:before="40" w:after="40" w:line="216" w:lineRule="auto"/>
              <w:ind w:left="-2170" w:firstLine="2170"/>
              <w:rPr>
                <w:sz w:val="20"/>
                <w:u w:val="none"/>
              </w:rPr>
            </w:pPr>
            <w:r>
              <w:rPr>
                <w:sz w:val="20"/>
                <w:u w:val="none"/>
              </w:rPr>
              <w:t>50,6</w:t>
            </w:r>
          </w:p>
        </w:tc>
        <w:tc>
          <w:tcPr>
            <w:tcW w:w="1064" w:type="dxa"/>
            <w:vAlign w:val="bottom"/>
          </w:tcPr>
          <w:p w:rsidR="00000000" w:rsidRDefault="00000000">
            <w:pPr>
              <w:pStyle w:val="11"/>
              <w:spacing w:before="40" w:after="40" w:line="216" w:lineRule="auto"/>
              <w:ind w:left="-2170" w:firstLine="2170"/>
              <w:rPr>
                <w:sz w:val="20"/>
                <w:u w:val="none"/>
              </w:rPr>
            </w:pPr>
            <w:r>
              <w:rPr>
                <w:sz w:val="20"/>
                <w:u w:val="none"/>
              </w:rPr>
              <w:t>56,9</w:t>
            </w:r>
          </w:p>
        </w:tc>
      </w:tr>
    </w:tbl>
    <w:p w:rsidR="00000000" w:rsidRDefault="00000000">
      <w:pPr>
        <w:pStyle w:val="11"/>
        <w:spacing w:line="216" w:lineRule="auto"/>
        <w:jc w:val="left"/>
        <w:rPr>
          <w:sz w:val="20"/>
          <w:u w:val="none"/>
        </w:rPr>
      </w:pPr>
    </w:p>
    <w:p w:rsidR="00000000" w:rsidRDefault="00000000">
      <w:pPr>
        <w:pStyle w:val="11"/>
        <w:jc w:val="left"/>
        <w:rPr>
          <w:u w:val="none"/>
        </w:rPr>
      </w:pPr>
      <w:r>
        <w:rPr>
          <w:u w:val="none"/>
        </w:rPr>
        <w:t>Также более активно используются современные способы предупреждения беременности:  за период 1992</w:t>
      </w:r>
      <w:r>
        <w:rPr>
          <w:u w:val="none"/>
        </w:rPr>
        <w:noBreakHyphen/>
        <w:t>1995 годов соответствующий коэффициент возрос с </w:t>
      </w:r>
      <w:proofErr w:type="spellStart"/>
      <w:r>
        <w:rPr>
          <w:u w:val="none"/>
        </w:rPr>
        <w:t>43%</w:t>
      </w:r>
      <w:proofErr w:type="spellEnd"/>
      <w:r>
        <w:rPr>
          <w:u w:val="none"/>
        </w:rPr>
        <w:t> до </w:t>
      </w:r>
      <w:proofErr w:type="spellStart"/>
      <w:r>
        <w:rPr>
          <w:u w:val="none"/>
        </w:rPr>
        <w:t>49%</w:t>
      </w:r>
      <w:proofErr w:type="spellEnd"/>
      <w:r>
        <w:rPr>
          <w:u w:val="none"/>
        </w:rPr>
        <w:t>.</w:t>
      </w:r>
    </w:p>
    <w:p w:rsidR="00000000" w:rsidRDefault="00000000">
      <w:pPr>
        <w:pStyle w:val="11"/>
        <w:jc w:val="left"/>
        <w:rPr>
          <w:u w:val="none"/>
        </w:rPr>
      </w:pPr>
    </w:p>
    <w:p w:rsidR="00000000" w:rsidRDefault="00000000">
      <w:pPr>
        <w:pStyle w:val="11"/>
        <w:jc w:val="left"/>
        <w:rPr>
          <w:u w:val="none"/>
        </w:rPr>
      </w:pPr>
      <w:r>
        <w:rPr>
          <w:u w:val="none"/>
        </w:rPr>
        <w:t>139.</w:t>
      </w:r>
      <w:r>
        <w:rPr>
          <w:u w:val="none"/>
        </w:rPr>
        <w:tab/>
        <w:t>И наконец, практика применения противозачаточных методов распространяется как на городские, так и на сельские районы, и различия между ними постепенно сокращаются (см. таблицу ниже).</w:t>
      </w:r>
    </w:p>
    <w:p w:rsidR="00000000" w:rsidRDefault="00000000">
      <w:pPr>
        <w:pStyle w:val="11"/>
        <w:jc w:val="left"/>
        <w:rPr>
          <w:u w:val="none"/>
        </w:rPr>
      </w:pPr>
    </w:p>
    <w:p w:rsidR="00000000" w:rsidRDefault="00000000">
      <w:pPr>
        <w:pStyle w:val="11"/>
      </w:pPr>
      <w:r>
        <w:t>Динамика изменения коэффициента частотности применения противозачаточных</w:t>
      </w:r>
    </w:p>
    <w:p w:rsidR="00000000" w:rsidRDefault="00000000">
      <w:pPr>
        <w:pStyle w:val="11"/>
      </w:pPr>
      <w:r>
        <w:t>методов в различных районах проживания населения</w:t>
      </w:r>
    </w:p>
    <w:p w:rsidR="00000000" w:rsidRDefault="00000000">
      <w:pPr>
        <w:pStyle w:val="11"/>
        <w:rPr>
          <w:u w:val="none"/>
        </w:rPr>
      </w:pPr>
      <w:r>
        <w:rPr>
          <w:u w:val="none"/>
        </w:rPr>
        <w:t>(</w:t>
      </w:r>
      <w:r>
        <w:t>% замужних женщин фертильного возраста</w:t>
      </w:r>
      <w:r>
        <w:rPr>
          <w:u w:val="none"/>
        </w:rPr>
        <w:t>)</w:t>
      </w:r>
    </w:p>
    <w:p w:rsidR="00000000" w:rsidRDefault="00000000">
      <w:pPr>
        <w:pStyle w:val="11"/>
        <w:rPr>
          <w:u w: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6"/>
        <w:gridCol w:w="1914"/>
        <w:gridCol w:w="1914"/>
        <w:gridCol w:w="1914"/>
        <w:gridCol w:w="1914"/>
      </w:tblGrid>
      <w:tr w:rsidR="00000000">
        <w:tblPrEx>
          <w:tblCellMar>
            <w:top w:w="0" w:type="dxa"/>
            <w:bottom w:w="0" w:type="dxa"/>
          </w:tblCellMar>
        </w:tblPrEx>
        <w:tc>
          <w:tcPr>
            <w:tcW w:w="1806" w:type="dxa"/>
            <w:shd w:val="clear" w:color="auto" w:fill="E6E6E6"/>
          </w:tcPr>
          <w:p w:rsidR="00000000" w:rsidRDefault="00000000">
            <w:pPr>
              <w:pStyle w:val="11"/>
              <w:spacing w:before="40" w:after="40" w:line="216" w:lineRule="auto"/>
              <w:jc w:val="left"/>
              <w:rPr>
                <w:sz w:val="20"/>
              </w:rPr>
            </w:pPr>
          </w:p>
        </w:tc>
        <w:tc>
          <w:tcPr>
            <w:tcW w:w="1914" w:type="dxa"/>
            <w:shd w:val="clear" w:color="auto" w:fill="E6E6E6"/>
          </w:tcPr>
          <w:p w:rsidR="00000000" w:rsidRDefault="00000000">
            <w:pPr>
              <w:pStyle w:val="11"/>
              <w:spacing w:before="40" w:after="40" w:line="216" w:lineRule="auto"/>
              <w:rPr>
                <w:sz w:val="20"/>
                <w:u w:val="none"/>
              </w:rPr>
            </w:pPr>
            <w:r>
              <w:rPr>
                <w:sz w:val="20"/>
                <w:u w:val="none"/>
              </w:rPr>
              <w:t>1970</w:t>
            </w:r>
          </w:p>
        </w:tc>
        <w:tc>
          <w:tcPr>
            <w:tcW w:w="1914" w:type="dxa"/>
            <w:shd w:val="clear" w:color="auto" w:fill="E6E6E6"/>
          </w:tcPr>
          <w:p w:rsidR="00000000" w:rsidRDefault="00000000">
            <w:pPr>
              <w:pStyle w:val="11"/>
              <w:spacing w:before="40" w:after="40" w:line="216" w:lineRule="auto"/>
              <w:rPr>
                <w:sz w:val="20"/>
                <w:u w:val="none"/>
              </w:rPr>
            </w:pPr>
            <w:r>
              <w:rPr>
                <w:sz w:val="20"/>
                <w:u w:val="none"/>
              </w:rPr>
              <w:t>1986</w:t>
            </w:r>
          </w:p>
        </w:tc>
        <w:tc>
          <w:tcPr>
            <w:tcW w:w="1914" w:type="dxa"/>
            <w:shd w:val="clear" w:color="auto" w:fill="E6E6E6"/>
          </w:tcPr>
          <w:p w:rsidR="00000000" w:rsidRDefault="00000000">
            <w:pPr>
              <w:pStyle w:val="11"/>
              <w:spacing w:before="40" w:after="40" w:line="216" w:lineRule="auto"/>
              <w:rPr>
                <w:sz w:val="20"/>
                <w:u w:val="none"/>
              </w:rPr>
            </w:pPr>
            <w:r>
              <w:rPr>
                <w:sz w:val="20"/>
                <w:u w:val="none"/>
              </w:rPr>
              <w:t>1992</w:t>
            </w:r>
          </w:p>
        </w:tc>
        <w:tc>
          <w:tcPr>
            <w:tcW w:w="1914" w:type="dxa"/>
            <w:shd w:val="clear" w:color="auto" w:fill="E6E6E6"/>
          </w:tcPr>
          <w:p w:rsidR="00000000" w:rsidRDefault="00000000">
            <w:pPr>
              <w:pStyle w:val="11"/>
              <w:spacing w:before="40" w:after="40" w:line="216" w:lineRule="auto"/>
              <w:rPr>
                <w:sz w:val="20"/>
                <w:u w:val="none"/>
              </w:rPr>
            </w:pPr>
            <w:r>
              <w:rPr>
                <w:sz w:val="20"/>
                <w:u w:val="none"/>
              </w:rPr>
              <w:t>1995</w:t>
            </w:r>
          </w:p>
        </w:tc>
      </w:tr>
      <w:tr w:rsidR="00000000">
        <w:tblPrEx>
          <w:tblCellMar>
            <w:top w:w="0" w:type="dxa"/>
            <w:bottom w:w="0" w:type="dxa"/>
          </w:tblCellMar>
        </w:tblPrEx>
        <w:tc>
          <w:tcPr>
            <w:tcW w:w="1806" w:type="dxa"/>
          </w:tcPr>
          <w:p w:rsidR="00000000" w:rsidRDefault="00000000">
            <w:pPr>
              <w:pStyle w:val="11"/>
              <w:spacing w:before="40" w:after="40" w:line="216" w:lineRule="auto"/>
              <w:jc w:val="left"/>
              <w:rPr>
                <w:sz w:val="20"/>
                <w:u w:val="none"/>
              </w:rPr>
            </w:pPr>
            <w:r>
              <w:rPr>
                <w:sz w:val="20"/>
                <w:u w:val="none"/>
              </w:rPr>
              <w:t>Городские районы</w:t>
            </w:r>
          </w:p>
        </w:tc>
        <w:tc>
          <w:tcPr>
            <w:tcW w:w="1914" w:type="dxa"/>
          </w:tcPr>
          <w:p w:rsidR="00000000" w:rsidRDefault="00000000">
            <w:pPr>
              <w:pStyle w:val="11"/>
              <w:spacing w:before="40" w:after="40" w:line="216" w:lineRule="auto"/>
              <w:rPr>
                <w:sz w:val="20"/>
                <w:u w:val="none"/>
              </w:rPr>
            </w:pPr>
            <w:r>
              <w:rPr>
                <w:sz w:val="20"/>
                <w:u w:val="none"/>
              </w:rPr>
              <w:t>17,5</w:t>
            </w:r>
          </w:p>
        </w:tc>
        <w:tc>
          <w:tcPr>
            <w:tcW w:w="1914" w:type="dxa"/>
          </w:tcPr>
          <w:p w:rsidR="00000000" w:rsidRDefault="00000000">
            <w:pPr>
              <w:pStyle w:val="11"/>
              <w:spacing w:before="40" w:after="40" w:line="216" w:lineRule="auto"/>
              <w:rPr>
                <w:sz w:val="20"/>
                <w:u w:val="none"/>
              </w:rPr>
            </w:pPr>
            <w:r>
              <w:rPr>
                <w:sz w:val="20"/>
                <w:u w:val="none"/>
              </w:rPr>
              <w:t>38,6</w:t>
            </w:r>
          </w:p>
        </w:tc>
        <w:tc>
          <w:tcPr>
            <w:tcW w:w="1914" w:type="dxa"/>
          </w:tcPr>
          <w:p w:rsidR="00000000" w:rsidRDefault="00000000">
            <w:pPr>
              <w:pStyle w:val="11"/>
              <w:spacing w:before="40" w:after="40" w:line="216" w:lineRule="auto"/>
              <w:rPr>
                <w:sz w:val="20"/>
                <w:u w:val="none"/>
              </w:rPr>
            </w:pPr>
            <w:r>
              <w:rPr>
                <w:sz w:val="20"/>
                <w:u w:val="none"/>
              </w:rPr>
              <w:t>57,5</w:t>
            </w:r>
          </w:p>
        </w:tc>
        <w:tc>
          <w:tcPr>
            <w:tcW w:w="1914" w:type="dxa"/>
          </w:tcPr>
          <w:p w:rsidR="00000000" w:rsidRDefault="00000000">
            <w:pPr>
              <w:pStyle w:val="11"/>
              <w:spacing w:before="40" w:after="40" w:line="216" w:lineRule="auto"/>
              <w:rPr>
                <w:sz w:val="20"/>
                <w:u w:val="none"/>
              </w:rPr>
            </w:pPr>
            <w:r>
              <w:rPr>
                <w:sz w:val="20"/>
                <w:u w:val="none"/>
              </w:rPr>
              <w:t>57,2</w:t>
            </w:r>
          </w:p>
        </w:tc>
      </w:tr>
      <w:tr w:rsidR="00000000">
        <w:tblPrEx>
          <w:tblCellMar>
            <w:top w:w="0" w:type="dxa"/>
            <w:bottom w:w="0" w:type="dxa"/>
          </w:tblCellMar>
        </w:tblPrEx>
        <w:tc>
          <w:tcPr>
            <w:tcW w:w="1806" w:type="dxa"/>
          </w:tcPr>
          <w:p w:rsidR="00000000" w:rsidRDefault="00000000">
            <w:pPr>
              <w:pStyle w:val="11"/>
              <w:spacing w:before="40" w:after="40" w:line="216" w:lineRule="auto"/>
              <w:jc w:val="left"/>
              <w:rPr>
                <w:sz w:val="20"/>
                <w:u w:val="none"/>
              </w:rPr>
            </w:pPr>
            <w:r>
              <w:rPr>
                <w:sz w:val="20"/>
                <w:u w:val="none"/>
              </w:rPr>
              <w:t>Сельские районы</w:t>
            </w:r>
          </w:p>
        </w:tc>
        <w:tc>
          <w:tcPr>
            <w:tcW w:w="1914" w:type="dxa"/>
          </w:tcPr>
          <w:p w:rsidR="00000000" w:rsidRDefault="00000000">
            <w:pPr>
              <w:pStyle w:val="11"/>
              <w:spacing w:before="40" w:after="40" w:line="216" w:lineRule="auto"/>
              <w:rPr>
                <w:sz w:val="20"/>
                <w:u w:val="none"/>
              </w:rPr>
            </w:pPr>
            <w:r>
              <w:rPr>
                <w:sz w:val="20"/>
                <w:u w:val="none"/>
              </w:rPr>
              <w:t>4,0</w:t>
            </w:r>
          </w:p>
        </w:tc>
        <w:tc>
          <w:tcPr>
            <w:tcW w:w="1914" w:type="dxa"/>
          </w:tcPr>
          <w:p w:rsidR="00000000" w:rsidRDefault="00000000">
            <w:pPr>
              <w:pStyle w:val="11"/>
              <w:spacing w:before="40" w:after="40" w:line="216" w:lineRule="auto"/>
              <w:rPr>
                <w:sz w:val="20"/>
                <w:u w:val="none"/>
              </w:rPr>
            </w:pPr>
            <w:r>
              <w:rPr>
                <w:sz w:val="20"/>
                <w:u w:val="none"/>
              </w:rPr>
              <w:t>29,6</w:t>
            </w:r>
          </w:p>
        </w:tc>
        <w:tc>
          <w:tcPr>
            <w:tcW w:w="1914" w:type="dxa"/>
          </w:tcPr>
          <w:p w:rsidR="00000000" w:rsidRDefault="00000000">
            <w:pPr>
              <w:pStyle w:val="11"/>
              <w:spacing w:before="40" w:after="40" w:line="216" w:lineRule="auto"/>
              <w:rPr>
                <w:sz w:val="20"/>
                <w:u w:val="none"/>
              </w:rPr>
            </w:pPr>
            <w:r>
              <w:rPr>
                <w:sz w:val="20"/>
                <w:u w:val="none"/>
              </w:rPr>
              <w:t>44,1</w:t>
            </w:r>
          </w:p>
        </w:tc>
        <w:tc>
          <w:tcPr>
            <w:tcW w:w="1914" w:type="dxa"/>
          </w:tcPr>
          <w:p w:rsidR="00000000" w:rsidRDefault="00000000">
            <w:pPr>
              <w:pStyle w:val="11"/>
              <w:spacing w:before="40" w:after="40" w:line="216" w:lineRule="auto"/>
              <w:rPr>
                <w:sz w:val="20"/>
                <w:u w:val="none"/>
              </w:rPr>
            </w:pPr>
            <w:r>
              <w:rPr>
                <w:sz w:val="20"/>
                <w:u w:val="none"/>
              </w:rPr>
              <w:t>56,6</w:t>
            </w:r>
          </w:p>
        </w:tc>
      </w:tr>
    </w:tbl>
    <w:p w:rsidR="00000000" w:rsidRDefault="00000000">
      <w:pPr>
        <w:pStyle w:val="11"/>
        <w:jc w:val="left"/>
      </w:pPr>
    </w:p>
    <w:p w:rsidR="00000000" w:rsidRDefault="00000000">
      <w:pPr>
        <w:pStyle w:val="11"/>
        <w:jc w:val="left"/>
        <w:rPr>
          <w:u w:val="none"/>
        </w:rPr>
      </w:pPr>
      <w:r>
        <w:rPr>
          <w:u w:val="none"/>
        </w:rPr>
        <w:t>140.</w:t>
      </w:r>
      <w:r>
        <w:rPr>
          <w:u w:val="none"/>
        </w:rPr>
        <w:tab/>
        <w:t>Правовой основой политики в области планирования семьи служит закон № 85</w:t>
      </w:r>
      <w:r>
        <w:rPr>
          <w:u w:val="none"/>
        </w:rPr>
        <w:noBreakHyphen/>
        <w:t xml:space="preserve">05 от 16 февраля 1989 года, касающийся охраны и укрепления здоровья, с внесенными в него изменениями и дополнениями.  Так, в данном Законе предусматриваются нормативные рамки охраны материнства и детства, охватывающие целый комплекс мер медицинского, социального и административного характера, имеющих целью, в частности, охрану здоровья матери благодаря созданию для нее наилучших медицинских и социальных условий в предродовой период, при родах и после рождения ребенка, а также обеспечение оптимальных условий для поддержания здоровья и психомоторного развития ребенка.  В Законе закрепляются положения о регулировании периодов между рождениями, "предназначенном для обеспечения гармоничного баланса и сохранения жизни и здоровья матери и ребенка", а также определяются условия медицинского аборта в качестве "меры, необходимой для спасения жизни матери и поддержания ее психологического равновесия".  Вследствие изменений, внесенных в 1990 году, была, в частности, законодательно регламентирована практика предоставления акушерками консультаций по вопросам планирования семьи.  В настоящее время на акушерок приходится около </w:t>
      </w:r>
      <w:proofErr w:type="spellStart"/>
      <w:r>
        <w:rPr>
          <w:u w:val="none"/>
        </w:rPr>
        <w:t>¾</w:t>
      </w:r>
      <w:proofErr w:type="spellEnd"/>
      <w:r>
        <w:rPr>
          <w:u w:val="none"/>
        </w:rPr>
        <w:t xml:space="preserve"> лиц, предоставляющих услуги по вопросам планирования семьи.  </w:t>
      </w:r>
    </w:p>
    <w:p w:rsidR="00000000" w:rsidRDefault="00000000">
      <w:pPr>
        <w:pStyle w:val="11"/>
        <w:jc w:val="left"/>
        <w:rPr>
          <w:u w:val="none"/>
        </w:rPr>
      </w:pPr>
    </w:p>
    <w:p w:rsidR="00000000" w:rsidRDefault="00000000">
      <w:pPr>
        <w:pStyle w:val="11"/>
        <w:jc w:val="left"/>
        <w:rPr>
          <w:u w:val="none"/>
        </w:rPr>
      </w:pPr>
      <w:r>
        <w:rPr>
          <w:u w:val="none"/>
        </w:rPr>
        <w:t>141.</w:t>
      </w:r>
      <w:r>
        <w:rPr>
          <w:u w:val="none"/>
        </w:rPr>
        <w:tab/>
        <w:t>Расширение доступа к услугам в области репродуктивного здоровья/планирования семьи является одним из центральных элементов национальной политики, касающейся здравоохранения и народонаселения.  Так, в программе, принятой советом министров в марте 1997 года, поставлена задача добиться к концу десятилетия того, чтобы коэффициент частотности применения современных противозачаточных методов составлял </w:t>
      </w:r>
      <w:proofErr w:type="spellStart"/>
      <w:r>
        <w:rPr>
          <w:u w:val="none"/>
        </w:rPr>
        <w:t>60%</w:t>
      </w:r>
      <w:proofErr w:type="spellEnd"/>
      <w:r>
        <w:rPr>
          <w:u w:val="none"/>
        </w:rPr>
        <w:t>.  С тем чтобы облегчить доступ к услугам в области планирования семьи, в государственных учреждениях здравоохранения процедуры и средства, применяемые с</w:t>
      </w:r>
    </w:p>
    <w:p w:rsidR="00000000" w:rsidRDefault="00000000">
      <w:pPr>
        <w:pStyle w:val="11"/>
        <w:jc w:val="left"/>
        <w:rPr>
          <w:u w:val="none"/>
        </w:rPr>
      </w:pPr>
      <w:r>
        <w:rPr>
          <w:u w:val="none"/>
        </w:rPr>
        <w:br w:type="page"/>
        <w:t xml:space="preserve">целью предупреждения беременности, являются бесплатными.  Предоставляемые в частном секторе услуги и средства, связанные с планированием семьи, возмещаются на </w:t>
      </w:r>
      <w:proofErr w:type="spellStart"/>
      <w:r>
        <w:rPr>
          <w:u w:val="none"/>
        </w:rPr>
        <w:t>100%</w:t>
      </w:r>
      <w:proofErr w:type="spellEnd"/>
      <w:r>
        <w:rPr>
          <w:u w:val="none"/>
        </w:rPr>
        <w:t>  за счет системы социального обеспечения.</w:t>
      </w:r>
    </w:p>
    <w:p w:rsidR="00000000" w:rsidRDefault="00000000">
      <w:pPr>
        <w:pStyle w:val="11"/>
        <w:jc w:val="left"/>
        <w:rPr>
          <w:u w:val="none"/>
        </w:rPr>
      </w:pPr>
    </w:p>
    <w:p w:rsidR="00000000" w:rsidRDefault="00000000">
      <w:pPr>
        <w:pStyle w:val="11"/>
        <w:jc w:val="left"/>
        <w:rPr>
          <w:u w:val="none"/>
        </w:rPr>
      </w:pPr>
      <w:r>
        <w:rPr>
          <w:u w:val="none"/>
        </w:rPr>
        <w:t>142.</w:t>
      </w:r>
      <w:r>
        <w:rPr>
          <w:u w:val="none"/>
        </w:rPr>
        <w:tab/>
        <w:t>В основе разработанной программы действий лежат три задачи:</w:t>
      </w:r>
    </w:p>
    <w:p w:rsidR="00000000" w:rsidRDefault="00000000">
      <w:pPr>
        <w:pStyle w:val="11"/>
        <w:jc w:val="left"/>
        <w:rPr>
          <w:u w:val="none"/>
        </w:rPr>
      </w:pPr>
    </w:p>
    <w:p w:rsidR="00000000" w:rsidRDefault="00000000">
      <w:pPr>
        <w:pStyle w:val="11"/>
        <w:jc w:val="left"/>
        <w:rPr>
          <w:u w:val="none"/>
        </w:rPr>
      </w:pPr>
      <w:r>
        <w:rPr>
          <w:u w:val="none"/>
        </w:rPr>
        <w:tab/>
      </w:r>
      <w:r>
        <w:rPr>
          <w:u w:val="none"/>
          <w:lang w:val="en-US"/>
        </w:rPr>
        <w:t>a</w:t>
      </w:r>
      <w:r>
        <w:rPr>
          <w:u w:val="none"/>
        </w:rPr>
        <w:t>)</w:t>
      </w:r>
      <w:r>
        <w:rPr>
          <w:u w:val="none"/>
        </w:rPr>
        <w:tab/>
        <w:t>расширение сети медико</w:t>
      </w:r>
      <w:r>
        <w:rPr>
          <w:u w:val="none"/>
        </w:rPr>
        <w:noBreakHyphen/>
        <w:t xml:space="preserve">санитарных учреждений, предоставляющих услуги в области планирования семьи, и повышение качества этих услуг:  в настоящее время 1 960 служб, созданных по всей стране (департаменты и медико-санитарные секторы), предусматривают осуществление деятельности, касающейся планирования семьи, в процессе базового медицинского обслуживания матерей и детей.  С 1995 года в 360 родильных домах во всех провинциях действуют информационные центры, призванные добиться более тесной увязки материнства и практики предупреждения беременности, в частности, на основе систематизации планирования семьи в послеродовой период; </w:t>
      </w:r>
    </w:p>
    <w:p w:rsidR="00000000" w:rsidRDefault="00000000">
      <w:pPr>
        <w:pStyle w:val="11"/>
        <w:jc w:val="left"/>
        <w:rPr>
          <w:u w:val="none"/>
        </w:rPr>
      </w:pPr>
    </w:p>
    <w:p w:rsidR="00000000" w:rsidRDefault="00000000">
      <w:r>
        <w:rPr>
          <w:lang w:val="en-US"/>
        </w:rPr>
        <w:tab/>
      </w:r>
      <w:proofErr w:type="spellStart"/>
      <w:r>
        <w:t>b</w:t>
      </w:r>
      <w:proofErr w:type="spellEnd"/>
      <w:r>
        <w:t>)</w:t>
      </w:r>
      <w:r>
        <w:tab/>
        <w:t>повышение качества услуг, которому должны способствовать:  непрерывная профессиональная подготовка оказывающих их лиц (врачей и акушерок) по вопросам репродуктивного здоровья/планирования семьи;  совершенствование материально-технической базы медицинских учреждений;  диверсификация методов предупреждения беременности, в частности на основе внедрения инъектируемых контрацептивов в 1997 году и актуализации протоколов медицинского вмешательства с целью поощрения использования ВМК, развития практики предупреждения беременности в послеродовой период, использования инъектируемых препаратов, а также совершенствования системы информации и оценки;</w:t>
      </w:r>
    </w:p>
    <w:p w:rsidR="00000000" w:rsidRDefault="00000000"/>
    <w:p w:rsidR="00000000" w:rsidRDefault="00000000">
      <w:r>
        <w:tab/>
        <w:t>с)</w:t>
      </w:r>
      <w:r>
        <w:tab/>
        <w:t>развитие информационно-просветительской и пропагандистской работы (ИППР):  для расширения практики планирования семьи в 1996 и 1997 годах была активизирована ИППР по вопросам народонаселения в целом и планирования семьи в частности.  Была разработана соответствующая программа, охватывающая различные сектора (связь, национальное образование, религиозные дела, дела молодежи и т.д.), а также общественные ассоциации.</w:t>
      </w:r>
    </w:p>
    <w:p w:rsidR="00000000" w:rsidRDefault="00000000"/>
    <w:p w:rsidR="00000000" w:rsidRDefault="00000000">
      <w:r>
        <w:t>Предпринятые меры затрагивают как деятельность средств массовой информации, так и межличностные отношения в различных общественных местах (школах, мечетях, медико-санитарных учреждениях, молодежных культурных центрах…).</w:t>
      </w:r>
    </w:p>
    <w:p w:rsidR="00000000" w:rsidRDefault="00000000"/>
    <w:p w:rsidR="00000000" w:rsidRDefault="00000000">
      <w:r>
        <w:br w:type="page"/>
        <w:t>143.</w:t>
      </w:r>
      <w:r>
        <w:tab/>
        <w:t>Создание Национального комитета по вопросам репродуктивного здоровья и планирования семьи, начавшего практическую деятельность и объединяющего в своем составе практикующих врачей и вспомогательный медицинский персонал, а также представителей гражданского общества, позволило обеспечить условия для согласованной координации стратегий и мер, направленных на улучшение качества услуг по охране репродуктивного здоровья и расширение практики планирования семьи;  этот Комитет внес весомый вклад в пересмотр протоколов медицинского вмешательства, связанного с предупреждением беременности.</w:t>
      </w:r>
    </w:p>
    <w:p w:rsidR="00000000" w:rsidRDefault="00000000"/>
    <w:p w:rsidR="00000000" w:rsidRDefault="00000000">
      <w:r>
        <w:t>144.</w:t>
      </w:r>
      <w:r>
        <w:tab/>
        <w:t>Разработка, мониторинг и оценка соответствующих программ обеспечиваются Национальным комитетом по народонаселению, который является межведомственным органом, созданным при министерстве здравоохранения и по вопросам народонаселения в 1996 году и который отвечает за координацию и осуществление деятельности, касающейся народонаселения, и в частности наблюдает за ходом выполнения рекомендаций Международной конференции по народонаселению и развитию.</w:t>
      </w:r>
    </w:p>
    <w:p w:rsidR="00000000" w:rsidRDefault="00000000"/>
    <w:p w:rsidR="00000000" w:rsidRDefault="00000000">
      <w:r>
        <w:t>145.</w:t>
      </w:r>
      <w:r>
        <w:tab/>
        <w:t>Оказание медико-санитарной помощи беременным женщинам и улучшение условий деторождения являются неотъемлемой частью базовых программ охраны здоровья.  Увеличение круга услуг, оказываемых в области охраны материнства, позволило повысить эффективность наблюдения за протеканием беременности и расширить практику родовспоможения.  Доля беременных женщин, охваченных медицинским обслуживанием в предродовой период, возросла с 30% в начале 80</w:t>
      </w:r>
      <w:r>
        <w:noBreakHyphen/>
        <w:t>х годов до 57,3% в 1992 году.  Целевое обследование, проведенное в 1997 году в трех районах (в городе, полугородском поселении и сельской местности), показало, что услуги по наблюдению за протеканием беременности не оказывались лишь 11% беременных женщин, однако такое наблюдение было недостаточным примерно в 34% случаев (1-3 консультации).</w:t>
      </w:r>
    </w:p>
    <w:p w:rsidR="00000000" w:rsidRDefault="00000000"/>
    <w:p w:rsidR="00000000" w:rsidRDefault="00000000">
      <w:r>
        <w:t>146.</w:t>
      </w:r>
      <w:r>
        <w:tab/>
        <w:t xml:space="preserve">Говоря о достигнутом прогрессе, можно отметить, что между городскими и сельскими районами еще отмечаются определенные различия.  Дородовым медицинским обслуживанием было охвачено 96% женщин в крупных городах, 75% </w:t>
      </w:r>
      <w:r>
        <w:noBreakHyphen/>
        <w:t xml:space="preserve"> в полугородских поселениях и 46% </w:t>
      </w:r>
      <w:r>
        <w:noBreakHyphen/>
        <w:t xml:space="preserve"> в сельской местности.  Кроме того, в 1992 году каждые третьи роды в деревнях по</w:t>
      </w:r>
      <w:r>
        <w:noBreakHyphen/>
        <w:t>прежнему принимались на дому.</w:t>
      </w:r>
    </w:p>
    <w:p w:rsidR="00000000" w:rsidRDefault="00000000"/>
    <w:p w:rsidR="00000000" w:rsidRDefault="00000000">
      <w:r>
        <w:t>147.</w:t>
      </w:r>
      <w:r>
        <w:tab/>
        <w:t>Вызывающей беспокойство проблемой общественного здравоохранения пока еще является материнская смертность;  согласно данным больниц, в 1996 году коэффициент материнской смертности составил примерно 67 на 1 000 человек.  С 1994 года борьба с материнской и перинатальной заболеваемостью и смертностью стала осуществляться на качественно более высоком уровне благодаря национальной программе, предполагающей решение следующих задач:</w:t>
      </w:r>
    </w:p>
    <w:p w:rsidR="00000000" w:rsidRDefault="00000000">
      <w:r>
        <w:tab/>
        <w:t>а)</w:t>
      </w:r>
      <w:r>
        <w:tab/>
        <w:t>развитие системы наблюдения за протеканием беременности и вакцинации беременных женщин от столбняка.  В этой связи следует подчеркнуть, что доля беременных женщин, которым были сделаны прививки от столбняка (21% в 1992 году), в 1996 году превысила 50%;</w:t>
      </w:r>
    </w:p>
    <w:p w:rsidR="00000000" w:rsidRDefault="00000000"/>
    <w:p w:rsidR="00000000" w:rsidRDefault="00000000">
      <w:r>
        <w:tab/>
      </w:r>
      <w:proofErr w:type="spellStart"/>
      <w:r>
        <w:t>b</w:t>
      </w:r>
      <w:proofErr w:type="spellEnd"/>
      <w:r>
        <w:t>)</w:t>
      </w:r>
      <w:r>
        <w:tab/>
        <w:t>оказание дородовой медицинской помощи, включающей в себя также борьбу с железодефицитной анемией за счет использования препаратов, повышающих количество железа в крови.  Следует отметить, что в 1980 году анемией страдали 40% беременных женщин, а в 1996 году </w:t>
      </w:r>
      <w:r>
        <w:noBreakHyphen/>
        <w:t xml:space="preserve"> 17%;</w:t>
      </w:r>
    </w:p>
    <w:p w:rsidR="00000000" w:rsidRDefault="00000000"/>
    <w:p w:rsidR="00000000" w:rsidRDefault="00000000">
      <w:r>
        <w:tab/>
      </w:r>
      <w:proofErr w:type="spellStart"/>
      <w:r>
        <w:t>c</w:t>
      </w:r>
      <w:proofErr w:type="spellEnd"/>
      <w:r>
        <w:t>)</w:t>
      </w:r>
      <w:r>
        <w:tab/>
        <w:t>расширение практики родовспоможения;</w:t>
      </w:r>
    </w:p>
    <w:p w:rsidR="00000000" w:rsidRDefault="00000000"/>
    <w:p w:rsidR="00000000" w:rsidRDefault="00000000">
      <w:r>
        <w:tab/>
      </w:r>
      <w:proofErr w:type="spellStart"/>
      <w:r>
        <w:t>d</w:t>
      </w:r>
      <w:proofErr w:type="spellEnd"/>
      <w:r>
        <w:t>)</w:t>
      </w:r>
      <w:r>
        <w:tab/>
        <w:t xml:space="preserve">систематический уход за новорожденными и </w:t>
      </w:r>
      <w:proofErr w:type="spellStart"/>
      <w:r>
        <w:t>неонатальная</w:t>
      </w:r>
      <w:proofErr w:type="spellEnd"/>
      <w:r>
        <w:t xml:space="preserve"> реанимация;</w:t>
      </w:r>
    </w:p>
    <w:p w:rsidR="00000000" w:rsidRDefault="00000000"/>
    <w:p w:rsidR="00000000" w:rsidRDefault="00000000">
      <w:r>
        <w:tab/>
      </w:r>
      <w:proofErr w:type="spellStart"/>
      <w:r>
        <w:t>e</w:t>
      </w:r>
      <w:proofErr w:type="spellEnd"/>
      <w:r>
        <w:t>)</w:t>
      </w:r>
      <w:r>
        <w:tab/>
        <w:t>послеродовое медицинское обслуживание и планирование семьи.</w:t>
      </w:r>
    </w:p>
    <w:p w:rsidR="00000000" w:rsidRDefault="00000000"/>
    <w:p w:rsidR="00000000" w:rsidRDefault="00000000">
      <w:r>
        <w:t>Самое пристальное внимание в рамках этой программы уделяется разъяснительной работе в средствах массовой информации, непрерывной подготовке кадров и улучшению показателей деятельности медико-санитарных учреждений.</w:t>
      </w:r>
    </w:p>
    <w:p w:rsidR="00000000" w:rsidRDefault="00000000"/>
    <w:p w:rsidR="00000000" w:rsidRDefault="00000000">
      <w:r>
        <w:t>148.</w:t>
      </w:r>
      <w:r>
        <w:tab/>
        <w:t>В контексте региональной децентрализации базовых программ здравоохранения предпринимаются усилия, которые конкретно ориентированы на районы, находящиеся в наиболее неблагоприятном положении.  Возможности осуществления программ действий, адаптированных к местным потребностям, возросли благодаря созданию в 1995 году санитарных районов с региональными центрами здравоохранения, оказывающими услуги по вопросам репродуктивного здоровья/планирования семьи.  Следует также отметить, что медицинское обслуживание, связанное с наблюдением за протеканием беременности, является бесплатным;  небольшая плата взимается за роды, чтобы покрыть расходы по пребыванию в стационаре.</w:t>
      </w:r>
    </w:p>
    <w:p w:rsidR="00000000" w:rsidRDefault="00000000"/>
    <w:p w:rsidR="00000000" w:rsidRDefault="00000000">
      <w:r>
        <w:t>149.</w:t>
      </w:r>
      <w:r>
        <w:tab/>
        <w:t>Что касается абортов, то с правовой точки зрения разрешается только искусственное прерывание беременности, рекомендованное и осуществляемое медицинским персоналом для сохранения здоровья матери.  В статье 72 закона 85-05, касающегося охраны и укрепления здоровья, отмечается следующее:  "Аборт, осуществляемый в медицинских целях, считается мерой, необходимой для предотвращения угрозы жизни беременной женщины или сохранения состояния ее физиологического и психического равновесия, которое подвергается серьезному риску.  Прерывание беременности осуществляется врачом в специализированном стационаре после медицинского обследования, проводимого совместно с врачом-специалистом".</w:t>
      </w:r>
    </w:p>
    <w:p w:rsidR="00000000" w:rsidRDefault="00000000">
      <w:r>
        <w:t>150.</w:t>
      </w:r>
      <w:r>
        <w:tab/>
        <w:t xml:space="preserve">Так, положения закона, которые являются весьма широкими, охватывают как физиологическое, так и психическое здоровье.  Они предусматривают принятие врачами решения о прерывании беременности с согласия заинтересованного лица, как и в случае любых действий медицинского характера, осуществляющихся в соответствии с Кодексом деонтологии.  Вместе с тем мнение врача общего профиля должно подтверждаться заключением врача-специалиста.  В 1990 году аборты производились в </w:t>
      </w:r>
      <w:proofErr w:type="spellStart"/>
      <w:r>
        <w:t>8,6%</w:t>
      </w:r>
      <w:proofErr w:type="spellEnd"/>
      <w:r>
        <w:t xml:space="preserve"> случаев беременности, а в 1995 году они составили </w:t>
      </w:r>
      <w:proofErr w:type="spellStart"/>
      <w:r>
        <w:t>6,1%</w:t>
      </w:r>
      <w:proofErr w:type="spellEnd"/>
      <w:r>
        <w:t>.  Такое сокращение можно объяснить улучшением практики наблюдения за протеканием беременности.</w:t>
      </w:r>
    </w:p>
    <w:p w:rsidR="00000000" w:rsidRDefault="00000000"/>
    <w:p w:rsidR="00000000" w:rsidRDefault="00000000">
      <w:pPr>
        <w:rPr>
          <w:u w:val="single"/>
        </w:rPr>
      </w:pPr>
      <w:proofErr w:type="spellStart"/>
      <w:r>
        <w:t>b</w:t>
      </w:r>
      <w:proofErr w:type="spellEnd"/>
      <w:r>
        <w:t>)</w:t>
      </w:r>
      <w:r>
        <w:tab/>
      </w:r>
      <w:r>
        <w:rPr>
          <w:u w:val="single"/>
        </w:rPr>
        <w:t>Детская смертность</w:t>
      </w:r>
    </w:p>
    <w:p w:rsidR="00000000" w:rsidRDefault="00000000">
      <w:pPr>
        <w:rPr>
          <w:u w:val="single"/>
        </w:rPr>
      </w:pPr>
    </w:p>
    <w:p w:rsidR="00000000" w:rsidRDefault="00000000">
      <w:r>
        <w:t>151.</w:t>
      </w:r>
      <w:r>
        <w:tab/>
        <w:t xml:space="preserve">Одной из приоритетных задач национальной программы борьбы с материнской и </w:t>
      </w:r>
      <w:proofErr w:type="spellStart"/>
      <w:r>
        <w:t>перинатальной</w:t>
      </w:r>
      <w:proofErr w:type="spellEnd"/>
      <w:r>
        <w:t xml:space="preserve"> смертностью является развитие системы медицинского обслуживания в </w:t>
      </w:r>
      <w:proofErr w:type="spellStart"/>
      <w:r>
        <w:t>постнатальный</w:t>
      </w:r>
      <w:proofErr w:type="spellEnd"/>
      <w:r>
        <w:t xml:space="preserve"> период.  В средствах массовой информации и в учреждениях здравоохранения среди женщин проводится разъяснительная работа.  Кроме того, более активно функционирует механизм организации послеродовых консультаций для женщин, который в некоторых случаях предусматривает посещения на дому.  Если говорить о планировании семьи, то вопросы предупреждения беременности освещаются в рамках непрерывной профессиональной подготовки врачей и акушерок при широком использовании соответствующих протоколов медицинского вмешательства.</w:t>
      </w:r>
    </w:p>
    <w:p w:rsidR="00000000" w:rsidRDefault="00000000"/>
    <w:p w:rsidR="00000000" w:rsidRDefault="00000000">
      <w:r>
        <w:t>152.</w:t>
      </w:r>
      <w:r>
        <w:tab/>
        <w:t>Если говорить  о причинах материнской смертности, то выборочные обследования, проведенные на уровне университетских учреждений, показывают, что самыми распространенными причинами материнской смертности являются:  кровоизлияния, послеродовые инфекции, почечные расстройства и патологические роды.  Первостепенное внимание уделяется тому, чтобы до конца десятилетия сократить показатель смертности от кровоизлияний, на которые приходится примерно одна четвертая всех случаев материнской смертности.  Прилагаются усилия в таких областях, как подготовка кадров, снабжение основными лекарственными препаратами и систематизация деятельности, связанной с определением группы крови беременных женщин.</w:t>
      </w:r>
    </w:p>
    <w:p w:rsidR="00000000" w:rsidRDefault="00000000"/>
    <w:p w:rsidR="00000000" w:rsidRDefault="00000000">
      <w:r>
        <w:t>153.</w:t>
      </w:r>
      <w:r>
        <w:tab/>
        <w:t>Касаясь причин смертности, необходимо прежде всего напомнить, что после достижения независимости детская смертность существенно сократилась:  коэффициент детской смертности снизился примерно с 200/1000 в 1992 году до 85/1000 в 1980 году и 54,5/1000 в 1996 году.  Если до начала 80-х годов коэффициент смертности девочек превышал коэффициент смертности мальчиков, то затем данная тенденция изменилась:  в 1996 году коэффициент детской смертности составил 53/1000 для девочек и 56/1000 для мальчиков.</w:t>
      </w:r>
    </w:p>
    <w:p w:rsidR="00000000" w:rsidRDefault="00000000"/>
    <w:p w:rsidR="00000000" w:rsidRDefault="00000000">
      <w:r>
        <w:t>154.</w:t>
      </w:r>
      <w:r>
        <w:tab/>
        <w:t>Объектом особого внимания на первом этапе осуществления программы действий стало развитие практики вакцинации.  Следует отметить существенный прогресс в борьбе с болезнями, поддающимися профилактической вакцинации, которые до начала 80</w:t>
      </w:r>
      <w:r>
        <w:noBreakHyphen/>
        <w:t xml:space="preserve">х годов считались основной причиной детской смертности.  В 1995 году вакцинацией было охвачено </w:t>
      </w:r>
      <w:proofErr w:type="spellStart"/>
      <w:r>
        <w:t>93%</w:t>
      </w:r>
      <w:proofErr w:type="spellEnd"/>
      <w:r>
        <w:t xml:space="preserve"> детей без какой-либо дискриминации по признакам пола.  Показатель вакцинации </w:t>
      </w:r>
      <w:proofErr w:type="spellStart"/>
      <w:r>
        <w:t>БЦЖ</w:t>
      </w:r>
      <w:proofErr w:type="spellEnd"/>
      <w:r>
        <w:t xml:space="preserve"> составил </w:t>
      </w:r>
      <w:proofErr w:type="spellStart"/>
      <w:r>
        <w:t>99%</w:t>
      </w:r>
      <w:proofErr w:type="spellEnd"/>
      <w:r>
        <w:t xml:space="preserve"> для девочек и </w:t>
      </w:r>
      <w:proofErr w:type="spellStart"/>
      <w:r>
        <w:t>99%</w:t>
      </w:r>
      <w:proofErr w:type="spellEnd"/>
      <w:r>
        <w:t xml:space="preserve"> для мальчиков, от </w:t>
      </w:r>
      <w:proofErr w:type="spellStart"/>
      <w:r>
        <w:t>ДСК</w:t>
      </w:r>
      <w:proofErr w:type="spellEnd"/>
      <w:r>
        <w:t xml:space="preserve">/полиомиелита – </w:t>
      </w:r>
      <w:proofErr w:type="spellStart"/>
      <w:r>
        <w:t>94,7%</w:t>
      </w:r>
      <w:proofErr w:type="spellEnd"/>
      <w:r>
        <w:t xml:space="preserve"> для девочек и </w:t>
      </w:r>
      <w:proofErr w:type="spellStart"/>
      <w:r>
        <w:t>94%</w:t>
      </w:r>
      <w:proofErr w:type="spellEnd"/>
      <w:r>
        <w:t xml:space="preserve"> для мальчиков и от кори – </w:t>
      </w:r>
      <w:proofErr w:type="spellStart"/>
      <w:r>
        <w:t>75%</w:t>
      </w:r>
      <w:proofErr w:type="spellEnd"/>
      <w:r>
        <w:t xml:space="preserve"> для девочек и </w:t>
      </w:r>
      <w:proofErr w:type="spellStart"/>
      <w:r>
        <w:t>75,5%</w:t>
      </w:r>
      <w:proofErr w:type="spellEnd"/>
      <w:r>
        <w:t xml:space="preserve"> для мальчиков.</w:t>
      </w:r>
    </w:p>
    <w:p w:rsidR="00000000" w:rsidRDefault="00000000"/>
    <w:p w:rsidR="00000000" w:rsidRDefault="00000000">
      <w:r>
        <w:t>155.</w:t>
      </w:r>
      <w:r>
        <w:tab/>
        <w:t>В настоящее время наиболее распространенными причинами детской заболеваемости и смертности являются острые респираторные заболевания и диарея у новорожденных (в возрасте до одного месяца), на которые приходится половина случаев смерти детей, не достигших одного года.  С учетом такого положения вещей была скорректирована национальная программа, направленная на устранение причин детской смертности.</w:t>
      </w:r>
    </w:p>
    <w:p w:rsidR="00000000" w:rsidRDefault="00000000"/>
    <w:p w:rsidR="00000000" w:rsidRDefault="00000000">
      <w:r>
        <w:t>156.</w:t>
      </w:r>
      <w:r>
        <w:tab/>
        <w:t>Приоритетной задачей являются профилактика и лечение острых респираторных заболеваний и диареи, а также борьба с детской смертностью в перинатальный период.  Число случаев смерти от диареи сократилось с 1 500 в 1995 году до 650 в 1998 году, а от острых респираторных заболеваний – с 1 283 в 1995 году до 650 в 1998 году.  С 1995 года детям регулярно делаются прививки от кори.</w:t>
      </w:r>
    </w:p>
    <w:p w:rsidR="00000000" w:rsidRDefault="00000000"/>
    <w:tbl>
      <w:tblPr>
        <w:tblW w:w="0" w:type="auto"/>
        <w:jc w:val="center"/>
        <w:tblInd w:w="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3"/>
        <w:gridCol w:w="2392"/>
        <w:gridCol w:w="2392"/>
        <w:gridCol w:w="2392"/>
      </w:tblGrid>
      <w:tr w:rsidR="00000000">
        <w:tblPrEx>
          <w:tblCellMar>
            <w:top w:w="0" w:type="dxa"/>
            <w:bottom w:w="0" w:type="dxa"/>
          </w:tblCellMar>
        </w:tblPrEx>
        <w:trPr>
          <w:cantSplit/>
          <w:jc w:val="center"/>
        </w:trPr>
        <w:tc>
          <w:tcPr>
            <w:tcW w:w="2233" w:type="dxa"/>
            <w:vMerge w:val="restart"/>
            <w:shd w:val="clear" w:color="auto" w:fill="E6E6E6"/>
            <w:vAlign w:val="center"/>
          </w:tcPr>
          <w:p w:rsidR="00000000" w:rsidRDefault="00000000">
            <w:pPr>
              <w:spacing w:before="40" w:after="40" w:line="216" w:lineRule="auto"/>
              <w:jc w:val="center"/>
            </w:pPr>
            <w:r>
              <w:t>Год</w:t>
            </w:r>
          </w:p>
        </w:tc>
        <w:tc>
          <w:tcPr>
            <w:tcW w:w="7176" w:type="dxa"/>
            <w:gridSpan w:val="3"/>
            <w:shd w:val="clear" w:color="auto" w:fill="E6E6E6"/>
          </w:tcPr>
          <w:p w:rsidR="00000000" w:rsidRDefault="00000000">
            <w:pPr>
              <w:spacing w:before="40" w:after="40" w:line="216" w:lineRule="auto"/>
              <w:jc w:val="center"/>
            </w:pPr>
            <w:r>
              <w:t>Коэффициент детской смертности (в %)</w:t>
            </w:r>
          </w:p>
        </w:tc>
      </w:tr>
      <w:tr w:rsidR="00000000">
        <w:tblPrEx>
          <w:tblCellMar>
            <w:top w:w="0" w:type="dxa"/>
            <w:bottom w:w="0" w:type="dxa"/>
          </w:tblCellMar>
        </w:tblPrEx>
        <w:trPr>
          <w:cantSplit/>
          <w:jc w:val="center"/>
        </w:trPr>
        <w:tc>
          <w:tcPr>
            <w:tcW w:w="2233" w:type="dxa"/>
            <w:vMerge/>
            <w:shd w:val="clear" w:color="auto" w:fill="E6E6E6"/>
          </w:tcPr>
          <w:p w:rsidR="00000000" w:rsidRDefault="00000000">
            <w:pPr>
              <w:spacing w:before="40" w:after="40" w:line="216" w:lineRule="auto"/>
              <w:jc w:val="center"/>
            </w:pPr>
          </w:p>
        </w:tc>
        <w:tc>
          <w:tcPr>
            <w:tcW w:w="2392" w:type="dxa"/>
            <w:shd w:val="clear" w:color="auto" w:fill="E6E6E6"/>
          </w:tcPr>
          <w:p w:rsidR="00000000" w:rsidRDefault="00000000">
            <w:pPr>
              <w:spacing w:before="40" w:after="40" w:line="216" w:lineRule="auto"/>
              <w:jc w:val="center"/>
            </w:pPr>
            <w:r>
              <w:t>Мальчики</w:t>
            </w:r>
          </w:p>
        </w:tc>
        <w:tc>
          <w:tcPr>
            <w:tcW w:w="2392" w:type="dxa"/>
            <w:shd w:val="clear" w:color="auto" w:fill="E6E6E6"/>
          </w:tcPr>
          <w:p w:rsidR="00000000" w:rsidRDefault="00000000">
            <w:pPr>
              <w:spacing w:before="40" w:after="40" w:line="216" w:lineRule="auto"/>
              <w:jc w:val="center"/>
            </w:pPr>
            <w:r>
              <w:t>Девочки</w:t>
            </w:r>
          </w:p>
        </w:tc>
        <w:tc>
          <w:tcPr>
            <w:tcW w:w="2392" w:type="dxa"/>
            <w:shd w:val="clear" w:color="auto" w:fill="E6E6E6"/>
          </w:tcPr>
          <w:p w:rsidR="00000000" w:rsidRDefault="00000000">
            <w:pPr>
              <w:spacing w:before="40" w:after="40" w:line="216" w:lineRule="auto"/>
              <w:jc w:val="center"/>
            </w:pPr>
            <w:r>
              <w:t>Всего</w:t>
            </w:r>
          </w:p>
        </w:tc>
      </w:tr>
      <w:tr w:rsidR="00000000">
        <w:tblPrEx>
          <w:tblCellMar>
            <w:top w:w="0" w:type="dxa"/>
            <w:bottom w:w="0" w:type="dxa"/>
          </w:tblCellMar>
        </w:tblPrEx>
        <w:trPr>
          <w:jc w:val="center"/>
        </w:trPr>
        <w:tc>
          <w:tcPr>
            <w:tcW w:w="2233" w:type="dxa"/>
          </w:tcPr>
          <w:p w:rsidR="00000000" w:rsidRDefault="00000000">
            <w:pPr>
              <w:spacing w:before="40" w:after="40" w:line="216" w:lineRule="auto"/>
              <w:jc w:val="center"/>
              <w:rPr>
                <w:lang w:val="en-US"/>
              </w:rPr>
            </w:pPr>
            <w:r>
              <w:rPr>
                <w:lang w:val="en-US"/>
              </w:rPr>
              <w:t>1990</w:t>
            </w:r>
          </w:p>
        </w:tc>
        <w:tc>
          <w:tcPr>
            <w:tcW w:w="2392" w:type="dxa"/>
          </w:tcPr>
          <w:p w:rsidR="00000000" w:rsidRDefault="00000000">
            <w:pPr>
              <w:spacing w:before="40" w:after="40" w:line="216" w:lineRule="auto"/>
              <w:jc w:val="center"/>
              <w:rPr>
                <w:lang w:val="en-US"/>
              </w:rPr>
            </w:pPr>
            <w:r>
              <w:rPr>
                <w:lang w:val="en-US"/>
              </w:rPr>
              <w:t>60,00</w:t>
            </w:r>
          </w:p>
        </w:tc>
        <w:tc>
          <w:tcPr>
            <w:tcW w:w="2392" w:type="dxa"/>
          </w:tcPr>
          <w:p w:rsidR="00000000" w:rsidRDefault="00000000">
            <w:pPr>
              <w:spacing w:before="40" w:after="40" w:line="216" w:lineRule="auto"/>
              <w:jc w:val="center"/>
              <w:rPr>
                <w:lang w:val="en-US"/>
              </w:rPr>
            </w:pPr>
            <w:r>
              <w:rPr>
                <w:lang w:val="en-US"/>
              </w:rPr>
              <w:t>55,5</w:t>
            </w:r>
          </w:p>
        </w:tc>
        <w:tc>
          <w:tcPr>
            <w:tcW w:w="2392" w:type="dxa"/>
          </w:tcPr>
          <w:p w:rsidR="00000000" w:rsidRDefault="00000000">
            <w:pPr>
              <w:spacing w:before="40" w:after="40" w:line="216" w:lineRule="auto"/>
              <w:jc w:val="center"/>
              <w:rPr>
                <w:lang w:val="en-US"/>
              </w:rPr>
            </w:pPr>
            <w:r>
              <w:rPr>
                <w:lang w:val="en-US"/>
              </w:rPr>
              <w:t>57,80</w:t>
            </w:r>
          </w:p>
        </w:tc>
      </w:tr>
      <w:tr w:rsidR="00000000">
        <w:tblPrEx>
          <w:tblCellMar>
            <w:top w:w="0" w:type="dxa"/>
            <w:bottom w:w="0" w:type="dxa"/>
          </w:tblCellMar>
        </w:tblPrEx>
        <w:trPr>
          <w:jc w:val="center"/>
        </w:trPr>
        <w:tc>
          <w:tcPr>
            <w:tcW w:w="2233" w:type="dxa"/>
          </w:tcPr>
          <w:p w:rsidR="00000000" w:rsidRDefault="00000000">
            <w:pPr>
              <w:spacing w:before="40" w:after="40" w:line="216" w:lineRule="auto"/>
              <w:jc w:val="center"/>
              <w:rPr>
                <w:lang w:val="en-US"/>
              </w:rPr>
            </w:pPr>
            <w:r>
              <w:rPr>
                <w:lang w:val="en-US"/>
              </w:rPr>
              <w:t>1991</w:t>
            </w:r>
          </w:p>
        </w:tc>
        <w:tc>
          <w:tcPr>
            <w:tcW w:w="2392" w:type="dxa"/>
          </w:tcPr>
          <w:p w:rsidR="00000000" w:rsidRDefault="00000000">
            <w:pPr>
              <w:spacing w:before="40" w:after="40" w:line="216" w:lineRule="auto"/>
              <w:jc w:val="center"/>
              <w:rPr>
                <w:lang w:val="en-US"/>
              </w:rPr>
            </w:pPr>
            <w:r>
              <w:rPr>
                <w:lang w:val="en-US"/>
              </w:rPr>
              <w:t>59,40</w:t>
            </w:r>
          </w:p>
        </w:tc>
        <w:tc>
          <w:tcPr>
            <w:tcW w:w="2392" w:type="dxa"/>
          </w:tcPr>
          <w:p w:rsidR="00000000" w:rsidRDefault="00000000">
            <w:pPr>
              <w:spacing w:before="40" w:after="40" w:line="216" w:lineRule="auto"/>
              <w:jc w:val="center"/>
              <w:rPr>
                <w:lang w:val="en-US"/>
              </w:rPr>
            </w:pPr>
            <w:r>
              <w:rPr>
                <w:lang w:val="en-US"/>
              </w:rPr>
              <w:t>54,20</w:t>
            </w:r>
          </w:p>
        </w:tc>
        <w:tc>
          <w:tcPr>
            <w:tcW w:w="2392" w:type="dxa"/>
          </w:tcPr>
          <w:p w:rsidR="00000000" w:rsidRDefault="00000000">
            <w:pPr>
              <w:spacing w:before="40" w:after="40" w:line="216" w:lineRule="auto"/>
              <w:jc w:val="center"/>
              <w:rPr>
                <w:lang w:val="en-US"/>
              </w:rPr>
            </w:pPr>
            <w:r>
              <w:rPr>
                <w:lang w:val="en-US"/>
              </w:rPr>
              <w:t>56,90</w:t>
            </w:r>
          </w:p>
        </w:tc>
      </w:tr>
      <w:tr w:rsidR="00000000">
        <w:tblPrEx>
          <w:tblCellMar>
            <w:top w:w="0" w:type="dxa"/>
            <w:bottom w:w="0" w:type="dxa"/>
          </w:tblCellMar>
        </w:tblPrEx>
        <w:trPr>
          <w:jc w:val="center"/>
        </w:trPr>
        <w:tc>
          <w:tcPr>
            <w:tcW w:w="2233" w:type="dxa"/>
          </w:tcPr>
          <w:p w:rsidR="00000000" w:rsidRDefault="00000000">
            <w:pPr>
              <w:spacing w:before="40" w:after="40" w:line="216" w:lineRule="auto"/>
              <w:jc w:val="center"/>
              <w:rPr>
                <w:lang w:val="en-US"/>
              </w:rPr>
            </w:pPr>
            <w:r>
              <w:rPr>
                <w:lang w:val="en-US"/>
              </w:rPr>
              <w:t>1992</w:t>
            </w:r>
          </w:p>
        </w:tc>
        <w:tc>
          <w:tcPr>
            <w:tcW w:w="2392" w:type="dxa"/>
          </w:tcPr>
          <w:p w:rsidR="00000000" w:rsidRDefault="00000000">
            <w:pPr>
              <w:spacing w:before="40" w:after="40" w:line="216" w:lineRule="auto"/>
              <w:jc w:val="center"/>
              <w:rPr>
                <w:lang w:val="en-US"/>
              </w:rPr>
            </w:pPr>
            <w:r>
              <w:rPr>
                <w:lang w:val="en-US"/>
              </w:rPr>
              <w:t>57,70</w:t>
            </w:r>
          </w:p>
        </w:tc>
        <w:tc>
          <w:tcPr>
            <w:tcW w:w="2392" w:type="dxa"/>
          </w:tcPr>
          <w:p w:rsidR="00000000" w:rsidRDefault="00000000">
            <w:pPr>
              <w:spacing w:before="40" w:after="40" w:line="216" w:lineRule="auto"/>
              <w:jc w:val="center"/>
              <w:rPr>
                <w:lang w:val="en-US"/>
              </w:rPr>
            </w:pPr>
            <w:r>
              <w:rPr>
                <w:lang w:val="en-US"/>
              </w:rPr>
              <w:t>53,00</w:t>
            </w:r>
          </w:p>
        </w:tc>
        <w:tc>
          <w:tcPr>
            <w:tcW w:w="2392" w:type="dxa"/>
          </w:tcPr>
          <w:p w:rsidR="00000000" w:rsidRDefault="00000000">
            <w:pPr>
              <w:spacing w:before="40" w:after="40" w:line="216" w:lineRule="auto"/>
              <w:jc w:val="center"/>
              <w:rPr>
                <w:lang w:val="en-US"/>
              </w:rPr>
            </w:pPr>
            <w:r>
              <w:rPr>
                <w:lang w:val="en-US"/>
              </w:rPr>
              <w:t>55,40</w:t>
            </w:r>
          </w:p>
        </w:tc>
      </w:tr>
      <w:tr w:rsidR="00000000">
        <w:tblPrEx>
          <w:tblCellMar>
            <w:top w:w="0" w:type="dxa"/>
            <w:bottom w:w="0" w:type="dxa"/>
          </w:tblCellMar>
        </w:tblPrEx>
        <w:trPr>
          <w:jc w:val="center"/>
        </w:trPr>
        <w:tc>
          <w:tcPr>
            <w:tcW w:w="2233" w:type="dxa"/>
          </w:tcPr>
          <w:p w:rsidR="00000000" w:rsidRDefault="00000000">
            <w:pPr>
              <w:spacing w:before="40" w:after="40" w:line="216" w:lineRule="auto"/>
              <w:jc w:val="center"/>
              <w:rPr>
                <w:lang w:val="en-US"/>
              </w:rPr>
            </w:pPr>
            <w:r>
              <w:rPr>
                <w:lang w:val="en-US"/>
              </w:rPr>
              <w:t>1993</w:t>
            </w:r>
          </w:p>
        </w:tc>
        <w:tc>
          <w:tcPr>
            <w:tcW w:w="2392" w:type="dxa"/>
          </w:tcPr>
          <w:p w:rsidR="00000000" w:rsidRDefault="00000000">
            <w:pPr>
              <w:spacing w:before="40" w:after="40" w:line="216" w:lineRule="auto"/>
              <w:jc w:val="center"/>
              <w:rPr>
                <w:lang w:val="en-US"/>
              </w:rPr>
            </w:pPr>
            <w:r>
              <w:rPr>
                <w:lang w:val="en-US"/>
              </w:rPr>
              <w:t>57,61</w:t>
            </w:r>
          </w:p>
        </w:tc>
        <w:tc>
          <w:tcPr>
            <w:tcW w:w="2392" w:type="dxa"/>
          </w:tcPr>
          <w:p w:rsidR="00000000" w:rsidRDefault="00000000">
            <w:pPr>
              <w:spacing w:before="40" w:after="40" w:line="216" w:lineRule="auto"/>
              <w:jc w:val="center"/>
              <w:rPr>
                <w:lang w:val="en-US"/>
              </w:rPr>
            </w:pPr>
            <w:r>
              <w:rPr>
                <w:lang w:val="en-US"/>
              </w:rPr>
              <w:t>53,29</w:t>
            </w:r>
          </w:p>
        </w:tc>
        <w:tc>
          <w:tcPr>
            <w:tcW w:w="2392" w:type="dxa"/>
          </w:tcPr>
          <w:p w:rsidR="00000000" w:rsidRDefault="00000000">
            <w:pPr>
              <w:spacing w:before="40" w:after="40" w:line="216" w:lineRule="auto"/>
              <w:jc w:val="center"/>
              <w:rPr>
                <w:lang w:val="en-US"/>
              </w:rPr>
            </w:pPr>
            <w:r>
              <w:rPr>
                <w:lang w:val="en-US"/>
              </w:rPr>
              <w:t>55,49</w:t>
            </w:r>
          </w:p>
        </w:tc>
      </w:tr>
      <w:tr w:rsidR="00000000">
        <w:tblPrEx>
          <w:tblCellMar>
            <w:top w:w="0" w:type="dxa"/>
            <w:bottom w:w="0" w:type="dxa"/>
          </w:tblCellMar>
        </w:tblPrEx>
        <w:trPr>
          <w:jc w:val="center"/>
        </w:trPr>
        <w:tc>
          <w:tcPr>
            <w:tcW w:w="2233" w:type="dxa"/>
          </w:tcPr>
          <w:p w:rsidR="00000000" w:rsidRDefault="00000000">
            <w:pPr>
              <w:spacing w:before="40" w:after="40" w:line="216" w:lineRule="auto"/>
              <w:jc w:val="center"/>
              <w:rPr>
                <w:lang w:val="en-US"/>
              </w:rPr>
            </w:pPr>
            <w:r>
              <w:rPr>
                <w:lang w:val="en-US"/>
              </w:rPr>
              <w:t>1994</w:t>
            </w:r>
          </w:p>
        </w:tc>
        <w:tc>
          <w:tcPr>
            <w:tcW w:w="2392" w:type="dxa"/>
          </w:tcPr>
          <w:p w:rsidR="00000000" w:rsidRDefault="00000000">
            <w:pPr>
              <w:spacing w:before="40" w:after="40" w:line="216" w:lineRule="auto"/>
              <w:jc w:val="center"/>
              <w:rPr>
                <w:lang w:val="en-US"/>
              </w:rPr>
            </w:pPr>
            <w:r>
              <w:rPr>
                <w:lang w:val="en-US"/>
              </w:rPr>
              <w:t>56,80</w:t>
            </w:r>
          </w:p>
        </w:tc>
        <w:tc>
          <w:tcPr>
            <w:tcW w:w="2392" w:type="dxa"/>
          </w:tcPr>
          <w:p w:rsidR="00000000" w:rsidRDefault="00000000">
            <w:pPr>
              <w:spacing w:before="40" w:after="40" w:line="216" w:lineRule="auto"/>
              <w:jc w:val="center"/>
              <w:rPr>
                <w:lang w:val="en-US"/>
              </w:rPr>
            </w:pPr>
            <w:r>
              <w:rPr>
                <w:lang w:val="en-US"/>
              </w:rPr>
              <w:t>51,51</w:t>
            </w:r>
          </w:p>
        </w:tc>
        <w:tc>
          <w:tcPr>
            <w:tcW w:w="2392" w:type="dxa"/>
          </w:tcPr>
          <w:p w:rsidR="00000000" w:rsidRDefault="00000000">
            <w:pPr>
              <w:spacing w:before="40" w:after="40" w:line="216" w:lineRule="auto"/>
              <w:jc w:val="center"/>
              <w:rPr>
                <w:lang w:val="en-US"/>
              </w:rPr>
            </w:pPr>
            <w:r>
              <w:rPr>
                <w:lang w:val="en-US"/>
              </w:rPr>
              <w:t>54,21</w:t>
            </w:r>
          </w:p>
        </w:tc>
      </w:tr>
      <w:tr w:rsidR="00000000">
        <w:tblPrEx>
          <w:tblCellMar>
            <w:top w:w="0" w:type="dxa"/>
            <w:bottom w:w="0" w:type="dxa"/>
          </w:tblCellMar>
        </w:tblPrEx>
        <w:trPr>
          <w:jc w:val="center"/>
        </w:trPr>
        <w:tc>
          <w:tcPr>
            <w:tcW w:w="2233" w:type="dxa"/>
          </w:tcPr>
          <w:p w:rsidR="00000000" w:rsidRDefault="00000000">
            <w:pPr>
              <w:spacing w:before="40" w:after="40" w:line="216" w:lineRule="auto"/>
              <w:jc w:val="center"/>
              <w:rPr>
                <w:lang w:val="en-US"/>
              </w:rPr>
            </w:pPr>
            <w:r>
              <w:rPr>
                <w:lang w:val="en-US"/>
              </w:rPr>
              <w:t>1995</w:t>
            </w:r>
          </w:p>
        </w:tc>
        <w:tc>
          <w:tcPr>
            <w:tcW w:w="2392" w:type="dxa"/>
          </w:tcPr>
          <w:p w:rsidR="00000000" w:rsidRDefault="00000000">
            <w:pPr>
              <w:spacing w:before="40" w:after="40" w:line="216" w:lineRule="auto"/>
              <w:jc w:val="center"/>
              <w:rPr>
                <w:lang w:val="en-US"/>
              </w:rPr>
            </w:pPr>
            <w:r>
              <w:rPr>
                <w:lang w:val="en-US"/>
              </w:rPr>
              <w:t>57,94</w:t>
            </w:r>
          </w:p>
        </w:tc>
        <w:tc>
          <w:tcPr>
            <w:tcW w:w="2392" w:type="dxa"/>
          </w:tcPr>
          <w:p w:rsidR="00000000" w:rsidRDefault="00000000">
            <w:pPr>
              <w:spacing w:before="40" w:after="40" w:line="216" w:lineRule="auto"/>
              <w:jc w:val="center"/>
              <w:rPr>
                <w:lang w:val="en-US"/>
              </w:rPr>
            </w:pPr>
            <w:r>
              <w:rPr>
                <w:lang w:val="en-US"/>
              </w:rPr>
              <w:t>51,68</w:t>
            </w:r>
          </w:p>
        </w:tc>
        <w:tc>
          <w:tcPr>
            <w:tcW w:w="2392" w:type="dxa"/>
          </w:tcPr>
          <w:p w:rsidR="00000000" w:rsidRDefault="00000000">
            <w:pPr>
              <w:spacing w:before="40" w:after="40" w:line="216" w:lineRule="auto"/>
              <w:jc w:val="center"/>
              <w:rPr>
                <w:lang w:val="en-US"/>
              </w:rPr>
            </w:pPr>
            <w:r>
              <w:rPr>
                <w:lang w:val="en-US"/>
              </w:rPr>
              <w:t>54,87</w:t>
            </w:r>
          </w:p>
        </w:tc>
      </w:tr>
      <w:tr w:rsidR="00000000">
        <w:tblPrEx>
          <w:tblCellMar>
            <w:top w:w="0" w:type="dxa"/>
            <w:bottom w:w="0" w:type="dxa"/>
          </w:tblCellMar>
        </w:tblPrEx>
        <w:trPr>
          <w:jc w:val="center"/>
        </w:trPr>
        <w:tc>
          <w:tcPr>
            <w:tcW w:w="2233" w:type="dxa"/>
          </w:tcPr>
          <w:p w:rsidR="00000000" w:rsidRDefault="00000000">
            <w:pPr>
              <w:spacing w:before="40" w:after="40" w:line="216" w:lineRule="auto"/>
              <w:jc w:val="center"/>
              <w:rPr>
                <w:lang w:val="en-US"/>
              </w:rPr>
            </w:pPr>
            <w:r>
              <w:rPr>
                <w:lang w:val="en-US"/>
              </w:rPr>
              <w:t>1996</w:t>
            </w:r>
          </w:p>
        </w:tc>
        <w:tc>
          <w:tcPr>
            <w:tcW w:w="2392" w:type="dxa"/>
          </w:tcPr>
          <w:p w:rsidR="00000000" w:rsidRDefault="00000000">
            <w:pPr>
              <w:spacing w:before="40" w:after="40" w:line="216" w:lineRule="auto"/>
              <w:jc w:val="center"/>
              <w:rPr>
                <w:lang w:val="en-US"/>
              </w:rPr>
            </w:pPr>
            <w:r>
              <w:rPr>
                <w:lang w:val="en-US"/>
              </w:rPr>
              <w:t>56,88</w:t>
            </w:r>
          </w:p>
        </w:tc>
        <w:tc>
          <w:tcPr>
            <w:tcW w:w="2392" w:type="dxa"/>
          </w:tcPr>
          <w:p w:rsidR="00000000" w:rsidRDefault="00000000">
            <w:pPr>
              <w:spacing w:before="40" w:after="40" w:line="216" w:lineRule="auto"/>
              <w:jc w:val="center"/>
              <w:rPr>
                <w:lang w:val="en-US"/>
              </w:rPr>
            </w:pPr>
            <w:r>
              <w:rPr>
                <w:lang w:val="en-US"/>
              </w:rPr>
              <w:t>52,21</w:t>
            </w:r>
          </w:p>
        </w:tc>
        <w:tc>
          <w:tcPr>
            <w:tcW w:w="2392" w:type="dxa"/>
          </w:tcPr>
          <w:p w:rsidR="00000000" w:rsidRDefault="00000000">
            <w:pPr>
              <w:spacing w:before="40" w:after="40" w:line="216" w:lineRule="auto"/>
              <w:jc w:val="center"/>
              <w:rPr>
                <w:lang w:val="en-US"/>
              </w:rPr>
            </w:pPr>
            <w:r>
              <w:rPr>
                <w:lang w:val="en-US"/>
              </w:rPr>
              <w:t>54,59</w:t>
            </w:r>
          </w:p>
        </w:tc>
      </w:tr>
      <w:tr w:rsidR="00000000">
        <w:tblPrEx>
          <w:tblCellMar>
            <w:top w:w="0" w:type="dxa"/>
            <w:bottom w:w="0" w:type="dxa"/>
          </w:tblCellMar>
        </w:tblPrEx>
        <w:trPr>
          <w:jc w:val="center"/>
        </w:trPr>
        <w:tc>
          <w:tcPr>
            <w:tcW w:w="2233" w:type="dxa"/>
          </w:tcPr>
          <w:p w:rsidR="00000000" w:rsidRDefault="00000000">
            <w:pPr>
              <w:spacing w:before="40" w:after="40" w:line="216" w:lineRule="auto"/>
              <w:jc w:val="center"/>
              <w:rPr>
                <w:lang w:val="en-US"/>
              </w:rPr>
            </w:pPr>
            <w:r>
              <w:rPr>
                <w:lang w:val="en-US"/>
              </w:rPr>
              <w:t>1997</w:t>
            </w:r>
          </w:p>
        </w:tc>
        <w:tc>
          <w:tcPr>
            <w:tcW w:w="2392" w:type="dxa"/>
          </w:tcPr>
          <w:p w:rsidR="00000000" w:rsidRDefault="00000000">
            <w:pPr>
              <w:spacing w:before="40" w:after="40" w:line="216" w:lineRule="auto"/>
              <w:jc w:val="center"/>
              <w:rPr>
                <w:lang w:val="en-US"/>
              </w:rPr>
            </w:pPr>
            <w:r>
              <w:rPr>
                <w:lang w:val="en-US"/>
              </w:rPr>
              <w:t>59,50</w:t>
            </w:r>
          </w:p>
        </w:tc>
        <w:tc>
          <w:tcPr>
            <w:tcW w:w="2392" w:type="dxa"/>
          </w:tcPr>
          <w:p w:rsidR="00000000" w:rsidRDefault="00000000">
            <w:pPr>
              <w:spacing w:before="40" w:after="40" w:line="216" w:lineRule="auto"/>
              <w:jc w:val="center"/>
              <w:rPr>
                <w:lang w:val="en-US"/>
              </w:rPr>
            </w:pPr>
            <w:r>
              <w:rPr>
                <w:lang w:val="en-US"/>
              </w:rPr>
              <w:t>53,66</w:t>
            </w:r>
          </w:p>
        </w:tc>
        <w:tc>
          <w:tcPr>
            <w:tcW w:w="2392" w:type="dxa"/>
          </w:tcPr>
          <w:p w:rsidR="00000000" w:rsidRDefault="00000000">
            <w:pPr>
              <w:spacing w:before="40" w:after="40" w:line="216" w:lineRule="auto"/>
              <w:jc w:val="center"/>
              <w:rPr>
                <w:lang w:val="en-US"/>
              </w:rPr>
            </w:pPr>
            <w:r>
              <w:rPr>
                <w:lang w:val="en-US"/>
              </w:rPr>
              <w:t>56,64</w:t>
            </w:r>
          </w:p>
        </w:tc>
      </w:tr>
    </w:tbl>
    <w:p w:rsidR="00000000" w:rsidRDefault="00000000">
      <w:pPr>
        <w:spacing w:before="40" w:after="40"/>
      </w:pPr>
    </w:p>
    <w:p w:rsidR="00000000" w:rsidRDefault="00000000">
      <w:r>
        <w:t>157.</w:t>
      </w:r>
      <w:r>
        <w:tab/>
        <w:t xml:space="preserve">Надлежащим медико-санитарным обслуживанием также охвачены пожилые женщины.  В этой связи следует отметить демографическую эволюцию, свидетельствующую о постепенном, но необратимом старении населения.  Данный фактор отныне учитывается в рамках национальной политики здравоохранения.  Медицинское обслуживание женщин, находящихся в климактерическом возрасте, является неотъемлемым элементом программ охраны репродуктивного здоровья (лечение </w:t>
      </w:r>
      <w:proofErr w:type="spellStart"/>
      <w:r>
        <w:t>остеопороза</w:t>
      </w:r>
      <w:proofErr w:type="spellEnd"/>
      <w:r>
        <w:t>, раковых заболеваний половых органов).  1999 год, объявленный Международным годом пожилых людей, открыл, в частности, новые возможности для более эффективного решения проблемы старения населения в ее самых различных аспектах (социальных, медицинских и т.д.).  В этом контексте был разработан межсекторальный национальный план.</w:t>
      </w:r>
    </w:p>
    <w:p w:rsidR="00000000" w:rsidRDefault="00000000"/>
    <w:p w:rsidR="00000000" w:rsidRDefault="00000000">
      <w:pPr>
        <w:rPr>
          <w:u w:val="single"/>
        </w:rPr>
      </w:pPr>
      <w:r>
        <w:t>с)</w:t>
      </w:r>
      <w:r>
        <w:tab/>
      </w:r>
      <w:r>
        <w:rPr>
          <w:u w:val="single"/>
        </w:rPr>
        <w:t>Исследования по вопросам здравоохранения</w:t>
      </w:r>
    </w:p>
    <w:p w:rsidR="00000000" w:rsidRDefault="00000000">
      <w:pPr>
        <w:rPr>
          <w:u w:val="single"/>
        </w:rPr>
      </w:pPr>
    </w:p>
    <w:p w:rsidR="00000000" w:rsidRDefault="00000000">
      <w:r>
        <w:t>158.</w:t>
      </w:r>
      <w:r>
        <w:tab/>
        <w:t>Помимо прочего, одной из самых распространенных тем исследований с начала 90</w:t>
      </w:r>
      <w:r>
        <w:noBreakHyphen/>
        <w:t>х  годов стала охрана здоровья женщин.  Были проведены, например, следующие мероприятия:</w:t>
      </w:r>
    </w:p>
    <w:p w:rsidR="00000000" w:rsidRDefault="00000000"/>
    <w:p w:rsidR="00000000" w:rsidRDefault="00000000">
      <w:r>
        <w:tab/>
        <w:t>а)</w:t>
      </w:r>
      <w:r>
        <w:tab/>
      </w:r>
      <w:proofErr w:type="spellStart"/>
      <w:r>
        <w:t>всеалжирское</w:t>
      </w:r>
      <w:proofErr w:type="spellEnd"/>
      <w:r>
        <w:t xml:space="preserve"> обследование по вопросам охраны здоровья матери и ребенка в рамках проекта ПАПЧАЙЛД, финансировавшегося, в частности, Лигой арабских государств, ЮНИСЕФ и ЮНФПА (1992 год);</w:t>
      </w:r>
    </w:p>
    <w:p w:rsidR="00000000" w:rsidRDefault="00000000"/>
    <w:p w:rsidR="00000000" w:rsidRDefault="00000000">
      <w:r>
        <w:tab/>
      </w:r>
      <w:proofErr w:type="spellStart"/>
      <w:r>
        <w:t>b</w:t>
      </w:r>
      <w:proofErr w:type="spellEnd"/>
      <w:r>
        <w:t>)</w:t>
      </w:r>
      <w:r>
        <w:tab/>
        <w:t>анализ целевых показателей деятельности по охране здоровья матери и ребенка на середину десятилетия, проведенный при поддержке ЮНИСЕФ и ЮНФПА (1995 год);</w:t>
      </w:r>
    </w:p>
    <w:p w:rsidR="00000000" w:rsidRDefault="00000000"/>
    <w:p w:rsidR="00000000" w:rsidRDefault="00000000">
      <w:r>
        <w:tab/>
        <w:t>с)</w:t>
      </w:r>
      <w:r>
        <w:tab/>
        <w:t>обследование уровня жизни (1995 год), которое включало в себя вопросы доступа женщин к медицинским услугам;</w:t>
      </w:r>
    </w:p>
    <w:p w:rsidR="00000000" w:rsidRDefault="00000000"/>
    <w:p w:rsidR="00000000" w:rsidRDefault="00000000">
      <w:r>
        <w:tab/>
      </w:r>
      <w:proofErr w:type="spellStart"/>
      <w:r>
        <w:t>d</w:t>
      </w:r>
      <w:proofErr w:type="spellEnd"/>
      <w:r>
        <w:t>)</w:t>
      </w:r>
      <w:r>
        <w:tab/>
        <w:t xml:space="preserve">начатое в январе 1999 года обследование, посвященное проблеме материнской смертности:  оно основывается на использовании системы сбора данных (за период со 2 января по 31 декабря 1999 года) о всех случаях материнской смертности и проводится в тесном сотрудничестве между службами регистрации актов гражданского состояния и учреждениями здравоохранения (с проведением, при необходимости, опроса в семьях) и охватывает все коммуны страны.  К концу года это обследование позволит получить всеобъемлющую информацию о материнской смертности, которая будет учтена при разработке плана действий, увязанного с потребностями каждого региона.  И наконец, необходимо отметить ряд практических обследований и исследований в области репродуктивного здоровья, проведенных в университетских больницах, в том числе исследование, касающееся переносимости </w:t>
      </w:r>
      <w:proofErr w:type="spellStart"/>
      <w:r>
        <w:t>инъектируемых</w:t>
      </w:r>
      <w:proofErr w:type="spellEnd"/>
      <w:r>
        <w:t xml:space="preserve"> препаратов, и исследование по вопросу о причинах, обусловливающих нежелание использовать ВМК.  </w:t>
      </w:r>
    </w:p>
    <w:p w:rsidR="00000000" w:rsidRDefault="00000000"/>
    <w:p w:rsidR="00000000" w:rsidRDefault="00000000">
      <w:r>
        <w:t>159.</w:t>
      </w:r>
      <w:r>
        <w:tab/>
        <w:t xml:space="preserve"> В ходе двух исследований, проведенных соответственно в 1990 и в 1997 году, были проанализированы масштабы проблемы наркомании среди женщин, включая девушек.  Выводы этих исследований совпадают и указывают на то, что среди девушек потребление наркотиков остается незначительным.  Несмотря на это, борьба с наркоманией является неотъемлемой частью национальной политики в области здравоохранения.  В этой связи осуществляется </w:t>
      </w:r>
      <w:proofErr w:type="spellStart"/>
      <w:r>
        <w:t>многосекторальная</w:t>
      </w:r>
      <w:proofErr w:type="spellEnd"/>
      <w:r>
        <w:t xml:space="preserve"> программа, предусматривающая проведение профилактических мероприятий, лечение, психологическую и социальную реабилитацию наркоманов, а также подготовку кадров по данным вопросам.</w:t>
      </w:r>
    </w:p>
    <w:p w:rsidR="00000000" w:rsidRDefault="00000000"/>
    <w:p w:rsidR="00000000" w:rsidRDefault="00000000">
      <w:r>
        <w:t>160.</w:t>
      </w:r>
      <w:r>
        <w:tab/>
        <w:t>В процессе базовой профессиональной подготовки врачей и акушерок должным образом изучаются принципы медицинской этики, которые также включены в программы непрерывной подготовки по вопросам репродуктивного здоровья.  Эти факторы являются важной составляющей национальной политики здравоохранения;  в этой связи следует отметить создание в 1990 году Национального совета по вопросам этики научных изысканий в сфере здравоохранения и в 1998 году – Совета по деонтологии.</w:t>
      </w:r>
    </w:p>
    <w:p w:rsidR="00000000" w:rsidRDefault="00000000"/>
    <w:p w:rsidR="00000000" w:rsidRDefault="00000000">
      <w:pPr>
        <w:pStyle w:val="16"/>
        <w:rPr>
          <w:i/>
          <w:iCs/>
        </w:rPr>
      </w:pPr>
      <w:r>
        <w:rPr>
          <w:i/>
          <w:iCs/>
        </w:rPr>
        <w:t>Статья 13</w:t>
      </w:r>
    </w:p>
    <w:p w:rsidR="00000000" w:rsidRDefault="00000000">
      <w:pPr>
        <w:jc w:val="center"/>
        <w:rPr>
          <w:u w:val="single"/>
        </w:rPr>
      </w:pPr>
    </w:p>
    <w:p w:rsidR="00000000" w:rsidRDefault="00000000">
      <w:pPr>
        <w:jc w:val="center"/>
        <w:rPr>
          <w:u w:val="single"/>
        </w:rPr>
      </w:pPr>
      <w:r>
        <w:rPr>
          <w:u w:val="single"/>
        </w:rPr>
        <w:t>Право на образование</w:t>
      </w:r>
    </w:p>
    <w:p w:rsidR="00000000" w:rsidRDefault="00000000">
      <w:pPr>
        <w:jc w:val="center"/>
        <w:rPr>
          <w:u w:val="single"/>
        </w:rPr>
      </w:pPr>
    </w:p>
    <w:p w:rsidR="00000000" w:rsidRDefault="00000000">
      <w:pPr>
        <w:jc w:val="center"/>
      </w:pPr>
      <w:r>
        <w:t>1.</w:t>
      </w:r>
      <w:r>
        <w:tab/>
      </w:r>
      <w:r>
        <w:rPr>
          <w:u w:val="single"/>
        </w:rPr>
        <w:t>Общая информация</w:t>
      </w:r>
    </w:p>
    <w:p w:rsidR="00000000" w:rsidRDefault="00000000">
      <w:pPr>
        <w:jc w:val="center"/>
      </w:pPr>
    </w:p>
    <w:p w:rsidR="00000000" w:rsidRDefault="00000000">
      <w:pPr>
        <w:pStyle w:val="FootnoteText"/>
        <w:spacing w:line="288" w:lineRule="auto"/>
      </w:pPr>
      <w:r>
        <w:t>161.</w:t>
      </w:r>
      <w:r>
        <w:tab/>
        <w:t xml:space="preserve">Доступ к образованию является правом, закрепленным в статье 53 Конституции, а также в указе "Об организации системы образования и профессионально-технического </w:t>
      </w:r>
      <w:proofErr w:type="spellStart"/>
      <w:r>
        <w:t>обучения"от</w:t>
      </w:r>
      <w:proofErr w:type="spellEnd"/>
      <w:r>
        <w:t xml:space="preserve"> 16 апреля 1976 года, в статьях 4-7 которого говорится о равном доступе к образованию, обязательном  и бесплатном характере образования.  Одна из важнейших задач государственных властей заключается в том, чтобы обеспечить каждому молодому алжирцу (алжирке) девятилетнее обязательное базовое образование.  В соответствии с указом от 16 апреля 1976 года это образование, получаемое в школах первой ступени "с самого начала открывает равные возможности перед всеми мальчиками и девочками в возрасте шести лет".  Соответствующее образование в Алжире всегда было обязательным.</w:t>
      </w:r>
    </w:p>
    <w:p w:rsidR="00000000" w:rsidRDefault="00000000">
      <w:pPr>
        <w:pStyle w:val="FootnoteText"/>
        <w:spacing w:line="288" w:lineRule="auto"/>
      </w:pPr>
    </w:p>
    <w:p w:rsidR="00000000" w:rsidRDefault="00000000">
      <w:pPr>
        <w:jc w:val="center"/>
        <w:rPr>
          <w:u w:val="single"/>
        </w:rPr>
      </w:pPr>
      <w:r>
        <w:t>2.</w:t>
      </w:r>
      <w:r>
        <w:tab/>
      </w:r>
      <w:r>
        <w:rPr>
          <w:u w:val="single"/>
        </w:rPr>
        <w:t>Данные о системе школьного образования</w:t>
      </w:r>
    </w:p>
    <w:p w:rsidR="00000000" w:rsidRDefault="00000000">
      <w:pPr>
        <w:jc w:val="center"/>
        <w:rPr>
          <w:u w:val="single"/>
        </w:rPr>
      </w:pPr>
    </w:p>
    <w:p w:rsidR="00000000" w:rsidRDefault="00000000">
      <w:r>
        <w:t>162.</w:t>
      </w:r>
      <w:r>
        <w:tab/>
        <w:t>В настоящее время структура контингента учащихся школ в Алжире, составляющего 7 435 858 человек, включая 3 521 237 девочек, является следующей:</w:t>
      </w:r>
    </w:p>
    <w:p w:rsidR="00000000" w:rsidRDefault="00000000"/>
    <w:p w:rsidR="00000000" w:rsidRDefault="00000000">
      <w:r>
        <w:tab/>
        <w:t>а)</w:t>
      </w:r>
      <w:r>
        <w:tab/>
        <w:t>образование первой ступени - 6 556 768 учащихся, включая 3 048 935 девочек;</w:t>
      </w:r>
    </w:p>
    <w:p w:rsidR="00000000" w:rsidRDefault="00000000"/>
    <w:p w:rsidR="00000000" w:rsidRDefault="00000000">
      <w:r>
        <w:tab/>
      </w:r>
      <w:proofErr w:type="spellStart"/>
      <w:r>
        <w:t>b</w:t>
      </w:r>
      <w:proofErr w:type="spellEnd"/>
      <w:r>
        <w:t>)</w:t>
      </w:r>
      <w:r>
        <w:tab/>
        <w:t>полное среднее образование - 879 090 учащихся, включая 472 302 девочки.</w:t>
      </w:r>
    </w:p>
    <w:p w:rsidR="00000000" w:rsidRDefault="00000000"/>
    <w:p w:rsidR="00000000" w:rsidRDefault="00000000">
      <w:r>
        <w:br w:type="page"/>
        <w:t>163.</w:t>
      </w:r>
      <w:r>
        <w:tab/>
        <w:t xml:space="preserve">Если говорить в целом о кадровой ситуации, то можно отметить, что общая численность учителей составляет 323 710 человек, включая 148 404 женщины, по всем циклам образовательной подготовки;  насчитывается 1 998 кураторов, в том числе 88 женщин, по всем циклам образовательной подготовки;  общая численность административно-управленческого персонала школ разного профиля составляет 46 112 человек, включая 12 888 женщин.  </w:t>
      </w:r>
    </w:p>
    <w:p w:rsidR="00000000" w:rsidRDefault="00000000"/>
    <w:p w:rsidR="00000000" w:rsidRDefault="00000000">
      <w:r>
        <w:t>164.</w:t>
      </w:r>
      <w:r>
        <w:tab/>
        <w:t xml:space="preserve">Если говорить конкретно о педагогическом составе, то данный показатель заметно улучшился на уровне начального образования:  в 1997/98 году было зарегистрировано 170 460 учителей, включая 77 756 женщин, тогда как в 1962/63 году насчитывалось 19 908 учителей, в том числе 2 996 женщин. </w:t>
      </w:r>
    </w:p>
    <w:p w:rsidR="00000000" w:rsidRDefault="00000000"/>
    <w:p w:rsidR="00000000" w:rsidRDefault="00000000">
      <w:r>
        <w:t>165.</w:t>
      </w:r>
      <w:r>
        <w:tab/>
        <w:t>Численность учителей в системе неполного среднего образования была следующей:  1997/98 год - 99 907 человек, включая 48 347 женщин;  1962/63 год - 2 488 человек, включая 1 836 женщин.  В сфере полного среднего образования численность учителей характеризовалась следующими показателями:  1997/98 - 53 543 человека, включая 22 301 женщину;  1962/63 год - 1 216 учителей, включая 684 женщины.</w:t>
      </w:r>
    </w:p>
    <w:p w:rsidR="00000000" w:rsidRDefault="00000000"/>
    <w:p w:rsidR="00000000" w:rsidRDefault="00000000">
      <w:r>
        <w:t>166.</w:t>
      </w:r>
      <w:r>
        <w:tab/>
        <w:t>В стране насчитывается 29 педагогических учебных заведений.</w:t>
      </w:r>
    </w:p>
    <w:p w:rsidR="00000000" w:rsidRDefault="00000000"/>
    <w:p w:rsidR="00000000" w:rsidRDefault="00000000">
      <w:r>
        <w:t>167.</w:t>
      </w:r>
      <w:r>
        <w:tab/>
        <w:t>Показатель доли девочек в возрасте шести лет, охваченных школьным обучением, возрос с 36,60% в 1967/68 году, т.е. через пять лет после достижения независимости, до 90,36% в 1997/98 году.  На уровне образования первой ступени (начального и неполного среднего) соответствующий показатель увеличился с 36,58% в 1967/68 году до 46,50% в 1997/98 году, а на уровне полного среднего образования - с 25,65% в 1967/68 году до 53,73% в 1997/98 году.</w:t>
      </w:r>
    </w:p>
    <w:p w:rsidR="00000000" w:rsidRDefault="00000000"/>
    <w:p w:rsidR="00000000" w:rsidRDefault="00000000">
      <w:pPr>
        <w:jc w:val="center"/>
      </w:pPr>
      <w:r>
        <w:t>3.</w:t>
      </w:r>
      <w:r>
        <w:tab/>
      </w:r>
      <w:r>
        <w:rPr>
          <w:u w:val="single"/>
        </w:rPr>
        <w:t>Поощрение права на образование</w:t>
      </w:r>
    </w:p>
    <w:p w:rsidR="00000000" w:rsidRDefault="00000000">
      <w:pPr>
        <w:jc w:val="center"/>
      </w:pPr>
    </w:p>
    <w:p w:rsidR="00000000" w:rsidRDefault="00000000">
      <w:r>
        <w:t>168.</w:t>
      </w:r>
      <w:r>
        <w:tab/>
        <w:t>С целью укрепления деятельности в данной области правительство приняло проект закона, касающегося системы образования.  Он будет представлен парламенту на утверждение.  В статье 7 проекта закона предусматриваются санкции по отношению к любому родителю или опекуну, который препятствует посещению школы детьми в возрасте от шести до 16 лет.  Эта мера в большей степени затрагивает девочек, чем мальчиков.</w:t>
      </w:r>
    </w:p>
    <w:p w:rsidR="00000000" w:rsidRDefault="00000000"/>
    <w:p w:rsidR="00000000" w:rsidRDefault="00000000">
      <w:r>
        <w:br w:type="page"/>
        <w:t>169.</w:t>
      </w:r>
      <w:r>
        <w:tab/>
        <w:t>Если говорить о мерах, направленных на обеспечение соблюдения вышеуказанных положений и сокращение числа случаев отсева учащихся из школ, то они касаются территориального распределения учебных заведений, школьных столовых, интернатов, оказания материальной помощи учащимся и школьного транспорта.</w:t>
      </w:r>
    </w:p>
    <w:p w:rsidR="00000000" w:rsidRDefault="00000000"/>
    <w:p w:rsidR="00000000" w:rsidRDefault="00000000">
      <w:r>
        <w:t>170.</w:t>
      </w:r>
      <w:r>
        <w:tab/>
        <w:t>Что касается территориального распределения учебных заведений, то предприняты значительные усилия с целью строительства соответствующей инфраструктуры, в частности в сельских районах, таким образом, чтобы детям было несложно добираться до школы.  Следует отметить, что в 1997/98 учебном году было зарегистрировано 15 507 начальных школ, в том числе 6 518 в городских районах, 2 557 – в полугородских районах и 6 432 – в сельской местности.  Для сравнения, в начале 60-х годов насчитывалось в общей сложности 4 900 начальных школ.  На уровне неполного среднего образования или колледжа действует 3 224 учебных заведения, в том числе 1 889 в городских районах, 658 – в полугородских районах и 667 – в сельской местности.  В 1960 году насчитывалось 380 неполных средних школ или колледжей.  И наконец, на уровне полного среднего образования функционируют 1 183 лицея, в том числе 898 – в городских районах, 198 – в полугородских районах и 87 – в сельской местности.  В 1960 году насчитывалось лишь 39 лицеев.</w:t>
      </w:r>
    </w:p>
    <w:p w:rsidR="00000000" w:rsidRDefault="00000000"/>
    <w:p w:rsidR="00000000" w:rsidRDefault="00000000">
      <w:r>
        <w:t>171.</w:t>
      </w:r>
      <w:r>
        <w:tab/>
        <w:t>В 1997/98 году было зарегистрировано 4 142 школьных столовых, обслуживающих 561 311 учащихся.  Следует указать, что возведение соответствующей инфраструктуры в очень отдаленных районах способствовало сближению школы с населением.</w:t>
      </w:r>
    </w:p>
    <w:p w:rsidR="00000000" w:rsidRDefault="00000000"/>
    <w:p w:rsidR="00000000" w:rsidRDefault="00000000">
      <w:r>
        <w:t>172.</w:t>
      </w:r>
      <w:r>
        <w:tab/>
        <w:t xml:space="preserve">На уровне начального образования действуют 27 интернатов, в которых обучаются 3 000 девочек и мальчиков в возрасте 6-12 лет, тогда как на уровне неполного среднего образования контингент учащихся интернатов составляет 23 350 человек.  По программе полного среднего образования обучается 53 048 учащихся.  Такие учебные заведения созданы для детей, проживающих в самых отдаленных районах, и в частности детей из семей, ведущих кочевой образ жизни в районе пустыни Сахары.  Интернаты также предназначены для детей-сирот, которые не устроены в приемные семьи и которые находятся на полном государственном обеспечении.  </w:t>
      </w:r>
    </w:p>
    <w:p w:rsidR="00000000" w:rsidRDefault="00000000"/>
    <w:p w:rsidR="00000000" w:rsidRDefault="00000000">
      <w:r>
        <w:t>173.</w:t>
      </w:r>
      <w:r>
        <w:tab/>
        <w:t>Два года назад из-за увеличения стоимости интернатского обучения отмечалось сокращение численности учащихся, особенно девочек.  В возникшей ситуации государство сразу же взяло на себя эти расходы, с тем чтобы они не служили причиной отказа от получения школьного образования.</w:t>
      </w:r>
    </w:p>
    <w:p w:rsidR="00000000" w:rsidRDefault="00000000"/>
    <w:p w:rsidR="00000000" w:rsidRDefault="00000000">
      <w:r>
        <w:br w:type="page"/>
        <w:t>174.</w:t>
      </w:r>
      <w:r>
        <w:tab/>
        <w:t xml:space="preserve">Применительно к четвертой мере, касающейся оказания материальной помощи школьникам, следует отметить, что в 1997/98 году государство выделило  507 384 637 динаров для 1 545 589 учащихся.  За счет этих средств малообеспеченным детям бесплатно выдавались школьные канцелярские принадлежности и учебники, а также портфели, школьные фартуки и предметы одежды.  Программой было охвачено около 1 548 000 учащихся в 16 провинциях южной части страны и верхнего плато. </w:t>
      </w:r>
    </w:p>
    <w:p w:rsidR="00000000" w:rsidRDefault="00000000"/>
    <w:p w:rsidR="00000000" w:rsidRDefault="00000000">
      <w:r>
        <w:t>175.</w:t>
      </w:r>
      <w:r>
        <w:tab/>
        <w:t>Кроме того, следует отметить развитие системы школьного транспорта в значительном числе районов, и в частности в отдаленных районах.  Эта программа, разработанная государственными органами, предусматривает приобретение 700 школьных автобусов, предназначенных для использования во всех провинциях.</w:t>
      </w:r>
    </w:p>
    <w:p w:rsidR="00000000" w:rsidRDefault="00000000"/>
    <w:p w:rsidR="00000000" w:rsidRDefault="00000000">
      <w:pPr>
        <w:jc w:val="center"/>
      </w:pPr>
      <w:r>
        <w:t>4.</w:t>
      </w:r>
      <w:r>
        <w:tab/>
      </w:r>
      <w:r>
        <w:rPr>
          <w:u w:val="single"/>
        </w:rPr>
        <w:t>Высшее образование</w:t>
      </w:r>
    </w:p>
    <w:p w:rsidR="00000000" w:rsidRDefault="00000000">
      <w:pPr>
        <w:jc w:val="center"/>
      </w:pPr>
    </w:p>
    <w:p w:rsidR="00000000" w:rsidRDefault="00000000">
      <w:r>
        <w:t>176.</w:t>
      </w:r>
      <w:r>
        <w:tab/>
        <w:t>Сфера высшего образования охватывает 30 университетских городков, включающих 13 университетов, 10 университетских центров, 4 медицинских института, 9 высших школ и целый ряд институтов, находящихся в ведении министерств технического профиля.</w:t>
      </w:r>
    </w:p>
    <w:p w:rsidR="00000000" w:rsidRDefault="00000000"/>
    <w:p w:rsidR="00000000" w:rsidRDefault="00000000">
      <w:r>
        <w:t>177.</w:t>
      </w:r>
      <w:r>
        <w:tab/>
        <w:t xml:space="preserve">Численность учащихся характеризуется следующей динамикой:  </w:t>
      </w:r>
    </w:p>
    <w:p w:rsidR="00000000" w:rsidRDefault="00000000"/>
    <w:p w:rsidR="00000000" w:rsidRDefault="00000000">
      <w:r>
        <w:tab/>
        <w:t>а)</w:t>
      </w:r>
      <w:r>
        <w:tab/>
        <w:t>студенты:  241 600 в 1994 году, 286 000 в 1996 году, 339 500 в 1997 году, почти 400 000 к началу занятий в 1998/1999 году;</w:t>
      </w:r>
    </w:p>
    <w:p w:rsidR="00000000" w:rsidRDefault="00000000"/>
    <w:p w:rsidR="00000000" w:rsidRDefault="00000000">
      <w:r>
        <w:tab/>
      </w:r>
      <w:proofErr w:type="spellStart"/>
      <w:r>
        <w:t>b</w:t>
      </w:r>
      <w:proofErr w:type="spellEnd"/>
      <w:r>
        <w:t>)</w:t>
      </w:r>
      <w:r>
        <w:tab/>
        <w:t>аспиранты:  14 500 в 1994 году, 16 900 в 1996 году, 18 100 в 1997 году, почти 20 000 к началу занятий в 1998/1999 году.</w:t>
      </w:r>
    </w:p>
    <w:p w:rsidR="00000000" w:rsidRDefault="00000000"/>
    <w:p w:rsidR="00000000" w:rsidRDefault="00000000">
      <w:r>
        <w:t>178.</w:t>
      </w:r>
      <w:r>
        <w:tab/>
        <w:t>В качестве примера можно привести следующие данные, отражающие представленность лиц женского пола на уровне высшего образования:</w:t>
      </w:r>
    </w:p>
    <w:p w:rsidR="00000000" w:rsidRDefault="00000000"/>
    <w:p w:rsidR="00000000" w:rsidRDefault="00000000">
      <w:pPr>
        <w:spacing w:line="240" w:lineRule="auto"/>
      </w:pPr>
      <w:r>
        <w:tab/>
        <w:t>а)</w:t>
      </w:r>
      <w:r>
        <w:tab/>
        <w:t xml:space="preserve">точные науки – 21 889 учащихся, включая 12 843 девушки, или </w:t>
      </w:r>
      <w:proofErr w:type="spellStart"/>
      <w:r>
        <w:t>58,67%</w:t>
      </w:r>
      <w:proofErr w:type="spellEnd"/>
      <w:r>
        <w:t>;</w:t>
      </w:r>
    </w:p>
    <w:p w:rsidR="00000000" w:rsidRDefault="00000000">
      <w:pPr>
        <w:spacing w:line="240" w:lineRule="auto"/>
      </w:pPr>
    </w:p>
    <w:p w:rsidR="00000000" w:rsidRDefault="00000000">
      <w:pPr>
        <w:spacing w:line="240" w:lineRule="auto"/>
      </w:pPr>
      <w:r>
        <w:tab/>
      </w:r>
      <w:proofErr w:type="spellStart"/>
      <w:r>
        <w:t>b</w:t>
      </w:r>
      <w:proofErr w:type="spellEnd"/>
      <w:r>
        <w:t>)</w:t>
      </w:r>
      <w:r>
        <w:tab/>
        <w:t xml:space="preserve">технические науки – 99 581 учащийся, включая 30 618 девушек, или </w:t>
      </w:r>
      <w:proofErr w:type="spellStart"/>
      <w:r>
        <w:t>30,75%</w:t>
      </w:r>
      <w:proofErr w:type="spellEnd"/>
      <w:r>
        <w:t>;</w:t>
      </w:r>
    </w:p>
    <w:p w:rsidR="00000000" w:rsidRDefault="00000000">
      <w:pPr>
        <w:spacing w:line="240" w:lineRule="auto"/>
      </w:pPr>
    </w:p>
    <w:p w:rsidR="00000000" w:rsidRDefault="00000000">
      <w:pPr>
        <w:spacing w:line="240" w:lineRule="auto"/>
      </w:pPr>
      <w:r>
        <w:tab/>
        <w:t>с)</w:t>
      </w:r>
      <w:r>
        <w:tab/>
        <w:t xml:space="preserve">ветеринарные науки – 4 531 учащийся, включая 1 830 девушек, или </w:t>
      </w:r>
      <w:proofErr w:type="spellStart"/>
      <w:r>
        <w:t>30,75%</w:t>
      </w:r>
      <w:proofErr w:type="spellEnd"/>
      <w:r>
        <w:t>;</w:t>
      </w:r>
    </w:p>
    <w:p w:rsidR="00000000" w:rsidRDefault="00000000">
      <w:pPr>
        <w:spacing w:line="240" w:lineRule="auto"/>
      </w:pPr>
    </w:p>
    <w:p w:rsidR="00000000" w:rsidRDefault="00000000">
      <w:pPr>
        <w:spacing w:line="240" w:lineRule="auto"/>
      </w:pPr>
      <w:r>
        <w:tab/>
      </w:r>
      <w:proofErr w:type="spellStart"/>
      <w:r>
        <w:t>d</w:t>
      </w:r>
      <w:proofErr w:type="spellEnd"/>
      <w:r>
        <w:t>)</w:t>
      </w:r>
      <w:r>
        <w:tab/>
        <w:t xml:space="preserve">естествознание и агротехника – 28 702 учащихся, включая 17 260 девушек, или </w:t>
      </w:r>
      <w:proofErr w:type="spellStart"/>
      <w:r>
        <w:t>60,14%</w:t>
      </w:r>
      <w:proofErr w:type="spellEnd"/>
      <w:r>
        <w:t>.</w:t>
      </w:r>
    </w:p>
    <w:p w:rsidR="00000000" w:rsidRDefault="00000000"/>
    <w:p w:rsidR="00000000" w:rsidRDefault="00000000">
      <w:r>
        <w:t>179.</w:t>
      </w:r>
      <w:r>
        <w:tab/>
        <w:t>В 1986/87 году численность преподавателей составила 15 801 человек, включая 3 624 женщины.  Это говорит о том, что за 10 лет доля женщин среди преподавателей увеличилась в два раза.</w:t>
      </w:r>
    </w:p>
    <w:p w:rsidR="00000000" w:rsidRDefault="00000000">
      <w:pPr>
        <w:pStyle w:val="15"/>
        <w:rPr>
          <w:u w:val="none"/>
        </w:rPr>
      </w:pPr>
      <w:r>
        <w:rPr>
          <w:u w:val="none"/>
        </w:rPr>
        <w:t>Статья 15</w:t>
      </w:r>
    </w:p>
    <w:p w:rsidR="00000000" w:rsidRDefault="00000000">
      <w:pPr>
        <w:pStyle w:val="15"/>
      </w:pPr>
    </w:p>
    <w:p w:rsidR="00000000" w:rsidRDefault="00000000">
      <w:pPr>
        <w:pStyle w:val="11"/>
      </w:pPr>
      <w:r>
        <w:t xml:space="preserve">Право на участие в культурной жизни, пользование результатами </w:t>
      </w:r>
    </w:p>
    <w:p w:rsidR="00000000" w:rsidRDefault="00000000">
      <w:pPr>
        <w:pStyle w:val="11"/>
      </w:pPr>
      <w:r>
        <w:t>научного прогресса и защиту авторских прав</w:t>
      </w:r>
    </w:p>
    <w:p w:rsidR="00000000" w:rsidRDefault="00000000">
      <w:pPr>
        <w:pStyle w:val="11"/>
      </w:pPr>
    </w:p>
    <w:p w:rsidR="00000000" w:rsidRDefault="00000000">
      <w:r>
        <w:t>180.</w:t>
      </w:r>
      <w:r>
        <w:tab/>
        <w:t xml:space="preserve">Пресса, на которую с момента достижения независимости распространялась государственная монополия, приобрела значительную свободу благодаря принципам демократии, закрепленным в Конституции от 23 февраля 1989 года.  Свобода печати, выступающая основополагающим элементом права на свободу убеждений и их свободное выражение, обеспечила возможность для публичных прений и способствовала формированию общественного мнения, с которым сегодня нельзя не считаться.  Вследствие такого значительного прогресса печатные средства массовой информации выполняют авангардную роль в борьбе за свободу и демократические завоевания.  </w:t>
      </w:r>
    </w:p>
    <w:p w:rsidR="00000000" w:rsidRDefault="00000000"/>
    <w:p w:rsidR="00000000" w:rsidRDefault="00000000">
      <w:r>
        <w:t>181.</w:t>
      </w:r>
      <w:r>
        <w:tab/>
        <w:t>Число наименований печатных изданий увеличилось с 49 (все они были государственными) в 1988 году до 79 (из которых 72% находятся в частных руках).  В настоящее время частная пресса занимает преобладающее место в сфере информационной деятельности как по числу названий печатных изданий, так и по количеству продаваемых экземпляров:  87% приходится на частный сектор.</w:t>
      </w:r>
    </w:p>
    <w:p w:rsidR="00000000" w:rsidRDefault="00000000"/>
    <w:p w:rsidR="00000000" w:rsidRDefault="00000000">
      <w:r>
        <w:t>182.</w:t>
      </w:r>
      <w:r>
        <w:tab/>
        <w:t>Частный сектор контролирует 66% ежедневных изданий (87% читательской аудитории), 84% еженедельников (83% читательской аудитории) и 86% периодики (52% читательской аудитории).</w:t>
      </w:r>
    </w:p>
    <w:p w:rsidR="00000000" w:rsidRDefault="00000000"/>
    <w:p w:rsidR="00000000" w:rsidRDefault="00000000">
      <w:r>
        <w:t>183.</w:t>
      </w:r>
      <w:r>
        <w:tab/>
        <w:t>Кроме того, в стране существуют один телевизионный канал постоянного круглосуточного вещания на всю территорию страны, один канал спутникового телевидения, предназначенный для проживающих за границей алжирцев, три канала национального радиовещания, один канал международного радиовещания, 16 местных радиостанций и три специальных (тематических) канала.</w:t>
      </w:r>
    </w:p>
    <w:p w:rsidR="00000000" w:rsidRDefault="00000000"/>
    <w:p w:rsidR="00000000" w:rsidRDefault="00000000">
      <w:r>
        <w:t>184.</w:t>
      </w:r>
      <w:r>
        <w:tab/>
        <w:t>Выпуск газет и периодических изданий осуществляется на свободной основе и регламентируется лишь одним требованием, предусматривающим подачу соответствующей заявки за 30 дней до появления первого номера;  в течение этого срока производятся регистрация названия и проверка достоверности информации.  Публикации не должны содержать никаких, даже рекламных, объявлений, разжигающих насилие или ненависть;  в случае нарушения этих положений "учреждения, органы или официально признанные ассоциации, занимающиеся вопросами прав человека и охраны детей, вправе предъявить гражданский иск" (статья 27).</w:t>
      </w:r>
    </w:p>
    <w:p w:rsidR="00000000" w:rsidRDefault="00000000"/>
    <w:p w:rsidR="00000000" w:rsidRDefault="00000000">
      <w:r>
        <w:t>185.</w:t>
      </w:r>
      <w:r>
        <w:tab/>
        <w:t>Статьи 35 и 40 закона № 90-07 от 3 апреля 1990 года, касающегося Кодекса информационной деятельности, соответственно закрепляют за журналистами "право доступа к источникам информации" и "право на отказ выполнять какие-либо распоряжения, касающиеся выпускаемого материала, помимо распоряжений ответственных сотрудников редакции", но в то же время обязывают журналистов "строго соблюдать нормы профессиональной этики", в частности "обеспечивая сообщение полной и объективной информации, корректируя любые сведения, оказавшиеся неточными, и воздерживаясь от апологии расизма, нетерпимости и насилия".</w:t>
      </w:r>
    </w:p>
    <w:p w:rsidR="00000000" w:rsidRDefault="00000000"/>
    <w:p w:rsidR="00000000" w:rsidRDefault="00000000">
      <w:r>
        <w:t>186.</w:t>
      </w:r>
      <w:r>
        <w:tab/>
        <w:t xml:space="preserve">С момента введения чрезвычайного положения отношения между органами печати, государственными учреждениями и официально признанными ассоциациями развивались волнообразно.  Принимаемые властями меры по защите журналистов, которые чаще всего становятся жертвами террористических актов, считаются либо недостаточными, либо чрезмерными.  Следует отметить, что за период с 1992 года террористы убили более 60 журналистов и других сотрудников средств массовой информации, и в октябре 1993 года один из руководителей расформированного ИФС, находящийся в изгнании за рубежом, назвал совершаемые убийства "исполнением приговоров".  </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r>
        <w:t>187.</w:t>
      </w:r>
      <w:r>
        <w:tab/>
        <w:t>Кроме того, отсутствие опыта и конкуренция между газетами приводит к тому, что многие из них действуют в нарушение положений статьи 40 Кодекса информационной деятельности.  Под прикрытием права на свободу выражения мнений ряд изданий публикуют заявления и позиции, которые можно квалифицировать как клеветнические или оскорбительные по отношению к частным лицам, представителям властей или к  государственной символике.</w:t>
      </w:r>
    </w:p>
    <w:p w:rsidR="00000000" w:rsidRDefault="00000000"/>
    <w:p w:rsidR="00000000" w:rsidRDefault="00000000">
      <w:r>
        <w:t>188.</w:t>
      </w:r>
      <w:r>
        <w:tab/>
        <w:t xml:space="preserve">Право на поиск и распространение информации осуществляется в условиях полной свободы, в том числе в контексте законодательства о чрезвычайном положении, которое временно ограничило сферу охвата этого права применительно к вопросам, связанным с общественной безопасностью.  На основании соответствующего нормативного акта от 7 марта 1994 года был создан </w:t>
      </w:r>
      <w:r>
        <w:rPr>
          <w:i/>
          <w:iCs/>
        </w:rPr>
        <w:t>координационный отдел</w:t>
      </w:r>
      <w:r>
        <w:t xml:space="preserve"> по связи со средствами массовой информации в вопросах информационной деятельности, подготовки и опубликования коммюнике, касающихся общественной безопасности, а также наложен запрет на распространение любых сведений, не изложенных в официальном коммюнике.  Применение этих правил, которые носили чисто формальный характер, было отменено.  </w:t>
      </w:r>
    </w:p>
    <w:p w:rsidR="00000000" w:rsidRDefault="00000000"/>
    <w:p w:rsidR="00000000" w:rsidRDefault="00000000"/>
    <w:p w:rsidR="00000000" w:rsidRDefault="00000000">
      <w:pPr>
        <w:pStyle w:val="16"/>
      </w:pPr>
      <w:r>
        <w:t>-------</w:t>
      </w:r>
    </w:p>
    <w:sectPr w:rsidR="00000000">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E/1990/6/Add.26</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54</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spacing w:line="240" w:lineRule="auto"/>
      <w:rPr>
        <w:lang w:val="en-US"/>
      </w:rPr>
    </w:pPr>
    <w:r>
      <w:rPr>
        <w:lang w:val="en-US"/>
      </w:rPr>
      <w:tab/>
    </w:r>
    <w:r>
      <w:rPr>
        <w:lang w:val="en-US"/>
      </w:rPr>
      <w:tab/>
      <w:t>E/1990/6/Add.26</w:t>
    </w:r>
  </w:p>
  <w:p w:rsidR="00000000" w:rsidRDefault="00000000">
    <w:pPr>
      <w:pStyle w:val="Header"/>
      <w:tabs>
        <w:tab w:val="left" w:pos="6804"/>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804"/>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1">
    <w:name w:val="Заголовок 11"/>
    <w:basedOn w:val="Subtitle"/>
    <w:pPr>
      <w:tabs>
        <w:tab w:val="left" w:pos="567"/>
        <w:tab w:val="left" w:pos="1134"/>
        <w:tab w:val="left" w:pos="1701"/>
        <w:tab w:val="left" w:pos="2268"/>
        <w:tab w:val="left" w:pos="6237"/>
      </w:tabs>
      <w:spacing w:after="0"/>
      <w:outlineLvl w:val="9"/>
    </w:pPr>
    <w:rPr>
      <w:rFonts w:ascii="Times New Roman" w:hAnsi="Times New Roman" w:cs="Times New Roman"/>
      <w:szCs w:val="20"/>
      <w:u w:val="single"/>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Subtitle">
    <w:name w:val="Subtitle"/>
    <w:basedOn w:val="Normal"/>
    <w:qFormat/>
    <w:pPr>
      <w:spacing w:after="60"/>
      <w:jc w:val="center"/>
      <w:outlineLvl w:val="1"/>
    </w:pPr>
    <w:rPr>
      <w:rFonts w:ascii="Arial" w:hAnsi="Arial" w:cs="Arial"/>
      <w:szCs w:val="24"/>
    </w:rPr>
  </w:style>
  <w:style w:type="paragraph" w:customStyle="1" w:styleId="10">
    <w:name w:val="Заголовок 10"/>
    <w:basedOn w:val="Title"/>
    <w:pPr>
      <w:tabs>
        <w:tab w:val="left" w:pos="567"/>
        <w:tab w:val="left" w:pos="1134"/>
        <w:tab w:val="left" w:pos="1701"/>
        <w:tab w:val="left" w:pos="2268"/>
        <w:tab w:val="left" w:pos="6237"/>
      </w:tabs>
      <w:spacing w:before="0" w:after="0"/>
      <w:outlineLvl w:val="9"/>
    </w:pPr>
    <w:rPr>
      <w:rFonts w:ascii="Times New Roman" w:hAnsi="Times New Roman" w:cs="Times New Roman"/>
      <w:bCs w:val="0"/>
      <w:kern w:val="0"/>
      <w:sz w:val="24"/>
      <w:szCs w:val="20"/>
    </w:rPr>
  </w:style>
  <w:style w:type="paragraph" w:customStyle="1" w:styleId="13">
    <w:name w:val="Заголовок 13"/>
    <w:basedOn w:val="Normal"/>
    <w:pPr>
      <w:tabs>
        <w:tab w:val="left" w:pos="567"/>
        <w:tab w:val="left" w:pos="1134"/>
        <w:tab w:val="left" w:pos="1701"/>
        <w:tab w:val="left" w:pos="2268"/>
        <w:tab w:val="left" w:pos="6237"/>
      </w:tabs>
      <w:jc w:val="center"/>
    </w:pPr>
    <w:rPr>
      <w:b/>
      <w:i/>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customStyle="1" w:styleId="12">
    <w:name w:val="Заголовок 12"/>
    <w:basedOn w:val="Normal"/>
    <w:pPr>
      <w:tabs>
        <w:tab w:val="left" w:pos="567"/>
        <w:tab w:val="left" w:pos="1134"/>
        <w:tab w:val="left" w:pos="1701"/>
        <w:tab w:val="left" w:pos="2268"/>
        <w:tab w:val="left" w:pos="6237"/>
      </w:tabs>
      <w:jc w:val="center"/>
    </w:pPr>
    <w:rPr>
      <w:i/>
    </w:rPr>
  </w:style>
  <w:style w:type="paragraph" w:customStyle="1" w:styleId="15">
    <w:name w:val="Заголовок 15"/>
    <w:basedOn w:val="Normal"/>
    <w:pPr>
      <w:tabs>
        <w:tab w:val="left" w:pos="567"/>
        <w:tab w:val="left" w:pos="1134"/>
        <w:tab w:val="left" w:pos="1701"/>
        <w:tab w:val="left" w:pos="2268"/>
        <w:tab w:val="left" w:pos="6237"/>
      </w:tabs>
      <w:jc w:val="center"/>
    </w:pPr>
    <w:rPr>
      <w:i/>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10</TotalTime>
  <Pages>1</Pages>
  <Words>16976</Words>
  <Characters>96764</Characters>
  <Application>Microsoft Office Word</Application>
  <DocSecurity>4</DocSecurity>
  <Lines>806</Lines>
  <Paragraphs>193</Paragraphs>
  <ScaleCrop>false</ScaleCrop>
  <HeadingPairs>
    <vt:vector size="2" baseType="variant">
      <vt:variant>
        <vt:lpstr>Название</vt:lpstr>
      </vt:variant>
      <vt:variant>
        <vt:i4>1</vt:i4>
      </vt:variant>
    </vt:vector>
  </HeadingPairs>
  <TitlesOfParts>
    <vt:vector size="1" baseType="lpstr">
      <vt:lpstr>43659.doc</vt:lpstr>
    </vt:vector>
  </TitlesOfParts>
  <Company> </Company>
  <LinksUpToDate>false</LinksUpToDate>
  <CharactersWithSpaces>118832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43659.doc</dc:title>
  <dc:subject/>
  <dc:creator>safonova</dc:creator>
  <cp:keywords/>
  <dc:description/>
  <cp:lastModifiedBy>TPS</cp:lastModifiedBy>
  <cp:revision>3</cp:revision>
  <cp:lastPrinted>2000-12-04T14:59:00Z</cp:lastPrinted>
  <dcterms:created xsi:type="dcterms:W3CDTF">2000-12-04T14:58:00Z</dcterms:created>
  <dcterms:modified xsi:type="dcterms:W3CDTF">2000-12-04T15:04:00Z</dcterms:modified>
</cp:coreProperties>
</file>