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115A">
      <w:pPr>
        <w:spacing w:after="320" w:line="240" w:lineRule="auto"/>
        <w:textAlignment w:val="center"/>
      </w:pPr>
      <w:r>
        <w:t>1999</w:t>
      </w:r>
      <w:r>
        <w:rPr>
          <w:rFonts w:hint="eastAsia"/>
        </w:rPr>
        <w:t>年实质性会议</w:t>
      </w:r>
    </w:p>
    <w:p w:rsidR="00000000" w:rsidRDefault="00B7115A">
      <w:pPr>
        <w:pStyle w:val="Heading2"/>
        <w:spacing w:before="360"/>
      </w:pPr>
      <w:r>
        <w:rPr>
          <w:rFonts w:hint="eastAsia"/>
        </w:rPr>
        <w:t>《经济、社会、文化权利盟约》的执行情况</w:t>
      </w:r>
    </w:p>
    <w:p w:rsidR="00000000" w:rsidRDefault="00B7115A">
      <w:pPr>
        <w:pStyle w:val="Heading3"/>
      </w:pPr>
      <w:r>
        <w:rPr>
          <w:rFonts w:hint="eastAsia"/>
        </w:rPr>
        <w:t>缔约国根据《盟约》第</w:t>
      </w:r>
      <w:r>
        <w:t>16</w:t>
      </w:r>
      <w:r>
        <w:rPr>
          <w:rFonts w:hint="eastAsia"/>
        </w:rPr>
        <w:t>和</w:t>
      </w:r>
      <w:r>
        <w:t>17</w:t>
      </w:r>
      <w:r>
        <w:rPr>
          <w:rFonts w:hint="eastAsia"/>
        </w:rPr>
        <w:t>条</w:t>
      </w:r>
      <w:r>
        <w:br/>
      </w:r>
      <w:r>
        <w:rPr>
          <w:rFonts w:hint="eastAsia"/>
        </w:rPr>
        <w:t>提交的初步报告</w:t>
      </w:r>
    </w:p>
    <w:p w:rsidR="00000000" w:rsidRDefault="00B7115A">
      <w:pPr>
        <w:pStyle w:val="Heading3"/>
      </w:pPr>
      <w:r>
        <w:rPr>
          <w:rFonts w:hint="eastAsia"/>
        </w:rPr>
        <w:t>增</w:t>
      </w:r>
      <w:r>
        <w:t xml:space="preserve">  </w:t>
      </w:r>
      <w:r>
        <w:rPr>
          <w:rFonts w:hint="eastAsia"/>
        </w:rPr>
        <w:t>编</w:t>
      </w:r>
    </w:p>
    <w:p w:rsidR="00000000" w:rsidRDefault="00B7115A">
      <w:pPr>
        <w:pStyle w:val="Heading3"/>
      </w:pPr>
      <w:r>
        <w:rPr>
          <w:rFonts w:hint="eastAsia"/>
        </w:rPr>
        <w:t>吉尔吉斯斯坦</w:t>
      </w:r>
    </w:p>
    <w:p w:rsidR="00000000" w:rsidRDefault="00B7115A">
      <w:pPr>
        <w:pStyle w:val="12cm"/>
        <w:spacing w:after="0"/>
      </w:pPr>
      <w:r>
        <w:rPr>
          <w:rFonts w:hint="eastAsia"/>
        </w:rPr>
        <w:t>［原文：俄文］</w:t>
      </w:r>
    </w:p>
    <w:p w:rsidR="00000000" w:rsidRDefault="00B7115A">
      <w:pPr>
        <w:pStyle w:val="12cm"/>
        <w:spacing w:before="0" w:after="240"/>
        <w:textAlignment w:val="center"/>
      </w:pPr>
      <w:r>
        <w:rPr>
          <w:rFonts w:hint="eastAsia"/>
        </w:rPr>
        <w:t>［</w:t>
      </w:r>
      <w:r>
        <w:t>1998</w:t>
      </w:r>
      <w:r>
        <w:rPr>
          <w:rFonts w:hint="eastAsia"/>
        </w:rPr>
        <w:t>年</w:t>
      </w:r>
      <w:r>
        <w:t>5</w:t>
      </w:r>
      <w:r>
        <w:rPr>
          <w:rFonts w:hint="eastAsia"/>
        </w:rPr>
        <w:t>月</w:t>
      </w:r>
      <w:r>
        <w:t>5</w:t>
      </w:r>
      <w:r>
        <w:rPr>
          <w:rFonts w:hint="eastAsia"/>
        </w:rPr>
        <w:t>日］</w:t>
      </w:r>
    </w:p>
    <w:p w:rsidR="00000000" w:rsidRDefault="00B7115A">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B7115A">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B7115A">
      <w:pPr>
        <w:pStyle w:val="a3"/>
      </w:pPr>
      <w:r>
        <w:rPr>
          <w:rFonts w:hint="eastAsia"/>
        </w:rPr>
        <w:t>导</w:t>
      </w:r>
      <w:r>
        <w:t xml:space="preserve">  </w:t>
      </w:r>
      <w:r>
        <w:rPr>
          <w:rFonts w:hint="eastAsia"/>
        </w:rPr>
        <w:t>言</w:t>
      </w:r>
      <w:r>
        <w:t>.....................</w:t>
      </w:r>
      <w:r>
        <w:t>................................</w:t>
      </w:r>
      <w:r>
        <w:tab/>
      </w:r>
      <w:r>
        <w:tab/>
        <w:t>1</w:t>
      </w:r>
      <w:r>
        <w:tab/>
        <w:t>-</w:t>
      </w:r>
      <w:r>
        <w:tab/>
        <w:t>4</w:t>
      </w:r>
      <w:r>
        <w:tab/>
        <w:t>3</w:t>
      </w:r>
    </w:p>
    <w:p w:rsidR="00000000" w:rsidRDefault="00B7115A">
      <w:pPr>
        <w:pStyle w:val="a3"/>
      </w:pPr>
      <w:r>
        <w:rPr>
          <w:rFonts w:hint="eastAsia"/>
        </w:rPr>
        <w:t>第</w:t>
      </w:r>
      <w:r>
        <w:t>1</w:t>
      </w:r>
      <w:r>
        <w:rPr>
          <w:rFonts w:hint="eastAsia"/>
        </w:rPr>
        <w:t>至</w:t>
      </w:r>
      <w:r>
        <w:t>15</w:t>
      </w:r>
      <w:r>
        <w:rPr>
          <w:rFonts w:hint="eastAsia"/>
        </w:rPr>
        <w:t>条的执行情况</w:t>
      </w:r>
    </w:p>
    <w:p w:rsidR="00000000" w:rsidRDefault="00B7115A">
      <w:pPr>
        <w:pStyle w:val="a3"/>
      </w:pPr>
      <w:r>
        <w:rPr>
          <w:rFonts w:hint="eastAsia"/>
        </w:rPr>
        <w:t>第</w:t>
      </w:r>
      <w:r>
        <w:t xml:space="preserve"> 1 </w:t>
      </w:r>
      <w:r>
        <w:rPr>
          <w:rFonts w:hint="eastAsia"/>
        </w:rPr>
        <w:t>条</w:t>
      </w:r>
      <w:r>
        <w:t>.....................................................................................</w:t>
      </w:r>
      <w:r>
        <w:tab/>
      </w:r>
      <w:r>
        <w:tab/>
        <w:t>5</w:t>
      </w:r>
      <w:r>
        <w:tab/>
      </w:r>
      <w:r>
        <w:tab/>
        <w:t>3</w:t>
      </w:r>
    </w:p>
    <w:p w:rsidR="00000000" w:rsidRDefault="00B7115A">
      <w:pPr>
        <w:pStyle w:val="a3"/>
      </w:pPr>
      <w:r>
        <w:rPr>
          <w:rFonts w:hint="eastAsia"/>
        </w:rPr>
        <w:t>第</w:t>
      </w:r>
      <w:r>
        <w:t xml:space="preserve"> 2 </w:t>
      </w:r>
      <w:r>
        <w:rPr>
          <w:rFonts w:hint="eastAsia"/>
        </w:rPr>
        <w:t>条</w:t>
      </w:r>
      <w:r>
        <w:t>.....................................................................................</w:t>
      </w:r>
      <w:r>
        <w:tab/>
      </w:r>
      <w:r>
        <w:tab/>
        <w:t>6</w:t>
      </w:r>
      <w:r>
        <w:tab/>
      </w:r>
      <w:r>
        <w:tab/>
        <w:t>4</w:t>
      </w:r>
    </w:p>
    <w:p w:rsidR="00000000" w:rsidRDefault="00B7115A">
      <w:pPr>
        <w:pStyle w:val="a3"/>
      </w:pPr>
      <w:r>
        <w:rPr>
          <w:rFonts w:hint="eastAsia"/>
        </w:rPr>
        <w:t>第</w:t>
      </w:r>
      <w:r>
        <w:t xml:space="preserve"> 3 </w:t>
      </w:r>
      <w:r>
        <w:rPr>
          <w:rFonts w:hint="eastAsia"/>
        </w:rPr>
        <w:t>条</w:t>
      </w:r>
      <w:r>
        <w:t>...</w:t>
      </w:r>
      <w:r>
        <w:t>..................................................................................</w:t>
      </w:r>
      <w:r>
        <w:tab/>
        <w:t>7</w:t>
      </w:r>
      <w:r>
        <w:tab/>
        <w:t>-</w:t>
      </w:r>
      <w:r>
        <w:tab/>
        <w:t>12</w:t>
      </w:r>
      <w:r>
        <w:tab/>
        <w:t>4</w:t>
      </w:r>
    </w:p>
    <w:p w:rsidR="00000000" w:rsidRDefault="00B7115A">
      <w:pPr>
        <w:pStyle w:val="a3"/>
      </w:pPr>
      <w:r>
        <w:rPr>
          <w:rFonts w:hint="eastAsia"/>
        </w:rPr>
        <w:t>第</w:t>
      </w:r>
      <w:r>
        <w:t xml:space="preserve"> 4 </w:t>
      </w:r>
      <w:r>
        <w:rPr>
          <w:rFonts w:hint="eastAsia"/>
        </w:rPr>
        <w:t>条</w:t>
      </w:r>
      <w:r>
        <w:t>.....................................................................................</w:t>
      </w:r>
      <w:r>
        <w:tab/>
        <w:t>13</w:t>
      </w:r>
      <w:r>
        <w:tab/>
        <w:t>-</w:t>
      </w:r>
      <w:r>
        <w:tab/>
        <w:t>15</w:t>
      </w:r>
      <w:r>
        <w:tab/>
        <w:t>7</w:t>
      </w:r>
    </w:p>
    <w:p w:rsidR="00000000" w:rsidRDefault="00B7115A">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B7115A">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B7115A">
      <w:pPr>
        <w:pStyle w:val="a3"/>
      </w:pPr>
      <w:r>
        <w:rPr>
          <w:rFonts w:hint="eastAsia"/>
        </w:rPr>
        <w:t>第</w:t>
      </w:r>
      <w:r>
        <w:t xml:space="preserve"> 5 </w:t>
      </w:r>
      <w:r>
        <w:rPr>
          <w:rFonts w:hint="eastAsia"/>
        </w:rPr>
        <w:t>条</w:t>
      </w:r>
      <w:r>
        <w:t>........................................</w:t>
      </w:r>
      <w:r>
        <w:t>.............................................</w:t>
      </w:r>
      <w:r>
        <w:tab/>
        <w:t>16</w:t>
      </w:r>
      <w:r>
        <w:tab/>
        <w:t>-</w:t>
      </w:r>
      <w:r>
        <w:tab/>
        <w:t>17</w:t>
      </w:r>
      <w:r>
        <w:tab/>
        <w:t>7</w:t>
      </w:r>
    </w:p>
    <w:p w:rsidR="00000000" w:rsidRDefault="00B7115A">
      <w:pPr>
        <w:pStyle w:val="a3"/>
      </w:pPr>
      <w:r>
        <w:rPr>
          <w:rFonts w:hint="eastAsia"/>
        </w:rPr>
        <w:t>第</w:t>
      </w:r>
      <w:r>
        <w:t xml:space="preserve"> 6 </w:t>
      </w:r>
      <w:r>
        <w:rPr>
          <w:rFonts w:hint="eastAsia"/>
        </w:rPr>
        <w:t>条</w:t>
      </w:r>
      <w:r>
        <w:t>.....................................................................................</w:t>
      </w:r>
      <w:r>
        <w:tab/>
        <w:t>18</w:t>
      </w:r>
      <w:r>
        <w:tab/>
        <w:t>-</w:t>
      </w:r>
      <w:r>
        <w:tab/>
        <w:t>64</w:t>
      </w:r>
      <w:r>
        <w:tab/>
        <w:t>7</w:t>
      </w:r>
    </w:p>
    <w:p w:rsidR="00000000" w:rsidRDefault="00B7115A">
      <w:pPr>
        <w:pStyle w:val="a3"/>
      </w:pPr>
      <w:r>
        <w:rPr>
          <w:rFonts w:hint="eastAsia"/>
        </w:rPr>
        <w:t>第</w:t>
      </w:r>
      <w:r>
        <w:t xml:space="preserve"> 7 </w:t>
      </w:r>
      <w:r>
        <w:rPr>
          <w:rFonts w:hint="eastAsia"/>
        </w:rPr>
        <w:t>条</w:t>
      </w:r>
      <w:r>
        <w:t>.....................................................................................</w:t>
      </w:r>
      <w:r>
        <w:tab/>
        <w:t>65</w:t>
      </w:r>
      <w:r>
        <w:tab/>
        <w:t>-</w:t>
      </w:r>
      <w:r>
        <w:tab/>
        <w:t>85</w:t>
      </w:r>
      <w:r>
        <w:tab/>
      </w:r>
      <w:r>
        <w:t>20</w:t>
      </w:r>
    </w:p>
    <w:p w:rsidR="00000000" w:rsidRDefault="00B7115A">
      <w:pPr>
        <w:pStyle w:val="a3"/>
      </w:pPr>
      <w:r>
        <w:rPr>
          <w:rFonts w:hint="eastAsia"/>
        </w:rPr>
        <w:t>第</w:t>
      </w:r>
      <w:r>
        <w:t xml:space="preserve"> 8 </w:t>
      </w:r>
      <w:r>
        <w:rPr>
          <w:rFonts w:hint="eastAsia"/>
        </w:rPr>
        <w:t>条</w:t>
      </w:r>
      <w:r>
        <w:t>.............................</w:t>
      </w:r>
      <w:r>
        <w:tab/>
      </w:r>
      <w:r>
        <w:tab/>
        <w:t>86</w:t>
      </w:r>
      <w:r>
        <w:tab/>
        <w:t>-</w:t>
      </w:r>
      <w:r>
        <w:tab/>
        <w:t>104</w:t>
      </w:r>
      <w:r>
        <w:tab/>
        <w:t>23</w:t>
      </w:r>
    </w:p>
    <w:p w:rsidR="00000000" w:rsidRDefault="00B7115A">
      <w:pPr>
        <w:pStyle w:val="a3"/>
      </w:pPr>
      <w:r>
        <w:rPr>
          <w:rFonts w:hint="eastAsia"/>
        </w:rPr>
        <w:t>第</w:t>
      </w:r>
      <w:r>
        <w:t xml:space="preserve"> 9 </w:t>
      </w:r>
      <w:r>
        <w:rPr>
          <w:rFonts w:hint="eastAsia"/>
        </w:rPr>
        <w:t>条</w:t>
      </w:r>
      <w:r>
        <w:t>..............................</w:t>
      </w:r>
      <w:r>
        <w:tab/>
      </w:r>
      <w:r>
        <w:tab/>
        <w:t>105</w:t>
      </w:r>
      <w:r>
        <w:tab/>
        <w:t>-</w:t>
      </w:r>
      <w:r>
        <w:tab/>
        <w:t>143</w:t>
      </w:r>
      <w:r>
        <w:tab/>
        <w:t>26</w:t>
      </w:r>
    </w:p>
    <w:p w:rsidR="00000000" w:rsidRDefault="00B7115A">
      <w:pPr>
        <w:pStyle w:val="a3"/>
      </w:pPr>
      <w:r>
        <w:rPr>
          <w:rFonts w:hint="eastAsia"/>
        </w:rPr>
        <w:t>第</w:t>
      </w:r>
      <w:r>
        <w:t xml:space="preserve"> 10 </w:t>
      </w:r>
      <w:r>
        <w:rPr>
          <w:rFonts w:hint="eastAsia"/>
        </w:rPr>
        <w:t>条</w:t>
      </w:r>
      <w:r>
        <w:t>...................</w:t>
      </w:r>
      <w:r>
        <w:tab/>
      </w:r>
      <w:r>
        <w:tab/>
        <w:t>144</w:t>
      </w:r>
      <w:r>
        <w:tab/>
        <w:t>-</w:t>
      </w:r>
      <w:r>
        <w:tab/>
        <w:t>165</w:t>
      </w:r>
      <w:r>
        <w:tab/>
        <w:t>34</w:t>
      </w:r>
    </w:p>
    <w:p w:rsidR="00000000" w:rsidRDefault="00B7115A">
      <w:pPr>
        <w:pStyle w:val="a3"/>
      </w:pPr>
      <w:r>
        <w:rPr>
          <w:rFonts w:hint="eastAsia"/>
        </w:rPr>
        <w:t>第</w:t>
      </w:r>
      <w:r>
        <w:t xml:space="preserve"> 11 </w:t>
      </w:r>
      <w:r>
        <w:rPr>
          <w:rFonts w:hint="eastAsia"/>
        </w:rPr>
        <w:t>条</w:t>
      </w:r>
      <w:r>
        <w:t>...................</w:t>
      </w:r>
      <w:r>
        <w:tab/>
      </w:r>
      <w:r>
        <w:tab/>
        <w:t>166</w:t>
      </w:r>
      <w:r>
        <w:tab/>
        <w:t>-</w:t>
      </w:r>
      <w:r>
        <w:tab/>
        <w:t>190</w:t>
      </w:r>
      <w:r>
        <w:tab/>
        <w:t>38</w:t>
      </w:r>
    </w:p>
    <w:p w:rsidR="00000000" w:rsidRDefault="00B7115A">
      <w:pPr>
        <w:pStyle w:val="a3"/>
      </w:pPr>
      <w:r>
        <w:rPr>
          <w:rFonts w:hint="eastAsia"/>
        </w:rPr>
        <w:t>第</w:t>
      </w:r>
      <w:r>
        <w:t xml:space="preserve"> 12 </w:t>
      </w:r>
      <w:r>
        <w:rPr>
          <w:rFonts w:hint="eastAsia"/>
        </w:rPr>
        <w:t>条</w:t>
      </w:r>
      <w:r>
        <w:t>......................</w:t>
      </w:r>
      <w:r>
        <w:tab/>
      </w:r>
      <w:r>
        <w:tab/>
        <w:t>191</w:t>
      </w:r>
      <w:r>
        <w:tab/>
        <w:t>-</w:t>
      </w:r>
      <w:r>
        <w:tab/>
        <w:t>214</w:t>
      </w:r>
      <w:r>
        <w:tab/>
        <w:t>44</w:t>
      </w:r>
    </w:p>
    <w:p w:rsidR="00000000" w:rsidRDefault="00B7115A">
      <w:pPr>
        <w:pStyle w:val="a3"/>
      </w:pPr>
      <w:r>
        <w:rPr>
          <w:rFonts w:hint="eastAsia"/>
        </w:rPr>
        <w:t>第</w:t>
      </w:r>
      <w:r>
        <w:t xml:space="preserve"> 13 </w:t>
      </w:r>
      <w:r>
        <w:rPr>
          <w:rFonts w:hint="eastAsia"/>
        </w:rPr>
        <w:t>条</w:t>
      </w:r>
      <w:r>
        <w:t>.......................</w:t>
      </w:r>
      <w:r>
        <w:tab/>
      </w:r>
      <w:r>
        <w:tab/>
        <w:t>2</w:t>
      </w:r>
      <w:r>
        <w:t>15</w:t>
      </w:r>
      <w:r>
        <w:tab/>
        <w:t>-</w:t>
      </w:r>
      <w:r>
        <w:tab/>
        <w:t>232</w:t>
      </w:r>
      <w:r>
        <w:tab/>
        <w:t>50</w:t>
      </w:r>
    </w:p>
    <w:p w:rsidR="00000000" w:rsidRDefault="00B7115A">
      <w:pPr>
        <w:pStyle w:val="a3"/>
      </w:pPr>
      <w:r>
        <w:rPr>
          <w:rFonts w:hint="eastAsia"/>
        </w:rPr>
        <w:t>第</w:t>
      </w:r>
      <w:r>
        <w:t xml:space="preserve"> 14 </w:t>
      </w:r>
      <w:r>
        <w:rPr>
          <w:rFonts w:hint="eastAsia"/>
        </w:rPr>
        <w:t>条</w:t>
      </w:r>
      <w:r>
        <w:t>..................</w:t>
      </w:r>
      <w:r>
        <w:tab/>
      </w:r>
      <w:r>
        <w:tab/>
        <w:t>233</w:t>
      </w:r>
      <w:r>
        <w:tab/>
        <w:t>-</w:t>
      </w:r>
      <w:r>
        <w:tab/>
        <w:t>238</w:t>
      </w:r>
      <w:r>
        <w:tab/>
        <w:t>55</w:t>
      </w:r>
    </w:p>
    <w:p w:rsidR="00000000" w:rsidRDefault="00B7115A">
      <w:pPr>
        <w:pStyle w:val="a3"/>
      </w:pPr>
      <w:r>
        <w:rPr>
          <w:rFonts w:hint="eastAsia"/>
        </w:rPr>
        <w:t>第</w:t>
      </w:r>
      <w:r>
        <w:t xml:space="preserve"> 15 </w:t>
      </w:r>
      <w:r>
        <w:rPr>
          <w:rFonts w:hint="eastAsia"/>
        </w:rPr>
        <w:t>条</w:t>
      </w:r>
      <w:r>
        <w:t>...............</w:t>
      </w:r>
      <w:r>
        <w:tab/>
      </w:r>
      <w:r>
        <w:tab/>
      </w:r>
      <w:r>
        <w:tab/>
        <w:t>239</w:t>
      </w:r>
      <w:r>
        <w:tab/>
        <w:t>56</w:t>
      </w:r>
    </w:p>
    <w:p w:rsidR="00000000" w:rsidRDefault="00B7115A">
      <w:pPr>
        <w:pStyle w:val="Heading2"/>
      </w:pPr>
      <w:r>
        <w:br w:type="page"/>
      </w:r>
      <w:r>
        <w:rPr>
          <w:rFonts w:hint="eastAsia"/>
        </w:rPr>
        <w:t>导</w:t>
      </w:r>
      <w:r>
        <w:t xml:space="preserve">  </w:t>
      </w:r>
      <w:r>
        <w:rPr>
          <w:rFonts w:hint="eastAsia"/>
        </w:rPr>
        <w:t>言</w:t>
      </w:r>
    </w:p>
    <w:p w:rsidR="00000000" w:rsidRDefault="00B7115A">
      <w:r>
        <w:tab/>
        <w:t xml:space="preserve">1.  </w:t>
      </w:r>
      <w:r>
        <w:rPr>
          <w:rFonts w:hint="eastAsia"/>
        </w:rPr>
        <w:t>吉尔吉斯斯坦共和国于</w:t>
      </w:r>
      <w:r>
        <w:t>1994</w:t>
      </w:r>
      <w:r>
        <w:rPr>
          <w:rFonts w:hint="eastAsia"/>
        </w:rPr>
        <w:t>年</w:t>
      </w:r>
      <w:r>
        <w:t>10</w:t>
      </w:r>
      <w:r>
        <w:rPr>
          <w:rFonts w:hint="eastAsia"/>
        </w:rPr>
        <w:t>月</w:t>
      </w:r>
      <w:r>
        <w:t>7</w:t>
      </w:r>
      <w:r>
        <w:rPr>
          <w:rFonts w:hint="eastAsia"/>
        </w:rPr>
        <w:t>日加入《经济、社会、文化权利国际盟约》。</w:t>
      </w:r>
    </w:p>
    <w:p w:rsidR="00000000" w:rsidRDefault="00B7115A">
      <w:r>
        <w:tab/>
        <w:t xml:space="preserve">2.  </w:t>
      </w:r>
      <w:r>
        <w:rPr>
          <w:rFonts w:hint="eastAsia"/>
        </w:rPr>
        <w:t>本报告是根据《经济、社会、文化权利国际盟约》第</w:t>
      </w:r>
      <w:r>
        <w:t>16</w:t>
      </w:r>
      <w:r>
        <w:rPr>
          <w:rFonts w:hint="eastAsia"/>
        </w:rPr>
        <w:t>条第</w:t>
      </w:r>
      <w:r>
        <w:t>1(a)</w:t>
      </w:r>
      <w:r>
        <w:rPr>
          <w:rFonts w:hint="eastAsia"/>
        </w:rPr>
        <w:t>款，遵照有关初步报告格式和内容的一般性准则编写的。报告采用了吉尔吉斯斯坦共和国主管共和国境内个人地位及行使其权利等问题的各部、各国务委员会和各行政部门，以及开展人权领域工作的</w:t>
      </w:r>
      <w:r>
        <w:rPr>
          <w:rFonts w:hint="eastAsia"/>
        </w:rPr>
        <w:t>各社会组织提供的有关资料。报告概要阐述了吉尔吉斯斯坦共和国境内公民的地位，从而反映其与当前社会和经济进步之间的相互关系。报告还逐条提供了有关资料，阐明了：吉尔吉斯斯坦为兑现其根据盟约所承担的义务而采取的措施；业已取得的进展；所遇到的问题和为进一步实施盟约计划采取的步骤。</w:t>
      </w:r>
    </w:p>
    <w:p w:rsidR="00000000" w:rsidRDefault="00B7115A">
      <w:r>
        <w:tab/>
        <w:t xml:space="preserve">3.  </w:t>
      </w:r>
      <w:r>
        <w:rPr>
          <w:rFonts w:hint="eastAsia"/>
        </w:rPr>
        <w:t>报告分析了吉尔吉斯斯坦共和国的基本立法文书，其中包括一些仍然有效的吉尔吉斯斯坦苏维埃社会主义共和国和苏联的法律，以及在执行《经济、社会、文化权利国际盟约》过程中通过的立法。附件转载了法规和其它规章条例文书以及有关补充的资料。</w:t>
      </w:r>
    </w:p>
    <w:p w:rsidR="00000000" w:rsidRDefault="00B7115A">
      <w:pPr>
        <w:spacing w:after="320"/>
        <w:textAlignment w:val="center"/>
      </w:pPr>
      <w:r>
        <w:tab/>
        <w:t>4</w:t>
      </w:r>
      <w:r>
        <w:t xml:space="preserve">.  </w:t>
      </w:r>
      <w:r>
        <w:rPr>
          <w:rFonts w:hint="eastAsia"/>
        </w:rPr>
        <w:t>在本报告开始编撰时，已开展了向民众广泛介绍本报告所载材料的任务。遵照</w:t>
      </w:r>
      <w:r>
        <w:t>1997</w:t>
      </w:r>
      <w:r>
        <w:rPr>
          <w:rFonts w:hint="eastAsia"/>
        </w:rPr>
        <w:t>年</w:t>
      </w:r>
      <w:r>
        <w:t>6</w:t>
      </w:r>
      <w:r>
        <w:rPr>
          <w:rFonts w:hint="eastAsia"/>
        </w:rPr>
        <w:t>月</w:t>
      </w:r>
      <w:r>
        <w:t>27</w:t>
      </w:r>
      <w:r>
        <w:rPr>
          <w:rFonts w:hint="eastAsia"/>
        </w:rPr>
        <w:t>日吉尔吉斯斯坦政府的法令，建立了一个由政府和司法机构代表组成的特别委员会来编写此报告。该委员会举行了若干次会议和磋商。报告草稿分送给政府各部、各委员会、行政部门和非政府组织，并在最后定稿时考虑到了他们提出的意见和希望。</w:t>
      </w:r>
    </w:p>
    <w:p w:rsidR="00000000" w:rsidRDefault="00B7115A">
      <w:pPr>
        <w:pStyle w:val="Heading3"/>
      </w:pPr>
      <w:r>
        <w:rPr>
          <w:rFonts w:hint="eastAsia"/>
        </w:rPr>
        <w:t>第</w:t>
      </w:r>
      <w:r>
        <w:t>1</w:t>
      </w:r>
      <w:r>
        <w:rPr>
          <w:rFonts w:hint="eastAsia"/>
        </w:rPr>
        <w:t>至</w:t>
      </w:r>
      <w:r>
        <w:t>15</w:t>
      </w:r>
      <w:r>
        <w:rPr>
          <w:rFonts w:hint="eastAsia"/>
        </w:rPr>
        <w:t>条的执行情况</w:t>
      </w:r>
    </w:p>
    <w:p w:rsidR="00000000" w:rsidRDefault="00B7115A">
      <w:pPr>
        <w:pStyle w:val="Heading3"/>
      </w:pPr>
      <w:r>
        <w:rPr>
          <w:rFonts w:hint="eastAsia"/>
        </w:rPr>
        <w:t>第</w:t>
      </w:r>
      <w:r>
        <w:t xml:space="preserve"> 1 </w:t>
      </w:r>
      <w:r>
        <w:rPr>
          <w:rFonts w:hint="eastAsia"/>
        </w:rPr>
        <w:t>条</w:t>
      </w:r>
    </w:p>
    <w:p w:rsidR="00000000" w:rsidRDefault="00B7115A">
      <w:pPr>
        <w:spacing w:after="320"/>
        <w:textAlignment w:val="center"/>
      </w:pPr>
      <w:r>
        <w:tab/>
        <w:t xml:space="preserve">5.  </w:t>
      </w:r>
      <w:r>
        <w:rPr>
          <w:rFonts w:hint="eastAsia"/>
        </w:rPr>
        <w:t>有关本条的资料载于吉尔吉斯斯坦共和国就《公民权利和政治权利国际盟约》提交的报告</w:t>
      </w:r>
      <w:r>
        <w:t>(CCPR/C/113/Add.1)</w:t>
      </w:r>
      <w:r>
        <w:rPr>
          <w:rFonts w:hint="eastAsia"/>
        </w:rPr>
        <w:t>。</w:t>
      </w:r>
    </w:p>
    <w:p w:rsidR="00000000" w:rsidRDefault="00B7115A">
      <w:pPr>
        <w:pStyle w:val="Heading3"/>
      </w:pPr>
      <w:r>
        <w:rPr>
          <w:rFonts w:hint="eastAsia"/>
        </w:rPr>
        <w:t>第</w:t>
      </w:r>
      <w:r>
        <w:t xml:space="preserve"> 2 </w:t>
      </w:r>
      <w:r>
        <w:rPr>
          <w:rFonts w:hint="eastAsia"/>
        </w:rPr>
        <w:t>条</w:t>
      </w:r>
    </w:p>
    <w:p w:rsidR="00000000" w:rsidRDefault="00B7115A">
      <w:pPr>
        <w:spacing w:after="320"/>
        <w:textAlignment w:val="center"/>
      </w:pPr>
      <w:r>
        <w:tab/>
        <w:t xml:space="preserve">6.  </w:t>
      </w:r>
      <w:r>
        <w:rPr>
          <w:rFonts w:hint="eastAsia"/>
        </w:rPr>
        <w:t>有关本条的资料</w:t>
      </w:r>
      <w:r>
        <w:rPr>
          <w:rFonts w:hint="eastAsia"/>
        </w:rPr>
        <w:t>载于吉尔吉斯斯坦共和国就《公民权利和政治权利国际盟约》提交的报告。</w:t>
      </w:r>
    </w:p>
    <w:p w:rsidR="00000000" w:rsidRDefault="00B7115A">
      <w:pPr>
        <w:pStyle w:val="Heading3"/>
      </w:pPr>
      <w:r>
        <w:rPr>
          <w:rFonts w:hint="eastAsia"/>
        </w:rPr>
        <w:t>第</w:t>
      </w:r>
      <w:r>
        <w:t xml:space="preserve"> 3 </w:t>
      </w:r>
      <w:r>
        <w:rPr>
          <w:rFonts w:hint="eastAsia"/>
        </w:rPr>
        <w:t>条</w:t>
      </w:r>
    </w:p>
    <w:p w:rsidR="00000000" w:rsidRDefault="00B7115A">
      <w:r>
        <w:tab/>
        <w:t xml:space="preserve">7.  </w:t>
      </w:r>
      <w:r>
        <w:rPr>
          <w:rFonts w:hint="eastAsia"/>
        </w:rPr>
        <w:t>吉尔吉斯斯坦宪法第</w:t>
      </w:r>
      <w:r>
        <w:t>15</w:t>
      </w:r>
      <w:r>
        <w:rPr>
          <w:rFonts w:hint="eastAsia"/>
        </w:rPr>
        <w:t>条第</w:t>
      </w:r>
      <w:r>
        <w:t>3</w:t>
      </w:r>
      <w:r>
        <w:rPr>
          <w:rFonts w:hint="eastAsia"/>
        </w:rPr>
        <w:t>款规定，不得基于血统、性别、种族、国籍、语言、宗教、政治或宗教信仰的理由，或因任何其它隐私或公开性质的情况或因素，使人遭受任何类型的歧视或侵犯其权利及自由。这项原则也载列于吉尔吉斯斯坦共和国新的《劳工守则》的第</w:t>
      </w:r>
      <w:r>
        <w:t>11</w:t>
      </w:r>
      <w:r>
        <w:rPr>
          <w:rFonts w:hint="eastAsia"/>
        </w:rPr>
        <w:t>条。</w:t>
      </w:r>
    </w:p>
    <w:p w:rsidR="00000000" w:rsidRDefault="00B7115A">
      <w:r>
        <w:tab/>
        <w:t xml:space="preserve">8.  </w:t>
      </w:r>
      <w:r>
        <w:rPr>
          <w:rFonts w:hint="eastAsia"/>
        </w:rPr>
        <w:t>截至</w:t>
      </w:r>
      <w:r>
        <w:t>1997</w:t>
      </w:r>
      <w:r>
        <w:rPr>
          <w:rFonts w:hint="eastAsia"/>
        </w:rPr>
        <w:t>年</w:t>
      </w:r>
      <w:r>
        <w:t>1</w:t>
      </w:r>
      <w:r>
        <w:rPr>
          <w:rFonts w:hint="eastAsia"/>
        </w:rPr>
        <w:t>月</w:t>
      </w:r>
      <w:r>
        <w:t>1</w:t>
      </w:r>
      <w:r>
        <w:rPr>
          <w:rFonts w:hint="eastAsia"/>
        </w:rPr>
        <w:t>日，吉尔吉斯斯坦共和国有</w:t>
      </w:r>
      <w:r>
        <w:t>230</w:t>
      </w:r>
      <w:r>
        <w:rPr>
          <w:rFonts w:hint="eastAsia"/>
        </w:rPr>
        <w:t>万名妇女</w:t>
      </w:r>
      <w:r>
        <w:t>(</w:t>
      </w:r>
      <w:r>
        <w:rPr>
          <w:rFonts w:hint="eastAsia"/>
        </w:rPr>
        <w:t>占总人口</w:t>
      </w:r>
      <w:r>
        <w:t>51%)</w:t>
      </w:r>
      <w:r>
        <w:rPr>
          <w:rFonts w:hint="eastAsia"/>
        </w:rPr>
        <w:t>。根据</w:t>
      </w:r>
      <w:r>
        <w:t>1989</w:t>
      </w:r>
      <w:r>
        <w:rPr>
          <w:rFonts w:hint="eastAsia"/>
        </w:rPr>
        <w:t>年的人口普查，</w:t>
      </w:r>
      <w:r>
        <w:t>50</w:t>
      </w:r>
      <w:r>
        <w:rPr>
          <w:rFonts w:hint="eastAsia"/>
        </w:rPr>
        <w:t>岁和</w:t>
      </w:r>
      <w:r>
        <w:t>50</w:t>
      </w:r>
      <w:r>
        <w:rPr>
          <w:rFonts w:hint="eastAsia"/>
        </w:rPr>
        <w:t>岁以上而从未结婚的人，男性中仅占</w:t>
      </w:r>
      <w:r>
        <w:t>0.7%</w:t>
      </w:r>
      <w:r>
        <w:rPr>
          <w:rFonts w:hint="eastAsia"/>
        </w:rPr>
        <w:t>，女性中</w:t>
      </w:r>
      <w:r>
        <w:rPr>
          <w:rFonts w:hint="eastAsia"/>
        </w:rPr>
        <w:t>仅占</w:t>
      </w:r>
      <w:r>
        <w:t>1%</w:t>
      </w:r>
      <w:r>
        <w:rPr>
          <w:rFonts w:hint="eastAsia"/>
        </w:rPr>
        <w:t>。</w:t>
      </w:r>
      <w:r>
        <w:t>16</w:t>
      </w:r>
      <w:r>
        <w:rPr>
          <w:rFonts w:hint="eastAsia"/>
        </w:rPr>
        <w:t>岁和</w:t>
      </w:r>
      <w:r>
        <w:t>16</w:t>
      </w:r>
      <w:r>
        <w:rPr>
          <w:rFonts w:hint="eastAsia"/>
        </w:rPr>
        <w:t>岁以上的女性已婚者占</w:t>
      </w:r>
      <w:r>
        <w:t>60%</w:t>
      </w:r>
      <w:r>
        <w:rPr>
          <w:rFonts w:hint="eastAsia"/>
        </w:rPr>
        <w:t>以上，经登记结婚的夫妻所生子女约占儿童总数的</w:t>
      </w:r>
      <w:r>
        <w:t>80%</w:t>
      </w:r>
      <w:r>
        <w:rPr>
          <w:rFonts w:hint="eastAsia"/>
        </w:rPr>
        <w:t>。</w:t>
      </w:r>
    </w:p>
    <w:p w:rsidR="00000000" w:rsidRDefault="00B7115A">
      <w:r>
        <w:tab/>
        <w:t xml:space="preserve">9.  </w:t>
      </w:r>
      <w:r>
        <w:rPr>
          <w:rFonts w:hint="eastAsia"/>
        </w:rPr>
        <w:t>目前就业的妇女人数约为</w:t>
      </w:r>
      <w:r>
        <w:t>836,000</w:t>
      </w:r>
      <w:r>
        <w:rPr>
          <w:rFonts w:hint="eastAsia"/>
        </w:rPr>
        <w:t>人</w:t>
      </w:r>
      <w:r>
        <w:t>(</w:t>
      </w:r>
      <w:r>
        <w:rPr>
          <w:rFonts w:hint="eastAsia"/>
        </w:rPr>
        <w:t>占劳动力总数的</w:t>
      </w:r>
      <w:r>
        <w:t>50.8%)</w:t>
      </w:r>
      <w:r>
        <w:rPr>
          <w:rFonts w:hint="eastAsia"/>
        </w:rPr>
        <w:t>。在所有经济部门中，妇女从事中低级的薪酬和声誉低下的职业。由于产出呈下降之势，各企业和组织裁减人员，特别是那些最广泛地利用女性劳动力和低工资部门的裁员，导致妇女就业数量的下跌。吉尔吉斯斯坦共和国几乎每个区域的妇女失业率均浮动于</w:t>
      </w:r>
      <w:r>
        <w:t>75.9%</w:t>
      </w:r>
      <w:r>
        <w:rPr>
          <w:rFonts w:hint="eastAsia"/>
        </w:rPr>
        <w:t>至</w:t>
      </w:r>
      <w:r>
        <w:t>79.7%</w:t>
      </w:r>
      <w:r>
        <w:rPr>
          <w:rFonts w:hint="eastAsia"/>
        </w:rPr>
        <w:t>之间。失业主要冲击的是轻工业和食品工业中的妇女，这些行业的职工大部分是女性。产出下降促</w:t>
      </w:r>
      <w:r>
        <w:rPr>
          <w:rFonts w:hint="eastAsia"/>
        </w:rPr>
        <w:t>成了大幅度的裁员，而妇女则始终是首当其冲的被载人员。</w:t>
      </w:r>
    </w:p>
    <w:p w:rsidR="00000000" w:rsidRDefault="00B7115A">
      <w:r>
        <w:tab/>
        <w:t xml:space="preserve">10.  </w:t>
      </w:r>
      <w:r>
        <w:rPr>
          <w:rFonts w:hint="eastAsia"/>
        </w:rPr>
        <w:t>妇女另谋职业时，会面临重大的障碍。劳动力市场中的空缺职位极少与她们的专业期望相吻合，而且还有大批的乡村全劳力人口</w:t>
      </w:r>
      <w:r>
        <w:t>(</w:t>
      </w:r>
      <w:r>
        <w:rPr>
          <w:rFonts w:hint="eastAsia"/>
        </w:rPr>
        <w:t>其中许多为女性</w:t>
      </w:r>
      <w:r>
        <w:t>)</w:t>
      </w:r>
      <w:r>
        <w:rPr>
          <w:rFonts w:hint="eastAsia"/>
        </w:rPr>
        <w:t>弃耕外流。</w:t>
      </w:r>
    </w:p>
    <w:p w:rsidR="00000000" w:rsidRDefault="00B7115A">
      <w:pPr>
        <w:spacing w:after="320"/>
        <w:textAlignment w:val="center"/>
      </w:pPr>
      <w:r>
        <w:tab/>
        <w:t xml:space="preserve">11.  </w:t>
      </w:r>
      <w:r>
        <w:rPr>
          <w:rFonts w:hint="eastAsia"/>
        </w:rPr>
        <w:t>在这种不利的劳动力市场指数背景下，妇女的地位更是岌岌可危。各企业在被迫减产之后，紧接着就是大批裁员，而女工则是首当其冲的被裁者。乡村人口流入城镇寻求工作，加剧了迅速增长的城市失业率，特别是妇女的失业率。约</w:t>
      </w:r>
      <w:r>
        <w:t>40%</w:t>
      </w:r>
      <w:r>
        <w:rPr>
          <w:rFonts w:hint="eastAsia"/>
        </w:rPr>
        <w:t>的失业者普遍是</w:t>
      </w:r>
      <w:r>
        <w:t>16</w:t>
      </w:r>
      <w:r>
        <w:rPr>
          <w:rFonts w:hint="eastAsia"/>
        </w:rPr>
        <w:t>至</w:t>
      </w:r>
      <w:r>
        <w:t>29</w:t>
      </w:r>
      <w:r>
        <w:rPr>
          <w:rFonts w:hint="eastAsia"/>
        </w:rPr>
        <w:t>岁之间的青年人，其中</w:t>
      </w:r>
      <w:r>
        <w:t>60%</w:t>
      </w:r>
      <w:r>
        <w:rPr>
          <w:rFonts w:hint="eastAsia"/>
        </w:rPr>
        <w:t>为妇女。截至</w:t>
      </w:r>
      <w:r>
        <w:t>1998</w:t>
      </w:r>
      <w:r>
        <w:rPr>
          <w:rFonts w:hint="eastAsia"/>
        </w:rPr>
        <w:t>年</w:t>
      </w:r>
      <w:r>
        <w:t>1</w:t>
      </w:r>
      <w:r>
        <w:rPr>
          <w:rFonts w:hint="eastAsia"/>
        </w:rPr>
        <w:t>月</w:t>
      </w:r>
      <w:r>
        <w:t>1</w:t>
      </w:r>
      <w:r>
        <w:rPr>
          <w:rFonts w:hint="eastAsia"/>
        </w:rPr>
        <w:t>日，</w:t>
      </w:r>
      <w:r>
        <w:rPr>
          <w:rFonts w:hint="eastAsia"/>
        </w:rPr>
        <w:t>妇女占正式登记失业者总人数的</w:t>
      </w:r>
      <w:r>
        <w:t>58%</w:t>
      </w:r>
      <w:r>
        <w:rPr>
          <w:rFonts w:hint="eastAsia"/>
        </w:rPr>
        <w:t>。</w:t>
      </w:r>
    </w:p>
    <w:p w:rsidR="00000000" w:rsidRDefault="00B7115A">
      <w:pPr>
        <w:pStyle w:val="Heading3"/>
        <w:rPr>
          <w:u w:val="none"/>
        </w:rPr>
      </w:pPr>
      <w:r>
        <w:rPr>
          <w:rFonts w:hint="eastAsia"/>
          <w:sz w:val="21"/>
        </w:rPr>
        <w:t>与上年同期相比，妇女在各区域失业总人数中的所占比例</w:t>
      </w:r>
      <w:r>
        <w:rPr>
          <w:sz w:val="21"/>
        </w:rPr>
        <w:br/>
      </w:r>
      <w:r>
        <w:rPr>
          <w:sz w:val="21"/>
          <w:u w:val="none"/>
        </w:rPr>
        <w:t>(</w:t>
      </w:r>
      <w:r>
        <w:rPr>
          <w:rFonts w:hint="eastAsia"/>
          <w:sz w:val="21"/>
        </w:rPr>
        <w:t>截至</w:t>
      </w:r>
      <w:r>
        <w:rPr>
          <w:sz w:val="21"/>
        </w:rPr>
        <w:t>1998</w:t>
      </w:r>
      <w:r>
        <w:rPr>
          <w:rFonts w:hint="eastAsia"/>
          <w:sz w:val="21"/>
        </w:rPr>
        <w:t>年</w:t>
      </w:r>
      <w:r>
        <w:rPr>
          <w:sz w:val="21"/>
        </w:rPr>
        <w:t>1</w:t>
      </w:r>
      <w:r>
        <w:rPr>
          <w:rFonts w:hint="eastAsia"/>
          <w:sz w:val="21"/>
        </w:rPr>
        <w:t>月</w:t>
      </w:r>
      <w:r>
        <w:rPr>
          <w:sz w:val="21"/>
        </w:rPr>
        <w:t>1</w:t>
      </w:r>
      <w:r>
        <w:rPr>
          <w:rFonts w:hint="eastAsia"/>
          <w:sz w:val="21"/>
        </w:rPr>
        <w:t>日</w:t>
      </w:r>
      <w:r>
        <w:rPr>
          <w:sz w:val="21"/>
          <w:u w:val="none"/>
        </w:rPr>
        <w:t>)</w:t>
      </w:r>
    </w:p>
    <w:tbl>
      <w:tblPr>
        <w:tblW w:w="0" w:type="auto"/>
        <w:tblInd w:w="60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291"/>
        <w:gridCol w:w="4989"/>
      </w:tblGrid>
      <w:tr w:rsidR="00000000">
        <w:tblPrEx>
          <w:tblCellMar>
            <w:top w:w="0" w:type="dxa"/>
            <w:bottom w:w="0" w:type="dxa"/>
          </w:tblCellMar>
        </w:tblPrEx>
        <w:tc>
          <w:tcPr>
            <w:tcW w:w="3291" w:type="dxa"/>
            <w:tcBorders>
              <w:top w:val="single" w:sz="6" w:space="0" w:color="auto"/>
              <w:bottom w:val="nil"/>
              <w:right w:val="single" w:sz="6" w:space="0" w:color="auto"/>
            </w:tcBorders>
          </w:tcPr>
          <w:p w:rsidR="00000000" w:rsidRDefault="00B7115A">
            <w:pPr>
              <w:spacing w:before="160"/>
              <w:ind w:left="170"/>
              <w:rPr>
                <w:sz w:val="21"/>
              </w:rPr>
            </w:pPr>
            <w:r>
              <w:rPr>
                <w:rFonts w:hint="eastAsia"/>
                <w:sz w:val="21"/>
              </w:rPr>
              <w:t>比什凯克市</w:t>
            </w:r>
          </w:p>
        </w:tc>
        <w:tc>
          <w:tcPr>
            <w:tcW w:w="4989" w:type="dxa"/>
            <w:tcBorders>
              <w:left w:val="nil"/>
            </w:tcBorders>
          </w:tcPr>
          <w:p w:rsidR="00000000" w:rsidRDefault="00B7115A">
            <w:pPr>
              <w:tabs>
                <w:tab w:val="clear" w:pos="510"/>
                <w:tab w:val="clear" w:pos="1021"/>
                <w:tab w:val="clear" w:pos="1531"/>
                <w:tab w:val="clear" w:pos="2041"/>
                <w:tab w:val="decimal" w:pos="-268"/>
              </w:tabs>
              <w:spacing w:before="160"/>
              <w:jc w:val="center"/>
              <w:rPr>
                <w:sz w:val="21"/>
              </w:rPr>
            </w:pPr>
            <w:r>
              <w:rPr>
                <w:sz w:val="21"/>
              </w:rPr>
              <w:t>64% (63.6%)</w:t>
            </w:r>
          </w:p>
        </w:tc>
      </w:tr>
      <w:tr w:rsidR="00000000">
        <w:tblPrEx>
          <w:tblCellMar>
            <w:top w:w="0" w:type="dxa"/>
            <w:bottom w:w="0" w:type="dxa"/>
          </w:tblCellMar>
        </w:tblPrEx>
        <w:tc>
          <w:tcPr>
            <w:tcW w:w="3291" w:type="dxa"/>
            <w:tcBorders>
              <w:top w:val="nil"/>
              <w:bottom w:val="nil"/>
              <w:right w:val="single" w:sz="6" w:space="0" w:color="auto"/>
            </w:tcBorders>
          </w:tcPr>
          <w:p w:rsidR="00000000" w:rsidRDefault="00B7115A">
            <w:pPr>
              <w:ind w:left="170"/>
              <w:rPr>
                <w:sz w:val="21"/>
              </w:rPr>
            </w:pPr>
            <w:r>
              <w:rPr>
                <w:rFonts w:hint="eastAsia"/>
                <w:sz w:val="21"/>
              </w:rPr>
              <w:t>贾拉拉巴德州</w:t>
            </w:r>
          </w:p>
        </w:tc>
        <w:tc>
          <w:tcPr>
            <w:tcW w:w="4989" w:type="dxa"/>
            <w:tcBorders>
              <w:left w:val="nil"/>
            </w:tcBorders>
          </w:tcPr>
          <w:p w:rsidR="00000000" w:rsidRDefault="00B7115A">
            <w:pPr>
              <w:tabs>
                <w:tab w:val="clear" w:pos="510"/>
                <w:tab w:val="clear" w:pos="1021"/>
                <w:tab w:val="clear" w:pos="1531"/>
                <w:tab w:val="clear" w:pos="2041"/>
                <w:tab w:val="decimal" w:pos="-268"/>
              </w:tabs>
              <w:jc w:val="center"/>
              <w:rPr>
                <w:sz w:val="21"/>
              </w:rPr>
            </w:pPr>
            <w:r>
              <w:rPr>
                <w:sz w:val="21"/>
              </w:rPr>
              <w:t>57% (54%)</w:t>
            </w:r>
          </w:p>
        </w:tc>
      </w:tr>
      <w:tr w:rsidR="00000000">
        <w:tblPrEx>
          <w:tblCellMar>
            <w:top w:w="0" w:type="dxa"/>
            <w:bottom w:w="0" w:type="dxa"/>
          </w:tblCellMar>
        </w:tblPrEx>
        <w:tc>
          <w:tcPr>
            <w:tcW w:w="3291" w:type="dxa"/>
            <w:tcBorders>
              <w:top w:val="nil"/>
              <w:bottom w:val="nil"/>
              <w:right w:val="single" w:sz="6" w:space="0" w:color="auto"/>
            </w:tcBorders>
          </w:tcPr>
          <w:p w:rsidR="00000000" w:rsidRDefault="00B7115A">
            <w:pPr>
              <w:ind w:left="170"/>
              <w:rPr>
                <w:sz w:val="21"/>
              </w:rPr>
            </w:pPr>
            <w:r>
              <w:rPr>
                <w:rFonts w:hint="eastAsia"/>
                <w:sz w:val="21"/>
              </w:rPr>
              <w:t>伊塞克湖州</w:t>
            </w:r>
          </w:p>
        </w:tc>
        <w:tc>
          <w:tcPr>
            <w:tcW w:w="4989" w:type="dxa"/>
            <w:tcBorders>
              <w:left w:val="nil"/>
            </w:tcBorders>
          </w:tcPr>
          <w:p w:rsidR="00000000" w:rsidRDefault="00B7115A">
            <w:pPr>
              <w:tabs>
                <w:tab w:val="clear" w:pos="510"/>
                <w:tab w:val="clear" w:pos="1021"/>
                <w:tab w:val="clear" w:pos="1531"/>
                <w:tab w:val="clear" w:pos="2041"/>
                <w:tab w:val="decimal" w:pos="-268"/>
              </w:tabs>
              <w:jc w:val="center"/>
              <w:rPr>
                <w:sz w:val="21"/>
              </w:rPr>
            </w:pPr>
            <w:r>
              <w:rPr>
                <w:sz w:val="21"/>
              </w:rPr>
              <w:t>63% (62.6%)</w:t>
            </w:r>
          </w:p>
        </w:tc>
      </w:tr>
      <w:tr w:rsidR="00000000">
        <w:tblPrEx>
          <w:tblCellMar>
            <w:top w:w="0" w:type="dxa"/>
            <w:bottom w:w="0" w:type="dxa"/>
          </w:tblCellMar>
        </w:tblPrEx>
        <w:tc>
          <w:tcPr>
            <w:tcW w:w="3291" w:type="dxa"/>
            <w:tcBorders>
              <w:top w:val="nil"/>
              <w:bottom w:val="nil"/>
              <w:right w:val="single" w:sz="6" w:space="0" w:color="auto"/>
            </w:tcBorders>
          </w:tcPr>
          <w:p w:rsidR="00000000" w:rsidRDefault="00B7115A">
            <w:pPr>
              <w:ind w:left="170"/>
              <w:rPr>
                <w:sz w:val="21"/>
              </w:rPr>
            </w:pPr>
            <w:r>
              <w:rPr>
                <w:rFonts w:hint="eastAsia"/>
                <w:sz w:val="21"/>
              </w:rPr>
              <w:t>纳伦州</w:t>
            </w:r>
          </w:p>
        </w:tc>
        <w:tc>
          <w:tcPr>
            <w:tcW w:w="4989" w:type="dxa"/>
            <w:tcBorders>
              <w:left w:val="nil"/>
            </w:tcBorders>
          </w:tcPr>
          <w:p w:rsidR="00000000" w:rsidRDefault="00B7115A">
            <w:pPr>
              <w:tabs>
                <w:tab w:val="clear" w:pos="510"/>
                <w:tab w:val="clear" w:pos="1021"/>
                <w:tab w:val="clear" w:pos="1531"/>
                <w:tab w:val="clear" w:pos="2041"/>
                <w:tab w:val="decimal" w:pos="-268"/>
              </w:tabs>
              <w:jc w:val="center"/>
              <w:rPr>
                <w:sz w:val="21"/>
              </w:rPr>
            </w:pPr>
            <w:r>
              <w:rPr>
                <w:sz w:val="21"/>
              </w:rPr>
              <w:t>49% (50%)</w:t>
            </w:r>
          </w:p>
        </w:tc>
      </w:tr>
      <w:tr w:rsidR="00000000">
        <w:tblPrEx>
          <w:tblCellMar>
            <w:top w:w="0" w:type="dxa"/>
            <w:bottom w:w="0" w:type="dxa"/>
          </w:tblCellMar>
        </w:tblPrEx>
        <w:tc>
          <w:tcPr>
            <w:tcW w:w="3291" w:type="dxa"/>
            <w:tcBorders>
              <w:top w:val="nil"/>
              <w:bottom w:val="nil"/>
              <w:right w:val="single" w:sz="6" w:space="0" w:color="auto"/>
            </w:tcBorders>
          </w:tcPr>
          <w:p w:rsidR="00000000" w:rsidRDefault="00B7115A">
            <w:pPr>
              <w:ind w:left="170"/>
              <w:rPr>
                <w:sz w:val="21"/>
              </w:rPr>
            </w:pPr>
            <w:r>
              <w:rPr>
                <w:rFonts w:hint="eastAsia"/>
                <w:sz w:val="21"/>
              </w:rPr>
              <w:t>奥什州</w:t>
            </w:r>
          </w:p>
        </w:tc>
        <w:tc>
          <w:tcPr>
            <w:tcW w:w="4989" w:type="dxa"/>
            <w:tcBorders>
              <w:left w:val="nil"/>
            </w:tcBorders>
          </w:tcPr>
          <w:p w:rsidR="00000000" w:rsidRDefault="00B7115A">
            <w:pPr>
              <w:tabs>
                <w:tab w:val="clear" w:pos="510"/>
                <w:tab w:val="clear" w:pos="1021"/>
                <w:tab w:val="clear" w:pos="1531"/>
                <w:tab w:val="clear" w:pos="2041"/>
                <w:tab w:val="decimal" w:pos="-268"/>
              </w:tabs>
              <w:jc w:val="center"/>
              <w:rPr>
                <w:sz w:val="21"/>
              </w:rPr>
            </w:pPr>
            <w:r>
              <w:rPr>
                <w:sz w:val="21"/>
              </w:rPr>
              <w:t>49% (46%)</w:t>
            </w:r>
          </w:p>
        </w:tc>
      </w:tr>
      <w:tr w:rsidR="00000000">
        <w:tblPrEx>
          <w:tblCellMar>
            <w:top w:w="0" w:type="dxa"/>
            <w:bottom w:w="0" w:type="dxa"/>
          </w:tblCellMar>
        </w:tblPrEx>
        <w:tc>
          <w:tcPr>
            <w:tcW w:w="3291" w:type="dxa"/>
            <w:tcBorders>
              <w:top w:val="nil"/>
              <w:bottom w:val="nil"/>
              <w:right w:val="single" w:sz="6" w:space="0" w:color="auto"/>
            </w:tcBorders>
          </w:tcPr>
          <w:p w:rsidR="00000000" w:rsidRDefault="00B7115A">
            <w:pPr>
              <w:ind w:left="170"/>
              <w:rPr>
                <w:sz w:val="21"/>
              </w:rPr>
            </w:pPr>
            <w:r>
              <w:rPr>
                <w:rFonts w:hint="eastAsia"/>
                <w:sz w:val="21"/>
              </w:rPr>
              <w:t>塔拉斯州</w:t>
            </w:r>
          </w:p>
        </w:tc>
        <w:tc>
          <w:tcPr>
            <w:tcW w:w="4989" w:type="dxa"/>
            <w:tcBorders>
              <w:left w:val="nil"/>
            </w:tcBorders>
          </w:tcPr>
          <w:p w:rsidR="00000000" w:rsidRDefault="00B7115A">
            <w:pPr>
              <w:tabs>
                <w:tab w:val="clear" w:pos="510"/>
                <w:tab w:val="clear" w:pos="1021"/>
                <w:tab w:val="clear" w:pos="1531"/>
                <w:tab w:val="clear" w:pos="2041"/>
                <w:tab w:val="decimal" w:pos="-268"/>
              </w:tabs>
              <w:jc w:val="center"/>
              <w:rPr>
                <w:sz w:val="21"/>
              </w:rPr>
            </w:pPr>
            <w:r>
              <w:rPr>
                <w:sz w:val="21"/>
              </w:rPr>
              <w:t>51.1% (54%)</w:t>
            </w:r>
          </w:p>
        </w:tc>
      </w:tr>
      <w:tr w:rsidR="00000000">
        <w:tblPrEx>
          <w:tblCellMar>
            <w:top w:w="0" w:type="dxa"/>
            <w:bottom w:w="0" w:type="dxa"/>
          </w:tblCellMar>
        </w:tblPrEx>
        <w:tc>
          <w:tcPr>
            <w:tcW w:w="3291" w:type="dxa"/>
            <w:tcBorders>
              <w:top w:val="nil"/>
              <w:bottom w:val="single" w:sz="6" w:space="0" w:color="auto"/>
              <w:right w:val="single" w:sz="6" w:space="0" w:color="auto"/>
            </w:tcBorders>
          </w:tcPr>
          <w:p w:rsidR="00000000" w:rsidRDefault="00B7115A">
            <w:pPr>
              <w:spacing w:after="60"/>
              <w:ind w:left="170"/>
              <w:rPr>
                <w:sz w:val="21"/>
              </w:rPr>
            </w:pPr>
            <w:r>
              <w:rPr>
                <w:rFonts w:hint="eastAsia"/>
                <w:sz w:val="21"/>
              </w:rPr>
              <w:t>楚河州</w:t>
            </w:r>
          </w:p>
        </w:tc>
        <w:tc>
          <w:tcPr>
            <w:tcW w:w="4989" w:type="dxa"/>
            <w:tcBorders>
              <w:left w:val="nil"/>
            </w:tcBorders>
          </w:tcPr>
          <w:p w:rsidR="00000000" w:rsidRDefault="00B7115A">
            <w:pPr>
              <w:tabs>
                <w:tab w:val="clear" w:pos="510"/>
                <w:tab w:val="clear" w:pos="1021"/>
                <w:tab w:val="clear" w:pos="1531"/>
                <w:tab w:val="clear" w:pos="2041"/>
                <w:tab w:val="decimal" w:pos="-268"/>
              </w:tabs>
              <w:spacing w:after="60"/>
              <w:jc w:val="center"/>
              <w:rPr>
                <w:sz w:val="21"/>
              </w:rPr>
            </w:pPr>
            <w:r>
              <w:rPr>
                <w:sz w:val="21"/>
              </w:rPr>
              <w:t>69.6% (71.4%)</w:t>
            </w:r>
          </w:p>
        </w:tc>
      </w:tr>
    </w:tbl>
    <w:p w:rsidR="00000000" w:rsidRDefault="00B7115A">
      <w:pPr>
        <w:jc w:val="center"/>
        <w:rPr>
          <w:u w:val="single"/>
        </w:rPr>
      </w:pPr>
    </w:p>
    <w:p w:rsidR="00000000" w:rsidRDefault="00B7115A">
      <w:pPr>
        <w:jc w:val="center"/>
        <w:rPr>
          <w:u w:val="single"/>
        </w:rPr>
      </w:pPr>
    </w:p>
    <w:p w:rsidR="00000000" w:rsidRDefault="00B7115A">
      <w:pPr>
        <w:pStyle w:val="Heading3"/>
        <w:rPr>
          <w:sz w:val="21"/>
        </w:rPr>
      </w:pPr>
      <w:r>
        <w:rPr>
          <w:rFonts w:hint="eastAsia"/>
          <w:sz w:val="21"/>
        </w:rPr>
        <w:t>在若干工业部门不利工作环境下就业的</w:t>
      </w:r>
      <w:r>
        <w:rPr>
          <w:sz w:val="21"/>
        </w:rPr>
        <w:br/>
      </w:r>
      <w:r>
        <w:rPr>
          <w:rFonts w:hint="eastAsia"/>
          <w:sz w:val="21"/>
        </w:rPr>
        <w:t>职工总人数中的妇女人数及妇女所占比例</w:t>
      </w:r>
    </w:p>
    <w:tbl>
      <w:tblPr>
        <w:tblW w:w="0" w:type="auto"/>
        <w:tblInd w:w="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23"/>
        <w:gridCol w:w="1957"/>
        <w:gridCol w:w="2040"/>
        <w:gridCol w:w="1921"/>
      </w:tblGrid>
      <w:tr w:rsidR="00000000">
        <w:tblPrEx>
          <w:tblCellMar>
            <w:top w:w="0" w:type="dxa"/>
            <w:bottom w:w="0" w:type="dxa"/>
          </w:tblCellMar>
        </w:tblPrEx>
        <w:tc>
          <w:tcPr>
            <w:tcW w:w="3323" w:type="dxa"/>
          </w:tcPr>
          <w:p w:rsidR="00000000" w:rsidRDefault="00B7115A">
            <w:pPr>
              <w:spacing w:before="120" w:after="40"/>
              <w:ind w:left="113"/>
              <w:rPr>
                <w:sz w:val="21"/>
              </w:rPr>
            </w:pPr>
          </w:p>
        </w:tc>
        <w:tc>
          <w:tcPr>
            <w:tcW w:w="1957" w:type="dxa"/>
          </w:tcPr>
          <w:p w:rsidR="00000000" w:rsidRDefault="00B7115A">
            <w:pPr>
              <w:spacing w:before="120" w:after="40"/>
              <w:jc w:val="center"/>
              <w:rPr>
                <w:sz w:val="21"/>
              </w:rPr>
            </w:pPr>
            <w:r>
              <w:rPr>
                <w:sz w:val="21"/>
              </w:rPr>
              <w:t>1994</w:t>
            </w:r>
            <w:r>
              <w:rPr>
                <w:rFonts w:hint="eastAsia"/>
                <w:sz w:val="21"/>
              </w:rPr>
              <w:t>年</w:t>
            </w:r>
          </w:p>
        </w:tc>
        <w:tc>
          <w:tcPr>
            <w:tcW w:w="2040" w:type="dxa"/>
          </w:tcPr>
          <w:p w:rsidR="00000000" w:rsidRDefault="00B7115A">
            <w:pPr>
              <w:spacing w:before="120" w:after="40"/>
              <w:jc w:val="center"/>
              <w:rPr>
                <w:sz w:val="21"/>
              </w:rPr>
            </w:pPr>
            <w:r>
              <w:rPr>
                <w:sz w:val="21"/>
              </w:rPr>
              <w:t>1995</w:t>
            </w:r>
            <w:r>
              <w:rPr>
                <w:rFonts w:hint="eastAsia"/>
                <w:sz w:val="21"/>
              </w:rPr>
              <w:t>年</w:t>
            </w:r>
          </w:p>
        </w:tc>
        <w:tc>
          <w:tcPr>
            <w:tcW w:w="1921" w:type="dxa"/>
          </w:tcPr>
          <w:p w:rsidR="00000000" w:rsidRDefault="00B7115A">
            <w:pPr>
              <w:spacing w:before="120" w:after="40"/>
              <w:jc w:val="center"/>
              <w:rPr>
                <w:sz w:val="21"/>
              </w:rPr>
            </w:pPr>
            <w:r>
              <w:rPr>
                <w:sz w:val="21"/>
              </w:rPr>
              <w:t>1996</w:t>
            </w:r>
            <w:r>
              <w:rPr>
                <w:rFonts w:hint="eastAsia"/>
                <w:sz w:val="21"/>
              </w:rPr>
              <w:t>年</w:t>
            </w:r>
          </w:p>
        </w:tc>
      </w:tr>
      <w:tr w:rsidR="00000000">
        <w:tblPrEx>
          <w:tblCellMar>
            <w:top w:w="0" w:type="dxa"/>
            <w:bottom w:w="0" w:type="dxa"/>
          </w:tblCellMar>
        </w:tblPrEx>
        <w:tc>
          <w:tcPr>
            <w:tcW w:w="3323" w:type="dxa"/>
            <w:tcBorders>
              <w:bottom w:val="nil"/>
            </w:tcBorders>
          </w:tcPr>
          <w:p w:rsidR="00000000" w:rsidRDefault="00B7115A">
            <w:pPr>
              <w:spacing w:before="120" w:after="40" w:line="312" w:lineRule="auto"/>
              <w:ind w:left="113"/>
              <w:rPr>
                <w:sz w:val="21"/>
                <w:u w:val="single"/>
              </w:rPr>
            </w:pPr>
            <w:r>
              <w:rPr>
                <w:rFonts w:hint="eastAsia"/>
                <w:sz w:val="21"/>
                <w:u w:val="single"/>
              </w:rPr>
              <w:t>工</w:t>
            </w:r>
            <w:r>
              <w:rPr>
                <w:sz w:val="21"/>
                <w:u w:val="single"/>
              </w:rPr>
              <w:t xml:space="preserve">  </w:t>
            </w:r>
            <w:r>
              <w:rPr>
                <w:rFonts w:hint="eastAsia"/>
                <w:sz w:val="21"/>
                <w:u w:val="single"/>
              </w:rPr>
              <w:t>业</w:t>
            </w:r>
          </w:p>
        </w:tc>
        <w:tc>
          <w:tcPr>
            <w:tcW w:w="1957" w:type="dxa"/>
            <w:tcBorders>
              <w:bottom w:val="nil"/>
            </w:tcBorders>
          </w:tcPr>
          <w:p w:rsidR="00000000" w:rsidRDefault="00B7115A">
            <w:pPr>
              <w:tabs>
                <w:tab w:val="clear" w:pos="510"/>
                <w:tab w:val="clear" w:pos="1021"/>
                <w:tab w:val="clear" w:pos="1531"/>
                <w:tab w:val="clear" w:pos="2041"/>
                <w:tab w:val="decimal" w:pos="849"/>
              </w:tabs>
              <w:spacing w:before="120" w:after="40" w:line="312" w:lineRule="auto"/>
              <w:rPr>
                <w:sz w:val="21"/>
              </w:rPr>
            </w:pPr>
          </w:p>
        </w:tc>
        <w:tc>
          <w:tcPr>
            <w:tcW w:w="2040" w:type="dxa"/>
            <w:tcBorders>
              <w:bottom w:val="nil"/>
            </w:tcBorders>
          </w:tcPr>
          <w:p w:rsidR="00000000" w:rsidRDefault="00B7115A">
            <w:pPr>
              <w:tabs>
                <w:tab w:val="clear" w:pos="510"/>
                <w:tab w:val="clear" w:pos="1021"/>
                <w:tab w:val="clear" w:pos="1531"/>
                <w:tab w:val="clear" w:pos="2041"/>
                <w:tab w:val="decimal" w:pos="849"/>
              </w:tabs>
              <w:spacing w:before="120" w:after="40" w:line="312" w:lineRule="auto"/>
              <w:rPr>
                <w:sz w:val="21"/>
              </w:rPr>
            </w:pPr>
          </w:p>
        </w:tc>
        <w:tc>
          <w:tcPr>
            <w:tcW w:w="1921" w:type="dxa"/>
            <w:tcBorders>
              <w:bottom w:val="nil"/>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妇女就业总人</w:t>
            </w:r>
            <w:r>
              <w:rPr>
                <w:rFonts w:hint="eastAsia"/>
                <w:sz w:val="21"/>
              </w:rPr>
              <w:t>数</w:t>
            </w:r>
          </w:p>
        </w:tc>
        <w:tc>
          <w:tcPr>
            <w:tcW w:w="1957"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10,634</w:t>
            </w:r>
          </w:p>
        </w:tc>
        <w:tc>
          <w:tcPr>
            <w:tcW w:w="204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4,827</w:t>
            </w: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11,000</w:t>
            </w: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在职工总人数中所占</w:t>
            </w:r>
            <w:r>
              <w:rPr>
                <w:sz w:val="21"/>
              </w:rPr>
              <w:t>%</w:t>
            </w:r>
          </w:p>
        </w:tc>
        <w:tc>
          <w:tcPr>
            <w:tcW w:w="1957" w:type="dxa"/>
            <w:tcBorders>
              <w:top w:val="nil"/>
              <w:left w:val="single" w:sz="6" w:space="0" w:color="auto"/>
              <w:bottom w:val="nil"/>
              <w:right w:val="nil"/>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38.5</w:t>
            </w:r>
          </w:p>
        </w:tc>
        <w:tc>
          <w:tcPr>
            <w:tcW w:w="2040"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29.3</w:t>
            </w: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41.0</w:t>
            </w:r>
          </w:p>
        </w:tc>
      </w:tr>
      <w:tr w:rsidR="00000000">
        <w:tblPrEx>
          <w:tblCellMar>
            <w:top w:w="0" w:type="dxa"/>
            <w:bottom w:w="0" w:type="dxa"/>
          </w:tblCellMar>
        </w:tblPrEx>
        <w:tc>
          <w:tcPr>
            <w:tcW w:w="3323" w:type="dxa"/>
            <w:tcBorders>
              <w:top w:val="single" w:sz="6" w:space="0" w:color="auto"/>
              <w:left w:val="single" w:sz="6" w:space="0" w:color="auto"/>
              <w:bottom w:val="nil"/>
              <w:right w:val="nil"/>
            </w:tcBorders>
          </w:tcPr>
          <w:p w:rsidR="00000000" w:rsidRDefault="00B7115A">
            <w:pPr>
              <w:spacing w:before="120" w:after="40" w:line="312" w:lineRule="auto"/>
              <w:ind w:left="113"/>
              <w:rPr>
                <w:sz w:val="21"/>
                <w:u w:val="single"/>
              </w:rPr>
            </w:pPr>
            <w:r>
              <w:rPr>
                <w:rFonts w:hint="eastAsia"/>
                <w:sz w:val="21"/>
                <w:u w:val="single"/>
              </w:rPr>
              <w:t>建筑业</w:t>
            </w:r>
          </w:p>
        </w:tc>
        <w:tc>
          <w:tcPr>
            <w:tcW w:w="1957" w:type="dxa"/>
            <w:tcBorders>
              <w:top w:val="single" w:sz="6" w:space="0" w:color="auto"/>
              <w:left w:val="single" w:sz="6" w:space="0" w:color="auto"/>
              <w:bottom w:val="nil"/>
              <w:right w:val="nil"/>
            </w:tcBorders>
          </w:tcPr>
          <w:p w:rsidR="00000000" w:rsidRDefault="00B7115A">
            <w:pPr>
              <w:tabs>
                <w:tab w:val="clear" w:pos="510"/>
                <w:tab w:val="clear" w:pos="1021"/>
                <w:tab w:val="clear" w:pos="1531"/>
                <w:tab w:val="clear" w:pos="2041"/>
                <w:tab w:val="decimal" w:pos="1089"/>
              </w:tabs>
              <w:spacing w:before="120" w:after="40" w:line="312" w:lineRule="auto"/>
              <w:rPr>
                <w:sz w:val="21"/>
              </w:rPr>
            </w:pPr>
          </w:p>
        </w:tc>
        <w:tc>
          <w:tcPr>
            <w:tcW w:w="2040"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c>
          <w:tcPr>
            <w:tcW w:w="1921"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妇女就业总人数</w:t>
            </w:r>
          </w:p>
        </w:tc>
        <w:tc>
          <w:tcPr>
            <w:tcW w:w="1957" w:type="dxa"/>
            <w:tcBorders>
              <w:top w:val="nil"/>
              <w:left w:val="single" w:sz="6" w:space="0" w:color="auto"/>
              <w:bottom w:val="nil"/>
              <w:right w:val="nil"/>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149</w:t>
            </w:r>
          </w:p>
        </w:tc>
        <w:tc>
          <w:tcPr>
            <w:tcW w:w="2040"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170</w:t>
            </w: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168</w:t>
            </w: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在职工总人数中所占</w:t>
            </w:r>
            <w:r>
              <w:rPr>
                <w:sz w:val="21"/>
              </w:rPr>
              <w:t>%</w:t>
            </w:r>
          </w:p>
        </w:tc>
        <w:tc>
          <w:tcPr>
            <w:tcW w:w="1957" w:type="dxa"/>
            <w:tcBorders>
              <w:top w:val="nil"/>
              <w:left w:val="single" w:sz="6" w:space="0" w:color="auto"/>
              <w:bottom w:val="nil"/>
              <w:right w:val="nil"/>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8.4</w:t>
            </w:r>
          </w:p>
        </w:tc>
        <w:tc>
          <w:tcPr>
            <w:tcW w:w="2040"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16.3</w:t>
            </w:r>
          </w:p>
        </w:tc>
        <w:tc>
          <w:tcPr>
            <w:tcW w:w="1921"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7.9</w:t>
            </w:r>
          </w:p>
        </w:tc>
      </w:tr>
      <w:tr w:rsidR="00000000">
        <w:tblPrEx>
          <w:tblCellMar>
            <w:top w:w="0" w:type="dxa"/>
            <w:bottom w:w="0" w:type="dxa"/>
          </w:tblCellMar>
        </w:tblPrEx>
        <w:tc>
          <w:tcPr>
            <w:tcW w:w="3323" w:type="dxa"/>
            <w:tcBorders>
              <w:top w:val="single" w:sz="6" w:space="0" w:color="auto"/>
              <w:left w:val="single" w:sz="6" w:space="0" w:color="auto"/>
              <w:bottom w:val="nil"/>
              <w:right w:val="nil"/>
            </w:tcBorders>
          </w:tcPr>
          <w:p w:rsidR="00000000" w:rsidRDefault="00B7115A">
            <w:pPr>
              <w:spacing w:before="120" w:after="40" w:line="312" w:lineRule="auto"/>
              <w:ind w:left="113"/>
              <w:rPr>
                <w:sz w:val="21"/>
                <w:u w:val="single"/>
              </w:rPr>
            </w:pPr>
            <w:r>
              <w:rPr>
                <w:rFonts w:hint="eastAsia"/>
                <w:sz w:val="21"/>
                <w:u w:val="single"/>
              </w:rPr>
              <w:t>运输业</w:t>
            </w:r>
          </w:p>
        </w:tc>
        <w:tc>
          <w:tcPr>
            <w:tcW w:w="1957"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089"/>
              </w:tabs>
              <w:spacing w:before="120" w:after="40" w:line="312" w:lineRule="auto"/>
              <w:rPr>
                <w:sz w:val="21"/>
              </w:rPr>
            </w:pPr>
          </w:p>
        </w:tc>
        <w:tc>
          <w:tcPr>
            <w:tcW w:w="2040"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妇女就业总人数</w:t>
            </w:r>
          </w:p>
        </w:tc>
        <w:tc>
          <w:tcPr>
            <w:tcW w:w="1957"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392</w:t>
            </w:r>
          </w:p>
        </w:tc>
        <w:tc>
          <w:tcPr>
            <w:tcW w:w="204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339</w:t>
            </w: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635</w:t>
            </w:r>
          </w:p>
        </w:tc>
      </w:tr>
      <w:tr w:rsidR="00000000">
        <w:tblPrEx>
          <w:tblCellMar>
            <w:top w:w="0" w:type="dxa"/>
            <w:bottom w:w="0" w:type="dxa"/>
          </w:tblCellMar>
        </w:tblPrEx>
        <w:tc>
          <w:tcPr>
            <w:tcW w:w="3323" w:type="dxa"/>
            <w:tcBorders>
              <w:top w:val="nil"/>
              <w:bottom w:val="nil"/>
            </w:tcBorders>
          </w:tcPr>
          <w:p w:rsidR="00000000" w:rsidRDefault="00B7115A">
            <w:pPr>
              <w:spacing w:after="40" w:line="312" w:lineRule="auto"/>
              <w:ind w:left="113"/>
              <w:rPr>
                <w:sz w:val="21"/>
                <w:u w:val="single"/>
              </w:rPr>
            </w:pPr>
            <w:r>
              <w:rPr>
                <w:rFonts w:hint="eastAsia"/>
                <w:sz w:val="21"/>
              </w:rPr>
              <w:t>在职工总人数中所占</w:t>
            </w:r>
            <w:r>
              <w:rPr>
                <w:sz w:val="21"/>
              </w:rPr>
              <w:t>%</w:t>
            </w:r>
          </w:p>
        </w:tc>
        <w:tc>
          <w:tcPr>
            <w:tcW w:w="1957" w:type="dxa"/>
            <w:tcBorders>
              <w:top w:val="nil"/>
              <w:bottom w:val="nil"/>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16.6</w:t>
            </w:r>
          </w:p>
        </w:tc>
        <w:tc>
          <w:tcPr>
            <w:tcW w:w="2040" w:type="dxa"/>
            <w:tcBorders>
              <w:top w:val="nil"/>
              <w:bottom w:val="nil"/>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22.7</w:t>
            </w:r>
          </w:p>
        </w:tc>
        <w:tc>
          <w:tcPr>
            <w:tcW w:w="1921" w:type="dxa"/>
            <w:tcBorders>
              <w:top w:val="nil"/>
              <w:bottom w:val="nil"/>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17.7</w:t>
            </w:r>
          </w:p>
        </w:tc>
      </w:tr>
      <w:tr w:rsidR="00000000">
        <w:tblPrEx>
          <w:tblCellMar>
            <w:top w:w="0" w:type="dxa"/>
            <w:bottom w:w="0" w:type="dxa"/>
          </w:tblCellMar>
        </w:tblPrEx>
        <w:tc>
          <w:tcPr>
            <w:tcW w:w="3323" w:type="dxa"/>
            <w:tcBorders>
              <w:top w:val="single" w:sz="6" w:space="0" w:color="auto"/>
              <w:left w:val="single" w:sz="6" w:space="0" w:color="auto"/>
              <w:bottom w:val="nil"/>
              <w:right w:val="nil"/>
            </w:tcBorders>
          </w:tcPr>
          <w:p w:rsidR="00000000" w:rsidRDefault="00B7115A">
            <w:pPr>
              <w:spacing w:before="120" w:after="40" w:line="312" w:lineRule="auto"/>
              <w:ind w:left="113"/>
              <w:rPr>
                <w:sz w:val="21"/>
                <w:u w:val="single"/>
              </w:rPr>
            </w:pPr>
            <w:r>
              <w:rPr>
                <w:rFonts w:hint="eastAsia"/>
                <w:sz w:val="21"/>
                <w:u w:val="single"/>
              </w:rPr>
              <w:t>通信业</w:t>
            </w:r>
          </w:p>
        </w:tc>
        <w:tc>
          <w:tcPr>
            <w:tcW w:w="1957"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089"/>
              </w:tabs>
              <w:spacing w:before="120" w:after="40" w:line="312" w:lineRule="auto"/>
              <w:rPr>
                <w:sz w:val="21"/>
              </w:rPr>
            </w:pPr>
          </w:p>
        </w:tc>
        <w:tc>
          <w:tcPr>
            <w:tcW w:w="2040"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c>
          <w:tcPr>
            <w:tcW w:w="1921"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 w:val="decimal" w:pos="1172"/>
              </w:tabs>
              <w:spacing w:before="120" w:after="40" w:line="312" w:lineRule="auto"/>
              <w:rPr>
                <w:sz w:val="21"/>
              </w:rPr>
            </w:pPr>
          </w:p>
        </w:tc>
      </w:tr>
      <w:tr w:rsidR="00000000">
        <w:tblPrEx>
          <w:tblCellMar>
            <w:top w:w="0" w:type="dxa"/>
            <w:bottom w:w="0" w:type="dxa"/>
          </w:tblCellMar>
        </w:tblPrEx>
        <w:tc>
          <w:tcPr>
            <w:tcW w:w="3323" w:type="dxa"/>
            <w:tcBorders>
              <w:top w:val="nil"/>
              <w:left w:val="single" w:sz="6" w:space="0" w:color="auto"/>
              <w:bottom w:val="nil"/>
              <w:right w:val="nil"/>
            </w:tcBorders>
          </w:tcPr>
          <w:p w:rsidR="00000000" w:rsidRDefault="00B7115A">
            <w:pPr>
              <w:spacing w:after="40" w:line="312" w:lineRule="auto"/>
              <w:ind w:left="113"/>
              <w:rPr>
                <w:sz w:val="21"/>
                <w:u w:val="single"/>
              </w:rPr>
            </w:pPr>
            <w:r>
              <w:rPr>
                <w:rFonts w:hint="eastAsia"/>
                <w:sz w:val="21"/>
              </w:rPr>
              <w:t>妇女就业总人数</w:t>
            </w:r>
          </w:p>
        </w:tc>
        <w:tc>
          <w:tcPr>
            <w:tcW w:w="1957"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1089"/>
              </w:tabs>
              <w:spacing w:after="40" w:line="312" w:lineRule="auto"/>
              <w:rPr>
                <w:sz w:val="21"/>
              </w:rPr>
            </w:pPr>
            <w:r>
              <w:rPr>
                <w:sz w:val="21"/>
              </w:rPr>
              <w:t>40</w:t>
            </w:r>
          </w:p>
        </w:tc>
        <w:tc>
          <w:tcPr>
            <w:tcW w:w="204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105</w:t>
            </w:r>
          </w:p>
        </w:tc>
        <w:tc>
          <w:tcPr>
            <w:tcW w:w="192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1172"/>
              </w:tabs>
              <w:spacing w:after="40" w:line="312" w:lineRule="auto"/>
              <w:rPr>
                <w:sz w:val="21"/>
              </w:rPr>
            </w:pPr>
            <w:r>
              <w:rPr>
                <w:sz w:val="21"/>
              </w:rPr>
              <w:t>799</w:t>
            </w:r>
          </w:p>
        </w:tc>
      </w:tr>
      <w:tr w:rsidR="00000000">
        <w:tblPrEx>
          <w:tblCellMar>
            <w:top w:w="0" w:type="dxa"/>
            <w:bottom w:w="0" w:type="dxa"/>
          </w:tblCellMar>
        </w:tblPrEx>
        <w:tc>
          <w:tcPr>
            <w:tcW w:w="3323" w:type="dxa"/>
            <w:tcBorders>
              <w:top w:val="nil"/>
            </w:tcBorders>
          </w:tcPr>
          <w:p w:rsidR="00000000" w:rsidRDefault="00B7115A">
            <w:pPr>
              <w:spacing w:before="60" w:after="40" w:line="312" w:lineRule="auto"/>
              <w:ind w:left="113"/>
              <w:rPr>
                <w:sz w:val="21"/>
                <w:u w:val="single"/>
              </w:rPr>
            </w:pPr>
            <w:r>
              <w:rPr>
                <w:rFonts w:hint="eastAsia"/>
                <w:sz w:val="21"/>
              </w:rPr>
              <w:t>在职工总人数中所占</w:t>
            </w:r>
            <w:r>
              <w:rPr>
                <w:sz w:val="21"/>
              </w:rPr>
              <w:t>%</w:t>
            </w:r>
          </w:p>
        </w:tc>
        <w:tc>
          <w:tcPr>
            <w:tcW w:w="1957" w:type="dxa"/>
            <w:tcBorders>
              <w:top w:val="nil"/>
            </w:tcBorders>
          </w:tcPr>
          <w:p w:rsidR="00000000" w:rsidRDefault="00B7115A">
            <w:pPr>
              <w:tabs>
                <w:tab w:val="clear" w:pos="510"/>
                <w:tab w:val="clear" w:pos="1021"/>
                <w:tab w:val="clear" w:pos="1531"/>
                <w:tab w:val="clear" w:pos="2041"/>
                <w:tab w:val="decimal" w:pos="1089"/>
              </w:tabs>
              <w:spacing w:before="60" w:after="40" w:line="312" w:lineRule="auto"/>
              <w:rPr>
                <w:sz w:val="21"/>
              </w:rPr>
            </w:pPr>
            <w:r>
              <w:rPr>
                <w:sz w:val="21"/>
              </w:rPr>
              <w:t>85.1</w:t>
            </w:r>
          </w:p>
        </w:tc>
        <w:tc>
          <w:tcPr>
            <w:tcW w:w="2040" w:type="dxa"/>
            <w:tcBorders>
              <w:top w:val="nil"/>
            </w:tcBorders>
          </w:tcPr>
          <w:p w:rsidR="00000000" w:rsidRDefault="00B7115A">
            <w:pPr>
              <w:tabs>
                <w:tab w:val="clear" w:pos="510"/>
                <w:tab w:val="clear" w:pos="1021"/>
                <w:tab w:val="clear" w:pos="1531"/>
                <w:tab w:val="clear" w:pos="2041"/>
                <w:tab w:val="decimal" w:pos="1172"/>
              </w:tabs>
              <w:spacing w:before="60" w:after="40" w:line="312" w:lineRule="auto"/>
              <w:rPr>
                <w:sz w:val="21"/>
              </w:rPr>
            </w:pPr>
            <w:r>
              <w:rPr>
                <w:sz w:val="21"/>
              </w:rPr>
              <w:t>41.2</w:t>
            </w:r>
          </w:p>
        </w:tc>
        <w:tc>
          <w:tcPr>
            <w:tcW w:w="1921" w:type="dxa"/>
            <w:tcBorders>
              <w:top w:val="nil"/>
            </w:tcBorders>
          </w:tcPr>
          <w:p w:rsidR="00000000" w:rsidRDefault="00B7115A">
            <w:pPr>
              <w:tabs>
                <w:tab w:val="clear" w:pos="510"/>
                <w:tab w:val="clear" w:pos="1021"/>
                <w:tab w:val="clear" w:pos="1531"/>
                <w:tab w:val="clear" w:pos="2041"/>
                <w:tab w:val="decimal" w:pos="1172"/>
              </w:tabs>
              <w:spacing w:before="60" w:after="40" w:line="312" w:lineRule="auto"/>
              <w:rPr>
                <w:sz w:val="21"/>
              </w:rPr>
            </w:pPr>
            <w:r>
              <w:rPr>
                <w:sz w:val="21"/>
              </w:rPr>
              <w:t>59.9</w:t>
            </w:r>
          </w:p>
        </w:tc>
      </w:tr>
    </w:tbl>
    <w:p w:rsidR="00000000" w:rsidRDefault="00B7115A">
      <w:pPr>
        <w:spacing w:before="360" w:after="320"/>
        <w:textAlignment w:val="center"/>
      </w:pPr>
      <w:r>
        <w:tab/>
        <w:t xml:space="preserve">12.  </w:t>
      </w:r>
      <w:r>
        <w:rPr>
          <w:rFonts w:hint="eastAsia"/>
        </w:rPr>
        <w:t>吉尔吉斯斯坦妇女几乎没有文盲，而且在受教育机会方面不存在歧视问题。识字</w:t>
      </w:r>
      <w:r>
        <w:rPr>
          <w:rFonts w:hint="eastAsia"/>
        </w:rPr>
        <w:t>妇女的极高比率和妇女较高的受教育水平，确实是一件成功的事例。目前，妇女总人口中仅有</w:t>
      </w:r>
      <w:r>
        <w:t>4.7%</w:t>
      </w:r>
      <w:r>
        <w:rPr>
          <w:rFonts w:hint="eastAsia"/>
        </w:rPr>
        <w:t>的文盲。妇女占高等教育机构和中等专业教育机构学员总人数的</w:t>
      </w:r>
      <w:r>
        <w:t>51%</w:t>
      </w:r>
      <w:r>
        <w:rPr>
          <w:rFonts w:hint="eastAsia"/>
        </w:rPr>
        <w:t>以上。她们构成了教育、科学和科学服务业领域的主要人力资源。然而，妇女受教育的程度则比男性略低。每</w:t>
      </w:r>
      <w:r>
        <w:t>1,000</w:t>
      </w:r>
      <w:r>
        <w:rPr>
          <w:rFonts w:hint="eastAsia"/>
        </w:rPr>
        <w:t>名</w:t>
      </w:r>
      <w:r>
        <w:t>15</w:t>
      </w:r>
      <w:r>
        <w:rPr>
          <w:rFonts w:hint="eastAsia"/>
        </w:rPr>
        <w:t>岁和</w:t>
      </w:r>
      <w:r>
        <w:t>15</w:t>
      </w:r>
      <w:r>
        <w:rPr>
          <w:rFonts w:hint="eastAsia"/>
        </w:rPr>
        <w:t>岁以上的男性中，有</w:t>
      </w:r>
      <w:r>
        <w:t>883</w:t>
      </w:r>
      <w:r>
        <w:rPr>
          <w:rFonts w:hint="eastAsia"/>
        </w:rPr>
        <w:t>人受过中等和高等教育；而每</w:t>
      </w:r>
      <w:r>
        <w:t>1,000</w:t>
      </w:r>
      <w:r>
        <w:rPr>
          <w:rFonts w:hint="eastAsia"/>
        </w:rPr>
        <w:t>名女性中，则有</w:t>
      </w:r>
      <w:r>
        <w:t>806</w:t>
      </w:r>
      <w:r>
        <w:rPr>
          <w:rFonts w:hint="eastAsia"/>
        </w:rPr>
        <w:t>人受过中高等教育。女性文盲人数比男性多，尤其是</w:t>
      </w:r>
      <w:r>
        <w:t>45</w:t>
      </w:r>
      <w:r>
        <w:rPr>
          <w:rFonts w:hint="eastAsia"/>
        </w:rPr>
        <w:t>以上年龄段的妇女文盲率更高。在</w:t>
      </w:r>
      <w:r>
        <w:t>1996</w:t>
      </w:r>
      <w:r>
        <w:rPr>
          <w:rFonts w:hint="eastAsia"/>
        </w:rPr>
        <w:t>至</w:t>
      </w:r>
      <w:r>
        <w:t>1997</w:t>
      </w:r>
      <w:r>
        <w:rPr>
          <w:rFonts w:hint="eastAsia"/>
        </w:rPr>
        <w:t>学年开始时，高等教育机构学员中，女性学员占</w:t>
      </w:r>
      <w:r>
        <w:t>51.3%</w:t>
      </w:r>
      <w:r>
        <w:rPr>
          <w:rFonts w:hint="eastAsia"/>
        </w:rPr>
        <w:t>，中等专业</w:t>
      </w:r>
      <w:r>
        <w:rPr>
          <w:rFonts w:hint="eastAsia"/>
        </w:rPr>
        <w:t>教育机构中女性学员占</w:t>
      </w:r>
      <w:r>
        <w:t>64%</w:t>
      </w:r>
      <w:r>
        <w:rPr>
          <w:rFonts w:hint="eastAsia"/>
        </w:rPr>
        <w:t>。</w:t>
      </w:r>
    </w:p>
    <w:p w:rsidR="00000000" w:rsidRDefault="00B7115A">
      <w:pPr>
        <w:pStyle w:val="Heading3"/>
      </w:pPr>
      <w:r>
        <w:rPr>
          <w:rFonts w:hint="eastAsia"/>
        </w:rPr>
        <w:t>各高校和中专教育机构就读女性学员</w:t>
      </w:r>
      <w:r>
        <w:br/>
      </w:r>
      <w:r>
        <w:rPr>
          <w:rFonts w:hint="eastAsia"/>
        </w:rPr>
        <w:t>在学员总人数中所占百分比</w:t>
      </w:r>
    </w:p>
    <w:tbl>
      <w:tblPr>
        <w:tblW w:w="0" w:type="auto"/>
        <w:tblInd w:w="1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200"/>
        <w:gridCol w:w="1625"/>
        <w:gridCol w:w="1684"/>
        <w:gridCol w:w="1729"/>
      </w:tblGrid>
      <w:tr w:rsidR="00000000">
        <w:tblPrEx>
          <w:tblCellMar>
            <w:top w:w="0" w:type="dxa"/>
            <w:bottom w:w="0" w:type="dxa"/>
          </w:tblCellMar>
        </w:tblPrEx>
        <w:tc>
          <w:tcPr>
            <w:tcW w:w="4200" w:type="dxa"/>
            <w:tcBorders>
              <w:top w:val="single" w:sz="6" w:space="0" w:color="auto"/>
              <w:bottom w:val="single" w:sz="6" w:space="0" w:color="auto"/>
              <w:right w:val="single" w:sz="6" w:space="0" w:color="auto"/>
            </w:tcBorders>
          </w:tcPr>
          <w:p w:rsidR="00000000" w:rsidRDefault="00B7115A">
            <w:pPr>
              <w:spacing w:before="120" w:after="40" w:line="288" w:lineRule="auto"/>
              <w:ind w:left="113"/>
              <w:jc w:val="center"/>
              <w:rPr>
                <w:sz w:val="21"/>
              </w:rPr>
            </w:pPr>
          </w:p>
        </w:tc>
        <w:tc>
          <w:tcPr>
            <w:tcW w:w="1625" w:type="dxa"/>
            <w:tcBorders>
              <w:top w:val="single" w:sz="6" w:space="0" w:color="auto"/>
              <w:left w:val="nil"/>
              <w:bottom w:val="single" w:sz="6" w:space="0" w:color="auto"/>
              <w:right w:val="single" w:sz="6" w:space="0" w:color="auto"/>
            </w:tcBorders>
          </w:tcPr>
          <w:p w:rsidR="00000000" w:rsidRDefault="00B7115A">
            <w:pPr>
              <w:spacing w:before="120" w:after="40" w:line="288" w:lineRule="auto"/>
              <w:ind w:left="113"/>
              <w:jc w:val="center"/>
              <w:rPr>
                <w:sz w:val="21"/>
              </w:rPr>
            </w:pPr>
            <w:r>
              <w:rPr>
                <w:sz w:val="21"/>
              </w:rPr>
              <w:t>1994/95</w:t>
            </w:r>
            <w:r>
              <w:rPr>
                <w:rFonts w:hint="eastAsia"/>
                <w:sz w:val="21"/>
              </w:rPr>
              <w:t>年</w:t>
            </w:r>
          </w:p>
        </w:tc>
        <w:tc>
          <w:tcPr>
            <w:tcW w:w="1684" w:type="dxa"/>
            <w:tcBorders>
              <w:top w:val="single" w:sz="6" w:space="0" w:color="auto"/>
              <w:left w:val="nil"/>
              <w:bottom w:val="single" w:sz="6" w:space="0" w:color="auto"/>
              <w:right w:val="single" w:sz="6" w:space="0" w:color="auto"/>
            </w:tcBorders>
          </w:tcPr>
          <w:p w:rsidR="00000000" w:rsidRDefault="00B7115A">
            <w:pPr>
              <w:spacing w:before="120" w:after="40" w:line="288" w:lineRule="auto"/>
              <w:ind w:left="113"/>
              <w:jc w:val="center"/>
              <w:rPr>
                <w:sz w:val="21"/>
              </w:rPr>
            </w:pPr>
            <w:r>
              <w:rPr>
                <w:sz w:val="21"/>
              </w:rPr>
              <w:t>1995/96</w:t>
            </w:r>
            <w:r>
              <w:rPr>
                <w:rFonts w:hint="eastAsia"/>
                <w:sz w:val="21"/>
              </w:rPr>
              <w:t>年</w:t>
            </w:r>
          </w:p>
        </w:tc>
        <w:tc>
          <w:tcPr>
            <w:tcW w:w="1729" w:type="dxa"/>
            <w:tcBorders>
              <w:top w:val="single" w:sz="6" w:space="0" w:color="auto"/>
              <w:left w:val="nil"/>
              <w:bottom w:val="single" w:sz="6" w:space="0" w:color="auto"/>
            </w:tcBorders>
          </w:tcPr>
          <w:p w:rsidR="00000000" w:rsidRDefault="00B7115A">
            <w:pPr>
              <w:spacing w:before="120" w:after="40" w:line="288" w:lineRule="auto"/>
              <w:ind w:left="113"/>
              <w:jc w:val="center"/>
              <w:rPr>
                <w:sz w:val="21"/>
              </w:rPr>
            </w:pPr>
            <w:r>
              <w:rPr>
                <w:sz w:val="21"/>
              </w:rPr>
              <w:t>1996/97</w:t>
            </w:r>
            <w:r>
              <w:rPr>
                <w:rFonts w:hint="eastAsia"/>
                <w:sz w:val="21"/>
              </w:rPr>
              <w:t>年</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spacing w:before="60"/>
              <w:ind w:left="113"/>
              <w:rPr>
                <w:sz w:val="21"/>
              </w:rPr>
            </w:pPr>
            <w:r>
              <w:rPr>
                <w:rFonts w:hint="eastAsia"/>
                <w:sz w:val="21"/>
              </w:rPr>
              <w:t>在高等院校就读女学员的百分比</w:t>
            </w:r>
          </w:p>
        </w:tc>
        <w:tc>
          <w:tcPr>
            <w:tcW w:w="1625" w:type="dxa"/>
            <w:tcBorders>
              <w:top w:val="nil"/>
              <w:left w:val="nil"/>
              <w:bottom w:val="nil"/>
              <w:right w:val="single" w:sz="6" w:space="0" w:color="auto"/>
            </w:tcBorders>
          </w:tcPr>
          <w:p w:rsidR="00000000" w:rsidRDefault="00B7115A">
            <w:pPr>
              <w:spacing w:before="60"/>
              <w:jc w:val="center"/>
              <w:rPr>
                <w:sz w:val="21"/>
              </w:rPr>
            </w:pPr>
            <w:r>
              <w:rPr>
                <w:sz w:val="21"/>
              </w:rPr>
              <w:t>60</w:t>
            </w:r>
          </w:p>
        </w:tc>
        <w:tc>
          <w:tcPr>
            <w:tcW w:w="1684" w:type="dxa"/>
            <w:tcBorders>
              <w:top w:val="nil"/>
              <w:left w:val="nil"/>
              <w:right w:val="single" w:sz="6" w:space="0" w:color="auto"/>
            </w:tcBorders>
          </w:tcPr>
          <w:p w:rsidR="00000000" w:rsidRDefault="00B7115A">
            <w:pPr>
              <w:spacing w:before="60"/>
              <w:jc w:val="center"/>
              <w:rPr>
                <w:sz w:val="21"/>
              </w:rPr>
            </w:pPr>
            <w:r>
              <w:rPr>
                <w:sz w:val="21"/>
              </w:rPr>
              <w:t>52</w:t>
            </w:r>
          </w:p>
        </w:tc>
        <w:tc>
          <w:tcPr>
            <w:tcW w:w="1729" w:type="dxa"/>
            <w:tcBorders>
              <w:top w:val="nil"/>
              <w:left w:val="nil"/>
            </w:tcBorders>
          </w:tcPr>
          <w:p w:rsidR="00000000" w:rsidRDefault="00B7115A">
            <w:pPr>
              <w:spacing w:before="60"/>
              <w:jc w:val="center"/>
              <w:rPr>
                <w:sz w:val="21"/>
              </w:rPr>
            </w:pPr>
            <w:r>
              <w:rPr>
                <w:sz w:val="21"/>
              </w:rPr>
              <w:t>51</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113"/>
              <w:rPr>
                <w:sz w:val="21"/>
              </w:rPr>
            </w:pPr>
            <w:r>
              <w:rPr>
                <w:rFonts w:hint="eastAsia"/>
                <w:sz w:val="21"/>
              </w:rPr>
              <w:t>其中，各专业院校比例如下：</w:t>
            </w:r>
          </w:p>
        </w:tc>
        <w:tc>
          <w:tcPr>
            <w:tcW w:w="1625" w:type="dxa"/>
            <w:tcBorders>
              <w:top w:val="nil"/>
              <w:left w:val="nil"/>
              <w:bottom w:val="nil"/>
              <w:right w:val="single" w:sz="6" w:space="0" w:color="auto"/>
            </w:tcBorders>
          </w:tcPr>
          <w:p w:rsidR="00000000" w:rsidRDefault="00B7115A">
            <w:pPr>
              <w:jc w:val="center"/>
              <w:rPr>
                <w:sz w:val="21"/>
              </w:rPr>
            </w:pPr>
          </w:p>
        </w:tc>
        <w:tc>
          <w:tcPr>
            <w:tcW w:w="1684" w:type="dxa"/>
            <w:tcBorders>
              <w:left w:val="nil"/>
              <w:right w:val="single" w:sz="6" w:space="0" w:color="auto"/>
            </w:tcBorders>
          </w:tcPr>
          <w:p w:rsidR="00000000" w:rsidRDefault="00B7115A">
            <w:pPr>
              <w:jc w:val="center"/>
              <w:rPr>
                <w:sz w:val="21"/>
              </w:rPr>
            </w:pPr>
          </w:p>
        </w:tc>
        <w:tc>
          <w:tcPr>
            <w:tcW w:w="1729" w:type="dxa"/>
            <w:tcBorders>
              <w:left w:val="nil"/>
            </w:tcBorders>
          </w:tcPr>
          <w:p w:rsidR="00000000" w:rsidRDefault="00B7115A">
            <w:pPr>
              <w:jc w:val="center"/>
              <w:rPr>
                <w:sz w:val="21"/>
              </w:rPr>
            </w:pP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工业与建筑业</w:t>
            </w:r>
          </w:p>
        </w:tc>
        <w:tc>
          <w:tcPr>
            <w:tcW w:w="1625" w:type="dxa"/>
            <w:tcBorders>
              <w:top w:val="nil"/>
              <w:left w:val="nil"/>
              <w:bottom w:val="nil"/>
              <w:right w:val="single" w:sz="6" w:space="0" w:color="auto"/>
            </w:tcBorders>
          </w:tcPr>
          <w:p w:rsidR="00000000" w:rsidRDefault="00B7115A">
            <w:pPr>
              <w:jc w:val="center"/>
              <w:rPr>
                <w:sz w:val="21"/>
              </w:rPr>
            </w:pPr>
            <w:r>
              <w:rPr>
                <w:sz w:val="21"/>
              </w:rPr>
              <w:t>33</w:t>
            </w:r>
          </w:p>
        </w:tc>
        <w:tc>
          <w:tcPr>
            <w:tcW w:w="1684" w:type="dxa"/>
            <w:tcBorders>
              <w:left w:val="nil"/>
              <w:right w:val="single" w:sz="6" w:space="0" w:color="auto"/>
            </w:tcBorders>
          </w:tcPr>
          <w:p w:rsidR="00000000" w:rsidRDefault="00B7115A">
            <w:pPr>
              <w:jc w:val="center"/>
              <w:rPr>
                <w:sz w:val="21"/>
              </w:rPr>
            </w:pPr>
            <w:r>
              <w:rPr>
                <w:sz w:val="21"/>
              </w:rPr>
              <w:t>35</w:t>
            </w:r>
          </w:p>
        </w:tc>
        <w:tc>
          <w:tcPr>
            <w:tcW w:w="1729" w:type="dxa"/>
            <w:tcBorders>
              <w:left w:val="nil"/>
            </w:tcBorders>
          </w:tcPr>
          <w:p w:rsidR="00000000" w:rsidRDefault="00B7115A">
            <w:pPr>
              <w:jc w:val="center"/>
              <w:rPr>
                <w:sz w:val="21"/>
              </w:rPr>
            </w:pPr>
            <w:r>
              <w:rPr>
                <w:sz w:val="21"/>
              </w:rPr>
              <w:t>35</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农</w:t>
            </w:r>
            <w:r>
              <w:rPr>
                <w:sz w:val="21"/>
              </w:rPr>
              <w:t xml:space="preserve">  </w:t>
            </w:r>
            <w:r>
              <w:rPr>
                <w:rFonts w:hint="eastAsia"/>
                <w:sz w:val="21"/>
              </w:rPr>
              <w:t>业</w:t>
            </w:r>
          </w:p>
        </w:tc>
        <w:tc>
          <w:tcPr>
            <w:tcW w:w="1625" w:type="dxa"/>
            <w:tcBorders>
              <w:top w:val="nil"/>
              <w:left w:val="nil"/>
              <w:bottom w:val="nil"/>
              <w:right w:val="single" w:sz="6" w:space="0" w:color="auto"/>
            </w:tcBorders>
          </w:tcPr>
          <w:p w:rsidR="00000000" w:rsidRDefault="00B7115A">
            <w:pPr>
              <w:jc w:val="center"/>
              <w:rPr>
                <w:sz w:val="21"/>
              </w:rPr>
            </w:pPr>
            <w:r>
              <w:rPr>
                <w:sz w:val="21"/>
              </w:rPr>
              <w:t>22</w:t>
            </w:r>
          </w:p>
        </w:tc>
        <w:tc>
          <w:tcPr>
            <w:tcW w:w="1684" w:type="dxa"/>
            <w:tcBorders>
              <w:left w:val="nil"/>
              <w:right w:val="single" w:sz="6" w:space="0" w:color="auto"/>
            </w:tcBorders>
          </w:tcPr>
          <w:p w:rsidR="00000000" w:rsidRDefault="00B7115A">
            <w:pPr>
              <w:jc w:val="center"/>
              <w:rPr>
                <w:sz w:val="21"/>
              </w:rPr>
            </w:pPr>
            <w:r>
              <w:rPr>
                <w:sz w:val="21"/>
              </w:rPr>
              <w:t>31</w:t>
            </w:r>
          </w:p>
        </w:tc>
        <w:tc>
          <w:tcPr>
            <w:tcW w:w="1729" w:type="dxa"/>
            <w:tcBorders>
              <w:left w:val="nil"/>
            </w:tcBorders>
          </w:tcPr>
          <w:p w:rsidR="00000000" w:rsidRDefault="00B7115A">
            <w:pPr>
              <w:jc w:val="center"/>
              <w:rPr>
                <w:sz w:val="21"/>
              </w:rPr>
            </w:pPr>
            <w:r>
              <w:rPr>
                <w:sz w:val="21"/>
              </w:rPr>
              <w:t>32</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经</w:t>
            </w:r>
            <w:r>
              <w:rPr>
                <w:sz w:val="21"/>
              </w:rPr>
              <w:t xml:space="preserve">  </w:t>
            </w:r>
            <w:r>
              <w:rPr>
                <w:rFonts w:hint="eastAsia"/>
                <w:sz w:val="21"/>
              </w:rPr>
              <w:t>济</w:t>
            </w:r>
          </w:p>
        </w:tc>
        <w:tc>
          <w:tcPr>
            <w:tcW w:w="1625" w:type="dxa"/>
            <w:tcBorders>
              <w:top w:val="nil"/>
              <w:left w:val="nil"/>
              <w:bottom w:val="nil"/>
              <w:right w:val="single" w:sz="6" w:space="0" w:color="auto"/>
            </w:tcBorders>
          </w:tcPr>
          <w:p w:rsidR="00000000" w:rsidRDefault="00B7115A">
            <w:pPr>
              <w:jc w:val="center"/>
              <w:rPr>
                <w:sz w:val="21"/>
              </w:rPr>
            </w:pPr>
            <w:r>
              <w:rPr>
                <w:sz w:val="21"/>
              </w:rPr>
              <w:t>21</w:t>
            </w:r>
          </w:p>
        </w:tc>
        <w:tc>
          <w:tcPr>
            <w:tcW w:w="1684" w:type="dxa"/>
            <w:tcBorders>
              <w:left w:val="nil"/>
              <w:right w:val="single" w:sz="6" w:space="0" w:color="auto"/>
            </w:tcBorders>
          </w:tcPr>
          <w:p w:rsidR="00000000" w:rsidRDefault="00B7115A">
            <w:pPr>
              <w:jc w:val="center"/>
              <w:rPr>
                <w:sz w:val="21"/>
              </w:rPr>
            </w:pPr>
            <w:r>
              <w:rPr>
                <w:sz w:val="21"/>
              </w:rPr>
              <w:t>49</w:t>
            </w:r>
          </w:p>
        </w:tc>
        <w:tc>
          <w:tcPr>
            <w:tcW w:w="1729" w:type="dxa"/>
            <w:tcBorders>
              <w:left w:val="nil"/>
            </w:tcBorders>
          </w:tcPr>
          <w:p w:rsidR="00000000" w:rsidRDefault="00B7115A">
            <w:pPr>
              <w:jc w:val="center"/>
              <w:rPr>
                <w:sz w:val="21"/>
              </w:rPr>
            </w:pPr>
            <w:r>
              <w:rPr>
                <w:sz w:val="21"/>
              </w:rPr>
              <w:t>53</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卫生保健、体育和运动</w:t>
            </w:r>
          </w:p>
        </w:tc>
        <w:tc>
          <w:tcPr>
            <w:tcW w:w="1625" w:type="dxa"/>
            <w:tcBorders>
              <w:top w:val="nil"/>
              <w:left w:val="nil"/>
              <w:bottom w:val="nil"/>
              <w:right w:val="single" w:sz="6" w:space="0" w:color="auto"/>
            </w:tcBorders>
          </w:tcPr>
          <w:p w:rsidR="00000000" w:rsidRDefault="00B7115A">
            <w:pPr>
              <w:jc w:val="center"/>
              <w:rPr>
                <w:sz w:val="21"/>
              </w:rPr>
            </w:pPr>
            <w:r>
              <w:rPr>
                <w:sz w:val="21"/>
              </w:rPr>
              <w:t>57</w:t>
            </w:r>
          </w:p>
        </w:tc>
        <w:tc>
          <w:tcPr>
            <w:tcW w:w="1684" w:type="dxa"/>
            <w:tcBorders>
              <w:left w:val="nil"/>
              <w:right w:val="single" w:sz="6" w:space="0" w:color="auto"/>
            </w:tcBorders>
          </w:tcPr>
          <w:p w:rsidR="00000000" w:rsidRDefault="00B7115A">
            <w:pPr>
              <w:jc w:val="center"/>
              <w:rPr>
                <w:sz w:val="21"/>
              </w:rPr>
            </w:pPr>
            <w:r>
              <w:rPr>
                <w:sz w:val="21"/>
              </w:rPr>
              <w:t>52</w:t>
            </w:r>
          </w:p>
        </w:tc>
        <w:tc>
          <w:tcPr>
            <w:tcW w:w="1729" w:type="dxa"/>
            <w:tcBorders>
              <w:left w:val="nil"/>
            </w:tcBorders>
          </w:tcPr>
          <w:p w:rsidR="00000000" w:rsidRDefault="00B7115A">
            <w:pPr>
              <w:jc w:val="center"/>
              <w:rPr>
                <w:sz w:val="21"/>
              </w:rPr>
            </w:pPr>
            <w:r>
              <w:rPr>
                <w:sz w:val="21"/>
              </w:rPr>
              <w:t>53</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教</w:t>
            </w:r>
            <w:r>
              <w:rPr>
                <w:sz w:val="21"/>
              </w:rPr>
              <w:t xml:space="preserve">  </w:t>
            </w:r>
            <w:r>
              <w:rPr>
                <w:rFonts w:hint="eastAsia"/>
                <w:sz w:val="21"/>
              </w:rPr>
              <w:t>育</w:t>
            </w:r>
          </w:p>
        </w:tc>
        <w:tc>
          <w:tcPr>
            <w:tcW w:w="1625" w:type="dxa"/>
            <w:tcBorders>
              <w:top w:val="nil"/>
              <w:left w:val="nil"/>
              <w:bottom w:val="nil"/>
              <w:right w:val="single" w:sz="6" w:space="0" w:color="auto"/>
            </w:tcBorders>
          </w:tcPr>
          <w:p w:rsidR="00000000" w:rsidRDefault="00B7115A">
            <w:pPr>
              <w:jc w:val="center"/>
              <w:rPr>
                <w:sz w:val="21"/>
              </w:rPr>
            </w:pPr>
            <w:r>
              <w:rPr>
                <w:sz w:val="21"/>
              </w:rPr>
              <w:t>66</w:t>
            </w:r>
          </w:p>
        </w:tc>
        <w:tc>
          <w:tcPr>
            <w:tcW w:w="1684" w:type="dxa"/>
            <w:tcBorders>
              <w:left w:val="nil"/>
              <w:right w:val="single" w:sz="6" w:space="0" w:color="auto"/>
            </w:tcBorders>
          </w:tcPr>
          <w:p w:rsidR="00000000" w:rsidRDefault="00B7115A">
            <w:pPr>
              <w:jc w:val="center"/>
              <w:rPr>
                <w:sz w:val="21"/>
              </w:rPr>
            </w:pPr>
            <w:r>
              <w:rPr>
                <w:sz w:val="21"/>
              </w:rPr>
              <w:t>64</w:t>
            </w:r>
          </w:p>
        </w:tc>
        <w:tc>
          <w:tcPr>
            <w:tcW w:w="1729" w:type="dxa"/>
            <w:tcBorders>
              <w:left w:val="nil"/>
            </w:tcBorders>
          </w:tcPr>
          <w:p w:rsidR="00000000" w:rsidRDefault="00B7115A">
            <w:pPr>
              <w:jc w:val="center"/>
              <w:rPr>
                <w:sz w:val="21"/>
              </w:rPr>
            </w:pPr>
            <w:r>
              <w:rPr>
                <w:sz w:val="21"/>
              </w:rPr>
              <w:t>62</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艺</w:t>
            </w:r>
            <w:r>
              <w:rPr>
                <w:sz w:val="21"/>
              </w:rPr>
              <w:t xml:space="preserve">  </w:t>
            </w:r>
            <w:r>
              <w:rPr>
                <w:rFonts w:hint="eastAsia"/>
                <w:sz w:val="21"/>
              </w:rPr>
              <w:t>术</w:t>
            </w:r>
          </w:p>
        </w:tc>
        <w:tc>
          <w:tcPr>
            <w:tcW w:w="1625" w:type="dxa"/>
            <w:tcBorders>
              <w:top w:val="nil"/>
              <w:left w:val="nil"/>
              <w:bottom w:val="nil"/>
              <w:right w:val="single" w:sz="6" w:space="0" w:color="auto"/>
            </w:tcBorders>
          </w:tcPr>
          <w:p w:rsidR="00000000" w:rsidRDefault="00B7115A">
            <w:pPr>
              <w:jc w:val="center"/>
              <w:rPr>
                <w:sz w:val="21"/>
              </w:rPr>
            </w:pPr>
            <w:r>
              <w:rPr>
                <w:sz w:val="21"/>
              </w:rPr>
              <w:t>60</w:t>
            </w:r>
          </w:p>
        </w:tc>
        <w:tc>
          <w:tcPr>
            <w:tcW w:w="1684" w:type="dxa"/>
            <w:tcBorders>
              <w:left w:val="nil"/>
              <w:right w:val="single" w:sz="6" w:space="0" w:color="auto"/>
            </w:tcBorders>
          </w:tcPr>
          <w:p w:rsidR="00000000" w:rsidRDefault="00B7115A">
            <w:pPr>
              <w:jc w:val="center"/>
              <w:rPr>
                <w:sz w:val="21"/>
              </w:rPr>
            </w:pPr>
            <w:r>
              <w:rPr>
                <w:sz w:val="21"/>
              </w:rPr>
              <w:t>62</w:t>
            </w:r>
          </w:p>
        </w:tc>
        <w:tc>
          <w:tcPr>
            <w:tcW w:w="1729" w:type="dxa"/>
            <w:tcBorders>
              <w:left w:val="nil"/>
            </w:tcBorders>
          </w:tcPr>
          <w:p w:rsidR="00000000" w:rsidRDefault="00B7115A">
            <w:pPr>
              <w:jc w:val="center"/>
              <w:rPr>
                <w:sz w:val="21"/>
              </w:rPr>
            </w:pPr>
            <w:r>
              <w:rPr>
                <w:sz w:val="21"/>
              </w:rPr>
              <w:t>57</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113"/>
              <w:rPr>
                <w:sz w:val="21"/>
              </w:rPr>
            </w:pPr>
            <w:r>
              <w:rPr>
                <w:rFonts w:hint="eastAsia"/>
                <w:sz w:val="21"/>
              </w:rPr>
              <w:t>在中等专业学校就读女学员的百分比</w:t>
            </w:r>
          </w:p>
        </w:tc>
        <w:tc>
          <w:tcPr>
            <w:tcW w:w="1625" w:type="dxa"/>
            <w:tcBorders>
              <w:top w:val="nil"/>
              <w:left w:val="nil"/>
              <w:bottom w:val="nil"/>
              <w:right w:val="single" w:sz="6" w:space="0" w:color="auto"/>
            </w:tcBorders>
          </w:tcPr>
          <w:p w:rsidR="00000000" w:rsidRDefault="00B7115A">
            <w:pPr>
              <w:jc w:val="center"/>
              <w:rPr>
                <w:sz w:val="21"/>
              </w:rPr>
            </w:pPr>
            <w:r>
              <w:rPr>
                <w:sz w:val="21"/>
              </w:rPr>
              <w:t>61</w:t>
            </w:r>
          </w:p>
        </w:tc>
        <w:tc>
          <w:tcPr>
            <w:tcW w:w="1684" w:type="dxa"/>
            <w:tcBorders>
              <w:left w:val="nil"/>
              <w:right w:val="single" w:sz="6" w:space="0" w:color="auto"/>
            </w:tcBorders>
          </w:tcPr>
          <w:p w:rsidR="00000000" w:rsidRDefault="00B7115A">
            <w:pPr>
              <w:jc w:val="center"/>
              <w:rPr>
                <w:sz w:val="21"/>
              </w:rPr>
            </w:pPr>
            <w:r>
              <w:rPr>
                <w:sz w:val="21"/>
              </w:rPr>
              <w:t>63</w:t>
            </w:r>
          </w:p>
        </w:tc>
        <w:tc>
          <w:tcPr>
            <w:tcW w:w="1729" w:type="dxa"/>
            <w:tcBorders>
              <w:left w:val="nil"/>
            </w:tcBorders>
          </w:tcPr>
          <w:p w:rsidR="00000000" w:rsidRDefault="00B7115A">
            <w:pPr>
              <w:jc w:val="center"/>
              <w:rPr>
                <w:sz w:val="21"/>
              </w:rPr>
            </w:pPr>
            <w:r>
              <w:rPr>
                <w:sz w:val="21"/>
              </w:rPr>
              <w:t>64</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113"/>
              <w:rPr>
                <w:sz w:val="21"/>
              </w:rPr>
            </w:pPr>
            <w:r>
              <w:rPr>
                <w:rFonts w:hint="eastAsia"/>
                <w:sz w:val="21"/>
              </w:rPr>
              <w:t>其中，各专业学校比例如下：</w:t>
            </w:r>
          </w:p>
        </w:tc>
        <w:tc>
          <w:tcPr>
            <w:tcW w:w="1625" w:type="dxa"/>
            <w:tcBorders>
              <w:top w:val="nil"/>
              <w:left w:val="nil"/>
              <w:bottom w:val="nil"/>
              <w:right w:val="single" w:sz="6" w:space="0" w:color="auto"/>
            </w:tcBorders>
          </w:tcPr>
          <w:p w:rsidR="00000000" w:rsidRDefault="00B7115A">
            <w:pPr>
              <w:jc w:val="center"/>
              <w:rPr>
                <w:sz w:val="21"/>
              </w:rPr>
            </w:pPr>
          </w:p>
        </w:tc>
        <w:tc>
          <w:tcPr>
            <w:tcW w:w="1684" w:type="dxa"/>
            <w:tcBorders>
              <w:left w:val="nil"/>
              <w:right w:val="single" w:sz="6" w:space="0" w:color="auto"/>
            </w:tcBorders>
          </w:tcPr>
          <w:p w:rsidR="00000000" w:rsidRDefault="00B7115A">
            <w:pPr>
              <w:jc w:val="center"/>
              <w:rPr>
                <w:sz w:val="21"/>
              </w:rPr>
            </w:pPr>
          </w:p>
        </w:tc>
        <w:tc>
          <w:tcPr>
            <w:tcW w:w="1729" w:type="dxa"/>
            <w:tcBorders>
              <w:left w:val="nil"/>
            </w:tcBorders>
          </w:tcPr>
          <w:p w:rsidR="00000000" w:rsidRDefault="00B7115A">
            <w:pPr>
              <w:jc w:val="center"/>
              <w:rPr>
                <w:sz w:val="21"/>
              </w:rPr>
            </w:pP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工业与建筑业</w:t>
            </w:r>
          </w:p>
        </w:tc>
        <w:tc>
          <w:tcPr>
            <w:tcW w:w="1625" w:type="dxa"/>
            <w:tcBorders>
              <w:top w:val="nil"/>
              <w:left w:val="nil"/>
              <w:bottom w:val="nil"/>
              <w:right w:val="single" w:sz="6" w:space="0" w:color="auto"/>
            </w:tcBorders>
          </w:tcPr>
          <w:p w:rsidR="00000000" w:rsidRDefault="00B7115A">
            <w:pPr>
              <w:jc w:val="center"/>
              <w:rPr>
                <w:sz w:val="21"/>
              </w:rPr>
            </w:pPr>
            <w:r>
              <w:rPr>
                <w:sz w:val="21"/>
              </w:rPr>
              <w:t>44</w:t>
            </w:r>
          </w:p>
        </w:tc>
        <w:tc>
          <w:tcPr>
            <w:tcW w:w="1684" w:type="dxa"/>
            <w:tcBorders>
              <w:left w:val="nil"/>
              <w:right w:val="single" w:sz="6" w:space="0" w:color="auto"/>
            </w:tcBorders>
          </w:tcPr>
          <w:p w:rsidR="00000000" w:rsidRDefault="00B7115A">
            <w:pPr>
              <w:jc w:val="center"/>
              <w:rPr>
                <w:sz w:val="21"/>
              </w:rPr>
            </w:pPr>
            <w:r>
              <w:rPr>
                <w:sz w:val="21"/>
              </w:rPr>
              <w:t>42</w:t>
            </w:r>
          </w:p>
        </w:tc>
        <w:tc>
          <w:tcPr>
            <w:tcW w:w="1729" w:type="dxa"/>
            <w:tcBorders>
              <w:left w:val="nil"/>
            </w:tcBorders>
          </w:tcPr>
          <w:p w:rsidR="00000000" w:rsidRDefault="00B7115A">
            <w:pPr>
              <w:jc w:val="center"/>
              <w:rPr>
                <w:sz w:val="21"/>
              </w:rPr>
            </w:pPr>
            <w:r>
              <w:rPr>
                <w:sz w:val="21"/>
              </w:rPr>
              <w:t>42</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运</w:t>
            </w:r>
            <w:r>
              <w:rPr>
                <w:sz w:val="21"/>
              </w:rPr>
              <w:t xml:space="preserve">  </w:t>
            </w:r>
            <w:r>
              <w:rPr>
                <w:rFonts w:hint="eastAsia"/>
                <w:sz w:val="21"/>
              </w:rPr>
              <w:t>输</w:t>
            </w:r>
          </w:p>
        </w:tc>
        <w:tc>
          <w:tcPr>
            <w:tcW w:w="1625" w:type="dxa"/>
            <w:tcBorders>
              <w:top w:val="nil"/>
              <w:left w:val="nil"/>
              <w:bottom w:val="nil"/>
              <w:right w:val="single" w:sz="6" w:space="0" w:color="auto"/>
            </w:tcBorders>
          </w:tcPr>
          <w:p w:rsidR="00000000" w:rsidRDefault="00B7115A">
            <w:pPr>
              <w:jc w:val="center"/>
              <w:rPr>
                <w:sz w:val="21"/>
              </w:rPr>
            </w:pPr>
            <w:r>
              <w:rPr>
                <w:sz w:val="21"/>
              </w:rPr>
              <w:t xml:space="preserve"> 5</w:t>
            </w:r>
          </w:p>
        </w:tc>
        <w:tc>
          <w:tcPr>
            <w:tcW w:w="1684" w:type="dxa"/>
            <w:tcBorders>
              <w:left w:val="nil"/>
              <w:right w:val="single" w:sz="6" w:space="0" w:color="auto"/>
            </w:tcBorders>
          </w:tcPr>
          <w:p w:rsidR="00000000" w:rsidRDefault="00B7115A">
            <w:pPr>
              <w:jc w:val="center"/>
              <w:rPr>
                <w:sz w:val="21"/>
              </w:rPr>
            </w:pPr>
            <w:r>
              <w:rPr>
                <w:sz w:val="21"/>
              </w:rPr>
              <w:t xml:space="preserve"> 6</w:t>
            </w:r>
          </w:p>
        </w:tc>
        <w:tc>
          <w:tcPr>
            <w:tcW w:w="1729" w:type="dxa"/>
            <w:tcBorders>
              <w:left w:val="nil"/>
            </w:tcBorders>
          </w:tcPr>
          <w:p w:rsidR="00000000" w:rsidRDefault="00B7115A">
            <w:pPr>
              <w:jc w:val="center"/>
              <w:rPr>
                <w:sz w:val="21"/>
              </w:rPr>
            </w:pPr>
            <w:r>
              <w:rPr>
                <w:sz w:val="21"/>
              </w:rPr>
              <w:t xml:space="preserve"> 6</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农</w:t>
            </w:r>
            <w:r>
              <w:rPr>
                <w:sz w:val="21"/>
              </w:rPr>
              <w:t xml:space="preserve">  </w:t>
            </w:r>
            <w:r>
              <w:rPr>
                <w:rFonts w:hint="eastAsia"/>
                <w:sz w:val="21"/>
              </w:rPr>
              <w:t>业</w:t>
            </w:r>
          </w:p>
        </w:tc>
        <w:tc>
          <w:tcPr>
            <w:tcW w:w="1625" w:type="dxa"/>
            <w:tcBorders>
              <w:top w:val="nil"/>
              <w:left w:val="nil"/>
              <w:bottom w:val="nil"/>
              <w:right w:val="single" w:sz="6" w:space="0" w:color="auto"/>
            </w:tcBorders>
          </w:tcPr>
          <w:p w:rsidR="00000000" w:rsidRDefault="00B7115A">
            <w:pPr>
              <w:jc w:val="center"/>
              <w:rPr>
                <w:sz w:val="21"/>
              </w:rPr>
            </w:pPr>
            <w:r>
              <w:rPr>
                <w:sz w:val="21"/>
              </w:rPr>
              <w:t>28</w:t>
            </w:r>
          </w:p>
        </w:tc>
        <w:tc>
          <w:tcPr>
            <w:tcW w:w="1684" w:type="dxa"/>
            <w:tcBorders>
              <w:left w:val="nil"/>
              <w:right w:val="single" w:sz="6" w:space="0" w:color="auto"/>
            </w:tcBorders>
          </w:tcPr>
          <w:p w:rsidR="00000000" w:rsidRDefault="00B7115A">
            <w:pPr>
              <w:jc w:val="center"/>
              <w:rPr>
                <w:sz w:val="21"/>
              </w:rPr>
            </w:pPr>
            <w:r>
              <w:rPr>
                <w:sz w:val="21"/>
              </w:rPr>
              <w:t>37</w:t>
            </w:r>
          </w:p>
        </w:tc>
        <w:tc>
          <w:tcPr>
            <w:tcW w:w="1729" w:type="dxa"/>
            <w:tcBorders>
              <w:left w:val="nil"/>
            </w:tcBorders>
          </w:tcPr>
          <w:p w:rsidR="00000000" w:rsidRDefault="00B7115A">
            <w:pPr>
              <w:jc w:val="center"/>
              <w:rPr>
                <w:sz w:val="21"/>
              </w:rPr>
            </w:pPr>
            <w:r>
              <w:rPr>
                <w:sz w:val="21"/>
              </w:rPr>
              <w:t>43</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经</w:t>
            </w:r>
            <w:r>
              <w:rPr>
                <w:sz w:val="21"/>
              </w:rPr>
              <w:t xml:space="preserve">  </w:t>
            </w:r>
            <w:r>
              <w:rPr>
                <w:rFonts w:hint="eastAsia"/>
                <w:sz w:val="21"/>
              </w:rPr>
              <w:t>济</w:t>
            </w:r>
          </w:p>
        </w:tc>
        <w:tc>
          <w:tcPr>
            <w:tcW w:w="1625" w:type="dxa"/>
            <w:tcBorders>
              <w:top w:val="nil"/>
              <w:left w:val="nil"/>
              <w:bottom w:val="nil"/>
              <w:right w:val="single" w:sz="6" w:space="0" w:color="auto"/>
            </w:tcBorders>
          </w:tcPr>
          <w:p w:rsidR="00000000" w:rsidRDefault="00B7115A">
            <w:pPr>
              <w:jc w:val="center"/>
              <w:rPr>
                <w:sz w:val="21"/>
              </w:rPr>
            </w:pPr>
            <w:r>
              <w:rPr>
                <w:sz w:val="21"/>
              </w:rPr>
              <w:t>70</w:t>
            </w:r>
          </w:p>
        </w:tc>
        <w:tc>
          <w:tcPr>
            <w:tcW w:w="1684" w:type="dxa"/>
            <w:tcBorders>
              <w:left w:val="nil"/>
              <w:right w:val="single" w:sz="6" w:space="0" w:color="auto"/>
            </w:tcBorders>
          </w:tcPr>
          <w:p w:rsidR="00000000" w:rsidRDefault="00B7115A">
            <w:pPr>
              <w:jc w:val="center"/>
              <w:rPr>
                <w:sz w:val="21"/>
              </w:rPr>
            </w:pPr>
            <w:r>
              <w:rPr>
                <w:sz w:val="21"/>
              </w:rPr>
              <w:t>74</w:t>
            </w:r>
          </w:p>
        </w:tc>
        <w:tc>
          <w:tcPr>
            <w:tcW w:w="1729" w:type="dxa"/>
            <w:tcBorders>
              <w:left w:val="nil"/>
            </w:tcBorders>
          </w:tcPr>
          <w:p w:rsidR="00000000" w:rsidRDefault="00B7115A">
            <w:pPr>
              <w:jc w:val="center"/>
              <w:rPr>
                <w:sz w:val="21"/>
              </w:rPr>
            </w:pPr>
            <w:r>
              <w:rPr>
                <w:sz w:val="21"/>
              </w:rPr>
              <w:t>77</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卫生保健、体育和运动</w:t>
            </w:r>
          </w:p>
        </w:tc>
        <w:tc>
          <w:tcPr>
            <w:tcW w:w="1625" w:type="dxa"/>
            <w:tcBorders>
              <w:top w:val="nil"/>
              <w:left w:val="nil"/>
              <w:bottom w:val="nil"/>
              <w:right w:val="single" w:sz="6" w:space="0" w:color="auto"/>
            </w:tcBorders>
          </w:tcPr>
          <w:p w:rsidR="00000000" w:rsidRDefault="00B7115A">
            <w:pPr>
              <w:jc w:val="center"/>
              <w:rPr>
                <w:sz w:val="21"/>
              </w:rPr>
            </w:pPr>
            <w:r>
              <w:rPr>
                <w:sz w:val="21"/>
              </w:rPr>
              <w:t>88</w:t>
            </w:r>
          </w:p>
        </w:tc>
        <w:tc>
          <w:tcPr>
            <w:tcW w:w="1684" w:type="dxa"/>
            <w:tcBorders>
              <w:left w:val="nil"/>
              <w:right w:val="single" w:sz="6" w:space="0" w:color="auto"/>
            </w:tcBorders>
          </w:tcPr>
          <w:p w:rsidR="00000000" w:rsidRDefault="00B7115A">
            <w:pPr>
              <w:jc w:val="center"/>
              <w:rPr>
                <w:sz w:val="21"/>
              </w:rPr>
            </w:pPr>
            <w:r>
              <w:rPr>
                <w:sz w:val="21"/>
              </w:rPr>
              <w:t>88</w:t>
            </w:r>
          </w:p>
        </w:tc>
        <w:tc>
          <w:tcPr>
            <w:tcW w:w="1729" w:type="dxa"/>
            <w:tcBorders>
              <w:left w:val="nil"/>
            </w:tcBorders>
          </w:tcPr>
          <w:p w:rsidR="00000000" w:rsidRDefault="00B7115A">
            <w:pPr>
              <w:jc w:val="center"/>
              <w:rPr>
                <w:sz w:val="21"/>
              </w:rPr>
            </w:pPr>
            <w:r>
              <w:rPr>
                <w:sz w:val="21"/>
              </w:rPr>
              <w:t>89</w:t>
            </w:r>
          </w:p>
        </w:tc>
      </w:tr>
      <w:tr w:rsidR="00000000">
        <w:tblPrEx>
          <w:tblCellMar>
            <w:top w:w="0" w:type="dxa"/>
            <w:bottom w:w="0" w:type="dxa"/>
          </w:tblCellMar>
        </w:tblPrEx>
        <w:tc>
          <w:tcPr>
            <w:tcW w:w="4200" w:type="dxa"/>
            <w:tcBorders>
              <w:top w:val="nil"/>
              <w:bottom w:val="nil"/>
              <w:right w:val="single" w:sz="6" w:space="0" w:color="auto"/>
            </w:tcBorders>
          </w:tcPr>
          <w:p w:rsidR="00000000" w:rsidRDefault="00B7115A">
            <w:pPr>
              <w:ind w:left="573"/>
              <w:rPr>
                <w:sz w:val="21"/>
              </w:rPr>
            </w:pPr>
            <w:r>
              <w:rPr>
                <w:rFonts w:hint="eastAsia"/>
                <w:sz w:val="21"/>
              </w:rPr>
              <w:t>教</w:t>
            </w:r>
            <w:r>
              <w:rPr>
                <w:sz w:val="21"/>
              </w:rPr>
              <w:t xml:space="preserve">  </w:t>
            </w:r>
            <w:r>
              <w:rPr>
                <w:rFonts w:hint="eastAsia"/>
                <w:sz w:val="21"/>
              </w:rPr>
              <w:t>育</w:t>
            </w:r>
          </w:p>
        </w:tc>
        <w:tc>
          <w:tcPr>
            <w:tcW w:w="1625" w:type="dxa"/>
            <w:tcBorders>
              <w:top w:val="nil"/>
              <w:left w:val="nil"/>
              <w:bottom w:val="nil"/>
              <w:right w:val="single" w:sz="6" w:space="0" w:color="auto"/>
            </w:tcBorders>
          </w:tcPr>
          <w:p w:rsidR="00000000" w:rsidRDefault="00B7115A">
            <w:pPr>
              <w:jc w:val="center"/>
              <w:rPr>
                <w:sz w:val="21"/>
              </w:rPr>
            </w:pPr>
            <w:r>
              <w:rPr>
                <w:sz w:val="21"/>
              </w:rPr>
              <w:t>87</w:t>
            </w:r>
          </w:p>
        </w:tc>
        <w:tc>
          <w:tcPr>
            <w:tcW w:w="1684" w:type="dxa"/>
            <w:tcBorders>
              <w:left w:val="nil"/>
              <w:right w:val="single" w:sz="6" w:space="0" w:color="auto"/>
            </w:tcBorders>
          </w:tcPr>
          <w:p w:rsidR="00000000" w:rsidRDefault="00B7115A">
            <w:pPr>
              <w:jc w:val="center"/>
              <w:rPr>
                <w:sz w:val="21"/>
              </w:rPr>
            </w:pPr>
            <w:r>
              <w:rPr>
                <w:sz w:val="21"/>
              </w:rPr>
              <w:t>89</w:t>
            </w:r>
          </w:p>
        </w:tc>
        <w:tc>
          <w:tcPr>
            <w:tcW w:w="1729" w:type="dxa"/>
            <w:tcBorders>
              <w:left w:val="nil"/>
            </w:tcBorders>
          </w:tcPr>
          <w:p w:rsidR="00000000" w:rsidRDefault="00B7115A">
            <w:pPr>
              <w:jc w:val="center"/>
              <w:rPr>
                <w:sz w:val="21"/>
              </w:rPr>
            </w:pPr>
            <w:r>
              <w:rPr>
                <w:sz w:val="21"/>
              </w:rPr>
              <w:t>86</w:t>
            </w:r>
          </w:p>
        </w:tc>
      </w:tr>
      <w:tr w:rsidR="00000000">
        <w:tblPrEx>
          <w:tblCellMar>
            <w:top w:w="0" w:type="dxa"/>
            <w:bottom w:w="0" w:type="dxa"/>
          </w:tblCellMar>
        </w:tblPrEx>
        <w:tc>
          <w:tcPr>
            <w:tcW w:w="4200" w:type="dxa"/>
            <w:tcBorders>
              <w:top w:val="nil"/>
              <w:bottom w:val="single" w:sz="6" w:space="0" w:color="auto"/>
              <w:right w:val="single" w:sz="6" w:space="0" w:color="auto"/>
            </w:tcBorders>
          </w:tcPr>
          <w:p w:rsidR="00000000" w:rsidRDefault="00B7115A">
            <w:pPr>
              <w:ind w:left="573"/>
              <w:rPr>
                <w:sz w:val="21"/>
              </w:rPr>
            </w:pPr>
            <w:r>
              <w:rPr>
                <w:rFonts w:hint="eastAsia"/>
                <w:sz w:val="21"/>
              </w:rPr>
              <w:t>艺</w:t>
            </w:r>
            <w:r>
              <w:rPr>
                <w:sz w:val="21"/>
              </w:rPr>
              <w:t xml:space="preserve">  </w:t>
            </w:r>
            <w:r>
              <w:rPr>
                <w:rFonts w:hint="eastAsia"/>
                <w:sz w:val="21"/>
              </w:rPr>
              <w:t>术</w:t>
            </w:r>
          </w:p>
        </w:tc>
        <w:tc>
          <w:tcPr>
            <w:tcW w:w="1625" w:type="dxa"/>
            <w:tcBorders>
              <w:top w:val="nil"/>
              <w:left w:val="nil"/>
              <w:bottom w:val="single" w:sz="6" w:space="0" w:color="auto"/>
              <w:right w:val="single" w:sz="6" w:space="0" w:color="auto"/>
            </w:tcBorders>
          </w:tcPr>
          <w:p w:rsidR="00000000" w:rsidRDefault="00B7115A">
            <w:pPr>
              <w:jc w:val="center"/>
              <w:rPr>
                <w:sz w:val="21"/>
              </w:rPr>
            </w:pPr>
            <w:r>
              <w:rPr>
                <w:sz w:val="21"/>
              </w:rPr>
              <w:t>62</w:t>
            </w:r>
          </w:p>
        </w:tc>
        <w:tc>
          <w:tcPr>
            <w:tcW w:w="1684" w:type="dxa"/>
            <w:tcBorders>
              <w:left w:val="nil"/>
              <w:right w:val="single" w:sz="6" w:space="0" w:color="auto"/>
            </w:tcBorders>
          </w:tcPr>
          <w:p w:rsidR="00000000" w:rsidRDefault="00B7115A">
            <w:pPr>
              <w:jc w:val="center"/>
              <w:rPr>
                <w:sz w:val="21"/>
              </w:rPr>
            </w:pPr>
            <w:r>
              <w:rPr>
                <w:sz w:val="21"/>
              </w:rPr>
              <w:t>68</w:t>
            </w:r>
          </w:p>
        </w:tc>
        <w:tc>
          <w:tcPr>
            <w:tcW w:w="1729" w:type="dxa"/>
            <w:tcBorders>
              <w:left w:val="nil"/>
            </w:tcBorders>
          </w:tcPr>
          <w:p w:rsidR="00000000" w:rsidRDefault="00B7115A">
            <w:pPr>
              <w:jc w:val="center"/>
              <w:rPr>
                <w:sz w:val="21"/>
              </w:rPr>
            </w:pPr>
            <w:r>
              <w:rPr>
                <w:sz w:val="21"/>
              </w:rPr>
              <w:t>70</w:t>
            </w:r>
          </w:p>
        </w:tc>
      </w:tr>
    </w:tbl>
    <w:p w:rsidR="00000000" w:rsidRDefault="00B7115A">
      <w:pPr>
        <w:pStyle w:val="Heading3"/>
      </w:pPr>
      <w:r>
        <w:rPr>
          <w:rFonts w:hint="eastAsia"/>
        </w:rPr>
        <w:t>第</w:t>
      </w:r>
      <w:r>
        <w:t xml:space="preserve"> 4 </w:t>
      </w:r>
      <w:r>
        <w:rPr>
          <w:rFonts w:hint="eastAsia"/>
        </w:rPr>
        <w:t>条</w:t>
      </w:r>
    </w:p>
    <w:p w:rsidR="00000000" w:rsidRDefault="00B7115A">
      <w:r>
        <w:tab/>
        <w:t xml:space="preserve">13.  </w:t>
      </w:r>
      <w:r>
        <w:rPr>
          <w:rFonts w:hint="eastAsia"/>
        </w:rPr>
        <w:t>根据宪法第</w:t>
      </w:r>
      <w:r>
        <w:t>17</w:t>
      </w:r>
      <w:r>
        <w:rPr>
          <w:rFonts w:hint="eastAsia"/>
        </w:rPr>
        <w:t>条第</w:t>
      </w:r>
      <w:r>
        <w:t>2</w:t>
      </w:r>
      <w:r>
        <w:rPr>
          <w:rFonts w:hint="eastAsia"/>
        </w:rPr>
        <w:t>款，无论宪法，还是其它法律均不允许对行使各项权利和自由加以限制，除非为了保护他人的权利和自由、公共安全或宪法秩序的目的。即使在这样的情况下，宪法规定的权利和自由的实质仍不受影响。</w:t>
      </w:r>
    </w:p>
    <w:p w:rsidR="00000000" w:rsidRDefault="00B7115A">
      <w:r>
        <w:tab/>
        <w:t xml:space="preserve">14.  </w:t>
      </w:r>
      <w:r>
        <w:rPr>
          <w:rFonts w:hint="eastAsia"/>
        </w:rPr>
        <w:t>宪法禁止要求公民从事强迫劳动，除非是处于战</w:t>
      </w:r>
      <w:r>
        <w:rPr>
          <w:rFonts w:hint="eastAsia"/>
        </w:rPr>
        <w:t>争期间，或是在发生了自然灾害、流行病或其它紧急情况之后，或者为了执行法院下达的判决。</w:t>
      </w:r>
    </w:p>
    <w:p w:rsidR="00000000" w:rsidRDefault="00B7115A">
      <w:pPr>
        <w:spacing w:after="320"/>
        <w:textAlignment w:val="center"/>
      </w:pPr>
      <w:r>
        <w:tab/>
        <w:t xml:space="preserve">15.  </w:t>
      </w:r>
      <w:r>
        <w:rPr>
          <w:rFonts w:hint="eastAsia"/>
        </w:rPr>
        <w:t>检察厅下属各机关监督吉尔吉斯斯坦共和国立法的遵循情况。</w:t>
      </w:r>
      <w:r>
        <w:t>1996</w:t>
      </w:r>
      <w:r>
        <w:rPr>
          <w:rFonts w:hint="eastAsia"/>
        </w:rPr>
        <w:t>至</w:t>
      </w:r>
      <w:r>
        <w:t>1997</w:t>
      </w:r>
      <w:r>
        <w:rPr>
          <w:rFonts w:hint="eastAsia"/>
        </w:rPr>
        <w:t>年，根据检察厅的检察和报告，</w:t>
      </w:r>
      <w:r>
        <w:t>207</w:t>
      </w:r>
      <w:r>
        <w:rPr>
          <w:rFonts w:hint="eastAsia"/>
        </w:rPr>
        <w:t>名官员因各类侵犯公民社会权利的行为，受到了纪律或行政制裁。例如，遵照《及时支付工资、养恤金、福利金和其它社会支付金法案》，检察厅各机关汇编了</w:t>
      </w:r>
      <w:r>
        <w:t>285</w:t>
      </w:r>
      <w:r>
        <w:rPr>
          <w:rFonts w:hint="eastAsia"/>
        </w:rPr>
        <w:t>份报告，并提起了</w:t>
      </w:r>
      <w:r>
        <w:t>133</w:t>
      </w:r>
      <w:r>
        <w:rPr>
          <w:rFonts w:hint="eastAsia"/>
        </w:rPr>
        <w:t>项诉讼，最后裁定给予公民价值</w:t>
      </w:r>
      <w:r>
        <w:t>7,623,575</w:t>
      </w:r>
      <w:r>
        <w:rPr>
          <w:rFonts w:hint="eastAsia"/>
        </w:rPr>
        <w:t>索姆的物质赔偿。</w:t>
      </w:r>
    </w:p>
    <w:p w:rsidR="00000000" w:rsidRDefault="00B7115A">
      <w:pPr>
        <w:pStyle w:val="Heading3"/>
      </w:pPr>
      <w:r>
        <w:rPr>
          <w:rFonts w:hint="eastAsia"/>
        </w:rPr>
        <w:t>第</w:t>
      </w:r>
      <w:r>
        <w:t xml:space="preserve"> 5 </w:t>
      </w:r>
      <w:r>
        <w:rPr>
          <w:rFonts w:hint="eastAsia"/>
        </w:rPr>
        <w:t>条</w:t>
      </w:r>
    </w:p>
    <w:p w:rsidR="00000000" w:rsidRDefault="00B7115A">
      <w:r>
        <w:tab/>
        <w:t xml:space="preserve">16.  </w:t>
      </w:r>
      <w:r>
        <w:rPr>
          <w:rFonts w:hint="eastAsia"/>
        </w:rPr>
        <w:t>宪法第</w:t>
      </w:r>
      <w:r>
        <w:t>12</w:t>
      </w:r>
      <w:r>
        <w:rPr>
          <w:rFonts w:hint="eastAsia"/>
        </w:rPr>
        <w:t>条第</w:t>
      </w:r>
      <w:r>
        <w:t>3</w:t>
      </w:r>
      <w:r>
        <w:rPr>
          <w:rFonts w:hint="eastAsia"/>
        </w:rPr>
        <w:t>款规定，经吉尔吉斯斯坦共和国批准的国</w:t>
      </w:r>
      <w:r>
        <w:rPr>
          <w:rFonts w:hint="eastAsia"/>
        </w:rPr>
        <w:t>家间条约和国际法其它规则，构成吉尔吉斯斯坦法律的组成部分，并可直接援用。核心文件</w:t>
      </w:r>
      <w:r>
        <w:t>(HRI/CORE/1/Add.101)</w:t>
      </w:r>
      <w:r>
        <w:rPr>
          <w:rFonts w:hint="eastAsia"/>
        </w:rPr>
        <w:t>载有加入和批准各项国际协议的资料。</w:t>
      </w:r>
    </w:p>
    <w:p w:rsidR="00000000" w:rsidRDefault="00B7115A">
      <w:pPr>
        <w:spacing w:after="320"/>
        <w:textAlignment w:val="center"/>
      </w:pPr>
      <w:r>
        <w:tab/>
        <w:t xml:space="preserve">17.  </w:t>
      </w:r>
      <w:r>
        <w:rPr>
          <w:rFonts w:hint="eastAsia"/>
        </w:rPr>
        <w:t>宪法第</w:t>
      </w:r>
      <w:r>
        <w:t>16</w:t>
      </w:r>
      <w:r>
        <w:rPr>
          <w:rFonts w:hint="eastAsia"/>
        </w:rPr>
        <w:t>条第</w:t>
      </w:r>
      <w:r>
        <w:t>1</w:t>
      </w:r>
      <w:r>
        <w:rPr>
          <w:rFonts w:hint="eastAsia"/>
        </w:rPr>
        <w:t>款规定，吉尔吉斯斯坦共和国根据普遍公认的国际法原则和标准，以及经吉尔吉斯斯坦共和国批准的有关人权的国家间条约和协议，承认并保障基本人权和自由。</w:t>
      </w:r>
    </w:p>
    <w:p w:rsidR="00000000" w:rsidRDefault="00B7115A">
      <w:pPr>
        <w:pStyle w:val="Heading3"/>
      </w:pPr>
      <w:r>
        <w:rPr>
          <w:rFonts w:hint="eastAsia"/>
        </w:rPr>
        <w:t>第</w:t>
      </w:r>
      <w:r>
        <w:t xml:space="preserve"> 6 </w:t>
      </w:r>
      <w:r>
        <w:rPr>
          <w:rFonts w:hint="eastAsia"/>
        </w:rPr>
        <w:t>条</w:t>
      </w:r>
    </w:p>
    <w:p w:rsidR="00000000" w:rsidRDefault="00B7115A">
      <w:r>
        <w:tab/>
        <w:t xml:space="preserve">18.  </w:t>
      </w:r>
      <w:r>
        <w:rPr>
          <w:rFonts w:hint="eastAsia"/>
        </w:rPr>
        <w:t>根据宪法第</w:t>
      </w:r>
      <w:r>
        <w:t>16</w:t>
      </w:r>
      <w:r>
        <w:rPr>
          <w:rFonts w:hint="eastAsia"/>
        </w:rPr>
        <w:t>条，吉尔吉斯斯坦共和国境内的每一个人都享有经济自由权、可自由地利用其本人的能力和资产从事任何类型的经济活动，享有劳动自由和自由选择其职业和专业的权</w:t>
      </w:r>
      <w:r>
        <w:rPr>
          <w:rFonts w:hint="eastAsia"/>
        </w:rPr>
        <w:t>利。根据吉尔吉斯斯坦共和国原《劳工法》第</w:t>
      </w:r>
      <w:r>
        <w:t>2</w:t>
      </w:r>
      <w:r>
        <w:rPr>
          <w:rFonts w:hint="eastAsia"/>
        </w:rPr>
        <w:t>条，国家有责任保障公民从事工作的权利，包括按其本人的喜好、能力、职业培训和教育，并在考虑到社会需求的情况下，选择其职业和所从事的行业或工作的权利。根据新《劳工法》第</w:t>
      </w:r>
      <w:r>
        <w:t>14</w:t>
      </w:r>
      <w:r>
        <w:rPr>
          <w:rFonts w:hint="eastAsia"/>
        </w:rPr>
        <w:t>条，吉尔吉斯斯坦共和国的每一位公民都有权从事自行就业的或非自行就业的活动。可选择任何一类经批准的工作为职业。自行就业的劳工活动，包括开办新企业、参加现有企业，或组织合作社，或与他人以互利为目的联合组建此类组织。非自行就业的劳工活动包括有权自由地选择本人的工作地点、就空缺职位提出求职申请，并在遇有多名候</w:t>
      </w:r>
      <w:r>
        <w:rPr>
          <w:rFonts w:hint="eastAsia"/>
        </w:rPr>
        <w:t>选人可供挑选时，不得无故将申请人置于不利的地位。国家提供的就业安排服务不征收费用。</w:t>
      </w:r>
    </w:p>
    <w:p w:rsidR="00000000" w:rsidRDefault="00B7115A">
      <w:r>
        <w:tab/>
        <w:t xml:space="preserve">19.  </w:t>
      </w:r>
      <w:r>
        <w:rPr>
          <w:rFonts w:hint="eastAsia"/>
        </w:rPr>
        <w:t>工人们有权通过其工作发挥他们的潜力。劳工的安排必须趋于扩大工人的行动自由、发挥他们的创造能力并避免对劳工提出过分要求。</w:t>
      </w:r>
    </w:p>
    <w:p w:rsidR="00000000" w:rsidRDefault="00B7115A">
      <w:r>
        <w:tab/>
        <w:t xml:space="preserve">20.  </w:t>
      </w:r>
      <w:r>
        <w:rPr>
          <w:rFonts w:hint="eastAsia"/>
        </w:rPr>
        <w:t>吉尔吉斯斯坦劳动力市场的总体情况不妨概括如下。由于所有制的变革，截至</w:t>
      </w:r>
      <w:r>
        <w:t>1996</w:t>
      </w:r>
      <w:r>
        <w:rPr>
          <w:rFonts w:hint="eastAsia"/>
        </w:rPr>
        <w:t>年，国营部门的职工人数在三年期间从</w:t>
      </w:r>
      <w:r>
        <w:t>686,000</w:t>
      </w:r>
      <w:r>
        <w:rPr>
          <w:rFonts w:hint="eastAsia"/>
        </w:rPr>
        <w:t>人降至</w:t>
      </w:r>
      <w:r>
        <w:t>455,000</w:t>
      </w:r>
      <w:r>
        <w:rPr>
          <w:rFonts w:hint="eastAsia"/>
        </w:rPr>
        <w:t>人，减少了</w:t>
      </w:r>
      <w:r>
        <w:t>34%</w:t>
      </w:r>
      <w:r>
        <w:rPr>
          <w:rFonts w:hint="eastAsia"/>
        </w:rPr>
        <w:t>。另一方面，同期非国营部门的职工人数从</w:t>
      </w:r>
      <w:r>
        <w:t>959,000</w:t>
      </w:r>
      <w:r>
        <w:rPr>
          <w:rFonts w:hint="eastAsia"/>
        </w:rPr>
        <w:t>人增至</w:t>
      </w:r>
      <w:r>
        <w:t>1,197,000</w:t>
      </w:r>
      <w:r>
        <w:rPr>
          <w:rFonts w:hint="eastAsia"/>
        </w:rPr>
        <w:t>人，增长系数为</w:t>
      </w:r>
      <w:r>
        <w:t>1.2</w:t>
      </w:r>
      <w:r>
        <w:rPr>
          <w:rFonts w:hint="eastAsia"/>
        </w:rPr>
        <w:t>。</w:t>
      </w:r>
    </w:p>
    <w:p w:rsidR="00000000" w:rsidRDefault="00B7115A">
      <w:pPr>
        <w:spacing w:after="320"/>
        <w:textAlignment w:val="center"/>
      </w:pPr>
      <w:r>
        <w:tab/>
        <w:t xml:space="preserve">21.  </w:t>
      </w:r>
      <w:r>
        <w:rPr>
          <w:rFonts w:hint="eastAsia"/>
        </w:rPr>
        <w:t>应当注意的是</w:t>
      </w:r>
      <w:r>
        <w:rPr>
          <w:rFonts w:hint="eastAsia"/>
        </w:rPr>
        <w:t>，劳动力市场的种种困难是在总人口、劳动力资源和无经济活动人口均出现增长的背景下产生的。在</w:t>
      </w:r>
      <w:r>
        <w:t>1991</w:t>
      </w:r>
      <w:r>
        <w:rPr>
          <w:rFonts w:hint="eastAsia"/>
        </w:rPr>
        <w:t>至</w:t>
      </w:r>
      <w:r>
        <w:t>1996</w:t>
      </w:r>
      <w:r>
        <w:rPr>
          <w:rFonts w:hint="eastAsia"/>
        </w:rPr>
        <w:t>年期间，全国人口增长了</w:t>
      </w:r>
      <w:r>
        <w:t>4.2%</w:t>
      </w:r>
      <w:r>
        <w:rPr>
          <w:rFonts w:hint="eastAsia"/>
        </w:rPr>
        <w:t>、劳动力资源增长了</w:t>
      </w:r>
      <w:r>
        <w:t>6%</w:t>
      </w:r>
      <w:r>
        <w:rPr>
          <w:rFonts w:hint="eastAsia"/>
        </w:rPr>
        <w:t>，而无经济活动人口增加了</w:t>
      </w:r>
      <w:r>
        <w:t>70%</w:t>
      </w:r>
      <w:r>
        <w:rPr>
          <w:rFonts w:hint="eastAsia"/>
        </w:rPr>
        <w:t>。然而，无经济活动人口作为劳动力资源的比例仅略有上升：从</w:t>
      </w:r>
      <w:r>
        <w:t>15%</w:t>
      </w:r>
      <w:r>
        <w:rPr>
          <w:rFonts w:hint="eastAsia"/>
        </w:rPr>
        <w:t>递增至</w:t>
      </w:r>
      <w:r>
        <w:t>24%</w:t>
      </w:r>
      <w:r>
        <w:rPr>
          <w:rFonts w:hint="eastAsia"/>
        </w:rPr>
        <w:t>。妇女的经济活动也有所下降：</w:t>
      </w:r>
      <w:r>
        <w:t>1992</w:t>
      </w:r>
      <w:r>
        <w:rPr>
          <w:rFonts w:hint="eastAsia"/>
        </w:rPr>
        <w:t>年妇女曾占职工人数的</w:t>
      </w:r>
      <w:r>
        <w:t>49.4%</w:t>
      </w:r>
      <w:r>
        <w:rPr>
          <w:rFonts w:hint="eastAsia"/>
        </w:rPr>
        <w:t>，而</w:t>
      </w:r>
      <w:r>
        <w:t>1996</w:t>
      </w:r>
      <w:r>
        <w:rPr>
          <w:rFonts w:hint="eastAsia"/>
        </w:rPr>
        <w:t>年则为</w:t>
      </w:r>
      <w:r>
        <w:t>48.8%</w:t>
      </w:r>
      <w:r>
        <w:rPr>
          <w:rFonts w:hint="eastAsia"/>
        </w:rPr>
        <w:t>。同样，已到领取养恤金年龄的公民其经济活动也已减少。</w:t>
      </w:r>
      <w:r>
        <w:t>1991</w:t>
      </w:r>
      <w:r>
        <w:rPr>
          <w:rFonts w:hint="eastAsia"/>
        </w:rPr>
        <w:t>年每</w:t>
      </w:r>
      <w:r>
        <w:t>8</w:t>
      </w:r>
      <w:r>
        <w:rPr>
          <w:rFonts w:hint="eastAsia"/>
        </w:rPr>
        <w:t>名领取养恤金者中有</w:t>
      </w:r>
      <w:r>
        <w:t>1</w:t>
      </w:r>
      <w:r>
        <w:rPr>
          <w:rFonts w:hint="eastAsia"/>
        </w:rPr>
        <w:t>人从事工作；如今，每</w:t>
      </w:r>
      <w:r>
        <w:t>20</w:t>
      </w:r>
      <w:r>
        <w:rPr>
          <w:rFonts w:hint="eastAsia"/>
        </w:rPr>
        <w:t>人中仅</w:t>
      </w:r>
      <w:r>
        <w:t>1</w:t>
      </w:r>
      <w:r>
        <w:rPr>
          <w:rFonts w:hint="eastAsia"/>
        </w:rPr>
        <w:t>人从事有益的工作。</w:t>
      </w:r>
    </w:p>
    <w:p w:rsidR="00000000" w:rsidRDefault="00B7115A">
      <w:pPr>
        <w:pStyle w:val="Heading3"/>
      </w:pPr>
      <w:r>
        <w:br w:type="page"/>
      </w:r>
      <w:r>
        <w:rPr>
          <w:rFonts w:hint="eastAsia"/>
        </w:rPr>
        <w:t>可从事经济活动人</w:t>
      </w:r>
      <w:r>
        <w:rPr>
          <w:rFonts w:hint="eastAsia"/>
        </w:rPr>
        <w:t>口的规模</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268"/>
        <w:gridCol w:w="1061"/>
        <w:gridCol w:w="1099"/>
        <w:gridCol w:w="1012"/>
        <w:gridCol w:w="977"/>
        <w:gridCol w:w="890"/>
        <w:gridCol w:w="971"/>
        <w:gridCol w:w="3"/>
      </w:tblGrid>
      <w:tr w:rsidR="00000000">
        <w:tblPrEx>
          <w:tblCellMar>
            <w:top w:w="0" w:type="dxa"/>
            <w:bottom w:w="0" w:type="dxa"/>
          </w:tblCellMar>
        </w:tblPrEx>
        <w:trPr>
          <w:gridAfter w:val="1"/>
        </w:trPr>
        <w:tc>
          <w:tcPr>
            <w:tcW w:w="3268" w:type="dxa"/>
            <w:tcBorders>
              <w:top w:val="single" w:sz="6" w:space="0" w:color="auto"/>
              <w:bottom w:val="single" w:sz="6" w:space="0" w:color="auto"/>
              <w:right w:val="single" w:sz="6" w:space="0" w:color="auto"/>
            </w:tcBorders>
          </w:tcPr>
          <w:p w:rsidR="00000000" w:rsidRDefault="00B7115A">
            <w:pPr>
              <w:ind w:left="113" w:right="113"/>
              <w:jc w:val="center"/>
              <w:rPr>
                <w:sz w:val="21"/>
              </w:rPr>
            </w:pPr>
          </w:p>
        </w:tc>
        <w:tc>
          <w:tcPr>
            <w:tcW w:w="3172" w:type="dxa"/>
            <w:gridSpan w:val="3"/>
            <w:tcBorders>
              <w:top w:val="single" w:sz="6" w:space="0" w:color="auto"/>
              <w:bottom w:val="single" w:sz="6" w:space="0" w:color="auto"/>
              <w:right w:val="single" w:sz="6" w:space="0" w:color="auto"/>
            </w:tcBorders>
          </w:tcPr>
          <w:p w:rsidR="00000000" w:rsidRDefault="00B7115A">
            <w:pPr>
              <w:spacing w:before="120" w:line="240" w:lineRule="auto"/>
              <w:jc w:val="center"/>
              <w:rPr>
                <w:sz w:val="21"/>
              </w:rPr>
            </w:pPr>
            <w:r>
              <w:rPr>
                <w:rFonts w:hint="eastAsia"/>
                <w:sz w:val="21"/>
              </w:rPr>
              <w:t>人</w:t>
            </w:r>
            <w:r>
              <w:rPr>
                <w:sz w:val="21"/>
              </w:rPr>
              <w:t xml:space="preserve">  </w:t>
            </w:r>
            <w:r>
              <w:rPr>
                <w:rFonts w:hint="eastAsia"/>
                <w:sz w:val="21"/>
              </w:rPr>
              <w:t>数</w:t>
            </w:r>
          </w:p>
          <w:p w:rsidR="00000000" w:rsidRDefault="00B7115A">
            <w:pPr>
              <w:jc w:val="center"/>
              <w:rPr>
                <w:sz w:val="21"/>
              </w:rPr>
            </w:pPr>
            <w:r>
              <w:rPr>
                <w:sz w:val="21"/>
              </w:rPr>
              <w:t>(</w:t>
            </w:r>
            <w:r>
              <w:rPr>
                <w:rFonts w:hint="eastAsia"/>
                <w:sz w:val="21"/>
              </w:rPr>
              <w:t>千</w:t>
            </w:r>
            <w:r>
              <w:rPr>
                <w:sz w:val="21"/>
              </w:rPr>
              <w:t>)</w:t>
            </w:r>
          </w:p>
        </w:tc>
        <w:tc>
          <w:tcPr>
            <w:tcW w:w="2838" w:type="dxa"/>
            <w:gridSpan w:val="3"/>
            <w:tcBorders>
              <w:top w:val="single" w:sz="6" w:space="0" w:color="auto"/>
              <w:bottom w:val="single" w:sz="6" w:space="0" w:color="auto"/>
              <w:right w:val="single" w:sz="6" w:space="0" w:color="auto"/>
            </w:tcBorders>
          </w:tcPr>
          <w:p w:rsidR="00000000" w:rsidRDefault="00B7115A">
            <w:pPr>
              <w:spacing w:before="120" w:line="240" w:lineRule="auto"/>
              <w:jc w:val="center"/>
              <w:rPr>
                <w:sz w:val="21"/>
              </w:rPr>
            </w:pPr>
            <w:r>
              <w:rPr>
                <w:rFonts w:hint="eastAsia"/>
                <w:sz w:val="21"/>
              </w:rPr>
              <w:t>可从事经济活动人口的</w:t>
            </w:r>
          </w:p>
          <w:p w:rsidR="00000000" w:rsidRDefault="00B7115A">
            <w:pPr>
              <w:spacing w:line="240" w:lineRule="auto"/>
              <w:jc w:val="center"/>
              <w:rPr>
                <w:sz w:val="21"/>
              </w:rPr>
            </w:pPr>
            <w:r>
              <w:rPr>
                <w:rFonts w:hint="eastAsia"/>
                <w:sz w:val="21"/>
              </w:rPr>
              <w:t>百</w:t>
            </w:r>
            <w:r>
              <w:rPr>
                <w:sz w:val="21"/>
              </w:rPr>
              <w:t xml:space="preserve"> </w:t>
            </w:r>
            <w:r>
              <w:rPr>
                <w:rFonts w:hint="eastAsia"/>
                <w:sz w:val="21"/>
              </w:rPr>
              <w:t>分</w:t>
            </w:r>
            <w:r>
              <w:rPr>
                <w:sz w:val="21"/>
              </w:rPr>
              <w:t xml:space="preserve"> </w:t>
            </w:r>
            <w:r>
              <w:rPr>
                <w:rFonts w:hint="eastAsia"/>
                <w:sz w:val="21"/>
              </w:rPr>
              <w:t>比</w:t>
            </w:r>
          </w:p>
        </w:tc>
      </w:tr>
      <w:tr w:rsidR="00000000">
        <w:tblPrEx>
          <w:tblCellMar>
            <w:top w:w="0" w:type="dxa"/>
            <w:bottom w:w="0" w:type="dxa"/>
          </w:tblCellMar>
        </w:tblPrEx>
        <w:tc>
          <w:tcPr>
            <w:tcW w:w="3268" w:type="dxa"/>
            <w:tcBorders>
              <w:top w:val="nil"/>
              <w:bottom w:val="single" w:sz="6" w:space="0" w:color="auto"/>
              <w:right w:val="single" w:sz="6" w:space="0" w:color="auto"/>
            </w:tcBorders>
          </w:tcPr>
          <w:p w:rsidR="00000000" w:rsidRDefault="00B7115A">
            <w:pPr>
              <w:spacing w:before="60" w:after="40"/>
              <w:ind w:left="113" w:right="113"/>
              <w:rPr>
                <w:sz w:val="21"/>
              </w:rPr>
            </w:pPr>
          </w:p>
        </w:tc>
        <w:tc>
          <w:tcPr>
            <w:tcW w:w="1061" w:type="dxa"/>
            <w:tcBorders>
              <w:top w:val="nil"/>
              <w:left w:val="nil"/>
              <w:bottom w:val="single" w:sz="6" w:space="0" w:color="auto"/>
              <w:right w:val="single" w:sz="6" w:space="0" w:color="auto"/>
            </w:tcBorders>
          </w:tcPr>
          <w:p w:rsidR="00000000" w:rsidRDefault="00B7115A">
            <w:pPr>
              <w:spacing w:before="60" w:after="40"/>
              <w:jc w:val="center"/>
              <w:rPr>
                <w:sz w:val="21"/>
              </w:rPr>
            </w:pPr>
            <w:r>
              <w:rPr>
                <w:sz w:val="21"/>
              </w:rPr>
              <w:t>1994</w:t>
            </w:r>
            <w:r>
              <w:rPr>
                <w:rFonts w:hint="eastAsia"/>
                <w:sz w:val="21"/>
              </w:rPr>
              <w:t>年</w:t>
            </w:r>
          </w:p>
        </w:tc>
        <w:tc>
          <w:tcPr>
            <w:tcW w:w="1099" w:type="dxa"/>
            <w:tcBorders>
              <w:top w:val="nil"/>
              <w:left w:val="nil"/>
              <w:bottom w:val="single" w:sz="6" w:space="0" w:color="auto"/>
              <w:right w:val="single" w:sz="6" w:space="0" w:color="auto"/>
            </w:tcBorders>
          </w:tcPr>
          <w:p w:rsidR="00000000" w:rsidRDefault="00B7115A">
            <w:pPr>
              <w:spacing w:before="60" w:after="40"/>
              <w:jc w:val="center"/>
              <w:rPr>
                <w:sz w:val="21"/>
              </w:rPr>
            </w:pPr>
            <w:r>
              <w:rPr>
                <w:sz w:val="21"/>
              </w:rPr>
              <w:t>1995</w:t>
            </w:r>
            <w:r>
              <w:rPr>
                <w:rFonts w:hint="eastAsia"/>
                <w:sz w:val="21"/>
              </w:rPr>
              <w:t>年</w:t>
            </w:r>
          </w:p>
        </w:tc>
        <w:tc>
          <w:tcPr>
            <w:tcW w:w="1012" w:type="dxa"/>
            <w:tcBorders>
              <w:top w:val="nil"/>
              <w:left w:val="nil"/>
              <w:bottom w:val="single" w:sz="6" w:space="0" w:color="auto"/>
              <w:right w:val="single" w:sz="6" w:space="0" w:color="auto"/>
            </w:tcBorders>
          </w:tcPr>
          <w:p w:rsidR="00000000" w:rsidRDefault="00B7115A">
            <w:pPr>
              <w:spacing w:before="60" w:after="40"/>
              <w:jc w:val="center"/>
              <w:rPr>
                <w:sz w:val="21"/>
              </w:rPr>
            </w:pPr>
            <w:r>
              <w:rPr>
                <w:sz w:val="21"/>
              </w:rPr>
              <w:t>1996</w:t>
            </w:r>
            <w:r>
              <w:rPr>
                <w:rFonts w:hint="eastAsia"/>
                <w:sz w:val="21"/>
              </w:rPr>
              <w:t>年</w:t>
            </w:r>
          </w:p>
        </w:tc>
        <w:tc>
          <w:tcPr>
            <w:tcW w:w="977" w:type="dxa"/>
            <w:tcBorders>
              <w:top w:val="nil"/>
              <w:left w:val="nil"/>
              <w:bottom w:val="single" w:sz="6" w:space="0" w:color="auto"/>
              <w:right w:val="single" w:sz="6" w:space="0" w:color="auto"/>
            </w:tcBorders>
          </w:tcPr>
          <w:p w:rsidR="00000000" w:rsidRDefault="00B7115A">
            <w:pPr>
              <w:spacing w:before="60" w:after="40"/>
              <w:jc w:val="center"/>
              <w:rPr>
                <w:sz w:val="21"/>
              </w:rPr>
            </w:pPr>
            <w:r>
              <w:rPr>
                <w:sz w:val="21"/>
              </w:rPr>
              <w:t>1994</w:t>
            </w:r>
            <w:r>
              <w:rPr>
                <w:rFonts w:hint="eastAsia"/>
                <w:sz w:val="21"/>
              </w:rPr>
              <w:t>年</w:t>
            </w:r>
          </w:p>
        </w:tc>
        <w:tc>
          <w:tcPr>
            <w:tcW w:w="890" w:type="dxa"/>
            <w:tcBorders>
              <w:top w:val="nil"/>
              <w:left w:val="nil"/>
              <w:bottom w:val="single" w:sz="6" w:space="0" w:color="auto"/>
              <w:right w:val="single" w:sz="6" w:space="0" w:color="auto"/>
            </w:tcBorders>
          </w:tcPr>
          <w:p w:rsidR="00000000" w:rsidRDefault="00B7115A">
            <w:pPr>
              <w:spacing w:before="60" w:after="40"/>
              <w:jc w:val="center"/>
              <w:rPr>
                <w:sz w:val="21"/>
              </w:rPr>
            </w:pPr>
            <w:r>
              <w:rPr>
                <w:sz w:val="21"/>
              </w:rPr>
              <w:t>1995</w:t>
            </w:r>
            <w:r>
              <w:rPr>
                <w:rFonts w:hint="eastAsia"/>
                <w:sz w:val="21"/>
              </w:rPr>
              <w:t>年</w:t>
            </w:r>
          </w:p>
        </w:tc>
        <w:tc>
          <w:tcPr>
            <w:tcW w:w="974" w:type="dxa"/>
            <w:gridSpan w:val="2"/>
            <w:tcBorders>
              <w:top w:val="nil"/>
              <w:left w:val="nil"/>
              <w:bottom w:val="single" w:sz="6" w:space="0" w:color="auto"/>
            </w:tcBorders>
          </w:tcPr>
          <w:p w:rsidR="00000000" w:rsidRDefault="00B7115A">
            <w:pPr>
              <w:spacing w:before="60" w:after="40"/>
              <w:jc w:val="center"/>
              <w:rPr>
                <w:sz w:val="21"/>
              </w:rPr>
            </w:pPr>
            <w:r>
              <w:rPr>
                <w:sz w:val="21"/>
              </w:rPr>
              <w:t>1996</w:t>
            </w:r>
            <w:r>
              <w:rPr>
                <w:rFonts w:hint="eastAsia"/>
                <w:sz w:val="21"/>
              </w:rPr>
              <w:t>年</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spacing w:before="120"/>
              <w:ind w:left="113" w:right="113"/>
              <w:rPr>
                <w:sz w:val="21"/>
              </w:rPr>
            </w:pPr>
            <w:r>
              <w:rPr>
                <w:rFonts w:hint="eastAsia"/>
                <w:sz w:val="21"/>
              </w:rPr>
              <w:t>可从事经济活动的人口总数</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spacing w:before="120"/>
              <w:rPr>
                <w:sz w:val="21"/>
              </w:rPr>
            </w:pPr>
            <w:r>
              <w:rPr>
                <w:sz w:val="21"/>
              </w:rPr>
              <w:t>1,716.0</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spacing w:before="120"/>
              <w:rPr>
                <w:sz w:val="21"/>
              </w:rPr>
            </w:pPr>
            <w:r>
              <w:rPr>
                <w:sz w:val="21"/>
              </w:rPr>
              <w:t>1,741.7</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spacing w:before="120"/>
              <w:rPr>
                <w:sz w:val="21"/>
              </w:rPr>
            </w:pPr>
            <w:r>
              <w:rPr>
                <w:sz w:val="21"/>
              </w:rPr>
              <w:t>1,791.5</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spacing w:before="120"/>
              <w:rPr>
                <w:sz w:val="21"/>
              </w:rPr>
            </w:pPr>
            <w:r>
              <w:rPr>
                <w:sz w:val="21"/>
              </w:rPr>
              <w:t>100</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spacing w:before="120"/>
              <w:rPr>
                <w:sz w:val="21"/>
              </w:rPr>
            </w:pPr>
            <w:r>
              <w:rPr>
                <w:sz w:val="21"/>
              </w:rPr>
              <w:t>100</w:t>
            </w:r>
          </w:p>
        </w:tc>
        <w:tc>
          <w:tcPr>
            <w:tcW w:w="974" w:type="dxa"/>
            <w:gridSpan w:val="2"/>
            <w:tcBorders>
              <w:top w:val="nil"/>
              <w:left w:val="nil"/>
            </w:tcBorders>
          </w:tcPr>
          <w:p w:rsidR="00000000" w:rsidRDefault="00B7115A">
            <w:pPr>
              <w:tabs>
                <w:tab w:val="clear" w:pos="510"/>
                <w:tab w:val="clear" w:pos="1021"/>
                <w:tab w:val="clear" w:pos="1531"/>
                <w:tab w:val="clear" w:pos="2041"/>
                <w:tab w:val="decimal" w:pos="573"/>
              </w:tabs>
              <w:spacing w:before="120"/>
              <w:rPr>
                <w:sz w:val="21"/>
              </w:rPr>
            </w:pPr>
            <w:r>
              <w:rPr>
                <w:sz w:val="21"/>
              </w:rPr>
              <w:t>100</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男</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875.0</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894.4</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958.9</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100</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100</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100</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女</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841.0</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847.3</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832.6</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100</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100</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100</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spacing w:line="240" w:lineRule="auto"/>
              <w:ind w:left="113" w:right="113"/>
              <w:rPr>
                <w:sz w:val="21"/>
              </w:rPr>
            </w:pPr>
            <w:r>
              <w:rPr>
                <w:rFonts w:hint="eastAsia"/>
                <w:sz w:val="21"/>
              </w:rPr>
              <w:t>可从事经济活动人口中的实际工作</w:t>
            </w:r>
            <w:r>
              <w:rPr>
                <w:sz w:val="21"/>
              </w:rPr>
              <w:t>(</w:t>
            </w:r>
            <w:r>
              <w:rPr>
                <w:rFonts w:hint="eastAsia"/>
                <w:sz w:val="21"/>
              </w:rPr>
              <w:t>总</w:t>
            </w:r>
            <w:r>
              <w:rPr>
                <w:sz w:val="21"/>
              </w:rPr>
              <w:t>)</w:t>
            </w:r>
            <w:r>
              <w:rPr>
                <w:rFonts w:hint="eastAsia"/>
                <w:sz w:val="21"/>
              </w:rPr>
              <w:t>人数</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1,645.4</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1641.7</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1,651.5</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95.9</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94.3</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92.2</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男</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847.4</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853.7</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897.0</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96.8</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95.4</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93.5</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女</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798.0</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788.0</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754.5</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94.9</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93.0</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90.6</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rPr>
                <w:sz w:val="21"/>
              </w:rPr>
            </w:pPr>
            <w:r>
              <w:rPr>
                <w:rFonts w:hint="eastAsia"/>
                <w:sz w:val="21"/>
              </w:rPr>
              <w:t>失业</w:t>
            </w:r>
            <w:r>
              <w:rPr>
                <w:sz w:val="21"/>
              </w:rPr>
              <w:t>(</w:t>
            </w:r>
            <w:r>
              <w:rPr>
                <w:rFonts w:hint="eastAsia"/>
                <w:sz w:val="21"/>
              </w:rPr>
              <w:t>总</w:t>
            </w:r>
            <w:r>
              <w:rPr>
                <w:sz w:val="21"/>
              </w:rPr>
              <w:t>)</w:t>
            </w:r>
            <w:r>
              <w:rPr>
                <w:rFonts w:hint="eastAsia"/>
                <w:sz w:val="21"/>
              </w:rPr>
              <w:t>人数</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70.6</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100.0</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140.0</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4.1</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5.7</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7.8</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男</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27.6</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40.7</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61.9</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3.2</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4.6</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6.5</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女</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43.0</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59.3</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78.1</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5.1</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7.0</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9.4</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spacing w:line="240" w:lineRule="auto"/>
              <w:ind w:left="113" w:right="113"/>
              <w:rPr>
                <w:sz w:val="21"/>
              </w:rPr>
            </w:pPr>
            <w:r>
              <w:rPr>
                <w:rFonts w:hint="eastAsia"/>
                <w:sz w:val="21"/>
              </w:rPr>
              <w:t>其中，在国家就业服务局正式登记的</w:t>
            </w:r>
            <w:r>
              <w:rPr>
                <w:sz w:val="21"/>
              </w:rPr>
              <w:t>(</w:t>
            </w:r>
            <w:r>
              <w:rPr>
                <w:rFonts w:hint="eastAsia"/>
                <w:sz w:val="21"/>
              </w:rPr>
              <w:t>总</w:t>
            </w:r>
            <w:r>
              <w:rPr>
                <w:sz w:val="21"/>
              </w:rPr>
              <w:t>)</w:t>
            </w:r>
            <w:r>
              <w:rPr>
                <w:rFonts w:hint="eastAsia"/>
                <w:sz w:val="21"/>
              </w:rPr>
              <w:t>人数</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12.6</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50.4</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77.2</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0.7</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2.9</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4.3</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男</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4.9</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20.5</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32.5</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0.6</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2.3</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3.4</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女</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7.7</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29.9</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44.7</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0.9</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3.5</w:t>
            </w:r>
          </w:p>
        </w:tc>
        <w:tc>
          <w:tcPr>
            <w:tcW w:w="974" w:type="dxa"/>
            <w:gridSpan w:val="2"/>
            <w:tcBorders>
              <w:left w:val="nil"/>
            </w:tcBorders>
          </w:tcPr>
          <w:p w:rsidR="00000000" w:rsidRDefault="00B7115A">
            <w:pPr>
              <w:tabs>
                <w:tab w:val="clear" w:pos="510"/>
                <w:tab w:val="clear" w:pos="1021"/>
                <w:tab w:val="clear" w:pos="1531"/>
                <w:tab w:val="clear" w:pos="2041"/>
                <w:tab w:val="decimal" w:pos="573"/>
              </w:tabs>
              <w:rPr>
                <w:sz w:val="21"/>
              </w:rPr>
            </w:pPr>
            <w:r>
              <w:rPr>
                <w:sz w:val="21"/>
              </w:rPr>
              <w:t>5.4</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rPr>
                <w:sz w:val="21"/>
              </w:rPr>
            </w:pPr>
            <w:r>
              <w:rPr>
                <w:rFonts w:hint="eastAsia"/>
                <w:sz w:val="21"/>
              </w:rPr>
              <w:t>其中，失业救济金领取者</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7.9</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28.9</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25.2</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0.5</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1.7</w:t>
            </w:r>
          </w:p>
        </w:tc>
        <w:tc>
          <w:tcPr>
            <w:tcW w:w="974" w:type="dxa"/>
            <w:gridSpan w:val="2"/>
            <w:tcBorders>
              <w:left w:val="nil"/>
              <w:bottom w:val="nil"/>
            </w:tcBorders>
          </w:tcPr>
          <w:p w:rsidR="00000000" w:rsidRDefault="00B7115A">
            <w:pPr>
              <w:tabs>
                <w:tab w:val="clear" w:pos="510"/>
                <w:tab w:val="clear" w:pos="1021"/>
                <w:tab w:val="clear" w:pos="1531"/>
                <w:tab w:val="clear" w:pos="2041"/>
                <w:tab w:val="decimal" w:pos="573"/>
              </w:tabs>
              <w:rPr>
                <w:sz w:val="21"/>
              </w:rPr>
            </w:pPr>
            <w:r>
              <w:rPr>
                <w:sz w:val="21"/>
              </w:rPr>
              <w:t>1.4</w:t>
            </w:r>
          </w:p>
        </w:tc>
      </w:tr>
      <w:tr w:rsidR="00000000">
        <w:tblPrEx>
          <w:tblCellMar>
            <w:top w:w="0" w:type="dxa"/>
            <w:bottom w:w="0" w:type="dxa"/>
          </w:tblCellMar>
        </w:tblPrEx>
        <w:tc>
          <w:tcPr>
            <w:tcW w:w="3268" w:type="dxa"/>
            <w:tcBorders>
              <w:top w:val="nil"/>
              <w:bottom w:val="nil"/>
              <w:right w:val="single" w:sz="6" w:space="0" w:color="auto"/>
            </w:tcBorders>
          </w:tcPr>
          <w:p w:rsidR="00000000" w:rsidRDefault="00B7115A">
            <w:pPr>
              <w:ind w:left="113" w:right="113" w:firstLine="247"/>
              <w:rPr>
                <w:sz w:val="21"/>
              </w:rPr>
            </w:pPr>
            <w:r>
              <w:rPr>
                <w:rFonts w:hint="eastAsia"/>
                <w:sz w:val="21"/>
              </w:rPr>
              <w:t>男</w:t>
            </w:r>
            <w:r>
              <w:rPr>
                <w:sz w:val="21"/>
              </w:rPr>
              <w:t xml:space="preserve">  </w:t>
            </w:r>
            <w:r>
              <w:rPr>
                <w:rFonts w:hint="eastAsia"/>
                <w:sz w:val="21"/>
              </w:rPr>
              <w:t>性</w:t>
            </w:r>
          </w:p>
        </w:tc>
        <w:tc>
          <w:tcPr>
            <w:tcW w:w="1061"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3.2</w:t>
            </w:r>
          </w:p>
        </w:tc>
        <w:tc>
          <w:tcPr>
            <w:tcW w:w="1099"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11.9</w:t>
            </w:r>
          </w:p>
        </w:tc>
        <w:tc>
          <w:tcPr>
            <w:tcW w:w="1012"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9.9</w:t>
            </w:r>
          </w:p>
        </w:tc>
        <w:tc>
          <w:tcPr>
            <w:tcW w:w="977"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0.4</w:t>
            </w:r>
          </w:p>
        </w:tc>
        <w:tc>
          <w:tcPr>
            <w:tcW w:w="890" w:type="dxa"/>
            <w:tcBorders>
              <w:top w:val="nil"/>
              <w:left w:val="nil"/>
              <w:bottom w:val="nil"/>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1.3</w:t>
            </w:r>
          </w:p>
        </w:tc>
        <w:tc>
          <w:tcPr>
            <w:tcW w:w="974" w:type="dxa"/>
            <w:gridSpan w:val="2"/>
            <w:tcBorders>
              <w:left w:val="nil"/>
              <w:bottom w:val="nil"/>
            </w:tcBorders>
          </w:tcPr>
          <w:p w:rsidR="00000000" w:rsidRDefault="00B7115A">
            <w:pPr>
              <w:tabs>
                <w:tab w:val="clear" w:pos="510"/>
                <w:tab w:val="clear" w:pos="1021"/>
                <w:tab w:val="clear" w:pos="1531"/>
                <w:tab w:val="clear" w:pos="2041"/>
                <w:tab w:val="decimal" w:pos="573"/>
              </w:tabs>
              <w:rPr>
                <w:sz w:val="21"/>
              </w:rPr>
            </w:pPr>
            <w:r>
              <w:rPr>
                <w:sz w:val="21"/>
              </w:rPr>
              <w:t>1.0</w:t>
            </w:r>
          </w:p>
        </w:tc>
      </w:tr>
      <w:tr w:rsidR="00000000">
        <w:tblPrEx>
          <w:tblCellMar>
            <w:top w:w="0" w:type="dxa"/>
            <w:bottom w:w="0" w:type="dxa"/>
          </w:tblCellMar>
        </w:tblPrEx>
        <w:tc>
          <w:tcPr>
            <w:tcW w:w="3268" w:type="dxa"/>
            <w:tcBorders>
              <w:top w:val="nil"/>
              <w:bottom w:val="single" w:sz="6" w:space="0" w:color="auto"/>
              <w:right w:val="single" w:sz="6" w:space="0" w:color="auto"/>
            </w:tcBorders>
          </w:tcPr>
          <w:p w:rsidR="00000000" w:rsidRDefault="00B7115A">
            <w:pPr>
              <w:ind w:left="113" w:right="113" w:firstLine="247"/>
              <w:rPr>
                <w:sz w:val="21"/>
              </w:rPr>
            </w:pPr>
            <w:r>
              <w:rPr>
                <w:rFonts w:hint="eastAsia"/>
                <w:sz w:val="21"/>
              </w:rPr>
              <w:t>女</w:t>
            </w:r>
            <w:r>
              <w:rPr>
                <w:sz w:val="21"/>
              </w:rPr>
              <w:t xml:space="preserve">  </w:t>
            </w:r>
            <w:r>
              <w:rPr>
                <w:rFonts w:hint="eastAsia"/>
                <w:sz w:val="21"/>
              </w:rPr>
              <w:t>性</w:t>
            </w:r>
          </w:p>
        </w:tc>
        <w:tc>
          <w:tcPr>
            <w:tcW w:w="1061"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4.7</w:t>
            </w:r>
          </w:p>
        </w:tc>
        <w:tc>
          <w:tcPr>
            <w:tcW w:w="1099"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17.0</w:t>
            </w:r>
          </w:p>
        </w:tc>
        <w:tc>
          <w:tcPr>
            <w:tcW w:w="1012"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15.3</w:t>
            </w:r>
          </w:p>
        </w:tc>
        <w:tc>
          <w:tcPr>
            <w:tcW w:w="977"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0.6</w:t>
            </w:r>
          </w:p>
        </w:tc>
        <w:tc>
          <w:tcPr>
            <w:tcW w:w="890"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 w:val="decimal" w:pos="572"/>
              </w:tabs>
              <w:rPr>
                <w:sz w:val="21"/>
              </w:rPr>
            </w:pPr>
            <w:r>
              <w:rPr>
                <w:sz w:val="21"/>
              </w:rPr>
              <w:t>2.0</w:t>
            </w:r>
          </w:p>
        </w:tc>
        <w:tc>
          <w:tcPr>
            <w:tcW w:w="974" w:type="dxa"/>
            <w:gridSpan w:val="2"/>
            <w:tcBorders>
              <w:top w:val="nil"/>
              <w:left w:val="nil"/>
              <w:bottom w:val="single" w:sz="6" w:space="0" w:color="auto"/>
            </w:tcBorders>
          </w:tcPr>
          <w:p w:rsidR="00000000" w:rsidRDefault="00B7115A">
            <w:pPr>
              <w:tabs>
                <w:tab w:val="clear" w:pos="510"/>
                <w:tab w:val="clear" w:pos="1021"/>
                <w:tab w:val="clear" w:pos="1531"/>
                <w:tab w:val="clear" w:pos="2041"/>
                <w:tab w:val="decimal" w:pos="573"/>
              </w:tabs>
              <w:rPr>
                <w:sz w:val="21"/>
              </w:rPr>
            </w:pPr>
            <w:r>
              <w:rPr>
                <w:sz w:val="21"/>
              </w:rPr>
              <w:t>1.8</w:t>
            </w:r>
          </w:p>
        </w:tc>
      </w:tr>
    </w:tbl>
    <w:p w:rsidR="00000000" w:rsidRDefault="00B7115A">
      <w:pPr>
        <w:pStyle w:val="Heading4"/>
        <w:spacing w:before="360"/>
      </w:pPr>
      <w:r>
        <w:t>1997</w:t>
      </w:r>
      <w:r>
        <w:rPr>
          <w:rFonts w:hint="eastAsia"/>
        </w:rPr>
        <w:t>年吉尔吉斯斯坦的劳动力市场</w:t>
      </w:r>
    </w:p>
    <w:p w:rsidR="00000000" w:rsidRDefault="00B7115A">
      <w:r>
        <w:tab/>
        <w:t>22.  1997</w:t>
      </w:r>
      <w:r>
        <w:rPr>
          <w:rFonts w:hint="eastAsia"/>
        </w:rPr>
        <w:t>年共有</w:t>
      </w:r>
      <w:r>
        <w:t>143,000</w:t>
      </w:r>
      <w:r>
        <w:rPr>
          <w:rFonts w:hint="eastAsia"/>
        </w:rPr>
        <w:t>人寻求国家就业服务局的帮助。在这一总人数中：</w:t>
      </w:r>
    </w:p>
    <w:p w:rsidR="00000000" w:rsidRDefault="00B7115A">
      <w:pPr>
        <w:ind w:left="1036"/>
      </w:pPr>
      <w:r>
        <w:tab/>
        <w:t>81,000</w:t>
      </w:r>
      <w:r>
        <w:rPr>
          <w:rFonts w:hint="eastAsia"/>
        </w:rPr>
        <w:t>人登记为寻求就业者；</w:t>
      </w:r>
    </w:p>
    <w:p w:rsidR="00000000" w:rsidRDefault="00B7115A">
      <w:pPr>
        <w:ind w:left="1036"/>
      </w:pPr>
      <w:r>
        <w:tab/>
        <w:t>62,000</w:t>
      </w:r>
      <w:r>
        <w:rPr>
          <w:rFonts w:hint="eastAsia"/>
        </w:rPr>
        <w:t>人征求了有关调换工作地点、《劳工法》、职业培训等方面的咨询意见</w:t>
      </w:r>
      <w:r>
        <w:rPr>
          <w:rFonts w:hint="eastAsia"/>
        </w:rPr>
        <w:t>；</w:t>
      </w:r>
    </w:p>
    <w:p w:rsidR="00000000" w:rsidRDefault="00B7115A">
      <w:pPr>
        <w:ind w:left="1036"/>
      </w:pPr>
      <w:r>
        <w:tab/>
        <w:t>22,900</w:t>
      </w:r>
      <w:r>
        <w:rPr>
          <w:rFonts w:hint="eastAsia"/>
        </w:rPr>
        <w:t>人被安排就业；</w:t>
      </w:r>
    </w:p>
    <w:p w:rsidR="00000000" w:rsidRDefault="00B7115A">
      <w:pPr>
        <w:ind w:left="1036"/>
      </w:pPr>
      <w:r>
        <w:tab/>
        <w:t>57,900</w:t>
      </w:r>
      <w:r>
        <w:rPr>
          <w:rFonts w:hint="eastAsia"/>
        </w:rPr>
        <w:t>人被赋予失业地位；</w:t>
      </w:r>
    </w:p>
    <w:p w:rsidR="00000000" w:rsidRDefault="00B7115A">
      <w:pPr>
        <w:ind w:left="1036"/>
      </w:pPr>
      <w:r>
        <w:tab/>
        <w:t>54,000</w:t>
      </w:r>
      <w:r>
        <w:rPr>
          <w:rFonts w:hint="eastAsia"/>
        </w:rPr>
        <w:t>人被指派接受职业培训和再培训方案；</w:t>
      </w:r>
    </w:p>
    <w:p w:rsidR="00000000" w:rsidRDefault="00B7115A">
      <w:pPr>
        <w:ind w:left="1036"/>
      </w:pPr>
      <w:r>
        <w:tab/>
        <w:t>11,800</w:t>
      </w:r>
      <w:r>
        <w:rPr>
          <w:rFonts w:hint="eastAsia"/>
        </w:rPr>
        <w:t>人被指派从事社区工作；</w:t>
      </w:r>
    </w:p>
    <w:p w:rsidR="00000000" w:rsidRDefault="00B7115A">
      <w:pPr>
        <w:ind w:left="1036"/>
      </w:pPr>
      <w:r>
        <w:tab/>
        <w:t>4,100</w:t>
      </w:r>
      <w:r>
        <w:rPr>
          <w:rFonts w:hint="eastAsia"/>
        </w:rPr>
        <w:t>失业公民与就业服务局签订了自行开业的合同；</w:t>
      </w:r>
    </w:p>
    <w:p w:rsidR="00000000" w:rsidRDefault="00B7115A">
      <w:pPr>
        <w:ind w:left="1036"/>
      </w:pPr>
      <w:r>
        <w:tab/>
      </w:r>
      <w:r>
        <w:rPr>
          <w:rFonts w:hint="eastAsia"/>
        </w:rPr>
        <w:t>国家就业服务局掌握的职位空缺数量的信息从</w:t>
      </w:r>
      <w:r>
        <w:t>1,525,000</w:t>
      </w:r>
      <w:r>
        <w:rPr>
          <w:rFonts w:hint="eastAsia"/>
        </w:rPr>
        <w:t>个增长至</w:t>
      </w:r>
      <w:r>
        <w:t>1,985,000</w:t>
      </w:r>
      <w:r>
        <w:rPr>
          <w:rFonts w:hint="eastAsia"/>
        </w:rPr>
        <w:t>个；</w:t>
      </w:r>
    </w:p>
    <w:p w:rsidR="00000000" w:rsidRDefault="00B7115A">
      <w:pPr>
        <w:spacing w:after="320"/>
        <w:ind w:left="1036"/>
        <w:textAlignment w:val="center"/>
      </w:pPr>
      <w:r>
        <w:tab/>
      </w:r>
      <w:r>
        <w:rPr>
          <w:rFonts w:hint="eastAsia"/>
        </w:rPr>
        <w:t>每一空缺职位与求职者人数</w:t>
      </w:r>
      <w:r>
        <w:t>(</w:t>
      </w:r>
      <w:r>
        <w:rPr>
          <w:rFonts w:hint="eastAsia"/>
        </w:rPr>
        <w:t>包括失业者和无职业者</w:t>
      </w:r>
      <w:r>
        <w:t>)</w:t>
      </w:r>
      <w:r>
        <w:rPr>
          <w:rFonts w:hint="eastAsia"/>
        </w:rPr>
        <w:t>的比例，于该年期间从</w:t>
      </w:r>
      <w:r>
        <w:t>1</w:t>
      </w:r>
      <w:r>
        <w:rPr>
          <w:rFonts w:hint="eastAsia"/>
        </w:rPr>
        <w:t>比</w:t>
      </w:r>
      <w:r>
        <w:t>80,</w:t>
      </w:r>
      <w:r>
        <w:rPr>
          <w:rFonts w:hint="eastAsia"/>
        </w:rPr>
        <w:t>下降至</w:t>
      </w:r>
      <w:r>
        <w:t>1</w:t>
      </w:r>
      <w:r>
        <w:rPr>
          <w:rFonts w:hint="eastAsia"/>
        </w:rPr>
        <w:t>比</w:t>
      </w:r>
      <w:r>
        <w:t>37</w:t>
      </w:r>
      <w:r>
        <w:rPr>
          <w:rFonts w:hint="eastAsia"/>
        </w:rPr>
        <w:t>。</w:t>
      </w:r>
    </w:p>
    <w:p w:rsidR="00000000" w:rsidRDefault="00B7115A">
      <w:pPr>
        <w:pStyle w:val="Heading4"/>
      </w:pPr>
      <w:r>
        <w:rPr>
          <w:rFonts w:hint="eastAsia"/>
        </w:rPr>
        <w:t>通过国家就业服务局寻求就业者</w:t>
      </w:r>
    </w:p>
    <w:p w:rsidR="00000000" w:rsidRDefault="00B7115A">
      <w:r>
        <w:tab/>
        <w:t>23.  1992</w:t>
      </w:r>
      <w:r>
        <w:rPr>
          <w:rFonts w:hint="eastAsia"/>
        </w:rPr>
        <w:t>年，</w:t>
      </w:r>
      <w:r>
        <w:t>15,600</w:t>
      </w:r>
      <w:r>
        <w:rPr>
          <w:rFonts w:hint="eastAsia"/>
        </w:rPr>
        <w:t>位求职者向就业服务局提出申请，要求帮助寻找工</w:t>
      </w:r>
      <w:r>
        <w:rPr>
          <w:rFonts w:hint="eastAsia"/>
        </w:rPr>
        <w:t>作</w:t>
      </w:r>
      <w:r>
        <w:t>(</w:t>
      </w:r>
      <w:r>
        <w:rPr>
          <w:rFonts w:hint="eastAsia"/>
        </w:rPr>
        <w:t>占就业服务局来访总人数的</w:t>
      </w:r>
      <w:r>
        <w:t>56%)</w:t>
      </w:r>
      <w:r>
        <w:rPr>
          <w:rFonts w:hint="eastAsia"/>
        </w:rPr>
        <w:t>。</w:t>
      </w:r>
      <w:r>
        <w:t>1996</w:t>
      </w:r>
      <w:r>
        <w:rPr>
          <w:rFonts w:hint="eastAsia"/>
        </w:rPr>
        <w:t>年这一数字上升至</w:t>
      </w:r>
      <w:r>
        <w:t>54,000</w:t>
      </w:r>
      <w:r>
        <w:rPr>
          <w:rFonts w:hint="eastAsia"/>
        </w:rPr>
        <w:t>人</w:t>
      </w:r>
      <w:r>
        <w:t>(</w:t>
      </w:r>
      <w:r>
        <w:rPr>
          <w:rFonts w:hint="eastAsia"/>
        </w:rPr>
        <w:t>占来访总人数的</w:t>
      </w:r>
      <w:r>
        <w:t>54%)</w:t>
      </w:r>
      <w:r>
        <w:rPr>
          <w:rFonts w:hint="eastAsia"/>
        </w:rPr>
        <w:t>，在</w:t>
      </w:r>
      <w:r>
        <w:t>1997</w:t>
      </w:r>
      <w:r>
        <w:rPr>
          <w:rFonts w:hint="eastAsia"/>
        </w:rPr>
        <w:t>年前</w:t>
      </w:r>
      <w:r>
        <w:t>9</w:t>
      </w:r>
      <w:r>
        <w:rPr>
          <w:rFonts w:hint="eastAsia"/>
        </w:rPr>
        <w:t>个月期间，求职者占来访总人数的</w:t>
      </w:r>
      <w:r>
        <w:t>52%</w:t>
      </w:r>
      <w:r>
        <w:rPr>
          <w:rFonts w:hint="eastAsia"/>
        </w:rPr>
        <w:t>。这些求职者中，</w:t>
      </w:r>
      <w:r>
        <w:t>1992</w:t>
      </w:r>
      <w:r>
        <w:rPr>
          <w:rFonts w:hint="eastAsia"/>
        </w:rPr>
        <w:t>年有</w:t>
      </w:r>
      <w:r>
        <w:t>5,200</w:t>
      </w:r>
      <w:r>
        <w:rPr>
          <w:rFonts w:hint="eastAsia"/>
        </w:rPr>
        <w:t>人被安排就业；</w:t>
      </w:r>
      <w:r>
        <w:t>1996</w:t>
      </w:r>
      <w:r>
        <w:rPr>
          <w:rFonts w:hint="eastAsia"/>
        </w:rPr>
        <w:t>年有</w:t>
      </w:r>
      <w:r>
        <w:t>7,400</w:t>
      </w:r>
      <w:r>
        <w:rPr>
          <w:rFonts w:hint="eastAsia"/>
        </w:rPr>
        <w:t>人就业，</w:t>
      </w:r>
      <w:r>
        <w:t>1997</w:t>
      </w:r>
      <w:r>
        <w:rPr>
          <w:rFonts w:hint="eastAsia"/>
        </w:rPr>
        <w:t>年前</w:t>
      </w:r>
      <w:r>
        <w:t>9</w:t>
      </w:r>
      <w:r>
        <w:rPr>
          <w:rFonts w:hint="eastAsia"/>
        </w:rPr>
        <w:t>个月期间，有</w:t>
      </w:r>
      <w:r>
        <w:t>5,600</w:t>
      </w:r>
      <w:r>
        <w:rPr>
          <w:rFonts w:hint="eastAsia"/>
        </w:rPr>
        <w:t>人就业。</w:t>
      </w:r>
    </w:p>
    <w:p w:rsidR="00000000" w:rsidRDefault="00B7115A">
      <w:r>
        <w:tab/>
        <w:t xml:space="preserve">24.  </w:t>
      </w:r>
      <w:r>
        <w:rPr>
          <w:rFonts w:hint="eastAsia"/>
        </w:rPr>
        <w:t>总计</w:t>
      </w:r>
      <w:r>
        <w:t>1997</w:t>
      </w:r>
      <w:r>
        <w:rPr>
          <w:rFonts w:hint="eastAsia"/>
        </w:rPr>
        <w:t>年期间有</w:t>
      </w:r>
      <w:r>
        <w:t>143,000</w:t>
      </w:r>
      <w:r>
        <w:rPr>
          <w:rFonts w:hint="eastAsia"/>
        </w:rPr>
        <w:t>人，包括</w:t>
      </w:r>
      <w:r>
        <w:t>81,000</w:t>
      </w:r>
      <w:r>
        <w:rPr>
          <w:rFonts w:hint="eastAsia"/>
        </w:rPr>
        <w:t>名求职者寻求吉尔吉斯斯坦就业服务局的帮助。</w:t>
      </w:r>
      <w:r>
        <w:t>1997</w:t>
      </w:r>
      <w:r>
        <w:rPr>
          <w:rFonts w:hint="eastAsia"/>
        </w:rPr>
        <w:t>年的寻求职业者比</w:t>
      </w:r>
      <w:r>
        <w:t>1996</w:t>
      </w:r>
      <w:r>
        <w:rPr>
          <w:rFonts w:hint="eastAsia"/>
        </w:rPr>
        <w:t>年减少了</w:t>
      </w:r>
      <w:r>
        <w:t>18,700</w:t>
      </w:r>
      <w:r>
        <w:rPr>
          <w:rFonts w:hint="eastAsia"/>
        </w:rPr>
        <w:t>人，即下降了</w:t>
      </w:r>
      <w:r>
        <w:t>23%</w:t>
      </w:r>
      <w:r>
        <w:rPr>
          <w:rFonts w:hint="eastAsia"/>
        </w:rPr>
        <w:t>。全国月平均求职申请人数是</w:t>
      </w:r>
      <w:r>
        <w:t>6,700</w:t>
      </w:r>
      <w:r>
        <w:rPr>
          <w:rFonts w:hint="eastAsia"/>
        </w:rPr>
        <w:t>人。求职申请人数</w:t>
      </w:r>
      <w:r>
        <w:rPr>
          <w:rFonts w:hint="eastAsia"/>
        </w:rPr>
        <w:t>最多的是奥什州</w:t>
      </w:r>
      <w:r>
        <w:t>(35.8%)</w:t>
      </w:r>
      <w:r>
        <w:rPr>
          <w:rFonts w:hint="eastAsia"/>
        </w:rPr>
        <w:t>、楚河州</w:t>
      </w:r>
      <w:r>
        <w:t>(15.7%)</w:t>
      </w:r>
      <w:r>
        <w:rPr>
          <w:rFonts w:hint="eastAsia"/>
        </w:rPr>
        <w:t>和贾拉拉巴德州</w:t>
      </w:r>
      <w:r>
        <w:t>(18.1%)</w:t>
      </w:r>
      <w:r>
        <w:rPr>
          <w:rFonts w:hint="eastAsia"/>
        </w:rPr>
        <w:t>。妇女占求职申请人总数的</w:t>
      </w:r>
      <w:r>
        <w:t>52.5%</w:t>
      </w:r>
      <w:r>
        <w:rPr>
          <w:rFonts w:hint="eastAsia"/>
        </w:rPr>
        <w:t>、吉尔吉斯斯坦籍国民为</w:t>
      </w:r>
      <w:r>
        <w:t>55.4%</w:t>
      </w:r>
      <w:r>
        <w:rPr>
          <w:rFonts w:hint="eastAsia"/>
        </w:rPr>
        <w:t>，</w:t>
      </w:r>
      <w:r>
        <w:t>29</w:t>
      </w:r>
      <w:r>
        <w:rPr>
          <w:rFonts w:hint="eastAsia"/>
        </w:rPr>
        <w:t>岁或更年青的求职者为</w:t>
      </w:r>
      <w:r>
        <w:t>31.2%</w:t>
      </w:r>
      <w:r>
        <w:rPr>
          <w:rFonts w:hint="eastAsia"/>
        </w:rPr>
        <w:t>。在这批求职者中，体力工人占</w:t>
      </w:r>
      <w:r>
        <w:t>55.4%</w:t>
      </w:r>
      <w:r>
        <w:rPr>
          <w:rFonts w:hint="eastAsia"/>
        </w:rPr>
        <w:t>、非体力工人占</w:t>
      </w:r>
      <w:r>
        <w:t>26.5%</w:t>
      </w:r>
      <w:r>
        <w:rPr>
          <w:rFonts w:hint="eastAsia"/>
        </w:rPr>
        <w:t>，首次求职者占</w:t>
      </w:r>
      <w:r>
        <w:t>18.1%</w:t>
      </w:r>
      <w:r>
        <w:rPr>
          <w:rFonts w:hint="eastAsia"/>
        </w:rPr>
        <w:t>。在求职总人数中，</w:t>
      </w:r>
      <w:r>
        <w:t>1.3%</w:t>
      </w:r>
      <w:r>
        <w:rPr>
          <w:rFonts w:hint="eastAsia"/>
        </w:rPr>
        <w:t>是高校毕业生、</w:t>
      </w:r>
      <w:r>
        <w:t>2.0%</w:t>
      </w:r>
      <w:r>
        <w:rPr>
          <w:rFonts w:hint="eastAsia"/>
        </w:rPr>
        <w:t>为中等专业教育机构毕业生、</w:t>
      </w:r>
      <w:r>
        <w:t>3.1%</w:t>
      </w:r>
      <w:r>
        <w:rPr>
          <w:rFonts w:hint="eastAsia"/>
        </w:rPr>
        <w:t>为职业和技术学校毕业生，还有</w:t>
      </w:r>
      <w:r>
        <w:t>4.9%</w:t>
      </w:r>
      <w:r>
        <w:rPr>
          <w:rFonts w:hint="eastAsia"/>
        </w:rPr>
        <w:t>为辍学生。</w:t>
      </w:r>
    </w:p>
    <w:p w:rsidR="00000000" w:rsidRDefault="00B7115A"/>
    <w:p w:rsidR="00000000" w:rsidRDefault="00B7115A">
      <w:pPr>
        <w:pStyle w:val="Heading3"/>
      </w:pPr>
      <w:r>
        <w:br w:type="page"/>
      </w:r>
      <w:r>
        <w:rPr>
          <w:rFonts w:hint="eastAsia"/>
        </w:rPr>
        <w:t>国家就业服务局各介绍处安排的就业情况</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00"/>
        <w:gridCol w:w="861"/>
        <w:gridCol w:w="975"/>
        <w:gridCol w:w="989"/>
        <w:gridCol w:w="775"/>
        <w:gridCol w:w="863"/>
        <w:gridCol w:w="858"/>
        <w:gridCol w:w="757"/>
        <w:gridCol w:w="882"/>
        <w:gridCol w:w="3"/>
      </w:tblGrid>
      <w:tr w:rsidR="00000000">
        <w:tblPrEx>
          <w:tblCellMar>
            <w:top w:w="0" w:type="dxa"/>
            <w:bottom w:w="0" w:type="dxa"/>
          </w:tblCellMar>
        </w:tblPrEx>
        <w:trPr>
          <w:gridAfter w:val="1"/>
        </w:trPr>
        <w:tc>
          <w:tcPr>
            <w:tcW w:w="2400" w:type="dxa"/>
          </w:tcPr>
          <w:p w:rsidR="00000000" w:rsidRDefault="00B7115A">
            <w:pPr>
              <w:spacing w:before="120" w:after="40"/>
              <w:ind w:left="113" w:right="113"/>
              <w:rPr>
                <w:sz w:val="21"/>
              </w:rPr>
            </w:pPr>
          </w:p>
        </w:tc>
        <w:tc>
          <w:tcPr>
            <w:tcW w:w="3600" w:type="dxa"/>
            <w:gridSpan w:val="4"/>
          </w:tcPr>
          <w:p w:rsidR="00000000" w:rsidRDefault="00B7115A">
            <w:pPr>
              <w:spacing w:before="120" w:after="40"/>
              <w:jc w:val="center"/>
              <w:rPr>
                <w:sz w:val="21"/>
              </w:rPr>
            </w:pPr>
            <w:r>
              <w:rPr>
                <w:rFonts w:hint="eastAsia"/>
                <w:sz w:val="21"/>
              </w:rPr>
              <w:t>请求就业安排的人数</w:t>
            </w:r>
          </w:p>
        </w:tc>
        <w:tc>
          <w:tcPr>
            <w:tcW w:w="3360" w:type="dxa"/>
            <w:gridSpan w:val="4"/>
          </w:tcPr>
          <w:p w:rsidR="00000000" w:rsidRDefault="00B7115A">
            <w:pPr>
              <w:spacing w:before="120" w:after="40"/>
              <w:jc w:val="center"/>
              <w:rPr>
                <w:sz w:val="21"/>
              </w:rPr>
            </w:pPr>
            <w:r>
              <w:rPr>
                <w:rFonts w:hint="eastAsia"/>
                <w:sz w:val="21"/>
              </w:rPr>
              <w:t>已安排就业的人数</w:t>
            </w:r>
          </w:p>
        </w:tc>
      </w:tr>
      <w:tr w:rsidR="00000000">
        <w:tblPrEx>
          <w:tblCellMar>
            <w:top w:w="0" w:type="dxa"/>
            <w:bottom w:w="0" w:type="dxa"/>
          </w:tblCellMar>
        </w:tblPrEx>
        <w:tc>
          <w:tcPr>
            <w:tcW w:w="2400" w:type="dxa"/>
          </w:tcPr>
          <w:p w:rsidR="00000000" w:rsidRDefault="00B7115A">
            <w:pPr>
              <w:spacing w:before="60"/>
              <w:ind w:left="113" w:right="113"/>
              <w:jc w:val="center"/>
              <w:rPr>
                <w:sz w:val="21"/>
              </w:rPr>
            </w:pPr>
            <w:r>
              <w:rPr>
                <w:rFonts w:hint="eastAsia"/>
                <w:sz w:val="21"/>
              </w:rPr>
              <w:t>年</w:t>
            </w:r>
            <w:r>
              <w:rPr>
                <w:sz w:val="21"/>
              </w:rPr>
              <w:t xml:space="preserve">  </w:t>
            </w:r>
            <w:r>
              <w:rPr>
                <w:rFonts w:hint="eastAsia"/>
                <w:sz w:val="21"/>
              </w:rPr>
              <w:t>份</w:t>
            </w:r>
          </w:p>
        </w:tc>
        <w:tc>
          <w:tcPr>
            <w:tcW w:w="861" w:type="dxa"/>
          </w:tcPr>
          <w:p w:rsidR="00000000" w:rsidRDefault="00B7115A">
            <w:pPr>
              <w:spacing w:before="60"/>
              <w:jc w:val="center"/>
              <w:rPr>
                <w:sz w:val="21"/>
              </w:rPr>
            </w:pPr>
            <w:r>
              <w:rPr>
                <w:sz w:val="21"/>
              </w:rPr>
              <w:t>1994</w:t>
            </w:r>
          </w:p>
        </w:tc>
        <w:tc>
          <w:tcPr>
            <w:tcW w:w="975" w:type="dxa"/>
          </w:tcPr>
          <w:p w:rsidR="00000000" w:rsidRDefault="00B7115A">
            <w:pPr>
              <w:spacing w:before="60"/>
              <w:jc w:val="center"/>
              <w:rPr>
                <w:sz w:val="21"/>
              </w:rPr>
            </w:pPr>
            <w:r>
              <w:rPr>
                <w:sz w:val="21"/>
              </w:rPr>
              <w:t>1995</w:t>
            </w:r>
          </w:p>
        </w:tc>
        <w:tc>
          <w:tcPr>
            <w:tcW w:w="989" w:type="dxa"/>
          </w:tcPr>
          <w:p w:rsidR="00000000" w:rsidRDefault="00B7115A">
            <w:pPr>
              <w:spacing w:before="60"/>
              <w:jc w:val="center"/>
              <w:rPr>
                <w:sz w:val="21"/>
              </w:rPr>
            </w:pPr>
            <w:r>
              <w:rPr>
                <w:sz w:val="21"/>
              </w:rPr>
              <w:t>1</w:t>
            </w:r>
            <w:r>
              <w:rPr>
                <w:sz w:val="21"/>
              </w:rPr>
              <w:t>996</w:t>
            </w:r>
          </w:p>
        </w:tc>
        <w:tc>
          <w:tcPr>
            <w:tcW w:w="775" w:type="dxa"/>
          </w:tcPr>
          <w:p w:rsidR="00000000" w:rsidRDefault="00B7115A">
            <w:pPr>
              <w:spacing w:before="60"/>
              <w:jc w:val="center"/>
              <w:rPr>
                <w:sz w:val="21"/>
              </w:rPr>
            </w:pPr>
            <w:r>
              <w:rPr>
                <w:sz w:val="21"/>
              </w:rPr>
              <w:t>1997</w:t>
            </w:r>
          </w:p>
        </w:tc>
        <w:tc>
          <w:tcPr>
            <w:tcW w:w="863" w:type="dxa"/>
          </w:tcPr>
          <w:p w:rsidR="00000000" w:rsidRDefault="00B7115A">
            <w:pPr>
              <w:spacing w:before="60"/>
              <w:jc w:val="center"/>
              <w:rPr>
                <w:sz w:val="21"/>
              </w:rPr>
            </w:pPr>
            <w:r>
              <w:rPr>
                <w:sz w:val="21"/>
              </w:rPr>
              <w:t>1994</w:t>
            </w:r>
          </w:p>
        </w:tc>
        <w:tc>
          <w:tcPr>
            <w:tcW w:w="858" w:type="dxa"/>
          </w:tcPr>
          <w:p w:rsidR="00000000" w:rsidRDefault="00B7115A">
            <w:pPr>
              <w:spacing w:before="60"/>
              <w:jc w:val="center"/>
              <w:rPr>
                <w:sz w:val="21"/>
              </w:rPr>
            </w:pPr>
            <w:r>
              <w:rPr>
                <w:sz w:val="21"/>
              </w:rPr>
              <w:t>1995</w:t>
            </w:r>
          </w:p>
        </w:tc>
        <w:tc>
          <w:tcPr>
            <w:tcW w:w="757" w:type="dxa"/>
          </w:tcPr>
          <w:p w:rsidR="00000000" w:rsidRDefault="00B7115A">
            <w:pPr>
              <w:spacing w:before="60"/>
              <w:jc w:val="center"/>
              <w:rPr>
                <w:sz w:val="21"/>
              </w:rPr>
            </w:pPr>
            <w:r>
              <w:rPr>
                <w:sz w:val="21"/>
              </w:rPr>
              <w:t>1996</w:t>
            </w:r>
          </w:p>
        </w:tc>
        <w:tc>
          <w:tcPr>
            <w:tcW w:w="885" w:type="dxa"/>
            <w:gridSpan w:val="2"/>
          </w:tcPr>
          <w:p w:rsidR="00000000" w:rsidRDefault="00B7115A">
            <w:pPr>
              <w:spacing w:before="60"/>
              <w:jc w:val="center"/>
              <w:rPr>
                <w:sz w:val="21"/>
              </w:rPr>
            </w:pPr>
            <w:r>
              <w:rPr>
                <w:sz w:val="21"/>
              </w:rPr>
              <w:t>1997</w:t>
            </w:r>
          </w:p>
        </w:tc>
      </w:tr>
      <w:tr w:rsidR="00000000">
        <w:tblPrEx>
          <w:tblCellMar>
            <w:top w:w="0" w:type="dxa"/>
            <w:bottom w:w="0" w:type="dxa"/>
          </w:tblCellMar>
        </w:tblPrEx>
        <w:tc>
          <w:tcPr>
            <w:tcW w:w="2400" w:type="dxa"/>
          </w:tcPr>
          <w:p w:rsidR="00000000" w:rsidRDefault="00B7115A">
            <w:pPr>
              <w:spacing w:before="60" w:after="40"/>
              <w:ind w:left="113" w:right="113"/>
              <w:rPr>
                <w:sz w:val="21"/>
              </w:rPr>
            </w:pPr>
            <w:r>
              <w:rPr>
                <w:rFonts w:hint="eastAsia"/>
                <w:sz w:val="21"/>
              </w:rPr>
              <w:t>总人数</w:t>
            </w:r>
          </w:p>
        </w:tc>
        <w:tc>
          <w:tcPr>
            <w:tcW w:w="861" w:type="dxa"/>
          </w:tcPr>
          <w:p w:rsidR="00000000" w:rsidRDefault="00B7115A">
            <w:pPr>
              <w:spacing w:before="60" w:after="40"/>
              <w:ind w:right="57"/>
              <w:jc w:val="right"/>
              <w:rPr>
                <w:sz w:val="21"/>
              </w:rPr>
            </w:pPr>
            <w:r>
              <w:rPr>
                <w:sz w:val="21"/>
              </w:rPr>
              <w:t>42,414</w:t>
            </w:r>
          </w:p>
        </w:tc>
        <w:tc>
          <w:tcPr>
            <w:tcW w:w="975" w:type="dxa"/>
          </w:tcPr>
          <w:p w:rsidR="00000000" w:rsidRDefault="00B7115A">
            <w:pPr>
              <w:spacing w:before="60" w:after="40"/>
              <w:ind w:right="57"/>
              <w:jc w:val="right"/>
              <w:rPr>
                <w:sz w:val="21"/>
              </w:rPr>
            </w:pPr>
            <w:r>
              <w:rPr>
                <w:sz w:val="21"/>
              </w:rPr>
              <w:t>98,233</w:t>
            </w:r>
          </w:p>
        </w:tc>
        <w:tc>
          <w:tcPr>
            <w:tcW w:w="989" w:type="dxa"/>
          </w:tcPr>
          <w:p w:rsidR="00000000" w:rsidRDefault="00B7115A">
            <w:pPr>
              <w:spacing w:before="60" w:after="40"/>
              <w:ind w:right="57"/>
              <w:jc w:val="right"/>
              <w:rPr>
                <w:sz w:val="21"/>
              </w:rPr>
            </w:pPr>
            <w:r>
              <w:rPr>
                <w:sz w:val="21"/>
              </w:rPr>
              <w:t>99,761</w:t>
            </w:r>
          </w:p>
        </w:tc>
        <w:tc>
          <w:tcPr>
            <w:tcW w:w="775" w:type="dxa"/>
          </w:tcPr>
          <w:p w:rsidR="00000000" w:rsidRDefault="00B7115A">
            <w:pPr>
              <w:spacing w:before="60" w:after="40"/>
              <w:ind w:right="57"/>
              <w:jc w:val="right"/>
              <w:rPr>
                <w:sz w:val="21"/>
              </w:rPr>
            </w:pPr>
            <w:r>
              <w:rPr>
                <w:sz w:val="21"/>
              </w:rPr>
              <w:t>80,986</w:t>
            </w:r>
          </w:p>
        </w:tc>
        <w:tc>
          <w:tcPr>
            <w:tcW w:w="863" w:type="dxa"/>
          </w:tcPr>
          <w:p w:rsidR="00000000" w:rsidRDefault="00B7115A">
            <w:pPr>
              <w:spacing w:before="60" w:after="40"/>
              <w:ind w:right="57"/>
              <w:jc w:val="right"/>
              <w:rPr>
                <w:sz w:val="21"/>
              </w:rPr>
            </w:pPr>
            <w:r>
              <w:rPr>
                <w:sz w:val="21"/>
              </w:rPr>
              <w:t>10,246</w:t>
            </w:r>
          </w:p>
        </w:tc>
        <w:tc>
          <w:tcPr>
            <w:tcW w:w="858" w:type="dxa"/>
          </w:tcPr>
          <w:p w:rsidR="00000000" w:rsidRDefault="00B7115A">
            <w:pPr>
              <w:spacing w:before="60" w:after="40"/>
              <w:ind w:right="57"/>
              <w:jc w:val="right"/>
              <w:rPr>
                <w:sz w:val="21"/>
              </w:rPr>
            </w:pPr>
            <w:r>
              <w:rPr>
                <w:sz w:val="21"/>
              </w:rPr>
              <w:t>10,189</w:t>
            </w:r>
          </w:p>
        </w:tc>
        <w:tc>
          <w:tcPr>
            <w:tcW w:w="757" w:type="dxa"/>
          </w:tcPr>
          <w:p w:rsidR="00000000" w:rsidRDefault="00B7115A">
            <w:pPr>
              <w:spacing w:before="60" w:after="40"/>
              <w:ind w:right="57"/>
              <w:jc w:val="right"/>
              <w:rPr>
                <w:sz w:val="21"/>
              </w:rPr>
            </w:pPr>
            <w:r>
              <w:rPr>
                <w:sz w:val="21"/>
              </w:rPr>
              <w:t>14,396</w:t>
            </w:r>
          </w:p>
        </w:tc>
        <w:tc>
          <w:tcPr>
            <w:tcW w:w="885" w:type="dxa"/>
            <w:gridSpan w:val="2"/>
          </w:tcPr>
          <w:p w:rsidR="00000000" w:rsidRDefault="00B7115A">
            <w:pPr>
              <w:spacing w:before="60" w:after="40"/>
              <w:ind w:right="57"/>
              <w:jc w:val="right"/>
              <w:rPr>
                <w:sz w:val="21"/>
              </w:rPr>
            </w:pPr>
            <w:r>
              <w:rPr>
                <w:sz w:val="21"/>
              </w:rPr>
              <w:t>22,898</w:t>
            </w:r>
          </w:p>
        </w:tc>
      </w:tr>
      <w:tr w:rsidR="00000000">
        <w:tblPrEx>
          <w:tblCellMar>
            <w:top w:w="0" w:type="dxa"/>
            <w:bottom w:w="0" w:type="dxa"/>
          </w:tblCellMar>
        </w:tblPrEx>
        <w:tc>
          <w:tcPr>
            <w:tcW w:w="2400" w:type="dxa"/>
          </w:tcPr>
          <w:p w:rsidR="00000000" w:rsidRDefault="00B7115A">
            <w:pPr>
              <w:spacing w:before="60" w:after="40"/>
              <w:ind w:left="113" w:right="113"/>
              <w:rPr>
                <w:sz w:val="21"/>
              </w:rPr>
            </w:pPr>
            <w:r>
              <w:rPr>
                <w:rFonts w:hint="eastAsia"/>
                <w:sz w:val="21"/>
              </w:rPr>
              <w:t>其中：失业人数</w:t>
            </w:r>
          </w:p>
        </w:tc>
        <w:tc>
          <w:tcPr>
            <w:tcW w:w="861" w:type="dxa"/>
          </w:tcPr>
          <w:p w:rsidR="00000000" w:rsidRDefault="00B7115A">
            <w:pPr>
              <w:spacing w:before="60" w:after="40"/>
              <w:ind w:right="57"/>
              <w:jc w:val="right"/>
              <w:rPr>
                <w:sz w:val="21"/>
              </w:rPr>
            </w:pPr>
            <w:r>
              <w:rPr>
                <w:sz w:val="21"/>
              </w:rPr>
              <w:t>42,306</w:t>
            </w:r>
          </w:p>
        </w:tc>
        <w:tc>
          <w:tcPr>
            <w:tcW w:w="975" w:type="dxa"/>
          </w:tcPr>
          <w:p w:rsidR="00000000" w:rsidRDefault="00B7115A">
            <w:pPr>
              <w:spacing w:before="60" w:after="40"/>
              <w:ind w:right="57"/>
              <w:jc w:val="right"/>
              <w:rPr>
                <w:sz w:val="21"/>
              </w:rPr>
            </w:pPr>
            <w:r>
              <w:rPr>
                <w:sz w:val="21"/>
              </w:rPr>
              <w:t>98,005</w:t>
            </w:r>
          </w:p>
        </w:tc>
        <w:tc>
          <w:tcPr>
            <w:tcW w:w="989" w:type="dxa"/>
          </w:tcPr>
          <w:p w:rsidR="00000000" w:rsidRDefault="00B7115A">
            <w:pPr>
              <w:spacing w:before="60" w:after="40"/>
              <w:ind w:right="57"/>
              <w:jc w:val="right"/>
              <w:rPr>
                <w:sz w:val="21"/>
              </w:rPr>
            </w:pPr>
            <w:r>
              <w:rPr>
                <w:sz w:val="21"/>
              </w:rPr>
              <w:t>99,664</w:t>
            </w:r>
          </w:p>
        </w:tc>
        <w:tc>
          <w:tcPr>
            <w:tcW w:w="775" w:type="dxa"/>
          </w:tcPr>
          <w:p w:rsidR="00000000" w:rsidRDefault="00B7115A">
            <w:pPr>
              <w:spacing w:before="60" w:after="40"/>
              <w:ind w:right="57"/>
              <w:jc w:val="right"/>
              <w:rPr>
                <w:sz w:val="21"/>
              </w:rPr>
            </w:pPr>
            <w:r>
              <w:rPr>
                <w:sz w:val="21"/>
              </w:rPr>
              <w:t>80,986</w:t>
            </w:r>
          </w:p>
        </w:tc>
        <w:tc>
          <w:tcPr>
            <w:tcW w:w="863" w:type="dxa"/>
          </w:tcPr>
          <w:p w:rsidR="00000000" w:rsidRDefault="00B7115A">
            <w:pPr>
              <w:spacing w:before="60" w:after="40"/>
              <w:ind w:right="57"/>
              <w:jc w:val="right"/>
              <w:rPr>
                <w:sz w:val="21"/>
              </w:rPr>
            </w:pPr>
            <w:r>
              <w:rPr>
                <w:sz w:val="21"/>
              </w:rPr>
              <w:t>10,190</w:t>
            </w:r>
          </w:p>
        </w:tc>
        <w:tc>
          <w:tcPr>
            <w:tcW w:w="858" w:type="dxa"/>
          </w:tcPr>
          <w:p w:rsidR="00000000" w:rsidRDefault="00B7115A">
            <w:pPr>
              <w:spacing w:before="60" w:after="40"/>
              <w:ind w:right="57"/>
              <w:jc w:val="right"/>
              <w:rPr>
                <w:sz w:val="21"/>
              </w:rPr>
            </w:pPr>
            <w:r>
              <w:rPr>
                <w:sz w:val="21"/>
              </w:rPr>
              <w:t>10,143</w:t>
            </w:r>
          </w:p>
        </w:tc>
        <w:tc>
          <w:tcPr>
            <w:tcW w:w="757" w:type="dxa"/>
          </w:tcPr>
          <w:p w:rsidR="00000000" w:rsidRDefault="00B7115A">
            <w:pPr>
              <w:spacing w:before="60" w:after="40"/>
              <w:ind w:right="57"/>
              <w:jc w:val="right"/>
              <w:rPr>
                <w:sz w:val="21"/>
              </w:rPr>
            </w:pPr>
            <w:r>
              <w:rPr>
                <w:sz w:val="21"/>
              </w:rPr>
              <w:t>14,394</w:t>
            </w:r>
          </w:p>
        </w:tc>
        <w:tc>
          <w:tcPr>
            <w:tcW w:w="885" w:type="dxa"/>
            <w:gridSpan w:val="2"/>
          </w:tcPr>
          <w:p w:rsidR="00000000" w:rsidRDefault="00B7115A">
            <w:pPr>
              <w:spacing w:before="60" w:after="40"/>
              <w:ind w:right="57"/>
              <w:jc w:val="right"/>
              <w:rPr>
                <w:sz w:val="21"/>
              </w:rPr>
            </w:pPr>
            <w:r>
              <w:rPr>
                <w:sz w:val="21"/>
              </w:rPr>
              <w:t>22,898</w:t>
            </w:r>
          </w:p>
        </w:tc>
      </w:tr>
      <w:tr w:rsidR="00000000">
        <w:tblPrEx>
          <w:tblCellMar>
            <w:top w:w="0" w:type="dxa"/>
            <w:bottom w:w="0" w:type="dxa"/>
          </w:tblCellMar>
        </w:tblPrEx>
        <w:tc>
          <w:tcPr>
            <w:tcW w:w="2400" w:type="dxa"/>
          </w:tcPr>
          <w:p w:rsidR="00000000" w:rsidRDefault="00B7115A">
            <w:pPr>
              <w:spacing w:before="60" w:after="40"/>
              <w:ind w:left="113" w:right="113"/>
              <w:rPr>
                <w:sz w:val="21"/>
              </w:rPr>
            </w:pPr>
            <w:r>
              <w:rPr>
                <w:rFonts w:hint="eastAsia"/>
                <w:sz w:val="21"/>
              </w:rPr>
              <w:t>其中：养恤金领取者</w:t>
            </w:r>
          </w:p>
        </w:tc>
        <w:tc>
          <w:tcPr>
            <w:tcW w:w="861" w:type="dxa"/>
          </w:tcPr>
          <w:p w:rsidR="00000000" w:rsidRDefault="00B7115A">
            <w:pPr>
              <w:spacing w:before="60" w:after="40"/>
              <w:ind w:right="57"/>
              <w:jc w:val="right"/>
              <w:rPr>
                <w:sz w:val="21"/>
              </w:rPr>
            </w:pPr>
            <w:r>
              <w:rPr>
                <w:sz w:val="21"/>
              </w:rPr>
              <w:t>311</w:t>
            </w:r>
          </w:p>
        </w:tc>
        <w:tc>
          <w:tcPr>
            <w:tcW w:w="975" w:type="dxa"/>
          </w:tcPr>
          <w:p w:rsidR="00000000" w:rsidRDefault="00B7115A">
            <w:pPr>
              <w:spacing w:before="60" w:after="40"/>
              <w:ind w:right="57"/>
              <w:jc w:val="right"/>
              <w:rPr>
                <w:sz w:val="21"/>
              </w:rPr>
            </w:pPr>
            <w:r>
              <w:rPr>
                <w:sz w:val="21"/>
              </w:rPr>
              <w:t>524</w:t>
            </w:r>
          </w:p>
        </w:tc>
        <w:tc>
          <w:tcPr>
            <w:tcW w:w="989" w:type="dxa"/>
          </w:tcPr>
          <w:p w:rsidR="00000000" w:rsidRDefault="00B7115A">
            <w:pPr>
              <w:spacing w:before="60" w:after="40"/>
              <w:ind w:right="57"/>
              <w:jc w:val="right"/>
              <w:rPr>
                <w:sz w:val="21"/>
              </w:rPr>
            </w:pPr>
            <w:r>
              <w:rPr>
                <w:sz w:val="21"/>
              </w:rPr>
              <w:t>39</w:t>
            </w:r>
          </w:p>
        </w:tc>
        <w:tc>
          <w:tcPr>
            <w:tcW w:w="775" w:type="dxa"/>
          </w:tcPr>
          <w:p w:rsidR="00000000" w:rsidRDefault="00B7115A">
            <w:pPr>
              <w:spacing w:before="60" w:after="40"/>
              <w:ind w:right="57"/>
              <w:jc w:val="right"/>
              <w:rPr>
                <w:sz w:val="21"/>
              </w:rPr>
            </w:pPr>
            <w:r>
              <w:rPr>
                <w:sz w:val="21"/>
              </w:rPr>
              <w:t>77</w:t>
            </w:r>
          </w:p>
        </w:tc>
        <w:tc>
          <w:tcPr>
            <w:tcW w:w="863" w:type="dxa"/>
          </w:tcPr>
          <w:p w:rsidR="00000000" w:rsidRDefault="00B7115A">
            <w:pPr>
              <w:spacing w:before="60" w:after="40"/>
              <w:ind w:right="57"/>
              <w:jc w:val="right"/>
              <w:rPr>
                <w:sz w:val="21"/>
              </w:rPr>
            </w:pPr>
            <w:r>
              <w:rPr>
                <w:sz w:val="21"/>
              </w:rPr>
              <w:t>43</w:t>
            </w:r>
          </w:p>
        </w:tc>
        <w:tc>
          <w:tcPr>
            <w:tcW w:w="858" w:type="dxa"/>
          </w:tcPr>
          <w:p w:rsidR="00000000" w:rsidRDefault="00B7115A">
            <w:pPr>
              <w:spacing w:before="60" w:after="40"/>
              <w:ind w:right="57"/>
              <w:jc w:val="right"/>
              <w:rPr>
                <w:sz w:val="21"/>
              </w:rPr>
            </w:pPr>
            <w:r>
              <w:rPr>
                <w:sz w:val="21"/>
              </w:rPr>
              <w:t>31</w:t>
            </w:r>
          </w:p>
        </w:tc>
        <w:tc>
          <w:tcPr>
            <w:tcW w:w="757" w:type="dxa"/>
          </w:tcPr>
          <w:p w:rsidR="00000000" w:rsidRDefault="00B7115A">
            <w:pPr>
              <w:spacing w:before="60" w:after="40"/>
              <w:ind w:right="57"/>
              <w:jc w:val="right"/>
              <w:rPr>
                <w:sz w:val="21"/>
              </w:rPr>
            </w:pPr>
            <w:r>
              <w:rPr>
                <w:sz w:val="21"/>
              </w:rPr>
              <w:t>5</w:t>
            </w:r>
          </w:p>
        </w:tc>
        <w:tc>
          <w:tcPr>
            <w:tcW w:w="885" w:type="dxa"/>
            <w:gridSpan w:val="2"/>
          </w:tcPr>
          <w:p w:rsidR="00000000" w:rsidRDefault="00B7115A">
            <w:pPr>
              <w:spacing w:before="60" w:after="40"/>
              <w:ind w:right="57"/>
              <w:jc w:val="right"/>
              <w:rPr>
                <w:sz w:val="21"/>
              </w:rPr>
            </w:pPr>
            <w:r>
              <w:rPr>
                <w:sz w:val="21"/>
              </w:rPr>
              <w:t>13</w:t>
            </w:r>
          </w:p>
        </w:tc>
      </w:tr>
      <w:tr w:rsidR="00000000">
        <w:tblPrEx>
          <w:tblCellMar>
            <w:top w:w="0" w:type="dxa"/>
            <w:bottom w:w="0" w:type="dxa"/>
          </w:tblCellMar>
        </w:tblPrEx>
        <w:tc>
          <w:tcPr>
            <w:tcW w:w="2400" w:type="dxa"/>
          </w:tcPr>
          <w:p w:rsidR="00000000" w:rsidRDefault="00B7115A">
            <w:pPr>
              <w:spacing w:before="60" w:after="40"/>
              <w:ind w:left="113" w:right="113"/>
              <w:rPr>
                <w:sz w:val="21"/>
              </w:rPr>
            </w:pPr>
            <w:r>
              <w:rPr>
                <w:rFonts w:hint="eastAsia"/>
                <w:sz w:val="21"/>
              </w:rPr>
              <w:t>仍工作的人</w:t>
            </w:r>
          </w:p>
        </w:tc>
        <w:tc>
          <w:tcPr>
            <w:tcW w:w="861" w:type="dxa"/>
          </w:tcPr>
          <w:p w:rsidR="00000000" w:rsidRDefault="00B7115A">
            <w:pPr>
              <w:spacing w:before="60" w:after="40"/>
              <w:ind w:right="57"/>
              <w:jc w:val="right"/>
              <w:rPr>
                <w:sz w:val="21"/>
              </w:rPr>
            </w:pPr>
            <w:r>
              <w:rPr>
                <w:sz w:val="21"/>
              </w:rPr>
              <w:t>62</w:t>
            </w:r>
          </w:p>
        </w:tc>
        <w:tc>
          <w:tcPr>
            <w:tcW w:w="975" w:type="dxa"/>
          </w:tcPr>
          <w:p w:rsidR="00000000" w:rsidRDefault="00B7115A">
            <w:pPr>
              <w:spacing w:before="60" w:after="40"/>
              <w:ind w:right="57"/>
              <w:jc w:val="right"/>
              <w:rPr>
                <w:sz w:val="21"/>
              </w:rPr>
            </w:pPr>
            <w:r>
              <w:rPr>
                <w:sz w:val="21"/>
              </w:rPr>
              <w:t>200</w:t>
            </w:r>
          </w:p>
        </w:tc>
        <w:tc>
          <w:tcPr>
            <w:tcW w:w="989" w:type="dxa"/>
          </w:tcPr>
          <w:p w:rsidR="00000000" w:rsidRDefault="00B7115A">
            <w:pPr>
              <w:spacing w:before="60" w:after="40"/>
              <w:ind w:right="57"/>
              <w:jc w:val="right"/>
              <w:rPr>
                <w:sz w:val="21"/>
              </w:rPr>
            </w:pPr>
            <w:r>
              <w:rPr>
                <w:sz w:val="21"/>
              </w:rPr>
              <w:t>5</w:t>
            </w:r>
          </w:p>
        </w:tc>
        <w:tc>
          <w:tcPr>
            <w:tcW w:w="775" w:type="dxa"/>
          </w:tcPr>
          <w:p w:rsidR="00000000" w:rsidRDefault="00B7115A">
            <w:pPr>
              <w:spacing w:before="60" w:after="40"/>
              <w:ind w:right="57"/>
              <w:jc w:val="right"/>
              <w:rPr>
                <w:sz w:val="21"/>
              </w:rPr>
            </w:pPr>
            <w:r>
              <w:rPr>
                <w:sz w:val="21"/>
              </w:rPr>
              <w:t>0</w:t>
            </w:r>
          </w:p>
        </w:tc>
        <w:tc>
          <w:tcPr>
            <w:tcW w:w="863" w:type="dxa"/>
          </w:tcPr>
          <w:p w:rsidR="00000000" w:rsidRDefault="00B7115A">
            <w:pPr>
              <w:spacing w:before="60" w:after="40"/>
              <w:ind w:right="57"/>
              <w:jc w:val="right"/>
              <w:rPr>
                <w:sz w:val="21"/>
              </w:rPr>
            </w:pPr>
            <w:r>
              <w:rPr>
                <w:sz w:val="21"/>
              </w:rPr>
              <w:t>10</w:t>
            </w:r>
          </w:p>
        </w:tc>
        <w:tc>
          <w:tcPr>
            <w:tcW w:w="858" w:type="dxa"/>
          </w:tcPr>
          <w:p w:rsidR="00000000" w:rsidRDefault="00B7115A">
            <w:pPr>
              <w:spacing w:before="60" w:after="40"/>
              <w:ind w:right="57"/>
              <w:jc w:val="right"/>
              <w:rPr>
                <w:sz w:val="21"/>
              </w:rPr>
            </w:pPr>
            <w:r>
              <w:rPr>
                <w:sz w:val="21"/>
              </w:rPr>
              <w:t>30</w:t>
            </w:r>
          </w:p>
        </w:tc>
        <w:tc>
          <w:tcPr>
            <w:tcW w:w="757" w:type="dxa"/>
          </w:tcPr>
          <w:p w:rsidR="00000000" w:rsidRDefault="00B7115A">
            <w:pPr>
              <w:spacing w:before="60" w:after="40"/>
              <w:ind w:right="57"/>
              <w:jc w:val="right"/>
              <w:rPr>
                <w:sz w:val="21"/>
              </w:rPr>
            </w:pPr>
            <w:r>
              <w:rPr>
                <w:sz w:val="21"/>
              </w:rPr>
              <w:t>2</w:t>
            </w:r>
          </w:p>
        </w:tc>
        <w:tc>
          <w:tcPr>
            <w:tcW w:w="885" w:type="dxa"/>
            <w:gridSpan w:val="2"/>
          </w:tcPr>
          <w:p w:rsidR="00000000" w:rsidRDefault="00B7115A">
            <w:pPr>
              <w:spacing w:before="60" w:after="40"/>
              <w:ind w:right="57"/>
              <w:jc w:val="right"/>
              <w:rPr>
                <w:sz w:val="21"/>
              </w:rPr>
            </w:pPr>
            <w:r>
              <w:rPr>
                <w:sz w:val="21"/>
              </w:rPr>
              <w:t>0</w:t>
            </w:r>
          </w:p>
        </w:tc>
      </w:tr>
      <w:tr w:rsidR="00000000">
        <w:tblPrEx>
          <w:tblCellMar>
            <w:top w:w="0" w:type="dxa"/>
            <w:bottom w:w="0" w:type="dxa"/>
          </w:tblCellMar>
        </w:tblPrEx>
        <w:tc>
          <w:tcPr>
            <w:tcW w:w="2400" w:type="dxa"/>
          </w:tcPr>
          <w:p w:rsidR="00000000" w:rsidRDefault="00B7115A">
            <w:pPr>
              <w:spacing w:before="60" w:after="40" w:line="240" w:lineRule="auto"/>
              <w:ind w:left="113" w:right="113"/>
              <w:rPr>
                <w:spacing w:val="0"/>
                <w:sz w:val="21"/>
              </w:rPr>
            </w:pPr>
            <w:r>
              <w:rPr>
                <w:rFonts w:hint="eastAsia"/>
                <w:spacing w:val="0"/>
                <w:sz w:val="21"/>
              </w:rPr>
              <w:t>其中：在本职工作外，希望另外再干一份工作的人</w:t>
            </w:r>
          </w:p>
        </w:tc>
        <w:tc>
          <w:tcPr>
            <w:tcW w:w="861" w:type="dxa"/>
          </w:tcPr>
          <w:p w:rsidR="00000000" w:rsidRDefault="00B7115A">
            <w:pPr>
              <w:spacing w:before="60" w:after="40" w:line="240" w:lineRule="auto"/>
              <w:ind w:right="57"/>
              <w:jc w:val="right"/>
              <w:rPr>
                <w:sz w:val="21"/>
              </w:rPr>
            </w:pPr>
            <w:r>
              <w:rPr>
                <w:sz w:val="21"/>
              </w:rPr>
              <w:t>42</w:t>
            </w:r>
          </w:p>
        </w:tc>
        <w:tc>
          <w:tcPr>
            <w:tcW w:w="975" w:type="dxa"/>
          </w:tcPr>
          <w:p w:rsidR="00000000" w:rsidRDefault="00B7115A">
            <w:pPr>
              <w:spacing w:before="60" w:after="40" w:line="240" w:lineRule="auto"/>
              <w:ind w:right="57"/>
              <w:jc w:val="right"/>
              <w:rPr>
                <w:sz w:val="21"/>
              </w:rPr>
            </w:pPr>
            <w:r>
              <w:rPr>
                <w:sz w:val="21"/>
              </w:rPr>
              <w:t>13</w:t>
            </w:r>
          </w:p>
        </w:tc>
        <w:tc>
          <w:tcPr>
            <w:tcW w:w="989" w:type="dxa"/>
          </w:tcPr>
          <w:p w:rsidR="00000000" w:rsidRDefault="00B7115A">
            <w:pPr>
              <w:spacing w:before="60" w:after="40" w:line="240" w:lineRule="auto"/>
              <w:ind w:right="57"/>
              <w:jc w:val="right"/>
              <w:rPr>
                <w:sz w:val="21"/>
              </w:rPr>
            </w:pPr>
            <w:r>
              <w:rPr>
                <w:sz w:val="21"/>
              </w:rPr>
              <w:t>0</w:t>
            </w:r>
          </w:p>
        </w:tc>
        <w:tc>
          <w:tcPr>
            <w:tcW w:w="775" w:type="dxa"/>
          </w:tcPr>
          <w:p w:rsidR="00000000" w:rsidRDefault="00B7115A">
            <w:pPr>
              <w:spacing w:before="60" w:after="40" w:line="240" w:lineRule="auto"/>
              <w:ind w:right="57"/>
              <w:jc w:val="right"/>
              <w:rPr>
                <w:sz w:val="21"/>
              </w:rPr>
            </w:pPr>
            <w:r>
              <w:rPr>
                <w:sz w:val="21"/>
              </w:rPr>
              <w:t>0</w:t>
            </w:r>
          </w:p>
        </w:tc>
        <w:tc>
          <w:tcPr>
            <w:tcW w:w="863" w:type="dxa"/>
          </w:tcPr>
          <w:p w:rsidR="00000000" w:rsidRDefault="00B7115A">
            <w:pPr>
              <w:spacing w:before="60" w:after="40" w:line="240" w:lineRule="auto"/>
              <w:ind w:right="57"/>
              <w:jc w:val="right"/>
              <w:rPr>
                <w:sz w:val="21"/>
              </w:rPr>
            </w:pPr>
            <w:r>
              <w:rPr>
                <w:sz w:val="21"/>
              </w:rPr>
              <w:t>9</w:t>
            </w:r>
          </w:p>
        </w:tc>
        <w:tc>
          <w:tcPr>
            <w:tcW w:w="858" w:type="dxa"/>
          </w:tcPr>
          <w:p w:rsidR="00000000" w:rsidRDefault="00B7115A">
            <w:pPr>
              <w:spacing w:before="60" w:after="40" w:line="240" w:lineRule="auto"/>
              <w:ind w:right="57"/>
              <w:jc w:val="right"/>
              <w:rPr>
                <w:sz w:val="21"/>
              </w:rPr>
            </w:pPr>
            <w:r>
              <w:rPr>
                <w:sz w:val="21"/>
              </w:rPr>
              <w:t>1</w:t>
            </w:r>
          </w:p>
        </w:tc>
        <w:tc>
          <w:tcPr>
            <w:tcW w:w="757" w:type="dxa"/>
          </w:tcPr>
          <w:p w:rsidR="00000000" w:rsidRDefault="00B7115A">
            <w:pPr>
              <w:spacing w:before="60" w:after="40" w:line="240" w:lineRule="auto"/>
              <w:ind w:right="57"/>
              <w:jc w:val="right"/>
              <w:rPr>
                <w:sz w:val="21"/>
              </w:rPr>
            </w:pPr>
            <w:r>
              <w:rPr>
                <w:sz w:val="21"/>
              </w:rPr>
              <w:t>0</w:t>
            </w:r>
          </w:p>
        </w:tc>
        <w:tc>
          <w:tcPr>
            <w:tcW w:w="885" w:type="dxa"/>
            <w:gridSpan w:val="2"/>
          </w:tcPr>
          <w:p w:rsidR="00000000" w:rsidRDefault="00B7115A">
            <w:pPr>
              <w:spacing w:before="60" w:after="40" w:line="240" w:lineRule="auto"/>
              <w:ind w:right="57"/>
              <w:jc w:val="right"/>
              <w:rPr>
                <w:sz w:val="21"/>
              </w:rPr>
            </w:pPr>
            <w:r>
              <w:rPr>
                <w:sz w:val="21"/>
              </w:rPr>
              <w:t>0</w:t>
            </w:r>
          </w:p>
        </w:tc>
      </w:tr>
      <w:tr w:rsidR="00000000">
        <w:tblPrEx>
          <w:tblCellMar>
            <w:top w:w="0" w:type="dxa"/>
            <w:bottom w:w="0" w:type="dxa"/>
          </w:tblCellMar>
        </w:tblPrEx>
        <w:tc>
          <w:tcPr>
            <w:tcW w:w="2400" w:type="dxa"/>
          </w:tcPr>
          <w:p w:rsidR="00000000" w:rsidRDefault="00B7115A">
            <w:pPr>
              <w:spacing w:before="120" w:after="80" w:line="240" w:lineRule="auto"/>
              <w:ind w:left="113" w:right="113"/>
              <w:rPr>
                <w:sz w:val="21"/>
              </w:rPr>
            </w:pPr>
            <w:r>
              <w:rPr>
                <w:rFonts w:hint="eastAsia"/>
                <w:sz w:val="21"/>
              </w:rPr>
              <w:t>希望课余打工的学生</w:t>
            </w:r>
          </w:p>
        </w:tc>
        <w:tc>
          <w:tcPr>
            <w:tcW w:w="861" w:type="dxa"/>
          </w:tcPr>
          <w:p w:rsidR="00000000" w:rsidRDefault="00B7115A">
            <w:pPr>
              <w:spacing w:before="120" w:after="80" w:line="240" w:lineRule="auto"/>
              <w:ind w:right="57"/>
              <w:jc w:val="right"/>
              <w:rPr>
                <w:sz w:val="21"/>
              </w:rPr>
            </w:pPr>
            <w:r>
              <w:rPr>
                <w:sz w:val="21"/>
              </w:rPr>
              <w:t>46</w:t>
            </w:r>
          </w:p>
        </w:tc>
        <w:tc>
          <w:tcPr>
            <w:tcW w:w="975" w:type="dxa"/>
          </w:tcPr>
          <w:p w:rsidR="00000000" w:rsidRDefault="00B7115A">
            <w:pPr>
              <w:spacing w:before="120" w:after="80" w:line="240" w:lineRule="auto"/>
              <w:ind w:right="57"/>
              <w:jc w:val="right"/>
              <w:rPr>
                <w:sz w:val="21"/>
              </w:rPr>
            </w:pPr>
            <w:r>
              <w:rPr>
                <w:sz w:val="21"/>
              </w:rPr>
              <w:t>28</w:t>
            </w:r>
          </w:p>
        </w:tc>
        <w:tc>
          <w:tcPr>
            <w:tcW w:w="989" w:type="dxa"/>
          </w:tcPr>
          <w:p w:rsidR="00000000" w:rsidRDefault="00B7115A">
            <w:pPr>
              <w:spacing w:before="120" w:after="80" w:line="240" w:lineRule="auto"/>
              <w:ind w:right="57"/>
              <w:jc w:val="right"/>
              <w:rPr>
                <w:sz w:val="21"/>
              </w:rPr>
            </w:pPr>
            <w:r>
              <w:rPr>
                <w:sz w:val="21"/>
              </w:rPr>
              <w:t>2</w:t>
            </w:r>
          </w:p>
        </w:tc>
        <w:tc>
          <w:tcPr>
            <w:tcW w:w="775" w:type="dxa"/>
          </w:tcPr>
          <w:p w:rsidR="00000000" w:rsidRDefault="00B7115A">
            <w:pPr>
              <w:spacing w:before="120" w:after="80" w:line="240" w:lineRule="auto"/>
              <w:ind w:right="57"/>
              <w:jc w:val="right"/>
              <w:rPr>
                <w:sz w:val="21"/>
              </w:rPr>
            </w:pPr>
            <w:r>
              <w:rPr>
                <w:sz w:val="21"/>
              </w:rPr>
              <w:t>0</w:t>
            </w:r>
          </w:p>
        </w:tc>
        <w:tc>
          <w:tcPr>
            <w:tcW w:w="863" w:type="dxa"/>
          </w:tcPr>
          <w:p w:rsidR="00000000" w:rsidRDefault="00B7115A">
            <w:pPr>
              <w:spacing w:before="120" w:after="80" w:line="240" w:lineRule="auto"/>
              <w:ind w:right="57"/>
              <w:jc w:val="right"/>
              <w:rPr>
                <w:sz w:val="21"/>
              </w:rPr>
            </w:pPr>
            <w:r>
              <w:rPr>
                <w:sz w:val="21"/>
              </w:rPr>
              <w:t>46</w:t>
            </w:r>
          </w:p>
        </w:tc>
        <w:tc>
          <w:tcPr>
            <w:tcW w:w="858" w:type="dxa"/>
          </w:tcPr>
          <w:p w:rsidR="00000000" w:rsidRDefault="00B7115A">
            <w:pPr>
              <w:spacing w:before="120" w:after="80" w:line="240" w:lineRule="auto"/>
              <w:ind w:right="57"/>
              <w:jc w:val="right"/>
              <w:rPr>
                <w:sz w:val="21"/>
              </w:rPr>
            </w:pPr>
            <w:r>
              <w:rPr>
                <w:sz w:val="21"/>
              </w:rPr>
              <w:t>16</w:t>
            </w:r>
          </w:p>
        </w:tc>
        <w:tc>
          <w:tcPr>
            <w:tcW w:w="757" w:type="dxa"/>
          </w:tcPr>
          <w:p w:rsidR="00000000" w:rsidRDefault="00B7115A">
            <w:pPr>
              <w:spacing w:before="120" w:after="80" w:line="240" w:lineRule="auto"/>
              <w:ind w:right="57"/>
              <w:jc w:val="right"/>
              <w:rPr>
                <w:sz w:val="21"/>
              </w:rPr>
            </w:pPr>
            <w:r>
              <w:rPr>
                <w:sz w:val="21"/>
              </w:rPr>
              <w:t>0</w:t>
            </w:r>
          </w:p>
        </w:tc>
        <w:tc>
          <w:tcPr>
            <w:tcW w:w="885" w:type="dxa"/>
            <w:gridSpan w:val="2"/>
          </w:tcPr>
          <w:p w:rsidR="00000000" w:rsidRDefault="00B7115A">
            <w:pPr>
              <w:spacing w:before="120" w:after="80" w:line="240" w:lineRule="auto"/>
              <w:ind w:right="57"/>
              <w:jc w:val="right"/>
              <w:rPr>
                <w:sz w:val="21"/>
              </w:rPr>
            </w:pPr>
            <w:r>
              <w:rPr>
                <w:sz w:val="21"/>
              </w:rPr>
              <w:t>0</w:t>
            </w:r>
          </w:p>
        </w:tc>
      </w:tr>
    </w:tbl>
    <w:p w:rsidR="00000000" w:rsidRDefault="00B7115A">
      <w:pPr>
        <w:spacing w:before="480"/>
      </w:pPr>
      <w:r>
        <w:tab/>
        <w:t>25.  1997</w:t>
      </w:r>
      <w:r>
        <w:rPr>
          <w:rFonts w:hint="eastAsia"/>
        </w:rPr>
        <w:t>年利用各类咨询服务的人数总共为</w:t>
      </w:r>
      <w:r>
        <w:t>62,000</w:t>
      </w:r>
      <w:r>
        <w:rPr>
          <w:rFonts w:hint="eastAsia"/>
        </w:rPr>
        <w:t>人，比</w:t>
      </w:r>
      <w:r>
        <w:t>1996</w:t>
      </w:r>
      <w:r>
        <w:rPr>
          <w:rFonts w:hint="eastAsia"/>
        </w:rPr>
        <w:t>年下降了</w:t>
      </w:r>
      <w:r>
        <w:t>25.5%</w:t>
      </w:r>
      <w:r>
        <w:rPr>
          <w:rFonts w:hint="eastAsia"/>
        </w:rPr>
        <w:t>。利用这些服务最多的是楚河州</w:t>
      </w:r>
      <w:r>
        <w:t>(24.3%)</w:t>
      </w:r>
      <w:r>
        <w:rPr>
          <w:rFonts w:hint="eastAsia"/>
        </w:rPr>
        <w:t>、奥什州</w:t>
      </w:r>
      <w:r>
        <w:t>(26.1%)</w:t>
      </w:r>
      <w:r>
        <w:rPr>
          <w:rFonts w:hint="eastAsia"/>
        </w:rPr>
        <w:t>和贾拉拉巴德州</w:t>
      </w:r>
      <w:r>
        <w:t>(23.8%)</w:t>
      </w:r>
      <w:r>
        <w:rPr>
          <w:rFonts w:hint="eastAsia"/>
        </w:rPr>
        <w:t>。</w:t>
      </w:r>
    </w:p>
    <w:p w:rsidR="00000000" w:rsidRDefault="00B7115A">
      <w:pPr>
        <w:spacing w:after="320"/>
        <w:textAlignment w:val="center"/>
      </w:pPr>
      <w:r>
        <w:tab/>
        <w:t>26.  1997</w:t>
      </w:r>
      <w:r>
        <w:rPr>
          <w:rFonts w:hint="eastAsia"/>
        </w:rPr>
        <w:t>年将近一半</w:t>
      </w:r>
      <w:r>
        <w:t>(49.0%)</w:t>
      </w:r>
      <w:r>
        <w:rPr>
          <w:rFonts w:hint="eastAsia"/>
        </w:rPr>
        <w:t>已登记的失业者是自愿放弃原职的。鉴于对劳动力的需求量近于零的情况下，这样高的离职率初看起来似乎有些奇怪。然而，有理由认为，大部分工人自愿离职是由于长期停产和不按时发工资所致。在登记失业者中被企业和单位解雇</w:t>
      </w:r>
      <w:r>
        <w:rPr>
          <w:rFonts w:hint="eastAsia"/>
        </w:rPr>
        <w:t>者占</w:t>
      </w:r>
      <w:r>
        <w:t>24.3%</w:t>
      </w:r>
      <w:r>
        <w:rPr>
          <w:rFonts w:hint="eastAsia"/>
        </w:rPr>
        <w:t>。</w:t>
      </w:r>
    </w:p>
    <w:p w:rsidR="00000000" w:rsidRDefault="00B7115A">
      <w:pPr>
        <w:pStyle w:val="Heading4"/>
      </w:pPr>
      <w:r>
        <w:rPr>
          <w:rFonts w:hint="eastAsia"/>
        </w:rPr>
        <w:t>失</w:t>
      </w:r>
      <w:r>
        <w:t xml:space="preserve">  </w:t>
      </w:r>
      <w:r>
        <w:rPr>
          <w:rFonts w:hint="eastAsia"/>
        </w:rPr>
        <w:t>业</w:t>
      </w:r>
    </w:p>
    <w:p w:rsidR="00000000" w:rsidRDefault="00B7115A">
      <w:r>
        <w:tab/>
        <w:t xml:space="preserve">27.  </w:t>
      </w:r>
      <w:r>
        <w:rPr>
          <w:rFonts w:hint="eastAsia"/>
        </w:rPr>
        <w:t>根据《就业法》第</w:t>
      </w:r>
      <w:r>
        <w:t>2</w:t>
      </w:r>
      <w:r>
        <w:rPr>
          <w:rFonts w:hint="eastAsia"/>
        </w:rPr>
        <w:t>条，凡有工作能力而无赚取收入的职业的公民，并在国家就业服务局登记寻求适当工作，并愿意接受该工作，但就业服务局尚未向他推荐合适工作的人，被界定为失业者。凡</w:t>
      </w:r>
      <w:r>
        <w:t>16</w:t>
      </w:r>
      <w:r>
        <w:rPr>
          <w:rFonts w:hint="eastAsia"/>
        </w:rPr>
        <w:t>岁以下的公民和依法有权领取养恤金者，</w:t>
      </w:r>
      <w:r>
        <w:t>(</w:t>
      </w:r>
      <w:r>
        <w:rPr>
          <w:rFonts w:hint="eastAsia"/>
        </w:rPr>
        <w:t>除第</w:t>
      </w:r>
      <w:r>
        <w:t>3</w:t>
      </w:r>
      <w:r>
        <w:rPr>
          <w:rFonts w:hint="eastAsia"/>
        </w:rPr>
        <w:t>类残疾养恤金领取者之外</w:t>
      </w:r>
      <w:r>
        <w:t>)</w:t>
      </w:r>
      <w:r>
        <w:rPr>
          <w:rFonts w:hint="eastAsia"/>
        </w:rPr>
        <w:t>，不可划定为失业者。</w:t>
      </w:r>
    </w:p>
    <w:p w:rsidR="00000000" w:rsidRDefault="00B7115A">
      <w:r>
        <w:tab/>
        <w:t xml:space="preserve">28.  </w:t>
      </w:r>
      <w:r>
        <w:rPr>
          <w:rFonts w:hint="eastAsia"/>
        </w:rPr>
        <w:t>国家保障失业公民：</w:t>
      </w:r>
    </w:p>
    <w:p w:rsidR="00000000" w:rsidRDefault="00B7115A">
      <w:pPr>
        <w:ind w:left="1036"/>
      </w:pPr>
      <w:r>
        <w:tab/>
      </w:r>
      <w:r>
        <w:rPr>
          <w:rFonts w:hint="eastAsia"/>
        </w:rPr>
        <w:t>领取失业救济金；</w:t>
      </w:r>
    </w:p>
    <w:p w:rsidR="00000000" w:rsidRDefault="00B7115A">
      <w:pPr>
        <w:ind w:left="1036"/>
      </w:pPr>
      <w:r>
        <w:tab/>
      </w:r>
      <w:r>
        <w:rPr>
          <w:rFonts w:hint="eastAsia"/>
        </w:rPr>
        <w:t>按从事付费社区项目的工作领取报酬；</w:t>
      </w:r>
    </w:p>
    <w:p w:rsidR="00000000" w:rsidRDefault="00B7115A">
      <w:pPr>
        <w:ind w:left="1036"/>
      </w:pPr>
      <w:r>
        <w:tab/>
      </w:r>
      <w:r>
        <w:rPr>
          <w:rFonts w:hint="eastAsia"/>
        </w:rPr>
        <w:t>在接受职业培训、技能深造和再培训期间</w:t>
      </w:r>
      <w:r>
        <w:t>(</w:t>
      </w:r>
      <w:r>
        <w:rPr>
          <w:rFonts w:hint="eastAsia"/>
        </w:rPr>
        <w:t>《就业法》第</w:t>
      </w:r>
      <w:r>
        <w:t>25</w:t>
      </w:r>
      <w:r>
        <w:rPr>
          <w:rFonts w:hint="eastAsia"/>
        </w:rPr>
        <w:t>条</w:t>
      </w:r>
      <w:r>
        <w:t>)</w:t>
      </w:r>
      <w:r>
        <w:rPr>
          <w:rFonts w:hint="eastAsia"/>
        </w:rPr>
        <w:t>领取生活津贴。</w:t>
      </w:r>
    </w:p>
    <w:p w:rsidR="00000000" w:rsidRDefault="00B7115A">
      <w:r>
        <w:tab/>
        <w:t xml:space="preserve">29.  </w:t>
      </w:r>
      <w:r>
        <w:rPr>
          <w:rFonts w:hint="eastAsia"/>
        </w:rPr>
        <w:t>截至</w:t>
      </w:r>
      <w:r>
        <w:t>1997</w:t>
      </w:r>
      <w:r>
        <w:rPr>
          <w:rFonts w:hint="eastAsia"/>
        </w:rPr>
        <w:t>年</w:t>
      </w:r>
      <w:r>
        <w:t>1</w:t>
      </w:r>
      <w:r>
        <w:rPr>
          <w:rFonts w:hint="eastAsia"/>
        </w:rPr>
        <w:t>月</w:t>
      </w:r>
      <w:r>
        <w:t>1</w:t>
      </w:r>
      <w:r>
        <w:rPr>
          <w:rFonts w:hint="eastAsia"/>
        </w:rPr>
        <w:t>日，正式登</w:t>
      </w:r>
      <w:r>
        <w:rPr>
          <w:rFonts w:hint="eastAsia"/>
        </w:rPr>
        <w:t>记的失业者人数为</w:t>
      </w:r>
      <w:r>
        <w:t>77,200</w:t>
      </w:r>
      <w:r>
        <w:rPr>
          <w:rFonts w:hint="eastAsia"/>
        </w:rPr>
        <w:t>人；到该年年底，失业人数下降了</w:t>
      </w:r>
      <w:r>
        <w:t>30%</w:t>
      </w:r>
      <w:r>
        <w:rPr>
          <w:rFonts w:hint="eastAsia"/>
        </w:rPr>
        <w:t>，减至</w:t>
      </w:r>
      <w:r>
        <w:t>54,600</w:t>
      </w:r>
      <w:r>
        <w:rPr>
          <w:rFonts w:hint="eastAsia"/>
        </w:rPr>
        <w:t>人。另一方面，</w:t>
      </w:r>
      <w:r>
        <w:t>1992</w:t>
      </w:r>
      <w:r>
        <w:rPr>
          <w:rFonts w:hint="eastAsia"/>
        </w:rPr>
        <w:t>至</w:t>
      </w:r>
      <w:r>
        <w:t>1997</w:t>
      </w:r>
      <w:r>
        <w:rPr>
          <w:rFonts w:hint="eastAsia"/>
        </w:rPr>
        <w:t>年期间，官方公布的失业率</w:t>
      </w:r>
      <w:r>
        <w:t>(</w:t>
      </w:r>
      <w:r>
        <w:rPr>
          <w:rFonts w:hint="eastAsia"/>
        </w:rPr>
        <w:t>与劳动人口相比</w:t>
      </w:r>
      <w:r>
        <w:t>)</w:t>
      </w:r>
      <w:r>
        <w:rPr>
          <w:rFonts w:hint="eastAsia"/>
        </w:rPr>
        <w:t>从</w:t>
      </w:r>
      <w:r>
        <w:t>0.1%</w:t>
      </w:r>
      <w:r>
        <w:rPr>
          <w:rFonts w:hint="eastAsia"/>
        </w:rPr>
        <w:t>上涨至</w:t>
      </w:r>
      <w:r>
        <w:t>3.1%</w:t>
      </w:r>
      <w:r>
        <w:rPr>
          <w:rFonts w:hint="eastAsia"/>
        </w:rPr>
        <w:t>。加上未充分就业者</w:t>
      </w:r>
      <w:r>
        <w:t>(</w:t>
      </w:r>
      <w:r>
        <w:rPr>
          <w:rFonts w:hint="eastAsia"/>
        </w:rPr>
        <w:t>休各类行政假的人</w:t>
      </w:r>
      <w:r>
        <w:t>)</w:t>
      </w:r>
      <w:r>
        <w:rPr>
          <w:rFonts w:hint="eastAsia"/>
        </w:rPr>
        <w:t>和虽未就业但积极寻找工作的人，基本的失业人数超过</w:t>
      </w:r>
      <w:r>
        <w:t>200,000</w:t>
      </w:r>
      <w:r>
        <w:rPr>
          <w:rFonts w:hint="eastAsia"/>
        </w:rPr>
        <w:t>人，为可从事经济活动人口的</w:t>
      </w:r>
      <w:r>
        <w:t>11%</w:t>
      </w:r>
      <w:r>
        <w:rPr>
          <w:rFonts w:hint="eastAsia"/>
        </w:rPr>
        <w:t>；几乎相当于官方数字的二倍半。</w:t>
      </w:r>
    </w:p>
    <w:p w:rsidR="00000000" w:rsidRDefault="00B7115A">
      <w:r>
        <w:tab/>
        <w:t>30.  1997</w:t>
      </w:r>
      <w:r>
        <w:rPr>
          <w:rFonts w:hint="eastAsia"/>
        </w:rPr>
        <w:t>年官方登记的失业总人数中乡村居民的比例从</w:t>
      </w:r>
      <w:r>
        <w:t>53.4%</w:t>
      </w:r>
      <w:r>
        <w:rPr>
          <w:rFonts w:hint="eastAsia"/>
        </w:rPr>
        <w:t>下跌至</w:t>
      </w:r>
      <w:r>
        <w:t>49%(1996</w:t>
      </w:r>
      <w:r>
        <w:rPr>
          <w:rFonts w:hint="eastAsia"/>
        </w:rPr>
        <w:t>年为</w:t>
      </w:r>
      <w:r>
        <w:t>41,200</w:t>
      </w:r>
      <w:r>
        <w:rPr>
          <w:rFonts w:hint="eastAsia"/>
        </w:rPr>
        <w:t>人，</w:t>
      </w:r>
      <w:r>
        <w:t>1997</w:t>
      </w:r>
      <w:r>
        <w:rPr>
          <w:rFonts w:hint="eastAsia"/>
        </w:rPr>
        <w:t>年为</w:t>
      </w:r>
      <w:r>
        <w:t>26,800</w:t>
      </w:r>
      <w:r>
        <w:rPr>
          <w:rFonts w:hint="eastAsia"/>
        </w:rPr>
        <w:t>人</w:t>
      </w:r>
      <w:r>
        <w:t>)</w:t>
      </w:r>
      <w:r>
        <w:rPr>
          <w:rFonts w:hint="eastAsia"/>
        </w:rPr>
        <w:t>。</w:t>
      </w:r>
    </w:p>
    <w:p w:rsidR="00000000" w:rsidRDefault="00B7115A">
      <w:r>
        <w:tab/>
        <w:t xml:space="preserve">31.  </w:t>
      </w:r>
      <w:r>
        <w:rPr>
          <w:rFonts w:hint="eastAsia"/>
        </w:rPr>
        <w:t>青年失业现象</w:t>
      </w:r>
      <w:r>
        <w:rPr>
          <w:rFonts w:hint="eastAsia"/>
        </w:rPr>
        <w:t>也是一个紧迫的问题。</w:t>
      </w:r>
      <w:r>
        <w:t>1992</w:t>
      </w:r>
      <w:r>
        <w:rPr>
          <w:rFonts w:hint="eastAsia"/>
        </w:rPr>
        <w:t>年青年人占求职者总数的</w:t>
      </w:r>
      <w:r>
        <w:t>13%</w:t>
      </w:r>
      <w:r>
        <w:rPr>
          <w:rFonts w:hint="eastAsia"/>
        </w:rPr>
        <w:t>；</w:t>
      </w:r>
      <w:r>
        <w:t>1996</w:t>
      </w:r>
      <w:r>
        <w:rPr>
          <w:rFonts w:hint="eastAsia"/>
        </w:rPr>
        <w:t>年上升至</w:t>
      </w:r>
      <w:r>
        <w:t>33%</w:t>
      </w:r>
      <w:r>
        <w:rPr>
          <w:rFonts w:hint="eastAsia"/>
        </w:rPr>
        <w:t>。</w:t>
      </w:r>
      <w:r>
        <w:t>1997</w:t>
      </w:r>
      <w:r>
        <w:rPr>
          <w:rFonts w:hint="eastAsia"/>
        </w:rPr>
        <w:t>年</w:t>
      </w:r>
      <w:r>
        <w:t>29</w:t>
      </w:r>
      <w:r>
        <w:rPr>
          <w:rFonts w:hint="eastAsia"/>
        </w:rPr>
        <w:t>岁以下的失业青年人数减少了</w:t>
      </w:r>
      <w:r>
        <w:t>8,900</w:t>
      </w:r>
      <w:r>
        <w:rPr>
          <w:rFonts w:hint="eastAsia"/>
        </w:rPr>
        <w:t>人，但他们仍然占失业总人数</w:t>
      </w:r>
      <w:r>
        <w:t>(20,300</w:t>
      </w:r>
      <w:r>
        <w:rPr>
          <w:rFonts w:hint="eastAsia"/>
        </w:rPr>
        <w:t>人</w:t>
      </w:r>
      <w:r>
        <w:t>)</w:t>
      </w:r>
      <w:r>
        <w:rPr>
          <w:rFonts w:hint="eastAsia"/>
        </w:rPr>
        <w:t>的</w:t>
      </w:r>
      <w:r>
        <w:t>40%</w:t>
      </w:r>
      <w:r>
        <w:rPr>
          <w:rFonts w:hint="eastAsia"/>
        </w:rPr>
        <w:t>。由于这些青年缺乏工作技能和经验，他们无法按平等的条件与劳动力市场中经验丰富的工人竞争。许多企业不愿雇用无经验的青年人。截至</w:t>
      </w:r>
      <w:r>
        <w:t>1997</w:t>
      </w:r>
      <w:r>
        <w:rPr>
          <w:rFonts w:hint="eastAsia"/>
        </w:rPr>
        <w:t>年底，在失业总人数中，按年龄段分列的失业青年比例如下</w:t>
      </w:r>
      <w:r>
        <w:t>(1996</w:t>
      </w:r>
      <w:r>
        <w:rPr>
          <w:rFonts w:hint="eastAsia"/>
        </w:rPr>
        <w:t>年相应期间的数字列于括号内</w:t>
      </w:r>
      <w:r>
        <w:t>)</w:t>
      </w:r>
      <w:r>
        <w:rPr>
          <w:rFonts w:hint="eastAsia"/>
        </w:rPr>
        <w:t>：</w:t>
      </w:r>
    </w:p>
    <w:p w:rsidR="00000000" w:rsidRDefault="00B7115A">
      <w:pPr>
        <w:ind w:left="1036"/>
      </w:pPr>
      <w:r>
        <w:t>16</w:t>
      </w:r>
      <w:r>
        <w:rPr>
          <w:rFonts w:hint="eastAsia"/>
        </w:rPr>
        <w:t>至</w:t>
      </w:r>
      <w:r>
        <w:t>18</w:t>
      </w:r>
      <w:r>
        <w:rPr>
          <w:rFonts w:hint="eastAsia"/>
        </w:rPr>
        <w:t>岁：</w:t>
      </w:r>
      <w:r>
        <w:t>5.7%(6.6%)</w:t>
      </w:r>
      <w:r>
        <w:rPr>
          <w:rFonts w:hint="eastAsia"/>
        </w:rPr>
        <w:t>；</w:t>
      </w:r>
    </w:p>
    <w:p w:rsidR="00000000" w:rsidRDefault="00B7115A">
      <w:pPr>
        <w:ind w:left="1036"/>
      </w:pPr>
      <w:r>
        <w:t>18</w:t>
      </w:r>
      <w:r>
        <w:rPr>
          <w:rFonts w:hint="eastAsia"/>
        </w:rPr>
        <w:t>至</w:t>
      </w:r>
      <w:r>
        <w:t>22</w:t>
      </w:r>
      <w:r>
        <w:rPr>
          <w:rFonts w:hint="eastAsia"/>
        </w:rPr>
        <w:t>岁：</w:t>
      </w:r>
      <w:r>
        <w:t>15.2%(11.5%)</w:t>
      </w:r>
      <w:r>
        <w:rPr>
          <w:rFonts w:hint="eastAsia"/>
        </w:rPr>
        <w:t>；</w:t>
      </w:r>
    </w:p>
    <w:p w:rsidR="00000000" w:rsidRDefault="00B7115A">
      <w:pPr>
        <w:ind w:left="1036"/>
      </w:pPr>
      <w:r>
        <w:t>22</w:t>
      </w:r>
      <w:r>
        <w:rPr>
          <w:rFonts w:hint="eastAsia"/>
        </w:rPr>
        <w:t>至</w:t>
      </w:r>
      <w:r>
        <w:t>29</w:t>
      </w:r>
      <w:r>
        <w:rPr>
          <w:rFonts w:hint="eastAsia"/>
        </w:rPr>
        <w:t>岁：</w:t>
      </w:r>
      <w:r>
        <w:t>16.5</w:t>
      </w:r>
      <w:r>
        <w:t>%(19.7%)</w:t>
      </w:r>
      <w:r>
        <w:rPr>
          <w:rFonts w:hint="eastAsia"/>
        </w:rPr>
        <w:t>；</w:t>
      </w:r>
    </w:p>
    <w:p w:rsidR="00000000" w:rsidRDefault="00B7115A">
      <w:pPr>
        <w:ind w:left="1036"/>
      </w:pPr>
      <w:r>
        <w:t>(</w:t>
      </w:r>
      <w:r>
        <w:rPr>
          <w:rFonts w:hint="eastAsia"/>
        </w:rPr>
        <w:t>普通教育学校</w:t>
      </w:r>
      <w:r>
        <w:t>)</w:t>
      </w:r>
      <w:r>
        <w:rPr>
          <w:rFonts w:hint="eastAsia"/>
        </w:rPr>
        <w:t>辍学生：</w:t>
      </w:r>
      <w:r>
        <w:t>5%(7%)</w:t>
      </w:r>
      <w:r>
        <w:rPr>
          <w:rFonts w:hint="eastAsia"/>
        </w:rPr>
        <w:t>；</w:t>
      </w:r>
    </w:p>
    <w:p w:rsidR="00000000" w:rsidRDefault="00B7115A">
      <w:pPr>
        <w:ind w:left="1036"/>
      </w:pPr>
      <w:r>
        <w:rPr>
          <w:rFonts w:hint="eastAsia"/>
        </w:rPr>
        <w:t>中等专业学校和高等教育院校毕业生：</w:t>
      </w:r>
      <w:r>
        <w:t>3.7%(3.6%)</w:t>
      </w:r>
      <w:r>
        <w:rPr>
          <w:rFonts w:hint="eastAsia"/>
        </w:rPr>
        <w:t>；</w:t>
      </w:r>
    </w:p>
    <w:p w:rsidR="00000000" w:rsidRDefault="00B7115A">
      <w:pPr>
        <w:ind w:left="1036"/>
      </w:pPr>
      <w:r>
        <w:rPr>
          <w:rFonts w:hint="eastAsia"/>
        </w:rPr>
        <w:t>职业技术教育学校毕业生：</w:t>
      </w:r>
      <w:r>
        <w:t>5.5%(4.7%)</w:t>
      </w:r>
      <w:r>
        <w:rPr>
          <w:rFonts w:hint="eastAsia"/>
        </w:rPr>
        <w:t>。</w:t>
      </w:r>
    </w:p>
    <w:p w:rsidR="00000000" w:rsidRDefault="00B7115A">
      <w:r>
        <w:tab/>
        <w:t>32.  1997</w:t>
      </w:r>
      <w:r>
        <w:rPr>
          <w:rFonts w:hint="eastAsia"/>
        </w:rPr>
        <w:t>年长期失业者的比例</w:t>
      </w:r>
      <w:r>
        <w:t>(</w:t>
      </w:r>
      <w:r>
        <w:rPr>
          <w:rFonts w:hint="eastAsia"/>
        </w:rPr>
        <w:t>失业一年以上者</w:t>
      </w:r>
      <w:r>
        <w:t>)</w:t>
      </w:r>
      <w:r>
        <w:rPr>
          <w:rFonts w:hint="eastAsia"/>
        </w:rPr>
        <w:t>从</w:t>
      </w:r>
      <w:r>
        <w:t>(1996</w:t>
      </w:r>
      <w:r>
        <w:rPr>
          <w:rFonts w:hint="eastAsia"/>
        </w:rPr>
        <w:t>年的</w:t>
      </w:r>
      <w:r>
        <w:t>)17%</w:t>
      </w:r>
      <w:r>
        <w:rPr>
          <w:rFonts w:hint="eastAsia"/>
        </w:rPr>
        <w:t>剧增至</w:t>
      </w:r>
      <w:r>
        <w:t>24%</w:t>
      </w:r>
      <w:r>
        <w:rPr>
          <w:rFonts w:hint="eastAsia"/>
        </w:rPr>
        <w:t>。因此，全国平均失业期也由</w:t>
      </w:r>
      <w:r>
        <w:t>7.1</w:t>
      </w:r>
      <w:r>
        <w:rPr>
          <w:rFonts w:hint="eastAsia"/>
        </w:rPr>
        <w:t>个月增加到</w:t>
      </w:r>
      <w:r>
        <w:t>8.2</w:t>
      </w:r>
      <w:r>
        <w:rPr>
          <w:rFonts w:hint="eastAsia"/>
        </w:rPr>
        <w:t>个月。</w:t>
      </w:r>
    </w:p>
    <w:p w:rsidR="00000000" w:rsidRDefault="00B7115A">
      <w:r>
        <w:tab/>
        <w:t xml:space="preserve">33.  </w:t>
      </w:r>
      <w:r>
        <w:rPr>
          <w:rFonts w:hint="eastAsia"/>
        </w:rPr>
        <w:t>同时，</w:t>
      </w:r>
      <w:r>
        <w:t>1997</w:t>
      </w:r>
      <w:r>
        <w:rPr>
          <w:rFonts w:hint="eastAsia"/>
        </w:rPr>
        <w:t>年按教育程度分列的失业情况分布如下</w:t>
      </w:r>
      <w:r>
        <w:t>(1996</w:t>
      </w:r>
      <w:r>
        <w:rPr>
          <w:rFonts w:hint="eastAsia"/>
        </w:rPr>
        <w:t>年的数字列于括号内</w:t>
      </w:r>
      <w:r>
        <w:t>)</w:t>
      </w:r>
      <w:r>
        <w:rPr>
          <w:rFonts w:hint="eastAsia"/>
        </w:rPr>
        <w:t>：</w:t>
      </w:r>
    </w:p>
    <w:p w:rsidR="00000000" w:rsidRDefault="00B7115A">
      <w:pPr>
        <w:ind w:left="1036"/>
      </w:pPr>
      <w:r>
        <w:rPr>
          <w:rFonts w:hint="eastAsia"/>
        </w:rPr>
        <w:t>高等教育：</w:t>
      </w:r>
      <w:r>
        <w:t>11%(10.2%)</w:t>
      </w:r>
      <w:r>
        <w:rPr>
          <w:rFonts w:hint="eastAsia"/>
        </w:rPr>
        <w:t>；</w:t>
      </w:r>
    </w:p>
    <w:p w:rsidR="00000000" w:rsidRDefault="00B7115A">
      <w:pPr>
        <w:ind w:left="1036"/>
      </w:pPr>
      <w:r>
        <w:rPr>
          <w:rFonts w:hint="eastAsia"/>
        </w:rPr>
        <w:t>中等专业教育：</w:t>
      </w:r>
      <w:r>
        <w:t>21.6%(27%)</w:t>
      </w:r>
      <w:r>
        <w:rPr>
          <w:rFonts w:hint="eastAsia"/>
        </w:rPr>
        <w:t>；</w:t>
      </w:r>
    </w:p>
    <w:p w:rsidR="00000000" w:rsidRDefault="00B7115A">
      <w:pPr>
        <w:ind w:left="1036"/>
      </w:pPr>
      <w:r>
        <w:rPr>
          <w:rFonts w:hint="eastAsia"/>
        </w:rPr>
        <w:t>普通中学教育：</w:t>
      </w:r>
      <w:r>
        <w:t>54.4%(51.</w:t>
      </w:r>
      <w:r>
        <w:t>4%)</w:t>
      </w:r>
      <w:r>
        <w:rPr>
          <w:rFonts w:hint="eastAsia"/>
        </w:rPr>
        <w:t>；</w:t>
      </w:r>
    </w:p>
    <w:p w:rsidR="00000000" w:rsidRDefault="00B7115A">
      <w:pPr>
        <w:ind w:left="1036"/>
      </w:pPr>
      <w:r>
        <w:rPr>
          <w:rFonts w:hint="eastAsia"/>
        </w:rPr>
        <w:t>未完成中学教育：</w:t>
      </w:r>
      <w:r>
        <w:t>12.8%(11.4%)</w:t>
      </w:r>
      <w:r>
        <w:rPr>
          <w:rFonts w:hint="eastAsia"/>
        </w:rPr>
        <w:t>。</w:t>
      </w:r>
    </w:p>
    <w:p w:rsidR="00000000" w:rsidRDefault="00B7115A">
      <w:r>
        <w:rPr>
          <w:rFonts w:hint="eastAsia"/>
        </w:rPr>
        <w:t>对这些数据的分析表明，</w:t>
      </w:r>
      <w:r>
        <w:t>1997</w:t>
      </w:r>
      <w:r>
        <w:rPr>
          <w:rFonts w:hint="eastAsia"/>
        </w:rPr>
        <w:t>年受过高等教育、普通中学教育或未完成中学教育的失业人数比例稍有增长。</w:t>
      </w:r>
    </w:p>
    <w:p w:rsidR="00000000" w:rsidRDefault="00B7115A">
      <w:r>
        <w:tab/>
        <w:t xml:space="preserve">34.  </w:t>
      </w:r>
      <w:r>
        <w:rPr>
          <w:rFonts w:hint="eastAsia"/>
        </w:rPr>
        <w:t>截至</w:t>
      </w:r>
      <w:r>
        <w:t>1997</w:t>
      </w:r>
      <w:r>
        <w:rPr>
          <w:rFonts w:hint="eastAsia"/>
        </w:rPr>
        <w:t>年底，按年龄段分列的失业者分布情况如下</w:t>
      </w:r>
      <w:r>
        <w:t>(</w:t>
      </w:r>
      <w:r>
        <w:rPr>
          <w:rFonts w:hint="eastAsia"/>
        </w:rPr>
        <w:t>截至</w:t>
      </w:r>
      <w:r>
        <w:t>1996</w:t>
      </w:r>
      <w:r>
        <w:rPr>
          <w:rFonts w:hint="eastAsia"/>
        </w:rPr>
        <w:t>年底的数字载于括号内</w:t>
      </w:r>
      <w:r>
        <w:t>)</w:t>
      </w:r>
      <w:r>
        <w:rPr>
          <w:rFonts w:hint="eastAsia"/>
        </w:rPr>
        <w:t>：</w:t>
      </w:r>
    </w:p>
    <w:p w:rsidR="00000000" w:rsidRDefault="00B7115A">
      <w:pPr>
        <w:ind w:left="1036"/>
      </w:pPr>
      <w:r>
        <w:t>29</w:t>
      </w:r>
      <w:r>
        <w:rPr>
          <w:rFonts w:hint="eastAsia"/>
        </w:rPr>
        <w:t>至</w:t>
      </w:r>
      <w:r>
        <w:t>40</w:t>
      </w:r>
      <w:r>
        <w:rPr>
          <w:rFonts w:hint="eastAsia"/>
        </w:rPr>
        <w:t>岁：</w:t>
      </w:r>
      <w:r>
        <w:t>33%(33.7%)</w:t>
      </w:r>
      <w:r>
        <w:rPr>
          <w:rFonts w:hint="eastAsia"/>
        </w:rPr>
        <w:t>；</w:t>
      </w:r>
    </w:p>
    <w:p w:rsidR="00000000" w:rsidRDefault="00B7115A">
      <w:pPr>
        <w:ind w:left="1036"/>
      </w:pPr>
      <w:r>
        <w:t>40</w:t>
      </w:r>
      <w:r>
        <w:rPr>
          <w:rFonts w:hint="eastAsia"/>
        </w:rPr>
        <w:t>至</w:t>
      </w:r>
      <w:r>
        <w:t>50</w:t>
      </w:r>
      <w:r>
        <w:rPr>
          <w:rFonts w:hint="eastAsia"/>
        </w:rPr>
        <w:t>岁：</w:t>
      </w:r>
      <w:r>
        <w:t>21.8%(20.8%)</w:t>
      </w:r>
      <w:r>
        <w:rPr>
          <w:rFonts w:hint="eastAsia"/>
        </w:rPr>
        <w:t>；</w:t>
      </w:r>
    </w:p>
    <w:p w:rsidR="00000000" w:rsidRDefault="00B7115A">
      <w:pPr>
        <w:ind w:left="1036"/>
      </w:pPr>
      <w:r>
        <w:t>50</w:t>
      </w:r>
      <w:r>
        <w:rPr>
          <w:rFonts w:hint="eastAsia"/>
        </w:rPr>
        <w:t>至</w:t>
      </w:r>
      <w:r>
        <w:t>55</w:t>
      </w:r>
      <w:r>
        <w:rPr>
          <w:rFonts w:hint="eastAsia"/>
        </w:rPr>
        <w:t>岁：</w:t>
      </w:r>
      <w:r>
        <w:t>5.5%(5.5%)</w:t>
      </w:r>
      <w:r>
        <w:rPr>
          <w:rFonts w:hint="eastAsia"/>
        </w:rPr>
        <w:t>；</w:t>
      </w:r>
    </w:p>
    <w:p w:rsidR="00000000" w:rsidRDefault="00B7115A">
      <w:pPr>
        <w:ind w:left="1036"/>
      </w:pPr>
      <w:r>
        <w:t>55</w:t>
      </w:r>
      <w:r>
        <w:rPr>
          <w:rFonts w:hint="eastAsia"/>
        </w:rPr>
        <w:t>至</w:t>
      </w:r>
      <w:r>
        <w:t>60</w:t>
      </w:r>
      <w:r>
        <w:rPr>
          <w:rFonts w:hint="eastAsia"/>
        </w:rPr>
        <w:t>岁：</w:t>
      </w:r>
      <w:r>
        <w:t>2.4%(2.3%)</w:t>
      </w:r>
      <w:r>
        <w:rPr>
          <w:rFonts w:hint="eastAsia"/>
        </w:rPr>
        <w:t>。</w:t>
      </w:r>
    </w:p>
    <w:p w:rsidR="00000000" w:rsidRDefault="00B7115A">
      <w:r>
        <w:rPr>
          <w:rFonts w:hint="eastAsia"/>
        </w:rPr>
        <w:t>对上述数字的分析得出的结论是，从年龄结构看，</w:t>
      </w:r>
      <w:r>
        <w:t>18</w:t>
      </w:r>
      <w:r>
        <w:rPr>
          <w:rFonts w:hint="eastAsia"/>
        </w:rPr>
        <w:t>至</w:t>
      </w:r>
      <w:r>
        <w:t>22</w:t>
      </w:r>
      <w:r>
        <w:rPr>
          <w:rFonts w:hint="eastAsia"/>
        </w:rPr>
        <w:t>岁年龄段的失业人数比例有所</w:t>
      </w:r>
      <w:r>
        <w:t>(3.7%</w:t>
      </w:r>
      <w:r>
        <w:rPr>
          <w:rFonts w:hint="eastAsia"/>
        </w:rPr>
        <w:t>的</w:t>
      </w:r>
      <w:r>
        <w:t>)</w:t>
      </w:r>
      <w:r>
        <w:rPr>
          <w:rFonts w:hint="eastAsia"/>
        </w:rPr>
        <w:t>增长。</w:t>
      </w:r>
    </w:p>
    <w:p w:rsidR="00000000" w:rsidRDefault="00B7115A">
      <w:r>
        <w:tab/>
        <w:t xml:space="preserve">35.  </w:t>
      </w:r>
      <w:r>
        <w:rPr>
          <w:rFonts w:hint="eastAsia"/>
        </w:rPr>
        <w:t>失业救济金在理论上应保障对收入的充分支持，为失业者提供适当的社会安全网。目前，失业救济金实际上未能履行这一职能。在邻近</w:t>
      </w:r>
      <w:r>
        <w:t>1997</w:t>
      </w:r>
      <w:r>
        <w:rPr>
          <w:rFonts w:hint="eastAsia"/>
        </w:rPr>
        <w:t>年底时，失业救济金额平均是</w:t>
      </w:r>
      <w:r>
        <w:t>109</w:t>
      </w:r>
      <w:r>
        <w:rPr>
          <w:rFonts w:hint="eastAsia"/>
        </w:rPr>
        <w:t>索姆，只是最低消费预算的</w:t>
      </w:r>
      <w:r>
        <w:t>690.6</w:t>
      </w:r>
      <w:r>
        <w:rPr>
          <w:rFonts w:hint="eastAsia"/>
        </w:rPr>
        <w:t>索姆的六分之一。截至</w:t>
      </w:r>
      <w:r>
        <w:t>1997</w:t>
      </w:r>
      <w:r>
        <w:rPr>
          <w:rFonts w:hint="eastAsia"/>
        </w:rPr>
        <w:t>年底，领取失业救济金的人数是</w:t>
      </w:r>
      <w:r>
        <w:t>20,300</w:t>
      </w:r>
      <w:r>
        <w:rPr>
          <w:rFonts w:hint="eastAsia"/>
        </w:rPr>
        <w:t>人，占失业总人数的</w:t>
      </w:r>
      <w:r>
        <w:t>37.2%</w:t>
      </w:r>
      <w:r>
        <w:rPr>
          <w:rFonts w:hint="eastAsia"/>
        </w:rPr>
        <w:t>。</w:t>
      </w:r>
    </w:p>
    <w:p w:rsidR="00000000" w:rsidRDefault="00B7115A">
      <w:r>
        <w:tab/>
        <w:t xml:space="preserve">36.  </w:t>
      </w:r>
      <w:r>
        <w:rPr>
          <w:rFonts w:hint="eastAsia"/>
        </w:rPr>
        <w:t>失业率的逐步下降系为若干原因所致。主要的原因之一是，失业救济金较低，只有最低消费额的六分之一，无法鼓励失业者前往就业服务局进行登记。另一些重要的原因是：某些企业生产重振、调整职工队伍致力于企业发</w:t>
      </w:r>
      <w:r>
        <w:rPr>
          <w:rFonts w:hint="eastAsia"/>
        </w:rPr>
        <w:t>展，并推行积极的劳动力市场政策。在就业服务局资助下，自行开业出现了重大的发展。此外，去年就业服务局实行计算机化，得以从滚动人员名单中删除掉了那些长期未走访服务局的人。登记失业人数的下降也是因为《就业法》从严规定了赋予耕地拥有者失业地位的标准。失业率的下降并不意味着劳动力市场情势好转。</w:t>
      </w:r>
    </w:p>
    <w:p w:rsidR="00000000" w:rsidRDefault="00B7115A">
      <w:pPr>
        <w:pStyle w:val="Heading4"/>
        <w:spacing w:before="320"/>
        <w:textAlignment w:val="center"/>
      </w:pPr>
      <w:r>
        <w:rPr>
          <w:rFonts w:hint="eastAsia"/>
        </w:rPr>
        <w:t>国家政策和方案</w:t>
      </w:r>
    </w:p>
    <w:p w:rsidR="00000000" w:rsidRDefault="00B7115A">
      <w:r>
        <w:tab/>
        <w:t xml:space="preserve">37.  </w:t>
      </w:r>
      <w:r>
        <w:rPr>
          <w:rFonts w:hint="eastAsia"/>
        </w:rPr>
        <w:t>在吉尔吉斯斯坦政府于第</w:t>
      </w:r>
      <w:r>
        <w:t>571</w:t>
      </w:r>
      <w:r>
        <w:rPr>
          <w:rFonts w:hint="eastAsia"/>
        </w:rPr>
        <w:t>号方案下，正在推行“</w:t>
      </w:r>
      <w:r>
        <w:t>1996</w:t>
      </w:r>
      <w:r>
        <w:rPr>
          <w:rFonts w:hint="eastAsia"/>
        </w:rPr>
        <w:t>至</w:t>
      </w:r>
      <w:r>
        <w:t>1997</w:t>
      </w:r>
      <w:r>
        <w:rPr>
          <w:rFonts w:hint="eastAsia"/>
        </w:rPr>
        <w:t>年期间，及</w:t>
      </w:r>
      <w:r>
        <w:t>2005</w:t>
      </w:r>
      <w:r>
        <w:rPr>
          <w:rFonts w:hint="eastAsia"/>
        </w:rPr>
        <w:t>年前吉尔吉斯斯坦劳动力市场和增进就业”的积极就业政策。吉尔吉斯斯坦政府</w:t>
      </w:r>
      <w:r>
        <w:t>1996</w:t>
      </w:r>
      <w:r>
        <w:rPr>
          <w:rFonts w:hint="eastAsia"/>
        </w:rPr>
        <w:t>年</w:t>
      </w:r>
      <w:r>
        <w:t>12</w:t>
      </w:r>
      <w:r>
        <w:rPr>
          <w:rFonts w:hint="eastAsia"/>
        </w:rPr>
        <w:t>月</w:t>
      </w:r>
      <w:r>
        <w:t>2</w:t>
      </w:r>
      <w:r>
        <w:rPr>
          <w:rFonts w:hint="eastAsia"/>
        </w:rPr>
        <w:t>日批准的这项方案，对调节劳</w:t>
      </w:r>
      <w:r>
        <w:rPr>
          <w:rFonts w:hint="eastAsia"/>
        </w:rPr>
        <w:t>动力和降低失业率具有重大的意义。在今后一段时期内，本方案的主要目标是，通过稳定经济、提高职工队伍的素质和竞争力、开展人员培训制度和完善国家就业服务局，未创造有利就业的条件并满足企业对劳工的需求。就业政策的主体方针正在吉尔吉斯斯坦全境，按照区域性就业方案落实之中。该方案执行被推迟，主要是因为缺乏资金。资金筹措危机是若干外部因素影响的结果，诸如许多企业和单位的财政状况极端困难等。</w:t>
      </w:r>
    </w:p>
    <w:p w:rsidR="00000000" w:rsidRDefault="00B7115A">
      <w:r>
        <w:tab/>
        <w:t xml:space="preserve">38.  </w:t>
      </w:r>
      <w:r>
        <w:rPr>
          <w:rFonts w:hint="eastAsia"/>
        </w:rPr>
        <w:t>向劳工和社会福利部报告工作的国家就业服务局正在采取系统和主动积极的办法，调节劳动力市场，例如就业安排、组织有偿的社区工作</w:t>
      </w:r>
      <w:r>
        <w:rPr>
          <w:rFonts w:hint="eastAsia"/>
        </w:rPr>
        <w:t>、建立就业促进协会和对丧失全职工作的人开展职业培训和再培训。这一作法阻遏了因就业事务向该部就业服务局提出申请人数的增长。</w:t>
      </w:r>
      <w:r>
        <w:t>1992</w:t>
      </w:r>
      <w:r>
        <w:rPr>
          <w:rFonts w:hint="eastAsia"/>
        </w:rPr>
        <w:t>年提出了</w:t>
      </w:r>
      <w:r>
        <w:t>28,000</w:t>
      </w:r>
      <w:r>
        <w:rPr>
          <w:rFonts w:hint="eastAsia"/>
        </w:rPr>
        <w:t>份求职申请，</w:t>
      </w:r>
      <w:r>
        <w:t>1996</w:t>
      </w:r>
      <w:r>
        <w:rPr>
          <w:rFonts w:hint="eastAsia"/>
        </w:rPr>
        <w:t>年为</w:t>
      </w:r>
      <w:r>
        <w:t>100,000</w:t>
      </w:r>
      <w:r>
        <w:rPr>
          <w:rFonts w:hint="eastAsia"/>
        </w:rPr>
        <w:t>份，但</w:t>
      </w:r>
      <w:r>
        <w:t>1997</w:t>
      </w:r>
      <w:r>
        <w:rPr>
          <w:rFonts w:hint="eastAsia"/>
        </w:rPr>
        <w:t>年前</w:t>
      </w:r>
      <w:r>
        <w:t>9</w:t>
      </w:r>
      <w:r>
        <w:rPr>
          <w:rFonts w:hint="eastAsia"/>
        </w:rPr>
        <w:t>个月提出的求职申请则达</w:t>
      </w:r>
      <w:r>
        <w:t>65,000</w:t>
      </w:r>
      <w:r>
        <w:rPr>
          <w:rFonts w:hint="eastAsia"/>
        </w:rPr>
        <w:t>多份。在上述期间，利用该部就业服务局提供的服务的人数超过</w:t>
      </w:r>
      <w:r>
        <w:t>640,000</w:t>
      </w:r>
      <w:r>
        <w:rPr>
          <w:rFonts w:hint="eastAsia"/>
        </w:rPr>
        <w:t>人。</w:t>
      </w:r>
    </w:p>
    <w:p w:rsidR="00000000" w:rsidRDefault="00B7115A">
      <w:r>
        <w:tab/>
        <w:t xml:space="preserve">39.  </w:t>
      </w:r>
      <w:r>
        <w:rPr>
          <w:rFonts w:hint="eastAsia"/>
        </w:rPr>
        <w:t>为了缓解劳动力市场的情势，</w:t>
      </w:r>
      <w:r>
        <w:t>1997</w:t>
      </w:r>
      <w:r>
        <w:rPr>
          <w:rFonts w:hint="eastAsia"/>
        </w:rPr>
        <w:t>年准备运用促进就业基金的资源，为失业者创造</w:t>
      </w:r>
      <w:r>
        <w:t>23,800</w:t>
      </w:r>
      <w:r>
        <w:rPr>
          <w:rFonts w:hint="eastAsia"/>
        </w:rPr>
        <w:t>个就业职位。在</w:t>
      </w:r>
      <w:r>
        <w:t>1997</w:t>
      </w:r>
      <w:r>
        <w:rPr>
          <w:rFonts w:hint="eastAsia"/>
        </w:rPr>
        <w:t>年前</w:t>
      </w:r>
      <w:r>
        <w:t>9</w:t>
      </w:r>
      <w:r>
        <w:rPr>
          <w:rFonts w:hint="eastAsia"/>
        </w:rPr>
        <w:t>个月期间，通过促使失业者自行就业并在国内建立商业扶植网络，总共创造了</w:t>
      </w:r>
      <w:r>
        <w:t>16,100</w:t>
      </w:r>
      <w:r>
        <w:rPr>
          <w:rFonts w:hint="eastAsia"/>
        </w:rPr>
        <w:t>个就业职位，其中有</w:t>
      </w:r>
      <w:r>
        <w:t>6,100</w:t>
      </w:r>
      <w:r>
        <w:rPr>
          <w:rFonts w:hint="eastAsia"/>
        </w:rPr>
        <w:t>个全职就业职位。此外，通过社区工作和就业促进协会，还创造了</w:t>
      </w:r>
      <w:r>
        <w:t>10,000</w:t>
      </w:r>
      <w:r>
        <w:rPr>
          <w:rFonts w:hint="eastAsia"/>
        </w:rPr>
        <w:t>个临时就业职位。除了业已采取一些主动积极的政策行动外，还计划实施若干商业方案，例如</w:t>
      </w:r>
      <w:r>
        <w:rPr>
          <w:u w:val="single"/>
        </w:rPr>
        <w:t>Zhumush</w:t>
      </w:r>
      <w:r>
        <w:rPr>
          <w:rFonts w:hint="eastAsia"/>
          <w:u w:val="single"/>
        </w:rPr>
        <w:t>方案</w:t>
      </w:r>
      <w:r>
        <w:rPr>
          <w:rFonts w:hint="eastAsia"/>
        </w:rPr>
        <w:t>和</w:t>
      </w:r>
      <w:r>
        <w:rPr>
          <w:u w:val="single"/>
        </w:rPr>
        <w:t>Kol-Kabysh</w:t>
      </w:r>
      <w:r>
        <w:rPr>
          <w:rFonts w:hint="eastAsia"/>
        </w:rPr>
        <w:t>方案。</w:t>
      </w:r>
    </w:p>
    <w:p w:rsidR="00000000" w:rsidRDefault="00B7115A">
      <w:r>
        <w:tab/>
        <w:t xml:space="preserve">40.  </w:t>
      </w:r>
      <w:r>
        <w:rPr>
          <w:rFonts w:hint="eastAsia"/>
        </w:rPr>
        <w:t>自国家就业服务局成立以来，已安排了</w:t>
      </w:r>
      <w:r>
        <w:t>95,000</w:t>
      </w:r>
      <w:r>
        <w:rPr>
          <w:rFonts w:hint="eastAsia"/>
        </w:rPr>
        <w:t>人就业，主要是填补现有的空缺。然而，近几年来这种机会已大为减少，因为劳动力供应与企业和单位中现有空缺职位之间在素质和数量上的差距已经扩大。</w:t>
      </w:r>
      <w:r>
        <w:t>1991</w:t>
      </w:r>
      <w:r>
        <w:rPr>
          <w:rFonts w:hint="eastAsia"/>
        </w:rPr>
        <w:t>年各企业曾需要</w:t>
      </w:r>
      <w:r>
        <w:t>15,000</w:t>
      </w:r>
      <w:r>
        <w:rPr>
          <w:rFonts w:hint="eastAsia"/>
        </w:rPr>
        <w:t>名新工人，而至</w:t>
      </w:r>
      <w:r>
        <w:t>1996</w:t>
      </w:r>
      <w:r>
        <w:rPr>
          <w:rFonts w:hint="eastAsia"/>
        </w:rPr>
        <w:t>年所需工人数字已减少</w:t>
      </w:r>
      <w:r>
        <w:rPr>
          <w:rFonts w:hint="eastAsia"/>
        </w:rPr>
        <w:t>到</w:t>
      </w:r>
      <w:r>
        <w:t>1,500</w:t>
      </w:r>
      <w:r>
        <w:rPr>
          <w:rFonts w:hint="eastAsia"/>
        </w:rPr>
        <w:t>人，只为原来所需工人数量的十分之一。如今，每一个就业职位有</w:t>
      </w:r>
      <w:r>
        <w:t>42</w:t>
      </w:r>
      <w:r>
        <w:rPr>
          <w:rFonts w:hint="eastAsia"/>
        </w:rPr>
        <w:t>人竞争。</w:t>
      </w:r>
    </w:p>
    <w:p w:rsidR="00000000" w:rsidRDefault="00B7115A">
      <w:pPr>
        <w:pStyle w:val="Heading4"/>
        <w:spacing w:before="320"/>
        <w:textAlignment w:val="center"/>
      </w:pPr>
      <w:r>
        <w:rPr>
          <w:rFonts w:hint="eastAsia"/>
        </w:rPr>
        <w:t>社区工作</w:t>
      </w:r>
    </w:p>
    <w:p w:rsidR="00000000" w:rsidRDefault="00B7115A">
      <w:r>
        <w:tab/>
        <w:t xml:space="preserve">41.  </w:t>
      </w:r>
      <w:r>
        <w:rPr>
          <w:rFonts w:hint="eastAsia"/>
        </w:rPr>
        <w:t>被分派从事有偿社区工作的人数越来越多。</w:t>
      </w:r>
      <w:r>
        <w:t>1992</w:t>
      </w:r>
      <w:r>
        <w:rPr>
          <w:rFonts w:hint="eastAsia"/>
        </w:rPr>
        <w:t>年有</w:t>
      </w:r>
      <w:r>
        <w:t>2,200</w:t>
      </w:r>
      <w:r>
        <w:rPr>
          <w:rFonts w:hint="eastAsia"/>
        </w:rPr>
        <w:t>失业者被派去从事此类临时性的工作；</w:t>
      </w:r>
      <w:r>
        <w:t>1996</w:t>
      </w:r>
      <w:r>
        <w:rPr>
          <w:rFonts w:hint="eastAsia"/>
        </w:rPr>
        <w:t>年的人数增长至</w:t>
      </w:r>
      <w:r>
        <w:t>6,500</w:t>
      </w:r>
      <w:r>
        <w:rPr>
          <w:rFonts w:hint="eastAsia"/>
        </w:rPr>
        <w:t>人，</w:t>
      </w:r>
      <w:r>
        <w:t>1997</w:t>
      </w:r>
      <w:r>
        <w:rPr>
          <w:rFonts w:hint="eastAsia"/>
        </w:rPr>
        <w:t>年达到</w:t>
      </w:r>
      <w:r>
        <w:t>11,800</w:t>
      </w:r>
      <w:r>
        <w:rPr>
          <w:rFonts w:hint="eastAsia"/>
        </w:rPr>
        <w:t>人。</w:t>
      </w:r>
      <w:r>
        <w:t>1997</w:t>
      </w:r>
      <w:r>
        <w:rPr>
          <w:rFonts w:hint="eastAsia"/>
        </w:rPr>
        <w:t>年所有这些就业者中，</w:t>
      </w:r>
      <w:r>
        <w:t>35%</w:t>
      </w:r>
      <w:r>
        <w:rPr>
          <w:rFonts w:hint="eastAsia"/>
        </w:rPr>
        <w:t>从事农业工作、</w:t>
      </w:r>
      <w:r>
        <w:t>40%</w:t>
      </w:r>
      <w:r>
        <w:rPr>
          <w:rFonts w:hint="eastAsia"/>
        </w:rPr>
        <w:t>从事住房和公用设施部门的工作、</w:t>
      </w:r>
      <w:r>
        <w:t>10%</w:t>
      </w:r>
      <w:r>
        <w:rPr>
          <w:rFonts w:hint="eastAsia"/>
        </w:rPr>
        <w:t>从事服务部门的工作，还有</w:t>
      </w:r>
      <w:r>
        <w:t>15%</w:t>
      </w:r>
      <w:r>
        <w:rPr>
          <w:rFonts w:hint="eastAsia"/>
        </w:rPr>
        <w:t>从事其它经济领域的工作。在所有从事社区工作的人中，妇女占将近一半</w:t>
      </w:r>
      <w:r>
        <w:t>(49.8%)</w:t>
      </w:r>
      <w:r>
        <w:rPr>
          <w:rFonts w:hint="eastAsia"/>
        </w:rPr>
        <w:t>。被指派从事社区工作的总人数随情况变化而异。</w:t>
      </w:r>
      <w:r>
        <w:t>19</w:t>
      </w:r>
      <w:r>
        <w:t>97</w:t>
      </w:r>
      <w:r>
        <w:rPr>
          <w:rFonts w:hint="eastAsia"/>
        </w:rPr>
        <w:t>年第一季度，每月平均有</w:t>
      </w:r>
      <w:r>
        <w:t>500</w:t>
      </w:r>
      <w:r>
        <w:rPr>
          <w:rFonts w:hint="eastAsia"/>
        </w:rPr>
        <w:t>人被指派从事社区工作；第二季度增至</w:t>
      </w:r>
      <w:r>
        <w:t>1,400</w:t>
      </w:r>
      <w:r>
        <w:rPr>
          <w:rFonts w:hint="eastAsia"/>
        </w:rPr>
        <w:t>人，而到了第三和四季度时，每月为</w:t>
      </w:r>
      <w:r>
        <w:t>3,000</w:t>
      </w:r>
      <w:r>
        <w:rPr>
          <w:rFonts w:hint="eastAsia"/>
        </w:rPr>
        <w:t>人。其中大部分人在楚河州</w:t>
      </w:r>
      <w:r>
        <w:t>(22.9%)</w:t>
      </w:r>
      <w:r>
        <w:rPr>
          <w:rFonts w:hint="eastAsia"/>
        </w:rPr>
        <w:t>和贾拉拉巴德州</w:t>
      </w:r>
      <w:r>
        <w:t>(18.6%)</w:t>
      </w:r>
      <w:r>
        <w:rPr>
          <w:rFonts w:hint="eastAsia"/>
        </w:rPr>
        <w:t>从事社区工作项目。</w:t>
      </w:r>
      <w:r>
        <w:t>1997</w:t>
      </w:r>
      <w:r>
        <w:rPr>
          <w:rFonts w:hint="eastAsia"/>
        </w:rPr>
        <w:t>年，在吉尔吉斯斯坦某些地区发生了自然灾害之后，让那些失业者参与公共维修和重建项目是非常有益的。安排失业人员从事的工作有：看管牛群、销毁大麻、清点家禽等社区工作；在市镇服务企业主持下清理和开发土地、维修道路；从事商业和社会领域的工作，如护理病人和老年人等。</w:t>
      </w:r>
    </w:p>
    <w:p w:rsidR="00000000" w:rsidRDefault="00B7115A">
      <w:pPr>
        <w:pStyle w:val="Heading4"/>
        <w:spacing w:before="320"/>
        <w:textAlignment w:val="center"/>
      </w:pPr>
      <w:r>
        <w:rPr>
          <w:rFonts w:hint="eastAsia"/>
        </w:rPr>
        <w:t>就业促进协会</w:t>
      </w:r>
    </w:p>
    <w:p w:rsidR="00000000" w:rsidRDefault="00B7115A">
      <w:r>
        <w:tab/>
        <w:t xml:space="preserve">42.  </w:t>
      </w:r>
      <w:r>
        <w:rPr>
          <w:rFonts w:hint="eastAsia"/>
        </w:rPr>
        <w:t>就业促进协会的临时工</w:t>
      </w:r>
      <w:r>
        <w:rPr>
          <w:rFonts w:hint="eastAsia"/>
        </w:rPr>
        <w:t>计划是积极劳动市场政策的另一个成功要素。</w:t>
      </w:r>
    </w:p>
    <w:p w:rsidR="00000000" w:rsidRDefault="00B7115A">
      <w:r>
        <w:tab/>
        <w:t xml:space="preserve">43.  </w:t>
      </w:r>
      <w:r>
        <w:rPr>
          <w:rFonts w:hint="eastAsia"/>
        </w:rPr>
        <w:t>在吉尔吉斯</w:t>
      </w:r>
      <w:r>
        <w:rPr>
          <w:rFonts w:hint="eastAsia"/>
          <w:spacing w:val="-40"/>
        </w:rPr>
        <w:t>——</w:t>
      </w:r>
      <w:r>
        <w:t xml:space="preserve"> </w:t>
      </w:r>
      <w:r>
        <w:rPr>
          <w:rFonts w:hint="eastAsia"/>
        </w:rPr>
        <w:t>德国“劳动力市场政策和就业”项目下，并在欧洲联盟伙伴基金和就业促进基金的协助下，在吉尔吉斯斯坦境内的梅尔卢苏、比什凯克、奥什、塔拉斯、苏利余克塔各城市和明库什、卡吉赛和海达垦各协作区建立了</w:t>
      </w:r>
      <w:r>
        <w:t>9</w:t>
      </w:r>
      <w:r>
        <w:rPr>
          <w:rFonts w:hint="eastAsia"/>
        </w:rPr>
        <w:t>个就业促进协会。约有</w:t>
      </w:r>
      <w:r>
        <w:t>11,000</w:t>
      </w:r>
      <w:r>
        <w:rPr>
          <w:rFonts w:hint="eastAsia"/>
        </w:rPr>
        <w:t>人通过这些协会找到了工作。</w:t>
      </w:r>
    </w:p>
    <w:p w:rsidR="00000000" w:rsidRDefault="00B7115A">
      <w:r>
        <w:tab/>
        <w:t xml:space="preserve">44.  </w:t>
      </w:r>
      <w:r>
        <w:rPr>
          <w:rFonts w:hint="eastAsia"/>
        </w:rPr>
        <w:t>两个此类协会目前正在运作。由于这些协会作出的努力，</w:t>
      </w:r>
      <w:r>
        <w:t>1,000</w:t>
      </w:r>
      <w:r>
        <w:rPr>
          <w:rFonts w:hint="eastAsia"/>
        </w:rPr>
        <w:t>多失业者找到了长期性的工作。这些协会致力于缓解企业解雇工人的进程，雇用失业者从事有偿的社区工作。协会已开展了</w:t>
      </w:r>
      <w:r>
        <w:t>63</w:t>
      </w:r>
      <w:r>
        <w:rPr>
          <w:rFonts w:hint="eastAsia"/>
        </w:rPr>
        <w:t>个经批准</w:t>
      </w:r>
      <w:r>
        <w:rPr>
          <w:rFonts w:hint="eastAsia"/>
        </w:rPr>
        <w:t>的项目工作。</w:t>
      </w:r>
      <w:r>
        <w:t>1997</w:t>
      </w:r>
      <w:r>
        <w:rPr>
          <w:rFonts w:hint="eastAsia"/>
        </w:rPr>
        <w:t>年圆满地完成了一些大规模的项目，包括比什凯克新住房开发，搭建了</w:t>
      </w:r>
      <w:r>
        <w:t>19</w:t>
      </w:r>
      <w:r>
        <w:rPr>
          <w:rFonts w:hint="eastAsia"/>
        </w:rPr>
        <w:t>栋预制平板组装式公寓、清理了阿拉什河床、疏通了苏余克塔的自来水管道、拆除了明库什地方协作区的旧建筑，修复了乌北根城和奥什城里的历史遗址。就业服务局还派送</w:t>
      </w:r>
      <w:r>
        <w:t>300</w:t>
      </w:r>
      <w:r>
        <w:rPr>
          <w:rFonts w:hint="eastAsia"/>
        </w:rPr>
        <w:t>位公民参加职业培训班。</w:t>
      </w:r>
    </w:p>
    <w:p w:rsidR="00000000" w:rsidRDefault="00B7115A">
      <w:pPr>
        <w:pStyle w:val="Heading4"/>
        <w:spacing w:before="320"/>
        <w:textAlignment w:val="center"/>
      </w:pPr>
      <w:r>
        <w:rPr>
          <w:rFonts w:hint="eastAsia"/>
        </w:rPr>
        <w:t>职业培训</w:t>
      </w:r>
    </w:p>
    <w:p w:rsidR="00000000" w:rsidRDefault="00B7115A">
      <w:r>
        <w:tab/>
        <w:t xml:space="preserve">45.  </w:t>
      </w:r>
      <w:r>
        <w:rPr>
          <w:rFonts w:hint="eastAsia"/>
        </w:rPr>
        <w:t>经济改革带来了经济的部门性结构变革，由此形成了劳动力市场供求之间的新关系，出现了新的职业，并改变了若干老职业的性质和内容。这些事态发展促使为失业者和进入劳动力市场的青年人举办职业培训并提供指导。</w:t>
      </w:r>
      <w:r>
        <w:t>1997</w:t>
      </w:r>
      <w:r>
        <w:rPr>
          <w:rFonts w:hint="eastAsia"/>
        </w:rPr>
        <w:t>年被送入职业培训或再</w:t>
      </w:r>
      <w:r>
        <w:rPr>
          <w:rFonts w:hint="eastAsia"/>
        </w:rPr>
        <w:t>培训班受训的失业者总共有</w:t>
      </w:r>
      <w:r>
        <w:t>5,400</w:t>
      </w:r>
      <w:r>
        <w:rPr>
          <w:rFonts w:hint="eastAsia"/>
        </w:rPr>
        <w:t>人，其中</w:t>
      </w:r>
      <w:r>
        <w:t>51.8%</w:t>
      </w:r>
      <w:r>
        <w:rPr>
          <w:rFonts w:hint="eastAsia"/>
        </w:rPr>
        <w:t>为妇女，</w:t>
      </w:r>
      <w:r>
        <w:t>75%</w:t>
      </w:r>
      <w:r>
        <w:rPr>
          <w:rFonts w:hint="eastAsia"/>
        </w:rPr>
        <w:t>为</w:t>
      </w:r>
      <w:r>
        <w:t>29</w:t>
      </w:r>
      <w:r>
        <w:rPr>
          <w:rFonts w:hint="eastAsia"/>
        </w:rPr>
        <w:t>岁以下的青年。</w:t>
      </w:r>
    </w:p>
    <w:p w:rsidR="00000000" w:rsidRDefault="00B7115A">
      <w:r>
        <w:tab/>
        <w:t xml:space="preserve">46.  </w:t>
      </w:r>
      <w:r>
        <w:rPr>
          <w:rFonts w:hint="eastAsia"/>
        </w:rPr>
        <w:t>由于资金不能按期到位，送入职业培训班的人数比</w:t>
      </w:r>
      <w:r>
        <w:t>1996</w:t>
      </w:r>
      <w:r>
        <w:rPr>
          <w:rFonts w:hint="eastAsia"/>
        </w:rPr>
        <w:t>年减少了</w:t>
      </w:r>
      <w:r>
        <w:t>23%</w:t>
      </w:r>
      <w:r>
        <w:rPr>
          <w:rFonts w:hint="eastAsia"/>
        </w:rPr>
        <w:t>。</w:t>
      </w:r>
      <w:r>
        <w:t>1996</w:t>
      </w:r>
      <w:r>
        <w:rPr>
          <w:rFonts w:hint="eastAsia"/>
        </w:rPr>
        <w:t>年培训班学员曾达</w:t>
      </w:r>
      <w:r>
        <w:t>7,000</w:t>
      </w:r>
      <w:r>
        <w:rPr>
          <w:rFonts w:hint="eastAsia"/>
        </w:rPr>
        <w:t>人，其中</w:t>
      </w:r>
      <w:r>
        <w:t>52.9%</w:t>
      </w:r>
      <w:r>
        <w:rPr>
          <w:rFonts w:hint="eastAsia"/>
        </w:rPr>
        <w:t>为妇女。全年每月平均有</w:t>
      </w:r>
      <w:r>
        <w:t>500</w:t>
      </w:r>
      <w:r>
        <w:rPr>
          <w:rFonts w:hint="eastAsia"/>
        </w:rPr>
        <w:t>人被送入培训班。劳工和社会福利部的就业服务局积极地开展工作，扩大向失业者提供的职业培训范围，以期提高他们在劳动力市场上的竞争力。</w:t>
      </w:r>
      <w:r>
        <w:t>1991</w:t>
      </w:r>
      <w:r>
        <w:rPr>
          <w:rFonts w:hint="eastAsia"/>
        </w:rPr>
        <w:t>至</w:t>
      </w:r>
      <w:r>
        <w:t>1996</w:t>
      </w:r>
      <w:r>
        <w:rPr>
          <w:rFonts w:hint="eastAsia"/>
        </w:rPr>
        <w:t>年期间，接受此类培训的公民数量从</w:t>
      </w:r>
      <w:r>
        <w:t>50</w:t>
      </w:r>
      <w:r>
        <w:rPr>
          <w:rFonts w:hint="eastAsia"/>
        </w:rPr>
        <w:t>人增至</w:t>
      </w:r>
      <w:r>
        <w:t>7,000</w:t>
      </w:r>
      <w:r>
        <w:rPr>
          <w:rFonts w:hint="eastAsia"/>
        </w:rPr>
        <w:t>人。</w:t>
      </w:r>
    </w:p>
    <w:p w:rsidR="00000000" w:rsidRDefault="00B7115A">
      <w:r>
        <w:tab/>
        <w:t xml:space="preserve">47.  </w:t>
      </w:r>
      <w:r>
        <w:rPr>
          <w:rFonts w:hint="eastAsia"/>
        </w:rPr>
        <w:t>若干职业和技术学校不但提供职业培训，而且还开办企</w:t>
      </w:r>
      <w:r>
        <w:rPr>
          <w:rFonts w:hint="eastAsia"/>
        </w:rPr>
        <w:t>业开创专题培训班，向学员们传授下列各种技能：自行组织商务和自主经营私有小商业、维修店铺、维修车间、咖啡馆、面包房、美容理发廊、旅店或照相馆。自</w:t>
      </w:r>
      <w:r>
        <w:t>1995</w:t>
      </w:r>
      <w:r>
        <w:rPr>
          <w:rFonts w:hint="eastAsia"/>
        </w:rPr>
        <w:t>年</w:t>
      </w:r>
      <w:r>
        <w:t>9</w:t>
      </w:r>
      <w:r>
        <w:rPr>
          <w:rFonts w:hint="eastAsia"/>
        </w:rPr>
        <w:t>月以来业已实施了世界银行社会保险网项目的人员培训部分内容。其主要的重点领域之一是，利用模式化系统，培训或再培训失业成年人，使他们有条件按其知识和熟练技能，从事他们自己选择的专业。为此，建立起了</w:t>
      </w:r>
      <w:r>
        <w:t>9</w:t>
      </w:r>
      <w:r>
        <w:rPr>
          <w:rFonts w:hint="eastAsia"/>
        </w:rPr>
        <w:t>个模式化传授中心以培训或再培训吉尔吉斯斯坦经济优先领域内工作的人员。</w:t>
      </w:r>
    </w:p>
    <w:p w:rsidR="00000000" w:rsidRDefault="00B7115A">
      <w:pPr>
        <w:pStyle w:val="Heading4"/>
        <w:spacing w:before="320"/>
        <w:textAlignment w:val="center"/>
      </w:pPr>
      <w:r>
        <w:rPr>
          <w:rFonts w:hint="eastAsia"/>
        </w:rPr>
        <w:t>经正式批准有权提前领取养恤金的人员</w:t>
      </w:r>
    </w:p>
    <w:p w:rsidR="00000000" w:rsidRDefault="00B7115A">
      <w:r>
        <w:tab/>
        <w:t xml:space="preserve">48.  </w:t>
      </w:r>
      <w:r>
        <w:rPr>
          <w:rFonts w:hint="eastAsia"/>
        </w:rPr>
        <w:t>根据《就业法》，约有</w:t>
      </w:r>
      <w:r>
        <w:t>1,700</w:t>
      </w:r>
      <w:r>
        <w:rPr>
          <w:rFonts w:hint="eastAsia"/>
        </w:rPr>
        <w:t>人被正式批准在未</w:t>
      </w:r>
      <w:r>
        <w:rPr>
          <w:rFonts w:hint="eastAsia"/>
        </w:rPr>
        <w:t>到领取养恤金年龄之前，提前领取养恤金。这一人数比</w:t>
      </w:r>
      <w:r>
        <w:t>1996</w:t>
      </w:r>
      <w:r>
        <w:rPr>
          <w:rFonts w:hint="eastAsia"/>
        </w:rPr>
        <w:t>年降低了</w:t>
      </w:r>
      <w:r>
        <w:t>37.3%</w:t>
      </w:r>
      <w:r>
        <w:rPr>
          <w:rFonts w:hint="eastAsia"/>
        </w:rPr>
        <w:t>。这类人中，有</w:t>
      </w:r>
      <w:r>
        <w:t>700</w:t>
      </w:r>
      <w:r>
        <w:rPr>
          <w:rFonts w:hint="eastAsia"/>
        </w:rPr>
        <w:t>人居住在比什凯克市，还有</w:t>
      </w:r>
      <w:r>
        <w:t>500</w:t>
      </w:r>
      <w:r>
        <w:rPr>
          <w:rFonts w:hint="eastAsia"/>
        </w:rPr>
        <w:t>人住在楚河州。由于《就业法》第</w:t>
      </w:r>
      <w:r>
        <w:t>29</w:t>
      </w:r>
      <w:r>
        <w:rPr>
          <w:rFonts w:hint="eastAsia"/>
        </w:rPr>
        <w:t>条有关提前退休的规定已被新《养恤金法》所取代，失业率将稍有上升。</w:t>
      </w:r>
    </w:p>
    <w:p w:rsidR="00000000" w:rsidRDefault="00B7115A">
      <w:pPr>
        <w:pStyle w:val="Heading4"/>
        <w:spacing w:before="320"/>
        <w:textAlignment w:val="center"/>
      </w:pPr>
      <w:r>
        <w:rPr>
          <w:rFonts w:hint="eastAsia"/>
          <w:u w:val="none"/>
        </w:rPr>
        <w:t>“</w:t>
      </w:r>
      <w:r>
        <w:rPr>
          <w:rFonts w:hint="eastAsia"/>
        </w:rPr>
        <w:t>求职者俱乐部</w:t>
      </w:r>
      <w:r>
        <w:rPr>
          <w:rFonts w:hint="eastAsia"/>
          <w:u w:val="none"/>
        </w:rPr>
        <w:t>”</w:t>
      </w:r>
    </w:p>
    <w:p w:rsidR="00000000" w:rsidRDefault="00B7115A">
      <w:r>
        <w:tab/>
        <w:t xml:space="preserve">49.  </w:t>
      </w:r>
      <w:r>
        <w:rPr>
          <w:rFonts w:hint="eastAsia"/>
        </w:rPr>
        <w:t>作为吉尔吉斯</w:t>
      </w:r>
      <w:r>
        <w:rPr>
          <w:rFonts w:hint="eastAsia"/>
          <w:spacing w:val="-40"/>
        </w:rPr>
        <w:t>——</w:t>
      </w:r>
      <w:r>
        <w:t xml:space="preserve"> </w:t>
      </w:r>
      <w:r>
        <w:rPr>
          <w:rFonts w:hint="eastAsia"/>
        </w:rPr>
        <w:t>德国项目的一部分，“求职者俱乐部”首次开始运作。这些俱乐部为长期失业者提供心理支助并促进就业安排。在楚托莫克和卡拉巴尔塔建立了试点俱乐部。由此，</w:t>
      </w:r>
      <w:r>
        <w:t>1997</w:t>
      </w:r>
      <w:r>
        <w:rPr>
          <w:rFonts w:hint="eastAsia"/>
        </w:rPr>
        <w:t>年有</w:t>
      </w:r>
      <w:r>
        <w:t>438</w:t>
      </w:r>
      <w:r>
        <w:rPr>
          <w:rFonts w:hint="eastAsia"/>
        </w:rPr>
        <w:t>人，包括</w:t>
      </w:r>
      <w:r>
        <w:t>347</w:t>
      </w:r>
      <w:r>
        <w:rPr>
          <w:rFonts w:hint="eastAsia"/>
        </w:rPr>
        <w:t>名妇女</w:t>
      </w:r>
      <w:r>
        <w:t>(</w:t>
      </w:r>
      <w:r>
        <w:rPr>
          <w:rFonts w:hint="eastAsia"/>
        </w:rPr>
        <w:t>占总人数的</w:t>
      </w:r>
      <w:r>
        <w:t>79%)</w:t>
      </w:r>
      <w:r>
        <w:rPr>
          <w:rFonts w:hint="eastAsia"/>
        </w:rPr>
        <w:t>接受了培训，而且其中</w:t>
      </w:r>
      <w:r>
        <w:t>176</w:t>
      </w:r>
      <w:r>
        <w:rPr>
          <w:rFonts w:hint="eastAsia"/>
        </w:rPr>
        <w:t>人</w:t>
      </w:r>
      <w:r>
        <w:t>(</w:t>
      </w:r>
      <w:r>
        <w:rPr>
          <w:rFonts w:hint="eastAsia"/>
        </w:rPr>
        <w:t>占</w:t>
      </w:r>
      <w:r>
        <w:t>40%</w:t>
      </w:r>
      <w:r>
        <w:t>)</w:t>
      </w:r>
      <w:r>
        <w:rPr>
          <w:rFonts w:hint="eastAsia"/>
        </w:rPr>
        <w:t>已被安排就业。这批被安排就业者中有</w:t>
      </w:r>
      <w:r>
        <w:t>143</w:t>
      </w:r>
      <w:r>
        <w:rPr>
          <w:rFonts w:hint="eastAsia"/>
        </w:rPr>
        <w:t>名妇女</w:t>
      </w:r>
      <w:r>
        <w:t>(</w:t>
      </w:r>
      <w:r>
        <w:rPr>
          <w:rFonts w:hint="eastAsia"/>
        </w:rPr>
        <w:t>占</w:t>
      </w:r>
      <w:r>
        <w:t>81.2%)</w:t>
      </w:r>
      <w:r>
        <w:rPr>
          <w:rFonts w:hint="eastAsia"/>
        </w:rPr>
        <w:t>。鉴于上述成功率，拟计划在国内其它一些区域也开设“求职者俱乐部”。这些都是就业服务局登记大量长期失业者的地区。</w:t>
      </w:r>
    </w:p>
    <w:p w:rsidR="00000000" w:rsidRDefault="00B7115A">
      <w:r>
        <w:tab/>
        <w:t xml:space="preserve">50.  </w:t>
      </w:r>
      <w:r>
        <w:rPr>
          <w:rFonts w:hint="eastAsia"/>
        </w:rPr>
        <w:t>在比什凯克市和贾拉拉巴德州设立了临时工作局，率先尝试对劳动力市场实行新的管理办法。自临时工作局向公众开放以来，共接待了</w:t>
      </w:r>
      <w:r>
        <w:t>2,400</w:t>
      </w:r>
      <w:r>
        <w:rPr>
          <w:rFonts w:hint="eastAsia"/>
        </w:rPr>
        <w:t>位来访者，其中</w:t>
      </w:r>
      <w:r>
        <w:t>1,500</w:t>
      </w:r>
      <w:r>
        <w:rPr>
          <w:rFonts w:hint="eastAsia"/>
        </w:rPr>
        <w:t>人，即</w:t>
      </w:r>
      <w:r>
        <w:t>62.5%</w:t>
      </w:r>
      <w:r>
        <w:rPr>
          <w:rFonts w:hint="eastAsia"/>
        </w:rPr>
        <w:t>找到了全职或临时工工作。在比什凯克市劳工和就业部主持下运作的德国技术中心的“青工交流所”是一项颇有意义的创举。在向该交流所提出申请的</w:t>
      </w:r>
      <w:r>
        <w:t>3,100</w:t>
      </w:r>
      <w:r>
        <w:rPr>
          <w:rFonts w:hint="eastAsia"/>
        </w:rPr>
        <w:t>人中，有</w:t>
      </w:r>
      <w:r>
        <w:t>1,1</w:t>
      </w:r>
      <w:r>
        <w:t>00</w:t>
      </w:r>
      <w:r>
        <w:rPr>
          <w:rFonts w:hint="eastAsia"/>
        </w:rPr>
        <w:t>多青年人</w:t>
      </w:r>
      <w:r>
        <w:t>(</w:t>
      </w:r>
      <w:r>
        <w:rPr>
          <w:rFonts w:hint="eastAsia"/>
        </w:rPr>
        <w:t>占总数</w:t>
      </w:r>
      <w:r>
        <w:t>36.5%)</w:t>
      </w:r>
      <w:r>
        <w:rPr>
          <w:rFonts w:hint="eastAsia"/>
        </w:rPr>
        <w:t>得到了就业安排。这些申请者中包括</w:t>
      </w:r>
      <w:r>
        <w:t>400</w:t>
      </w:r>
      <w:r>
        <w:rPr>
          <w:rFonts w:hint="eastAsia"/>
        </w:rPr>
        <w:t>名青少年，其中</w:t>
      </w:r>
      <w:r>
        <w:t>60%</w:t>
      </w:r>
      <w:r>
        <w:rPr>
          <w:rFonts w:hint="eastAsia"/>
        </w:rPr>
        <w:t>已被安排就业。每月举办一次的劳动力交易会，吸引了</w:t>
      </w:r>
      <w:r>
        <w:t>1,200</w:t>
      </w:r>
      <w:r>
        <w:rPr>
          <w:rFonts w:hint="eastAsia"/>
        </w:rPr>
        <w:t>多名失业青年来访。此外，另有</w:t>
      </w:r>
      <w:r>
        <w:t>500</w:t>
      </w:r>
      <w:r>
        <w:rPr>
          <w:rFonts w:hint="eastAsia"/>
        </w:rPr>
        <w:t>名青年人被送入培训班，从而缓解了对首都劳动市场的压力。目前这项实验已扩展至其它一些地区：在奥什市、卡拉科尔市和巴伊科奇市也开设了类似的交流所。</w:t>
      </w:r>
    </w:p>
    <w:p w:rsidR="00000000" w:rsidRDefault="00B7115A">
      <w:r>
        <w:tab/>
        <w:t xml:space="preserve">51.  </w:t>
      </w:r>
      <w:r>
        <w:rPr>
          <w:rFonts w:hint="eastAsia"/>
        </w:rPr>
        <w:t>在比什凯克就业司主持下，建立了一个流动就业服务社，旨在向居民区公众中的独家住户提供服务。</w:t>
      </w:r>
      <w:r>
        <w:t>1997</w:t>
      </w:r>
      <w:r>
        <w:rPr>
          <w:rFonts w:hint="eastAsia"/>
        </w:rPr>
        <w:t>年第四季度有</w:t>
      </w:r>
      <w:r>
        <w:t>1,100</w:t>
      </w:r>
      <w:r>
        <w:rPr>
          <w:rFonts w:hint="eastAsia"/>
        </w:rPr>
        <w:t>人利用了这项服务。</w:t>
      </w:r>
    </w:p>
    <w:p w:rsidR="00000000" w:rsidRDefault="00B7115A">
      <w:r>
        <w:tab/>
        <w:t>52.  1997</w:t>
      </w:r>
      <w:r>
        <w:rPr>
          <w:rFonts w:hint="eastAsia"/>
        </w:rPr>
        <w:t>年第一季度，在德</w:t>
      </w:r>
      <w:r>
        <w:rPr>
          <w:rFonts w:hint="eastAsia"/>
        </w:rPr>
        <w:t>国技术中心主持下开设了一个“资助就业支票”实验方案。这一方案向正在求职的青年失业者提供支助，采取了下列鼓励雇主的刺激性措施：只要雇用一名失业者就可减免缴纳两年社会基金。“资助就业支票”方案是向为青年失业者创造新就业职位的雇主们提供刺激的首次机会。去年来，该方案为比什凯克市的</w:t>
      </w:r>
      <w:r>
        <w:t>100</w:t>
      </w:r>
      <w:r>
        <w:rPr>
          <w:rFonts w:hint="eastAsia"/>
        </w:rPr>
        <w:t>名青年失业者</w:t>
      </w:r>
      <w:r>
        <w:t>(</w:t>
      </w:r>
      <w:r>
        <w:rPr>
          <w:rFonts w:hint="eastAsia"/>
        </w:rPr>
        <w:t>包括</w:t>
      </w:r>
      <w:r>
        <w:t>69</w:t>
      </w:r>
      <w:r>
        <w:rPr>
          <w:rFonts w:hint="eastAsia"/>
        </w:rPr>
        <w:t>名女性</w:t>
      </w:r>
      <w:r>
        <w:t>)</w:t>
      </w:r>
      <w:r>
        <w:rPr>
          <w:rFonts w:hint="eastAsia"/>
        </w:rPr>
        <w:t>、贾拉拉巴德州的</w:t>
      </w:r>
      <w:r>
        <w:t>76</w:t>
      </w:r>
      <w:r>
        <w:rPr>
          <w:rFonts w:hint="eastAsia"/>
        </w:rPr>
        <w:t>人</w:t>
      </w:r>
      <w:r>
        <w:t>(53</w:t>
      </w:r>
      <w:r>
        <w:rPr>
          <w:rFonts w:hint="eastAsia"/>
        </w:rPr>
        <w:t>名女性</w:t>
      </w:r>
      <w:r>
        <w:t>)</w:t>
      </w:r>
      <w:r>
        <w:rPr>
          <w:rFonts w:hint="eastAsia"/>
        </w:rPr>
        <w:t>、塔拉斯州的</w:t>
      </w:r>
      <w:r>
        <w:t>50</w:t>
      </w:r>
      <w:r>
        <w:rPr>
          <w:rFonts w:hint="eastAsia"/>
        </w:rPr>
        <w:t>人</w:t>
      </w:r>
      <w:r>
        <w:t>(36</w:t>
      </w:r>
      <w:r>
        <w:rPr>
          <w:rFonts w:hint="eastAsia"/>
        </w:rPr>
        <w:t>名女性</w:t>
      </w:r>
      <w:r>
        <w:t>)</w:t>
      </w:r>
      <w:r>
        <w:rPr>
          <w:rFonts w:hint="eastAsia"/>
        </w:rPr>
        <w:t>和伊塞克湖州的</w:t>
      </w:r>
      <w:r>
        <w:t>50</w:t>
      </w:r>
      <w:r>
        <w:rPr>
          <w:rFonts w:hint="eastAsia"/>
        </w:rPr>
        <w:t>人</w:t>
      </w:r>
      <w:r>
        <w:t>(28</w:t>
      </w:r>
      <w:r>
        <w:rPr>
          <w:rFonts w:hint="eastAsia"/>
        </w:rPr>
        <w:t>名女性</w:t>
      </w:r>
      <w:r>
        <w:t>)</w:t>
      </w:r>
      <w:r>
        <w:rPr>
          <w:rFonts w:hint="eastAsia"/>
        </w:rPr>
        <w:t>找到了工作。</w:t>
      </w:r>
    </w:p>
    <w:p w:rsidR="00000000" w:rsidRDefault="00B7115A">
      <w:r>
        <w:tab/>
        <w:t xml:space="preserve">53.  </w:t>
      </w:r>
      <w:r>
        <w:rPr>
          <w:rFonts w:hint="eastAsia"/>
        </w:rPr>
        <w:t>为了提供财政资助支持那些为失业者创造就业职位的雇主，市就业行政部门的一个专</w:t>
      </w:r>
      <w:r>
        <w:rPr>
          <w:rFonts w:hint="eastAsia"/>
        </w:rPr>
        <w:t>家组探讨并审查了</w:t>
      </w:r>
      <w:r>
        <w:t>196</w:t>
      </w:r>
      <w:r>
        <w:rPr>
          <w:rFonts w:hint="eastAsia"/>
        </w:rPr>
        <w:t>个商业方案，其中</w:t>
      </w:r>
      <w:r>
        <w:t>86</w:t>
      </w:r>
      <w:r>
        <w:rPr>
          <w:rFonts w:hint="eastAsia"/>
        </w:rPr>
        <w:t>个是劳工和社会福利部的一个工作组转送讨论的方案。</w:t>
      </w:r>
      <w:r>
        <w:t>1996</w:t>
      </w:r>
      <w:r>
        <w:rPr>
          <w:rFonts w:hint="eastAsia"/>
        </w:rPr>
        <w:t>年，拨出了数额为</w:t>
      </w:r>
      <w:r>
        <w:t>325,354,000</w:t>
      </w:r>
      <w:r>
        <w:rPr>
          <w:rFonts w:hint="eastAsia"/>
        </w:rPr>
        <w:t>索姆的资金，资助</w:t>
      </w:r>
      <w:r>
        <w:t>28</w:t>
      </w:r>
      <w:r>
        <w:rPr>
          <w:rFonts w:hint="eastAsia"/>
        </w:rPr>
        <w:t>个商业方案创造了</w:t>
      </w:r>
      <w:r>
        <w:t>628</w:t>
      </w:r>
      <w:r>
        <w:rPr>
          <w:rFonts w:hint="eastAsia"/>
        </w:rPr>
        <w:t>个新就业职位。</w:t>
      </w:r>
    </w:p>
    <w:p w:rsidR="00000000" w:rsidRDefault="00B7115A">
      <w:pPr>
        <w:pStyle w:val="Heading4"/>
        <w:spacing w:before="320"/>
        <w:textAlignment w:val="center"/>
      </w:pPr>
      <w:r>
        <w:rPr>
          <w:rFonts w:hint="eastAsia"/>
        </w:rPr>
        <w:t>援助处境不利群体的方案和政策</w:t>
      </w:r>
    </w:p>
    <w:p w:rsidR="00000000" w:rsidRDefault="00B7115A">
      <w:r>
        <w:tab/>
        <w:t xml:space="preserve">54.  </w:t>
      </w:r>
      <w:r>
        <w:rPr>
          <w:rFonts w:hint="eastAsia"/>
        </w:rPr>
        <w:t>为防止妇女失业率的增长，首先得把从事物质生产领域工作的强壮妇女另行安排到非生产性领域去。已采取步骤发挥妇女创业精神和增加女性家庭工人的数量。对劳动力市场妇女现状的分析表明，目前的妇女就业状况对社会并不可取。促进妇女就业的政策包括对她们进行面向未来的职业培训和再培训，让她们作好</w:t>
      </w:r>
      <w:r>
        <w:rPr>
          <w:rFonts w:hint="eastAsia"/>
        </w:rPr>
        <w:t>准备迎接劳动力市场上对此的高度需求；鼓励女性家庭工人独立工作并鼓励她们参与有偿的社区工作。在吉尔吉斯</w:t>
      </w:r>
      <w:r>
        <w:rPr>
          <w:rFonts w:hint="eastAsia"/>
          <w:spacing w:val="-40"/>
        </w:rPr>
        <w:t>——</w:t>
      </w:r>
      <w:r>
        <w:t xml:space="preserve"> </w:t>
      </w:r>
      <w:r>
        <w:rPr>
          <w:rFonts w:hint="eastAsia"/>
        </w:rPr>
        <w:t>德国“劳动力市场政策和就业”项目的框架内，比什凯克市、卡拉科尔市、塔拉斯和奥什州正在实施四个妇女就业项目。</w:t>
      </w:r>
    </w:p>
    <w:p w:rsidR="00000000" w:rsidRDefault="00B7115A">
      <w:r>
        <w:tab/>
        <w:t xml:space="preserve">55.  </w:t>
      </w:r>
      <w:r>
        <w:rPr>
          <w:rFonts w:hint="eastAsia"/>
        </w:rPr>
        <w:t>在吉尔吉斯斯坦劳工和社会福利部主持下，这些旨在提高妇女就业的计划正在取得进展。计划涵盖了技能更新培训、各类职业培训、鼓励独立工作、参与社区项目和创造就业：</w:t>
      </w:r>
    </w:p>
    <w:p w:rsidR="00000000" w:rsidRDefault="00B7115A">
      <w:pPr>
        <w:pStyle w:val="NormalIndent"/>
        <w:ind w:left="1038"/>
      </w:pPr>
      <w:r>
        <w:rPr>
          <w:rFonts w:hint="eastAsia"/>
        </w:rPr>
        <w:t>比什凯克市的一项食品真空包装方案计划雇用</w:t>
      </w:r>
      <w:r>
        <w:t>14</w:t>
      </w:r>
      <w:r>
        <w:rPr>
          <w:rFonts w:hint="eastAsia"/>
        </w:rPr>
        <w:t>名妇女；</w:t>
      </w:r>
    </w:p>
    <w:p w:rsidR="00000000" w:rsidRDefault="00B7115A">
      <w:pPr>
        <w:pStyle w:val="NormalIndent"/>
        <w:ind w:left="1038"/>
      </w:pPr>
      <w:r>
        <w:rPr>
          <w:rFonts w:hint="eastAsia"/>
        </w:rPr>
        <w:t>卡拉科克尔市的一个技能提高项目，计划培训</w:t>
      </w:r>
      <w:r>
        <w:t>60</w:t>
      </w:r>
      <w:r>
        <w:rPr>
          <w:rFonts w:hint="eastAsia"/>
        </w:rPr>
        <w:t>名妇女；</w:t>
      </w:r>
    </w:p>
    <w:p w:rsidR="00000000" w:rsidRDefault="00B7115A">
      <w:pPr>
        <w:pStyle w:val="NormalIndent"/>
        <w:ind w:left="1038"/>
      </w:pPr>
      <w:r>
        <w:rPr>
          <w:rFonts w:hint="eastAsia"/>
        </w:rPr>
        <w:t>塔拉斯市“纳克尔”合股</w:t>
      </w:r>
      <w:r>
        <w:rPr>
          <w:rFonts w:hint="eastAsia"/>
        </w:rPr>
        <w:t>公司一家妇女会馆拟建立一个自助团体项目，在此项目下，于</w:t>
      </w:r>
      <w:r>
        <w:t>1997</w:t>
      </w:r>
      <w:r>
        <w:rPr>
          <w:rFonts w:hint="eastAsia"/>
        </w:rPr>
        <w:t>年</w:t>
      </w:r>
      <w:r>
        <w:t>9</w:t>
      </w:r>
      <w:r>
        <w:rPr>
          <w:rFonts w:hint="eastAsia"/>
        </w:rPr>
        <w:t>月</w:t>
      </w:r>
      <w:r>
        <w:t>1</w:t>
      </w:r>
      <w:r>
        <w:rPr>
          <w:rFonts w:hint="eastAsia"/>
        </w:rPr>
        <w:t>日起建立了若干个妇女行动队，每一队由</w:t>
      </w:r>
      <w:r>
        <w:t>20</w:t>
      </w:r>
      <w:r>
        <w:rPr>
          <w:rFonts w:hint="eastAsia"/>
        </w:rPr>
        <w:t>名妇女组成；</w:t>
      </w:r>
    </w:p>
    <w:p w:rsidR="00000000" w:rsidRDefault="00B7115A">
      <w:pPr>
        <w:pStyle w:val="NormalIndent"/>
        <w:ind w:left="1038"/>
      </w:pPr>
      <w:r>
        <w:rPr>
          <w:rFonts w:hint="eastAsia"/>
        </w:rPr>
        <w:t>“资助就业支票”方案是一个旨在帮助</w:t>
      </w:r>
      <w:r>
        <w:t>25</w:t>
      </w:r>
      <w:r>
        <w:rPr>
          <w:rFonts w:hint="eastAsia"/>
        </w:rPr>
        <w:t>岁以下青年人的方案，其中半数必需是女性。截至</w:t>
      </w:r>
      <w:r>
        <w:t>1997</w:t>
      </w:r>
      <w:r>
        <w:rPr>
          <w:rFonts w:hint="eastAsia"/>
        </w:rPr>
        <w:t>年</w:t>
      </w:r>
      <w:r>
        <w:t>9</w:t>
      </w:r>
      <w:r>
        <w:rPr>
          <w:rFonts w:hint="eastAsia"/>
        </w:rPr>
        <w:t>月</w:t>
      </w:r>
      <w:r>
        <w:t>1</w:t>
      </w:r>
      <w:r>
        <w:rPr>
          <w:rFonts w:hint="eastAsia"/>
        </w:rPr>
        <w:t>日，在此方案下，已经签发了</w:t>
      </w:r>
      <w:r>
        <w:t>286</w:t>
      </w:r>
      <w:r>
        <w:rPr>
          <w:rFonts w:hint="eastAsia"/>
        </w:rPr>
        <w:t>张支票，为此有</w:t>
      </w:r>
      <w:r>
        <w:t>225</w:t>
      </w:r>
      <w:r>
        <w:rPr>
          <w:rFonts w:hint="eastAsia"/>
        </w:rPr>
        <w:t>人</w:t>
      </w:r>
      <w:r>
        <w:t>(</w:t>
      </w:r>
      <w:r>
        <w:rPr>
          <w:rFonts w:hint="eastAsia"/>
        </w:rPr>
        <w:t>包括</w:t>
      </w:r>
      <w:r>
        <w:t>148</w:t>
      </w:r>
      <w:r>
        <w:rPr>
          <w:rFonts w:hint="eastAsia"/>
        </w:rPr>
        <w:t>名妇女</w:t>
      </w:r>
      <w:r>
        <w:t>)</w:t>
      </w:r>
      <w:r>
        <w:rPr>
          <w:rFonts w:hint="eastAsia"/>
        </w:rPr>
        <w:t>被安排了就业；楚托克莫克和卡尔巴尔塔的“求职者俱乐部”的主要宗旨是，消除长期失业的后果并提供就业安排的援助。截至</w:t>
      </w:r>
      <w:r>
        <w:t>1997</w:t>
      </w:r>
      <w:r>
        <w:rPr>
          <w:rFonts w:hint="eastAsia"/>
        </w:rPr>
        <w:t>年</w:t>
      </w:r>
      <w:r>
        <w:t>9</w:t>
      </w:r>
      <w:r>
        <w:rPr>
          <w:rFonts w:hint="eastAsia"/>
        </w:rPr>
        <w:t>月</w:t>
      </w:r>
      <w:r>
        <w:t>1</w:t>
      </w:r>
      <w:r>
        <w:rPr>
          <w:rFonts w:hint="eastAsia"/>
        </w:rPr>
        <w:t>日，</w:t>
      </w:r>
      <w:r>
        <w:t>278</w:t>
      </w:r>
      <w:r>
        <w:rPr>
          <w:rFonts w:hint="eastAsia"/>
        </w:rPr>
        <w:t>人</w:t>
      </w:r>
      <w:r>
        <w:t>(</w:t>
      </w:r>
      <w:r>
        <w:rPr>
          <w:rFonts w:hint="eastAsia"/>
        </w:rPr>
        <w:t>包括</w:t>
      </w:r>
      <w:r>
        <w:t>218</w:t>
      </w:r>
      <w:r>
        <w:rPr>
          <w:rFonts w:hint="eastAsia"/>
        </w:rPr>
        <w:t>名妇女，占总人数的</w:t>
      </w:r>
      <w:r>
        <w:t>78%)</w:t>
      </w:r>
      <w:r>
        <w:rPr>
          <w:rFonts w:hint="eastAsia"/>
        </w:rPr>
        <w:t>在这些俱乐部内接受了培训。在该培训班结</w:t>
      </w:r>
      <w:r>
        <w:rPr>
          <w:rFonts w:hint="eastAsia"/>
        </w:rPr>
        <w:t>业的失业者总数中，</w:t>
      </w:r>
      <w:r>
        <w:t>110</w:t>
      </w:r>
      <w:r>
        <w:rPr>
          <w:rFonts w:hint="eastAsia"/>
        </w:rPr>
        <w:t>人已得到了就业安排，其中包括</w:t>
      </w:r>
      <w:r>
        <w:t>86</w:t>
      </w:r>
      <w:r>
        <w:rPr>
          <w:rFonts w:hint="eastAsia"/>
        </w:rPr>
        <w:t>名妇女，为上述总就业人数的</w:t>
      </w:r>
      <w:r>
        <w:t>31%</w:t>
      </w:r>
      <w:r>
        <w:rPr>
          <w:rFonts w:hint="eastAsia"/>
        </w:rPr>
        <w:t>。</w:t>
      </w:r>
    </w:p>
    <w:p w:rsidR="00000000" w:rsidRDefault="00B7115A">
      <w:pPr>
        <w:textAlignment w:val="center"/>
      </w:pPr>
      <w:r>
        <w:tab/>
        <w:t xml:space="preserve">56.  </w:t>
      </w:r>
      <w:r>
        <w:rPr>
          <w:rFonts w:hint="eastAsia"/>
        </w:rPr>
        <w:t>此外，在</w:t>
      </w:r>
      <w:r>
        <w:t>1997</w:t>
      </w:r>
      <w:r>
        <w:rPr>
          <w:rFonts w:hint="eastAsia"/>
        </w:rPr>
        <w:t>年的前</w:t>
      </w:r>
      <w:r>
        <w:t>8</w:t>
      </w:r>
      <w:r>
        <w:rPr>
          <w:rFonts w:hint="eastAsia"/>
        </w:rPr>
        <w:t>个月期间，有</w:t>
      </w:r>
      <w:r>
        <w:t>1,400</w:t>
      </w:r>
      <w:r>
        <w:rPr>
          <w:rFonts w:hint="eastAsia"/>
        </w:rPr>
        <w:t>妇女签订了自行开办商业经营的合同。劳动部主持并资助了“</w:t>
      </w:r>
      <w:r>
        <w:t>Altynbyu</w:t>
      </w:r>
      <w:r>
        <w:rPr>
          <w:rFonts w:hint="eastAsia"/>
        </w:rPr>
        <w:t>”方案。这是在奥什州乌兹根区米尔扎阿卡村开设的一个妇女经营的缝纫项目。这个项目已经为失业妇女创造了</w:t>
      </w:r>
      <w:r>
        <w:t>22</w:t>
      </w:r>
      <w:r>
        <w:rPr>
          <w:rFonts w:hint="eastAsia"/>
        </w:rPr>
        <w:t>个就业职位。</w:t>
      </w:r>
    </w:p>
    <w:p w:rsidR="00000000" w:rsidRDefault="00B7115A">
      <w:r>
        <w:tab/>
        <w:t xml:space="preserve">57.  </w:t>
      </w:r>
      <w:r>
        <w:rPr>
          <w:rFonts w:hint="eastAsia"/>
        </w:rPr>
        <w:t>自</w:t>
      </w:r>
      <w:r>
        <w:t>1995</w:t>
      </w:r>
      <w:r>
        <w:rPr>
          <w:rFonts w:hint="eastAsia"/>
        </w:rPr>
        <w:t>年以来，劳工和社会福利部采取了特殊的步骤协调与残疾人问题直接相关的单位所开展的活动，并促进了地方行政部门与雇用残疾人的单位之间的合作。</w:t>
      </w:r>
    </w:p>
    <w:p w:rsidR="00000000" w:rsidRDefault="00B7115A">
      <w:pPr>
        <w:spacing w:after="320"/>
        <w:textAlignment w:val="center"/>
      </w:pPr>
      <w:r>
        <w:tab/>
        <w:t xml:space="preserve">58.  </w:t>
      </w:r>
      <w:r>
        <w:rPr>
          <w:rFonts w:hint="eastAsia"/>
        </w:rPr>
        <w:t>残疾人</w:t>
      </w:r>
      <w:r>
        <w:rPr>
          <w:rFonts w:hint="eastAsia"/>
        </w:rPr>
        <w:t>就业是一个十分紧迫的问题。这需要采取特殊的作法，因为这是一个如何使工作能力有限的人在劳动力市场上进行充分竞争的问题。过去</w:t>
      </w:r>
      <w:r>
        <w:t>5</w:t>
      </w:r>
      <w:r>
        <w:rPr>
          <w:rFonts w:hint="eastAsia"/>
        </w:rPr>
        <w:t>年来，正式登记为残疾者的人数每年以</w:t>
      </w:r>
      <w:r>
        <w:t>3,000</w:t>
      </w:r>
      <w:r>
        <w:rPr>
          <w:rFonts w:hint="eastAsia"/>
        </w:rPr>
        <w:t>人左右的数量递增。鉴于目前经济不稳定的现状，残疾人的职业康复和促进他们的就业，构成了重大的社会问题。仅</w:t>
      </w:r>
      <w:r>
        <w:t>1997</w:t>
      </w:r>
      <w:r>
        <w:rPr>
          <w:rFonts w:hint="eastAsia"/>
        </w:rPr>
        <w:t>年就有</w:t>
      </w:r>
      <w:r>
        <w:t>403</w:t>
      </w:r>
      <w:r>
        <w:rPr>
          <w:rFonts w:hint="eastAsia"/>
        </w:rPr>
        <w:t>人，其中有</w:t>
      </w:r>
      <w:r>
        <w:t>120</w:t>
      </w:r>
      <w:r>
        <w:rPr>
          <w:rFonts w:hint="eastAsia"/>
        </w:rPr>
        <w:t>名妇女残疾人，向劳工部的就业服务局提出了求职申请。在</w:t>
      </w:r>
      <w:r>
        <w:t>1997</w:t>
      </w:r>
      <w:r>
        <w:rPr>
          <w:rFonts w:hint="eastAsia"/>
        </w:rPr>
        <w:t>年的前</w:t>
      </w:r>
      <w:r>
        <w:t>9</w:t>
      </w:r>
      <w:r>
        <w:rPr>
          <w:rFonts w:hint="eastAsia"/>
        </w:rPr>
        <w:t>个月，为</w:t>
      </w:r>
      <w:r>
        <w:t>21</w:t>
      </w:r>
      <w:r>
        <w:rPr>
          <w:rFonts w:hint="eastAsia"/>
        </w:rPr>
        <w:t>名残疾人找到了工作，其中包括</w:t>
      </w:r>
      <w:r>
        <w:t>7</w:t>
      </w:r>
      <w:r>
        <w:rPr>
          <w:rFonts w:hint="eastAsia"/>
        </w:rPr>
        <w:t>名残疾妇女。</w:t>
      </w:r>
    </w:p>
    <w:p w:rsidR="00000000" w:rsidRDefault="00B7115A">
      <w:pPr>
        <w:pStyle w:val="Heading3"/>
        <w:spacing w:before="320"/>
        <w:textAlignment w:val="center"/>
      </w:pPr>
      <w:r>
        <w:rPr>
          <w:rFonts w:hint="eastAsia"/>
        </w:rPr>
        <w:t>新登记的残疾者人数</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60"/>
        <w:gridCol w:w="2160"/>
        <w:gridCol w:w="2040"/>
        <w:gridCol w:w="2280"/>
      </w:tblGrid>
      <w:tr w:rsidR="00000000">
        <w:tblPrEx>
          <w:tblCellMar>
            <w:top w:w="0" w:type="dxa"/>
            <w:bottom w:w="0" w:type="dxa"/>
          </w:tblCellMar>
        </w:tblPrEx>
        <w:tc>
          <w:tcPr>
            <w:tcW w:w="2760" w:type="dxa"/>
            <w:tcBorders>
              <w:bottom w:val="nil"/>
            </w:tcBorders>
          </w:tcPr>
          <w:p w:rsidR="00000000" w:rsidRDefault="00B7115A">
            <w:pPr>
              <w:spacing w:before="120" w:after="60" w:line="240" w:lineRule="auto"/>
              <w:ind w:left="113"/>
              <w:rPr>
                <w:sz w:val="21"/>
              </w:rPr>
            </w:pPr>
          </w:p>
        </w:tc>
        <w:tc>
          <w:tcPr>
            <w:tcW w:w="2160" w:type="dxa"/>
            <w:tcBorders>
              <w:bottom w:val="nil"/>
            </w:tcBorders>
          </w:tcPr>
          <w:p w:rsidR="00000000" w:rsidRDefault="00B7115A">
            <w:pPr>
              <w:spacing w:before="120" w:after="60" w:line="240" w:lineRule="auto"/>
              <w:jc w:val="center"/>
              <w:rPr>
                <w:sz w:val="21"/>
              </w:rPr>
            </w:pPr>
            <w:r>
              <w:rPr>
                <w:sz w:val="21"/>
              </w:rPr>
              <w:t>1994</w:t>
            </w:r>
            <w:r>
              <w:rPr>
                <w:rFonts w:hint="eastAsia"/>
                <w:sz w:val="21"/>
              </w:rPr>
              <w:t>年</w:t>
            </w:r>
          </w:p>
        </w:tc>
        <w:tc>
          <w:tcPr>
            <w:tcW w:w="2040" w:type="dxa"/>
            <w:tcBorders>
              <w:bottom w:val="nil"/>
            </w:tcBorders>
          </w:tcPr>
          <w:p w:rsidR="00000000" w:rsidRDefault="00B7115A">
            <w:pPr>
              <w:spacing w:before="120" w:after="60" w:line="240" w:lineRule="auto"/>
              <w:jc w:val="center"/>
              <w:rPr>
                <w:sz w:val="21"/>
              </w:rPr>
            </w:pPr>
            <w:r>
              <w:rPr>
                <w:sz w:val="21"/>
              </w:rPr>
              <w:t>1995</w:t>
            </w:r>
            <w:r>
              <w:rPr>
                <w:rFonts w:hint="eastAsia"/>
                <w:sz w:val="21"/>
              </w:rPr>
              <w:t>年</w:t>
            </w:r>
          </w:p>
        </w:tc>
        <w:tc>
          <w:tcPr>
            <w:tcW w:w="2280" w:type="dxa"/>
            <w:tcBorders>
              <w:bottom w:val="nil"/>
            </w:tcBorders>
          </w:tcPr>
          <w:p w:rsidR="00000000" w:rsidRDefault="00B7115A">
            <w:pPr>
              <w:spacing w:before="120" w:after="60" w:line="240" w:lineRule="auto"/>
              <w:jc w:val="center"/>
              <w:rPr>
                <w:sz w:val="21"/>
              </w:rPr>
            </w:pPr>
            <w:r>
              <w:rPr>
                <w:sz w:val="21"/>
              </w:rPr>
              <w:t>1996</w:t>
            </w:r>
            <w:r>
              <w:rPr>
                <w:rFonts w:hint="eastAsia"/>
                <w:sz w:val="21"/>
              </w:rPr>
              <w:t>年</w:t>
            </w:r>
          </w:p>
        </w:tc>
      </w:tr>
      <w:tr w:rsidR="00000000">
        <w:tblPrEx>
          <w:tblCellMar>
            <w:top w:w="0" w:type="dxa"/>
            <w:bottom w:w="0" w:type="dxa"/>
          </w:tblCellMar>
        </w:tblPrEx>
        <w:tc>
          <w:tcPr>
            <w:tcW w:w="2760" w:type="dxa"/>
            <w:tcBorders>
              <w:bottom w:val="nil"/>
            </w:tcBorders>
          </w:tcPr>
          <w:p w:rsidR="00000000" w:rsidRDefault="00B7115A">
            <w:pPr>
              <w:spacing w:before="160" w:line="240" w:lineRule="auto"/>
              <w:ind w:left="113"/>
              <w:rPr>
                <w:sz w:val="21"/>
              </w:rPr>
            </w:pPr>
            <w:r>
              <w:rPr>
                <w:rFonts w:hint="eastAsia"/>
                <w:sz w:val="21"/>
              </w:rPr>
              <w:t>总数</w:t>
            </w:r>
            <w:r>
              <w:rPr>
                <w:sz w:val="21"/>
              </w:rPr>
              <w:t>(</w:t>
            </w:r>
            <w:r>
              <w:rPr>
                <w:rFonts w:hint="eastAsia"/>
                <w:sz w:val="21"/>
              </w:rPr>
              <w:t>千</w:t>
            </w:r>
            <w:r>
              <w:rPr>
                <w:sz w:val="21"/>
              </w:rPr>
              <w:t>)</w:t>
            </w:r>
          </w:p>
        </w:tc>
        <w:tc>
          <w:tcPr>
            <w:tcW w:w="2160" w:type="dxa"/>
            <w:tcBorders>
              <w:bottom w:val="nil"/>
            </w:tcBorders>
          </w:tcPr>
          <w:p w:rsidR="00000000" w:rsidRDefault="00B7115A">
            <w:pPr>
              <w:spacing w:before="160" w:line="240" w:lineRule="auto"/>
              <w:jc w:val="center"/>
              <w:rPr>
                <w:sz w:val="21"/>
              </w:rPr>
            </w:pPr>
            <w:r>
              <w:rPr>
                <w:sz w:val="21"/>
              </w:rPr>
              <w:t>3.2</w:t>
            </w:r>
          </w:p>
        </w:tc>
        <w:tc>
          <w:tcPr>
            <w:tcW w:w="2040" w:type="dxa"/>
            <w:tcBorders>
              <w:bottom w:val="nil"/>
            </w:tcBorders>
          </w:tcPr>
          <w:p w:rsidR="00000000" w:rsidRDefault="00B7115A">
            <w:pPr>
              <w:spacing w:before="160" w:line="240" w:lineRule="auto"/>
              <w:jc w:val="center"/>
              <w:rPr>
                <w:sz w:val="21"/>
              </w:rPr>
            </w:pPr>
            <w:r>
              <w:rPr>
                <w:sz w:val="21"/>
              </w:rPr>
              <w:t>3.</w:t>
            </w:r>
            <w:r>
              <w:rPr>
                <w:sz w:val="21"/>
              </w:rPr>
              <w:t>0</w:t>
            </w:r>
          </w:p>
        </w:tc>
        <w:tc>
          <w:tcPr>
            <w:tcW w:w="2280" w:type="dxa"/>
            <w:tcBorders>
              <w:bottom w:val="nil"/>
            </w:tcBorders>
          </w:tcPr>
          <w:p w:rsidR="00000000" w:rsidRDefault="00B7115A">
            <w:pPr>
              <w:spacing w:before="160" w:line="240" w:lineRule="auto"/>
              <w:jc w:val="center"/>
              <w:rPr>
                <w:sz w:val="21"/>
              </w:rPr>
            </w:pPr>
            <w:r>
              <w:rPr>
                <w:sz w:val="21"/>
              </w:rPr>
              <w:t>2.9</w:t>
            </w:r>
          </w:p>
        </w:tc>
      </w:tr>
      <w:tr w:rsidR="00000000">
        <w:tblPrEx>
          <w:tblCellMar>
            <w:top w:w="0" w:type="dxa"/>
            <w:bottom w:w="0" w:type="dxa"/>
          </w:tblCellMar>
        </w:tblPrEx>
        <w:tc>
          <w:tcPr>
            <w:tcW w:w="2760" w:type="dxa"/>
            <w:tcBorders>
              <w:top w:val="nil"/>
            </w:tcBorders>
          </w:tcPr>
          <w:p w:rsidR="00000000" w:rsidRDefault="00B7115A">
            <w:pPr>
              <w:spacing w:after="120" w:line="240" w:lineRule="auto"/>
              <w:ind w:left="113"/>
              <w:rPr>
                <w:sz w:val="21"/>
              </w:rPr>
            </w:pPr>
            <w:r>
              <w:rPr>
                <w:rFonts w:hint="eastAsia"/>
                <w:sz w:val="21"/>
              </w:rPr>
              <w:t>每</w:t>
            </w:r>
            <w:r>
              <w:rPr>
                <w:sz w:val="21"/>
              </w:rPr>
              <w:t>10,000</w:t>
            </w:r>
            <w:r>
              <w:rPr>
                <w:rFonts w:hint="eastAsia"/>
                <w:sz w:val="21"/>
              </w:rPr>
              <w:t>工人中</w:t>
            </w:r>
          </w:p>
        </w:tc>
        <w:tc>
          <w:tcPr>
            <w:tcW w:w="2160" w:type="dxa"/>
            <w:tcBorders>
              <w:top w:val="nil"/>
            </w:tcBorders>
          </w:tcPr>
          <w:p w:rsidR="00000000" w:rsidRDefault="00B7115A">
            <w:pPr>
              <w:spacing w:after="120" w:line="240" w:lineRule="auto"/>
              <w:jc w:val="center"/>
              <w:rPr>
                <w:sz w:val="21"/>
              </w:rPr>
            </w:pPr>
            <w:r>
              <w:rPr>
                <w:sz w:val="21"/>
              </w:rPr>
              <w:t>24</w:t>
            </w:r>
          </w:p>
        </w:tc>
        <w:tc>
          <w:tcPr>
            <w:tcW w:w="2040" w:type="dxa"/>
            <w:tcBorders>
              <w:top w:val="nil"/>
            </w:tcBorders>
          </w:tcPr>
          <w:p w:rsidR="00000000" w:rsidRDefault="00B7115A">
            <w:pPr>
              <w:spacing w:after="120" w:line="240" w:lineRule="auto"/>
              <w:jc w:val="center"/>
              <w:rPr>
                <w:sz w:val="21"/>
              </w:rPr>
            </w:pPr>
            <w:r>
              <w:rPr>
                <w:sz w:val="21"/>
              </w:rPr>
              <w:t>23</w:t>
            </w:r>
          </w:p>
        </w:tc>
        <w:tc>
          <w:tcPr>
            <w:tcW w:w="2280" w:type="dxa"/>
            <w:tcBorders>
              <w:top w:val="nil"/>
            </w:tcBorders>
          </w:tcPr>
          <w:p w:rsidR="00000000" w:rsidRDefault="00B7115A">
            <w:pPr>
              <w:spacing w:after="120" w:line="240" w:lineRule="auto"/>
              <w:jc w:val="center"/>
              <w:rPr>
                <w:sz w:val="21"/>
              </w:rPr>
            </w:pPr>
            <w:r>
              <w:rPr>
                <w:sz w:val="21"/>
              </w:rPr>
              <w:t>22</w:t>
            </w:r>
          </w:p>
        </w:tc>
      </w:tr>
    </w:tbl>
    <w:p w:rsidR="00000000" w:rsidRDefault="00B7115A">
      <w:pPr>
        <w:spacing w:before="360"/>
        <w:textAlignment w:val="center"/>
      </w:pPr>
      <w:r>
        <w:tab/>
        <w:t>59.  1996</w:t>
      </w:r>
      <w:r>
        <w:rPr>
          <w:rFonts w:hint="eastAsia"/>
        </w:rPr>
        <w:t>至</w:t>
      </w:r>
      <w:r>
        <w:t>1997</w:t>
      </w:r>
      <w:r>
        <w:rPr>
          <w:rFonts w:hint="eastAsia"/>
        </w:rPr>
        <w:t>年期间以及直至</w:t>
      </w:r>
      <w:r>
        <w:t>2005</w:t>
      </w:r>
      <w:r>
        <w:rPr>
          <w:rFonts w:hint="eastAsia"/>
        </w:rPr>
        <w:t>年的共和国境内劳动力市场和促进公共就业全国方案，概述了促进残疾人就业的具体措施和区域性公共就业方案，包括据此方案设计并批准的残疾人福利措施。例如，</w:t>
      </w:r>
      <w:r>
        <w:t>1997</w:t>
      </w:r>
      <w:r>
        <w:rPr>
          <w:rFonts w:hint="eastAsia"/>
        </w:rPr>
        <w:t>年“里吉利克”和“杜伊申”有限责任公司向五一镇就业中心发放了贷款，使得视力障碍者可制作用于食品包装瓶罐的盖子。伊塞克湖州巴利克奇镇内的职业中心已提出了一份供审议的残疾人就业促进方案。该方案拟在针织品、书籍装修和制作笔记簿和便条本等领域创造更多就业。</w:t>
      </w:r>
    </w:p>
    <w:p w:rsidR="00000000" w:rsidRDefault="00B7115A">
      <w:r>
        <w:tab/>
        <w:t xml:space="preserve">60.  </w:t>
      </w:r>
      <w:r>
        <w:rPr>
          <w:rFonts w:hint="eastAsia"/>
        </w:rPr>
        <w:t>为了针对社会中这类人员创造新增就业机会并对他们进行培训和再培训，就业法草案规定第</w:t>
      </w:r>
      <w:r>
        <w:t>1</w:t>
      </w:r>
      <w:r>
        <w:rPr>
          <w:rFonts w:hint="eastAsia"/>
        </w:rPr>
        <w:t>和</w:t>
      </w:r>
      <w:r>
        <w:t>2</w:t>
      </w:r>
      <w:r>
        <w:rPr>
          <w:rFonts w:hint="eastAsia"/>
        </w:rPr>
        <w:t>类残疾人须向劳动部就业服务局进行登记。</w:t>
      </w:r>
    </w:p>
    <w:p w:rsidR="00000000" w:rsidRDefault="00B7115A">
      <w:r>
        <w:tab/>
        <w:t xml:space="preserve">61.  </w:t>
      </w:r>
      <w:r>
        <w:rPr>
          <w:rFonts w:hint="eastAsia"/>
        </w:rPr>
        <w:t>劳动和社会福利部正在处理这类社会人员的就业安排问题。以下是一些优先领域：</w:t>
      </w:r>
    </w:p>
    <w:p w:rsidR="00000000" w:rsidRDefault="00B7115A">
      <w:pPr>
        <w:pStyle w:val="NormalIndent"/>
        <w:ind w:left="1036"/>
      </w:pPr>
      <w:r>
        <w:rPr>
          <w:rFonts w:hint="eastAsia"/>
        </w:rPr>
        <w:t>协调国家和社会体制在安排残疾人就业方面开展的活动；</w:t>
      </w:r>
    </w:p>
    <w:p w:rsidR="00000000" w:rsidRDefault="00B7115A">
      <w:pPr>
        <w:pStyle w:val="NormalIndent"/>
        <w:ind w:left="1036"/>
      </w:pPr>
      <w:r>
        <w:rPr>
          <w:rFonts w:hint="eastAsia"/>
        </w:rPr>
        <w:t>研究残疾人就业的需要；</w:t>
      </w:r>
    </w:p>
    <w:p w:rsidR="00000000" w:rsidRDefault="00B7115A">
      <w:pPr>
        <w:pStyle w:val="NormalIndent"/>
        <w:ind w:left="1036"/>
      </w:pPr>
      <w:r>
        <w:rPr>
          <w:rFonts w:hint="eastAsia"/>
        </w:rPr>
        <w:t>根据各区和市就业服务局提供的资料，建立有关残疾人资料的数据库并建立一个可安排残疾人就业职位的数据库；</w:t>
      </w:r>
    </w:p>
    <w:p w:rsidR="00000000" w:rsidRDefault="00B7115A">
      <w:pPr>
        <w:pStyle w:val="NormalIndent"/>
        <w:ind w:left="1036"/>
      </w:pPr>
      <w:r>
        <w:rPr>
          <w:rFonts w:hint="eastAsia"/>
        </w:rPr>
        <w:t>残疾人的职业康复、测试他们的工作能力和协助他们适应新的工作；</w:t>
      </w:r>
    </w:p>
    <w:p w:rsidR="00000000" w:rsidRDefault="00B7115A">
      <w:pPr>
        <w:pStyle w:val="NormalIndent"/>
        <w:ind w:left="1036"/>
      </w:pPr>
      <w:r>
        <w:rPr>
          <w:rFonts w:hint="eastAsia"/>
        </w:rPr>
        <w:t>向残疾人推广临时性的独立工作、支持他们的创业活动</w:t>
      </w:r>
      <w:r>
        <w:rPr>
          <w:rFonts w:hint="eastAsia"/>
        </w:rPr>
        <w:t>和在家工作，并规定弹性工作时间</w:t>
      </w:r>
      <w:r>
        <w:t>(</w:t>
      </w:r>
      <w:r>
        <w:rPr>
          <w:rFonts w:hint="eastAsia"/>
        </w:rPr>
        <w:t>重点照顾残疾母亲照管未成年子女</w:t>
      </w:r>
      <w:r>
        <w:t>)</w:t>
      </w:r>
      <w:r>
        <w:rPr>
          <w:rFonts w:hint="eastAsia"/>
        </w:rPr>
        <w:t>；</w:t>
      </w:r>
    </w:p>
    <w:p w:rsidR="00000000" w:rsidRDefault="00B7115A">
      <w:pPr>
        <w:pStyle w:val="NormalIndent"/>
        <w:ind w:left="1036"/>
      </w:pPr>
      <w:r>
        <w:rPr>
          <w:rFonts w:hint="eastAsia"/>
        </w:rPr>
        <w:t>专门为残疾人组办劳务交流会；</w:t>
      </w:r>
    </w:p>
    <w:p w:rsidR="00000000" w:rsidRDefault="00B7115A">
      <w:pPr>
        <w:pStyle w:val="NormalIndent"/>
        <w:ind w:left="1036"/>
      </w:pPr>
      <w:r>
        <w:rPr>
          <w:rFonts w:hint="eastAsia"/>
        </w:rPr>
        <w:t>制定职位配额制度；</w:t>
      </w:r>
    </w:p>
    <w:p w:rsidR="00000000" w:rsidRDefault="00B7115A">
      <w:pPr>
        <w:pStyle w:val="NormalIndent"/>
        <w:ind w:left="1036"/>
      </w:pPr>
      <w:r>
        <w:rPr>
          <w:rFonts w:hint="eastAsia"/>
        </w:rPr>
        <w:t>制订实验性方案，为无能力外出，但需要外来帮助的残疾人提供照顾；</w:t>
      </w:r>
    </w:p>
    <w:p w:rsidR="00000000" w:rsidRDefault="00B7115A">
      <w:pPr>
        <w:pStyle w:val="NormalIndent"/>
        <w:ind w:left="1036"/>
      </w:pPr>
      <w:r>
        <w:rPr>
          <w:rFonts w:hint="eastAsia"/>
        </w:rPr>
        <w:t>为残疾人建立职业康复中心并为他们保留某些类别的工作或职业。</w:t>
      </w:r>
    </w:p>
    <w:p w:rsidR="00000000" w:rsidRDefault="00B7115A">
      <w:pPr>
        <w:textAlignment w:val="center"/>
      </w:pPr>
      <w:r>
        <w:tab/>
        <w:t xml:space="preserve">62.  </w:t>
      </w:r>
      <w:r>
        <w:rPr>
          <w:rFonts w:hint="eastAsia"/>
        </w:rPr>
        <w:t>政府也在考虑老年公民的就业问题。根据全国统计委员会提供的数据，截至</w:t>
      </w:r>
      <w:r>
        <w:t>1997</w:t>
      </w:r>
      <w:r>
        <w:rPr>
          <w:rFonts w:hint="eastAsia"/>
        </w:rPr>
        <w:t>年</w:t>
      </w:r>
      <w:r>
        <w:t>1</w:t>
      </w:r>
      <w:r>
        <w:rPr>
          <w:rFonts w:hint="eastAsia"/>
        </w:rPr>
        <w:t>月</w:t>
      </w:r>
      <w:r>
        <w:t>1</w:t>
      </w:r>
      <w:r>
        <w:rPr>
          <w:rFonts w:hint="eastAsia"/>
        </w:rPr>
        <w:t>日，吉尔吉斯斯坦人口数量为</w:t>
      </w:r>
      <w:r>
        <w:t>4,606,800</w:t>
      </w:r>
      <w:r>
        <w:rPr>
          <w:rFonts w:hint="eastAsia"/>
        </w:rPr>
        <w:t>人，其中</w:t>
      </w:r>
      <w:r>
        <w:t>9.7%(445,100</w:t>
      </w:r>
      <w:r>
        <w:rPr>
          <w:rFonts w:hint="eastAsia"/>
        </w:rPr>
        <w:t>人</w:t>
      </w:r>
      <w:r>
        <w:t>)</w:t>
      </w:r>
      <w:r>
        <w:rPr>
          <w:rFonts w:hint="eastAsia"/>
        </w:rPr>
        <w:t>已超过工作年龄。老年人口的生活水平下降尤为显著。根据全国统计委员会的数据，</w:t>
      </w:r>
      <w:r>
        <w:t>1994</w:t>
      </w:r>
      <w:r>
        <w:rPr>
          <w:rFonts w:hint="eastAsia"/>
        </w:rPr>
        <w:t>至</w:t>
      </w:r>
      <w:r>
        <w:t>1996</w:t>
      </w:r>
      <w:r>
        <w:rPr>
          <w:rFonts w:hint="eastAsia"/>
        </w:rPr>
        <w:t>年期</w:t>
      </w:r>
      <w:r>
        <w:rPr>
          <w:rFonts w:hint="eastAsia"/>
        </w:rPr>
        <w:t>间，月平均养恤金名义上的增长系数为</w:t>
      </w:r>
      <w:r>
        <w:t>3.5,</w:t>
      </w:r>
      <w:r>
        <w:rPr>
          <w:rFonts w:hint="eastAsia"/>
        </w:rPr>
        <w:t>但养恤金领取者的实际平均收入则下降了近一半。令人感到特别震惊的是，目前，养恤金领取者维持生计所需的开支是月平均养恤金额的</w:t>
      </w:r>
      <w:r>
        <w:t>1.7</w:t>
      </w:r>
      <w:r>
        <w:rPr>
          <w:rFonts w:hint="eastAsia"/>
        </w:rPr>
        <w:t>倍：截至</w:t>
      </w:r>
      <w:r>
        <w:t>1997</w:t>
      </w:r>
      <w:r>
        <w:rPr>
          <w:rFonts w:hint="eastAsia"/>
        </w:rPr>
        <w:t>年</w:t>
      </w:r>
      <w:r>
        <w:t>1</w:t>
      </w:r>
      <w:r>
        <w:rPr>
          <w:rFonts w:hint="eastAsia"/>
        </w:rPr>
        <w:t>月</w:t>
      </w:r>
      <w:r>
        <w:t>1</w:t>
      </w:r>
      <w:r>
        <w:rPr>
          <w:rFonts w:hint="eastAsia"/>
        </w:rPr>
        <w:t>日，月平均养恤金是</w:t>
      </w:r>
      <w:r>
        <w:t>246.9</w:t>
      </w:r>
      <w:r>
        <w:rPr>
          <w:rFonts w:hint="eastAsia"/>
        </w:rPr>
        <w:t>索姆，而据估计，养恤金领取者所需的起码收入应为</w:t>
      </w:r>
      <w:r>
        <w:t>446.72</w:t>
      </w:r>
      <w:r>
        <w:rPr>
          <w:rFonts w:hint="eastAsia"/>
        </w:rPr>
        <w:t>索姆。</w:t>
      </w:r>
    </w:p>
    <w:p w:rsidR="00000000" w:rsidRDefault="00B7115A">
      <w:r>
        <w:tab/>
        <w:t xml:space="preserve">63.  </w:t>
      </w:r>
      <w:r>
        <w:rPr>
          <w:rFonts w:hint="eastAsia"/>
        </w:rPr>
        <w:t>为增进公民中最脆弱阶层的社会保障网络，正在对各类途径和办法进行探讨。一项题为“阿达哥尔”的全国方案对老年公民的社会保障制度和社会援助实行了若干行政和规章方面的变革。该方案突出了一些优先领域，诸如改善老年公民社会福利</w:t>
      </w:r>
      <w:r>
        <w:rPr>
          <w:rFonts w:hint="eastAsia"/>
        </w:rPr>
        <w:t>的规章制度、改进养恤金和社会援助体制、提高医疗质量和实效，并扩大老年公民在公共生活中的作用。</w:t>
      </w:r>
    </w:p>
    <w:p w:rsidR="00000000" w:rsidRDefault="00B7115A">
      <w:r>
        <w:tab/>
        <w:t xml:space="preserve">64.  </w:t>
      </w:r>
      <w:r>
        <w:rPr>
          <w:rFonts w:hint="eastAsia"/>
        </w:rPr>
        <w:t>根据原先的《劳工立法》和目前的《劳工法》规定，对工人自由地转换工作和工作地点不加限制。公民有权自由地选择职业，既可选择充当雇员的工作，也可选择自行就业。任何人都不得基于性别、年龄、种族、国籍、语言、财产或官方地位、居住地、对宗教的态度、信仰、社会团体成员的身份，或任何与他或她的工作胜任能力，或由于与他</w:t>
      </w:r>
      <w:r>
        <w:t>/</w:t>
      </w:r>
      <w:r>
        <w:rPr>
          <w:rFonts w:hint="eastAsia"/>
        </w:rPr>
        <w:t>她的工作无关的其它因素，侵犯他人的职业权利，也绝不可在行使这些权利方面享有任何特权。</w:t>
      </w:r>
    </w:p>
    <w:p w:rsidR="00000000" w:rsidRDefault="00B7115A">
      <w:pPr>
        <w:pStyle w:val="Heading3"/>
        <w:spacing w:before="320"/>
        <w:textAlignment w:val="center"/>
      </w:pPr>
      <w:r>
        <w:rPr>
          <w:rFonts w:hint="eastAsia"/>
        </w:rPr>
        <w:t>第</w:t>
      </w:r>
      <w:r>
        <w:t xml:space="preserve"> 7 </w:t>
      </w:r>
      <w:r>
        <w:rPr>
          <w:rFonts w:hint="eastAsia"/>
        </w:rPr>
        <w:t>条</w:t>
      </w:r>
    </w:p>
    <w:p w:rsidR="00000000" w:rsidRDefault="00B7115A">
      <w:r>
        <w:tab/>
        <w:t>6</w:t>
      </w:r>
      <w:r>
        <w:t xml:space="preserve">5.  </w:t>
      </w:r>
      <w:r>
        <w:rPr>
          <w:rFonts w:hint="eastAsia"/>
        </w:rPr>
        <w:t>宪法第</w:t>
      </w:r>
      <w:r>
        <w:t>29</w:t>
      </w:r>
      <w:r>
        <w:rPr>
          <w:rFonts w:hint="eastAsia"/>
        </w:rPr>
        <w:t>条规定，凡按劳工合同取得就业的吉尔吉斯斯坦公民，都有权获取不得低于法定最低工资额的报酬。</w:t>
      </w:r>
    </w:p>
    <w:p w:rsidR="00000000" w:rsidRDefault="00B7115A">
      <w:r>
        <w:tab/>
        <w:t xml:space="preserve">66.  </w:t>
      </w:r>
      <w:r>
        <w:rPr>
          <w:rFonts w:hint="eastAsia"/>
        </w:rPr>
        <w:t>吉尔吉斯斯坦新《劳工法》第</w:t>
      </w:r>
      <w:r>
        <w:t>215</w:t>
      </w:r>
      <w:r>
        <w:rPr>
          <w:rFonts w:hint="eastAsia"/>
        </w:rPr>
        <w:t>条规定，最低工资是，在正常条件下，按法定工时，从事一个月的非熟练工作后，雇主支付给工人的报酬，以使工人能够为恢复其劳动力，购取各类起码的必需商品和服务。政府每</w:t>
      </w:r>
      <w:r>
        <w:t>6</w:t>
      </w:r>
      <w:r>
        <w:rPr>
          <w:rFonts w:hint="eastAsia"/>
        </w:rPr>
        <w:t>个月为吉尔吉斯斯坦共和国各个领域规定最低工资，并以此参照可以允许的最低工作报酬作为一种安全网。</w:t>
      </w:r>
    </w:p>
    <w:p w:rsidR="00000000" w:rsidRDefault="00B7115A">
      <w:r>
        <w:tab/>
        <w:t xml:space="preserve">67.  </w:t>
      </w:r>
      <w:r>
        <w:rPr>
          <w:rFonts w:hint="eastAsia"/>
        </w:rPr>
        <w:t>工资仍然是公众的主要收入来源</w:t>
      </w:r>
      <w:r>
        <w:t>(</w:t>
      </w:r>
      <w:r>
        <w:rPr>
          <w:rFonts w:hint="eastAsia"/>
        </w:rPr>
        <w:t>占</w:t>
      </w:r>
      <w:r>
        <w:t>40%</w:t>
      </w:r>
      <w:r>
        <w:rPr>
          <w:rFonts w:hint="eastAsia"/>
        </w:rPr>
        <w:t>以上</w:t>
      </w:r>
      <w:r>
        <w:t>)</w:t>
      </w:r>
      <w:r>
        <w:rPr>
          <w:rFonts w:hint="eastAsia"/>
        </w:rPr>
        <w:t>。</w:t>
      </w:r>
      <w:r>
        <w:t>1997</w:t>
      </w:r>
      <w:r>
        <w:rPr>
          <w:rFonts w:hint="eastAsia"/>
        </w:rPr>
        <w:t>年工业的平均工资额是</w:t>
      </w:r>
      <w:r>
        <w:t>952</w:t>
      </w:r>
      <w:r>
        <w:rPr>
          <w:rFonts w:hint="eastAsia"/>
        </w:rPr>
        <w:t>索姆；建筑业</w:t>
      </w:r>
      <w:r>
        <w:rPr>
          <w:rFonts w:hint="eastAsia"/>
        </w:rPr>
        <w:t>是</w:t>
      </w:r>
      <w:r>
        <w:t>1,152</w:t>
      </w:r>
      <w:r>
        <w:rPr>
          <w:rFonts w:hint="eastAsia"/>
        </w:rPr>
        <w:t>索姆；而教育、科研、医疗卫生和文化是</w:t>
      </w:r>
      <w:r>
        <w:t>523.5</w:t>
      </w:r>
      <w:r>
        <w:rPr>
          <w:rFonts w:hint="eastAsia"/>
        </w:rPr>
        <w:t>索姆。低工资促使这些部门的熟练专业人员纷纷外流。</w:t>
      </w:r>
    </w:p>
    <w:p w:rsidR="00000000" w:rsidRDefault="00B7115A">
      <w:r>
        <w:tab/>
        <w:t xml:space="preserve">68.  </w:t>
      </w:r>
      <w:r>
        <w:rPr>
          <w:rFonts w:hint="eastAsia"/>
        </w:rPr>
        <w:t>宪法第</w:t>
      </w:r>
      <w:r>
        <w:t>28</w:t>
      </w:r>
      <w:r>
        <w:rPr>
          <w:rFonts w:hint="eastAsia"/>
        </w:rPr>
        <w:t>条规定，每个吉尔吉斯斯坦公民有权享受一切形式和表现的职业安全、符合安全和卫生规定的工作环境，和对失业者的社会保护。</w:t>
      </w:r>
    </w:p>
    <w:p w:rsidR="00000000" w:rsidRDefault="00B7115A">
      <w:r>
        <w:tab/>
        <w:t xml:space="preserve">69.  </w:t>
      </w:r>
      <w:r>
        <w:rPr>
          <w:rFonts w:hint="eastAsia"/>
        </w:rPr>
        <w:t>根据</w:t>
      </w:r>
      <w:r>
        <w:t>1998</w:t>
      </w:r>
      <w:r>
        <w:rPr>
          <w:rFonts w:hint="eastAsia"/>
        </w:rPr>
        <w:t>年</w:t>
      </w:r>
      <w:r>
        <w:t>1</w:t>
      </w:r>
      <w:r>
        <w:rPr>
          <w:rFonts w:hint="eastAsia"/>
        </w:rPr>
        <w:t>月</w:t>
      </w:r>
      <w:r>
        <w:t>1</w:t>
      </w:r>
      <w:r>
        <w:rPr>
          <w:rFonts w:hint="eastAsia"/>
        </w:rPr>
        <w:t>日生效的新《劳工法》第</w:t>
      </w:r>
      <w:r>
        <w:t>281</w:t>
      </w:r>
      <w:r>
        <w:rPr>
          <w:rFonts w:hint="eastAsia"/>
        </w:rPr>
        <w:t>条，雇主有义务确保工作地点的卫生与安全，并采用设施和技术，确保符合健康与卫生标准以及职业安全标准的要求。</w:t>
      </w:r>
    </w:p>
    <w:p w:rsidR="00000000" w:rsidRDefault="00B7115A">
      <w:r>
        <w:tab/>
        <w:t xml:space="preserve">70.  </w:t>
      </w:r>
      <w:r>
        <w:rPr>
          <w:rFonts w:hint="eastAsia"/>
        </w:rPr>
        <w:t>《工作地点健康与安全法》的目标就是为了确保职业安全。自</w:t>
      </w:r>
      <w:r>
        <w:t>1992</w:t>
      </w:r>
      <w:r>
        <w:rPr>
          <w:rFonts w:hint="eastAsia"/>
        </w:rPr>
        <w:t>年</w:t>
      </w:r>
      <w:r>
        <w:t>2</w:t>
      </w:r>
      <w:r>
        <w:rPr>
          <w:rFonts w:hint="eastAsia"/>
        </w:rPr>
        <w:t>月，《工作地点健康与安</w:t>
      </w:r>
      <w:r>
        <w:rPr>
          <w:rFonts w:hint="eastAsia"/>
        </w:rPr>
        <w:t>全法》已成为吉尔吉斯斯坦的法律。这项法律赋予工会广泛的权力：工会有权监督和监测工作地点是否有害健康和安全、维持为此目标进行的技术视察、听取商业管理人员所作的汇报，并要求国家机构和商业解除违犯职业安全规定的管理人员的职务。</w:t>
      </w:r>
      <w:r>
        <w:t>32</w:t>
      </w:r>
      <w:r>
        <w:rPr>
          <w:rFonts w:hint="eastAsia"/>
        </w:rPr>
        <w:t>名官方职业安全监察员在</w:t>
      </w:r>
      <w:r>
        <w:t>250</w:t>
      </w:r>
      <w:r>
        <w:rPr>
          <w:rFonts w:hint="eastAsia"/>
        </w:rPr>
        <w:t>多名健康与安全自愿监察员的协助下开展工作。仅</w:t>
      </w:r>
      <w:r>
        <w:t>1996</w:t>
      </w:r>
      <w:r>
        <w:rPr>
          <w:rFonts w:hint="eastAsia"/>
        </w:rPr>
        <w:t>年，全职和自愿监察员检查了约</w:t>
      </w:r>
      <w:r>
        <w:t>900</w:t>
      </w:r>
      <w:r>
        <w:rPr>
          <w:rFonts w:hint="eastAsia"/>
        </w:rPr>
        <w:t>个企业并指示这些企业纠正各类违背职业安全的作法；此外，还责成</w:t>
      </w:r>
      <w:r>
        <w:t>200</w:t>
      </w:r>
      <w:r>
        <w:rPr>
          <w:rFonts w:hint="eastAsia"/>
        </w:rPr>
        <w:t>多个管理人员作出解释。</w:t>
      </w:r>
    </w:p>
    <w:p w:rsidR="00000000" w:rsidRDefault="00B7115A">
      <w:r>
        <w:tab/>
        <w:t xml:space="preserve">71.  </w:t>
      </w:r>
      <w:r>
        <w:rPr>
          <w:rFonts w:hint="eastAsia"/>
        </w:rPr>
        <w:t>自</w:t>
      </w:r>
      <w:r>
        <w:t>1996</w:t>
      </w:r>
      <w:r>
        <w:rPr>
          <w:rFonts w:hint="eastAsia"/>
        </w:rPr>
        <w:t>年以来，劳工和社会福利部设立了一个司，主管各企业和单位保健与安</w:t>
      </w:r>
      <w:r>
        <w:rPr>
          <w:rFonts w:hint="eastAsia"/>
        </w:rPr>
        <w:t>全、视察劳动条件、事故预防和工业卫生等事务。</w:t>
      </w:r>
      <w:r>
        <w:t>1997</w:t>
      </w:r>
      <w:r>
        <w:rPr>
          <w:rFonts w:hint="eastAsia"/>
        </w:rPr>
        <w:t>年，该司与吉尔吉斯斯坦工会联合会和社会基金联合起草了一项有关预防工业事故和工作地点伤亡的强制性社会保险法草案。还拟出了一项关于为了雇主们的经济利益，而为雇员们创造卫生和安全工作条件的法令。</w:t>
      </w:r>
    </w:p>
    <w:p w:rsidR="00000000" w:rsidRDefault="00B7115A">
      <w:pPr>
        <w:pStyle w:val="Heading3"/>
        <w:spacing w:before="320"/>
        <w:textAlignment w:val="center"/>
      </w:pPr>
      <w:r>
        <w:t>1992</w:t>
      </w:r>
      <w:r>
        <w:rPr>
          <w:rFonts w:hint="eastAsia"/>
        </w:rPr>
        <w:t>至</w:t>
      </w:r>
      <w:r>
        <w:t>1997</w:t>
      </w:r>
      <w:r>
        <w:rPr>
          <w:rFonts w:hint="eastAsia"/>
        </w:rPr>
        <w:t>年期间吉尔吉斯斯坦境内的工伤率</w:t>
      </w:r>
    </w:p>
    <w:tbl>
      <w:tblPr>
        <w:tblW w:w="0" w:type="auto"/>
        <w:tblInd w:w="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480"/>
        <w:gridCol w:w="1080"/>
        <w:gridCol w:w="1200"/>
        <w:gridCol w:w="1243"/>
        <w:gridCol w:w="1118"/>
        <w:gridCol w:w="1119"/>
      </w:tblGrid>
      <w:tr w:rsidR="00000000">
        <w:tblPrEx>
          <w:tblCellMar>
            <w:top w:w="0" w:type="dxa"/>
            <w:bottom w:w="0" w:type="dxa"/>
          </w:tblCellMar>
        </w:tblPrEx>
        <w:tc>
          <w:tcPr>
            <w:tcW w:w="3480" w:type="dxa"/>
            <w:tcBorders>
              <w:top w:val="single" w:sz="6" w:space="0" w:color="auto"/>
              <w:bottom w:val="single" w:sz="6" w:space="0" w:color="auto"/>
              <w:right w:val="nil"/>
            </w:tcBorders>
          </w:tcPr>
          <w:p w:rsidR="00000000" w:rsidRDefault="00B7115A">
            <w:pPr>
              <w:spacing w:before="120" w:after="60" w:line="240" w:lineRule="atLeast"/>
              <w:jc w:val="center"/>
              <w:rPr>
                <w:sz w:val="21"/>
              </w:rPr>
            </w:pPr>
            <w:r>
              <w:rPr>
                <w:rFonts w:hint="eastAsia"/>
                <w:sz w:val="21"/>
              </w:rPr>
              <w:t>年</w:t>
            </w:r>
            <w:r>
              <w:rPr>
                <w:sz w:val="21"/>
              </w:rPr>
              <w:t xml:space="preserve">  </w:t>
            </w:r>
            <w:r>
              <w:rPr>
                <w:rFonts w:hint="eastAsia"/>
                <w:sz w:val="21"/>
              </w:rPr>
              <w:t>份</w:t>
            </w:r>
          </w:p>
        </w:tc>
        <w:tc>
          <w:tcPr>
            <w:tcW w:w="1080" w:type="dxa"/>
            <w:tcBorders>
              <w:top w:val="single" w:sz="6" w:space="0" w:color="auto"/>
              <w:left w:val="single" w:sz="6" w:space="0" w:color="auto"/>
              <w:bottom w:val="single" w:sz="6" w:space="0" w:color="auto"/>
              <w:right w:val="nil"/>
            </w:tcBorders>
          </w:tcPr>
          <w:p w:rsidR="00000000" w:rsidRDefault="00B7115A">
            <w:pPr>
              <w:spacing w:before="120" w:after="60" w:line="240" w:lineRule="atLeast"/>
              <w:jc w:val="center"/>
              <w:rPr>
                <w:sz w:val="21"/>
              </w:rPr>
            </w:pPr>
            <w:r>
              <w:rPr>
                <w:sz w:val="21"/>
              </w:rPr>
              <w:t>1992</w:t>
            </w:r>
          </w:p>
        </w:tc>
        <w:tc>
          <w:tcPr>
            <w:tcW w:w="1200" w:type="dxa"/>
            <w:tcBorders>
              <w:top w:val="single" w:sz="6" w:space="0" w:color="auto"/>
              <w:left w:val="single" w:sz="6" w:space="0" w:color="auto"/>
              <w:bottom w:val="single" w:sz="6" w:space="0" w:color="auto"/>
              <w:right w:val="nil"/>
            </w:tcBorders>
          </w:tcPr>
          <w:p w:rsidR="00000000" w:rsidRDefault="00B7115A">
            <w:pPr>
              <w:spacing w:before="120" w:after="60" w:line="240" w:lineRule="atLeast"/>
              <w:jc w:val="center"/>
              <w:rPr>
                <w:sz w:val="21"/>
              </w:rPr>
            </w:pPr>
            <w:r>
              <w:rPr>
                <w:sz w:val="21"/>
              </w:rPr>
              <w:t>1993</w:t>
            </w:r>
          </w:p>
        </w:tc>
        <w:tc>
          <w:tcPr>
            <w:tcW w:w="1243" w:type="dxa"/>
            <w:tcBorders>
              <w:top w:val="single" w:sz="6" w:space="0" w:color="auto"/>
              <w:left w:val="single" w:sz="6" w:space="0" w:color="auto"/>
              <w:bottom w:val="single" w:sz="6" w:space="0" w:color="auto"/>
              <w:right w:val="single" w:sz="6" w:space="0" w:color="auto"/>
            </w:tcBorders>
          </w:tcPr>
          <w:p w:rsidR="00000000" w:rsidRDefault="00B7115A">
            <w:pPr>
              <w:spacing w:before="120" w:after="60" w:line="240" w:lineRule="atLeast"/>
              <w:jc w:val="center"/>
              <w:rPr>
                <w:sz w:val="21"/>
              </w:rPr>
            </w:pPr>
            <w:r>
              <w:rPr>
                <w:sz w:val="21"/>
              </w:rPr>
              <w:t>1994</w:t>
            </w:r>
          </w:p>
        </w:tc>
        <w:tc>
          <w:tcPr>
            <w:tcW w:w="1118" w:type="dxa"/>
            <w:tcBorders>
              <w:top w:val="single" w:sz="6" w:space="0" w:color="auto"/>
              <w:left w:val="nil"/>
              <w:bottom w:val="single" w:sz="6" w:space="0" w:color="auto"/>
              <w:right w:val="single" w:sz="6" w:space="0" w:color="auto"/>
            </w:tcBorders>
          </w:tcPr>
          <w:p w:rsidR="00000000" w:rsidRDefault="00B7115A">
            <w:pPr>
              <w:spacing w:before="120" w:after="60" w:line="240" w:lineRule="atLeast"/>
              <w:jc w:val="center"/>
              <w:rPr>
                <w:sz w:val="21"/>
              </w:rPr>
            </w:pPr>
            <w:r>
              <w:rPr>
                <w:sz w:val="21"/>
              </w:rPr>
              <w:t>1995</w:t>
            </w:r>
          </w:p>
        </w:tc>
        <w:tc>
          <w:tcPr>
            <w:tcW w:w="1119" w:type="dxa"/>
            <w:tcBorders>
              <w:top w:val="single" w:sz="6" w:space="0" w:color="auto"/>
              <w:left w:val="nil"/>
              <w:bottom w:val="single" w:sz="6" w:space="0" w:color="auto"/>
              <w:right w:val="single" w:sz="6" w:space="0" w:color="auto"/>
            </w:tcBorders>
          </w:tcPr>
          <w:p w:rsidR="00000000" w:rsidRDefault="00B7115A">
            <w:pPr>
              <w:spacing w:before="120" w:after="60" w:line="240" w:lineRule="atLeast"/>
              <w:jc w:val="center"/>
              <w:rPr>
                <w:sz w:val="21"/>
              </w:rPr>
            </w:pPr>
            <w:r>
              <w:rPr>
                <w:sz w:val="21"/>
              </w:rPr>
              <w:t>1996</w:t>
            </w:r>
          </w:p>
        </w:tc>
      </w:tr>
      <w:tr w:rsidR="00000000">
        <w:tblPrEx>
          <w:tblCellMar>
            <w:top w:w="0" w:type="dxa"/>
            <w:bottom w:w="0" w:type="dxa"/>
          </w:tblCellMar>
        </w:tblPrEx>
        <w:tc>
          <w:tcPr>
            <w:tcW w:w="3480" w:type="dxa"/>
            <w:tcBorders>
              <w:top w:val="nil"/>
              <w:right w:val="nil"/>
            </w:tcBorders>
          </w:tcPr>
          <w:p w:rsidR="00000000" w:rsidRDefault="00B7115A">
            <w:pPr>
              <w:spacing w:before="120" w:line="240" w:lineRule="atLeast"/>
              <w:ind w:left="113"/>
              <w:rPr>
                <w:sz w:val="21"/>
              </w:rPr>
            </w:pPr>
            <w:r>
              <w:rPr>
                <w:rFonts w:hint="eastAsia"/>
                <w:sz w:val="21"/>
              </w:rPr>
              <w:t>因伤</w:t>
            </w:r>
            <w:r>
              <w:rPr>
                <w:sz w:val="21"/>
              </w:rPr>
              <w:t>(</w:t>
            </w:r>
            <w:r>
              <w:rPr>
                <w:rFonts w:hint="eastAsia"/>
                <w:sz w:val="21"/>
              </w:rPr>
              <w:t>包括重伤</w:t>
            </w:r>
            <w:r>
              <w:rPr>
                <w:sz w:val="21"/>
              </w:rPr>
              <w:t>)</w:t>
            </w:r>
            <w:r>
              <w:rPr>
                <w:rFonts w:hint="eastAsia"/>
                <w:sz w:val="21"/>
              </w:rPr>
              <w:t>，一天或多天无法</w:t>
            </w:r>
            <w:r>
              <w:rPr>
                <w:sz w:val="21"/>
              </w:rPr>
              <w:br/>
            </w:r>
            <w:r>
              <w:rPr>
                <w:rFonts w:hint="eastAsia"/>
                <w:sz w:val="21"/>
              </w:rPr>
              <w:t>上班的工伤总人数</w:t>
            </w:r>
          </w:p>
        </w:tc>
        <w:tc>
          <w:tcPr>
            <w:tcW w:w="1080" w:type="dxa"/>
            <w:tcBorders>
              <w:top w:val="nil"/>
              <w:left w:val="single" w:sz="6" w:space="0" w:color="auto"/>
              <w:right w:val="nil"/>
            </w:tcBorders>
          </w:tcPr>
          <w:p w:rsidR="00000000" w:rsidRDefault="00B7115A">
            <w:pPr>
              <w:spacing w:before="120" w:line="240" w:lineRule="atLeast"/>
              <w:jc w:val="center"/>
              <w:rPr>
                <w:sz w:val="21"/>
              </w:rPr>
            </w:pPr>
            <w:r>
              <w:rPr>
                <w:sz w:val="21"/>
              </w:rPr>
              <w:t>2,465</w:t>
            </w:r>
          </w:p>
        </w:tc>
        <w:tc>
          <w:tcPr>
            <w:tcW w:w="1200" w:type="dxa"/>
            <w:tcBorders>
              <w:top w:val="nil"/>
              <w:left w:val="single" w:sz="6" w:space="0" w:color="auto"/>
              <w:right w:val="nil"/>
            </w:tcBorders>
          </w:tcPr>
          <w:p w:rsidR="00000000" w:rsidRDefault="00B7115A">
            <w:pPr>
              <w:spacing w:before="120" w:line="240" w:lineRule="atLeast"/>
              <w:jc w:val="center"/>
              <w:rPr>
                <w:sz w:val="21"/>
              </w:rPr>
            </w:pPr>
            <w:r>
              <w:rPr>
                <w:sz w:val="21"/>
              </w:rPr>
              <w:t>1,962</w:t>
            </w:r>
          </w:p>
        </w:tc>
        <w:tc>
          <w:tcPr>
            <w:tcW w:w="1243" w:type="dxa"/>
            <w:tcBorders>
              <w:top w:val="nil"/>
              <w:left w:val="single" w:sz="6" w:space="0" w:color="auto"/>
              <w:right w:val="single" w:sz="6" w:space="0" w:color="auto"/>
            </w:tcBorders>
          </w:tcPr>
          <w:p w:rsidR="00000000" w:rsidRDefault="00B7115A">
            <w:pPr>
              <w:spacing w:before="120" w:line="240" w:lineRule="atLeast"/>
              <w:jc w:val="center"/>
              <w:rPr>
                <w:sz w:val="21"/>
              </w:rPr>
            </w:pPr>
            <w:r>
              <w:rPr>
                <w:sz w:val="21"/>
              </w:rPr>
              <w:t>982</w:t>
            </w:r>
          </w:p>
        </w:tc>
        <w:tc>
          <w:tcPr>
            <w:tcW w:w="1118" w:type="dxa"/>
            <w:tcBorders>
              <w:top w:val="nil"/>
              <w:left w:val="nil"/>
              <w:right w:val="single" w:sz="6" w:space="0" w:color="auto"/>
            </w:tcBorders>
          </w:tcPr>
          <w:p w:rsidR="00000000" w:rsidRDefault="00B7115A">
            <w:pPr>
              <w:spacing w:before="120" w:line="240" w:lineRule="atLeast"/>
              <w:jc w:val="center"/>
              <w:rPr>
                <w:sz w:val="21"/>
              </w:rPr>
            </w:pPr>
            <w:r>
              <w:rPr>
                <w:sz w:val="21"/>
              </w:rPr>
              <w:t>780</w:t>
            </w:r>
          </w:p>
        </w:tc>
        <w:tc>
          <w:tcPr>
            <w:tcW w:w="1119" w:type="dxa"/>
            <w:tcBorders>
              <w:top w:val="nil"/>
              <w:left w:val="nil"/>
              <w:right w:val="single" w:sz="6" w:space="0" w:color="auto"/>
            </w:tcBorders>
          </w:tcPr>
          <w:p w:rsidR="00000000" w:rsidRDefault="00B7115A">
            <w:pPr>
              <w:spacing w:before="120" w:line="240" w:lineRule="atLeast"/>
              <w:jc w:val="center"/>
              <w:rPr>
                <w:sz w:val="21"/>
              </w:rPr>
            </w:pPr>
            <w:r>
              <w:rPr>
                <w:sz w:val="21"/>
              </w:rPr>
              <w:t>511</w:t>
            </w:r>
          </w:p>
        </w:tc>
      </w:tr>
      <w:tr w:rsidR="00000000">
        <w:tblPrEx>
          <w:tblCellMar>
            <w:top w:w="0" w:type="dxa"/>
            <w:bottom w:w="0" w:type="dxa"/>
          </w:tblCellMar>
        </w:tblPrEx>
        <w:tc>
          <w:tcPr>
            <w:tcW w:w="3480" w:type="dxa"/>
            <w:tcBorders>
              <w:right w:val="nil"/>
            </w:tcBorders>
          </w:tcPr>
          <w:p w:rsidR="00000000" w:rsidRDefault="00B7115A">
            <w:pPr>
              <w:spacing w:before="120" w:line="240" w:lineRule="atLeast"/>
              <w:ind w:left="113"/>
              <w:rPr>
                <w:sz w:val="21"/>
              </w:rPr>
            </w:pPr>
            <w:r>
              <w:rPr>
                <w:rFonts w:hint="eastAsia"/>
                <w:sz w:val="21"/>
              </w:rPr>
              <w:t>每千人</w:t>
            </w:r>
          </w:p>
        </w:tc>
        <w:tc>
          <w:tcPr>
            <w:tcW w:w="1080" w:type="dxa"/>
            <w:tcBorders>
              <w:left w:val="single" w:sz="6" w:space="0" w:color="auto"/>
              <w:right w:val="nil"/>
            </w:tcBorders>
          </w:tcPr>
          <w:p w:rsidR="00000000" w:rsidRDefault="00B7115A">
            <w:pPr>
              <w:spacing w:before="120" w:line="240" w:lineRule="atLeast"/>
              <w:jc w:val="center"/>
              <w:rPr>
                <w:sz w:val="21"/>
              </w:rPr>
            </w:pPr>
            <w:r>
              <w:rPr>
                <w:sz w:val="21"/>
              </w:rPr>
              <w:t>2.0</w:t>
            </w:r>
          </w:p>
        </w:tc>
        <w:tc>
          <w:tcPr>
            <w:tcW w:w="1200" w:type="dxa"/>
            <w:tcBorders>
              <w:left w:val="single" w:sz="6" w:space="0" w:color="auto"/>
              <w:right w:val="nil"/>
            </w:tcBorders>
          </w:tcPr>
          <w:p w:rsidR="00000000" w:rsidRDefault="00B7115A">
            <w:pPr>
              <w:spacing w:before="120" w:line="240" w:lineRule="atLeast"/>
              <w:jc w:val="center"/>
              <w:rPr>
                <w:sz w:val="21"/>
              </w:rPr>
            </w:pPr>
            <w:r>
              <w:rPr>
                <w:sz w:val="21"/>
              </w:rPr>
              <w:t>1.9</w:t>
            </w:r>
          </w:p>
        </w:tc>
        <w:tc>
          <w:tcPr>
            <w:tcW w:w="1243" w:type="dxa"/>
            <w:tcBorders>
              <w:left w:val="single" w:sz="6" w:space="0" w:color="auto"/>
              <w:right w:val="single" w:sz="6" w:space="0" w:color="auto"/>
            </w:tcBorders>
          </w:tcPr>
          <w:p w:rsidR="00000000" w:rsidRDefault="00B7115A">
            <w:pPr>
              <w:spacing w:before="120" w:line="240" w:lineRule="atLeast"/>
              <w:jc w:val="center"/>
              <w:rPr>
                <w:sz w:val="21"/>
              </w:rPr>
            </w:pPr>
            <w:r>
              <w:rPr>
                <w:sz w:val="21"/>
              </w:rPr>
              <w:t>1.1</w:t>
            </w:r>
          </w:p>
        </w:tc>
        <w:tc>
          <w:tcPr>
            <w:tcW w:w="1118" w:type="dxa"/>
            <w:tcBorders>
              <w:left w:val="nil"/>
              <w:right w:val="single" w:sz="6" w:space="0" w:color="auto"/>
            </w:tcBorders>
          </w:tcPr>
          <w:p w:rsidR="00000000" w:rsidRDefault="00B7115A">
            <w:pPr>
              <w:spacing w:before="120" w:line="240" w:lineRule="atLeast"/>
              <w:jc w:val="center"/>
              <w:rPr>
                <w:sz w:val="21"/>
              </w:rPr>
            </w:pPr>
            <w:r>
              <w:rPr>
                <w:sz w:val="21"/>
              </w:rPr>
              <w:t>1.1</w:t>
            </w:r>
          </w:p>
        </w:tc>
        <w:tc>
          <w:tcPr>
            <w:tcW w:w="1119" w:type="dxa"/>
            <w:tcBorders>
              <w:left w:val="nil"/>
              <w:right w:val="single" w:sz="6" w:space="0" w:color="auto"/>
            </w:tcBorders>
          </w:tcPr>
          <w:p w:rsidR="00000000" w:rsidRDefault="00B7115A">
            <w:pPr>
              <w:spacing w:before="120" w:line="240" w:lineRule="atLeast"/>
              <w:jc w:val="center"/>
              <w:rPr>
                <w:sz w:val="21"/>
              </w:rPr>
            </w:pPr>
            <w:r>
              <w:rPr>
                <w:sz w:val="21"/>
              </w:rPr>
              <w:t>1.8</w:t>
            </w:r>
          </w:p>
        </w:tc>
      </w:tr>
      <w:tr w:rsidR="00000000">
        <w:tblPrEx>
          <w:tblCellMar>
            <w:top w:w="0" w:type="dxa"/>
            <w:bottom w:w="0" w:type="dxa"/>
          </w:tblCellMar>
        </w:tblPrEx>
        <w:tc>
          <w:tcPr>
            <w:tcW w:w="3480" w:type="dxa"/>
            <w:tcBorders>
              <w:right w:val="nil"/>
            </w:tcBorders>
          </w:tcPr>
          <w:p w:rsidR="00000000" w:rsidRDefault="00B7115A">
            <w:pPr>
              <w:spacing w:before="120" w:line="240" w:lineRule="atLeast"/>
              <w:ind w:left="113"/>
              <w:rPr>
                <w:sz w:val="21"/>
              </w:rPr>
            </w:pPr>
            <w:r>
              <w:rPr>
                <w:rFonts w:hint="eastAsia"/>
                <w:sz w:val="21"/>
              </w:rPr>
              <w:t>重伤人</w:t>
            </w:r>
            <w:r>
              <w:rPr>
                <w:rFonts w:hint="eastAsia"/>
                <w:sz w:val="21"/>
              </w:rPr>
              <w:t>数</w:t>
            </w:r>
          </w:p>
        </w:tc>
        <w:tc>
          <w:tcPr>
            <w:tcW w:w="1080" w:type="dxa"/>
            <w:tcBorders>
              <w:left w:val="single" w:sz="6" w:space="0" w:color="auto"/>
              <w:right w:val="nil"/>
            </w:tcBorders>
          </w:tcPr>
          <w:p w:rsidR="00000000" w:rsidRDefault="00B7115A">
            <w:pPr>
              <w:spacing w:before="120" w:line="240" w:lineRule="atLeast"/>
              <w:jc w:val="center"/>
              <w:rPr>
                <w:sz w:val="21"/>
              </w:rPr>
            </w:pPr>
            <w:r>
              <w:rPr>
                <w:sz w:val="21"/>
              </w:rPr>
              <w:t>119</w:t>
            </w:r>
          </w:p>
        </w:tc>
        <w:tc>
          <w:tcPr>
            <w:tcW w:w="1200" w:type="dxa"/>
            <w:tcBorders>
              <w:left w:val="single" w:sz="6" w:space="0" w:color="auto"/>
              <w:right w:val="nil"/>
            </w:tcBorders>
          </w:tcPr>
          <w:p w:rsidR="00000000" w:rsidRDefault="00B7115A">
            <w:pPr>
              <w:spacing w:before="120" w:line="240" w:lineRule="atLeast"/>
              <w:jc w:val="center"/>
              <w:rPr>
                <w:sz w:val="21"/>
              </w:rPr>
            </w:pPr>
            <w:r>
              <w:rPr>
                <w:sz w:val="21"/>
              </w:rPr>
              <w:t>94</w:t>
            </w:r>
          </w:p>
        </w:tc>
        <w:tc>
          <w:tcPr>
            <w:tcW w:w="1243" w:type="dxa"/>
            <w:tcBorders>
              <w:left w:val="single" w:sz="6" w:space="0" w:color="auto"/>
              <w:right w:val="single" w:sz="6" w:space="0" w:color="auto"/>
            </w:tcBorders>
          </w:tcPr>
          <w:p w:rsidR="00000000" w:rsidRDefault="00B7115A">
            <w:pPr>
              <w:spacing w:before="120" w:line="240" w:lineRule="atLeast"/>
              <w:jc w:val="center"/>
              <w:rPr>
                <w:sz w:val="21"/>
              </w:rPr>
            </w:pPr>
            <w:r>
              <w:rPr>
                <w:sz w:val="21"/>
              </w:rPr>
              <w:t>62</w:t>
            </w:r>
          </w:p>
        </w:tc>
        <w:tc>
          <w:tcPr>
            <w:tcW w:w="1118" w:type="dxa"/>
            <w:tcBorders>
              <w:left w:val="nil"/>
              <w:right w:val="single" w:sz="6" w:space="0" w:color="auto"/>
            </w:tcBorders>
          </w:tcPr>
          <w:p w:rsidR="00000000" w:rsidRDefault="00B7115A">
            <w:pPr>
              <w:spacing w:before="120" w:line="240" w:lineRule="atLeast"/>
              <w:jc w:val="center"/>
              <w:rPr>
                <w:sz w:val="21"/>
              </w:rPr>
            </w:pPr>
            <w:r>
              <w:rPr>
                <w:sz w:val="21"/>
              </w:rPr>
              <w:t>55</w:t>
            </w:r>
          </w:p>
        </w:tc>
        <w:tc>
          <w:tcPr>
            <w:tcW w:w="1119" w:type="dxa"/>
            <w:tcBorders>
              <w:left w:val="nil"/>
              <w:right w:val="single" w:sz="6" w:space="0" w:color="auto"/>
            </w:tcBorders>
          </w:tcPr>
          <w:p w:rsidR="00000000" w:rsidRDefault="00B7115A">
            <w:pPr>
              <w:spacing w:before="120" w:line="240" w:lineRule="atLeast"/>
              <w:jc w:val="center"/>
              <w:rPr>
                <w:sz w:val="21"/>
              </w:rPr>
            </w:pPr>
            <w:r>
              <w:rPr>
                <w:sz w:val="21"/>
              </w:rPr>
              <w:t>61</w:t>
            </w:r>
          </w:p>
        </w:tc>
      </w:tr>
      <w:tr w:rsidR="00000000">
        <w:tblPrEx>
          <w:tblCellMar>
            <w:top w:w="0" w:type="dxa"/>
            <w:bottom w:w="0" w:type="dxa"/>
          </w:tblCellMar>
        </w:tblPrEx>
        <w:tc>
          <w:tcPr>
            <w:tcW w:w="3480" w:type="dxa"/>
            <w:tcBorders>
              <w:right w:val="nil"/>
            </w:tcBorders>
          </w:tcPr>
          <w:p w:rsidR="00000000" w:rsidRDefault="00B7115A">
            <w:pPr>
              <w:spacing w:before="120" w:after="80" w:line="240" w:lineRule="atLeast"/>
              <w:ind w:left="113"/>
              <w:rPr>
                <w:sz w:val="21"/>
              </w:rPr>
            </w:pPr>
            <w:r>
              <w:rPr>
                <w:rFonts w:hint="eastAsia"/>
                <w:sz w:val="21"/>
              </w:rPr>
              <w:t>每千工人</w:t>
            </w:r>
          </w:p>
        </w:tc>
        <w:tc>
          <w:tcPr>
            <w:tcW w:w="1080" w:type="dxa"/>
            <w:tcBorders>
              <w:left w:val="single" w:sz="6" w:space="0" w:color="auto"/>
              <w:right w:val="nil"/>
            </w:tcBorders>
          </w:tcPr>
          <w:p w:rsidR="00000000" w:rsidRDefault="00B7115A">
            <w:pPr>
              <w:spacing w:before="120" w:after="80" w:line="240" w:lineRule="atLeast"/>
              <w:jc w:val="center"/>
              <w:rPr>
                <w:sz w:val="21"/>
              </w:rPr>
            </w:pPr>
            <w:r>
              <w:rPr>
                <w:sz w:val="21"/>
              </w:rPr>
              <w:t>0.09</w:t>
            </w:r>
          </w:p>
        </w:tc>
        <w:tc>
          <w:tcPr>
            <w:tcW w:w="1200" w:type="dxa"/>
            <w:tcBorders>
              <w:left w:val="single" w:sz="6" w:space="0" w:color="auto"/>
              <w:right w:val="nil"/>
            </w:tcBorders>
          </w:tcPr>
          <w:p w:rsidR="00000000" w:rsidRDefault="00B7115A">
            <w:pPr>
              <w:spacing w:before="120" w:after="80" w:line="240" w:lineRule="atLeast"/>
              <w:jc w:val="center"/>
              <w:rPr>
                <w:sz w:val="21"/>
              </w:rPr>
            </w:pPr>
            <w:r>
              <w:rPr>
                <w:sz w:val="21"/>
              </w:rPr>
              <w:t>0.09</w:t>
            </w:r>
          </w:p>
        </w:tc>
        <w:tc>
          <w:tcPr>
            <w:tcW w:w="1243" w:type="dxa"/>
            <w:tcBorders>
              <w:left w:val="single" w:sz="6" w:space="0" w:color="auto"/>
              <w:right w:val="single" w:sz="6" w:space="0" w:color="auto"/>
            </w:tcBorders>
          </w:tcPr>
          <w:p w:rsidR="00000000" w:rsidRDefault="00B7115A">
            <w:pPr>
              <w:spacing w:before="120" w:after="80" w:line="240" w:lineRule="atLeast"/>
              <w:jc w:val="center"/>
              <w:rPr>
                <w:sz w:val="21"/>
              </w:rPr>
            </w:pPr>
            <w:r>
              <w:rPr>
                <w:sz w:val="21"/>
              </w:rPr>
              <w:t>0.07</w:t>
            </w:r>
          </w:p>
        </w:tc>
        <w:tc>
          <w:tcPr>
            <w:tcW w:w="1118" w:type="dxa"/>
            <w:tcBorders>
              <w:left w:val="nil"/>
              <w:right w:val="single" w:sz="6" w:space="0" w:color="auto"/>
            </w:tcBorders>
          </w:tcPr>
          <w:p w:rsidR="00000000" w:rsidRDefault="00B7115A">
            <w:pPr>
              <w:spacing w:before="120" w:after="80" w:line="240" w:lineRule="atLeast"/>
              <w:jc w:val="center"/>
              <w:rPr>
                <w:sz w:val="21"/>
              </w:rPr>
            </w:pPr>
            <w:r>
              <w:rPr>
                <w:sz w:val="21"/>
              </w:rPr>
              <w:t>0.08</w:t>
            </w:r>
          </w:p>
        </w:tc>
        <w:tc>
          <w:tcPr>
            <w:tcW w:w="1119" w:type="dxa"/>
            <w:tcBorders>
              <w:left w:val="nil"/>
              <w:right w:val="single" w:sz="6" w:space="0" w:color="auto"/>
            </w:tcBorders>
          </w:tcPr>
          <w:p w:rsidR="00000000" w:rsidRDefault="00B7115A">
            <w:pPr>
              <w:spacing w:before="120" w:after="80" w:line="240" w:lineRule="atLeast"/>
              <w:jc w:val="center"/>
              <w:rPr>
                <w:sz w:val="21"/>
              </w:rPr>
            </w:pPr>
            <w:r>
              <w:rPr>
                <w:sz w:val="21"/>
              </w:rPr>
              <w:t>0.09</w:t>
            </w:r>
          </w:p>
        </w:tc>
      </w:tr>
    </w:tbl>
    <w:p w:rsidR="00000000" w:rsidRDefault="00B7115A">
      <w:pPr>
        <w:spacing w:before="320"/>
        <w:textAlignment w:val="center"/>
      </w:pPr>
      <w:r>
        <w:tab/>
        <w:t xml:space="preserve">72.  </w:t>
      </w:r>
      <w:r>
        <w:rPr>
          <w:rFonts w:hint="eastAsia"/>
        </w:rPr>
        <w:t>根据宪法第</w:t>
      </w:r>
      <w:r>
        <w:t>31</w:t>
      </w:r>
      <w:r>
        <w:rPr>
          <w:rFonts w:hint="eastAsia"/>
        </w:rPr>
        <w:t>条，吉尔吉斯斯坦公民有权休息。《劳工法》规定，体力和非体力工人一样应在工作日内有</w:t>
      </w:r>
      <w:r>
        <w:t>20</w:t>
      </w:r>
      <w:r>
        <w:rPr>
          <w:rFonts w:hint="eastAsia"/>
        </w:rPr>
        <w:t>分钟的工作间歇，和</w:t>
      </w:r>
      <w:r>
        <w:t>2</w:t>
      </w:r>
      <w:r>
        <w:rPr>
          <w:rFonts w:hint="eastAsia"/>
        </w:rPr>
        <w:t>个小时的休息和用餐时间。在工作日内，通常必须于工作开始后四个小时之内安排休息时间。倘若日工作时间超过</w:t>
      </w:r>
      <w:r>
        <w:t>8</w:t>
      </w:r>
      <w:r>
        <w:rPr>
          <w:rFonts w:hint="eastAsia"/>
        </w:rPr>
        <w:t>小时，但不连续工作的情况下，可在当日工作开始四个小时之后，安排休息时间。</w:t>
      </w:r>
    </w:p>
    <w:p w:rsidR="00000000" w:rsidRDefault="00B7115A">
      <w:r>
        <w:tab/>
        <w:t xml:space="preserve">73.  </w:t>
      </w:r>
      <w:r>
        <w:rPr>
          <w:rFonts w:hint="eastAsia"/>
        </w:rPr>
        <w:t>某些职业因需要实际上无法安排固定休息时间，必须允许工人有在工作时间内用餐。此类工作的清单和休息</w:t>
      </w:r>
      <w:r>
        <w:rPr>
          <w:rFonts w:hint="eastAsia"/>
        </w:rPr>
        <w:t>用餐的安排及地点，必须在工作地点的规则和条例中列明。</w:t>
      </w:r>
    </w:p>
    <w:p w:rsidR="00000000" w:rsidRDefault="00B7115A">
      <w:r>
        <w:tab/>
        <w:t xml:space="preserve">74.  </w:t>
      </w:r>
      <w:r>
        <w:rPr>
          <w:rFonts w:hint="eastAsia"/>
        </w:rPr>
        <w:t>工人们在结束工作与次日</w:t>
      </w:r>
      <w:r>
        <w:t>(</w:t>
      </w:r>
      <w:r>
        <w:rPr>
          <w:rFonts w:hint="eastAsia"/>
        </w:rPr>
        <w:t>或下一班</w:t>
      </w:r>
      <w:r>
        <w:t>)</w:t>
      </w:r>
      <w:r>
        <w:rPr>
          <w:rFonts w:hint="eastAsia"/>
        </w:rPr>
        <w:t>开始工作之间，每天至少得有</w:t>
      </w:r>
      <w:r>
        <w:t>16</w:t>
      </w:r>
      <w:r>
        <w:rPr>
          <w:rFonts w:hint="eastAsia"/>
        </w:rPr>
        <w:t>个小时的休息期。</w:t>
      </w:r>
    </w:p>
    <w:p w:rsidR="00000000" w:rsidRDefault="00B7115A">
      <w:r>
        <w:tab/>
        <w:t xml:space="preserve">75.  </w:t>
      </w:r>
      <w:r>
        <w:rPr>
          <w:rFonts w:hint="eastAsia"/>
        </w:rPr>
        <w:t>根据《劳工法》第</w:t>
      </w:r>
      <w:r>
        <w:t>144</w:t>
      </w:r>
      <w:r>
        <w:rPr>
          <w:rFonts w:hint="eastAsia"/>
        </w:rPr>
        <w:t>条，各企业、机构和组织的体力和非体力职业的正常工作周不得超过</w:t>
      </w:r>
      <w:r>
        <w:t>40</w:t>
      </w:r>
      <w:r>
        <w:rPr>
          <w:rFonts w:hint="eastAsia"/>
        </w:rPr>
        <w:t>个小时。随着经济和其它必要条件的允许，工作周将缩短。对于每周工作</w:t>
      </w:r>
      <w:r>
        <w:t>6</w:t>
      </w:r>
      <w:r>
        <w:rPr>
          <w:rFonts w:hint="eastAsia"/>
        </w:rPr>
        <w:t>天者，如每周工作</w:t>
      </w:r>
      <w:r>
        <w:t>41</w:t>
      </w:r>
      <w:r>
        <w:rPr>
          <w:rFonts w:hint="eastAsia"/>
        </w:rPr>
        <w:t>个小时，则每天工作不得超过</w:t>
      </w:r>
      <w:r>
        <w:t>7</w:t>
      </w:r>
      <w:r>
        <w:rPr>
          <w:rFonts w:hint="eastAsia"/>
        </w:rPr>
        <w:t>小时；每周工作</w:t>
      </w:r>
      <w:r>
        <w:t>36</w:t>
      </w:r>
      <w:r>
        <w:rPr>
          <w:rFonts w:hint="eastAsia"/>
        </w:rPr>
        <w:t>小时者，每天不得超过</w:t>
      </w:r>
      <w:r>
        <w:t>6</w:t>
      </w:r>
      <w:r>
        <w:rPr>
          <w:rFonts w:hint="eastAsia"/>
        </w:rPr>
        <w:t>小时；每周</w:t>
      </w:r>
      <w:r>
        <w:t>24</w:t>
      </w:r>
      <w:r>
        <w:rPr>
          <w:rFonts w:hint="eastAsia"/>
        </w:rPr>
        <w:t>小时者，每天不得超过</w:t>
      </w:r>
      <w:r>
        <w:t>4</w:t>
      </w:r>
      <w:r>
        <w:rPr>
          <w:rFonts w:hint="eastAsia"/>
        </w:rPr>
        <w:t>小时。</w:t>
      </w:r>
    </w:p>
    <w:p w:rsidR="00000000" w:rsidRDefault="00B7115A">
      <w:r>
        <w:tab/>
        <w:t>76.  18</w:t>
      </w:r>
      <w:r>
        <w:rPr>
          <w:rFonts w:hint="eastAsia"/>
        </w:rPr>
        <w:t>岁以下的青少年当中，</w:t>
      </w:r>
      <w:r>
        <w:t>14</w:t>
      </w:r>
      <w:r>
        <w:rPr>
          <w:rFonts w:hint="eastAsia"/>
        </w:rPr>
        <w:t>至</w:t>
      </w:r>
      <w:r>
        <w:t>16</w:t>
      </w:r>
      <w:r>
        <w:rPr>
          <w:rFonts w:hint="eastAsia"/>
        </w:rPr>
        <w:t>岁之间的工人，每周最多</w:t>
      </w:r>
      <w:r>
        <w:rPr>
          <w:rFonts w:hint="eastAsia"/>
        </w:rPr>
        <w:t>工作</w:t>
      </w:r>
      <w:r>
        <w:t>24</w:t>
      </w:r>
      <w:r>
        <w:rPr>
          <w:rFonts w:hint="eastAsia"/>
        </w:rPr>
        <w:t>小时；</w:t>
      </w:r>
      <w:r>
        <w:t>16</w:t>
      </w:r>
      <w:r>
        <w:rPr>
          <w:rFonts w:hint="eastAsia"/>
        </w:rPr>
        <w:t>至</w:t>
      </w:r>
      <w:r>
        <w:t>18</w:t>
      </w:r>
      <w:r>
        <w:rPr>
          <w:rFonts w:hint="eastAsia"/>
        </w:rPr>
        <w:t>岁的工人，每周最多工作</w:t>
      </w:r>
      <w:r>
        <w:t>36</w:t>
      </w:r>
      <w:r>
        <w:rPr>
          <w:rFonts w:hint="eastAsia"/>
        </w:rPr>
        <w:t>小时。</w:t>
      </w:r>
    </w:p>
    <w:p w:rsidR="00000000" w:rsidRDefault="00B7115A">
      <w:r>
        <w:tab/>
        <w:t xml:space="preserve">77.  </w:t>
      </w:r>
      <w:r>
        <w:rPr>
          <w:rFonts w:hint="eastAsia"/>
        </w:rPr>
        <w:t>对于第</w:t>
      </w:r>
      <w:r>
        <w:t>1</w:t>
      </w:r>
      <w:r>
        <w:rPr>
          <w:rFonts w:hint="eastAsia"/>
        </w:rPr>
        <w:t>和</w:t>
      </w:r>
      <w:r>
        <w:t>2</w:t>
      </w:r>
      <w:r>
        <w:rPr>
          <w:rFonts w:hint="eastAsia"/>
        </w:rPr>
        <w:t>类残疾者每周工作时限也不得超过</w:t>
      </w:r>
      <w:r>
        <w:t>36</w:t>
      </w:r>
      <w:r>
        <w:rPr>
          <w:rFonts w:hint="eastAsia"/>
        </w:rPr>
        <w:t>小时。</w:t>
      </w:r>
    </w:p>
    <w:p w:rsidR="00000000" w:rsidRDefault="00B7115A">
      <w:r>
        <w:tab/>
        <w:t xml:space="preserve">78.  </w:t>
      </w:r>
      <w:r>
        <w:rPr>
          <w:rFonts w:hint="eastAsia"/>
        </w:rPr>
        <w:t>对于从放射性或污染程度不断增长的某一具体地区疏散</w:t>
      </w:r>
      <w:r>
        <w:t>(</w:t>
      </w:r>
      <w:r>
        <w:rPr>
          <w:rFonts w:hint="eastAsia"/>
        </w:rPr>
        <w:t>重新安置</w:t>
      </w:r>
      <w:r>
        <w:t>)</w:t>
      </w:r>
      <w:r>
        <w:rPr>
          <w:rFonts w:hint="eastAsia"/>
        </w:rPr>
        <w:t>的工作人员，包括曾被派去或被指定从事此项工作的个人，每周或每六天内的工时，也都不得超过</w:t>
      </w:r>
      <w:r>
        <w:t>36</w:t>
      </w:r>
      <w:r>
        <w:rPr>
          <w:rFonts w:hint="eastAsia"/>
        </w:rPr>
        <w:t>小时。</w:t>
      </w:r>
    </w:p>
    <w:p w:rsidR="00000000" w:rsidRDefault="00B7115A">
      <w:r>
        <w:tab/>
        <w:t xml:space="preserve">79.  </w:t>
      </w:r>
      <w:r>
        <w:rPr>
          <w:rFonts w:hint="eastAsia"/>
        </w:rPr>
        <w:t>对于在有害健康或危险条件下从事工作的人员以及从事重体力劳动者，每周工作时间也应缩短，不得超过</w:t>
      </w:r>
      <w:r>
        <w:t>36</w:t>
      </w:r>
      <w:r>
        <w:rPr>
          <w:rFonts w:hint="eastAsia"/>
        </w:rPr>
        <w:t>小时。根据政府确定的程序，开列了一份各类危害健康、危险性和重体力劳动的生产设施、工厂、职业和工作的清单，凡从事</w:t>
      </w:r>
      <w:r>
        <w:rPr>
          <w:rFonts w:hint="eastAsia"/>
        </w:rPr>
        <w:t>这类工作的工人有权减少工时。</w:t>
      </w:r>
    </w:p>
    <w:p w:rsidR="00000000" w:rsidRDefault="00B7115A">
      <w:r>
        <w:tab/>
        <w:t xml:space="preserve">80.  </w:t>
      </w:r>
      <w:r>
        <w:rPr>
          <w:rFonts w:hint="eastAsia"/>
        </w:rPr>
        <w:t>每周的休息日为法定的休假日。根据吉尔吉斯斯坦《劳工法》第</w:t>
      </w:r>
      <w:r>
        <w:t>144</w:t>
      </w:r>
      <w:r>
        <w:rPr>
          <w:rFonts w:hint="eastAsia"/>
        </w:rPr>
        <w:t>条，可按照雇主与工会或其他工人代表机构的协商，确定每五或六个工作日之后，安排一天的休息日。就五天一周制而论，体力和非体力工人都有权休息两天。对于六天一周制，每周有一天的休息日。按五天一周制，即每个日历周均可享有两天的休假日，但工作日历上规定星期六得上班工作的情况除外，这是为了让总工时达到具体规定的水平。在这些特定的星期中，得允许有一天的休息日。每周的休息时间应该是连续不间断的，并且至少为期</w:t>
      </w:r>
      <w:r>
        <w:t>24</w:t>
      </w:r>
      <w:r>
        <w:rPr>
          <w:rFonts w:hint="eastAsia"/>
        </w:rPr>
        <w:t>小时。</w:t>
      </w:r>
    </w:p>
    <w:p w:rsidR="00000000" w:rsidRDefault="00B7115A">
      <w:r>
        <w:tab/>
        <w:t>8</w:t>
      </w:r>
      <w:r>
        <w:t xml:space="preserve">1.  </w:t>
      </w:r>
      <w:r>
        <w:rPr>
          <w:rFonts w:hint="eastAsia"/>
        </w:rPr>
        <w:t>凡在休息日加班加点者，都可另择日期予准补假，或按有关各方商定支付双份工资。若有关各方商定，休假日加班也可用增加工人年假的天数作为补偿。</w:t>
      </w:r>
    </w:p>
    <w:p w:rsidR="00000000" w:rsidRDefault="00B7115A">
      <w:r>
        <w:tab/>
        <w:t xml:space="preserve">82.  </w:t>
      </w:r>
      <w:r>
        <w:rPr>
          <w:rFonts w:hint="eastAsia"/>
        </w:rPr>
        <w:t>在下例特定情况下，雇主可不必征得工人同意，合法地要求工人在假日工作：</w:t>
      </w:r>
    </w:p>
    <w:p w:rsidR="00000000" w:rsidRDefault="00B7115A">
      <w:pPr>
        <w:pStyle w:val="NormalIndent"/>
        <w:ind w:left="1036"/>
      </w:pPr>
      <w:r>
        <w:rPr>
          <w:rFonts w:hint="eastAsia"/>
        </w:rPr>
        <w:t>为了立即处置公共紧急情况或自然灾害的后果，或预防或排除一些故障的后果而从事紧要工作；</w:t>
      </w:r>
    </w:p>
    <w:p w:rsidR="00000000" w:rsidRDefault="00B7115A">
      <w:pPr>
        <w:pStyle w:val="NormalIndent"/>
        <w:ind w:left="1036"/>
      </w:pPr>
      <w:r>
        <w:rPr>
          <w:rFonts w:hint="eastAsia"/>
        </w:rPr>
        <w:t>为了防止发生事故；</w:t>
      </w:r>
    </w:p>
    <w:p w:rsidR="00000000" w:rsidRDefault="00B7115A">
      <w:pPr>
        <w:pStyle w:val="NormalIndent"/>
        <w:ind w:left="1036"/>
      </w:pPr>
      <w:r>
        <w:rPr>
          <w:rFonts w:hint="eastAsia"/>
        </w:rPr>
        <w:t>为排除危胁或已经中断正常供水或煤气、供暖、供电、排污、交通运输或通信的可能和意外情况；</w:t>
      </w:r>
    </w:p>
    <w:p w:rsidR="00000000" w:rsidRDefault="00B7115A">
      <w:pPr>
        <w:pStyle w:val="NormalIndent"/>
        <w:ind w:left="1036"/>
      </w:pPr>
      <w:r>
        <w:rPr>
          <w:rFonts w:hint="eastAsia"/>
        </w:rPr>
        <w:t>医务人员为了提供紧急医疗救助。</w:t>
      </w:r>
    </w:p>
    <w:p w:rsidR="00000000" w:rsidRDefault="00B7115A">
      <w:pPr>
        <w:textAlignment w:val="center"/>
      </w:pPr>
      <w:r>
        <w:rPr>
          <w:rFonts w:hint="eastAsia"/>
        </w:rPr>
        <w:t>要求工人休假日工作的天数，每年不得超过</w:t>
      </w:r>
      <w:r>
        <w:t>12</w:t>
      </w:r>
      <w:r>
        <w:rPr>
          <w:rFonts w:hint="eastAsia"/>
        </w:rPr>
        <w:t>天。倘若某一工人被</w:t>
      </w:r>
      <w:r>
        <w:rPr>
          <w:rFonts w:hint="eastAsia"/>
        </w:rPr>
        <w:t>要求假日加班，但在双方不能就补偿方式达成一致的情况下，除非集体协议另有规定，否则应采取补休假的补偿方式。</w:t>
      </w:r>
    </w:p>
    <w:p w:rsidR="00000000" w:rsidRDefault="00B7115A">
      <w:r>
        <w:tab/>
        <w:t xml:space="preserve">83.  </w:t>
      </w:r>
      <w:r>
        <w:rPr>
          <w:rFonts w:hint="eastAsia"/>
        </w:rPr>
        <w:t>只有政府可宣布星期六为全体工人的工作日。</w:t>
      </w:r>
    </w:p>
    <w:p w:rsidR="00000000" w:rsidRDefault="00B7115A">
      <w:r>
        <w:tab/>
        <w:t xml:space="preserve">84.  </w:t>
      </w:r>
      <w:r>
        <w:rPr>
          <w:rFonts w:hint="eastAsia"/>
        </w:rPr>
        <w:t>在公共假日之前一天，工作日可缩短一小时。在公共假日前一天，因生产需要而无法缩短工时的情况下，工人们在积累了足够的加班小时数之后，可获得一天的补假，或在征得他们同意的情况下，按加班费率向工人支付报酬。</w:t>
      </w:r>
    </w:p>
    <w:p w:rsidR="00000000" w:rsidRDefault="00B7115A">
      <w:pPr>
        <w:spacing w:after="320"/>
        <w:textAlignment w:val="center"/>
      </w:pPr>
      <w:r>
        <w:tab/>
        <w:t xml:space="preserve">85.  </w:t>
      </w:r>
      <w:r>
        <w:rPr>
          <w:rFonts w:hint="eastAsia"/>
        </w:rPr>
        <w:t>工人有权享受年假和特别的休假。根据《劳工法律》</w:t>
      </w:r>
      <w:r>
        <w:t>(</w:t>
      </w:r>
      <w:r>
        <w:rPr>
          <w:rFonts w:hint="eastAsia"/>
        </w:rPr>
        <w:t>《劳工法》第</w:t>
      </w:r>
      <w:r>
        <w:t>168</w:t>
      </w:r>
      <w:r>
        <w:rPr>
          <w:rFonts w:hint="eastAsia"/>
        </w:rPr>
        <w:t>条</w:t>
      </w:r>
      <w:r>
        <w:t>)</w:t>
      </w:r>
      <w:r>
        <w:rPr>
          <w:rFonts w:hint="eastAsia"/>
        </w:rPr>
        <w:t>“休假”系指根据劳工合同的条款，在不丧失工作职位，不扣减工</w:t>
      </w:r>
      <w:r>
        <w:rPr>
          <w:rFonts w:hint="eastAsia"/>
        </w:rPr>
        <w:t>资的情况下，为了休息或其它社会目的，不工作的时期。准许所有体力和非体力工人，在保留其工作</w:t>
      </w:r>
      <w:r>
        <w:t>(</w:t>
      </w:r>
      <w:r>
        <w:rPr>
          <w:rFonts w:hint="eastAsia"/>
        </w:rPr>
        <w:t>职位</w:t>
      </w:r>
      <w:r>
        <w:t>)</w:t>
      </w:r>
      <w:r>
        <w:rPr>
          <w:rFonts w:hint="eastAsia"/>
        </w:rPr>
        <w:t>和平均收入的情况下，享有年假。最短的年假为四个工作周。这一规定适用于所有的工作人员。</w:t>
      </w:r>
    </w:p>
    <w:p w:rsidR="00000000" w:rsidRDefault="00B7115A">
      <w:pPr>
        <w:pStyle w:val="Heading3"/>
      </w:pPr>
      <w:r>
        <w:rPr>
          <w:rFonts w:hint="eastAsia"/>
        </w:rPr>
        <w:t>第</w:t>
      </w:r>
      <w:r>
        <w:t xml:space="preserve"> 8 </w:t>
      </w:r>
      <w:r>
        <w:rPr>
          <w:rFonts w:hint="eastAsia"/>
        </w:rPr>
        <w:t>条</w:t>
      </w:r>
    </w:p>
    <w:p w:rsidR="00000000" w:rsidRDefault="00B7115A">
      <w:r>
        <w:tab/>
        <w:t xml:space="preserve">86.  </w:t>
      </w:r>
      <w:r>
        <w:rPr>
          <w:rFonts w:hint="eastAsia"/>
        </w:rPr>
        <w:t>根据吉尔吉斯斯坦宪法第</w:t>
      </w:r>
      <w:r>
        <w:t>30</w:t>
      </w:r>
      <w:r>
        <w:rPr>
          <w:rFonts w:hint="eastAsia"/>
        </w:rPr>
        <w:t>条，公民有罢工权。罢工程序以</w:t>
      </w:r>
      <w:r>
        <w:t>1998</w:t>
      </w:r>
      <w:r>
        <w:rPr>
          <w:rFonts w:hint="eastAsia"/>
        </w:rPr>
        <w:t>年</w:t>
      </w:r>
      <w:r>
        <w:t>1</w:t>
      </w:r>
      <w:r>
        <w:rPr>
          <w:rFonts w:hint="eastAsia"/>
        </w:rPr>
        <w:t>月</w:t>
      </w:r>
      <w:r>
        <w:t>1</w:t>
      </w:r>
      <w:r>
        <w:rPr>
          <w:rFonts w:hint="eastAsia"/>
        </w:rPr>
        <w:t>日生效的新吉尔吉斯斯坦劳工法为准则。劳工法将罢工界定为一群工人为保护其经济或社会利益的目的自愿完全或部分停止工作</w:t>
      </w:r>
      <w:r>
        <w:t>(</w:t>
      </w:r>
      <w:r>
        <w:rPr>
          <w:rFonts w:hint="eastAsia"/>
        </w:rPr>
        <w:t>不上班、不履行职责</w:t>
      </w:r>
      <w:r>
        <w:t>)</w:t>
      </w:r>
      <w:r>
        <w:rPr>
          <w:rFonts w:hint="eastAsia"/>
        </w:rPr>
        <w:t>。罢工可以在发生下列情况之后举行：拒绝调解委员会的提议，或当事方将问题提交调停人或仲裁机构，而调停人的</w:t>
      </w:r>
      <w:r>
        <w:rPr>
          <w:rFonts w:hint="eastAsia"/>
        </w:rPr>
        <w:t>建议被拒绝或仲裁人的裁决不被同意，除非该裁决对当事各方有约束力。</w:t>
      </w:r>
    </w:p>
    <w:p w:rsidR="00000000" w:rsidRDefault="00B7115A">
      <w:r>
        <w:tab/>
        <w:t xml:space="preserve">87.  </w:t>
      </w:r>
      <w:r>
        <w:rPr>
          <w:rFonts w:hint="eastAsia"/>
        </w:rPr>
        <w:t>该法也规定了某些限制。劳工法第</w:t>
      </w:r>
      <w:r>
        <w:t>78</w:t>
      </w:r>
      <w:r>
        <w:rPr>
          <w:rFonts w:hint="eastAsia"/>
        </w:rPr>
        <w:t>条禁止威胁到人生命或健康的罢工和禁止在下列部门罢工：公共铁路</w:t>
      </w:r>
      <w:r>
        <w:rPr>
          <w:rFonts w:hint="eastAsia"/>
          <w:spacing w:val="-40"/>
        </w:rPr>
        <w:t>——</w:t>
      </w:r>
      <w:r>
        <w:t xml:space="preserve"> </w:t>
      </w:r>
      <w:r>
        <w:rPr>
          <w:rFonts w:hint="eastAsia"/>
        </w:rPr>
        <w:t>或城市交通部门、民航、电讯或电力工业企业或组织；负责维持国防能力的国家机构、企业或组织、公共秩序或国家安全部门</w:t>
      </w:r>
      <w:r>
        <w:t>(</w:t>
      </w:r>
      <w:r>
        <w:rPr>
          <w:rFonts w:hint="eastAsia"/>
        </w:rPr>
        <w:t>武装部队以及保安和内政事务机构</w:t>
      </w:r>
      <w:r>
        <w:t>)</w:t>
      </w:r>
      <w:r>
        <w:rPr>
          <w:rFonts w:hint="eastAsia"/>
        </w:rPr>
        <w:t>；和停工将造成严重和危险后果的需连续不断进行的行业。因此，吉尔吉斯斯坦共和国法案</w:t>
      </w:r>
      <w:r>
        <w:t>(1994</w:t>
      </w:r>
      <w:r>
        <w:rPr>
          <w:rFonts w:hint="eastAsia"/>
        </w:rPr>
        <w:t>年</w:t>
      </w:r>
      <w:r>
        <w:t>1</w:t>
      </w:r>
      <w:r>
        <w:rPr>
          <w:rFonts w:hint="eastAsia"/>
        </w:rPr>
        <w:t>月</w:t>
      </w:r>
      <w:r>
        <w:t>11</w:t>
      </w:r>
      <w:r>
        <w:rPr>
          <w:rFonts w:hint="eastAsia"/>
        </w:rPr>
        <w:t>日</w:t>
      </w:r>
      <w:r>
        <w:t>)</w:t>
      </w:r>
      <w:r>
        <w:rPr>
          <w:rFonts w:hint="eastAsia"/>
        </w:rPr>
        <w:t>关于内政事务机构的第</w:t>
      </w:r>
      <w:r>
        <w:t>7</w:t>
      </w:r>
      <w:r>
        <w:rPr>
          <w:rFonts w:hint="eastAsia"/>
        </w:rPr>
        <w:t>条禁止内政事务工作人员组织罢工和参与工业行动。临时公务员章程也禁</w:t>
      </w:r>
      <w:r>
        <w:rPr>
          <w:rFonts w:hint="eastAsia"/>
        </w:rPr>
        <w:t>止公务员组织和参加罢工。</w:t>
      </w:r>
    </w:p>
    <w:p w:rsidR="00000000" w:rsidRDefault="00B7115A">
      <w:r>
        <w:tab/>
        <w:t xml:space="preserve">88.  </w:t>
      </w:r>
      <w:r>
        <w:rPr>
          <w:rFonts w:hint="eastAsia"/>
        </w:rPr>
        <w:t>旨在推翻或改变宪法制度的罢工也属非法。这些限制是完全合理的，因为在此类情况中罢工威胁到国家安全和公共秩序。</w:t>
      </w:r>
    </w:p>
    <w:p w:rsidR="00000000" w:rsidRDefault="00B7115A">
      <w:r>
        <w:tab/>
        <w:t xml:space="preserve">89.  </w:t>
      </w:r>
      <w:r>
        <w:rPr>
          <w:rFonts w:hint="eastAsia"/>
        </w:rPr>
        <w:t>在本报告所涉期间</w:t>
      </w:r>
      <w:r>
        <w:t>(1994-1997</w:t>
      </w:r>
      <w:r>
        <w:rPr>
          <w:rFonts w:hint="eastAsia"/>
        </w:rPr>
        <w:t>年</w:t>
      </w:r>
      <w:r>
        <w:t>)</w:t>
      </w:r>
      <w:r>
        <w:rPr>
          <w:rFonts w:hint="eastAsia"/>
        </w:rPr>
        <w:t>，在吉尔吉斯斯坦共和国没有发生罢工。</w:t>
      </w:r>
    </w:p>
    <w:p w:rsidR="00000000" w:rsidRDefault="00B7115A">
      <w:r>
        <w:tab/>
        <w:t xml:space="preserve">90.  </w:t>
      </w:r>
      <w:r>
        <w:rPr>
          <w:rFonts w:hint="eastAsia"/>
        </w:rPr>
        <w:t>根据宪法第</w:t>
      </w:r>
      <w:r>
        <w:t>8</w:t>
      </w:r>
      <w:r>
        <w:rPr>
          <w:rFonts w:hint="eastAsia"/>
        </w:rPr>
        <w:t>条，在吉尔吉斯斯坦共和国依据表达意志自由和社区利益可以成立政党、工会和其他公众结社。确保尊重公众结社的权利和合法利益是国家的义务。</w:t>
      </w:r>
    </w:p>
    <w:p w:rsidR="00000000" w:rsidRDefault="00B7115A">
      <w:r>
        <w:tab/>
        <w:t xml:space="preserve">91.  </w:t>
      </w:r>
      <w:r>
        <w:rPr>
          <w:rFonts w:hint="eastAsia"/>
        </w:rPr>
        <w:t>根据吉尔吉斯斯坦共和国现行劳动法第</w:t>
      </w:r>
      <w:r>
        <w:t>238</w:t>
      </w:r>
      <w:r>
        <w:rPr>
          <w:rFonts w:hint="eastAsia"/>
        </w:rPr>
        <w:t>条，体力劳动者和非体力劳动者均有权成立工会。工会现在根据它们自己通过</w:t>
      </w:r>
      <w:r>
        <w:rPr>
          <w:rFonts w:hint="eastAsia"/>
        </w:rPr>
        <w:t>的规则开展活动，不需要向国家组织登记。国家组织、企业和机构有义务在工会工作期间向其提供一切协助。</w:t>
      </w:r>
    </w:p>
    <w:p w:rsidR="00000000" w:rsidRDefault="00B7115A">
      <w:r>
        <w:tab/>
        <w:t xml:space="preserve">92.  </w:t>
      </w:r>
      <w:r>
        <w:rPr>
          <w:rFonts w:hint="eastAsia"/>
        </w:rPr>
        <w:t>工会活动目前受吉尔吉斯斯坦新劳工法管理。根据该法第</w:t>
      </w:r>
      <w:r>
        <w:t>18</w:t>
      </w:r>
      <w:r>
        <w:rPr>
          <w:rFonts w:hint="eastAsia"/>
        </w:rPr>
        <w:t>条和第</w:t>
      </w:r>
      <w:r>
        <w:t>19</w:t>
      </w:r>
      <w:r>
        <w:rPr>
          <w:rFonts w:hint="eastAsia"/>
        </w:rPr>
        <w:t>条，工会是自愿公共组织，它本着经济中无论是生产还是非生产领域的共同职业利益团结工人，其目的是保护成员的职业、社会和经济权益。所有工人一律有权根据其选择和无需事先申请许可自愿成立工会。他们也有权以他们遵守其规则为条件加入某一工会。工人有权在企业、机构、组织和其他工作场所成立工会，无论这些实体归谁所有。</w:t>
      </w:r>
    </w:p>
    <w:p w:rsidR="00000000" w:rsidRDefault="00B7115A">
      <w:r>
        <w:tab/>
        <w:t xml:space="preserve">93.  </w:t>
      </w:r>
      <w:r>
        <w:rPr>
          <w:rFonts w:hint="eastAsia"/>
        </w:rPr>
        <w:t>工会的活动独立，仅受吉尔</w:t>
      </w:r>
      <w:r>
        <w:rPr>
          <w:rFonts w:hint="eastAsia"/>
        </w:rPr>
        <w:t>吉斯斯坦法律约束。它们既不对国家当局、雇主、政党或其他公共组织负责，也不受其控制。除非法律另有规定，禁止可能限制工会权利或阻碍其权利行使的所有干预。</w:t>
      </w:r>
    </w:p>
    <w:p w:rsidR="00000000" w:rsidRDefault="00B7115A">
      <w:r>
        <w:tab/>
        <w:t xml:space="preserve">94.  </w:t>
      </w:r>
      <w:r>
        <w:rPr>
          <w:rFonts w:hint="eastAsia"/>
        </w:rPr>
        <w:t>是否工会成员均不意味着宪法保护的公民职业、社会、经济、政治、个人或公民权利会受任何限制。禁止以成为某一工会的成员或加入或脱离某一工会作为雇用、晋升或解雇某一工人的条件。</w:t>
      </w:r>
    </w:p>
    <w:p w:rsidR="00000000" w:rsidRDefault="00B7115A">
      <w:r>
        <w:tab/>
        <w:t xml:space="preserve">95.  </w:t>
      </w:r>
      <w:r>
        <w:rPr>
          <w:rFonts w:hint="eastAsia"/>
        </w:rPr>
        <w:t>成立工会需要履行若干微不足道的手续：必须召开工人会议；必须通过成立工会的决定；必须选举工会委员会；希望加入工会的每一个人必须填写提到遵守工会规则和交纳会费义务的申请表。</w:t>
      </w:r>
    </w:p>
    <w:p w:rsidR="00000000" w:rsidRDefault="00B7115A">
      <w:r>
        <w:tab/>
        <w:t xml:space="preserve">96.  </w:t>
      </w:r>
      <w:r>
        <w:rPr>
          <w:rFonts w:hint="eastAsia"/>
        </w:rPr>
        <w:t>工会可联合起来成立联合会，而联合会又可以联合起来组成母组织</w:t>
      </w:r>
      <w:r>
        <w:t>(</w:t>
      </w:r>
      <w:r>
        <w:rPr>
          <w:rFonts w:hint="eastAsia"/>
        </w:rPr>
        <w:t>总工会</w:t>
      </w:r>
      <w:r>
        <w:t>)</w:t>
      </w:r>
      <w:r>
        <w:rPr>
          <w:rFonts w:hint="eastAsia"/>
        </w:rPr>
        <w:t>，享有与工会同样的权利。工会也可以加入国际工会组织。</w:t>
      </w:r>
    </w:p>
    <w:p w:rsidR="00000000" w:rsidRDefault="00B7115A">
      <w:r>
        <w:tab/>
        <w:t>97.  1997</w:t>
      </w:r>
      <w:r>
        <w:rPr>
          <w:rFonts w:hint="eastAsia"/>
        </w:rPr>
        <w:t>年</w:t>
      </w:r>
      <w:r>
        <w:t>1</w:t>
      </w:r>
      <w:r>
        <w:rPr>
          <w:rFonts w:hint="eastAsia"/>
        </w:rPr>
        <w:t>月</w:t>
      </w:r>
      <w:r>
        <w:t>1</w:t>
      </w:r>
      <w:r>
        <w:rPr>
          <w:rFonts w:hint="eastAsia"/>
        </w:rPr>
        <w:t>日吉尔吉斯斯坦共和国的工会会员有</w:t>
      </w:r>
      <w:r>
        <w:t>100,140</w:t>
      </w:r>
      <w:r>
        <w:rPr>
          <w:rFonts w:hint="eastAsia"/>
        </w:rPr>
        <w:t>人。与</w:t>
      </w:r>
      <w:r>
        <w:t>1994</w:t>
      </w:r>
      <w:r>
        <w:rPr>
          <w:rFonts w:hint="eastAsia"/>
        </w:rPr>
        <w:t>年相比，工会会员减少了</w:t>
      </w:r>
      <w:r>
        <w:t>395,667</w:t>
      </w:r>
      <w:r>
        <w:rPr>
          <w:rFonts w:hint="eastAsia"/>
        </w:rPr>
        <w:t>人，原因是若干工业企业关闭、非生产领域劳动力收缩和大量裁员。目前有</w:t>
      </w:r>
      <w:r>
        <w:t>20</w:t>
      </w:r>
      <w:r>
        <w:rPr>
          <w:rFonts w:hint="eastAsia"/>
        </w:rPr>
        <w:t>个共和国范围内的部门工会</w:t>
      </w:r>
      <w:r>
        <w:t>(</w:t>
      </w:r>
      <w:r>
        <w:rPr>
          <w:rFonts w:hint="eastAsia"/>
        </w:rPr>
        <w:t>在农业、教育、文化、保健服务、工业、建筑等行业</w:t>
      </w:r>
      <w:r>
        <w:t>)</w:t>
      </w:r>
      <w:r>
        <w:rPr>
          <w:rFonts w:hint="eastAsia"/>
        </w:rPr>
        <w:t>、五个州级工会以及</w:t>
      </w:r>
      <w:r>
        <w:t>59</w:t>
      </w:r>
      <w:r>
        <w:rPr>
          <w:rFonts w:hint="eastAsia"/>
        </w:rPr>
        <w:t>个市和区工会委员会。所有这些机构均属于吉尔吉斯斯坦工会联合会。此外，还有一个企业家工会</w:t>
      </w:r>
      <w:r>
        <w:rPr>
          <w:rFonts w:hint="eastAsia"/>
        </w:rPr>
        <w:t>和铁路工人工会，两者均不是全共和国范围的工会联合会的成员。</w:t>
      </w:r>
    </w:p>
    <w:p w:rsidR="00000000" w:rsidRDefault="00B7115A">
      <w:r>
        <w:tab/>
        <w:t xml:space="preserve">98.  </w:t>
      </w:r>
      <w:r>
        <w:rPr>
          <w:rFonts w:hint="eastAsia"/>
        </w:rPr>
        <w:t>工会会员和不是工会会员的工人在工业关系中具有同等权利。</w:t>
      </w:r>
    </w:p>
    <w:p w:rsidR="00000000" w:rsidRDefault="00B7115A">
      <w:r>
        <w:tab/>
        <w:t xml:space="preserve">99.  </w:t>
      </w:r>
      <w:r>
        <w:rPr>
          <w:rFonts w:hint="eastAsia"/>
        </w:rPr>
        <w:t>教育机构的学生和养老金领取者也有权成立工会。在吉尔吉斯斯坦学生成立了学生会并积极开展活动。他们的会员总数为</w:t>
      </w:r>
      <w:r>
        <w:t>37,000</w:t>
      </w:r>
      <w:r>
        <w:rPr>
          <w:rFonts w:hint="eastAsia"/>
        </w:rPr>
        <w:t>人。吉尔吉斯斯坦没有独立的养老金领取者联合会，然而，有些养老金领取者是他们退休之前曾经工作过的企业和组织的工会的成员。在军事机构和国家安全和内政事务组织工作的民事人员也成立了工会。</w:t>
      </w:r>
    </w:p>
    <w:p w:rsidR="00000000" w:rsidRDefault="00B7115A">
      <w:r>
        <w:tab/>
        <w:t xml:space="preserve">100.  </w:t>
      </w:r>
      <w:r>
        <w:rPr>
          <w:rFonts w:hint="eastAsia"/>
        </w:rPr>
        <w:t>工会不仅在制定保护劳动人民的规章和法规制度中发挥作用，它们</w:t>
      </w:r>
      <w:r>
        <w:rPr>
          <w:rFonts w:hint="eastAsia"/>
        </w:rPr>
        <w:t>还对国家组织执行的社会和经济政策施加影响。</w:t>
      </w:r>
    </w:p>
    <w:p w:rsidR="00000000" w:rsidRDefault="00B7115A">
      <w:r>
        <w:tab/>
        <w:t xml:space="preserve">101.  </w:t>
      </w:r>
      <w:r>
        <w:rPr>
          <w:rFonts w:hint="eastAsia"/>
        </w:rPr>
        <w:t>工会与政府之间的关系以平等社会伙伴关系原则为基础。每年工会联合会与政府缔结总协定；部门工会与各部和行政部门就工资等级和经济正常化、防止生产滑坡、减少失业、增加收入、解决贫困和向人口中处于不利地位的部分提供社会援助达成协定。</w:t>
      </w:r>
    </w:p>
    <w:p w:rsidR="00000000" w:rsidRDefault="00B7115A">
      <w:r>
        <w:tab/>
        <w:t xml:space="preserve">102.  </w:t>
      </w:r>
      <w:r>
        <w:rPr>
          <w:rFonts w:hint="eastAsia"/>
        </w:rPr>
        <w:t>在</w:t>
      </w:r>
      <w:r>
        <w:t>1996</w:t>
      </w:r>
      <w:r>
        <w:rPr>
          <w:rFonts w:hint="eastAsia"/>
        </w:rPr>
        <w:t>年和</w:t>
      </w:r>
      <w:r>
        <w:t>1997</w:t>
      </w:r>
      <w:r>
        <w:rPr>
          <w:rFonts w:hint="eastAsia"/>
        </w:rPr>
        <w:t>年，吉尔吉斯斯坦工会联合会起草并提交政府解决贫困的建议、工资改革和及时支付工资方案以及在工会、国家和雇主之间缔结三方协定的提案。在工会的坚持下，政府满意地解决了若干问题。</w:t>
      </w:r>
    </w:p>
    <w:p w:rsidR="00000000" w:rsidRDefault="00B7115A">
      <w:r>
        <w:tab/>
        <w:t xml:space="preserve">103.  </w:t>
      </w:r>
      <w:r>
        <w:rPr>
          <w:rFonts w:hint="eastAsia"/>
        </w:rPr>
        <w:t>了为维护</w:t>
      </w:r>
      <w:r>
        <w:rPr>
          <w:rFonts w:hint="eastAsia"/>
        </w:rPr>
        <w:t>对残疾人和老年人的社会援助和保护，</w:t>
      </w:r>
      <w:r>
        <w:t>1997</w:t>
      </w:r>
      <w:r>
        <w:rPr>
          <w:rFonts w:hint="eastAsia"/>
        </w:rPr>
        <w:t>年通过了“阿尔达喀尔”国家方案。为了支持这一方案，吉尔吉斯斯坦工会正帮助建立和发展新类型的社会服务机构，即社会福利中心和社会避难所。在</w:t>
      </w:r>
      <w:r>
        <w:t>1998</w:t>
      </w:r>
      <w:r>
        <w:rPr>
          <w:rFonts w:hint="eastAsia"/>
        </w:rPr>
        <w:t>年，吉尔吉斯斯坦工会联合会将给在职老战士分配至少</w:t>
      </w:r>
      <w:r>
        <w:t>200</w:t>
      </w:r>
      <w:r>
        <w:rPr>
          <w:rFonts w:hint="eastAsia"/>
        </w:rPr>
        <w:t>张在疗养院和温泉治疗所的疗养证。此外，工会将就社会和职业问题免费提供法律咨询意见和协助。</w:t>
      </w:r>
    </w:p>
    <w:p w:rsidR="00000000" w:rsidRDefault="00B7115A">
      <w:pPr>
        <w:spacing w:after="320"/>
        <w:textAlignment w:val="center"/>
      </w:pPr>
      <w:r>
        <w:tab/>
        <w:t xml:space="preserve">104.  </w:t>
      </w:r>
      <w:r>
        <w:rPr>
          <w:rFonts w:hint="eastAsia"/>
        </w:rPr>
        <w:t>同时，有些雇主正阻止工会活动、禁止它们的成立、指示发工资的办公室不要扣除会费等。对违反有关工会权利法律的经理尚未提起行政或刑事诉讼。</w:t>
      </w:r>
    </w:p>
    <w:p w:rsidR="00000000" w:rsidRDefault="00B7115A">
      <w:pPr>
        <w:pStyle w:val="Heading3"/>
      </w:pPr>
      <w:r>
        <w:rPr>
          <w:rFonts w:hint="eastAsia"/>
        </w:rPr>
        <w:t>第</w:t>
      </w:r>
      <w:r>
        <w:t xml:space="preserve"> 9 </w:t>
      </w:r>
      <w:r>
        <w:rPr>
          <w:rFonts w:hint="eastAsia"/>
        </w:rPr>
        <w:t>条</w:t>
      </w:r>
    </w:p>
    <w:p w:rsidR="00000000" w:rsidRDefault="00B7115A">
      <w:pPr>
        <w:spacing w:after="320"/>
        <w:textAlignment w:val="center"/>
      </w:pPr>
      <w:r>
        <w:tab/>
        <w:t xml:space="preserve">105.  </w:t>
      </w:r>
      <w:r>
        <w:rPr>
          <w:rFonts w:hint="eastAsia"/>
        </w:rPr>
        <w:t>吉尔吉斯斯</w:t>
      </w:r>
      <w:r>
        <w:rPr>
          <w:rFonts w:hint="eastAsia"/>
        </w:rPr>
        <w:t>坦宪法第</w:t>
      </w:r>
      <w:r>
        <w:t>27</w:t>
      </w:r>
      <w:r>
        <w:rPr>
          <w:rFonts w:hint="eastAsia"/>
        </w:rPr>
        <w:t>条保证在老年、疾病、残疾或丧失赡养人的情况下由国家供资的社会保障。养老金和社会援助是根据社会的经济可能性提供的，并必须保证至少符合法定维持生存的收入的生活标准。自愿社会保险、建立赡养和慈善等补助手段均受到鼓励。</w:t>
      </w:r>
    </w:p>
    <w:p w:rsidR="00000000" w:rsidRDefault="00B7115A">
      <w:pPr>
        <w:pStyle w:val="Heading4"/>
      </w:pPr>
      <w:r>
        <w:rPr>
          <w:rFonts w:hint="eastAsia"/>
        </w:rPr>
        <w:t>医疗保险</w:t>
      </w:r>
    </w:p>
    <w:p w:rsidR="00000000" w:rsidRDefault="00B7115A">
      <w:r>
        <w:tab/>
        <w:t xml:space="preserve">106.  </w:t>
      </w:r>
      <w:r>
        <w:rPr>
          <w:rFonts w:hint="eastAsia"/>
        </w:rPr>
        <w:t>根据</w:t>
      </w:r>
      <w:r>
        <w:t>(</w:t>
      </w:r>
      <w:r>
        <w:rPr>
          <w:rFonts w:hint="eastAsia"/>
        </w:rPr>
        <w:t>吉尔吉斯斯坦公民</w:t>
      </w:r>
      <w:r>
        <w:t>)</w:t>
      </w:r>
      <w:r>
        <w:rPr>
          <w:rFonts w:hint="eastAsia"/>
        </w:rPr>
        <w:t>医疗保险法，国家承担医疗和临时残疾支出并支付妊娠和产妇福利。在吉尔吉斯斯坦有自愿和强制性医疗保险。</w:t>
      </w:r>
    </w:p>
    <w:p w:rsidR="00000000" w:rsidRDefault="00B7115A">
      <w:r>
        <w:tab/>
        <w:t xml:space="preserve">107.  </w:t>
      </w:r>
      <w:r>
        <w:rPr>
          <w:rFonts w:hint="eastAsia"/>
        </w:rPr>
        <w:t>在</w:t>
      </w:r>
      <w:r>
        <w:t>1997</w:t>
      </w:r>
      <w:r>
        <w:rPr>
          <w:rFonts w:hint="eastAsia"/>
        </w:rPr>
        <w:t>年底，雇员、领取养老金者和注册失业者的住院护理费开始通过交纳的保险费支付。</w:t>
      </w:r>
      <w:r>
        <w:t>1997</w:t>
      </w:r>
      <w:r>
        <w:rPr>
          <w:rFonts w:hint="eastAsia"/>
        </w:rPr>
        <w:t>年保险费率定为：雇主支付工资的</w:t>
      </w:r>
      <w:r>
        <w:t>2%</w:t>
      </w:r>
      <w:r>
        <w:rPr>
          <w:rFonts w:hint="eastAsia"/>
        </w:rPr>
        <w:t>；养老基金和就业基金每年支付</w:t>
      </w:r>
      <w:r>
        <w:t>108</w:t>
      </w:r>
      <w:r>
        <w:rPr>
          <w:rFonts w:hint="eastAsia"/>
        </w:rPr>
        <w:t>索姆。</w:t>
      </w:r>
    </w:p>
    <w:p w:rsidR="00000000" w:rsidRDefault="00B7115A">
      <w:pPr>
        <w:spacing w:after="320"/>
        <w:textAlignment w:val="center"/>
      </w:pPr>
      <w:r>
        <w:tab/>
        <w:t>108.  1997</w:t>
      </w:r>
      <w:r>
        <w:rPr>
          <w:rFonts w:hint="eastAsia"/>
        </w:rPr>
        <w:t>年保险范围不包括非在职人口和学生。</w:t>
      </w:r>
    </w:p>
    <w:p w:rsidR="00000000" w:rsidRDefault="00B7115A">
      <w:pPr>
        <w:pStyle w:val="Heading4"/>
      </w:pPr>
      <w:r>
        <w:rPr>
          <w:rFonts w:hint="eastAsia"/>
        </w:rPr>
        <w:t>疾病现金津贴</w:t>
      </w:r>
    </w:p>
    <w:p w:rsidR="00000000" w:rsidRDefault="00B7115A">
      <w:r>
        <w:tab/>
        <w:t xml:space="preserve">109.  </w:t>
      </w:r>
      <w:r>
        <w:rPr>
          <w:rFonts w:hint="eastAsia"/>
        </w:rPr>
        <w:t>根据</w:t>
      </w:r>
      <w:r>
        <w:t>1995</w:t>
      </w:r>
      <w:r>
        <w:rPr>
          <w:rFonts w:hint="eastAsia"/>
        </w:rPr>
        <w:t>年</w:t>
      </w:r>
      <w:r>
        <w:t>2</w:t>
      </w:r>
      <w:r>
        <w:rPr>
          <w:rFonts w:hint="eastAsia"/>
        </w:rPr>
        <w:t>月</w:t>
      </w:r>
      <w:r>
        <w:t>8</w:t>
      </w:r>
      <w:r>
        <w:rPr>
          <w:rFonts w:hint="eastAsia"/>
        </w:rPr>
        <w:t>日第</w:t>
      </w:r>
      <w:r>
        <w:t>34</w:t>
      </w:r>
      <w:r>
        <w:rPr>
          <w:rFonts w:hint="eastAsia"/>
        </w:rPr>
        <w:t>号政府决定通过的社会保险福利发放程序规则，临时残疾津贴的发放办法如下：</w:t>
      </w:r>
    </w:p>
    <w:p w:rsidR="00000000" w:rsidRDefault="00B7115A">
      <w:pPr>
        <w:ind w:left="1036"/>
      </w:pPr>
      <w:r>
        <w:t>(a)</w:t>
      </w:r>
      <w:r>
        <w:tab/>
      </w:r>
      <w:r>
        <w:rPr>
          <w:rFonts w:hint="eastAsia"/>
        </w:rPr>
        <w:t>在雇员生病的情况下，取决于治疗的类型，津贴率为：</w:t>
      </w:r>
    </w:p>
    <w:p w:rsidR="00000000" w:rsidRDefault="00B7115A">
      <w:pPr>
        <w:ind w:left="1036"/>
      </w:pPr>
      <w:r>
        <w:tab/>
      </w:r>
      <w:r>
        <w:rPr>
          <w:rFonts w:hint="eastAsia"/>
        </w:rPr>
        <w:t>住院治疗给雇员工资的</w:t>
      </w:r>
      <w:r>
        <w:t>90%</w:t>
      </w:r>
      <w:r>
        <w:rPr>
          <w:rFonts w:hint="eastAsia"/>
        </w:rPr>
        <w:t>；</w:t>
      </w:r>
    </w:p>
    <w:p w:rsidR="00000000" w:rsidRDefault="00B7115A">
      <w:pPr>
        <w:ind w:left="1036"/>
      </w:pPr>
      <w:r>
        <w:tab/>
      </w:r>
      <w:r>
        <w:rPr>
          <w:rFonts w:hint="eastAsia"/>
        </w:rPr>
        <w:t>门诊治疗给雇员工资的</w:t>
      </w:r>
      <w:r>
        <w:t>75%</w:t>
      </w:r>
      <w:r>
        <w:rPr>
          <w:rFonts w:hint="eastAsia"/>
        </w:rPr>
        <w:t>。</w:t>
      </w:r>
    </w:p>
    <w:p w:rsidR="00000000" w:rsidRDefault="00B7115A">
      <w:r>
        <w:rPr>
          <w:rFonts w:hint="eastAsia"/>
        </w:rPr>
        <w:t>该津贴一直支付到雇员痊愈或确定他永久残疾。</w:t>
      </w:r>
      <w:r>
        <w:t>(</w:t>
      </w:r>
      <w:r>
        <w:rPr>
          <w:rFonts w:hint="eastAsia"/>
        </w:rPr>
        <w:t>头三天的津贴由雇主按上述标准支付。</w:t>
      </w:r>
      <w:r>
        <w:t>)</w:t>
      </w:r>
    </w:p>
    <w:p w:rsidR="00000000" w:rsidRDefault="00B7115A">
      <w:pPr>
        <w:pStyle w:val="a5"/>
        <w:ind w:left="1546"/>
      </w:pPr>
      <w:r>
        <w:t>(b)</w:t>
      </w:r>
      <w:r>
        <w:tab/>
      </w:r>
      <w:r>
        <w:rPr>
          <w:rFonts w:hint="eastAsia"/>
        </w:rPr>
        <w:t>对照顾一有病家庭成员的雇员，按同样比例</w:t>
      </w:r>
      <w:r>
        <w:t>(75%</w:t>
      </w:r>
      <w:r>
        <w:rPr>
          <w:rFonts w:hint="eastAsia"/>
        </w:rPr>
        <w:t>和</w:t>
      </w:r>
      <w:r>
        <w:t>90%)</w:t>
      </w:r>
      <w:r>
        <w:rPr>
          <w:rFonts w:hint="eastAsia"/>
        </w:rPr>
        <w:t>，但如果是门诊治</w:t>
      </w:r>
      <w:r>
        <w:rPr>
          <w:rFonts w:hint="eastAsia"/>
        </w:rPr>
        <w:t>疗，支付的津贴最长为</w:t>
      </w:r>
      <w:r>
        <w:t>14</w:t>
      </w:r>
      <w:r>
        <w:rPr>
          <w:rFonts w:hint="eastAsia"/>
        </w:rPr>
        <w:t>天。如果是住院照看有病孩子，支付津贴的期限为整个照看期间。</w:t>
      </w:r>
    </w:p>
    <w:p w:rsidR="00000000" w:rsidRDefault="00B7115A">
      <w:pPr>
        <w:pStyle w:val="a5"/>
        <w:ind w:left="1546"/>
      </w:pPr>
      <w:r>
        <w:t>(c)</w:t>
      </w:r>
      <w:r>
        <w:tab/>
      </w:r>
      <w:r>
        <w:rPr>
          <w:rFonts w:hint="eastAsia"/>
        </w:rPr>
        <w:t>在疗养地治疗的情况，如果雇员没有充足的基本和额外假期来解决其旅途和治疗的时间，对所需额外天数签发一张残疾证明并支付雇员工资</w:t>
      </w:r>
      <w:r>
        <w:t>90%</w:t>
      </w:r>
      <w:r>
        <w:rPr>
          <w:rFonts w:hint="eastAsia"/>
        </w:rPr>
        <w:t>的福利。</w:t>
      </w:r>
    </w:p>
    <w:p w:rsidR="00000000" w:rsidRDefault="00B7115A">
      <w:pPr>
        <w:spacing w:after="320"/>
        <w:textAlignment w:val="center"/>
      </w:pPr>
      <w:r>
        <w:tab/>
        <w:t xml:space="preserve">110.  </w:t>
      </w:r>
      <w:r>
        <w:rPr>
          <w:rFonts w:hint="eastAsia"/>
        </w:rPr>
        <w:t>在临时残疾的所有情况中，有三个或三个以上子女的雇员如果患有严重慢性疾病如糖尿病、肺结核或肿瘤病或血压紊乱或如果参加了切尔诺贝利事故清理工作，将得到相当于其工资的津贴。</w:t>
      </w:r>
    </w:p>
    <w:p w:rsidR="00000000" w:rsidRDefault="00B7115A">
      <w:pPr>
        <w:pStyle w:val="Heading4"/>
      </w:pPr>
      <w:r>
        <w:rPr>
          <w:rFonts w:hint="eastAsia"/>
        </w:rPr>
        <w:t>产妇津贴</w:t>
      </w:r>
    </w:p>
    <w:p w:rsidR="00000000" w:rsidRDefault="00B7115A">
      <w:r>
        <w:tab/>
        <w:t xml:space="preserve">111.  </w:t>
      </w:r>
      <w:r>
        <w:rPr>
          <w:rFonts w:hint="eastAsia"/>
        </w:rPr>
        <w:t>根据国家</w:t>
      </w:r>
      <w:r>
        <w:t>(</w:t>
      </w:r>
      <w:r>
        <w:rPr>
          <w:rFonts w:hint="eastAsia"/>
        </w:rPr>
        <w:t>有子女家庭</w:t>
      </w:r>
      <w:r>
        <w:t>)</w:t>
      </w:r>
      <w:r>
        <w:rPr>
          <w:rFonts w:hint="eastAsia"/>
        </w:rPr>
        <w:t>津贴法</w:t>
      </w:r>
      <w:r>
        <w:t>(</w:t>
      </w:r>
      <w:r>
        <w:rPr>
          <w:rFonts w:hint="eastAsia"/>
        </w:rPr>
        <w:t>第</w:t>
      </w:r>
      <w:r>
        <w:t>1</w:t>
      </w:r>
      <w:r>
        <w:rPr>
          <w:rFonts w:hint="eastAsia"/>
        </w:rPr>
        <w:t>条</w:t>
      </w:r>
      <w:r>
        <w:t>)</w:t>
      </w:r>
      <w:r>
        <w:rPr>
          <w:rFonts w:hint="eastAsia"/>
        </w:rPr>
        <w:t>，抚养子女的公民有权享受：</w:t>
      </w:r>
    </w:p>
    <w:p w:rsidR="00000000" w:rsidRDefault="00B7115A">
      <w:pPr>
        <w:ind w:left="1036"/>
      </w:pPr>
      <w:r>
        <w:rPr>
          <w:rFonts w:hint="eastAsia"/>
        </w:rPr>
        <w:t>妊娠和产妇</w:t>
      </w:r>
      <w:r>
        <w:rPr>
          <w:rFonts w:hint="eastAsia"/>
        </w:rPr>
        <w:t>津贴；</w:t>
      </w:r>
    </w:p>
    <w:p w:rsidR="00000000" w:rsidRDefault="00B7115A">
      <w:pPr>
        <w:ind w:left="1036"/>
      </w:pPr>
      <w:r>
        <w:rPr>
          <w:rFonts w:hint="eastAsia"/>
        </w:rPr>
        <w:t>子女补助；</w:t>
      </w:r>
    </w:p>
    <w:p w:rsidR="00000000" w:rsidRDefault="00B7115A">
      <w:pPr>
        <w:ind w:left="1036"/>
      </w:pPr>
      <w:r>
        <w:rPr>
          <w:rFonts w:hint="eastAsia"/>
        </w:rPr>
        <w:t>照看有病子女的津贴；</w:t>
      </w:r>
    </w:p>
    <w:p w:rsidR="00000000" w:rsidRDefault="00B7115A">
      <w:pPr>
        <w:ind w:left="1036"/>
      </w:pPr>
      <w:r>
        <w:rPr>
          <w:rFonts w:hint="eastAsia"/>
        </w:rPr>
        <w:t>单身母亲津贴；</w:t>
      </w:r>
    </w:p>
    <w:p w:rsidR="00000000" w:rsidRDefault="00B7115A">
      <w:pPr>
        <w:ind w:left="1036"/>
      </w:pPr>
      <w:r>
        <w:rPr>
          <w:rFonts w:hint="eastAsia"/>
        </w:rPr>
        <w:t>武装部队成员子女津贴；</w:t>
      </w:r>
    </w:p>
    <w:p w:rsidR="00000000" w:rsidRDefault="00B7115A">
      <w:pPr>
        <w:ind w:left="1036"/>
      </w:pPr>
      <w:r>
        <w:rPr>
          <w:rFonts w:hint="eastAsia"/>
        </w:rPr>
        <w:t>给在收养看护或监护下的儿童的津贴；</w:t>
      </w:r>
    </w:p>
    <w:p w:rsidR="00000000" w:rsidRDefault="00B7115A">
      <w:pPr>
        <w:ind w:left="1036"/>
      </w:pPr>
      <w:r>
        <w:rPr>
          <w:rFonts w:hint="eastAsia"/>
        </w:rPr>
        <w:t>给其父母不履行支付抚养子女生活费义务的未成年人的津贴。</w:t>
      </w:r>
    </w:p>
    <w:p w:rsidR="00000000" w:rsidRDefault="00B7115A">
      <w:r>
        <w:tab/>
        <w:t xml:space="preserve">112.  </w:t>
      </w:r>
      <w:r>
        <w:rPr>
          <w:rFonts w:hint="eastAsia"/>
        </w:rPr>
        <w:t>根据政府</w:t>
      </w:r>
      <w:r>
        <w:t>1995</w:t>
      </w:r>
      <w:r>
        <w:rPr>
          <w:rFonts w:hint="eastAsia"/>
        </w:rPr>
        <w:t>年</w:t>
      </w:r>
      <w:r>
        <w:t>2</w:t>
      </w:r>
      <w:r>
        <w:rPr>
          <w:rFonts w:hint="eastAsia"/>
        </w:rPr>
        <w:t>月</w:t>
      </w:r>
      <w:r>
        <w:t>8</w:t>
      </w:r>
      <w:r>
        <w:rPr>
          <w:rFonts w:hint="eastAsia"/>
        </w:rPr>
        <w:t>日第</w:t>
      </w:r>
      <w:r>
        <w:t>34</w:t>
      </w:r>
      <w:r>
        <w:rPr>
          <w:rFonts w:hint="eastAsia"/>
        </w:rPr>
        <w:t>号决定，在职妇女有权享受工资</w:t>
      </w:r>
      <w:r>
        <w:t>100%</w:t>
      </w:r>
      <w:r>
        <w:rPr>
          <w:rFonts w:hint="eastAsia"/>
        </w:rPr>
        <w:t>的妊娠和产妇津贴。多数在职妇女领取</w:t>
      </w:r>
      <w:r>
        <w:t>126</w:t>
      </w:r>
      <w:r>
        <w:rPr>
          <w:rFonts w:hint="eastAsia"/>
        </w:rPr>
        <w:t>天的津贴。在多胎、分娩不顺或难产的情况，该待遇增加</w:t>
      </w:r>
      <w:r>
        <w:t>14</w:t>
      </w:r>
      <w:r>
        <w:rPr>
          <w:rFonts w:hint="eastAsia"/>
        </w:rPr>
        <w:t>天。</w:t>
      </w:r>
    </w:p>
    <w:p w:rsidR="00000000" w:rsidRDefault="00B7115A">
      <w:r>
        <w:tab/>
        <w:t xml:space="preserve">113.  </w:t>
      </w:r>
      <w:r>
        <w:rPr>
          <w:rFonts w:hint="eastAsia"/>
        </w:rPr>
        <w:t>对在高山地区生活和工作的人，如果他们因疾病而临时残疾，无论接受何种类型的治疗，津贴按工资的</w:t>
      </w:r>
      <w:r>
        <w:t>100%</w:t>
      </w:r>
      <w:r>
        <w:rPr>
          <w:rFonts w:hint="eastAsia"/>
        </w:rPr>
        <w:t>支付。</w:t>
      </w:r>
    </w:p>
    <w:p w:rsidR="00000000" w:rsidRDefault="00B7115A">
      <w:pPr>
        <w:spacing w:after="320"/>
        <w:textAlignment w:val="center"/>
      </w:pPr>
      <w:r>
        <w:tab/>
        <w:t xml:space="preserve">114.  </w:t>
      </w:r>
      <w:r>
        <w:rPr>
          <w:rFonts w:hint="eastAsia"/>
        </w:rPr>
        <w:t>如果收养一个</w:t>
      </w:r>
      <w:r>
        <w:t>1</w:t>
      </w:r>
      <w:r>
        <w:rPr>
          <w:rFonts w:hint="eastAsia"/>
        </w:rPr>
        <w:t>岁以下儿</w:t>
      </w:r>
      <w:r>
        <w:rPr>
          <w:rFonts w:hint="eastAsia"/>
        </w:rPr>
        <w:t>童，在职妇女也享受</w:t>
      </w:r>
      <w:r>
        <w:t>70</w:t>
      </w:r>
      <w:r>
        <w:rPr>
          <w:rFonts w:hint="eastAsia"/>
        </w:rPr>
        <w:t>天的全薪假。</w:t>
      </w:r>
    </w:p>
    <w:p w:rsidR="00000000" w:rsidRDefault="00B7115A">
      <w:pPr>
        <w:pStyle w:val="Heading4"/>
      </w:pPr>
      <w:r>
        <w:rPr>
          <w:rFonts w:hint="eastAsia"/>
        </w:rPr>
        <w:t>工伤或职业病津贴</w:t>
      </w:r>
    </w:p>
    <w:p w:rsidR="00000000" w:rsidRDefault="00B7115A">
      <w:r>
        <w:tab/>
        <w:t xml:space="preserve">115.  </w:t>
      </w:r>
      <w:r>
        <w:rPr>
          <w:rFonts w:hint="eastAsia"/>
        </w:rPr>
        <w:t>如前苏联一样，吉尔吉斯斯坦的保险目前不包含工伤或职业病的情况。然而，根据上述政府决定，雇主支付相当于雇员工资</w:t>
      </w:r>
      <w:r>
        <w:t>100%</w:t>
      </w:r>
      <w:r>
        <w:rPr>
          <w:rFonts w:hint="eastAsia"/>
        </w:rPr>
        <w:t>的津贴，直到该雇员复原或其残疾类别得到确定。一旦残疾类别得到确定，雇主便向雇员支付一次性津贴，标准如下：</w:t>
      </w:r>
    </w:p>
    <w:p w:rsidR="00000000" w:rsidRDefault="00B7115A">
      <w:pPr>
        <w:ind w:left="1036"/>
      </w:pPr>
      <w:r>
        <w:t>3</w:t>
      </w:r>
      <w:r>
        <w:rPr>
          <w:rFonts w:hint="eastAsia"/>
        </w:rPr>
        <w:t>类残疾，相当于年均工资三倍的数额；</w:t>
      </w:r>
    </w:p>
    <w:p w:rsidR="00000000" w:rsidRDefault="00B7115A">
      <w:pPr>
        <w:ind w:left="1036"/>
      </w:pPr>
      <w:r>
        <w:t>2</w:t>
      </w:r>
      <w:r>
        <w:rPr>
          <w:rFonts w:hint="eastAsia"/>
        </w:rPr>
        <w:t>类残疾，年均工资的五倍；和</w:t>
      </w:r>
    </w:p>
    <w:p w:rsidR="00000000" w:rsidRDefault="00B7115A">
      <w:pPr>
        <w:ind w:left="1036"/>
      </w:pPr>
      <w:r>
        <w:t>1</w:t>
      </w:r>
      <w:r>
        <w:rPr>
          <w:rFonts w:hint="eastAsia"/>
        </w:rPr>
        <w:t>类残疾，年均工资的十倍。</w:t>
      </w:r>
    </w:p>
    <w:p w:rsidR="00000000" w:rsidRDefault="00B7115A">
      <w:r>
        <w:rPr>
          <w:rFonts w:hint="eastAsia"/>
        </w:rPr>
        <w:t>如果雇员死亡，雇主应付的津贴为年均工资的</w:t>
      </w:r>
      <w:r>
        <w:t>20</w:t>
      </w:r>
      <w:r>
        <w:rPr>
          <w:rFonts w:hint="eastAsia"/>
        </w:rPr>
        <w:t>倍。</w:t>
      </w:r>
      <w:r>
        <w:t>(</w:t>
      </w:r>
      <w:r>
        <w:rPr>
          <w:rFonts w:hint="eastAsia"/>
        </w:rPr>
        <w:t>支付一次性津贴是由民法和职业安全和健康法规定的。</w:t>
      </w:r>
      <w:r>
        <w:t>)</w:t>
      </w:r>
    </w:p>
    <w:p w:rsidR="00000000" w:rsidRDefault="00B7115A">
      <w:pPr>
        <w:spacing w:after="320"/>
        <w:textAlignment w:val="center"/>
      </w:pPr>
      <w:r>
        <w:tab/>
        <w:t xml:space="preserve">116.  </w:t>
      </w:r>
      <w:r>
        <w:rPr>
          <w:rFonts w:hint="eastAsia"/>
        </w:rPr>
        <w:t>强制性社会</w:t>
      </w:r>
      <w:r>
        <w:rPr>
          <w:rFonts w:hint="eastAsia"/>
        </w:rPr>
        <w:t>保险</w:t>
      </w:r>
      <w:r>
        <w:t>(</w:t>
      </w:r>
      <w:r>
        <w:rPr>
          <w:rFonts w:hint="eastAsia"/>
        </w:rPr>
        <w:t>职业事故和职业病</w:t>
      </w:r>
      <w:r>
        <w:t>)</w:t>
      </w:r>
      <w:r>
        <w:rPr>
          <w:rFonts w:hint="eastAsia"/>
        </w:rPr>
        <w:t>法预计在</w:t>
      </w:r>
      <w:r>
        <w:t>1998</w:t>
      </w:r>
      <w:r>
        <w:rPr>
          <w:rFonts w:hint="eastAsia"/>
        </w:rPr>
        <w:t>年通过。</w:t>
      </w:r>
    </w:p>
    <w:p w:rsidR="00000000" w:rsidRDefault="00B7115A">
      <w:pPr>
        <w:pStyle w:val="Heading4"/>
      </w:pPr>
      <w:r>
        <w:rPr>
          <w:rFonts w:hint="eastAsia"/>
        </w:rPr>
        <w:t>老年津贴</w:t>
      </w:r>
    </w:p>
    <w:p w:rsidR="00000000" w:rsidRDefault="00B7115A">
      <w:r>
        <w:tab/>
        <w:t xml:space="preserve">117.  </w:t>
      </w:r>
      <w:r>
        <w:rPr>
          <w:rFonts w:hint="eastAsia"/>
        </w:rPr>
        <w:t>根据国家社会保险养恤金法，投保的吉尔吉斯斯坦公民和生活在该国并向国家社会保险养恤金计划交费的外国人和无国籍人有权享受国家社会保险养恤金</w:t>
      </w:r>
      <w:r>
        <w:t>(</w:t>
      </w:r>
      <w:r>
        <w:rPr>
          <w:rFonts w:hint="eastAsia"/>
        </w:rPr>
        <w:t>下称养恤金</w:t>
      </w:r>
      <w:r>
        <w:t>)</w:t>
      </w:r>
      <w:r>
        <w:rPr>
          <w:rFonts w:hint="eastAsia"/>
        </w:rPr>
        <w:t>。他们可得到下列类型的养恤金：</w:t>
      </w:r>
    </w:p>
    <w:p w:rsidR="00000000" w:rsidRDefault="00B7115A">
      <w:pPr>
        <w:ind w:left="1036"/>
      </w:pPr>
      <w:r>
        <w:rPr>
          <w:rFonts w:hint="eastAsia"/>
        </w:rPr>
        <w:t>养老金；</w:t>
      </w:r>
    </w:p>
    <w:p w:rsidR="00000000" w:rsidRDefault="00B7115A">
      <w:pPr>
        <w:ind w:left="1036"/>
      </w:pPr>
      <w:r>
        <w:rPr>
          <w:rFonts w:hint="eastAsia"/>
        </w:rPr>
        <w:t>残疾养恤金；</w:t>
      </w:r>
    </w:p>
    <w:p w:rsidR="00000000" w:rsidRDefault="00B7115A">
      <w:pPr>
        <w:spacing w:after="320"/>
        <w:ind w:left="1036"/>
        <w:textAlignment w:val="center"/>
      </w:pPr>
      <w:r>
        <w:rPr>
          <w:rFonts w:hint="eastAsia"/>
        </w:rPr>
        <w:t>幸存者抚恤金。</w:t>
      </w:r>
    </w:p>
    <w:p w:rsidR="00000000" w:rsidRDefault="00B7115A">
      <w:pPr>
        <w:pStyle w:val="Heading4"/>
      </w:pPr>
      <w:r>
        <w:rPr>
          <w:rFonts w:hint="eastAsia"/>
        </w:rPr>
        <w:t>养老金</w:t>
      </w:r>
    </w:p>
    <w:p w:rsidR="00000000" w:rsidRDefault="00B7115A">
      <w:pPr>
        <w:spacing w:after="320"/>
        <w:textAlignment w:val="center"/>
      </w:pPr>
      <w:r>
        <w:tab/>
        <w:t xml:space="preserve">118.  </w:t>
      </w:r>
      <w:r>
        <w:rPr>
          <w:rFonts w:hint="eastAsia"/>
        </w:rPr>
        <w:t>男子</w:t>
      </w:r>
      <w:r>
        <w:t>60</w:t>
      </w:r>
      <w:r>
        <w:rPr>
          <w:rFonts w:hint="eastAsia"/>
        </w:rPr>
        <w:t>岁、妇女</w:t>
      </w:r>
      <w:r>
        <w:t>55</w:t>
      </w:r>
      <w:r>
        <w:rPr>
          <w:rFonts w:hint="eastAsia"/>
        </w:rPr>
        <w:t>岁开始享受养老金。从</w:t>
      </w:r>
      <w:r>
        <w:t>1998</w:t>
      </w:r>
      <w:r>
        <w:rPr>
          <w:rFonts w:hint="eastAsia"/>
        </w:rPr>
        <w:t>年</w:t>
      </w:r>
      <w:r>
        <w:t>1</w:t>
      </w:r>
      <w:r>
        <w:rPr>
          <w:rFonts w:hint="eastAsia"/>
        </w:rPr>
        <w:t>月</w:t>
      </w:r>
      <w:r>
        <w:t>1</w:t>
      </w:r>
      <w:r>
        <w:rPr>
          <w:rFonts w:hint="eastAsia"/>
        </w:rPr>
        <w:t>日至</w:t>
      </w:r>
      <w:r>
        <w:t>2003</w:t>
      </w:r>
      <w:r>
        <w:rPr>
          <w:rFonts w:hint="eastAsia"/>
        </w:rPr>
        <w:t>年</w:t>
      </w:r>
      <w:r>
        <w:t>1</w:t>
      </w:r>
      <w:r>
        <w:rPr>
          <w:rFonts w:hint="eastAsia"/>
        </w:rPr>
        <w:t>月</w:t>
      </w:r>
      <w:r>
        <w:t>1</w:t>
      </w:r>
      <w:r>
        <w:rPr>
          <w:rFonts w:hint="eastAsia"/>
        </w:rPr>
        <w:t>日保险资格期将每年增加一年，直到男子达到</w:t>
      </w:r>
      <w:r>
        <w:t>30</w:t>
      </w:r>
      <w:r>
        <w:rPr>
          <w:rFonts w:hint="eastAsia"/>
        </w:rPr>
        <w:t>年、妇女达到</w:t>
      </w:r>
      <w:r>
        <w:t>25</w:t>
      </w:r>
      <w:r>
        <w:rPr>
          <w:rFonts w:hint="eastAsia"/>
        </w:rPr>
        <w:t>年。</w:t>
      </w:r>
    </w:p>
    <w:p w:rsidR="00000000" w:rsidRDefault="00B7115A">
      <w:pPr>
        <w:pStyle w:val="Heading4"/>
      </w:pPr>
      <w:r>
        <w:rPr>
          <w:rFonts w:hint="eastAsia"/>
        </w:rPr>
        <w:t>残疾养恤金</w:t>
      </w:r>
    </w:p>
    <w:p w:rsidR="00000000" w:rsidRDefault="00B7115A">
      <w:r>
        <w:tab/>
        <w:t xml:space="preserve">119.  </w:t>
      </w:r>
      <w:r>
        <w:rPr>
          <w:rFonts w:hint="eastAsia"/>
        </w:rPr>
        <w:t>残疾养恤金的发给不分发生残疾</w:t>
      </w:r>
      <w:r>
        <w:rPr>
          <w:rFonts w:hint="eastAsia"/>
        </w:rPr>
        <w:t>的原因，只要在残疾发生之前已工作了具体规定的资格期限。残疾养恤金支付到此人恢复工作能力为止或终身。残疾分三种类型。第</w:t>
      </w:r>
      <w:r>
        <w:t>1</w:t>
      </w:r>
      <w:r>
        <w:rPr>
          <w:rFonts w:hint="eastAsia"/>
        </w:rPr>
        <w:t>、</w:t>
      </w:r>
      <w:r>
        <w:t>2</w:t>
      </w:r>
      <w:r>
        <w:rPr>
          <w:rFonts w:hint="eastAsia"/>
        </w:rPr>
        <w:t>类的残疾养恤金与养老金规模相同。给第</w:t>
      </w:r>
      <w:r>
        <w:t>1</w:t>
      </w:r>
      <w:r>
        <w:rPr>
          <w:rFonts w:hint="eastAsia"/>
        </w:rPr>
        <w:t>类残疾养恤金增加相当于最低工资</w:t>
      </w:r>
      <w:r>
        <w:t>50%</w:t>
      </w:r>
      <w:r>
        <w:rPr>
          <w:rFonts w:hint="eastAsia"/>
        </w:rPr>
        <w:t>的额外护理补助；如果第</w:t>
      </w:r>
      <w:r>
        <w:t>1</w:t>
      </w:r>
      <w:r>
        <w:rPr>
          <w:rFonts w:hint="eastAsia"/>
        </w:rPr>
        <w:t>类残疾养恤金涉及到丧失视力，护理补助为最低工资的</w:t>
      </w:r>
      <w:r>
        <w:t>100%</w:t>
      </w:r>
      <w:r>
        <w:rPr>
          <w:rFonts w:hint="eastAsia"/>
        </w:rPr>
        <w:t>。第</w:t>
      </w:r>
      <w:r>
        <w:t>3</w:t>
      </w:r>
      <w:r>
        <w:rPr>
          <w:rFonts w:hint="eastAsia"/>
        </w:rPr>
        <w:t>类残疾养恤金的数额为养老金的</w:t>
      </w:r>
      <w:r>
        <w:t>50%</w:t>
      </w:r>
      <w:r>
        <w:rPr>
          <w:rFonts w:hint="eastAsia"/>
        </w:rPr>
        <w:t>。</w:t>
      </w:r>
    </w:p>
    <w:p w:rsidR="00000000" w:rsidRDefault="00B7115A">
      <w:r>
        <w:tab/>
        <w:t xml:space="preserve">120.  </w:t>
      </w:r>
      <w:r>
        <w:rPr>
          <w:rFonts w:hint="eastAsia"/>
        </w:rPr>
        <w:t>给下列人的养老金和残疾养恤金增加额外补助：卫国战争的伤残军人和老战士、</w:t>
      </w:r>
      <w:r>
        <w:t>1930-1950</w:t>
      </w:r>
      <w:r>
        <w:rPr>
          <w:rFonts w:hint="eastAsia"/>
        </w:rPr>
        <w:t>年期间政治迫害受害者、切尔诺贝利核电厂事故清理参与者、“荣誉捐献者”、单独居住需要外来帮助</w:t>
      </w:r>
      <w:r>
        <w:rPr>
          <w:rFonts w:hint="eastAsia"/>
        </w:rPr>
        <w:t>的第</w:t>
      </w:r>
      <w:r>
        <w:t>1</w:t>
      </w:r>
      <w:r>
        <w:rPr>
          <w:rFonts w:hint="eastAsia"/>
        </w:rPr>
        <w:t>类残疾人和第</w:t>
      </w:r>
      <w:r>
        <w:t>2</w:t>
      </w:r>
      <w:r>
        <w:rPr>
          <w:rFonts w:hint="eastAsia"/>
        </w:rPr>
        <w:t>类残疾人。</w:t>
      </w:r>
    </w:p>
    <w:p w:rsidR="00000000" w:rsidRDefault="00B7115A">
      <w:r>
        <w:tab/>
        <w:t xml:space="preserve">121.  </w:t>
      </w:r>
      <w:r>
        <w:rPr>
          <w:rFonts w:hint="eastAsia"/>
        </w:rPr>
        <w:t>全国有</w:t>
      </w:r>
      <w:r>
        <w:t>92,000</w:t>
      </w:r>
      <w:r>
        <w:rPr>
          <w:rFonts w:hint="eastAsia"/>
        </w:rPr>
        <w:t>多名各种类型的残疾人，包括患一般疾病的</w:t>
      </w:r>
      <w:r>
        <w:t>46,000</w:t>
      </w:r>
      <w:r>
        <w:rPr>
          <w:rFonts w:hint="eastAsia"/>
        </w:rPr>
        <w:t>人、职业事故或职业病的受害者</w:t>
      </w:r>
      <w:r>
        <w:t>3,800</w:t>
      </w:r>
      <w:r>
        <w:rPr>
          <w:rFonts w:hint="eastAsia"/>
        </w:rPr>
        <w:t>名和</w:t>
      </w:r>
      <w:r>
        <w:t>16</w:t>
      </w:r>
      <w:r>
        <w:rPr>
          <w:rFonts w:hint="eastAsia"/>
        </w:rPr>
        <w:t>岁以下的儿童</w:t>
      </w:r>
      <w:r>
        <w:t>11,500</w:t>
      </w:r>
      <w:r>
        <w:rPr>
          <w:rFonts w:hint="eastAsia"/>
        </w:rPr>
        <w:t>名</w:t>
      </w:r>
      <w:r>
        <w:t>(</w:t>
      </w:r>
      <w:r>
        <w:rPr>
          <w:rFonts w:hint="eastAsia"/>
        </w:rPr>
        <w:t>包括患小儿麻痹的儿童</w:t>
      </w:r>
      <w:r>
        <w:t>1,500</w:t>
      </w:r>
      <w:r>
        <w:rPr>
          <w:rFonts w:hint="eastAsia"/>
        </w:rPr>
        <w:t>名</w:t>
      </w:r>
      <w:r>
        <w:t>)</w:t>
      </w:r>
      <w:r>
        <w:rPr>
          <w:rFonts w:hint="eastAsia"/>
        </w:rPr>
        <w:t>。</w:t>
      </w:r>
    </w:p>
    <w:p w:rsidR="00000000" w:rsidRDefault="00B7115A">
      <w:r>
        <w:tab/>
        <w:t xml:space="preserve">122.  </w:t>
      </w:r>
      <w:r>
        <w:rPr>
          <w:rFonts w:hint="eastAsia"/>
        </w:rPr>
        <w:t>为了保证残疾人、需要永久护理的老年和单身养老金领取者过上尽量好的生活条件，劳工和社会福利部维持了</w:t>
      </w:r>
      <w:r>
        <w:t>13</w:t>
      </w:r>
      <w:r>
        <w:rPr>
          <w:rFonts w:hint="eastAsia"/>
        </w:rPr>
        <w:t>个寄宿机构，目前容纳约</w:t>
      </w:r>
      <w:r>
        <w:t>2,000</w:t>
      </w:r>
      <w:r>
        <w:rPr>
          <w:rFonts w:hint="eastAsia"/>
        </w:rPr>
        <w:t>人。其中</w:t>
      </w:r>
      <w:r>
        <w:t>3</w:t>
      </w:r>
      <w:r>
        <w:rPr>
          <w:rFonts w:hint="eastAsia"/>
        </w:rPr>
        <w:t>个机构接纳残疾人和老年人、</w:t>
      </w:r>
      <w:r>
        <w:t>7</w:t>
      </w:r>
      <w:r>
        <w:rPr>
          <w:rFonts w:hint="eastAsia"/>
        </w:rPr>
        <w:t>个接纳成年精神病人，</w:t>
      </w:r>
      <w:r>
        <w:t>3</w:t>
      </w:r>
      <w:r>
        <w:rPr>
          <w:rFonts w:hint="eastAsia"/>
        </w:rPr>
        <w:t>个接纳弱智儿童。这些机构在各州的分布如下：楚河州七个，贾拉拉巴德州两个，塔拉斯州</w:t>
      </w:r>
      <w:r>
        <w:rPr>
          <w:rFonts w:hint="eastAsia"/>
        </w:rPr>
        <w:t>两个，伊斯克库尔州和奥什州各一个。为残疾人和老年人的机构向养老金适龄公民和不到养老年龄的第</w:t>
      </w:r>
      <w:r>
        <w:t>1</w:t>
      </w:r>
      <w:r>
        <w:rPr>
          <w:rFonts w:hint="eastAsia"/>
        </w:rPr>
        <w:t>和第</w:t>
      </w:r>
      <w:r>
        <w:t>2</w:t>
      </w:r>
      <w:r>
        <w:rPr>
          <w:rFonts w:hint="eastAsia"/>
        </w:rPr>
        <w:t>类残疾人提供国家供资的护理。这些残疾人由于健康状况，需要医疗护理和家庭或个人帮助，但是没有在法律上有义务向他们提供这些照顾的子女或父母。</w:t>
      </w:r>
    </w:p>
    <w:p w:rsidR="00000000" w:rsidRDefault="00B7115A">
      <w:r>
        <w:tab/>
        <w:t xml:space="preserve">123.  </w:t>
      </w:r>
      <w:r>
        <w:rPr>
          <w:rFonts w:hint="eastAsia"/>
        </w:rPr>
        <w:t>关于给老年人的帮助，</w:t>
      </w:r>
      <w:r>
        <w:t>1997</w:t>
      </w:r>
      <w:r>
        <w:rPr>
          <w:rFonts w:hint="eastAsia"/>
        </w:rPr>
        <w:t>年在比什凯克成立了“</w:t>
      </w:r>
      <w:r>
        <w:t>Miloserdiya</w:t>
      </w:r>
      <w:r>
        <w:rPr>
          <w:rFonts w:hint="eastAsia"/>
        </w:rPr>
        <w:t>”日间中心。它每天向</w:t>
      </w:r>
      <w:r>
        <w:t>50</w:t>
      </w:r>
      <w:r>
        <w:rPr>
          <w:rFonts w:hint="eastAsia"/>
        </w:rPr>
        <w:t>名非常贫困的公民提供膳食。在卡拉克尔</w:t>
      </w:r>
      <w:r>
        <w:t>(</w:t>
      </w:r>
      <w:r>
        <w:rPr>
          <w:rFonts w:hint="eastAsia"/>
        </w:rPr>
        <w:t>伊斯克库尔州</w:t>
      </w:r>
      <w:r>
        <w:t>)</w:t>
      </w:r>
      <w:r>
        <w:rPr>
          <w:rFonts w:hint="eastAsia"/>
        </w:rPr>
        <w:t>有一个称为“</w:t>
      </w:r>
      <w:r>
        <w:t>Ardager</w:t>
      </w:r>
      <w:r>
        <w:rPr>
          <w:rFonts w:hint="eastAsia"/>
        </w:rPr>
        <w:t>”的类似中心，每天向</w:t>
      </w:r>
      <w:r>
        <w:t>40</w:t>
      </w:r>
      <w:r>
        <w:rPr>
          <w:rFonts w:hint="eastAsia"/>
        </w:rPr>
        <w:t>人提供膳食并向</w:t>
      </w:r>
      <w:r>
        <w:t>50</w:t>
      </w:r>
      <w:r>
        <w:rPr>
          <w:rFonts w:hint="eastAsia"/>
        </w:rPr>
        <w:t>名老年人免费提供面包。在国家的帮助下，</w:t>
      </w:r>
      <w:r>
        <w:t>Boz U</w:t>
      </w:r>
      <w:r>
        <w:t>i</w:t>
      </w:r>
      <w:r>
        <w:rPr>
          <w:rFonts w:hint="eastAsia"/>
        </w:rPr>
        <w:t>夏季家园在马达市开放，这是在奥什州卡拉苏伊区的一个村庄，约</w:t>
      </w:r>
      <w:r>
        <w:t>100</w:t>
      </w:r>
      <w:r>
        <w:rPr>
          <w:rFonts w:hint="eastAsia"/>
        </w:rPr>
        <w:t>名单身老年人在那里度过了暑假。一个老年人家园在苏里乌克塔的“肯奇”保健中心开放，它一次可安排该城镇的</w:t>
      </w:r>
      <w:r>
        <w:t>15</w:t>
      </w:r>
      <w:r>
        <w:rPr>
          <w:rFonts w:hint="eastAsia"/>
        </w:rPr>
        <w:t>名老年居民逗留二周。另一老年人家园在库尔班卡拉村开放，利用纪念国际老年人日提供的慈善性资金和赞助者的支持。</w:t>
      </w:r>
    </w:p>
    <w:p w:rsidR="00000000" w:rsidRDefault="00B7115A">
      <w:r>
        <w:tab/>
        <w:t xml:space="preserve">124.  </w:t>
      </w:r>
      <w:r>
        <w:rPr>
          <w:rFonts w:hint="eastAsia"/>
        </w:rPr>
        <w:t>目前吉尔吉斯斯坦约</w:t>
      </w:r>
      <w:r>
        <w:t>70,000</w:t>
      </w:r>
      <w:r>
        <w:rPr>
          <w:rFonts w:hint="eastAsia"/>
        </w:rPr>
        <w:t>人需要整形器械。这包括伟大的卫国战争的</w:t>
      </w:r>
      <w:r>
        <w:t>10,067</w:t>
      </w:r>
      <w:r>
        <w:rPr>
          <w:rFonts w:hint="eastAsia"/>
        </w:rPr>
        <w:t>名伤残退役军人和</w:t>
      </w:r>
      <w:r>
        <w:t>15,136</w:t>
      </w:r>
      <w:r>
        <w:rPr>
          <w:rFonts w:hint="eastAsia"/>
        </w:rPr>
        <w:t>名先天性残疾人，其中有</w:t>
      </w:r>
      <w:r>
        <w:t>6,122</w:t>
      </w:r>
      <w:r>
        <w:rPr>
          <w:rFonts w:hint="eastAsia"/>
        </w:rPr>
        <w:t>名</w:t>
      </w:r>
      <w:r>
        <w:t>15</w:t>
      </w:r>
      <w:r>
        <w:rPr>
          <w:rFonts w:hint="eastAsia"/>
        </w:rPr>
        <w:t>岁以下的儿童。其余的是职业事故或职业病或其他疾病的受害者。从</w:t>
      </w:r>
      <w:r>
        <w:t>1972</w:t>
      </w:r>
      <w:r>
        <w:rPr>
          <w:rFonts w:hint="eastAsia"/>
        </w:rPr>
        <w:t>年至</w:t>
      </w:r>
      <w:r>
        <w:t>1</w:t>
      </w:r>
      <w:r>
        <w:t>997</w:t>
      </w:r>
      <w:r>
        <w:rPr>
          <w:rFonts w:hint="eastAsia"/>
        </w:rPr>
        <w:t>年，一个试验性整形器械革新中心制作了</w:t>
      </w:r>
      <w:r>
        <w:t>14,706</w:t>
      </w:r>
      <w:r>
        <w:rPr>
          <w:rFonts w:hint="eastAsia"/>
        </w:rPr>
        <w:t>件整形器械、</w:t>
      </w:r>
      <w:r>
        <w:t>29,695</w:t>
      </w:r>
      <w:r>
        <w:rPr>
          <w:rFonts w:hint="eastAsia"/>
        </w:rPr>
        <w:t>双整形鞋和</w:t>
      </w:r>
      <w:r>
        <w:t>36,000</w:t>
      </w:r>
      <w:r>
        <w:rPr>
          <w:rFonts w:hint="eastAsia"/>
        </w:rPr>
        <w:t>件其它医疗器械。</w:t>
      </w:r>
    </w:p>
    <w:p w:rsidR="00000000" w:rsidRDefault="00B7115A">
      <w:r>
        <w:tab/>
        <w:t xml:space="preserve">125.  </w:t>
      </w:r>
      <w:r>
        <w:rPr>
          <w:rFonts w:hint="eastAsia"/>
        </w:rPr>
        <w:t>协助残疾人是劳工和社会福利部社会支援服务部门日常关心的优先问题。通过这些服务部门残疾人得到由当地预算、赞助者和各种基金资助的轮椅和财务援助。</w:t>
      </w:r>
    </w:p>
    <w:p w:rsidR="00000000" w:rsidRDefault="00B7115A">
      <w:r>
        <w:tab/>
        <w:t xml:space="preserve">126.  </w:t>
      </w:r>
      <w:r>
        <w:rPr>
          <w:rFonts w:hint="eastAsia"/>
        </w:rPr>
        <w:t>即使在向市场经济过渡的困难时期，国家仍尽其所能向残疾人提供额外经济援助。根据近几年通过的决定，残疾人享有下列福利：</w:t>
      </w:r>
    </w:p>
    <w:p w:rsidR="00000000" w:rsidRDefault="00B7115A" w:rsidP="00B7115A">
      <w:pPr>
        <w:pStyle w:val="a0"/>
        <w:numPr>
          <w:ilvl w:val="0"/>
          <w:numId w:val="1"/>
        </w:numPr>
        <w:ind w:left="1531" w:hanging="510"/>
      </w:pPr>
      <w:r>
        <w:rPr>
          <w:rFonts w:hint="eastAsia"/>
        </w:rPr>
        <w:t>向因职业事故或疾病或其它疾病而被列入第</w:t>
      </w:r>
      <w:r>
        <w:t>1</w:t>
      </w:r>
      <w:r>
        <w:rPr>
          <w:rFonts w:hint="eastAsia"/>
        </w:rPr>
        <w:t>和第</w:t>
      </w:r>
      <w:r>
        <w:t>2</w:t>
      </w:r>
      <w:r>
        <w:rPr>
          <w:rFonts w:hint="eastAsia"/>
        </w:rPr>
        <w:t>类残疾人和先天性残疾人免费提供助听器和假牙。这些人的所有药品也</w:t>
      </w:r>
      <w:r>
        <w:rPr>
          <w:rFonts w:hint="eastAsia"/>
        </w:rPr>
        <w:t>享受</w:t>
      </w:r>
      <w:r>
        <w:t>50%</w:t>
      </w:r>
      <w:r>
        <w:rPr>
          <w:rFonts w:hint="eastAsia"/>
        </w:rPr>
        <w:t>的折扣</w:t>
      </w:r>
      <w:r>
        <w:t>(</w:t>
      </w:r>
      <w:r>
        <w:rPr>
          <w:rFonts w:hint="eastAsia"/>
        </w:rPr>
        <w:t>政府</w:t>
      </w:r>
      <w:r>
        <w:t>1997</w:t>
      </w:r>
      <w:r>
        <w:rPr>
          <w:rFonts w:hint="eastAsia"/>
        </w:rPr>
        <w:t>年</w:t>
      </w:r>
      <w:r>
        <w:t>9</w:t>
      </w:r>
      <w:r>
        <w:rPr>
          <w:rFonts w:hint="eastAsia"/>
        </w:rPr>
        <w:t>月</w:t>
      </w:r>
      <w:r>
        <w:t>26</w:t>
      </w:r>
      <w:r>
        <w:rPr>
          <w:rFonts w:hint="eastAsia"/>
        </w:rPr>
        <w:t>日第</w:t>
      </w:r>
      <w:r>
        <w:t>560</w:t>
      </w:r>
      <w:r>
        <w:rPr>
          <w:rFonts w:hint="eastAsia"/>
        </w:rPr>
        <w:t>号决定</w:t>
      </w:r>
      <w:r>
        <w:t>)</w:t>
      </w:r>
      <w:r>
        <w:rPr>
          <w:rFonts w:hint="eastAsia"/>
        </w:rPr>
        <w:t>；</w:t>
      </w:r>
    </w:p>
    <w:p w:rsidR="00000000" w:rsidRDefault="00B7115A" w:rsidP="00B7115A">
      <w:pPr>
        <w:pStyle w:val="a0"/>
        <w:numPr>
          <w:ilvl w:val="0"/>
          <w:numId w:val="1"/>
        </w:numPr>
        <w:ind w:left="1531" w:hanging="510"/>
      </w:pPr>
      <w:r>
        <w:rPr>
          <w:rFonts w:hint="eastAsia"/>
        </w:rPr>
        <w:t>每年从</w:t>
      </w:r>
      <w:r>
        <w:t>10</w:t>
      </w:r>
      <w:r>
        <w:rPr>
          <w:rFonts w:hint="eastAsia"/>
        </w:rPr>
        <w:t>月</w:t>
      </w:r>
      <w:r>
        <w:t>1</w:t>
      </w:r>
      <w:r>
        <w:rPr>
          <w:rFonts w:hint="eastAsia"/>
        </w:rPr>
        <w:t>日至</w:t>
      </w:r>
      <w:r>
        <w:t>5</w:t>
      </w:r>
      <w:r>
        <w:rPr>
          <w:rFonts w:hint="eastAsia"/>
        </w:rPr>
        <w:t>月</w:t>
      </w:r>
      <w:r>
        <w:t>15</w:t>
      </w:r>
      <w:r>
        <w:rPr>
          <w:rFonts w:hint="eastAsia"/>
        </w:rPr>
        <w:t>日，因职业事故或疾病的非在职残疾人和先天性残疾人在城郊和城市间的旅费享受</w:t>
      </w:r>
      <w:r>
        <w:t>50%</w:t>
      </w:r>
      <w:r>
        <w:rPr>
          <w:rFonts w:hint="eastAsia"/>
        </w:rPr>
        <w:t>降价</w:t>
      </w:r>
      <w:r>
        <w:t>(</w:t>
      </w:r>
      <w:r>
        <w:rPr>
          <w:rFonts w:hint="eastAsia"/>
        </w:rPr>
        <w:t>政府</w:t>
      </w:r>
      <w:r>
        <w:t>1992</w:t>
      </w:r>
      <w:r>
        <w:rPr>
          <w:rFonts w:hint="eastAsia"/>
        </w:rPr>
        <w:t>年</w:t>
      </w:r>
      <w:r>
        <w:t>1</w:t>
      </w:r>
      <w:r>
        <w:rPr>
          <w:rFonts w:hint="eastAsia"/>
        </w:rPr>
        <w:t>月</w:t>
      </w:r>
      <w:r>
        <w:t>16</w:t>
      </w:r>
      <w:r>
        <w:rPr>
          <w:rFonts w:hint="eastAsia"/>
        </w:rPr>
        <w:t>日第</w:t>
      </w:r>
      <w:r>
        <w:t>14</w:t>
      </w:r>
      <w:r>
        <w:rPr>
          <w:rFonts w:hint="eastAsia"/>
        </w:rPr>
        <w:t>号决定</w:t>
      </w:r>
      <w:r>
        <w:t>)</w:t>
      </w:r>
      <w:r>
        <w:rPr>
          <w:rFonts w:hint="eastAsia"/>
        </w:rPr>
        <w:t>；</w:t>
      </w:r>
    </w:p>
    <w:p w:rsidR="00000000" w:rsidRDefault="00B7115A" w:rsidP="00B7115A">
      <w:pPr>
        <w:pStyle w:val="a0"/>
        <w:numPr>
          <w:ilvl w:val="0"/>
          <w:numId w:val="1"/>
        </w:numPr>
        <w:ind w:left="1531" w:hanging="510"/>
      </w:pPr>
      <w:r>
        <w:rPr>
          <w:rFonts w:hint="eastAsia"/>
        </w:rPr>
        <w:t>有年龄不超过</w:t>
      </w:r>
      <w:r>
        <w:t>16</w:t>
      </w:r>
      <w:r>
        <w:rPr>
          <w:rFonts w:hint="eastAsia"/>
        </w:rPr>
        <w:t>岁的残疾子女的所有非在职残疾养恤金领取者和家庭的天然气消费享受标准价</w:t>
      </w:r>
      <w:r>
        <w:t>40%</w:t>
      </w:r>
      <w:r>
        <w:rPr>
          <w:rFonts w:hint="eastAsia"/>
        </w:rPr>
        <w:t>的优惠</w:t>
      </w:r>
      <w:r>
        <w:t>(</w:t>
      </w:r>
      <w:r>
        <w:rPr>
          <w:rFonts w:hint="eastAsia"/>
        </w:rPr>
        <w:t>政府</w:t>
      </w:r>
      <w:r>
        <w:t>1997</w:t>
      </w:r>
      <w:r>
        <w:rPr>
          <w:rFonts w:hint="eastAsia"/>
        </w:rPr>
        <w:t>年</w:t>
      </w:r>
      <w:r>
        <w:t>65</w:t>
      </w:r>
      <w:r>
        <w:rPr>
          <w:rFonts w:hint="eastAsia"/>
        </w:rPr>
        <w:t>月</w:t>
      </w:r>
      <w:r>
        <w:t>2</w:t>
      </w:r>
      <w:r>
        <w:rPr>
          <w:rFonts w:hint="eastAsia"/>
        </w:rPr>
        <w:t>日第</w:t>
      </w:r>
      <w:r>
        <w:t>263</w:t>
      </w:r>
      <w:r>
        <w:rPr>
          <w:rFonts w:hint="eastAsia"/>
        </w:rPr>
        <w:t>号决定，该决定将优惠</w:t>
      </w:r>
      <w:r>
        <w:t>25%</w:t>
      </w:r>
      <w:r>
        <w:rPr>
          <w:rFonts w:hint="eastAsia"/>
        </w:rPr>
        <w:t>提高到</w:t>
      </w:r>
      <w:r>
        <w:t>40%)</w:t>
      </w:r>
      <w:r>
        <w:rPr>
          <w:rFonts w:hint="eastAsia"/>
        </w:rPr>
        <w:t>；</w:t>
      </w:r>
    </w:p>
    <w:p w:rsidR="00000000" w:rsidRDefault="00B7115A" w:rsidP="00B7115A">
      <w:pPr>
        <w:pStyle w:val="a0"/>
        <w:numPr>
          <w:ilvl w:val="0"/>
          <w:numId w:val="1"/>
        </w:numPr>
        <w:ind w:left="1531" w:hanging="510"/>
      </w:pPr>
      <w:r>
        <w:rPr>
          <w:rFonts w:hint="eastAsia"/>
        </w:rPr>
        <w:t>有年龄不超过</w:t>
      </w:r>
      <w:r>
        <w:t>16</w:t>
      </w:r>
      <w:r>
        <w:rPr>
          <w:rFonts w:hint="eastAsia"/>
        </w:rPr>
        <w:t>岁的残疾子女的所有非在职残疾养恤金领取者和家庭的电费和取暖费享受标准价</w:t>
      </w:r>
      <w:r>
        <w:t>25%</w:t>
      </w:r>
      <w:r>
        <w:rPr>
          <w:rFonts w:hint="eastAsia"/>
        </w:rPr>
        <w:t>的优惠</w:t>
      </w:r>
      <w:r>
        <w:t>(</w:t>
      </w:r>
      <w:r>
        <w:rPr>
          <w:rFonts w:hint="eastAsia"/>
        </w:rPr>
        <w:t>政府</w:t>
      </w:r>
      <w:r>
        <w:t>1996</w:t>
      </w:r>
      <w:r>
        <w:rPr>
          <w:rFonts w:hint="eastAsia"/>
        </w:rPr>
        <w:t>年</w:t>
      </w:r>
      <w:r>
        <w:t>4</w:t>
      </w:r>
      <w:r>
        <w:rPr>
          <w:rFonts w:hint="eastAsia"/>
        </w:rPr>
        <w:t>月</w:t>
      </w:r>
      <w:r>
        <w:t>8</w:t>
      </w:r>
      <w:r>
        <w:rPr>
          <w:rFonts w:hint="eastAsia"/>
        </w:rPr>
        <w:t>日第</w:t>
      </w:r>
      <w:r>
        <w:t>150</w:t>
      </w:r>
      <w:r>
        <w:rPr>
          <w:rFonts w:hint="eastAsia"/>
        </w:rPr>
        <w:t>号决定</w:t>
      </w:r>
      <w:r>
        <w:t>)</w:t>
      </w:r>
      <w:r>
        <w:rPr>
          <w:rFonts w:hint="eastAsia"/>
        </w:rPr>
        <w:t>；</w:t>
      </w:r>
    </w:p>
    <w:p w:rsidR="00000000" w:rsidRDefault="00B7115A" w:rsidP="00B7115A">
      <w:pPr>
        <w:pStyle w:val="a0"/>
        <w:numPr>
          <w:ilvl w:val="0"/>
          <w:numId w:val="1"/>
        </w:numPr>
        <w:ind w:left="1531" w:hanging="510"/>
      </w:pPr>
      <w:r>
        <w:rPr>
          <w:rFonts w:hint="eastAsia"/>
        </w:rPr>
        <w:t>根据</w:t>
      </w:r>
      <w:r>
        <w:t>1996</w:t>
      </w:r>
      <w:r>
        <w:rPr>
          <w:rFonts w:hint="eastAsia"/>
        </w:rPr>
        <w:t>年</w:t>
      </w:r>
      <w:r>
        <w:t>6</w:t>
      </w:r>
      <w:r>
        <w:rPr>
          <w:rFonts w:hint="eastAsia"/>
        </w:rPr>
        <w:t>月</w:t>
      </w:r>
      <w:r>
        <w:t>26</w:t>
      </w:r>
      <w:r>
        <w:rPr>
          <w:rFonts w:hint="eastAsia"/>
        </w:rPr>
        <w:t>日税收法第</w:t>
      </w:r>
      <w:r>
        <w:t>24</w:t>
      </w:r>
      <w:r>
        <w:rPr>
          <w:rFonts w:hint="eastAsia"/>
        </w:rPr>
        <w:t>节，所有先天性残疾人和第</w:t>
      </w:r>
      <w:r>
        <w:t>1</w:t>
      </w:r>
      <w:r>
        <w:rPr>
          <w:rFonts w:hint="eastAsia"/>
        </w:rPr>
        <w:t>和第</w:t>
      </w:r>
      <w:r>
        <w:t>2</w:t>
      </w:r>
      <w:r>
        <w:rPr>
          <w:rFonts w:hint="eastAsia"/>
        </w:rPr>
        <w:t>类残疾人耕种的私有小块地和乡间宅邸小菜园免交土地税；他们的养恤金、津贴和补助以及他们出售蜂蜜、牲畜、家禽和加工过或未加工过的牲畜或家禽产品的收入享受免税。</w:t>
      </w:r>
    </w:p>
    <w:p w:rsidR="00000000" w:rsidRDefault="00B7115A">
      <w:r>
        <w:tab/>
        <w:t xml:space="preserve">127.  </w:t>
      </w:r>
      <w:r>
        <w:rPr>
          <w:rFonts w:hint="eastAsia"/>
        </w:rPr>
        <w:t>根据</w:t>
      </w:r>
      <w:r>
        <w:t>1995</w:t>
      </w:r>
      <w:r>
        <w:rPr>
          <w:rFonts w:hint="eastAsia"/>
        </w:rPr>
        <w:t>年</w:t>
      </w:r>
      <w:r>
        <w:t>11</w:t>
      </w:r>
      <w:r>
        <w:rPr>
          <w:rFonts w:hint="eastAsia"/>
        </w:rPr>
        <w:t>月</w:t>
      </w:r>
      <w:r>
        <w:t>24</w:t>
      </w:r>
      <w:r>
        <w:rPr>
          <w:rFonts w:hint="eastAsia"/>
        </w:rPr>
        <w:t>日第</w:t>
      </w:r>
      <w:r>
        <w:t>511</w:t>
      </w:r>
      <w:r>
        <w:rPr>
          <w:rFonts w:hint="eastAsia"/>
        </w:rPr>
        <w:t>号决定，有视觉和听觉障碍的人享有下列特权，这些特权由当地预算供资：</w:t>
      </w:r>
    </w:p>
    <w:p w:rsidR="00000000" w:rsidRDefault="00B7115A">
      <w:pPr>
        <w:ind w:left="1036"/>
      </w:pPr>
      <w:r>
        <w:tab/>
      </w:r>
      <w:r>
        <w:rPr>
          <w:rFonts w:hint="eastAsia"/>
        </w:rPr>
        <w:t>免费使用一切城市、近郊和区间公共交通</w:t>
      </w:r>
      <w:r>
        <w:t>(</w:t>
      </w:r>
      <w:r>
        <w:rPr>
          <w:rFonts w:hint="eastAsia"/>
        </w:rPr>
        <w:t>出租汽车除外</w:t>
      </w:r>
      <w:r>
        <w:t>)</w:t>
      </w:r>
      <w:r>
        <w:rPr>
          <w:rFonts w:hint="eastAsia"/>
        </w:rPr>
        <w:t>；这一福利也包含被列入第</w:t>
      </w:r>
      <w:r>
        <w:t>1</w:t>
      </w:r>
      <w:r>
        <w:rPr>
          <w:rFonts w:hint="eastAsia"/>
        </w:rPr>
        <w:t>类残疾的视力障碍者的一名陪同；</w:t>
      </w:r>
    </w:p>
    <w:p w:rsidR="00000000" w:rsidRDefault="00B7115A">
      <w:pPr>
        <w:ind w:left="1036"/>
      </w:pPr>
      <w:r>
        <w:tab/>
      </w:r>
      <w:r>
        <w:rPr>
          <w:rFonts w:hint="eastAsia"/>
        </w:rPr>
        <w:t>住房和公用设施降价</w:t>
      </w:r>
      <w:r>
        <w:t>50%</w:t>
      </w:r>
      <w:r>
        <w:rPr>
          <w:rFonts w:hint="eastAsia"/>
        </w:rPr>
        <w:t>，包括电、暖气和</w:t>
      </w:r>
      <w:r>
        <w:rPr>
          <w:rFonts w:hint="eastAsia"/>
        </w:rPr>
        <w:t>煤气；</w:t>
      </w:r>
    </w:p>
    <w:p w:rsidR="00000000" w:rsidRDefault="00B7115A">
      <w:pPr>
        <w:ind w:left="1036"/>
      </w:pPr>
      <w:r>
        <w:tab/>
      </w:r>
      <w:r>
        <w:rPr>
          <w:rFonts w:hint="eastAsia"/>
        </w:rPr>
        <w:t>燃料在现价基础上降价</w:t>
      </w:r>
      <w:r>
        <w:t>50%</w:t>
      </w:r>
      <w:r>
        <w:rPr>
          <w:rFonts w:hint="eastAsia"/>
        </w:rPr>
        <w:t>，在规定的范围内</w:t>
      </w:r>
      <w:r>
        <w:t>(</w:t>
      </w:r>
      <w:r>
        <w:rPr>
          <w:rFonts w:hint="eastAsia"/>
        </w:rPr>
        <w:t>一年一次</w:t>
      </w:r>
      <w:r>
        <w:t>)</w:t>
      </w:r>
      <w:r>
        <w:rPr>
          <w:rFonts w:hint="eastAsia"/>
        </w:rPr>
        <w:t>；</w:t>
      </w:r>
    </w:p>
    <w:p w:rsidR="00000000" w:rsidRDefault="00B7115A">
      <w:pPr>
        <w:ind w:left="1036"/>
      </w:pPr>
      <w:r>
        <w:tab/>
      </w:r>
      <w:r>
        <w:rPr>
          <w:rFonts w:hint="eastAsia"/>
        </w:rPr>
        <w:t>一年在国内乘飞机、火车或长途公共轿车旅行享受两次来回程票降价</w:t>
      </w:r>
      <w:r>
        <w:t>50%</w:t>
      </w:r>
      <w:r>
        <w:rPr>
          <w:rFonts w:hint="eastAsia"/>
        </w:rPr>
        <w:t>的待遇，这一降价待遇也适用于被列入第</w:t>
      </w:r>
      <w:r>
        <w:t>1</w:t>
      </w:r>
      <w:r>
        <w:rPr>
          <w:rFonts w:hint="eastAsia"/>
        </w:rPr>
        <w:t>类残疾的视力障碍者的一名陪同；</w:t>
      </w:r>
    </w:p>
    <w:p w:rsidR="00000000" w:rsidRDefault="00B7115A">
      <w:pPr>
        <w:ind w:left="1036"/>
      </w:pPr>
      <w:r>
        <w:tab/>
      </w:r>
      <w:r>
        <w:rPr>
          <w:rFonts w:hint="eastAsia"/>
        </w:rPr>
        <w:t>对医疗和假牙给予减价待遇</w:t>
      </w:r>
      <w:r>
        <w:t>(</w:t>
      </w:r>
      <w:r>
        <w:rPr>
          <w:rFonts w:hint="eastAsia"/>
        </w:rPr>
        <w:t>用贵重金属制造的假牙除外</w:t>
      </w:r>
      <w:r>
        <w:t>)</w:t>
      </w:r>
      <w:r>
        <w:rPr>
          <w:rFonts w:hint="eastAsia"/>
        </w:rPr>
        <w:t>。</w:t>
      </w:r>
    </w:p>
    <w:p w:rsidR="00000000" w:rsidRDefault="00B7115A">
      <w:r>
        <w:rPr>
          <w:rFonts w:hint="eastAsia"/>
        </w:rPr>
        <w:t>国家机构的当地负责人有权授予额外特权。</w:t>
      </w:r>
    </w:p>
    <w:p w:rsidR="00000000" w:rsidRDefault="00B7115A">
      <w:pPr>
        <w:spacing w:after="320"/>
        <w:textAlignment w:val="center"/>
      </w:pPr>
      <w:r>
        <w:tab/>
        <w:t xml:space="preserve">128.  </w:t>
      </w:r>
      <w:r>
        <w:rPr>
          <w:rFonts w:hint="eastAsia"/>
        </w:rPr>
        <w:t>国际和地方慈善组织、小企业和农场以食品、衣服、鞋类和药物等形式提供的定期人道主义援助在帮助穷人、老年人、残疾人、居民机构和孤儿院方面也发挥了重要作用。从下列事实可以看出这种非正式援助的规模：在指</w:t>
      </w:r>
      <w:r>
        <w:rPr>
          <w:rFonts w:hint="eastAsia"/>
        </w:rPr>
        <w:t>定为老年人年的</w:t>
      </w:r>
      <w:r>
        <w:t>1997</w:t>
      </w:r>
      <w:r>
        <w:rPr>
          <w:rFonts w:hint="eastAsia"/>
        </w:rPr>
        <w:t>年，给贫困老年人和残疾人的援助有</w:t>
      </w:r>
      <w:r>
        <w:t>830</w:t>
      </w:r>
      <w:r>
        <w:rPr>
          <w:rFonts w:hint="eastAsia"/>
        </w:rPr>
        <w:t>万索姆来自地方预算、</w:t>
      </w:r>
      <w:r>
        <w:t>1220</w:t>
      </w:r>
      <w:r>
        <w:rPr>
          <w:rFonts w:hint="eastAsia"/>
        </w:rPr>
        <w:t>万索姆来自赞助者、</w:t>
      </w:r>
      <w:r>
        <w:t>280</w:t>
      </w:r>
      <w:r>
        <w:rPr>
          <w:rFonts w:hint="eastAsia"/>
        </w:rPr>
        <w:t>万索姆来自各种基金。</w:t>
      </w:r>
    </w:p>
    <w:p w:rsidR="00000000" w:rsidRDefault="00B7115A">
      <w:pPr>
        <w:pStyle w:val="Heading3"/>
      </w:pPr>
      <w:r>
        <w:rPr>
          <w:rFonts w:hint="eastAsia"/>
        </w:rPr>
        <w:t>接受社会援助养恤金的</w:t>
      </w:r>
      <w:r>
        <w:t>16</w:t>
      </w:r>
      <w:r>
        <w:rPr>
          <w:rFonts w:hint="eastAsia"/>
        </w:rPr>
        <w:t>岁以下残疾儿童人数</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bottom w:val="nil"/>
            </w:tcBorders>
          </w:tcPr>
          <w:p w:rsidR="00000000" w:rsidRDefault="00B7115A">
            <w:pPr>
              <w:spacing w:before="120"/>
              <w:ind w:left="113"/>
              <w:jc w:val="center"/>
              <w:rPr>
                <w:sz w:val="21"/>
              </w:rPr>
            </w:pPr>
          </w:p>
        </w:tc>
        <w:tc>
          <w:tcPr>
            <w:tcW w:w="2352" w:type="dxa"/>
            <w:tcBorders>
              <w:bottom w:val="nil"/>
            </w:tcBorders>
          </w:tcPr>
          <w:p w:rsidR="00000000" w:rsidRDefault="00B7115A">
            <w:pPr>
              <w:spacing w:before="120"/>
              <w:jc w:val="center"/>
              <w:rPr>
                <w:sz w:val="21"/>
              </w:rPr>
            </w:pPr>
            <w:r>
              <w:rPr>
                <w:sz w:val="21"/>
              </w:rPr>
              <w:t>1994</w:t>
            </w:r>
          </w:p>
        </w:tc>
        <w:tc>
          <w:tcPr>
            <w:tcW w:w="2352" w:type="dxa"/>
            <w:tcBorders>
              <w:bottom w:val="nil"/>
            </w:tcBorders>
          </w:tcPr>
          <w:p w:rsidR="00000000" w:rsidRDefault="00B7115A">
            <w:pPr>
              <w:spacing w:before="120"/>
              <w:jc w:val="center"/>
              <w:rPr>
                <w:sz w:val="21"/>
              </w:rPr>
            </w:pPr>
            <w:r>
              <w:rPr>
                <w:sz w:val="21"/>
              </w:rPr>
              <w:t>1995</w:t>
            </w:r>
          </w:p>
        </w:tc>
        <w:tc>
          <w:tcPr>
            <w:tcW w:w="2352" w:type="dxa"/>
            <w:tcBorders>
              <w:bottom w:val="nil"/>
            </w:tcBorders>
          </w:tcPr>
          <w:p w:rsidR="00000000" w:rsidRDefault="00B7115A">
            <w:pPr>
              <w:spacing w:before="120"/>
              <w:jc w:val="center"/>
              <w:rPr>
                <w:sz w:val="21"/>
              </w:rPr>
            </w:pPr>
            <w:r>
              <w:rPr>
                <w:sz w:val="21"/>
              </w:rPr>
              <w:t>1996</w:t>
            </w:r>
          </w:p>
        </w:tc>
      </w:tr>
      <w:tr w:rsidR="00000000">
        <w:tblPrEx>
          <w:tblCellMar>
            <w:top w:w="0" w:type="dxa"/>
            <w:bottom w:w="0" w:type="dxa"/>
          </w:tblCellMar>
        </w:tblPrEx>
        <w:tc>
          <w:tcPr>
            <w:tcW w:w="2352" w:type="dxa"/>
            <w:tcBorders>
              <w:bottom w:val="nil"/>
            </w:tcBorders>
          </w:tcPr>
          <w:p w:rsidR="00000000" w:rsidRDefault="00B7115A">
            <w:pPr>
              <w:spacing w:before="120"/>
              <w:ind w:left="113"/>
              <w:rPr>
                <w:sz w:val="21"/>
              </w:rPr>
            </w:pPr>
            <w:r>
              <w:rPr>
                <w:rFonts w:hint="eastAsia"/>
                <w:sz w:val="21"/>
              </w:rPr>
              <w:t>总</w:t>
            </w:r>
            <w:r>
              <w:rPr>
                <w:sz w:val="21"/>
              </w:rPr>
              <w:t xml:space="preserve">  </w:t>
            </w:r>
            <w:r>
              <w:rPr>
                <w:rFonts w:hint="eastAsia"/>
                <w:sz w:val="21"/>
              </w:rPr>
              <w:t>计</w:t>
            </w:r>
          </w:p>
        </w:tc>
        <w:tc>
          <w:tcPr>
            <w:tcW w:w="2352" w:type="dxa"/>
            <w:tcBorders>
              <w:bottom w:val="nil"/>
            </w:tcBorders>
          </w:tcPr>
          <w:p w:rsidR="00000000" w:rsidRDefault="00B7115A">
            <w:pPr>
              <w:tabs>
                <w:tab w:val="clear" w:pos="510"/>
                <w:tab w:val="clear" w:pos="1021"/>
                <w:tab w:val="clear" w:pos="1531"/>
                <w:tab w:val="clear" w:pos="2041"/>
                <w:tab w:val="decimal" w:pos="1368"/>
              </w:tabs>
              <w:spacing w:before="120"/>
              <w:rPr>
                <w:sz w:val="21"/>
              </w:rPr>
            </w:pPr>
            <w:r>
              <w:rPr>
                <w:sz w:val="21"/>
              </w:rPr>
              <w:t>7,000</w:t>
            </w:r>
          </w:p>
        </w:tc>
        <w:tc>
          <w:tcPr>
            <w:tcW w:w="2352" w:type="dxa"/>
            <w:tcBorders>
              <w:bottom w:val="nil"/>
            </w:tcBorders>
          </w:tcPr>
          <w:p w:rsidR="00000000" w:rsidRDefault="00B7115A">
            <w:pPr>
              <w:tabs>
                <w:tab w:val="clear" w:pos="510"/>
                <w:tab w:val="clear" w:pos="1021"/>
                <w:tab w:val="clear" w:pos="1531"/>
                <w:tab w:val="clear" w:pos="2041"/>
                <w:tab w:val="decimal" w:pos="1368"/>
              </w:tabs>
              <w:spacing w:before="120"/>
              <w:rPr>
                <w:sz w:val="21"/>
              </w:rPr>
            </w:pPr>
            <w:r>
              <w:rPr>
                <w:sz w:val="21"/>
              </w:rPr>
              <w:t>7,700</w:t>
            </w:r>
          </w:p>
        </w:tc>
        <w:tc>
          <w:tcPr>
            <w:tcW w:w="2352" w:type="dxa"/>
            <w:tcBorders>
              <w:bottom w:val="nil"/>
            </w:tcBorders>
          </w:tcPr>
          <w:p w:rsidR="00000000" w:rsidRDefault="00B7115A">
            <w:pPr>
              <w:tabs>
                <w:tab w:val="clear" w:pos="510"/>
                <w:tab w:val="clear" w:pos="1021"/>
                <w:tab w:val="clear" w:pos="1531"/>
                <w:tab w:val="clear" w:pos="2041"/>
                <w:tab w:val="decimal" w:pos="1464"/>
              </w:tabs>
              <w:spacing w:before="120"/>
              <w:rPr>
                <w:sz w:val="21"/>
              </w:rPr>
            </w:pPr>
            <w:r>
              <w:rPr>
                <w:sz w:val="21"/>
              </w:rPr>
              <w:t>10,000</w:t>
            </w:r>
          </w:p>
        </w:tc>
      </w:tr>
      <w:tr w:rsidR="00000000">
        <w:tblPrEx>
          <w:tblCellMar>
            <w:top w:w="0" w:type="dxa"/>
            <w:bottom w:w="0" w:type="dxa"/>
          </w:tblCellMar>
        </w:tblPrEx>
        <w:tc>
          <w:tcPr>
            <w:tcW w:w="2352" w:type="dxa"/>
            <w:tcBorders>
              <w:top w:val="nil"/>
            </w:tcBorders>
          </w:tcPr>
          <w:p w:rsidR="00000000" w:rsidRDefault="00B7115A">
            <w:pPr>
              <w:spacing w:before="60"/>
              <w:ind w:left="113"/>
              <w:rPr>
                <w:sz w:val="21"/>
              </w:rPr>
            </w:pPr>
            <w:r>
              <w:rPr>
                <w:rFonts w:hint="eastAsia"/>
                <w:sz w:val="21"/>
              </w:rPr>
              <w:t>每</w:t>
            </w:r>
            <w:r>
              <w:rPr>
                <w:sz w:val="21"/>
              </w:rPr>
              <w:t>10,000</w:t>
            </w:r>
            <w:r>
              <w:rPr>
                <w:rFonts w:hint="eastAsia"/>
                <w:sz w:val="21"/>
              </w:rPr>
              <w:t>人中</w:t>
            </w:r>
          </w:p>
        </w:tc>
        <w:tc>
          <w:tcPr>
            <w:tcW w:w="2352" w:type="dxa"/>
            <w:tcBorders>
              <w:top w:val="nil"/>
            </w:tcBorders>
          </w:tcPr>
          <w:p w:rsidR="00000000" w:rsidRDefault="00B7115A">
            <w:pPr>
              <w:tabs>
                <w:tab w:val="clear" w:pos="510"/>
                <w:tab w:val="clear" w:pos="1021"/>
                <w:tab w:val="clear" w:pos="1531"/>
                <w:tab w:val="clear" w:pos="2041"/>
                <w:tab w:val="decimal" w:pos="1368"/>
              </w:tabs>
              <w:spacing w:before="60"/>
              <w:rPr>
                <w:sz w:val="21"/>
              </w:rPr>
            </w:pPr>
            <w:r>
              <w:rPr>
                <w:sz w:val="21"/>
              </w:rPr>
              <w:t>39</w:t>
            </w:r>
          </w:p>
        </w:tc>
        <w:tc>
          <w:tcPr>
            <w:tcW w:w="2352" w:type="dxa"/>
            <w:tcBorders>
              <w:top w:val="nil"/>
            </w:tcBorders>
          </w:tcPr>
          <w:p w:rsidR="00000000" w:rsidRDefault="00B7115A">
            <w:pPr>
              <w:tabs>
                <w:tab w:val="clear" w:pos="510"/>
                <w:tab w:val="clear" w:pos="1021"/>
                <w:tab w:val="clear" w:pos="1531"/>
                <w:tab w:val="clear" w:pos="2041"/>
                <w:tab w:val="decimal" w:pos="1368"/>
              </w:tabs>
              <w:spacing w:before="60"/>
              <w:rPr>
                <w:sz w:val="21"/>
              </w:rPr>
            </w:pPr>
            <w:r>
              <w:rPr>
                <w:sz w:val="21"/>
              </w:rPr>
              <w:t>43</w:t>
            </w:r>
          </w:p>
        </w:tc>
        <w:tc>
          <w:tcPr>
            <w:tcW w:w="2352" w:type="dxa"/>
            <w:tcBorders>
              <w:top w:val="nil"/>
            </w:tcBorders>
          </w:tcPr>
          <w:p w:rsidR="00000000" w:rsidRDefault="00B7115A">
            <w:pPr>
              <w:tabs>
                <w:tab w:val="clear" w:pos="510"/>
                <w:tab w:val="clear" w:pos="1021"/>
                <w:tab w:val="clear" w:pos="1531"/>
                <w:tab w:val="clear" w:pos="2041"/>
                <w:tab w:val="decimal" w:pos="1464"/>
              </w:tabs>
              <w:spacing w:before="60"/>
              <w:rPr>
                <w:sz w:val="21"/>
              </w:rPr>
            </w:pPr>
            <w:r>
              <w:rPr>
                <w:sz w:val="21"/>
              </w:rPr>
              <w:t>56</w:t>
            </w:r>
          </w:p>
        </w:tc>
      </w:tr>
    </w:tbl>
    <w:p w:rsidR="00000000" w:rsidRDefault="00B7115A">
      <w:pPr>
        <w:pStyle w:val="Heading4"/>
        <w:spacing w:before="480"/>
      </w:pPr>
      <w:r>
        <w:rPr>
          <w:rFonts w:hint="eastAsia"/>
        </w:rPr>
        <w:t>给失去赡养人家庭的抚恤金</w:t>
      </w:r>
    </w:p>
    <w:p w:rsidR="00000000" w:rsidRDefault="00B7115A">
      <w:r>
        <w:tab/>
        <w:t xml:space="preserve">129.  </w:t>
      </w:r>
      <w:r>
        <w:rPr>
          <w:rFonts w:hint="eastAsia"/>
        </w:rPr>
        <w:t>这些养恤金提供给赡养人已死亡，并不适宜就业的家庭成员。下列人被视为不适宜就业的家庭成员：</w:t>
      </w:r>
      <w:r>
        <w:t>16</w:t>
      </w:r>
      <w:r>
        <w:rPr>
          <w:rFonts w:hint="eastAsia"/>
        </w:rPr>
        <w:t>岁以下的儿童；</w:t>
      </w:r>
      <w:r>
        <w:t>16</w:t>
      </w:r>
      <w:r>
        <w:rPr>
          <w:rFonts w:hint="eastAsia"/>
        </w:rPr>
        <w:t>岁以下的兄弟姊妹和孙子孙女</w:t>
      </w:r>
      <w:r>
        <w:t>(</w:t>
      </w:r>
      <w:r>
        <w:rPr>
          <w:rFonts w:hint="eastAsia"/>
        </w:rPr>
        <w:t>条件是他们没有适宜就业的父母</w:t>
      </w:r>
      <w:r>
        <w:t>)</w:t>
      </w:r>
      <w:r>
        <w:rPr>
          <w:rFonts w:hint="eastAsia"/>
        </w:rPr>
        <w:t>；</w:t>
      </w:r>
      <w:r>
        <w:rPr>
          <w:rFonts w:hint="eastAsia"/>
        </w:rPr>
        <w:t>以及父母和配偶，如果在赡养人死亡时他们是养老金领取者或残疾人。</w:t>
      </w:r>
    </w:p>
    <w:p w:rsidR="00000000" w:rsidRDefault="00B7115A">
      <w:r>
        <w:tab/>
        <w:t xml:space="preserve">130.  </w:t>
      </w:r>
      <w:r>
        <w:rPr>
          <w:rFonts w:hint="eastAsia"/>
        </w:rPr>
        <w:t>抚恤金通常由交付给社会基金的保险费支付，但第</w:t>
      </w:r>
      <w:r>
        <w:t>2</w:t>
      </w:r>
      <w:r>
        <w:rPr>
          <w:rFonts w:hint="eastAsia"/>
        </w:rPr>
        <w:t>号清单所列抚恤金由雇主支付，给高山地区的人的抚恤金从国家预算中支出。抚恤金以外的补助也从国家预算中支出。</w:t>
      </w:r>
    </w:p>
    <w:p w:rsidR="00000000" w:rsidRDefault="00B7115A">
      <w:r>
        <w:tab/>
        <w:t xml:space="preserve">131.  </w:t>
      </w:r>
      <w:r>
        <w:rPr>
          <w:rFonts w:hint="eastAsia"/>
        </w:rPr>
        <w:t>由国家预算供资的社会抚恤金提供给无权享受与工作有关的养恤金的人。国家预算也为军人抚恤金供资。</w:t>
      </w:r>
    </w:p>
    <w:p w:rsidR="00000000" w:rsidRDefault="00B7115A">
      <w:r>
        <w:tab/>
        <w:t xml:space="preserve">132.  </w:t>
      </w:r>
      <w:r>
        <w:rPr>
          <w:rFonts w:hint="eastAsia"/>
        </w:rPr>
        <w:t>抚恤金的发放分三个部分。基本抚恤金由若戈尔库克溺什按固定比率确定的固定数额。在</w:t>
      </w:r>
      <w:r>
        <w:t>1997</w:t>
      </w:r>
      <w:r>
        <w:rPr>
          <w:rFonts w:hint="eastAsia"/>
        </w:rPr>
        <w:t>年，基本抚恤金定为</w:t>
      </w:r>
      <w:r>
        <w:t xml:space="preserve">200 </w:t>
      </w:r>
      <w:r>
        <w:rPr>
          <w:rFonts w:hint="eastAsia"/>
        </w:rPr>
        <w:t>索姆。基本抚恤金与物价指数挂钩。如果个人没有达到</w:t>
      </w:r>
      <w:r>
        <w:rPr>
          <w:rFonts w:hint="eastAsia"/>
        </w:rPr>
        <w:t>领取保险抚恤金所需服务期限，就按个人化的累积保险金帐号来计算。</w:t>
      </w:r>
    </w:p>
    <w:p w:rsidR="00000000" w:rsidRDefault="00B7115A">
      <w:pPr>
        <w:spacing w:after="320"/>
        <w:textAlignment w:val="center"/>
      </w:pPr>
      <w:r>
        <w:tab/>
        <w:t xml:space="preserve">133.  </w:t>
      </w:r>
      <w:r>
        <w:rPr>
          <w:rFonts w:hint="eastAsia"/>
        </w:rPr>
        <w:t>用国内生产总值百分比表示，社会保险资金</w:t>
      </w:r>
      <w:r>
        <w:t>(</w:t>
      </w:r>
      <w:r>
        <w:rPr>
          <w:rFonts w:hint="eastAsia"/>
        </w:rPr>
        <w:t>保险费</w:t>
      </w:r>
      <w:r>
        <w:t>)</w:t>
      </w:r>
      <w:r>
        <w:rPr>
          <w:rFonts w:hint="eastAsia"/>
        </w:rPr>
        <w:t>从</w:t>
      </w:r>
      <w:r>
        <w:t>1991</w:t>
      </w:r>
      <w:r>
        <w:rPr>
          <w:rFonts w:hint="eastAsia"/>
        </w:rPr>
        <w:t>年的</w:t>
      </w:r>
      <w:r>
        <w:t>12.4%</w:t>
      </w:r>
      <w:r>
        <w:rPr>
          <w:rFonts w:hint="eastAsia"/>
        </w:rPr>
        <w:t>下降到</w:t>
      </w:r>
      <w:r>
        <w:t>1997</w:t>
      </w:r>
      <w:r>
        <w:rPr>
          <w:rFonts w:hint="eastAsia"/>
        </w:rPr>
        <w:t>年的</w:t>
      </w:r>
      <w:r>
        <w:t>7.8%</w:t>
      </w:r>
      <w:r>
        <w:rPr>
          <w:rFonts w:hint="eastAsia"/>
        </w:rPr>
        <w:t>；计划这一水平一直要保持到</w:t>
      </w:r>
      <w:r>
        <w:t>2000</w:t>
      </w:r>
      <w:r>
        <w:rPr>
          <w:rFonts w:hint="eastAsia"/>
        </w:rPr>
        <w:t>年。这一减少与向市场经济过渡中的困难、交费基础收缩和社会基金预算赤字有关，而社会基金的一部分由国家预算补贴。</w:t>
      </w:r>
    </w:p>
    <w:p w:rsidR="00000000" w:rsidRDefault="00B7115A">
      <w:pPr>
        <w:pStyle w:val="Heading3"/>
      </w:pPr>
      <w:r>
        <w:rPr>
          <w:rFonts w:hint="eastAsia"/>
        </w:rPr>
        <w:t>在社会保护机构登记的领取养恤金人数</w:t>
      </w:r>
      <w:r>
        <w:br/>
      </w:r>
      <w:r>
        <w:rPr>
          <w:u w:val="none"/>
        </w:rPr>
        <w:t>(</w:t>
      </w:r>
      <w:r>
        <w:rPr>
          <w:rFonts w:hint="eastAsia"/>
        </w:rPr>
        <w:t>截止</w:t>
      </w:r>
      <w:r>
        <w:t>1998</w:t>
      </w:r>
      <w:r>
        <w:rPr>
          <w:rFonts w:hint="eastAsia"/>
        </w:rPr>
        <w:t>年</w:t>
      </w:r>
      <w:r>
        <w:t>1</w:t>
      </w:r>
      <w:r>
        <w:rPr>
          <w:rFonts w:hint="eastAsia"/>
        </w:rPr>
        <w:t>月</w:t>
      </w:r>
      <w:r>
        <w:t>1</w:t>
      </w:r>
      <w:r>
        <w:rPr>
          <w:rFonts w:hint="eastAsia"/>
        </w:rPr>
        <w:t>日</w:t>
      </w:r>
      <w:r>
        <w:rPr>
          <w:u w:val="none"/>
        </w:rPr>
        <w:t>)</w:t>
      </w:r>
    </w:p>
    <w:tbl>
      <w:tblPr>
        <w:tblW w:w="0" w:type="auto"/>
        <w:tblInd w:w="-26" w:type="dxa"/>
        <w:tblLayout w:type="fixed"/>
        <w:tblCellMar>
          <w:left w:w="28" w:type="dxa"/>
          <w:right w:w="28" w:type="dxa"/>
        </w:tblCellMar>
        <w:tblLook w:val="0000" w:firstRow="0" w:lastRow="0" w:firstColumn="0" w:lastColumn="0" w:noHBand="0" w:noVBand="0"/>
      </w:tblPr>
      <w:tblGrid>
        <w:gridCol w:w="3388"/>
        <w:gridCol w:w="1506"/>
        <w:gridCol w:w="1506"/>
        <w:gridCol w:w="1506"/>
        <w:gridCol w:w="1506"/>
      </w:tblGrid>
      <w:tr w:rsidR="00000000">
        <w:tblPrEx>
          <w:tblCellMar>
            <w:top w:w="0" w:type="dxa"/>
            <w:bottom w:w="0" w:type="dxa"/>
          </w:tblCellMar>
        </w:tblPrEx>
        <w:tc>
          <w:tcPr>
            <w:tcW w:w="3388" w:type="dxa"/>
            <w:tcBorders>
              <w:top w:val="single" w:sz="6" w:space="0" w:color="auto"/>
              <w:left w:val="single" w:sz="6" w:space="0" w:color="auto"/>
              <w:bottom w:val="single" w:sz="6" w:space="0" w:color="auto"/>
            </w:tcBorders>
          </w:tcPr>
          <w:p w:rsidR="00000000" w:rsidRDefault="00B7115A">
            <w:pPr>
              <w:spacing w:before="120"/>
              <w:ind w:left="113"/>
              <w:jc w:val="center"/>
            </w:pPr>
          </w:p>
        </w:tc>
        <w:tc>
          <w:tcPr>
            <w:tcW w:w="1506" w:type="dxa"/>
            <w:tcBorders>
              <w:top w:val="single" w:sz="6" w:space="0" w:color="auto"/>
              <w:left w:val="single" w:sz="6" w:space="0" w:color="auto"/>
              <w:bottom w:val="single" w:sz="6" w:space="0" w:color="auto"/>
              <w:right w:val="single" w:sz="6" w:space="0" w:color="auto"/>
            </w:tcBorders>
          </w:tcPr>
          <w:p w:rsidR="00000000" w:rsidRDefault="00B7115A">
            <w:pPr>
              <w:spacing w:before="120"/>
              <w:jc w:val="center"/>
            </w:pPr>
            <w:r>
              <w:t>1994</w:t>
            </w:r>
          </w:p>
        </w:tc>
        <w:tc>
          <w:tcPr>
            <w:tcW w:w="1506" w:type="dxa"/>
            <w:tcBorders>
              <w:top w:val="single" w:sz="6" w:space="0" w:color="auto"/>
              <w:left w:val="nil"/>
              <w:bottom w:val="single" w:sz="6" w:space="0" w:color="auto"/>
            </w:tcBorders>
          </w:tcPr>
          <w:p w:rsidR="00000000" w:rsidRDefault="00B7115A">
            <w:pPr>
              <w:spacing w:before="120"/>
              <w:jc w:val="center"/>
            </w:pPr>
            <w:r>
              <w:t>1995</w:t>
            </w:r>
          </w:p>
        </w:tc>
        <w:tc>
          <w:tcPr>
            <w:tcW w:w="1506" w:type="dxa"/>
            <w:tcBorders>
              <w:top w:val="single" w:sz="6" w:space="0" w:color="auto"/>
              <w:left w:val="single" w:sz="6" w:space="0" w:color="auto"/>
              <w:bottom w:val="single" w:sz="6" w:space="0" w:color="auto"/>
              <w:right w:val="single" w:sz="6" w:space="0" w:color="auto"/>
            </w:tcBorders>
          </w:tcPr>
          <w:p w:rsidR="00000000" w:rsidRDefault="00B7115A">
            <w:pPr>
              <w:spacing w:before="120"/>
              <w:jc w:val="center"/>
            </w:pPr>
            <w:r>
              <w:t>1996</w:t>
            </w:r>
          </w:p>
        </w:tc>
        <w:tc>
          <w:tcPr>
            <w:tcW w:w="1506" w:type="dxa"/>
            <w:tcBorders>
              <w:top w:val="single" w:sz="6" w:space="0" w:color="auto"/>
              <w:left w:val="nil"/>
              <w:bottom w:val="single" w:sz="6" w:space="0" w:color="auto"/>
              <w:right w:val="single" w:sz="6" w:space="0" w:color="auto"/>
            </w:tcBorders>
          </w:tcPr>
          <w:p w:rsidR="00000000" w:rsidRDefault="00B7115A">
            <w:pPr>
              <w:spacing w:before="120"/>
              <w:jc w:val="center"/>
            </w:pPr>
            <w:r>
              <w:t>1997</w:t>
            </w:r>
          </w:p>
        </w:tc>
      </w:tr>
      <w:tr w:rsidR="00000000">
        <w:tblPrEx>
          <w:tblCellMar>
            <w:top w:w="0" w:type="dxa"/>
            <w:bottom w:w="0" w:type="dxa"/>
          </w:tblCellMar>
        </w:tblPrEx>
        <w:tc>
          <w:tcPr>
            <w:tcW w:w="3388" w:type="dxa"/>
            <w:tcBorders>
              <w:left w:val="single" w:sz="6" w:space="0" w:color="auto"/>
            </w:tcBorders>
          </w:tcPr>
          <w:p w:rsidR="00000000" w:rsidRDefault="00B7115A">
            <w:pPr>
              <w:spacing w:before="120"/>
              <w:ind w:left="113"/>
              <w:rPr>
                <w:sz w:val="21"/>
              </w:rPr>
            </w:pPr>
            <w:r>
              <w:rPr>
                <w:rFonts w:hint="eastAsia"/>
                <w:sz w:val="21"/>
              </w:rPr>
              <w:t>总计，包括领取下列养恤金的人</w:t>
            </w:r>
          </w:p>
        </w:tc>
        <w:tc>
          <w:tcPr>
            <w:tcW w:w="1506" w:type="dxa"/>
            <w:tcBorders>
              <w:left w:val="single" w:sz="6" w:space="0" w:color="auto"/>
              <w:right w:val="single" w:sz="6" w:space="0" w:color="auto"/>
            </w:tcBorders>
          </w:tcPr>
          <w:p w:rsidR="00000000" w:rsidRDefault="00B7115A">
            <w:pPr>
              <w:spacing w:before="120"/>
              <w:ind w:right="340"/>
              <w:jc w:val="right"/>
              <w:rPr>
                <w:sz w:val="21"/>
              </w:rPr>
            </w:pPr>
            <w:r>
              <w:rPr>
                <w:sz w:val="21"/>
              </w:rPr>
              <w:t>589,100</w:t>
            </w:r>
          </w:p>
        </w:tc>
        <w:tc>
          <w:tcPr>
            <w:tcW w:w="1506" w:type="dxa"/>
            <w:tcBorders>
              <w:left w:val="nil"/>
            </w:tcBorders>
          </w:tcPr>
          <w:p w:rsidR="00000000" w:rsidRDefault="00B7115A">
            <w:pPr>
              <w:spacing w:before="120"/>
              <w:ind w:right="340"/>
              <w:jc w:val="right"/>
              <w:rPr>
                <w:sz w:val="21"/>
              </w:rPr>
            </w:pPr>
            <w:r>
              <w:rPr>
                <w:sz w:val="21"/>
              </w:rPr>
              <w:t>547,700</w:t>
            </w:r>
          </w:p>
        </w:tc>
        <w:tc>
          <w:tcPr>
            <w:tcW w:w="1506" w:type="dxa"/>
            <w:tcBorders>
              <w:left w:val="single" w:sz="6" w:space="0" w:color="auto"/>
              <w:right w:val="single" w:sz="6" w:space="0" w:color="auto"/>
            </w:tcBorders>
          </w:tcPr>
          <w:p w:rsidR="00000000" w:rsidRDefault="00B7115A">
            <w:pPr>
              <w:spacing w:before="120"/>
              <w:ind w:right="340"/>
              <w:jc w:val="right"/>
              <w:rPr>
                <w:sz w:val="21"/>
              </w:rPr>
            </w:pPr>
            <w:r>
              <w:rPr>
                <w:sz w:val="21"/>
              </w:rPr>
              <w:t>543,500</w:t>
            </w:r>
          </w:p>
        </w:tc>
        <w:tc>
          <w:tcPr>
            <w:tcW w:w="1506" w:type="dxa"/>
            <w:tcBorders>
              <w:left w:val="nil"/>
              <w:right w:val="single" w:sz="6" w:space="0" w:color="auto"/>
            </w:tcBorders>
          </w:tcPr>
          <w:p w:rsidR="00000000" w:rsidRDefault="00B7115A">
            <w:pPr>
              <w:spacing w:before="120"/>
              <w:ind w:right="340"/>
              <w:jc w:val="right"/>
              <w:rPr>
                <w:sz w:val="21"/>
              </w:rPr>
            </w:pPr>
            <w:r>
              <w:rPr>
                <w:sz w:val="21"/>
              </w:rPr>
              <w:t>544</w:t>
            </w:r>
            <w:r>
              <w:rPr>
                <w:sz w:val="21"/>
              </w:rPr>
              <w:t>,300</w:t>
            </w:r>
          </w:p>
        </w:tc>
      </w:tr>
      <w:tr w:rsidR="00000000">
        <w:tblPrEx>
          <w:tblCellMar>
            <w:top w:w="0" w:type="dxa"/>
            <w:bottom w:w="0" w:type="dxa"/>
          </w:tblCellMar>
        </w:tblPrEx>
        <w:tc>
          <w:tcPr>
            <w:tcW w:w="3388" w:type="dxa"/>
            <w:tcBorders>
              <w:left w:val="single" w:sz="6" w:space="0" w:color="auto"/>
            </w:tcBorders>
          </w:tcPr>
          <w:p w:rsidR="00000000" w:rsidRDefault="00B7115A">
            <w:pPr>
              <w:spacing w:before="60"/>
              <w:ind w:left="113"/>
              <w:rPr>
                <w:sz w:val="21"/>
              </w:rPr>
            </w:pPr>
            <w:r>
              <w:rPr>
                <w:sz w:val="21"/>
              </w:rPr>
              <w:t xml:space="preserve">  </w:t>
            </w:r>
            <w:r>
              <w:rPr>
                <w:rFonts w:hint="eastAsia"/>
                <w:sz w:val="21"/>
              </w:rPr>
              <w:t>养老金</w:t>
            </w:r>
          </w:p>
        </w:tc>
        <w:tc>
          <w:tcPr>
            <w:tcW w:w="1506" w:type="dxa"/>
            <w:tcBorders>
              <w:left w:val="single" w:sz="6" w:space="0" w:color="auto"/>
              <w:right w:val="single" w:sz="6" w:space="0" w:color="auto"/>
            </w:tcBorders>
          </w:tcPr>
          <w:p w:rsidR="00000000" w:rsidRDefault="00B7115A">
            <w:pPr>
              <w:spacing w:before="60"/>
              <w:ind w:right="340"/>
              <w:jc w:val="right"/>
              <w:rPr>
                <w:sz w:val="21"/>
              </w:rPr>
            </w:pPr>
            <w:r>
              <w:rPr>
                <w:sz w:val="21"/>
              </w:rPr>
              <w:t>443,400</w:t>
            </w:r>
          </w:p>
        </w:tc>
        <w:tc>
          <w:tcPr>
            <w:tcW w:w="1506" w:type="dxa"/>
            <w:tcBorders>
              <w:left w:val="nil"/>
            </w:tcBorders>
          </w:tcPr>
          <w:p w:rsidR="00000000" w:rsidRDefault="00B7115A">
            <w:pPr>
              <w:spacing w:before="60"/>
              <w:ind w:right="340"/>
              <w:jc w:val="right"/>
              <w:rPr>
                <w:sz w:val="21"/>
              </w:rPr>
            </w:pPr>
            <w:r>
              <w:rPr>
                <w:sz w:val="21"/>
              </w:rPr>
              <w:t>448,700</w:t>
            </w:r>
          </w:p>
        </w:tc>
        <w:tc>
          <w:tcPr>
            <w:tcW w:w="1506" w:type="dxa"/>
            <w:tcBorders>
              <w:left w:val="single" w:sz="6" w:space="0" w:color="auto"/>
              <w:right w:val="single" w:sz="6" w:space="0" w:color="auto"/>
            </w:tcBorders>
          </w:tcPr>
          <w:p w:rsidR="00000000" w:rsidRDefault="00B7115A">
            <w:pPr>
              <w:spacing w:before="60"/>
              <w:ind w:right="340"/>
              <w:jc w:val="right"/>
              <w:rPr>
                <w:sz w:val="21"/>
              </w:rPr>
            </w:pPr>
            <w:r>
              <w:rPr>
                <w:sz w:val="21"/>
              </w:rPr>
              <w:t>443,900</w:t>
            </w:r>
          </w:p>
        </w:tc>
        <w:tc>
          <w:tcPr>
            <w:tcW w:w="1506" w:type="dxa"/>
            <w:tcBorders>
              <w:left w:val="nil"/>
              <w:right w:val="single" w:sz="6" w:space="0" w:color="auto"/>
            </w:tcBorders>
          </w:tcPr>
          <w:p w:rsidR="00000000" w:rsidRDefault="00B7115A">
            <w:pPr>
              <w:spacing w:before="60"/>
              <w:ind w:right="340"/>
              <w:jc w:val="right"/>
              <w:rPr>
                <w:sz w:val="21"/>
              </w:rPr>
            </w:pPr>
            <w:r>
              <w:rPr>
                <w:sz w:val="21"/>
              </w:rPr>
              <w:t>439,300</w:t>
            </w:r>
          </w:p>
        </w:tc>
      </w:tr>
      <w:tr w:rsidR="00000000">
        <w:tblPrEx>
          <w:tblCellMar>
            <w:top w:w="0" w:type="dxa"/>
            <w:bottom w:w="0" w:type="dxa"/>
          </w:tblCellMar>
        </w:tblPrEx>
        <w:tc>
          <w:tcPr>
            <w:tcW w:w="3388" w:type="dxa"/>
            <w:tcBorders>
              <w:left w:val="single" w:sz="6" w:space="0" w:color="auto"/>
            </w:tcBorders>
          </w:tcPr>
          <w:p w:rsidR="00000000" w:rsidRDefault="00B7115A">
            <w:pPr>
              <w:spacing w:before="60"/>
              <w:ind w:left="113"/>
              <w:rPr>
                <w:sz w:val="21"/>
              </w:rPr>
            </w:pPr>
            <w:r>
              <w:rPr>
                <w:sz w:val="21"/>
              </w:rPr>
              <w:t xml:space="preserve">  </w:t>
            </w:r>
            <w:r>
              <w:rPr>
                <w:rFonts w:hint="eastAsia"/>
                <w:sz w:val="21"/>
              </w:rPr>
              <w:t>残废人养恤金</w:t>
            </w:r>
          </w:p>
        </w:tc>
        <w:tc>
          <w:tcPr>
            <w:tcW w:w="1506" w:type="dxa"/>
            <w:tcBorders>
              <w:left w:val="single" w:sz="6" w:space="0" w:color="auto"/>
              <w:right w:val="single" w:sz="6" w:space="0" w:color="auto"/>
            </w:tcBorders>
          </w:tcPr>
          <w:p w:rsidR="00000000" w:rsidRDefault="00B7115A">
            <w:pPr>
              <w:spacing w:before="60"/>
              <w:ind w:right="340"/>
              <w:jc w:val="right"/>
              <w:rPr>
                <w:sz w:val="21"/>
              </w:rPr>
            </w:pPr>
            <w:r>
              <w:rPr>
                <w:sz w:val="21"/>
              </w:rPr>
              <w:t>53,400</w:t>
            </w:r>
          </w:p>
        </w:tc>
        <w:tc>
          <w:tcPr>
            <w:tcW w:w="1506" w:type="dxa"/>
            <w:tcBorders>
              <w:left w:val="nil"/>
            </w:tcBorders>
          </w:tcPr>
          <w:p w:rsidR="00000000" w:rsidRDefault="00B7115A">
            <w:pPr>
              <w:spacing w:before="60"/>
              <w:ind w:right="340"/>
              <w:jc w:val="right"/>
              <w:rPr>
                <w:sz w:val="21"/>
              </w:rPr>
            </w:pPr>
            <w:r>
              <w:rPr>
                <w:sz w:val="21"/>
              </w:rPr>
              <w:t>48,400</w:t>
            </w:r>
          </w:p>
        </w:tc>
        <w:tc>
          <w:tcPr>
            <w:tcW w:w="1506" w:type="dxa"/>
            <w:tcBorders>
              <w:left w:val="single" w:sz="6" w:space="0" w:color="auto"/>
              <w:right w:val="single" w:sz="6" w:space="0" w:color="auto"/>
            </w:tcBorders>
          </w:tcPr>
          <w:p w:rsidR="00000000" w:rsidRDefault="00B7115A">
            <w:pPr>
              <w:spacing w:before="60"/>
              <w:ind w:right="340"/>
              <w:jc w:val="right"/>
              <w:rPr>
                <w:sz w:val="21"/>
              </w:rPr>
            </w:pPr>
            <w:r>
              <w:rPr>
                <w:sz w:val="21"/>
              </w:rPr>
              <w:t>47,600</w:t>
            </w:r>
          </w:p>
        </w:tc>
        <w:tc>
          <w:tcPr>
            <w:tcW w:w="1506" w:type="dxa"/>
            <w:tcBorders>
              <w:left w:val="nil"/>
              <w:right w:val="single" w:sz="6" w:space="0" w:color="auto"/>
            </w:tcBorders>
          </w:tcPr>
          <w:p w:rsidR="00000000" w:rsidRDefault="00B7115A">
            <w:pPr>
              <w:spacing w:before="60"/>
              <w:ind w:right="340"/>
              <w:jc w:val="right"/>
              <w:rPr>
                <w:sz w:val="21"/>
              </w:rPr>
            </w:pPr>
            <w:r>
              <w:rPr>
                <w:sz w:val="21"/>
              </w:rPr>
              <w:t>51,200</w:t>
            </w:r>
          </w:p>
        </w:tc>
      </w:tr>
      <w:tr w:rsidR="00000000">
        <w:tblPrEx>
          <w:tblCellMar>
            <w:top w:w="0" w:type="dxa"/>
            <w:bottom w:w="0" w:type="dxa"/>
          </w:tblCellMar>
        </w:tblPrEx>
        <w:tc>
          <w:tcPr>
            <w:tcW w:w="3388" w:type="dxa"/>
            <w:tcBorders>
              <w:left w:val="single" w:sz="6" w:space="0" w:color="auto"/>
            </w:tcBorders>
          </w:tcPr>
          <w:p w:rsidR="00000000" w:rsidRDefault="00B7115A">
            <w:pPr>
              <w:spacing w:before="60" w:line="288" w:lineRule="auto"/>
              <w:ind w:left="113"/>
              <w:rPr>
                <w:sz w:val="21"/>
              </w:rPr>
            </w:pPr>
            <w:r>
              <w:rPr>
                <w:sz w:val="21"/>
              </w:rPr>
              <w:t xml:space="preserve">  </w:t>
            </w:r>
            <w:r>
              <w:rPr>
                <w:rFonts w:hint="eastAsia"/>
                <w:sz w:val="21"/>
              </w:rPr>
              <w:t>失去赡养人的抚恤金</w:t>
            </w:r>
            <w:r>
              <w:rPr>
                <w:sz w:val="21"/>
              </w:rPr>
              <w:br/>
              <w:t xml:space="preserve">  (</w:t>
            </w:r>
            <w:r>
              <w:rPr>
                <w:rFonts w:hint="eastAsia"/>
                <w:sz w:val="21"/>
              </w:rPr>
              <w:t>不能工作的幸存者人数</w:t>
            </w:r>
            <w:r>
              <w:rPr>
                <w:sz w:val="21"/>
              </w:rPr>
              <w:t>)</w:t>
            </w:r>
          </w:p>
        </w:tc>
        <w:tc>
          <w:tcPr>
            <w:tcW w:w="1506" w:type="dxa"/>
            <w:tcBorders>
              <w:left w:val="single" w:sz="6" w:space="0" w:color="auto"/>
              <w:right w:val="single" w:sz="6" w:space="0" w:color="auto"/>
            </w:tcBorders>
          </w:tcPr>
          <w:p w:rsidR="00000000" w:rsidRDefault="00B7115A">
            <w:pPr>
              <w:spacing w:before="60" w:line="288" w:lineRule="auto"/>
              <w:ind w:right="340"/>
              <w:jc w:val="right"/>
              <w:rPr>
                <w:sz w:val="21"/>
              </w:rPr>
            </w:pPr>
            <w:r>
              <w:rPr>
                <w:sz w:val="21"/>
              </w:rPr>
              <w:br/>
              <w:t>86,100</w:t>
            </w:r>
          </w:p>
        </w:tc>
        <w:tc>
          <w:tcPr>
            <w:tcW w:w="1506" w:type="dxa"/>
            <w:tcBorders>
              <w:left w:val="nil"/>
            </w:tcBorders>
          </w:tcPr>
          <w:p w:rsidR="00000000" w:rsidRDefault="00B7115A">
            <w:pPr>
              <w:spacing w:before="60" w:line="288" w:lineRule="auto"/>
              <w:ind w:right="340"/>
              <w:jc w:val="right"/>
              <w:rPr>
                <w:sz w:val="21"/>
              </w:rPr>
            </w:pPr>
            <w:r>
              <w:rPr>
                <w:sz w:val="21"/>
              </w:rPr>
              <w:br/>
              <w:t>80,400</w:t>
            </w:r>
          </w:p>
        </w:tc>
        <w:tc>
          <w:tcPr>
            <w:tcW w:w="1506" w:type="dxa"/>
            <w:tcBorders>
              <w:left w:val="single" w:sz="6" w:space="0" w:color="auto"/>
              <w:right w:val="single" w:sz="6" w:space="0" w:color="auto"/>
            </w:tcBorders>
          </w:tcPr>
          <w:p w:rsidR="00000000" w:rsidRDefault="00B7115A">
            <w:pPr>
              <w:spacing w:before="60" w:line="288" w:lineRule="auto"/>
              <w:ind w:right="340"/>
              <w:jc w:val="right"/>
              <w:rPr>
                <w:sz w:val="21"/>
              </w:rPr>
            </w:pPr>
            <w:r>
              <w:rPr>
                <w:sz w:val="21"/>
              </w:rPr>
              <w:br/>
              <w:t>87,600</w:t>
            </w:r>
          </w:p>
        </w:tc>
        <w:tc>
          <w:tcPr>
            <w:tcW w:w="1506" w:type="dxa"/>
            <w:tcBorders>
              <w:left w:val="nil"/>
              <w:right w:val="single" w:sz="6" w:space="0" w:color="auto"/>
            </w:tcBorders>
          </w:tcPr>
          <w:p w:rsidR="00000000" w:rsidRDefault="00B7115A">
            <w:pPr>
              <w:spacing w:before="60" w:line="288" w:lineRule="auto"/>
              <w:ind w:right="340"/>
              <w:jc w:val="right"/>
              <w:rPr>
                <w:sz w:val="21"/>
              </w:rPr>
            </w:pPr>
            <w:r>
              <w:rPr>
                <w:sz w:val="21"/>
              </w:rPr>
              <w:br/>
              <w:t>91,200</w:t>
            </w:r>
          </w:p>
        </w:tc>
      </w:tr>
      <w:tr w:rsidR="00000000">
        <w:tblPrEx>
          <w:tblCellMar>
            <w:top w:w="0" w:type="dxa"/>
            <w:bottom w:w="0" w:type="dxa"/>
          </w:tblCellMar>
        </w:tblPrEx>
        <w:tc>
          <w:tcPr>
            <w:tcW w:w="3388" w:type="dxa"/>
            <w:tcBorders>
              <w:left w:val="single" w:sz="6" w:space="0" w:color="auto"/>
              <w:bottom w:val="single" w:sz="6" w:space="0" w:color="auto"/>
            </w:tcBorders>
          </w:tcPr>
          <w:p w:rsidR="00000000" w:rsidRDefault="00B7115A">
            <w:pPr>
              <w:spacing w:before="60"/>
              <w:ind w:left="113"/>
              <w:rPr>
                <w:sz w:val="21"/>
              </w:rPr>
            </w:pPr>
            <w:r>
              <w:rPr>
                <w:sz w:val="21"/>
              </w:rPr>
              <w:t xml:space="preserve">  </w:t>
            </w:r>
            <w:r>
              <w:rPr>
                <w:rFonts w:hint="eastAsia"/>
                <w:sz w:val="21"/>
              </w:rPr>
              <w:t>长期工作后的养老金</w:t>
            </w:r>
          </w:p>
        </w:tc>
        <w:tc>
          <w:tcPr>
            <w:tcW w:w="1506" w:type="dxa"/>
            <w:tcBorders>
              <w:left w:val="single" w:sz="6" w:space="0" w:color="auto"/>
              <w:bottom w:val="single" w:sz="6" w:space="0" w:color="auto"/>
              <w:right w:val="single" w:sz="6" w:space="0" w:color="auto"/>
            </w:tcBorders>
          </w:tcPr>
          <w:p w:rsidR="00000000" w:rsidRDefault="00B7115A">
            <w:pPr>
              <w:spacing w:before="60"/>
              <w:ind w:right="340"/>
              <w:jc w:val="right"/>
              <w:rPr>
                <w:sz w:val="21"/>
              </w:rPr>
            </w:pPr>
            <w:r>
              <w:rPr>
                <w:sz w:val="21"/>
              </w:rPr>
              <w:t>2,800</w:t>
            </w:r>
          </w:p>
        </w:tc>
        <w:tc>
          <w:tcPr>
            <w:tcW w:w="1506" w:type="dxa"/>
            <w:tcBorders>
              <w:left w:val="nil"/>
              <w:bottom w:val="single" w:sz="6" w:space="0" w:color="auto"/>
            </w:tcBorders>
          </w:tcPr>
          <w:p w:rsidR="00000000" w:rsidRDefault="00B7115A">
            <w:pPr>
              <w:spacing w:before="60"/>
              <w:ind w:right="340"/>
              <w:jc w:val="right"/>
              <w:rPr>
                <w:sz w:val="21"/>
              </w:rPr>
            </w:pPr>
            <w:r>
              <w:rPr>
                <w:sz w:val="21"/>
              </w:rPr>
              <w:t>600</w:t>
            </w:r>
          </w:p>
        </w:tc>
        <w:tc>
          <w:tcPr>
            <w:tcW w:w="1506" w:type="dxa"/>
            <w:tcBorders>
              <w:left w:val="single" w:sz="6" w:space="0" w:color="auto"/>
              <w:bottom w:val="single" w:sz="6" w:space="0" w:color="auto"/>
              <w:right w:val="single" w:sz="6" w:space="0" w:color="auto"/>
            </w:tcBorders>
          </w:tcPr>
          <w:p w:rsidR="00000000" w:rsidRDefault="00B7115A">
            <w:pPr>
              <w:spacing w:before="60"/>
              <w:ind w:right="340"/>
              <w:jc w:val="right"/>
              <w:rPr>
                <w:sz w:val="21"/>
              </w:rPr>
            </w:pPr>
            <w:r>
              <w:rPr>
                <w:sz w:val="21"/>
              </w:rPr>
              <w:t>1,100</w:t>
            </w:r>
          </w:p>
        </w:tc>
        <w:tc>
          <w:tcPr>
            <w:tcW w:w="1506" w:type="dxa"/>
            <w:tcBorders>
              <w:left w:val="nil"/>
              <w:bottom w:val="single" w:sz="6" w:space="0" w:color="auto"/>
              <w:right w:val="single" w:sz="6" w:space="0" w:color="auto"/>
            </w:tcBorders>
          </w:tcPr>
          <w:p w:rsidR="00000000" w:rsidRDefault="00B7115A">
            <w:pPr>
              <w:spacing w:before="60"/>
              <w:ind w:right="340"/>
              <w:jc w:val="right"/>
              <w:rPr>
                <w:sz w:val="21"/>
              </w:rPr>
            </w:pPr>
            <w:r>
              <w:rPr>
                <w:sz w:val="21"/>
              </w:rPr>
              <w:t>500</w:t>
            </w:r>
          </w:p>
        </w:tc>
      </w:tr>
    </w:tbl>
    <w:p w:rsidR="00000000" w:rsidRDefault="00B7115A"/>
    <w:p w:rsidR="00000000" w:rsidRDefault="00B7115A">
      <w:pPr>
        <w:pStyle w:val="Heading4"/>
        <w:spacing w:before="120"/>
      </w:pPr>
      <w:r>
        <w:rPr>
          <w:rFonts w:hint="eastAsia"/>
        </w:rPr>
        <w:t>家庭的社会保护</w:t>
      </w:r>
    </w:p>
    <w:p w:rsidR="00000000" w:rsidRDefault="00B7115A">
      <w:r>
        <w:tab/>
        <w:t xml:space="preserve">134.  </w:t>
      </w:r>
      <w:r>
        <w:rPr>
          <w:rFonts w:hint="eastAsia"/>
        </w:rPr>
        <w:t>国家提供的家庭社会保护目前针对性很强，采取给贫困家庭按月发放福利金的形式，包括年龄</w:t>
      </w:r>
      <w:r>
        <w:t>16</w:t>
      </w:r>
      <w:r>
        <w:rPr>
          <w:rFonts w:hint="eastAsia"/>
        </w:rPr>
        <w:t>岁以下的儿童、学童或年龄不超过</w:t>
      </w:r>
      <w:r>
        <w:t>21</w:t>
      </w:r>
      <w:r>
        <w:rPr>
          <w:rFonts w:hint="eastAsia"/>
        </w:rPr>
        <w:t>岁的学生</w:t>
      </w:r>
      <w:r>
        <w:rPr>
          <w:rFonts w:hint="eastAsia"/>
        </w:rPr>
        <w:t>或失业人员，以及被确认为不适宜就业的非在职成员。</w:t>
      </w:r>
    </w:p>
    <w:p w:rsidR="00000000" w:rsidRDefault="00B7115A">
      <w:r>
        <w:tab/>
        <w:t xml:space="preserve">135.  </w:t>
      </w:r>
      <w:r>
        <w:rPr>
          <w:rFonts w:hint="eastAsia"/>
        </w:rPr>
        <w:t>根据世界银行的建议，福利金数额因需要而异：采用浮动标准有助于保证比其他家庭更需要的家庭得到较多的福利金。</w:t>
      </w:r>
    </w:p>
    <w:p w:rsidR="00000000" w:rsidRDefault="00B7115A">
      <w:r>
        <w:tab/>
        <w:t xml:space="preserve">136.  </w:t>
      </w:r>
      <w:r>
        <w:rPr>
          <w:rFonts w:hint="eastAsia"/>
        </w:rPr>
        <w:t>截至</w:t>
      </w:r>
      <w:r>
        <w:t>1998</w:t>
      </w:r>
      <w:r>
        <w:rPr>
          <w:rFonts w:hint="eastAsia"/>
        </w:rPr>
        <w:t>年</w:t>
      </w:r>
      <w:r>
        <w:t>1</w:t>
      </w:r>
      <w:r>
        <w:rPr>
          <w:rFonts w:hint="eastAsia"/>
        </w:rPr>
        <w:t>月</w:t>
      </w:r>
      <w:r>
        <w:t>1</w:t>
      </w:r>
      <w:r>
        <w:rPr>
          <w:rFonts w:hint="eastAsia"/>
        </w:rPr>
        <w:t>日，领取福利金的共有</w:t>
      </w:r>
      <w:r>
        <w:t>237,100</w:t>
      </w:r>
      <w:r>
        <w:rPr>
          <w:rFonts w:hint="eastAsia"/>
        </w:rPr>
        <w:t>个家庭，约</w:t>
      </w:r>
      <w:r>
        <w:t>745,100</w:t>
      </w:r>
      <w:r>
        <w:rPr>
          <w:rFonts w:hint="eastAsia"/>
        </w:rPr>
        <w:t>人，其中包括年龄</w:t>
      </w:r>
      <w:r>
        <w:t>16</w:t>
      </w:r>
      <w:r>
        <w:rPr>
          <w:rFonts w:hint="eastAsia"/>
        </w:rPr>
        <w:t>岁以下的儿童</w:t>
      </w:r>
      <w:r>
        <w:t>720,100</w:t>
      </w:r>
      <w:r>
        <w:rPr>
          <w:rFonts w:hint="eastAsia"/>
        </w:rPr>
        <w:t>名、学生</w:t>
      </w:r>
      <w:r>
        <w:t>14,800</w:t>
      </w:r>
      <w:r>
        <w:rPr>
          <w:rFonts w:hint="eastAsia"/>
        </w:rPr>
        <w:t>名、失业人员</w:t>
      </w:r>
      <w:r>
        <w:t>6,700</w:t>
      </w:r>
      <w:r>
        <w:rPr>
          <w:rFonts w:hint="eastAsia"/>
        </w:rPr>
        <w:t>名、不适宜就业的人</w:t>
      </w:r>
      <w:r>
        <w:t>2,100</w:t>
      </w:r>
      <w:r>
        <w:rPr>
          <w:rFonts w:hint="eastAsia"/>
        </w:rPr>
        <w:t>名和</w:t>
      </w:r>
      <w:r>
        <w:t>1,400</w:t>
      </w:r>
      <w:r>
        <w:rPr>
          <w:rFonts w:hint="eastAsia"/>
        </w:rPr>
        <w:t>名非在职的养恤金领取者。</w:t>
      </w:r>
    </w:p>
    <w:p w:rsidR="00000000" w:rsidRDefault="00B7115A">
      <w:r>
        <w:tab/>
        <w:t xml:space="preserve">137.  </w:t>
      </w:r>
      <w:r>
        <w:rPr>
          <w:rFonts w:hint="eastAsia"/>
        </w:rPr>
        <w:t>有</w:t>
      </w:r>
      <w:r>
        <w:t>32,000</w:t>
      </w:r>
      <w:r>
        <w:rPr>
          <w:rFonts w:hint="eastAsia"/>
        </w:rPr>
        <w:t>多人领取社会养恤金，包括</w:t>
      </w:r>
      <w:r>
        <w:t>142</w:t>
      </w:r>
      <w:r>
        <w:rPr>
          <w:rFonts w:hint="eastAsia"/>
        </w:rPr>
        <w:t>名英雄母亲、</w:t>
      </w:r>
      <w:r>
        <w:t>24,500</w:t>
      </w:r>
      <w:r>
        <w:rPr>
          <w:rFonts w:hint="eastAsia"/>
        </w:rPr>
        <w:t>名先天性残疾</w:t>
      </w:r>
      <w:r>
        <w:rPr>
          <w:rFonts w:hint="eastAsia"/>
        </w:rPr>
        <w:t>人、</w:t>
      </w:r>
      <w:r>
        <w:t>1,000</w:t>
      </w:r>
      <w:r>
        <w:rPr>
          <w:rFonts w:hint="eastAsia"/>
        </w:rPr>
        <w:t>名因一般疾病致残的人、</w:t>
      </w:r>
      <w:r>
        <w:t>1,400</w:t>
      </w:r>
      <w:r>
        <w:rPr>
          <w:rFonts w:hint="eastAsia"/>
        </w:rPr>
        <w:t>名领取失去赡养人的抚恤金的儿童和</w:t>
      </w:r>
      <w:r>
        <w:t>5,700</w:t>
      </w:r>
      <w:r>
        <w:rPr>
          <w:rFonts w:hint="eastAsia"/>
        </w:rPr>
        <w:t>名老人</w:t>
      </w:r>
      <w:r>
        <w:t>(</w:t>
      </w:r>
      <w:r>
        <w:rPr>
          <w:rFonts w:hint="eastAsia"/>
        </w:rPr>
        <w:t>男子为</w:t>
      </w:r>
      <w:r>
        <w:t>65</w:t>
      </w:r>
      <w:r>
        <w:rPr>
          <w:rFonts w:hint="eastAsia"/>
        </w:rPr>
        <w:t>岁以上，妇女为</w:t>
      </w:r>
      <w:r>
        <w:t>60</w:t>
      </w:r>
      <w:r>
        <w:rPr>
          <w:rFonts w:hint="eastAsia"/>
        </w:rPr>
        <w:t>岁以上</w:t>
      </w:r>
      <w:r>
        <w:t>)</w:t>
      </w:r>
      <w:r>
        <w:rPr>
          <w:rFonts w:hint="eastAsia"/>
        </w:rPr>
        <w:t>。</w:t>
      </w:r>
    </w:p>
    <w:p w:rsidR="00000000" w:rsidRDefault="00B7115A">
      <w:r>
        <w:tab/>
        <w:t xml:space="preserve">138.  </w:t>
      </w:r>
      <w:r>
        <w:rPr>
          <w:rFonts w:hint="eastAsia"/>
        </w:rPr>
        <w:t>全国有</w:t>
      </w:r>
      <w:r>
        <w:t>16.4%</w:t>
      </w:r>
      <w:r>
        <w:rPr>
          <w:rFonts w:hint="eastAsia"/>
        </w:rPr>
        <w:t>的人口领取月福利金，</w:t>
      </w:r>
      <w:r>
        <w:t>0.7%</w:t>
      </w:r>
      <w:r>
        <w:rPr>
          <w:rFonts w:hint="eastAsia"/>
        </w:rPr>
        <w:t>领取社会养恤金。每一地区的相应数字如下：</w:t>
      </w:r>
    </w:p>
    <w:p w:rsidR="00000000" w:rsidRDefault="00B7115A">
      <w:pPr>
        <w:ind w:left="1036"/>
      </w:pPr>
      <w:r>
        <w:rPr>
          <w:rFonts w:hint="eastAsia"/>
        </w:rPr>
        <w:t>奥</w:t>
      </w:r>
      <w:r>
        <w:t xml:space="preserve">  </w:t>
      </w:r>
      <w:r>
        <w:rPr>
          <w:rFonts w:hint="eastAsia"/>
        </w:rPr>
        <w:t>什：</w:t>
      </w:r>
      <w:r>
        <w:tab/>
      </w:r>
      <w:r>
        <w:rPr>
          <w:rFonts w:hint="eastAsia"/>
        </w:rPr>
        <w:t>月福利金，</w:t>
      </w:r>
      <w:r>
        <w:t>22.6%</w:t>
      </w:r>
      <w:r>
        <w:rPr>
          <w:rFonts w:hint="eastAsia"/>
        </w:rPr>
        <w:t>；社会养恤金，</w:t>
      </w:r>
      <w:r>
        <w:t>0.8%</w:t>
      </w:r>
      <w:r>
        <w:rPr>
          <w:rFonts w:hint="eastAsia"/>
        </w:rPr>
        <w:t>；</w:t>
      </w:r>
    </w:p>
    <w:p w:rsidR="00000000" w:rsidRDefault="00B7115A">
      <w:pPr>
        <w:ind w:left="1036"/>
      </w:pPr>
      <w:r>
        <w:rPr>
          <w:rFonts w:hint="eastAsia"/>
        </w:rPr>
        <w:t>贾拉拉巴德：</w:t>
      </w:r>
      <w:r>
        <w:t>25.9%</w:t>
      </w:r>
      <w:r>
        <w:rPr>
          <w:rFonts w:hint="eastAsia"/>
        </w:rPr>
        <w:t>和</w:t>
      </w:r>
      <w:r>
        <w:t>0.8%</w:t>
      </w:r>
      <w:r>
        <w:rPr>
          <w:rFonts w:hint="eastAsia"/>
        </w:rPr>
        <w:t>；</w:t>
      </w:r>
    </w:p>
    <w:p w:rsidR="00000000" w:rsidRDefault="00B7115A">
      <w:pPr>
        <w:ind w:left="1036"/>
      </w:pPr>
      <w:r>
        <w:rPr>
          <w:rFonts w:hint="eastAsia"/>
        </w:rPr>
        <w:t>伊西库勒：</w:t>
      </w:r>
      <w:r>
        <w:tab/>
        <w:t>11.6%</w:t>
      </w:r>
      <w:r>
        <w:rPr>
          <w:rFonts w:hint="eastAsia"/>
        </w:rPr>
        <w:t>和</w:t>
      </w:r>
      <w:r>
        <w:t>0.9%</w:t>
      </w:r>
      <w:r>
        <w:rPr>
          <w:rFonts w:hint="eastAsia"/>
        </w:rPr>
        <w:t>；</w:t>
      </w:r>
    </w:p>
    <w:p w:rsidR="00000000" w:rsidRDefault="00B7115A">
      <w:pPr>
        <w:ind w:left="1036"/>
      </w:pPr>
      <w:r>
        <w:rPr>
          <w:rFonts w:hint="eastAsia"/>
        </w:rPr>
        <w:t>纳</w:t>
      </w:r>
      <w:r>
        <w:t xml:space="preserve">  </w:t>
      </w:r>
      <w:r>
        <w:rPr>
          <w:rFonts w:hint="eastAsia"/>
        </w:rPr>
        <w:t>林：</w:t>
      </w:r>
      <w:r>
        <w:tab/>
        <w:t>27%</w:t>
      </w:r>
      <w:r>
        <w:rPr>
          <w:rFonts w:hint="eastAsia"/>
        </w:rPr>
        <w:t>和</w:t>
      </w:r>
      <w:r>
        <w:t>1.0%</w:t>
      </w:r>
      <w:r>
        <w:rPr>
          <w:rFonts w:hint="eastAsia"/>
        </w:rPr>
        <w:t>；</w:t>
      </w:r>
    </w:p>
    <w:p w:rsidR="00000000" w:rsidRDefault="00B7115A">
      <w:pPr>
        <w:ind w:left="1036"/>
      </w:pPr>
      <w:r>
        <w:rPr>
          <w:rFonts w:hint="eastAsia"/>
        </w:rPr>
        <w:t>塔拉斯：</w:t>
      </w:r>
      <w:r>
        <w:tab/>
        <w:t>15.9%</w:t>
      </w:r>
      <w:r>
        <w:rPr>
          <w:rFonts w:hint="eastAsia"/>
        </w:rPr>
        <w:t>和</w:t>
      </w:r>
      <w:r>
        <w:t>0.7%</w:t>
      </w:r>
      <w:r>
        <w:rPr>
          <w:rFonts w:hint="eastAsia"/>
        </w:rPr>
        <w:t>；</w:t>
      </w:r>
    </w:p>
    <w:p w:rsidR="00000000" w:rsidRDefault="00B7115A">
      <w:pPr>
        <w:ind w:left="1036"/>
      </w:pPr>
      <w:r>
        <w:rPr>
          <w:rFonts w:hint="eastAsia"/>
        </w:rPr>
        <w:t>楚</w:t>
      </w:r>
      <w:r>
        <w:t xml:space="preserve">  </w:t>
      </w:r>
      <w:r>
        <w:rPr>
          <w:rFonts w:hint="eastAsia"/>
        </w:rPr>
        <w:t>河：</w:t>
      </w:r>
      <w:r>
        <w:tab/>
        <w:t>5.0%</w:t>
      </w:r>
      <w:r>
        <w:rPr>
          <w:rFonts w:hint="eastAsia"/>
        </w:rPr>
        <w:t>和</w:t>
      </w:r>
      <w:r>
        <w:t>0.7%</w:t>
      </w:r>
      <w:r>
        <w:rPr>
          <w:rFonts w:hint="eastAsia"/>
        </w:rPr>
        <w:t>；</w:t>
      </w:r>
    </w:p>
    <w:p w:rsidR="00000000" w:rsidRDefault="00B7115A">
      <w:pPr>
        <w:ind w:left="1036"/>
      </w:pPr>
      <w:r>
        <w:rPr>
          <w:rFonts w:hint="eastAsia"/>
        </w:rPr>
        <w:t>比什勒克：</w:t>
      </w:r>
      <w:r>
        <w:tab/>
        <w:t>1.3%</w:t>
      </w:r>
      <w:r>
        <w:rPr>
          <w:rFonts w:hint="eastAsia"/>
        </w:rPr>
        <w:t>和</w:t>
      </w:r>
      <w:r>
        <w:t>0.4%</w:t>
      </w:r>
      <w:r>
        <w:rPr>
          <w:rFonts w:hint="eastAsia"/>
        </w:rPr>
        <w:t>。</w:t>
      </w:r>
    </w:p>
    <w:p w:rsidR="00000000" w:rsidRDefault="00B7115A">
      <w:r>
        <w:rPr>
          <w:rFonts w:hint="eastAsia"/>
        </w:rPr>
        <w:t>月福利金规模</w:t>
      </w:r>
      <w:r>
        <w:rPr>
          <w:rFonts w:hint="eastAsia"/>
        </w:rPr>
        <w:t>取决于家庭的整个收入，平均为</w:t>
      </w:r>
      <w:r>
        <w:t>37.0</w:t>
      </w:r>
      <w:r>
        <w:rPr>
          <w:rFonts w:hint="eastAsia"/>
        </w:rPr>
        <w:t>索姆。社会养恤金不以家庭收入为条件，平均为</w:t>
      </w:r>
      <w:r>
        <w:t>86.51</w:t>
      </w:r>
      <w:r>
        <w:rPr>
          <w:rFonts w:hint="eastAsia"/>
        </w:rPr>
        <w:t>索姆。</w:t>
      </w:r>
    </w:p>
    <w:p w:rsidR="00000000" w:rsidRDefault="00B7115A">
      <w:r>
        <w:tab/>
        <w:t xml:space="preserve">139.  </w:t>
      </w:r>
      <w:r>
        <w:rPr>
          <w:rFonts w:hint="eastAsia"/>
        </w:rPr>
        <w:t>放弃全民福利原则将有可能把国家援助提供给最需要它的人口群体。从</w:t>
      </w:r>
      <w:r>
        <w:t>1995</w:t>
      </w:r>
      <w:r>
        <w:rPr>
          <w:rFonts w:hint="eastAsia"/>
        </w:rPr>
        <w:t>年</w:t>
      </w:r>
      <w:r>
        <w:t>1</w:t>
      </w:r>
      <w:r>
        <w:rPr>
          <w:rFonts w:hint="eastAsia"/>
        </w:rPr>
        <w:t>月</w:t>
      </w:r>
      <w:r>
        <w:t>1</w:t>
      </w:r>
      <w:r>
        <w:rPr>
          <w:rFonts w:hint="eastAsia"/>
        </w:rPr>
        <w:t>日起，国家预算给贫困家庭和公民的所有福利提供的资金为有针对性地提高社会保护的效率作出了主要贡献。</w:t>
      </w:r>
    </w:p>
    <w:p w:rsidR="00000000" w:rsidRDefault="00B7115A">
      <w:r>
        <w:tab/>
        <w:t xml:space="preserve">140.  </w:t>
      </w:r>
      <w:r>
        <w:rPr>
          <w:rFonts w:hint="eastAsia"/>
        </w:rPr>
        <w:t>由于生活水准下降、食品和药物价格上升和社会养恤金不足以满足我们时代的需要，吉尔吉斯斯坦国家福利法草案规定给先天性残疾人的社会津贴从有保障的最低收入的</w:t>
      </w:r>
      <w:r>
        <w:t>50%</w:t>
      </w:r>
      <w:r>
        <w:rPr>
          <w:rFonts w:hint="eastAsia"/>
        </w:rPr>
        <w:t>增加到</w:t>
      </w:r>
      <w:r>
        <w:t>200%</w:t>
      </w:r>
      <w:r>
        <w:rPr>
          <w:rFonts w:hint="eastAsia"/>
        </w:rPr>
        <w:t>，取决于残疾类型和残疾的原因。该草案目前正由</w:t>
      </w:r>
      <w:r>
        <w:rPr>
          <w:rFonts w:hint="eastAsia"/>
        </w:rPr>
        <w:t>若戈尔库克溺什审议。</w:t>
      </w:r>
    </w:p>
    <w:p w:rsidR="00000000" w:rsidRDefault="00B7115A">
      <w:r>
        <w:tab/>
        <w:t xml:space="preserve">141.  </w:t>
      </w:r>
      <w:r>
        <w:rPr>
          <w:rFonts w:hint="eastAsia"/>
        </w:rPr>
        <w:t>已经做了大量工作。一定的法规和规章基础已经建立，通过了关于养恤金、就业和医疗保险的法律和执行它们的规范性文书。目前正进行紧张的法律起草工作，并正在拟订国家就业方案，它将按部门和地理区域解决问题。</w:t>
      </w:r>
    </w:p>
    <w:p w:rsidR="00000000" w:rsidRDefault="00B7115A">
      <w:r>
        <w:tab/>
        <w:t xml:space="preserve">142.  </w:t>
      </w:r>
      <w:r>
        <w:rPr>
          <w:rFonts w:hint="eastAsia"/>
        </w:rPr>
        <w:t>社会援助的实际执行和改善，正继续按照吉尔吉斯斯坦和世界银行就社会安全网项目达成的协定进行。</w:t>
      </w:r>
    </w:p>
    <w:p w:rsidR="00000000" w:rsidRDefault="00B7115A">
      <w:pPr>
        <w:spacing w:after="240"/>
        <w:textAlignment w:val="center"/>
      </w:pPr>
      <w:r>
        <w:tab/>
        <w:t xml:space="preserve">143.  </w:t>
      </w:r>
      <w:r>
        <w:rPr>
          <w:rFonts w:hint="eastAsia"/>
        </w:rPr>
        <w:t>社会援助战略包含建立和使用新机制，确定人口中的需要的不同程度，以便通过国家给予贫困家庭的福利来提供有重点的社会援助。</w:t>
      </w:r>
    </w:p>
    <w:p w:rsidR="00000000" w:rsidRDefault="00B7115A">
      <w:pPr>
        <w:pStyle w:val="Heading3"/>
        <w:spacing w:after="240"/>
      </w:pPr>
      <w:r>
        <w:rPr>
          <w:rFonts w:hint="eastAsia"/>
        </w:rPr>
        <w:t>第</w:t>
      </w:r>
      <w:r>
        <w:t xml:space="preserve"> 10 </w:t>
      </w:r>
      <w:r>
        <w:rPr>
          <w:rFonts w:hint="eastAsia"/>
        </w:rPr>
        <w:t>条</w:t>
      </w:r>
    </w:p>
    <w:p w:rsidR="00000000" w:rsidRDefault="00B7115A">
      <w:pPr>
        <w:spacing w:line="312" w:lineRule="auto"/>
      </w:pPr>
      <w:r>
        <w:tab/>
        <w:t xml:space="preserve">144.  </w:t>
      </w:r>
      <w:r>
        <w:rPr>
          <w:rFonts w:hint="eastAsia"/>
        </w:rPr>
        <w:t>吉尔吉斯斯坦宪</w:t>
      </w:r>
      <w:r>
        <w:rPr>
          <w:rFonts w:hint="eastAsia"/>
        </w:rPr>
        <w:t>法第</w:t>
      </w:r>
      <w:r>
        <w:t>26</w:t>
      </w:r>
      <w:r>
        <w:rPr>
          <w:rFonts w:hint="eastAsia"/>
        </w:rPr>
        <w:t>条规定，家庭是社会的基本单位；家庭、为父、为母和为子女之道是全社会的关注，根据法律受到优先保护。父母有权利和义务照顾其子女并保证适当培养他们。适宜工作并达到成人年龄的子女有义务照顾其父母。尊重老年人和照顾亲属和家属是吉尔吉斯斯坦人民的神圣传统。</w:t>
      </w:r>
    </w:p>
    <w:p w:rsidR="00000000" w:rsidRDefault="00B7115A">
      <w:pPr>
        <w:spacing w:line="312" w:lineRule="auto"/>
      </w:pPr>
      <w:r>
        <w:tab/>
        <w:t xml:space="preserve">145.  </w:t>
      </w:r>
      <w:r>
        <w:rPr>
          <w:rFonts w:hint="eastAsia"/>
        </w:rPr>
        <w:t>国家用许多方式帮助家庭。国家正在建立和发展广泛的产妇医院网络、日间托儿所和幼儿园、寄宿学校和其他儿童机构和组织，并改善公共服务和饮食服务；国家支付产妇津贴并向单身母亲和大家庭给予福利和特权以及其它类型的家庭津贴和援助。</w:t>
      </w:r>
    </w:p>
    <w:p w:rsidR="00000000" w:rsidRDefault="00B7115A">
      <w:pPr>
        <w:spacing w:after="240" w:line="312" w:lineRule="auto"/>
        <w:textAlignment w:val="center"/>
      </w:pPr>
      <w:r>
        <w:tab/>
        <w:t xml:space="preserve">146.  </w:t>
      </w:r>
      <w:r>
        <w:rPr>
          <w:rFonts w:hint="eastAsia"/>
        </w:rPr>
        <w:t>国家抚养、</w:t>
      </w:r>
      <w:r>
        <w:rPr>
          <w:rFonts w:hint="eastAsia"/>
        </w:rPr>
        <w:t>培养和教育孤儿和失去父母照顾的儿童。</w:t>
      </w:r>
    </w:p>
    <w:p w:rsidR="00000000" w:rsidRDefault="00B7115A">
      <w:pPr>
        <w:pStyle w:val="Heading3"/>
        <w:spacing w:before="60" w:after="200"/>
      </w:pPr>
      <w:r>
        <w:rPr>
          <w:rFonts w:hint="eastAsia"/>
        </w:rPr>
        <w:t>失去父母照顾的儿童和青少年的安置</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308"/>
        <w:gridCol w:w="1367"/>
        <w:gridCol w:w="1367"/>
        <w:gridCol w:w="1367"/>
      </w:tblGrid>
      <w:tr w:rsidR="00000000">
        <w:tblPrEx>
          <w:tblCellMar>
            <w:top w:w="0" w:type="dxa"/>
            <w:bottom w:w="0" w:type="dxa"/>
          </w:tblCellMar>
        </w:tblPrEx>
        <w:tc>
          <w:tcPr>
            <w:tcW w:w="5308" w:type="dxa"/>
            <w:tcBorders>
              <w:top w:val="single" w:sz="6" w:space="0" w:color="auto"/>
              <w:bottom w:val="single" w:sz="6" w:space="0" w:color="auto"/>
              <w:right w:val="nil"/>
            </w:tcBorders>
          </w:tcPr>
          <w:p w:rsidR="00000000" w:rsidRDefault="00B7115A">
            <w:pPr>
              <w:spacing w:before="60"/>
              <w:ind w:left="113"/>
              <w:jc w:val="center"/>
              <w:rPr>
                <w:sz w:val="21"/>
              </w:rPr>
            </w:pPr>
          </w:p>
        </w:tc>
        <w:tc>
          <w:tcPr>
            <w:tcW w:w="1367" w:type="dxa"/>
            <w:tcBorders>
              <w:top w:val="single" w:sz="6" w:space="0" w:color="auto"/>
              <w:left w:val="single" w:sz="6" w:space="0" w:color="auto"/>
              <w:bottom w:val="single" w:sz="6" w:space="0" w:color="auto"/>
              <w:right w:val="single" w:sz="6" w:space="0" w:color="auto"/>
            </w:tcBorders>
          </w:tcPr>
          <w:p w:rsidR="00000000" w:rsidRDefault="00B7115A">
            <w:pPr>
              <w:spacing w:before="60"/>
              <w:jc w:val="center"/>
            </w:pPr>
            <w:r>
              <w:t>1994</w:t>
            </w:r>
          </w:p>
        </w:tc>
        <w:tc>
          <w:tcPr>
            <w:tcW w:w="1367" w:type="dxa"/>
            <w:tcBorders>
              <w:top w:val="single" w:sz="6" w:space="0" w:color="auto"/>
              <w:left w:val="nil"/>
              <w:bottom w:val="single" w:sz="6" w:space="0" w:color="auto"/>
              <w:right w:val="nil"/>
            </w:tcBorders>
          </w:tcPr>
          <w:p w:rsidR="00000000" w:rsidRDefault="00B7115A">
            <w:pPr>
              <w:spacing w:before="60"/>
              <w:jc w:val="center"/>
            </w:pPr>
            <w:r>
              <w:t>1995</w:t>
            </w:r>
          </w:p>
        </w:tc>
        <w:tc>
          <w:tcPr>
            <w:tcW w:w="1367" w:type="dxa"/>
            <w:tcBorders>
              <w:top w:val="single" w:sz="6" w:space="0" w:color="auto"/>
              <w:left w:val="single" w:sz="6" w:space="0" w:color="auto"/>
              <w:bottom w:val="single" w:sz="6" w:space="0" w:color="auto"/>
            </w:tcBorders>
          </w:tcPr>
          <w:p w:rsidR="00000000" w:rsidRDefault="00B7115A">
            <w:pPr>
              <w:spacing w:before="60"/>
              <w:jc w:val="center"/>
            </w:pPr>
            <w:r>
              <w:t>1996</w:t>
            </w:r>
          </w:p>
        </w:tc>
      </w:tr>
      <w:tr w:rsidR="00000000">
        <w:tblPrEx>
          <w:tblCellMar>
            <w:top w:w="0" w:type="dxa"/>
            <w:bottom w:w="0" w:type="dxa"/>
          </w:tblCellMar>
        </w:tblPrEx>
        <w:tc>
          <w:tcPr>
            <w:tcW w:w="5308" w:type="dxa"/>
            <w:tcBorders>
              <w:top w:val="nil"/>
              <w:right w:val="nil"/>
            </w:tcBorders>
          </w:tcPr>
          <w:p w:rsidR="00000000" w:rsidRDefault="00B7115A">
            <w:pPr>
              <w:spacing w:before="60" w:line="288" w:lineRule="auto"/>
              <w:ind w:left="113"/>
              <w:rPr>
                <w:sz w:val="21"/>
              </w:rPr>
            </w:pPr>
            <w:r>
              <w:rPr>
                <w:rFonts w:hint="eastAsia"/>
                <w:sz w:val="21"/>
              </w:rPr>
              <w:t>无父母照顾的儿童和青少年总人数</w:t>
            </w:r>
            <w:r>
              <w:rPr>
                <w:sz w:val="21"/>
              </w:rPr>
              <w:t>(</w:t>
            </w:r>
            <w:r>
              <w:rPr>
                <w:rFonts w:hint="eastAsia"/>
                <w:sz w:val="21"/>
              </w:rPr>
              <w:t>新情况</w:t>
            </w:r>
            <w:r>
              <w:rPr>
                <w:sz w:val="21"/>
              </w:rPr>
              <w:t>)</w:t>
            </w:r>
          </w:p>
        </w:tc>
        <w:tc>
          <w:tcPr>
            <w:tcW w:w="1367" w:type="dxa"/>
            <w:tcBorders>
              <w:top w:val="nil"/>
              <w:left w:val="single" w:sz="6" w:space="0" w:color="auto"/>
              <w:right w:val="single" w:sz="6" w:space="0" w:color="auto"/>
            </w:tcBorders>
          </w:tcPr>
          <w:p w:rsidR="00000000" w:rsidRDefault="00B7115A">
            <w:pPr>
              <w:spacing w:before="60" w:line="288" w:lineRule="auto"/>
              <w:ind w:right="397"/>
              <w:jc w:val="right"/>
              <w:rPr>
                <w:sz w:val="21"/>
              </w:rPr>
            </w:pPr>
            <w:r>
              <w:rPr>
                <w:sz w:val="21"/>
              </w:rPr>
              <w:t>2,140</w:t>
            </w:r>
          </w:p>
        </w:tc>
        <w:tc>
          <w:tcPr>
            <w:tcW w:w="1367" w:type="dxa"/>
            <w:tcBorders>
              <w:top w:val="nil"/>
              <w:left w:val="nil"/>
              <w:right w:val="nil"/>
            </w:tcBorders>
          </w:tcPr>
          <w:p w:rsidR="00000000" w:rsidRDefault="00B7115A">
            <w:pPr>
              <w:spacing w:before="60" w:line="288" w:lineRule="auto"/>
              <w:ind w:right="397"/>
              <w:jc w:val="right"/>
              <w:rPr>
                <w:sz w:val="21"/>
              </w:rPr>
            </w:pPr>
            <w:r>
              <w:rPr>
                <w:sz w:val="21"/>
              </w:rPr>
              <w:t>2,261</w:t>
            </w:r>
          </w:p>
        </w:tc>
        <w:tc>
          <w:tcPr>
            <w:tcW w:w="1367" w:type="dxa"/>
            <w:tcBorders>
              <w:top w:val="nil"/>
              <w:left w:val="single" w:sz="6" w:space="0" w:color="auto"/>
            </w:tcBorders>
          </w:tcPr>
          <w:p w:rsidR="00000000" w:rsidRDefault="00B7115A">
            <w:pPr>
              <w:spacing w:before="60" w:line="288" w:lineRule="auto"/>
              <w:ind w:right="397"/>
              <w:jc w:val="right"/>
              <w:rPr>
                <w:sz w:val="21"/>
              </w:rPr>
            </w:pPr>
            <w:r>
              <w:rPr>
                <w:sz w:val="21"/>
              </w:rPr>
              <w:t>2,622</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rFonts w:hint="eastAsia"/>
                <w:sz w:val="21"/>
              </w:rPr>
              <w:t>安置在下列机构的人数：</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p>
        </w:tc>
        <w:tc>
          <w:tcPr>
            <w:tcW w:w="1367" w:type="dxa"/>
            <w:tcBorders>
              <w:left w:val="nil"/>
              <w:right w:val="nil"/>
            </w:tcBorders>
          </w:tcPr>
          <w:p w:rsidR="00000000" w:rsidRDefault="00B7115A">
            <w:pPr>
              <w:spacing w:before="60" w:line="288" w:lineRule="auto"/>
              <w:ind w:right="397"/>
              <w:jc w:val="right"/>
              <w:rPr>
                <w:sz w:val="21"/>
              </w:rPr>
            </w:pPr>
          </w:p>
        </w:tc>
        <w:tc>
          <w:tcPr>
            <w:tcW w:w="1367" w:type="dxa"/>
            <w:tcBorders>
              <w:left w:val="single" w:sz="6" w:space="0" w:color="auto"/>
            </w:tcBorders>
          </w:tcPr>
          <w:p w:rsidR="00000000" w:rsidRDefault="00B7115A">
            <w:pPr>
              <w:spacing w:before="60" w:line="288" w:lineRule="auto"/>
              <w:ind w:right="397"/>
              <w:jc w:val="right"/>
              <w:rPr>
                <w:sz w:val="21"/>
              </w:rPr>
            </w:pP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弃婴机构、孤儿和无父母照顾儿童收养所和</w:t>
            </w:r>
            <w:r>
              <w:rPr>
                <w:sz w:val="21"/>
              </w:rPr>
              <w:br/>
              <w:t xml:space="preserve">  </w:t>
            </w:r>
            <w:r>
              <w:rPr>
                <w:rFonts w:hint="eastAsia"/>
                <w:sz w:val="21"/>
              </w:rPr>
              <w:t>寄宿学校、家庭式儿童养育院</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br/>
              <w:t>217</w:t>
            </w:r>
          </w:p>
        </w:tc>
        <w:tc>
          <w:tcPr>
            <w:tcW w:w="1367" w:type="dxa"/>
            <w:tcBorders>
              <w:left w:val="nil"/>
              <w:right w:val="nil"/>
            </w:tcBorders>
          </w:tcPr>
          <w:p w:rsidR="00000000" w:rsidRDefault="00B7115A">
            <w:pPr>
              <w:spacing w:before="60" w:line="288" w:lineRule="auto"/>
              <w:ind w:right="397"/>
              <w:jc w:val="right"/>
              <w:rPr>
                <w:sz w:val="21"/>
              </w:rPr>
            </w:pPr>
            <w:r>
              <w:rPr>
                <w:sz w:val="21"/>
              </w:rPr>
              <w:br/>
              <w:t>172</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br/>
              <w:t>281</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受监护</w:t>
            </w:r>
            <w:r>
              <w:rPr>
                <w:sz w:val="21"/>
              </w:rPr>
              <w:t>(</w:t>
            </w:r>
            <w:r>
              <w:rPr>
                <w:rFonts w:hint="eastAsia"/>
                <w:sz w:val="21"/>
              </w:rPr>
              <w:t>临时监护</w:t>
            </w:r>
            <w:r>
              <w:rPr>
                <w:sz w:val="21"/>
              </w:rPr>
              <w:t>)</w:t>
            </w:r>
            <w:r>
              <w:rPr>
                <w:rFonts w:hint="eastAsia"/>
                <w:sz w:val="21"/>
              </w:rPr>
              <w:t>或被收养</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1,579</w:t>
            </w:r>
          </w:p>
        </w:tc>
        <w:tc>
          <w:tcPr>
            <w:tcW w:w="1367" w:type="dxa"/>
            <w:tcBorders>
              <w:left w:val="nil"/>
              <w:right w:val="nil"/>
            </w:tcBorders>
          </w:tcPr>
          <w:p w:rsidR="00000000" w:rsidRDefault="00B7115A">
            <w:pPr>
              <w:spacing w:before="60" w:line="288" w:lineRule="auto"/>
              <w:ind w:right="397"/>
              <w:jc w:val="right"/>
              <w:rPr>
                <w:sz w:val="21"/>
              </w:rPr>
            </w:pPr>
            <w:r>
              <w:rPr>
                <w:sz w:val="21"/>
              </w:rPr>
              <w:t>1,760</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1,934</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职业培训学校、中等专业学校和高等教育机构</w:t>
            </w:r>
            <w:r>
              <w:rPr>
                <w:sz w:val="21"/>
              </w:rPr>
              <w:br/>
              <w:t xml:space="preserve">  </w:t>
            </w:r>
            <w:r>
              <w:rPr>
                <w:rFonts w:hint="eastAsia"/>
                <w:sz w:val="21"/>
              </w:rPr>
              <w:t>和其他全部由国家资助的教育机构</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br/>
              <w:t>239</w:t>
            </w:r>
          </w:p>
        </w:tc>
        <w:tc>
          <w:tcPr>
            <w:tcW w:w="1367" w:type="dxa"/>
            <w:tcBorders>
              <w:left w:val="nil"/>
              <w:right w:val="nil"/>
            </w:tcBorders>
          </w:tcPr>
          <w:p w:rsidR="00000000" w:rsidRDefault="00B7115A">
            <w:pPr>
              <w:spacing w:before="60" w:line="288" w:lineRule="auto"/>
              <w:ind w:right="397"/>
              <w:jc w:val="right"/>
              <w:rPr>
                <w:sz w:val="21"/>
              </w:rPr>
            </w:pPr>
            <w:r>
              <w:rPr>
                <w:sz w:val="21"/>
              </w:rPr>
              <w:br/>
              <w:t>14</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br/>
              <w:t>23</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仍</w:t>
            </w:r>
            <w:r>
              <w:rPr>
                <w:rFonts w:hint="eastAsia"/>
                <w:sz w:val="21"/>
              </w:rPr>
              <w:t>然为孤儿和其他无父母照顾的儿童</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105</w:t>
            </w:r>
          </w:p>
        </w:tc>
        <w:tc>
          <w:tcPr>
            <w:tcW w:w="1367" w:type="dxa"/>
            <w:tcBorders>
              <w:left w:val="nil"/>
              <w:right w:val="nil"/>
            </w:tcBorders>
          </w:tcPr>
          <w:p w:rsidR="00000000" w:rsidRDefault="00B7115A">
            <w:pPr>
              <w:spacing w:before="60" w:line="288" w:lineRule="auto"/>
              <w:ind w:right="397"/>
              <w:jc w:val="right"/>
              <w:rPr>
                <w:sz w:val="21"/>
              </w:rPr>
            </w:pPr>
            <w:r>
              <w:rPr>
                <w:sz w:val="21"/>
              </w:rPr>
              <w:t>315</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484</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rFonts w:hint="eastAsia"/>
                <w:sz w:val="21"/>
              </w:rPr>
              <w:t>以下列方式抚养的儿童和未成年人数：</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p>
        </w:tc>
        <w:tc>
          <w:tcPr>
            <w:tcW w:w="1367" w:type="dxa"/>
            <w:tcBorders>
              <w:left w:val="nil"/>
              <w:right w:val="nil"/>
            </w:tcBorders>
          </w:tcPr>
          <w:p w:rsidR="00000000" w:rsidRDefault="00B7115A">
            <w:pPr>
              <w:spacing w:before="60" w:line="288" w:lineRule="auto"/>
              <w:ind w:right="397"/>
              <w:jc w:val="right"/>
              <w:rPr>
                <w:sz w:val="21"/>
              </w:rPr>
            </w:pPr>
          </w:p>
        </w:tc>
        <w:tc>
          <w:tcPr>
            <w:tcW w:w="1367" w:type="dxa"/>
            <w:tcBorders>
              <w:left w:val="single" w:sz="6" w:space="0" w:color="auto"/>
            </w:tcBorders>
          </w:tcPr>
          <w:p w:rsidR="00000000" w:rsidRDefault="00B7115A">
            <w:pPr>
              <w:spacing w:before="60" w:line="288" w:lineRule="auto"/>
              <w:ind w:right="397"/>
              <w:jc w:val="right"/>
              <w:rPr>
                <w:sz w:val="21"/>
              </w:rPr>
            </w:pP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监护</w:t>
            </w:r>
            <w:r>
              <w:rPr>
                <w:sz w:val="21"/>
              </w:rPr>
              <w:t>(</w:t>
            </w:r>
            <w:r>
              <w:rPr>
                <w:rFonts w:hint="eastAsia"/>
                <w:sz w:val="21"/>
              </w:rPr>
              <w:t>临时监护</w:t>
            </w:r>
            <w:r>
              <w:rPr>
                <w:sz w:val="21"/>
              </w:rPr>
              <w:t>)</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6,445</w:t>
            </w:r>
          </w:p>
        </w:tc>
        <w:tc>
          <w:tcPr>
            <w:tcW w:w="1367" w:type="dxa"/>
            <w:tcBorders>
              <w:left w:val="nil"/>
              <w:right w:val="nil"/>
            </w:tcBorders>
          </w:tcPr>
          <w:p w:rsidR="00000000" w:rsidRDefault="00B7115A">
            <w:pPr>
              <w:spacing w:before="60" w:line="288" w:lineRule="auto"/>
              <w:ind w:right="397"/>
              <w:jc w:val="right"/>
              <w:rPr>
                <w:sz w:val="21"/>
              </w:rPr>
            </w:pPr>
            <w:r>
              <w:rPr>
                <w:sz w:val="21"/>
              </w:rPr>
              <w:t>5,715</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6,056</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收</w:t>
            </w:r>
            <w:r>
              <w:rPr>
                <w:sz w:val="21"/>
              </w:rPr>
              <w:t xml:space="preserve">  </w:t>
            </w:r>
            <w:r>
              <w:rPr>
                <w:rFonts w:hint="eastAsia"/>
                <w:sz w:val="21"/>
              </w:rPr>
              <w:t>养</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10,375</w:t>
            </w:r>
          </w:p>
        </w:tc>
        <w:tc>
          <w:tcPr>
            <w:tcW w:w="1367" w:type="dxa"/>
            <w:tcBorders>
              <w:left w:val="nil"/>
              <w:right w:val="nil"/>
            </w:tcBorders>
          </w:tcPr>
          <w:p w:rsidR="00000000" w:rsidRDefault="00B7115A">
            <w:pPr>
              <w:spacing w:before="60" w:line="288" w:lineRule="auto"/>
              <w:ind w:right="397"/>
              <w:jc w:val="right"/>
              <w:rPr>
                <w:sz w:val="21"/>
              </w:rPr>
            </w:pPr>
            <w:r>
              <w:rPr>
                <w:sz w:val="21"/>
              </w:rPr>
              <w:t>8,772</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9,431</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rFonts w:hint="eastAsia"/>
                <w:sz w:val="21"/>
              </w:rPr>
              <w:t>以下列方式抚养的儿童人数：</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p>
        </w:tc>
        <w:tc>
          <w:tcPr>
            <w:tcW w:w="1367" w:type="dxa"/>
            <w:tcBorders>
              <w:left w:val="nil"/>
              <w:right w:val="nil"/>
            </w:tcBorders>
          </w:tcPr>
          <w:p w:rsidR="00000000" w:rsidRDefault="00B7115A">
            <w:pPr>
              <w:spacing w:before="60" w:line="288" w:lineRule="auto"/>
              <w:ind w:right="397"/>
              <w:jc w:val="right"/>
              <w:rPr>
                <w:sz w:val="21"/>
              </w:rPr>
            </w:pPr>
          </w:p>
        </w:tc>
        <w:tc>
          <w:tcPr>
            <w:tcW w:w="1367" w:type="dxa"/>
            <w:tcBorders>
              <w:left w:val="single" w:sz="6" w:space="0" w:color="auto"/>
            </w:tcBorders>
          </w:tcPr>
          <w:p w:rsidR="00000000" w:rsidRDefault="00B7115A">
            <w:pPr>
              <w:spacing w:before="60" w:line="288" w:lineRule="auto"/>
              <w:ind w:right="397"/>
              <w:jc w:val="right"/>
              <w:rPr>
                <w:sz w:val="21"/>
              </w:rPr>
            </w:pP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弃婴机构</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84</w:t>
            </w:r>
          </w:p>
        </w:tc>
        <w:tc>
          <w:tcPr>
            <w:tcW w:w="1367" w:type="dxa"/>
            <w:tcBorders>
              <w:left w:val="nil"/>
              <w:right w:val="nil"/>
            </w:tcBorders>
          </w:tcPr>
          <w:p w:rsidR="00000000" w:rsidRDefault="00B7115A">
            <w:pPr>
              <w:spacing w:before="60" w:line="288" w:lineRule="auto"/>
              <w:ind w:right="397"/>
              <w:jc w:val="right"/>
              <w:rPr>
                <w:sz w:val="21"/>
              </w:rPr>
            </w:pPr>
            <w:r>
              <w:rPr>
                <w:sz w:val="21"/>
              </w:rPr>
              <w:t>85</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191</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儿童收养所</w:t>
            </w:r>
          </w:p>
        </w:tc>
        <w:tc>
          <w:tcPr>
            <w:tcW w:w="1367" w:type="dxa"/>
            <w:tcBorders>
              <w:left w:val="single" w:sz="6" w:space="0" w:color="auto"/>
              <w:right w:val="single" w:sz="6" w:space="0" w:color="auto"/>
            </w:tcBorders>
          </w:tcPr>
          <w:p w:rsidR="00000000" w:rsidRDefault="00B7115A">
            <w:pPr>
              <w:spacing w:before="60" w:line="288" w:lineRule="auto"/>
              <w:ind w:right="397"/>
              <w:jc w:val="right"/>
              <w:rPr>
                <w:sz w:val="21"/>
              </w:rPr>
            </w:pPr>
            <w:r>
              <w:rPr>
                <w:sz w:val="21"/>
              </w:rPr>
              <w:t>413</w:t>
            </w:r>
          </w:p>
        </w:tc>
        <w:tc>
          <w:tcPr>
            <w:tcW w:w="1367" w:type="dxa"/>
            <w:tcBorders>
              <w:left w:val="nil"/>
              <w:right w:val="nil"/>
            </w:tcBorders>
          </w:tcPr>
          <w:p w:rsidR="00000000" w:rsidRDefault="00B7115A">
            <w:pPr>
              <w:spacing w:before="60" w:line="288" w:lineRule="auto"/>
              <w:ind w:right="397"/>
              <w:jc w:val="right"/>
              <w:rPr>
                <w:sz w:val="21"/>
              </w:rPr>
            </w:pPr>
            <w:r>
              <w:rPr>
                <w:sz w:val="21"/>
              </w:rPr>
              <w:t>403</w:t>
            </w:r>
          </w:p>
        </w:tc>
        <w:tc>
          <w:tcPr>
            <w:tcW w:w="1367" w:type="dxa"/>
            <w:tcBorders>
              <w:left w:val="single" w:sz="6" w:space="0" w:color="auto"/>
            </w:tcBorders>
          </w:tcPr>
          <w:p w:rsidR="00000000" w:rsidRDefault="00B7115A">
            <w:pPr>
              <w:spacing w:before="60" w:line="288" w:lineRule="auto"/>
              <w:ind w:right="397"/>
              <w:jc w:val="right"/>
              <w:rPr>
                <w:sz w:val="21"/>
              </w:rPr>
            </w:pPr>
            <w:r>
              <w:rPr>
                <w:sz w:val="21"/>
              </w:rPr>
              <w:t>528</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sz w:val="21"/>
              </w:rPr>
              <w:t xml:space="preserve">  </w:t>
            </w:r>
            <w:r>
              <w:rPr>
                <w:rFonts w:hint="eastAsia"/>
                <w:sz w:val="21"/>
              </w:rPr>
              <w:t>一般寄宿学校</w:t>
            </w:r>
          </w:p>
        </w:tc>
        <w:tc>
          <w:tcPr>
            <w:tcW w:w="1367" w:type="dxa"/>
            <w:tcBorders>
              <w:left w:val="single" w:sz="6" w:space="0" w:color="auto"/>
              <w:bottom w:val="single" w:sz="6" w:space="0" w:color="auto"/>
              <w:right w:val="single" w:sz="6" w:space="0" w:color="auto"/>
            </w:tcBorders>
          </w:tcPr>
          <w:p w:rsidR="00000000" w:rsidRDefault="00B7115A">
            <w:pPr>
              <w:spacing w:before="60" w:line="288" w:lineRule="auto"/>
              <w:ind w:right="397"/>
              <w:jc w:val="right"/>
              <w:rPr>
                <w:sz w:val="21"/>
              </w:rPr>
            </w:pPr>
            <w:r>
              <w:rPr>
                <w:sz w:val="21"/>
              </w:rPr>
              <w:t>697</w:t>
            </w:r>
          </w:p>
        </w:tc>
        <w:tc>
          <w:tcPr>
            <w:tcW w:w="1367" w:type="dxa"/>
            <w:tcBorders>
              <w:left w:val="nil"/>
              <w:right w:val="nil"/>
            </w:tcBorders>
          </w:tcPr>
          <w:p w:rsidR="00000000" w:rsidRDefault="00B7115A">
            <w:pPr>
              <w:spacing w:before="60" w:line="288" w:lineRule="auto"/>
              <w:ind w:right="397"/>
              <w:jc w:val="right"/>
              <w:rPr>
                <w:sz w:val="21"/>
              </w:rPr>
            </w:pPr>
            <w:r>
              <w:rPr>
                <w:sz w:val="21"/>
              </w:rPr>
              <w:t>442</w:t>
            </w:r>
          </w:p>
        </w:tc>
        <w:tc>
          <w:tcPr>
            <w:tcW w:w="1367" w:type="dxa"/>
            <w:tcBorders>
              <w:left w:val="single" w:sz="6" w:space="0" w:color="auto"/>
              <w:bottom w:val="single" w:sz="6" w:space="0" w:color="auto"/>
            </w:tcBorders>
          </w:tcPr>
          <w:p w:rsidR="00000000" w:rsidRDefault="00B7115A">
            <w:pPr>
              <w:spacing w:before="60" w:line="288" w:lineRule="auto"/>
              <w:ind w:right="397"/>
              <w:jc w:val="right"/>
              <w:rPr>
                <w:sz w:val="21"/>
              </w:rPr>
            </w:pPr>
            <w:r>
              <w:rPr>
                <w:sz w:val="21"/>
              </w:rPr>
              <w:t>1,112</w:t>
            </w:r>
          </w:p>
        </w:tc>
      </w:tr>
    </w:tbl>
    <w:p w:rsidR="00000000" w:rsidRDefault="00B7115A">
      <w:pPr>
        <w:pStyle w:val="Heading3"/>
        <w:spacing w:before="60" w:after="200"/>
      </w:pPr>
      <w:r>
        <w:rPr>
          <w:rFonts w:hint="eastAsia"/>
        </w:rPr>
        <w:t>儿童寄宿机构</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308"/>
        <w:gridCol w:w="1367"/>
        <w:gridCol w:w="1367"/>
        <w:gridCol w:w="1367"/>
      </w:tblGrid>
      <w:tr w:rsidR="00000000">
        <w:tblPrEx>
          <w:tblCellMar>
            <w:top w:w="0" w:type="dxa"/>
            <w:bottom w:w="0" w:type="dxa"/>
          </w:tblCellMar>
        </w:tblPrEx>
        <w:tc>
          <w:tcPr>
            <w:tcW w:w="5308" w:type="dxa"/>
            <w:tcBorders>
              <w:top w:val="single" w:sz="6" w:space="0" w:color="auto"/>
              <w:bottom w:val="single" w:sz="6" w:space="0" w:color="auto"/>
              <w:right w:val="nil"/>
            </w:tcBorders>
          </w:tcPr>
          <w:p w:rsidR="00000000" w:rsidRDefault="00B7115A">
            <w:pPr>
              <w:spacing w:before="60"/>
              <w:ind w:left="113"/>
            </w:pPr>
          </w:p>
        </w:tc>
        <w:tc>
          <w:tcPr>
            <w:tcW w:w="1367" w:type="dxa"/>
            <w:tcBorders>
              <w:top w:val="single" w:sz="6" w:space="0" w:color="auto"/>
              <w:left w:val="single" w:sz="6" w:space="0" w:color="auto"/>
              <w:bottom w:val="single" w:sz="6" w:space="0" w:color="auto"/>
              <w:right w:val="nil"/>
            </w:tcBorders>
          </w:tcPr>
          <w:p w:rsidR="00000000" w:rsidRDefault="00B7115A">
            <w:pPr>
              <w:spacing w:before="60"/>
              <w:jc w:val="center"/>
            </w:pPr>
            <w:r>
              <w:t>1994</w:t>
            </w:r>
          </w:p>
        </w:tc>
        <w:tc>
          <w:tcPr>
            <w:tcW w:w="1367" w:type="dxa"/>
            <w:tcBorders>
              <w:top w:val="single" w:sz="6" w:space="0" w:color="auto"/>
              <w:left w:val="single" w:sz="6" w:space="0" w:color="auto"/>
              <w:bottom w:val="single" w:sz="6" w:space="0" w:color="auto"/>
              <w:right w:val="single" w:sz="6" w:space="0" w:color="auto"/>
            </w:tcBorders>
          </w:tcPr>
          <w:p w:rsidR="00000000" w:rsidRDefault="00B7115A">
            <w:pPr>
              <w:spacing w:before="60"/>
              <w:jc w:val="center"/>
            </w:pPr>
            <w:r>
              <w:t>1995</w:t>
            </w:r>
          </w:p>
        </w:tc>
        <w:tc>
          <w:tcPr>
            <w:tcW w:w="1367" w:type="dxa"/>
            <w:tcBorders>
              <w:top w:val="single" w:sz="6" w:space="0" w:color="auto"/>
              <w:left w:val="nil"/>
              <w:bottom w:val="single" w:sz="6" w:space="0" w:color="auto"/>
            </w:tcBorders>
          </w:tcPr>
          <w:p w:rsidR="00000000" w:rsidRDefault="00B7115A">
            <w:pPr>
              <w:spacing w:before="60"/>
              <w:jc w:val="center"/>
            </w:pPr>
            <w:r>
              <w:t>1996</w:t>
            </w:r>
          </w:p>
        </w:tc>
      </w:tr>
      <w:tr w:rsidR="00000000">
        <w:tblPrEx>
          <w:tblCellMar>
            <w:top w:w="0" w:type="dxa"/>
            <w:bottom w:w="0" w:type="dxa"/>
          </w:tblCellMar>
        </w:tblPrEx>
        <w:tc>
          <w:tcPr>
            <w:tcW w:w="5308" w:type="dxa"/>
            <w:tcBorders>
              <w:top w:val="nil"/>
              <w:right w:val="nil"/>
            </w:tcBorders>
          </w:tcPr>
          <w:p w:rsidR="00000000" w:rsidRDefault="00B7115A">
            <w:pPr>
              <w:spacing w:before="60" w:line="312" w:lineRule="auto"/>
              <w:ind w:left="113"/>
              <w:rPr>
                <w:sz w:val="21"/>
              </w:rPr>
            </w:pPr>
            <w:r>
              <w:rPr>
                <w:rFonts w:hint="eastAsia"/>
                <w:sz w:val="21"/>
              </w:rPr>
              <w:t>弃婴机构</w:t>
            </w:r>
          </w:p>
        </w:tc>
        <w:tc>
          <w:tcPr>
            <w:tcW w:w="1367" w:type="dxa"/>
            <w:tcBorders>
              <w:top w:val="nil"/>
              <w:left w:val="single" w:sz="6" w:space="0" w:color="auto"/>
              <w:right w:val="nil"/>
            </w:tcBorders>
          </w:tcPr>
          <w:p w:rsidR="00000000" w:rsidRDefault="00B7115A">
            <w:pPr>
              <w:spacing w:before="60" w:line="312" w:lineRule="auto"/>
              <w:ind w:right="340"/>
              <w:jc w:val="right"/>
              <w:rPr>
                <w:sz w:val="21"/>
              </w:rPr>
            </w:pPr>
            <w:r>
              <w:rPr>
                <w:sz w:val="21"/>
              </w:rPr>
              <w:t>3</w:t>
            </w:r>
          </w:p>
        </w:tc>
        <w:tc>
          <w:tcPr>
            <w:tcW w:w="1367" w:type="dxa"/>
            <w:tcBorders>
              <w:top w:val="nil"/>
              <w:left w:val="single" w:sz="6" w:space="0" w:color="auto"/>
              <w:right w:val="single" w:sz="6" w:space="0" w:color="auto"/>
            </w:tcBorders>
          </w:tcPr>
          <w:p w:rsidR="00000000" w:rsidRDefault="00B7115A">
            <w:pPr>
              <w:spacing w:before="60" w:line="312" w:lineRule="auto"/>
              <w:ind w:right="340"/>
              <w:jc w:val="right"/>
              <w:rPr>
                <w:sz w:val="21"/>
              </w:rPr>
            </w:pPr>
            <w:r>
              <w:rPr>
                <w:sz w:val="21"/>
              </w:rPr>
              <w:t>4</w:t>
            </w:r>
          </w:p>
        </w:tc>
        <w:tc>
          <w:tcPr>
            <w:tcW w:w="1367" w:type="dxa"/>
            <w:tcBorders>
              <w:top w:val="nil"/>
              <w:left w:val="nil"/>
            </w:tcBorders>
          </w:tcPr>
          <w:p w:rsidR="00000000" w:rsidRDefault="00B7115A">
            <w:pPr>
              <w:spacing w:before="60" w:line="312" w:lineRule="auto"/>
              <w:ind w:right="340"/>
              <w:jc w:val="right"/>
              <w:rPr>
                <w:sz w:val="21"/>
              </w:rPr>
            </w:pPr>
            <w:r>
              <w:rPr>
                <w:sz w:val="21"/>
              </w:rPr>
              <w:t>4</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sz w:val="21"/>
              </w:rPr>
              <w:t xml:space="preserve">  </w:t>
            </w:r>
            <w:r>
              <w:rPr>
                <w:rFonts w:hint="eastAsia"/>
                <w:sz w:val="21"/>
              </w:rPr>
              <w:t>在弃婴机构的人数</w:t>
            </w:r>
          </w:p>
        </w:tc>
        <w:tc>
          <w:tcPr>
            <w:tcW w:w="1367" w:type="dxa"/>
            <w:tcBorders>
              <w:left w:val="single" w:sz="6" w:space="0" w:color="auto"/>
              <w:right w:val="nil"/>
            </w:tcBorders>
          </w:tcPr>
          <w:p w:rsidR="00000000" w:rsidRDefault="00B7115A">
            <w:pPr>
              <w:spacing w:before="60" w:line="312" w:lineRule="auto"/>
              <w:ind w:right="340"/>
              <w:jc w:val="right"/>
              <w:rPr>
                <w:sz w:val="21"/>
              </w:rPr>
            </w:pPr>
            <w:r>
              <w:rPr>
                <w:sz w:val="21"/>
              </w:rPr>
              <w:t>238</w:t>
            </w:r>
          </w:p>
        </w:tc>
        <w:tc>
          <w:tcPr>
            <w:tcW w:w="1367" w:type="dxa"/>
            <w:tcBorders>
              <w:left w:val="single" w:sz="6" w:space="0" w:color="auto"/>
              <w:right w:val="single" w:sz="6" w:space="0" w:color="auto"/>
            </w:tcBorders>
          </w:tcPr>
          <w:p w:rsidR="00000000" w:rsidRDefault="00B7115A">
            <w:pPr>
              <w:spacing w:before="60" w:line="312" w:lineRule="auto"/>
              <w:ind w:right="340"/>
              <w:jc w:val="right"/>
              <w:rPr>
                <w:sz w:val="21"/>
              </w:rPr>
            </w:pPr>
            <w:r>
              <w:rPr>
                <w:sz w:val="21"/>
              </w:rPr>
              <w:t>223</w:t>
            </w:r>
          </w:p>
        </w:tc>
        <w:tc>
          <w:tcPr>
            <w:tcW w:w="1367" w:type="dxa"/>
            <w:tcBorders>
              <w:left w:val="nil"/>
            </w:tcBorders>
          </w:tcPr>
          <w:p w:rsidR="00000000" w:rsidRDefault="00B7115A">
            <w:pPr>
              <w:spacing w:before="60" w:line="312" w:lineRule="auto"/>
              <w:ind w:right="340"/>
              <w:jc w:val="right"/>
              <w:rPr>
                <w:sz w:val="21"/>
              </w:rPr>
            </w:pPr>
            <w:r>
              <w:rPr>
                <w:sz w:val="21"/>
              </w:rPr>
              <w:t>226</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rFonts w:hint="eastAsia"/>
                <w:sz w:val="21"/>
              </w:rPr>
              <w:t>儿童收养所</w:t>
            </w:r>
          </w:p>
        </w:tc>
        <w:tc>
          <w:tcPr>
            <w:tcW w:w="1367" w:type="dxa"/>
            <w:tcBorders>
              <w:left w:val="single" w:sz="6" w:space="0" w:color="auto"/>
              <w:right w:val="nil"/>
            </w:tcBorders>
          </w:tcPr>
          <w:p w:rsidR="00000000" w:rsidRDefault="00B7115A">
            <w:pPr>
              <w:spacing w:before="60" w:line="312" w:lineRule="auto"/>
              <w:ind w:right="340"/>
              <w:jc w:val="right"/>
              <w:rPr>
                <w:sz w:val="21"/>
              </w:rPr>
            </w:pPr>
            <w:r>
              <w:rPr>
                <w:sz w:val="21"/>
              </w:rPr>
              <w:t>4</w:t>
            </w:r>
          </w:p>
        </w:tc>
        <w:tc>
          <w:tcPr>
            <w:tcW w:w="1367" w:type="dxa"/>
            <w:tcBorders>
              <w:left w:val="single" w:sz="6" w:space="0" w:color="auto"/>
              <w:right w:val="single" w:sz="6" w:space="0" w:color="auto"/>
            </w:tcBorders>
          </w:tcPr>
          <w:p w:rsidR="00000000" w:rsidRDefault="00B7115A">
            <w:pPr>
              <w:spacing w:before="60" w:line="312" w:lineRule="auto"/>
              <w:ind w:right="340"/>
              <w:jc w:val="right"/>
              <w:rPr>
                <w:sz w:val="21"/>
              </w:rPr>
            </w:pPr>
            <w:r>
              <w:rPr>
                <w:sz w:val="21"/>
              </w:rPr>
              <w:t>4</w:t>
            </w:r>
          </w:p>
        </w:tc>
        <w:tc>
          <w:tcPr>
            <w:tcW w:w="1367" w:type="dxa"/>
            <w:tcBorders>
              <w:left w:val="nil"/>
            </w:tcBorders>
          </w:tcPr>
          <w:p w:rsidR="00000000" w:rsidRDefault="00B7115A">
            <w:pPr>
              <w:spacing w:before="60" w:line="312" w:lineRule="auto"/>
              <w:ind w:right="340"/>
              <w:jc w:val="right"/>
              <w:rPr>
                <w:sz w:val="21"/>
              </w:rPr>
            </w:pPr>
            <w:r>
              <w:rPr>
                <w:sz w:val="21"/>
              </w:rPr>
              <w:t>4</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sz w:val="21"/>
              </w:rPr>
              <w:t xml:space="preserve">  </w:t>
            </w:r>
            <w:r>
              <w:rPr>
                <w:rFonts w:hint="eastAsia"/>
                <w:sz w:val="21"/>
              </w:rPr>
              <w:t>在儿童收养所的儿童人数</w:t>
            </w:r>
          </w:p>
        </w:tc>
        <w:tc>
          <w:tcPr>
            <w:tcW w:w="1367" w:type="dxa"/>
            <w:tcBorders>
              <w:left w:val="single" w:sz="6" w:space="0" w:color="auto"/>
              <w:right w:val="nil"/>
            </w:tcBorders>
          </w:tcPr>
          <w:p w:rsidR="00000000" w:rsidRDefault="00B7115A">
            <w:pPr>
              <w:spacing w:before="60" w:line="312" w:lineRule="auto"/>
              <w:ind w:right="340"/>
              <w:jc w:val="right"/>
              <w:rPr>
                <w:sz w:val="21"/>
              </w:rPr>
            </w:pPr>
            <w:r>
              <w:rPr>
                <w:sz w:val="21"/>
              </w:rPr>
              <w:t>413</w:t>
            </w:r>
          </w:p>
        </w:tc>
        <w:tc>
          <w:tcPr>
            <w:tcW w:w="1367" w:type="dxa"/>
            <w:tcBorders>
              <w:left w:val="single" w:sz="6" w:space="0" w:color="auto"/>
              <w:right w:val="single" w:sz="6" w:space="0" w:color="auto"/>
            </w:tcBorders>
          </w:tcPr>
          <w:p w:rsidR="00000000" w:rsidRDefault="00B7115A">
            <w:pPr>
              <w:spacing w:before="60" w:line="312" w:lineRule="auto"/>
              <w:ind w:right="340"/>
              <w:jc w:val="right"/>
              <w:rPr>
                <w:sz w:val="21"/>
              </w:rPr>
            </w:pPr>
            <w:r>
              <w:rPr>
                <w:sz w:val="21"/>
              </w:rPr>
              <w:t>403</w:t>
            </w:r>
          </w:p>
        </w:tc>
        <w:tc>
          <w:tcPr>
            <w:tcW w:w="1367" w:type="dxa"/>
            <w:tcBorders>
              <w:left w:val="nil"/>
            </w:tcBorders>
          </w:tcPr>
          <w:p w:rsidR="00000000" w:rsidRDefault="00B7115A">
            <w:pPr>
              <w:spacing w:before="60" w:line="312" w:lineRule="auto"/>
              <w:ind w:right="340"/>
              <w:jc w:val="right"/>
              <w:rPr>
                <w:sz w:val="21"/>
              </w:rPr>
            </w:pPr>
            <w:r>
              <w:rPr>
                <w:sz w:val="21"/>
              </w:rPr>
              <w:t>528</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rFonts w:hint="eastAsia"/>
                <w:sz w:val="21"/>
              </w:rPr>
              <w:t>一般寄宿学校</w:t>
            </w:r>
          </w:p>
        </w:tc>
        <w:tc>
          <w:tcPr>
            <w:tcW w:w="1367" w:type="dxa"/>
            <w:tcBorders>
              <w:left w:val="single" w:sz="6" w:space="0" w:color="auto"/>
              <w:right w:val="nil"/>
            </w:tcBorders>
          </w:tcPr>
          <w:p w:rsidR="00000000" w:rsidRDefault="00B7115A">
            <w:pPr>
              <w:spacing w:before="60" w:line="312" w:lineRule="auto"/>
              <w:ind w:right="340"/>
              <w:jc w:val="right"/>
              <w:rPr>
                <w:sz w:val="21"/>
              </w:rPr>
            </w:pPr>
            <w:r>
              <w:rPr>
                <w:sz w:val="21"/>
              </w:rPr>
              <w:t>25</w:t>
            </w:r>
          </w:p>
        </w:tc>
        <w:tc>
          <w:tcPr>
            <w:tcW w:w="1367" w:type="dxa"/>
            <w:tcBorders>
              <w:left w:val="single" w:sz="6" w:space="0" w:color="auto"/>
              <w:right w:val="single" w:sz="6" w:space="0" w:color="auto"/>
            </w:tcBorders>
          </w:tcPr>
          <w:p w:rsidR="00000000" w:rsidRDefault="00B7115A">
            <w:pPr>
              <w:spacing w:before="60" w:line="312" w:lineRule="auto"/>
              <w:ind w:right="340"/>
              <w:jc w:val="right"/>
              <w:rPr>
                <w:sz w:val="21"/>
              </w:rPr>
            </w:pPr>
            <w:r>
              <w:rPr>
                <w:sz w:val="21"/>
              </w:rPr>
              <w:t>24</w:t>
            </w:r>
          </w:p>
        </w:tc>
        <w:tc>
          <w:tcPr>
            <w:tcW w:w="1367" w:type="dxa"/>
            <w:tcBorders>
              <w:left w:val="nil"/>
            </w:tcBorders>
          </w:tcPr>
          <w:p w:rsidR="00000000" w:rsidRDefault="00B7115A">
            <w:pPr>
              <w:spacing w:before="60" w:line="312" w:lineRule="auto"/>
              <w:ind w:right="340"/>
              <w:jc w:val="right"/>
              <w:rPr>
                <w:sz w:val="21"/>
              </w:rPr>
            </w:pPr>
            <w:r>
              <w:rPr>
                <w:sz w:val="21"/>
              </w:rPr>
              <w:t>26</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sz w:val="21"/>
              </w:rPr>
              <w:t xml:space="preserve">  </w:t>
            </w:r>
            <w:r>
              <w:rPr>
                <w:rFonts w:hint="eastAsia"/>
                <w:sz w:val="21"/>
              </w:rPr>
              <w:t>在一般寄宿学校的儿童人数</w:t>
            </w:r>
          </w:p>
        </w:tc>
        <w:tc>
          <w:tcPr>
            <w:tcW w:w="1367" w:type="dxa"/>
            <w:tcBorders>
              <w:left w:val="single" w:sz="6" w:space="0" w:color="auto"/>
              <w:right w:val="nil"/>
            </w:tcBorders>
          </w:tcPr>
          <w:p w:rsidR="00000000" w:rsidRDefault="00B7115A">
            <w:pPr>
              <w:spacing w:before="60" w:line="312" w:lineRule="auto"/>
              <w:ind w:right="340"/>
              <w:jc w:val="right"/>
              <w:rPr>
                <w:sz w:val="21"/>
              </w:rPr>
            </w:pPr>
            <w:r>
              <w:rPr>
                <w:sz w:val="21"/>
              </w:rPr>
              <w:t>6,309</w:t>
            </w:r>
          </w:p>
        </w:tc>
        <w:tc>
          <w:tcPr>
            <w:tcW w:w="1367" w:type="dxa"/>
            <w:tcBorders>
              <w:left w:val="single" w:sz="6" w:space="0" w:color="auto"/>
              <w:right w:val="single" w:sz="6" w:space="0" w:color="auto"/>
            </w:tcBorders>
          </w:tcPr>
          <w:p w:rsidR="00000000" w:rsidRDefault="00B7115A">
            <w:pPr>
              <w:spacing w:before="60" w:line="312" w:lineRule="auto"/>
              <w:ind w:right="340"/>
              <w:jc w:val="right"/>
              <w:rPr>
                <w:sz w:val="21"/>
              </w:rPr>
            </w:pPr>
            <w:r>
              <w:rPr>
                <w:sz w:val="21"/>
              </w:rPr>
              <w:t>7,070</w:t>
            </w:r>
          </w:p>
        </w:tc>
        <w:tc>
          <w:tcPr>
            <w:tcW w:w="1367" w:type="dxa"/>
            <w:tcBorders>
              <w:left w:val="nil"/>
            </w:tcBorders>
          </w:tcPr>
          <w:p w:rsidR="00000000" w:rsidRDefault="00B7115A">
            <w:pPr>
              <w:spacing w:before="60" w:line="312" w:lineRule="auto"/>
              <w:ind w:right="340"/>
              <w:jc w:val="right"/>
              <w:rPr>
                <w:sz w:val="21"/>
              </w:rPr>
            </w:pPr>
            <w:r>
              <w:rPr>
                <w:sz w:val="21"/>
              </w:rPr>
              <w:t>7,913</w:t>
            </w:r>
          </w:p>
        </w:tc>
      </w:tr>
      <w:tr w:rsidR="00000000">
        <w:tblPrEx>
          <w:tblCellMar>
            <w:top w:w="0" w:type="dxa"/>
            <w:bottom w:w="0" w:type="dxa"/>
          </w:tblCellMar>
        </w:tblPrEx>
        <w:tc>
          <w:tcPr>
            <w:tcW w:w="5308" w:type="dxa"/>
            <w:tcBorders>
              <w:right w:val="nil"/>
            </w:tcBorders>
          </w:tcPr>
          <w:p w:rsidR="00000000" w:rsidRDefault="00B7115A">
            <w:pPr>
              <w:spacing w:before="60" w:line="288" w:lineRule="auto"/>
              <w:ind w:left="113"/>
              <w:rPr>
                <w:sz w:val="21"/>
              </w:rPr>
            </w:pPr>
            <w:r>
              <w:rPr>
                <w:rFonts w:hint="eastAsia"/>
                <w:sz w:val="21"/>
              </w:rPr>
              <w:t>在一般寄宿学校中为孤儿和无父母照顾儿童的</w:t>
            </w:r>
            <w:r>
              <w:rPr>
                <w:sz w:val="21"/>
              </w:rPr>
              <w:br/>
            </w:r>
            <w:r>
              <w:rPr>
                <w:rFonts w:hint="eastAsia"/>
                <w:sz w:val="21"/>
              </w:rPr>
              <w:t>学校数目</w:t>
            </w:r>
          </w:p>
        </w:tc>
        <w:tc>
          <w:tcPr>
            <w:tcW w:w="1367" w:type="dxa"/>
            <w:tcBorders>
              <w:left w:val="single" w:sz="6" w:space="0" w:color="auto"/>
              <w:right w:val="nil"/>
            </w:tcBorders>
          </w:tcPr>
          <w:p w:rsidR="00000000" w:rsidRDefault="00B7115A">
            <w:pPr>
              <w:spacing w:before="60" w:line="288" w:lineRule="auto"/>
              <w:ind w:right="340"/>
              <w:jc w:val="right"/>
              <w:rPr>
                <w:sz w:val="21"/>
              </w:rPr>
            </w:pPr>
            <w:r>
              <w:rPr>
                <w:sz w:val="21"/>
              </w:rPr>
              <w:br/>
              <w:t>3</w:t>
            </w:r>
          </w:p>
        </w:tc>
        <w:tc>
          <w:tcPr>
            <w:tcW w:w="1367" w:type="dxa"/>
            <w:tcBorders>
              <w:left w:val="single" w:sz="6" w:space="0" w:color="auto"/>
              <w:right w:val="single" w:sz="6" w:space="0" w:color="auto"/>
            </w:tcBorders>
          </w:tcPr>
          <w:p w:rsidR="00000000" w:rsidRDefault="00B7115A">
            <w:pPr>
              <w:spacing w:before="60" w:line="288" w:lineRule="auto"/>
              <w:ind w:right="340"/>
              <w:jc w:val="right"/>
              <w:rPr>
                <w:sz w:val="21"/>
              </w:rPr>
            </w:pPr>
            <w:r>
              <w:rPr>
                <w:sz w:val="21"/>
              </w:rPr>
              <w:br/>
              <w:t>3</w:t>
            </w:r>
          </w:p>
        </w:tc>
        <w:tc>
          <w:tcPr>
            <w:tcW w:w="1367" w:type="dxa"/>
            <w:tcBorders>
              <w:left w:val="nil"/>
            </w:tcBorders>
          </w:tcPr>
          <w:p w:rsidR="00000000" w:rsidRDefault="00B7115A">
            <w:pPr>
              <w:spacing w:before="60" w:line="288" w:lineRule="auto"/>
              <w:ind w:right="340"/>
              <w:jc w:val="right"/>
              <w:rPr>
                <w:sz w:val="21"/>
              </w:rPr>
            </w:pPr>
            <w:r>
              <w:rPr>
                <w:sz w:val="21"/>
              </w:rPr>
              <w:br/>
              <w:t>3</w:t>
            </w:r>
          </w:p>
        </w:tc>
      </w:tr>
      <w:tr w:rsidR="00000000">
        <w:tblPrEx>
          <w:tblCellMar>
            <w:top w:w="0" w:type="dxa"/>
            <w:bottom w:w="0" w:type="dxa"/>
          </w:tblCellMar>
        </w:tblPrEx>
        <w:tc>
          <w:tcPr>
            <w:tcW w:w="5308" w:type="dxa"/>
            <w:tcBorders>
              <w:right w:val="nil"/>
            </w:tcBorders>
          </w:tcPr>
          <w:p w:rsidR="00000000" w:rsidRDefault="00B7115A">
            <w:pPr>
              <w:spacing w:before="60" w:line="312" w:lineRule="auto"/>
              <w:ind w:left="113"/>
              <w:rPr>
                <w:sz w:val="21"/>
              </w:rPr>
            </w:pPr>
            <w:r>
              <w:rPr>
                <w:sz w:val="21"/>
              </w:rPr>
              <w:t xml:space="preserve">  </w:t>
            </w:r>
            <w:r>
              <w:rPr>
                <w:rFonts w:hint="eastAsia"/>
                <w:sz w:val="21"/>
              </w:rPr>
              <w:t>在为孤儿和无父母照顾的学校的儿童人数</w:t>
            </w:r>
          </w:p>
        </w:tc>
        <w:tc>
          <w:tcPr>
            <w:tcW w:w="1367" w:type="dxa"/>
            <w:tcBorders>
              <w:left w:val="single" w:sz="6" w:space="0" w:color="auto"/>
              <w:bottom w:val="single" w:sz="6" w:space="0" w:color="auto"/>
              <w:right w:val="nil"/>
            </w:tcBorders>
          </w:tcPr>
          <w:p w:rsidR="00000000" w:rsidRDefault="00B7115A">
            <w:pPr>
              <w:spacing w:before="60" w:line="312" w:lineRule="auto"/>
              <w:ind w:right="340"/>
              <w:jc w:val="right"/>
              <w:rPr>
                <w:sz w:val="21"/>
              </w:rPr>
            </w:pPr>
            <w:r>
              <w:rPr>
                <w:sz w:val="21"/>
              </w:rPr>
              <w:t>2,181</w:t>
            </w:r>
          </w:p>
        </w:tc>
        <w:tc>
          <w:tcPr>
            <w:tcW w:w="1367" w:type="dxa"/>
            <w:tcBorders>
              <w:left w:val="single" w:sz="6" w:space="0" w:color="auto"/>
              <w:bottom w:val="single" w:sz="6" w:space="0" w:color="auto"/>
              <w:right w:val="single" w:sz="6" w:space="0" w:color="auto"/>
            </w:tcBorders>
          </w:tcPr>
          <w:p w:rsidR="00000000" w:rsidRDefault="00B7115A">
            <w:pPr>
              <w:spacing w:before="60" w:line="312" w:lineRule="auto"/>
              <w:ind w:right="340"/>
              <w:jc w:val="right"/>
              <w:rPr>
                <w:sz w:val="21"/>
              </w:rPr>
            </w:pPr>
            <w:r>
              <w:rPr>
                <w:sz w:val="21"/>
              </w:rPr>
              <w:t>2,057</w:t>
            </w:r>
          </w:p>
        </w:tc>
        <w:tc>
          <w:tcPr>
            <w:tcW w:w="1367" w:type="dxa"/>
            <w:tcBorders>
              <w:left w:val="nil"/>
            </w:tcBorders>
          </w:tcPr>
          <w:p w:rsidR="00000000" w:rsidRDefault="00B7115A">
            <w:pPr>
              <w:spacing w:before="60" w:line="312" w:lineRule="auto"/>
              <w:ind w:right="340"/>
              <w:jc w:val="right"/>
              <w:rPr>
                <w:sz w:val="21"/>
              </w:rPr>
            </w:pPr>
            <w:r>
              <w:rPr>
                <w:sz w:val="21"/>
              </w:rPr>
              <w:t>2,215</w:t>
            </w:r>
          </w:p>
        </w:tc>
      </w:tr>
    </w:tbl>
    <w:p w:rsidR="00000000" w:rsidRDefault="00B7115A"/>
    <w:p w:rsidR="00000000" w:rsidRDefault="00B7115A">
      <w:pPr>
        <w:spacing w:before="120"/>
      </w:pPr>
      <w:r>
        <w:tab/>
        <w:t xml:space="preserve">147.  </w:t>
      </w:r>
      <w:r>
        <w:rPr>
          <w:rFonts w:hint="eastAsia"/>
        </w:rPr>
        <w:t>吉尔吉斯斯坦政府对母亲实行鼓励和保护。对母亲和儿童的保护通过下列途径得到保证：为妇女制定特别职业安全和健康措施、创造能使妇女将工作与母性相结合的条件、为母亲和儿童提供法律保护以</w:t>
      </w:r>
      <w:r>
        <w:rPr>
          <w:rFonts w:hint="eastAsia"/>
        </w:rPr>
        <w:t>及经济和道义支持，包括孕妇和母亲的带薪假和其他福利。</w:t>
      </w:r>
    </w:p>
    <w:p w:rsidR="00000000" w:rsidRDefault="00B7115A">
      <w:r>
        <w:tab/>
        <w:t xml:space="preserve">148.  </w:t>
      </w:r>
      <w:r>
        <w:rPr>
          <w:rFonts w:hint="eastAsia"/>
        </w:rPr>
        <w:t>根据政府</w:t>
      </w:r>
      <w:r>
        <w:t>1992</w:t>
      </w:r>
      <w:r>
        <w:rPr>
          <w:rFonts w:hint="eastAsia"/>
        </w:rPr>
        <w:t>年</w:t>
      </w:r>
      <w:r>
        <w:t>1</w:t>
      </w:r>
      <w:r>
        <w:rPr>
          <w:rFonts w:hint="eastAsia"/>
        </w:rPr>
        <w:t>月</w:t>
      </w:r>
      <w:r>
        <w:t>16</w:t>
      </w:r>
      <w:r>
        <w:rPr>
          <w:rFonts w:hint="eastAsia"/>
        </w:rPr>
        <w:t>日第</w:t>
      </w:r>
      <w:r>
        <w:t>14</w:t>
      </w:r>
      <w:r>
        <w:rPr>
          <w:rFonts w:hint="eastAsia"/>
        </w:rPr>
        <w:t>号决定，母亲英雄有权免费享受城市和郊区公共交通。此外，有关进入城市和农村电话网络的规章给母亲英雄、大家庭和有先天性残疾儿童或有患糖尿病、癫痫病或哮喘病儿童的家庭规定了安装电话的优先。</w:t>
      </w:r>
    </w:p>
    <w:p w:rsidR="00000000" w:rsidRDefault="00B7115A">
      <w:r>
        <w:tab/>
        <w:t xml:space="preserve">149.  </w:t>
      </w:r>
      <w:r>
        <w:rPr>
          <w:rFonts w:hint="eastAsia"/>
        </w:rPr>
        <w:t>根据劳工法第</w:t>
      </w:r>
      <w:r>
        <w:t>305</w:t>
      </w:r>
      <w:r>
        <w:rPr>
          <w:rFonts w:hint="eastAsia"/>
        </w:rPr>
        <w:t>条，妇女在妊娠期间享受</w:t>
      </w:r>
      <w:r>
        <w:t>70</w:t>
      </w:r>
      <w:r>
        <w:rPr>
          <w:rFonts w:hint="eastAsia"/>
        </w:rPr>
        <w:t>个日历日的假期、产后享受</w:t>
      </w:r>
      <w:r>
        <w:t>56</w:t>
      </w:r>
      <w:r>
        <w:rPr>
          <w:rFonts w:hint="eastAsia"/>
        </w:rPr>
        <w:t>个日历日的产假</w:t>
      </w:r>
      <w:r>
        <w:t>(</w:t>
      </w:r>
      <w:r>
        <w:rPr>
          <w:rFonts w:hint="eastAsia"/>
        </w:rPr>
        <w:t>在难产或多胎的情况下为</w:t>
      </w:r>
      <w:r>
        <w:t>70</w:t>
      </w:r>
      <w:r>
        <w:rPr>
          <w:rFonts w:hint="eastAsia"/>
        </w:rPr>
        <w:t>天</w:t>
      </w:r>
      <w:r>
        <w:t>)</w:t>
      </w:r>
      <w:r>
        <w:rPr>
          <w:rFonts w:hint="eastAsia"/>
        </w:rPr>
        <w:t>，在此期间的社会保险津贴由国家支付。根据劳工法第</w:t>
      </w:r>
      <w:r>
        <w:t>306</w:t>
      </w:r>
      <w:r>
        <w:rPr>
          <w:rFonts w:hint="eastAsia"/>
        </w:rPr>
        <w:t>条，妇女无论为其雇主工作的时间长短有权在</w:t>
      </w:r>
      <w:r>
        <w:rPr>
          <w:rFonts w:hint="eastAsia"/>
        </w:rPr>
        <w:t>产假之前或之后或在照看儿童假之后请假不工作。无论工龄长短，妇女提出要求后应获准照看儿童假直到该儿童达到</w:t>
      </w:r>
      <w:r>
        <w:t>3</w:t>
      </w:r>
      <w:r>
        <w:rPr>
          <w:rFonts w:hint="eastAsia"/>
        </w:rPr>
        <w:t>岁。这种假根据儿童母亲的书面申请给予，并可以连续休或按任何希望的期限分段休。如果母亲死亡，儿童失去父母权利或要延长治疗期限或在该儿童没有母亲照顾的其他情况中，该儿童的家庭可决定将这一假期让给实际上代替母亲照看该儿童的另一亲属或个人。在这种假期中，休假人获准在其就业场所或另一工作岗位工作部分时间</w:t>
      </w:r>
      <w:r>
        <w:t>(</w:t>
      </w:r>
      <w:r>
        <w:rPr>
          <w:rFonts w:hint="eastAsia"/>
        </w:rPr>
        <w:t>不超过一个标准月工作小时的一半</w:t>
      </w:r>
      <w:r>
        <w:t>)</w:t>
      </w:r>
      <w:r>
        <w:rPr>
          <w:rFonts w:hint="eastAsia"/>
        </w:rPr>
        <w:t>或在家上班，同时领取月津贴。用在该儿童</w:t>
      </w:r>
      <w:r>
        <w:t>3</w:t>
      </w:r>
      <w:r>
        <w:rPr>
          <w:rFonts w:hint="eastAsia"/>
        </w:rPr>
        <w:t>岁前的照看假，其时间算作特定职业和整个就</w:t>
      </w:r>
      <w:r>
        <w:rPr>
          <w:rFonts w:hint="eastAsia"/>
        </w:rPr>
        <w:t>业期间的工龄，但不作为计算年假的工作年限</w:t>
      </w:r>
      <w:r>
        <w:t>(</w:t>
      </w:r>
      <w:r>
        <w:rPr>
          <w:rFonts w:hint="eastAsia"/>
        </w:rPr>
        <w:t>劳工法第</w:t>
      </w:r>
      <w:r>
        <w:t>205</w:t>
      </w:r>
      <w:r>
        <w:rPr>
          <w:rFonts w:hint="eastAsia"/>
        </w:rPr>
        <w:t>条</w:t>
      </w:r>
      <w:r>
        <w:t>)</w:t>
      </w:r>
      <w:r>
        <w:rPr>
          <w:rFonts w:hint="eastAsia"/>
        </w:rPr>
        <w:t>。</w:t>
      </w:r>
    </w:p>
    <w:p w:rsidR="00000000" w:rsidRDefault="00B7115A">
      <w:r>
        <w:tab/>
        <w:t xml:space="preserve">150.  </w:t>
      </w:r>
      <w:r>
        <w:rPr>
          <w:rFonts w:hint="eastAsia"/>
        </w:rPr>
        <w:t>部分带薪照看儿童假也可以由儿童的父亲、祖母或祖父或实际照看该儿童的其他亲属连续休或分段休。</w:t>
      </w:r>
    </w:p>
    <w:p w:rsidR="00000000" w:rsidRDefault="00B7115A">
      <w:r>
        <w:tab/>
        <w:t xml:space="preserve">151.  </w:t>
      </w:r>
      <w:r>
        <w:rPr>
          <w:rFonts w:hint="eastAsia"/>
        </w:rPr>
        <w:t>根据吉尔吉斯斯坦法律</w:t>
      </w:r>
      <w:r>
        <w:t>(</w:t>
      </w:r>
      <w:r>
        <w:rPr>
          <w:rFonts w:hint="eastAsia"/>
        </w:rPr>
        <w:t>婚姻和家庭法第</w:t>
      </w:r>
      <w:r>
        <w:t>18</w:t>
      </w:r>
      <w:r>
        <w:rPr>
          <w:rFonts w:hint="eastAsia"/>
        </w:rPr>
        <w:t>条</w:t>
      </w:r>
      <w:r>
        <w:t>)</w:t>
      </w:r>
      <w:r>
        <w:rPr>
          <w:rFonts w:hint="eastAsia"/>
        </w:rPr>
        <w:t>，要缔结婚姻，双方必须表示同意并达到已婚年龄，即</w:t>
      </w:r>
      <w:r>
        <w:t>18</w:t>
      </w:r>
      <w:r>
        <w:rPr>
          <w:rFonts w:hint="eastAsia"/>
        </w:rPr>
        <w:t>岁。强迫妇女结婚应受刑法处罚。在</w:t>
      </w:r>
      <w:r>
        <w:t>1994-1997</w:t>
      </w:r>
      <w:r>
        <w:rPr>
          <w:rFonts w:hint="eastAsia"/>
        </w:rPr>
        <w:t>年期间没有登记到此类强迫婚姻的申诉。</w:t>
      </w:r>
    </w:p>
    <w:p w:rsidR="00000000" w:rsidRDefault="00B7115A">
      <w:r>
        <w:tab/>
        <w:t xml:space="preserve">152.  </w:t>
      </w:r>
      <w:r>
        <w:rPr>
          <w:rFonts w:hint="eastAsia"/>
        </w:rPr>
        <w:t>儿童权利和责任的年龄限制由法律规定。例如，刑法第</w:t>
      </w:r>
      <w:r>
        <w:t>18</w:t>
      </w:r>
      <w:r>
        <w:rPr>
          <w:rFonts w:hint="eastAsia"/>
        </w:rPr>
        <w:t>条规定，犯罪时年龄至少为</w:t>
      </w:r>
      <w:r>
        <w:t>16</w:t>
      </w:r>
      <w:r>
        <w:rPr>
          <w:rFonts w:hint="eastAsia"/>
        </w:rPr>
        <w:t>岁者才对被该罪行负刑事责任。对诸如谋杀、蓄意严重伤</w:t>
      </w:r>
      <w:r>
        <w:rPr>
          <w:rFonts w:hint="eastAsia"/>
        </w:rPr>
        <w:t>害、蓄意伤害、绑架、强奸、暴力性行为、盗窃、暴力抢劫、强盗或敲诈勒索等严重罪行，最低刑事责任年龄为</w:t>
      </w:r>
      <w:r>
        <w:t>14</w:t>
      </w:r>
      <w:r>
        <w:rPr>
          <w:rFonts w:hint="eastAsia"/>
        </w:rPr>
        <w:t>岁。</w:t>
      </w:r>
    </w:p>
    <w:p w:rsidR="00000000" w:rsidRDefault="00B7115A">
      <w:r>
        <w:tab/>
        <w:t xml:space="preserve">153.  </w:t>
      </w:r>
      <w:r>
        <w:rPr>
          <w:rFonts w:hint="eastAsia"/>
        </w:rPr>
        <w:t>根据民法</w:t>
      </w:r>
      <w:r>
        <w:t>(</w:t>
      </w:r>
      <w:r>
        <w:rPr>
          <w:rFonts w:hint="eastAsia"/>
        </w:rPr>
        <w:t>民法第</w:t>
      </w:r>
      <w:r>
        <w:t>56</w:t>
      </w:r>
      <w:r>
        <w:rPr>
          <w:rFonts w:hint="eastAsia"/>
        </w:rPr>
        <w:t>条</w:t>
      </w:r>
      <w:r>
        <w:t>)</w:t>
      </w:r>
      <w:r>
        <w:rPr>
          <w:rFonts w:hint="eastAsia"/>
        </w:rPr>
        <w:t>年满</w:t>
      </w:r>
      <w:r>
        <w:t>18</w:t>
      </w:r>
      <w:r>
        <w:rPr>
          <w:rFonts w:hint="eastAsia"/>
        </w:rPr>
        <w:t>岁或以上的人有完全的民事权利和义务。</w:t>
      </w:r>
      <w:r>
        <w:t>18</w:t>
      </w:r>
      <w:r>
        <w:rPr>
          <w:rFonts w:hint="eastAsia"/>
        </w:rPr>
        <w:t>岁以前结婚的公民从结婚时刻起有完全的法律能力。即使婚姻解除这种能力仍全部维持。如果某一婚姻被确认为无效，法院可裁决未到年龄的配偶从法院确定的时刻起停止这种法律能力。</w:t>
      </w:r>
    </w:p>
    <w:p w:rsidR="00000000" w:rsidRDefault="00B7115A">
      <w:r>
        <w:tab/>
        <w:t xml:space="preserve">154.  </w:t>
      </w:r>
      <w:r>
        <w:rPr>
          <w:rFonts w:hint="eastAsia"/>
        </w:rPr>
        <w:t>家庭法</w:t>
      </w:r>
      <w:r>
        <w:t>(</w:t>
      </w:r>
      <w:r>
        <w:rPr>
          <w:rFonts w:hint="eastAsia"/>
        </w:rPr>
        <w:t>婚姻和家庭法第</w:t>
      </w:r>
      <w:r>
        <w:t>18</w:t>
      </w:r>
      <w:r>
        <w:rPr>
          <w:rFonts w:hint="eastAsia"/>
        </w:rPr>
        <w:t>条</w:t>
      </w:r>
      <w:r>
        <w:t>)</w:t>
      </w:r>
      <w:r>
        <w:rPr>
          <w:rFonts w:hint="eastAsia"/>
        </w:rPr>
        <w:t>规定法定结婚年龄为</w:t>
      </w:r>
      <w:r>
        <w:t>18</w:t>
      </w:r>
      <w:r>
        <w:rPr>
          <w:rFonts w:hint="eastAsia"/>
        </w:rPr>
        <w:t>岁。区、市执行委员会和人民代表居民委员会的执行委员会可在特殊情况并根据婚姻双方的申请，</w:t>
      </w:r>
      <w:r>
        <w:rPr>
          <w:rFonts w:hint="eastAsia"/>
        </w:rPr>
        <w:t>将新娘的法定婚姻年龄降低一年。</w:t>
      </w:r>
    </w:p>
    <w:p w:rsidR="00000000" w:rsidRDefault="00B7115A">
      <w:r>
        <w:tab/>
        <w:t xml:space="preserve">155.  </w:t>
      </w:r>
      <w:r>
        <w:rPr>
          <w:rFonts w:hint="eastAsia"/>
        </w:rPr>
        <w:t>根据行政法</w:t>
      </w:r>
      <w:r>
        <w:t>(</w:t>
      </w:r>
      <w:r>
        <w:rPr>
          <w:rFonts w:hint="eastAsia"/>
        </w:rPr>
        <w:t>关于行政犯罪法第</w:t>
      </w:r>
      <w:r>
        <w:t>12</w:t>
      </w:r>
      <w:r>
        <w:rPr>
          <w:rFonts w:hint="eastAsia"/>
        </w:rPr>
        <w:t>条</w:t>
      </w:r>
      <w:r>
        <w:t>)</w:t>
      </w:r>
      <w:r>
        <w:rPr>
          <w:rFonts w:hint="eastAsia"/>
        </w:rPr>
        <w:t>，在犯下行政罪时年龄至少为</w:t>
      </w:r>
      <w:r>
        <w:t>16</w:t>
      </w:r>
      <w:r>
        <w:rPr>
          <w:rFonts w:hint="eastAsia"/>
        </w:rPr>
        <w:t>岁的人才对该罪行负行政责任。</w:t>
      </w:r>
    </w:p>
    <w:p w:rsidR="00000000" w:rsidRDefault="00B7115A">
      <w:r>
        <w:tab/>
        <w:t xml:space="preserve">156.  </w:t>
      </w:r>
      <w:r>
        <w:rPr>
          <w:rFonts w:hint="eastAsia"/>
        </w:rPr>
        <w:t>根据劳工法</w:t>
      </w:r>
      <w:r>
        <w:t>(</w:t>
      </w:r>
      <w:r>
        <w:rPr>
          <w:rFonts w:hint="eastAsia"/>
        </w:rPr>
        <w:t>劳工法第</w:t>
      </w:r>
      <w:r>
        <w:t>87</w:t>
      </w:r>
      <w:r>
        <w:rPr>
          <w:rFonts w:hint="eastAsia"/>
        </w:rPr>
        <w:t>条</w:t>
      </w:r>
      <w:r>
        <w:t>)</w:t>
      </w:r>
      <w:r>
        <w:rPr>
          <w:rFonts w:hint="eastAsia"/>
        </w:rPr>
        <w:t>，年龄为</w:t>
      </w:r>
      <w:r>
        <w:t>16</w:t>
      </w:r>
      <w:r>
        <w:rPr>
          <w:rFonts w:hint="eastAsia"/>
        </w:rPr>
        <w:t>岁或以上的儿童和在特殊情况下年龄在</w:t>
      </w:r>
      <w:r>
        <w:t>14</w:t>
      </w:r>
      <w:r>
        <w:rPr>
          <w:rFonts w:hint="eastAsia"/>
        </w:rPr>
        <w:t>岁以上并真正能够工作的儿童才可缔结就业合同。</w:t>
      </w:r>
    </w:p>
    <w:p w:rsidR="00000000" w:rsidRDefault="00B7115A">
      <w:r>
        <w:tab/>
        <w:t xml:space="preserve">157.  </w:t>
      </w:r>
      <w:r>
        <w:rPr>
          <w:rFonts w:hint="eastAsia"/>
        </w:rPr>
        <w:t>吉尔吉斯斯坦立法规定对处于有真正危险情况中的儿童给予保护。对适当执行吉尔吉斯斯坦法律的监督由检察长办事处及其地方部门加以保证。为了确保儿童得到有效保护，免遭经济剥削，各种法律和其他标准性文书制定了适当类型的纪律、行政和</w:t>
      </w:r>
      <w:r>
        <w:rPr>
          <w:rFonts w:hint="eastAsia"/>
        </w:rPr>
        <w:t>刑事处罚办法。</w:t>
      </w:r>
    </w:p>
    <w:p w:rsidR="00000000" w:rsidRDefault="00B7115A">
      <w:r>
        <w:tab/>
        <w:t xml:space="preserve">158.  </w:t>
      </w:r>
      <w:r>
        <w:rPr>
          <w:rFonts w:hint="eastAsia"/>
        </w:rPr>
        <w:t>根据劳工法第</w:t>
      </w:r>
      <w:r>
        <w:t>317</w:t>
      </w:r>
      <w:r>
        <w:rPr>
          <w:rFonts w:hint="eastAsia"/>
        </w:rPr>
        <w:t>条，不得与年龄在</w:t>
      </w:r>
      <w:r>
        <w:t>16</w:t>
      </w:r>
      <w:r>
        <w:rPr>
          <w:rFonts w:hint="eastAsia"/>
        </w:rPr>
        <w:t>岁以下的人缔结就业合同。然而，经父母</w:t>
      </w:r>
      <w:r>
        <w:t>(</w:t>
      </w:r>
      <w:r>
        <w:rPr>
          <w:rFonts w:hint="eastAsia"/>
        </w:rPr>
        <w:t>或监护人或临时监护人</w:t>
      </w:r>
      <w:r>
        <w:t>)</w:t>
      </w:r>
      <w:r>
        <w:rPr>
          <w:rFonts w:hint="eastAsia"/>
        </w:rPr>
        <w:t>的书面同意，可以与年龄在</w:t>
      </w:r>
      <w:r>
        <w:t>14</w:t>
      </w:r>
      <w:r>
        <w:rPr>
          <w:rFonts w:hint="eastAsia"/>
        </w:rPr>
        <w:t>岁以上的人缔结就业合同，从事下列轻活：</w:t>
      </w:r>
    </w:p>
    <w:p w:rsidR="00000000" w:rsidRDefault="00B7115A" w:rsidP="00B7115A">
      <w:pPr>
        <w:pStyle w:val="a1"/>
        <w:numPr>
          <w:ilvl w:val="0"/>
          <w:numId w:val="2"/>
        </w:numPr>
      </w:pPr>
      <w:r>
        <w:rPr>
          <w:rFonts w:hint="eastAsia"/>
        </w:rPr>
        <w:t>对此人的健康无害；及</w:t>
      </w:r>
    </w:p>
    <w:p w:rsidR="00000000" w:rsidRDefault="00B7115A" w:rsidP="00B7115A">
      <w:pPr>
        <w:pStyle w:val="a1"/>
        <w:numPr>
          <w:ilvl w:val="0"/>
          <w:numId w:val="2"/>
        </w:numPr>
      </w:pPr>
      <w:r>
        <w:rPr>
          <w:rFonts w:hint="eastAsia"/>
        </w:rPr>
        <w:t>不影响其在普通教育机构就学。</w:t>
      </w:r>
    </w:p>
    <w:p w:rsidR="00000000" w:rsidRDefault="00B7115A">
      <w:r>
        <w:rPr>
          <w:rFonts w:hint="eastAsia"/>
        </w:rPr>
        <w:t>政府掌握一份可由年龄在</w:t>
      </w:r>
      <w:r>
        <w:t>14</w:t>
      </w:r>
      <w:r>
        <w:rPr>
          <w:rFonts w:hint="eastAsia"/>
        </w:rPr>
        <w:t>至</w:t>
      </w:r>
      <w:r>
        <w:t>16</w:t>
      </w:r>
      <w:r>
        <w:rPr>
          <w:rFonts w:hint="eastAsia"/>
        </w:rPr>
        <w:t>岁之间的儿童从事的轻活清单。</w:t>
      </w:r>
    </w:p>
    <w:p w:rsidR="00000000" w:rsidRDefault="00B7115A">
      <w:r>
        <w:tab/>
        <w:t xml:space="preserve">159.  </w:t>
      </w:r>
      <w:r>
        <w:rPr>
          <w:rFonts w:hint="eastAsia"/>
        </w:rPr>
        <w:t>不得雇用</w:t>
      </w:r>
      <w:r>
        <w:t>18</w:t>
      </w:r>
      <w:r>
        <w:rPr>
          <w:rFonts w:hint="eastAsia"/>
        </w:rPr>
        <w:t>岁以下的人从事重体力工作或可能对其道德成长有害的工作</w:t>
      </w:r>
      <w:r>
        <w:t>(</w:t>
      </w:r>
      <w:r>
        <w:rPr>
          <w:rFonts w:hint="eastAsia"/>
        </w:rPr>
        <w:t>赌场、夜总会、生产、运输或买卖酒精饮料、烟草制品、麻醉或有毒物质</w:t>
      </w:r>
      <w:r>
        <w:t>)</w:t>
      </w:r>
      <w:r>
        <w:rPr>
          <w:rFonts w:hint="eastAsia"/>
        </w:rPr>
        <w:t>。如果雇用</w:t>
      </w:r>
      <w:r>
        <w:t>18</w:t>
      </w:r>
      <w:r>
        <w:rPr>
          <w:rFonts w:hint="eastAsia"/>
        </w:rPr>
        <w:t>岁以下的人从事搬运重物的工作，雇主必须提供</w:t>
      </w:r>
      <w:r>
        <w:rPr>
          <w:rFonts w:hint="eastAsia"/>
        </w:rPr>
        <w:t>运载货物的机械以及自动和其他装置。不得雇用</w:t>
      </w:r>
      <w:r>
        <w:t>18</w:t>
      </w:r>
      <w:r>
        <w:rPr>
          <w:rFonts w:hint="eastAsia"/>
        </w:rPr>
        <w:t>岁以下的人在没有安全证明的机械或设备上工作</w:t>
      </w:r>
      <w:r>
        <w:t>(</w:t>
      </w:r>
      <w:r>
        <w:rPr>
          <w:rFonts w:hint="eastAsia"/>
        </w:rPr>
        <w:t>劳工法第</w:t>
      </w:r>
      <w:r>
        <w:t>319</w:t>
      </w:r>
      <w:r>
        <w:rPr>
          <w:rFonts w:hint="eastAsia"/>
        </w:rPr>
        <w:t>条</w:t>
      </w:r>
      <w:r>
        <w:t>)</w:t>
      </w:r>
      <w:r>
        <w:rPr>
          <w:rFonts w:hint="eastAsia"/>
        </w:rPr>
        <w:t>。</w:t>
      </w:r>
    </w:p>
    <w:p w:rsidR="00000000" w:rsidRDefault="00B7115A">
      <w:r>
        <w:tab/>
        <w:t xml:space="preserve">160.  </w:t>
      </w:r>
      <w:r>
        <w:rPr>
          <w:rFonts w:hint="eastAsia"/>
        </w:rPr>
        <w:t>劳工法第</w:t>
      </w:r>
      <w:r>
        <w:t>320</w:t>
      </w:r>
      <w:r>
        <w:rPr>
          <w:rFonts w:hint="eastAsia"/>
        </w:rPr>
        <w:t>条规定，未经事先体检不得聘用</w:t>
      </w:r>
      <w:r>
        <w:t>18</w:t>
      </w:r>
      <w:r>
        <w:rPr>
          <w:rFonts w:hint="eastAsia"/>
        </w:rPr>
        <w:t>岁以下的人，此后必须对他们进行义务体检直到他们达到</w:t>
      </w:r>
      <w:r>
        <w:t>18</w:t>
      </w:r>
      <w:r>
        <w:rPr>
          <w:rFonts w:hint="eastAsia"/>
        </w:rPr>
        <w:t>岁为止。这种体检的费用由雇主承担。对</w:t>
      </w:r>
      <w:r>
        <w:t>18</w:t>
      </w:r>
      <w:r>
        <w:rPr>
          <w:rFonts w:hint="eastAsia"/>
        </w:rPr>
        <w:t>岁以下雇员的义务性年度体检占工作时间进行，并持续发给平均工资。</w:t>
      </w:r>
    </w:p>
    <w:p w:rsidR="00000000" w:rsidRDefault="00B7115A">
      <w:r>
        <w:tab/>
        <w:t xml:space="preserve">161.  </w:t>
      </w:r>
      <w:r>
        <w:rPr>
          <w:rFonts w:hint="eastAsia"/>
        </w:rPr>
        <w:t>不得安排</w:t>
      </w:r>
      <w:r>
        <w:t>18</w:t>
      </w:r>
      <w:r>
        <w:rPr>
          <w:rFonts w:hint="eastAsia"/>
        </w:rPr>
        <w:t>岁以下的雇员上夜班或加班；未经他们的同意也不得派遣他们从事与工作有关的旅行。也禁止让他们周末或假日工作</w:t>
      </w:r>
      <w:r>
        <w:t>(</w:t>
      </w:r>
      <w:r>
        <w:rPr>
          <w:rFonts w:hint="eastAsia"/>
        </w:rPr>
        <w:t>劳工法第</w:t>
      </w:r>
      <w:r>
        <w:t>321</w:t>
      </w:r>
      <w:r>
        <w:rPr>
          <w:rFonts w:hint="eastAsia"/>
        </w:rPr>
        <w:t>条</w:t>
      </w:r>
      <w:r>
        <w:t>)</w:t>
      </w:r>
      <w:r>
        <w:rPr>
          <w:rFonts w:hint="eastAsia"/>
        </w:rPr>
        <w:t>。</w:t>
      </w:r>
    </w:p>
    <w:p w:rsidR="00000000" w:rsidRDefault="00B7115A">
      <w:r>
        <w:tab/>
        <w:t xml:space="preserve">162.  </w:t>
      </w:r>
      <w:r>
        <w:rPr>
          <w:rFonts w:hint="eastAsia"/>
        </w:rPr>
        <w:t>劳工法第</w:t>
      </w:r>
      <w:r>
        <w:t>322</w:t>
      </w:r>
      <w:r>
        <w:rPr>
          <w:rFonts w:hint="eastAsia"/>
        </w:rPr>
        <w:t>条</w:t>
      </w:r>
      <w:r>
        <w:rPr>
          <w:rFonts w:hint="eastAsia"/>
        </w:rPr>
        <w:t>规定，</w:t>
      </w:r>
      <w:r>
        <w:t>18</w:t>
      </w:r>
      <w:r>
        <w:rPr>
          <w:rFonts w:hint="eastAsia"/>
        </w:rPr>
        <w:t>岁以下的雇员带薪年假待遇至少为</w:t>
      </w:r>
      <w:r>
        <w:t>31</w:t>
      </w:r>
      <w:r>
        <w:rPr>
          <w:rFonts w:hint="eastAsia"/>
        </w:rPr>
        <w:t>个日历日，雇员可以他认为适合的方式休这些假。</w:t>
      </w:r>
    </w:p>
    <w:p w:rsidR="00000000" w:rsidRDefault="00B7115A">
      <w:r>
        <w:tab/>
        <w:t xml:space="preserve">163.  </w:t>
      </w:r>
      <w:r>
        <w:rPr>
          <w:rFonts w:hint="eastAsia"/>
        </w:rPr>
        <w:t>根据劳工法第</w:t>
      </w:r>
      <w:r>
        <w:t>326</w:t>
      </w:r>
      <w:r>
        <w:rPr>
          <w:rFonts w:hint="eastAsia"/>
        </w:rPr>
        <w:t>条，具有初中级职业培训的普通教育机构毕业生和</w:t>
      </w:r>
      <w:r>
        <w:t>18</w:t>
      </w:r>
      <w:r>
        <w:rPr>
          <w:rFonts w:hint="eastAsia"/>
        </w:rPr>
        <w:t>岁以下因找工作有困难而特别需要社会保护的人</w:t>
      </w:r>
      <w:r>
        <w:t>(</w:t>
      </w:r>
      <w:r>
        <w:rPr>
          <w:rFonts w:hint="eastAsia"/>
        </w:rPr>
        <w:t>孤儿和应届毕业生</w:t>
      </w:r>
      <w:r>
        <w:t>)</w:t>
      </w:r>
      <w:r>
        <w:rPr>
          <w:rFonts w:hint="eastAsia"/>
        </w:rPr>
        <w:t>如果由国家安排就业服务机构根据当地克涅什规定的配额而给予介绍，雇主就有义务雇用他们。禁止拒绝雇用这些类别的人，否则会受到起诉。</w:t>
      </w:r>
    </w:p>
    <w:p w:rsidR="00000000" w:rsidRDefault="00B7115A">
      <w:r>
        <w:tab/>
        <w:t xml:space="preserve">164.  </w:t>
      </w:r>
      <w:r>
        <w:rPr>
          <w:rFonts w:hint="eastAsia"/>
        </w:rPr>
        <w:t>为了让青年人做好就业准备，</w:t>
      </w:r>
      <w:r>
        <w:t>14</w:t>
      </w:r>
      <w:r>
        <w:rPr>
          <w:rFonts w:hint="eastAsia"/>
        </w:rPr>
        <w:t>岁或以上在普通教育学校、职业培训学校或中等专业学校就读的学生，经父母或代替父母的人的同意，可以在课余时被聘用</w:t>
      </w:r>
      <w:r>
        <w:rPr>
          <w:rFonts w:hint="eastAsia"/>
        </w:rPr>
        <w:t>从事无害其身体和不影响其学习的轻微工作。</w:t>
      </w:r>
    </w:p>
    <w:p w:rsidR="00000000" w:rsidRDefault="00B7115A">
      <w:pPr>
        <w:spacing w:after="320"/>
        <w:textAlignment w:val="center"/>
      </w:pPr>
      <w:r>
        <w:tab/>
        <w:t xml:space="preserve">165.  </w:t>
      </w:r>
      <w:r>
        <w:rPr>
          <w:rFonts w:hint="eastAsia"/>
        </w:rPr>
        <w:t>为保护儿童的生命和尊严，刑法规定了各种条例，对于被裁定犯有让儿童从事犯罪、乞讨或卖淫，或唆使未成年人酗酒或引诱他们为非医疗目的使用毒品或其他有毒物质负有责任的人规定其罪名、处罚和赔偿责任等问题。</w:t>
      </w:r>
    </w:p>
    <w:p w:rsidR="00000000" w:rsidRDefault="00B7115A">
      <w:pPr>
        <w:pStyle w:val="Heading3"/>
      </w:pPr>
      <w:r>
        <w:rPr>
          <w:rFonts w:hint="eastAsia"/>
        </w:rPr>
        <w:t>第</w:t>
      </w:r>
      <w:r>
        <w:t xml:space="preserve"> 11 </w:t>
      </w:r>
      <w:r>
        <w:rPr>
          <w:rFonts w:hint="eastAsia"/>
        </w:rPr>
        <w:t>条</w:t>
      </w:r>
    </w:p>
    <w:p w:rsidR="00000000" w:rsidRDefault="00B7115A">
      <w:pPr>
        <w:spacing w:after="320"/>
        <w:textAlignment w:val="center"/>
      </w:pPr>
      <w:r>
        <w:tab/>
        <w:t xml:space="preserve">166.  </w:t>
      </w:r>
      <w:r>
        <w:rPr>
          <w:rFonts w:hint="eastAsia"/>
        </w:rPr>
        <w:t>根据吉尔吉斯斯坦全国统计委员会的资料，人口支出水平超过收入，这一点可从下表看出。</w:t>
      </w:r>
    </w:p>
    <w:p w:rsidR="00000000" w:rsidRDefault="00B7115A">
      <w:pPr>
        <w:pStyle w:val="Heading3"/>
        <w:spacing w:after="240"/>
        <w:textAlignment w:val="center"/>
        <w:rPr>
          <w:u w:val="none"/>
        </w:rPr>
      </w:pPr>
      <w:r>
        <w:rPr>
          <w:rFonts w:hint="eastAsia"/>
        </w:rPr>
        <w:t>人口的货币收入和支出</w:t>
      </w:r>
      <w:r>
        <w:br/>
      </w:r>
      <w:r>
        <w:rPr>
          <w:u w:val="none"/>
        </w:rPr>
        <w:t>(</w:t>
      </w:r>
      <w:r>
        <w:rPr>
          <w:rFonts w:hint="eastAsia"/>
        </w:rPr>
        <w:t>以对</w:t>
      </w:r>
      <w:r>
        <w:t>11,000</w:t>
      </w:r>
      <w:r>
        <w:rPr>
          <w:rFonts w:hint="eastAsia"/>
        </w:rPr>
        <w:t>个家庭的调查资料为基础</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238"/>
        <w:gridCol w:w="1724"/>
        <w:gridCol w:w="1724"/>
        <w:gridCol w:w="1724"/>
      </w:tblGrid>
      <w:tr w:rsidR="00000000">
        <w:tblPrEx>
          <w:tblCellMar>
            <w:top w:w="0" w:type="dxa"/>
            <w:bottom w:w="0" w:type="dxa"/>
          </w:tblCellMar>
        </w:tblPrEx>
        <w:tc>
          <w:tcPr>
            <w:tcW w:w="4238" w:type="dxa"/>
            <w:tcBorders>
              <w:top w:val="single" w:sz="6" w:space="0" w:color="auto"/>
              <w:bottom w:val="single" w:sz="6" w:space="0" w:color="auto"/>
              <w:right w:val="nil"/>
            </w:tcBorders>
          </w:tcPr>
          <w:p w:rsidR="00000000" w:rsidRDefault="00B7115A">
            <w:pPr>
              <w:spacing w:before="120"/>
              <w:jc w:val="center"/>
              <w:rPr>
                <w:sz w:val="21"/>
              </w:rPr>
            </w:pPr>
          </w:p>
        </w:tc>
        <w:tc>
          <w:tcPr>
            <w:tcW w:w="1724" w:type="dxa"/>
            <w:tcBorders>
              <w:top w:val="single" w:sz="6" w:space="0" w:color="auto"/>
              <w:left w:val="single" w:sz="6" w:space="0" w:color="auto"/>
              <w:bottom w:val="single" w:sz="6" w:space="0" w:color="auto"/>
              <w:right w:val="nil"/>
            </w:tcBorders>
          </w:tcPr>
          <w:p w:rsidR="00000000" w:rsidRDefault="00B7115A">
            <w:pPr>
              <w:spacing w:before="120"/>
              <w:jc w:val="center"/>
              <w:rPr>
                <w:sz w:val="21"/>
              </w:rPr>
            </w:pPr>
            <w:r>
              <w:rPr>
                <w:sz w:val="21"/>
              </w:rPr>
              <w:t>1994</w:t>
            </w:r>
          </w:p>
        </w:tc>
        <w:tc>
          <w:tcPr>
            <w:tcW w:w="1724" w:type="dxa"/>
            <w:tcBorders>
              <w:top w:val="single" w:sz="6" w:space="0" w:color="auto"/>
              <w:left w:val="single" w:sz="6" w:space="0" w:color="auto"/>
              <w:bottom w:val="single" w:sz="6" w:space="0" w:color="auto"/>
              <w:right w:val="single" w:sz="6" w:space="0" w:color="auto"/>
            </w:tcBorders>
          </w:tcPr>
          <w:p w:rsidR="00000000" w:rsidRDefault="00B7115A">
            <w:pPr>
              <w:spacing w:before="120"/>
              <w:jc w:val="center"/>
              <w:rPr>
                <w:sz w:val="21"/>
              </w:rPr>
            </w:pPr>
            <w:r>
              <w:rPr>
                <w:sz w:val="21"/>
              </w:rPr>
              <w:t>1995</w:t>
            </w:r>
          </w:p>
        </w:tc>
        <w:tc>
          <w:tcPr>
            <w:tcW w:w="1724" w:type="dxa"/>
            <w:tcBorders>
              <w:top w:val="single" w:sz="6" w:space="0" w:color="auto"/>
              <w:left w:val="nil"/>
              <w:bottom w:val="single" w:sz="6" w:space="0" w:color="auto"/>
            </w:tcBorders>
          </w:tcPr>
          <w:p w:rsidR="00000000" w:rsidRDefault="00B7115A">
            <w:pPr>
              <w:spacing w:before="120"/>
              <w:jc w:val="center"/>
              <w:rPr>
                <w:sz w:val="21"/>
              </w:rPr>
            </w:pPr>
            <w:r>
              <w:rPr>
                <w:sz w:val="21"/>
              </w:rPr>
              <w:t>1996</w:t>
            </w:r>
          </w:p>
        </w:tc>
      </w:tr>
      <w:tr w:rsidR="00000000">
        <w:tblPrEx>
          <w:tblCellMar>
            <w:top w:w="0" w:type="dxa"/>
            <w:bottom w:w="0" w:type="dxa"/>
          </w:tblCellMar>
        </w:tblPrEx>
        <w:tc>
          <w:tcPr>
            <w:tcW w:w="4238" w:type="dxa"/>
            <w:tcBorders>
              <w:top w:val="nil"/>
              <w:right w:val="nil"/>
            </w:tcBorders>
          </w:tcPr>
          <w:p w:rsidR="00000000" w:rsidRDefault="00B7115A">
            <w:pPr>
              <w:spacing w:before="120"/>
              <w:ind w:left="113"/>
              <w:rPr>
                <w:sz w:val="21"/>
              </w:rPr>
            </w:pPr>
            <w:r>
              <w:rPr>
                <w:rFonts w:hint="eastAsia"/>
                <w:sz w:val="21"/>
              </w:rPr>
              <w:t>人均货币收入，索姆</w:t>
            </w:r>
          </w:p>
        </w:tc>
        <w:tc>
          <w:tcPr>
            <w:tcW w:w="1724" w:type="dxa"/>
            <w:tcBorders>
              <w:top w:val="nil"/>
              <w:left w:val="single" w:sz="6" w:space="0" w:color="auto"/>
              <w:right w:val="nil"/>
            </w:tcBorders>
          </w:tcPr>
          <w:p w:rsidR="00000000" w:rsidRDefault="00B7115A">
            <w:pPr>
              <w:spacing w:before="120"/>
              <w:jc w:val="center"/>
              <w:rPr>
                <w:sz w:val="21"/>
              </w:rPr>
            </w:pPr>
            <w:r>
              <w:rPr>
                <w:sz w:val="21"/>
              </w:rPr>
              <w:t>102.49</w:t>
            </w:r>
          </w:p>
        </w:tc>
        <w:tc>
          <w:tcPr>
            <w:tcW w:w="1724" w:type="dxa"/>
            <w:tcBorders>
              <w:top w:val="nil"/>
              <w:left w:val="single" w:sz="6" w:space="0" w:color="auto"/>
              <w:right w:val="single" w:sz="6" w:space="0" w:color="auto"/>
            </w:tcBorders>
          </w:tcPr>
          <w:p w:rsidR="00000000" w:rsidRDefault="00B7115A">
            <w:pPr>
              <w:spacing w:before="120"/>
              <w:jc w:val="center"/>
              <w:rPr>
                <w:sz w:val="21"/>
              </w:rPr>
            </w:pPr>
            <w:r>
              <w:rPr>
                <w:sz w:val="21"/>
              </w:rPr>
              <w:t>150.62</w:t>
            </w:r>
          </w:p>
        </w:tc>
        <w:tc>
          <w:tcPr>
            <w:tcW w:w="1724" w:type="dxa"/>
            <w:tcBorders>
              <w:top w:val="nil"/>
              <w:left w:val="nil"/>
            </w:tcBorders>
          </w:tcPr>
          <w:p w:rsidR="00000000" w:rsidRDefault="00B7115A">
            <w:pPr>
              <w:spacing w:before="120"/>
              <w:jc w:val="center"/>
              <w:rPr>
                <w:sz w:val="21"/>
              </w:rPr>
            </w:pPr>
            <w:r>
              <w:rPr>
                <w:sz w:val="21"/>
              </w:rPr>
              <w:t>2</w:t>
            </w:r>
            <w:r>
              <w:rPr>
                <w:sz w:val="21"/>
              </w:rPr>
              <w:t>04.51</w:t>
            </w:r>
          </w:p>
        </w:tc>
      </w:tr>
      <w:tr w:rsidR="00000000">
        <w:tblPrEx>
          <w:tblCellMar>
            <w:top w:w="0" w:type="dxa"/>
            <w:bottom w:w="0" w:type="dxa"/>
          </w:tblCellMar>
        </w:tblPrEx>
        <w:tc>
          <w:tcPr>
            <w:tcW w:w="4238" w:type="dxa"/>
            <w:tcBorders>
              <w:right w:val="nil"/>
            </w:tcBorders>
          </w:tcPr>
          <w:p w:rsidR="00000000" w:rsidRDefault="00B7115A">
            <w:pPr>
              <w:spacing w:after="60"/>
              <w:ind w:left="113"/>
              <w:rPr>
                <w:sz w:val="21"/>
              </w:rPr>
            </w:pPr>
            <w:r>
              <w:rPr>
                <w:rFonts w:hint="eastAsia"/>
                <w:sz w:val="21"/>
              </w:rPr>
              <w:t>人均货物和服务支出，索姆</w:t>
            </w:r>
          </w:p>
        </w:tc>
        <w:tc>
          <w:tcPr>
            <w:tcW w:w="1724" w:type="dxa"/>
            <w:tcBorders>
              <w:left w:val="single" w:sz="6" w:space="0" w:color="auto"/>
              <w:bottom w:val="single" w:sz="6" w:space="0" w:color="auto"/>
              <w:right w:val="nil"/>
            </w:tcBorders>
          </w:tcPr>
          <w:p w:rsidR="00000000" w:rsidRDefault="00B7115A">
            <w:pPr>
              <w:spacing w:after="60"/>
              <w:jc w:val="center"/>
              <w:rPr>
                <w:sz w:val="21"/>
              </w:rPr>
            </w:pPr>
            <w:r>
              <w:rPr>
                <w:sz w:val="21"/>
              </w:rPr>
              <w:t>104.25</w:t>
            </w:r>
          </w:p>
        </w:tc>
        <w:tc>
          <w:tcPr>
            <w:tcW w:w="1724" w:type="dxa"/>
            <w:tcBorders>
              <w:left w:val="single" w:sz="6" w:space="0" w:color="auto"/>
              <w:bottom w:val="single" w:sz="6" w:space="0" w:color="auto"/>
              <w:right w:val="single" w:sz="6" w:space="0" w:color="auto"/>
            </w:tcBorders>
          </w:tcPr>
          <w:p w:rsidR="00000000" w:rsidRDefault="00B7115A">
            <w:pPr>
              <w:spacing w:after="60"/>
              <w:jc w:val="center"/>
              <w:rPr>
                <w:sz w:val="21"/>
              </w:rPr>
            </w:pPr>
            <w:r>
              <w:rPr>
                <w:sz w:val="21"/>
              </w:rPr>
              <w:t>153.52</w:t>
            </w:r>
          </w:p>
        </w:tc>
        <w:tc>
          <w:tcPr>
            <w:tcW w:w="1724" w:type="dxa"/>
            <w:tcBorders>
              <w:left w:val="nil"/>
            </w:tcBorders>
          </w:tcPr>
          <w:p w:rsidR="00000000" w:rsidRDefault="00B7115A">
            <w:pPr>
              <w:spacing w:after="60"/>
              <w:jc w:val="center"/>
              <w:rPr>
                <w:sz w:val="21"/>
              </w:rPr>
            </w:pPr>
            <w:r>
              <w:rPr>
                <w:sz w:val="21"/>
              </w:rPr>
              <w:t>206.12</w:t>
            </w:r>
          </w:p>
        </w:tc>
      </w:tr>
    </w:tbl>
    <w:p w:rsidR="00000000" w:rsidRDefault="00B7115A">
      <w:pPr>
        <w:spacing w:before="480"/>
      </w:pPr>
      <w:r>
        <w:tab/>
        <w:t>167.  1996</w:t>
      </w:r>
      <w:r>
        <w:rPr>
          <w:rFonts w:hint="eastAsia"/>
        </w:rPr>
        <w:t>年</w:t>
      </w:r>
      <w:r>
        <w:t>3</w:t>
      </w:r>
      <w:r>
        <w:rPr>
          <w:rFonts w:hint="eastAsia"/>
        </w:rPr>
        <w:t>月，根据世界银行社会安全网项目，全国统计委员会进行了</w:t>
      </w:r>
      <w:r>
        <w:t>4</w:t>
      </w:r>
      <w:r>
        <w:rPr>
          <w:rFonts w:hint="eastAsia"/>
        </w:rPr>
        <w:t>个有计划的多目的居民生活标准调查中的第一个。对</w:t>
      </w:r>
      <w:r>
        <w:t>2,000</w:t>
      </w:r>
      <w:r>
        <w:rPr>
          <w:rFonts w:hint="eastAsia"/>
        </w:rPr>
        <w:t>个家庭进行了调查，使用了</w:t>
      </w:r>
      <w:r>
        <w:t>1993</w:t>
      </w:r>
      <w:r>
        <w:rPr>
          <w:rFonts w:hint="eastAsia"/>
        </w:rPr>
        <w:t>年进行的试验调查期间采用的方案。</w:t>
      </w:r>
    </w:p>
    <w:p w:rsidR="00000000" w:rsidRDefault="00B7115A">
      <w:r>
        <w:tab/>
        <w:t>168.  1996</w:t>
      </w:r>
      <w:r>
        <w:rPr>
          <w:rFonts w:hint="eastAsia"/>
        </w:rPr>
        <w:t>年的调查结果显示，支出分布情况仍然差别很大，尽管</w:t>
      </w:r>
      <w:r>
        <w:t>1993</w:t>
      </w:r>
      <w:r>
        <w:rPr>
          <w:rFonts w:hint="eastAsia"/>
        </w:rPr>
        <w:t>年两极化情况更明显。例如，</w:t>
      </w:r>
      <w:r>
        <w:t>1993</w:t>
      </w:r>
      <w:r>
        <w:rPr>
          <w:rFonts w:hint="eastAsia"/>
        </w:rPr>
        <w:t>年在收入上处于最底层的</w:t>
      </w:r>
      <w:r>
        <w:t>50%</w:t>
      </w:r>
      <w:r>
        <w:rPr>
          <w:rFonts w:hint="eastAsia"/>
        </w:rPr>
        <w:t>的家庭仅得到总收入的</w:t>
      </w:r>
      <w:r>
        <w:t>15%</w:t>
      </w:r>
      <w:r>
        <w:rPr>
          <w:rFonts w:hint="eastAsia"/>
        </w:rPr>
        <w:t>，最上层的</w:t>
      </w:r>
      <w:r>
        <w:t>10%</w:t>
      </w:r>
      <w:r>
        <w:rPr>
          <w:rFonts w:hint="eastAsia"/>
        </w:rPr>
        <w:t>获得约</w:t>
      </w:r>
      <w:r>
        <w:t>40%</w:t>
      </w:r>
      <w:r>
        <w:rPr>
          <w:rFonts w:hint="eastAsia"/>
        </w:rPr>
        <w:t>，最高的</w:t>
      </w:r>
      <w:r>
        <w:t>1%</w:t>
      </w:r>
      <w:r>
        <w:rPr>
          <w:rFonts w:hint="eastAsia"/>
        </w:rPr>
        <w:t>获得</w:t>
      </w:r>
      <w:r>
        <w:t>10%</w:t>
      </w:r>
      <w:r>
        <w:rPr>
          <w:rFonts w:hint="eastAsia"/>
        </w:rPr>
        <w:t>以上；而在</w:t>
      </w:r>
      <w:r>
        <w:t>1996</w:t>
      </w:r>
      <w:r>
        <w:rPr>
          <w:rFonts w:hint="eastAsia"/>
        </w:rPr>
        <w:t>年相应的数字为</w:t>
      </w:r>
      <w:r>
        <w:t>18%</w:t>
      </w:r>
      <w:r>
        <w:rPr>
          <w:rFonts w:hint="eastAsia"/>
        </w:rPr>
        <w:t>、</w:t>
      </w:r>
      <w:r>
        <w:t>34%</w:t>
      </w:r>
      <w:r>
        <w:rPr>
          <w:rFonts w:hint="eastAsia"/>
        </w:rPr>
        <w:t>和</w:t>
      </w:r>
      <w:r>
        <w:t>7%</w:t>
      </w:r>
      <w:r>
        <w:rPr>
          <w:rFonts w:hint="eastAsia"/>
        </w:rPr>
        <w:t>。收入分配有朝着更均衡的方向发展的趋势，这体现在近几年基尼系数下降方面。从</w:t>
      </w:r>
      <w:r>
        <w:t>1985</w:t>
      </w:r>
      <w:r>
        <w:rPr>
          <w:rFonts w:hint="eastAsia"/>
        </w:rPr>
        <w:t>年至</w:t>
      </w:r>
      <w:r>
        <w:t>1990</w:t>
      </w:r>
      <w:r>
        <w:rPr>
          <w:rFonts w:hint="eastAsia"/>
        </w:rPr>
        <w:t>年基尼系数稳定在</w:t>
      </w:r>
      <w:r>
        <w:t>0.3</w:t>
      </w:r>
      <w:r>
        <w:rPr>
          <w:rFonts w:hint="eastAsia"/>
        </w:rPr>
        <w:t>。随后开始上升，到</w:t>
      </w:r>
      <w:r>
        <w:t>1994</w:t>
      </w:r>
      <w:r>
        <w:rPr>
          <w:rFonts w:hint="eastAsia"/>
        </w:rPr>
        <w:t>年又开始下降。</w:t>
      </w:r>
      <w:r>
        <w:t>1993</w:t>
      </w:r>
      <w:r>
        <w:rPr>
          <w:rFonts w:hint="eastAsia"/>
        </w:rPr>
        <w:t>年基尼系数为</w:t>
      </w:r>
      <w:r>
        <w:t>0.54,1996</w:t>
      </w:r>
      <w:r>
        <w:rPr>
          <w:rFonts w:hint="eastAsia"/>
        </w:rPr>
        <w:t>年为</w:t>
      </w:r>
      <w:r>
        <w:t>0.46</w:t>
      </w:r>
      <w:r>
        <w:rPr>
          <w:rFonts w:hint="eastAsia"/>
        </w:rPr>
        <w:t>。</w:t>
      </w:r>
    </w:p>
    <w:p w:rsidR="00000000" w:rsidRDefault="00B7115A">
      <w:r>
        <w:tab/>
        <w:t xml:space="preserve">169.  </w:t>
      </w:r>
      <w:r>
        <w:rPr>
          <w:rFonts w:hint="eastAsia"/>
        </w:rPr>
        <w:t>根据</w:t>
      </w:r>
      <w:r>
        <w:t>1996</w:t>
      </w:r>
      <w:r>
        <w:rPr>
          <w:rFonts w:hint="eastAsia"/>
        </w:rPr>
        <w:t>年调查的数据，</w:t>
      </w:r>
      <w:r>
        <w:t>49.2%</w:t>
      </w:r>
      <w:r>
        <w:rPr>
          <w:rFonts w:hint="eastAsia"/>
        </w:rPr>
        <w:t>的家庭属于贫困家庭，包括</w:t>
      </w:r>
      <w:r>
        <w:t>23.6%</w:t>
      </w:r>
      <w:r>
        <w:rPr>
          <w:rFonts w:hint="eastAsia"/>
        </w:rPr>
        <w:t>的非常贫困家庭，而</w:t>
      </w:r>
      <w:r>
        <w:t>1993</w:t>
      </w:r>
      <w:r>
        <w:rPr>
          <w:rFonts w:hint="eastAsia"/>
        </w:rPr>
        <w:t>年则分别为</w:t>
      </w:r>
      <w:r>
        <w:t>40%</w:t>
      </w:r>
      <w:r>
        <w:rPr>
          <w:rFonts w:hint="eastAsia"/>
        </w:rPr>
        <w:t>和</w:t>
      </w:r>
      <w:r>
        <w:t>25%</w:t>
      </w:r>
      <w:r>
        <w:rPr>
          <w:rFonts w:hint="eastAsia"/>
        </w:rPr>
        <w:t>。</w:t>
      </w:r>
    </w:p>
    <w:p w:rsidR="00000000" w:rsidRDefault="00B7115A">
      <w:r>
        <w:tab/>
        <w:t xml:space="preserve">170.  </w:t>
      </w:r>
      <w:r>
        <w:rPr>
          <w:rFonts w:hint="eastAsia"/>
        </w:rPr>
        <w:t>虽然收入用在食品上的比例部分在所有各类人口中大约是同样的，但贫困家庭花在非食品货物和服务方面则要少得多。他们</w:t>
      </w:r>
      <w:r>
        <w:rPr>
          <w:rFonts w:hint="eastAsia"/>
        </w:rPr>
        <w:t>从出售牲畜和附加小块地里的产出的收入也比非贫困家庭少。</w:t>
      </w:r>
    </w:p>
    <w:p w:rsidR="00000000" w:rsidRDefault="00B7115A">
      <w:pPr>
        <w:spacing w:after="60"/>
      </w:pPr>
      <w:r>
        <w:tab/>
        <w:t xml:space="preserve">171.  </w:t>
      </w:r>
      <w:r>
        <w:rPr>
          <w:rFonts w:hint="eastAsia"/>
        </w:rPr>
        <w:t>为了确定贫困指标，对维持可接受的生活标准所需最低货币收入进行了计算。下表提供了各年龄组所需最低收入水平：</w:t>
      </w:r>
    </w:p>
    <w:p w:rsidR="00000000" w:rsidRDefault="00B7115A">
      <w:pPr>
        <w:spacing w:after="60"/>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Borders>
              <w:top w:val="single" w:sz="6" w:space="0" w:color="auto"/>
              <w:bottom w:val="single" w:sz="6" w:space="0" w:color="auto"/>
              <w:right w:val="nil"/>
            </w:tcBorders>
          </w:tcPr>
          <w:p w:rsidR="00000000" w:rsidRDefault="00B7115A">
            <w:pPr>
              <w:spacing w:before="180" w:after="80" w:line="240" w:lineRule="auto"/>
              <w:ind w:left="284"/>
              <w:rPr>
                <w:sz w:val="21"/>
              </w:rPr>
            </w:pPr>
          </w:p>
        </w:tc>
        <w:tc>
          <w:tcPr>
            <w:tcW w:w="4705" w:type="dxa"/>
            <w:tcBorders>
              <w:top w:val="single" w:sz="6" w:space="0" w:color="auto"/>
              <w:left w:val="single" w:sz="6" w:space="0" w:color="auto"/>
              <w:bottom w:val="single" w:sz="6" w:space="0" w:color="auto"/>
            </w:tcBorders>
          </w:tcPr>
          <w:p w:rsidR="00000000" w:rsidRDefault="00B7115A">
            <w:pPr>
              <w:spacing w:before="180" w:after="80" w:line="240" w:lineRule="auto"/>
              <w:jc w:val="center"/>
              <w:rPr>
                <w:sz w:val="21"/>
              </w:rPr>
            </w:pPr>
            <w:r>
              <w:rPr>
                <w:rFonts w:hint="eastAsia"/>
                <w:sz w:val="21"/>
              </w:rPr>
              <w:t>人均每月索姆数</w:t>
            </w:r>
          </w:p>
        </w:tc>
      </w:tr>
      <w:tr w:rsidR="00000000">
        <w:tblPrEx>
          <w:tblCellMar>
            <w:top w:w="0" w:type="dxa"/>
            <w:bottom w:w="0" w:type="dxa"/>
          </w:tblCellMar>
        </w:tblPrEx>
        <w:tc>
          <w:tcPr>
            <w:tcW w:w="4705" w:type="dxa"/>
            <w:tcBorders>
              <w:top w:val="nil"/>
              <w:right w:val="nil"/>
            </w:tcBorders>
          </w:tcPr>
          <w:p w:rsidR="00000000" w:rsidRDefault="00B7115A">
            <w:pPr>
              <w:spacing w:before="120" w:line="240" w:lineRule="auto"/>
              <w:ind w:left="113"/>
              <w:rPr>
                <w:sz w:val="21"/>
              </w:rPr>
            </w:pPr>
            <w:r>
              <w:rPr>
                <w:sz w:val="21"/>
              </w:rPr>
              <w:t>1</w:t>
            </w:r>
            <w:r>
              <w:rPr>
                <w:rFonts w:hint="eastAsia"/>
                <w:sz w:val="21"/>
              </w:rPr>
              <w:t>至</w:t>
            </w:r>
            <w:r>
              <w:rPr>
                <w:sz w:val="21"/>
              </w:rPr>
              <w:t>3</w:t>
            </w:r>
            <w:r>
              <w:rPr>
                <w:rFonts w:hint="eastAsia"/>
                <w:sz w:val="21"/>
              </w:rPr>
              <w:t>岁的儿童</w:t>
            </w:r>
          </w:p>
        </w:tc>
        <w:tc>
          <w:tcPr>
            <w:tcW w:w="4705" w:type="dxa"/>
            <w:tcBorders>
              <w:top w:val="nil"/>
              <w:left w:val="single" w:sz="6" w:space="0" w:color="auto"/>
            </w:tcBorders>
          </w:tcPr>
          <w:p w:rsidR="00000000" w:rsidRDefault="00B7115A">
            <w:pPr>
              <w:spacing w:before="120" w:line="240" w:lineRule="auto"/>
              <w:ind w:left="57"/>
              <w:jc w:val="center"/>
              <w:rPr>
                <w:sz w:val="21"/>
              </w:rPr>
            </w:pPr>
            <w:r>
              <w:rPr>
                <w:sz w:val="21"/>
              </w:rPr>
              <w:t>222.72</w:t>
            </w:r>
          </w:p>
        </w:tc>
      </w:tr>
      <w:tr w:rsidR="00000000">
        <w:tblPrEx>
          <w:tblCellMar>
            <w:top w:w="0" w:type="dxa"/>
            <w:bottom w:w="0" w:type="dxa"/>
          </w:tblCellMar>
        </w:tblPrEx>
        <w:tc>
          <w:tcPr>
            <w:tcW w:w="4705" w:type="dxa"/>
            <w:tcBorders>
              <w:right w:val="nil"/>
            </w:tcBorders>
          </w:tcPr>
          <w:p w:rsidR="00000000" w:rsidRDefault="00B7115A">
            <w:pPr>
              <w:spacing w:before="80" w:line="240" w:lineRule="auto"/>
              <w:ind w:left="113"/>
              <w:rPr>
                <w:sz w:val="21"/>
              </w:rPr>
            </w:pPr>
            <w:r>
              <w:rPr>
                <w:sz w:val="21"/>
              </w:rPr>
              <w:t>4</w:t>
            </w:r>
            <w:r>
              <w:rPr>
                <w:rFonts w:hint="eastAsia"/>
                <w:sz w:val="21"/>
              </w:rPr>
              <w:t>至</w:t>
            </w:r>
            <w:r>
              <w:rPr>
                <w:sz w:val="21"/>
              </w:rPr>
              <w:t>6</w:t>
            </w:r>
            <w:r>
              <w:rPr>
                <w:rFonts w:hint="eastAsia"/>
                <w:sz w:val="21"/>
              </w:rPr>
              <w:t>岁的儿童</w:t>
            </w:r>
          </w:p>
        </w:tc>
        <w:tc>
          <w:tcPr>
            <w:tcW w:w="4705" w:type="dxa"/>
            <w:tcBorders>
              <w:left w:val="single" w:sz="6" w:space="0" w:color="auto"/>
            </w:tcBorders>
          </w:tcPr>
          <w:p w:rsidR="00000000" w:rsidRDefault="00B7115A">
            <w:pPr>
              <w:tabs>
                <w:tab w:val="left" w:pos="2375"/>
              </w:tabs>
              <w:spacing w:before="80" w:line="240" w:lineRule="auto"/>
              <w:ind w:left="57"/>
              <w:jc w:val="center"/>
              <w:rPr>
                <w:sz w:val="21"/>
              </w:rPr>
            </w:pPr>
            <w:r>
              <w:rPr>
                <w:sz w:val="21"/>
              </w:rPr>
              <w:t>261.50</w:t>
            </w:r>
          </w:p>
        </w:tc>
      </w:tr>
      <w:tr w:rsidR="00000000">
        <w:tblPrEx>
          <w:tblCellMar>
            <w:top w:w="0" w:type="dxa"/>
            <w:bottom w:w="0" w:type="dxa"/>
          </w:tblCellMar>
        </w:tblPrEx>
        <w:tc>
          <w:tcPr>
            <w:tcW w:w="4705" w:type="dxa"/>
            <w:tcBorders>
              <w:right w:val="nil"/>
            </w:tcBorders>
          </w:tcPr>
          <w:p w:rsidR="00000000" w:rsidRDefault="00B7115A">
            <w:pPr>
              <w:spacing w:before="80" w:line="240" w:lineRule="auto"/>
              <w:ind w:left="113"/>
              <w:rPr>
                <w:sz w:val="21"/>
              </w:rPr>
            </w:pPr>
            <w:r>
              <w:rPr>
                <w:sz w:val="21"/>
              </w:rPr>
              <w:t>7</w:t>
            </w:r>
            <w:r>
              <w:rPr>
                <w:rFonts w:hint="eastAsia"/>
                <w:sz w:val="21"/>
              </w:rPr>
              <w:t>至</w:t>
            </w:r>
            <w:r>
              <w:rPr>
                <w:sz w:val="21"/>
              </w:rPr>
              <w:t>13</w:t>
            </w:r>
            <w:r>
              <w:rPr>
                <w:rFonts w:hint="eastAsia"/>
                <w:sz w:val="21"/>
              </w:rPr>
              <w:t>岁的儿童</w:t>
            </w:r>
          </w:p>
        </w:tc>
        <w:tc>
          <w:tcPr>
            <w:tcW w:w="4705" w:type="dxa"/>
            <w:tcBorders>
              <w:left w:val="single" w:sz="6" w:space="0" w:color="auto"/>
            </w:tcBorders>
          </w:tcPr>
          <w:p w:rsidR="00000000" w:rsidRDefault="00B7115A">
            <w:pPr>
              <w:spacing w:before="80" w:line="240" w:lineRule="auto"/>
              <w:ind w:left="57"/>
              <w:jc w:val="center"/>
              <w:rPr>
                <w:sz w:val="21"/>
              </w:rPr>
            </w:pPr>
            <w:r>
              <w:rPr>
                <w:sz w:val="21"/>
              </w:rPr>
              <w:t>314.74</w:t>
            </w:r>
          </w:p>
        </w:tc>
      </w:tr>
      <w:tr w:rsidR="00000000">
        <w:tblPrEx>
          <w:tblCellMar>
            <w:top w:w="0" w:type="dxa"/>
            <w:bottom w:w="0" w:type="dxa"/>
          </w:tblCellMar>
        </w:tblPrEx>
        <w:tc>
          <w:tcPr>
            <w:tcW w:w="4705" w:type="dxa"/>
            <w:tcBorders>
              <w:right w:val="nil"/>
            </w:tcBorders>
          </w:tcPr>
          <w:p w:rsidR="00000000" w:rsidRDefault="00B7115A">
            <w:pPr>
              <w:spacing w:before="80" w:line="240" w:lineRule="auto"/>
              <w:ind w:left="113"/>
              <w:rPr>
                <w:sz w:val="21"/>
              </w:rPr>
            </w:pPr>
            <w:r>
              <w:rPr>
                <w:sz w:val="21"/>
              </w:rPr>
              <w:t>14</w:t>
            </w:r>
            <w:r>
              <w:rPr>
                <w:rFonts w:hint="eastAsia"/>
                <w:sz w:val="21"/>
              </w:rPr>
              <w:t>至</w:t>
            </w:r>
            <w:r>
              <w:rPr>
                <w:sz w:val="21"/>
              </w:rPr>
              <w:t>17</w:t>
            </w:r>
            <w:r>
              <w:rPr>
                <w:rFonts w:hint="eastAsia"/>
                <w:sz w:val="21"/>
              </w:rPr>
              <w:t>岁的儿童</w:t>
            </w:r>
          </w:p>
        </w:tc>
        <w:tc>
          <w:tcPr>
            <w:tcW w:w="4705" w:type="dxa"/>
            <w:tcBorders>
              <w:left w:val="single" w:sz="6" w:space="0" w:color="auto"/>
            </w:tcBorders>
          </w:tcPr>
          <w:p w:rsidR="00000000" w:rsidRDefault="00B7115A">
            <w:pPr>
              <w:spacing w:before="80" w:line="240" w:lineRule="auto"/>
              <w:ind w:left="57"/>
              <w:jc w:val="center"/>
              <w:rPr>
                <w:sz w:val="21"/>
              </w:rPr>
            </w:pPr>
            <w:r>
              <w:rPr>
                <w:sz w:val="21"/>
              </w:rPr>
              <w:t>321.64</w:t>
            </w:r>
          </w:p>
        </w:tc>
      </w:tr>
      <w:tr w:rsidR="00000000">
        <w:tblPrEx>
          <w:tblCellMar>
            <w:top w:w="0" w:type="dxa"/>
            <w:bottom w:w="0" w:type="dxa"/>
          </w:tblCellMar>
        </w:tblPrEx>
        <w:tc>
          <w:tcPr>
            <w:tcW w:w="4705" w:type="dxa"/>
            <w:tcBorders>
              <w:right w:val="nil"/>
            </w:tcBorders>
          </w:tcPr>
          <w:p w:rsidR="00000000" w:rsidRDefault="00B7115A">
            <w:pPr>
              <w:spacing w:before="80" w:line="240" w:lineRule="auto"/>
              <w:ind w:left="113"/>
              <w:rPr>
                <w:sz w:val="21"/>
              </w:rPr>
            </w:pPr>
            <w:r>
              <w:rPr>
                <w:rFonts w:hint="eastAsia"/>
                <w:sz w:val="21"/>
              </w:rPr>
              <w:t>成年男子</w:t>
            </w:r>
          </w:p>
        </w:tc>
        <w:tc>
          <w:tcPr>
            <w:tcW w:w="4705" w:type="dxa"/>
            <w:tcBorders>
              <w:left w:val="single" w:sz="6" w:space="0" w:color="auto"/>
            </w:tcBorders>
          </w:tcPr>
          <w:p w:rsidR="00000000" w:rsidRDefault="00B7115A">
            <w:pPr>
              <w:spacing w:before="80" w:line="240" w:lineRule="auto"/>
              <w:ind w:left="57"/>
              <w:jc w:val="center"/>
              <w:rPr>
                <w:sz w:val="21"/>
              </w:rPr>
            </w:pPr>
            <w:r>
              <w:rPr>
                <w:sz w:val="21"/>
              </w:rPr>
              <w:t>340.24</w:t>
            </w:r>
          </w:p>
        </w:tc>
      </w:tr>
      <w:tr w:rsidR="00000000">
        <w:tblPrEx>
          <w:tblCellMar>
            <w:top w:w="0" w:type="dxa"/>
            <w:bottom w:w="0" w:type="dxa"/>
          </w:tblCellMar>
        </w:tblPrEx>
        <w:tc>
          <w:tcPr>
            <w:tcW w:w="4705" w:type="dxa"/>
            <w:tcBorders>
              <w:right w:val="nil"/>
            </w:tcBorders>
          </w:tcPr>
          <w:p w:rsidR="00000000" w:rsidRDefault="00B7115A">
            <w:pPr>
              <w:spacing w:before="80" w:line="240" w:lineRule="auto"/>
              <w:ind w:left="113"/>
              <w:rPr>
                <w:sz w:val="21"/>
              </w:rPr>
            </w:pPr>
            <w:r>
              <w:rPr>
                <w:rFonts w:hint="eastAsia"/>
                <w:sz w:val="21"/>
              </w:rPr>
              <w:t>成年女子</w:t>
            </w:r>
          </w:p>
        </w:tc>
        <w:tc>
          <w:tcPr>
            <w:tcW w:w="4705" w:type="dxa"/>
            <w:tcBorders>
              <w:left w:val="single" w:sz="6" w:space="0" w:color="auto"/>
            </w:tcBorders>
          </w:tcPr>
          <w:p w:rsidR="00000000" w:rsidRDefault="00B7115A">
            <w:pPr>
              <w:spacing w:before="80" w:line="240" w:lineRule="auto"/>
              <w:ind w:left="57"/>
              <w:jc w:val="center"/>
              <w:rPr>
                <w:sz w:val="21"/>
              </w:rPr>
            </w:pPr>
            <w:r>
              <w:rPr>
                <w:sz w:val="21"/>
              </w:rPr>
              <w:t>297.77</w:t>
            </w:r>
          </w:p>
        </w:tc>
      </w:tr>
      <w:tr w:rsidR="00000000">
        <w:tblPrEx>
          <w:tblCellMar>
            <w:top w:w="0" w:type="dxa"/>
            <w:bottom w:w="0" w:type="dxa"/>
          </w:tblCellMar>
        </w:tblPrEx>
        <w:tc>
          <w:tcPr>
            <w:tcW w:w="4705" w:type="dxa"/>
            <w:tcBorders>
              <w:right w:val="nil"/>
            </w:tcBorders>
          </w:tcPr>
          <w:p w:rsidR="00000000" w:rsidRDefault="00B7115A">
            <w:pPr>
              <w:spacing w:before="120" w:after="80" w:line="240" w:lineRule="auto"/>
              <w:ind w:left="113"/>
              <w:rPr>
                <w:sz w:val="21"/>
              </w:rPr>
            </w:pPr>
            <w:r>
              <w:rPr>
                <w:rFonts w:hint="eastAsia"/>
                <w:sz w:val="21"/>
              </w:rPr>
              <w:t>老年人</w:t>
            </w:r>
          </w:p>
        </w:tc>
        <w:tc>
          <w:tcPr>
            <w:tcW w:w="4705" w:type="dxa"/>
            <w:tcBorders>
              <w:left w:val="single" w:sz="6" w:space="0" w:color="auto"/>
              <w:bottom w:val="single" w:sz="6" w:space="0" w:color="auto"/>
            </w:tcBorders>
          </w:tcPr>
          <w:p w:rsidR="00000000" w:rsidRDefault="00B7115A">
            <w:pPr>
              <w:spacing w:before="120" w:after="80" w:line="240" w:lineRule="auto"/>
              <w:ind w:left="57"/>
              <w:jc w:val="center"/>
              <w:rPr>
                <w:sz w:val="21"/>
              </w:rPr>
            </w:pPr>
            <w:r>
              <w:rPr>
                <w:sz w:val="21"/>
              </w:rPr>
              <w:t>284.28</w:t>
            </w:r>
          </w:p>
        </w:tc>
      </w:tr>
    </w:tbl>
    <w:p w:rsidR="00000000" w:rsidRDefault="00B7115A">
      <w:pPr>
        <w:spacing w:before="240"/>
      </w:pPr>
      <w:r>
        <w:rPr>
          <w:rFonts w:hint="eastAsia"/>
        </w:rPr>
        <w:t>使用这些数字可以界定任何特定家庭的绝对贫困线。例如，一个四口之家</w:t>
      </w:r>
      <w:r>
        <w:t>(</w:t>
      </w:r>
      <w:r>
        <w:rPr>
          <w:rFonts w:hint="eastAsia"/>
        </w:rPr>
        <w:t>含丈夫、妻子和两个</w:t>
      </w:r>
      <w:r>
        <w:t>5</w:t>
      </w:r>
      <w:r>
        <w:rPr>
          <w:rFonts w:hint="eastAsia"/>
        </w:rPr>
        <w:t>至</w:t>
      </w:r>
      <w:r>
        <w:t>12</w:t>
      </w:r>
      <w:r>
        <w:rPr>
          <w:rFonts w:hint="eastAsia"/>
        </w:rPr>
        <w:t>岁的孩子</w:t>
      </w:r>
      <w:r>
        <w:t>)</w:t>
      </w:r>
      <w:r>
        <w:rPr>
          <w:rFonts w:hint="eastAsia"/>
        </w:rPr>
        <w:t>的</w:t>
      </w:r>
      <w:r>
        <w:rPr>
          <w:rFonts w:hint="eastAsia"/>
        </w:rPr>
        <w:t>贫困线为</w:t>
      </w:r>
      <w:r>
        <w:t>1,214.25</w:t>
      </w:r>
      <w:r>
        <w:rPr>
          <w:rFonts w:hint="eastAsia"/>
        </w:rPr>
        <w:t>索姆。</w:t>
      </w:r>
    </w:p>
    <w:p w:rsidR="00000000" w:rsidRDefault="00B7115A">
      <w:r>
        <w:tab/>
        <w:t xml:space="preserve">172.  </w:t>
      </w:r>
      <w:r>
        <w:rPr>
          <w:rFonts w:hint="eastAsia"/>
        </w:rPr>
        <w:t>调查发现穷人数目在所有地区均有增加。然而，虽然纳林州在</w:t>
      </w:r>
      <w:r>
        <w:t>1993</w:t>
      </w:r>
      <w:r>
        <w:rPr>
          <w:rFonts w:hint="eastAsia"/>
        </w:rPr>
        <w:t>年是最糟糕的，但到</w:t>
      </w:r>
      <w:r>
        <w:t>1996</w:t>
      </w:r>
      <w:r>
        <w:rPr>
          <w:rFonts w:hint="eastAsia"/>
        </w:rPr>
        <w:t>年南部各地区都是最贫困的。根据这一年的调查，南方</w:t>
      </w:r>
      <w:r>
        <w:t>65.7%</w:t>
      </w:r>
      <w:r>
        <w:rPr>
          <w:rFonts w:hint="eastAsia"/>
        </w:rPr>
        <w:t>的家庭属于贫困家庭，而北方为</w:t>
      </w:r>
      <w:r>
        <w:t>37.5%</w:t>
      </w:r>
      <w:r>
        <w:rPr>
          <w:rFonts w:hint="eastAsia"/>
        </w:rPr>
        <w:t>。贫困现象在奥什州</w:t>
      </w:r>
      <w:r>
        <w:t>(66.1%)</w:t>
      </w:r>
      <w:r>
        <w:rPr>
          <w:rFonts w:hint="eastAsia"/>
        </w:rPr>
        <w:t>、贾拉拉巴德州</w:t>
      </w:r>
      <w:r>
        <w:t>(64.8%)</w:t>
      </w:r>
      <w:r>
        <w:rPr>
          <w:rFonts w:hint="eastAsia"/>
        </w:rPr>
        <w:t>和塔拉斯州</w:t>
      </w:r>
      <w:r>
        <w:t>(53.6%)</w:t>
      </w:r>
      <w:r>
        <w:rPr>
          <w:rFonts w:hint="eastAsia"/>
        </w:rPr>
        <w:t>最明显。穷人比例最小的是比什凯克州</w:t>
      </w:r>
      <w:r>
        <w:t>(27%)</w:t>
      </w:r>
      <w:r>
        <w:rPr>
          <w:rFonts w:hint="eastAsia"/>
        </w:rPr>
        <w:t>。</w:t>
      </w:r>
    </w:p>
    <w:p w:rsidR="00000000" w:rsidRDefault="00B7115A">
      <w:r>
        <w:tab/>
        <w:t xml:space="preserve">173.  </w:t>
      </w:r>
      <w:r>
        <w:rPr>
          <w:rFonts w:hint="eastAsia"/>
        </w:rPr>
        <w:t>贫困指数在城市和农村地区之间差别很大。贫困主要集中在农村地区：农村家庭比城市家庭成为贫困家庭的可能性要大</w:t>
      </w:r>
      <w:r>
        <w:t>1.5</w:t>
      </w:r>
      <w:r>
        <w:rPr>
          <w:rFonts w:hint="eastAsia"/>
        </w:rPr>
        <w:t>倍。由于一定程度上农村一般</w:t>
      </w:r>
      <w:r>
        <w:rPr>
          <w:rFonts w:hint="eastAsia"/>
        </w:rPr>
        <w:t>家庭比城市地区的家庭大，穷人数目在农村和城市地区之间的差距就更大了。贫困在城市和农村地区之间的分布情况在各州之间区别显著。该调查显示在塔拉斯州</w:t>
      </w:r>
      <w:r>
        <w:t>21%</w:t>
      </w:r>
      <w:r>
        <w:rPr>
          <w:rFonts w:hint="eastAsia"/>
        </w:rPr>
        <w:t>的城市居民和</w:t>
      </w:r>
      <w:r>
        <w:t>62%</w:t>
      </w:r>
      <w:r>
        <w:rPr>
          <w:rFonts w:hint="eastAsia"/>
        </w:rPr>
        <w:t>的农村人口为穷人。这一情况在纳林州和楚河州则倒过来，城市地区贫困人口比例高于农村地区。楚河州生活在贫困中的人的比例在农村地区是城市地区的</w:t>
      </w:r>
      <w:r>
        <w:t>1.1</w:t>
      </w:r>
      <w:r>
        <w:rPr>
          <w:rFonts w:hint="eastAsia"/>
        </w:rPr>
        <w:t>倍。在纳林州，这一比例为</w:t>
      </w:r>
      <w:r>
        <w:t>1.7</w:t>
      </w:r>
      <w:r>
        <w:rPr>
          <w:rFonts w:hint="eastAsia"/>
        </w:rPr>
        <w:t>倍。</w:t>
      </w:r>
    </w:p>
    <w:p w:rsidR="00000000" w:rsidRDefault="00B7115A">
      <w:r>
        <w:tab/>
        <w:t xml:space="preserve">174.  </w:t>
      </w:r>
      <w:r>
        <w:rPr>
          <w:rFonts w:hint="eastAsia"/>
        </w:rPr>
        <w:t>城市穷人比例最高的城镇在纳林州</w:t>
      </w:r>
      <w:r>
        <w:t>(56.5%)</w:t>
      </w:r>
      <w:r>
        <w:rPr>
          <w:rFonts w:hint="eastAsia"/>
        </w:rPr>
        <w:t>、奥什州</w:t>
      </w:r>
      <w:r>
        <w:t>(55.2%)</w:t>
      </w:r>
      <w:r>
        <w:rPr>
          <w:rFonts w:hint="eastAsia"/>
        </w:rPr>
        <w:t>和贾拉拉巴德</w:t>
      </w:r>
      <w:r>
        <w:t>(55%)</w:t>
      </w:r>
      <w:r>
        <w:rPr>
          <w:rFonts w:hint="eastAsia"/>
        </w:rPr>
        <w:t>等州。农村贫困比例最高的在贾拉拉巴德州、奥什州</w:t>
      </w:r>
      <w:r>
        <w:t>(71.3%)</w:t>
      </w:r>
      <w:r>
        <w:rPr>
          <w:rFonts w:hint="eastAsia"/>
        </w:rPr>
        <w:t>和伊西</w:t>
      </w:r>
      <w:r>
        <w:rPr>
          <w:rFonts w:hint="eastAsia"/>
        </w:rPr>
        <w:t>库勒州</w:t>
      </w:r>
      <w:r>
        <w:t>(63.9%)</w:t>
      </w:r>
      <w:r>
        <w:rPr>
          <w:rFonts w:hint="eastAsia"/>
        </w:rPr>
        <w:t>和塔拉斯州</w:t>
      </w:r>
      <w:r>
        <w:t>(62.1%)</w:t>
      </w:r>
      <w:r>
        <w:rPr>
          <w:rFonts w:hint="eastAsia"/>
        </w:rPr>
        <w:t>。奥什州的情况最糟糕：这里的贫困现象比全国任何地方都更加普遍，贫困比例在城市地区</w:t>
      </w:r>
      <w:r>
        <w:t>(55.2%)</w:t>
      </w:r>
      <w:r>
        <w:rPr>
          <w:rFonts w:hint="eastAsia"/>
        </w:rPr>
        <w:t>和在农村地区</w:t>
      </w:r>
      <w:r>
        <w:t>(71.3%)</w:t>
      </w:r>
      <w:r>
        <w:rPr>
          <w:rFonts w:hint="eastAsia"/>
        </w:rPr>
        <w:t>都很高。就收入而言，大约四分之一的家庭处于最底层的</w:t>
      </w:r>
      <w:r>
        <w:t>20%</w:t>
      </w:r>
      <w:r>
        <w:rPr>
          <w:rFonts w:hint="eastAsia"/>
        </w:rPr>
        <w:t>。按照贫困程度递减的次序排列，各地区排序如下：奥什州、贾拉拉巴德州、塔拉斯州、伊西库勒州、纳林州和楚河州和比什凯克州。</w:t>
      </w:r>
    </w:p>
    <w:p w:rsidR="00000000" w:rsidRDefault="00B7115A">
      <w:r>
        <w:tab/>
        <w:t xml:space="preserve">175.  </w:t>
      </w:r>
      <w:r>
        <w:rPr>
          <w:rFonts w:hint="eastAsia"/>
        </w:rPr>
        <w:t>将贫困现象按种族群体来分，处境最糟的是乌兹别克人</w:t>
      </w:r>
      <w:r>
        <w:t>(72.5%)</w:t>
      </w:r>
      <w:r>
        <w:rPr>
          <w:rFonts w:hint="eastAsia"/>
        </w:rPr>
        <w:t>和吉尔吉斯人</w:t>
      </w:r>
      <w:r>
        <w:t>(56.5%)</w:t>
      </w:r>
      <w:r>
        <w:rPr>
          <w:rFonts w:hint="eastAsia"/>
        </w:rPr>
        <w:t>。这主要是由于乌兹别克人的家庭主要集中在国家南部</w:t>
      </w:r>
      <w:r>
        <w:t>(95%)</w:t>
      </w:r>
      <w:r>
        <w:rPr>
          <w:rFonts w:hint="eastAsia"/>
        </w:rPr>
        <w:t>，而这里的贫</w:t>
      </w:r>
      <w:r>
        <w:rPr>
          <w:rFonts w:hint="eastAsia"/>
        </w:rPr>
        <w:t>困现象更明显。由吉尔吉斯人当家的家庭最有可能陷入贫困和非常贫困类。作为一个种族群体，吉尔吉斯人的所有贫困指标最差。俄罗斯人和其他斯拉夫民族的贫困比例最低。移民是贫困比例上升的主要因素。从吉尔吉斯斯坦迁移出去的人主要是专家和富裕家庭，他们有信心在其他地方建立新的生活；较贫困的人留在原地不动。国内移民增加了城市的贫困比例，因为通常是在农村地区无法找到工作的青年人移居到城镇，他们中并非所有人都能得到一份确保可接受的生活水准的薪水。</w:t>
      </w:r>
    </w:p>
    <w:p w:rsidR="00000000" w:rsidRDefault="00B7115A">
      <w:r>
        <w:tab/>
        <w:t xml:space="preserve">176.  </w:t>
      </w:r>
      <w:r>
        <w:rPr>
          <w:rFonts w:hint="eastAsia"/>
        </w:rPr>
        <w:t>该调查显示，贫困与家庭的子女数目有关。家庭的子女越多，陷入贫困或非常</w:t>
      </w:r>
      <w:r>
        <w:rPr>
          <w:rFonts w:hint="eastAsia"/>
        </w:rPr>
        <w:t>贫困类的可能性就越大。有三个或三个以上子女的家庭陷入贫困的可能性很大。</w:t>
      </w:r>
    </w:p>
    <w:p w:rsidR="00000000" w:rsidRDefault="00B7115A">
      <w:r>
        <w:tab/>
        <w:t xml:space="preserve">177.  </w:t>
      </w:r>
      <w:r>
        <w:rPr>
          <w:rFonts w:hint="eastAsia"/>
        </w:rPr>
        <w:t>贫困与家庭主人的受教育水平之间没有发现多大联系。因此，家庭主人具有高等和中等专业教育的家庭常常陷入极端贫困类。在</w:t>
      </w:r>
      <w:r>
        <w:t>1993</w:t>
      </w:r>
      <w:r>
        <w:rPr>
          <w:rFonts w:hint="eastAsia"/>
        </w:rPr>
        <w:t>年，由受高等教育的人当家做主的</w:t>
      </w:r>
      <w:r>
        <w:t>5.9%</w:t>
      </w:r>
      <w:r>
        <w:rPr>
          <w:rFonts w:hint="eastAsia"/>
        </w:rPr>
        <w:t>的城市家庭和</w:t>
      </w:r>
      <w:r>
        <w:t>15.8%</w:t>
      </w:r>
      <w:r>
        <w:rPr>
          <w:rFonts w:hint="eastAsia"/>
        </w:rPr>
        <w:t>的农村家庭陷入极端贫困，而在</w:t>
      </w:r>
      <w:r>
        <w:t>1996</w:t>
      </w:r>
      <w:r>
        <w:rPr>
          <w:rFonts w:hint="eastAsia"/>
        </w:rPr>
        <w:t>年相应数字分别为</w:t>
      </w:r>
      <w:r>
        <w:t>9.5%</w:t>
      </w:r>
      <w:r>
        <w:rPr>
          <w:rFonts w:hint="eastAsia"/>
        </w:rPr>
        <w:t>和</w:t>
      </w:r>
      <w:r>
        <w:t>19.2%</w:t>
      </w:r>
      <w:r>
        <w:rPr>
          <w:rFonts w:hint="eastAsia"/>
        </w:rPr>
        <w:t>。由具有中等专业教育的人当家做主的贫困家庭的比例，同期在城市从</w:t>
      </w:r>
      <w:r>
        <w:t>9%</w:t>
      </w:r>
      <w:r>
        <w:rPr>
          <w:rFonts w:hint="eastAsia"/>
        </w:rPr>
        <w:t>上升到</w:t>
      </w:r>
      <w:r>
        <w:t>21%</w:t>
      </w:r>
      <w:r>
        <w:rPr>
          <w:rFonts w:hint="eastAsia"/>
        </w:rPr>
        <w:t>，在农村从</w:t>
      </w:r>
      <w:r>
        <w:t>23%</w:t>
      </w:r>
      <w:r>
        <w:rPr>
          <w:rFonts w:hint="eastAsia"/>
        </w:rPr>
        <w:t>上升到</w:t>
      </w:r>
      <w:r>
        <w:t>34%</w:t>
      </w:r>
      <w:r>
        <w:rPr>
          <w:rFonts w:hint="eastAsia"/>
        </w:rPr>
        <w:t>。</w:t>
      </w:r>
    </w:p>
    <w:p w:rsidR="00000000" w:rsidRDefault="00B7115A">
      <w:r>
        <w:tab/>
        <w:t xml:space="preserve">178.  </w:t>
      </w:r>
      <w:r>
        <w:rPr>
          <w:rFonts w:hint="eastAsia"/>
        </w:rPr>
        <w:t>关于家庭主人的经济状况问题，失业者和为照看其孩子而</w:t>
      </w:r>
      <w:r>
        <w:rPr>
          <w:rFonts w:hint="eastAsia"/>
        </w:rPr>
        <w:t>放弃就业的妇女陷入贫困类的可能性最大。至于其他各类家庭主人的经济状况几乎没有影响。自谋职业者贫困率相对较低。</w:t>
      </w:r>
    </w:p>
    <w:p w:rsidR="00000000" w:rsidRDefault="00B7115A">
      <w:r>
        <w:tab/>
        <w:t xml:space="preserve">179.  </w:t>
      </w:r>
      <w:r>
        <w:rPr>
          <w:rFonts w:hint="eastAsia"/>
        </w:rPr>
        <w:t>因此生活水准比</w:t>
      </w:r>
      <w:r>
        <w:t>1993</w:t>
      </w:r>
      <w:r>
        <w:rPr>
          <w:rFonts w:hint="eastAsia"/>
        </w:rPr>
        <w:t>年大幅度下降。穷人占全国人口的</w:t>
      </w:r>
      <w:r>
        <w:t>49.2%</w:t>
      </w:r>
      <w:r>
        <w:rPr>
          <w:rFonts w:hint="eastAsia"/>
        </w:rPr>
        <w:t>。鉴于大量家庭极端贫困，因此贫困不是“表面上的”。贫困在南部和农村人口中最显著。吉尔吉斯族人陷入贫困的可能性比其他种族群体更大。</w:t>
      </w:r>
    </w:p>
    <w:p w:rsidR="00000000" w:rsidRDefault="00B7115A">
      <w:r>
        <w:tab/>
        <w:t xml:space="preserve">180.  </w:t>
      </w:r>
      <w:r>
        <w:rPr>
          <w:rFonts w:hint="eastAsia"/>
        </w:rPr>
        <w:t>最低工资虽然从</w:t>
      </w:r>
      <w:r>
        <w:t>1997</w:t>
      </w:r>
      <w:r>
        <w:rPr>
          <w:rFonts w:hint="eastAsia"/>
        </w:rPr>
        <w:t>年</w:t>
      </w:r>
      <w:r>
        <w:t>7</w:t>
      </w:r>
      <w:r>
        <w:rPr>
          <w:rFonts w:hint="eastAsia"/>
        </w:rPr>
        <w:t>月提高到</w:t>
      </w:r>
      <w:r>
        <w:t>90</w:t>
      </w:r>
      <w:r>
        <w:rPr>
          <w:rFonts w:hint="eastAsia"/>
        </w:rPr>
        <w:t>索姆，但仍太低</w:t>
      </w:r>
      <w:r>
        <w:t>(</w:t>
      </w:r>
      <w:r>
        <w:rPr>
          <w:rFonts w:hint="eastAsia"/>
        </w:rPr>
        <w:t>消费者最低预算的</w:t>
      </w:r>
      <w:r>
        <w:t>12%-13%)</w:t>
      </w:r>
      <w:r>
        <w:rPr>
          <w:rFonts w:hint="eastAsia"/>
        </w:rPr>
        <w:t>不足以支付对食物的生理要求。国家统计委员会进行的定期家庭预算调查显示，</w:t>
      </w:r>
      <w:r>
        <w:t>1996</w:t>
      </w:r>
      <w:r>
        <w:rPr>
          <w:rFonts w:hint="eastAsia"/>
        </w:rPr>
        <w:t>年春人口中最贫困的</w:t>
      </w:r>
      <w:r>
        <w:t>10%</w:t>
      </w:r>
      <w:r>
        <w:rPr>
          <w:rFonts w:hint="eastAsia"/>
        </w:rPr>
        <w:t>的真正食物消费为人均</w:t>
      </w:r>
      <w:r>
        <w:t>156</w:t>
      </w:r>
      <w:r>
        <w:rPr>
          <w:rFonts w:hint="eastAsia"/>
        </w:rPr>
        <w:t>索姆。按照目前价格，同样一组食物的费用已经为</w:t>
      </w:r>
      <w:r>
        <w:t>190-200</w:t>
      </w:r>
      <w:r>
        <w:rPr>
          <w:rFonts w:hint="eastAsia"/>
        </w:rPr>
        <w:t>索姆，尽管其中所涉食物产品的范围和数量极低；例如，每周</w:t>
      </w:r>
      <w:r>
        <w:t>325</w:t>
      </w:r>
      <w:r>
        <w:rPr>
          <w:rFonts w:hint="eastAsia"/>
        </w:rPr>
        <w:t>克肉或每个月</w:t>
      </w:r>
      <w:r>
        <w:t>2.5</w:t>
      </w:r>
      <w:r>
        <w:rPr>
          <w:rFonts w:hint="eastAsia"/>
        </w:rPr>
        <w:t>个鸡蛋。按这样的一组采购标准，只能维持生存而已。</w:t>
      </w:r>
    </w:p>
    <w:p w:rsidR="00000000" w:rsidRDefault="00B7115A">
      <w:r>
        <w:tab/>
        <w:t xml:space="preserve">181.  </w:t>
      </w:r>
      <w:r>
        <w:rPr>
          <w:rFonts w:hint="eastAsia"/>
        </w:rPr>
        <w:t>卫生组织界定的每日热量摄取量已通过为吉尔吉斯斯坦的标准，根据该标准，成年男子每天需要约</w:t>
      </w:r>
      <w:r>
        <w:t>2,750</w:t>
      </w:r>
      <w:r>
        <w:rPr>
          <w:rFonts w:hint="eastAsia"/>
        </w:rPr>
        <w:t>千卡来维持其健康和每天的活动。这一标准涵盖</w:t>
      </w:r>
      <w:r>
        <w:t>18</w:t>
      </w:r>
      <w:r>
        <w:rPr>
          <w:rFonts w:hint="eastAsia"/>
        </w:rPr>
        <w:t>至</w:t>
      </w:r>
      <w:r>
        <w:t>59</w:t>
      </w:r>
      <w:r>
        <w:rPr>
          <w:rFonts w:hint="eastAsia"/>
        </w:rPr>
        <w:t>岁的所有男人。妇女、儿童和养恤金领取者所需热量比成年男子要低。以成年男子的等量作为基础可为成年妇女确定第二类标准，即相当于成年男子热</w:t>
      </w:r>
      <w:r>
        <w:rPr>
          <w:rFonts w:hint="eastAsia"/>
        </w:rPr>
        <w:t>量需求的</w:t>
      </w:r>
      <w:r>
        <w:t>80%</w:t>
      </w:r>
      <w:r>
        <w:rPr>
          <w:rFonts w:hint="eastAsia"/>
        </w:rPr>
        <w:t>。不超过</w:t>
      </w:r>
      <w:r>
        <w:t>3</w:t>
      </w:r>
      <w:r>
        <w:rPr>
          <w:rFonts w:hint="eastAsia"/>
        </w:rPr>
        <w:t>岁的儿童仅需要成年男子热量消费的</w:t>
      </w:r>
      <w:r>
        <w:t>49%</w:t>
      </w:r>
      <w:r>
        <w:rPr>
          <w:rFonts w:hint="eastAsia"/>
        </w:rPr>
        <w:t>、</w:t>
      </w:r>
      <w:r>
        <w:t>4</w:t>
      </w:r>
      <w:r>
        <w:rPr>
          <w:rFonts w:hint="eastAsia"/>
        </w:rPr>
        <w:t>至</w:t>
      </w:r>
      <w:r>
        <w:t>6</w:t>
      </w:r>
      <w:r>
        <w:rPr>
          <w:rFonts w:hint="eastAsia"/>
        </w:rPr>
        <w:t>岁的儿童为</w:t>
      </w:r>
      <w:r>
        <w:t>64%</w:t>
      </w:r>
      <w:r>
        <w:rPr>
          <w:rFonts w:hint="eastAsia"/>
        </w:rPr>
        <w:t>、</w:t>
      </w:r>
      <w:r>
        <w:t>7</w:t>
      </w:r>
      <w:r>
        <w:rPr>
          <w:rFonts w:hint="eastAsia"/>
        </w:rPr>
        <w:t>至</w:t>
      </w:r>
      <w:r>
        <w:t>13</w:t>
      </w:r>
      <w:r>
        <w:rPr>
          <w:rFonts w:hint="eastAsia"/>
        </w:rPr>
        <w:t>岁的儿童和</w:t>
      </w:r>
      <w:r>
        <w:t>54</w:t>
      </w:r>
      <w:r>
        <w:rPr>
          <w:rFonts w:hint="eastAsia"/>
        </w:rPr>
        <w:t>岁以上的妇女为</w:t>
      </w:r>
      <w:r>
        <w:t>78%</w:t>
      </w:r>
      <w:r>
        <w:rPr>
          <w:rFonts w:hint="eastAsia"/>
        </w:rPr>
        <w:t>、</w:t>
      </w:r>
      <w:r>
        <w:t>14</w:t>
      </w:r>
      <w:r>
        <w:rPr>
          <w:rFonts w:hint="eastAsia"/>
        </w:rPr>
        <w:t>至</w:t>
      </w:r>
      <w:r>
        <w:t>17</w:t>
      </w:r>
      <w:r>
        <w:rPr>
          <w:rFonts w:hint="eastAsia"/>
        </w:rPr>
        <w:t>岁的儿童为</w:t>
      </w:r>
      <w:r>
        <w:t>89%</w:t>
      </w:r>
      <w:r>
        <w:rPr>
          <w:rFonts w:hint="eastAsia"/>
        </w:rPr>
        <w:t>。调查显示，由于贫困比例高，平均热量摄取大大低于卫生组织建议的标准。</w:t>
      </w:r>
    </w:p>
    <w:p w:rsidR="00000000" w:rsidRDefault="00B7115A">
      <w:pPr>
        <w:spacing w:after="320"/>
        <w:textAlignment w:val="center"/>
      </w:pPr>
      <w:r>
        <w:tab/>
        <w:t xml:space="preserve">182.  </w:t>
      </w:r>
      <w:r>
        <w:rPr>
          <w:rFonts w:hint="eastAsia"/>
        </w:rPr>
        <w:t>家庭总支出的很大一部分</w:t>
      </w:r>
      <w:r>
        <w:t>(60%</w:t>
      </w:r>
      <w:r>
        <w:rPr>
          <w:rFonts w:hint="eastAsia"/>
        </w:rPr>
        <w:t>以上</w:t>
      </w:r>
      <w:r>
        <w:t>)</w:t>
      </w:r>
      <w:r>
        <w:rPr>
          <w:rFonts w:hint="eastAsia"/>
        </w:rPr>
        <w:t>用于食物；这方面贫困家庭和非贫困家庭之间没有重大区别。私人小块土地的产出占农村地区人口食品消费的很大一部分。家庭越穷，消费自产食品的比例就越高。</w:t>
      </w:r>
    </w:p>
    <w:p w:rsidR="00000000" w:rsidRDefault="00B7115A">
      <w:pPr>
        <w:spacing w:after="240"/>
        <w:jc w:val="center"/>
        <w:textAlignment w:val="center"/>
        <w:rPr>
          <w:u w:val="single"/>
        </w:rPr>
      </w:pPr>
      <w:r>
        <w:rPr>
          <w:rFonts w:hint="eastAsia"/>
          <w:u w:val="single"/>
        </w:rPr>
        <w:t>吉尔吉斯斯坦食品消费量</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348"/>
        <w:gridCol w:w="1687"/>
        <w:gridCol w:w="1687"/>
        <w:gridCol w:w="1687"/>
      </w:tblGrid>
      <w:tr w:rsidR="00000000">
        <w:tblPrEx>
          <w:tblCellMar>
            <w:top w:w="0" w:type="dxa"/>
            <w:bottom w:w="0" w:type="dxa"/>
          </w:tblCellMar>
        </w:tblPrEx>
        <w:tc>
          <w:tcPr>
            <w:tcW w:w="4348" w:type="dxa"/>
            <w:tcBorders>
              <w:top w:val="single" w:sz="6" w:space="0" w:color="auto"/>
              <w:bottom w:val="single" w:sz="6" w:space="0" w:color="auto"/>
              <w:right w:val="nil"/>
            </w:tcBorders>
          </w:tcPr>
          <w:p w:rsidR="00000000" w:rsidRDefault="00B7115A">
            <w:pPr>
              <w:spacing w:before="160" w:after="40"/>
              <w:ind w:left="284"/>
              <w:rPr>
                <w:sz w:val="21"/>
              </w:rPr>
            </w:pPr>
          </w:p>
        </w:tc>
        <w:tc>
          <w:tcPr>
            <w:tcW w:w="1687" w:type="dxa"/>
            <w:tcBorders>
              <w:top w:val="single" w:sz="6" w:space="0" w:color="auto"/>
              <w:left w:val="single" w:sz="6" w:space="0" w:color="auto"/>
              <w:bottom w:val="single" w:sz="6" w:space="0" w:color="auto"/>
              <w:right w:val="single" w:sz="6" w:space="0" w:color="auto"/>
            </w:tcBorders>
          </w:tcPr>
          <w:p w:rsidR="00000000" w:rsidRDefault="00B7115A">
            <w:pPr>
              <w:spacing w:before="160" w:after="40"/>
              <w:jc w:val="center"/>
              <w:rPr>
                <w:sz w:val="21"/>
              </w:rPr>
            </w:pPr>
            <w:r>
              <w:rPr>
                <w:sz w:val="21"/>
              </w:rPr>
              <w:t>1994</w:t>
            </w:r>
          </w:p>
        </w:tc>
        <w:tc>
          <w:tcPr>
            <w:tcW w:w="1687" w:type="dxa"/>
            <w:tcBorders>
              <w:top w:val="single" w:sz="6" w:space="0" w:color="auto"/>
              <w:left w:val="nil"/>
              <w:bottom w:val="single" w:sz="6" w:space="0" w:color="auto"/>
              <w:right w:val="single" w:sz="6" w:space="0" w:color="auto"/>
            </w:tcBorders>
          </w:tcPr>
          <w:p w:rsidR="00000000" w:rsidRDefault="00B7115A">
            <w:pPr>
              <w:spacing w:before="160" w:after="40"/>
              <w:jc w:val="center"/>
              <w:rPr>
                <w:sz w:val="21"/>
              </w:rPr>
            </w:pPr>
            <w:r>
              <w:rPr>
                <w:sz w:val="21"/>
              </w:rPr>
              <w:t>1995</w:t>
            </w:r>
          </w:p>
        </w:tc>
        <w:tc>
          <w:tcPr>
            <w:tcW w:w="1687" w:type="dxa"/>
            <w:tcBorders>
              <w:top w:val="single" w:sz="6" w:space="0" w:color="auto"/>
              <w:left w:val="nil"/>
              <w:bottom w:val="single" w:sz="6" w:space="0" w:color="auto"/>
            </w:tcBorders>
          </w:tcPr>
          <w:p w:rsidR="00000000" w:rsidRDefault="00B7115A">
            <w:pPr>
              <w:spacing w:before="160" w:after="40"/>
              <w:jc w:val="center"/>
              <w:rPr>
                <w:sz w:val="21"/>
              </w:rPr>
            </w:pPr>
            <w:r>
              <w:rPr>
                <w:sz w:val="21"/>
              </w:rPr>
              <w:t>1996</w:t>
            </w:r>
          </w:p>
        </w:tc>
      </w:tr>
      <w:tr w:rsidR="00000000">
        <w:tblPrEx>
          <w:tblCellMar>
            <w:top w:w="0" w:type="dxa"/>
            <w:bottom w:w="0" w:type="dxa"/>
          </w:tblCellMar>
        </w:tblPrEx>
        <w:tc>
          <w:tcPr>
            <w:tcW w:w="4348" w:type="dxa"/>
            <w:tcBorders>
              <w:top w:val="nil"/>
              <w:right w:val="nil"/>
            </w:tcBorders>
          </w:tcPr>
          <w:p w:rsidR="00000000" w:rsidRDefault="00B7115A">
            <w:pPr>
              <w:spacing w:before="120"/>
              <w:ind w:left="170"/>
              <w:rPr>
                <w:sz w:val="21"/>
              </w:rPr>
            </w:pPr>
            <w:r>
              <w:rPr>
                <w:rFonts w:hint="eastAsia"/>
                <w:sz w:val="21"/>
              </w:rPr>
              <w:t>面包和烘烤品</w:t>
            </w:r>
          </w:p>
        </w:tc>
        <w:tc>
          <w:tcPr>
            <w:tcW w:w="1687" w:type="dxa"/>
            <w:tcBorders>
              <w:top w:val="nil"/>
              <w:left w:val="single" w:sz="6" w:space="0" w:color="auto"/>
              <w:right w:val="single" w:sz="6" w:space="0" w:color="auto"/>
            </w:tcBorders>
          </w:tcPr>
          <w:p w:rsidR="00000000" w:rsidRDefault="00B7115A">
            <w:pPr>
              <w:spacing w:before="120"/>
              <w:jc w:val="center"/>
              <w:rPr>
                <w:sz w:val="21"/>
              </w:rPr>
            </w:pPr>
            <w:r>
              <w:rPr>
                <w:sz w:val="21"/>
              </w:rPr>
              <w:t>122.8</w:t>
            </w:r>
          </w:p>
        </w:tc>
        <w:tc>
          <w:tcPr>
            <w:tcW w:w="1687" w:type="dxa"/>
            <w:tcBorders>
              <w:top w:val="nil"/>
              <w:left w:val="nil"/>
              <w:right w:val="single" w:sz="6" w:space="0" w:color="auto"/>
            </w:tcBorders>
          </w:tcPr>
          <w:p w:rsidR="00000000" w:rsidRDefault="00B7115A">
            <w:pPr>
              <w:spacing w:before="120"/>
              <w:jc w:val="center"/>
              <w:rPr>
                <w:sz w:val="21"/>
              </w:rPr>
            </w:pPr>
            <w:r>
              <w:rPr>
                <w:sz w:val="21"/>
              </w:rPr>
              <w:t>13</w:t>
            </w:r>
            <w:r>
              <w:rPr>
                <w:sz w:val="21"/>
              </w:rPr>
              <w:t>3.6</w:t>
            </w:r>
          </w:p>
        </w:tc>
        <w:tc>
          <w:tcPr>
            <w:tcW w:w="1687" w:type="dxa"/>
            <w:tcBorders>
              <w:top w:val="nil"/>
              <w:left w:val="nil"/>
            </w:tcBorders>
          </w:tcPr>
          <w:p w:rsidR="00000000" w:rsidRDefault="00B7115A">
            <w:pPr>
              <w:spacing w:before="120"/>
              <w:jc w:val="center"/>
              <w:rPr>
                <w:sz w:val="21"/>
              </w:rPr>
            </w:pPr>
            <w:r>
              <w:rPr>
                <w:sz w:val="21"/>
              </w:rPr>
              <w:t>129.8</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马铃薯</w:t>
            </w:r>
          </w:p>
        </w:tc>
        <w:tc>
          <w:tcPr>
            <w:tcW w:w="1687" w:type="dxa"/>
            <w:tcBorders>
              <w:left w:val="single" w:sz="6" w:space="0" w:color="auto"/>
              <w:right w:val="single" w:sz="6" w:space="0" w:color="auto"/>
            </w:tcBorders>
          </w:tcPr>
          <w:p w:rsidR="00000000" w:rsidRDefault="00B7115A">
            <w:pPr>
              <w:ind w:left="170"/>
              <w:jc w:val="center"/>
              <w:rPr>
                <w:sz w:val="21"/>
              </w:rPr>
            </w:pPr>
            <w:r>
              <w:rPr>
                <w:sz w:val="21"/>
              </w:rPr>
              <w:t>52.9</w:t>
            </w:r>
          </w:p>
        </w:tc>
        <w:tc>
          <w:tcPr>
            <w:tcW w:w="1687" w:type="dxa"/>
            <w:tcBorders>
              <w:left w:val="nil"/>
              <w:right w:val="single" w:sz="6" w:space="0" w:color="auto"/>
            </w:tcBorders>
          </w:tcPr>
          <w:p w:rsidR="00000000" w:rsidRDefault="00B7115A">
            <w:pPr>
              <w:ind w:left="170"/>
              <w:jc w:val="center"/>
              <w:rPr>
                <w:sz w:val="21"/>
              </w:rPr>
            </w:pPr>
            <w:r>
              <w:rPr>
                <w:sz w:val="21"/>
              </w:rPr>
              <w:t>50.8</w:t>
            </w:r>
          </w:p>
        </w:tc>
        <w:tc>
          <w:tcPr>
            <w:tcW w:w="1687" w:type="dxa"/>
            <w:tcBorders>
              <w:left w:val="nil"/>
            </w:tcBorders>
          </w:tcPr>
          <w:p w:rsidR="00000000" w:rsidRDefault="00B7115A">
            <w:pPr>
              <w:ind w:left="170"/>
              <w:jc w:val="center"/>
              <w:rPr>
                <w:sz w:val="21"/>
              </w:rPr>
            </w:pPr>
            <w:r>
              <w:rPr>
                <w:sz w:val="21"/>
              </w:rPr>
              <w:t>55.0</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蔬菜和瓜类</w:t>
            </w:r>
          </w:p>
        </w:tc>
        <w:tc>
          <w:tcPr>
            <w:tcW w:w="1687" w:type="dxa"/>
            <w:tcBorders>
              <w:left w:val="single" w:sz="6" w:space="0" w:color="auto"/>
              <w:right w:val="single" w:sz="6" w:space="0" w:color="auto"/>
            </w:tcBorders>
          </w:tcPr>
          <w:p w:rsidR="00000000" w:rsidRDefault="00B7115A">
            <w:pPr>
              <w:ind w:left="170"/>
              <w:jc w:val="center"/>
              <w:rPr>
                <w:sz w:val="21"/>
              </w:rPr>
            </w:pPr>
            <w:r>
              <w:rPr>
                <w:sz w:val="21"/>
              </w:rPr>
              <w:t>65.0</w:t>
            </w:r>
          </w:p>
        </w:tc>
        <w:tc>
          <w:tcPr>
            <w:tcW w:w="1687" w:type="dxa"/>
            <w:tcBorders>
              <w:left w:val="nil"/>
              <w:right w:val="single" w:sz="6" w:space="0" w:color="auto"/>
            </w:tcBorders>
          </w:tcPr>
          <w:p w:rsidR="00000000" w:rsidRDefault="00B7115A">
            <w:pPr>
              <w:ind w:left="170"/>
              <w:jc w:val="center"/>
              <w:rPr>
                <w:sz w:val="21"/>
              </w:rPr>
            </w:pPr>
            <w:r>
              <w:rPr>
                <w:sz w:val="21"/>
              </w:rPr>
              <w:t>79.0</w:t>
            </w:r>
          </w:p>
        </w:tc>
        <w:tc>
          <w:tcPr>
            <w:tcW w:w="1687" w:type="dxa"/>
            <w:tcBorders>
              <w:left w:val="nil"/>
            </w:tcBorders>
          </w:tcPr>
          <w:p w:rsidR="00000000" w:rsidRDefault="00B7115A">
            <w:pPr>
              <w:ind w:left="170"/>
              <w:jc w:val="center"/>
              <w:rPr>
                <w:sz w:val="21"/>
              </w:rPr>
            </w:pPr>
            <w:r>
              <w:rPr>
                <w:sz w:val="21"/>
              </w:rPr>
              <w:t>88.8</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水果和浆果</w:t>
            </w:r>
          </w:p>
        </w:tc>
        <w:tc>
          <w:tcPr>
            <w:tcW w:w="1687" w:type="dxa"/>
            <w:tcBorders>
              <w:left w:val="single" w:sz="6" w:space="0" w:color="auto"/>
              <w:right w:val="single" w:sz="6" w:space="0" w:color="auto"/>
            </w:tcBorders>
          </w:tcPr>
          <w:p w:rsidR="00000000" w:rsidRDefault="00B7115A">
            <w:pPr>
              <w:ind w:left="170"/>
              <w:jc w:val="center"/>
              <w:rPr>
                <w:sz w:val="21"/>
              </w:rPr>
            </w:pPr>
            <w:r>
              <w:rPr>
                <w:sz w:val="21"/>
              </w:rPr>
              <w:t>34.6</w:t>
            </w:r>
          </w:p>
        </w:tc>
        <w:tc>
          <w:tcPr>
            <w:tcW w:w="1687" w:type="dxa"/>
            <w:tcBorders>
              <w:left w:val="nil"/>
              <w:right w:val="single" w:sz="6" w:space="0" w:color="auto"/>
            </w:tcBorders>
          </w:tcPr>
          <w:p w:rsidR="00000000" w:rsidRDefault="00B7115A">
            <w:pPr>
              <w:tabs>
                <w:tab w:val="clear" w:pos="1021"/>
                <w:tab w:val="left" w:pos="925"/>
              </w:tabs>
              <w:ind w:left="170"/>
              <w:jc w:val="center"/>
              <w:rPr>
                <w:sz w:val="21"/>
              </w:rPr>
            </w:pPr>
            <w:r>
              <w:rPr>
                <w:sz w:val="21"/>
              </w:rPr>
              <w:t>43.2</w:t>
            </w:r>
          </w:p>
        </w:tc>
        <w:tc>
          <w:tcPr>
            <w:tcW w:w="1687" w:type="dxa"/>
            <w:tcBorders>
              <w:left w:val="nil"/>
            </w:tcBorders>
          </w:tcPr>
          <w:p w:rsidR="00000000" w:rsidRDefault="00B7115A">
            <w:pPr>
              <w:ind w:left="170"/>
              <w:jc w:val="center"/>
              <w:rPr>
                <w:sz w:val="21"/>
              </w:rPr>
            </w:pPr>
            <w:r>
              <w:rPr>
                <w:sz w:val="21"/>
              </w:rPr>
              <w:t>50.4</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肉和肉制品</w:t>
            </w:r>
          </w:p>
        </w:tc>
        <w:tc>
          <w:tcPr>
            <w:tcW w:w="1687" w:type="dxa"/>
            <w:tcBorders>
              <w:left w:val="single" w:sz="6" w:space="0" w:color="auto"/>
              <w:right w:val="single" w:sz="6" w:space="0" w:color="auto"/>
            </w:tcBorders>
          </w:tcPr>
          <w:p w:rsidR="00000000" w:rsidRDefault="00B7115A">
            <w:pPr>
              <w:ind w:left="170"/>
              <w:jc w:val="center"/>
              <w:rPr>
                <w:sz w:val="21"/>
              </w:rPr>
            </w:pPr>
            <w:r>
              <w:rPr>
                <w:sz w:val="21"/>
              </w:rPr>
              <w:t>24.7</w:t>
            </w:r>
          </w:p>
        </w:tc>
        <w:tc>
          <w:tcPr>
            <w:tcW w:w="1687" w:type="dxa"/>
            <w:tcBorders>
              <w:left w:val="nil"/>
              <w:right w:val="single" w:sz="6" w:space="0" w:color="auto"/>
            </w:tcBorders>
          </w:tcPr>
          <w:p w:rsidR="00000000" w:rsidRDefault="00B7115A">
            <w:pPr>
              <w:ind w:left="170"/>
              <w:jc w:val="center"/>
              <w:rPr>
                <w:sz w:val="21"/>
              </w:rPr>
            </w:pPr>
            <w:r>
              <w:rPr>
                <w:sz w:val="21"/>
              </w:rPr>
              <w:t>24.8</w:t>
            </w:r>
          </w:p>
        </w:tc>
        <w:tc>
          <w:tcPr>
            <w:tcW w:w="1687" w:type="dxa"/>
            <w:tcBorders>
              <w:left w:val="nil"/>
            </w:tcBorders>
          </w:tcPr>
          <w:p w:rsidR="00000000" w:rsidRDefault="00B7115A">
            <w:pPr>
              <w:ind w:left="170"/>
              <w:jc w:val="center"/>
              <w:rPr>
                <w:sz w:val="21"/>
              </w:rPr>
            </w:pPr>
            <w:r>
              <w:rPr>
                <w:sz w:val="21"/>
              </w:rPr>
              <w:t>22.8</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奶和奶制品</w:t>
            </w:r>
          </w:p>
        </w:tc>
        <w:tc>
          <w:tcPr>
            <w:tcW w:w="1687" w:type="dxa"/>
            <w:tcBorders>
              <w:left w:val="single" w:sz="6" w:space="0" w:color="auto"/>
              <w:right w:val="single" w:sz="6" w:space="0" w:color="auto"/>
            </w:tcBorders>
          </w:tcPr>
          <w:p w:rsidR="00000000" w:rsidRDefault="00B7115A">
            <w:pPr>
              <w:jc w:val="center"/>
              <w:rPr>
                <w:sz w:val="21"/>
              </w:rPr>
            </w:pPr>
            <w:r>
              <w:rPr>
                <w:sz w:val="21"/>
              </w:rPr>
              <w:t>153.2</w:t>
            </w:r>
          </w:p>
        </w:tc>
        <w:tc>
          <w:tcPr>
            <w:tcW w:w="1687" w:type="dxa"/>
            <w:tcBorders>
              <w:left w:val="nil"/>
              <w:right w:val="single" w:sz="6" w:space="0" w:color="auto"/>
            </w:tcBorders>
          </w:tcPr>
          <w:p w:rsidR="00000000" w:rsidRDefault="00B7115A">
            <w:pPr>
              <w:jc w:val="center"/>
              <w:rPr>
                <w:sz w:val="21"/>
              </w:rPr>
            </w:pPr>
            <w:r>
              <w:rPr>
                <w:sz w:val="21"/>
              </w:rPr>
              <w:t>171.1</w:t>
            </w:r>
          </w:p>
        </w:tc>
        <w:tc>
          <w:tcPr>
            <w:tcW w:w="1687" w:type="dxa"/>
            <w:tcBorders>
              <w:left w:val="nil"/>
            </w:tcBorders>
          </w:tcPr>
          <w:p w:rsidR="00000000" w:rsidRDefault="00B7115A">
            <w:pPr>
              <w:jc w:val="center"/>
              <w:rPr>
                <w:sz w:val="21"/>
              </w:rPr>
            </w:pPr>
            <w:r>
              <w:rPr>
                <w:sz w:val="21"/>
              </w:rPr>
              <w:t>152.2</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植物油和人造黄油</w:t>
            </w:r>
          </w:p>
        </w:tc>
        <w:tc>
          <w:tcPr>
            <w:tcW w:w="1687" w:type="dxa"/>
            <w:tcBorders>
              <w:left w:val="single" w:sz="6" w:space="0" w:color="auto"/>
              <w:right w:val="single" w:sz="6" w:space="0" w:color="auto"/>
            </w:tcBorders>
          </w:tcPr>
          <w:p w:rsidR="00000000" w:rsidRDefault="00B7115A">
            <w:pPr>
              <w:ind w:left="227"/>
              <w:jc w:val="center"/>
              <w:rPr>
                <w:sz w:val="21"/>
              </w:rPr>
            </w:pPr>
            <w:r>
              <w:rPr>
                <w:sz w:val="21"/>
              </w:rPr>
              <w:t>6.5</w:t>
            </w:r>
          </w:p>
        </w:tc>
        <w:tc>
          <w:tcPr>
            <w:tcW w:w="1687" w:type="dxa"/>
            <w:tcBorders>
              <w:left w:val="nil"/>
              <w:right w:val="single" w:sz="6" w:space="0" w:color="auto"/>
            </w:tcBorders>
          </w:tcPr>
          <w:p w:rsidR="00000000" w:rsidRDefault="00B7115A">
            <w:pPr>
              <w:ind w:left="227"/>
              <w:jc w:val="center"/>
              <w:rPr>
                <w:sz w:val="21"/>
              </w:rPr>
            </w:pPr>
            <w:r>
              <w:rPr>
                <w:sz w:val="21"/>
              </w:rPr>
              <w:t>7.1</w:t>
            </w:r>
          </w:p>
        </w:tc>
        <w:tc>
          <w:tcPr>
            <w:tcW w:w="1687" w:type="dxa"/>
            <w:tcBorders>
              <w:left w:val="nil"/>
            </w:tcBorders>
          </w:tcPr>
          <w:p w:rsidR="00000000" w:rsidRDefault="00B7115A">
            <w:pPr>
              <w:ind w:left="227"/>
              <w:jc w:val="center"/>
              <w:rPr>
                <w:sz w:val="21"/>
              </w:rPr>
            </w:pPr>
            <w:r>
              <w:rPr>
                <w:sz w:val="21"/>
              </w:rPr>
              <w:t>7.8</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糖和甜食</w:t>
            </w:r>
          </w:p>
        </w:tc>
        <w:tc>
          <w:tcPr>
            <w:tcW w:w="1687" w:type="dxa"/>
            <w:tcBorders>
              <w:left w:val="single" w:sz="6" w:space="0" w:color="auto"/>
              <w:right w:val="single" w:sz="6" w:space="0" w:color="auto"/>
            </w:tcBorders>
          </w:tcPr>
          <w:p w:rsidR="00000000" w:rsidRDefault="00B7115A">
            <w:pPr>
              <w:ind w:left="227"/>
              <w:jc w:val="center"/>
              <w:rPr>
                <w:sz w:val="21"/>
              </w:rPr>
            </w:pPr>
            <w:r>
              <w:rPr>
                <w:sz w:val="21"/>
              </w:rPr>
              <w:t>9.2</w:t>
            </w:r>
          </w:p>
        </w:tc>
        <w:tc>
          <w:tcPr>
            <w:tcW w:w="1687" w:type="dxa"/>
            <w:tcBorders>
              <w:left w:val="nil"/>
              <w:right w:val="single" w:sz="6" w:space="0" w:color="auto"/>
            </w:tcBorders>
          </w:tcPr>
          <w:p w:rsidR="00000000" w:rsidRDefault="00B7115A">
            <w:pPr>
              <w:tabs>
                <w:tab w:val="clear" w:pos="1021"/>
                <w:tab w:val="left" w:pos="925"/>
              </w:tabs>
              <w:ind w:left="227"/>
              <w:jc w:val="center"/>
              <w:rPr>
                <w:sz w:val="21"/>
              </w:rPr>
            </w:pPr>
            <w:r>
              <w:rPr>
                <w:sz w:val="21"/>
              </w:rPr>
              <w:t>9.8</w:t>
            </w:r>
          </w:p>
        </w:tc>
        <w:tc>
          <w:tcPr>
            <w:tcW w:w="1687" w:type="dxa"/>
            <w:tcBorders>
              <w:left w:val="nil"/>
            </w:tcBorders>
          </w:tcPr>
          <w:p w:rsidR="00000000" w:rsidRDefault="00B7115A">
            <w:pPr>
              <w:ind w:left="170"/>
              <w:jc w:val="center"/>
              <w:rPr>
                <w:sz w:val="21"/>
              </w:rPr>
            </w:pPr>
            <w:r>
              <w:rPr>
                <w:sz w:val="21"/>
              </w:rPr>
              <w:t>11.6</w:t>
            </w:r>
          </w:p>
        </w:tc>
      </w:tr>
      <w:tr w:rsidR="00000000">
        <w:tblPrEx>
          <w:tblCellMar>
            <w:top w:w="0" w:type="dxa"/>
            <w:bottom w:w="0" w:type="dxa"/>
          </w:tblCellMar>
        </w:tblPrEx>
        <w:tc>
          <w:tcPr>
            <w:tcW w:w="4348" w:type="dxa"/>
            <w:tcBorders>
              <w:right w:val="nil"/>
            </w:tcBorders>
          </w:tcPr>
          <w:p w:rsidR="00000000" w:rsidRDefault="00B7115A">
            <w:pPr>
              <w:ind w:left="170"/>
              <w:rPr>
                <w:sz w:val="21"/>
              </w:rPr>
            </w:pPr>
            <w:r>
              <w:rPr>
                <w:rFonts w:hint="eastAsia"/>
                <w:sz w:val="21"/>
              </w:rPr>
              <w:t>蛋</w:t>
            </w:r>
            <w:r>
              <w:rPr>
                <w:sz w:val="21"/>
              </w:rPr>
              <w:t>(</w:t>
            </w:r>
            <w:r>
              <w:rPr>
                <w:rFonts w:hint="eastAsia"/>
                <w:sz w:val="21"/>
              </w:rPr>
              <w:t>个</w:t>
            </w:r>
            <w:r>
              <w:rPr>
                <w:sz w:val="21"/>
              </w:rPr>
              <w:t>)</w:t>
            </w:r>
          </w:p>
        </w:tc>
        <w:tc>
          <w:tcPr>
            <w:tcW w:w="1687" w:type="dxa"/>
            <w:tcBorders>
              <w:left w:val="single" w:sz="6" w:space="0" w:color="auto"/>
              <w:right w:val="single" w:sz="6" w:space="0" w:color="auto"/>
            </w:tcBorders>
          </w:tcPr>
          <w:p w:rsidR="00000000" w:rsidRDefault="00B7115A">
            <w:pPr>
              <w:ind w:right="57"/>
              <w:jc w:val="center"/>
              <w:rPr>
                <w:sz w:val="21"/>
              </w:rPr>
            </w:pPr>
            <w:r>
              <w:rPr>
                <w:sz w:val="21"/>
              </w:rPr>
              <w:t>63</w:t>
            </w:r>
          </w:p>
        </w:tc>
        <w:tc>
          <w:tcPr>
            <w:tcW w:w="1687" w:type="dxa"/>
            <w:tcBorders>
              <w:left w:val="nil"/>
              <w:right w:val="single" w:sz="6" w:space="0" w:color="auto"/>
            </w:tcBorders>
          </w:tcPr>
          <w:p w:rsidR="00000000" w:rsidRDefault="00B7115A">
            <w:pPr>
              <w:ind w:right="57"/>
              <w:jc w:val="center"/>
              <w:rPr>
                <w:sz w:val="21"/>
              </w:rPr>
            </w:pPr>
            <w:r>
              <w:rPr>
                <w:sz w:val="21"/>
              </w:rPr>
              <w:t>67</w:t>
            </w:r>
          </w:p>
        </w:tc>
        <w:tc>
          <w:tcPr>
            <w:tcW w:w="1687" w:type="dxa"/>
            <w:tcBorders>
              <w:left w:val="nil"/>
            </w:tcBorders>
          </w:tcPr>
          <w:p w:rsidR="00000000" w:rsidRDefault="00B7115A">
            <w:pPr>
              <w:ind w:right="57"/>
              <w:jc w:val="center"/>
              <w:rPr>
                <w:sz w:val="21"/>
              </w:rPr>
            </w:pPr>
            <w:r>
              <w:rPr>
                <w:sz w:val="21"/>
              </w:rPr>
              <w:t>60</w:t>
            </w:r>
          </w:p>
        </w:tc>
      </w:tr>
      <w:tr w:rsidR="00000000">
        <w:tblPrEx>
          <w:tblCellMar>
            <w:top w:w="0" w:type="dxa"/>
            <w:bottom w:w="0" w:type="dxa"/>
          </w:tblCellMar>
        </w:tblPrEx>
        <w:tc>
          <w:tcPr>
            <w:tcW w:w="4348" w:type="dxa"/>
            <w:tcBorders>
              <w:right w:val="nil"/>
            </w:tcBorders>
          </w:tcPr>
          <w:p w:rsidR="00000000" w:rsidRDefault="00B7115A">
            <w:pPr>
              <w:spacing w:after="40"/>
              <w:ind w:left="170"/>
              <w:rPr>
                <w:sz w:val="21"/>
              </w:rPr>
            </w:pPr>
            <w:r>
              <w:rPr>
                <w:rFonts w:hint="eastAsia"/>
                <w:sz w:val="21"/>
              </w:rPr>
              <w:t>鱼和鱼制品</w:t>
            </w:r>
          </w:p>
        </w:tc>
        <w:tc>
          <w:tcPr>
            <w:tcW w:w="1687" w:type="dxa"/>
            <w:tcBorders>
              <w:left w:val="single" w:sz="6" w:space="0" w:color="auto"/>
              <w:bottom w:val="single" w:sz="6" w:space="0" w:color="auto"/>
              <w:right w:val="single" w:sz="6" w:space="0" w:color="auto"/>
            </w:tcBorders>
          </w:tcPr>
          <w:p w:rsidR="00000000" w:rsidRDefault="00B7115A">
            <w:pPr>
              <w:spacing w:after="40"/>
              <w:ind w:left="284"/>
              <w:jc w:val="center"/>
              <w:rPr>
                <w:sz w:val="21"/>
              </w:rPr>
            </w:pPr>
            <w:r>
              <w:rPr>
                <w:sz w:val="21"/>
              </w:rPr>
              <w:t>0.2</w:t>
            </w:r>
          </w:p>
        </w:tc>
        <w:tc>
          <w:tcPr>
            <w:tcW w:w="1687" w:type="dxa"/>
            <w:tcBorders>
              <w:left w:val="nil"/>
              <w:bottom w:val="single" w:sz="6" w:space="0" w:color="auto"/>
              <w:right w:val="single" w:sz="6" w:space="0" w:color="auto"/>
            </w:tcBorders>
          </w:tcPr>
          <w:p w:rsidR="00000000" w:rsidRDefault="00B7115A">
            <w:pPr>
              <w:spacing w:after="40"/>
              <w:ind w:left="284"/>
              <w:jc w:val="center"/>
              <w:rPr>
                <w:sz w:val="21"/>
              </w:rPr>
            </w:pPr>
            <w:r>
              <w:rPr>
                <w:sz w:val="21"/>
              </w:rPr>
              <w:t>0.4</w:t>
            </w:r>
          </w:p>
        </w:tc>
        <w:tc>
          <w:tcPr>
            <w:tcW w:w="1687" w:type="dxa"/>
            <w:tcBorders>
              <w:left w:val="nil"/>
            </w:tcBorders>
          </w:tcPr>
          <w:p w:rsidR="00000000" w:rsidRDefault="00B7115A">
            <w:pPr>
              <w:spacing w:after="40"/>
              <w:ind w:left="284"/>
              <w:jc w:val="center"/>
              <w:rPr>
                <w:sz w:val="21"/>
              </w:rPr>
            </w:pPr>
            <w:r>
              <w:rPr>
                <w:sz w:val="21"/>
              </w:rPr>
              <w:t>0.4</w:t>
            </w:r>
          </w:p>
        </w:tc>
      </w:tr>
    </w:tbl>
    <w:p w:rsidR="00000000" w:rsidRDefault="00B7115A">
      <w:pPr>
        <w:spacing w:after="240"/>
        <w:jc w:val="center"/>
        <w:textAlignment w:val="center"/>
        <w:rPr>
          <w:u w:val="single"/>
        </w:rPr>
      </w:pPr>
      <w:r>
        <w:rPr>
          <w:u w:val="single"/>
        </w:rPr>
        <w:br w:type="page"/>
      </w:r>
      <w:r>
        <w:rPr>
          <w:rFonts w:hint="eastAsia"/>
          <w:u w:val="single"/>
        </w:rPr>
        <w:t>人均每日食品消费</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8"/>
        <w:gridCol w:w="840"/>
        <w:gridCol w:w="1249"/>
        <w:gridCol w:w="791"/>
        <w:gridCol w:w="1320"/>
        <w:gridCol w:w="760"/>
        <w:gridCol w:w="1233"/>
        <w:gridCol w:w="2"/>
        <w:gridCol w:w="780"/>
        <w:gridCol w:w="1320"/>
        <w:gridCol w:w="6"/>
      </w:tblGrid>
      <w:tr w:rsidR="00000000">
        <w:tblPrEx>
          <w:tblCellMar>
            <w:top w:w="0" w:type="dxa"/>
            <w:bottom w:w="0" w:type="dxa"/>
          </w:tblCellMar>
        </w:tblPrEx>
        <w:tc>
          <w:tcPr>
            <w:tcW w:w="1118" w:type="dxa"/>
          </w:tcPr>
          <w:p w:rsidR="00000000" w:rsidRDefault="00B7115A">
            <w:pPr>
              <w:spacing w:before="60"/>
              <w:jc w:val="center"/>
              <w:rPr>
                <w:sz w:val="21"/>
              </w:rPr>
            </w:pPr>
            <w:r>
              <w:rPr>
                <w:rFonts w:hint="eastAsia"/>
                <w:sz w:val="21"/>
              </w:rPr>
              <w:t>年份</w:t>
            </w:r>
          </w:p>
        </w:tc>
        <w:tc>
          <w:tcPr>
            <w:tcW w:w="2089" w:type="dxa"/>
            <w:gridSpan w:val="2"/>
          </w:tcPr>
          <w:p w:rsidR="00000000" w:rsidRDefault="00B7115A">
            <w:pPr>
              <w:spacing w:before="60"/>
              <w:jc w:val="center"/>
              <w:rPr>
                <w:sz w:val="21"/>
              </w:rPr>
            </w:pPr>
            <w:r>
              <w:rPr>
                <w:rFonts w:hint="eastAsia"/>
                <w:sz w:val="21"/>
              </w:rPr>
              <w:t>蛋白</w:t>
            </w:r>
          </w:p>
        </w:tc>
        <w:tc>
          <w:tcPr>
            <w:tcW w:w="2111" w:type="dxa"/>
            <w:gridSpan w:val="2"/>
          </w:tcPr>
          <w:p w:rsidR="00000000" w:rsidRDefault="00B7115A">
            <w:pPr>
              <w:spacing w:before="60"/>
              <w:jc w:val="center"/>
              <w:rPr>
                <w:sz w:val="21"/>
              </w:rPr>
            </w:pPr>
            <w:r>
              <w:rPr>
                <w:rFonts w:hint="eastAsia"/>
                <w:sz w:val="21"/>
              </w:rPr>
              <w:t>脂肪</w:t>
            </w:r>
          </w:p>
        </w:tc>
        <w:tc>
          <w:tcPr>
            <w:tcW w:w="1995" w:type="dxa"/>
            <w:gridSpan w:val="3"/>
          </w:tcPr>
          <w:p w:rsidR="00000000" w:rsidRDefault="00B7115A">
            <w:pPr>
              <w:spacing w:before="60"/>
              <w:jc w:val="center"/>
              <w:rPr>
                <w:sz w:val="21"/>
              </w:rPr>
            </w:pPr>
            <w:r>
              <w:rPr>
                <w:rFonts w:hint="eastAsia"/>
                <w:sz w:val="21"/>
              </w:rPr>
              <w:t>碳水化合物</w:t>
            </w:r>
          </w:p>
        </w:tc>
        <w:tc>
          <w:tcPr>
            <w:tcW w:w="2106" w:type="dxa"/>
            <w:gridSpan w:val="3"/>
          </w:tcPr>
          <w:p w:rsidR="00000000" w:rsidRDefault="00B7115A">
            <w:pPr>
              <w:spacing w:before="60"/>
              <w:jc w:val="center"/>
              <w:rPr>
                <w:sz w:val="21"/>
              </w:rPr>
            </w:pPr>
            <w:r>
              <w:rPr>
                <w:rFonts w:hint="eastAsia"/>
                <w:sz w:val="21"/>
              </w:rPr>
              <w:t>能量值</w:t>
            </w:r>
          </w:p>
        </w:tc>
      </w:tr>
      <w:tr w:rsidR="00000000">
        <w:tblPrEx>
          <w:tblCellMar>
            <w:top w:w="0" w:type="dxa"/>
            <w:bottom w:w="0" w:type="dxa"/>
          </w:tblCellMar>
        </w:tblPrEx>
        <w:trPr>
          <w:gridAfter w:val="1"/>
          <w:wAfter w:w="6" w:type="dxa"/>
        </w:trPr>
        <w:tc>
          <w:tcPr>
            <w:tcW w:w="1118" w:type="dxa"/>
          </w:tcPr>
          <w:p w:rsidR="00000000" w:rsidRDefault="00B7115A">
            <w:pPr>
              <w:spacing w:before="120" w:after="60"/>
              <w:jc w:val="center"/>
              <w:rPr>
                <w:sz w:val="21"/>
              </w:rPr>
            </w:pPr>
          </w:p>
        </w:tc>
        <w:tc>
          <w:tcPr>
            <w:tcW w:w="840" w:type="dxa"/>
          </w:tcPr>
          <w:p w:rsidR="00000000" w:rsidRDefault="00B7115A">
            <w:pPr>
              <w:spacing w:before="120" w:after="60"/>
              <w:jc w:val="center"/>
              <w:rPr>
                <w:sz w:val="21"/>
              </w:rPr>
            </w:pPr>
            <w:r>
              <w:rPr>
                <w:rFonts w:hint="eastAsia"/>
                <w:sz w:val="21"/>
              </w:rPr>
              <w:t>克</w:t>
            </w:r>
          </w:p>
        </w:tc>
        <w:tc>
          <w:tcPr>
            <w:tcW w:w="1249" w:type="dxa"/>
          </w:tcPr>
          <w:p w:rsidR="00000000" w:rsidRDefault="00B7115A">
            <w:pPr>
              <w:spacing w:before="120" w:after="60" w:line="240" w:lineRule="auto"/>
              <w:jc w:val="center"/>
              <w:rPr>
                <w:sz w:val="21"/>
              </w:rPr>
            </w:pPr>
            <w:r>
              <w:rPr>
                <w:rFonts w:hint="eastAsia"/>
                <w:sz w:val="21"/>
              </w:rPr>
              <w:t>占每日需要量的百分比</w:t>
            </w:r>
          </w:p>
        </w:tc>
        <w:tc>
          <w:tcPr>
            <w:tcW w:w="791" w:type="dxa"/>
          </w:tcPr>
          <w:p w:rsidR="00000000" w:rsidRDefault="00B7115A">
            <w:pPr>
              <w:spacing w:before="120" w:after="60" w:line="240" w:lineRule="auto"/>
              <w:jc w:val="center"/>
              <w:rPr>
                <w:sz w:val="21"/>
              </w:rPr>
            </w:pPr>
            <w:r>
              <w:rPr>
                <w:rFonts w:hint="eastAsia"/>
                <w:sz w:val="21"/>
              </w:rPr>
              <w:t>克</w:t>
            </w:r>
          </w:p>
        </w:tc>
        <w:tc>
          <w:tcPr>
            <w:tcW w:w="1320" w:type="dxa"/>
          </w:tcPr>
          <w:p w:rsidR="00000000" w:rsidRDefault="00B7115A">
            <w:pPr>
              <w:spacing w:before="120" w:after="60" w:line="240" w:lineRule="auto"/>
              <w:jc w:val="center"/>
              <w:rPr>
                <w:sz w:val="21"/>
              </w:rPr>
            </w:pPr>
            <w:r>
              <w:rPr>
                <w:rFonts w:hint="eastAsia"/>
                <w:sz w:val="21"/>
              </w:rPr>
              <w:t>占每日需要量的百分比</w:t>
            </w:r>
          </w:p>
        </w:tc>
        <w:tc>
          <w:tcPr>
            <w:tcW w:w="760" w:type="dxa"/>
          </w:tcPr>
          <w:p w:rsidR="00000000" w:rsidRDefault="00B7115A">
            <w:pPr>
              <w:spacing w:before="120" w:after="60" w:line="240" w:lineRule="auto"/>
              <w:jc w:val="center"/>
              <w:rPr>
                <w:sz w:val="21"/>
              </w:rPr>
            </w:pPr>
            <w:r>
              <w:rPr>
                <w:rFonts w:hint="eastAsia"/>
                <w:sz w:val="21"/>
              </w:rPr>
              <w:t>克</w:t>
            </w:r>
          </w:p>
        </w:tc>
        <w:tc>
          <w:tcPr>
            <w:tcW w:w="1233" w:type="dxa"/>
          </w:tcPr>
          <w:p w:rsidR="00000000" w:rsidRDefault="00B7115A">
            <w:pPr>
              <w:spacing w:before="120" w:after="60" w:line="240" w:lineRule="auto"/>
              <w:jc w:val="center"/>
              <w:rPr>
                <w:sz w:val="21"/>
              </w:rPr>
            </w:pPr>
            <w:r>
              <w:rPr>
                <w:rFonts w:hint="eastAsia"/>
                <w:sz w:val="21"/>
              </w:rPr>
              <w:t>占每日需要量的百分比</w:t>
            </w:r>
          </w:p>
        </w:tc>
        <w:tc>
          <w:tcPr>
            <w:tcW w:w="782" w:type="dxa"/>
            <w:gridSpan w:val="2"/>
          </w:tcPr>
          <w:p w:rsidR="00000000" w:rsidRDefault="00B7115A">
            <w:pPr>
              <w:spacing w:before="120" w:after="60" w:line="240" w:lineRule="auto"/>
              <w:jc w:val="center"/>
              <w:rPr>
                <w:sz w:val="21"/>
              </w:rPr>
            </w:pPr>
            <w:r>
              <w:rPr>
                <w:rFonts w:hint="eastAsia"/>
                <w:sz w:val="21"/>
              </w:rPr>
              <w:t>克</w:t>
            </w:r>
          </w:p>
        </w:tc>
        <w:tc>
          <w:tcPr>
            <w:tcW w:w="1320" w:type="dxa"/>
          </w:tcPr>
          <w:p w:rsidR="00000000" w:rsidRDefault="00B7115A">
            <w:pPr>
              <w:spacing w:before="120" w:after="60" w:line="240" w:lineRule="auto"/>
              <w:jc w:val="center"/>
              <w:rPr>
                <w:sz w:val="21"/>
              </w:rPr>
            </w:pPr>
            <w:r>
              <w:rPr>
                <w:rFonts w:hint="eastAsia"/>
                <w:sz w:val="21"/>
              </w:rPr>
              <w:t>占每日需要量的百分比</w:t>
            </w:r>
          </w:p>
        </w:tc>
      </w:tr>
      <w:tr w:rsidR="00000000">
        <w:tblPrEx>
          <w:tblCellMar>
            <w:top w:w="0" w:type="dxa"/>
            <w:bottom w:w="0" w:type="dxa"/>
          </w:tblCellMar>
        </w:tblPrEx>
        <w:trPr>
          <w:gridAfter w:val="1"/>
          <w:wAfter w:w="6" w:type="dxa"/>
        </w:trPr>
        <w:tc>
          <w:tcPr>
            <w:tcW w:w="1118" w:type="dxa"/>
          </w:tcPr>
          <w:p w:rsidR="00000000" w:rsidRDefault="00B7115A">
            <w:pPr>
              <w:spacing w:before="80"/>
              <w:ind w:left="57"/>
              <w:jc w:val="center"/>
              <w:rPr>
                <w:sz w:val="21"/>
              </w:rPr>
            </w:pPr>
            <w:r>
              <w:rPr>
                <w:sz w:val="21"/>
              </w:rPr>
              <w:t>1993</w:t>
            </w:r>
          </w:p>
        </w:tc>
        <w:tc>
          <w:tcPr>
            <w:tcW w:w="840" w:type="dxa"/>
          </w:tcPr>
          <w:p w:rsidR="00000000" w:rsidRDefault="00B7115A">
            <w:pPr>
              <w:spacing w:before="80"/>
              <w:jc w:val="center"/>
              <w:rPr>
                <w:sz w:val="21"/>
              </w:rPr>
            </w:pPr>
            <w:r>
              <w:rPr>
                <w:sz w:val="21"/>
              </w:rPr>
              <w:t>53.5</w:t>
            </w:r>
          </w:p>
        </w:tc>
        <w:tc>
          <w:tcPr>
            <w:tcW w:w="1249" w:type="dxa"/>
          </w:tcPr>
          <w:p w:rsidR="00000000" w:rsidRDefault="00B7115A">
            <w:pPr>
              <w:spacing w:before="80" w:line="240" w:lineRule="auto"/>
              <w:jc w:val="center"/>
              <w:rPr>
                <w:sz w:val="21"/>
              </w:rPr>
            </w:pPr>
            <w:r>
              <w:rPr>
                <w:sz w:val="21"/>
              </w:rPr>
              <w:t>64.7</w:t>
            </w:r>
          </w:p>
        </w:tc>
        <w:tc>
          <w:tcPr>
            <w:tcW w:w="791" w:type="dxa"/>
          </w:tcPr>
          <w:p w:rsidR="00000000" w:rsidRDefault="00B7115A">
            <w:pPr>
              <w:spacing w:before="80" w:line="240" w:lineRule="auto"/>
              <w:jc w:val="center"/>
              <w:rPr>
                <w:sz w:val="21"/>
              </w:rPr>
            </w:pPr>
            <w:r>
              <w:rPr>
                <w:sz w:val="21"/>
              </w:rPr>
              <w:t>54.5</w:t>
            </w:r>
          </w:p>
        </w:tc>
        <w:tc>
          <w:tcPr>
            <w:tcW w:w="1320" w:type="dxa"/>
          </w:tcPr>
          <w:p w:rsidR="00000000" w:rsidRDefault="00B7115A">
            <w:pPr>
              <w:spacing w:before="80" w:line="240" w:lineRule="auto"/>
              <w:jc w:val="center"/>
              <w:rPr>
                <w:sz w:val="21"/>
              </w:rPr>
            </w:pPr>
            <w:r>
              <w:rPr>
                <w:sz w:val="21"/>
              </w:rPr>
              <w:t>63.8</w:t>
            </w:r>
          </w:p>
        </w:tc>
        <w:tc>
          <w:tcPr>
            <w:tcW w:w="760" w:type="dxa"/>
          </w:tcPr>
          <w:p w:rsidR="00000000" w:rsidRDefault="00B7115A">
            <w:pPr>
              <w:spacing w:before="80" w:line="240" w:lineRule="auto"/>
              <w:jc w:val="center"/>
              <w:rPr>
                <w:sz w:val="21"/>
              </w:rPr>
            </w:pPr>
            <w:r>
              <w:rPr>
                <w:sz w:val="21"/>
              </w:rPr>
              <w:t>339.3</w:t>
            </w:r>
          </w:p>
        </w:tc>
        <w:tc>
          <w:tcPr>
            <w:tcW w:w="1233" w:type="dxa"/>
          </w:tcPr>
          <w:p w:rsidR="00000000" w:rsidRDefault="00B7115A">
            <w:pPr>
              <w:spacing w:before="80" w:line="240" w:lineRule="auto"/>
              <w:jc w:val="center"/>
              <w:rPr>
                <w:sz w:val="21"/>
              </w:rPr>
            </w:pPr>
            <w:r>
              <w:rPr>
                <w:sz w:val="21"/>
              </w:rPr>
              <w:t>82.2</w:t>
            </w:r>
          </w:p>
        </w:tc>
        <w:tc>
          <w:tcPr>
            <w:tcW w:w="782" w:type="dxa"/>
            <w:gridSpan w:val="2"/>
          </w:tcPr>
          <w:p w:rsidR="00000000" w:rsidRDefault="00B7115A">
            <w:pPr>
              <w:spacing w:before="80" w:line="240" w:lineRule="auto"/>
              <w:jc w:val="center"/>
              <w:rPr>
                <w:sz w:val="21"/>
              </w:rPr>
            </w:pPr>
            <w:r>
              <w:rPr>
                <w:sz w:val="21"/>
              </w:rPr>
              <w:t>2 069.7</w:t>
            </w:r>
          </w:p>
        </w:tc>
        <w:tc>
          <w:tcPr>
            <w:tcW w:w="1320" w:type="dxa"/>
          </w:tcPr>
          <w:p w:rsidR="00000000" w:rsidRDefault="00B7115A">
            <w:pPr>
              <w:spacing w:before="80" w:line="240" w:lineRule="auto"/>
              <w:jc w:val="center"/>
              <w:rPr>
                <w:sz w:val="21"/>
              </w:rPr>
            </w:pPr>
            <w:r>
              <w:rPr>
                <w:sz w:val="21"/>
              </w:rPr>
              <w:t>75.2</w:t>
            </w:r>
          </w:p>
        </w:tc>
      </w:tr>
      <w:tr w:rsidR="00000000">
        <w:tblPrEx>
          <w:tblCellMar>
            <w:top w:w="0" w:type="dxa"/>
            <w:bottom w:w="0" w:type="dxa"/>
          </w:tblCellMar>
        </w:tblPrEx>
        <w:trPr>
          <w:gridAfter w:val="1"/>
          <w:wAfter w:w="6" w:type="dxa"/>
        </w:trPr>
        <w:tc>
          <w:tcPr>
            <w:tcW w:w="1118" w:type="dxa"/>
          </w:tcPr>
          <w:p w:rsidR="00000000" w:rsidRDefault="00B7115A">
            <w:pPr>
              <w:spacing w:before="80"/>
              <w:ind w:left="57"/>
              <w:jc w:val="center"/>
              <w:rPr>
                <w:sz w:val="21"/>
              </w:rPr>
            </w:pPr>
            <w:r>
              <w:rPr>
                <w:sz w:val="21"/>
              </w:rPr>
              <w:t>1994</w:t>
            </w:r>
          </w:p>
        </w:tc>
        <w:tc>
          <w:tcPr>
            <w:tcW w:w="840" w:type="dxa"/>
          </w:tcPr>
          <w:p w:rsidR="00000000" w:rsidRDefault="00B7115A">
            <w:pPr>
              <w:spacing w:before="80"/>
              <w:jc w:val="center"/>
              <w:rPr>
                <w:sz w:val="21"/>
              </w:rPr>
            </w:pPr>
            <w:r>
              <w:rPr>
                <w:sz w:val="21"/>
              </w:rPr>
              <w:t>47.9</w:t>
            </w:r>
          </w:p>
        </w:tc>
        <w:tc>
          <w:tcPr>
            <w:tcW w:w="1249" w:type="dxa"/>
          </w:tcPr>
          <w:p w:rsidR="00000000" w:rsidRDefault="00B7115A">
            <w:pPr>
              <w:spacing w:before="80" w:line="240" w:lineRule="auto"/>
              <w:jc w:val="center"/>
              <w:rPr>
                <w:sz w:val="21"/>
              </w:rPr>
            </w:pPr>
            <w:r>
              <w:rPr>
                <w:sz w:val="21"/>
              </w:rPr>
              <w:t>58.0</w:t>
            </w:r>
          </w:p>
        </w:tc>
        <w:tc>
          <w:tcPr>
            <w:tcW w:w="791" w:type="dxa"/>
          </w:tcPr>
          <w:p w:rsidR="00000000" w:rsidRDefault="00B7115A">
            <w:pPr>
              <w:spacing w:before="80" w:line="240" w:lineRule="auto"/>
              <w:jc w:val="center"/>
              <w:rPr>
                <w:sz w:val="21"/>
              </w:rPr>
            </w:pPr>
            <w:r>
              <w:rPr>
                <w:sz w:val="21"/>
              </w:rPr>
              <w:t>47.0</w:t>
            </w:r>
          </w:p>
        </w:tc>
        <w:tc>
          <w:tcPr>
            <w:tcW w:w="1320" w:type="dxa"/>
          </w:tcPr>
          <w:p w:rsidR="00000000" w:rsidRDefault="00B7115A">
            <w:pPr>
              <w:spacing w:before="80" w:line="240" w:lineRule="auto"/>
              <w:jc w:val="center"/>
              <w:rPr>
                <w:sz w:val="21"/>
              </w:rPr>
            </w:pPr>
            <w:r>
              <w:rPr>
                <w:sz w:val="21"/>
              </w:rPr>
              <w:t>55.0</w:t>
            </w:r>
          </w:p>
        </w:tc>
        <w:tc>
          <w:tcPr>
            <w:tcW w:w="760" w:type="dxa"/>
          </w:tcPr>
          <w:p w:rsidR="00000000" w:rsidRDefault="00B7115A">
            <w:pPr>
              <w:spacing w:before="80" w:line="240" w:lineRule="auto"/>
              <w:jc w:val="center"/>
              <w:rPr>
                <w:sz w:val="21"/>
              </w:rPr>
            </w:pPr>
            <w:r>
              <w:rPr>
                <w:sz w:val="21"/>
              </w:rPr>
              <w:t>304.6</w:t>
            </w:r>
          </w:p>
        </w:tc>
        <w:tc>
          <w:tcPr>
            <w:tcW w:w="1233" w:type="dxa"/>
          </w:tcPr>
          <w:p w:rsidR="00000000" w:rsidRDefault="00B7115A">
            <w:pPr>
              <w:spacing w:before="80" w:line="240" w:lineRule="auto"/>
              <w:jc w:val="center"/>
              <w:rPr>
                <w:sz w:val="21"/>
              </w:rPr>
            </w:pPr>
            <w:r>
              <w:rPr>
                <w:sz w:val="21"/>
              </w:rPr>
              <w:t>74.0</w:t>
            </w:r>
          </w:p>
        </w:tc>
        <w:tc>
          <w:tcPr>
            <w:tcW w:w="782" w:type="dxa"/>
            <w:gridSpan w:val="2"/>
          </w:tcPr>
          <w:p w:rsidR="00000000" w:rsidRDefault="00B7115A">
            <w:pPr>
              <w:spacing w:before="80" w:line="240" w:lineRule="auto"/>
              <w:jc w:val="center"/>
              <w:rPr>
                <w:sz w:val="21"/>
              </w:rPr>
            </w:pPr>
            <w:r>
              <w:rPr>
                <w:sz w:val="21"/>
              </w:rPr>
              <w:t>1 839.8</w:t>
            </w:r>
          </w:p>
        </w:tc>
        <w:tc>
          <w:tcPr>
            <w:tcW w:w="1320" w:type="dxa"/>
          </w:tcPr>
          <w:p w:rsidR="00000000" w:rsidRDefault="00B7115A">
            <w:pPr>
              <w:spacing w:before="80" w:line="240" w:lineRule="auto"/>
              <w:jc w:val="center"/>
              <w:rPr>
                <w:sz w:val="21"/>
              </w:rPr>
            </w:pPr>
            <w:r>
              <w:rPr>
                <w:sz w:val="21"/>
              </w:rPr>
              <w:t>66.8</w:t>
            </w:r>
          </w:p>
        </w:tc>
      </w:tr>
      <w:tr w:rsidR="00000000">
        <w:tblPrEx>
          <w:tblCellMar>
            <w:top w:w="0" w:type="dxa"/>
            <w:bottom w:w="0" w:type="dxa"/>
          </w:tblCellMar>
        </w:tblPrEx>
        <w:trPr>
          <w:gridAfter w:val="1"/>
          <w:wAfter w:w="6" w:type="dxa"/>
        </w:trPr>
        <w:tc>
          <w:tcPr>
            <w:tcW w:w="1118" w:type="dxa"/>
          </w:tcPr>
          <w:p w:rsidR="00000000" w:rsidRDefault="00B7115A">
            <w:pPr>
              <w:spacing w:before="80"/>
              <w:ind w:left="57"/>
              <w:jc w:val="center"/>
              <w:rPr>
                <w:sz w:val="21"/>
              </w:rPr>
            </w:pPr>
            <w:r>
              <w:rPr>
                <w:sz w:val="21"/>
              </w:rPr>
              <w:t>1995</w:t>
            </w:r>
          </w:p>
        </w:tc>
        <w:tc>
          <w:tcPr>
            <w:tcW w:w="840" w:type="dxa"/>
          </w:tcPr>
          <w:p w:rsidR="00000000" w:rsidRDefault="00B7115A">
            <w:pPr>
              <w:spacing w:before="80"/>
              <w:jc w:val="center"/>
              <w:rPr>
                <w:sz w:val="21"/>
              </w:rPr>
            </w:pPr>
            <w:r>
              <w:rPr>
                <w:sz w:val="21"/>
              </w:rPr>
              <w:t>51.7</w:t>
            </w:r>
          </w:p>
        </w:tc>
        <w:tc>
          <w:tcPr>
            <w:tcW w:w="1249" w:type="dxa"/>
          </w:tcPr>
          <w:p w:rsidR="00000000" w:rsidRDefault="00B7115A">
            <w:pPr>
              <w:spacing w:before="80" w:line="240" w:lineRule="auto"/>
              <w:jc w:val="center"/>
              <w:rPr>
                <w:sz w:val="21"/>
              </w:rPr>
            </w:pPr>
            <w:r>
              <w:rPr>
                <w:sz w:val="21"/>
              </w:rPr>
              <w:t>78.3</w:t>
            </w:r>
          </w:p>
        </w:tc>
        <w:tc>
          <w:tcPr>
            <w:tcW w:w="791" w:type="dxa"/>
          </w:tcPr>
          <w:p w:rsidR="00000000" w:rsidRDefault="00B7115A">
            <w:pPr>
              <w:spacing w:before="80" w:line="240" w:lineRule="auto"/>
              <w:jc w:val="center"/>
              <w:rPr>
                <w:sz w:val="21"/>
              </w:rPr>
            </w:pPr>
            <w:r>
              <w:rPr>
                <w:sz w:val="21"/>
              </w:rPr>
              <w:t>50.7</w:t>
            </w:r>
          </w:p>
        </w:tc>
        <w:tc>
          <w:tcPr>
            <w:tcW w:w="1320" w:type="dxa"/>
          </w:tcPr>
          <w:p w:rsidR="00000000" w:rsidRDefault="00B7115A">
            <w:pPr>
              <w:spacing w:before="80" w:line="240" w:lineRule="auto"/>
              <w:jc w:val="center"/>
              <w:rPr>
                <w:sz w:val="21"/>
              </w:rPr>
            </w:pPr>
            <w:r>
              <w:rPr>
                <w:sz w:val="21"/>
              </w:rPr>
              <w:t>88.9</w:t>
            </w:r>
          </w:p>
        </w:tc>
        <w:tc>
          <w:tcPr>
            <w:tcW w:w="760" w:type="dxa"/>
          </w:tcPr>
          <w:p w:rsidR="00000000" w:rsidRDefault="00B7115A">
            <w:pPr>
              <w:spacing w:before="80" w:line="240" w:lineRule="auto"/>
              <w:jc w:val="center"/>
              <w:rPr>
                <w:sz w:val="21"/>
              </w:rPr>
            </w:pPr>
            <w:r>
              <w:rPr>
                <w:sz w:val="21"/>
              </w:rPr>
              <w:t>331.4</w:t>
            </w:r>
          </w:p>
        </w:tc>
        <w:tc>
          <w:tcPr>
            <w:tcW w:w="1233" w:type="dxa"/>
          </w:tcPr>
          <w:p w:rsidR="00000000" w:rsidRDefault="00B7115A">
            <w:pPr>
              <w:spacing w:before="80" w:line="240" w:lineRule="auto"/>
              <w:jc w:val="center"/>
              <w:rPr>
                <w:sz w:val="21"/>
              </w:rPr>
            </w:pPr>
            <w:r>
              <w:rPr>
                <w:sz w:val="21"/>
              </w:rPr>
              <w:t>90.5</w:t>
            </w:r>
          </w:p>
        </w:tc>
        <w:tc>
          <w:tcPr>
            <w:tcW w:w="782" w:type="dxa"/>
            <w:gridSpan w:val="2"/>
          </w:tcPr>
          <w:p w:rsidR="00000000" w:rsidRDefault="00B7115A">
            <w:pPr>
              <w:spacing w:before="80" w:line="240" w:lineRule="auto"/>
              <w:jc w:val="center"/>
              <w:rPr>
                <w:sz w:val="21"/>
              </w:rPr>
            </w:pPr>
            <w:r>
              <w:rPr>
                <w:sz w:val="21"/>
              </w:rPr>
              <w:t>1 996.2</w:t>
            </w:r>
          </w:p>
        </w:tc>
        <w:tc>
          <w:tcPr>
            <w:tcW w:w="1320" w:type="dxa"/>
          </w:tcPr>
          <w:p w:rsidR="00000000" w:rsidRDefault="00B7115A">
            <w:pPr>
              <w:spacing w:before="80" w:line="240" w:lineRule="auto"/>
              <w:jc w:val="center"/>
              <w:rPr>
                <w:sz w:val="21"/>
              </w:rPr>
            </w:pPr>
            <w:r>
              <w:rPr>
                <w:sz w:val="21"/>
              </w:rPr>
              <w:t>88.7</w:t>
            </w:r>
          </w:p>
        </w:tc>
      </w:tr>
      <w:tr w:rsidR="00000000">
        <w:tblPrEx>
          <w:tblCellMar>
            <w:top w:w="0" w:type="dxa"/>
            <w:bottom w:w="0" w:type="dxa"/>
          </w:tblCellMar>
        </w:tblPrEx>
        <w:trPr>
          <w:gridAfter w:val="1"/>
          <w:wAfter w:w="6" w:type="dxa"/>
        </w:trPr>
        <w:tc>
          <w:tcPr>
            <w:tcW w:w="1118" w:type="dxa"/>
          </w:tcPr>
          <w:p w:rsidR="00000000" w:rsidRDefault="00B7115A">
            <w:pPr>
              <w:spacing w:before="80"/>
              <w:ind w:left="57"/>
              <w:jc w:val="center"/>
              <w:rPr>
                <w:sz w:val="21"/>
              </w:rPr>
            </w:pPr>
            <w:r>
              <w:rPr>
                <w:sz w:val="21"/>
              </w:rPr>
              <w:t>1996</w:t>
            </w:r>
          </w:p>
        </w:tc>
        <w:tc>
          <w:tcPr>
            <w:tcW w:w="840" w:type="dxa"/>
          </w:tcPr>
          <w:p w:rsidR="00000000" w:rsidRDefault="00B7115A">
            <w:pPr>
              <w:spacing w:before="80"/>
              <w:jc w:val="center"/>
              <w:rPr>
                <w:sz w:val="21"/>
              </w:rPr>
            </w:pPr>
            <w:r>
              <w:rPr>
                <w:sz w:val="21"/>
              </w:rPr>
              <w:t>49.7</w:t>
            </w:r>
          </w:p>
        </w:tc>
        <w:tc>
          <w:tcPr>
            <w:tcW w:w="1249" w:type="dxa"/>
          </w:tcPr>
          <w:p w:rsidR="00000000" w:rsidRDefault="00B7115A">
            <w:pPr>
              <w:spacing w:before="80" w:line="240" w:lineRule="auto"/>
              <w:jc w:val="center"/>
              <w:rPr>
                <w:sz w:val="21"/>
              </w:rPr>
            </w:pPr>
            <w:r>
              <w:rPr>
                <w:sz w:val="21"/>
              </w:rPr>
              <w:t>75.3</w:t>
            </w:r>
          </w:p>
        </w:tc>
        <w:tc>
          <w:tcPr>
            <w:tcW w:w="791" w:type="dxa"/>
          </w:tcPr>
          <w:p w:rsidR="00000000" w:rsidRDefault="00B7115A">
            <w:pPr>
              <w:spacing w:before="80" w:line="240" w:lineRule="auto"/>
              <w:jc w:val="center"/>
              <w:rPr>
                <w:sz w:val="21"/>
              </w:rPr>
            </w:pPr>
            <w:r>
              <w:rPr>
                <w:sz w:val="21"/>
              </w:rPr>
              <w:t>49.4</w:t>
            </w:r>
          </w:p>
        </w:tc>
        <w:tc>
          <w:tcPr>
            <w:tcW w:w="1320" w:type="dxa"/>
          </w:tcPr>
          <w:p w:rsidR="00000000" w:rsidRDefault="00B7115A">
            <w:pPr>
              <w:spacing w:before="80" w:line="240" w:lineRule="auto"/>
              <w:jc w:val="center"/>
              <w:rPr>
                <w:sz w:val="21"/>
              </w:rPr>
            </w:pPr>
            <w:r>
              <w:rPr>
                <w:sz w:val="21"/>
              </w:rPr>
              <w:t>86.7</w:t>
            </w:r>
          </w:p>
        </w:tc>
        <w:tc>
          <w:tcPr>
            <w:tcW w:w="760" w:type="dxa"/>
          </w:tcPr>
          <w:p w:rsidR="00000000" w:rsidRDefault="00B7115A">
            <w:pPr>
              <w:spacing w:before="80" w:line="240" w:lineRule="auto"/>
              <w:jc w:val="center"/>
              <w:rPr>
                <w:sz w:val="21"/>
              </w:rPr>
            </w:pPr>
            <w:r>
              <w:rPr>
                <w:sz w:val="21"/>
              </w:rPr>
              <w:t>333.2</w:t>
            </w:r>
          </w:p>
        </w:tc>
        <w:tc>
          <w:tcPr>
            <w:tcW w:w="1233" w:type="dxa"/>
          </w:tcPr>
          <w:p w:rsidR="00000000" w:rsidRDefault="00B7115A">
            <w:pPr>
              <w:spacing w:before="80" w:line="240" w:lineRule="auto"/>
              <w:jc w:val="center"/>
              <w:rPr>
                <w:sz w:val="21"/>
              </w:rPr>
            </w:pPr>
            <w:r>
              <w:rPr>
                <w:sz w:val="21"/>
              </w:rPr>
              <w:t>91.0</w:t>
            </w:r>
          </w:p>
        </w:tc>
        <w:tc>
          <w:tcPr>
            <w:tcW w:w="782" w:type="dxa"/>
            <w:gridSpan w:val="2"/>
          </w:tcPr>
          <w:p w:rsidR="00000000" w:rsidRDefault="00B7115A">
            <w:pPr>
              <w:spacing w:before="80" w:line="240" w:lineRule="auto"/>
              <w:jc w:val="center"/>
              <w:rPr>
                <w:sz w:val="21"/>
              </w:rPr>
            </w:pPr>
            <w:r>
              <w:rPr>
                <w:sz w:val="21"/>
              </w:rPr>
              <w:t>1 983.7</w:t>
            </w:r>
          </w:p>
        </w:tc>
        <w:tc>
          <w:tcPr>
            <w:tcW w:w="1320" w:type="dxa"/>
          </w:tcPr>
          <w:p w:rsidR="00000000" w:rsidRDefault="00B7115A">
            <w:pPr>
              <w:spacing w:before="80" w:line="240" w:lineRule="auto"/>
              <w:jc w:val="center"/>
              <w:rPr>
                <w:sz w:val="21"/>
              </w:rPr>
            </w:pPr>
            <w:r>
              <w:rPr>
                <w:sz w:val="21"/>
              </w:rPr>
              <w:t>88.2</w:t>
            </w:r>
          </w:p>
        </w:tc>
      </w:tr>
    </w:tbl>
    <w:p w:rsidR="00000000" w:rsidRDefault="00B7115A"/>
    <w:p w:rsidR="00000000" w:rsidRDefault="00B7115A">
      <w:r>
        <w:tab/>
        <w:t xml:space="preserve">183.  </w:t>
      </w:r>
      <w:r>
        <w:rPr>
          <w:rFonts w:hint="eastAsia"/>
        </w:rPr>
        <w:t>儿童的情况特别严重。</w:t>
      </w:r>
      <w:r>
        <w:t>9%</w:t>
      </w:r>
      <w:r>
        <w:rPr>
          <w:rFonts w:hint="eastAsia"/>
        </w:rPr>
        <w:t>以上的学龄前儿童严重营</w:t>
      </w:r>
      <w:r>
        <w:rPr>
          <w:rFonts w:hint="eastAsia"/>
        </w:rPr>
        <w:t>养不良</w:t>
      </w:r>
      <w:r>
        <w:t>(1993</w:t>
      </w:r>
      <w:r>
        <w:rPr>
          <w:rFonts w:hint="eastAsia"/>
        </w:rPr>
        <w:t>年为</w:t>
      </w:r>
      <w:r>
        <w:t>7%)</w:t>
      </w:r>
      <w:r>
        <w:rPr>
          <w:rFonts w:hint="eastAsia"/>
        </w:rPr>
        <w:t>。两岁以下儿童营养不良最常见，随着年龄增长有所减少。自</w:t>
      </w:r>
      <w:r>
        <w:t>1993</w:t>
      </w:r>
      <w:r>
        <w:rPr>
          <w:rFonts w:hint="eastAsia"/>
        </w:rPr>
        <w:t>年以来比什凯克州营养不良儿童的比例增加了一倍，成为全国之最</w:t>
      </w:r>
      <w:r>
        <w:t>(</w:t>
      </w:r>
      <w:r>
        <w:rPr>
          <w:rFonts w:hint="eastAsia"/>
        </w:rPr>
        <w:t>学龄前儿童中为</w:t>
      </w:r>
      <w:r>
        <w:t>14.1%</w:t>
      </w:r>
      <w:r>
        <w:rPr>
          <w:rFonts w:hint="eastAsia"/>
        </w:rPr>
        <w:t>；</w:t>
      </w:r>
      <w:r>
        <w:t>7</w:t>
      </w:r>
      <w:r>
        <w:rPr>
          <w:rFonts w:hint="eastAsia"/>
        </w:rPr>
        <w:t>至</w:t>
      </w:r>
      <w:r>
        <w:t>11</w:t>
      </w:r>
      <w:r>
        <w:rPr>
          <w:rFonts w:hint="eastAsia"/>
        </w:rPr>
        <w:t>岁的儿童为</w:t>
      </w:r>
      <w:r>
        <w:t>9.1%)</w:t>
      </w:r>
      <w:r>
        <w:rPr>
          <w:rFonts w:hint="eastAsia"/>
        </w:rPr>
        <w:t>。与过去一样，伊西库勒州营养不良儿童的比例高</w:t>
      </w:r>
      <w:r>
        <w:t>(6</w:t>
      </w:r>
      <w:r>
        <w:rPr>
          <w:rFonts w:hint="eastAsia"/>
        </w:rPr>
        <w:t>岁以下的儿童为</w:t>
      </w:r>
      <w:r>
        <w:t>14.1%</w:t>
      </w:r>
      <w:r>
        <w:rPr>
          <w:rFonts w:hint="eastAsia"/>
        </w:rPr>
        <w:t>；</w:t>
      </w:r>
      <w:r>
        <w:t>7</w:t>
      </w:r>
      <w:r>
        <w:rPr>
          <w:rFonts w:hint="eastAsia"/>
        </w:rPr>
        <w:t>至</w:t>
      </w:r>
      <w:r>
        <w:t>11</w:t>
      </w:r>
      <w:r>
        <w:rPr>
          <w:rFonts w:hint="eastAsia"/>
        </w:rPr>
        <w:t>岁的儿童为</w:t>
      </w:r>
      <w:r>
        <w:t>6.8%)</w:t>
      </w:r>
      <w:r>
        <w:rPr>
          <w:rFonts w:hint="eastAsia"/>
        </w:rPr>
        <w:t>。营养不良儿童的比例在其他地区也有所上升。</w:t>
      </w:r>
    </w:p>
    <w:p w:rsidR="00000000" w:rsidRDefault="00B7115A">
      <w:r>
        <w:tab/>
        <w:t xml:space="preserve">184.  </w:t>
      </w:r>
      <w:r>
        <w:rPr>
          <w:rFonts w:hint="eastAsia"/>
        </w:rPr>
        <w:t>营养不良在成年人口中要少得多。</w:t>
      </w:r>
      <w:r>
        <w:t>3.1%</w:t>
      </w:r>
      <w:r>
        <w:rPr>
          <w:rFonts w:hint="eastAsia"/>
        </w:rPr>
        <w:t>的男子和</w:t>
      </w:r>
      <w:r>
        <w:t>5.1%</w:t>
      </w:r>
      <w:r>
        <w:rPr>
          <w:rFonts w:hint="eastAsia"/>
        </w:rPr>
        <w:t>的妇女受长期热量不足影响。比例最高的部分在</w:t>
      </w:r>
      <w:r>
        <w:t>18</w:t>
      </w:r>
      <w:r>
        <w:rPr>
          <w:rFonts w:hint="eastAsia"/>
        </w:rPr>
        <w:t>至</w:t>
      </w:r>
      <w:r>
        <w:t>29</w:t>
      </w:r>
      <w:r>
        <w:rPr>
          <w:rFonts w:hint="eastAsia"/>
        </w:rPr>
        <w:t>岁的青年成人中</w:t>
      </w:r>
      <w:r>
        <w:t>(</w:t>
      </w:r>
      <w:r>
        <w:rPr>
          <w:rFonts w:hint="eastAsia"/>
        </w:rPr>
        <w:t>男子为</w:t>
      </w:r>
      <w:r>
        <w:t>5.1%</w:t>
      </w:r>
      <w:r>
        <w:rPr>
          <w:rFonts w:hint="eastAsia"/>
        </w:rPr>
        <w:t>；妇女为</w:t>
      </w:r>
      <w:r>
        <w:t>7.9</w:t>
      </w:r>
      <w:r>
        <w:t>%)</w:t>
      </w:r>
      <w:r>
        <w:rPr>
          <w:rFonts w:hint="eastAsia"/>
        </w:rPr>
        <w:t>。长期热量不足现象在青年人中几乎比中年人中多一倍。</w:t>
      </w:r>
    </w:p>
    <w:p w:rsidR="00000000" w:rsidRDefault="00B7115A">
      <w:r>
        <w:tab/>
        <w:t xml:space="preserve">185.  </w:t>
      </w:r>
      <w:r>
        <w:rPr>
          <w:rFonts w:hint="eastAsia"/>
        </w:rPr>
        <w:t>在成年人中，肥胖是一个比营养不良更严重的问题。身体过重和肥胖在妇女中</w:t>
      </w:r>
      <w:r>
        <w:t>(11.3%)</w:t>
      </w:r>
      <w:r>
        <w:rPr>
          <w:rFonts w:hint="eastAsia"/>
        </w:rPr>
        <w:t>在男子</w:t>
      </w:r>
      <w:r>
        <w:t>(5.3%)</w:t>
      </w:r>
      <w:r>
        <w:rPr>
          <w:rFonts w:hint="eastAsia"/>
        </w:rPr>
        <w:t>更常见。</w:t>
      </w:r>
      <w:r>
        <w:t>50</w:t>
      </w:r>
      <w:r>
        <w:rPr>
          <w:rFonts w:hint="eastAsia"/>
        </w:rPr>
        <w:t>岁以上的妇女身体超重尤其占很大比例。比什凯克州患肥胖症的人比例最高，纳林州最低。</w:t>
      </w:r>
    </w:p>
    <w:p w:rsidR="00000000" w:rsidRDefault="00B7115A">
      <w:r>
        <w:tab/>
        <w:t xml:space="preserve">186.  </w:t>
      </w:r>
      <w:r>
        <w:rPr>
          <w:rFonts w:hint="eastAsia"/>
        </w:rPr>
        <w:t>调查提供的证据表明，营养水平并非始终直接取决于经济收入水平。调查显示在人均收入很低的贾拉拉巴德州和奥什州，每日摄取热量高于全国平均水平，而收入水平处于平均的塔拉斯州和纳林州，营养水平则很低。</w:t>
      </w:r>
    </w:p>
    <w:p w:rsidR="00000000" w:rsidRDefault="00B7115A">
      <w:r>
        <w:tab/>
        <w:t xml:space="preserve">187.  </w:t>
      </w:r>
      <w:r>
        <w:rPr>
          <w:rFonts w:hint="eastAsia"/>
        </w:rPr>
        <w:t>日益严重的贫困现象反映在人口</w:t>
      </w:r>
      <w:r>
        <w:rPr>
          <w:rFonts w:hint="eastAsia"/>
        </w:rPr>
        <w:t>的营养方面。所有的性别和年龄组其平均热量摄取均低于所需水平。营养不良影响到</w:t>
      </w:r>
      <w:r>
        <w:t>16.7%</w:t>
      </w:r>
      <w:r>
        <w:rPr>
          <w:rFonts w:hint="eastAsia"/>
        </w:rPr>
        <w:t>的婴儿</w:t>
      </w:r>
      <w:r>
        <w:t>(</w:t>
      </w:r>
      <w:r>
        <w:rPr>
          <w:rFonts w:hint="eastAsia"/>
        </w:rPr>
        <w:t>一岁以下的儿童</w:t>
      </w:r>
      <w:r>
        <w:t>)</w:t>
      </w:r>
      <w:r>
        <w:rPr>
          <w:rFonts w:hint="eastAsia"/>
        </w:rPr>
        <w:t>、伊西库勒州和比什凯克州的此类儿童人数最多。在成年人中，</w:t>
      </w:r>
      <w:r>
        <w:t>18</w:t>
      </w:r>
      <w:r>
        <w:rPr>
          <w:rFonts w:hint="eastAsia"/>
        </w:rPr>
        <w:t>至</w:t>
      </w:r>
      <w:r>
        <w:t>29</w:t>
      </w:r>
      <w:r>
        <w:rPr>
          <w:rFonts w:hint="eastAsia"/>
        </w:rPr>
        <w:t>岁之间的失业者患营养不良症最多。</w:t>
      </w:r>
    </w:p>
    <w:p w:rsidR="00000000" w:rsidRDefault="00B7115A">
      <w:r>
        <w:tab/>
        <w:t>188.  1997</w:t>
      </w:r>
      <w:r>
        <w:rPr>
          <w:rFonts w:hint="eastAsia"/>
        </w:rPr>
        <w:t>年的农业生产比</w:t>
      </w:r>
      <w:r>
        <w:t>1996</w:t>
      </w:r>
      <w:r>
        <w:rPr>
          <w:rFonts w:hint="eastAsia"/>
        </w:rPr>
        <w:t>年高</w:t>
      </w:r>
      <w:r>
        <w:t>10.7%</w:t>
      </w:r>
      <w:r>
        <w:rPr>
          <w:rFonts w:hint="eastAsia"/>
        </w:rPr>
        <w:t>，比计划大纲预计的高</w:t>
      </w:r>
      <w:r>
        <w:t>10.5%</w:t>
      </w:r>
      <w:r>
        <w:rPr>
          <w:rFonts w:hint="eastAsia"/>
        </w:rPr>
        <w:t>。</w:t>
      </w:r>
      <w:r>
        <w:t>1997</w:t>
      </w:r>
      <w:r>
        <w:rPr>
          <w:rFonts w:hint="eastAsia"/>
        </w:rPr>
        <w:t>年谷物、蔬菜、土豆、瓜类和牛奶的价格低于</w:t>
      </w:r>
      <w:r>
        <w:t>1996</w:t>
      </w:r>
      <w:r>
        <w:rPr>
          <w:rFonts w:hint="eastAsia"/>
        </w:rPr>
        <w:t>年，这除了产量增加外还因为产品市场处于欠发达状态和低收入水平抑制了需求。产量增加主要是由于作物产出提高，它比上一年高</w:t>
      </w:r>
      <w:r>
        <w:t>19%</w:t>
      </w:r>
      <w:r>
        <w:rPr>
          <w:rFonts w:hint="eastAsia"/>
        </w:rPr>
        <w:t>，比计划大纲预计的水平高</w:t>
      </w:r>
      <w:r>
        <w:t>17.8%</w:t>
      </w:r>
      <w:r>
        <w:rPr>
          <w:rFonts w:hint="eastAsia"/>
        </w:rPr>
        <w:t>。</w:t>
      </w:r>
      <w:r>
        <w:rPr>
          <w:rFonts w:hint="eastAsia"/>
        </w:rPr>
        <w:t>一般而言，朝着市场自由化方向取得的进展和建立多层次生产制度、给生产者更多的经济奖励和国家的支持等一系列因素取得了农业生产增加的结果。</w:t>
      </w:r>
    </w:p>
    <w:p w:rsidR="00000000" w:rsidRDefault="00B7115A">
      <w:r>
        <w:tab/>
        <w:t xml:space="preserve">189.  </w:t>
      </w:r>
      <w:r>
        <w:rPr>
          <w:rFonts w:hint="eastAsia"/>
        </w:rPr>
        <w:t>畜牧业生产有改善，牲畜产量增加，因疾病造成的损失减少。结果牲畜总产量比上一年增长</w:t>
      </w:r>
      <w:r>
        <w:t>1.3%</w:t>
      </w:r>
      <w:r>
        <w:rPr>
          <w:rFonts w:hint="eastAsia"/>
        </w:rPr>
        <w:t>，比计划大纲增加</w:t>
      </w:r>
      <w:r>
        <w:t>4.4%</w:t>
      </w:r>
      <w:r>
        <w:rPr>
          <w:rFonts w:hint="eastAsia"/>
        </w:rPr>
        <w:t>。平均牛奶产量增加</w:t>
      </w:r>
      <w:r>
        <w:t>44</w:t>
      </w:r>
      <w:r>
        <w:rPr>
          <w:rFonts w:hint="eastAsia"/>
        </w:rPr>
        <w:t>千克</w:t>
      </w:r>
      <w:r>
        <w:t>(2.3%)</w:t>
      </w:r>
      <w:r>
        <w:rPr>
          <w:rFonts w:hint="eastAsia"/>
        </w:rPr>
        <w:t>；羊毛平均产量增长</w:t>
      </w:r>
      <w:r>
        <w:t>0.3</w:t>
      </w:r>
      <w:r>
        <w:rPr>
          <w:rFonts w:hint="eastAsia"/>
        </w:rPr>
        <w:t>千克</w:t>
      </w:r>
      <w:r>
        <w:t>(10%)</w:t>
      </w:r>
      <w:r>
        <w:rPr>
          <w:rFonts w:hint="eastAsia"/>
        </w:rPr>
        <w:t>。</w:t>
      </w:r>
    </w:p>
    <w:p w:rsidR="00000000" w:rsidRDefault="00B7115A">
      <w:r>
        <w:tab/>
        <w:t xml:space="preserve">190.  </w:t>
      </w:r>
      <w:r>
        <w:rPr>
          <w:rFonts w:hint="eastAsia"/>
        </w:rPr>
        <w:t>根据吉尔吉斯斯坦宪法</w:t>
      </w:r>
      <w:r>
        <w:t>(</w:t>
      </w:r>
      <w:r>
        <w:rPr>
          <w:rFonts w:hint="eastAsia"/>
        </w:rPr>
        <w:t>第</w:t>
      </w:r>
      <w:r>
        <w:t>33</w:t>
      </w:r>
      <w:r>
        <w:rPr>
          <w:rFonts w:hint="eastAsia"/>
        </w:rPr>
        <w:t>条</w:t>
      </w:r>
      <w:r>
        <w:t>)</w:t>
      </w:r>
      <w:r>
        <w:rPr>
          <w:rFonts w:hint="eastAsia"/>
        </w:rPr>
        <w:t>，公民享有住房权。国家通过提供和出售国家现有住房和鼓励个人建造住宅来帮助实现这项权利。</w:t>
      </w:r>
    </w:p>
    <w:p w:rsidR="00000000" w:rsidRDefault="00B7115A">
      <w:pPr>
        <w:spacing w:after="320"/>
        <w:textAlignment w:val="center"/>
      </w:pPr>
      <w:r>
        <w:tab/>
      </w:r>
      <w:r>
        <w:rPr>
          <w:rFonts w:hint="eastAsia"/>
        </w:rPr>
        <w:t>根据统计数字，住房情况如下：</w:t>
      </w:r>
    </w:p>
    <w:p w:rsidR="00000000" w:rsidRDefault="00B7115A">
      <w:pPr>
        <w:spacing w:before="120" w:after="320"/>
        <w:jc w:val="center"/>
        <w:textAlignment w:val="center"/>
        <w:rPr>
          <w:u w:val="single"/>
        </w:rPr>
      </w:pPr>
      <w:r>
        <w:rPr>
          <w:rFonts w:hint="eastAsia"/>
          <w:u w:val="single"/>
        </w:rPr>
        <w:t>提供住</w:t>
      </w:r>
      <w:r>
        <w:rPr>
          <w:rFonts w:hint="eastAsia"/>
          <w:u w:val="single"/>
        </w:rPr>
        <w:t>房</w:t>
      </w:r>
      <w:r>
        <w:rPr>
          <w:u w:val="single"/>
        </w:rPr>
        <w:t>(</w:t>
      </w:r>
      <w:r>
        <w:rPr>
          <w:rFonts w:hint="eastAsia"/>
          <w:u w:val="single"/>
        </w:rPr>
        <w:t>人均总面积，平方米</w:t>
      </w:r>
      <w:r>
        <w:rPr>
          <w:u w:val="singl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top w:val="single" w:sz="6" w:space="0" w:color="auto"/>
              <w:bottom w:val="single" w:sz="6" w:space="0" w:color="auto"/>
              <w:right w:val="nil"/>
            </w:tcBorders>
          </w:tcPr>
          <w:p w:rsidR="00000000" w:rsidRDefault="00B7115A">
            <w:pPr>
              <w:spacing w:before="180"/>
              <w:jc w:val="center"/>
              <w:rPr>
                <w:sz w:val="21"/>
              </w:rPr>
            </w:pPr>
            <w:r>
              <w:rPr>
                <w:rFonts w:hint="eastAsia"/>
                <w:sz w:val="21"/>
              </w:rPr>
              <w:t>年份</w:t>
            </w:r>
          </w:p>
        </w:tc>
        <w:tc>
          <w:tcPr>
            <w:tcW w:w="2352" w:type="dxa"/>
            <w:tcBorders>
              <w:top w:val="single" w:sz="6" w:space="0" w:color="auto"/>
              <w:left w:val="single" w:sz="6" w:space="0" w:color="auto"/>
              <w:bottom w:val="single" w:sz="6" w:space="0" w:color="auto"/>
              <w:right w:val="single" w:sz="6" w:space="0" w:color="auto"/>
            </w:tcBorders>
          </w:tcPr>
          <w:p w:rsidR="00000000" w:rsidRDefault="00B7115A">
            <w:pPr>
              <w:spacing w:before="180"/>
              <w:jc w:val="center"/>
              <w:rPr>
                <w:sz w:val="21"/>
              </w:rPr>
            </w:pPr>
            <w:r>
              <w:rPr>
                <w:rFonts w:hint="eastAsia"/>
                <w:sz w:val="21"/>
              </w:rPr>
              <w:t>总情况</w:t>
            </w:r>
          </w:p>
        </w:tc>
        <w:tc>
          <w:tcPr>
            <w:tcW w:w="2352" w:type="dxa"/>
            <w:tcBorders>
              <w:top w:val="single" w:sz="6" w:space="0" w:color="auto"/>
              <w:left w:val="nil"/>
              <w:bottom w:val="single" w:sz="6" w:space="0" w:color="auto"/>
              <w:right w:val="nil"/>
            </w:tcBorders>
          </w:tcPr>
          <w:p w:rsidR="00000000" w:rsidRDefault="00B7115A">
            <w:pPr>
              <w:spacing w:before="180"/>
              <w:jc w:val="center"/>
              <w:rPr>
                <w:sz w:val="21"/>
              </w:rPr>
            </w:pPr>
            <w:r>
              <w:rPr>
                <w:rFonts w:hint="eastAsia"/>
                <w:sz w:val="21"/>
              </w:rPr>
              <w:t>城市</w:t>
            </w:r>
          </w:p>
        </w:tc>
        <w:tc>
          <w:tcPr>
            <w:tcW w:w="2352" w:type="dxa"/>
            <w:tcBorders>
              <w:top w:val="single" w:sz="6" w:space="0" w:color="auto"/>
              <w:left w:val="single" w:sz="6" w:space="0" w:color="auto"/>
              <w:bottom w:val="single" w:sz="6" w:space="0" w:color="auto"/>
            </w:tcBorders>
          </w:tcPr>
          <w:p w:rsidR="00000000" w:rsidRDefault="00B7115A">
            <w:pPr>
              <w:spacing w:before="180"/>
              <w:jc w:val="center"/>
              <w:rPr>
                <w:sz w:val="21"/>
              </w:rPr>
            </w:pPr>
            <w:r>
              <w:rPr>
                <w:rFonts w:hint="eastAsia"/>
                <w:sz w:val="21"/>
              </w:rPr>
              <w:t>农村</w:t>
            </w:r>
          </w:p>
        </w:tc>
      </w:tr>
      <w:tr w:rsidR="00000000">
        <w:tblPrEx>
          <w:tblCellMar>
            <w:top w:w="0" w:type="dxa"/>
            <w:bottom w:w="0" w:type="dxa"/>
          </w:tblCellMar>
        </w:tblPrEx>
        <w:tc>
          <w:tcPr>
            <w:tcW w:w="2352" w:type="dxa"/>
            <w:tcBorders>
              <w:top w:val="nil"/>
              <w:right w:val="nil"/>
            </w:tcBorders>
          </w:tcPr>
          <w:p w:rsidR="00000000" w:rsidRDefault="00B7115A">
            <w:pPr>
              <w:spacing w:before="120" w:line="360" w:lineRule="auto"/>
              <w:jc w:val="center"/>
              <w:rPr>
                <w:sz w:val="21"/>
              </w:rPr>
            </w:pPr>
            <w:r>
              <w:rPr>
                <w:sz w:val="21"/>
              </w:rPr>
              <w:t>1993</w:t>
            </w:r>
          </w:p>
        </w:tc>
        <w:tc>
          <w:tcPr>
            <w:tcW w:w="2352" w:type="dxa"/>
            <w:tcBorders>
              <w:top w:val="nil"/>
              <w:left w:val="single" w:sz="6" w:space="0" w:color="auto"/>
              <w:right w:val="single" w:sz="6" w:space="0" w:color="auto"/>
            </w:tcBorders>
          </w:tcPr>
          <w:p w:rsidR="00000000" w:rsidRDefault="00B7115A">
            <w:pPr>
              <w:spacing w:before="120" w:line="360" w:lineRule="auto"/>
              <w:jc w:val="center"/>
              <w:rPr>
                <w:sz w:val="21"/>
              </w:rPr>
            </w:pPr>
            <w:r>
              <w:rPr>
                <w:sz w:val="21"/>
              </w:rPr>
              <w:t>12.9</w:t>
            </w:r>
          </w:p>
        </w:tc>
        <w:tc>
          <w:tcPr>
            <w:tcW w:w="2352" w:type="dxa"/>
            <w:tcBorders>
              <w:top w:val="nil"/>
              <w:left w:val="nil"/>
              <w:right w:val="nil"/>
            </w:tcBorders>
          </w:tcPr>
          <w:p w:rsidR="00000000" w:rsidRDefault="00B7115A">
            <w:pPr>
              <w:spacing w:before="120" w:line="360" w:lineRule="auto"/>
              <w:jc w:val="center"/>
              <w:rPr>
                <w:sz w:val="21"/>
              </w:rPr>
            </w:pPr>
            <w:r>
              <w:rPr>
                <w:sz w:val="21"/>
              </w:rPr>
              <w:t>14.2</w:t>
            </w:r>
          </w:p>
        </w:tc>
        <w:tc>
          <w:tcPr>
            <w:tcW w:w="2352" w:type="dxa"/>
            <w:tcBorders>
              <w:top w:val="nil"/>
              <w:left w:val="single" w:sz="6" w:space="0" w:color="auto"/>
            </w:tcBorders>
          </w:tcPr>
          <w:p w:rsidR="00000000" w:rsidRDefault="00B7115A">
            <w:pPr>
              <w:spacing w:before="120" w:line="360" w:lineRule="auto"/>
              <w:jc w:val="center"/>
              <w:rPr>
                <w:sz w:val="21"/>
              </w:rPr>
            </w:pPr>
            <w:r>
              <w:rPr>
                <w:sz w:val="21"/>
              </w:rPr>
              <w:t>12.2</w:t>
            </w:r>
          </w:p>
        </w:tc>
      </w:tr>
      <w:tr w:rsidR="00000000">
        <w:tblPrEx>
          <w:tblCellMar>
            <w:top w:w="0" w:type="dxa"/>
            <w:bottom w:w="0" w:type="dxa"/>
          </w:tblCellMar>
        </w:tblPrEx>
        <w:tc>
          <w:tcPr>
            <w:tcW w:w="2352" w:type="dxa"/>
            <w:tcBorders>
              <w:right w:val="nil"/>
            </w:tcBorders>
          </w:tcPr>
          <w:p w:rsidR="00000000" w:rsidRDefault="00B7115A">
            <w:pPr>
              <w:spacing w:line="360" w:lineRule="auto"/>
              <w:jc w:val="center"/>
              <w:rPr>
                <w:sz w:val="21"/>
              </w:rPr>
            </w:pPr>
            <w:r>
              <w:rPr>
                <w:sz w:val="21"/>
              </w:rPr>
              <w:t>1994</w:t>
            </w:r>
          </w:p>
        </w:tc>
        <w:tc>
          <w:tcPr>
            <w:tcW w:w="2352" w:type="dxa"/>
            <w:tcBorders>
              <w:left w:val="single" w:sz="6" w:space="0" w:color="auto"/>
              <w:right w:val="single" w:sz="6" w:space="0" w:color="auto"/>
            </w:tcBorders>
          </w:tcPr>
          <w:p w:rsidR="00000000" w:rsidRDefault="00B7115A">
            <w:pPr>
              <w:spacing w:line="360" w:lineRule="auto"/>
              <w:jc w:val="center"/>
              <w:rPr>
                <w:sz w:val="21"/>
              </w:rPr>
            </w:pPr>
            <w:r>
              <w:rPr>
                <w:sz w:val="21"/>
              </w:rPr>
              <w:t>12.9</w:t>
            </w:r>
          </w:p>
        </w:tc>
        <w:tc>
          <w:tcPr>
            <w:tcW w:w="2352" w:type="dxa"/>
            <w:tcBorders>
              <w:left w:val="nil"/>
              <w:right w:val="nil"/>
            </w:tcBorders>
          </w:tcPr>
          <w:p w:rsidR="00000000" w:rsidRDefault="00B7115A">
            <w:pPr>
              <w:tabs>
                <w:tab w:val="clear" w:pos="1531"/>
                <w:tab w:val="left" w:pos="1536"/>
              </w:tabs>
              <w:spacing w:line="360" w:lineRule="auto"/>
              <w:jc w:val="center"/>
              <w:rPr>
                <w:sz w:val="21"/>
              </w:rPr>
            </w:pPr>
            <w:r>
              <w:rPr>
                <w:sz w:val="21"/>
              </w:rPr>
              <w:t>14.4</w:t>
            </w:r>
          </w:p>
        </w:tc>
        <w:tc>
          <w:tcPr>
            <w:tcW w:w="2352" w:type="dxa"/>
            <w:tcBorders>
              <w:left w:val="single" w:sz="6" w:space="0" w:color="auto"/>
            </w:tcBorders>
          </w:tcPr>
          <w:p w:rsidR="00000000" w:rsidRDefault="00B7115A">
            <w:pPr>
              <w:spacing w:line="360" w:lineRule="auto"/>
              <w:jc w:val="center"/>
              <w:rPr>
                <w:sz w:val="21"/>
              </w:rPr>
            </w:pPr>
            <w:r>
              <w:rPr>
                <w:sz w:val="21"/>
              </w:rPr>
              <w:t>12.0</w:t>
            </w:r>
          </w:p>
        </w:tc>
      </w:tr>
      <w:tr w:rsidR="00000000">
        <w:tblPrEx>
          <w:tblCellMar>
            <w:top w:w="0" w:type="dxa"/>
            <w:bottom w:w="0" w:type="dxa"/>
          </w:tblCellMar>
        </w:tblPrEx>
        <w:tc>
          <w:tcPr>
            <w:tcW w:w="2352" w:type="dxa"/>
            <w:tcBorders>
              <w:right w:val="nil"/>
            </w:tcBorders>
          </w:tcPr>
          <w:p w:rsidR="00000000" w:rsidRDefault="00B7115A">
            <w:pPr>
              <w:spacing w:line="360" w:lineRule="auto"/>
              <w:jc w:val="center"/>
              <w:rPr>
                <w:sz w:val="21"/>
              </w:rPr>
            </w:pPr>
            <w:r>
              <w:rPr>
                <w:sz w:val="21"/>
              </w:rPr>
              <w:t>1995</w:t>
            </w:r>
          </w:p>
        </w:tc>
        <w:tc>
          <w:tcPr>
            <w:tcW w:w="2352" w:type="dxa"/>
            <w:tcBorders>
              <w:left w:val="single" w:sz="6" w:space="0" w:color="auto"/>
              <w:right w:val="single" w:sz="6" w:space="0" w:color="auto"/>
            </w:tcBorders>
          </w:tcPr>
          <w:p w:rsidR="00000000" w:rsidRDefault="00B7115A">
            <w:pPr>
              <w:spacing w:line="360" w:lineRule="auto"/>
              <w:jc w:val="center"/>
              <w:rPr>
                <w:sz w:val="21"/>
              </w:rPr>
            </w:pPr>
            <w:r>
              <w:rPr>
                <w:sz w:val="21"/>
              </w:rPr>
              <w:t>12.7</w:t>
            </w:r>
          </w:p>
        </w:tc>
        <w:tc>
          <w:tcPr>
            <w:tcW w:w="2352" w:type="dxa"/>
            <w:tcBorders>
              <w:left w:val="nil"/>
              <w:right w:val="nil"/>
            </w:tcBorders>
          </w:tcPr>
          <w:p w:rsidR="00000000" w:rsidRDefault="00B7115A">
            <w:pPr>
              <w:tabs>
                <w:tab w:val="left" w:pos="1176"/>
              </w:tabs>
              <w:spacing w:line="360" w:lineRule="auto"/>
              <w:jc w:val="center"/>
              <w:rPr>
                <w:sz w:val="21"/>
              </w:rPr>
            </w:pPr>
            <w:r>
              <w:rPr>
                <w:sz w:val="21"/>
              </w:rPr>
              <w:t>14.0</w:t>
            </w:r>
          </w:p>
        </w:tc>
        <w:tc>
          <w:tcPr>
            <w:tcW w:w="2352" w:type="dxa"/>
            <w:tcBorders>
              <w:left w:val="single" w:sz="6" w:space="0" w:color="auto"/>
            </w:tcBorders>
          </w:tcPr>
          <w:p w:rsidR="00000000" w:rsidRDefault="00B7115A">
            <w:pPr>
              <w:spacing w:line="360" w:lineRule="auto"/>
              <w:jc w:val="center"/>
              <w:rPr>
                <w:sz w:val="21"/>
              </w:rPr>
            </w:pPr>
            <w:r>
              <w:rPr>
                <w:sz w:val="21"/>
              </w:rPr>
              <w:t>12.0</w:t>
            </w:r>
          </w:p>
        </w:tc>
      </w:tr>
      <w:tr w:rsidR="00000000">
        <w:tblPrEx>
          <w:tblCellMar>
            <w:top w:w="0" w:type="dxa"/>
            <w:bottom w:w="0" w:type="dxa"/>
          </w:tblCellMar>
        </w:tblPrEx>
        <w:tc>
          <w:tcPr>
            <w:tcW w:w="2352" w:type="dxa"/>
            <w:tcBorders>
              <w:right w:val="nil"/>
            </w:tcBorders>
          </w:tcPr>
          <w:p w:rsidR="00000000" w:rsidRDefault="00B7115A">
            <w:pPr>
              <w:spacing w:line="360" w:lineRule="auto"/>
              <w:jc w:val="center"/>
              <w:rPr>
                <w:sz w:val="21"/>
              </w:rPr>
            </w:pPr>
            <w:r>
              <w:rPr>
                <w:sz w:val="21"/>
              </w:rPr>
              <w:t>1996</w:t>
            </w:r>
          </w:p>
        </w:tc>
        <w:tc>
          <w:tcPr>
            <w:tcW w:w="2352" w:type="dxa"/>
            <w:tcBorders>
              <w:left w:val="single" w:sz="6" w:space="0" w:color="auto"/>
              <w:bottom w:val="single" w:sz="6" w:space="0" w:color="auto"/>
              <w:right w:val="single" w:sz="6" w:space="0" w:color="auto"/>
            </w:tcBorders>
          </w:tcPr>
          <w:p w:rsidR="00000000" w:rsidRDefault="00B7115A">
            <w:pPr>
              <w:spacing w:line="360" w:lineRule="auto"/>
              <w:jc w:val="center"/>
              <w:rPr>
                <w:sz w:val="21"/>
              </w:rPr>
            </w:pPr>
            <w:r>
              <w:rPr>
                <w:sz w:val="21"/>
              </w:rPr>
              <w:t>12.6</w:t>
            </w:r>
          </w:p>
        </w:tc>
        <w:tc>
          <w:tcPr>
            <w:tcW w:w="2352" w:type="dxa"/>
            <w:tcBorders>
              <w:left w:val="nil"/>
              <w:right w:val="nil"/>
            </w:tcBorders>
          </w:tcPr>
          <w:p w:rsidR="00000000" w:rsidRDefault="00B7115A">
            <w:pPr>
              <w:spacing w:line="360" w:lineRule="auto"/>
              <w:jc w:val="center"/>
              <w:rPr>
                <w:sz w:val="21"/>
              </w:rPr>
            </w:pPr>
            <w:r>
              <w:rPr>
                <w:sz w:val="21"/>
              </w:rPr>
              <w:t>13.9</w:t>
            </w:r>
          </w:p>
        </w:tc>
        <w:tc>
          <w:tcPr>
            <w:tcW w:w="2352" w:type="dxa"/>
            <w:tcBorders>
              <w:left w:val="single" w:sz="6" w:space="0" w:color="auto"/>
              <w:bottom w:val="single" w:sz="6" w:space="0" w:color="auto"/>
            </w:tcBorders>
          </w:tcPr>
          <w:p w:rsidR="00000000" w:rsidRDefault="00B7115A">
            <w:pPr>
              <w:spacing w:line="360" w:lineRule="auto"/>
              <w:jc w:val="center"/>
              <w:rPr>
                <w:sz w:val="21"/>
              </w:rPr>
            </w:pPr>
            <w:r>
              <w:rPr>
                <w:sz w:val="21"/>
              </w:rPr>
              <w:t>11.9</w:t>
            </w:r>
          </w:p>
        </w:tc>
      </w:tr>
    </w:tbl>
    <w:p w:rsidR="00000000" w:rsidRDefault="00B7115A">
      <w:pPr>
        <w:pStyle w:val="Heading3"/>
        <w:spacing w:after="240"/>
        <w:textAlignment w:val="center"/>
      </w:pPr>
      <w:r>
        <w:br w:type="page"/>
      </w:r>
      <w:r>
        <w:rPr>
          <w:rFonts w:hint="eastAsia"/>
        </w:rPr>
        <w:t>住房条件的改善</w:t>
      </w:r>
    </w:p>
    <w:tbl>
      <w:tblPr>
        <w:tblW w:w="0" w:type="auto"/>
        <w:tblInd w:w="-26" w:type="dxa"/>
        <w:tblBorders>
          <w:top w:val="single" w:sz="6" w:space="0" w:color="auto"/>
          <w:left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5788"/>
        <w:gridCol w:w="1200"/>
        <w:gridCol w:w="1148"/>
        <w:gridCol w:w="1273"/>
      </w:tblGrid>
      <w:tr w:rsidR="00000000">
        <w:tblPrEx>
          <w:tblCellMar>
            <w:top w:w="0" w:type="dxa"/>
            <w:bottom w:w="0" w:type="dxa"/>
          </w:tblCellMar>
        </w:tblPrEx>
        <w:tc>
          <w:tcPr>
            <w:tcW w:w="5788" w:type="dxa"/>
            <w:tcBorders>
              <w:top w:val="single" w:sz="6" w:space="0" w:color="auto"/>
              <w:bottom w:val="single" w:sz="6" w:space="0" w:color="auto"/>
              <w:right w:val="nil"/>
            </w:tcBorders>
          </w:tcPr>
          <w:p w:rsidR="00000000" w:rsidRDefault="00B7115A">
            <w:pPr>
              <w:tabs>
                <w:tab w:val="clear" w:pos="510"/>
                <w:tab w:val="clear" w:pos="1021"/>
                <w:tab w:val="clear" w:pos="1531"/>
                <w:tab w:val="clear" w:pos="2041"/>
              </w:tabs>
              <w:spacing w:before="180"/>
              <w:rPr>
                <w:sz w:val="21"/>
              </w:rPr>
            </w:pPr>
          </w:p>
        </w:tc>
        <w:tc>
          <w:tcPr>
            <w:tcW w:w="1200" w:type="dxa"/>
            <w:tcBorders>
              <w:top w:val="single" w:sz="6" w:space="0" w:color="auto"/>
              <w:left w:val="single" w:sz="6" w:space="0" w:color="auto"/>
              <w:bottom w:val="nil"/>
              <w:right w:val="nil"/>
            </w:tcBorders>
          </w:tcPr>
          <w:p w:rsidR="00000000" w:rsidRDefault="00B7115A">
            <w:pPr>
              <w:tabs>
                <w:tab w:val="clear" w:pos="510"/>
                <w:tab w:val="clear" w:pos="1021"/>
                <w:tab w:val="clear" w:pos="1531"/>
                <w:tab w:val="clear" w:pos="2041"/>
              </w:tabs>
              <w:spacing w:before="180"/>
              <w:jc w:val="center"/>
              <w:rPr>
                <w:sz w:val="21"/>
              </w:rPr>
            </w:pPr>
            <w:r>
              <w:rPr>
                <w:sz w:val="21"/>
              </w:rPr>
              <w:t>1994</w:t>
            </w:r>
          </w:p>
        </w:tc>
        <w:tc>
          <w:tcPr>
            <w:tcW w:w="1148" w:type="dxa"/>
            <w:tcBorders>
              <w:top w:val="single" w:sz="6" w:space="0" w:color="auto"/>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before="180"/>
              <w:jc w:val="center"/>
              <w:rPr>
                <w:sz w:val="21"/>
              </w:rPr>
            </w:pPr>
            <w:r>
              <w:rPr>
                <w:sz w:val="21"/>
              </w:rPr>
              <w:t>1995</w:t>
            </w:r>
          </w:p>
        </w:tc>
        <w:tc>
          <w:tcPr>
            <w:tcW w:w="1273"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s>
              <w:spacing w:before="180"/>
              <w:jc w:val="center"/>
              <w:rPr>
                <w:sz w:val="21"/>
              </w:rPr>
            </w:pPr>
            <w:r>
              <w:rPr>
                <w:sz w:val="21"/>
              </w:rPr>
              <w:t>1996</w:t>
            </w:r>
          </w:p>
        </w:tc>
      </w:tr>
      <w:tr w:rsidR="00000000">
        <w:tblPrEx>
          <w:tblCellMar>
            <w:top w:w="0" w:type="dxa"/>
            <w:bottom w:w="0" w:type="dxa"/>
          </w:tblCellMar>
        </w:tblPrEx>
        <w:tc>
          <w:tcPr>
            <w:tcW w:w="5788" w:type="dxa"/>
            <w:tcBorders>
              <w:top w:val="nil"/>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等待住房名单上家庭总数，其中包括：</w:t>
            </w:r>
          </w:p>
        </w:tc>
        <w:tc>
          <w:tcPr>
            <w:tcW w:w="1200" w:type="dxa"/>
            <w:tcBorders>
              <w:top w:val="single" w:sz="6" w:space="0" w:color="auto"/>
              <w:left w:val="single" w:sz="6" w:space="0" w:color="auto"/>
              <w:bottom w:val="nil"/>
              <w:right w:val="nil"/>
            </w:tcBorders>
          </w:tcPr>
          <w:p w:rsidR="00000000" w:rsidRDefault="00B7115A">
            <w:pPr>
              <w:tabs>
                <w:tab w:val="clear" w:pos="510"/>
                <w:tab w:val="clear" w:pos="1021"/>
                <w:tab w:val="clear" w:pos="1531"/>
                <w:tab w:val="clear" w:pos="2041"/>
              </w:tabs>
              <w:spacing w:before="120"/>
              <w:jc w:val="center"/>
              <w:rPr>
                <w:sz w:val="21"/>
              </w:rPr>
            </w:pPr>
            <w:r>
              <w:rPr>
                <w:sz w:val="21"/>
              </w:rPr>
              <w:t>58 401</w:t>
            </w:r>
          </w:p>
        </w:tc>
        <w:tc>
          <w:tcPr>
            <w:tcW w:w="1148"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jc w:val="center"/>
              <w:rPr>
                <w:sz w:val="21"/>
              </w:rPr>
            </w:pPr>
            <w:r>
              <w:rPr>
                <w:sz w:val="21"/>
              </w:rPr>
              <w:t>39 850</w:t>
            </w:r>
          </w:p>
        </w:tc>
        <w:tc>
          <w:tcPr>
            <w:tcW w:w="1273"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s>
              <w:spacing w:before="120"/>
              <w:jc w:val="center"/>
              <w:rPr>
                <w:sz w:val="21"/>
              </w:rPr>
            </w:pPr>
            <w:r>
              <w:rPr>
                <w:sz w:val="21"/>
              </w:rPr>
              <w:t>38 086</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pacing w:val="6"/>
                <w:sz w:val="21"/>
              </w:rPr>
              <w:t>伤残军人、伟大卫国战争的老战士、已故军人和其他家庭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170"/>
              <w:jc w:val="center"/>
              <w:rPr>
                <w:sz w:val="21"/>
              </w:rPr>
            </w:pPr>
            <w:r>
              <w:rPr>
                <w:sz w:val="21"/>
              </w:rPr>
              <w:t>1 077</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284"/>
              <w:jc w:val="center"/>
              <w:rPr>
                <w:sz w:val="21"/>
              </w:rPr>
            </w:pPr>
            <w:r>
              <w:rPr>
                <w:sz w:val="21"/>
              </w:rPr>
              <w:t>856</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284"/>
              <w:jc w:val="center"/>
              <w:rPr>
                <w:sz w:val="21"/>
              </w:rPr>
            </w:pPr>
            <w:r>
              <w:rPr>
                <w:sz w:val="21"/>
              </w:rPr>
              <w:t>784</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大家庭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170"/>
              <w:jc w:val="center"/>
              <w:rPr>
                <w:sz w:val="21"/>
              </w:rPr>
            </w:pPr>
            <w:r>
              <w:rPr>
                <w:sz w:val="21"/>
              </w:rPr>
              <w:t>9 340</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5 442</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6 052</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青年家庭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170"/>
              <w:jc w:val="center"/>
              <w:rPr>
                <w:sz w:val="21"/>
              </w:rPr>
            </w:pPr>
            <w:r>
              <w:rPr>
                <w:sz w:val="21"/>
              </w:rPr>
              <w:t>6 011</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4 67</w:t>
            </w:r>
            <w:r>
              <w:rPr>
                <w:sz w:val="21"/>
              </w:rPr>
              <w:t>0</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2 926</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得到住房和改善了住房条件的家庭总数，其中包括：</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170"/>
              <w:jc w:val="center"/>
              <w:rPr>
                <w:sz w:val="21"/>
              </w:rPr>
            </w:pPr>
            <w:r>
              <w:rPr>
                <w:sz w:val="21"/>
              </w:rPr>
              <w:t>2 884</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1 279</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170"/>
              <w:jc w:val="center"/>
              <w:rPr>
                <w:sz w:val="21"/>
              </w:rPr>
            </w:pPr>
            <w:r>
              <w:rPr>
                <w:sz w:val="21"/>
              </w:rPr>
              <w:t>1 222</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伤残军人、伟大卫国战争的老战士、已故军人和其他家庭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454"/>
              <w:jc w:val="center"/>
              <w:rPr>
                <w:sz w:val="21"/>
              </w:rPr>
            </w:pPr>
            <w:r>
              <w:rPr>
                <w:sz w:val="21"/>
              </w:rPr>
              <w:t>55</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454"/>
              <w:jc w:val="center"/>
              <w:rPr>
                <w:sz w:val="21"/>
              </w:rPr>
            </w:pPr>
            <w:r>
              <w:rPr>
                <w:sz w:val="21"/>
              </w:rPr>
              <w:t>55</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454"/>
              <w:jc w:val="center"/>
              <w:rPr>
                <w:sz w:val="21"/>
              </w:rPr>
            </w:pPr>
            <w:r>
              <w:rPr>
                <w:sz w:val="21"/>
              </w:rPr>
              <w:t>38</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大家庭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340"/>
              <w:jc w:val="center"/>
              <w:rPr>
                <w:sz w:val="21"/>
              </w:rPr>
            </w:pPr>
            <w:r>
              <w:rPr>
                <w:sz w:val="21"/>
              </w:rPr>
              <w:t>936</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340"/>
              <w:jc w:val="center"/>
              <w:rPr>
                <w:sz w:val="21"/>
              </w:rPr>
            </w:pPr>
            <w:r>
              <w:rPr>
                <w:sz w:val="21"/>
              </w:rPr>
              <w:t>369</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340"/>
              <w:jc w:val="center"/>
              <w:rPr>
                <w:sz w:val="21"/>
              </w:rPr>
            </w:pPr>
            <w:r>
              <w:rPr>
                <w:sz w:val="21"/>
              </w:rPr>
              <w:t>247</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青年家庭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340"/>
              <w:jc w:val="center"/>
              <w:rPr>
                <w:sz w:val="21"/>
              </w:rPr>
            </w:pPr>
            <w:r>
              <w:rPr>
                <w:sz w:val="21"/>
              </w:rPr>
              <w:t>594</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340"/>
              <w:jc w:val="center"/>
              <w:rPr>
                <w:sz w:val="21"/>
              </w:rPr>
            </w:pPr>
            <w:r>
              <w:rPr>
                <w:sz w:val="21"/>
              </w:rPr>
              <w:t>159</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340"/>
              <w:jc w:val="center"/>
              <w:rPr>
                <w:sz w:val="21"/>
              </w:rPr>
            </w:pPr>
            <w:r>
              <w:rPr>
                <w:sz w:val="21"/>
              </w:rPr>
              <w:t>116</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line="288" w:lineRule="auto"/>
              <w:ind w:left="57" w:right="57"/>
              <w:rPr>
                <w:sz w:val="21"/>
              </w:rPr>
            </w:pPr>
            <w:r>
              <w:rPr>
                <w:rFonts w:hint="eastAsia"/>
                <w:sz w:val="21"/>
              </w:rPr>
              <w:t>得到住房和改善了住房条件的家庭占年初等待住房名单上家庭数目的百分比</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737"/>
              <w:jc w:val="center"/>
              <w:rPr>
                <w:sz w:val="21"/>
              </w:rPr>
            </w:pPr>
            <w:r>
              <w:rPr>
                <w:sz w:val="21"/>
              </w:rPr>
              <w:t>3.6</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left" w:pos="812"/>
              </w:tabs>
              <w:spacing w:before="120"/>
              <w:ind w:left="737"/>
              <w:jc w:val="center"/>
              <w:rPr>
                <w:sz w:val="21"/>
              </w:rPr>
            </w:pPr>
            <w:r>
              <w:rPr>
                <w:sz w:val="21"/>
              </w:rPr>
              <w:t>2.2</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864" w:hanging="127"/>
              <w:jc w:val="center"/>
              <w:rPr>
                <w:sz w:val="21"/>
              </w:rPr>
            </w:pPr>
            <w:r>
              <w:rPr>
                <w:sz w:val="21"/>
              </w:rPr>
              <w:t>3.1</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line="288" w:lineRule="auto"/>
              <w:ind w:left="57" w:right="57"/>
              <w:rPr>
                <w:sz w:val="21"/>
              </w:rPr>
            </w:pPr>
            <w:r>
              <w:rPr>
                <w:rFonts w:hint="eastAsia"/>
                <w:sz w:val="21"/>
              </w:rPr>
              <w:t>得到住房和改善了住房条件的家庭占年初等待住房名单上家庭数目的百分比，按类别分：</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680"/>
              <w:jc w:val="center"/>
              <w:rPr>
                <w:sz w:val="21"/>
              </w:rPr>
            </w:pP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680"/>
              <w:jc w:val="center"/>
              <w:rPr>
                <w:sz w:val="21"/>
              </w:rPr>
            </w:pP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680"/>
              <w:jc w:val="center"/>
              <w:rPr>
                <w:sz w:val="21"/>
              </w:rPr>
            </w:pP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ight="57"/>
              <w:rPr>
                <w:sz w:val="21"/>
              </w:rPr>
            </w:pPr>
            <w:r>
              <w:rPr>
                <w:rFonts w:hint="eastAsia"/>
                <w:sz w:val="21"/>
              </w:rPr>
              <w:t>伤残军人、伟大卫国战争的老战士、已故军人和其他家庭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737"/>
              <w:jc w:val="center"/>
              <w:rPr>
                <w:sz w:val="21"/>
              </w:rPr>
            </w:pPr>
            <w:r>
              <w:rPr>
                <w:sz w:val="21"/>
              </w:rPr>
              <w:t>5.0</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5.1</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4.4</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大家庭</w:t>
            </w:r>
          </w:p>
        </w:tc>
        <w:tc>
          <w:tcPr>
            <w:tcW w:w="1200" w:type="dxa"/>
            <w:tcBorders>
              <w:top w:val="nil"/>
              <w:left w:val="single" w:sz="6" w:space="0" w:color="auto"/>
              <w:bottom w:val="nil"/>
              <w:right w:val="nil"/>
            </w:tcBorders>
          </w:tcPr>
          <w:p w:rsidR="00000000" w:rsidRDefault="00B7115A">
            <w:pPr>
              <w:tabs>
                <w:tab w:val="clear" w:pos="510"/>
                <w:tab w:val="clear" w:pos="1021"/>
                <w:tab w:val="clear" w:pos="1531"/>
                <w:tab w:val="clear" w:pos="2041"/>
              </w:tabs>
              <w:spacing w:before="120"/>
              <w:ind w:left="737"/>
              <w:jc w:val="center"/>
              <w:rPr>
                <w:sz w:val="21"/>
              </w:rPr>
            </w:pPr>
            <w:r>
              <w:rPr>
                <w:sz w:val="21"/>
              </w:rPr>
              <w:t>8.1</w:t>
            </w:r>
          </w:p>
        </w:tc>
        <w:tc>
          <w:tcPr>
            <w:tcW w:w="1148"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4.0</w:t>
            </w:r>
          </w:p>
        </w:tc>
        <w:tc>
          <w:tcPr>
            <w:tcW w:w="1273" w:type="dxa"/>
            <w:tcBorders>
              <w:top w:val="nil"/>
              <w:left w:val="nil"/>
              <w:bottom w:val="nil"/>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4.5</w:t>
            </w:r>
          </w:p>
        </w:tc>
      </w:tr>
      <w:tr w:rsidR="00000000">
        <w:tblPrEx>
          <w:tblCellMar>
            <w:top w:w="0" w:type="dxa"/>
            <w:bottom w:w="0" w:type="dxa"/>
          </w:tblCellMar>
        </w:tblPrEx>
        <w:tc>
          <w:tcPr>
            <w:tcW w:w="5788" w:type="dxa"/>
            <w:tcBorders>
              <w:right w:val="nil"/>
            </w:tcBorders>
          </w:tcPr>
          <w:p w:rsidR="00000000" w:rsidRDefault="00B7115A">
            <w:pPr>
              <w:tabs>
                <w:tab w:val="clear" w:pos="510"/>
                <w:tab w:val="clear" w:pos="1021"/>
                <w:tab w:val="clear" w:pos="1531"/>
                <w:tab w:val="clear" w:pos="2041"/>
              </w:tabs>
              <w:spacing w:before="120"/>
              <w:ind w:left="57"/>
              <w:rPr>
                <w:sz w:val="21"/>
              </w:rPr>
            </w:pPr>
            <w:r>
              <w:rPr>
                <w:rFonts w:hint="eastAsia"/>
                <w:sz w:val="21"/>
              </w:rPr>
              <w:t>青年家庭</w:t>
            </w:r>
          </w:p>
        </w:tc>
        <w:tc>
          <w:tcPr>
            <w:tcW w:w="1200" w:type="dxa"/>
            <w:tcBorders>
              <w:top w:val="nil"/>
              <w:left w:val="single" w:sz="6" w:space="0" w:color="auto"/>
              <w:bottom w:val="single" w:sz="6" w:space="0" w:color="auto"/>
              <w:right w:val="nil"/>
            </w:tcBorders>
          </w:tcPr>
          <w:p w:rsidR="00000000" w:rsidRDefault="00B7115A">
            <w:pPr>
              <w:tabs>
                <w:tab w:val="clear" w:pos="510"/>
                <w:tab w:val="clear" w:pos="1021"/>
                <w:tab w:val="clear" w:pos="1531"/>
                <w:tab w:val="clear" w:pos="2041"/>
              </w:tabs>
              <w:spacing w:before="120"/>
              <w:ind w:left="737"/>
              <w:jc w:val="center"/>
              <w:rPr>
                <w:sz w:val="21"/>
              </w:rPr>
            </w:pPr>
            <w:r>
              <w:rPr>
                <w:sz w:val="21"/>
              </w:rPr>
              <w:t>5.0</w:t>
            </w:r>
          </w:p>
        </w:tc>
        <w:tc>
          <w:tcPr>
            <w:tcW w:w="1148"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2.6</w:t>
            </w:r>
          </w:p>
        </w:tc>
        <w:tc>
          <w:tcPr>
            <w:tcW w:w="1273" w:type="dxa"/>
            <w:tcBorders>
              <w:top w:val="nil"/>
              <w:left w:val="nil"/>
              <w:bottom w:val="single" w:sz="6" w:space="0" w:color="auto"/>
              <w:right w:val="single" w:sz="6" w:space="0" w:color="auto"/>
            </w:tcBorders>
          </w:tcPr>
          <w:p w:rsidR="00000000" w:rsidRDefault="00B7115A">
            <w:pPr>
              <w:tabs>
                <w:tab w:val="clear" w:pos="510"/>
                <w:tab w:val="clear" w:pos="1021"/>
                <w:tab w:val="clear" w:pos="1531"/>
                <w:tab w:val="clear" w:pos="2041"/>
              </w:tabs>
              <w:spacing w:before="120"/>
              <w:ind w:left="737"/>
              <w:jc w:val="center"/>
              <w:rPr>
                <w:sz w:val="21"/>
              </w:rPr>
            </w:pPr>
            <w:r>
              <w:rPr>
                <w:sz w:val="21"/>
              </w:rPr>
              <w:t>2.5</w:t>
            </w:r>
          </w:p>
        </w:tc>
      </w:tr>
    </w:tbl>
    <w:p w:rsidR="00000000" w:rsidRDefault="00B7115A">
      <w:pPr>
        <w:tabs>
          <w:tab w:val="clear" w:pos="510"/>
          <w:tab w:val="clear" w:pos="1021"/>
          <w:tab w:val="clear" w:pos="1531"/>
          <w:tab w:val="clear" w:pos="2041"/>
        </w:tabs>
      </w:pPr>
    </w:p>
    <w:p w:rsidR="00000000" w:rsidRDefault="00B7115A">
      <w:pPr>
        <w:tabs>
          <w:tab w:val="clear" w:pos="510"/>
          <w:tab w:val="clear" w:pos="1021"/>
          <w:tab w:val="clear" w:pos="1531"/>
          <w:tab w:val="clear" w:pos="2041"/>
        </w:tabs>
      </w:pPr>
    </w:p>
    <w:p w:rsidR="00000000" w:rsidRDefault="00B7115A">
      <w:pPr>
        <w:pStyle w:val="Heading3"/>
      </w:pPr>
      <w:r>
        <w:rPr>
          <w:rFonts w:hint="eastAsia"/>
        </w:rPr>
        <w:t>第</w:t>
      </w:r>
      <w:r>
        <w:t xml:space="preserve"> 12 </w:t>
      </w:r>
      <w:r>
        <w:rPr>
          <w:rFonts w:hint="eastAsia"/>
        </w:rPr>
        <w:t>条</w:t>
      </w:r>
    </w:p>
    <w:p w:rsidR="00000000" w:rsidRDefault="00B7115A">
      <w:r>
        <w:tab/>
        <w:t xml:space="preserve">191.  </w:t>
      </w:r>
      <w:r>
        <w:rPr>
          <w:rFonts w:hint="eastAsia"/>
        </w:rPr>
        <w:t>《宪法》第</w:t>
      </w:r>
      <w:r>
        <w:t>34</w:t>
      </w:r>
      <w:r>
        <w:rPr>
          <w:rFonts w:hint="eastAsia"/>
        </w:rPr>
        <w:t>条确认每个人有权享有尽可能高水平的身心健康。</w:t>
      </w:r>
    </w:p>
    <w:p w:rsidR="00000000" w:rsidRDefault="00B7115A">
      <w:r>
        <w:tab/>
        <w:t xml:space="preserve">192.  </w:t>
      </w:r>
      <w:r>
        <w:rPr>
          <w:rFonts w:hint="eastAsia"/>
        </w:rPr>
        <w:t>自独立以来，议会通过了六项有关卫生的法律。议会已经起草并正在审议有关精神病援助和给予精神病援助时的权利保障的法律草案。国家卫生保健制度全面涵盖了所有人口群组，并特别注意妇女、怀孕妇女和临产妇女，</w:t>
      </w:r>
      <w:r>
        <w:t>14</w:t>
      </w:r>
      <w:r>
        <w:rPr>
          <w:rFonts w:hint="eastAsia"/>
        </w:rPr>
        <w:t>岁以下儿童以及老年人、残疾人等其他特别脆弱的人口群组。这项卫生保健制度没有种族和性别歧视，向所有人口群组提供全面的医疗服务。这项制度的一个重要特</w:t>
      </w:r>
      <w:r>
        <w:rPr>
          <w:rFonts w:hint="eastAsia"/>
        </w:rPr>
        <w:t>征是向最为偏僻的地区提供合格的医疗援助。</w:t>
      </w:r>
    </w:p>
    <w:p w:rsidR="00000000" w:rsidRDefault="00B7115A">
      <w:r>
        <w:tab/>
        <w:t xml:space="preserve">193.  </w:t>
      </w:r>
      <w:r>
        <w:rPr>
          <w:rFonts w:hint="eastAsia"/>
        </w:rPr>
        <w:t>已经通过了一项国家“健康民族”方案。方案的主要目的是维持国家的健康基因储存，例如，早在怀孕之前，怀孕期间和从出生起至进入老年期的公民的整个一生中提供医疗援助。</w:t>
      </w:r>
    </w:p>
    <w:p w:rsidR="00000000" w:rsidRDefault="00B7115A">
      <w:r>
        <w:tab/>
        <w:t xml:space="preserve">194.  </w:t>
      </w:r>
      <w:r>
        <w:rPr>
          <w:rFonts w:hint="eastAsia"/>
        </w:rPr>
        <w:t>全国人口的身心健康状况被认为是令人满意的。最近几年来，由于社会经济状况恶化，社会疾病如酗酒、吸毒和一些传染性疾病，例如结核病和性传播疾病有所增加。</w:t>
      </w:r>
    </w:p>
    <w:p w:rsidR="00000000" w:rsidRDefault="00B7115A">
      <w:r>
        <w:tab/>
        <w:t xml:space="preserve">195.  </w:t>
      </w:r>
      <w:r>
        <w:rPr>
          <w:rFonts w:hint="eastAsia"/>
        </w:rPr>
        <w:t>人口自然增长率近几年有所下降。</w:t>
      </w:r>
      <w:r>
        <w:t>1996</w:t>
      </w:r>
      <w:r>
        <w:rPr>
          <w:rFonts w:hint="eastAsia"/>
        </w:rPr>
        <w:t>年，自然增长率是</w:t>
      </w:r>
      <w:r>
        <w:t>16.1</w:t>
      </w:r>
      <w:r>
        <w:rPr>
          <w:rFonts w:hint="eastAsia"/>
        </w:rPr>
        <w:t>‰，比</w:t>
      </w:r>
      <w:r>
        <w:t>1986</w:t>
      </w:r>
      <w:r>
        <w:rPr>
          <w:rFonts w:hint="eastAsia"/>
        </w:rPr>
        <w:t>年下降</w:t>
      </w:r>
      <w:r>
        <w:t>37.5%</w:t>
      </w:r>
      <w:r>
        <w:rPr>
          <w:rFonts w:hint="eastAsia"/>
        </w:rPr>
        <w:t>。主要原因是同一时期内出生率</w:t>
      </w:r>
      <w:r>
        <w:rPr>
          <w:rFonts w:hint="eastAsia"/>
        </w:rPr>
        <w:t>下降了</w:t>
      </w:r>
      <w:r>
        <w:t>29.7%</w:t>
      </w:r>
      <w:r>
        <w:rPr>
          <w:rFonts w:hint="eastAsia"/>
        </w:rPr>
        <w:t>，概约死亡率上升</w:t>
      </w:r>
      <w:r>
        <w:t>19%</w:t>
      </w:r>
      <w:r>
        <w:rPr>
          <w:rFonts w:hint="eastAsia"/>
        </w:rPr>
        <w:t>。</w:t>
      </w:r>
    </w:p>
    <w:p w:rsidR="00000000" w:rsidRDefault="00B7115A">
      <w:r>
        <w:tab/>
        <w:t xml:space="preserve">196.  </w:t>
      </w:r>
      <w:r>
        <w:rPr>
          <w:rFonts w:hint="eastAsia"/>
        </w:rPr>
        <w:t>对所有主要卫生指标以及各个级别的一般保健设施的运作情况每年都仔细地搜集统计资料。统计报告由国家统计单位协调进行。这些单位根据每年的结果制订显示所有经济部门，包括卫生部门的主要指标手册。近几年来，已经特别注意把统计报告与统计局和卫生组织的要求保持一致。从报告中所得到的资料用于所有的经济部门。包括卫生部门。医疗资料中心在卫生部内开展工作。每年，它分析和评估每项保健服务的基本统计数据。</w:t>
      </w:r>
    </w:p>
    <w:p w:rsidR="00000000" w:rsidRDefault="00B7115A">
      <w:r>
        <w:tab/>
        <w:t xml:space="preserve">197.  </w:t>
      </w:r>
      <w:r>
        <w:rPr>
          <w:rFonts w:hint="eastAsia"/>
        </w:rPr>
        <w:t>近几年的统计资料表明，怀孕和哺乳妇女以及学龄前儿童是最脆弱</w:t>
      </w:r>
      <w:r>
        <w:rPr>
          <w:rFonts w:hint="eastAsia"/>
        </w:rPr>
        <w:t>的人群。</w:t>
      </w:r>
    </w:p>
    <w:p w:rsidR="00000000" w:rsidRDefault="00B7115A">
      <w:pPr>
        <w:pStyle w:val="Heading3"/>
      </w:pPr>
      <w:r>
        <w:br w:type="page"/>
      </w:r>
      <w:r>
        <w:rPr>
          <w:rFonts w:hint="eastAsia"/>
        </w:rPr>
        <w:t>从</w:t>
      </w:r>
      <w:r>
        <w:t>0</w:t>
      </w:r>
      <w:r>
        <w:rPr>
          <w:rFonts w:hint="eastAsia"/>
        </w:rPr>
        <w:t>岁至</w:t>
      </w:r>
      <w:r>
        <w:t>14</w:t>
      </w:r>
      <w:r>
        <w:rPr>
          <w:rFonts w:hint="eastAsia"/>
        </w:rPr>
        <w:t>岁儿童的发病率</w:t>
      </w:r>
      <w:r>
        <w:t>(1</w:t>
      </w:r>
      <w:r>
        <w:rPr>
          <w:rFonts w:hint="eastAsia"/>
        </w:rPr>
        <w:t>‰</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468"/>
        <w:gridCol w:w="2472"/>
        <w:gridCol w:w="2471"/>
        <w:gridCol w:w="1"/>
      </w:tblGrid>
      <w:tr w:rsidR="00000000">
        <w:tblPrEx>
          <w:tblCellMar>
            <w:top w:w="0" w:type="dxa"/>
            <w:bottom w:w="0" w:type="dxa"/>
          </w:tblCellMar>
        </w:tblPrEx>
        <w:trPr>
          <w:gridAfter w:val="1"/>
        </w:trPr>
        <w:tc>
          <w:tcPr>
            <w:tcW w:w="4468" w:type="dxa"/>
            <w:tcBorders>
              <w:right w:val="nil"/>
            </w:tcBorders>
          </w:tcPr>
          <w:p w:rsidR="00000000" w:rsidRDefault="00B7115A">
            <w:pPr>
              <w:spacing w:line="288" w:lineRule="auto"/>
              <w:jc w:val="center"/>
              <w:rPr>
                <w:sz w:val="21"/>
              </w:rPr>
            </w:pPr>
          </w:p>
        </w:tc>
        <w:tc>
          <w:tcPr>
            <w:tcW w:w="4943" w:type="dxa"/>
            <w:gridSpan w:val="2"/>
            <w:tcBorders>
              <w:top w:val="single" w:sz="6" w:space="0" w:color="auto"/>
              <w:left w:val="single" w:sz="6" w:space="0" w:color="auto"/>
            </w:tcBorders>
          </w:tcPr>
          <w:p w:rsidR="00000000" w:rsidRDefault="00B7115A">
            <w:pPr>
              <w:spacing w:before="60" w:line="288" w:lineRule="auto"/>
              <w:jc w:val="center"/>
              <w:rPr>
                <w:sz w:val="21"/>
              </w:rPr>
            </w:pPr>
            <w:r>
              <w:rPr>
                <w:rFonts w:hint="eastAsia"/>
                <w:sz w:val="21"/>
              </w:rPr>
              <w:t>登记病例数</w:t>
            </w:r>
          </w:p>
        </w:tc>
      </w:tr>
      <w:tr w:rsidR="00000000">
        <w:tblPrEx>
          <w:tblCellMar>
            <w:top w:w="0" w:type="dxa"/>
            <w:bottom w:w="0" w:type="dxa"/>
          </w:tblCellMar>
        </w:tblPrEx>
        <w:tc>
          <w:tcPr>
            <w:tcW w:w="4468" w:type="dxa"/>
            <w:tcBorders>
              <w:top w:val="nil"/>
              <w:bottom w:val="nil"/>
              <w:right w:val="nil"/>
            </w:tcBorders>
          </w:tcPr>
          <w:p w:rsidR="00000000" w:rsidRDefault="00B7115A">
            <w:pPr>
              <w:spacing w:line="288" w:lineRule="auto"/>
              <w:ind w:left="227"/>
              <w:jc w:val="center"/>
              <w:rPr>
                <w:sz w:val="21"/>
              </w:rPr>
            </w:pPr>
            <w:r>
              <w:rPr>
                <w:rFonts w:hint="eastAsia"/>
                <w:sz w:val="21"/>
              </w:rPr>
              <w:t>疾</w:t>
            </w:r>
            <w:r>
              <w:rPr>
                <w:sz w:val="21"/>
              </w:rPr>
              <w:t xml:space="preserve">   </w:t>
            </w:r>
            <w:r>
              <w:rPr>
                <w:rFonts w:hint="eastAsia"/>
                <w:sz w:val="21"/>
              </w:rPr>
              <w:t>病</w:t>
            </w:r>
          </w:p>
        </w:tc>
        <w:tc>
          <w:tcPr>
            <w:tcW w:w="2472" w:type="dxa"/>
            <w:tcBorders>
              <w:top w:val="single" w:sz="6" w:space="0" w:color="auto"/>
              <w:left w:val="single" w:sz="6" w:space="0" w:color="auto"/>
              <w:bottom w:val="single" w:sz="6" w:space="0" w:color="auto"/>
              <w:right w:val="nil"/>
            </w:tcBorders>
          </w:tcPr>
          <w:p w:rsidR="00000000" w:rsidRDefault="00B7115A">
            <w:pPr>
              <w:tabs>
                <w:tab w:val="clear" w:pos="510"/>
                <w:tab w:val="clear" w:pos="1021"/>
                <w:tab w:val="clear" w:pos="1531"/>
                <w:tab w:val="clear" w:pos="2041"/>
              </w:tabs>
              <w:spacing w:before="60" w:line="288" w:lineRule="auto"/>
              <w:jc w:val="center"/>
              <w:rPr>
                <w:sz w:val="21"/>
              </w:rPr>
            </w:pPr>
            <w:r>
              <w:rPr>
                <w:sz w:val="21"/>
              </w:rPr>
              <w:t>1995</w:t>
            </w:r>
          </w:p>
        </w:tc>
        <w:tc>
          <w:tcPr>
            <w:tcW w:w="2472" w:type="dxa"/>
            <w:gridSpan w:val="2"/>
            <w:tcBorders>
              <w:top w:val="single" w:sz="6" w:space="0" w:color="auto"/>
              <w:left w:val="single" w:sz="6" w:space="0" w:color="auto"/>
              <w:bottom w:val="single" w:sz="6" w:space="0" w:color="auto"/>
            </w:tcBorders>
          </w:tcPr>
          <w:p w:rsidR="00000000" w:rsidRDefault="00B7115A">
            <w:pPr>
              <w:tabs>
                <w:tab w:val="clear" w:pos="510"/>
                <w:tab w:val="clear" w:pos="1021"/>
                <w:tab w:val="clear" w:pos="1531"/>
                <w:tab w:val="clear" w:pos="2041"/>
              </w:tabs>
              <w:spacing w:before="60" w:line="288" w:lineRule="auto"/>
              <w:jc w:val="center"/>
              <w:rPr>
                <w:sz w:val="21"/>
              </w:rPr>
            </w:pPr>
            <w:r>
              <w:rPr>
                <w:sz w:val="21"/>
              </w:rPr>
              <w:t>1996</w:t>
            </w:r>
          </w:p>
        </w:tc>
      </w:tr>
      <w:tr w:rsidR="00000000">
        <w:tblPrEx>
          <w:tblCellMar>
            <w:top w:w="0" w:type="dxa"/>
            <w:bottom w:w="0" w:type="dxa"/>
          </w:tblCellMar>
        </w:tblPrEx>
        <w:tc>
          <w:tcPr>
            <w:tcW w:w="4468" w:type="dxa"/>
            <w:tcBorders>
              <w:top w:val="single" w:sz="6" w:space="0" w:color="auto"/>
              <w:bottom w:val="nil"/>
              <w:right w:val="nil"/>
            </w:tcBorders>
          </w:tcPr>
          <w:p w:rsidR="00000000" w:rsidRDefault="00B7115A">
            <w:pPr>
              <w:spacing w:before="120" w:line="288" w:lineRule="auto"/>
              <w:ind w:left="227"/>
              <w:rPr>
                <w:sz w:val="21"/>
              </w:rPr>
            </w:pPr>
            <w:r>
              <w:rPr>
                <w:rFonts w:hint="eastAsia"/>
                <w:sz w:val="21"/>
              </w:rPr>
              <w:t>总</w:t>
            </w:r>
            <w:r>
              <w:rPr>
                <w:sz w:val="21"/>
              </w:rPr>
              <w:t xml:space="preserve">  </w:t>
            </w:r>
            <w:r>
              <w:rPr>
                <w:rFonts w:hint="eastAsia"/>
                <w:sz w:val="21"/>
              </w:rPr>
              <w:t>数</w:t>
            </w:r>
          </w:p>
        </w:tc>
        <w:tc>
          <w:tcPr>
            <w:tcW w:w="2472" w:type="dxa"/>
            <w:tcBorders>
              <w:top w:val="single" w:sz="6" w:space="0" w:color="auto"/>
              <w:left w:val="single" w:sz="6" w:space="0" w:color="auto"/>
              <w:bottom w:val="nil"/>
              <w:right w:val="nil"/>
            </w:tcBorders>
          </w:tcPr>
          <w:p w:rsidR="00000000" w:rsidRDefault="00B7115A">
            <w:pPr>
              <w:tabs>
                <w:tab w:val="clear" w:pos="510"/>
                <w:tab w:val="clear" w:pos="1021"/>
                <w:tab w:val="clear" w:pos="1531"/>
                <w:tab w:val="clear" w:pos="2041"/>
                <w:tab w:val="decimal" w:pos="1292"/>
              </w:tabs>
              <w:spacing w:before="120" w:line="288" w:lineRule="auto"/>
              <w:rPr>
                <w:sz w:val="21"/>
              </w:rPr>
            </w:pPr>
            <w:r>
              <w:rPr>
                <w:sz w:val="21"/>
              </w:rPr>
              <w:t>697.3</w:t>
            </w:r>
          </w:p>
        </w:tc>
        <w:tc>
          <w:tcPr>
            <w:tcW w:w="2472" w:type="dxa"/>
            <w:gridSpan w:val="2"/>
            <w:tcBorders>
              <w:top w:val="single" w:sz="6" w:space="0" w:color="auto"/>
              <w:left w:val="single" w:sz="6" w:space="0" w:color="auto"/>
              <w:bottom w:val="nil"/>
            </w:tcBorders>
          </w:tcPr>
          <w:p w:rsidR="00000000" w:rsidRDefault="00B7115A">
            <w:pPr>
              <w:tabs>
                <w:tab w:val="clear" w:pos="510"/>
                <w:tab w:val="clear" w:pos="1021"/>
                <w:tab w:val="clear" w:pos="1531"/>
                <w:tab w:val="clear" w:pos="2041"/>
                <w:tab w:val="decimal" w:pos="1292"/>
              </w:tabs>
              <w:spacing w:before="120" w:line="288" w:lineRule="auto"/>
              <w:rPr>
                <w:sz w:val="21"/>
              </w:rPr>
            </w:pPr>
            <w:r>
              <w:rPr>
                <w:sz w:val="21"/>
              </w:rPr>
              <w:t>680.3</w:t>
            </w:r>
          </w:p>
        </w:tc>
      </w:tr>
      <w:tr w:rsidR="00000000">
        <w:tblPrEx>
          <w:tblCellMar>
            <w:top w:w="0" w:type="dxa"/>
            <w:bottom w:w="0" w:type="dxa"/>
          </w:tblCellMar>
        </w:tblPrEx>
        <w:tc>
          <w:tcPr>
            <w:tcW w:w="4468" w:type="dxa"/>
            <w:tcBorders>
              <w:top w:val="nil"/>
              <w:bottom w:val="nil"/>
              <w:right w:val="nil"/>
            </w:tcBorders>
          </w:tcPr>
          <w:p w:rsidR="00000000" w:rsidRDefault="00B7115A">
            <w:pPr>
              <w:spacing w:line="288" w:lineRule="auto"/>
              <w:ind w:left="227"/>
              <w:rPr>
                <w:sz w:val="21"/>
              </w:rPr>
            </w:pPr>
            <w:r>
              <w:rPr>
                <w:rFonts w:hint="eastAsia"/>
                <w:sz w:val="21"/>
              </w:rPr>
              <w:t>传染病与寄生虫病</w:t>
            </w:r>
          </w:p>
        </w:tc>
        <w:tc>
          <w:tcPr>
            <w:tcW w:w="2472" w:type="dxa"/>
            <w:tcBorders>
              <w:top w:val="nil"/>
              <w:left w:val="single" w:sz="6" w:space="0" w:color="auto"/>
              <w:bottom w:val="nil"/>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72.8</w:t>
            </w:r>
          </w:p>
        </w:tc>
        <w:tc>
          <w:tcPr>
            <w:tcW w:w="2472" w:type="dxa"/>
            <w:gridSpan w:val="2"/>
            <w:tcBorders>
              <w:top w:val="nil"/>
              <w:left w:val="single" w:sz="6" w:space="0" w:color="auto"/>
              <w:bottom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69.7</w:t>
            </w:r>
          </w:p>
        </w:tc>
      </w:tr>
      <w:tr w:rsidR="00000000">
        <w:tblPrEx>
          <w:tblCellMar>
            <w:top w:w="0" w:type="dxa"/>
            <w:bottom w:w="0" w:type="dxa"/>
          </w:tblCellMar>
        </w:tblPrEx>
        <w:tc>
          <w:tcPr>
            <w:tcW w:w="4468" w:type="dxa"/>
            <w:tcBorders>
              <w:top w:val="nil"/>
              <w:right w:val="nil"/>
            </w:tcBorders>
          </w:tcPr>
          <w:p w:rsidR="00000000" w:rsidRDefault="00B7115A">
            <w:pPr>
              <w:spacing w:line="288" w:lineRule="auto"/>
              <w:ind w:left="227"/>
              <w:rPr>
                <w:sz w:val="21"/>
              </w:rPr>
            </w:pPr>
            <w:r>
              <w:rPr>
                <w:rFonts w:hint="eastAsia"/>
                <w:sz w:val="21"/>
              </w:rPr>
              <w:t>内分泌系统和代谢失调</w:t>
            </w:r>
          </w:p>
        </w:tc>
        <w:tc>
          <w:tcPr>
            <w:tcW w:w="2472" w:type="dxa"/>
            <w:tcBorders>
              <w:top w:val="nil"/>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42.5</w:t>
            </w:r>
          </w:p>
        </w:tc>
        <w:tc>
          <w:tcPr>
            <w:tcW w:w="2472" w:type="dxa"/>
            <w:gridSpan w:val="2"/>
            <w:tcBorders>
              <w:top w:val="nil"/>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43.9</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血液和造血系统疾病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41.7</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49.2</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神经系统疾病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65.8</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65.0</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呼吸系统疾病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281.5</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264.7</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消化系统疾病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50.1</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54.2</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泌尿系统疾病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11.9</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13.5</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骨胳和肌肉组织疾病</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6.9</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6.5</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先天异常</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6.2</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6.2</w:t>
            </w:r>
          </w:p>
        </w:tc>
      </w:tr>
      <w:tr w:rsidR="00000000">
        <w:tblPrEx>
          <w:tblCellMar>
            <w:top w:w="0" w:type="dxa"/>
            <w:bottom w:w="0" w:type="dxa"/>
          </w:tblCellMar>
        </w:tblPrEx>
        <w:tc>
          <w:tcPr>
            <w:tcW w:w="4468" w:type="dxa"/>
            <w:tcBorders>
              <w:right w:val="nil"/>
            </w:tcBorders>
          </w:tcPr>
          <w:p w:rsidR="00000000" w:rsidRDefault="00B7115A">
            <w:pPr>
              <w:spacing w:line="288" w:lineRule="auto"/>
              <w:ind w:left="227"/>
              <w:rPr>
                <w:sz w:val="21"/>
              </w:rPr>
            </w:pPr>
            <w:r>
              <w:rPr>
                <w:rFonts w:hint="eastAsia"/>
                <w:sz w:val="21"/>
              </w:rPr>
              <w:t>外伤和中毒</w:t>
            </w:r>
          </w:p>
        </w:tc>
        <w:tc>
          <w:tcPr>
            <w:tcW w:w="2472" w:type="dxa"/>
            <w:tcBorders>
              <w:left w:val="single" w:sz="6" w:space="0" w:color="auto"/>
              <w:right w:val="nil"/>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46.0</w:t>
            </w:r>
          </w:p>
        </w:tc>
        <w:tc>
          <w:tcPr>
            <w:tcW w:w="2472" w:type="dxa"/>
            <w:gridSpan w:val="2"/>
            <w:tcBorders>
              <w:left w:val="single" w:sz="6" w:space="0" w:color="auto"/>
            </w:tcBorders>
          </w:tcPr>
          <w:p w:rsidR="00000000" w:rsidRDefault="00B7115A">
            <w:pPr>
              <w:tabs>
                <w:tab w:val="clear" w:pos="510"/>
                <w:tab w:val="clear" w:pos="1021"/>
                <w:tab w:val="clear" w:pos="1531"/>
                <w:tab w:val="clear" w:pos="2041"/>
                <w:tab w:val="decimal" w:pos="1292"/>
              </w:tabs>
              <w:spacing w:line="288" w:lineRule="auto"/>
              <w:rPr>
                <w:sz w:val="21"/>
              </w:rPr>
            </w:pPr>
            <w:r>
              <w:rPr>
                <w:sz w:val="21"/>
              </w:rPr>
              <w:t>32.1</w:t>
            </w:r>
          </w:p>
        </w:tc>
      </w:tr>
      <w:tr w:rsidR="00000000">
        <w:tblPrEx>
          <w:tblCellMar>
            <w:top w:w="0" w:type="dxa"/>
            <w:bottom w:w="0" w:type="dxa"/>
          </w:tblCellMar>
        </w:tblPrEx>
        <w:tc>
          <w:tcPr>
            <w:tcW w:w="4468" w:type="dxa"/>
            <w:tcBorders>
              <w:right w:val="nil"/>
            </w:tcBorders>
          </w:tcPr>
          <w:p w:rsidR="00000000" w:rsidRDefault="00B7115A">
            <w:pPr>
              <w:spacing w:after="60" w:line="288" w:lineRule="auto"/>
              <w:ind w:left="227"/>
              <w:rPr>
                <w:sz w:val="21"/>
              </w:rPr>
            </w:pPr>
            <w:r>
              <w:rPr>
                <w:rFonts w:hint="eastAsia"/>
                <w:sz w:val="21"/>
              </w:rPr>
              <w:t>精神</w:t>
            </w:r>
            <w:r>
              <w:rPr>
                <w:rFonts w:hint="eastAsia"/>
                <w:sz w:val="21"/>
              </w:rPr>
              <w:t>失常</w:t>
            </w:r>
          </w:p>
        </w:tc>
        <w:tc>
          <w:tcPr>
            <w:tcW w:w="2472" w:type="dxa"/>
            <w:tcBorders>
              <w:left w:val="single" w:sz="6" w:space="0" w:color="auto"/>
              <w:bottom w:val="single" w:sz="6" w:space="0" w:color="auto"/>
              <w:right w:val="nil"/>
            </w:tcBorders>
          </w:tcPr>
          <w:p w:rsidR="00000000" w:rsidRDefault="00B7115A">
            <w:pPr>
              <w:tabs>
                <w:tab w:val="clear" w:pos="510"/>
                <w:tab w:val="clear" w:pos="1021"/>
                <w:tab w:val="clear" w:pos="1531"/>
                <w:tab w:val="clear" w:pos="2041"/>
                <w:tab w:val="decimal" w:pos="1292"/>
              </w:tabs>
              <w:spacing w:after="60" w:line="288" w:lineRule="auto"/>
              <w:rPr>
                <w:sz w:val="21"/>
              </w:rPr>
            </w:pPr>
            <w:r>
              <w:rPr>
                <w:sz w:val="21"/>
              </w:rPr>
              <w:t>8.9</w:t>
            </w:r>
          </w:p>
        </w:tc>
        <w:tc>
          <w:tcPr>
            <w:tcW w:w="2472" w:type="dxa"/>
            <w:gridSpan w:val="2"/>
            <w:tcBorders>
              <w:left w:val="single" w:sz="6" w:space="0" w:color="auto"/>
              <w:bottom w:val="single" w:sz="6" w:space="0" w:color="auto"/>
            </w:tcBorders>
          </w:tcPr>
          <w:p w:rsidR="00000000" w:rsidRDefault="00B7115A">
            <w:pPr>
              <w:tabs>
                <w:tab w:val="clear" w:pos="510"/>
                <w:tab w:val="clear" w:pos="1021"/>
                <w:tab w:val="clear" w:pos="1531"/>
                <w:tab w:val="clear" w:pos="2041"/>
                <w:tab w:val="decimal" w:pos="1292"/>
              </w:tabs>
              <w:spacing w:after="60" w:line="288" w:lineRule="auto"/>
              <w:rPr>
                <w:sz w:val="21"/>
              </w:rPr>
            </w:pPr>
            <w:r>
              <w:rPr>
                <w:sz w:val="21"/>
              </w:rPr>
              <w:t>9.3</w:t>
            </w:r>
          </w:p>
        </w:tc>
      </w:tr>
    </w:tbl>
    <w:p w:rsidR="00000000" w:rsidRDefault="00B7115A">
      <w:pPr>
        <w:spacing w:before="320"/>
        <w:textAlignment w:val="center"/>
      </w:pPr>
      <w:r>
        <w:tab/>
        <w:t xml:space="preserve">198.  </w:t>
      </w:r>
      <w:r>
        <w:rPr>
          <w:rFonts w:hint="eastAsia"/>
        </w:rPr>
        <w:t>已经编写了一份关于环境保护的法律草案，目前正处于磋商阶段。有关饮用水，粮食安全和放射性安全等法律的工作即将结束。</w:t>
      </w:r>
    </w:p>
    <w:p w:rsidR="00000000" w:rsidRDefault="00B7115A">
      <w:r>
        <w:tab/>
        <w:t xml:space="preserve">199.  </w:t>
      </w:r>
      <w:r>
        <w:rPr>
          <w:rFonts w:hint="eastAsia"/>
        </w:rPr>
        <w:t>已经制订了《全国环境行动计划》</w:t>
      </w:r>
      <w:r>
        <w:t>(</w:t>
      </w:r>
      <w:r>
        <w:rPr>
          <w:rFonts w:hint="eastAsia"/>
        </w:rPr>
        <w:t>环境计划</w:t>
      </w:r>
      <w:r>
        <w:t>)</w:t>
      </w:r>
      <w:r>
        <w:rPr>
          <w:rFonts w:hint="eastAsia"/>
        </w:rPr>
        <w:t>。</w:t>
      </w:r>
    </w:p>
    <w:p w:rsidR="00000000" w:rsidRDefault="00B7115A">
      <w:r>
        <w:tab/>
        <w:t xml:space="preserve">200.  </w:t>
      </w:r>
      <w:r>
        <w:rPr>
          <w:rFonts w:hint="eastAsia"/>
        </w:rPr>
        <w:t>在保健系统内，流行</w:t>
      </w:r>
      <w:r>
        <w:t>(</w:t>
      </w:r>
      <w:r>
        <w:rPr>
          <w:rFonts w:hint="eastAsia"/>
        </w:rPr>
        <w:t>或传染</w:t>
      </w:r>
      <w:r>
        <w:t>)</w:t>
      </w:r>
      <w:r>
        <w:rPr>
          <w:rFonts w:hint="eastAsia"/>
        </w:rPr>
        <w:t>疾病和职业疾病的控制由卫生和流行性疾病服务机构和单位负责。采用具体的记录和报告制度，以确保对发病率进行持续的监督。在流行病情况下，通过特殊的反应措施和预防措施，如国家和全国预防方案等进行疾病控制。“免疫预防”，“结核病”，和“预防艾滋病和性传播疾病”是这类方</w:t>
      </w:r>
      <w:r>
        <w:rPr>
          <w:rFonts w:hint="eastAsia"/>
        </w:rPr>
        <w:t>案的三个例子；还为控制布鲁氏菌病、病毒性肝炎和虐疾制订了方案。</w:t>
      </w:r>
    </w:p>
    <w:p w:rsidR="00000000" w:rsidRDefault="00B7115A">
      <w:r>
        <w:tab/>
        <w:t xml:space="preserve">201.  </w:t>
      </w:r>
      <w:r>
        <w:rPr>
          <w:rFonts w:hint="eastAsia"/>
        </w:rPr>
        <w:t>保持在不健康或有害环境下工作的人的健康的措施不仅包括努力减少此类环境的不利影响，而且政府于</w:t>
      </w:r>
      <w:r>
        <w:t>1997</w:t>
      </w:r>
      <w:r>
        <w:rPr>
          <w:rFonts w:hint="eastAsia"/>
        </w:rPr>
        <w:t>年</w:t>
      </w:r>
      <w:r>
        <w:t>6</w:t>
      </w:r>
      <w:r>
        <w:rPr>
          <w:rFonts w:hint="eastAsia"/>
        </w:rPr>
        <w:t>月</w:t>
      </w:r>
      <w:r>
        <w:t>25</w:t>
      </w:r>
      <w:r>
        <w:rPr>
          <w:rFonts w:hint="eastAsia"/>
        </w:rPr>
        <w:t>日通过了第</w:t>
      </w:r>
      <w:r>
        <w:t>374</w:t>
      </w:r>
      <w:r>
        <w:rPr>
          <w:rFonts w:hint="eastAsia"/>
        </w:rPr>
        <w:t>号决定，规定为在有害环境下工作的人分发免费的牛奶和相应的食品，清洁剂和消毒剂。</w:t>
      </w:r>
    </w:p>
    <w:p w:rsidR="00000000" w:rsidRDefault="00B7115A">
      <w:r>
        <w:tab/>
        <w:t xml:space="preserve">202.  </w:t>
      </w:r>
      <w:r>
        <w:rPr>
          <w:rFonts w:hint="eastAsia"/>
        </w:rPr>
        <w:t>人口的大约</w:t>
      </w:r>
      <w:r>
        <w:t>84%</w:t>
      </w:r>
      <w:r>
        <w:rPr>
          <w:rFonts w:hint="eastAsia"/>
        </w:rPr>
        <w:t>能够得到自来水供应</w:t>
      </w:r>
      <w:r>
        <w:t>(</w:t>
      </w:r>
      <w:r>
        <w:rPr>
          <w:rFonts w:hint="eastAsia"/>
        </w:rPr>
        <w:t>城市</w:t>
      </w:r>
      <w:r>
        <w:t>100%</w:t>
      </w:r>
      <w:r>
        <w:rPr>
          <w:rFonts w:hint="eastAsia"/>
        </w:rPr>
        <w:t>，农村</w:t>
      </w:r>
      <w:r>
        <w:t>75%)</w:t>
      </w:r>
      <w:r>
        <w:rPr>
          <w:rFonts w:hint="eastAsia"/>
        </w:rPr>
        <w:t>。尽管所有城市都有自来水供应，但在人口总数高达</w:t>
      </w:r>
      <w:r>
        <w:t>70</w:t>
      </w:r>
      <w:r>
        <w:rPr>
          <w:rFonts w:hint="eastAsia"/>
        </w:rPr>
        <w:t>万人的</w:t>
      </w:r>
      <w:r>
        <w:t>639</w:t>
      </w:r>
      <w:r>
        <w:rPr>
          <w:rFonts w:hint="eastAsia"/>
        </w:rPr>
        <w:t>个村庄没有自来水供应。在许多情况下，现有供水系统的条件尚不能提供安全饮用水。大约</w:t>
      </w:r>
      <w:r>
        <w:t>40%</w:t>
      </w:r>
      <w:r>
        <w:rPr>
          <w:rFonts w:hint="eastAsia"/>
        </w:rPr>
        <w:t>的水管</w:t>
      </w:r>
      <w:r>
        <w:rPr>
          <w:rFonts w:hint="eastAsia"/>
        </w:rPr>
        <w:t>需要修理。如何获得质量良好的饮水是该国面临的最紧急的问题之一。</w:t>
      </w:r>
    </w:p>
    <w:p w:rsidR="00000000" w:rsidRDefault="00B7115A">
      <w:r>
        <w:tab/>
        <w:t xml:space="preserve">203.  </w:t>
      </w:r>
      <w:r>
        <w:rPr>
          <w:rFonts w:hint="eastAsia"/>
        </w:rPr>
        <w:t>在患病时，住院病人和门诊病人都能受到照料。根据《宪法》第</w:t>
      </w:r>
      <w:r>
        <w:t>34</w:t>
      </w:r>
      <w:r>
        <w:rPr>
          <w:rFonts w:hint="eastAsia"/>
        </w:rPr>
        <w:t>条，国家的保健系统提供有保障的免费基本医疗援助。在采用法定医疗保险制度之后，有更多机会提供基本服务之外的医疗服务。为提供医疗援助，该国总共有</w:t>
      </w:r>
      <w:r>
        <w:t>601</w:t>
      </w:r>
      <w:r>
        <w:rPr>
          <w:rFonts w:hint="eastAsia"/>
        </w:rPr>
        <w:t>处普通门诊所和</w:t>
      </w:r>
      <w:r>
        <w:t>349</w:t>
      </w:r>
      <w:r>
        <w:rPr>
          <w:rFonts w:hint="eastAsia"/>
        </w:rPr>
        <w:t>处住院设施。</w:t>
      </w:r>
    </w:p>
    <w:p w:rsidR="00000000" w:rsidRDefault="00B7115A">
      <w:r>
        <w:tab/>
        <w:t xml:space="preserve">204.  </w:t>
      </w:r>
      <w:r>
        <w:rPr>
          <w:rFonts w:hint="eastAsia"/>
        </w:rPr>
        <w:t>按照卫生组织《免疫扩大方案》</w:t>
      </w:r>
      <w:r>
        <w:t>(</w:t>
      </w:r>
      <w:r>
        <w:rPr>
          <w:rFonts w:hint="eastAsia"/>
        </w:rPr>
        <w:t>免疫方案</w:t>
      </w:r>
      <w:r>
        <w:t>)</w:t>
      </w:r>
      <w:r>
        <w:rPr>
          <w:rFonts w:hint="eastAsia"/>
        </w:rPr>
        <w:t>，为吉尔吉斯斯坦全国各地的儿童进行了白喉、百日咳、破伤风、麻疹、小儿麻痹症和结核病的免疫接种。</w:t>
      </w:r>
      <w:r>
        <w:t>95%</w:t>
      </w:r>
      <w:r>
        <w:rPr>
          <w:rFonts w:hint="eastAsia"/>
        </w:rPr>
        <w:t>以上的儿童，无论住在城市还是农村地区，得</w:t>
      </w:r>
      <w:r>
        <w:rPr>
          <w:rFonts w:hint="eastAsia"/>
        </w:rPr>
        <w:t>到了初级综合免疫接种。每年进行大约</w:t>
      </w:r>
      <w:r>
        <w:t>210</w:t>
      </w:r>
      <w:r>
        <w:rPr>
          <w:rFonts w:hint="eastAsia"/>
        </w:rPr>
        <w:t>万个初级综合免疫接种。已经根据世界卫生组织</w:t>
      </w:r>
      <w:r>
        <w:t>2000</w:t>
      </w:r>
      <w:r>
        <w:rPr>
          <w:rFonts w:hint="eastAsia"/>
        </w:rPr>
        <w:t>年之前消灭小儿麻痹症的计划开始进行有效的工作。在</w:t>
      </w:r>
      <w:r>
        <w:t>1995</w:t>
      </w:r>
      <w:r>
        <w:rPr>
          <w:rFonts w:hint="eastAsia"/>
        </w:rPr>
        <w:t>和</w:t>
      </w:r>
      <w:r>
        <w:t>1997</w:t>
      </w:r>
      <w:r>
        <w:rPr>
          <w:rFonts w:hint="eastAsia"/>
        </w:rPr>
        <w:t>年之间，三次对</w:t>
      </w:r>
      <w:r>
        <w:t>4</w:t>
      </w:r>
      <w:r>
        <w:rPr>
          <w:rFonts w:hint="eastAsia"/>
        </w:rPr>
        <w:t>岁以下的儿童进行了二期小儿麻痹症免疫接种涵盖了该年龄组</w:t>
      </w:r>
      <w:r>
        <w:t>98%</w:t>
      </w:r>
      <w:r>
        <w:rPr>
          <w:rFonts w:hint="eastAsia"/>
        </w:rPr>
        <w:t>的儿童。</w:t>
      </w:r>
    </w:p>
    <w:p w:rsidR="00000000" w:rsidRDefault="00B7115A">
      <w:r>
        <w:tab/>
        <w:t xml:space="preserve">205.  </w:t>
      </w:r>
      <w:r>
        <w:rPr>
          <w:rFonts w:hint="eastAsia"/>
        </w:rPr>
        <w:t>从助产士诊所到国家专科中心的国家妇婴保健设施都为怀孕、分娩和产后的妇女提供医疗援助。在所有级别，由妇婴保健设施提供的医疗援助都是免费的。</w:t>
      </w:r>
    </w:p>
    <w:p w:rsidR="00000000" w:rsidRDefault="00B7115A">
      <w:r>
        <w:tab/>
        <w:t xml:space="preserve">206.  </w:t>
      </w:r>
      <w:r>
        <w:rPr>
          <w:rFonts w:hint="eastAsia"/>
        </w:rPr>
        <w:t>根据卫生部的准则，必须在第</w:t>
      </w:r>
      <w:r>
        <w:t>12</w:t>
      </w:r>
      <w:r>
        <w:rPr>
          <w:rFonts w:hint="eastAsia"/>
        </w:rPr>
        <w:t>个星期之前进行早期怀孕检查，在分娩之前进行全面诊所检查，并不断地观察发展情</w:t>
      </w:r>
      <w:r>
        <w:rPr>
          <w:rFonts w:hint="eastAsia"/>
        </w:rPr>
        <w:t>况。在第</w:t>
      </w:r>
      <w:r>
        <w:t>32</w:t>
      </w:r>
      <w:r>
        <w:rPr>
          <w:rFonts w:hint="eastAsia"/>
        </w:rPr>
        <w:t>或</w:t>
      </w:r>
      <w:r>
        <w:t>33</w:t>
      </w:r>
      <w:r>
        <w:rPr>
          <w:rFonts w:hint="eastAsia"/>
        </w:rPr>
        <w:t>个星期，给予怀孕妇女</w:t>
      </w:r>
      <w:r>
        <w:t>112</w:t>
      </w:r>
      <w:r>
        <w:rPr>
          <w:rFonts w:hint="eastAsia"/>
        </w:rPr>
        <w:t>天的法定假期，在怀孕期间如果发生并发症，孕妇将作为住院病人住院。妇女生产和分娩，由当地的妇产科医院接纳。</w:t>
      </w:r>
    </w:p>
    <w:p w:rsidR="00000000" w:rsidRDefault="00B7115A">
      <w:r>
        <w:tab/>
        <w:t xml:space="preserve">207.  </w:t>
      </w:r>
      <w:r>
        <w:rPr>
          <w:rFonts w:hint="eastAsia"/>
        </w:rPr>
        <w:t>近几年来，家庭分娩习以为常，每年高达</w:t>
      </w:r>
      <w:r>
        <w:t>2,100</w:t>
      </w:r>
      <w:r>
        <w:rPr>
          <w:rFonts w:hint="eastAsia"/>
        </w:rPr>
        <w:t>人</w:t>
      </w:r>
      <w:r>
        <w:t>(</w:t>
      </w:r>
      <w:r>
        <w:rPr>
          <w:rFonts w:hint="eastAsia"/>
        </w:rPr>
        <w:t>这些妇女之后也住院接受治疗和观察</w:t>
      </w:r>
      <w:r>
        <w:t>)</w:t>
      </w:r>
      <w:r>
        <w:rPr>
          <w:rFonts w:hint="eastAsia"/>
        </w:rPr>
        <w:t>。</w:t>
      </w:r>
    </w:p>
    <w:p w:rsidR="00000000" w:rsidRDefault="00B7115A">
      <w:r>
        <w:tab/>
        <w:t xml:space="preserve">208.  </w:t>
      </w:r>
      <w:r>
        <w:rPr>
          <w:rFonts w:hint="eastAsia"/>
        </w:rPr>
        <w:t>妇产照料和分娩服务的主要指数是产妇死亡率，近几年内产妇死亡率为每</w:t>
      </w:r>
      <w:r>
        <w:t>10</w:t>
      </w:r>
      <w:r>
        <w:rPr>
          <w:rFonts w:hint="eastAsia"/>
        </w:rPr>
        <w:t>万活产</w:t>
      </w:r>
      <w:r>
        <w:t>0.65</w:t>
      </w:r>
      <w:r>
        <w:rPr>
          <w:rFonts w:hint="eastAsia"/>
        </w:rPr>
        <w:t>—</w:t>
      </w:r>
      <w:r>
        <w:t>0.72</w:t>
      </w:r>
      <w:r>
        <w:rPr>
          <w:rFonts w:hint="eastAsia"/>
        </w:rPr>
        <w:t>人。</w:t>
      </w:r>
    </w:p>
    <w:p w:rsidR="00000000" w:rsidRDefault="00B7115A">
      <w:r>
        <w:tab/>
        <w:t xml:space="preserve">209.  </w:t>
      </w:r>
      <w:r>
        <w:rPr>
          <w:rFonts w:hint="eastAsia"/>
        </w:rPr>
        <w:t>在妇产和儿科保健机构为出生至</w:t>
      </w:r>
      <w:r>
        <w:t>14</w:t>
      </w:r>
      <w:r>
        <w:rPr>
          <w:rFonts w:hint="eastAsia"/>
        </w:rPr>
        <w:t>岁的儿童提供保健服务。从助产士诊所至专门的儿科诊所，各个层次向儿童提供免费的医疗援助，并且按卫生部发表</w:t>
      </w:r>
      <w:r>
        <w:rPr>
          <w:rFonts w:hint="eastAsia"/>
        </w:rPr>
        <w:t>的基本准则加以管理。根据地理分区提供儿科照料。每年由儿科医生和其他专业人员对全体</w:t>
      </w:r>
      <w:r>
        <w:t>14</w:t>
      </w:r>
      <w:r>
        <w:rPr>
          <w:rFonts w:hint="eastAsia"/>
        </w:rPr>
        <w:t>岁以下的儿童进行检查以便发现任何可能的疾病。在诊所的名单上登记被发现患病的儿童，以便在儿科中心和疗养院给予治疗。还该国的儿童提供免费的住院治疗，不过在医院缺乏某种药物时，有些情况下须由父母设法得到药物。</w:t>
      </w:r>
    </w:p>
    <w:p w:rsidR="00000000" w:rsidRDefault="00B7115A">
      <w:r>
        <w:tab/>
        <w:t xml:space="preserve">210.  </w:t>
      </w:r>
      <w:r>
        <w:rPr>
          <w:rFonts w:hint="eastAsia"/>
        </w:rPr>
        <w:t>最能表明人口状况的数字是母亲和儿童的死亡率，最近几年来分别从</w:t>
      </w:r>
      <w:r>
        <w:t>67.2</w:t>
      </w:r>
      <w:r>
        <w:rPr>
          <w:rFonts w:hint="eastAsia"/>
        </w:rPr>
        <w:t>降到</w:t>
      </w:r>
      <w:r>
        <w:t>66.6</w:t>
      </w:r>
      <w:r>
        <w:rPr>
          <w:rFonts w:hint="eastAsia"/>
        </w:rPr>
        <w:t>和从</w:t>
      </w:r>
      <w:r>
        <w:t>28.1</w:t>
      </w:r>
      <w:r>
        <w:rPr>
          <w:rFonts w:hint="eastAsia"/>
        </w:rPr>
        <w:t>降至</w:t>
      </w:r>
      <w:r>
        <w:t>25.9</w:t>
      </w:r>
      <w:r>
        <w:rPr>
          <w:rFonts w:hint="eastAsia"/>
        </w:rPr>
        <w:t>。怀孕、生产或者在产后早期阶段产妇死亡率没有下降。产妇死亡率的主要原因是非生殖器官病理引起的妊娠中毒</w:t>
      </w:r>
      <w:r>
        <w:t>(</w:t>
      </w:r>
      <w:r>
        <w:rPr>
          <w:rFonts w:hint="eastAsia"/>
        </w:rPr>
        <w:t>肝、</w:t>
      </w:r>
      <w:r>
        <w:rPr>
          <w:rFonts w:hint="eastAsia"/>
        </w:rPr>
        <w:t>肾、心血管系统的疾病等</w:t>
      </w:r>
      <w:r>
        <w:t>)</w:t>
      </w:r>
      <w:r>
        <w:rPr>
          <w:rFonts w:hint="eastAsia"/>
        </w:rPr>
        <w:t>。</w:t>
      </w:r>
    </w:p>
    <w:p w:rsidR="00000000" w:rsidRDefault="00B7115A">
      <w:pPr>
        <w:spacing w:after="320"/>
        <w:textAlignment w:val="center"/>
      </w:pPr>
      <w:r>
        <w:tab/>
        <w:t>211.  5</w:t>
      </w:r>
      <w:r>
        <w:rPr>
          <w:rFonts w:hint="eastAsia"/>
        </w:rPr>
        <w:t>岁以下儿童发病率和死亡率居高不下的原因是支气管肺炎。最近</w:t>
      </w:r>
      <w:r>
        <w:t>3</w:t>
      </w:r>
      <w:r>
        <w:rPr>
          <w:rFonts w:hint="eastAsia"/>
        </w:rPr>
        <w:t>年以来，婴儿死亡率</w:t>
      </w:r>
      <w:r>
        <w:t>(</w:t>
      </w:r>
      <w:r>
        <w:rPr>
          <w:rFonts w:hint="eastAsia"/>
        </w:rPr>
        <w:t>每</w:t>
      </w:r>
      <w:r>
        <w:t>1,000</w:t>
      </w:r>
      <w:r>
        <w:rPr>
          <w:rFonts w:hint="eastAsia"/>
        </w:rPr>
        <w:t>个活胎</w:t>
      </w:r>
      <w:r>
        <w:t>)</w:t>
      </w:r>
      <w:r>
        <w:rPr>
          <w:rFonts w:hint="eastAsia"/>
        </w:rPr>
        <w:t>比较稳定并开始下降。</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B7115A">
            <w:pPr>
              <w:spacing w:before="160" w:after="40" w:line="288" w:lineRule="auto"/>
              <w:jc w:val="center"/>
              <w:textAlignment w:val="center"/>
              <w:rPr>
                <w:sz w:val="21"/>
              </w:rPr>
            </w:pPr>
            <w:r>
              <w:rPr>
                <w:sz w:val="21"/>
              </w:rPr>
              <w:t>1993</w:t>
            </w:r>
            <w:r>
              <w:rPr>
                <w:rFonts w:hint="eastAsia"/>
                <w:sz w:val="21"/>
              </w:rPr>
              <w:t>年</w:t>
            </w:r>
          </w:p>
        </w:tc>
        <w:tc>
          <w:tcPr>
            <w:tcW w:w="2352" w:type="dxa"/>
          </w:tcPr>
          <w:p w:rsidR="00000000" w:rsidRDefault="00B7115A">
            <w:pPr>
              <w:spacing w:before="160" w:after="40" w:line="288" w:lineRule="auto"/>
              <w:jc w:val="center"/>
              <w:textAlignment w:val="center"/>
              <w:rPr>
                <w:sz w:val="21"/>
              </w:rPr>
            </w:pPr>
            <w:r>
              <w:rPr>
                <w:sz w:val="21"/>
              </w:rPr>
              <w:t>1994</w:t>
            </w:r>
            <w:r>
              <w:rPr>
                <w:rFonts w:hint="eastAsia"/>
                <w:sz w:val="21"/>
              </w:rPr>
              <w:t>年</w:t>
            </w:r>
          </w:p>
        </w:tc>
        <w:tc>
          <w:tcPr>
            <w:tcW w:w="2352" w:type="dxa"/>
          </w:tcPr>
          <w:p w:rsidR="00000000" w:rsidRDefault="00B7115A">
            <w:pPr>
              <w:spacing w:before="160" w:after="40" w:line="288" w:lineRule="auto"/>
              <w:jc w:val="center"/>
              <w:textAlignment w:val="center"/>
              <w:rPr>
                <w:sz w:val="21"/>
              </w:rPr>
            </w:pPr>
            <w:r>
              <w:rPr>
                <w:sz w:val="21"/>
              </w:rPr>
              <w:t>1995</w:t>
            </w:r>
            <w:r>
              <w:rPr>
                <w:rFonts w:hint="eastAsia"/>
                <w:sz w:val="21"/>
              </w:rPr>
              <w:t>年</w:t>
            </w:r>
          </w:p>
        </w:tc>
        <w:tc>
          <w:tcPr>
            <w:tcW w:w="2352" w:type="dxa"/>
          </w:tcPr>
          <w:p w:rsidR="00000000" w:rsidRDefault="00B7115A">
            <w:pPr>
              <w:spacing w:before="160" w:after="40" w:line="288" w:lineRule="auto"/>
              <w:jc w:val="center"/>
              <w:textAlignment w:val="center"/>
              <w:rPr>
                <w:sz w:val="21"/>
              </w:rPr>
            </w:pPr>
            <w:r>
              <w:rPr>
                <w:sz w:val="21"/>
              </w:rPr>
              <w:t>1996</w:t>
            </w:r>
            <w:r>
              <w:rPr>
                <w:rFonts w:hint="eastAsia"/>
                <w:sz w:val="21"/>
              </w:rPr>
              <w:t>年</w:t>
            </w:r>
          </w:p>
        </w:tc>
      </w:tr>
      <w:tr w:rsidR="00000000">
        <w:tblPrEx>
          <w:tblCellMar>
            <w:top w:w="0" w:type="dxa"/>
            <w:bottom w:w="0" w:type="dxa"/>
          </w:tblCellMar>
        </w:tblPrEx>
        <w:tc>
          <w:tcPr>
            <w:tcW w:w="2352" w:type="dxa"/>
          </w:tcPr>
          <w:p w:rsidR="00000000" w:rsidRDefault="00B7115A">
            <w:pPr>
              <w:spacing w:before="160" w:after="40" w:line="288" w:lineRule="auto"/>
              <w:jc w:val="center"/>
              <w:textAlignment w:val="center"/>
              <w:rPr>
                <w:sz w:val="21"/>
              </w:rPr>
            </w:pPr>
            <w:r>
              <w:rPr>
                <w:sz w:val="21"/>
              </w:rPr>
              <w:t>31.9</w:t>
            </w:r>
          </w:p>
        </w:tc>
        <w:tc>
          <w:tcPr>
            <w:tcW w:w="2352" w:type="dxa"/>
          </w:tcPr>
          <w:p w:rsidR="00000000" w:rsidRDefault="00B7115A">
            <w:pPr>
              <w:spacing w:before="160" w:after="40" w:line="288" w:lineRule="auto"/>
              <w:jc w:val="center"/>
              <w:textAlignment w:val="center"/>
              <w:rPr>
                <w:sz w:val="21"/>
              </w:rPr>
            </w:pPr>
            <w:r>
              <w:rPr>
                <w:sz w:val="21"/>
              </w:rPr>
              <w:t>29.1</w:t>
            </w:r>
          </w:p>
        </w:tc>
        <w:tc>
          <w:tcPr>
            <w:tcW w:w="2352" w:type="dxa"/>
          </w:tcPr>
          <w:p w:rsidR="00000000" w:rsidRDefault="00B7115A">
            <w:pPr>
              <w:spacing w:before="160" w:after="40" w:line="288" w:lineRule="auto"/>
              <w:jc w:val="center"/>
              <w:textAlignment w:val="center"/>
              <w:rPr>
                <w:sz w:val="21"/>
              </w:rPr>
            </w:pPr>
            <w:r>
              <w:rPr>
                <w:sz w:val="21"/>
              </w:rPr>
              <w:t>28.1</w:t>
            </w:r>
          </w:p>
        </w:tc>
        <w:tc>
          <w:tcPr>
            <w:tcW w:w="2352" w:type="dxa"/>
          </w:tcPr>
          <w:p w:rsidR="00000000" w:rsidRDefault="00B7115A">
            <w:pPr>
              <w:spacing w:before="160" w:after="40" w:line="288" w:lineRule="auto"/>
              <w:jc w:val="center"/>
              <w:textAlignment w:val="center"/>
              <w:rPr>
                <w:sz w:val="21"/>
              </w:rPr>
            </w:pPr>
            <w:r>
              <w:rPr>
                <w:sz w:val="21"/>
              </w:rPr>
              <w:t>25.9</w:t>
            </w:r>
          </w:p>
        </w:tc>
      </w:tr>
    </w:tbl>
    <w:p w:rsidR="00000000" w:rsidRDefault="00B7115A">
      <w:pPr>
        <w:spacing w:before="600" w:after="180"/>
        <w:textAlignment w:val="center"/>
      </w:pPr>
      <w:r>
        <w:tab/>
      </w:r>
      <w:r>
        <w:rPr>
          <w:rFonts w:hint="eastAsia"/>
        </w:rPr>
        <w:t>以下表格表明分区域的城市和农村地区婴儿死亡率：</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28"/>
        <w:gridCol w:w="1080"/>
        <w:gridCol w:w="720"/>
        <w:gridCol w:w="720"/>
        <w:gridCol w:w="1080"/>
        <w:gridCol w:w="720"/>
        <w:gridCol w:w="720"/>
        <w:gridCol w:w="960"/>
        <w:gridCol w:w="791"/>
        <w:gridCol w:w="791"/>
      </w:tblGrid>
      <w:tr w:rsidR="00000000">
        <w:tblPrEx>
          <w:tblCellMar>
            <w:top w:w="0" w:type="dxa"/>
            <w:bottom w:w="0" w:type="dxa"/>
          </w:tblCellMar>
        </w:tblPrEx>
        <w:tc>
          <w:tcPr>
            <w:tcW w:w="1828" w:type="dxa"/>
            <w:tcBorders>
              <w:right w:val="nil"/>
            </w:tcBorders>
          </w:tcPr>
          <w:p w:rsidR="00000000" w:rsidRDefault="00B7115A">
            <w:pPr>
              <w:spacing w:before="120" w:line="360" w:lineRule="auto"/>
              <w:jc w:val="center"/>
              <w:textAlignment w:val="center"/>
              <w:rPr>
                <w:sz w:val="21"/>
              </w:rPr>
            </w:pPr>
          </w:p>
        </w:tc>
        <w:tc>
          <w:tcPr>
            <w:tcW w:w="2520" w:type="dxa"/>
            <w:gridSpan w:val="3"/>
            <w:tcBorders>
              <w:top w:val="single" w:sz="6" w:space="0" w:color="auto"/>
              <w:left w:val="single" w:sz="6" w:space="0" w:color="auto"/>
              <w:bottom w:val="nil"/>
              <w:right w:val="single" w:sz="6" w:space="0" w:color="auto"/>
            </w:tcBorders>
          </w:tcPr>
          <w:p w:rsidR="00000000" w:rsidRDefault="00B7115A">
            <w:pPr>
              <w:spacing w:before="120" w:line="360" w:lineRule="auto"/>
              <w:jc w:val="center"/>
              <w:textAlignment w:val="center"/>
              <w:rPr>
                <w:sz w:val="21"/>
              </w:rPr>
            </w:pPr>
            <w:r>
              <w:rPr>
                <w:sz w:val="21"/>
              </w:rPr>
              <w:t>1994</w:t>
            </w:r>
            <w:r>
              <w:rPr>
                <w:rFonts w:hint="eastAsia"/>
                <w:sz w:val="21"/>
              </w:rPr>
              <w:t>年</w:t>
            </w:r>
          </w:p>
        </w:tc>
        <w:tc>
          <w:tcPr>
            <w:tcW w:w="2520" w:type="dxa"/>
            <w:gridSpan w:val="3"/>
            <w:tcBorders>
              <w:top w:val="single" w:sz="6" w:space="0" w:color="auto"/>
              <w:left w:val="nil"/>
              <w:bottom w:val="nil"/>
              <w:right w:val="single" w:sz="6" w:space="0" w:color="auto"/>
            </w:tcBorders>
          </w:tcPr>
          <w:p w:rsidR="00000000" w:rsidRDefault="00B7115A">
            <w:pPr>
              <w:spacing w:before="120" w:line="360" w:lineRule="auto"/>
              <w:jc w:val="center"/>
              <w:textAlignment w:val="center"/>
              <w:rPr>
                <w:sz w:val="21"/>
              </w:rPr>
            </w:pPr>
            <w:r>
              <w:rPr>
                <w:sz w:val="21"/>
              </w:rPr>
              <w:t>1995</w:t>
            </w:r>
            <w:r>
              <w:rPr>
                <w:rFonts w:hint="eastAsia"/>
                <w:sz w:val="21"/>
              </w:rPr>
              <w:t>年</w:t>
            </w:r>
          </w:p>
        </w:tc>
        <w:tc>
          <w:tcPr>
            <w:tcW w:w="2542" w:type="dxa"/>
            <w:gridSpan w:val="3"/>
            <w:tcBorders>
              <w:left w:val="nil"/>
            </w:tcBorders>
          </w:tcPr>
          <w:p w:rsidR="00000000" w:rsidRDefault="00B7115A">
            <w:pPr>
              <w:spacing w:before="120" w:line="360" w:lineRule="auto"/>
              <w:jc w:val="center"/>
              <w:textAlignment w:val="center"/>
              <w:rPr>
                <w:sz w:val="21"/>
              </w:rPr>
            </w:pPr>
            <w:r>
              <w:rPr>
                <w:sz w:val="21"/>
              </w:rPr>
              <w:t>1996</w:t>
            </w:r>
            <w:r>
              <w:rPr>
                <w:rFonts w:hint="eastAsia"/>
                <w:sz w:val="21"/>
              </w:rPr>
              <w:t>年</w:t>
            </w:r>
          </w:p>
        </w:tc>
      </w:tr>
      <w:tr w:rsidR="00000000">
        <w:tblPrEx>
          <w:tblCellMar>
            <w:top w:w="0" w:type="dxa"/>
            <w:bottom w:w="0" w:type="dxa"/>
          </w:tblCellMar>
        </w:tblPrEx>
        <w:tc>
          <w:tcPr>
            <w:tcW w:w="1828" w:type="dxa"/>
            <w:tcBorders>
              <w:top w:val="nil"/>
              <w:bottom w:val="single" w:sz="6" w:space="0" w:color="auto"/>
              <w:right w:val="nil"/>
            </w:tcBorders>
          </w:tcPr>
          <w:p w:rsidR="00000000" w:rsidRDefault="00B7115A">
            <w:pPr>
              <w:spacing w:before="180" w:after="40" w:line="360" w:lineRule="auto"/>
              <w:jc w:val="center"/>
              <w:textAlignment w:val="center"/>
              <w:rPr>
                <w:sz w:val="18"/>
              </w:rPr>
            </w:pPr>
          </w:p>
        </w:tc>
        <w:tc>
          <w:tcPr>
            <w:tcW w:w="1080" w:type="dxa"/>
            <w:tcBorders>
              <w:top w:val="single" w:sz="6" w:space="0" w:color="auto"/>
              <w:left w:val="single" w:sz="6" w:space="0" w:color="auto"/>
              <w:bottom w:val="single" w:sz="6" w:space="0" w:color="auto"/>
              <w:right w:val="nil"/>
            </w:tcBorders>
          </w:tcPr>
          <w:p w:rsidR="00000000" w:rsidRDefault="00B7115A">
            <w:pPr>
              <w:spacing w:before="180" w:after="40" w:line="360" w:lineRule="auto"/>
              <w:jc w:val="center"/>
              <w:textAlignment w:val="center"/>
              <w:rPr>
                <w:sz w:val="18"/>
              </w:rPr>
            </w:pPr>
            <w:r>
              <w:rPr>
                <w:rFonts w:hint="eastAsia"/>
                <w:sz w:val="18"/>
              </w:rPr>
              <w:t>总的情况</w:t>
            </w:r>
          </w:p>
        </w:tc>
        <w:tc>
          <w:tcPr>
            <w:tcW w:w="720" w:type="dxa"/>
            <w:tcBorders>
              <w:top w:val="single" w:sz="6" w:space="0" w:color="auto"/>
              <w:left w:val="single" w:sz="6" w:space="0" w:color="auto"/>
              <w:bottom w:val="single" w:sz="6" w:space="0" w:color="auto"/>
              <w:right w:val="single" w:sz="6" w:space="0" w:color="auto"/>
            </w:tcBorders>
          </w:tcPr>
          <w:p w:rsidR="00000000" w:rsidRDefault="00B7115A">
            <w:pPr>
              <w:spacing w:before="180" w:after="40" w:line="360" w:lineRule="auto"/>
              <w:jc w:val="center"/>
              <w:textAlignment w:val="center"/>
              <w:rPr>
                <w:sz w:val="18"/>
              </w:rPr>
            </w:pPr>
            <w:r>
              <w:rPr>
                <w:rFonts w:hint="eastAsia"/>
                <w:sz w:val="18"/>
              </w:rPr>
              <w:t>城市</w:t>
            </w:r>
          </w:p>
        </w:tc>
        <w:tc>
          <w:tcPr>
            <w:tcW w:w="720" w:type="dxa"/>
            <w:tcBorders>
              <w:top w:val="single" w:sz="6" w:space="0" w:color="auto"/>
              <w:left w:val="nil"/>
              <w:bottom w:val="single" w:sz="6" w:space="0" w:color="auto"/>
              <w:right w:val="nil"/>
            </w:tcBorders>
          </w:tcPr>
          <w:p w:rsidR="00000000" w:rsidRDefault="00B7115A">
            <w:pPr>
              <w:spacing w:before="180" w:after="40" w:line="360" w:lineRule="auto"/>
              <w:jc w:val="center"/>
              <w:textAlignment w:val="center"/>
              <w:rPr>
                <w:sz w:val="18"/>
              </w:rPr>
            </w:pPr>
            <w:r>
              <w:rPr>
                <w:rFonts w:hint="eastAsia"/>
                <w:sz w:val="18"/>
              </w:rPr>
              <w:t>农村</w:t>
            </w:r>
          </w:p>
        </w:tc>
        <w:tc>
          <w:tcPr>
            <w:tcW w:w="1080" w:type="dxa"/>
            <w:tcBorders>
              <w:top w:val="single" w:sz="6" w:space="0" w:color="auto"/>
              <w:left w:val="single" w:sz="6" w:space="0" w:color="auto"/>
              <w:bottom w:val="single" w:sz="6" w:space="0" w:color="auto"/>
              <w:right w:val="single" w:sz="6" w:space="0" w:color="auto"/>
            </w:tcBorders>
          </w:tcPr>
          <w:p w:rsidR="00000000" w:rsidRDefault="00B7115A">
            <w:pPr>
              <w:spacing w:before="180" w:after="40" w:line="360" w:lineRule="auto"/>
              <w:jc w:val="center"/>
              <w:textAlignment w:val="center"/>
              <w:rPr>
                <w:sz w:val="18"/>
              </w:rPr>
            </w:pPr>
            <w:r>
              <w:rPr>
                <w:rFonts w:hint="eastAsia"/>
                <w:sz w:val="18"/>
              </w:rPr>
              <w:t>总的情况</w:t>
            </w:r>
          </w:p>
        </w:tc>
        <w:tc>
          <w:tcPr>
            <w:tcW w:w="720" w:type="dxa"/>
            <w:tcBorders>
              <w:top w:val="single" w:sz="6" w:space="0" w:color="auto"/>
              <w:left w:val="nil"/>
              <w:bottom w:val="single" w:sz="6" w:space="0" w:color="auto"/>
              <w:right w:val="nil"/>
            </w:tcBorders>
          </w:tcPr>
          <w:p w:rsidR="00000000" w:rsidRDefault="00B7115A">
            <w:pPr>
              <w:spacing w:before="180" w:after="40" w:line="360" w:lineRule="auto"/>
              <w:jc w:val="center"/>
              <w:textAlignment w:val="center"/>
              <w:rPr>
                <w:sz w:val="18"/>
              </w:rPr>
            </w:pPr>
            <w:r>
              <w:rPr>
                <w:rFonts w:hint="eastAsia"/>
                <w:sz w:val="18"/>
              </w:rPr>
              <w:t>城市</w:t>
            </w:r>
          </w:p>
        </w:tc>
        <w:tc>
          <w:tcPr>
            <w:tcW w:w="720" w:type="dxa"/>
            <w:tcBorders>
              <w:top w:val="single" w:sz="6" w:space="0" w:color="auto"/>
              <w:left w:val="single" w:sz="6" w:space="0" w:color="auto"/>
              <w:bottom w:val="single" w:sz="6" w:space="0" w:color="auto"/>
              <w:right w:val="single" w:sz="6" w:space="0" w:color="auto"/>
            </w:tcBorders>
          </w:tcPr>
          <w:p w:rsidR="00000000" w:rsidRDefault="00B7115A">
            <w:pPr>
              <w:spacing w:before="180" w:after="40" w:line="360" w:lineRule="auto"/>
              <w:jc w:val="center"/>
              <w:textAlignment w:val="center"/>
              <w:rPr>
                <w:sz w:val="18"/>
              </w:rPr>
            </w:pPr>
            <w:r>
              <w:rPr>
                <w:rFonts w:hint="eastAsia"/>
                <w:sz w:val="18"/>
              </w:rPr>
              <w:t>农村</w:t>
            </w:r>
          </w:p>
        </w:tc>
        <w:tc>
          <w:tcPr>
            <w:tcW w:w="960" w:type="dxa"/>
            <w:tcBorders>
              <w:top w:val="single" w:sz="6" w:space="0" w:color="auto"/>
              <w:left w:val="nil"/>
              <w:bottom w:val="single" w:sz="6" w:space="0" w:color="auto"/>
              <w:right w:val="nil"/>
            </w:tcBorders>
          </w:tcPr>
          <w:p w:rsidR="00000000" w:rsidRDefault="00B7115A">
            <w:pPr>
              <w:spacing w:before="180" w:after="40" w:line="360" w:lineRule="auto"/>
              <w:jc w:val="center"/>
              <w:textAlignment w:val="center"/>
              <w:rPr>
                <w:sz w:val="18"/>
              </w:rPr>
            </w:pPr>
            <w:r>
              <w:rPr>
                <w:rFonts w:hint="eastAsia"/>
                <w:sz w:val="18"/>
              </w:rPr>
              <w:t>总的情况</w:t>
            </w:r>
          </w:p>
        </w:tc>
        <w:tc>
          <w:tcPr>
            <w:tcW w:w="791" w:type="dxa"/>
            <w:tcBorders>
              <w:top w:val="single" w:sz="6" w:space="0" w:color="auto"/>
              <w:left w:val="single" w:sz="6" w:space="0" w:color="auto"/>
              <w:bottom w:val="single" w:sz="6" w:space="0" w:color="auto"/>
              <w:right w:val="single" w:sz="6" w:space="0" w:color="auto"/>
            </w:tcBorders>
          </w:tcPr>
          <w:p w:rsidR="00000000" w:rsidRDefault="00B7115A">
            <w:pPr>
              <w:spacing w:before="180" w:after="40" w:line="360" w:lineRule="auto"/>
              <w:jc w:val="center"/>
              <w:textAlignment w:val="center"/>
              <w:rPr>
                <w:sz w:val="18"/>
              </w:rPr>
            </w:pPr>
            <w:r>
              <w:rPr>
                <w:rFonts w:hint="eastAsia"/>
                <w:sz w:val="18"/>
              </w:rPr>
              <w:t>城市</w:t>
            </w:r>
          </w:p>
        </w:tc>
        <w:tc>
          <w:tcPr>
            <w:tcW w:w="791" w:type="dxa"/>
            <w:tcBorders>
              <w:top w:val="single" w:sz="6" w:space="0" w:color="auto"/>
              <w:left w:val="nil"/>
              <w:bottom w:val="single" w:sz="6" w:space="0" w:color="auto"/>
            </w:tcBorders>
          </w:tcPr>
          <w:p w:rsidR="00000000" w:rsidRDefault="00B7115A">
            <w:pPr>
              <w:spacing w:before="180" w:after="40" w:line="360" w:lineRule="auto"/>
              <w:jc w:val="center"/>
              <w:textAlignment w:val="center"/>
              <w:rPr>
                <w:sz w:val="18"/>
              </w:rPr>
            </w:pPr>
            <w:r>
              <w:rPr>
                <w:rFonts w:hint="eastAsia"/>
                <w:sz w:val="18"/>
              </w:rPr>
              <w:t>农村</w:t>
            </w:r>
          </w:p>
        </w:tc>
      </w:tr>
      <w:tr w:rsidR="00000000">
        <w:tblPrEx>
          <w:tblCellMar>
            <w:top w:w="0" w:type="dxa"/>
            <w:bottom w:w="0" w:type="dxa"/>
          </w:tblCellMar>
        </w:tblPrEx>
        <w:tc>
          <w:tcPr>
            <w:tcW w:w="1828" w:type="dxa"/>
            <w:tcBorders>
              <w:top w:val="nil"/>
              <w:right w:val="nil"/>
            </w:tcBorders>
          </w:tcPr>
          <w:p w:rsidR="00000000" w:rsidRDefault="00B7115A">
            <w:pPr>
              <w:spacing w:before="120" w:line="408" w:lineRule="auto"/>
              <w:ind w:left="113"/>
              <w:textAlignment w:val="center"/>
              <w:rPr>
                <w:sz w:val="18"/>
              </w:rPr>
            </w:pPr>
            <w:r>
              <w:rPr>
                <w:rFonts w:hint="eastAsia"/>
                <w:sz w:val="18"/>
              </w:rPr>
              <w:t>全国婴儿死亡率</w:t>
            </w:r>
          </w:p>
        </w:tc>
        <w:tc>
          <w:tcPr>
            <w:tcW w:w="1080" w:type="dxa"/>
            <w:tcBorders>
              <w:top w:val="nil"/>
              <w:left w:val="single" w:sz="6" w:space="0" w:color="auto"/>
              <w:bottom w:val="nil"/>
              <w:right w:val="nil"/>
            </w:tcBorders>
          </w:tcPr>
          <w:p w:rsidR="00000000" w:rsidRDefault="00B7115A">
            <w:pPr>
              <w:spacing w:before="120" w:line="408" w:lineRule="auto"/>
              <w:jc w:val="center"/>
              <w:textAlignment w:val="center"/>
              <w:rPr>
                <w:sz w:val="21"/>
              </w:rPr>
            </w:pPr>
            <w:r>
              <w:rPr>
                <w:sz w:val="21"/>
              </w:rPr>
              <w:t>29.1</w:t>
            </w:r>
          </w:p>
        </w:tc>
        <w:tc>
          <w:tcPr>
            <w:tcW w:w="720" w:type="dxa"/>
            <w:tcBorders>
              <w:top w:val="nil"/>
              <w:left w:val="single" w:sz="6" w:space="0" w:color="auto"/>
              <w:bottom w:val="nil"/>
              <w:right w:val="single" w:sz="6" w:space="0" w:color="auto"/>
            </w:tcBorders>
          </w:tcPr>
          <w:p w:rsidR="00000000" w:rsidRDefault="00B7115A">
            <w:pPr>
              <w:spacing w:before="120" w:line="408" w:lineRule="auto"/>
              <w:jc w:val="center"/>
              <w:textAlignment w:val="center"/>
              <w:rPr>
                <w:sz w:val="21"/>
              </w:rPr>
            </w:pPr>
            <w:r>
              <w:rPr>
                <w:sz w:val="21"/>
              </w:rPr>
              <w:t>32.3</w:t>
            </w:r>
          </w:p>
        </w:tc>
        <w:tc>
          <w:tcPr>
            <w:tcW w:w="720" w:type="dxa"/>
            <w:tcBorders>
              <w:top w:val="nil"/>
              <w:left w:val="nil"/>
              <w:bottom w:val="nil"/>
              <w:right w:val="nil"/>
            </w:tcBorders>
          </w:tcPr>
          <w:p w:rsidR="00000000" w:rsidRDefault="00B7115A">
            <w:pPr>
              <w:spacing w:before="120" w:line="408" w:lineRule="auto"/>
              <w:jc w:val="center"/>
              <w:textAlignment w:val="center"/>
              <w:rPr>
                <w:sz w:val="21"/>
              </w:rPr>
            </w:pPr>
            <w:r>
              <w:rPr>
                <w:sz w:val="21"/>
              </w:rPr>
              <w:t>28.0</w:t>
            </w:r>
          </w:p>
        </w:tc>
        <w:tc>
          <w:tcPr>
            <w:tcW w:w="1080" w:type="dxa"/>
            <w:tcBorders>
              <w:top w:val="nil"/>
              <w:left w:val="single" w:sz="6" w:space="0" w:color="auto"/>
              <w:bottom w:val="nil"/>
              <w:right w:val="single" w:sz="6" w:space="0" w:color="auto"/>
            </w:tcBorders>
          </w:tcPr>
          <w:p w:rsidR="00000000" w:rsidRDefault="00B7115A">
            <w:pPr>
              <w:spacing w:before="120" w:line="408" w:lineRule="auto"/>
              <w:jc w:val="center"/>
              <w:textAlignment w:val="center"/>
              <w:rPr>
                <w:sz w:val="21"/>
              </w:rPr>
            </w:pPr>
            <w:r>
              <w:rPr>
                <w:sz w:val="21"/>
              </w:rPr>
              <w:t>28.1</w:t>
            </w:r>
          </w:p>
        </w:tc>
        <w:tc>
          <w:tcPr>
            <w:tcW w:w="720" w:type="dxa"/>
            <w:tcBorders>
              <w:top w:val="nil"/>
              <w:left w:val="nil"/>
              <w:bottom w:val="nil"/>
              <w:right w:val="nil"/>
            </w:tcBorders>
          </w:tcPr>
          <w:p w:rsidR="00000000" w:rsidRDefault="00B7115A">
            <w:pPr>
              <w:spacing w:before="120" w:line="408" w:lineRule="auto"/>
              <w:jc w:val="center"/>
              <w:textAlignment w:val="center"/>
              <w:rPr>
                <w:sz w:val="21"/>
              </w:rPr>
            </w:pPr>
            <w:r>
              <w:rPr>
                <w:sz w:val="21"/>
              </w:rPr>
              <w:t>32.7</w:t>
            </w:r>
          </w:p>
        </w:tc>
        <w:tc>
          <w:tcPr>
            <w:tcW w:w="720" w:type="dxa"/>
            <w:tcBorders>
              <w:top w:val="nil"/>
              <w:left w:val="single" w:sz="6" w:space="0" w:color="auto"/>
              <w:bottom w:val="nil"/>
              <w:right w:val="single" w:sz="6" w:space="0" w:color="auto"/>
            </w:tcBorders>
          </w:tcPr>
          <w:p w:rsidR="00000000" w:rsidRDefault="00B7115A">
            <w:pPr>
              <w:spacing w:before="120" w:line="408" w:lineRule="auto"/>
              <w:jc w:val="center"/>
              <w:textAlignment w:val="center"/>
              <w:rPr>
                <w:sz w:val="21"/>
              </w:rPr>
            </w:pPr>
            <w:r>
              <w:rPr>
                <w:sz w:val="21"/>
              </w:rPr>
              <w:t>26.6</w:t>
            </w:r>
          </w:p>
        </w:tc>
        <w:tc>
          <w:tcPr>
            <w:tcW w:w="960" w:type="dxa"/>
            <w:tcBorders>
              <w:top w:val="nil"/>
              <w:left w:val="nil"/>
              <w:bottom w:val="nil"/>
              <w:right w:val="nil"/>
            </w:tcBorders>
          </w:tcPr>
          <w:p w:rsidR="00000000" w:rsidRDefault="00B7115A">
            <w:pPr>
              <w:spacing w:before="120" w:line="408" w:lineRule="auto"/>
              <w:jc w:val="center"/>
              <w:textAlignment w:val="center"/>
              <w:rPr>
                <w:sz w:val="21"/>
              </w:rPr>
            </w:pPr>
            <w:r>
              <w:rPr>
                <w:sz w:val="21"/>
              </w:rPr>
              <w:t>25.9</w:t>
            </w:r>
          </w:p>
        </w:tc>
        <w:tc>
          <w:tcPr>
            <w:tcW w:w="791" w:type="dxa"/>
            <w:tcBorders>
              <w:top w:val="nil"/>
              <w:left w:val="single" w:sz="6" w:space="0" w:color="auto"/>
              <w:bottom w:val="nil"/>
              <w:right w:val="single" w:sz="6" w:space="0" w:color="auto"/>
            </w:tcBorders>
          </w:tcPr>
          <w:p w:rsidR="00000000" w:rsidRDefault="00B7115A">
            <w:pPr>
              <w:spacing w:before="120" w:line="408" w:lineRule="auto"/>
              <w:jc w:val="center"/>
              <w:textAlignment w:val="center"/>
              <w:rPr>
                <w:sz w:val="21"/>
              </w:rPr>
            </w:pPr>
            <w:r>
              <w:rPr>
                <w:sz w:val="21"/>
              </w:rPr>
              <w:t>29.9</w:t>
            </w:r>
          </w:p>
        </w:tc>
        <w:tc>
          <w:tcPr>
            <w:tcW w:w="791" w:type="dxa"/>
            <w:tcBorders>
              <w:top w:val="nil"/>
              <w:left w:val="nil"/>
              <w:bottom w:val="nil"/>
            </w:tcBorders>
          </w:tcPr>
          <w:p w:rsidR="00000000" w:rsidRDefault="00B7115A">
            <w:pPr>
              <w:spacing w:before="120" w:line="408" w:lineRule="auto"/>
              <w:jc w:val="center"/>
              <w:textAlignment w:val="center"/>
              <w:rPr>
                <w:sz w:val="21"/>
              </w:rPr>
            </w:pPr>
            <w:r>
              <w:rPr>
                <w:sz w:val="21"/>
              </w:rPr>
              <w:t>24.5</w:t>
            </w:r>
          </w:p>
        </w:tc>
      </w:tr>
      <w:tr w:rsidR="00000000">
        <w:tblPrEx>
          <w:tblCellMar>
            <w:top w:w="0" w:type="dxa"/>
            <w:bottom w:w="0" w:type="dxa"/>
          </w:tblCellMar>
        </w:tblPrEx>
        <w:tc>
          <w:tcPr>
            <w:tcW w:w="1828" w:type="dxa"/>
            <w:tcBorders>
              <w:right w:val="nil"/>
            </w:tcBorders>
          </w:tcPr>
          <w:p w:rsidR="00000000" w:rsidRDefault="00B7115A">
            <w:pPr>
              <w:spacing w:line="408" w:lineRule="auto"/>
              <w:ind w:left="113"/>
              <w:rPr>
                <w:sz w:val="18"/>
              </w:rPr>
            </w:pPr>
            <w:r>
              <w:rPr>
                <w:rFonts w:hint="eastAsia"/>
                <w:sz w:val="18"/>
              </w:rPr>
              <w:t>奥什州</w:t>
            </w:r>
          </w:p>
        </w:tc>
        <w:tc>
          <w:tcPr>
            <w:tcW w:w="1080" w:type="dxa"/>
            <w:tcBorders>
              <w:top w:val="nil"/>
              <w:left w:val="single" w:sz="6" w:space="0" w:color="auto"/>
              <w:bottom w:val="nil"/>
              <w:right w:val="nil"/>
            </w:tcBorders>
          </w:tcPr>
          <w:p w:rsidR="00000000" w:rsidRDefault="00B7115A">
            <w:pPr>
              <w:spacing w:line="408" w:lineRule="auto"/>
              <w:jc w:val="center"/>
              <w:rPr>
                <w:sz w:val="21"/>
              </w:rPr>
            </w:pPr>
            <w:r>
              <w:rPr>
                <w:sz w:val="21"/>
              </w:rPr>
              <w:t>30.9</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32.0</w:t>
            </w:r>
          </w:p>
        </w:tc>
        <w:tc>
          <w:tcPr>
            <w:tcW w:w="720" w:type="dxa"/>
            <w:tcBorders>
              <w:top w:val="nil"/>
              <w:left w:val="nil"/>
              <w:bottom w:val="nil"/>
              <w:right w:val="nil"/>
            </w:tcBorders>
          </w:tcPr>
          <w:p w:rsidR="00000000" w:rsidRDefault="00B7115A">
            <w:pPr>
              <w:spacing w:line="408" w:lineRule="auto"/>
              <w:jc w:val="center"/>
              <w:rPr>
                <w:sz w:val="21"/>
              </w:rPr>
            </w:pPr>
            <w:r>
              <w:rPr>
                <w:sz w:val="21"/>
              </w:rPr>
              <w:t>35.0</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30.2</w:t>
            </w:r>
          </w:p>
        </w:tc>
        <w:tc>
          <w:tcPr>
            <w:tcW w:w="720" w:type="dxa"/>
            <w:tcBorders>
              <w:top w:val="nil"/>
              <w:left w:val="nil"/>
              <w:bottom w:val="nil"/>
              <w:right w:val="nil"/>
            </w:tcBorders>
          </w:tcPr>
          <w:p w:rsidR="00000000" w:rsidRDefault="00B7115A">
            <w:pPr>
              <w:spacing w:line="408" w:lineRule="auto"/>
              <w:jc w:val="center"/>
              <w:rPr>
                <w:sz w:val="21"/>
              </w:rPr>
            </w:pPr>
            <w:r>
              <w:rPr>
                <w:sz w:val="21"/>
              </w:rPr>
              <w:t>35.9</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28.8</w:t>
            </w:r>
          </w:p>
        </w:tc>
        <w:tc>
          <w:tcPr>
            <w:tcW w:w="960" w:type="dxa"/>
            <w:tcBorders>
              <w:top w:val="nil"/>
              <w:left w:val="nil"/>
              <w:bottom w:val="nil"/>
              <w:right w:val="nil"/>
            </w:tcBorders>
          </w:tcPr>
          <w:p w:rsidR="00000000" w:rsidRDefault="00B7115A">
            <w:pPr>
              <w:spacing w:line="408" w:lineRule="auto"/>
              <w:jc w:val="center"/>
              <w:rPr>
                <w:sz w:val="21"/>
              </w:rPr>
            </w:pPr>
            <w:r>
              <w:rPr>
                <w:sz w:val="21"/>
              </w:rPr>
              <w:t>29.9</w:t>
            </w:r>
          </w:p>
        </w:tc>
        <w:tc>
          <w:tcPr>
            <w:tcW w:w="791"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35.6</w:t>
            </w:r>
          </w:p>
        </w:tc>
        <w:tc>
          <w:tcPr>
            <w:tcW w:w="791" w:type="dxa"/>
            <w:tcBorders>
              <w:top w:val="nil"/>
              <w:left w:val="nil"/>
              <w:bottom w:val="nil"/>
            </w:tcBorders>
          </w:tcPr>
          <w:p w:rsidR="00000000" w:rsidRDefault="00B7115A">
            <w:pPr>
              <w:spacing w:line="408" w:lineRule="auto"/>
              <w:jc w:val="center"/>
              <w:rPr>
                <w:sz w:val="21"/>
              </w:rPr>
            </w:pPr>
            <w:r>
              <w:rPr>
                <w:sz w:val="21"/>
              </w:rPr>
              <w:t>28.5</w:t>
            </w:r>
          </w:p>
        </w:tc>
      </w:tr>
      <w:tr w:rsidR="00000000">
        <w:tblPrEx>
          <w:tblCellMar>
            <w:top w:w="0" w:type="dxa"/>
            <w:bottom w:w="0" w:type="dxa"/>
          </w:tblCellMar>
        </w:tblPrEx>
        <w:tc>
          <w:tcPr>
            <w:tcW w:w="1828" w:type="dxa"/>
            <w:tcBorders>
              <w:right w:val="nil"/>
            </w:tcBorders>
          </w:tcPr>
          <w:p w:rsidR="00000000" w:rsidRDefault="00B7115A">
            <w:pPr>
              <w:spacing w:line="408" w:lineRule="auto"/>
              <w:ind w:left="113"/>
              <w:rPr>
                <w:sz w:val="18"/>
              </w:rPr>
            </w:pPr>
            <w:r>
              <w:rPr>
                <w:rFonts w:hint="eastAsia"/>
                <w:sz w:val="18"/>
              </w:rPr>
              <w:t>贾拉拉巴德州</w:t>
            </w:r>
          </w:p>
        </w:tc>
        <w:tc>
          <w:tcPr>
            <w:tcW w:w="1080" w:type="dxa"/>
            <w:tcBorders>
              <w:top w:val="nil"/>
              <w:left w:val="single" w:sz="6" w:space="0" w:color="auto"/>
              <w:bottom w:val="nil"/>
              <w:right w:val="nil"/>
            </w:tcBorders>
          </w:tcPr>
          <w:p w:rsidR="00000000" w:rsidRDefault="00B7115A">
            <w:pPr>
              <w:spacing w:line="408" w:lineRule="auto"/>
              <w:jc w:val="center"/>
              <w:rPr>
                <w:sz w:val="21"/>
              </w:rPr>
            </w:pPr>
            <w:r>
              <w:rPr>
                <w:sz w:val="21"/>
              </w:rPr>
              <w:t>28.7</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21.3</w:t>
            </w:r>
          </w:p>
        </w:tc>
        <w:tc>
          <w:tcPr>
            <w:tcW w:w="720" w:type="dxa"/>
            <w:tcBorders>
              <w:top w:val="nil"/>
              <w:left w:val="nil"/>
              <w:bottom w:val="nil"/>
              <w:right w:val="nil"/>
            </w:tcBorders>
          </w:tcPr>
          <w:p w:rsidR="00000000" w:rsidRDefault="00B7115A">
            <w:pPr>
              <w:spacing w:line="408" w:lineRule="auto"/>
              <w:jc w:val="center"/>
              <w:rPr>
                <w:sz w:val="21"/>
              </w:rPr>
            </w:pPr>
            <w:r>
              <w:rPr>
                <w:sz w:val="21"/>
              </w:rPr>
              <w:t>30.8</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26.2</w:t>
            </w:r>
          </w:p>
        </w:tc>
        <w:tc>
          <w:tcPr>
            <w:tcW w:w="720" w:type="dxa"/>
            <w:tcBorders>
              <w:top w:val="nil"/>
              <w:left w:val="nil"/>
              <w:bottom w:val="nil"/>
              <w:right w:val="nil"/>
            </w:tcBorders>
          </w:tcPr>
          <w:p w:rsidR="00000000" w:rsidRDefault="00B7115A">
            <w:pPr>
              <w:spacing w:line="408" w:lineRule="auto"/>
              <w:jc w:val="center"/>
              <w:rPr>
                <w:sz w:val="21"/>
              </w:rPr>
            </w:pPr>
            <w:r>
              <w:rPr>
                <w:sz w:val="21"/>
              </w:rPr>
              <w:t>22.6</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27.2</w:t>
            </w:r>
          </w:p>
        </w:tc>
        <w:tc>
          <w:tcPr>
            <w:tcW w:w="960" w:type="dxa"/>
            <w:tcBorders>
              <w:top w:val="nil"/>
              <w:left w:val="nil"/>
              <w:bottom w:val="nil"/>
              <w:right w:val="nil"/>
            </w:tcBorders>
          </w:tcPr>
          <w:p w:rsidR="00000000" w:rsidRDefault="00B7115A">
            <w:pPr>
              <w:spacing w:line="408" w:lineRule="auto"/>
              <w:jc w:val="center"/>
              <w:rPr>
                <w:sz w:val="21"/>
              </w:rPr>
            </w:pPr>
            <w:r>
              <w:rPr>
                <w:sz w:val="21"/>
              </w:rPr>
              <w:t>24.2</w:t>
            </w:r>
          </w:p>
        </w:tc>
        <w:tc>
          <w:tcPr>
            <w:tcW w:w="791"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21.4</w:t>
            </w:r>
          </w:p>
        </w:tc>
        <w:tc>
          <w:tcPr>
            <w:tcW w:w="791" w:type="dxa"/>
            <w:tcBorders>
              <w:top w:val="nil"/>
              <w:left w:val="nil"/>
              <w:bottom w:val="nil"/>
            </w:tcBorders>
          </w:tcPr>
          <w:p w:rsidR="00000000" w:rsidRDefault="00B7115A">
            <w:pPr>
              <w:spacing w:line="408" w:lineRule="auto"/>
              <w:jc w:val="center"/>
              <w:rPr>
                <w:sz w:val="21"/>
              </w:rPr>
            </w:pPr>
            <w:r>
              <w:rPr>
                <w:sz w:val="21"/>
              </w:rPr>
              <w:t>25.0</w:t>
            </w:r>
          </w:p>
        </w:tc>
      </w:tr>
      <w:tr w:rsidR="00000000">
        <w:tblPrEx>
          <w:tblCellMar>
            <w:top w:w="0" w:type="dxa"/>
            <w:bottom w:w="0" w:type="dxa"/>
          </w:tblCellMar>
        </w:tblPrEx>
        <w:tc>
          <w:tcPr>
            <w:tcW w:w="1828" w:type="dxa"/>
            <w:tcBorders>
              <w:bottom w:val="nil"/>
              <w:right w:val="nil"/>
            </w:tcBorders>
          </w:tcPr>
          <w:p w:rsidR="00000000" w:rsidRDefault="00B7115A">
            <w:pPr>
              <w:spacing w:line="408" w:lineRule="auto"/>
              <w:ind w:left="113"/>
              <w:rPr>
                <w:sz w:val="18"/>
              </w:rPr>
            </w:pPr>
            <w:r>
              <w:rPr>
                <w:rFonts w:hint="eastAsia"/>
                <w:sz w:val="18"/>
              </w:rPr>
              <w:t>塔拉斯州</w:t>
            </w:r>
          </w:p>
        </w:tc>
        <w:tc>
          <w:tcPr>
            <w:tcW w:w="1080" w:type="dxa"/>
            <w:tcBorders>
              <w:top w:val="nil"/>
              <w:left w:val="single" w:sz="6" w:space="0" w:color="auto"/>
              <w:bottom w:val="nil"/>
              <w:right w:val="nil"/>
            </w:tcBorders>
          </w:tcPr>
          <w:p w:rsidR="00000000" w:rsidRDefault="00B7115A">
            <w:pPr>
              <w:spacing w:line="408" w:lineRule="auto"/>
              <w:jc w:val="center"/>
              <w:rPr>
                <w:sz w:val="21"/>
              </w:rPr>
            </w:pPr>
            <w:r>
              <w:rPr>
                <w:sz w:val="21"/>
              </w:rPr>
              <w:t>26.0</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43.2</w:t>
            </w:r>
          </w:p>
        </w:tc>
        <w:tc>
          <w:tcPr>
            <w:tcW w:w="720" w:type="dxa"/>
            <w:tcBorders>
              <w:top w:val="nil"/>
              <w:left w:val="nil"/>
              <w:bottom w:val="nil"/>
              <w:right w:val="nil"/>
            </w:tcBorders>
          </w:tcPr>
          <w:p w:rsidR="00000000" w:rsidRDefault="00B7115A">
            <w:pPr>
              <w:spacing w:line="408" w:lineRule="auto"/>
              <w:jc w:val="center"/>
              <w:rPr>
                <w:sz w:val="21"/>
              </w:rPr>
            </w:pPr>
            <w:r>
              <w:rPr>
                <w:sz w:val="21"/>
              </w:rPr>
              <w:t>23.7</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26.9</w:t>
            </w:r>
          </w:p>
        </w:tc>
        <w:tc>
          <w:tcPr>
            <w:tcW w:w="720" w:type="dxa"/>
            <w:tcBorders>
              <w:top w:val="nil"/>
              <w:left w:val="nil"/>
              <w:bottom w:val="nil"/>
              <w:right w:val="nil"/>
            </w:tcBorders>
          </w:tcPr>
          <w:p w:rsidR="00000000" w:rsidRDefault="00B7115A">
            <w:pPr>
              <w:spacing w:line="408" w:lineRule="auto"/>
              <w:jc w:val="center"/>
              <w:rPr>
                <w:sz w:val="21"/>
              </w:rPr>
            </w:pPr>
            <w:r>
              <w:rPr>
                <w:sz w:val="21"/>
              </w:rPr>
              <w:t>47.1</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23.6</w:t>
            </w:r>
          </w:p>
        </w:tc>
        <w:tc>
          <w:tcPr>
            <w:tcW w:w="960" w:type="dxa"/>
            <w:tcBorders>
              <w:top w:val="nil"/>
              <w:left w:val="nil"/>
              <w:bottom w:val="nil"/>
              <w:right w:val="nil"/>
            </w:tcBorders>
          </w:tcPr>
          <w:p w:rsidR="00000000" w:rsidRDefault="00B7115A">
            <w:pPr>
              <w:spacing w:line="408" w:lineRule="auto"/>
              <w:jc w:val="center"/>
              <w:rPr>
                <w:sz w:val="21"/>
              </w:rPr>
            </w:pPr>
            <w:r>
              <w:rPr>
                <w:sz w:val="21"/>
              </w:rPr>
              <w:t>20.7</w:t>
            </w:r>
          </w:p>
        </w:tc>
        <w:tc>
          <w:tcPr>
            <w:tcW w:w="791"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43.0</w:t>
            </w:r>
          </w:p>
        </w:tc>
        <w:tc>
          <w:tcPr>
            <w:tcW w:w="791" w:type="dxa"/>
            <w:tcBorders>
              <w:top w:val="nil"/>
              <w:left w:val="nil"/>
              <w:bottom w:val="nil"/>
            </w:tcBorders>
          </w:tcPr>
          <w:p w:rsidR="00000000" w:rsidRDefault="00B7115A">
            <w:pPr>
              <w:spacing w:line="408" w:lineRule="auto"/>
              <w:jc w:val="center"/>
              <w:rPr>
                <w:sz w:val="21"/>
              </w:rPr>
            </w:pPr>
            <w:r>
              <w:rPr>
                <w:sz w:val="21"/>
              </w:rPr>
              <w:t>17.6</w:t>
            </w:r>
          </w:p>
        </w:tc>
      </w:tr>
      <w:tr w:rsidR="00000000">
        <w:tblPrEx>
          <w:tblCellMar>
            <w:top w:w="0" w:type="dxa"/>
            <w:bottom w:w="0" w:type="dxa"/>
          </w:tblCellMar>
        </w:tblPrEx>
        <w:tc>
          <w:tcPr>
            <w:tcW w:w="1828" w:type="dxa"/>
            <w:tcBorders>
              <w:top w:val="nil"/>
              <w:bottom w:val="nil"/>
              <w:right w:val="nil"/>
            </w:tcBorders>
          </w:tcPr>
          <w:p w:rsidR="00000000" w:rsidRDefault="00B7115A">
            <w:pPr>
              <w:spacing w:line="408" w:lineRule="auto"/>
              <w:ind w:left="113"/>
              <w:rPr>
                <w:sz w:val="18"/>
              </w:rPr>
            </w:pPr>
            <w:r>
              <w:rPr>
                <w:rFonts w:hint="eastAsia"/>
                <w:sz w:val="18"/>
              </w:rPr>
              <w:t>纳林州</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28.9</w:t>
            </w:r>
          </w:p>
        </w:tc>
        <w:tc>
          <w:tcPr>
            <w:tcW w:w="720" w:type="dxa"/>
            <w:tcBorders>
              <w:top w:val="nil"/>
              <w:left w:val="nil"/>
              <w:bottom w:val="nil"/>
              <w:right w:val="nil"/>
            </w:tcBorders>
          </w:tcPr>
          <w:p w:rsidR="00000000" w:rsidRDefault="00B7115A">
            <w:pPr>
              <w:spacing w:line="408" w:lineRule="auto"/>
              <w:jc w:val="center"/>
              <w:rPr>
                <w:sz w:val="21"/>
              </w:rPr>
            </w:pPr>
            <w:r>
              <w:rPr>
                <w:sz w:val="21"/>
              </w:rPr>
              <w:t>43.1</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25.0</w:t>
            </w:r>
          </w:p>
        </w:tc>
        <w:tc>
          <w:tcPr>
            <w:tcW w:w="1080" w:type="dxa"/>
            <w:tcBorders>
              <w:top w:val="nil"/>
              <w:left w:val="nil"/>
              <w:bottom w:val="nil"/>
              <w:right w:val="nil"/>
            </w:tcBorders>
          </w:tcPr>
          <w:p w:rsidR="00000000" w:rsidRDefault="00B7115A">
            <w:pPr>
              <w:spacing w:line="408" w:lineRule="auto"/>
              <w:jc w:val="center"/>
              <w:rPr>
                <w:sz w:val="21"/>
              </w:rPr>
            </w:pPr>
            <w:r>
              <w:rPr>
                <w:sz w:val="21"/>
              </w:rPr>
              <w:t>29.8</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40.2</w:t>
            </w:r>
          </w:p>
        </w:tc>
        <w:tc>
          <w:tcPr>
            <w:tcW w:w="720" w:type="dxa"/>
            <w:tcBorders>
              <w:top w:val="nil"/>
              <w:left w:val="nil"/>
              <w:bottom w:val="nil"/>
              <w:right w:val="nil"/>
            </w:tcBorders>
          </w:tcPr>
          <w:p w:rsidR="00000000" w:rsidRDefault="00B7115A">
            <w:pPr>
              <w:spacing w:line="408" w:lineRule="auto"/>
              <w:jc w:val="center"/>
              <w:rPr>
                <w:sz w:val="21"/>
              </w:rPr>
            </w:pPr>
            <w:r>
              <w:rPr>
                <w:sz w:val="21"/>
              </w:rPr>
              <w:t>26.7</w:t>
            </w:r>
          </w:p>
        </w:tc>
        <w:tc>
          <w:tcPr>
            <w:tcW w:w="96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22.5</w:t>
            </w:r>
          </w:p>
        </w:tc>
        <w:tc>
          <w:tcPr>
            <w:tcW w:w="791" w:type="dxa"/>
            <w:tcBorders>
              <w:top w:val="nil"/>
              <w:left w:val="nil"/>
              <w:bottom w:val="nil"/>
              <w:right w:val="single" w:sz="6" w:space="0" w:color="auto"/>
            </w:tcBorders>
          </w:tcPr>
          <w:p w:rsidR="00000000" w:rsidRDefault="00B7115A">
            <w:pPr>
              <w:spacing w:line="408" w:lineRule="auto"/>
              <w:jc w:val="center"/>
              <w:rPr>
                <w:sz w:val="21"/>
              </w:rPr>
            </w:pPr>
            <w:r>
              <w:rPr>
                <w:sz w:val="21"/>
              </w:rPr>
              <w:t>31.3</w:t>
            </w:r>
          </w:p>
        </w:tc>
        <w:tc>
          <w:tcPr>
            <w:tcW w:w="791" w:type="dxa"/>
            <w:tcBorders>
              <w:top w:val="nil"/>
              <w:left w:val="nil"/>
              <w:bottom w:val="nil"/>
            </w:tcBorders>
          </w:tcPr>
          <w:p w:rsidR="00000000" w:rsidRDefault="00B7115A">
            <w:pPr>
              <w:spacing w:line="408" w:lineRule="auto"/>
              <w:jc w:val="center"/>
              <w:rPr>
                <w:sz w:val="21"/>
              </w:rPr>
            </w:pPr>
            <w:r>
              <w:rPr>
                <w:sz w:val="21"/>
              </w:rPr>
              <w:t>19.8</w:t>
            </w:r>
          </w:p>
        </w:tc>
      </w:tr>
      <w:tr w:rsidR="00000000">
        <w:tblPrEx>
          <w:tblCellMar>
            <w:top w:w="0" w:type="dxa"/>
            <w:bottom w:w="0" w:type="dxa"/>
          </w:tblCellMar>
        </w:tblPrEx>
        <w:tc>
          <w:tcPr>
            <w:tcW w:w="1828" w:type="dxa"/>
            <w:tcBorders>
              <w:top w:val="nil"/>
              <w:right w:val="nil"/>
            </w:tcBorders>
          </w:tcPr>
          <w:p w:rsidR="00000000" w:rsidRDefault="00B7115A">
            <w:pPr>
              <w:spacing w:line="408" w:lineRule="auto"/>
              <w:ind w:left="113"/>
              <w:rPr>
                <w:sz w:val="18"/>
              </w:rPr>
            </w:pPr>
            <w:r>
              <w:rPr>
                <w:rFonts w:hint="eastAsia"/>
                <w:sz w:val="18"/>
              </w:rPr>
              <w:t>伊塞库尔州</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27.3</w:t>
            </w:r>
          </w:p>
        </w:tc>
        <w:tc>
          <w:tcPr>
            <w:tcW w:w="720" w:type="dxa"/>
            <w:tcBorders>
              <w:top w:val="nil"/>
              <w:left w:val="nil"/>
              <w:right w:val="nil"/>
            </w:tcBorders>
          </w:tcPr>
          <w:p w:rsidR="00000000" w:rsidRDefault="00B7115A">
            <w:pPr>
              <w:spacing w:line="408" w:lineRule="auto"/>
              <w:jc w:val="center"/>
              <w:rPr>
                <w:sz w:val="21"/>
              </w:rPr>
            </w:pPr>
            <w:r>
              <w:rPr>
                <w:sz w:val="21"/>
              </w:rPr>
              <w:t>27.7</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27.1</w:t>
            </w:r>
          </w:p>
        </w:tc>
        <w:tc>
          <w:tcPr>
            <w:tcW w:w="1080" w:type="dxa"/>
            <w:tcBorders>
              <w:top w:val="nil"/>
              <w:left w:val="nil"/>
              <w:right w:val="nil"/>
            </w:tcBorders>
          </w:tcPr>
          <w:p w:rsidR="00000000" w:rsidRDefault="00B7115A">
            <w:pPr>
              <w:spacing w:line="408" w:lineRule="auto"/>
              <w:jc w:val="center"/>
              <w:rPr>
                <w:sz w:val="21"/>
              </w:rPr>
            </w:pPr>
            <w:r>
              <w:rPr>
                <w:sz w:val="21"/>
              </w:rPr>
              <w:t>29.8</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40.2</w:t>
            </w:r>
          </w:p>
        </w:tc>
        <w:tc>
          <w:tcPr>
            <w:tcW w:w="720" w:type="dxa"/>
            <w:tcBorders>
              <w:top w:val="nil"/>
              <w:left w:val="nil"/>
              <w:right w:val="nil"/>
            </w:tcBorders>
          </w:tcPr>
          <w:p w:rsidR="00000000" w:rsidRDefault="00B7115A">
            <w:pPr>
              <w:spacing w:line="408" w:lineRule="auto"/>
              <w:jc w:val="center"/>
              <w:rPr>
                <w:sz w:val="21"/>
              </w:rPr>
            </w:pPr>
            <w:r>
              <w:rPr>
                <w:sz w:val="21"/>
              </w:rPr>
              <w:t>26.7</w:t>
            </w:r>
          </w:p>
        </w:tc>
        <w:tc>
          <w:tcPr>
            <w:tcW w:w="96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22.5</w:t>
            </w:r>
          </w:p>
        </w:tc>
        <w:tc>
          <w:tcPr>
            <w:tcW w:w="791" w:type="dxa"/>
            <w:tcBorders>
              <w:top w:val="nil"/>
              <w:left w:val="nil"/>
              <w:bottom w:val="nil"/>
              <w:right w:val="single" w:sz="6" w:space="0" w:color="auto"/>
            </w:tcBorders>
          </w:tcPr>
          <w:p w:rsidR="00000000" w:rsidRDefault="00B7115A">
            <w:pPr>
              <w:spacing w:line="408" w:lineRule="auto"/>
              <w:jc w:val="center"/>
              <w:rPr>
                <w:sz w:val="21"/>
              </w:rPr>
            </w:pPr>
            <w:r>
              <w:rPr>
                <w:sz w:val="21"/>
              </w:rPr>
              <w:t>31.3</w:t>
            </w:r>
          </w:p>
        </w:tc>
        <w:tc>
          <w:tcPr>
            <w:tcW w:w="791" w:type="dxa"/>
            <w:tcBorders>
              <w:top w:val="nil"/>
              <w:left w:val="nil"/>
            </w:tcBorders>
          </w:tcPr>
          <w:p w:rsidR="00000000" w:rsidRDefault="00B7115A">
            <w:pPr>
              <w:spacing w:line="408" w:lineRule="auto"/>
              <w:jc w:val="center"/>
              <w:rPr>
                <w:sz w:val="21"/>
              </w:rPr>
            </w:pPr>
            <w:r>
              <w:rPr>
                <w:sz w:val="21"/>
              </w:rPr>
              <w:t>19.8</w:t>
            </w:r>
          </w:p>
        </w:tc>
      </w:tr>
      <w:tr w:rsidR="00000000">
        <w:tblPrEx>
          <w:tblCellMar>
            <w:top w:w="0" w:type="dxa"/>
            <w:bottom w:w="0" w:type="dxa"/>
          </w:tblCellMar>
        </w:tblPrEx>
        <w:tc>
          <w:tcPr>
            <w:tcW w:w="1828" w:type="dxa"/>
            <w:tcBorders>
              <w:right w:val="nil"/>
            </w:tcBorders>
          </w:tcPr>
          <w:p w:rsidR="00000000" w:rsidRDefault="00B7115A">
            <w:pPr>
              <w:spacing w:line="408" w:lineRule="auto"/>
              <w:ind w:left="113"/>
              <w:rPr>
                <w:sz w:val="18"/>
              </w:rPr>
            </w:pPr>
            <w:r>
              <w:rPr>
                <w:rFonts w:hint="eastAsia"/>
                <w:sz w:val="18"/>
              </w:rPr>
              <w:t>楚河州</w:t>
            </w:r>
          </w:p>
        </w:tc>
        <w:tc>
          <w:tcPr>
            <w:tcW w:w="108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18.2</w:t>
            </w:r>
          </w:p>
        </w:tc>
        <w:tc>
          <w:tcPr>
            <w:tcW w:w="720" w:type="dxa"/>
            <w:tcBorders>
              <w:left w:val="nil"/>
              <w:right w:val="nil"/>
            </w:tcBorders>
          </w:tcPr>
          <w:p w:rsidR="00000000" w:rsidRDefault="00B7115A">
            <w:pPr>
              <w:spacing w:line="408" w:lineRule="auto"/>
              <w:jc w:val="center"/>
              <w:rPr>
                <w:sz w:val="21"/>
              </w:rPr>
            </w:pPr>
            <w:r>
              <w:rPr>
                <w:sz w:val="21"/>
              </w:rPr>
              <w:t>17.8</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18.3</w:t>
            </w:r>
          </w:p>
        </w:tc>
        <w:tc>
          <w:tcPr>
            <w:tcW w:w="1080" w:type="dxa"/>
            <w:tcBorders>
              <w:left w:val="nil"/>
              <w:right w:val="nil"/>
            </w:tcBorders>
          </w:tcPr>
          <w:p w:rsidR="00000000" w:rsidRDefault="00B7115A">
            <w:pPr>
              <w:spacing w:line="408" w:lineRule="auto"/>
              <w:jc w:val="center"/>
              <w:rPr>
                <w:sz w:val="21"/>
              </w:rPr>
            </w:pPr>
            <w:r>
              <w:rPr>
                <w:sz w:val="21"/>
              </w:rPr>
              <w:t>18.3</w:t>
            </w:r>
          </w:p>
        </w:tc>
        <w:tc>
          <w:tcPr>
            <w:tcW w:w="72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20.1</w:t>
            </w:r>
          </w:p>
        </w:tc>
        <w:tc>
          <w:tcPr>
            <w:tcW w:w="720" w:type="dxa"/>
            <w:tcBorders>
              <w:left w:val="nil"/>
              <w:right w:val="nil"/>
            </w:tcBorders>
          </w:tcPr>
          <w:p w:rsidR="00000000" w:rsidRDefault="00B7115A">
            <w:pPr>
              <w:spacing w:line="408" w:lineRule="auto"/>
              <w:jc w:val="center"/>
              <w:rPr>
                <w:sz w:val="21"/>
              </w:rPr>
            </w:pPr>
            <w:r>
              <w:rPr>
                <w:sz w:val="21"/>
              </w:rPr>
              <w:t>17.9</w:t>
            </w:r>
          </w:p>
        </w:tc>
        <w:tc>
          <w:tcPr>
            <w:tcW w:w="960" w:type="dxa"/>
            <w:tcBorders>
              <w:top w:val="nil"/>
              <w:left w:val="single" w:sz="6" w:space="0" w:color="auto"/>
              <w:bottom w:val="nil"/>
              <w:right w:val="single" w:sz="6" w:space="0" w:color="auto"/>
            </w:tcBorders>
          </w:tcPr>
          <w:p w:rsidR="00000000" w:rsidRDefault="00B7115A">
            <w:pPr>
              <w:spacing w:line="408" w:lineRule="auto"/>
              <w:jc w:val="center"/>
              <w:rPr>
                <w:sz w:val="21"/>
              </w:rPr>
            </w:pPr>
            <w:r>
              <w:rPr>
                <w:sz w:val="21"/>
              </w:rPr>
              <w:t>17.0</w:t>
            </w:r>
          </w:p>
        </w:tc>
        <w:tc>
          <w:tcPr>
            <w:tcW w:w="791" w:type="dxa"/>
            <w:tcBorders>
              <w:top w:val="nil"/>
              <w:left w:val="nil"/>
              <w:bottom w:val="nil"/>
              <w:right w:val="single" w:sz="6" w:space="0" w:color="auto"/>
            </w:tcBorders>
          </w:tcPr>
          <w:p w:rsidR="00000000" w:rsidRDefault="00B7115A">
            <w:pPr>
              <w:spacing w:line="408" w:lineRule="auto"/>
              <w:jc w:val="center"/>
              <w:rPr>
                <w:sz w:val="21"/>
              </w:rPr>
            </w:pPr>
            <w:r>
              <w:rPr>
                <w:sz w:val="21"/>
              </w:rPr>
              <w:t>17.6</w:t>
            </w:r>
          </w:p>
        </w:tc>
        <w:tc>
          <w:tcPr>
            <w:tcW w:w="791" w:type="dxa"/>
            <w:tcBorders>
              <w:left w:val="nil"/>
            </w:tcBorders>
          </w:tcPr>
          <w:p w:rsidR="00000000" w:rsidRDefault="00B7115A">
            <w:pPr>
              <w:spacing w:line="408" w:lineRule="auto"/>
              <w:jc w:val="center"/>
              <w:rPr>
                <w:sz w:val="21"/>
              </w:rPr>
            </w:pPr>
            <w:r>
              <w:rPr>
                <w:sz w:val="21"/>
              </w:rPr>
              <w:t>16.9</w:t>
            </w:r>
          </w:p>
        </w:tc>
      </w:tr>
      <w:tr w:rsidR="00000000">
        <w:tblPrEx>
          <w:tblCellMar>
            <w:top w:w="0" w:type="dxa"/>
            <w:bottom w:w="0" w:type="dxa"/>
          </w:tblCellMar>
        </w:tblPrEx>
        <w:tc>
          <w:tcPr>
            <w:tcW w:w="1828" w:type="dxa"/>
            <w:tcBorders>
              <w:right w:val="nil"/>
            </w:tcBorders>
          </w:tcPr>
          <w:p w:rsidR="00000000" w:rsidRDefault="00B7115A">
            <w:pPr>
              <w:spacing w:line="408" w:lineRule="auto"/>
              <w:ind w:left="113"/>
              <w:rPr>
                <w:sz w:val="18"/>
              </w:rPr>
            </w:pPr>
            <w:r>
              <w:rPr>
                <w:rFonts w:hint="eastAsia"/>
                <w:sz w:val="18"/>
              </w:rPr>
              <w:t>比什凯克</w:t>
            </w:r>
          </w:p>
        </w:tc>
        <w:tc>
          <w:tcPr>
            <w:tcW w:w="1080" w:type="dxa"/>
            <w:tcBorders>
              <w:top w:val="nil"/>
              <w:left w:val="single" w:sz="6" w:space="0" w:color="auto"/>
              <w:bottom w:val="single" w:sz="6" w:space="0" w:color="auto"/>
              <w:right w:val="single" w:sz="6" w:space="0" w:color="auto"/>
            </w:tcBorders>
          </w:tcPr>
          <w:p w:rsidR="00000000" w:rsidRDefault="00B7115A">
            <w:pPr>
              <w:spacing w:line="408" w:lineRule="auto"/>
              <w:jc w:val="center"/>
              <w:rPr>
                <w:sz w:val="21"/>
              </w:rPr>
            </w:pPr>
            <w:r>
              <w:rPr>
                <w:sz w:val="21"/>
              </w:rPr>
              <w:t>44.1</w:t>
            </w:r>
          </w:p>
        </w:tc>
        <w:tc>
          <w:tcPr>
            <w:tcW w:w="720" w:type="dxa"/>
            <w:tcBorders>
              <w:left w:val="nil"/>
              <w:right w:val="nil"/>
            </w:tcBorders>
          </w:tcPr>
          <w:p w:rsidR="00000000" w:rsidRDefault="00B7115A">
            <w:pPr>
              <w:spacing w:line="408" w:lineRule="auto"/>
              <w:jc w:val="center"/>
              <w:rPr>
                <w:sz w:val="21"/>
              </w:rPr>
            </w:pPr>
            <w:r>
              <w:rPr>
                <w:sz w:val="21"/>
              </w:rPr>
              <w:t>44.2</w:t>
            </w:r>
          </w:p>
        </w:tc>
        <w:tc>
          <w:tcPr>
            <w:tcW w:w="720" w:type="dxa"/>
            <w:tcBorders>
              <w:top w:val="nil"/>
              <w:left w:val="single" w:sz="6" w:space="0" w:color="auto"/>
              <w:bottom w:val="single" w:sz="6" w:space="0" w:color="auto"/>
              <w:right w:val="single" w:sz="6" w:space="0" w:color="auto"/>
            </w:tcBorders>
          </w:tcPr>
          <w:p w:rsidR="00000000" w:rsidRDefault="00B7115A">
            <w:pPr>
              <w:spacing w:line="408" w:lineRule="auto"/>
              <w:jc w:val="center"/>
              <w:rPr>
                <w:sz w:val="21"/>
              </w:rPr>
            </w:pPr>
            <w:r>
              <w:rPr>
                <w:sz w:val="21"/>
              </w:rPr>
              <w:t>33.1</w:t>
            </w:r>
          </w:p>
        </w:tc>
        <w:tc>
          <w:tcPr>
            <w:tcW w:w="1080" w:type="dxa"/>
            <w:tcBorders>
              <w:left w:val="nil"/>
              <w:right w:val="nil"/>
            </w:tcBorders>
          </w:tcPr>
          <w:p w:rsidR="00000000" w:rsidRDefault="00B7115A">
            <w:pPr>
              <w:spacing w:line="408" w:lineRule="auto"/>
              <w:jc w:val="center"/>
              <w:rPr>
                <w:sz w:val="21"/>
              </w:rPr>
            </w:pPr>
            <w:r>
              <w:rPr>
                <w:sz w:val="21"/>
              </w:rPr>
              <w:t>37.1</w:t>
            </w:r>
          </w:p>
        </w:tc>
        <w:tc>
          <w:tcPr>
            <w:tcW w:w="720" w:type="dxa"/>
            <w:tcBorders>
              <w:top w:val="nil"/>
              <w:left w:val="single" w:sz="6" w:space="0" w:color="auto"/>
              <w:bottom w:val="single" w:sz="6" w:space="0" w:color="auto"/>
              <w:right w:val="single" w:sz="6" w:space="0" w:color="auto"/>
            </w:tcBorders>
          </w:tcPr>
          <w:p w:rsidR="00000000" w:rsidRDefault="00B7115A">
            <w:pPr>
              <w:spacing w:line="408" w:lineRule="auto"/>
              <w:jc w:val="center"/>
              <w:rPr>
                <w:sz w:val="21"/>
              </w:rPr>
            </w:pPr>
            <w:r>
              <w:rPr>
                <w:sz w:val="21"/>
              </w:rPr>
              <w:t>37.6</w:t>
            </w:r>
          </w:p>
        </w:tc>
        <w:tc>
          <w:tcPr>
            <w:tcW w:w="720" w:type="dxa"/>
            <w:tcBorders>
              <w:left w:val="nil"/>
              <w:right w:val="nil"/>
            </w:tcBorders>
          </w:tcPr>
          <w:p w:rsidR="00000000" w:rsidRDefault="00B7115A">
            <w:pPr>
              <w:spacing w:line="408" w:lineRule="auto"/>
              <w:jc w:val="center"/>
              <w:rPr>
                <w:sz w:val="21"/>
              </w:rPr>
            </w:pPr>
            <w:r>
              <w:rPr>
                <w:sz w:val="21"/>
              </w:rPr>
              <w:t>21.7</w:t>
            </w:r>
          </w:p>
        </w:tc>
        <w:tc>
          <w:tcPr>
            <w:tcW w:w="960" w:type="dxa"/>
            <w:tcBorders>
              <w:top w:val="nil"/>
              <w:left w:val="single" w:sz="6" w:space="0" w:color="auto"/>
              <w:bottom w:val="single" w:sz="6" w:space="0" w:color="auto"/>
              <w:right w:val="single" w:sz="6" w:space="0" w:color="auto"/>
            </w:tcBorders>
          </w:tcPr>
          <w:p w:rsidR="00000000" w:rsidRDefault="00B7115A">
            <w:pPr>
              <w:spacing w:line="408" w:lineRule="auto"/>
              <w:jc w:val="center"/>
              <w:rPr>
                <w:sz w:val="21"/>
              </w:rPr>
            </w:pPr>
            <w:r>
              <w:rPr>
                <w:sz w:val="21"/>
              </w:rPr>
              <w:t>30.3</w:t>
            </w:r>
          </w:p>
        </w:tc>
        <w:tc>
          <w:tcPr>
            <w:tcW w:w="791" w:type="dxa"/>
            <w:tcBorders>
              <w:top w:val="nil"/>
              <w:left w:val="nil"/>
              <w:bottom w:val="single" w:sz="6" w:space="0" w:color="auto"/>
              <w:right w:val="single" w:sz="6" w:space="0" w:color="auto"/>
            </w:tcBorders>
          </w:tcPr>
          <w:p w:rsidR="00000000" w:rsidRDefault="00B7115A">
            <w:pPr>
              <w:spacing w:line="408" w:lineRule="auto"/>
              <w:jc w:val="center"/>
              <w:rPr>
                <w:sz w:val="21"/>
              </w:rPr>
            </w:pPr>
            <w:r>
              <w:rPr>
                <w:sz w:val="21"/>
              </w:rPr>
              <w:t>30.1</w:t>
            </w:r>
          </w:p>
        </w:tc>
        <w:tc>
          <w:tcPr>
            <w:tcW w:w="791" w:type="dxa"/>
            <w:tcBorders>
              <w:left w:val="nil"/>
            </w:tcBorders>
          </w:tcPr>
          <w:p w:rsidR="00000000" w:rsidRDefault="00B7115A">
            <w:pPr>
              <w:spacing w:line="408" w:lineRule="auto"/>
              <w:jc w:val="center"/>
              <w:rPr>
                <w:sz w:val="21"/>
              </w:rPr>
            </w:pPr>
            <w:r>
              <w:rPr>
                <w:sz w:val="21"/>
              </w:rPr>
              <w:t>66.7</w:t>
            </w:r>
          </w:p>
        </w:tc>
      </w:tr>
    </w:tbl>
    <w:p w:rsidR="00000000" w:rsidRDefault="00B7115A">
      <w:pPr>
        <w:spacing w:before="360"/>
        <w:textAlignment w:val="center"/>
      </w:pPr>
      <w:r>
        <w:rPr>
          <w:rFonts w:hint="eastAsia"/>
        </w:rPr>
        <w:t>死胎占围产死亡率的</w:t>
      </w:r>
      <w:r>
        <w:t>83%</w:t>
      </w:r>
      <w:r>
        <w:rPr>
          <w:rFonts w:hint="eastAsia"/>
        </w:rPr>
        <w:t>，即：死胎对新生儿期死亡数的比率是</w:t>
      </w:r>
      <w:r>
        <w:t>1</w:t>
      </w:r>
      <w:r>
        <w:rPr>
          <w:rFonts w:hint="eastAsia"/>
        </w:rPr>
        <w:t>比</w:t>
      </w:r>
      <w:r>
        <w:t>1.2</w:t>
      </w:r>
      <w:r>
        <w:rPr>
          <w:rFonts w:hint="eastAsia"/>
        </w:rPr>
        <w:t>。</w:t>
      </w:r>
    </w:p>
    <w:p w:rsidR="00000000" w:rsidRDefault="00B7115A">
      <w:pPr>
        <w:textAlignment w:val="center"/>
      </w:pPr>
      <w:r>
        <w:rPr>
          <w:rFonts w:hint="eastAsia"/>
        </w:rPr>
        <w:t>围产早期死亡人数占所有婴儿死亡人数的</w:t>
      </w:r>
      <w:r>
        <w:t>24.9%</w:t>
      </w:r>
      <w:r>
        <w:rPr>
          <w:rFonts w:hint="eastAsia"/>
        </w:rPr>
        <w:t>。</w:t>
      </w:r>
    </w:p>
    <w:p w:rsidR="00000000" w:rsidRDefault="00B7115A">
      <w:pPr>
        <w:pStyle w:val="Heading3"/>
        <w:spacing w:before="320"/>
        <w:textAlignment w:val="center"/>
      </w:pPr>
      <w:r>
        <w:br w:type="page"/>
      </w:r>
      <w:r>
        <w:rPr>
          <w:rFonts w:hint="eastAsia"/>
        </w:rPr>
        <w:t>吉尔吉斯斯坦围产期和新生儿死亡率</w:t>
      </w:r>
      <w:r>
        <w:rPr>
          <w:rFonts w:hint="eastAsia"/>
          <w:u w:val="none"/>
        </w:rPr>
        <w:t>、</w:t>
      </w:r>
      <w:r>
        <w:br/>
      </w:r>
      <w:r>
        <w:rPr>
          <w:rFonts w:hint="eastAsia"/>
        </w:rPr>
        <w:t>死胎和产妇死亡率的趋势</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868"/>
        <w:gridCol w:w="1386"/>
        <w:gridCol w:w="1386"/>
        <w:gridCol w:w="1386"/>
        <w:gridCol w:w="1386"/>
      </w:tblGrid>
      <w:tr w:rsidR="00000000">
        <w:tblPrEx>
          <w:tblCellMar>
            <w:top w:w="0" w:type="dxa"/>
            <w:bottom w:w="0" w:type="dxa"/>
          </w:tblCellMar>
        </w:tblPrEx>
        <w:tc>
          <w:tcPr>
            <w:tcW w:w="3868" w:type="dxa"/>
            <w:tcBorders>
              <w:bottom w:val="nil"/>
              <w:right w:val="nil"/>
            </w:tcBorders>
          </w:tcPr>
          <w:p w:rsidR="00000000" w:rsidRDefault="00B7115A">
            <w:pPr>
              <w:spacing w:before="160" w:after="40" w:line="288" w:lineRule="auto"/>
              <w:jc w:val="center"/>
              <w:rPr>
                <w:sz w:val="21"/>
              </w:rPr>
            </w:pPr>
          </w:p>
        </w:tc>
        <w:tc>
          <w:tcPr>
            <w:tcW w:w="1386" w:type="dxa"/>
            <w:tcBorders>
              <w:top w:val="single" w:sz="6" w:space="0" w:color="auto"/>
              <w:left w:val="single" w:sz="6" w:space="0" w:color="auto"/>
              <w:bottom w:val="nil"/>
              <w:right w:val="single" w:sz="6" w:space="0" w:color="auto"/>
            </w:tcBorders>
          </w:tcPr>
          <w:p w:rsidR="00000000" w:rsidRDefault="00B7115A">
            <w:pPr>
              <w:spacing w:before="160" w:after="40" w:line="288" w:lineRule="auto"/>
              <w:jc w:val="center"/>
              <w:rPr>
                <w:sz w:val="21"/>
              </w:rPr>
            </w:pPr>
            <w:r>
              <w:rPr>
                <w:sz w:val="21"/>
              </w:rPr>
              <w:t>1993</w:t>
            </w:r>
            <w:r>
              <w:rPr>
                <w:rFonts w:hint="eastAsia"/>
                <w:sz w:val="21"/>
              </w:rPr>
              <w:t>年</w:t>
            </w:r>
          </w:p>
        </w:tc>
        <w:tc>
          <w:tcPr>
            <w:tcW w:w="1386" w:type="dxa"/>
            <w:tcBorders>
              <w:left w:val="nil"/>
              <w:bottom w:val="nil"/>
              <w:right w:val="nil"/>
            </w:tcBorders>
          </w:tcPr>
          <w:p w:rsidR="00000000" w:rsidRDefault="00B7115A">
            <w:pPr>
              <w:spacing w:before="160" w:after="40" w:line="288" w:lineRule="auto"/>
              <w:jc w:val="center"/>
              <w:rPr>
                <w:sz w:val="21"/>
              </w:rPr>
            </w:pPr>
            <w:r>
              <w:rPr>
                <w:sz w:val="21"/>
              </w:rPr>
              <w:t>1994</w:t>
            </w:r>
            <w:r>
              <w:rPr>
                <w:rFonts w:hint="eastAsia"/>
                <w:sz w:val="21"/>
              </w:rPr>
              <w:t>年</w:t>
            </w:r>
          </w:p>
        </w:tc>
        <w:tc>
          <w:tcPr>
            <w:tcW w:w="1386" w:type="dxa"/>
            <w:tcBorders>
              <w:top w:val="single" w:sz="6" w:space="0" w:color="auto"/>
              <w:left w:val="single" w:sz="6" w:space="0" w:color="auto"/>
              <w:bottom w:val="nil"/>
              <w:right w:val="single" w:sz="6" w:space="0" w:color="auto"/>
            </w:tcBorders>
          </w:tcPr>
          <w:p w:rsidR="00000000" w:rsidRDefault="00B7115A">
            <w:pPr>
              <w:spacing w:before="160" w:after="40" w:line="288" w:lineRule="auto"/>
              <w:jc w:val="center"/>
              <w:rPr>
                <w:sz w:val="21"/>
              </w:rPr>
            </w:pPr>
            <w:r>
              <w:rPr>
                <w:sz w:val="21"/>
              </w:rPr>
              <w:t>1995</w:t>
            </w:r>
            <w:r>
              <w:rPr>
                <w:rFonts w:hint="eastAsia"/>
                <w:sz w:val="21"/>
              </w:rPr>
              <w:t>年</w:t>
            </w:r>
          </w:p>
        </w:tc>
        <w:tc>
          <w:tcPr>
            <w:tcW w:w="1386" w:type="dxa"/>
            <w:tcBorders>
              <w:left w:val="nil"/>
              <w:bottom w:val="nil"/>
            </w:tcBorders>
          </w:tcPr>
          <w:p w:rsidR="00000000" w:rsidRDefault="00B7115A">
            <w:pPr>
              <w:spacing w:before="160" w:after="40" w:line="288" w:lineRule="auto"/>
              <w:jc w:val="center"/>
              <w:rPr>
                <w:sz w:val="21"/>
              </w:rPr>
            </w:pPr>
            <w:r>
              <w:rPr>
                <w:sz w:val="21"/>
              </w:rPr>
              <w:t>1996</w:t>
            </w:r>
            <w:r>
              <w:rPr>
                <w:rFonts w:hint="eastAsia"/>
                <w:sz w:val="21"/>
              </w:rPr>
              <w:t>年</w:t>
            </w:r>
          </w:p>
        </w:tc>
      </w:tr>
      <w:tr w:rsidR="00000000">
        <w:tblPrEx>
          <w:tblCellMar>
            <w:top w:w="0" w:type="dxa"/>
            <w:bottom w:w="0" w:type="dxa"/>
          </w:tblCellMar>
        </w:tblPrEx>
        <w:tc>
          <w:tcPr>
            <w:tcW w:w="3868" w:type="dxa"/>
            <w:tcBorders>
              <w:top w:val="single" w:sz="6" w:space="0" w:color="auto"/>
              <w:bottom w:val="nil"/>
              <w:right w:val="nil"/>
            </w:tcBorders>
          </w:tcPr>
          <w:p w:rsidR="00000000" w:rsidRDefault="00B7115A">
            <w:pPr>
              <w:spacing w:before="120"/>
              <w:ind w:left="113"/>
              <w:rPr>
                <w:sz w:val="21"/>
              </w:rPr>
            </w:pPr>
            <w:r>
              <w:rPr>
                <w:rFonts w:hint="eastAsia"/>
                <w:sz w:val="21"/>
              </w:rPr>
              <w:t>每</w:t>
            </w:r>
            <w:r>
              <w:rPr>
                <w:sz w:val="21"/>
              </w:rPr>
              <w:t>1,000</w:t>
            </w:r>
            <w:r>
              <w:rPr>
                <w:rFonts w:hint="eastAsia"/>
                <w:sz w:val="21"/>
              </w:rPr>
              <w:t>活产和死胎围产期死亡率</w:t>
            </w:r>
          </w:p>
        </w:tc>
        <w:tc>
          <w:tcPr>
            <w:tcW w:w="1386"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spacing w:before="120"/>
              <w:rPr>
                <w:sz w:val="21"/>
              </w:rPr>
            </w:pPr>
            <w:r>
              <w:rPr>
                <w:sz w:val="21"/>
              </w:rPr>
              <w:t>14.0</w:t>
            </w:r>
          </w:p>
        </w:tc>
        <w:tc>
          <w:tcPr>
            <w:tcW w:w="1386" w:type="dxa"/>
            <w:tcBorders>
              <w:top w:val="single" w:sz="6" w:space="0" w:color="auto"/>
              <w:left w:val="nil"/>
              <w:bottom w:val="nil"/>
              <w:right w:val="nil"/>
            </w:tcBorders>
          </w:tcPr>
          <w:p w:rsidR="00000000" w:rsidRDefault="00B7115A">
            <w:pPr>
              <w:tabs>
                <w:tab w:val="clear" w:pos="510"/>
                <w:tab w:val="clear" w:pos="1021"/>
                <w:tab w:val="clear" w:pos="1531"/>
                <w:tab w:val="clear" w:pos="2041"/>
                <w:tab w:val="decimal" w:pos="692"/>
              </w:tabs>
              <w:spacing w:before="120"/>
              <w:rPr>
                <w:sz w:val="21"/>
              </w:rPr>
            </w:pPr>
            <w:r>
              <w:rPr>
                <w:sz w:val="21"/>
              </w:rPr>
              <w:t>12.1</w:t>
            </w:r>
          </w:p>
        </w:tc>
        <w:tc>
          <w:tcPr>
            <w:tcW w:w="1386"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spacing w:before="120"/>
              <w:rPr>
                <w:sz w:val="21"/>
              </w:rPr>
            </w:pPr>
            <w:r>
              <w:rPr>
                <w:sz w:val="21"/>
              </w:rPr>
              <w:t>12.</w:t>
            </w:r>
            <w:r>
              <w:rPr>
                <w:sz w:val="21"/>
              </w:rPr>
              <w:t>3</w:t>
            </w:r>
          </w:p>
        </w:tc>
        <w:tc>
          <w:tcPr>
            <w:tcW w:w="1386" w:type="dxa"/>
            <w:tcBorders>
              <w:top w:val="single" w:sz="6" w:space="0" w:color="auto"/>
              <w:left w:val="nil"/>
              <w:bottom w:val="nil"/>
            </w:tcBorders>
          </w:tcPr>
          <w:p w:rsidR="00000000" w:rsidRDefault="00B7115A">
            <w:pPr>
              <w:tabs>
                <w:tab w:val="clear" w:pos="510"/>
                <w:tab w:val="clear" w:pos="1021"/>
                <w:tab w:val="clear" w:pos="1531"/>
                <w:tab w:val="clear" w:pos="2041"/>
                <w:tab w:val="decimal" w:pos="692"/>
              </w:tabs>
              <w:spacing w:before="120"/>
              <w:rPr>
                <w:sz w:val="21"/>
              </w:rPr>
            </w:pPr>
            <w:r>
              <w:rPr>
                <w:sz w:val="21"/>
              </w:rPr>
              <w:t>12.5</w:t>
            </w:r>
          </w:p>
        </w:tc>
      </w:tr>
      <w:tr w:rsidR="00000000">
        <w:tblPrEx>
          <w:tblCellMar>
            <w:top w:w="0" w:type="dxa"/>
            <w:bottom w:w="0" w:type="dxa"/>
          </w:tblCellMar>
        </w:tblPrEx>
        <w:tc>
          <w:tcPr>
            <w:tcW w:w="3868" w:type="dxa"/>
            <w:tcBorders>
              <w:top w:val="nil"/>
              <w:right w:val="nil"/>
            </w:tcBorders>
          </w:tcPr>
          <w:p w:rsidR="00000000" w:rsidRDefault="00B7115A">
            <w:pPr>
              <w:ind w:left="113"/>
              <w:rPr>
                <w:sz w:val="21"/>
              </w:rPr>
            </w:pPr>
            <w:r>
              <w:rPr>
                <w:rFonts w:hint="eastAsia"/>
                <w:sz w:val="21"/>
              </w:rPr>
              <w:t>新生儿死亡率</w:t>
            </w:r>
            <w:r>
              <w:rPr>
                <w:sz w:val="21"/>
              </w:rPr>
              <w:t>(</w:t>
            </w:r>
            <w:r>
              <w:rPr>
                <w:rFonts w:hint="eastAsia"/>
                <w:sz w:val="21"/>
              </w:rPr>
              <w:t>每</w:t>
            </w:r>
            <w:r>
              <w:rPr>
                <w:sz w:val="21"/>
              </w:rPr>
              <w:t>1,000</w:t>
            </w:r>
            <w:r>
              <w:rPr>
                <w:rFonts w:hint="eastAsia"/>
                <w:sz w:val="21"/>
              </w:rPr>
              <w:t>活产</w:t>
            </w:r>
            <w:r>
              <w:rPr>
                <w:sz w:val="21"/>
              </w:rPr>
              <w:t>)</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7.5</w:t>
            </w:r>
          </w:p>
        </w:tc>
        <w:tc>
          <w:tcPr>
            <w:tcW w:w="1386" w:type="dxa"/>
            <w:tcBorders>
              <w:top w:val="nil"/>
              <w:left w:val="nil"/>
              <w:right w:val="nil"/>
            </w:tcBorders>
          </w:tcPr>
          <w:p w:rsidR="00000000" w:rsidRDefault="00B7115A">
            <w:pPr>
              <w:tabs>
                <w:tab w:val="clear" w:pos="510"/>
                <w:tab w:val="clear" w:pos="1021"/>
                <w:tab w:val="clear" w:pos="1531"/>
                <w:tab w:val="clear" w:pos="2041"/>
                <w:tab w:val="decimal" w:pos="692"/>
              </w:tabs>
              <w:rPr>
                <w:sz w:val="21"/>
              </w:rPr>
            </w:pPr>
            <w:r>
              <w:rPr>
                <w:sz w:val="21"/>
              </w:rPr>
              <w:t>6.5</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6.4</w:t>
            </w:r>
          </w:p>
        </w:tc>
        <w:tc>
          <w:tcPr>
            <w:tcW w:w="1386" w:type="dxa"/>
            <w:tcBorders>
              <w:top w:val="nil"/>
              <w:left w:val="nil"/>
            </w:tcBorders>
          </w:tcPr>
          <w:p w:rsidR="00000000" w:rsidRDefault="00B7115A">
            <w:pPr>
              <w:tabs>
                <w:tab w:val="clear" w:pos="510"/>
                <w:tab w:val="clear" w:pos="1021"/>
                <w:tab w:val="clear" w:pos="1531"/>
                <w:tab w:val="clear" w:pos="2041"/>
                <w:tab w:val="decimal" w:pos="692"/>
              </w:tabs>
              <w:rPr>
                <w:sz w:val="21"/>
              </w:rPr>
            </w:pPr>
            <w:r>
              <w:rPr>
                <w:sz w:val="21"/>
              </w:rPr>
              <w:t>6.1</w:t>
            </w:r>
          </w:p>
        </w:tc>
      </w:tr>
      <w:tr w:rsidR="00000000">
        <w:tblPrEx>
          <w:tblCellMar>
            <w:top w:w="0" w:type="dxa"/>
            <w:bottom w:w="0" w:type="dxa"/>
          </w:tblCellMar>
        </w:tblPrEx>
        <w:tc>
          <w:tcPr>
            <w:tcW w:w="3868" w:type="dxa"/>
            <w:tcBorders>
              <w:right w:val="nil"/>
            </w:tcBorders>
          </w:tcPr>
          <w:p w:rsidR="00000000" w:rsidRDefault="00B7115A">
            <w:pPr>
              <w:ind w:left="113"/>
              <w:rPr>
                <w:sz w:val="21"/>
              </w:rPr>
            </w:pPr>
            <w:r>
              <w:rPr>
                <w:rFonts w:hint="eastAsia"/>
                <w:sz w:val="21"/>
              </w:rPr>
              <w:t>死胎</w:t>
            </w:r>
            <w:r>
              <w:rPr>
                <w:sz w:val="21"/>
              </w:rPr>
              <w:t>(</w:t>
            </w:r>
            <w:r>
              <w:rPr>
                <w:rFonts w:hint="eastAsia"/>
                <w:sz w:val="21"/>
              </w:rPr>
              <w:t>第</w:t>
            </w:r>
            <w:r>
              <w:rPr>
                <w:sz w:val="21"/>
              </w:rPr>
              <w:t>1,000</w:t>
            </w:r>
            <w:r>
              <w:rPr>
                <w:rFonts w:hint="eastAsia"/>
                <w:sz w:val="21"/>
              </w:rPr>
              <w:t>活产和死胎</w:t>
            </w:r>
            <w:r>
              <w:rPr>
                <w:sz w:val="21"/>
              </w:rPr>
              <w:t>)</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6.6</w:t>
            </w:r>
          </w:p>
        </w:tc>
        <w:tc>
          <w:tcPr>
            <w:tcW w:w="1386" w:type="dxa"/>
            <w:tcBorders>
              <w:left w:val="nil"/>
              <w:right w:val="nil"/>
            </w:tcBorders>
          </w:tcPr>
          <w:p w:rsidR="00000000" w:rsidRDefault="00B7115A">
            <w:pPr>
              <w:tabs>
                <w:tab w:val="clear" w:pos="510"/>
                <w:tab w:val="clear" w:pos="1021"/>
                <w:tab w:val="clear" w:pos="1531"/>
                <w:tab w:val="clear" w:pos="2041"/>
                <w:tab w:val="decimal" w:pos="692"/>
              </w:tabs>
              <w:rPr>
                <w:sz w:val="21"/>
              </w:rPr>
            </w:pPr>
            <w:r>
              <w:rPr>
                <w:sz w:val="21"/>
              </w:rPr>
              <w:t>5.7</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5.9</w:t>
            </w:r>
          </w:p>
        </w:tc>
        <w:tc>
          <w:tcPr>
            <w:tcW w:w="1386" w:type="dxa"/>
            <w:tcBorders>
              <w:left w:val="nil"/>
            </w:tcBorders>
          </w:tcPr>
          <w:p w:rsidR="00000000" w:rsidRDefault="00B7115A">
            <w:pPr>
              <w:tabs>
                <w:tab w:val="clear" w:pos="510"/>
                <w:tab w:val="clear" w:pos="1021"/>
                <w:tab w:val="clear" w:pos="1531"/>
                <w:tab w:val="clear" w:pos="2041"/>
                <w:tab w:val="decimal" w:pos="692"/>
              </w:tabs>
              <w:rPr>
                <w:sz w:val="21"/>
              </w:rPr>
            </w:pPr>
            <w:r>
              <w:rPr>
                <w:sz w:val="21"/>
              </w:rPr>
              <w:t>6.3</w:t>
            </w:r>
          </w:p>
        </w:tc>
      </w:tr>
      <w:tr w:rsidR="00000000">
        <w:tblPrEx>
          <w:tblCellMar>
            <w:top w:w="0" w:type="dxa"/>
            <w:bottom w:w="0" w:type="dxa"/>
          </w:tblCellMar>
        </w:tblPrEx>
        <w:tc>
          <w:tcPr>
            <w:tcW w:w="3868" w:type="dxa"/>
            <w:tcBorders>
              <w:right w:val="nil"/>
            </w:tcBorders>
          </w:tcPr>
          <w:p w:rsidR="00000000" w:rsidRDefault="00B7115A">
            <w:pPr>
              <w:ind w:left="113"/>
              <w:rPr>
                <w:sz w:val="21"/>
              </w:rPr>
            </w:pPr>
            <w:r>
              <w:rPr>
                <w:rFonts w:hint="eastAsia"/>
                <w:sz w:val="21"/>
              </w:rPr>
              <w:t>婴儿死亡率</w:t>
            </w:r>
            <w:r>
              <w:rPr>
                <w:sz w:val="21"/>
              </w:rPr>
              <w:t>(</w:t>
            </w:r>
            <w:r>
              <w:rPr>
                <w:rFonts w:hint="eastAsia"/>
                <w:sz w:val="21"/>
              </w:rPr>
              <w:t>每</w:t>
            </w:r>
            <w:r>
              <w:rPr>
                <w:sz w:val="21"/>
              </w:rPr>
              <w:t>1,000</w:t>
            </w:r>
            <w:r>
              <w:rPr>
                <w:rFonts w:hint="eastAsia"/>
                <w:sz w:val="21"/>
              </w:rPr>
              <w:t>活产</w:t>
            </w:r>
            <w:r>
              <w:rPr>
                <w:sz w:val="21"/>
              </w:rPr>
              <w:t>)</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31.9</w:t>
            </w:r>
          </w:p>
        </w:tc>
        <w:tc>
          <w:tcPr>
            <w:tcW w:w="1386" w:type="dxa"/>
            <w:tcBorders>
              <w:left w:val="nil"/>
              <w:right w:val="nil"/>
            </w:tcBorders>
          </w:tcPr>
          <w:p w:rsidR="00000000" w:rsidRDefault="00B7115A">
            <w:pPr>
              <w:tabs>
                <w:tab w:val="clear" w:pos="510"/>
                <w:tab w:val="clear" w:pos="1021"/>
                <w:tab w:val="clear" w:pos="1531"/>
                <w:tab w:val="clear" w:pos="2041"/>
                <w:tab w:val="decimal" w:pos="692"/>
              </w:tabs>
              <w:rPr>
                <w:sz w:val="21"/>
              </w:rPr>
            </w:pPr>
            <w:r>
              <w:rPr>
                <w:sz w:val="21"/>
              </w:rPr>
              <w:t>29.1</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28.1</w:t>
            </w:r>
          </w:p>
        </w:tc>
        <w:tc>
          <w:tcPr>
            <w:tcW w:w="1386" w:type="dxa"/>
            <w:tcBorders>
              <w:left w:val="nil"/>
            </w:tcBorders>
          </w:tcPr>
          <w:p w:rsidR="00000000" w:rsidRDefault="00B7115A">
            <w:pPr>
              <w:tabs>
                <w:tab w:val="clear" w:pos="510"/>
                <w:tab w:val="clear" w:pos="1021"/>
                <w:tab w:val="clear" w:pos="1531"/>
                <w:tab w:val="clear" w:pos="2041"/>
                <w:tab w:val="decimal" w:pos="692"/>
              </w:tabs>
              <w:rPr>
                <w:sz w:val="21"/>
              </w:rPr>
            </w:pPr>
            <w:r>
              <w:rPr>
                <w:sz w:val="21"/>
              </w:rPr>
              <w:t>25.9</w:t>
            </w:r>
          </w:p>
        </w:tc>
      </w:tr>
      <w:tr w:rsidR="00000000">
        <w:tblPrEx>
          <w:tblCellMar>
            <w:top w:w="0" w:type="dxa"/>
            <w:bottom w:w="0" w:type="dxa"/>
          </w:tblCellMar>
        </w:tblPrEx>
        <w:tc>
          <w:tcPr>
            <w:tcW w:w="3868" w:type="dxa"/>
            <w:tcBorders>
              <w:right w:val="nil"/>
            </w:tcBorders>
          </w:tcPr>
          <w:p w:rsidR="00000000" w:rsidRDefault="00B7115A">
            <w:pPr>
              <w:ind w:left="113"/>
              <w:rPr>
                <w:sz w:val="21"/>
              </w:rPr>
            </w:pPr>
            <w:r>
              <w:rPr>
                <w:rFonts w:hint="eastAsia"/>
                <w:sz w:val="21"/>
              </w:rPr>
              <w:t>人口出生率</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26.1</w:t>
            </w:r>
          </w:p>
        </w:tc>
        <w:tc>
          <w:tcPr>
            <w:tcW w:w="1386" w:type="dxa"/>
            <w:tcBorders>
              <w:left w:val="nil"/>
              <w:right w:val="nil"/>
            </w:tcBorders>
          </w:tcPr>
          <w:p w:rsidR="00000000" w:rsidRDefault="00B7115A">
            <w:pPr>
              <w:tabs>
                <w:tab w:val="clear" w:pos="510"/>
                <w:tab w:val="clear" w:pos="1021"/>
                <w:tab w:val="clear" w:pos="1531"/>
                <w:tab w:val="clear" w:pos="2041"/>
                <w:tab w:val="decimal" w:pos="692"/>
              </w:tabs>
              <w:rPr>
                <w:sz w:val="21"/>
              </w:rPr>
            </w:pPr>
            <w:r>
              <w:rPr>
                <w:sz w:val="21"/>
              </w:rPr>
              <w:t>24.6</w:t>
            </w:r>
          </w:p>
        </w:tc>
        <w:tc>
          <w:tcPr>
            <w:tcW w:w="1386"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26.0</w:t>
            </w:r>
          </w:p>
        </w:tc>
        <w:tc>
          <w:tcPr>
            <w:tcW w:w="1386" w:type="dxa"/>
            <w:tcBorders>
              <w:left w:val="nil"/>
            </w:tcBorders>
          </w:tcPr>
          <w:p w:rsidR="00000000" w:rsidRDefault="00B7115A">
            <w:pPr>
              <w:tabs>
                <w:tab w:val="clear" w:pos="510"/>
                <w:tab w:val="clear" w:pos="1021"/>
                <w:tab w:val="clear" w:pos="1531"/>
                <w:tab w:val="clear" w:pos="2041"/>
                <w:tab w:val="decimal" w:pos="692"/>
              </w:tabs>
              <w:rPr>
                <w:sz w:val="21"/>
              </w:rPr>
            </w:pPr>
            <w:r>
              <w:rPr>
                <w:sz w:val="21"/>
              </w:rPr>
              <w:t>23.6</w:t>
            </w:r>
          </w:p>
        </w:tc>
      </w:tr>
      <w:tr w:rsidR="00000000">
        <w:tblPrEx>
          <w:tblCellMar>
            <w:top w:w="0" w:type="dxa"/>
            <w:bottom w:w="0" w:type="dxa"/>
          </w:tblCellMar>
        </w:tblPrEx>
        <w:tc>
          <w:tcPr>
            <w:tcW w:w="3868" w:type="dxa"/>
            <w:tcBorders>
              <w:right w:val="nil"/>
            </w:tcBorders>
          </w:tcPr>
          <w:p w:rsidR="00000000" w:rsidRDefault="00B7115A">
            <w:pPr>
              <w:ind w:left="113"/>
              <w:rPr>
                <w:sz w:val="21"/>
              </w:rPr>
            </w:pPr>
            <w:r>
              <w:rPr>
                <w:rFonts w:hint="eastAsia"/>
                <w:sz w:val="21"/>
              </w:rPr>
              <w:t>产妇死亡率</w:t>
            </w:r>
            <w:r>
              <w:rPr>
                <w:sz w:val="21"/>
              </w:rPr>
              <w:t>(</w:t>
            </w:r>
            <w:r>
              <w:rPr>
                <w:rFonts w:hint="eastAsia"/>
                <w:sz w:val="21"/>
              </w:rPr>
              <w:t>每</w:t>
            </w:r>
            <w:r>
              <w:rPr>
                <w:sz w:val="21"/>
              </w:rPr>
              <w:t>10</w:t>
            </w:r>
            <w:r>
              <w:rPr>
                <w:rFonts w:hint="eastAsia"/>
                <w:sz w:val="21"/>
              </w:rPr>
              <w:t>万例</w:t>
            </w:r>
            <w:r>
              <w:rPr>
                <w:sz w:val="21"/>
              </w:rPr>
              <w:t>)</w:t>
            </w:r>
          </w:p>
        </w:tc>
        <w:tc>
          <w:tcPr>
            <w:tcW w:w="1386"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80.1</w:t>
            </w:r>
          </w:p>
        </w:tc>
        <w:tc>
          <w:tcPr>
            <w:tcW w:w="1386" w:type="dxa"/>
            <w:tcBorders>
              <w:left w:val="nil"/>
              <w:right w:val="nil"/>
            </w:tcBorders>
          </w:tcPr>
          <w:p w:rsidR="00000000" w:rsidRDefault="00B7115A">
            <w:pPr>
              <w:tabs>
                <w:tab w:val="clear" w:pos="510"/>
                <w:tab w:val="clear" w:pos="1021"/>
                <w:tab w:val="clear" w:pos="1531"/>
                <w:tab w:val="clear" w:pos="2041"/>
                <w:tab w:val="decimal" w:pos="692"/>
              </w:tabs>
              <w:rPr>
                <w:sz w:val="21"/>
              </w:rPr>
            </w:pPr>
            <w:r>
              <w:rPr>
                <w:sz w:val="21"/>
              </w:rPr>
              <w:t>80.1</w:t>
            </w:r>
          </w:p>
        </w:tc>
        <w:tc>
          <w:tcPr>
            <w:tcW w:w="1386"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 w:val="decimal" w:pos="692"/>
              </w:tabs>
              <w:rPr>
                <w:sz w:val="21"/>
              </w:rPr>
            </w:pPr>
            <w:r>
              <w:rPr>
                <w:sz w:val="21"/>
              </w:rPr>
              <w:t>67.2</w:t>
            </w:r>
          </w:p>
        </w:tc>
        <w:tc>
          <w:tcPr>
            <w:tcW w:w="1386" w:type="dxa"/>
            <w:tcBorders>
              <w:left w:val="nil"/>
            </w:tcBorders>
          </w:tcPr>
          <w:p w:rsidR="00000000" w:rsidRDefault="00B7115A">
            <w:pPr>
              <w:tabs>
                <w:tab w:val="clear" w:pos="510"/>
                <w:tab w:val="clear" w:pos="1021"/>
                <w:tab w:val="clear" w:pos="1531"/>
                <w:tab w:val="clear" w:pos="2041"/>
                <w:tab w:val="decimal" w:pos="692"/>
              </w:tabs>
              <w:rPr>
                <w:sz w:val="21"/>
              </w:rPr>
            </w:pPr>
            <w:r>
              <w:rPr>
                <w:sz w:val="21"/>
              </w:rPr>
              <w:t>66.6</w:t>
            </w:r>
          </w:p>
        </w:tc>
      </w:tr>
    </w:tbl>
    <w:p w:rsidR="00000000" w:rsidRDefault="00B7115A">
      <w:pPr>
        <w:spacing w:before="320"/>
        <w:textAlignment w:val="center"/>
      </w:pPr>
      <w:r>
        <w:tab/>
        <w:t xml:space="preserve">212.  </w:t>
      </w:r>
      <w:r>
        <w:rPr>
          <w:rFonts w:hint="eastAsia"/>
        </w:rPr>
        <w:t>死胎的主要原因是非生殖器官疾病，加上助产士或接生错误。现在已注意确保从青春期起未孕妇女的保健。这包括：</w:t>
      </w:r>
    </w:p>
    <w:p w:rsidR="00000000" w:rsidRDefault="00B7115A">
      <w:pPr>
        <w:ind w:left="1036"/>
      </w:pPr>
      <w:r>
        <w:rPr>
          <w:rFonts w:hint="eastAsia"/>
        </w:rPr>
        <w:t>对青春期的妇科病进行预防和治疗；</w:t>
      </w:r>
    </w:p>
    <w:p w:rsidR="00000000" w:rsidRDefault="00B7115A">
      <w:pPr>
        <w:ind w:left="1036"/>
      </w:pPr>
      <w:r>
        <w:rPr>
          <w:rFonts w:hint="eastAsia"/>
        </w:rPr>
        <w:t>及时发现和治疗</w:t>
      </w:r>
      <w:r>
        <w:rPr>
          <w:rFonts w:hint="eastAsia"/>
        </w:rPr>
        <w:t>未孕妇女的非生殖器官疾病；</w:t>
      </w:r>
    </w:p>
    <w:p w:rsidR="00000000" w:rsidRDefault="00B7115A">
      <w:pPr>
        <w:ind w:left="1036"/>
      </w:pPr>
      <w:r>
        <w:rPr>
          <w:rFonts w:hint="eastAsia"/>
        </w:rPr>
        <w:t>对有尿道感染的风险人群的妇女进行治疗；</w:t>
      </w:r>
    </w:p>
    <w:p w:rsidR="00000000" w:rsidRDefault="00B7115A">
      <w:pPr>
        <w:ind w:left="1036"/>
      </w:pPr>
      <w:r>
        <w:rPr>
          <w:rFonts w:hint="eastAsia"/>
        </w:rPr>
        <w:t>遵守适当的生育间隔期。</w:t>
      </w:r>
    </w:p>
    <w:p w:rsidR="00000000" w:rsidRDefault="00B7115A">
      <w:r>
        <w:tab/>
        <w:t xml:space="preserve">213.  </w:t>
      </w:r>
      <w:r>
        <w:rPr>
          <w:rFonts w:hint="eastAsia"/>
        </w:rPr>
        <w:t>政府本身采取了“健康民族”全国计划和“妇婴安全”全国计划，规定了减少围产期死亡率和死胎的具体步骤。特别是，在比什凯克州和奥什州设立了围产期中心以便注意具有高度围产期综合症风险孕妇的病例。在塔拉斯州的围产期中心的建设即将结束。</w:t>
      </w:r>
    </w:p>
    <w:p w:rsidR="00000000" w:rsidRDefault="00B7115A">
      <w:r>
        <w:tab/>
        <w:t>214.  1997</w:t>
      </w:r>
      <w:r>
        <w:rPr>
          <w:rFonts w:hint="eastAsia"/>
        </w:rPr>
        <w:t>年</w:t>
      </w:r>
      <w:r>
        <w:t>9</w:t>
      </w:r>
      <w:r>
        <w:rPr>
          <w:rFonts w:hint="eastAsia"/>
        </w:rPr>
        <w:t>月</w:t>
      </w:r>
      <w:r>
        <w:t>26</w:t>
      </w:r>
      <w:r>
        <w:rPr>
          <w:rFonts w:hint="eastAsia"/>
        </w:rPr>
        <w:t>日，政府颁发了第</w:t>
      </w:r>
      <w:r>
        <w:t>560</w:t>
      </w:r>
      <w:r>
        <w:rPr>
          <w:rFonts w:hint="eastAsia"/>
        </w:rPr>
        <w:t>号决定，包括以下清单：</w:t>
      </w:r>
    </w:p>
    <w:p w:rsidR="00000000" w:rsidRDefault="00B7115A">
      <w:pPr>
        <w:ind w:left="1036"/>
      </w:pPr>
      <w:r>
        <w:rPr>
          <w:rFonts w:hint="eastAsia"/>
        </w:rPr>
        <w:t>有资格优惠享受出诊和门诊治疗的人；</w:t>
      </w:r>
    </w:p>
    <w:p w:rsidR="00000000" w:rsidRDefault="00B7115A">
      <w:pPr>
        <w:ind w:left="1036"/>
      </w:pPr>
      <w:r>
        <w:rPr>
          <w:rFonts w:hint="eastAsia"/>
        </w:rPr>
        <w:t>有资格免费补牙和纠正听力的人。</w:t>
      </w:r>
    </w:p>
    <w:p w:rsidR="00000000" w:rsidRDefault="00B7115A">
      <w:pPr>
        <w:pStyle w:val="Heading3"/>
        <w:spacing w:before="320"/>
        <w:textAlignment w:val="center"/>
      </w:pPr>
      <w:r>
        <w:rPr>
          <w:rFonts w:hint="eastAsia"/>
        </w:rPr>
        <w:t>第</w:t>
      </w:r>
      <w:r>
        <w:t xml:space="preserve"> 13 </w:t>
      </w:r>
      <w:r>
        <w:rPr>
          <w:rFonts w:hint="eastAsia"/>
        </w:rPr>
        <w:t>条</w:t>
      </w:r>
    </w:p>
    <w:p w:rsidR="00000000" w:rsidRDefault="00B7115A">
      <w:r>
        <w:tab/>
        <w:t xml:space="preserve">215.  </w:t>
      </w:r>
      <w:r>
        <w:rPr>
          <w:rFonts w:hint="eastAsia"/>
        </w:rPr>
        <w:t>在《宪</w:t>
      </w:r>
      <w:r>
        <w:rPr>
          <w:rFonts w:hint="eastAsia"/>
        </w:rPr>
        <w:t>法》和其他规范性法律文书中充分包括了有关教育的法律原则。特别自</w:t>
      </w:r>
      <w:r>
        <w:t>1992</w:t>
      </w:r>
      <w:r>
        <w:rPr>
          <w:rFonts w:hint="eastAsia"/>
        </w:rPr>
        <w:t>年通过《教育法》后，吉尔吉斯有关教育的法律基本上符合国际标准。该法宣布教育是社会制度内优先考虑的项目，是国家持续发展不可缺少的条件。</w:t>
      </w:r>
    </w:p>
    <w:p w:rsidR="00000000" w:rsidRDefault="00B7115A">
      <w:r>
        <w:tab/>
        <w:t xml:space="preserve">216.  </w:t>
      </w:r>
      <w:r>
        <w:rPr>
          <w:rFonts w:hint="eastAsia"/>
        </w:rPr>
        <w:t>根据《宪法》第</w:t>
      </w:r>
      <w:r>
        <w:t>32</w:t>
      </w:r>
      <w:r>
        <w:rPr>
          <w:rFonts w:hint="eastAsia"/>
        </w:rPr>
        <w:t>条，每个公民有权利获得教育。《教育法》第</w:t>
      </w:r>
      <w:r>
        <w:t>2</w:t>
      </w:r>
      <w:r>
        <w:rPr>
          <w:rFonts w:hint="eastAsia"/>
        </w:rPr>
        <w:t>条强调应该在没有歧视的情况下实现这一权利。</w:t>
      </w:r>
    </w:p>
    <w:p w:rsidR="00000000" w:rsidRDefault="00B7115A">
      <w:r>
        <w:tab/>
        <w:t xml:space="preserve">217.  </w:t>
      </w:r>
      <w:r>
        <w:rPr>
          <w:rFonts w:hint="eastAsia"/>
        </w:rPr>
        <w:t>吉尔吉斯斯坦的教育根据以下原则：</w:t>
      </w:r>
    </w:p>
    <w:p w:rsidR="00000000" w:rsidRDefault="00B7115A">
      <w:pPr>
        <w:ind w:left="1036"/>
      </w:pPr>
      <w:r>
        <w:tab/>
      </w:r>
      <w:r>
        <w:rPr>
          <w:rFonts w:hint="eastAsia"/>
        </w:rPr>
        <w:t>所有公民有同等的权利接受教育；</w:t>
      </w:r>
    </w:p>
    <w:p w:rsidR="00000000" w:rsidRDefault="00B7115A">
      <w:pPr>
        <w:ind w:left="1036"/>
      </w:pPr>
      <w:r>
        <w:tab/>
      </w:r>
      <w:r>
        <w:rPr>
          <w:rFonts w:hint="eastAsia"/>
        </w:rPr>
        <w:t>在国家教育标准的范围内国立机构内的教育必须是免费的，付费教育必须是切实可行的；</w:t>
      </w:r>
    </w:p>
    <w:p w:rsidR="00000000" w:rsidRDefault="00B7115A">
      <w:pPr>
        <w:ind w:left="1036"/>
      </w:pPr>
      <w:r>
        <w:tab/>
      </w:r>
      <w:r>
        <w:rPr>
          <w:rFonts w:hint="eastAsia"/>
        </w:rPr>
        <w:t>教育必须具有人道主义性质</w:t>
      </w:r>
      <w:r>
        <w:rPr>
          <w:rFonts w:hint="eastAsia"/>
        </w:rPr>
        <w:t>并应强调人类的共同价值；</w:t>
      </w:r>
    </w:p>
    <w:p w:rsidR="00000000" w:rsidRDefault="00B7115A">
      <w:pPr>
        <w:ind w:left="1036"/>
      </w:pPr>
      <w:r>
        <w:tab/>
      </w:r>
      <w:r>
        <w:rPr>
          <w:rFonts w:hint="eastAsia"/>
        </w:rPr>
        <w:t>教育应朝着学术成就和达到国际教育标准的方向努力；</w:t>
      </w:r>
    </w:p>
    <w:p w:rsidR="00000000" w:rsidRDefault="00B7115A">
      <w:pPr>
        <w:ind w:left="1036"/>
      </w:pPr>
      <w:r>
        <w:tab/>
      </w:r>
      <w:r>
        <w:rPr>
          <w:rFonts w:hint="eastAsia"/>
        </w:rPr>
        <w:t>教育必须是系统的和不间断的；</w:t>
      </w:r>
    </w:p>
    <w:p w:rsidR="00000000" w:rsidRDefault="00B7115A">
      <w:pPr>
        <w:ind w:left="1036"/>
      </w:pPr>
      <w:r>
        <w:tab/>
      </w:r>
      <w:r>
        <w:rPr>
          <w:rFonts w:hint="eastAsia"/>
        </w:rPr>
        <w:t>教育应独立于政治和宗教机构；</w:t>
      </w:r>
    </w:p>
    <w:p w:rsidR="00000000" w:rsidRDefault="00B7115A">
      <w:pPr>
        <w:ind w:left="1036"/>
      </w:pPr>
      <w:r>
        <w:tab/>
      </w:r>
      <w:r>
        <w:rPr>
          <w:rFonts w:hint="eastAsia"/>
        </w:rPr>
        <w:t>应该具有各种各样的教育机构，提供各种各样的教学形式，并具有不同类型的活动和不同形式的所有制；</w:t>
      </w:r>
    </w:p>
    <w:p w:rsidR="00000000" w:rsidRDefault="00B7115A">
      <w:pPr>
        <w:ind w:left="1036"/>
      </w:pPr>
      <w:r>
        <w:tab/>
      </w:r>
      <w:r>
        <w:rPr>
          <w:rFonts w:hint="eastAsia"/>
        </w:rPr>
        <w:t>国立教育机构内的教育应是非宗教性的；</w:t>
      </w:r>
    </w:p>
    <w:p w:rsidR="00000000" w:rsidRDefault="00B7115A">
      <w:pPr>
        <w:ind w:left="1036"/>
      </w:pPr>
      <w:r>
        <w:tab/>
      </w:r>
      <w:r>
        <w:rPr>
          <w:rFonts w:hint="eastAsia"/>
        </w:rPr>
        <w:t>应该向所有人提供教育，教育制度应该符合学生培养和发育的各个阶段和特点；</w:t>
      </w:r>
    </w:p>
    <w:p w:rsidR="00000000" w:rsidRDefault="00B7115A">
      <w:pPr>
        <w:ind w:left="1036"/>
      </w:pPr>
      <w:r>
        <w:tab/>
      </w:r>
      <w:r>
        <w:rPr>
          <w:rFonts w:hint="eastAsia"/>
        </w:rPr>
        <w:t>应创造有利于鉴别具有特殊才能的学生和发展其潜力的条件；</w:t>
      </w:r>
    </w:p>
    <w:p w:rsidR="00000000" w:rsidRDefault="00B7115A">
      <w:pPr>
        <w:ind w:left="1036"/>
      </w:pPr>
      <w:r>
        <w:tab/>
      </w:r>
      <w:r>
        <w:rPr>
          <w:rFonts w:hint="eastAsia"/>
        </w:rPr>
        <w:t>其他和非国立教育机构应有可能开展业务。</w:t>
      </w:r>
    </w:p>
    <w:p w:rsidR="00000000" w:rsidRDefault="00B7115A">
      <w:r>
        <w:tab/>
        <w:t xml:space="preserve">218.  </w:t>
      </w:r>
      <w:r>
        <w:rPr>
          <w:rFonts w:hint="eastAsia"/>
        </w:rPr>
        <w:t>根据《宪法》第</w:t>
      </w:r>
      <w:r>
        <w:t>32</w:t>
      </w:r>
      <w:r>
        <w:rPr>
          <w:rFonts w:hint="eastAsia"/>
        </w:rPr>
        <w:t>条，国家应确保根据每个人的能</w:t>
      </w:r>
      <w:r>
        <w:rPr>
          <w:rFonts w:hint="eastAsia"/>
        </w:rPr>
        <w:t>力，使他们能够获得职业、中专和高等教育。《教育法》规定应通过以下各种方法确保所有人得到教育：</w:t>
      </w:r>
    </w:p>
    <w:p w:rsidR="00000000" w:rsidRDefault="00B7115A">
      <w:pPr>
        <w:ind w:left="1036"/>
      </w:pPr>
      <w:r>
        <w:tab/>
      </w:r>
      <w:r>
        <w:rPr>
          <w:rFonts w:hint="eastAsia"/>
        </w:rPr>
        <w:t>建立符合个人、社会和国家利益的教育制度；</w:t>
      </w:r>
    </w:p>
    <w:p w:rsidR="00000000" w:rsidRDefault="00B7115A">
      <w:pPr>
        <w:ind w:left="1036"/>
      </w:pPr>
      <w:r>
        <w:tab/>
      </w:r>
      <w:r>
        <w:rPr>
          <w:rFonts w:hint="eastAsia"/>
        </w:rPr>
        <w:t>在国家教育标准之内，在所有的国家教育机构为自由的基本、职业和以竞争入学为基础的全面中等和高等教育创造必要的社会和经济条件；</w:t>
      </w:r>
    </w:p>
    <w:p w:rsidR="00000000" w:rsidRDefault="00B7115A">
      <w:pPr>
        <w:ind w:left="1036"/>
      </w:pPr>
      <w:r>
        <w:tab/>
      </w:r>
      <w:r>
        <w:rPr>
          <w:rFonts w:hint="eastAsia"/>
        </w:rPr>
        <w:t>对所有学生给予社会和法律保护，不论其受教诲或教育的机构的类型为何种。</w:t>
      </w:r>
    </w:p>
    <w:p w:rsidR="00000000" w:rsidRDefault="00B7115A">
      <w:r>
        <w:tab/>
        <w:t xml:space="preserve">219.  </w:t>
      </w:r>
      <w:r>
        <w:rPr>
          <w:rFonts w:hint="eastAsia"/>
        </w:rPr>
        <w:t>国家政策优先考虑为教育和教育工作者的报酬提供资金。国家维护教学职业和学术活动的威信并且在这方面给予减税。</w:t>
      </w:r>
    </w:p>
    <w:p w:rsidR="00000000" w:rsidRDefault="00B7115A">
      <w:pPr>
        <w:spacing w:after="240"/>
        <w:textAlignment w:val="center"/>
      </w:pPr>
      <w:r>
        <w:tab/>
        <w:t xml:space="preserve">220.  </w:t>
      </w:r>
      <w:r>
        <w:rPr>
          <w:rFonts w:hint="eastAsia"/>
        </w:rPr>
        <w:t>吉尔吉斯斯坦有一个一致连贯多种层次的公共儿</w:t>
      </w:r>
      <w:r>
        <w:rPr>
          <w:rFonts w:hint="eastAsia"/>
        </w:rPr>
        <w:t>童照料和教育制度</w:t>
      </w:r>
      <w:r>
        <w:t>(</w:t>
      </w:r>
      <w:r>
        <w:rPr>
          <w:rFonts w:hint="eastAsia"/>
        </w:rPr>
        <w:t>包括学前、学校、校外、中等、专业和职业和高等教育</w:t>
      </w:r>
      <w:r>
        <w:t>)</w:t>
      </w:r>
      <w:r>
        <w:rPr>
          <w:rFonts w:hint="eastAsia"/>
        </w:rPr>
        <w:t>。</w:t>
      </w:r>
    </w:p>
    <w:p w:rsidR="00000000" w:rsidRDefault="00B7115A">
      <w:pPr>
        <w:pStyle w:val="Heading3"/>
        <w:spacing w:after="160"/>
        <w:textAlignment w:val="center"/>
      </w:pPr>
      <w:r>
        <w:rPr>
          <w:rFonts w:hint="eastAsia"/>
        </w:rPr>
        <w:t>学前教育机构数字削减情况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188"/>
        <w:gridCol w:w="3612"/>
        <w:gridCol w:w="3612"/>
      </w:tblGrid>
      <w:tr w:rsidR="00000000">
        <w:tblPrEx>
          <w:tblCellMar>
            <w:top w:w="0" w:type="dxa"/>
            <w:bottom w:w="0" w:type="dxa"/>
          </w:tblCellMar>
        </w:tblPrEx>
        <w:tc>
          <w:tcPr>
            <w:tcW w:w="2188" w:type="dxa"/>
            <w:tcBorders>
              <w:bottom w:val="nil"/>
              <w:right w:val="nil"/>
            </w:tcBorders>
          </w:tcPr>
          <w:p w:rsidR="00000000" w:rsidRDefault="00B7115A">
            <w:pPr>
              <w:spacing w:before="120" w:line="360" w:lineRule="auto"/>
              <w:jc w:val="center"/>
              <w:textAlignment w:val="center"/>
              <w:rPr>
                <w:sz w:val="21"/>
              </w:rPr>
            </w:pPr>
            <w:r>
              <w:rPr>
                <w:rFonts w:hint="eastAsia"/>
                <w:sz w:val="21"/>
              </w:rPr>
              <w:t>年</w:t>
            </w:r>
          </w:p>
        </w:tc>
        <w:tc>
          <w:tcPr>
            <w:tcW w:w="3612" w:type="dxa"/>
            <w:tcBorders>
              <w:top w:val="single" w:sz="6" w:space="0" w:color="auto"/>
              <w:left w:val="single" w:sz="6" w:space="0" w:color="auto"/>
              <w:bottom w:val="nil"/>
              <w:right w:val="single" w:sz="6" w:space="0" w:color="auto"/>
            </w:tcBorders>
          </w:tcPr>
          <w:p w:rsidR="00000000" w:rsidRDefault="00B7115A">
            <w:pPr>
              <w:spacing w:before="120" w:line="360" w:lineRule="auto"/>
              <w:jc w:val="center"/>
              <w:textAlignment w:val="center"/>
              <w:rPr>
                <w:sz w:val="21"/>
              </w:rPr>
            </w:pPr>
            <w:r>
              <w:rPr>
                <w:rFonts w:hint="eastAsia"/>
                <w:sz w:val="21"/>
              </w:rPr>
              <w:t>学前机构数</w:t>
            </w:r>
          </w:p>
        </w:tc>
        <w:tc>
          <w:tcPr>
            <w:tcW w:w="3612" w:type="dxa"/>
            <w:tcBorders>
              <w:left w:val="nil"/>
              <w:bottom w:val="nil"/>
            </w:tcBorders>
          </w:tcPr>
          <w:p w:rsidR="00000000" w:rsidRDefault="00B7115A">
            <w:pPr>
              <w:spacing w:before="120" w:line="360" w:lineRule="auto"/>
              <w:jc w:val="center"/>
              <w:textAlignment w:val="center"/>
              <w:rPr>
                <w:sz w:val="21"/>
              </w:rPr>
            </w:pPr>
            <w:r>
              <w:rPr>
                <w:rFonts w:hint="eastAsia"/>
                <w:sz w:val="21"/>
              </w:rPr>
              <w:t>招收儿童数</w:t>
            </w:r>
          </w:p>
        </w:tc>
      </w:tr>
      <w:tr w:rsidR="00000000">
        <w:tblPrEx>
          <w:tblCellMar>
            <w:top w:w="0" w:type="dxa"/>
            <w:bottom w:w="0" w:type="dxa"/>
          </w:tblCellMar>
        </w:tblPrEx>
        <w:tc>
          <w:tcPr>
            <w:tcW w:w="2188" w:type="dxa"/>
            <w:tcBorders>
              <w:top w:val="single" w:sz="6" w:space="0" w:color="auto"/>
              <w:bottom w:val="nil"/>
              <w:right w:val="nil"/>
            </w:tcBorders>
          </w:tcPr>
          <w:p w:rsidR="00000000" w:rsidRDefault="00B7115A">
            <w:pPr>
              <w:spacing w:before="60"/>
              <w:jc w:val="center"/>
              <w:textAlignment w:val="center"/>
              <w:rPr>
                <w:sz w:val="21"/>
              </w:rPr>
            </w:pPr>
            <w:r>
              <w:rPr>
                <w:sz w:val="21"/>
              </w:rPr>
              <w:t>1990</w:t>
            </w:r>
          </w:p>
        </w:tc>
        <w:tc>
          <w:tcPr>
            <w:tcW w:w="3612"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60"/>
              <w:ind w:right="1531"/>
              <w:jc w:val="right"/>
              <w:textAlignment w:val="center"/>
              <w:rPr>
                <w:sz w:val="21"/>
              </w:rPr>
            </w:pPr>
            <w:r>
              <w:rPr>
                <w:sz w:val="21"/>
              </w:rPr>
              <w:t>1,696</w:t>
            </w:r>
          </w:p>
        </w:tc>
        <w:tc>
          <w:tcPr>
            <w:tcW w:w="3612" w:type="dxa"/>
            <w:tcBorders>
              <w:top w:val="single" w:sz="6" w:space="0" w:color="auto"/>
              <w:left w:val="nil"/>
              <w:bottom w:val="nil"/>
            </w:tcBorders>
          </w:tcPr>
          <w:p w:rsidR="00000000" w:rsidRDefault="00B7115A">
            <w:pPr>
              <w:tabs>
                <w:tab w:val="clear" w:pos="510"/>
                <w:tab w:val="clear" w:pos="1021"/>
                <w:tab w:val="clear" w:pos="1531"/>
                <w:tab w:val="clear" w:pos="2041"/>
                <w:tab w:val="decimal" w:pos="686"/>
              </w:tabs>
              <w:spacing w:before="60"/>
              <w:ind w:right="1418"/>
              <w:jc w:val="right"/>
              <w:textAlignment w:val="center"/>
              <w:rPr>
                <w:sz w:val="21"/>
              </w:rPr>
            </w:pPr>
            <w:r>
              <w:rPr>
                <w:sz w:val="21"/>
              </w:rPr>
              <w:t>211,571</w:t>
            </w:r>
          </w:p>
        </w:tc>
      </w:tr>
      <w:tr w:rsidR="00000000">
        <w:tblPrEx>
          <w:tblCellMar>
            <w:top w:w="0" w:type="dxa"/>
            <w:bottom w:w="0" w:type="dxa"/>
          </w:tblCellMar>
        </w:tblPrEx>
        <w:tc>
          <w:tcPr>
            <w:tcW w:w="2188" w:type="dxa"/>
            <w:tcBorders>
              <w:top w:val="nil"/>
              <w:right w:val="nil"/>
            </w:tcBorders>
          </w:tcPr>
          <w:p w:rsidR="00000000" w:rsidRDefault="00B7115A">
            <w:pPr>
              <w:jc w:val="center"/>
              <w:rPr>
                <w:sz w:val="21"/>
              </w:rPr>
            </w:pPr>
            <w:r>
              <w:rPr>
                <w:sz w:val="21"/>
              </w:rPr>
              <w:t>1992</w:t>
            </w:r>
          </w:p>
        </w:tc>
        <w:tc>
          <w:tcPr>
            <w:tcW w:w="3612"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ind w:right="1531"/>
              <w:jc w:val="right"/>
              <w:rPr>
                <w:sz w:val="21"/>
              </w:rPr>
            </w:pPr>
            <w:r>
              <w:rPr>
                <w:sz w:val="21"/>
              </w:rPr>
              <w:t>1,380</w:t>
            </w:r>
          </w:p>
        </w:tc>
        <w:tc>
          <w:tcPr>
            <w:tcW w:w="3612" w:type="dxa"/>
            <w:tcBorders>
              <w:top w:val="nil"/>
              <w:left w:val="nil"/>
            </w:tcBorders>
          </w:tcPr>
          <w:p w:rsidR="00000000" w:rsidRDefault="00B7115A">
            <w:pPr>
              <w:tabs>
                <w:tab w:val="clear" w:pos="510"/>
                <w:tab w:val="clear" w:pos="1021"/>
                <w:tab w:val="clear" w:pos="1531"/>
                <w:tab w:val="clear" w:pos="2041"/>
                <w:tab w:val="decimal" w:pos="686"/>
              </w:tabs>
              <w:ind w:right="1418"/>
              <w:jc w:val="right"/>
              <w:rPr>
                <w:sz w:val="21"/>
              </w:rPr>
            </w:pPr>
            <w:r>
              <w:rPr>
                <w:sz w:val="21"/>
              </w:rPr>
              <w:t>143,235</w:t>
            </w:r>
          </w:p>
        </w:tc>
      </w:tr>
      <w:tr w:rsidR="00000000">
        <w:tblPrEx>
          <w:tblCellMar>
            <w:top w:w="0" w:type="dxa"/>
            <w:bottom w:w="0" w:type="dxa"/>
          </w:tblCellMar>
        </w:tblPrEx>
        <w:tc>
          <w:tcPr>
            <w:tcW w:w="2188" w:type="dxa"/>
            <w:tcBorders>
              <w:right w:val="nil"/>
            </w:tcBorders>
          </w:tcPr>
          <w:p w:rsidR="00000000" w:rsidRDefault="00B7115A">
            <w:pPr>
              <w:jc w:val="center"/>
              <w:rPr>
                <w:sz w:val="21"/>
              </w:rPr>
            </w:pPr>
            <w:r>
              <w:rPr>
                <w:sz w:val="21"/>
              </w:rPr>
              <w:t>1994</w:t>
            </w:r>
          </w:p>
        </w:tc>
        <w:tc>
          <w:tcPr>
            <w:tcW w:w="3612"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ind w:right="1531"/>
              <w:jc w:val="right"/>
              <w:rPr>
                <w:sz w:val="21"/>
              </w:rPr>
            </w:pPr>
            <w:r>
              <w:rPr>
                <w:sz w:val="21"/>
              </w:rPr>
              <w:t>639</w:t>
            </w:r>
          </w:p>
        </w:tc>
        <w:tc>
          <w:tcPr>
            <w:tcW w:w="3612" w:type="dxa"/>
            <w:tcBorders>
              <w:left w:val="nil"/>
            </w:tcBorders>
          </w:tcPr>
          <w:p w:rsidR="00000000" w:rsidRDefault="00B7115A">
            <w:pPr>
              <w:tabs>
                <w:tab w:val="clear" w:pos="510"/>
                <w:tab w:val="clear" w:pos="1021"/>
                <w:tab w:val="clear" w:pos="1531"/>
                <w:tab w:val="clear" w:pos="2041"/>
                <w:tab w:val="decimal" w:pos="686"/>
              </w:tabs>
              <w:ind w:right="1418"/>
              <w:jc w:val="right"/>
              <w:rPr>
                <w:sz w:val="21"/>
              </w:rPr>
            </w:pPr>
            <w:r>
              <w:rPr>
                <w:sz w:val="21"/>
              </w:rPr>
              <w:t>53,922</w:t>
            </w:r>
          </w:p>
        </w:tc>
      </w:tr>
      <w:tr w:rsidR="00000000">
        <w:tblPrEx>
          <w:tblCellMar>
            <w:top w:w="0" w:type="dxa"/>
            <w:bottom w:w="0" w:type="dxa"/>
          </w:tblCellMar>
        </w:tblPrEx>
        <w:tc>
          <w:tcPr>
            <w:tcW w:w="2188" w:type="dxa"/>
            <w:tcBorders>
              <w:right w:val="nil"/>
            </w:tcBorders>
          </w:tcPr>
          <w:p w:rsidR="00000000" w:rsidRDefault="00B7115A">
            <w:pPr>
              <w:jc w:val="center"/>
              <w:rPr>
                <w:sz w:val="21"/>
              </w:rPr>
            </w:pPr>
            <w:r>
              <w:rPr>
                <w:sz w:val="21"/>
              </w:rPr>
              <w:t>1996</w:t>
            </w:r>
          </w:p>
        </w:tc>
        <w:tc>
          <w:tcPr>
            <w:tcW w:w="3612"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right="1531"/>
              <w:jc w:val="right"/>
              <w:rPr>
                <w:sz w:val="21"/>
              </w:rPr>
            </w:pPr>
            <w:r>
              <w:rPr>
                <w:sz w:val="21"/>
              </w:rPr>
              <w:t>449</w:t>
            </w:r>
          </w:p>
        </w:tc>
        <w:tc>
          <w:tcPr>
            <w:tcW w:w="3612" w:type="dxa"/>
            <w:tcBorders>
              <w:left w:val="nil"/>
            </w:tcBorders>
          </w:tcPr>
          <w:p w:rsidR="00000000" w:rsidRDefault="00B7115A">
            <w:pPr>
              <w:tabs>
                <w:tab w:val="clear" w:pos="510"/>
                <w:tab w:val="clear" w:pos="1021"/>
                <w:tab w:val="clear" w:pos="1531"/>
                <w:tab w:val="clear" w:pos="2041"/>
                <w:tab w:val="decimal" w:pos="686"/>
              </w:tabs>
              <w:ind w:right="1418"/>
              <w:jc w:val="right"/>
              <w:rPr>
                <w:sz w:val="21"/>
              </w:rPr>
            </w:pPr>
            <w:r>
              <w:rPr>
                <w:sz w:val="21"/>
              </w:rPr>
              <w:t>47,343</w:t>
            </w:r>
          </w:p>
        </w:tc>
      </w:tr>
    </w:tbl>
    <w:p w:rsidR="00000000" w:rsidRDefault="00B7115A"/>
    <w:p w:rsidR="00000000" w:rsidRDefault="00B7115A">
      <w:pPr>
        <w:pStyle w:val="Heading3"/>
        <w:spacing w:after="160"/>
        <w:textAlignment w:val="center"/>
      </w:pPr>
      <w:r>
        <w:rPr>
          <w:rFonts w:hint="eastAsia"/>
        </w:rPr>
        <w:t>校外机构情况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988"/>
        <w:gridCol w:w="1440"/>
        <w:gridCol w:w="3240"/>
        <w:gridCol w:w="1872"/>
        <w:gridCol w:w="1872"/>
      </w:tblGrid>
      <w:tr w:rsidR="00000000">
        <w:tblPrEx>
          <w:tblCellMar>
            <w:top w:w="0" w:type="dxa"/>
            <w:bottom w:w="0" w:type="dxa"/>
          </w:tblCellMar>
        </w:tblPrEx>
        <w:tc>
          <w:tcPr>
            <w:tcW w:w="988" w:type="dxa"/>
            <w:tcBorders>
              <w:bottom w:val="nil"/>
              <w:right w:val="nil"/>
            </w:tcBorders>
          </w:tcPr>
          <w:p w:rsidR="00000000" w:rsidRDefault="00B7115A">
            <w:pPr>
              <w:spacing w:before="120" w:line="360" w:lineRule="auto"/>
              <w:jc w:val="center"/>
              <w:textAlignment w:val="center"/>
              <w:rPr>
                <w:sz w:val="21"/>
              </w:rPr>
            </w:pPr>
            <w:r>
              <w:rPr>
                <w:rFonts w:hint="eastAsia"/>
                <w:sz w:val="21"/>
              </w:rPr>
              <w:t>年</w:t>
            </w:r>
          </w:p>
        </w:tc>
        <w:tc>
          <w:tcPr>
            <w:tcW w:w="1440" w:type="dxa"/>
            <w:tcBorders>
              <w:top w:val="single" w:sz="6" w:space="0" w:color="auto"/>
              <w:left w:val="single" w:sz="6" w:space="0" w:color="auto"/>
              <w:bottom w:val="nil"/>
              <w:right w:val="single" w:sz="6" w:space="0" w:color="auto"/>
            </w:tcBorders>
          </w:tcPr>
          <w:p w:rsidR="00000000" w:rsidRDefault="00B7115A">
            <w:pPr>
              <w:spacing w:before="120" w:line="360" w:lineRule="auto"/>
              <w:jc w:val="center"/>
              <w:textAlignment w:val="center"/>
              <w:rPr>
                <w:sz w:val="21"/>
              </w:rPr>
            </w:pPr>
            <w:r>
              <w:rPr>
                <w:rFonts w:hint="eastAsia"/>
                <w:sz w:val="21"/>
              </w:rPr>
              <w:t>校外机构数</w:t>
            </w:r>
          </w:p>
        </w:tc>
        <w:tc>
          <w:tcPr>
            <w:tcW w:w="3240" w:type="dxa"/>
            <w:tcBorders>
              <w:left w:val="nil"/>
              <w:bottom w:val="nil"/>
              <w:right w:val="nil"/>
            </w:tcBorders>
          </w:tcPr>
          <w:p w:rsidR="00000000" w:rsidRDefault="00B7115A">
            <w:pPr>
              <w:spacing w:before="120" w:line="360" w:lineRule="auto"/>
              <w:jc w:val="center"/>
              <w:textAlignment w:val="center"/>
              <w:rPr>
                <w:sz w:val="21"/>
              </w:rPr>
            </w:pPr>
            <w:r>
              <w:rPr>
                <w:rFonts w:hint="eastAsia"/>
                <w:sz w:val="21"/>
              </w:rPr>
              <w:t>在校外机构学习的儿童人数</w:t>
            </w:r>
          </w:p>
        </w:tc>
        <w:tc>
          <w:tcPr>
            <w:tcW w:w="1872" w:type="dxa"/>
            <w:tcBorders>
              <w:top w:val="single" w:sz="6" w:space="0" w:color="auto"/>
              <w:left w:val="single" w:sz="6" w:space="0" w:color="auto"/>
              <w:bottom w:val="nil"/>
              <w:right w:val="single" w:sz="6" w:space="0" w:color="auto"/>
            </w:tcBorders>
          </w:tcPr>
          <w:p w:rsidR="00000000" w:rsidRDefault="00B7115A">
            <w:pPr>
              <w:spacing w:before="120" w:line="360" w:lineRule="auto"/>
              <w:jc w:val="center"/>
              <w:textAlignment w:val="center"/>
              <w:rPr>
                <w:sz w:val="21"/>
              </w:rPr>
            </w:pPr>
            <w:r>
              <w:rPr>
                <w:rFonts w:hint="eastAsia"/>
                <w:sz w:val="21"/>
              </w:rPr>
              <w:t>入学总数</w:t>
            </w:r>
          </w:p>
        </w:tc>
        <w:tc>
          <w:tcPr>
            <w:tcW w:w="1872" w:type="dxa"/>
            <w:tcBorders>
              <w:left w:val="nil"/>
              <w:bottom w:val="nil"/>
            </w:tcBorders>
          </w:tcPr>
          <w:p w:rsidR="00000000" w:rsidRDefault="00B7115A">
            <w:pPr>
              <w:spacing w:before="120" w:line="360" w:lineRule="auto"/>
              <w:jc w:val="center"/>
              <w:textAlignment w:val="center"/>
              <w:rPr>
                <w:sz w:val="21"/>
              </w:rPr>
            </w:pPr>
            <w:r>
              <w:rPr>
                <w:rFonts w:hint="eastAsia"/>
                <w:sz w:val="21"/>
              </w:rPr>
              <w:t>覆盖率</w:t>
            </w:r>
            <w:r>
              <w:rPr>
                <w:sz w:val="21"/>
              </w:rPr>
              <w:t>%</w:t>
            </w:r>
          </w:p>
        </w:tc>
      </w:tr>
      <w:tr w:rsidR="00000000">
        <w:tblPrEx>
          <w:tblCellMar>
            <w:top w:w="0" w:type="dxa"/>
            <w:bottom w:w="0" w:type="dxa"/>
          </w:tblCellMar>
        </w:tblPrEx>
        <w:tc>
          <w:tcPr>
            <w:tcW w:w="988" w:type="dxa"/>
            <w:tcBorders>
              <w:top w:val="single" w:sz="6" w:space="0" w:color="auto"/>
              <w:bottom w:val="nil"/>
              <w:right w:val="nil"/>
            </w:tcBorders>
          </w:tcPr>
          <w:p w:rsidR="00000000" w:rsidRDefault="00B7115A">
            <w:pPr>
              <w:spacing w:before="120"/>
              <w:jc w:val="center"/>
              <w:textAlignment w:val="center"/>
              <w:rPr>
                <w:sz w:val="21"/>
              </w:rPr>
            </w:pPr>
            <w:r>
              <w:rPr>
                <w:sz w:val="21"/>
              </w:rPr>
              <w:t>1992</w:t>
            </w:r>
          </w:p>
        </w:tc>
        <w:tc>
          <w:tcPr>
            <w:tcW w:w="1440"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jc w:val="center"/>
              <w:textAlignment w:val="center"/>
              <w:rPr>
                <w:sz w:val="21"/>
              </w:rPr>
            </w:pPr>
            <w:r>
              <w:rPr>
                <w:sz w:val="21"/>
              </w:rPr>
              <w:t>171</w:t>
            </w:r>
          </w:p>
        </w:tc>
        <w:tc>
          <w:tcPr>
            <w:tcW w:w="3240" w:type="dxa"/>
            <w:tcBorders>
              <w:top w:val="single" w:sz="6" w:space="0" w:color="auto"/>
              <w:left w:val="nil"/>
              <w:bottom w:val="nil"/>
              <w:right w:val="nil"/>
            </w:tcBorders>
          </w:tcPr>
          <w:p w:rsidR="00000000" w:rsidRDefault="00B7115A">
            <w:pPr>
              <w:tabs>
                <w:tab w:val="clear" w:pos="510"/>
                <w:tab w:val="clear" w:pos="1021"/>
                <w:tab w:val="clear" w:pos="1531"/>
                <w:tab w:val="clear" w:pos="2041"/>
              </w:tabs>
              <w:spacing w:before="120"/>
              <w:ind w:right="1172"/>
              <w:jc w:val="right"/>
              <w:textAlignment w:val="center"/>
              <w:rPr>
                <w:sz w:val="21"/>
              </w:rPr>
            </w:pPr>
            <w:r>
              <w:rPr>
                <w:sz w:val="21"/>
              </w:rPr>
              <w:t>128,161</w:t>
            </w:r>
          </w:p>
        </w:tc>
        <w:tc>
          <w:tcPr>
            <w:tcW w:w="1872"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right="524"/>
              <w:jc w:val="right"/>
              <w:textAlignment w:val="center"/>
              <w:rPr>
                <w:sz w:val="21"/>
              </w:rPr>
            </w:pPr>
            <w:r>
              <w:rPr>
                <w:sz w:val="21"/>
              </w:rPr>
              <w:t>944,000</w:t>
            </w:r>
          </w:p>
        </w:tc>
        <w:tc>
          <w:tcPr>
            <w:tcW w:w="1872" w:type="dxa"/>
            <w:tcBorders>
              <w:top w:val="single" w:sz="6" w:space="0" w:color="auto"/>
              <w:left w:val="nil"/>
              <w:bottom w:val="nil"/>
            </w:tcBorders>
          </w:tcPr>
          <w:p w:rsidR="00000000" w:rsidRDefault="00B7115A">
            <w:pPr>
              <w:tabs>
                <w:tab w:val="clear" w:pos="510"/>
                <w:tab w:val="clear" w:pos="1021"/>
                <w:tab w:val="clear" w:pos="1531"/>
                <w:tab w:val="clear" w:pos="2041"/>
              </w:tabs>
              <w:spacing w:before="120"/>
              <w:ind w:right="716"/>
              <w:jc w:val="right"/>
              <w:textAlignment w:val="center"/>
              <w:rPr>
                <w:sz w:val="21"/>
              </w:rPr>
            </w:pPr>
            <w:r>
              <w:rPr>
                <w:sz w:val="21"/>
              </w:rPr>
              <w:t>13.6</w:t>
            </w:r>
          </w:p>
        </w:tc>
      </w:tr>
      <w:tr w:rsidR="00000000">
        <w:tblPrEx>
          <w:tblCellMar>
            <w:top w:w="0" w:type="dxa"/>
            <w:bottom w:w="0" w:type="dxa"/>
          </w:tblCellMar>
        </w:tblPrEx>
        <w:tc>
          <w:tcPr>
            <w:tcW w:w="988" w:type="dxa"/>
            <w:tcBorders>
              <w:top w:val="nil"/>
              <w:right w:val="nil"/>
            </w:tcBorders>
          </w:tcPr>
          <w:p w:rsidR="00000000" w:rsidRDefault="00B7115A">
            <w:pPr>
              <w:jc w:val="center"/>
              <w:rPr>
                <w:sz w:val="21"/>
              </w:rPr>
            </w:pPr>
            <w:r>
              <w:rPr>
                <w:sz w:val="21"/>
              </w:rPr>
              <w:t>1995</w:t>
            </w:r>
          </w:p>
        </w:tc>
        <w:tc>
          <w:tcPr>
            <w:tcW w:w="1440"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jc w:val="center"/>
              <w:rPr>
                <w:sz w:val="21"/>
              </w:rPr>
            </w:pPr>
            <w:r>
              <w:rPr>
                <w:sz w:val="21"/>
              </w:rPr>
              <w:t>118</w:t>
            </w:r>
          </w:p>
        </w:tc>
        <w:tc>
          <w:tcPr>
            <w:tcW w:w="3240" w:type="dxa"/>
            <w:tcBorders>
              <w:top w:val="nil"/>
              <w:left w:val="nil"/>
              <w:right w:val="nil"/>
            </w:tcBorders>
          </w:tcPr>
          <w:p w:rsidR="00000000" w:rsidRDefault="00B7115A">
            <w:pPr>
              <w:tabs>
                <w:tab w:val="clear" w:pos="510"/>
                <w:tab w:val="clear" w:pos="1021"/>
                <w:tab w:val="clear" w:pos="1531"/>
                <w:tab w:val="clear" w:pos="2041"/>
              </w:tabs>
              <w:ind w:right="1172"/>
              <w:jc w:val="right"/>
              <w:rPr>
                <w:sz w:val="21"/>
              </w:rPr>
            </w:pPr>
            <w:r>
              <w:rPr>
                <w:sz w:val="21"/>
              </w:rPr>
              <w:t>99,240</w:t>
            </w:r>
          </w:p>
        </w:tc>
        <w:tc>
          <w:tcPr>
            <w:tcW w:w="1872"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ind w:right="524"/>
              <w:jc w:val="right"/>
              <w:rPr>
                <w:sz w:val="21"/>
              </w:rPr>
            </w:pPr>
            <w:r>
              <w:rPr>
                <w:sz w:val="21"/>
              </w:rPr>
              <w:t>968,000</w:t>
            </w:r>
          </w:p>
        </w:tc>
        <w:tc>
          <w:tcPr>
            <w:tcW w:w="1872" w:type="dxa"/>
            <w:tcBorders>
              <w:top w:val="nil"/>
              <w:left w:val="nil"/>
            </w:tcBorders>
          </w:tcPr>
          <w:p w:rsidR="00000000" w:rsidRDefault="00B7115A">
            <w:pPr>
              <w:tabs>
                <w:tab w:val="clear" w:pos="510"/>
                <w:tab w:val="clear" w:pos="1021"/>
                <w:tab w:val="clear" w:pos="1531"/>
                <w:tab w:val="clear" w:pos="2041"/>
              </w:tabs>
              <w:ind w:right="716"/>
              <w:jc w:val="right"/>
              <w:rPr>
                <w:sz w:val="21"/>
              </w:rPr>
            </w:pPr>
            <w:r>
              <w:rPr>
                <w:sz w:val="21"/>
              </w:rPr>
              <w:t>10.2</w:t>
            </w:r>
          </w:p>
        </w:tc>
      </w:tr>
      <w:tr w:rsidR="00000000">
        <w:tblPrEx>
          <w:tblCellMar>
            <w:top w:w="0" w:type="dxa"/>
            <w:bottom w:w="0" w:type="dxa"/>
          </w:tblCellMar>
        </w:tblPrEx>
        <w:tc>
          <w:tcPr>
            <w:tcW w:w="988" w:type="dxa"/>
            <w:tcBorders>
              <w:right w:val="nil"/>
            </w:tcBorders>
          </w:tcPr>
          <w:p w:rsidR="00000000" w:rsidRDefault="00B7115A">
            <w:pPr>
              <w:jc w:val="center"/>
              <w:rPr>
                <w:sz w:val="21"/>
              </w:rPr>
            </w:pPr>
            <w:r>
              <w:rPr>
                <w:sz w:val="21"/>
              </w:rPr>
              <w:t>1996</w:t>
            </w:r>
          </w:p>
        </w:tc>
        <w:tc>
          <w:tcPr>
            <w:tcW w:w="1440"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jc w:val="center"/>
              <w:rPr>
                <w:sz w:val="21"/>
              </w:rPr>
            </w:pPr>
            <w:r>
              <w:rPr>
                <w:sz w:val="21"/>
              </w:rPr>
              <w:t>117</w:t>
            </w:r>
          </w:p>
        </w:tc>
        <w:tc>
          <w:tcPr>
            <w:tcW w:w="3240" w:type="dxa"/>
            <w:tcBorders>
              <w:left w:val="nil"/>
              <w:right w:val="nil"/>
            </w:tcBorders>
          </w:tcPr>
          <w:p w:rsidR="00000000" w:rsidRDefault="00B7115A">
            <w:pPr>
              <w:tabs>
                <w:tab w:val="clear" w:pos="510"/>
                <w:tab w:val="clear" w:pos="1021"/>
                <w:tab w:val="clear" w:pos="1531"/>
                <w:tab w:val="clear" w:pos="2041"/>
              </w:tabs>
              <w:ind w:right="1172"/>
              <w:jc w:val="right"/>
              <w:rPr>
                <w:sz w:val="21"/>
              </w:rPr>
            </w:pPr>
            <w:r>
              <w:rPr>
                <w:sz w:val="21"/>
              </w:rPr>
              <w:t>96,320</w:t>
            </w:r>
          </w:p>
        </w:tc>
        <w:tc>
          <w:tcPr>
            <w:tcW w:w="1872" w:type="dxa"/>
            <w:tcBorders>
              <w:top w:val="nil"/>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right="524"/>
              <w:jc w:val="right"/>
              <w:rPr>
                <w:sz w:val="21"/>
              </w:rPr>
            </w:pPr>
            <w:r>
              <w:rPr>
                <w:sz w:val="21"/>
              </w:rPr>
              <w:t>1</w:t>
            </w:r>
            <w:r>
              <w:rPr>
                <w:sz w:val="21"/>
              </w:rPr>
              <w:t>,002,400</w:t>
            </w:r>
          </w:p>
        </w:tc>
        <w:tc>
          <w:tcPr>
            <w:tcW w:w="1872" w:type="dxa"/>
            <w:tcBorders>
              <w:left w:val="nil"/>
            </w:tcBorders>
          </w:tcPr>
          <w:p w:rsidR="00000000" w:rsidRDefault="00B7115A">
            <w:pPr>
              <w:tabs>
                <w:tab w:val="clear" w:pos="510"/>
                <w:tab w:val="clear" w:pos="1021"/>
                <w:tab w:val="clear" w:pos="1531"/>
                <w:tab w:val="clear" w:pos="2041"/>
              </w:tabs>
              <w:ind w:right="716"/>
              <w:jc w:val="right"/>
              <w:rPr>
                <w:sz w:val="21"/>
              </w:rPr>
            </w:pPr>
            <w:r>
              <w:rPr>
                <w:sz w:val="21"/>
              </w:rPr>
              <w:t>9.6</w:t>
            </w:r>
          </w:p>
        </w:tc>
      </w:tr>
    </w:tbl>
    <w:p w:rsidR="00000000" w:rsidRDefault="00B7115A"/>
    <w:p w:rsidR="00000000" w:rsidRDefault="00B7115A">
      <w:pPr>
        <w:pStyle w:val="Heading3"/>
        <w:spacing w:after="160" w:line="288" w:lineRule="auto"/>
        <w:textAlignment w:val="center"/>
      </w:pPr>
      <w:r>
        <w:rPr>
          <w:rFonts w:hint="eastAsia"/>
        </w:rPr>
        <w:t>普通教育学校和和招生情况</w:t>
      </w:r>
      <w:r>
        <w:br/>
        <w:t>(</w:t>
      </w:r>
      <w:r>
        <w:rPr>
          <w:rFonts w:hint="eastAsia"/>
        </w:rPr>
        <w:t>所有类型的学校和所有制形式</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788"/>
        <w:gridCol w:w="1103"/>
        <w:gridCol w:w="1103"/>
        <w:gridCol w:w="1"/>
        <w:gridCol w:w="1102"/>
        <w:gridCol w:w="1103"/>
        <w:gridCol w:w="2"/>
        <w:gridCol w:w="1101"/>
        <w:gridCol w:w="1103"/>
        <w:gridCol w:w="3"/>
      </w:tblGrid>
      <w:tr w:rsidR="00000000">
        <w:tblPrEx>
          <w:tblCellMar>
            <w:top w:w="0" w:type="dxa"/>
            <w:bottom w:w="0" w:type="dxa"/>
          </w:tblCellMar>
        </w:tblPrEx>
        <w:tc>
          <w:tcPr>
            <w:tcW w:w="2788" w:type="dxa"/>
            <w:tcBorders>
              <w:right w:val="nil"/>
            </w:tcBorders>
          </w:tcPr>
          <w:p w:rsidR="00000000" w:rsidRDefault="00B7115A">
            <w:pPr>
              <w:spacing w:before="120" w:line="288" w:lineRule="auto"/>
              <w:jc w:val="center"/>
              <w:rPr>
                <w:sz w:val="21"/>
              </w:rPr>
            </w:pPr>
          </w:p>
        </w:tc>
        <w:tc>
          <w:tcPr>
            <w:tcW w:w="2207" w:type="dxa"/>
            <w:gridSpan w:val="3"/>
            <w:tcBorders>
              <w:top w:val="single" w:sz="6" w:space="0" w:color="auto"/>
              <w:left w:val="single" w:sz="6" w:space="0" w:color="auto"/>
              <w:right w:val="single" w:sz="6" w:space="0" w:color="auto"/>
            </w:tcBorders>
          </w:tcPr>
          <w:p w:rsidR="00000000" w:rsidRDefault="00B7115A">
            <w:pPr>
              <w:spacing w:before="120" w:line="288" w:lineRule="auto"/>
              <w:jc w:val="center"/>
              <w:rPr>
                <w:sz w:val="21"/>
              </w:rPr>
            </w:pPr>
            <w:r>
              <w:rPr>
                <w:sz w:val="21"/>
              </w:rPr>
              <w:t>1992</w:t>
            </w:r>
          </w:p>
        </w:tc>
        <w:tc>
          <w:tcPr>
            <w:tcW w:w="2207" w:type="dxa"/>
            <w:gridSpan w:val="3"/>
            <w:tcBorders>
              <w:top w:val="single" w:sz="6" w:space="0" w:color="auto"/>
              <w:left w:val="nil"/>
              <w:bottom w:val="nil"/>
              <w:right w:val="single" w:sz="6" w:space="0" w:color="auto"/>
            </w:tcBorders>
          </w:tcPr>
          <w:p w:rsidR="00000000" w:rsidRDefault="00B7115A">
            <w:pPr>
              <w:spacing w:before="120" w:line="288" w:lineRule="auto"/>
              <w:jc w:val="center"/>
              <w:rPr>
                <w:sz w:val="21"/>
              </w:rPr>
            </w:pPr>
            <w:r>
              <w:rPr>
                <w:sz w:val="21"/>
              </w:rPr>
              <w:t>1995</w:t>
            </w:r>
          </w:p>
        </w:tc>
        <w:tc>
          <w:tcPr>
            <w:tcW w:w="2207" w:type="dxa"/>
            <w:gridSpan w:val="3"/>
            <w:tcBorders>
              <w:left w:val="nil"/>
            </w:tcBorders>
          </w:tcPr>
          <w:p w:rsidR="00000000" w:rsidRDefault="00B7115A">
            <w:pPr>
              <w:spacing w:before="120" w:line="288" w:lineRule="auto"/>
              <w:jc w:val="center"/>
              <w:rPr>
                <w:sz w:val="21"/>
              </w:rPr>
            </w:pPr>
            <w:r>
              <w:rPr>
                <w:sz w:val="21"/>
              </w:rPr>
              <w:t>1996</w:t>
            </w:r>
          </w:p>
        </w:tc>
      </w:tr>
      <w:tr w:rsidR="00000000">
        <w:tblPrEx>
          <w:tblCellMar>
            <w:top w:w="0" w:type="dxa"/>
            <w:bottom w:w="0" w:type="dxa"/>
          </w:tblCellMar>
        </w:tblPrEx>
        <w:trPr>
          <w:gridAfter w:val="1"/>
        </w:trPr>
        <w:tc>
          <w:tcPr>
            <w:tcW w:w="2788" w:type="dxa"/>
            <w:tcBorders>
              <w:bottom w:val="nil"/>
              <w:right w:val="nil"/>
            </w:tcBorders>
          </w:tcPr>
          <w:p w:rsidR="00000000" w:rsidRDefault="00B7115A">
            <w:pPr>
              <w:spacing w:before="120" w:line="288" w:lineRule="auto"/>
              <w:jc w:val="center"/>
              <w:rPr>
                <w:sz w:val="21"/>
              </w:rPr>
            </w:pPr>
            <w:r>
              <w:rPr>
                <w:rFonts w:hint="eastAsia"/>
                <w:sz w:val="21"/>
              </w:rPr>
              <w:t>学校类型</w:t>
            </w:r>
          </w:p>
        </w:tc>
        <w:tc>
          <w:tcPr>
            <w:tcW w:w="1103" w:type="dxa"/>
            <w:tcBorders>
              <w:top w:val="single" w:sz="6" w:space="0" w:color="auto"/>
              <w:left w:val="single" w:sz="6" w:space="0" w:color="auto"/>
              <w:bottom w:val="single" w:sz="6" w:space="0" w:color="auto"/>
              <w:right w:val="single" w:sz="6" w:space="0" w:color="auto"/>
            </w:tcBorders>
          </w:tcPr>
          <w:p w:rsidR="00000000" w:rsidRDefault="00B7115A">
            <w:pPr>
              <w:spacing w:before="120" w:line="288" w:lineRule="auto"/>
              <w:jc w:val="center"/>
              <w:rPr>
                <w:sz w:val="21"/>
              </w:rPr>
            </w:pPr>
            <w:r>
              <w:rPr>
                <w:rFonts w:hint="eastAsia"/>
                <w:sz w:val="21"/>
              </w:rPr>
              <w:t>学校数</w:t>
            </w:r>
          </w:p>
        </w:tc>
        <w:tc>
          <w:tcPr>
            <w:tcW w:w="1103" w:type="dxa"/>
            <w:tcBorders>
              <w:top w:val="single" w:sz="6" w:space="0" w:color="auto"/>
              <w:left w:val="nil"/>
              <w:bottom w:val="single" w:sz="6" w:space="0" w:color="auto"/>
              <w:right w:val="nil"/>
            </w:tcBorders>
          </w:tcPr>
          <w:p w:rsidR="00000000" w:rsidRDefault="00B7115A">
            <w:pPr>
              <w:spacing w:before="120" w:line="288" w:lineRule="auto"/>
              <w:jc w:val="center"/>
              <w:rPr>
                <w:sz w:val="21"/>
              </w:rPr>
            </w:pPr>
            <w:r>
              <w:rPr>
                <w:rFonts w:hint="eastAsia"/>
                <w:sz w:val="21"/>
              </w:rPr>
              <w:t>学生数</w:t>
            </w:r>
          </w:p>
        </w:tc>
        <w:tc>
          <w:tcPr>
            <w:tcW w:w="1103" w:type="dxa"/>
            <w:gridSpan w:val="2"/>
            <w:tcBorders>
              <w:top w:val="single" w:sz="6" w:space="0" w:color="auto"/>
              <w:left w:val="single" w:sz="6" w:space="0" w:color="auto"/>
              <w:bottom w:val="single" w:sz="6" w:space="0" w:color="auto"/>
              <w:right w:val="single" w:sz="6" w:space="0" w:color="auto"/>
            </w:tcBorders>
          </w:tcPr>
          <w:p w:rsidR="00000000" w:rsidRDefault="00B7115A">
            <w:pPr>
              <w:spacing w:before="120" w:line="288" w:lineRule="auto"/>
              <w:jc w:val="center"/>
              <w:rPr>
                <w:sz w:val="21"/>
              </w:rPr>
            </w:pPr>
            <w:r>
              <w:rPr>
                <w:rFonts w:hint="eastAsia"/>
                <w:sz w:val="21"/>
              </w:rPr>
              <w:t>学校数</w:t>
            </w:r>
          </w:p>
        </w:tc>
        <w:tc>
          <w:tcPr>
            <w:tcW w:w="1103" w:type="dxa"/>
            <w:tcBorders>
              <w:top w:val="single" w:sz="6" w:space="0" w:color="auto"/>
              <w:left w:val="nil"/>
              <w:bottom w:val="single" w:sz="6" w:space="0" w:color="auto"/>
              <w:right w:val="nil"/>
            </w:tcBorders>
          </w:tcPr>
          <w:p w:rsidR="00000000" w:rsidRDefault="00B7115A">
            <w:pPr>
              <w:spacing w:before="120" w:line="288" w:lineRule="auto"/>
              <w:jc w:val="center"/>
              <w:rPr>
                <w:sz w:val="21"/>
              </w:rPr>
            </w:pPr>
            <w:r>
              <w:rPr>
                <w:rFonts w:hint="eastAsia"/>
                <w:sz w:val="21"/>
              </w:rPr>
              <w:t>学生数</w:t>
            </w:r>
          </w:p>
        </w:tc>
        <w:tc>
          <w:tcPr>
            <w:tcW w:w="1103" w:type="dxa"/>
            <w:gridSpan w:val="2"/>
            <w:tcBorders>
              <w:top w:val="single" w:sz="6" w:space="0" w:color="auto"/>
              <w:left w:val="single" w:sz="6" w:space="0" w:color="auto"/>
              <w:bottom w:val="single" w:sz="6" w:space="0" w:color="auto"/>
              <w:right w:val="single" w:sz="6" w:space="0" w:color="auto"/>
            </w:tcBorders>
          </w:tcPr>
          <w:p w:rsidR="00000000" w:rsidRDefault="00B7115A">
            <w:pPr>
              <w:spacing w:before="120" w:line="288" w:lineRule="auto"/>
              <w:jc w:val="center"/>
              <w:rPr>
                <w:sz w:val="21"/>
              </w:rPr>
            </w:pPr>
            <w:r>
              <w:rPr>
                <w:rFonts w:hint="eastAsia"/>
                <w:sz w:val="21"/>
              </w:rPr>
              <w:t>学校数</w:t>
            </w:r>
          </w:p>
        </w:tc>
        <w:tc>
          <w:tcPr>
            <w:tcW w:w="1103" w:type="dxa"/>
            <w:tcBorders>
              <w:top w:val="single" w:sz="6" w:space="0" w:color="auto"/>
              <w:left w:val="nil"/>
              <w:bottom w:val="single" w:sz="6" w:space="0" w:color="auto"/>
            </w:tcBorders>
          </w:tcPr>
          <w:p w:rsidR="00000000" w:rsidRDefault="00B7115A">
            <w:pPr>
              <w:spacing w:before="120" w:line="288" w:lineRule="auto"/>
              <w:jc w:val="center"/>
              <w:rPr>
                <w:sz w:val="21"/>
              </w:rPr>
            </w:pPr>
            <w:r>
              <w:rPr>
                <w:rFonts w:hint="eastAsia"/>
                <w:sz w:val="21"/>
              </w:rPr>
              <w:t>学生数</w:t>
            </w:r>
          </w:p>
        </w:tc>
      </w:tr>
      <w:tr w:rsidR="00000000">
        <w:tblPrEx>
          <w:tblCellMar>
            <w:top w:w="0" w:type="dxa"/>
            <w:bottom w:w="0" w:type="dxa"/>
          </w:tblCellMar>
        </w:tblPrEx>
        <w:trPr>
          <w:gridAfter w:val="1"/>
        </w:trPr>
        <w:tc>
          <w:tcPr>
            <w:tcW w:w="2788" w:type="dxa"/>
            <w:tcBorders>
              <w:top w:val="single" w:sz="6" w:space="0" w:color="auto"/>
              <w:bottom w:val="nil"/>
              <w:right w:val="nil"/>
            </w:tcBorders>
          </w:tcPr>
          <w:p w:rsidR="00000000" w:rsidRDefault="00B7115A">
            <w:pPr>
              <w:spacing w:before="120" w:line="288" w:lineRule="auto"/>
              <w:ind w:left="57"/>
              <w:rPr>
                <w:sz w:val="21"/>
              </w:rPr>
            </w:pPr>
            <w:r>
              <w:rPr>
                <w:rFonts w:hint="eastAsia"/>
                <w:sz w:val="21"/>
              </w:rPr>
              <w:t>国立学校，总数</w:t>
            </w:r>
          </w:p>
        </w:tc>
        <w:tc>
          <w:tcPr>
            <w:tcW w:w="1103" w:type="dxa"/>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1,862</w:t>
            </w:r>
          </w:p>
        </w:tc>
        <w:tc>
          <w:tcPr>
            <w:tcW w:w="1103" w:type="dxa"/>
            <w:tcBorders>
              <w:top w:val="nil"/>
              <w:left w:val="nil"/>
              <w:bottom w:val="nil"/>
              <w:right w:val="nil"/>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954,700</w:t>
            </w:r>
          </w:p>
        </w:tc>
        <w:tc>
          <w:tcPr>
            <w:tcW w:w="1103" w:type="dxa"/>
            <w:gridSpan w:val="2"/>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1,867</w:t>
            </w:r>
          </w:p>
        </w:tc>
        <w:tc>
          <w:tcPr>
            <w:tcW w:w="1103" w:type="dxa"/>
            <w:tcBorders>
              <w:top w:val="nil"/>
              <w:left w:val="nil"/>
              <w:bottom w:val="nil"/>
              <w:right w:val="nil"/>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972,400</w:t>
            </w:r>
          </w:p>
        </w:tc>
        <w:tc>
          <w:tcPr>
            <w:tcW w:w="1103" w:type="dxa"/>
            <w:gridSpan w:val="2"/>
            <w:tcBorders>
              <w:top w:val="nil"/>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1,890</w:t>
            </w:r>
          </w:p>
        </w:tc>
        <w:tc>
          <w:tcPr>
            <w:tcW w:w="1103" w:type="dxa"/>
            <w:tcBorders>
              <w:top w:val="nil"/>
              <w:left w:val="nil"/>
              <w:bottom w:val="nil"/>
            </w:tcBorders>
          </w:tcPr>
          <w:p w:rsidR="00000000" w:rsidRDefault="00B7115A">
            <w:pPr>
              <w:tabs>
                <w:tab w:val="clear" w:pos="510"/>
                <w:tab w:val="clear" w:pos="1021"/>
                <w:tab w:val="clear" w:pos="1531"/>
                <w:tab w:val="clear" w:pos="2041"/>
              </w:tabs>
              <w:spacing w:before="120" w:line="288" w:lineRule="auto"/>
              <w:ind w:right="113"/>
              <w:jc w:val="right"/>
              <w:rPr>
                <w:sz w:val="21"/>
              </w:rPr>
            </w:pPr>
            <w:r>
              <w:rPr>
                <w:sz w:val="21"/>
              </w:rPr>
              <w:t>1,007,100</w:t>
            </w:r>
          </w:p>
        </w:tc>
      </w:tr>
      <w:tr w:rsidR="00000000">
        <w:tblPrEx>
          <w:tblCellMar>
            <w:top w:w="0" w:type="dxa"/>
            <w:bottom w:w="0" w:type="dxa"/>
          </w:tblCellMar>
        </w:tblPrEx>
        <w:trPr>
          <w:gridAfter w:val="1"/>
        </w:trPr>
        <w:tc>
          <w:tcPr>
            <w:tcW w:w="2788" w:type="dxa"/>
            <w:tcBorders>
              <w:top w:val="nil"/>
              <w:right w:val="nil"/>
            </w:tcBorders>
          </w:tcPr>
          <w:p w:rsidR="00000000" w:rsidRDefault="00B7115A">
            <w:pPr>
              <w:spacing w:line="288" w:lineRule="auto"/>
              <w:ind w:left="57"/>
              <w:rPr>
                <w:sz w:val="21"/>
              </w:rPr>
            </w:pPr>
            <w:r>
              <w:rPr>
                <w:rFonts w:hint="eastAsia"/>
                <w:sz w:val="21"/>
              </w:rPr>
              <w:t>日</w:t>
            </w:r>
            <w:r>
              <w:rPr>
                <w:sz w:val="21"/>
              </w:rPr>
              <w:t xml:space="preserve">  </w:t>
            </w:r>
            <w:r>
              <w:rPr>
                <w:rFonts w:hint="eastAsia"/>
                <w:sz w:val="21"/>
              </w:rPr>
              <w:t>校</w:t>
            </w:r>
          </w:p>
        </w:tc>
        <w:tc>
          <w:tcPr>
            <w:tcW w:w="1103"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1,825</w:t>
            </w:r>
          </w:p>
        </w:tc>
        <w:tc>
          <w:tcPr>
            <w:tcW w:w="1103" w:type="dxa"/>
            <w:tcBorders>
              <w:top w:val="nil"/>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944,600</w:t>
            </w:r>
          </w:p>
        </w:tc>
        <w:tc>
          <w:tcPr>
            <w:tcW w:w="1103" w:type="dxa"/>
            <w:gridSpan w:val="2"/>
            <w:tcBorders>
              <w:top w:val="nil"/>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1,867</w:t>
            </w:r>
          </w:p>
        </w:tc>
        <w:tc>
          <w:tcPr>
            <w:tcW w:w="1103" w:type="dxa"/>
            <w:tcBorders>
              <w:top w:val="nil"/>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972,400</w:t>
            </w:r>
          </w:p>
        </w:tc>
        <w:tc>
          <w:tcPr>
            <w:tcW w:w="1103" w:type="dxa"/>
            <w:gridSpan w:val="2"/>
            <w:tcBorders>
              <w:top w:val="nil"/>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1,890</w:t>
            </w:r>
          </w:p>
        </w:tc>
        <w:tc>
          <w:tcPr>
            <w:tcW w:w="1103" w:type="dxa"/>
            <w:tcBorders>
              <w:top w:val="nil"/>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1,007,100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17"/>
              <w:rPr>
                <w:sz w:val="21"/>
              </w:rPr>
            </w:pPr>
            <w:r>
              <w:rPr>
                <w:rFonts w:hint="eastAsia"/>
                <w:sz w:val="21"/>
              </w:rPr>
              <w:t>小学</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108</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5,600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104</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8,800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108</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9,600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17"/>
              <w:rPr>
                <w:sz w:val="21"/>
              </w:rPr>
            </w:pPr>
            <w:r>
              <w:rPr>
                <w:rFonts w:hint="eastAsia"/>
                <w:sz w:val="21"/>
              </w:rPr>
              <w:t>不完全中等学校</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218</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44,000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316</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96,00</w:t>
            </w:r>
            <w:r>
              <w:rPr>
                <w:sz w:val="21"/>
              </w:rPr>
              <w:t>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271</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63,300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17"/>
              <w:rPr>
                <w:sz w:val="21"/>
              </w:rPr>
            </w:pPr>
            <w:r>
              <w:rPr>
                <w:rFonts w:hint="eastAsia"/>
                <w:sz w:val="21"/>
              </w:rPr>
              <w:t>中等学校</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1,474</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889,900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1,428</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864,200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1,492</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930,800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7"/>
              <w:rPr>
                <w:spacing w:val="6"/>
                <w:sz w:val="21"/>
              </w:rPr>
            </w:pPr>
            <w:r>
              <w:rPr>
                <w:rFonts w:hint="eastAsia"/>
                <w:spacing w:val="6"/>
                <w:sz w:val="21"/>
              </w:rPr>
              <w:t>为发育缺陷儿童开设的学校</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25</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5,100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19</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3,400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19</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3,400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7"/>
              <w:rPr>
                <w:sz w:val="21"/>
              </w:rPr>
            </w:pPr>
            <w:r>
              <w:rPr>
                <w:rFonts w:hint="eastAsia"/>
                <w:sz w:val="21"/>
              </w:rPr>
              <w:t>夜</w:t>
            </w:r>
            <w:r>
              <w:rPr>
                <w:sz w:val="21"/>
              </w:rPr>
              <w:t xml:space="preserve">  </w:t>
            </w:r>
            <w:r>
              <w:rPr>
                <w:rFonts w:hint="eastAsia"/>
                <w:sz w:val="21"/>
              </w:rPr>
              <w:t>校</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37</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10,199</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5</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1,000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7"/>
              <w:rPr>
                <w:sz w:val="21"/>
              </w:rPr>
            </w:pPr>
            <w:r>
              <w:rPr>
                <w:rFonts w:hint="eastAsia"/>
                <w:sz w:val="21"/>
              </w:rPr>
              <w:t>私立学校</w:t>
            </w:r>
          </w:p>
        </w:tc>
        <w:tc>
          <w:tcPr>
            <w:tcW w:w="1103"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19</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1,800</w:t>
            </w:r>
          </w:p>
        </w:tc>
        <w:tc>
          <w:tcPr>
            <w:tcW w:w="1103" w:type="dxa"/>
            <w:gridSpan w:val="2"/>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25</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2,00</w:t>
            </w:r>
          </w:p>
        </w:tc>
      </w:tr>
      <w:tr w:rsidR="00000000">
        <w:tblPrEx>
          <w:tblCellMar>
            <w:top w:w="0" w:type="dxa"/>
            <w:bottom w:w="0" w:type="dxa"/>
          </w:tblCellMar>
        </w:tblPrEx>
        <w:trPr>
          <w:gridAfter w:val="1"/>
        </w:trPr>
        <w:tc>
          <w:tcPr>
            <w:tcW w:w="2788" w:type="dxa"/>
            <w:tcBorders>
              <w:right w:val="nil"/>
            </w:tcBorders>
          </w:tcPr>
          <w:p w:rsidR="00000000" w:rsidRDefault="00B7115A">
            <w:pPr>
              <w:spacing w:line="288" w:lineRule="auto"/>
              <w:ind w:left="57"/>
              <w:rPr>
                <w:sz w:val="21"/>
              </w:rPr>
            </w:pPr>
            <w:r>
              <w:rPr>
                <w:rFonts w:hint="eastAsia"/>
                <w:sz w:val="21"/>
              </w:rPr>
              <w:t>私营附设国立学校</w:t>
            </w:r>
          </w:p>
        </w:tc>
        <w:tc>
          <w:tcPr>
            <w:tcW w:w="1103"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5</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971</w:t>
            </w:r>
          </w:p>
        </w:tc>
        <w:tc>
          <w:tcPr>
            <w:tcW w:w="1103" w:type="dxa"/>
            <w:gridSpan w:val="2"/>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11</w:t>
            </w:r>
          </w:p>
        </w:tc>
        <w:tc>
          <w:tcPr>
            <w:tcW w:w="1103" w:type="dxa"/>
            <w:tcBorders>
              <w:left w:val="nil"/>
              <w:righ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1,800</w:t>
            </w:r>
          </w:p>
        </w:tc>
        <w:tc>
          <w:tcPr>
            <w:tcW w:w="1103" w:type="dxa"/>
            <w:gridSpan w:val="2"/>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11</w:t>
            </w:r>
          </w:p>
        </w:tc>
        <w:tc>
          <w:tcPr>
            <w:tcW w:w="1103" w:type="dxa"/>
            <w:tcBorders>
              <w:left w:val="nil"/>
            </w:tcBorders>
          </w:tcPr>
          <w:p w:rsidR="00000000" w:rsidRDefault="00B7115A">
            <w:pPr>
              <w:tabs>
                <w:tab w:val="clear" w:pos="510"/>
                <w:tab w:val="clear" w:pos="1021"/>
                <w:tab w:val="clear" w:pos="1531"/>
                <w:tab w:val="clear" w:pos="2041"/>
              </w:tabs>
              <w:spacing w:line="288" w:lineRule="auto"/>
              <w:ind w:right="113"/>
              <w:jc w:val="right"/>
              <w:rPr>
                <w:sz w:val="21"/>
              </w:rPr>
            </w:pPr>
            <w:r>
              <w:rPr>
                <w:sz w:val="21"/>
              </w:rPr>
              <w:t>2,100</w:t>
            </w:r>
          </w:p>
        </w:tc>
      </w:tr>
    </w:tbl>
    <w:p w:rsidR="00000000" w:rsidRDefault="00B7115A">
      <w:pPr>
        <w:pStyle w:val="Heading3"/>
      </w:pPr>
      <w:r>
        <w:rPr>
          <w:rFonts w:hint="eastAsia"/>
        </w:rPr>
        <w:t>中等专业学校的情况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1468"/>
        <w:gridCol w:w="1468"/>
        <w:gridCol w:w="1468"/>
        <w:gridCol w:w="1468"/>
        <w:gridCol w:w="1468"/>
      </w:tblGrid>
      <w:tr w:rsidR="00000000">
        <w:tblPrEx>
          <w:tblCellMar>
            <w:top w:w="0" w:type="dxa"/>
            <w:bottom w:w="0" w:type="dxa"/>
          </w:tblCellMar>
        </w:tblPrEx>
        <w:tc>
          <w:tcPr>
            <w:tcW w:w="2068" w:type="dxa"/>
            <w:tcBorders>
              <w:bottom w:val="nil"/>
              <w:right w:val="nil"/>
            </w:tcBorders>
          </w:tcPr>
          <w:p w:rsidR="00000000" w:rsidRDefault="00B7115A">
            <w:pPr>
              <w:spacing w:before="180" w:after="60" w:line="288" w:lineRule="auto"/>
              <w:jc w:val="center"/>
              <w:rPr>
                <w:sz w:val="21"/>
              </w:rPr>
            </w:pPr>
          </w:p>
        </w:tc>
        <w:tc>
          <w:tcPr>
            <w:tcW w:w="1468" w:type="dxa"/>
            <w:tcBorders>
              <w:top w:val="single" w:sz="6" w:space="0" w:color="auto"/>
              <w:left w:val="single" w:sz="6" w:space="0" w:color="auto"/>
              <w:bottom w:val="nil"/>
              <w:right w:val="single" w:sz="6" w:space="0" w:color="auto"/>
            </w:tcBorders>
          </w:tcPr>
          <w:p w:rsidR="00000000" w:rsidRDefault="00B7115A">
            <w:pPr>
              <w:spacing w:before="180" w:after="60" w:line="288" w:lineRule="auto"/>
              <w:jc w:val="center"/>
              <w:rPr>
                <w:sz w:val="21"/>
              </w:rPr>
            </w:pPr>
            <w:r>
              <w:rPr>
                <w:sz w:val="21"/>
              </w:rPr>
              <w:t>1991/92</w:t>
            </w:r>
          </w:p>
        </w:tc>
        <w:tc>
          <w:tcPr>
            <w:tcW w:w="1468" w:type="dxa"/>
            <w:tcBorders>
              <w:left w:val="nil"/>
              <w:bottom w:val="nil"/>
              <w:right w:val="nil"/>
            </w:tcBorders>
          </w:tcPr>
          <w:p w:rsidR="00000000" w:rsidRDefault="00B7115A">
            <w:pPr>
              <w:spacing w:before="180" w:after="60" w:line="288" w:lineRule="auto"/>
              <w:jc w:val="center"/>
              <w:rPr>
                <w:sz w:val="21"/>
              </w:rPr>
            </w:pPr>
            <w:r>
              <w:rPr>
                <w:sz w:val="21"/>
              </w:rPr>
              <w:t>1992/93</w:t>
            </w:r>
          </w:p>
        </w:tc>
        <w:tc>
          <w:tcPr>
            <w:tcW w:w="1468" w:type="dxa"/>
            <w:tcBorders>
              <w:top w:val="single" w:sz="6" w:space="0" w:color="auto"/>
              <w:left w:val="single" w:sz="6" w:space="0" w:color="auto"/>
              <w:bottom w:val="nil"/>
              <w:right w:val="single" w:sz="6" w:space="0" w:color="auto"/>
            </w:tcBorders>
          </w:tcPr>
          <w:p w:rsidR="00000000" w:rsidRDefault="00B7115A">
            <w:pPr>
              <w:spacing w:before="180" w:after="60" w:line="288" w:lineRule="auto"/>
              <w:jc w:val="center"/>
              <w:rPr>
                <w:sz w:val="21"/>
              </w:rPr>
            </w:pPr>
            <w:r>
              <w:rPr>
                <w:sz w:val="21"/>
              </w:rPr>
              <w:t>1993/94</w:t>
            </w:r>
          </w:p>
        </w:tc>
        <w:tc>
          <w:tcPr>
            <w:tcW w:w="1468" w:type="dxa"/>
            <w:tcBorders>
              <w:top w:val="single" w:sz="6" w:space="0" w:color="auto"/>
              <w:left w:val="nil"/>
              <w:bottom w:val="nil"/>
              <w:right w:val="single" w:sz="6" w:space="0" w:color="auto"/>
            </w:tcBorders>
          </w:tcPr>
          <w:p w:rsidR="00000000" w:rsidRDefault="00B7115A">
            <w:pPr>
              <w:spacing w:before="180" w:after="60" w:line="288" w:lineRule="auto"/>
              <w:jc w:val="center"/>
              <w:rPr>
                <w:sz w:val="21"/>
              </w:rPr>
            </w:pPr>
            <w:r>
              <w:rPr>
                <w:sz w:val="21"/>
              </w:rPr>
              <w:t>1994/95</w:t>
            </w:r>
          </w:p>
        </w:tc>
        <w:tc>
          <w:tcPr>
            <w:tcW w:w="1468" w:type="dxa"/>
            <w:tcBorders>
              <w:left w:val="nil"/>
              <w:bottom w:val="nil"/>
            </w:tcBorders>
          </w:tcPr>
          <w:p w:rsidR="00000000" w:rsidRDefault="00B7115A">
            <w:pPr>
              <w:spacing w:before="180" w:after="60" w:line="288" w:lineRule="auto"/>
              <w:jc w:val="center"/>
              <w:rPr>
                <w:sz w:val="21"/>
              </w:rPr>
            </w:pPr>
            <w:r>
              <w:rPr>
                <w:sz w:val="21"/>
              </w:rPr>
              <w:t>1995/96</w:t>
            </w:r>
          </w:p>
        </w:tc>
      </w:tr>
      <w:tr w:rsidR="00000000">
        <w:tblPrEx>
          <w:tblCellMar>
            <w:top w:w="0" w:type="dxa"/>
            <w:bottom w:w="0" w:type="dxa"/>
          </w:tblCellMar>
        </w:tblPrEx>
        <w:tc>
          <w:tcPr>
            <w:tcW w:w="2068" w:type="dxa"/>
            <w:tcBorders>
              <w:top w:val="single" w:sz="6" w:space="0" w:color="auto"/>
              <w:bottom w:val="nil"/>
              <w:right w:val="nil"/>
            </w:tcBorders>
          </w:tcPr>
          <w:p w:rsidR="00000000" w:rsidRDefault="00B7115A">
            <w:pPr>
              <w:spacing w:before="120"/>
              <w:ind w:left="113"/>
              <w:rPr>
                <w:sz w:val="21"/>
              </w:rPr>
            </w:pPr>
            <w:r>
              <w:rPr>
                <w:rFonts w:hint="eastAsia"/>
                <w:sz w:val="21"/>
              </w:rPr>
              <w:t>学校数</w:t>
            </w:r>
          </w:p>
        </w:tc>
        <w:tc>
          <w:tcPr>
            <w:tcW w:w="1468"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left="119" w:right="340" w:hanging="119"/>
              <w:jc w:val="right"/>
              <w:rPr>
                <w:sz w:val="21"/>
              </w:rPr>
            </w:pPr>
            <w:r>
              <w:rPr>
                <w:sz w:val="21"/>
              </w:rPr>
              <w:t>48</w:t>
            </w:r>
          </w:p>
        </w:tc>
        <w:tc>
          <w:tcPr>
            <w:tcW w:w="1468" w:type="dxa"/>
            <w:tcBorders>
              <w:top w:val="single" w:sz="6" w:space="0" w:color="auto"/>
              <w:left w:val="nil"/>
              <w:bottom w:val="nil"/>
              <w:right w:val="nil"/>
            </w:tcBorders>
          </w:tcPr>
          <w:p w:rsidR="00000000" w:rsidRDefault="00B7115A">
            <w:pPr>
              <w:tabs>
                <w:tab w:val="clear" w:pos="510"/>
                <w:tab w:val="clear" w:pos="1021"/>
                <w:tab w:val="clear" w:pos="1531"/>
                <w:tab w:val="clear" w:pos="2041"/>
              </w:tabs>
              <w:spacing w:before="120"/>
              <w:ind w:right="340"/>
              <w:jc w:val="right"/>
              <w:rPr>
                <w:sz w:val="21"/>
              </w:rPr>
            </w:pPr>
            <w:r>
              <w:rPr>
                <w:sz w:val="21"/>
              </w:rPr>
              <w:t>50</w:t>
            </w:r>
          </w:p>
        </w:tc>
        <w:tc>
          <w:tcPr>
            <w:tcW w:w="1468"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right="340"/>
              <w:jc w:val="right"/>
              <w:rPr>
                <w:sz w:val="21"/>
              </w:rPr>
            </w:pPr>
            <w:r>
              <w:rPr>
                <w:sz w:val="21"/>
              </w:rPr>
              <w:t>50</w:t>
            </w:r>
          </w:p>
        </w:tc>
        <w:tc>
          <w:tcPr>
            <w:tcW w:w="1468"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s>
              <w:spacing w:before="120"/>
              <w:ind w:right="340"/>
              <w:jc w:val="right"/>
              <w:rPr>
                <w:sz w:val="21"/>
              </w:rPr>
            </w:pPr>
            <w:r>
              <w:rPr>
                <w:sz w:val="21"/>
              </w:rPr>
              <w:t>52</w:t>
            </w:r>
          </w:p>
        </w:tc>
        <w:tc>
          <w:tcPr>
            <w:tcW w:w="1468" w:type="dxa"/>
            <w:tcBorders>
              <w:top w:val="single" w:sz="6" w:space="0" w:color="auto"/>
              <w:left w:val="nil"/>
              <w:bottom w:val="nil"/>
            </w:tcBorders>
          </w:tcPr>
          <w:p w:rsidR="00000000" w:rsidRDefault="00B7115A">
            <w:pPr>
              <w:tabs>
                <w:tab w:val="clear" w:pos="510"/>
                <w:tab w:val="clear" w:pos="1021"/>
                <w:tab w:val="clear" w:pos="1531"/>
                <w:tab w:val="clear" w:pos="2041"/>
              </w:tabs>
              <w:spacing w:before="120"/>
              <w:ind w:right="340"/>
              <w:jc w:val="right"/>
              <w:rPr>
                <w:sz w:val="21"/>
              </w:rPr>
            </w:pPr>
            <w:r>
              <w:rPr>
                <w:sz w:val="21"/>
              </w:rPr>
              <w:t>54</w:t>
            </w:r>
          </w:p>
        </w:tc>
      </w:tr>
      <w:tr w:rsidR="00000000">
        <w:tblPrEx>
          <w:tblCellMar>
            <w:top w:w="0" w:type="dxa"/>
            <w:bottom w:w="0" w:type="dxa"/>
          </w:tblCellMar>
        </w:tblPrEx>
        <w:tc>
          <w:tcPr>
            <w:tcW w:w="2068" w:type="dxa"/>
            <w:tcBorders>
              <w:top w:val="nil"/>
              <w:right w:val="nil"/>
            </w:tcBorders>
          </w:tcPr>
          <w:p w:rsidR="00000000" w:rsidRDefault="00B7115A">
            <w:pPr>
              <w:ind w:left="113"/>
              <w:rPr>
                <w:sz w:val="21"/>
              </w:rPr>
            </w:pPr>
            <w:r>
              <w:rPr>
                <w:rFonts w:hint="eastAsia"/>
                <w:sz w:val="21"/>
              </w:rPr>
              <w:t>招生数</w:t>
            </w:r>
          </w:p>
        </w:tc>
        <w:tc>
          <w:tcPr>
            <w:tcW w:w="1468"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ind w:left="119" w:right="340" w:hanging="119"/>
              <w:jc w:val="right"/>
              <w:rPr>
                <w:sz w:val="21"/>
              </w:rPr>
            </w:pPr>
            <w:r>
              <w:rPr>
                <w:sz w:val="21"/>
              </w:rPr>
              <w:t>42,700</w:t>
            </w:r>
          </w:p>
        </w:tc>
        <w:tc>
          <w:tcPr>
            <w:tcW w:w="1468" w:type="dxa"/>
            <w:tcBorders>
              <w:top w:val="nil"/>
              <w:left w:val="nil"/>
              <w:right w:val="nil"/>
            </w:tcBorders>
          </w:tcPr>
          <w:p w:rsidR="00000000" w:rsidRDefault="00B7115A">
            <w:pPr>
              <w:tabs>
                <w:tab w:val="clear" w:pos="510"/>
                <w:tab w:val="clear" w:pos="1021"/>
                <w:tab w:val="clear" w:pos="1531"/>
                <w:tab w:val="clear" w:pos="2041"/>
              </w:tabs>
              <w:ind w:right="340"/>
              <w:jc w:val="right"/>
              <w:rPr>
                <w:sz w:val="21"/>
              </w:rPr>
            </w:pPr>
            <w:r>
              <w:rPr>
                <w:sz w:val="21"/>
              </w:rPr>
              <w:t>40,900</w:t>
            </w:r>
          </w:p>
        </w:tc>
        <w:tc>
          <w:tcPr>
            <w:tcW w:w="1468"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38,600</w:t>
            </w:r>
          </w:p>
        </w:tc>
        <w:tc>
          <w:tcPr>
            <w:tcW w:w="1468" w:type="dxa"/>
            <w:tcBorders>
              <w:top w:val="nil"/>
              <w:left w:val="nil"/>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32,700</w:t>
            </w:r>
          </w:p>
        </w:tc>
        <w:tc>
          <w:tcPr>
            <w:tcW w:w="1468" w:type="dxa"/>
            <w:tcBorders>
              <w:top w:val="nil"/>
              <w:left w:val="nil"/>
            </w:tcBorders>
          </w:tcPr>
          <w:p w:rsidR="00000000" w:rsidRDefault="00B7115A">
            <w:pPr>
              <w:tabs>
                <w:tab w:val="clear" w:pos="510"/>
                <w:tab w:val="clear" w:pos="1021"/>
                <w:tab w:val="clear" w:pos="1531"/>
                <w:tab w:val="clear" w:pos="2041"/>
              </w:tabs>
              <w:ind w:right="340"/>
              <w:jc w:val="right"/>
              <w:rPr>
                <w:sz w:val="21"/>
              </w:rPr>
            </w:pPr>
            <w:r>
              <w:rPr>
                <w:sz w:val="21"/>
              </w:rPr>
              <w:t>29,400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日校</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left="119" w:right="340" w:hanging="119"/>
              <w:jc w:val="right"/>
              <w:rPr>
                <w:sz w:val="21"/>
              </w:rPr>
            </w:pPr>
            <w:r>
              <w:rPr>
                <w:sz w:val="21"/>
              </w:rPr>
              <w:t>32,100</w:t>
            </w:r>
          </w:p>
        </w:tc>
        <w:tc>
          <w:tcPr>
            <w:tcW w:w="1468" w:type="dxa"/>
            <w:tcBorders>
              <w:left w:val="nil"/>
              <w:right w:val="nil"/>
            </w:tcBorders>
          </w:tcPr>
          <w:p w:rsidR="00000000" w:rsidRDefault="00B7115A">
            <w:pPr>
              <w:tabs>
                <w:tab w:val="clear" w:pos="510"/>
                <w:tab w:val="clear" w:pos="1021"/>
                <w:tab w:val="clear" w:pos="1531"/>
                <w:tab w:val="clear" w:pos="2041"/>
              </w:tabs>
              <w:ind w:right="340"/>
              <w:jc w:val="right"/>
              <w:rPr>
                <w:sz w:val="21"/>
              </w:rPr>
            </w:pPr>
            <w:r>
              <w:rPr>
                <w:sz w:val="21"/>
              </w:rPr>
              <w:t>30,200</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28,700</w:t>
            </w:r>
          </w:p>
        </w:tc>
        <w:tc>
          <w:tcPr>
            <w:tcW w:w="1468" w:type="dxa"/>
            <w:tcBorders>
              <w:left w:val="nil"/>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24,900</w:t>
            </w:r>
          </w:p>
        </w:tc>
        <w:tc>
          <w:tcPr>
            <w:tcW w:w="1468" w:type="dxa"/>
            <w:tcBorders>
              <w:left w:val="nil"/>
            </w:tcBorders>
          </w:tcPr>
          <w:p w:rsidR="00000000" w:rsidRDefault="00B7115A">
            <w:pPr>
              <w:tabs>
                <w:tab w:val="clear" w:pos="510"/>
                <w:tab w:val="clear" w:pos="1021"/>
                <w:tab w:val="clear" w:pos="1531"/>
                <w:tab w:val="clear" w:pos="2041"/>
              </w:tabs>
              <w:ind w:right="340"/>
              <w:jc w:val="right"/>
              <w:rPr>
                <w:sz w:val="21"/>
              </w:rPr>
            </w:pPr>
            <w:r>
              <w:rPr>
                <w:sz w:val="21"/>
              </w:rPr>
              <w:t>22,700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夜校</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left="119" w:right="340" w:hanging="119"/>
              <w:jc w:val="right"/>
              <w:rPr>
                <w:sz w:val="21"/>
              </w:rPr>
            </w:pPr>
            <w:r>
              <w:rPr>
                <w:sz w:val="21"/>
              </w:rPr>
              <w:t>1,900</w:t>
            </w:r>
          </w:p>
        </w:tc>
        <w:tc>
          <w:tcPr>
            <w:tcW w:w="1468" w:type="dxa"/>
            <w:tcBorders>
              <w:left w:val="nil"/>
              <w:right w:val="nil"/>
            </w:tcBorders>
          </w:tcPr>
          <w:p w:rsidR="00000000" w:rsidRDefault="00B7115A">
            <w:pPr>
              <w:tabs>
                <w:tab w:val="clear" w:pos="510"/>
                <w:tab w:val="clear" w:pos="1021"/>
                <w:tab w:val="clear" w:pos="1531"/>
                <w:tab w:val="clear" w:pos="2041"/>
              </w:tabs>
              <w:ind w:right="340"/>
              <w:jc w:val="right"/>
              <w:rPr>
                <w:sz w:val="21"/>
              </w:rPr>
            </w:pPr>
            <w:r>
              <w:rPr>
                <w:sz w:val="21"/>
              </w:rPr>
              <w:t>1,800</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1,200</w:t>
            </w:r>
          </w:p>
        </w:tc>
        <w:tc>
          <w:tcPr>
            <w:tcW w:w="1468" w:type="dxa"/>
            <w:tcBorders>
              <w:left w:val="nil"/>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1,300</w:t>
            </w:r>
          </w:p>
        </w:tc>
        <w:tc>
          <w:tcPr>
            <w:tcW w:w="1468" w:type="dxa"/>
            <w:tcBorders>
              <w:left w:val="nil"/>
            </w:tcBorders>
          </w:tcPr>
          <w:p w:rsidR="00000000" w:rsidRDefault="00B7115A">
            <w:pPr>
              <w:tabs>
                <w:tab w:val="clear" w:pos="510"/>
                <w:tab w:val="clear" w:pos="1021"/>
                <w:tab w:val="clear" w:pos="1531"/>
                <w:tab w:val="clear" w:pos="2041"/>
              </w:tabs>
              <w:ind w:right="340"/>
              <w:jc w:val="right"/>
              <w:rPr>
                <w:sz w:val="21"/>
              </w:rPr>
            </w:pPr>
            <w:r>
              <w:rPr>
                <w:sz w:val="21"/>
              </w:rPr>
              <w:t>800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函授学校</w:t>
            </w:r>
          </w:p>
        </w:tc>
        <w:tc>
          <w:tcPr>
            <w:tcW w:w="1468"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left="119" w:right="340" w:hanging="119"/>
              <w:jc w:val="right"/>
              <w:rPr>
                <w:sz w:val="21"/>
              </w:rPr>
            </w:pPr>
            <w:r>
              <w:rPr>
                <w:sz w:val="21"/>
              </w:rPr>
              <w:t>8,700</w:t>
            </w:r>
          </w:p>
        </w:tc>
        <w:tc>
          <w:tcPr>
            <w:tcW w:w="1468" w:type="dxa"/>
            <w:tcBorders>
              <w:left w:val="nil"/>
              <w:right w:val="nil"/>
            </w:tcBorders>
          </w:tcPr>
          <w:p w:rsidR="00000000" w:rsidRDefault="00B7115A">
            <w:pPr>
              <w:tabs>
                <w:tab w:val="clear" w:pos="510"/>
                <w:tab w:val="clear" w:pos="1021"/>
                <w:tab w:val="clear" w:pos="1531"/>
                <w:tab w:val="clear" w:pos="2041"/>
              </w:tabs>
              <w:ind w:right="340"/>
              <w:jc w:val="right"/>
              <w:rPr>
                <w:sz w:val="21"/>
              </w:rPr>
            </w:pPr>
            <w:r>
              <w:rPr>
                <w:sz w:val="21"/>
              </w:rPr>
              <w:t>8,900</w:t>
            </w:r>
          </w:p>
        </w:tc>
        <w:tc>
          <w:tcPr>
            <w:tcW w:w="1468"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8,700</w:t>
            </w:r>
          </w:p>
        </w:tc>
        <w:tc>
          <w:tcPr>
            <w:tcW w:w="1468" w:type="dxa"/>
            <w:tcBorders>
              <w:left w:val="nil"/>
              <w:bottom w:val="single" w:sz="6" w:space="0" w:color="auto"/>
              <w:right w:val="single" w:sz="6" w:space="0" w:color="auto"/>
            </w:tcBorders>
          </w:tcPr>
          <w:p w:rsidR="00000000" w:rsidRDefault="00B7115A">
            <w:pPr>
              <w:tabs>
                <w:tab w:val="clear" w:pos="510"/>
                <w:tab w:val="clear" w:pos="1021"/>
                <w:tab w:val="clear" w:pos="1531"/>
                <w:tab w:val="clear" w:pos="2041"/>
              </w:tabs>
              <w:ind w:right="340"/>
              <w:jc w:val="right"/>
              <w:rPr>
                <w:sz w:val="21"/>
              </w:rPr>
            </w:pPr>
            <w:r>
              <w:rPr>
                <w:sz w:val="21"/>
              </w:rPr>
              <w:t>6,500</w:t>
            </w:r>
          </w:p>
        </w:tc>
        <w:tc>
          <w:tcPr>
            <w:tcW w:w="1468" w:type="dxa"/>
            <w:tcBorders>
              <w:left w:val="nil"/>
            </w:tcBorders>
          </w:tcPr>
          <w:p w:rsidR="00000000" w:rsidRDefault="00B7115A">
            <w:pPr>
              <w:tabs>
                <w:tab w:val="clear" w:pos="510"/>
                <w:tab w:val="clear" w:pos="1021"/>
                <w:tab w:val="clear" w:pos="1531"/>
                <w:tab w:val="clear" w:pos="2041"/>
              </w:tabs>
              <w:ind w:right="340"/>
              <w:jc w:val="right"/>
              <w:rPr>
                <w:sz w:val="21"/>
              </w:rPr>
            </w:pPr>
            <w:r>
              <w:rPr>
                <w:sz w:val="21"/>
              </w:rPr>
              <w:t>5,900</w:t>
            </w:r>
          </w:p>
        </w:tc>
      </w:tr>
    </w:tbl>
    <w:p w:rsidR="00000000" w:rsidRDefault="00B7115A"/>
    <w:p w:rsidR="00000000" w:rsidRDefault="00B7115A">
      <w:pPr>
        <w:pStyle w:val="Heading3"/>
        <w:spacing w:before="240"/>
      </w:pPr>
      <w:r>
        <w:rPr>
          <w:rFonts w:hint="eastAsia"/>
        </w:rPr>
        <w:t>截至</w:t>
      </w:r>
      <w:r>
        <w:t>1995/96</w:t>
      </w:r>
      <w:r>
        <w:rPr>
          <w:rFonts w:hint="eastAsia"/>
        </w:rPr>
        <w:t>学年的高等教育机构情况</w:t>
      </w:r>
      <w:r>
        <w:br/>
        <w:t>(</w:t>
      </w:r>
      <w:r>
        <w:rPr>
          <w:rFonts w:hint="eastAsia"/>
        </w:rPr>
        <w:t>包括非国立高等教育机构</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068"/>
        <w:gridCol w:w="1468"/>
        <w:gridCol w:w="1468"/>
        <w:gridCol w:w="1468"/>
        <w:gridCol w:w="1468"/>
        <w:gridCol w:w="1468"/>
      </w:tblGrid>
      <w:tr w:rsidR="00000000">
        <w:tblPrEx>
          <w:tblCellMar>
            <w:top w:w="0" w:type="dxa"/>
            <w:bottom w:w="0" w:type="dxa"/>
          </w:tblCellMar>
        </w:tblPrEx>
        <w:tc>
          <w:tcPr>
            <w:tcW w:w="2068" w:type="dxa"/>
            <w:tcBorders>
              <w:bottom w:val="nil"/>
              <w:right w:val="nil"/>
            </w:tcBorders>
          </w:tcPr>
          <w:p w:rsidR="00000000" w:rsidRDefault="00B7115A">
            <w:pPr>
              <w:spacing w:before="180" w:after="60" w:line="288" w:lineRule="auto"/>
              <w:jc w:val="center"/>
              <w:rPr>
                <w:sz w:val="21"/>
              </w:rPr>
            </w:pPr>
          </w:p>
        </w:tc>
        <w:tc>
          <w:tcPr>
            <w:tcW w:w="1468" w:type="dxa"/>
            <w:tcBorders>
              <w:top w:val="single" w:sz="6" w:space="0" w:color="auto"/>
              <w:left w:val="single" w:sz="6" w:space="0" w:color="auto"/>
              <w:bottom w:val="nil"/>
              <w:right w:val="single" w:sz="6" w:space="0" w:color="auto"/>
            </w:tcBorders>
          </w:tcPr>
          <w:p w:rsidR="00000000" w:rsidRDefault="00B7115A">
            <w:pPr>
              <w:spacing w:before="180" w:after="60" w:line="288" w:lineRule="auto"/>
              <w:jc w:val="center"/>
              <w:rPr>
                <w:sz w:val="21"/>
              </w:rPr>
            </w:pPr>
            <w:r>
              <w:rPr>
                <w:sz w:val="21"/>
              </w:rPr>
              <w:t>1991/92</w:t>
            </w:r>
          </w:p>
        </w:tc>
        <w:tc>
          <w:tcPr>
            <w:tcW w:w="1468" w:type="dxa"/>
            <w:tcBorders>
              <w:left w:val="nil"/>
              <w:bottom w:val="nil"/>
              <w:right w:val="nil"/>
            </w:tcBorders>
          </w:tcPr>
          <w:p w:rsidR="00000000" w:rsidRDefault="00B7115A">
            <w:pPr>
              <w:spacing w:before="180" w:after="60" w:line="288" w:lineRule="auto"/>
              <w:jc w:val="center"/>
              <w:rPr>
                <w:sz w:val="21"/>
              </w:rPr>
            </w:pPr>
            <w:r>
              <w:rPr>
                <w:sz w:val="21"/>
              </w:rPr>
              <w:t>1992/93</w:t>
            </w:r>
          </w:p>
        </w:tc>
        <w:tc>
          <w:tcPr>
            <w:tcW w:w="1468" w:type="dxa"/>
            <w:tcBorders>
              <w:top w:val="single" w:sz="6" w:space="0" w:color="auto"/>
              <w:left w:val="single" w:sz="6" w:space="0" w:color="auto"/>
              <w:bottom w:val="nil"/>
              <w:right w:val="single" w:sz="6" w:space="0" w:color="auto"/>
            </w:tcBorders>
          </w:tcPr>
          <w:p w:rsidR="00000000" w:rsidRDefault="00B7115A">
            <w:pPr>
              <w:spacing w:before="180" w:after="60" w:line="288" w:lineRule="auto"/>
              <w:jc w:val="center"/>
              <w:rPr>
                <w:sz w:val="21"/>
              </w:rPr>
            </w:pPr>
            <w:r>
              <w:rPr>
                <w:sz w:val="21"/>
              </w:rPr>
              <w:t>1993/94</w:t>
            </w:r>
          </w:p>
        </w:tc>
        <w:tc>
          <w:tcPr>
            <w:tcW w:w="1468" w:type="dxa"/>
            <w:tcBorders>
              <w:top w:val="single" w:sz="6" w:space="0" w:color="auto"/>
              <w:left w:val="nil"/>
              <w:bottom w:val="nil"/>
              <w:right w:val="single" w:sz="6" w:space="0" w:color="auto"/>
            </w:tcBorders>
          </w:tcPr>
          <w:p w:rsidR="00000000" w:rsidRDefault="00B7115A">
            <w:pPr>
              <w:spacing w:before="180" w:after="60" w:line="288" w:lineRule="auto"/>
              <w:jc w:val="center"/>
              <w:rPr>
                <w:sz w:val="21"/>
              </w:rPr>
            </w:pPr>
            <w:r>
              <w:rPr>
                <w:sz w:val="21"/>
              </w:rPr>
              <w:t>1994/95</w:t>
            </w:r>
          </w:p>
        </w:tc>
        <w:tc>
          <w:tcPr>
            <w:tcW w:w="1468" w:type="dxa"/>
            <w:tcBorders>
              <w:left w:val="nil"/>
              <w:bottom w:val="nil"/>
            </w:tcBorders>
          </w:tcPr>
          <w:p w:rsidR="00000000" w:rsidRDefault="00B7115A">
            <w:pPr>
              <w:spacing w:before="180" w:after="60" w:line="288" w:lineRule="auto"/>
              <w:jc w:val="center"/>
              <w:rPr>
                <w:sz w:val="21"/>
              </w:rPr>
            </w:pPr>
            <w:r>
              <w:rPr>
                <w:sz w:val="21"/>
              </w:rPr>
              <w:t>1995/96</w:t>
            </w:r>
          </w:p>
        </w:tc>
      </w:tr>
      <w:tr w:rsidR="00000000">
        <w:tblPrEx>
          <w:tblCellMar>
            <w:top w:w="0" w:type="dxa"/>
            <w:bottom w:w="0" w:type="dxa"/>
          </w:tblCellMar>
        </w:tblPrEx>
        <w:tc>
          <w:tcPr>
            <w:tcW w:w="2068" w:type="dxa"/>
            <w:tcBorders>
              <w:top w:val="single" w:sz="6" w:space="0" w:color="auto"/>
              <w:bottom w:val="nil"/>
              <w:right w:val="nil"/>
            </w:tcBorders>
          </w:tcPr>
          <w:p w:rsidR="00000000" w:rsidRDefault="00B7115A">
            <w:pPr>
              <w:spacing w:before="120"/>
              <w:ind w:left="113"/>
              <w:rPr>
                <w:sz w:val="21"/>
              </w:rPr>
            </w:pPr>
            <w:r>
              <w:rPr>
                <w:rFonts w:hint="eastAsia"/>
                <w:sz w:val="21"/>
              </w:rPr>
              <w:t>高等教育机构数</w:t>
            </w:r>
          </w:p>
        </w:tc>
        <w:tc>
          <w:tcPr>
            <w:tcW w:w="1468"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right="284"/>
              <w:jc w:val="right"/>
              <w:rPr>
                <w:sz w:val="21"/>
              </w:rPr>
            </w:pPr>
            <w:r>
              <w:rPr>
                <w:sz w:val="21"/>
              </w:rPr>
              <w:t>12</w:t>
            </w:r>
          </w:p>
        </w:tc>
        <w:tc>
          <w:tcPr>
            <w:tcW w:w="1468" w:type="dxa"/>
            <w:tcBorders>
              <w:top w:val="single" w:sz="6" w:space="0" w:color="auto"/>
              <w:left w:val="nil"/>
              <w:bottom w:val="nil"/>
              <w:right w:val="nil"/>
            </w:tcBorders>
          </w:tcPr>
          <w:p w:rsidR="00000000" w:rsidRDefault="00B7115A">
            <w:pPr>
              <w:tabs>
                <w:tab w:val="clear" w:pos="510"/>
                <w:tab w:val="clear" w:pos="1021"/>
                <w:tab w:val="clear" w:pos="1531"/>
                <w:tab w:val="clear" w:pos="2041"/>
              </w:tabs>
              <w:spacing w:before="120"/>
              <w:ind w:right="284"/>
              <w:jc w:val="right"/>
              <w:rPr>
                <w:sz w:val="21"/>
              </w:rPr>
            </w:pPr>
            <w:r>
              <w:rPr>
                <w:sz w:val="21"/>
              </w:rPr>
              <w:t>13</w:t>
            </w:r>
          </w:p>
        </w:tc>
        <w:tc>
          <w:tcPr>
            <w:tcW w:w="1468"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ind w:right="284"/>
              <w:jc w:val="right"/>
              <w:rPr>
                <w:sz w:val="21"/>
              </w:rPr>
            </w:pPr>
            <w:r>
              <w:rPr>
                <w:sz w:val="21"/>
              </w:rPr>
              <w:t>18</w:t>
            </w:r>
          </w:p>
        </w:tc>
        <w:tc>
          <w:tcPr>
            <w:tcW w:w="1468"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s>
              <w:spacing w:before="120"/>
              <w:ind w:right="284"/>
              <w:jc w:val="right"/>
              <w:rPr>
                <w:sz w:val="21"/>
              </w:rPr>
            </w:pPr>
            <w:r>
              <w:rPr>
                <w:sz w:val="21"/>
              </w:rPr>
              <w:t>22</w:t>
            </w:r>
          </w:p>
        </w:tc>
        <w:tc>
          <w:tcPr>
            <w:tcW w:w="1468" w:type="dxa"/>
            <w:tcBorders>
              <w:top w:val="single" w:sz="6" w:space="0" w:color="auto"/>
              <w:left w:val="nil"/>
              <w:bottom w:val="nil"/>
            </w:tcBorders>
          </w:tcPr>
          <w:p w:rsidR="00000000" w:rsidRDefault="00B7115A">
            <w:pPr>
              <w:tabs>
                <w:tab w:val="clear" w:pos="510"/>
                <w:tab w:val="clear" w:pos="1021"/>
                <w:tab w:val="clear" w:pos="1531"/>
                <w:tab w:val="clear" w:pos="2041"/>
              </w:tabs>
              <w:spacing w:before="120"/>
              <w:ind w:right="284"/>
              <w:jc w:val="right"/>
              <w:rPr>
                <w:sz w:val="21"/>
              </w:rPr>
            </w:pPr>
            <w:r>
              <w:rPr>
                <w:sz w:val="21"/>
              </w:rPr>
              <w:t>32</w:t>
            </w:r>
          </w:p>
        </w:tc>
      </w:tr>
      <w:tr w:rsidR="00000000">
        <w:tblPrEx>
          <w:tblCellMar>
            <w:top w:w="0" w:type="dxa"/>
            <w:bottom w:w="0" w:type="dxa"/>
          </w:tblCellMar>
        </w:tblPrEx>
        <w:tc>
          <w:tcPr>
            <w:tcW w:w="2068" w:type="dxa"/>
            <w:tcBorders>
              <w:top w:val="nil"/>
              <w:right w:val="nil"/>
            </w:tcBorders>
          </w:tcPr>
          <w:p w:rsidR="00000000" w:rsidRDefault="00B7115A">
            <w:pPr>
              <w:ind w:left="113"/>
              <w:rPr>
                <w:sz w:val="21"/>
              </w:rPr>
            </w:pPr>
            <w:r>
              <w:rPr>
                <w:rFonts w:hint="eastAsia"/>
                <w:sz w:val="21"/>
              </w:rPr>
              <w:t>学生总数</w:t>
            </w:r>
          </w:p>
        </w:tc>
        <w:tc>
          <w:tcPr>
            <w:tcW w:w="1468"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58,000</w:t>
            </w:r>
          </w:p>
        </w:tc>
        <w:tc>
          <w:tcPr>
            <w:tcW w:w="1468" w:type="dxa"/>
            <w:tcBorders>
              <w:top w:val="nil"/>
              <w:left w:val="nil"/>
              <w:right w:val="nil"/>
            </w:tcBorders>
          </w:tcPr>
          <w:p w:rsidR="00000000" w:rsidRDefault="00B7115A">
            <w:pPr>
              <w:tabs>
                <w:tab w:val="clear" w:pos="510"/>
                <w:tab w:val="clear" w:pos="1021"/>
                <w:tab w:val="clear" w:pos="1531"/>
                <w:tab w:val="clear" w:pos="2041"/>
              </w:tabs>
              <w:ind w:right="284"/>
              <w:jc w:val="right"/>
              <w:rPr>
                <w:sz w:val="21"/>
              </w:rPr>
            </w:pPr>
            <w:r>
              <w:rPr>
                <w:sz w:val="21"/>
              </w:rPr>
              <w:t>53,600</w:t>
            </w:r>
          </w:p>
        </w:tc>
        <w:tc>
          <w:tcPr>
            <w:tcW w:w="1468"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52,200</w:t>
            </w:r>
          </w:p>
        </w:tc>
        <w:tc>
          <w:tcPr>
            <w:tcW w:w="1468" w:type="dxa"/>
            <w:tcBorders>
              <w:top w:val="nil"/>
              <w:left w:val="nil"/>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55,200</w:t>
            </w:r>
          </w:p>
        </w:tc>
        <w:tc>
          <w:tcPr>
            <w:tcW w:w="1468" w:type="dxa"/>
            <w:tcBorders>
              <w:top w:val="nil"/>
              <w:left w:val="nil"/>
            </w:tcBorders>
          </w:tcPr>
          <w:p w:rsidR="00000000" w:rsidRDefault="00B7115A">
            <w:pPr>
              <w:tabs>
                <w:tab w:val="clear" w:pos="510"/>
                <w:tab w:val="clear" w:pos="1021"/>
                <w:tab w:val="clear" w:pos="1531"/>
                <w:tab w:val="clear" w:pos="2041"/>
              </w:tabs>
              <w:ind w:right="284"/>
              <w:jc w:val="right"/>
              <w:rPr>
                <w:sz w:val="21"/>
              </w:rPr>
            </w:pPr>
            <w:r>
              <w:rPr>
                <w:sz w:val="21"/>
              </w:rPr>
              <w:t>64,600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白天课程</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40,500</w:t>
            </w:r>
          </w:p>
        </w:tc>
        <w:tc>
          <w:tcPr>
            <w:tcW w:w="1468" w:type="dxa"/>
            <w:tcBorders>
              <w:left w:val="nil"/>
              <w:right w:val="nil"/>
            </w:tcBorders>
          </w:tcPr>
          <w:p w:rsidR="00000000" w:rsidRDefault="00B7115A">
            <w:pPr>
              <w:tabs>
                <w:tab w:val="clear" w:pos="510"/>
                <w:tab w:val="clear" w:pos="1021"/>
                <w:tab w:val="clear" w:pos="1531"/>
                <w:tab w:val="clear" w:pos="2041"/>
              </w:tabs>
              <w:ind w:right="284"/>
              <w:jc w:val="right"/>
              <w:rPr>
                <w:sz w:val="21"/>
              </w:rPr>
            </w:pPr>
            <w:r>
              <w:rPr>
                <w:sz w:val="21"/>
              </w:rPr>
              <w:t>38,400</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38,400</w:t>
            </w:r>
          </w:p>
        </w:tc>
        <w:tc>
          <w:tcPr>
            <w:tcW w:w="1468" w:type="dxa"/>
            <w:tcBorders>
              <w:left w:val="nil"/>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39,900</w:t>
            </w:r>
          </w:p>
        </w:tc>
        <w:tc>
          <w:tcPr>
            <w:tcW w:w="1468" w:type="dxa"/>
            <w:tcBorders>
              <w:left w:val="nil"/>
            </w:tcBorders>
          </w:tcPr>
          <w:p w:rsidR="00000000" w:rsidRDefault="00B7115A">
            <w:pPr>
              <w:tabs>
                <w:tab w:val="clear" w:pos="510"/>
                <w:tab w:val="clear" w:pos="1021"/>
                <w:tab w:val="clear" w:pos="1531"/>
                <w:tab w:val="clear" w:pos="2041"/>
              </w:tabs>
              <w:ind w:right="284"/>
              <w:jc w:val="right"/>
              <w:rPr>
                <w:sz w:val="21"/>
              </w:rPr>
            </w:pPr>
            <w:r>
              <w:rPr>
                <w:sz w:val="21"/>
              </w:rPr>
              <w:t>47,400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晚上课程</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3,200</w:t>
            </w:r>
          </w:p>
        </w:tc>
        <w:tc>
          <w:tcPr>
            <w:tcW w:w="1468" w:type="dxa"/>
            <w:tcBorders>
              <w:left w:val="nil"/>
              <w:right w:val="nil"/>
            </w:tcBorders>
          </w:tcPr>
          <w:p w:rsidR="00000000" w:rsidRDefault="00B7115A">
            <w:pPr>
              <w:tabs>
                <w:tab w:val="clear" w:pos="510"/>
                <w:tab w:val="clear" w:pos="1021"/>
                <w:tab w:val="clear" w:pos="1531"/>
                <w:tab w:val="clear" w:pos="2041"/>
              </w:tabs>
              <w:ind w:right="284"/>
              <w:jc w:val="right"/>
              <w:rPr>
                <w:sz w:val="21"/>
              </w:rPr>
            </w:pPr>
            <w:r>
              <w:rPr>
                <w:sz w:val="21"/>
              </w:rPr>
              <w:t>2,900</w:t>
            </w:r>
          </w:p>
        </w:tc>
        <w:tc>
          <w:tcPr>
            <w:tcW w:w="1468" w:type="dxa"/>
            <w:tcBorders>
              <w:left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2,700</w:t>
            </w:r>
          </w:p>
        </w:tc>
        <w:tc>
          <w:tcPr>
            <w:tcW w:w="1468" w:type="dxa"/>
            <w:tcBorders>
              <w:left w:val="nil"/>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2,000</w:t>
            </w:r>
          </w:p>
        </w:tc>
        <w:tc>
          <w:tcPr>
            <w:tcW w:w="1468" w:type="dxa"/>
            <w:tcBorders>
              <w:left w:val="nil"/>
            </w:tcBorders>
          </w:tcPr>
          <w:p w:rsidR="00000000" w:rsidRDefault="00B7115A">
            <w:pPr>
              <w:tabs>
                <w:tab w:val="clear" w:pos="510"/>
                <w:tab w:val="clear" w:pos="1021"/>
                <w:tab w:val="clear" w:pos="1531"/>
                <w:tab w:val="clear" w:pos="2041"/>
              </w:tabs>
              <w:ind w:right="284"/>
              <w:jc w:val="right"/>
              <w:rPr>
                <w:sz w:val="21"/>
              </w:rPr>
            </w:pPr>
            <w:r>
              <w:rPr>
                <w:sz w:val="21"/>
              </w:rPr>
              <w:t>1,700</w:t>
            </w:r>
          </w:p>
        </w:tc>
      </w:tr>
      <w:tr w:rsidR="00000000">
        <w:tblPrEx>
          <w:tblCellMar>
            <w:top w:w="0" w:type="dxa"/>
            <w:bottom w:w="0" w:type="dxa"/>
          </w:tblCellMar>
        </w:tblPrEx>
        <w:tc>
          <w:tcPr>
            <w:tcW w:w="2068" w:type="dxa"/>
            <w:tcBorders>
              <w:right w:val="nil"/>
            </w:tcBorders>
          </w:tcPr>
          <w:p w:rsidR="00000000" w:rsidRDefault="00B7115A">
            <w:pPr>
              <w:ind w:left="113"/>
              <w:rPr>
                <w:sz w:val="21"/>
              </w:rPr>
            </w:pPr>
            <w:r>
              <w:rPr>
                <w:rFonts w:hint="eastAsia"/>
                <w:sz w:val="21"/>
              </w:rPr>
              <w:t>函授课程</w:t>
            </w:r>
          </w:p>
        </w:tc>
        <w:tc>
          <w:tcPr>
            <w:tcW w:w="1468"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14,300</w:t>
            </w:r>
          </w:p>
        </w:tc>
        <w:tc>
          <w:tcPr>
            <w:tcW w:w="1468" w:type="dxa"/>
            <w:tcBorders>
              <w:left w:val="nil"/>
              <w:right w:val="nil"/>
            </w:tcBorders>
          </w:tcPr>
          <w:p w:rsidR="00000000" w:rsidRDefault="00B7115A">
            <w:pPr>
              <w:tabs>
                <w:tab w:val="clear" w:pos="510"/>
                <w:tab w:val="clear" w:pos="1021"/>
                <w:tab w:val="clear" w:pos="1531"/>
                <w:tab w:val="clear" w:pos="2041"/>
              </w:tabs>
              <w:ind w:right="284"/>
              <w:jc w:val="right"/>
              <w:rPr>
                <w:sz w:val="21"/>
              </w:rPr>
            </w:pPr>
            <w:r>
              <w:rPr>
                <w:sz w:val="21"/>
              </w:rPr>
              <w:t>12,300</w:t>
            </w:r>
          </w:p>
        </w:tc>
        <w:tc>
          <w:tcPr>
            <w:tcW w:w="1468"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11,100</w:t>
            </w:r>
          </w:p>
        </w:tc>
        <w:tc>
          <w:tcPr>
            <w:tcW w:w="1468" w:type="dxa"/>
            <w:tcBorders>
              <w:left w:val="nil"/>
              <w:bottom w:val="single" w:sz="6" w:space="0" w:color="auto"/>
              <w:right w:val="single" w:sz="6" w:space="0" w:color="auto"/>
            </w:tcBorders>
          </w:tcPr>
          <w:p w:rsidR="00000000" w:rsidRDefault="00B7115A">
            <w:pPr>
              <w:tabs>
                <w:tab w:val="clear" w:pos="510"/>
                <w:tab w:val="clear" w:pos="1021"/>
                <w:tab w:val="clear" w:pos="1531"/>
                <w:tab w:val="clear" w:pos="2041"/>
              </w:tabs>
              <w:ind w:right="284"/>
              <w:jc w:val="right"/>
              <w:rPr>
                <w:sz w:val="21"/>
              </w:rPr>
            </w:pPr>
            <w:r>
              <w:rPr>
                <w:sz w:val="21"/>
              </w:rPr>
              <w:t>13,300</w:t>
            </w:r>
          </w:p>
        </w:tc>
        <w:tc>
          <w:tcPr>
            <w:tcW w:w="1468" w:type="dxa"/>
            <w:tcBorders>
              <w:left w:val="nil"/>
            </w:tcBorders>
          </w:tcPr>
          <w:p w:rsidR="00000000" w:rsidRDefault="00B7115A">
            <w:pPr>
              <w:tabs>
                <w:tab w:val="clear" w:pos="510"/>
                <w:tab w:val="clear" w:pos="1021"/>
                <w:tab w:val="clear" w:pos="1531"/>
                <w:tab w:val="clear" w:pos="2041"/>
              </w:tabs>
              <w:ind w:right="284"/>
              <w:jc w:val="right"/>
              <w:rPr>
                <w:sz w:val="21"/>
              </w:rPr>
            </w:pPr>
            <w:r>
              <w:rPr>
                <w:sz w:val="21"/>
              </w:rPr>
              <w:t>15,500</w:t>
            </w:r>
          </w:p>
        </w:tc>
      </w:tr>
    </w:tbl>
    <w:p w:rsidR="00000000" w:rsidRDefault="00B7115A">
      <w:pPr>
        <w:spacing w:before="320"/>
        <w:textAlignment w:val="center"/>
      </w:pPr>
      <w:r>
        <w:tab/>
        <w:t>221.  1997</w:t>
      </w:r>
      <w:r>
        <w:rPr>
          <w:rFonts w:hint="eastAsia"/>
        </w:rPr>
        <w:t>年吉尔吉斯斯坦具有高等或中等教育程度</w:t>
      </w:r>
      <w:r>
        <w:t>(</w:t>
      </w:r>
      <w:r>
        <w:rPr>
          <w:rFonts w:hint="eastAsia"/>
        </w:rPr>
        <w:t>完成或未完成</w:t>
      </w:r>
      <w:r>
        <w:t>)</w:t>
      </w:r>
      <w:r>
        <w:rPr>
          <w:rFonts w:hint="eastAsia"/>
        </w:rPr>
        <w:t>的人数</w:t>
      </w:r>
      <w:r>
        <w:t>(15</w:t>
      </w:r>
      <w:r>
        <w:rPr>
          <w:rFonts w:hint="eastAsia"/>
        </w:rPr>
        <w:t>岁以上年龄，每</w:t>
      </w:r>
      <w:r>
        <w:t>1,000</w:t>
      </w:r>
      <w:r>
        <w:rPr>
          <w:rFonts w:hint="eastAsia"/>
        </w:rPr>
        <w:t>人</w:t>
      </w:r>
      <w:r>
        <w:t>)</w:t>
      </w:r>
      <w:r>
        <w:rPr>
          <w:rFonts w:hint="eastAsia"/>
        </w:rPr>
        <w:t>为</w:t>
      </w:r>
      <w:r>
        <w:t>872</w:t>
      </w:r>
      <w:r>
        <w:rPr>
          <w:rFonts w:hint="eastAsia"/>
        </w:rPr>
        <w:t>人，其中包括</w:t>
      </w:r>
      <w:r>
        <w:t>101</w:t>
      </w:r>
      <w:r>
        <w:rPr>
          <w:rFonts w:hint="eastAsia"/>
        </w:rPr>
        <w:t>人完成高等教育，</w:t>
      </w:r>
      <w:r>
        <w:t>15</w:t>
      </w:r>
      <w:r>
        <w:rPr>
          <w:rFonts w:hint="eastAsia"/>
        </w:rPr>
        <w:t>人未完成高等教育，</w:t>
      </w:r>
      <w:r>
        <w:t>150</w:t>
      </w:r>
      <w:r>
        <w:rPr>
          <w:rFonts w:hint="eastAsia"/>
        </w:rPr>
        <w:t>人完成中</w:t>
      </w:r>
      <w:r>
        <w:rPr>
          <w:rFonts w:hint="eastAsia"/>
        </w:rPr>
        <w:t>等专业教育，</w:t>
      </w:r>
      <w:r>
        <w:t>409</w:t>
      </w:r>
      <w:r>
        <w:rPr>
          <w:rFonts w:hint="eastAsia"/>
        </w:rPr>
        <w:t>人完成普通中等教育和</w:t>
      </w:r>
      <w:r>
        <w:t>197</w:t>
      </w:r>
      <w:r>
        <w:rPr>
          <w:rFonts w:hint="eastAsia"/>
        </w:rPr>
        <w:t>人未完成中等教育。</w:t>
      </w:r>
    </w:p>
    <w:p w:rsidR="00000000" w:rsidRDefault="00B7115A">
      <w:r>
        <w:tab/>
        <w:t xml:space="preserve">222.  </w:t>
      </w:r>
      <w:r>
        <w:rPr>
          <w:rFonts w:hint="eastAsia"/>
        </w:rPr>
        <w:t>在</w:t>
      </w:r>
      <w:r>
        <w:t>1996/1997</w:t>
      </w:r>
      <w:r>
        <w:rPr>
          <w:rFonts w:hint="eastAsia"/>
        </w:rPr>
        <w:t>学年开始时有</w:t>
      </w:r>
      <w:r>
        <w:t>1,890</w:t>
      </w:r>
      <w:r>
        <w:rPr>
          <w:rFonts w:hint="eastAsia"/>
        </w:rPr>
        <w:t>所普通教育学校授课，入学人数约为</w:t>
      </w:r>
      <w:r>
        <w:t>1,007,100</w:t>
      </w:r>
      <w:r>
        <w:rPr>
          <w:rFonts w:hint="eastAsia"/>
        </w:rPr>
        <w:t>人。</w:t>
      </w:r>
    </w:p>
    <w:p w:rsidR="00000000" w:rsidRDefault="00B7115A">
      <w:pPr>
        <w:pStyle w:val="Heading3"/>
        <w:spacing w:before="320"/>
        <w:textAlignment w:val="center"/>
      </w:pPr>
      <w:r>
        <w:br w:type="page"/>
      </w:r>
      <w:r>
        <w:rPr>
          <w:rFonts w:hint="eastAsia"/>
        </w:rPr>
        <w:t>按学校类型划分的入学人数</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428"/>
        <w:gridCol w:w="1396"/>
        <w:gridCol w:w="1396"/>
        <w:gridCol w:w="1396"/>
        <w:gridCol w:w="1396"/>
        <w:gridCol w:w="1396"/>
      </w:tblGrid>
      <w:tr w:rsidR="00000000">
        <w:tblPrEx>
          <w:tblCellMar>
            <w:top w:w="0" w:type="dxa"/>
            <w:bottom w:w="0" w:type="dxa"/>
          </w:tblCellMar>
        </w:tblPrEx>
        <w:tc>
          <w:tcPr>
            <w:tcW w:w="2428" w:type="dxa"/>
            <w:tcBorders>
              <w:bottom w:val="nil"/>
              <w:right w:val="nil"/>
            </w:tcBorders>
          </w:tcPr>
          <w:p w:rsidR="00000000" w:rsidRDefault="00B7115A">
            <w:pPr>
              <w:spacing w:before="120" w:line="288" w:lineRule="auto"/>
              <w:jc w:val="center"/>
              <w:rPr>
                <w:sz w:val="21"/>
              </w:rPr>
            </w:pPr>
          </w:p>
        </w:tc>
        <w:tc>
          <w:tcPr>
            <w:tcW w:w="1396" w:type="dxa"/>
            <w:tcBorders>
              <w:top w:val="single" w:sz="6" w:space="0" w:color="auto"/>
              <w:left w:val="single" w:sz="6" w:space="0" w:color="auto"/>
              <w:bottom w:val="nil"/>
              <w:right w:val="single" w:sz="6" w:space="0" w:color="auto"/>
            </w:tcBorders>
          </w:tcPr>
          <w:p w:rsidR="00000000" w:rsidRDefault="00B7115A">
            <w:pPr>
              <w:spacing w:before="120" w:line="288" w:lineRule="auto"/>
              <w:jc w:val="center"/>
              <w:rPr>
                <w:sz w:val="21"/>
              </w:rPr>
            </w:pPr>
            <w:r>
              <w:rPr>
                <w:sz w:val="21"/>
              </w:rPr>
              <w:t>1992/1993</w:t>
            </w:r>
          </w:p>
        </w:tc>
        <w:tc>
          <w:tcPr>
            <w:tcW w:w="1396" w:type="dxa"/>
            <w:tcBorders>
              <w:left w:val="nil"/>
              <w:bottom w:val="nil"/>
              <w:right w:val="nil"/>
            </w:tcBorders>
          </w:tcPr>
          <w:p w:rsidR="00000000" w:rsidRDefault="00B7115A">
            <w:pPr>
              <w:spacing w:before="120" w:line="288" w:lineRule="auto"/>
              <w:jc w:val="center"/>
              <w:rPr>
                <w:sz w:val="21"/>
              </w:rPr>
            </w:pPr>
            <w:r>
              <w:rPr>
                <w:sz w:val="21"/>
              </w:rPr>
              <w:t>1993/1994</w:t>
            </w:r>
          </w:p>
        </w:tc>
        <w:tc>
          <w:tcPr>
            <w:tcW w:w="1396" w:type="dxa"/>
            <w:tcBorders>
              <w:top w:val="single" w:sz="6" w:space="0" w:color="auto"/>
              <w:left w:val="single" w:sz="6" w:space="0" w:color="auto"/>
              <w:bottom w:val="nil"/>
              <w:right w:val="single" w:sz="6" w:space="0" w:color="auto"/>
            </w:tcBorders>
          </w:tcPr>
          <w:p w:rsidR="00000000" w:rsidRDefault="00B7115A">
            <w:pPr>
              <w:spacing w:before="120" w:line="288" w:lineRule="auto"/>
              <w:jc w:val="center"/>
              <w:rPr>
                <w:sz w:val="21"/>
              </w:rPr>
            </w:pPr>
            <w:r>
              <w:rPr>
                <w:sz w:val="21"/>
              </w:rPr>
              <w:t>1994/1995</w:t>
            </w:r>
          </w:p>
        </w:tc>
        <w:tc>
          <w:tcPr>
            <w:tcW w:w="1396" w:type="dxa"/>
            <w:tcBorders>
              <w:top w:val="single" w:sz="6" w:space="0" w:color="auto"/>
              <w:left w:val="nil"/>
              <w:bottom w:val="nil"/>
              <w:right w:val="single" w:sz="6" w:space="0" w:color="auto"/>
            </w:tcBorders>
          </w:tcPr>
          <w:p w:rsidR="00000000" w:rsidRDefault="00B7115A">
            <w:pPr>
              <w:spacing w:before="120" w:line="288" w:lineRule="auto"/>
              <w:jc w:val="center"/>
              <w:rPr>
                <w:sz w:val="21"/>
              </w:rPr>
            </w:pPr>
            <w:r>
              <w:rPr>
                <w:sz w:val="21"/>
              </w:rPr>
              <w:t>1995/1996</w:t>
            </w:r>
          </w:p>
        </w:tc>
        <w:tc>
          <w:tcPr>
            <w:tcW w:w="1396" w:type="dxa"/>
            <w:tcBorders>
              <w:left w:val="nil"/>
              <w:bottom w:val="nil"/>
            </w:tcBorders>
          </w:tcPr>
          <w:p w:rsidR="00000000" w:rsidRDefault="00B7115A">
            <w:pPr>
              <w:spacing w:before="120" w:line="288" w:lineRule="auto"/>
              <w:jc w:val="center"/>
              <w:rPr>
                <w:sz w:val="21"/>
              </w:rPr>
            </w:pPr>
            <w:r>
              <w:rPr>
                <w:sz w:val="21"/>
              </w:rPr>
              <w:t>1996/1997</w:t>
            </w:r>
          </w:p>
        </w:tc>
      </w:tr>
      <w:tr w:rsidR="00000000">
        <w:tblPrEx>
          <w:tblCellMar>
            <w:top w:w="0" w:type="dxa"/>
            <w:bottom w:w="0" w:type="dxa"/>
          </w:tblCellMar>
        </w:tblPrEx>
        <w:tc>
          <w:tcPr>
            <w:tcW w:w="2428" w:type="dxa"/>
            <w:tcBorders>
              <w:top w:val="single" w:sz="6" w:space="0" w:color="auto"/>
              <w:bottom w:val="nil"/>
              <w:right w:val="nil"/>
            </w:tcBorders>
          </w:tcPr>
          <w:p w:rsidR="00000000" w:rsidRDefault="00B7115A">
            <w:pPr>
              <w:spacing w:before="120" w:line="288" w:lineRule="auto"/>
              <w:ind w:left="113"/>
              <w:rPr>
                <w:sz w:val="21"/>
              </w:rPr>
            </w:pPr>
            <w:r>
              <w:rPr>
                <w:rFonts w:hint="eastAsia"/>
                <w:sz w:val="21"/>
              </w:rPr>
              <w:t>招生总人数</w:t>
            </w:r>
          </w:p>
        </w:tc>
        <w:tc>
          <w:tcPr>
            <w:tcW w:w="1396"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227"/>
              <w:jc w:val="right"/>
              <w:rPr>
                <w:sz w:val="21"/>
              </w:rPr>
            </w:pPr>
            <w:r>
              <w:rPr>
                <w:sz w:val="21"/>
              </w:rPr>
              <w:t>1,096,500</w:t>
            </w:r>
          </w:p>
        </w:tc>
        <w:tc>
          <w:tcPr>
            <w:tcW w:w="1396" w:type="dxa"/>
            <w:tcBorders>
              <w:top w:val="single" w:sz="6" w:space="0" w:color="auto"/>
              <w:left w:val="nil"/>
              <w:bottom w:val="nil"/>
              <w:right w:val="nil"/>
            </w:tcBorders>
          </w:tcPr>
          <w:p w:rsidR="00000000" w:rsidRDefault="00B7115A">
            <w:pPr>
              <w:tabs>
                <w:tab w:val="clear" w:pos="510"/>
                <w:tab w:val="clear" w:pos="1021"/>
                <w:tab w:val="clear" w:pos="1531"/>
                <w:tab w:val="clear" w:pos="2041"/>
              </w:tabs>
              <w:spacing w:before="120" w:line="288" w:lineRule="auto"/>
              <w:ind w:right="227"/>
              <w:jc w:val="right"/>
              <w:rPr>
                <w:sz w:val="21"/>
              </w:rPr>
            </w:pPr>
            <w:r>
              <w:rPr>
                <w:sz w:val="21"/>
              </w:rPr>
              <w:t>1,079,600</w:t>
            </w:r>
          </w:p>
        </w:tc>
        <w:tc>
          <w:tcPr>
            <w:tcW w:w="1396" w:type="dxa"/>
            <w:tcBorders>
              <w:top w:val="single" w:sz="6" w:space="0" w:color="auto"/>
              <w:left w:val="single" w:sz="6" w:space="0" w:color="auto"/>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227"/>
              <w:jc w:val="right"/>
              <w:rPr>
                <w:sz w:val="21"/>
              </w:rPr>
            </w:pPr>
            <w:r>
              <w:rPr>
                <w:sz w:val="21"/>
              </w:rPr>
              <w:t>1,079,900</w:t>
            </w:r>
          </w:p>
        </w:tc>
        <w:tc>
          <w:tcPr>
            <w:tcW w:w="1396" w:type="dxa"/>
            <w:tcBorders>
              <w:top w:val="single" w:sz="6" w:space="0" w:color="auto"/>
              <w:left w:val="nil"/>
              <w:bottom w:val="nil"/>
              <w:right w:val="single" w:sz="6" w:space="0" w:color="auto"/>
            </w:tcBorders>
          </w:tcPr>
          <w:p w:rsidR="00000000" w:rsidRDefault="00B7115A">
            <w:pPr>
              <w:tabs>
                <w:tab w:val="clear" w:pos="510"/>
                <w:tab w:val="clear" w:pos="1021"/>
                <w:tab w:val="clear" w:pos="1531"/>
                <w:tab w:val="clear" w:pos="2041"/>
              </w:tabs>
              <w:spacing w:before="120" w:line="288" w:lineRule="auto"/>
              <w:ind w:right="227"/>
              <w:jc w:val="right"/>
              <w:rPr>
                <w:sz w:val="21"/>
              </w:rPr>
            </w:pPr>
            <w:r>
              <w:rPr>
                <w:sz w:val="21"/>
              </w:rPr>
              <w:t>1,090,900</w:t>
            </w:r>
          </w:p>
        </w:tc>
        <w:tc>
          <w:tcPr>
            <w:tcW w:w="1396" w:type="dxa"/>
            <w:tcBorders>
              <w:top w:val="single" w:sz="6" w:space="0" w:color="auto"/>
              <w:left w:val="nil"/>
              <w:bottom w:val="nil"/>
            </w:tcBorders>
          </w:tcPr>
          <w:p w:rsidR="00000000" w:rsidRDefault="00B7115A">
            <w:pPr>
              <w:tabs>
                <w:tab w:val="clear" w:pos="510"/>
                <w:tab w:val="clear" w:pos="1021"/>
                <w:tab w:val="clear" w:pos="1531"/>
                <w:tab w:val="clear" w:pos="2041"/>
              </w:tabs>
              <w:spacing w:before="120" w:line="288" w:lineRule="auto"/>
              <w:ind w:right="227"/>
              <w:jc w:val="right"/>
              <w:rPr>
                <w:sz w:val="21"/>
              </w:rPr>
            </w:pPr>
            <w:r>
              <w:rPr>
                <w:sz w:val="21"/>
              </w:rPr>
              <w:t>1,127,800</w:t>
            </w:r>
          </w:p>
        </w:tc>
      </w:tr>
      <w:tr w:rsidR="00000000">
        <w:tblPrEx>
          <w:tblCellMar>
            <w:top w:w="0" w:type="dxa"/>
            <w:bottom w:w="0" w:type="dxa"/>
          </w:tblCellMar>
        </w:tblPrEx>
        <w:tc>
          <w:tcPr>
            <w:tcW w:w="2428" w:type="dxa"/>
            <w:tcBorders>
              <w:top w:val="nil"/>
              <w:right w:val="nil"/>
            </w:tcBorders>
          </w:tcPr>
          <w:p w:rsidR="00000000" w:rsidRDefault="00B7115A">
            <w:pPr>
              <w:spacing w:line="288" w:lineRule="auto"/>
              <w:ind w:left="113"/>
              <w:rPr>
                <w:sz w:val="21"/>
              </w:rPr>
            </w:pPr>
            <w:r>
              <w:rPr>
                <w:rFonts w:hint="eastAsia"/>
                <w:sz w:val="21"/>
              </w:rPr>
              <w:t>普通学校</w:t>
            </w:r>
          </w:p>
        </w:tc>
        <w:tc>
          <w:tcPr>
            <w:tcW w:w="1396"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954,700</w:t>
            </w:r>
          </w:p>
        </w:tc>
        <w:tc>
          <w:tcPr>
            <w:tcW w:w="1396" w:type="dxa"/>
            <w:tcBorders>
              <w:top w:val="nil"/>
              <w:left w:val="nil"/>
              <w:righ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946,700</w:t>
            </w:r>
          </w:p>
        </w:tc>
        <w:tc>
          <w:tcPr>
            <w:tcW w:w="1396" w:type="dxa"/>
            <w:tcBorders>
              <w:top w:val="nil"/>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953,600</w:t>
            </w:r>
          </w:p>
        </w:tc>
        <w:tc>
          <w:tcPr>
            <w:tcW w:w="1396" w:type="dxa"/>
            <w:tcBorders>
              <w:top w:val="nil"/>
              <w:left w:val="nil"/>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972,400</w:t>
            </w:r>
          </w:p>
        </w:tc>
        <w:tc>
          <w:tcPr>
            <w:tcW w:w="1396" w:type="dxa"/>
            <w:tcBorders>
              <w:top w:val="nil"/>
              <w:lef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1,007,10</w:t>
            </w:r>
            <w:r>
              <w:rPr>
                <w:sz w:val="21"/>
              </w:rPr>
              <w:t>0</w:t>
            </w:r>
          </w:p>
        </w:tc>
      </w:tr>
      <w:tr w:rsidR="00000000">
        <w:tblPrEx>
          <w:tblCellMar>
            <w:top w:w="0" w:type="dxa"/>
            <w:bottom w:w="0" w:type="dxa"/>
          </w:tblCellMar>
        </w:tblPrEx>
        <w:tc>
          <w:tcPr>
            <w:tcW w:w="2428" w:type="dxa"/>
            <w:tcBorders>
              <w:right w:val="nil"/>
            </w:tcBorders>
          </w:tcPr>
          <w:p w:rsidR="00000000" w:rsidRDefault="00B7115A">
            <w:pPr>
              <w:spacing w:line="288" w:lineRule="auto"/>
              <w:ind w:left="113"/>
              <w:rPr>
                <w:sz w:val="21"/>
              </w:rPr>
            </w:pPr>
            <w:r>
              <w:rPr>
                <w:rFonts w:hint="eastAsia"/>
                <w:sz w:val="21"/>
              </w:rPr>
              <w:t>职业培训学校</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47,300</w:t>
            </w:r>
          </w:p>
        </w:tc>
        <w:tc>
          <w:tcPr>
            <w:tcW w:w="1396" w:type="dxa"/>
            <w:tcBorders>
              <w:left w:val="nil"/>
              <w:righ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42,100</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38,400</w:t>
            </w:r>
          </w:p>
        </w:tc>
        <w:tc>
          <w:tcPr>
            <w:tcW w:w="1396" w:type="dxa"/>
            <w:tcBorders>
              <w:left w:val="nil"/>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32,000</w:t>
            </w:r>
          </w:p>
        </w:tc>
        <w:tc>
          <w:tcPr>
            <w:tcW w:w="1396" w:type="dxa"/>
            <w:tcBorders>
              <w:lef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26,500</w:t>
            </w:r>
          </w:p>
        </w:tc>
      </w:tr>
      <w:tr w:rsidR="00000000">
        <w:tblPrEx>
          <w:tblCellMar>
            <w:top w:w="0" w:type="dxa"/>
            <w:bottom w:w="0" w:type="dxa"/>
          </w:tblCellMar>
        </w:tblPrEx>
        <w:tc>
          <w:tcPr>
            <w:tcW w:w="2428" w:type="dxa"/>
            <w:tcBorders>
              <w:right w:val="nil"/>
            </w:tcBorders>
          </w:tcPr>
          <w:p w:rsidR="00000000" w:rsidRDefault="00B7115A">
            <w:pPr>
              <w:spacing w:line="288" w:lineRule="auto"/>
              <w:ind w:left="113"/>
              <w:rPr>
                <w:sz w:val="21"/>
              </w:rPr>
            </w:pPr>
            <w:r>
              <w:rPr>
                <w:rFonts w:hint="eastAsia"/>
                <w:sz w:val="21"/>
              </w:rPr>
              <w:t>中等专业学校</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40,900</w:t>
            </w:r>
          </w:p>
        </w:tc>
        <w:tc>
          <w:tcPr>
            <w:tcW w:w="1396" w:type="dxa"/>
            <w:tcBorders>
              <w:left w:val="nil"/>
              <w:righ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38,600</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32,700</w:t>
            </w:r>
          </w:p>
        </w:tc>
        <w:tc>
          <w:tcPr>
            <w:tcW w:w="1396" w:type="dxa"/>
            <w:tcBorders>
              <w:left w:val="nil"/>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29,300</w:t>
            </w:r>
          </w:p>
        </w:tc>
        <w:tc>
          <w:tcPr>
            <w:tcW w:w="1396" w:type="dxa"/>
            <w:tcBorders>
              <w:lef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27,500</w:t>
            </w:r>
          </w:p>
        </w:tc>
      </w:tr>
      <w:tr w:rsidR="00000000">
        <w:tblPrEx>
          <w:tblCellMar>
            <w:top w:w="0" w:type="dxa"/>
            <w:bottom w:w="0" w:type="dxa"/>
          </w:tblCellMar>
        </w:tblPrEx>
        <w:tc>
          <w:tcPr>
            <w:tcW w:w="2428" w:type="dxa"/>
            <w:tcBorders>
              <w:right w:val="nil"/>
            </w:tcBorders>
          </w:tcPr>
          <w:p w:rsidR="00000000" w:rsidRDefault="00B7115A">
            <w:pPr>
              <w:spacing w:line="288" w:lineRule="auto"/>
              <w:ind w:left="113"/>
              <w:rPr>
                <w:sz w:val="21"/>
              </w:rPr>
            </w:pPr>
            <w:r>
              <w:rPr>
                <w:rFonts w:hint="eastAsia"/>
                <w:sz w:val="21"/>
              </w:rPr>
              <w:t>高等院校</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53,600</w:t>
            </w:r>
          </w:p>
        </w:tc>
        <w:tc>
          <w:tcPr>
            <w:tcW w:w="1396" w:type="dxa"/>
            <w:tcBorders>
              <w:left w:val="nil"/>
              <w:righ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52,200</w:t>
            </w:r>
          </w:p>
        </w:tc>
        <w:tc>
          <w:tcPr>
            <w:tcW w:w="1396" w:type="dxa"/>
            <w:tcBorders>
              <w:left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55,200</w:t>
            </w:r>
          </w:p>
        </w:tc>
        <w:tc>
          <w:tcPr>
            <w:tcW w:w="1396" w:type="dxa"/>
            <w:tcBorders>
              <w:left w:val="nil"/>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57,200</w:t>
            </w:r>
          </w:p>
        </w:tc>
        <w:tc>
          <w:tcPr>
            <w:tcW w:w="1396" w:type="dxa"/>
            <w:tcBorders>
              <w:lef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66,700</w:t>
            </w:r>
          </w:p>
        </w:tc>
      </w:tr>
      <w:tr w:rsidR="00000000">
        <w:tblPrEx>
          <w:tblCellMar>
            <w:top w:w="0" w:type="dxa"/>
            <w:bottom w:w="0" w:type="dxa"/>
          </w:tblCellMar>
        </w:tblPrEx>
        <w:tc>
          <w:tcPr>
            <w:tcW w:w="2428" w:type="dxa"/>
            <w:tcBorders>
              <w:right w:val="nil"/>
            </w:tcBorders>
          </w:tcPr>
          <w:p w:rsidR="00000000" w:rsidRDefault="00B7115A">
            <w:pPr>
              <w:spacing w:line="288" w:lineRule="auto"/>
              <w:ind w:left="113"/>
              <w:rPr>
                <w:sz w:val="21"/>
              </w:rPr>
            </w:pPr>
            <w:r>
              <w:rPr>
                <w:rFonts w:hint="eastAsia"/>
                <w:sz w:val="21"/>
              </w:rPr>
              <w:t>职业进修和技术提高</w:t>
            </w:r>
          </w:p>
        </w:tc>
        <w:tc>
          <w:tcPr>
            <w:tcW w:w="1396"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78,200</w:t>
            </w:r>
          </w:p>
        </w:tc>
        <w:tc>
          <w:tcPr>
            <w:tcW w:w="1396" w:type="dxa"/>
            <w:tcBorders>
              <w:left w:val="nil"/>
              <w:righ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50,900</w:t>
            </w:r>
          </w:p>
        </w:tc>
        <w:tc>
          <w:tcPr>
            <w:tcW w:w="1396" w:type="dxa"/>
            <w:tcBorders>
              <w:left w:val="single" w:sz="6" w:space="0" w:color="auto"/>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32,200</w:t>
            </w:r>
          </w:p>
        </w:tc>
        <w:tc>
          <w:tcPr>
            <w:tcW w:w="1396" w:type="dxa"/>
            <w:tcBorders>
              <w:left w:val="nil"/>
              <w:bottom w:val="single" w:sz="6" w:space="0" w:color="auto"/>
              <w:right w:val="single" w:sz="6" w:space="0" w:color="auto"/>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14,200</w:t>
            </w:r>
          </w:p>
        </w:tc>
        <w:tc>
          <w:tcPr>
            <w:tcW w:w="1396" w:type="dxa"/>
            <w:tcBorders>
              <w:left w:val="nil"/>
            </w:tcBorders>
          </w:tcPr>
          <w:p w:rsidR="00000000" w:rsidRDefault="00B7115A">
            <w:pPr>
              <w:tabs>
                <w:tab w:val="clear" w:pos="510"/>
                <w:tab w:val="clear" w:pos="1021"/>
                <w:tab w:val="clear" w:pos="1531"/>
                <w:tab w:val="clear" w:pos="2041"/>
              </w:tabs>
              <w:spacing w:line="288" w:lineRule="auto"/>
              <w:ind w:right="227"/>
              <w:jc w:val="right"/>
              <w:rPr>
                <w:sz w:val="21"/>
              </w:rPr>
            </w:pPr>
            <w:r>
              <w:rPr>
                <w:sz w:val="21"/>
              </w:rPr>
              <w:t>10,200</w:t>
            </w:r>
          </w:p>
        </w:tc>
      </w:tr>
    </w:tbl>
    <w:p w:rsidR="00000000" w:rsidRDefault="00B7115A">
      <w:pPr>
        <w:spacing w:before="320"/>
        <w:textAlignment w:val="center"/>
      </w:pPr>
      <w:r>
        <w:tab/>
        <w:t xml:space="preserve">223.  </w:t>
      </w:r>
      <w:r>
        <w:rPr>
          <w:rFonts w:hint="eastAsia"/>
        </w:rPr>
        <w:t>教育的区别越来越大。去年有</w:t>
      </w:r>
      <w:r>
        <w:t>197</w:t>
      </w:r>
      <w:r>
        <w:rPr>
          <w:rFonts w:hint="eastAsia"/>
        </w:rPr>
        <w:t>所学校提供各种课目的深入学习。目前有</w:t>
      </w:r>
      <w:r>
        <w:t>270</w:t>
      </w:r>
      <w:r>
        <w:rPr>
          <w:rFonts w:hint="eastAsia"/>
        </w:rPr>
        <w:t>所学校，包括</w:t>
      </w:r>
      <w:r>
        <w:t>65</w:t>
      </w:r>
      <w:r>
        <w:rPr>
          <w:rFonts w:hint="eastAsia"/>
        </w:rPr>
        <w:t>个大学预科和</w:t>
      </w:r>
      <w:r>
        <w:t>33</w:t>
      </w:r>
      <w:r>
        <w:rPr>
          <w:rFonts w:hint="eastAsia"/>
        </w:rPr>
        <w:t>所中学。总的招生人数为</w:t>
      </w:r>
      <w:r>
        <w:t>92,100</w:t>
      </w:r>
      <w:r>
        <w:rPr>
          <w:rFonts w:hint="eastAsia"/>
        </w:rPr>
        <w:t>人，比</w:t>
      </w:r>
      <w:r>
        <w:rPr>
          <w:rFonts w:hint="eastAsia"/>
        </w:rPr>
        <w:t>去年提高</w:t>
      </w:r>
      <w:r>
        <w:t>85.3%</w:t>
      </w:r>
      <w:r>
        <w:rPr>
          <w:rFonts w:hint="eastAsia"/>
        </w:rPr>
        <w:t>。</w:t>
      </w:r>
    </w:p>
    <w:p w:rsidR="00000000" w:rsidRDefault="00B7115A">
      <w:r>
        <w:tab/>
        <w:t xml:space="preserve">224.  </w:t>
      </w:r>
      <w:r>
        <w:rPr>
          <w:rFonts w:hint="eastAsia"/>
        </w:rPr>
        <w:t>在教育改革之下，教育制度越来越权力下放，使教育机构有机会制订和采用自己的教学大纲。在</w:t>
      </w:r>
      <w:r>
        <w:t>1996</w:t>
      </w:r>
      <w:r>
        <w:rPr>
          <w:rFonts w:hint="eastAsia"/>
        </w:rPr>
        <w:t>年，</w:t>
      </w:r>
      <w:r>
        <w:t>28</w:t>
      </w:r>
      <w:r>
        <w:rPr>
          <w:rFonts w:hint="eastAsia"/>
        </w:rPr>
        <w:t>所中学和大学预科有自己的教学大纲。</w:t>
      </w:r>
    </w:p>
    <w:p w:rsidR="00000000" w:rsidRDefault="00B7115A">
      <w:r>
        <w:tab/>
        <w:t xml:space="preserve">225.  </w:t>
      </w:r>
      <w:r>
        <w:rPr>
          <w:rFonts w:hint="eastAsia"/>
        </w:rPr>
        <w:t>私立学校的数量已经增加。</w:t>
      </w:r>
      <w:r>
        <w:t>23</w:t>
      </w:r>
      <w:r>
        <w:rPr>
          <w:rFonts w:hint="eastAsia"/>
        </w:rPr>
        <w:t>所学校已经拿到证书，</w:t>
      </w:r>
      <w:r>
        <w:t>9</w:t>
      </w:r>
      <w:r>
        <w:rPr>
          <w:rFonts w:hint="eastAsia"/>
        </w:rPr>
        <w:t>所学校正处在办理证书阶段。已经开设了</w:t>
      </w:r>
      <w:r>
        <w:t>13</w:t>
      </w:r>
      <w:r>
        <w:rPr>
          <w:rFonts w:hint="eastAsia"/>
        </w:rPr>
        <w:t>所吉尔吉斯</w:t>
      </w:r>
      <w:r>
        <w:t>-</w:t>
      </w:r>
      <w:r>
        <w:rPr>
          <w:rFonts w:hint="eastAsia"/>
        </w:rPr>
        <w:t>土耳其中学，并已开始正常的教学工作。</w:t>
      </w:r>
    </w:p>
    <w:p w:rsidR="00000000" w:rsidRDefault="00B7115A">
      <w:r>
        <w:tab/>
        <w:t xml:space="preserve">226.  </w:t>
      </w:r>
      <w:r>
        <w:rPr>
          <w:rFonts w:hint="eastAsia"/>
        </w:rPr>
        <w:t>高等教育体系内包括</w:t>
      </w:r>
      <w:r>
        <w:t>43</w:t>
      </w:r>
      <w:r>
        <w:rPr>
          <w:rFonts w:hint="eastAsia"/>
        </w:rPr>
        <w:t>个专业。有</w:t>
      </w:r>
      <w:r>
        <w:t>15</w:t>
      </w:r>
      <w:r>
        <w:rPr>
          <w:rFonts w:hint="eastAsia"/>
        </w:rPr>
        <w:t>所高等院校为攻读学位者提供研究生学科，有三所学校提供博士生学科。在各学校、职业培训学院和高等院校内正在开展分阶段实行计算机化和重新配置设</w:t>
      </w:r>
      <w:r>
        <w:rPr>
          <w:rFonts w:hint="eastAsia"/>
        </w:rPr>
        <w:t>备的方案。高等教育改革的一个方面是提高高等教育机构的数量。仅仅在过去</w:t>
      </w:r>
      <w:r>
        <w:t>3</w:t>
      </w:r>
      <w:r>
        <w:rPr>
          <w:rFonts w:hint="eastAsia"/>
        </w:rPr>
        <w:t>年内，在各个地区开设了</w:t>
      </w:r>
      <w:r>
        <w:t>12</w:t>
      </w:r>
      <w:r>
        <w:rPr>
          <w:rFonts w:hint="eastAsia"/>
        </w:rPr>
        <w:t>所国立和</w:t>
      </w:r>
      <w:r>
        <w:t>11</w:t>
      </w:r>
      <w:r>
        <w:rPr>
          <w:rFonts w:hint="eastAsia"/>
        </w:rPr>
        <w:t>所非国立高等教育机构和此类机构的</w:t>
      </w:r>
      <w:r>
        <w:t>24</w:t>
      </w:r>
      <w:r>
        <w:rPr>
          <w:rFonts w:hint="eastAsia"/>
        </w:rPr>
        <w:t>个分部以及教育咨询办公厅。开设此类机构的目的是确保这个国家每个地区的青年人能够得到高质量的全面教育。仅仅通过合并若干中等技术学校，而没有必需的教材、设备、场地和合格的教学人员建立的地区高等教育机构，如贾拉拉巴德大学，教育质量是不行的。</w:t>
      </w:r>
    </w:p>
    <w:p w:rsidR="00000000" w:rsidRDefault="00B7115A">
      <w:r>
        <w:tab/>
        <w:t xml:space="preserve">227.  </w:t>
      </w:r>
      <w:r>
        <w:rPr>
          <w:rFonts w:hint="eastAsia"/>
        </w:rPr>
        <w:t>职业培训系统灵活地响应经济结构改革，开始进行改革。改革的一个主要方面是通过投资项目改革制度。例如，职业培训目前是世界银</w:t>
      </w:r>
      <w:r>
        <w:rPr>
          <w:rFonts w:hint="eastAsia"/>
        </w:rPr>
        <w:t>行信贷项目和由德国和土耳其免费提供技术援助一个主题事项。将在近期和亚洲开发银行规划另一个项目。</w:t>
      </w:r>
    </w:p>
    <w:p w:rsidR="00000000" w:rsidRDefault="00B7115A">
      <w:r>
        <w:tab/>
        <w:t xml:space="preserve">228.  </w:t>
      </w:r>
      <w:r>
        <w:rPr>
          <w:rFonts w:hint="eastAsia"/>
        </w:rPr>
        <w:t>为了对青少年保证社会公正，已经把大约</w:t>
      </w:r>
      <w:r>
        <w:t>40</w:t>
      </w:r>
      <w:r>
        <w:rPr>
          <w:rFonts w:hint="eastAsia"/>
        </w:rPr>
        <w:t>所职业培训学校改建为职业中等学校，在这些学校内学生能够得到职业和普通中等学校教育。正在设立多层次的教育群</w:t>
      </w:r>
      <w:r>
        <w:t>(</w:t>
      </w:r>
      <w:r>
        <w:rPr>
          <w:rFonts w:hint="eastAsia"/>
        </w:rPr>
        <w:t>合并普通学校、职业培训学校和高等教育机构</w:t>
      </w:r>
      <w:r>
        <w:t>)</w:t>
      </w:r>
      <w:r>
        <w:rPr>
          <w:rFonts w:hint="eastAsia"/>
        </w:rPr>
        <w:t>以便能够提供质量更好的教学和新近的教学技术。</w:t>
      </w:r>
    </w:p>
    <w:p w:rsidR="00000000" w:rsidRDefault="00B7115A">
      <w:r>
        <w:tab/>
        <w:t xml:space="preserve">229.  </w:t>
      </w:r>
      <w:r>
        <w:rPr>
          <w:rFonts w:hint="eastAsia"/>
        </w:rPr>
        <w:t>职业培训学校目前强调因人施教和与每个学生一起工作。因而正在修订为具体职业制订教学大纲和教案的方法，也修订了整个教育进程的安排。为了改善青年人在劳动市场的竞</w:t>
      </w:r>
      <w:r>
        <w:rPr>
          <w:rFonts w:hint="eastAsia"/>
        </w:rPr>
        <w:t>争性，现在提供近十几项有关市场经济的新的职业教学。在</w:t>
      </w:r>
      <w:r>
        <w:t>1997</w:t>
      </w:r>
      <w:r>
        <w:rPr>
          <w:rFonts w:hint="eastAsia"/>
        </w:rPr>
        <w:t>年前</w:t>
      </w:r>
      <w:r>
        <w:t>9</w:t>
      </w:r>
      <w:r>
        <w:rPr>
          <w:rFonts w:hint="eastAsia"/>
        </w:rPr>
        <w:t>个月内，近</w:t>
      </w:r>
      <w:r>
        <w:t>3,000</w:t>
      </w:r>
      <w:r>
        <w:rPr>
          <w:rFonts w:hint="eastAsia"/>
        </w:rPr>
        <w:t>名失业公民在职业培训体系内得到了再培训；绝大多数是没有工作经验的青少年。由于结构改革，在国家提供资金培训的职业培训学校的入学生人数降低了</w:t>
      </w:r>
      <w:r>
        <w:t>13.5%</w:t>
      </w:r>
      <w:r>
        <w:rPr>
          <w:rFonts w:hint="eastAsia"/>
        </w:rPr>
        <w:t>。目前这样的学生的为</w:t>
      </w:r>
      <w:r>
        <w:t>12,300</w:t>
      </w:r>
      <w:r>
        <w:rPr>
          <w:rFonts w:hint="eastAsia"/>
        </w:rPr>
        <w:t>名，而概要计划所预计的人数为</w:t>
      </w:r>
      <w:r>
        <w:t>13,500</w:t>
      </w:r>
      <w:r>
        <w:rPr>
          <w:rFonts w:hint="eastAsia"/>
        </w:rPr>
        <w:t>名。</w:t>
      </w:r>
    </w:p>
    <w:p w:rsidR="00000000" w:rsidRDefault="00B7115A">
      <w:pPr>
        <w:spacing w:after="240"/>
        <w:textAlignment w:val="center"/>
      </w:pPr>
      <w:r>
        <w:tab/>
        <w:t xml:space="preserve">230.  </w:t>
      </w:r>
      <w:r>
        <w:rPr>
          <w:rFonts w:hint="eastAsia"/>
        </w:rPr>
        <w:t>该国一般学校内有</w:t>
      </w:r>
      <w:r>
        <w:t>19</w:t>
      </w:r>
      <w:r>
        <w:rPr>
          <w:rFonts w:hint="eastAsia"/>
        </w:rPr>
        <w:t>所专门机构为身心发育有缺陷的儿童提供全面教育。目前已开始发展提供残疾儿童，包括没有接受过任何教育的残疾儿童的非国立教学。通过德国慈善机构提供资金设立的“希望”的人道主义</w:t>
      </w:r>
      <w:r>
        <w:rPr>
          <w:rFonts w:hint="eastAsia"/>
        </w:rPr>
        <w:t>康复中心正在开展极有价值的工作。</w:t>
      </w:r>
    </w:p>
    <w:p w:rsidR="00000000" w:rsidRDefault="00B7115A">
      <w:pPr>
        <w:pStyle w:val="Heading3"/>
        <w:spacing w:after="160"/>
        <w:textAlignment w:val="center"/>
      </w:pPr>
      <w:r>
        <w:rPr>
          <w:rFonts w:hint="eastAsia"/>
        </w:rPr>
        <w:t>为身心发育有缺陷的儿童开设的学校</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right w:val="nil"/>
            </w:tcBorders>
          </w:tcPr>
          <w:p w:rsidR="00000000" w:rsidRDefault="00B7115A">
            <w:pPr>
              <w:spacing w:before="120"/>
              <w:rPr>
                <w:sz w:val="21"/>
              </w:rPr>
            </w:pPr>
          </w:p>
        </w:tc>
        <w:tc>
          <w:tcPr>
            <w:tcW w:w="7528" w:type="dxa"/>
            <w:gridSpan w:val="4"/>
            <w:tcBorders>
              <w:top w:val="single" w:sz="6" w:space="0" w:color="auto"/>
              <w:left w:val="single" w:sz="6" w:space="0" w:color="auto"/>
              <w:bottom w:val="nil"/>
            </w:tcBorders>
          </w:tcPr>
          <w:p w:rsidR="00000000" w:rsidRDefault="00B7115A">
            <w:pPr>
              <w:spacing w:before="120"/>
              <w:jc w:val="center"/>
              <w:rPr>
                <w:sz w:val="21"/>
              </w:rPr>
            </w:pPr>
            <w:r>
              <w:rPr>
                <w:rFonts w:hint="eastAsia"/>
                <w:sz w:val="21"/>
              </w:rPr>
              <w:t>为身心发育有缺陷的儿童开设的学校</w:t>
            </w:r>
          </w:p>
        </w:tc>
      </w:tr>
      <w:tr w:rsidR="00000000">
        <w:tblPrEx>
          <w:tblCellMar>
            <w:top w:w="0" w:type="dxa"/>
            <w:bottom w:w="0" w:type="dxa"/>
          </w:tblCellMar>
        </w:tblPrEx>
        <w:tc>
          <w:tcPr>
            <w:tcW w:w="1882" w:type="dxa"/>
            <w:tcBorders>
              <w:right w:val="nil"/>
            </w:tcBorders>
          </w:tcPr>
          <w:p w:rsidR="00000000" w:rsidRDefault="00B7115A">
            <w:pPr>
              <w:spacing w:before="120"/>
              <w:rPr>
                <w:sz w:val="21"/>
              </w:rPr>
            </w:pPr>
          </w:p>
        </w:tc>
        <w:tc>
          <w:tcPr>
            <w:tcW w:w="3764" w:type="dxa"/>
            <w:gridSpan w:val="2"/>
            <w:tcBorders>
              <w:top w:val="single" w:sz="6" w:space="0" w:color="auto"/>
              <w:left w:val="single" w:sz="6" w:space="0" w:color="auto"/>
              <w:bottom w:val="single" w:sz="6" w:space="0" w:color="auto"/>
              <w:right w:val="single" w:sz="6" w:space="0" w:color="auto"/>
            </w:tcBorders>
          </w:tcPr>
          <w:p w:rsidR="00000000" w:rsidRDefault="00B7115A">
            <w:pPr>
              <w:spacing w:before="120"/>
              <w:jc w:val="center"/>
              <w:rPr>
                <w:sz w:val="21"/>
              </w:rPr>
            </w:pPr>
            <w:r>
              <w:rPr>
                <w:sz w:val="21"/>
              </w:rPr>
              <w:t>1995/1996</w:t>
            </w:r>
          </w:p>
        </w:tc>
        <w:tc>
          <w:tcPr>
            <w:tcW w:w="3764" w:type="dxa"/>
            <w:gridSpan w:val="2"/>
            <w:tcBorders>
              <w:top w:val="single" w:sz="6" w:space="0" w:color="auto"/>
              <w:left w:val="single" w:sz="6" w:space="0" w:color="auto"/>
              <w:bottom w:val="single" w:sz="6" w:space="0" w:color="auto"/>
            </w:tcBorders>
          </w:tcPr>
          <w:p w:rsidR="00000000" w:rsidRDefault="00B7115A">
            <w:pPr>
              <w:spacing w:before="120"/>
              <w:jc w:val="center"/>
              <w:rPr>
                <w:sz w:val="21"/>
              </w:rPr>
            </w:pPr>
            <w:r>
              <w:rPr>
                <w:sz w:val="21"/>
              </w:rPr>
              <w:t>1996/1997</w:t>
            </w:r>
          </w:p>
        </w:tc>
      </w:tr>
      <w:tr w:rsidR="00000000">
        <w:tblPrEx>
          <w:tblCellMar>
            <w:top w:w="0" w:type="dxa"/>
            <w:bottom w:w="0" w:type="dxa"/>
          </w:tblCellMar>
        </w:tblPrEx>
        <w:tc>
          <w:tcPr>
            <w:tcW w:w="1882" w:type="dxa"/>
            <w:tcBorders>
              <w:top w:val="nil"/>
              <w:bottom w:val="nil"/>
              <w:right w:val="nil"/>
            </w:tcBorders>
          </w:tcPr>
          <w:p w:rsidR="00000000" w:rsidRDefault="00B7115A">
            <w:pPr>
              <w:spacing w:before="120"/>
              <w:rPr>
                <w:sz w:val="21"/>
              </w:rPr>
            </w:pPr>
          </w:p>
        </w:tc>
        <w:tc>
          <w:tcPr>
            <w:tcW w:w="1882" w:type="dxa"/>
            <w:tcBorders>
              <w:top w:val="nil"/>
              <w:left w:val="single" w:sz="6" w:space="0" w:color="auto"/>
              <w:bottom w:val="nil"/>
              <w:right w:val="nil"/>
            </w:tcBorders>
          </w:tcPr>
          <w:p w:rsidR="00000000" w:rsidRDefault="00B7115A">
            <w:pPr>
              <w:spacing w:before="120"/>
              <w:jc w:val="center"/>
              <w:rPr>
                <w:sz w:val="21"/>
              </w:rPr>
            </w:pPr>
            <w:r>
              <w:rPr>
                <w:rFonts w:hint="eastAsia"/>
                <w:sz w:val="21"/>
              </w:rPr>
              <w:t>学校数</w:t>
            </w:r>
          </w:p>
        </w:tc>
        <w:tc>
          <w:tcPr>
            <w:tcW w:w="1882" w:type="dxa"/>
            <w:tcBorders>
              <w:top w:val="nil"/>
              <w:left w:val="single" w:sz="6" w:space="0" w:color="auto"/>
              <w:bottom w:val="nil"/>
              <w:right w:val="single" w:sz="6" w:space="0" w:color="auto"/>
            </w:tcBorders>
          </w:tcPr>
          <w:p w:rsidR="00000000" w:rsidRDefault="00B7115A">
            <w:pPr>
              <w:spacing w:before="120"/>
              <w:jc w:val="center"/>
              <w:rPr>
                <w:sz w:val="21"/>
              </w:rPr>
            </w:pPr>
            <w:r>
              <w:rPr>
                <w:rFonts w:hint="eastAsia"/>
                <w:sz w:val="21"/>
              </w:rPr>
              <w:t>儿童人数</w:t>
            </w:r>
          </w:p>
        </w:tc>
        <w:tc>
          <w:tcPr>
            <w:tcW w:w="1882" w:type="dxa"/>
            <w:tcBorders>
              <w:top w:val="nil"/>
              <w:left w:val="nil"/>
              <w:bottom w:val="nil"/>
              <w:right w:val="single" w:sz="6" w:space="0" w:color="auto"/>
            </w:tcBorders>
          </w:tcPr>
          <w:p w:rsidR="00000000" w:rsidRDefault="00B7115A">
            <w:pPr>
              <w:spacing w:before="120"/>
              <w:jc w:val="center"/>
              <w:rPr>
                <w:sz w:val="21"/>
              </w:rPr>
            </w:pPr>
            <w:r>
              <w:rPr>
                <w:rFonts w:hint="eastAsia"/>
                <w:sz w:val="21"/>
              </w:rPr>
              <w:t>学校数</w:t>
            </w:r>
          </w:p>
        </w:tc>
        <w:tc>
          <w:tcPr>
            <w:tcW w:w="1882" w:type="dxa"/>
            <w:tcBorders>
              <w:top w:val="nil"/>
              <w:left w:val="nil"/>
              <w:bottom w:val="nil"/>
            </w:tcBorders>
          </w:tcPr>
          <w:p w:rsidR="00000000" w:rsidRDefault="00B7115A">
            <w:pPr>
              <w:spacing w:before="120"/>
              <w:jc w:val="center"/>
              <w:rPr>
                <w:sz w:val="21"/>
              </w:rPr>
            </w:pPr>
            <w:r>
              <w:rPr>
                <w:rFonts w:hint="eastAsia"/>
                <w:sz w:val="21"/>
              </w:rPr>
              <w:t>儿童人数</w:t>
            </w:r>
          </w:p>
        </w:tc>
      </w:tr>
      <w:tr w:rsidR="00000000">
        <w:tblPrEx>
          <w:tblCellMar>
            <w:top w:w="0" w:type="dxa"/>
            <w:bottom w:w="0" w:type="dxa"/>
          </w:tblCellMar>
        </w:tblPrEx>
        <w:tc>
          <w:tcPr>
            <w:tcW w:w="1882" w:type="dxa"/>
            <w:tcBorders>
              <w:top w:val="single" w:sz="6" w:space="0" w:color="auto"/>
              <w:bottom w:val="nil"/>
              <w:right w:val="nil"/>
            </w:tcBorders>
          </w:tcPr>
          <w:p w:rsidR="00000000" w:rsidRDefault="00B7115A">
            <w:pPr>
              <w:spacing w:before="120"/>
              <w:ind w:left="113"/>
              <w:rPr>
                <w:sz w:val="21"/>
              </w:rPr>
            </w:pPr>
            <w:r>
              <w:rPr>
                <w:rFonts w:hint="eastAsia"/>
                <w:sz w:val="21"/>
              </w:rPr>
              <w:t>总</w:t>
            </w:r>
            <w:r>
              <w:rPr>
                <w:sz w:val="21"/>
              </w:rPr>
              <w:t xml:space="preserve">  </w:t>
            </w:r>
            <w:r>
              <w:rPr>
                <w:rFonts w:hint="eastAsia"/>
                <w:sz w:val="21"/>
              </w:rPr>
              <w:t>数</w:t>
            </w:r>
          </w:p>
        </w:tc>
        <w:tc>
          <w:tcPr>
            <w:tcW w:w="1882" w:type="dxa"/>
            <w:tcBorders>
              <w:top w:val="single" w:sz="6" w:space="0" w:color="auto"/>
              <w:left w:val="single" w:sz="6" w:space="0" w:color="auto"/>
              <w:bottom w:val="nil"/>
              <w:right w:val="nil"/>
            </w:tcBorders>
          </w:tcPr>
          <w:p w:rsidR="00000000" w:rsidRDefault="00B7115A">
            <w:pPr>
              <w:spacing w:before="120"/>
              <w:ind w:right="680"/>
              <w:jc w:val="right"/>
              <w:rPr>
                <w:sz w:val="21"/>
              </w:rPr>
            </w:pPr>
            <w:r>
              <w:rPr>
                <w:sz w:val="21"/>
              </w:rPr>
              <w:t>19</w:t>
            </w:r>
          </w:p>
        </w:tc>
        <w:tc>
          <w:tcPr>
            <w:tcW w:w="1882" w:type="dxa"/>
            <w:tcBorders>
              <w:top w:val="single" w:sz="6" w:space="0" w:color="auto"/>
              <w:left w:val="single" w:sz="6" w:space="0" w:color="auto"/>
              <w:bottom w:val="nil"/>
              <w:right w:val="single" w:sz="6" w:space="0" w:color="auto"/>
            </w:tcBorders>
          </w:tcPr>
          <w:p w:rsidR="00000000" w:rsidRDefault="00B7115A">
            <w:pPr>
              <w:spacing w:before="120"/>
              <w:ind w:right="680"/>
              <w:jc w:val="right"/>
              <w:rPr>
                <w:sz w:val="21"/>
              </w:rPr>
            </w:pPr>
            <w:r>
              <w:rPr>
                <w:sz w:val="21"/>
              </w:rPr>
              <w:t>3,300</w:t>
            </w:r>
          </w:p>
        </w:tc>
        <w:tc>
          <w:tcPr>
            <w:tcW w:w="1882" w:type="dxa"/>
            <w:tcBorders>
              <w:top w:val="single" w:sz="6" w:space="0" w:color="auto"/>
              <w:left w:val="nil"/>
              <w:bottom w:val="nil"/>
              <w:right w:val="single" w:sz="6" w:space="0" w:color="auto"/>
            </w:tcBorders>
          </w:tcPr>
          <w:p w:rsidR="00000000" w:rsidRDefault="00B7115A">
            <w:pPr>
              <w:spacing w:before="120"/>
              <w:ind w:right="680"/>
              <w:jc w:val="right"/>
              <w:rPr>
                <w:sz w:val="21"/>
              </w:rPr>
            </w:pPr>
            <w:r>
              <w:rPr>
                <w:sz w:val="21"/>
              </w:rPr>
              <w:t>19</w:t>
            </w:r>
          </w:p>
        </w:tc>
        <w:tc>
          <w:tcPr>
            <w:tcW w:w="1882" w:type="dxa"/>
            <w:tcBorders>
              <w:top w:val="single" w:sz="6" w:space="0" w:color="auto"/>
              <w:left w:val="nil"/>
              <w:bottom w:val="nil"/>
            </w:tcBorders>
          </w:tcPr>
          <w:p w:rsidR="00000000" w:rsidRDefault="00B7115A">
            <w:pPr>
              <w:spacing w:before="120"/>
              <w:ind w:right="680"/>
              <w:jc w:val="right"/>
              <w:rPr>
                <w:sz w:val="21"/>
              </w:rPr>
            </w:pPr>
            <w:r>
              <w:rPr>
                <w:sz w:val="21"/>
              </w:rPr>
              <w:t>3,400</w:t>
            </w:r>
          </w:p>
        </w:tc>
      </w:tr>
      <w:tr w:rsidR="00000000">
        <w:tblPrEx>
          <w:tblCellMar>
            <w:top w:w="0" w:type="dxa"/>
            <w:bottom w:w="0" w:type="dxa"/>
          </w:tblCellMar>
        </w:tblPrEx>
        <w:tc>
          <w:tcPr>
            <w:tcW w:w="1882" w:type="dxa"/>
            <w:tcBorders>
              <w:top w:val="nil"/>
              <w:right w:val="nil"/>
            </w:tcBorders>
          </w:tcPr>
          <w:p w:rsidR="00000000" w:rsidRDefault="00B7115A">
            <w:pPr>
              <w:ind w:left="113"/>
              <w:rPr>
                <w:sz w:val="21"/>
              </w:rPr>
            </w:pPr>
            <w:r>
              <w:rPr>
                <w:rFonts w:hint="eastAsia"/>
                <w:sz w:val="21"/>
              </w:rPr>
              <w:t>贾拉拉巴德州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1</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100</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1</w:t>
            </w:r>
          </w:p>
        </w:tc>
        <w:tc>
          <w:tcPr>
            <w:tcW w:w="1882" w:type="dxa"/>
            <w:tcBorders>
              <w:top w:val="nil"/>
              <w:left w:val="nil"/>
            </w:tcBorders>
          </w:tcPr>
          <w:p w:rsidR="00000000" w:rsidRDefault="00B7115A">
            <w:pPr>
              <w:ind w:right="680"/>
              <w:jc w:val="right"/>
              <w:rPr>
                <w:sz w:val="21"/>
              </w:rPr>
            </w:pPr>
            <w:r>
              <w:rPr>
                <w:sz w:val="21"/>
              </w:rPr>
              <w:t>200</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伊西库勒州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w:t>
            </w:r>
          </w:p>
        </w:tc>
        <w:tc>
          <w:tcPr>
            <w:tcW w:w="1882" w:type="dxa"/>
            <w:tcBorders>
              <w:left w:val="nil"/>
            </w:tcBorders>
          </w:tcPr>
          <w:p w:rsidR="00000000" w:rsidRDefault="00B7115A">
            <w:pPr>
              <w:ind w:right="680"/>
              <w:jc w:val="right"/>
              <w:rPr>
                <w:sz w:val="21"/>
              </w:rPr>
            </w:pPr>
            <w:r>
              <w:rPr>
                <w:sz w:val="21"/>
              </w:rPr>
              <w:t>-</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纳林州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w:t>
            </w:r>
          </w:p>
        </w:tc>
        <w:tc>
          <w:tcPr>
            <w:tcW w:w="1882" w:type="dxa"/>
            <w:tcBorders>
              <w:left w:val="nil"/>
            </w:tcBorders>
          </w:tcPr>
          <w:p w:rsidR="00000000" w:rsidRDefault="00B7115A">
            <w:pPr>
              <w:ind w:right="680"/>
              <w:jc w:val="right"/>
              <w:rPr>
                <w:sz w:val="21"/>
              </w:rPr>
            </w:pPr>
            <w:r>
              <w:rPr>
                <w:sz w:val="21"/>
              </w:rPr>
              <w:t>-</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奥什州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4</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700</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4</w:t>
            </w:r>
          </w:p>
        </w:tc>
        <w:tc>
          <w:tcPr>
            <w:tcW w:w="1882" w:type="dxa"/>
            <w:tcBorders>
              <w:left w:val="nil"/>
            </w:tcBorders>
          </w:tcPr>
          <w:p w:rsidR="00000000" w:rsidRDefault="00B7115A">
            <w:pPr>
              <w:ind w:right="680"/>
              <w:jc w:val="right"/>
              <w:rPr>
                <w:sz w:val="21"/>
              </w:rPr>
            </w:pPr>
            <w:r>
              <w:rPr>
                <w:sz w:val="21"/>
              </w:rPr>
              <w:t>700</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塔拉斯州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1</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100</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1</w:t>
            </w:r>
          </w:p>
        </w:tc>
        <w:tc>
          <w:tcPr>
            <w:tcW w:w="1882" w:type="dxa"/>
            <w:tcBorders>
              <w:left w:val="nil"/>
            </w:tcBorders>
          </w:tcPr>
          <w:p w:rsidR="00000000" w:rsidRDefault="00B7115A">
            <w:pPr>
              <w:ind w:right="680"/>
              <w:jc w:val="right"/>
              <w:rPr>
                <w:sz w:val="21"/>
              </w:rPr>
            </w:pPr>
            <w:r>
              <w:rPr>
                <w:sz w:val="21"/>
              </w:rPr>
              <w:t>100</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楚河州</w:t>
            </w:r>
          </w:p>
        </w:tc>
        <w:tc>
          <w:tcPr>
            <w:tcW w:w="1882" w:type="dxa"/>
            <w:tcBorders>
              <w:top w:val="nil"/>
              <w:left w:val="single" w:sz="6" w:space="0" w:color="auto"/>
              <w:bottom w:val="nil"/>
              <w:right w:val="nil"/>
            </w:tcBorders>
          </w:tcPr>
          <w:p w:rsidR="00000000" w:rsidRDefault="00B7115A">
            <w:pPr>
              <w:ind w:right="680"/>
              <w:jc w:val="right"/>
              <w:rPr>
                <w:sz w:val="21"/>
              </w:rPr>
            </w:pPr>
            <w:r>
              <w:rPr>
                <w:sz w:val="21"/>
              </w:rPr>
              <w:t>7</w:t>
            </w:r>
          </w:p>
        </w:tc>
        <w:tc>
          <w:tcPr>
            <w:tcW w:w="1882" w:type="dxa"/>
            <w:tcBorders>
              <w:top w:val="nil"/>
              <w:left w:val="single" w:sz="6" w:space="0" w:color="auto"/>
              <w:bottom w:val="nil"/>
              <w:right w:val="single" w:sz="6" w:space="0" w:color="auto"/>
            </w:tcBorders>
          </w:tcPr>
          <w:p w:rsidR="00000000" w:rsidRDefault="00B7115A">
            <w:pPr>
              <w:ind w:right="680"/>
              <w:jc w:val="right"/>
              <w:rPr>
                <w:sz w:val="21"/>
              </w:rPr>
            </w:pPr>
            <w:r>
              <w:rPr>
                <w:sz w:val="21"/>
              </w:rPr>
              <w:t>1,100</w:t>
            </w:r>
          </w:p>
        </w:tc>
        <w:tc>
          <w:tcPr>
            <w:tcW w:w="1882" w:type="dxa"/>
            <w:tcBorders>
              <w:top w:val="nil"/>
              <w:left w:val="nil"/>
              <w:bottom w:val="nil"/>
              <w:right w:val="single" w:sz="6" w:space="0" w:color="auto"/>
            </w:tcBorders>
          </w:tcPr>
          <w:p w:rsidR="00000000" w:rsidRDefault="00B7115A">
            <w:pPr>
              <w:ind w:right="680"/>
              <w:jc w:val="right"/>
              <w:rPr>
                <w:sz w:val="21"/>
              </w:rPr>
            </w:pPr>
            <w:r>
              <w:rPr>
                <w:sz w:val="21"/>
              </w:rPr>
              <w:t>7</w:t>
            </w:r>
          </w:p>
        </w:tc>
        <w:tc>
          <w:tcPr>
            <w:tcW w:w="1882" w:type="dxa"/>
            <w:tcBorders>
              <w:left w:val="nil"/>
            </w:tcBorders>
          </w:tcPr>
          <w:p w:rsidR="00000000" w:rsidRDefault="00B7115A">
            <w:pPr>
              <w:ind w:right="680"/>
              <w:jc w:val="right"/>
              <w:rPr>
                <w:sz w:val="21"/>
              </w:rPr>
            </w:pPr>
            <w:r>
              <w:rPr>
                <w:sz w:val="21"/>
              </w:rPr>
              <w:t>1,100</w:t>
            </w:r>
          </w:p>
        </w:tc>
      </w:tr>
      <w:tr w:rsidR="00000000">
        <w:tblPrEx>
          <w:tblCellMar>
            <w:top w:w="0" w:type="dxa"/>
            <w:bottom w:w="0" w:type="dxa"/>
          </w:tblCellMar>
        </w:tblPrEx>
        <w:tc>
          <w:tcPr>
            <w:tcW w:w="1882" w:type="dxa"/>
            <w:tcBorders>
              <w:right w:val="nil"/>
            </w:tcBorders>
          </w:tcPr>
          <w:p w:rsidR="00000000" w:rsidRDefault="00B7115A">
            <w:pPr>
              <w:ind w:left="113"/>
              <w:rPr>
                <w:sz w:val="21"/>
              </w:rPr>
            </w:pPr>
            <w:r>
              <w:rPr>
                <w:rFonts w:hint="eastAsia"/>
                <w:sz w:val="21"/>
              </w:rPr>
              <w:t>比什凯克州</w:t>
            </w:r>
          </w:p>
        </w:tc>
        <w:tc>
          <w:tcPr>
            <w:tcW w:w="1882" w:type="dxa"/>
            <w:tcBorders>
              <w:top w:val="nil"/>
              <w:left w:val="single" w:sz="6" w:space="0" w:color="auto"/>
              <w:bottom w:val="single" w:sz="6" w:space="0" w:color="auto"/>
              <w:right w:val="nil"/>
            </w:tcBorders>
          </w:tcPr>
          <w:p w:rsidR="00000000" w:rsidRDefault="00B7115A">
            <w:pPr>
              <w:ind w:right="680"/>
              <w:jc w:val="right"/>
              <w:rPr>
                <w:sz w:val="21"/>
              </w:rPr>
            </w:pPr>
            <w:r>
              <w:rPr>
                <w:sz w:val="21"/>
              </w:rPr>
              <w:t>6</w:t>
            </w:r>
          </w:p>
        </w:tc>
        <w:tc>
          <w:tcPr>
            <w:tcW w:w="1882" w:type="dxa"/>
            <w:tcBorders>
              <w:top w:val="nil"/>
              <w:left w:val="single" w:sz="6" w:space="0" w:color="auto"/>
              <w:bottom w:val="single" w:sz="6" w:space="0" w:color="auto"/>
              <w:right w:val="single" w:sz="6" w:space="0" w:color="auto"/>
            </w:tcBorders>
          </w:tcPr>
          <w:p w:rsidR="00000000" w:rsidRDefault="00B7115A">
            <w:pPr>
              <w:ind w:right="680"/>
              <w:jc w:val="right"/>
              <w:rPr>
                <w:sz w:val="21"/>
              </w:rPr>
            </w:pPr>
            <w:r>
              <w:rPr>
                <w:sz w:val="21"/>
              </w:rPr>
              <w:t>1,300</w:t>
            </w:r>
          </w:p>
        </w:tc>
        <w:tc>
          <w:tcPr>
            <w:tcW w:w="1882" w:type="dxa"/>
            <w:tcBorders>
              <w:top w:val="nil"/>
              <w:left w:val="nil"/>
              <w:bottom w:val="single" w:sz="6" w:space="0" w:color="auto"/>
              <w:right w:val="single" w:sz="6" w:space="0" w:color="auto"/>
            </w:tcBorders>
          </w:tcPr>
          <w:p w:rsidR="00000000" w:rsidRDefault="00B7115A">
            <w:pPr>
              <w:ind w:right="680"/>
              <w:jc w:val="right"/>
              <w:rPr>
                <w:sz w:val="21"/>
              </w:rPr>
            </w:pPr>
            <w:r>
              <w:rPr>
                <w:sz w:val="21"/>
              </w:rPr>
              <w:t>6</w:t>
            </w:r>
          </w:p>
        </w:tc>
        <w:tc>
          <w:tcPr>
            <w:tcW w:w="1882" w:type="dxa"/>
            <w:tcBorders>
              <w:left w:val="nil"/>
            </w:tcBorders>
          </w:tcPr>
          <w:p w:rsidR="00000000" w:rsidRDefault="00B7115A">
            <w:pPr>
              <w:ind w:right="680"/>
              <w:jc w:val="right"/>
              <w:rPr>
                <w:sz w:val="21"/>
              </w:rPr>
            </w:pPr>
            <w:r>
              <w:rPr>
                <w:sz w:val="21"/>
              </w:rPr>
              <w:t>1,300</w:t>
            </w:r>
          </w:p>
        </w:tc>
      </w:tr>
    </w:tbl>
    <w:p w:rsidR="00000000" w:rsidRDefault="00B7115A">
      <w:pPr>
        <w:spacing w:before="360" w:after="160"/>
        <w:textAlignment w:val="center"/>
      </w:pPr>
      <w:r>
        <w:tab/>
        <w:t xml:space="preserve">231.  </w:t>
      </w:r>
      <w:r>
        <w:rPr>
          <w:rFonts w:hint="eastAsia"/>
        </w:rPr>
        <w:t>该国的</w:t>
      </w:r>
      <w:r>
        <w:rPr>
          <w:rFonts w:hint="eastAsia"/>
        </w:rPr>
        <w:t>一些学校用俄语、乌兹别克语或塔吉克语作为教学语言。居住在吉尔吉斯斯坦的少数民族学习他们自己的语言</w:t>
      </w:r>
      <w:r>
        <w:t>(</w:t>
      </w:r>
      <w:r>
        <w:rPr>
          <w:rFonts w:hint="eastAsia"/>
        </w:rPr>
        <w:t>东乡语、维吾尔语、德语和土耳其语</w:t>
      </w:r>
      <w:r>
        <w:t>)</w:t>
      </w:r>
      <w:r>
        <w:rPr>
          <w:rFonts w:hint="eastAsia"/>
        </w:rPr>
        <w:t>。</w:t>
      </w:r>
    </w:p>
    <w:p w:rsidR="00000000" w:rsidRDefault="00B7115A">
      <w:pPr>
        <w:pStyle w:val="Heading3"/>
        <w:spacing w:after="160"/>
        <w:textAlignment w:val="center"/>
      </w:pPr>
      <w:r>
        <w:rPr>
          <w:rFonts w:hint="eastAsia"/>
        </w:rPr>
        <w:t>用各种语言教学的国立普通学校</w:t>
      </w:r>
      <w:r>
        <w:t>(</w:t>
      </w:r>
      <w:r>
        <w:rPr>
          <w:rFonts w:hint="eastAsia"/>
        </w:rPr>
        <w:t>不包括专门学校</w:t>
      </w:r>
      <w:r>
        <w:t>)</w:t>
      </w:r>
    </w:p>
    <w:tbl>
      <w:tblPr>
        <w:tblW w:w="0" w:type="auto"/>
        <w:tblInd w:w="-26" w:type="dxa"/>
        <w:tblLayout w:type="fixed"/>
        <w:tblCellMar>
          <w:left w:w="28" w:type="dxa"/>
          <w:right w:w="28" w:type="dxa"/>
        </w:tblCellMar>
        <w:tblLook w:val="0000" w:firstRow="0" w:lastRow="0" w:firstColumn="0" w:lastColumn="0" w:noHBand="0" w:noVBand="0"/>
      </w:tblPr>
      <w:tblGrid>
        <w:gridCol w:w="628"/>
        <w:gridCol w:w="1080"/>
        <w:gridCol w:w="770"/>
        <w:gridCol w:w="770"/>
        <w:gridCol w:w="770"/>
        <w:gridCol w:w="770"/>
        <w:gridCol w:w="770"/>
        <w:gridCol w:w="770"/>
        <w:gridCol w:w="770"/>
        <w:gridCol w:w="770"/>
        <w:gridCol w:w="770"/>
        <w:gridCol w:w="770"/>
      </w:tblGrid>
      <w:tr w:rsidR="00000000">
        <w:tblPrEx>
          <w:tblCellMar>
            <w:top w:w="0" w:type="dxa"/>
            <w:bottom w:w="0" w:type="dxa"/>
          </w:tblCellMar>
        </w:tblPrEx>
        <w:tc>
          <w:tcPr>
            <w:tcW w:w="628" w:type="dxa"/>
            <w:tcBorders>
              <w:top w:val="single" w:sz="6" w:space="0" w:color="auto"/>
              <w:left w:val="single" w:sz="6" w:space="0" w:color="auto"/>
            </w:tcBorders>
          </w:tcPr>
          <w:p w:rsidR="00000000" w:rsidRDefault="00B7115A">
            <w:pPr>
              <w:spacing w:before="120"/>
              <w:rPr>
                <w:sz w:val="21"/>
              </w:rPr>
            </w:pPr>
          </w:p>
        </w:tc>
        <w:tc>
          <w:tcPr>
            <w:tcW w:w="1080" w:type="dxa"/>
            <w:tcBorders>
              <w:top w:val="single" w:sz="6" w:space="0" w:color="auto"/>
              <w:left w:val="single" w:sz="6" w:space="0" w:color="auto"/>
              <w:right w:val="single" w:sz="6" w:space="0" w:color="auto"/>
            </w:tcBorders>
          </w:tcPr>
          <w:p w:rsidR="00000000" w:rsidRDefault="00B7115A">
            <w:pPr>
              <w:spacing w:before="120"/>
              <w:rPr>
                <w:sz w:val="21"/>
              </w:rPr>
            </w:pPr>
          </w:p>
        </w:tc>
        <w:tc>
          <w:tcPr>
            <w:tcW w:w="7700" w:type="dxa"/>
            <w:gridSpan w:val="10"/>
            <w:tcBorders>
              <w:top w:val="single" w:sz="6" w:space="0" w:color="auto"/>
              <w:left w:val="nil"/>
              <w:bottom w:val="single" w:sz="6" w:space="0" w:color="auto"/>
              <w:right w:val="single" w:sz="6" w:space="0" w:color="auto"/>
            </w:tcBorders>
          </w:tcPr>
          <w:p w:rsidR="00000000" w:rsidRDefault="00B7115A">
            <w:pPr>
              <w:spacing w:before="120"/>
              <w:jc w:val="center"/>
              <w:rPr>
                <w:sz w:val="21"/>
              </w:rPr>
            </w:pPr>
            <w:r>
              <w:rPr>
                <w:rFonts w:hint="eastAsia"/>
                <w:sz w:val="21"/>
              </w:rPr>
              <w:t>教</w:t>
            </w:r>
            <w:r>
              <w:rPr>
                <w:sz w:val="21"/>
              </w:rPr>
              <w:t xml:space="preserve">  </w:t>
            </w:r>
            <w:r>
              <w:rPr>
                <w:rFonts w:hint="eastAsia"/>
                <w:sz w:val="21"/>
              </w:rPr>
              <w:t>学</w:t>
            </w:r>
            <w:r>
              <w:rPr>
                <w:sz w:val="21"/>
              </w:rPr>
              <w:t xml:space="preserve">  </w:t>
            </w:r>
            <w:r>
              <w:rPr>
                <w:rFonts w:hint="eastAsia"/>
                <w:sz w:val="21"/>
              </w:rPr>
              <w:t>语</w:t>
            </w:r>
            <w:r>
              <w:rPr>
                <w:sz w:val="21"/>
              </w:rPr>
              <w:t xml:space="preserve">  </w:t>
            </w:r>
            <w:r>
              <w:rPr>
                <w:rFonts w:hint="eastAsia"/>
                <w:sz w:val="21"/>
              </w:rPr>
              <w:t>言</w:t>
            </w:r>
          </w:p>
        </w:tc>
      </w:tr>
      <w:tr w:rsidR="00000000">
        <w:tblPrEx>
          <w:tblCellMar>
            <w:top w:w="0" w:type="dxa"/>
            <w:bottom w:w="0" w:type="dxa"/>
          </w:tblCellMar>
        </w:tblPrEx>
        <w:tc>
          <w:tcPr>
            <w:tcW w:w="628" w:type="dxa"/>
            <w:tcBorders>
              <w:left w:val="single" w:sz="6" w:space="0" w:color="auto"/>
            </w:tcBorders>
          </w:tcPr>
          <w:p w:rsidR="00000000" w:rsidRDefault="00B7115A">
            <w:pPr>
              <w:spacing w:before="80" w:after="40" w:line="240" w:lineRule="auto"/>
              <w:jc w:val="center"/>
              <w:rPr>
                <w:sz w:val="21"/>
              </w:rPr>
            </w:pPr>
            <w:r>
              <w:rPr>
                <w:rFonts w:hint="eastAsia"/>
                <w:sz w:val="21"/>
              </w:rPr>
              <w:t>年</w:t>
            </w:r>
          </w:p>
        </w:tc>
        <w:tc>
          <w:tcPr>
            <w:tcW w:w="1080" w:type="dxa"/>
            <w:tcBorders>
              <w:left w:val="single" w:sz="6" w:space="0" w:color="auto"/>
              <w:right w:val="single" w:sz="6" w:space="0" w:color="auto"/>
            </w:tcBorders>
          </w:tcPr>
          <w:p w:rsidR="00000000" w:rsidRDefault="00B7115A">
            <w:pPr>
              <w:spacing w:before="80" w:after="40" w:line="240" w:lineRule="auto"/>
              <w:jc w:val="center"/>
              <w:rPr>
                <w:sz w:val="21"/>
              </w:rPr>
            </w:pPr>
            <w:r>
              <w:rPr>
                <w:rFonts w:hint="eastAsia"/>
                <w:sz w:val="21"/>
              </w:rPr>
              <w:t>学校总数</w:t>
            </w:r>
          </w:p>
        </w:tc>
        <w:tc>
          <w:tcPr>
            <w:tcW w:w="1540" w:type="dxa"/>
            <w:gridSpan w:val="2"/>
            <w:tcBorders>
              <w:left w:val="nil"/>
              <w:bottom w:val="single" w:sz="6" w:space="0" w:color="auto"/>
              <w:right w:val="single" w:sz="6" w:space="0" w:color="auto"/>
            </w:tcBorders>
          </w:tcPr>
          <w:p w:rsidR="00000000" w:rsidRDefault="00B7115A">
            <w:pPr>
              <w:spacing w:before="80" w:after="40" w:line="240" w:lineRule="auto"/>
              <w:jc w:val="center"/>
              <w:rPr>
                <w:sz w:val="21"/>
              </w:rPr>
            </w:pPr>
            <w:r>
              <w:rPr>
                <w:rFonts w:hint="eastAsia"/>
                <w:sz w:val="21"/>
              </w:rPr>
              <w:t>吉尔吉斯语</w:t>
            </w:r>
          </w:p>
        </w:tc>
        <w:tc>
          <w:tcPr>
            <w:tcW w:w="1540" w:type="dxa"/>
            <w:gridSpan w:val="2"/>
            <w:tcBorders>
              <w:left w:val="nil"/>
              <w:bottom w:val="single" w:sz="6" w:space="0" w:color="auto"/>
              <w:right w:val="single" w:sz="6" w:space="0" w:color="auto"/>
            </w:tcBorders>
          </w:tcPr>
          <w:p w:rsidR="00000000" w:rsidRDefault="00B7115A">
            <w:pPr>
              <w:pBdr>
                <w:right w:val="single" w:sz="6" w:space="1" w:color="auto"/>
              </w:pBdr>
              <w:spacing w:before="80" w:after="40" w:line="240" w:lineRule="auto"/>
              <w:jc w:val="center"/>
              <w:rPr>
                <w:sz w:val="21"/>
              </w:rPr>
            </w:pPr>
            <w:r>
              <w:rPr>
                <w:rFonts w:hint="eastAsia"/>
                <w:sz w:val="21"/>
              </w:rPr>
              <w:t>俄</w:t>
            </w:r>
            <w:r>
              <w:rPr>
                <w:sz w:val="21"/>
              </w:rPr>
              <w:t xml:space="preserve">  </w:t>
            </w:r>
            <w:r>
              <w:rPr>
                <w:rFonts w:hint="eastAsia"/>
                <w:sz w:val="21"/>
              </w:rPr>
              <w:t>语</w:t>
            </w:r>
          </w:p>
        </w:tc>
        <w:tc>
          <w:tcPr>
            <w:tcW w:w="1540" w:type="dxa"/>
            <w:gridSpan w:val="2"/>
            <w:tcBorders>
              <w:left w:val="nil"/>
              <w:bottom w:val="single" w:sz="6" w:space="0" w:color="auto"/>
              <w:right w:val="single" w:sz="6" w:space="0" w:color="auto"/>
            </w:tcBorders>
          </w:tcPr>
          <w:p w:rsidR="00000000" w:rsidRDefault="00B7115A">
            <w:pPr>
              <w:spacing w:before="80" w:after="40" w:line="240" w:lineRule="auto"/>
              <w:jc w:val="center"/>
              <w:rPr>
                <w:sz w:val="21"/>
              </w:rPr>
            </w:pPr>
            <w:r>
              <w:rPr>
                <w:rFonts w:hint="eastAsia"/>
                <w:sz w:val="21"/>
              </w:rPr>
              <w:t>乌兹别克语</w:t>
            </w:r>
          </w:p>
        </w:tc>
        <w:tc>
          <w:tcPr>
            <w:tcW w:w="1540" w:type="dxa"/>
            <w:gridSpan w:val="2"/>
            <w:tcBorders>
              <w:left w:val="nil"/>
              <w:bottom w:val="single" w:sz="6" w:space="0" w:color="auto"/>
              <w:right w:val="single" w:sz="6" w:space="0" w:color="auto"/>
            </w:tcBorders>
          </w:tcPr>
          <w:p w:rsidR="00000000" w:rsidRDefault="00B7115A">
            <w:pPr>
              <w:spacing w:before="80" w:after="40" w:line="240" w:lineRule="auto"/>
              <w:jc w:val="center"/>
              <w:rPr>
                <w:sz w:val="21"/>
              </w:rPr>
            </w:pPr>
            <w:r>
              <w:rPr>
                <w:rFonts w:hint="eastAsia"/>
                <w:sz w:val="21"/>
              </w:rPr>
              <w:t>塔吉克语</w:t>
            </w:r>
          </w:p>
        </w:tc>
        <w:tc>
          <w:tcPr>
            <w:tcW w:w="1540" w:type="dxa"/>
            <w:gridSpan w:val="2"/>
            <w:tcBorders>
              <w:left w:val="nil"/>
              <w:bottom w:val="single" w:sz="6" w:space="0" w:color="auto"/>
              <w:right w:val="single" w:sz="6" w:space="0" w:color="auto"/>
            </w:tcBorders>
          </w:tcPr>
          <w:p w:rsidR="00000000" w:rsidRDefault="00B7115A">
            <w:pPr>
              <w:spacing w:before="80" w:after="40" w:line="240" w:lineRule="auto"/>
              <w:jc w:val="center"/>
              <w:rPr>
                <w:sz w:val="21"/>
              </w:rPr>
            </w:pPr>
            <w:r>
              <w:rPr>
                <w:rFonts w:hint="eastAsia"/>
                <w:sz w:val="21"/>
              </w:rPr>
              <w:t>混合各种</w:t>
            </w:r>
            <w:r>
              <w:rPr>
                <w:sz w:val="21"/>
              </w:rPr>
              <w:br/>
            </w:r>
            <w:r>
              <w:rPr>
                <w:rFonts w:hint="eastAsia"/>
                <w:sz w:val="21"/>
              </w:rPr>
              <w:t>语言的教学</w:t>
            </w:r>
          </w:p>
        </w:tc>
      </w:tr>
      <w:tr w:rsidR="00000000">
        <w:tblPrEx>
          <w:tblCellMar>
            <w:top w:w="0" w:type="dxa"/>
            <w:bottom w:w="0" w:type="dxa"/>
          </w:tblCellMar>
        </w:tblPrEx>
        <w:tc>
          <w:tcPr>
            <w:tcW w:w="628" w:type="dxa"/>
            <w:tcBorders>
              <w:left w:val="single" w:sz="6" w:space="0" w:color="auto"/>
              <w:bottom w:val="single" w:sz="6" w:space="0" w:color="auto"/>
            </w:tcBorders>
          </w:tcPr>
          <w:p w:rsidR="00000000" w:rsidRDefault="00B7115A">
            <w:pPr>
              <w:spacing w:before="80" w:line="288" w:lineRule="auto"/>
              <w:rPr>
                <w:sz w:val="21"/>
              </w:rPr>
            </w:pPr>
          </w:p>
        </w:tc>
        <w:tc>
          <w:tcPr>
            <w:tcW w:w="1080" w:type="dxa"/>
            <w:tcBorders>
              <w:left w:val="single" w:sz="6" w:space="0" w:color="auto"/>
              <w:bottom w:val="single" w:sz="6" w:space="0" w:color="auto"/>
              <w:right w:val="single" w:sz="6" w:space="0" w:color="auto"/>
            </w:tcBorders>
          </w:tcPr>
          <w:p w:rsidR="00000000" w:rsidRDefault="00B7115A">
            <w:pPr>
              <w:spacing w:before="80" w:line="288" w:lineRule="auto"/>
              <w:rPr>
                <w:sz w:val="21"/>
              </w:rPr>
            </w:pPr>
          </w:p>
        </w:tc>
        <w:tc>
          <w:tcPr>
            <w:tcW w:w="770" w:type="dxa"/>
            <w:tcBorders>
              <w:left w:val="nil"/>
              <w:bottom w:val="single" w:sz="6" w:space="0" w:color="auto"/>
            </w:tcBorders>
          </w:tcPr>
          <w:p w:rsidR="00000000" w:rsidRDefault="00B7115A">
            <w:pPr>
              <w:spacing w:before="80" w:line="288" w:lineRule="auto"/>
              <w:jc w:val="center"/>
              <w:rPr>
                <w:sz w:val="21"/>
              </w:rPr>
            </w:pPr>
            <w:r>
              <w:rPr>
                <w:rFonts w:hint="eastAsia"/>
                <w:sz w:val="21"/>
              </w:rPr>
              <w:t>学校数</w:t>
            </w:r>
          </w:p>
        </w:tc>
        <w:tc>
          <w:tcPr>
            <w:tcW w:w="770" w:type="dxa"/>
            <w:tcBorders>
              <w:left w:val="single" w:sz="6" w:space="0" w:color="auto"/>
              <w:bottom w:val="single" w:sz="6" w:space="0" w:color="auto"/>
              <w:right w:val="single" w:sz="6" w:space="0" w:color="auto"/>
            </w:tcBorders>
          </w:tcPr>
          <w:p w:rsidR="00000000" w:rsidRDefault="00B7115A">
            <w:pPr>
              <w:spacing w:before="80" w:line="288" w:lineRule="auto"/>
              <w:jc w:val="center"/>
              <w:rPr>
                <w:sz w:val="21"/>
              </w:rPr>
            </w:pPr>
            <w:r>
              <w:rPr>
                <w:sz w:val="21"/>
              </w:rPr>
              <w:t>%</w:t>
            </w:r>
          </w:p>
        </w:tc>
        <w:tc>
          <w:tcPr>
            <w:tcW w:w="770" w:type="dxa"/>
            <w:tcBorders>
              <w:left w:val="nil"/>
              <w:bottom w:val="single" w:sz="6" w:space="0" w:color="auto"/>
              <w:right w:val="single" w:sz="6" w:space="0" w:color="auto"/>
            </w:tcBorders>
          </w:tcPr>
          <w:p w:rsidR="00000000" w:rsidRDefault="00B7115A">
            <w:pPr>
              <w:spacing w:before="80" w:line="288" w:lineRule="auto"/>
              <w:jc w:val="center"/>
              <w:rPr>
                <w:sz w:val="21"/>
              </w:rPr>
            </w:pPr>
            <w:r>
              <w:rPr>
                <w:rFonts w:hint="eastAsia"/>
                <w:sz w:val="21"/>
              </w:rPr>
              <w:t>学校数</w:t>
            </w:r>
          </w:p>
        </w:tc>
        <w:tc>
          <w:tcPr>
            <w:tcW w:w="770" w:type="dxa"/>
            <w:tcBorders>
              <w:left w:val="nil"/>
              <w:bottom w:val="single" w:sz="6" w:space="0" w:color="auto"/>
              <w:right w:val="single" w:sz="6" w:space="0" w:color="auto"/>
            </w:tcBorders>
          </w:tcPr>
          <w:p w:rsidR="00000000" w:rsidRDefault="00B7115A">
            <w:pPr>
              <w:spacing w:before="80" w:line="288" w:lineRule="auto"/>
              <w:jc w:val="center"/>
              <w:rPr>
                <w:sz w:val="21"/>
              </w:rPr>
            </w:pPr>
            <w:r>
              <w:rPr>
                <w:sz w:val="21"/>
              </w:rPr>
              <w:t>%</w:t>
            </w:r>
          </w:p>
        </w:tc>
        <w:tc>
          <w:tcPr>
            <w:tcW w:w="770" w:type="dxa"/>
            <w:tcBorders>
              <w:left w:val="nil"/>
              <w:bottom w:val="single" w:sz="6" w:space="0" w:color="auto"/>
              <w:right w:val="single" w:sz="6" w:space="0" w:color="auto"/>
            </w:tcBorders>
          </w:tcPr>
          <w:p w:rsidR="00000000" w:rsidRDefault="00B7115A">
            <w:pPr>
              <w:spacing w:before="80" w:line="288" w:lineRule="auto"/>
              <w:jc w:val="center"/>
              <w:rPr>
                <w:sz w:val="21"/>
              </w:rPr>
            </w:pPr>
            <w:r>
              <w:rPr>
                <w:rFonts w:hint="eastAsia"/>
                <w:sz w:val="21"/>
              </w:rPr>
              <w:t>学校数</w:t>
            </w:r>
          </w:p>
        </w:tc>
        <w:tc>
          <w:tcPr>
            <w:tcW w:w="770" w:type="dxa"/>
            <w:tcBorders>
              <w:left w:val="nil"/>
              <w:bottom w:val="single" w:sz="6" w:space="0" w:color="auto"/>
              <w:right w:val="single" w:sz="6" w:space="0" w:color="auto"/>
            </w:tcBorders>
          </w:tcPr>
          <w:p w:rsidR="00000000" w:rsidRDefault="00B7115A">
            <w:pPr>
              <w:spacing w:before="80" w:line="288" w:lineRule="auto"/>
              <w:jc w:val="center"/>
              <w:rPr>
                <w:sz w:val="21"/>
              </w:rPr>
            </w:pPr>
            <w:r>
              <w:rPr>
                <w:sz w:val="21"/>
              </w:rPr>
              <w:t>%</w:t>
            </w:r>
          </w:p>
        </w:tc>
        <w:tc>
          <w:tcPr>
            <w:tcW w:w="770" w:type="dxa"/>
            <w:tcBorders>
              <w:left w:val="nil"/>
              <w:bottom w:val="single" w:sz="6" w:space="0" w:color="auto"/>
            </w:tcBorders>
          </w:tcPr>
          <w:p w:rsidR="00000000" w:rsidRDefault="00B7115A">
            <w:pPr>
              <w:spacing w:before="80" w:line="288" w:lineRule="auto"/>
              <w:jc w:val="center"/>
              <w:rPr>
                <w:sz w:val="21"/>
              </w:rPr>
            </w:pPr>
            <w:r>
              <w:rPr>
                <w:rFonts w:hint="eastAsia"/>
                <w:sz w:val="21"/>
              </w:rPr>
              <w:t>学校数</w:t>
            </w:r>
          </w:p>
        </w:tc>
        <w:tc>
          <w:tcPr>
            <w:tcW w:w="770" w:type="dxa"/>
            <w:tcBorders>
              <w:left w:val="single" w:sz="6" w:space="0" w:color="auto"/>
              <w:bottom w:val="single" w:sz="6" w:space="0" w:color="auto"/>
              <w:right w:val="single" w:sz="6" w:space="0" w:color="auto"/>
            </w:tcBorders>
          </w:tcPr>
          <w:p w:rsidR="00000000" w:rsidRDefault="00B7115A">
            <w:pPr>
              <w:spacing w:before="80" w:line="288" w:lineRule="auto"/>
              <w:jc w:val="center"/>
              <w:rPr>
                <w:sz w:val="21"/>
              </w:rPr>
            </w:pPr>
            <w:r>
              <w:rPr>
                <w:sz w:val="21"/>
              </w:rPr>
              <w:t>%</w:t>
            </w:r>
          </w:p>
        </w:tc>
        <w:tc>
          <w:tcPr>
            <w:tcW w:w="770" w:type="dxa"/>
            <w:tcBorders>
              <w:left w:val="nil"/>
              <w:bottom w:val="single" w:sz="6" w:space="0" w:color="auto"/>
            </w:tcBorders>
          </w:tcPr>
          <w:p w:rsidR="00000000" w:rsidRDefault="00B7115A">
            <w:pPr>
              <w:spacing w:before="80" w:line="288" w:lineRule="auto"/>
              <w:jc w:val="center"/>
              <w:rPr>
                <w:sz w:val="21"/>
              </w:rPr>
            </w:pPr>
            <w:r>
              <w:rPr>
                <w:rFonts w:hint="eastAsia"/>
                <w:sz w:val="21"/>
              </w:rPr>
              <w:t>学校数</w:t>
            </w:r>
          </w:p>
        </w:tc>
        <w:tc>
          <w:tcPr>
            <w:tcW w:w="770" w:type="dxa"/>
            <w:tcBorders>
              <w:left w:val="single" w:sz="6" w:space="0" w:color="auto"/>
              <w:bottom w:val="single" w:sz="6" w:space="0" w:color="auto"/>
              <w:right w:val="single" w:sz="6" w:space="0" w:color="auto"/>
            </w:tcBorders>
          </w:tcPr>
          <w:p w:rsidR="00000000" w:rsidRDefault="00B7115A">
            <w:pPr>
              <w:spacing w:before="80" w:line="288" w:lineRule="auto"/>
              <w:jc w:val="center"/>
              <w:rPr>
                <w:sz w:val="21"/>
              </w:rPr>
            </w:pPr>
            <w:r>
              <w:rPr>
                <w:sz w:val="21"/>
              </w:rPr>
              <w:t>%</w:t>
            </w:r>
          </w:p>
        </w:tc>
      </w:tr>
      <w:tr w:rsidR="00000000">
        <w:tblPrEx>
          <w:tblCellMar>
            <w:top w:w="0" w:type="dxa"/>
            <w:bottom w:w="0" w:type="dxa"/>
          </w:tblCellMar>
        </w:tblPrEx>
        <w:tc>
          <w:tcPr>
            <w:tcW w:w="628" w:type="dxa"/>
            <w:tcBorders>
              <w:left w:val="single" w:sz="6" w:space="0" w:color="auto"/>
            </w:tcBorders>
          </w:tcPr>
          <w:p w:rsidR="00000000" w:rsidRDefault="00B7115A">
            <w:pPr>
              <w:spacing w:before="60"/>
              <w:jc w:val="center"/>
              <w:rPr>
                <w:sz w:val="21"/>
              </w:rPr>
            </w:pPr>
            <w:r>
              <w:rPr>
                <w:sz w:val="21"/>
              </w:rPr>
              <w:t>1992</w:t>
            </w:r>
          </w:p>
        </w:tc>
        <w:tc>
          <w:tcPr>
            <w:tcW w:w="1080" w:type="dxa"/>
            <w:tcBorders>
              <w:left w:val="single" w:sz="6" w:space="0" w:color="auto"/>
              <w:right w:val="single" w:sz="6" w:space="0" w:color="auto"/>
            </w:tcBorders>
          </w:tcPr>
          <w:p w:rsidR="00000000" w:rsidRDefault="00B7115A">
            <w:pPr>
              <w:spacing w:before="60"/>
              <w:jc w:val="center"/>
              <w:rPr>
                <w:sz w:val="21"/>
              </w:rPr>
            </w:pPr>
            <w:r>
              <w:rPr>
                <w:sz w:val="21"/>
              </w:rPr>
              <w:t>1,796</w:t>
            </w:r>
          </w:p>
        </w:tc>
        <w:tc>
          <w:tcPr>
            <w:tcW w:w="770" w:type="dxa"/>
            <w:tcBorders>
              <w:left w:val="nil"/>
            </w:tcBorders>
          </w:tcPr>
          <w:p w:rsidR="00000000" w:rsidRDefault="00B7115A">
            <w:pPr>
              <w:spacing w:before="60"/>
              <w:jc w:val="center"/>
              <w:rPr>
                <w:sz w:val="21"/>
              </w:rPr>
            </w:pPr>
            <w:r>
              <w:rPr>
                <w:sz w:val="21"/>
              </w:rPr>
              <w:t>1,122</w:t>
            </w:r>
          </w:p>
        </w:tc>
        <w:tc>
          <w:tcPr>
            <w:tcW w:w="770" w:type="dxa"/>
            <w:tcBorders>
              <w:left w:val="single" w:sz="6" w:space="0" w:color="auto"/>
              <w:right w:val="single" w:sz="6" w:space="0" w:color="auto"/>
            </w:tcBorders>
          </w:tcPr>
          <w:p w:rsidR="00000000" w:rsidRDefault="00B7115A">
            <w:pPr>
              <w:spacing w:before="60"/>
              <w:jc w:val="center"/>
              <w:rPr>
                <w:sz w:val="21"/>
              </w:rPr>
            </w:pPr>
            <w:r>
              <w:rPr>
                <w:sz w:val="21"/>
              </w:rPr>
              <w:t>62.5</w:t>
            </w:r>
          </w:p>
        </w:tc>
        <w:tc>
          <w:tcPr>
            <w:tcW w:w="770" w:type="dxa"/>
            <w:tcBorders>
              <w:left w:val="nil"/>
              <w:right w:val="single" w:sz="6" w:space="0" w:color="auto"/>
            </w:tcBorders>
          </w:tcPr>
          <w:p w:rsidR="00000000" w:rsidRDefault="00B7115A">
            <w:pPr>
              <w:spacing w:before="60"/>
              <w:jc w:val="center"/>
              <w:rPr>
                <w:sz w:val="21"/>
              </w:rPr>
            </w:pPr>
            <w:r>
              <w:rPr>
                <w:sz w:val="21"/>
              </w:rPr>
              <w:t>143</w:t>
            </w:r>
          </w:p>
        </w:tc>
        <w:tc>
          <w:tcPr>
            <w:tcW w:w="770" w:type="dxa"/>
            <w:tcBorders>
              <w:left w:val="nil"/>
              <w:right w:val="single" w:sz="6" w:space="0" w:color="auto"/>
            </w:tcBorders>
          </w:tcPr>
          <w:p w:rsidR="00000000" w:rsidRDefault="00B7115A">
            <w:pPr>
              <w:spacing w:before="60"/>
              <w:jc w:val="center"/>
              <w:rPr>
                <w:sz w:val="21"/>
              </w:rPr>
            </w:pPr>
            <w:r>
              <w:rPr>
                <w:sz w:val="21"/>
              </w:rPr>
              <w:t>8.0</w:t>
            </w:r>
          </w:p>
        </w:tc>
        <w:tc>
          <w:tcPr>
            <w:tcW w:w="770" w:type="dxa"/>
            <w:tcBorders>
              <w:left w:val="nil"/>
              <w:right w:val="single" w:sz="6" w:space="0" w:color="auto"/>
            </w:tcBorders>
          </w:tcPr>
          <w:p w:rsidR="00000000" w:rsidRDefault="00B7115A">
            <w:pPr>
              <w:spacing w:before="60"/>
              <w:jc w:val="center"/>
              <w:rPr>
                <w:sz w:val="21"/>
              </w:rPr>
            </w:pPr>
            <w:r>
              <w:rPr>
                <w:sz w:val="21"/>
              </w:rPr>
              <w:t>120</w:t>
            </w:r>
          </w:p>
        </w:tc>
        <w:tc>
          <w:tcPr>
            <w:tcW w:w="770" w:type="dxa"/>
            <w:tcBorders>
              <w:left w:val="nil"/>
              <w:right w:val="single" w:sz="6" w:space="0" w:color="auto"/>
            </w:tcBorders>
          </w:tcPr>
          <w:p w:rsidR="00000000" w:rsidRDefault="00B7115A">
            <w:pPr>
              <w:spacing w:before="60"/>
              <w:jc w:val="center"/>
              <w:rPr>
                <w:sz w:val="21"/>
              </w:rPr>
            </w:pPr>
            <w:r>
              <w:rPr>
                <w:sz w:val="21"/>
              </w:rPr>
              <w:t>6.7</w:t>
            </w:r>
          </w:p>
        </w:tc>
        <w:tc>
          <w:tcPr>
            <w:tcW w:w="770" w:type="dxa"/>
            <w:tcBorders>
              <w:left w:val="nil"/>
            </w:tcBorders>
          </w:tcPr>
          <w:p w:rsidR="00000000" w:rsidRDefault="00B7115A">
            <w:pPr>
              <w:spacing w:before="60"/>
              <w:jc w:val="center"/>
              <w:rPr>
                <w:sz w:val="21"/>
              </w:rPr>
            </w:pPr>
            <w:r>
              <w:rPr>
                <w:sz w:val="21"/>
              </w:rPr>
              <w:t>2</w:t>
            </w:r>
          </w:p>
        </w:tc>
        <w:tc>
          <w:tcPr>
            <w:tcW w:w="770" w:type="dxa"/>
            <w:tcBorders>
              <w:left w:val="single" w:sz="6" w:space="0" w:color="auto"/>
              <w:right w:val="single" w:sz="6" w:space="0" w:color="auto"/>
            </w:tcBorders>
          </w:tcPr>
          <w:p w:rsidR="00000000" w:rsidRDefault="00B7115A">
            <w:pPr>
              <w:spacing w:before="60"/>
              <w:jc w:val="center"/>
              <w:rPr>
                <w:sz w:val="21"/>
              </w:rPr>
            </w:pPr>
            <w:r>
              <w:rPr>
                <w:sz w:val="21"/>
              </w:rPr>
              <w:t>0.1</w:t>
            </w:r>
          </w:p>
        </w:tc>
        <w:tc>
          <w:tcPr>
            <w:tcW w:w="770" w:type="dxa"/>
            <w:tcBorders>
              <w:left w:val="nil"/>
            </w:tcBorders>
          </w:tcPr>
          <w:p w:rsidR="00000000" w:rsidRDefault="00B7115A">
            <w:pPr>
              <w:spacing w:before="60"/>
              <w:jc w:val="center"/>
              <w:rPr>
                <w:sz w:val="21"/>
              </w:rPr>
            </w:pPr>
            <w:r>
              <w:rPr>
                <w:sz w:val="21"/>
              </w:rPr>
              <w:t>404</w:t>
            </w:r>
          </w:p>
        </w:tc>
        <w:tc>
          <w:tcPr>
            <w:tcW w:w="770" w:type="dxa"/>
            <w:tcBorders>
              <w:left w:val="single" w:sz="6" w:space="0" w:color="auto"/>
              <w:right w:val="single" w:sz="6" w:space="0" w:color="auto"/>
            </w:tcBorders>
          </w:tcPr>
          <w:p w:rsidR="00000000" w:rsidRDefault="00B7115A">
            <w:pPr>
              <w:spacing w:before="60"/>
              <w:jc w:val="center"/>
              <w:rPr>
                <w:sz w:val="21"/>
              </w:rPr>
            </w:pPr>
            <w:r>
              <w:rPr>
                <w:sz w:val="21"/>
              </w:rPr>
              <w:t>22.8</w:t>
            </w:r>
          </w:p>
        </w:tc>
      </w:tr>
      <w:tr w:rsidR="00000000">
        <w:tblPrEx>
          <w:tblCellMar>
            <w:top w:w="0" w:type="dxa"/>
            <w:bottom w:w="0" w:type="dxa"/>
          </w:tblCellMar>
        </w:tblPrEx>
        <w:tc>
          <w:tcPr>
            <w:tcW w:w="628" w:type="dxa"/>
            <w:tcBorders>
              <w:left w:val="single" w:sz="6" w:space="0" w:color="auto"/>
            </w:tcBorders>
          </w:tcPr>
          <w:p w:rsidR="00000000" w:rsidRDefault="00B7115A">
            <w:pPr>
              <w:jc w:val="center"/>
              <w:rPr>
                <w:sz w:val="21"/>
              </w:rPr>
            </w:pPr>
            <w:r>
              <w:rPr>
                <w:sz w:val="21"/>
              </w:rPr>
              <w:t>1995</w:t>
            </w:r>
          </w:p>
        </w:tc>
        <w:tc>
          <w:tcPr>
            <w:tcW w:w="1080" w:type="dxa"/>
            <w:tcBorders>
              <w:left w:val="single" w:sz="6" w:space="0" w:color="auto"/>
              <w:right w:val="single" w:sz="6" w:space="0" w:color="auto"/>
            </w:tcBorders>
          </w:tcPr>
          <w:p w:rsidR="00000000" w:rsidRDefault="00B7115A">
            <w:pPr>
              <w:jc w:val="center"/>
              <w:rPr>
                <w:sz w:val="21"/>
              </w:rPr>
            </w:pPr>
            <w:r>
              <w:rPr>
                <w:sz w:val="21"/>
              </w:rPr>
              <w:t>1,843</w:t>
            </w:r>
          </w:p>
        </w:tc>
        <w:tc>
          <w:tcPr>
            <w:tcW w:w="770" w:type="dxa"/>
            <w:tcBorders>
              <w:left w:val="nil"/>
            </w:tcBorders>
          </w:tcPr>
          <w:p w:rsidR="00000000" w:rsidRDefault="00B7115A">
            <w:pPr>
              <w:jc w:val="center"/>
              <w:rPr>
                <w:sz w:val="21"/>
              </w:rPr>
            </w:pPr>
            <w:r>
              <w:rPr>
                <w:sz w:val="21"/>
              </w:rPr>
              <w:t>1,206</w:t>
            </w:r>
          </w:p>
        </w:tc>
        <w:tc>
          <w:tcPr>
            <w:tcW w:w="770" w:type="dxa"/>
            <w:tcBorders>
              <w:left w:val="single" w:sz="6" w:space="0" w:color="auto"/>
              <w:right w:val="single" w:sz="6" w:space="0" w:color="auto"/>
            </w:tcBorders>
          </w:tcPr>
          <w:p w:rsidR="00000000" w:rsidRDefault="00B7115A">
            <w:pPr>
              <w:jc w:val="center"/>
              <w:rPr>
                <w:sz w:val="21"/>
              </w:rPr>
            </w:pPr>
            <w:r>
              <w:rPr>
                <w:sz w:val="21"/>
              </w:rPr>
              <w:t>65.4</w:t>
            </w:r>
          </w:p>
        </w:tc>
        <w:tc>
          <w:tcPr>
            <w:tcW w:w="770" w:type="dxa"/>
            <w:tcBorders>
              <w:left w:val="nil"/>
              <w:right w:val="single" w:sz="6" w:space="0" w:color="auto"/>
            </w:tcBorders>
          </w:tcPr>
          <w:p w:rsidR="00000000" w:rsidRDefault="00B7115A">
            <w:pPr>
              <w:jc w:val="center"/>
              <w:rPr>
                <w:sz w:val="21"/>
              </w:rPr>
            </w:pPr>
            <w:r>
              <w:rPr>
                <w:sz w:val="21"/>
              </w:rPr>
              <w:t>121</w:t>
            </w:r>
          </w:p>
        </w:tc>
        <w:tc>
          <w:tcPr>
            <w:tcW w:w="770" w:type="dxa"/>
            <w:tcBorders>
              <w:left w:val="nil"/>
              <w:right w:val="single" w:sz="6" w:space="0" w:color="auto"/>
            </w:tcBorders>
          </w:tcPr>
          <w:p w:rsidR="00000000" w:rsidRDefault="00B7115A">
            <w:pPr>
              <w:jc w:val="center"/>
              <w:rPr>
                <w:sz w:val="21"/>
              </w:rPr>
            </w:pPr>
            <w:r>
              <w:rPr>
                <w:sz w:val="21"/>
              </w:rPr>
              <w:t>6.6</w:t>
            </w:r>
          </w:p>
        </w:tc>
        <w:tc>
          <w:tcPr>
            <w:tcW w:w="770" w:type="dxa"/>
            <w:tcBorders>
              <w:left w:val="nil"/>
              <w:right w:val="single" w:sz="6" w:space="0" w:color="auto"/>
            </w:tcBorders>
          </w:tcPr>
          <w:p w:rsidR="00000000" w:rsidRDefault="00B7115A">
            <w:pPr>
              <w:jc w:val="center"/>
              <w:rPr>
                <w:sz w:val="21"/>
              </w:rPr>
            </w:pPr>
            <w:r>
              <w:rPr>
                <w:sz w:val="21"/>
              </w:rPr>
              <w:t>133</w:t>
            </w:r>
          </w:p>
        </w:tc>
        <w:tc>
          <w:tcPr>
            <w:tcW w:w="770" w:type="dxa"/>
            <w:tcBorders>
              <w:left w:val="nil"/>
              <w:right w:val="single" w:sz="6" w:space="0" w:color="auto"/>
            </w:tcBorders>
          </w:tcPr>
          <w:p w:rsidR="00000000" w:rsidRDefault="00B7115A">
            <w:pPr>
              <w:jc w:val="center"/>
              <w:rPr>
                <w:sz w:val="21"/>
              </w:rPr>
            </w:pPr>
            <w:r>
              <w:rPr>
                <w:sz w:val="21"/>
              </w:rPr>
              <w:t>7.2</w:t>
            </w:r>
          </w:p>
        </w:tc>
        <w:tc>
          <w:tcPr>
            <w:tcW w:w="770" w:type="dxa"/>
            <w:tcBorders>
              <w:left w:val="nil"/>
            </w:tcBorders>
          </w:tcPr>
          <w:p w:rsidR="00000000" w:rsidRDefault="00B7115A">
            <w:pPr>
              <w:jc w:val="center"/>
              <w:rPr>
                <w:sz w:val="21"/>
              </w:rPr>
            </w:pPr>
            <w:r>
              <w:rPr>
                <w:sz w:val="21"/>
              </w:rPr>
              <w:t>2</w:t>
            </w:r>
          </w:p>
        </w:tc>
        <w:tc>
          <w:tcPr>
            <w:tcW w:w="770" w:type="dxa"/>
            <w:tcBorders>
              <w:left w:val="single" w:sz="6" w:space="0" w:color="auto"/>
              <w:right w:val="single" w:sz="6" w:space="0" w:color="auto"/>
            </w:tcBorders>
          </w:tcPr>
          <w:p w:rsidR="00000000" w:rsidRDefault="00B7115A">
            <w:pPr>
              <w:jc w:val="center"/>
              <w:rPr>
                <w:sz w:val="21"/>
              </w:rPr>
            </w:pPr>
            <w:r>
              <w:rPr>
                <w:sz w:val="21"/>
              </w:rPr>
              <w:t>0.1</w:t>
            </w:r>
          </w:p>
        </w:tc>
        <w:tc>
          <w:tcPr>
            <w:tcW w:w="770" w:type="dxa"/>
            <w:tcBorders>
              <w:left w:val="nil"/>
            </w:tcBorders>
          </w:tcPr>
          <w:p w:rsidR="00000000" w:rsidRDefault="00B7115A">
            <w:pPr>
              <w:jc w:val="center"/>
              <w:rPr>
                <w:sz w:val="21"/>
              </w:rPr>
            </w:pPr>
            <w:r>
              <w:rPr>
                <w:sz w:val="21"/>
              </w:rPr>
              <w:t>381</w:t>
            </w:r>
          </w:p>
        </w:tc>
        <w:tc>
          <w:tcPr>
            <w:tcW w:w="770" w:type="dxa"/>
            <w:tcBorders>
              <w:left w:val="single" w:sz="6" w:space="0" w:color="auto"/>
              <w:right w:val="single" w:sz="6" w:space="0" w:color="auto"/>
            </w:tcBorders>
          </w:tcPr>
          <w:p w:rsidR="00000000" w:rsidRDefault="00B7115A">
            <w:pPr>
              <w:jc w:val="center"/>
              <w:rPr>
                <w:sz w:val="21"/>
              </w:rPr>
            </w:pPr>
            <w:r>
              <w:rPr>
                <w:sz w:val="21"/>
              </w:rPr>
              <w:t>19.1</w:t>
            </w:r>
          </w:p>
        </w:tc>
      </w:tr>
      <w:tr w:rsidR="00000000">
        <w:tblPrEx>
          <w:tblCellMar>
            <w:top w:w="0" w:type="dxa"/>
            <w:bottom w:w="0" w:type="dxa"/>
          </w:tblCellMar>
        </w:tblPrEx>
        <w:tc>
          <w:tcPr>
            <w:tcW w:w="628" w:type="dxa"/>
            <w:tcBorders>
              <w:left w:val="single" w:sz="6" w:space="0" w:color="auto"/>
              <w:bottom w:val="single" w:sz="6" w:space="0" w:color="auto"/>
            </w:tcBorders>
          </w:tcPr>
          <w:p w:rsidR="00000000" w:rsidRDefault="00B7115A">
            <w:pPr>
              <w:jc w:val="center"/>
              <w:rPr>
                <w:sz w:val="21"/>
              </w:rPr>
            </w:pPr>
            <w:r>
              <w:rPr>
                <w:sz w:val="21"/>
              </w:rPr>
              <w:t>1996</w:t>
            </w:r>
          </w:p>
        </w:tc>
        <w:tc>
          <w:tcPr>
            <w:tcW w:w="1080" w:type="dxa"/>
            <w:tcBorders>
              <w:left w:val="single" w:sz="6" w:space="0" w:color="auto"/>
              <w:bottom w:val="single" w:sz="6" w:space="0" w:color="auto"/>
              <w:right w:val="single" w:sz="6" w:space="0" w:color="auto"/>
            </w:tcBorders>
          </w:tcPr>
          <w:p w:rsidR="00000000" w:rsidRDefault="00B7115A">
            <w:pPr>
              <w:jc w:val="center"/>
              <w:rPr>
                <w:sz w:val="21"/>
              </w:rPr>
            </w:pPr>
            <w:r>
              <w:rPr>
                <w:sz w:val="21"/>
              </w:rPr>
              <w:t>1,867</w:t>
            </w:r>
          </w:p>
        </w:tc>
        <w:tc>
          <w:tcPr>
            <w:tcW w:w="770" w:type="dxa"/>
            <w:tcBorders>
              <w:left w:val="nil"/>
              <w:bottom w:val="single" w:sz="6" w:space="0" w:color="auto"/>
            </w:tcBorders>
          </w:tcPr>
          <w:p w:rsidR="00000000" w:rsidRDefault="00B7115A">
            <w:pPr>
              <w:jc w:val="center"/>
              <w:rPr>
                <w:sz w:val="21"/>
              </w:rPr>
            </w:pPr>
            <w:r>
              <w:rPr>
                <w:sz w:val="21"/>
              </w:rPr>
              <w:t>1,223</w:t>
            </w:r>
          </w:p>
        </w:tc>
        <w:tc>
          <w:tcPr>
            <w:tcW w:w="770" w:type="dxa"/>
            <w:tcBorders>
              <w:left w:val="single" w:sz="6" w:space="0" w:color="auto"/>
              <w:bottom w:val="single" w:sz="6" w:space="0" w:color="auto"/>
              <w:right w:val="single" w:sz="6" w:space="0" w:color="auto"/>
            </w:tcBorders>
          </w:tcPr>
          <w:p w:rsidR="00000000" w:rsidRDefault="00B7115A">
            <w:pPr>
              <w:jc w:val="center"/>
              <w:rPr>
                <w:sz w:val="21"/>
              </w:rPr>
            </w:pPr>
            <w:r>
              <w:rPr>
                <w:sz w:val="21"/>
              </w:rPr>
              <w:t>65.5</w:t>
            </w:r>
          </w:p>
        </w:tc>
        <w:tc>
          <w:tcPr>
            <w:tcW w:w="770" w:type="dxa"/>
            <w:tcBorders>
              <w:left w:val="nil"/>
              <w:bottom w:val="single" w:sz="6" w:space="0" w:color="auto"/>
              <w:right w:val="single" w:sz="6" w:space="0" w:color="auto"/>
            </w:tcBorders>
          </w:tcPr>
          <w:p w:rsidR="00000000" w:rsidRDefault="00B7115A">
            <w:pPr>
              <w:jc w:val="center"/>
              <w:rPr>
                <w:sz w:val="21"/>
              </w:rPr>
            </w:pPr>
            <w:r>
              <w:rPr>
                <w:sz w:val="21"/>
              </w:rPr>
              <w:t>123</w:t>
            </w:r>
          </w:p>
        </w:tc>
        <w:tc>
          <w:tcPr>
            <w:tcW w:w="770" w:type="dxa"/>
            <w:tcBorders>
              <w:left w:val="nil"/>
              <w:bottom w:val="single" w:sz="6" w:space="0" w:color="auto"/>
              <w:right w:val="single" w:sz="6" w:space="0" w:color="auto"/>
            </w:tcBorders>
          </w:tcPr>
          <w:p w:rsidR="00000000" w:rsidRDefault="00B7115A">
            <w:pPr>
              <w:jc w:val="center"/>
              <w:rPr>
                <w:sz w:val="21"/>
              </w:rPr>
            </w:pPr>
            <w:r>
              <w:rPr>
                <w:sz w:val="21"/>
              </w:rPr>
              <w:t>6.6</w:t>
            </w:r>
          </w:p>
        </w:tc>
        <w:tc>
          <w:tcPr>
            <w:tcW w:w="770" w:type="dxa"/>
            <w:tcBorders>
              <w:left w:val="nil"/>
              <w:bottom w:val="single" w:sz="6" w:space="0" w:color="auto"/>
              <w:right w:val="single" w:sz="6" w:space="0" w:color="auto"/>
            </w:tcBorders>
          </w:tcPr>
          <w:p w:rsidR="00000000" w:rsidRDefault="00B7115A">
            <w:pPr>
              <w:jc w:val="center"/>
              <w:rPr>
                <w:sz w:val="21"/>
              </w:rPr>
            </w:pPr>
            <w:r>
              <w:rPr>
                <w:sz w:val="21"/>
              </w:rPr>
              <w:t>134</w:t>
            </w:r>
          </w:p>
        </w:tc>
        <w:tc>
          <w:tcPr>
            <w:tcW w:w="770" w:type="dxa"/>
            <w:tcBorders>
              <w:left w:val="nil"/>
              <w:bottom w:val="single" w:sz="6" w:space="0" w:color="auto"/>
              <w:right w:val="single" w:sz="6" w:space="0" w:color="auto"/>
            </w:tcBorders>
          </w:tcPr>
          <w:p w:rsidR="00000000" w:rsidRDefault="00B7115A">
            <w:pPr>
              <w:jc w:val="center"/>
              <w:rPr>
                <w:sz w:val="21"/>
              </w:rPr>
            </w:pPr>
            <w:r>
              <w:rPr>
                <w:sz w:val="21"/>
              </w:rPr>
              <w:t>7.2</w:t>
            </w:r>
          </w:p>
        </w:tc>
        <w:tc>
          <w:tcPr>
            <w:tcW w:w="770" w:type="dxa"/>
            <w:tcBorders>
              <w:left w:val="nil"/>
              <w:bottom w:val="single" w:sz="6" w:space="0" w:color="auto"/>
            </w:tcBorders>
          </w:tcPr>
          <w:p w:rsidR="00000000" w:rsidRDefault="00B7115A">
            <w:pPr>
              <w:jc w:val="center"/>
              <w:rPr>
                <w:sz w:val="21"/>
              </w:rPr>
            </w:pPr>
            <w:r>
              <w:rPr>
                <w:sz w:val="21"/>
              </w:rPr>
              <w:t>2</w:t>
            </w:r>
          </w:p>
        </w:tc>
        <w:tc>
          <w:tcPr>
            <w:tcW w:w="770" w:type="dxa"/>
            <w:tcBorders>
              <w:left w:val="single" w:sz="6" w:space="0" w:color="auto"/>
              <w:bottom w:val="single" w:sz="6" w:space="0" w:color="auto"/>
              <w:right w:val="single" w:sz="6" w:space="0" w:color="auto"/>
            </w:tcBorders>
          </w:tcPr>
          <w:p w:rsidR="00000000" w:rsidRDefault="00B7115A">
            <w:pPr>
              <w:jc w:val="center"/>
              <w:rPr>
                <w:sz w:val="21"/>
              </w:rPr>
            </w:pPr>
            <w:r>
              <w:rPr>
                <w:sz w:val="21"/>
              </w:rPr>
              <w:t>0.1</w:t>
            </w:r>
          </w:p>
        </w:tc>
        <w:tc>
          <w:tcPr>
            <w:tcW w:w="770" w:type="dxa"/>
            <w:tcBorders>
              <w:left w:val="nil"/>
              <w:bottom w:val="single" w:sz="6" w:space="0" w:color="auto"/>
            </w:tcBorders>
          </w:tcPr>
          <w:p w:rsidR="00000000" w:rsidRDefault="00B7115A">
            <w:pPr>
              <w:jc w:val="center"/>
              <w:rPr>
                <w:sz w:val="21"/>
              </w:rPr>
            </w:pPr>
            <w:r>
              <w:rPr>
                <w:sz w:val="21"/>
              </w:rPr>
              <w:t>385</w:t>
            </w:r>
          </w:p>
        </w:tc>
        <w:tc>
          <w:tcPr>
            <w:tcW w:w="770" w:type="dxa"/>
            <w:tcBorders>
              <w:left w:val="single" w:sz="6" w:space="0" w:color="auto"/>
              <w:bottom w:val="single" w:sz="6" w:space="0" w:color="auto"/>
              <w:right w:val="single" w:sz="6" w:space="0" w:color="auto"/>
            </w:tcBorders>
          </w:tcPr>
          <w:p w:rsidR="00000000" w:rsidRDefault="00B7115A">
            <w:pPr>
              <w:jc w:val="center"/>
              <w:rPr>
                <w:sz w:val="21"/>
              </w:rPr>
            </w:pPr>
            <w:r>
              <w:rPr>
                <w:sz w:val="21"/>
              </w:rPr>
              <w:t>20.6</w:t>
            </w:r>
          </w:p>
        </w:tc>
      </w:tr>
    </w:tbl>
    <w:p w:rsidR="00000000" w:rsidRDefault="00B7115A">
      <w:pPr>
        <w:textAlignment w:val="center"/>
      </w:pPr>
    </w:p>
    <w:p w:rsidR="00000000" w:rsidRDefault="00B7115A">
      <w:pPr>
        <w:spacing w:after="320"/>
        <w:textAlignment w:val="center"/>
      </w:pPr>
      <w:r>
        <w:tab/>
        <w:t xml:space="preserve">232.  </w:t>
      </w:r>
      <w:r>
        <w:rPr>
          <w:rFonts w:hint="eastAsia"/>
        </w:rPr>
        <w:t>为了适应学生各种各样的需要和能力，教学系统内包括各种类型的学校，各种类型的所有制，和各种活动：有</w:t>
      </w:r>
      <w:r>
        <w:t>1,890</w:t>
      </w:r>
      <w:r>
        <w:rPr>
          <w:rFonts w:hint="eastAsia"/>
        </w:rPr>
        <w:t>所普通学校，其中包括</w:t>
      </w:r>
      <w:r>
        <w:t>270</w:t>
      </w:r>
      <w:r>
        <w:rPr>
          <w:rFonts w:hint="eastAsia"/>
        </w:rPr>
        <w:t>所深入学习具体课目的学校，</w:t>
      </w:r>
      <w:r>
        <w:t>65</w:t>
      </w:r>
      <w:r>
        <w:rPr>
          <w:rFonts w:hint="eastAsia"/>
        </w:rPr>
        <w:t>所大学预科、</w:t>
      </w:r>
      <w:r>
        <w:t>39</w:t>
      </w:r>
      <w:r>
        <w:rPr>
          <w:rFonts w:hint="eastAsia"/>
        </w:rPr>
        <w:t>所中等学校、２所为需要特殊教育和居住环境的儿童开设的学校，和</w:t>
      </w:r>
      <w:r>
        <w:t>19</w:t>
      </w:r>
      <w:r>
        <w:rPr>
          <w:rFonts w:hint="eastAsia"/>
        </w:rPr>
        <w:t>所为身心发育不良的儿童开设的专门学校。</w:t>
      </w:r>
    </w:p>
    <w:p w:rsidR="00000000" w:rsidRDefault="00B7115A">
      <w:pPr>
        <w:pStyle w:val="Heading3"/>
      </w:pPr>
      <w:r>
        <w:rPr>
          <w:rFonts w:hint="eastAsia"/>
        </w:rPr>
        <w:t>第</w:t>
      </w:r>
      <w:r>
        <w:t xml:space="preserve"> 14 </w:t>
      </w:r>
      <w:r>
        <w:rPr>
          <w:rFonts w:hint="eastAsia"/>
        </w:rPr>
        <w:t>条</w:t>
      </w:r>
    </w:p>
    <w:p w:rsidR="00000000" w:rsidRDefault="00B7115A">
      <w:r>
        <w:tab/>
        <w:t xml:space="preserve">233.  </w:t>
      </w:r>
      <w:r>
        <w:rPr>
          <w:rFonts w:hint="eastAsia"/>
        </w:rPr>
        <w:t>根据《宪法》第</w:t>
      </w:r>
      <w:r>
        <w:t>32</w:t>
      </w:r>
      <w:r>
        <w:rPr>
          <w:rFonts w:hint="eastAsia"/>
        </w:rPr>
        <w:t>条，吉尔吉斯斯坦公民拥有接受教育的权利。基本教育是法定和免费的，每个人有权利在国立教育机构内接受基本教育。</w:t>
      </w:r>
    </w:p>
    <w:p w:rsidR="00000000" w:rsidRDefault="00B7115A">
      <w:r>
        <w:tab/>
        <w:t xml:space="preserve">234.  </w:t>
      </w:r>
      <w:r>
        <w:rPr>
          <w:rFonts w:hint="eastAsia"/>
        </w:rPr>
        <w:t>每个公民有权在国立教育机构内接受免费教育。已经制定了各个层次教育的国家标准，要求所有类型的教育机构符合这些标准。《教育法》规定儿童有获得教育的宪法权利，不论其社会或财产情况、国籍或宗教如何，并确保免费得到基本和职业教学，并在竞争入学的基础上免费得到在高等学院受教育。国家教育方案规定，来自处于不利地位家庭的儿童、残疾儿童、发育不良儿童和来自有问题家庭的儿童和孤儿享受优惠待遇。</w:t>
      </w:r>
    </w:p>
    <w:p w:rsidR="00000000" w:rsidRDefault="00B7115A">
      <w:r>
        <w:tab/>
        <w:t>235</w:t>
      </w:r>
      <w:r>
        <w:t xml:space="preserve">.  </w:t>
      </w:r>
      <w:r>
        <w:rPr>
          <w:rFonts w:hint="eastAsia"/>
        </w:rPr>
        <w:t>同时，《宪法》和《教育法》首次允许设立非国立</w:t>
      </w:r>
      <w:r>
        <w:t>(</w:t>
      </w:r>
      <w:r>
        <w:rPr>
          <w:rFonts w:hint="eastAsia"/>
        </w:rPr>
        <w:t>私立</w:t>
      </w:r>
      <w:r>
        <w:t>)</w:t>
      </w:r>
      <w:r>
        <w:rPr>
          <w:rFonts w:hint="eastAsia"/>
        </w:rPr>
        <w:t>和付费教育机构的可能性。但是，由于目前提供资金的做法，绝大多数家庭无法进入这类学校。</w:t>
      </w:r>
    </w:p>
    <w:p w:rsidR="00000000" w:rsidRDefault="00B7115A">
      <w:r>
        <w:tab/>
        <w:t xml:space="preserve">236.  </w:t>
      </w:r>
      <w:r>
        <w:rPr>
          <w:rFonts w:hint="eastAsia"/>
        </w:rPr>
        <w:t>对在高等学院和中专</w:t>
      </w:r>
      <w:r>
        <w:t>(</w:t>
      </w:r>
      <w:r>
        <w:rPr>
          <w:rFonts w:hint="eastAsia"/>
        </w:rPr>
        <w:t>学院</w:t>
      </w:r>
      <w:r>
        <w:t>)</w:t>
      </w:r>
      <w:r>
        <w:rPr>
          <w:rFonts w:hint="eastAsia"/>
        </w:rPr>
        <w:t>以及在商业基础上组织的课系的教学征收学费。学费的数额根据教学成本估算确定，按照学院和学生之间的商定的情况计算。培训监督人员的商业制度尚处于形成发展阶段。</w:t>
      </w:r>
    </w:p>
    <w:p w:rsidR="00000000" w:rsidRDefault="00B7115A">
      <w:r>
        <w:tab/>
        <w:t xml:space="preserve">237.  </w:t>
      </w:r>
      <w:r>
        <w:rPr>
          <w:rFonts w:hint="eastAsia"/>
        </w:rPr>
        <w:t>《教育法》第</w:t>
      </w:r>
      <w:r>
        <w:t>6</w:t>
      </w:r>
      <w:r>
        <w:rPr>
          <w:rFonts w:hint="eastAsia"/>
        </w:rPr>
        <w:t>条规定，国家应通过创造免费基础教育和普通中等教育所需要的社会和经济条件来确保受教育的权利。</w:t>
      </w:r>
    </w:p>
    <w:p w:rsidR="00000000" w:rsidRDefault="00B7115A">
      <w:pPr>
        <w:spacing w:after="320"/>
        <w:textAlignment w:val="center"/>
      </w:pPr>
      <w:r>
        <w:tab/>
        <w:t xml:space="preserve">238.  </w:t>
      </w:r>
      <w:r>
        <w:rPr>
          <w:rFonts w:hint="eastAsia"/>
        </w:rPr>
        <w:t>目前，根据</w:t>
      </w:r>
      <w:r>
        <w:t>1996</w:t>
      </w:r>
      <w:r>
        <w:rPr>
          <w:rFonts w:hint="eastAsia"/>
        </w:rPr>
        <w:t>年</w:t>
      </w:r>
      <w:r>
        <w:t>2</w:t>
      </w:r>
      <w:r>
        <w:rPr>
          <w:rFonts w:hint="eastAsia"/>
        </w:rPr>
        <w:t>月</w:t>
      </w:r>
      <w:r>
        <w:t>16</w:t>
      </w:r>
      <w:r>
        <w:rPr>
          <w:rFonts w:hint="eastAsia"/>
        </w:rPr>
        <w:t>日教育、科学</w:t>
      </w:r>
      <w:r>
        <w:rPr>
          <w:rFonts w:hint="eastAsia"/>
        </w:rPr>
        <w:t>和文化部第</w:t>
      </w:r>
      <w:r>
        <w:t>45/1</w:t>
      </w:r>
      <w:r>
        <w:rPr>
          <w:rFonts w:hint="eastAsia"/>
        </w:rPr>
        <w:t>号法令，如果家长委员会和学校理事会决定的话，可以收取获得和使用课本以及其他教育社会服务的费用。这种提高额外预算外资金的方法，只有在学生家长书面要求和代表家长的人的书面的要求下才可以执行。</w:t>
      </w:r>
    </w:p>
    <w:p w:rsidR="00000000" w:rsidRDefault="00B7115A">
      <w:pPr>
        <w:pStyle w:val="Heading3"/>
      </w:pPr>
      <w:r>
        <w:rPr>
          <w:rFonts w:hint="eastAsia"/>
        </w:rPr>
        <w:t>第</w:t>
      </w:r>
      <w:r>
        <w:t xml:space="preserve"> 15 </w:t>
      </w:r>
      <w:r>
        <w:rPr>
          <w:rFonts w:hint="eastAsia"/>
        </w:rPr>
        <w:t>条</w:t>
      </w:r>
    </w:p>
    <w:p w:rsidR="00000000" w:rsidRDefault="00B7115A">
      <w:r>
        <w:tab/>
        <w:t xml:space="preserve">239.  </w:t>
      </w:r>
      <w:r>
        <w:rPr>
          <w:rFonts w:hint="eastAsia"/>
        </w:rPr>
        <w:t>《宪法》第</w:t>
      </w:r>
      <w:r>
        <w:t>36</w:t>
      </w:r>
      <w:r>
        <w:rPr>
          <w:rFonts w:hint="eastAsia"/>
        </w:rPr>
        <w:t>条规定文化、艺术、文学、科学和媒介的自由。公民有权利得到或受益于文化，并且有权利从事艺术和科学研究。每个公民有权利自由地发表和传播思想、意见和观点，并有权利自由地从事文学、艺术、科学和技术的创造性工作、还有权利自由地发表、传播和散发信息</w:t>
      </w:r>
      <w:r>
        <w:t>(</w:t>
      </w:r>
      <w:r>
        <w:rPr>
          <w:rFonts w:hint="eastAsia"/>
        </w:rPr>
        <w:t>第</w:t>
      </w:r>
      <w:r>
        <w:t>16</w:t>
      </w:r>
      <w:r>
        <w:rPr>
          <w:rFonts w:hint="eastAsia"/>
        </w:rPr>
        <w:t>条</w:t>
      </w:r>
      <w:r>
        <w:t>)</w:t>
      </w:r>
      <w:r>
        <w:rPr>
          <w:rFonts w:hint="eastAsia"/>
        </w:rPr>
        <w:t>。</w:t>
      </w:r>
    </w:p>
    <w:p w:rsidR="00000000" w:rsidRDefault="00B7115A">
      <w:r>
        <w:tab/>
        <w:t xml:space="preserve">240. </w:t>
      </w:r>
      <w:r>
        <w:t xml:space="preserve"> </w:t>
      </w:r>
      <w:r>
        <w:rPr>
          <w:rFonts w:hint="eastAsia"/>
        </w:rPr>
        <w:t>国家维护历史纪念地，并促进发展文学、艺术、科学、媒体和体育。在这方面，已通过法律进一步促进实现每个人参加文化生活的权利；这些法律包括</w:t>
      </w:r>
      <w:r>
        <w:t>1992</w:t>
      </w:r>
      <w:r>
        <w:rPr>
          <w:rFonts w:hint="eastAsia"/>
        </w:rPr>
        <w:t>年</w:t>
      </w:r>
      <w:r>
        <w:t>3</w:t>
      </w:r>
      <w:r>
        <w:rPr>
          <w:rFonts w:hint="eastAsia"/>
        </w:rPr>
        <w:t>月</w:t>
      </w:r>
      <w:r>
        <w:t>15</w:t>
      </w:r>
      <w:r>
        <w:rPr>
          <w:rFonts w:hint="eastAsia"/>
        </w:rPr>
        <w:t>日《文化法》、《版权和有关权利法》、《科学和国家科学和技术法政策基本原则》和《计算机化法》。此外，</w:t>
      </w:r>
      <w:r>
        <w:t>1996</w:t>
      </w:r>
      <w:r>
        <w:rPr>
          <w:rFonts w:hint="eastAsia"/>
        </w:rPr>
        <w:t>年</w:t>
      </w:r>
      <w:r>
        <w:t>10</w:t>
      </w:r>
      <w:r>
        <w:rPr>
          <w:rFonts w:hint="eastAsia"/>
        </w:rPr>
        <w:t>月</w:t>
      </w:r>
      <w:r>
        <w:t>14</w:t>
      </w:r>
      <w:r>
        <w:rPr>
          <w:rFonts w:hint="eastAsia"/>
        </w:rPr>
        <w:t>日通过了在</w:t>
      </w:r>
      <w:r>
        <w:t>1997-2000</w:t>
      </w:r>
      <w:r>
        <w:rPr>
          <w:rFonts w:hint="eastAsia"/>
        </w:rPr>
        <w:t>年阶段发展和保护文化和艺术的“马达尼雅特”国家计划。</w:t>
      </w:r>
    </w:p>
    <w:p w:rsidR="00000000" w:rsidRDefault="00B7115A">
      <w:r>
        <w:tab/>
        <w:t xml:space="preserve">241.  </w:t>
      </w:r>
      <w:r>
        <w:rPr>
          <w:rFonts w:hint="eastAsia"/>
        </w:rPr>
        <w:t>为了贯彻旨在促进吉尔吉斯斯坦文化生活的政策，国家设有文化、科学和旅游中心，如：苏莱曼图</w:t>
      </w:r>
      <w:r>
        <w:rPr>
          <w:rFonts w:hint="eastAsia"/>
          <w:spacing w:val="-40"/>
        </w:rPr>
        <w:t>——</w:t>
      </w:r>
      <w:r>
        <w:t xml:space="preserve"> </w:t>
      </w:r>
      <w:r>
        <w:rPr>
          <w:rFonts w:hint="eastAsia"/>
        </w:rPr>
        <w:t>历史文化和自然遗址；乌兹根考古和建筑遗址；沙赫法齐尔考</w:t>
      </w:r>
      <w:r>
        <w:rPr>
          <w:rFonts w:hint="eastAsia"/>
        </w:rPr>
        <w:t>古和文化遗址；布兰纳考古和建筑遗址；伊西库勒国家历史文化博物保留地；甘贝兹纳萨全国历史文化博物遗址；和奥什州历史</w:t>
      </w:r>
      <w:r>
        <w:rPr>
          <w:rFonts w:hint="eastAsia"/>
          <w:spacing w:val="-40"/>
        </w:rPr>
        <w:t>——</w:t>
      </w:r>
      <w:r>
        <w:t xml:space="preserve"> </w:t>
      </w:r>
      <w:r>
        <w:rPr>
          <w:rFonts w:hint="eastAsia"/>
        </w:rPr>
        <w:t>文化和自然博物保留地；以及</w:t>
      </w:r>
      <w:r>
        <w:t>28</w:t>
      </w:r>
      <w:r>
        <w:rPr>
          <w:rFonts w:hint="eastAsia"/>
        </w:rPr>
        <w:t>座文化和休息公园、</w:t>
      </w:r>
      <w:r>
        <w:t>32</w:t>
      </w:r>
      <w:r>
        <w:rPr>
          <w:rFonts w:hint="eastAsia"/>
        </w:rPr>
        <w:t>座博物保留地、</w:t>
      </w:r>
      <w:r>
        <w:t>992</w:t>
      </w:r>
      <w:r>
        <w:rPr>
          <w:rFonts w:hint="eastAsia"/>
        </w:rPr>
        <w:t>座图书馆和</w:t>
      </w:r>
      <w:r>
        <w:t>511</w:t>
      </w:r>
      <w:r>
        <w:rPr>
          <w:rFonts w:hint="eastAsia"/>
        </w:rPr>
        <w:t>个俱乐部。</w:t>
      </w:r>
    </w:p>
    <w:p w:rsidR="00000000" w:rsidRDefault="00B7115A">
      <w:r>
        <w:tab/>
        <w:t>242.  1997</w:t>
      </w:r>
      <w:r>
        <w:rPr>
          <w:rFonts w:hint="eastAsia"/>
        </w:rPr>
        <w:t>年</w:t>
      </w:r>
      <w:r>
        <w:t>10</w:t>
      </w:r>
      <w:r>
        <w:rPr>
          <w:rFonts w:hint="eastAsia"/>
        </w:rPr>
        <w:t>月</w:t>
      </w:r>
      <w:r>
        <w:t>22</w:t>
      </w:r>
      <w:r>
        <w:rPr>
          <w:rFonts w:hint="eastAsia"/>
        </w:rPr>
        <w:t>日通过了《保护和享受历史文化遗产法》。其目的是保护和合理地使用吉尔吉斯斯坦全国各族人民的历史文化遗产。</w:t>
      </w:r>
    </w:p>
    <w:p w:rsidR="00000000" w:rsidRDefault="00B7115A">
      <w:r>
        <w:tab/>
        <w:t xml:space="preserve">243.  </w:t>
      </w:r>
      <w:r>
        <w:rPr>
          <w:rFonts w:hint="eastAsia"/>
        </w:rPr>
        <w:t>多斯图克公司定期制作描述吉尔吉斯斯坦境内各少数民族生活和活动的电视节目。最近的广播节目专门宣传文化主题。</w:t>
      </w:r>
    </w:p>
    <w:p w:rsidR="00000000" w:rsidRDefault="00B7115A">
      <w:r>
        <w:tab/>
        <w:t xml:space="preserve">244.  </w:t>
      </w:r>
      <w:r>
        <w:rPr>
          <w:rFonts w:hint="eastAsia"/>
        </w:rPr>
        <w:t>在吉尔吉斯斯坦人民大会</w:t>
      </w:r>
      <w:r>
        <w:rPr>
          <w:rFonts w:hint="eastAsia"/>
        </w:rPr>
        <w:t>和奥坦、伊兹穆里和贝列吉尼亚族裔文化中心之间建立了紧密的联系。纪念其他共和国的独立日，庆祝族裔文化和关于社会政治问题的节目是吉尔吉斯斯坦经常播放的节目。</w:t>
      </w:r>
    </w:p>
    <w:p w:rsidR="00000000" w:rsidRDefault="00B7115A">
      <w:r>
        <w:tab/>
        <w:t xml:space="preserve">245.  </w:t>
      </w:r>
      <w:r>
        <w:rPr>
          <w:rFonts w:hint="eastAsia"/>
        </w:rPr>
        <w:t>目前具有国家和地方纪念地位的历史或文化遗址有</w:t>
      </w:r>
      <w:r>
        <w:t>2,754</w:t>
      </w:r>
      <w:r>
        <w:rPr>
          <w:rFonts w:hint="eastAsia"/>
        </w:rPr>
        <w:t>个：</w:t>
      </w:r>
    </w:p>
    <w:p w:rsidR="00000000" w:rsidRDefault="00B7115A">
      <w:pPr>
        <w:ind w:left="1036"/>
      </w:pPr>
      <w:r>
        <w:rPr>
          <w:rFonts w:hint="eastAsia"/>
        </w:rPr>
        <w:t>历史遗址</w:t>
      </w:r>
      <w:r>
        <w:t>654</w:t>
      </w:r>
      <w:r>
        <w:rPr>
          <w:rFonts w:hint="eastAsia"/>
        </w:rPr>
        <w:t>个；</w:t>
      </w:r>
    </w:p>
    <w:p w:rsidR="00000000" w:rsidRDefault="00B7115A">
      <w:pPr>
        <w:ind w:left="1036"/>
      </w:pPr>
      <w:r>
        <w:rPr>
          <w:rFonts w:hint="eastAsia"/>
        </w:rPr>
        <w:t>考古遗址</w:t>
      </w:r>
      <w:r>
        <w:t>1,292</w:t>
      </w:r>
      <w:r>
        <w:rPr>
          <w:rFonts w:hint="eastAsia"/>
        </w:rPr>
        <w:t>个；</w:t>
      </w:r>
    </w:p>
    <w:p w:rsidR="00000000" w:rsidRDefault="00B7115A">
      <w:pPr>
        <w:ind w:left="1036"/>
      </w:pPr>
      <w:r>
        <w:rPr>
          <w:rFonts w:hint="eastAsia"/>
        </w:rPr>
        <w:t>建筑遗址</w:t>
      </w:r>
      <w:r>
        <w:t>412</w:t>
      </w:r>
      <w:r>
        <w:rPr>
          <w:rFonts w:hint="eastAsia"/>
        </w:rPr>
        <w:t>个；</w:t>
      </w:r>
    </w:p>
    <w:p w:rsidR="00000000" w:rsidRDefault="00B7115A">
      <w:pPr>
        <w:ind w:left="1036"/>
      </w:pPr>
      <w:r>
        <w:rPr>
          <w:rFonts w:hint="eastAsia"/>
        </w:rPr>
        <w:t>艺术遗址</w:t>
      </w:r>
      <w:r>
        <w:t>396</w:t>
      </w:r>
      <w:r>
        <w:rPr>
          <w:rFonts w:hint="eastAsia"/>
        </w:rPr>
        <w:t>个。</w:t>
      </w:r>
    </w:p>
    <w:p w:rsidR="00000000" w:rsidRDefault="00B7115A">
      <w:r>
        <w:tab/>
        <w:t xml:space="preserve">246.  </w:t>
      </w:r>
      <w:r>
        <w:rPr>
          <w:rFonts w:hint="eastAsia"/>
        </w:rPr>
        <w:t>文化方面的主要目标是发展和培训艺术专业。近几年来，建立了三个新剧场、一个交响乐团、一个国家音乐学院、一个艺术馆和若干乐团和合唱团；比如比什凯克市剧院、通古奇剧院和楚河州青年乐团。</w:t>
      </w:r>
    </w:p>
    <w:p w:rsidR="00000000" w:rsidRDefault="00B7115A">
      <w:r>
        <w:tab/>
        <w:t>24</w:t>
      </w:r>
      <w:r>
        <w:t xml:space="preserve">7.  </w:t>
      </w:r>
      <w:r>
        <w:rPr>
          <w:rFonts w:hint="eastAsia"/>
        </w:rPr>
        <w:t>设立了广泛提供艺术教育和培训的学院网，以促进培养新的人才。目前在学习音乐方面有</w:t>
      </w:r>
      <w:r>
        <w:t>2</w:t>
      </w:r>
      <w:r>
        <w:rPr>
          <w:rFonts w:hint="eastAsia"/>
        </w:rPr>
        <w:t>所高等学校、</w:t>
      </w:r>
      <w:r>
        <w:t>8</w:t>
      </w:r>
      <w:r>
        <w:rPr>
          <w:rFonts w:hint="eastAsia"/>
        </w:rPr>
        <w:t>所中专和</w:t>
      </w:r>
      <w:r>
        <w:t>84</w:t>
      </w:r>
      <w:r>
        <w:rPr>
          <w:rFonts w:hint="eastAsia"/>
        </w:rPr>
        <w:t>所儿童学校，学生人数为</w:t>
      </w:r>
      <w:r>
        <w:t>17,000</w:t>
      </w:r>
      <w:r>
        <w:rPr>
          <w:rFonts w:hint="eastAsia"/>
        </w:rPr>
        <w:t>名，教师人数为</w:t>
      </w:r>
      <w:r>
        <w:t>2,125</w:t>
      </w:r>
      <w:r>
        <w:rPr>
          <w:rFonts w:hint="eastAsia"/>
        </w:rPr>
        <w:t>名。除了使用国家资源之外，还从其他来源积极地谋求资金从材料和技术方面加强这些学院。</w:t>
      </w:r>
      <w:r>
        <w:t>1996</w:t>
      </w:r>
      <w:r>
        <w:rPr>
          <w:rFonts w:hint="eastAsia"/>
        </w:rPr>
        <w:t>年，许多机构从吉尔吉斯斯坦索罗斯得到捐助。梅耶林国际基金和其他地方和外国的慈善基金会不断地提供物质和道义上的支持。</w:t>
      </w:r>
    </w:p>
    <w:p w:rsidR="00000000" w:rsidRDefault="00B7115A">
      <w:r>
        <w:tab/>
        <w:t xml:space="preserve">248.  </w:t>
      </w:r>
      <w:r>
        <w:rPr>
          <w:rFonts w:hint="eastAsia"/>
        </w:rPr>
        <w:t>和其他国家的文化联系也蓬勃发展。吉尔吉斯斯坦目前和远近</w:t>
      </w:r>
      <w:r>
        <w:t>60</w:t>
      </w:r>
      <w:r>
        <w:rPr>
          <w:rFonts w:hint="eastAsia"/>
        </w:rPr>
        <w:t>个国家在艺术和文化方面进行合作。</w:t>
      </w:r>
    </w:p>
    <w:p w:rsidR="00000000" w:rsidRDefault="00B7115A">
      <w:r>
        <w:tab/>
        <w:t xml:space="preserve">249.  </w:t>
      </w:r>
      <w:r>
        <w:rPr>
          <w:rFonts w:hint="eastAsia"/>
        </w:rPr>
        <w:t>和教科文组织、</w:t>
      </w:r>
      <w:r>
        <w:t>TYURKSOY</w:t>
      </w:r>
      <w:r>
        <w:rPr>
          <w:rFonts w:hint="eastAsia"/>
        </w:rPr>
        <w:t>、</w:t>
      </w:r>
      <w:r>
        <w:t>ECHO</w:t>
      </w:r>
      <w:r>
        <w:rPr>
          <w:rFonts w:hint="eastAsia"/>
        </w:rPr>
        <w:t>和索罗斯基金会等国际文化组织进行合作，加强和得到了具体的结果。和开发计划署进行合作，正在国家图书馆实施设立一个价值</w:t>
      </w:r>
      <w:r>
        <w:t>100,000</w:t>
      </w:r>
      <w:r>
        <w:rPr>
          <w:rFonts w:hint="eastAsia"/>
        </w:rPr>
        <w:t>美元的图书资料系统的项目。这个方案在丹麦专家的合作下进行。</w:t>
      </w:r>
    </w:p>
    <w:p w:rsidR="00000000" w:rsidRDefault="00B7115A">
      <w:r>
        <w:tab/>
        <w:t xml:space="preserve">250.  </w:t>
      </w:r>
      <w:r>
        <w:rPr>
          <w:rFonts w:hint="eastAsia"/>
        </w:rPr>
        <w:t>今年，在美国和吉尔吉斯律师协会的直接参与下，利用国际组织给予的捐款开设了一个法律图书馆。该中心配备最新的计算机技术。在教科文组织的援助下，得到了以</w:t>
      </w:r>
      <w:r>
        <w:t>30,000</w:t>
      </w:r>
      <w:r>
        <w:rPr>
          <w:rFonts w:hint="eastAsia"/>
        </w:rPr>
        <w:t>美元捐款形式的重大援助，用于执行资助、保存和恢复珍本书籍的方案。</w:t>
      </w:r>
    </w:p>
    <w:p w:rsidR="00000000" w:rsidRDefault="00B7115A">
      <w:r>
        <w:tab/>
        <w:t xml:space="preserve">251.  </w:t>
      </w:r>
      <w:r>
        <w:rPr>
          <w:rFonts w:hint="eastAsia"/>
        </w:rPr>
        <w:t>然而，出现了严重不利于国家和文化复兴的社会经济</w:t>
      </w:r>
      <w:r>
        <w:rPr>
          <w:rFonts w:hint="eastAsia"/>
        </w:rPr>
        <w:t>困难。出现了各种各样的问题：图书馆的读者人数下降，文化机构藏书、场所和设备日见恶化。在过去三年内，将近</w:t>
      </w:r>
      <w:r>
        <w:t>200</w:t>
      </w:r>
      <w:r>
        <w:rPr>
          <w:rFonts w:hint="eastAsia"/>
        </w:rPr>
        <w:t>所图书馆和</w:t>
      </w:r>
      <w:r>
        <w:t>100</w:t>
      </w:r>
      <w:r>
        <w:rPr>
          <w:rFonts w:hint="eastAsia"/>
        </w:rPr>
        <w:t>多个文化俱乐部在没有进行任何事先研究的情况下关闭。绝大多数削减情况发生在农村地区。</w:t>
      </w:r>
    </w:p>
    <w:p w:rsidR="00000000" w:rsidRDefault="00B7115A">
      <w:r>
        <w:tab/>
        <w:t xml:space="preserve">252.  </w:t>
      </w:r>
      <w:r>
        <w:rPr>
          <w:rFonts w:hint="eastAsia"/>
        </w:rPr>
        <w:t>总之，《文化法》规定至少</w:t>
      </w:r>
      <w:r>
        <w:t>3%</w:t>
      </w:r>
      <w:r>
        <w:rPr>
          <w:rFonts w:hint="eastAsia"/>
        </w:rPr>
        <w:t>的国家预算应用于文化，但国家给予的资金并没有达到《文化法》的要求。例如</w:t>
      </w:r>
      <w:r>
        <w:t>1994</w:t>
      </w:r>
      <w:r>
        <w:rPr>
          <w:rFonts w:hint="eastAsia"/>
        </w:rPr>
        <w:t>年，</w:t>
      </w:r>
      <w:r>
        <w:t>2,290</w:t>
      </w:r>
      <w:r>
        <w:rPr>
          <w:rFonts w:hint="eastAsia"/>
        </w:rPr>
        <w:t>亿索姆，即或者国家预算的</w:t>
      </w:r>
      <w:r>
        <w:t>1.5%</w:t>
      </w:r>
      <w:r>
        <w:rPr>
          <w:rFonts w:hint="eastAsia"/>
        </w:rPr>
        <w:t>用于文化。</w:t>
      </w:r>
      <w:r>
        <w:t>1995</w:t>
      </w:r>
      <w:r>
        <w:rPr>
          <w:rFonts w:hint="eastAsia"/>
        </w:rPr>
        <w:t>年是</w:t>
      </w:r>
      <w:r>
        <w:t>3,670</w:t>
      </w:r>
      <w:r>
        <w:rPr>
          <w:rFonts w:hint="eastAsia"/>
        </w:rPr>
        <w:t>亿索姆占国家预算的</w:t>
      </w:r>
      <w:r>
        <w:t>1.6%</w:t>
      </w:r>
      <w:r>
        <w:rPr>
          <w:rFonts w:hint="eastAsia"/>
        </w:rPr>
        <w:t>，</w:t>
      </w:r>
      <w:r>
        <w:t>1996</w:t>
      </w:r>
      <w:r>
        <w:rPr>
          <w:rFonts w:hint="eastAsia"/>
        </w:rPr>
        <w:t>年是</w:t>
      </w:r>
      <w:r>
        <w:t>2,850</w:t>
      </w:r>
      <w:r>
        <w:rPr>
          <w:rFonts w:hint="eastAsia"/>
        </w:rPr>
        <w:t>亿索姆，占国家预算的</w:t>
      </w:r>
      <w:r>
        <w:t>1.8%</w:t>
      </w:r>
      <w:r>
        <w:rPr>
          <w:rFonts w:hint="eastAsia"/>
        </w:rPr>
        <w:t>。</w:t>
      </w:r>
    </w:p>
    <w:p w:rsidR="00000000" w:rsidRDefault="00B7115A">
      <w:r>
        <w:tab/>
        <w:t>253.  1998</w:t>
      </w:r>
      <w:r>
        <w:rPr>
          <w:rFonts w:hint="eastAsia"/>
        </w:rPr>
        <w:t>年</w:t>
      </w:r>
      <w:r>
        <w:t>3</w:t>
      </w:r>
      <w:r>
        <w:rPr>
          <w:rFonts w:hint="eastAsia"/>
        </w:rPr>
        <w:t>月</w:t>
      </w:r>
      <w:r>
        <w:t>1</w:t>
      </w:r>
      <w:r>
        <w:rPr>
          <w:rFonts w:hint="eastAsia"/>
        </w:rPr>
        <w:t>日生效的《民法》第二部分对保护知识产权作了规定。该法的第</w:t>
      </w:r>
      <w:r>
        <w:t>5</w:t>
      </w:r>
      <w:r>
        <w:rPr>
          <w:rFonts w:hint="eastAsia"/>
        </w:rPr>
        <w:t>节标题是“知识产权”。根据</w:t>
      </w:r>
      <w:r>
        <w:t>1037</w:t>
      </w:r>
      <w:r>
        <w:rPr>
          <w:rFonts w:hint="eastAsia"/>
        </w:rPr>
        <w:t>条，确认以下诸项为知识产权：</w:t>
      </w:r>
    </w:p>
    <w:p w:rsidR="00000000" w:rsidRDefault="00B7115A" w:rsidP="00B7115A">
      <w:pPr>
        <w:pStyle w:val="a1"/>
        <w:numPr>
          <w:ilvl w:val="0"/>
          <w:numId w:val="3"/>
        </w:numPr>
      </w:pPr>
      <w:r>
        <w:rPr>
          <w:rFonts w:hint="eastAsia"/>
        </w:rPr>
        <w:t>脑力劳动的成果，如科学、文学或艺术作品；</w:t>
      </w:r>
      <w:r>
        <w:br/>
      </w:r>
      <w:r>
        <w:rPr>
          <w:rFonts w:hint="eastAsia"/>
        </w:rPr>
        <w:t>录音、广播节目的组织安排；</w:t>
      </w:r>
      <w:r>
        <w:br/>
      </w:r>
      <w:r>
        <w:rPr>
          <w:rFonts w:hint="eastAsia"/>
        </w:rPr>
        <w:t>计算机程序和数据库、集成电路；</w:t>
      </w:r>
      <w:r>
        <w:br/>
      </w:r>
      <w:r>
        <w:rPr>
          <w:rFonts w:hint="eastAsia"/>
        </w:rPr>
        <w:t>创新、模型、工业模型、经选择获得的生命体，未公布的信息，包括生产秘密</w:t>
      </w:r>
      <w:r>
        <w:t>(</w:t>
      </w:r>
      <w:r>
        <w:rPr>
          <w:rFonts w:hint="eastAsia"/>
        </w:rPr>
        <w:t>诀窍</w:t>
      </w:r>
      <w:r>
        <w:t>)</w:t>
      </w:r>
      <w:r>
        <w:rPr>
          <w:rFonts w:hint="eastAsia"/>
        </w:rPr>
        <w:t>。</w:t>
      </w:r>
    </w:p>
    <w:p w:rsidR="00000000" w:rsidRDefault="00B7115A" w:rsidP="00B7115A">
      <w:pPr>
        <w:pStyle w:val="a1"/>
        <w:numPr>
          <w:ilvl w:val="0"/>
          <w:numId w:val="3"/>
        </w:numPr>
      </w:pPr>
      <w:r>
        <w:rPr>
          <w:rFonts w:hint="eastAsia"/>
        </w:rPr>
        <w:t>国内成交各方的标识或商品、工作或服务、商品名称、商标</w:t>
      </w:r>
      <w:r>
        <w:t>(</w:t>
      </w:r>
      <w:r>
        <w:rPr>
          <w:rFonts w:hint="eastAsia"/>
        </w:rPr>
        <w:t>服务商标</w:t>
      </w:r>
      <w:r>
        <w:t>)</w:t>
      </w:r>
      <w:r>
        <w:rPr>
          <w:rFonts w:hint="eastAsia"/>
        </w:rPr>
        <w:t>的标识和产品出产地的名称。</w:t>
      </w:r>
    </w:p>
    <w:p w:rsidR="00000000" w:rsidRDefault="00B7115A" w:rsidP="00B7115A">
      <w:pPr>
        <w:pStyle w:val="a1"/>
        <w:numPr>
          <w:ilvl w:val="0"/>
          <w:numId w:val="3"/>
        </w:numPr>
      </w:pPr>
      <w:r>
        <w:rPr>
          <w:rFonts w:hint="eastAsia"/>
        </w:rPr>
        <w:t>由法律规定的其他脑力劳动成果和国内成交各方的标识或商品、工作或服务的标识。</w:t>
      </w:r>
    </w:p>
    <w:p w:rsidR="00000000" w:rsidRDefault="00B7115A">
      <w:r>
        <w:tab/>
        <w:t xml:space="preserve">254.  </w:t>
      </w:r>
      <w:r>
        <w:rPr>
          <w:rFonts w:hint="eastAsia"/>
        </w:rPr>
        <w:t>《版权和有关权利法》</w:t>
      </w:r>
      <w:r>
        <w:rPr>
          <w:rFonts w:hint="eastAsia"/>
        </w:rPr>
        <w:t>规定了因创造和使用科学、文化或艺术作品、录音、演出、制作和通过电台和有线节目广播所引起的各种关系。该条规定通过创造性活动产生的科学、文化或艺术作品是版权，而不论其目的、艺术价值或表达方式</w:t>
      </w:r>
      <w:r>
        <w:t>(</w:t>
      </w:r>
      <w:r>
        <w:rPr>
          <w:rFonts w:hint="eastAsia"/>
        </w:rPr>
        <w:t>第</w:t>
      </w:r>
      <w:r>
        <w:t>6</w:t>
      </w:r>
      <w:r>
        <w:rPr>
          <w:rFonts w:hint="eastAsia"/>
        </w:rPr>
        <w:t>条，第</w:t>
      </w:r>
      <w:r>
        <w:t>1</w:t>
      </w:r>
      <w:r>
        <w:rPr>
          <w:rFonts w:hint="eastAsia"/>
        </w:rPr>
        <w:t>款</w:t>
      </w:r>
      <w:r>
        <w:t>)</w:t>
      </w:r>
      <w:r>
        <w:rPr>
          <w:rFonts w:hint="eastAsia"/>
        </w:rPr>
        <w:t>。作家有权在其作品方面遵循所有权以外的个人权利</w:t>
      </w:r>
      <w:r>
        <w:t>(</w:t>
      </w:r>
      <w:r>
        <w:rPr>
          <w:rFonts w:hint="eastAsia"/>
        </w:rPr>
        <w:t>第</w:t>
      </w:r>
      <w:r>
        <w:t>15</w:t>
      </w:r>
      <w:r>
        <w:rPr>
          <w:rFonts w:hint="eastAsia"/>
        </w:rPr>
        <w:t>条第</w:t>
      </w:r>
      <w:r>
        <w:t>1</w:t>
      </w:r>
      <w:r>
        <w:rPr>
          <w:rFonts w:hint="eastAsia"/>
        </w:rPr>
        <w:t>款</w:t>
      </w:r>
      <w:r>
        <w:t>)</w:t>
      </w:r>
      <w:r>
        <w:rPr>
          <w:rFonts w:hint="eastAsia"/>
        </w:rPr>
        <w:t>：</w:t>
      </w:r>
    </w:p>
    <w:p w:rsidR="00000000" w:rsidRDefault="00B7115A">
      <w:pPr>
        <w:ind w:left="1036"/>
      </w:pPr>
      <w:r>
        <w:rPr>
          <w:rFonts w:hint="eastAsia"/>
        </w:rPr>
        <w:t>著作权；</w:t>
      </w:r>
    </w:p>
    <w:p w:rsidR="00000000" w:rsidRDefault="00B7115A">
      <w:pPr>
        <w:ind w:left="1036"/>
      </w:pPr>
      <w:r>
        <w:rPr>
          <w:rFonts w:hint="eastAsia"/>
        </w:rPr>
        <w:t>署名权；</w:t>
      </w:r>
    </w:p>
    <w:p w:rsidR="00000000" w:rsidRDefault="00B7115A">
      <w:pPr>
        <w:ind w:left="1036"/>
      </w:pPr>
      <w:r>
        <w:rPr>
          <w:rFonts w:hint="eastAsia"/>
        </w:rPr>
        <w:t>出版权；</w:t>
      </w:r>
    </w:p>
    <w:p w:rsidR="00000000" w:rsidRDefault="00B7115A">
      <w:pPr>
        <w:ind w:left="1036"/>
      </w:pPr>
      <w:r>
        <w:rPr>
          <w:rFonts w:hint="eastAsia"/>
        </w:rPr>
        <w:t>保护作者名誉权。</w:t>
      </w:r>
    </w:p>
    <w:p w:rsidR="00000000" w:rsidRDefault="00B7115A">
      <w:r>
        <w:rPr>
          <w:rFonts w:hint="eastAsia"/>
        </w:rPr>
        <w:t>作者有任何形式和任何方式使用其作品的绝对权利</w:t>
      </w:r>
      <w:r>
        <w:t>(</w:t>
      </w:r>
      <w:r>
        <w:rPr>
          <w:rFonts w:hint="eastAsia"/>
        </w:rPr>
        <w:t>第</w:t>
      </w:r>
      <w:r>
        <w:t>16</w:t>
      </w:r>
      <w:r>
        <w:rPr>
          <w:rFonts w:hint="eastAsia"/>
        </w:rPr>
        <w:t>条，第</w:t>
      </w:r>
      <w:r>
        <w:t>1</w:t>
      </w:r>
      <w:r>
        <w:rPr>
          <w:rFonts w:hint="eastAsia"/>
        </w:rPr>
        <w:t>款</w:t>
      </w:r>
      <w:r>
        <w:t>)</w:t>
      </w:r>
      <w:r>
        <w:rPr>
          <w:rFonts w:hint="eastAsia"/>
        </w:rPr>
        <w:t>。侵犯该法所规定的版权或有关权利将根据吉尔吉斯斯坦的立法承担民事、刑事和行政责任</w:t>
      </w:r>
      <w:r>
        <w:t>(</w:t>
      </w:r>
      <w:r>
        <w:rPr>
          <w:rFonts w:hint="eastAsia"/>
        </w:rPr>
        <w:t>第</w:t>
      </w:r>
      <w:r>
        <w:t>48</w:t>
      </w:r>
      <w:r>
        <w:rPr>
          <w:rFonts w:hint="eastAsia"/>
        </w:rPr>
        <w:t>条</w:t>
      </w:r>
      <w:r>
        <w:t>)</w:t>
      </w:r>
      <w:r>
        <w:rPr>
          <w:rFonts w:hint="eastAsia"/>
        </w:rPr>
        <w:t>。</w:t>
      </w:r>
    </w:p>
    <w:p w:rsidR="00000000" w:rsidRDefault="00B7115A">
      <w:r>
        <w:tab/>
        <w:t xml:space="preserve">255.  </w:t>
      </w:r>
      <w:r>
        <w:rPr>
          <w:rFonts w:hint="eastAsia"/>
        </w:rPr>
        <w:t>《科学和国家科学和</w:t>
      </w:r>
      <w:r>
        <w:rPr>
          <w:rFonts w:hint="eastAsia"/>
        </w:rPr>
        <w:t>技术法政策基本原则》保障科学研究自由。该法规定研究人员有权自由开展工作并保护其成果。根据该法，国家支持国际科学和技术合作，为其创造法律和经济条件，并且促进和国际科学协会在自由平等基础上进行的科学技术活动，但不得违反国家法律。</w:t>
      </w:r>
    </w:p>
    <w:p w:rsidR="00000000" w:rsidRDefault="00B7115A">
      <w:r>
        <w:tab/>
        <w:t xml:space="preserve">256.  </w:t>
      </w:r>
      <w:r>
        <w:rPr>
          <w:rFonts w:hint="eastAsia"/>
        </w:rPr>
        <w:t>目前吉尔吉斯斯坦的研究人员积极地参加欧洲联盟的各个方案，如</w:t>
      </w:r>
      <w:r>
        <w:t>INTAS</w:t>
      </w:r>
      <w:r>
        <w:rPr>
          <w:rFonts w:hint="eastAsia"/>
        </w:rPr>
        <w:t>、</w:t>
      </w:r>
      <w:r>
        <w:t>INCO-COPERNICUS</w:t>
      </w:r>
      <w:r>
        <w:rPr>
          <w:rFonts w:hint="eastAsia"/>
        </w:rPr>
        <w:t>、</w:t>
      </w:r>
      <w:r>
        <w:t>LIEN</w:t>
      </w:r>
      <w:r>
        <w:rPr>
          <w:rFonts w:hint="eastAsia"/>
        </w:rPr>
        <w:t>、</w:t>
      </w:r>
      <w:r>
        <w:t>COST</w:t>
      </w:r>
      <w:r>
        <w:rPr>
          <w:rFonts w:hint="eastAsia"/>
        </w:rPr>
        <w:t>和人道主义的方案，积极参加美国民间研究基金、北欧等组织的方案。吉尔吉斯斯坦的研究人员被作为专家邀请参加评估国际方案内的科学项目。</w:t>
      </w:r>
    </w:p>
    <w:p w:rsidR="00000000" w:rsidRDefault="00B7115A">
      <w:pPr>
        <w:spacing w:after="320"/>
        <w:textAlignment w:val="center"/>
      </w:pPr>
      <w:r>
        <w:tab/>
        <w:t xml:space="preserve">257.  </w:t>
      </w:r>
      <w:r>
        <w:rPr>
          <w:rFonts w:hint="eastAsia"/>
        </w:rPr>
        <w:t>吉尔吉斯</w:t>
      </w:r>
      <w:r>
        <w:rPr>
          <w:rFonts w:hint="eastAsia"/>
        </w:rPr>
        <w:t>斯坦政府积极和国际科学界建立工作关系。已经制定了一项实施吉尔吉斯斯坦和欧洲联盟签署的条约、协定和谅解备忘录的方案。将在首相一级开展这项工作，有关这项工作的报告将提交给总统。该项工作结果将通过媒体告知公众。</w:t>
      </w:r>
    </w:p>
    <w:p w:rsidR="00000000" w:rsidRDefault="00B7115A">
      <w:pPr>
        <w:pStyle w:val="Heading4"/>
      </w:pPr>
      <w:r>
        <w:rPr>
          <w:rFonts w:hint="eastAsia"/>
        </w:rPr>
        <w:t>传播科学进步信息的措施</w:t>
      </w:r>
    </w:p>
    <w:p w:rsidR="00000000" w:rsidRDefault="00B7115A">
      <w:r>
        <w:tab/>
        <w:t xml:space="preserve">258.  </w:t>
      </w:r>
      <w:r>
        <w:rPr>
          <w:rFonts w:hint="eastAsia"/>
        </w:rPr>
        <w:t>信息活动是国家科学技术政策的一个组成部分，其目的是确保在吉尔吉斯斯坦和其他地方的科学技术进展信息能够使整个社会的所有成员受益。有关科学技术信息的立法包括《科学和国家科学技术法政策基本原则》、《科学技术信息系统法》和其他经国家批准的文献、国际条约、协定和国际法规则。</w:t>
      </w:r>
    </w:p>
    <w:p w:rsidR="00000000" w:rsidRDefault="00B7115A">
      <w:r>
        <w:tab/>
      </w:r>
      <w:r>
        <w:t xml:space="preserve">259.  </w:t>
      </w:r>
      <w:r>
        <w:rPr>
          <w:rFonts w:hint="eastAsia"/>
        </w:rPr>
        <w:t>《科学技术信息制度法》规定所有公民和所有法人不论如何获得信息，都有同等的权利公开科学和技术信息和享有信息产品和服务。</w:t>
      </w:r>
    </w:p>
    <w:p w:rsidR="00000000" w:rsidRDefault="00B7115A">
      <w:r>
        <w:tab/>
        <w:t xml:space="preserve">260.  </w:t>
      </w:r>
      <w:r>
        <w:rPr>
          <w:rFonts w:hint="eastAsia"/>
        </w:rPr>
        <w:t>促进保护、发展和散布科学和文化成果的重要因素之一是国家图书网络。有关图书馆的国家政策的目的在于创造条件，使大家能够享有图书馆收藏的信息和文化宝藏。图书馆的发展工作已经纳入有关的国家计划。</w:t>
      </w:r>
    </w:p>
    <w:p w:rsidR="00000000" w:rsidRDefault="00B7115A">
      <w:r>
        <w:tab/>
        <w:t xml:space="preserve">261.  </w:t>
      </w:r>
      <w:r>
        <w:rPr>
          <w:rFonts w:hint="eastAsia"/>
        </w:rPr>
        <w:t>已经根据《文化法》起草了一个关于图书馆的法律草案。根据该法，所有公民有权不受歧视地在吉尔吉斯斯坦享受图书馆服务</w:t>
      </w:r>
      <w:r>
        <w:t>(</w:t>
      </w:r>
      <w:r>
        <w:rPr>
          <w:rFonts w:hint="eastAsia"/>
        </w:rPr>
        <w:t>第</w:t>
      </w:r>
      <w:r>
        <w:t>5</w:t>
      </w:r>
      <w:r>
        <w:rPr>
          <w:rFonts w:hint="eastAsia"/>
        </w:rPr>
        <w:t>条，第</w:t>
      </w:r>
      <w:r>
        <w:t>1</w:t>
      </w:r>
      <w:r>
        <w:rPr>
          <w:rFonts w:hint="eastAsia"/>
        </w:rPr>
        <w:t>款</w:t>
      </w:r>
      <w:r>
        <w:t>)</w:t>
      </w:r>
      <w:r>
        <w:rPr>
          <w:rFonts w:hint="eastAsia"/>
        </w:rPr>
        <w:t>。但是，仍然有一系列的问题需要解决。许</w:t>
      </w:r>
      <w:r>
        <w:rPr>
          <w:rFonts w:hint="eastAsia"/>
        </w:rPr>
        <w:t>多图书馆座落在不合适的场所，其中一些急需维修。在过去四年内，图书资料的采购和读者人数都有所下降。</w:t>
      </w:r>
    </w:p>
    <w:p w:rsidR="00000000" w:rsidRDefault="00B7115A"/>
    <w:p w:rsidR="00000000" w:rsidRDefault="00B7115A"/>
    <w:p w:rsidR="00000000" w:rsidRDefault="00B7115A"/>
    <w:p w:rsidR="00000000" w:rsidRDefault="00B7115A"/>
    <w:p w:rsidR="00000000" w:rsidRDefault="00B7115A">
      <w:pPr>
        <w:jc w:val="center"/>
      </w:pPr>
      <w:r>
        <w:t>--  --  --  --  --</w:t>
      </w:r>
    </w:p>
    <w:p w:rsidR="00000000" w:rsidRDefault="00B7115A"/>
    <w:p w:rsidR="00000000" w:rsidRDefault="00B7115A">
      <w:pPr>
        <w:tabs>
          <w:tab w:val="clear" w:pos="510"/>
          <w:tab w:val="clear" w:pos="1021"/>
          <w:tab w:val="clear" w:pos="1531"/>
          <w:tab w:val="clear" w:pos="2041"/>
        </w:tabs>
      </w:pPr>
    </w:p>
    <w:p w:rsidR="00000000" w:rsidRDefault="00B7115A"/>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115A">
      <w:pPr>
        <w:keepNext/>
        <w:spacing w:before="320" w:after="240"/>
        <w:jc w:val="center"/>
      </w:pPr>
      <w:r>
        <w:rPr>
          <w:rFonts w:hint="eastAsia"/>
          <w:u w:val="single"/>
        </w:rPr>
        <w:t>注</w:t>
      </w:r>
    </w:p>
  </w:endnote>
  <w:endnote w:type="continuationSeparator" w:id="0">
    <w:p w:rsidR="00000000" w:rsidRDefault="00B7115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15A">
    <w:pPr>
      <w:pStyle w:val="Footer"/>
      <w:rPr>
        <w:rFonts w:ascii="Courier" w:hAnsi="Courier"/>
      </w:rPr>
    </w:pPr>
    <w:r>
      <w:rPr>
        <w:rFonts w:ascii="Courier" w:hAnsi="Courier"/>
      </w:rPr>
      <w:t>GE. 99-40709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115A">
      <w:pPr>
        <w:spacing w:line="240" w:lineRule="auto"/>
      </w:pPr>
      <w:r>
        <w:separator/>
      </w:r>
    </w:p>
  </w:footnote>
  <w:footnote w:type="continuationSeparator" w:id="0">
    <w:p w:rsidR="00000000" w:rsidRDefault="00B7115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15A">
    <w:pPr>
      <w:pStyle w:val="1R2"/>
      <w:framePr w:w="0" w:hRule="auto" w:hSpace="0" w:wrap="auto" w:vAnchor="margin" w:hAnchor="text" w:xAlign="left" w:yAlign="inline"/>
    </w:pPr>
    <w:r>
      <w:t>E/1990/5/Add.42</w:t>
    </w:r>
  </w:p>
  <w:p w:rsidR="00000000" w:rsidRDefault="00B7115A">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15A">
    <w:pPr>
      <w:pStyle w:val="1R2"/>
      <w:framePr w:w="0" w:hRule="auto" w:hSpace="0" w:wrap="auto" w:vAnchor="margin" w:hAnchor="text" w:xAlign="left" w:yAlign="inline"/>
    </w:pPr>
    <w:r>
      <w:tab/>
    </w:r>
    <w:r>
      <w:tab/>
    </w:r>
    <w:r>
      <w:tab/>
    </w:r>
    <w:r>
      <w:tab/>
      <w:t>E/1990/5/Add.42</w:t>
    </w:r>
  </w:p>
  <w:p w:rsidR="00000000" w:rsidRDefault="00B7115A">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15A">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B7115A">
                <w:pPr>
                  <w:pStyle w:val="1R1"/>
                  <w:rPr>
                    <w:rFonts w:ascii="Univers Bold" w:hAnsi="Univers Bold"/>
                  </w:rPr>
                </w:pPr>
                <w:r>
                  <w:t>E</w:t>
                </w:r>
              </w:p>
            </w:txbxContent>
          </v:textbox>
          <w10:wrap anchorx="page" anchory="page"/>
        </v:rect>
      </w:pict>
    </w:r>
  </w:p>
  <w:p w:rsidR="00000000" w:rsidRDefault="00B7115A">
    <w:pPr>
      <w:pStyle w:val="a"/>
      <w:spacing w:after="160"/>
    </w:pPr>
    <w:r>
      <w:fldChar w:fldCharType="begin"/>
    </w:r>
    <w:r>
      <w:instrText xml:space="preserve">PRIVATE </w:instrText>
    </w:r>
    <w:r>
      <w:fldChar w:fldCharType="end"/>
    </w:r>
  </w:p>
  <w:p w:rsidR="00000000" w:rsidRDefault="00B7115A">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B7115A">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B7115A">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B7115A">
    <w:pPr>
      <w:pStyle w:val="1R2"/>
      <w:framePr w:wrap="around"/>
    </w:pPr>
    <w:r>
      <w:t>Distr.</w:t>
    </w:r>
  </w:p>
  <w:p w:rsidR="00000000" w:rsidRDefault="00B7115A">
    <w:pPr>
      <w:pStyle w:val="1R2"/>
      <w:framePr w:wrap="around"/>
    </w:pPr>
    <w:r>
      <w:t>GENERAL</w:t>
    </w:r>
  </w:p>
  <w:p w:rsidR="00000000" w:rsidRDefault="00B7115A">
    <w:pPr>
      <w:pStyle w:val="1R2"/>
      <w:framePr w:wrap="around"/>
    </w:pPr>
  </w:p>
  <w:p w:rsidR="00000000" w:rsidRDefault="00B7115A">
    <w:pPr>
      <w:pStyle w:val="1R2"/>
      <w:framePr w:wrap="around"/>
    </w:pPr>
    <w:r>
      <w:t>E/1990/5/Add.42</w:t>
    </w:r>
  </w:p>
  <w:p w:rsidR="00000000" w:rsidRDefault="00B7115A">
    <w:pPr>
      <w:pStyle w:val="1R2"/>
      <w:framePr w:wrap="around"/>
    </w:pPr>
    <w:r>
      <w:t>26 February 1999</w:t>
    </w:r>
  </w:p>
  <w:p w:rsidR="00000000" w:rsidRDefault="00B7115A">
    <w:pPr>
      <w:pStyle w:val="1R2"/>
      <w:framePr w:wrap="around"/>
    </w:pPr>
    <w:r>
      <w:t>CHINESE</w:t>
    </w:r>
  </w:p>
  <w:p w:rsidR="00000000" w:rsidRDefault="00B7115A">
    <w:pPr>
      <w:pStyle w:val="1R2"/>
      <w:framePr w:wrap="around"/>
    </w:pPr>
    <w:r>
      <w:t>Original:</w:t>
    </w:r>
    <w:r>
      <w:tab/>
      <w:t>ENGLISH</w:t>
    </w:r>
  </w:p>
  <w:p w:rsidR="00000000" w:rsidRDefault="00B7115A">
    <w:pPr>
      <w:pStyle w:val="a"/>
    </w:pPr>
  </w:p>
  <w:p w:rsidR="00000000" w:rsidRDefault="00B7115A">
    <w:pPr>
      <w:pStyle w:val="a"/>
    </w:pPr>
  </w:p>
  <w:p w:rsidR="00000000" w:rsidRDefault="00B7115A">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B7115A">
                <w:pPr>
                  <w:pStyle w:val="1m1"/>
                </w:pPr>
                <w:r>
                  <w:rPr>
                    <w:rFonts w:hint="eastAsia"/>
                  </w:rPr>
                  <w:t>经济及社会理事会</w:t>
                </w:r>
              </w:p>
            </w:txbxContent>
          </v:textbox>
          <w10:wrap anchorx="page" anchory="page"/>
        </v:rect>
      </w:pict>
    </w:r>
  </w:p>
  <w:p w:rsidR="00000000" w:rsidRDefault="00B7115A">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B7115A">
    <w:pPr>
      <w:pStyle w:val="a"/>
    </w:pPr>
  </w:p>
  <w:p w:rsidR="00000000" w:rsidRDefault="00B7115A">
    <w:pPr>
      <w:pStyle w:val="a"/>
    </w:pPr>
  </w:p>
  <w:p w:rsidR="00000000" w:rsidRDefault="00B7115A">
    <w:pPr>
      <w:pStyle w:val="a"/>
    </w:pPr>
    <w:r>
      <w:fldChar w:fldCharType="begin"/>
    </w:r>
    <w:r>
      <w:instrText>ADVANCE \Y 252.30</w:instrText>
    </w:r>
    <w:r>
      <w:fldChar w:fldCharType="end"/>
    </w:r>
  </w:p>
  <w:p w:rsidR="00000000" w:rsidRDefault="00B7115A">
    <w:pPr>
      <w:pStyle w:val="a"/>
    </w:pPr>
  </w:p>
  <w:p w:rsidR="00000000" w:rsidRDefault="00B7115A">
    <w:pPr>
      <w:pStyle w:val="a"/>
    </w:pPr>
  </w:p>
  <w:p w:rsidR="00000000" w:rsidRDefault="00B7115A">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D07"/>
    <w:multiLevelType w:val="singleLevel"/>
    <w:tmpl w:val="FFFFFFFF"/>
    <w:lvl w:ilvl="0">
      <w:start w:val="1"/>
      <w:numFmt w:val="lowerLetter"/>
      <w:lvlText w:val="(%1)"/>
      <w:legacy w:legacy="1" w:legacySpace="0" w:legacyIndent="425"/>
      <w:lvlJc w:val="left"/>
      <w:pPr>
        <w:ind w:left="1446" w:hanging="425"/>
      </w:pPr>
    </w:lvl>
  </w:abstractNum>
  <w:abstractNum w:abstractNumId="1">
    <w:nsid w:val="69DC5A8B"/>
    <w:multiLevelType w:val="singleLevel"/>
    <w:tmpl w:val="FFFFFFFF"/>
    <w:lvl w:ilvl="0">
      <w:start w:val="1"/>
      <w:numFmt w:val="chineseCountingThousand"/>
      <w:lvlText w:val="(%1)"/>
      <w:legacy w:legacy="1" w:legacySpace="0" w:legacyIndent="510"/>
      <w:lvlJc w:val="left"/>
      <w:pPr>
        <w:ind w:left="1531" w:hanging="510"/>
      </w:pPr>
    </w:lvl>
  </w:abstractNum>
  <w:abstractNum w:abstractNumId="2">
    <w:nsid w:val="6B265209"/>
    <w:multiLevelType w:val="singleLevel"/>
    <w:tmpl w:val="FFFFFFFF"/>
    <w:lvl w:ilvl="0">
      <w:start w:val="1"/>
      <w:numFmt w:val="chineseCountingThousand"/>
      <w:lvlText w:val="(%1)"/>
      <w:legacy w:legacy="1" w:legacySpace="0" w:legacyIndent="510"/>
      <w:lvlJc w:val="left"/>
      <w:pPr>
        <w:ind w:left="1531" w:hanging="51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15A"/>
    <w:rsid w:val="00B711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218</TotalTime>
  <Pages>54</Pages>
  <Words>31719</Words>
  <Characters>38176</Characters>
  <Application>Microsoft Office Word</Application>
  <DocSecurity>4</DocSecurity>
  <Lines>2270</Lines>
  <Paragraphs>1471</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FUX</dc:creator>
  <cp:keywords/>
  <cp:lastModifiedBy>WUF</cp:lastModifiedBy>
  <cp:revision>103</cp:revision>
  <cp:lastPrinted>1999-06-08T08:07:00Z</cp:lastPrinted>
  <dcterms:created xsi:type="dcterms:W3CDTF">1999-06-07T11:41:00Z</dcterms:created>
  <dcterms:modified xsi:type="dcterms:W3CDTF">1999-07-12T09:49:00Z</dcterms:modified>
</cp:coreProperties>
</file>