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A589F69" w14:textId="77777777" w:rsidTr="009D5F1A">
        <w:trPr>
          <w:trHeight w:hRule="exact" w:val="851"/>
        </w:trPr>
        <w:tc>
          <w:tcPr>
            <w:tcW w:w="1276" w:type="dxa"/>
            <w:tcBorders>
              <w:bottom w:val="single" w:sz="4" w:space="0" w:color="auto"/>
            </w:tcBorders>
          </w:tcPr>
          <w:p w14:paraId="6A29FE86" w14:textId="77777777" w:rsidR="00DC0149" w:rsidRPr="00DB58B5" w:rsidRDefault="00DC0149" w:rsidP="00A1760E"/>
        </w:tc>
        <w:tc>
          <w:tcPr>
            <w:tcW w:w="2268" w:type="dxa"/>
            <w:tcBorders>
              <w:bottom w:val="single" w:sz="4" w:space="0" w:color="auto"/>
            </w:tcBorders>
            <w:vAlign w:val="bottom"/>
          </w:tcPr>
          <w:p w14:paraId="68165A2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8CA311" w14:textId="0F1C8D14" w:rsidR="00DC0149" w:rsidRPr="00DB58B5" w:rsidRDefault="00A1760E" w:rsidP="00A1760E">
            <w:pPr>
              <w:jc w:val="right"/>
            </w:pPr>
            <w:r w:rsidRPr="00A1760E">
              <w:rPr>
                <w:sz w:val="40"/>
              </w:rPr>
              <w:t>CERD</w:t>
            </w:r>
            <w:r>
              <w:t>/C/SVK/Q/13</w:t>
            </w:r>
          </w:p>
        </w:tc>
      </w:tr>
      <w:tr w:rsidR="00DC0149" w:rsidRPr="00DB58B5" w14:paraId="5D00DA8D" w14:textId="77777777" w:rsidTr="009D5F1A">
        <w:trPr>
          <w:trHeight w:hRule="exact" w:val="2835"/>
        </w:trPr>
        <w:tc>
          <w:tcPr>
            <w:tcW w:w="1276" w:type="dxa"/>
            <w:tcBorders>
              <w:top w:val="single" w:sz="4" w:space="0" w:color="auto"/>
              <w:bottom w:val="single" w:sz="12" w:space="0" w:color="auto"/>
            </w:tcBorders>
          </w:tcPr>
          <w:p w14:paraId="34E86FFD" w14:textId="77777777" w:rsidR="00DC0149" w:rsidRPr="00DB58B5" w:rsidRDefault="00DC0149" w:rsidP="009D5F1A">
            <w:pPr>
              <w:spacing w:before="120"/>
              <w:jc w:val="center"/>
            </w:pPr>
            <w:r>
              <w:rPr>
                <w:noProof/>
                <w:lang w:eastAsia="fr-CH"/>
              </w:rPr>
              <w:drawing>
                <wp:inline distT="0" distB="0" distL="0" distR="0" wp14:anchorId="42B1D7FA" wp14:editId="3BB76D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1D05AA" w14:textId="11B26787" w:rsidR="00DC0149" w:rsidRPr="00740562" w:rsidRDefault="00DC0149" w:rsidP="009D5F1A">
            <w:pPr>
              <w:spacing w:before="120" w:line="380" w:lineRule="exact"/>
              <w:rPr>
                <w:b/>
                <w:sz w:val="40"/>
                <w:szCs w:val="40"/>
              </w:rPr>
            </w:pPr>
            <w:r>
              <w:rPr>
                <w:b/>
                <w:sz w:val="34"/>
                <w:szCs w:val="34"/>
              </w:rPr>
              <w:t>Convention internationale sur</w:t>
            </w:r>
            <w:r w:rsidR="00A1760E">
              <w:rPr>
                <w:b/>
                <w:sz w:val="34"/>
                <w:szCs w:val="34"/>
              </w:rPr>
              <w:t xml:space="preserve"> </w:t>
            </w:r>
            <w:r>
              <w:rPr>
                <w:b/>
                <w:sz w:val="34"/>
                <w:szCs w:val="34"/>
              </w:rPr>
              <w:br/>
              <w:t>l’élimination de toutes les formes</w:t>
            </w:r>
            <w:r w:rsidR="00A1760E">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2FD504AC" w14:textId="77777777" w:rsidR="00DC0149" w:rsidRDefault="00A1760E" w:rsidP="009D5F1A">
            <w:pPr>
              <w:spacing w:before="240"/>
            </w:pPr>
            <w:r>
              <w:t>Distr. générale</w:t>
            </w:r>
          </w:p>
          <w:p w14:paraId="7FE4FF0A" w14:textId="265E8C25" w:rsidR="00A1760E" w:rsidRDefault="00A1760E" w:rsidP="00A1760E">
            <w:pPr>
              <w:spacing w:line="240" w:lineRule="exact"/>
            </w:pPr>
            <w:r>
              <w:t>23 juin 2022</w:t>
            </w:r>
          </w:p>
          <w:p w14:paraId="33E4FE3F" w14:textId="77777777" w:rsidR="00A1760E" w:rsidRDefault="00A1760E" w:rsidP="00A1760E">
            <w:pPr>
              <w:spacing w:line="240" w:lineRule="exact"/>
            </w:pPr>
            <w:r>
              <w:t>Français</w:t>
            </w:r>
          </w:p>
          <w:p w14:paraId="76BCDB0E" w14:textId="77777777" w:rsidR="00A1760E" w:rsidRDefault="00A1760E" w:rsidP="00A1760E">
            <w:pPr>
              <w:spacing w:line="240" w:lineRule="exact"/>
            </w:pPr>
            <w:r>
              <w:t>Original : anglais</w:t>
            </w:r>
          </w:p>
          <w:p w14:paraId="786F32E8" w14:textId="1F90E225" w:rsidR="00A1760E" w:rsidRPr="00DB58B5" w:rsidRDefault="00A1760E" w:rsidP="00A1760E">
            <w:pPr>
              <w:spacing w:line="240" w:lineRule="exact"/>
            </w:pPr>
            <w:r>
              <w:t>Anglais, espagnol et français seulement</w:t>
            </w:r>
          </w:p>
        </w:tc>
      </w:tr>
    </w:tbl>
    <w:p w14:paraId="04CD3F33" w14:textId="77777777" w:rsidR="00623CA8" w:rsidRDefault="00623CA8" w:rsidP="00623CA8">
      <w:pPr>
        <w:spacing w:before="120"/>
        <w:rPr>
          <w:b/>
          <w:sz w:val="24"/>
          <w:szCs w:val="24"/>
        </w:rPr>
      </w:pPr>
      <w:r w:rsidRPr="00C56102">
        <w:rPr>
          <w:b/>
          <w:sz w:val="24"/>
          <w:szCs w:val="24"/>
        </w:rPr>
        <w:t>Comité pour l’élimination de la discrimination raciale</w:t>
      </w:r>
    </w:p>
    <w:p w14:paraId="560CE65D" w14:textId="01FE963D" w:rsidR="00A1760E" w:rsidRPr="004161F8" w:rsidRDefault="00A1760E" w:rsidP="00A1760E">
      <w:pPr>
        <w:rPr>
          <w:b/>
          <w:bCs/>
          <w:lang w:val="fr-FR"/>
        </w:rPr>
      </w:pPr>
      <w:r>
        <w:rPr>
          <w:b/>
          <w:bCs/>
          <w:lang w:val="fr-FR"/>
        </w:rPr>
        <w:t>107</w:t>
      </w:r>
      <w:r w:rsidRPr="00A1760E">
        <w:rPr>
          <w:b/>
          <w:bCs/>
          <w:vertAlign w:val="superscript"/>
          <w:lang w:val="fr-FR"/>
        </w:rPr>
        <w:t>e</w:t>
      </w:r>
      <w:r>
        <w:rPr>
          <w:b/>
          <w:bCs/>
          <w:lang w:val="fr-FR"/>
        </w:rPr>
        <w:t> </w:t>
      </w:r>
      <w:r>
        <w:rPr>
          <w:b/>
          <w:bCs/>
          <w:lang w:val="fr-FR"/>
        </w:rPr>
        <w:t>session</w:t>
      </w:r>
    </w:p>
    <w:p w14:paraId="47EE56F3" w14:textId="75CFDD5A" w:rsidR="00A1760E" w:rsidRPr="004161F8" w:rsidRDefault="00A1760E" w:rsidP="00A1760E">
      <w:pPr>
        <w:rPr>
          <w:lang w:val="fr-FR"/>
        </w:rPr>
      </w:pPr>
      <w:r>
        <w:rPr>
          <w:lang w:val="fr-FR"/>
        </w:rPr>
        <w:t>8-30</w:t>
      </w:r>
      <w:r>
        <w:rPr>
          <w:lang w:val="fr-FR"/>
        </w:rPr>
        <w:t> </w:t>
      </w:r>
      <w:r>
        <w:rPr>
          <w:lang w:val="fr-FR"/>
        </w:rPr>
        <w:t>août 2022</w:t>
      </w:r>
    </w:p>
    <w:p w14:paraId="1D8A87F7" w14:textId="375DEAB9" w:rsidR="00A1760E" w:rsidRPr="004161F8" w:rsidRDefault="00A1760E" w:rsidP="00A1760E">
      <w:pPr>
        <w:rPr>
          <w:lang w:val="fr-FR"/>
        </w:rPr>
      </w:pPr>
      <w:r>
        <w:rPr>
          <w:lang w:val="fr-FR"/>
        </w:rPr>
        <w:t>Point</w:t>
      </w:r>
      <w:r>
        <w:rPr>
          <w:lang w:val="fr-FR"/>
        </w:rPr>
        <w:t> </w:t>
      </w:r>
      <w:r>
        <w:rPr>
          <w:lang w:val="fr-FR"/>
        </w:rPr>
        <w:t>4 de l’ordre du jour provisoire</w:t>
      </w:r>
    </w:p>
    <w:p w14:paraId="668EC07B" w14:textId="64AC4D0E" w:rsidR="00A1760E" w:rsidRPr="004161F8" w:rsidRDefault="00A1760E" w:rsidP="00A1760E">
      <w:pPr>
        <w:rPr>
          <w:b/>
          <w:bCs/>
          <w:lang w:val="fr-FR"/>
        </w:rPr>
      </w:pPr>
      <w:r>
        <w:rPr>
          <w:b/>
          <w:bCs/>
          <w:lang w:val="fr-FR"/>
        </w:rPr>
        <w:t xml:space="preserve">Examen des rapports, observations et renseignements soumis </w:t>
      </w:r>
      <w:r>
        <w:rPr>
          <w:b/>
          <w:bCs/>
          <w:lang w:val="fr-FR"/>
        </w:rPr>
        <w:br/>
        <w:t>par les États parties en application de l’article</w:t>
      </w:r>
      <w:r>
        <w:rPr>
          <w:b/>
          <w:bCs/>
          <w:lang w:val="fr-FR"/>
        </w:rPr>
        <w:t> </w:t>
      </w:r>
      <w:r>
        <w:rPr>
          <w:b/>
          <w:bCs/>
          <w:lang w:val="fr-FR"/>
        </w:rPr>
        <w:t>9 de la Convention</w:t>
      </w:r>
    </w:p>
    <w:p w14:paraId="0D7B1FE7" w14:textId="5D964DEF" w:rsidR="00A1760E" w:rsidRPr="004161F8" w:rsidRDefault="00A1760E" w:rsidP="00A1760E">
      <w:pPr>
        <w:pStyle w:val="HChG"/>
        <w:rPr>
          <w:lang w:val="fr-FR"/>
        </w:rPr>
      </w:pPr>
      <w:r>
        <w:rPr>
          <w:lang w:val="fr-FR"/>
        </w:rPr>
        <w:tab/>
      </w:r>
      <w:r>
        <w:rPr>
          <w:lang w:val="fr-FR"/>
        </w:rPr>
        <w:tab/>
        <w:t xml:space="preserve">Liste de points concernant le treizième rapport </w:t>
      </w:r>
      <w:r>
        <w:rPr>
          <w:lang w:val="fr-FR"/>
        </w:rPr>
        <w:br/>
      </w:r>
      <w:r>
        <w:rPr>
          <w:lang w:val="fr-FR"/>
        </w:rPr>
        <w:t>de la Slovaquie</w:t>
      </w:r>
    </w:p>
    <w:p w14:paraId="4783A600" w14:textId="77777777" w:rsidR="00A1760E" w:rsidRPr="004161F8" w:rsidRDefault="00A1760E" w:rsidP="00A1760E">
      <w:pPr>
        <w:pStyle w:val="H1G"/>
        <w:rPr>
          <w:lang w:val="fr-FR"/>
        </w:rPr>
      </w:pPr>
      <w:r>
        <w:rPr>
          <w:lang w:val="fr-FR"/>
        </w:rPr>
        <w:tab/>
      </w:r>
      <w:r>
        <w:rPr>
          <w:lang w:val="fr-FR"/>
        </w:rPr>
        <w:tab/>
        <w:t>Note du rapporteur de pays</w:t>
      </w:r>
    </w:p>
    <w:p w14:paraId="208439F9" w14:textId="77022AF6" w:rsidR="00A1760E" w:rsidRPr="004161F8" w:rsidRDefault="00A1760E" w:rsidP="00A1760E">
      <w:pPr>
        <w:pStyle w:val="SingleTxtG"/>
        <w:rPr>
          <w:lang w:val="fr-FR"/>
        </w:rPr>
      </w:pPr>
      <w:r>
        <w:rPr>
          <w:lang w:val="fr-FR"/>
        </w:rPr>
        <w:t>1.</w:t>
      </w:r>
      <w:r>
        <w:rPr>
          <w:lang w:val="fr-FR"/>
        </w:rPr>
        <w:tab/>
        <w:t>À sa soixante-seizième session</w:t>
      </w:r>
      <w:r w:rsidRPr="009111D8">
        <w:rPr>
          <w:rStyle w:val="Appelnotedebasdep"/>
        </w:rPr>
        <w:footnoteReference w:id="2"/>
      </w:r>
      <w:r>
        <w:rPr>
          <w:lang w:val="fr-FR"/>
        </w:rPr>
        <w:t>,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w:t>
      </w:r>
      <w:r>
        <w:rPr>
          <w:lang w:val="fr-FR"/>
        </w:rPr>
        <w:t> </w:t>
      </w:r>
      <w:r>
        <w:rPr>
          <w:lang w:val="fr-FR"/>
        </w:rPr>
        <w:t>liste n’appelle pas de réponses écrites.</w:t>
      </w:r>
    </w:p>
    <w:p w14:paraId="0BB0D57C" w14:textId="77777777" w:rsidR="00A1760E" w:rsidRPr="004161F8" w:rsidRDefault="00A1760E" w:rsidP="00A1760E">
      <w:pPr>
        <w:pStyle w:val="H23G"/>
        <w:rPr>
          <w:lang w:val="fr-FR"/>
        </w:rPr>
      </w:pPr>
      <w:r>
        <w:rPr>
          <w:lang w:val="fr-FR"/>
        </w:rPr>
        <w:tab/>
      </w:r>
      <w:r>
        <w:rPr>
          <w:lang w:val="fr-FR"/>
        </w:rPr>
        <w:tab/>
        <w:t>Statistiques</w:t>
      </w:r>
    </w:p>
    <w:p w14:paraId="19FAA93A" w14:textId="77777777" w:rsidR="00A1760E" w:rsidRPr="004161F8" w:rsidRDefault="00A1760E" w:rsidP="00A1760E">
      <w:pPr>
        <w:pStyle w:val="SingleTxtG"/>
        <w:rPr>
          <w:lang w:val="fr-FR"/>
        </w:rPr>
      </w:pPr>
      <w:r>
        <w:rPr>
          <w:lang w:val="fr-FR"/>
        </w:rPr>
        <w:t>2.</w:t>
      </w:r>
      <w:r>
        <w:rPr>
          <w:lang w:val="fr-FR"/>
        </w:rPr>
        <w:tab/>
        <w:t>Données statistiques à jour sur la composition démographique de la population, sur la base de l’auto-identification</w:t>
      </w:r>
      <w:r w:rsidRPr="009111D8">
        <w:rPr>
          <w:rStyle w:val="Appelnotedebasdep"/>
        </w:rPr>
        <w:footnoteReference w:id="3"/>
      </w:r>
      <w:r>
        <w:rPr>
          <w:lang w:val="fr-FR"/>
        </w:rPr>
        <w:t>. Informations sur les résultats du recensement de la population et des logements de 2021 et sur la méthode utilisée pour collecter les données</w:t>
      </w:r>
      <w:r w:rsidRPr="009111D8">
        <w:rPr>
          <w:rStyle w:val="Appelnotedebasdep"/>
        </w:rPr>
        <w:footnoteReference w:id="4"/>
      </w:r>
      <w:r>
        <w:rPr>
          <w:lang w:val="fr-FR"/>
        </w:rPr>
        <w:t>.</w:t>
      </w:r>
    </w:p>
    <w:p w14:paraId="403ACBDF" w14:textId="6AD89242" w:rsidR="00A1760E" w:rsidRPr="004161F8" w:rsidRDefault="00A1760E" w:rsidP="00A1760E">
      <w:pPr>
        <w:pStyle w:val="H23G"/>
        <w:rPr>
          <w:lang w:val="fr-FR"/>
        </w:rPr>
      </w:pPr>
      <w:r>
        <w:rPr>
          <w:lang w:val="fr-FR"/>
        </w:rPr>
        <w:tab/>
      </w:r>
      <w:r>
        <w:rPr>
          <w:lang w:val="fr-FR"/>
        </w:rPr>
        <w:tab/>
        <w:t>La Convention dans le droit interne et le cadre institutionnel et stratégique régissant sa mise en œuvre (art.</w:t>
      </w:r>
      <w:r>
        <w:rPr>
          <w:lang w:val="fr-FR"/>
        </w:rPr>
        <w:t> </w:t>
      </w:r>
      <w:r>
        <w:rPr>
          <w:lang w:val="fr-FR"/>
        </w:rPr>
        <w:t>2 à 4)</w:t>
      </w:r>
    </w:p>
    <w:p w14:paraId="2AABED86" w14:textId="7C8E7A8B" w:rsidR="00A1760E" w:rsidRPr="004161F8" w:rsidRDefault="00A1760E" w:rsidP="00A1760E">
      <w:pPr>
        <w:pStyle w:val="SingleTxtG"/>
        <w:rPr>
          <w:lang w:val="fr-FR"/>
        </w:rPr>
      </w:pPr>
      <w:r>
        <w:rPr>
          <w:lang w:val="fr-FR"/>
        </w:rPr>
        <w:t>3.</w:t>
      </w:r>
      <w:r>
        <w:rPr>
          <w:lang w:val="fr-FR"/>
        </w:rPr>
        <w:tab/>
        <w:t>Résultats concrets de la mise en œuvre des mesures visant à intensifier l’application de la loi antidiscrimination, en particulier le nombre de plaintes pour discrimination raciale reçues, le nombre de plaintes qui ont fait l’objet d’une enquête approfondie et pour lesquelles des sanctions ont été prononcées contre les auteurs et une indemnisation accordée aux</w:t>
      </w:r>
      <w:r>
        <w:rPr>
          <w:lang w:val="fr-FR"/>
        </w:rPr>
        <w:t xml:space="preserve"> </w:t>
      </w:r>
      <w:r>
        <w:rPr>
          <w:lang w:val="fr-FR"/>
        </w:rPr>
        <w:t>victimes</w:t>
      </w:r>
      <w:r w:rsidRPr="009111D8">
        <w:rPr>
          <w:rStyle w:val="Appelnotedebasdep"/>
        </w:rPr>
        <w:footnoteReference w:id="5"/>
      </w:r>
      <w:r>
        <w:rPr>
          <w:lang w:val="fr-FR"/>
        </w:rPr>
        <w:t>.</w:t>
      </w:r>
    </w:p>
    <w:p w14:paraId="20C3FA69" w14:textId="4561ECFA" w:rsidR="00A1760E" w:rsidRPr="004161F8" w:rsidRDefault="00A1760E" w:rsidP="00A1760E">
      <w:pPr>
        <w:pStyle w:val="SingleTxtG"/>
        <w:rPr>
          <w:lang w:val="fr-FR"/>
        </w:rPr>
      </w:pPr>
      <w:r>
        <w:rPr>
          <w:lang w:val="fr-FR"/>
        </w:rPr>
        <w:t>4.</w:t>
      </w:r>
      <w:r>
        <w:rPr>
          <w:lang w:val="fr-FR"/>
        </w:rPr>
        <w:tab/>
        <w:t>Informations actualisées sur l’adoption du projet de modification de la loi portant création du Centre national slovaque pour les droits de l’homme</w:t>
      </w:r>
      <w:r w:rsidRPr="009111D8">
        <w:rPr>
          <w:rStyle w:val="Appelnotedebasdep"/>
        </w:rPr>
        <w:footnoteReference w:id="6"/>
      </w:r>
      <w:r>
        <w:rPr>
          <w:lang w:val="fr-FR"/>
        </w:rPr>
        <w:t>. Fonctionnement et activités du Centre dans l’exercice de son mandat en ce qui concerne la lutte contre la discrimination raciale. Garanties d’indépendance et de fonctionnement du bureau du Médiateur, y</w:t>
      </w:r>
      <w:r>
        <w:rPr>
          <w:lang w:val="fr-FR"/>
        </w:rPr>
        <w:t> </w:t>
      </w:r>
      <w:r>
        <w:rPr>
          <w:lang w:val="fr-FR"/>
        </w:rPr>
        <w:t>compris les activités liées à la lutte contre la discrimination raciale.</w:t>
      </w:r>
    </w:p>
    <w:p w14:paraId="196A419F" w14:textId="5851BA62" w:rsidR="00A1760E" w:rsidRPr="004161F8" w:rsidRDefault="00A1760E" w:rsidP="00A1760E">
      <w:pPr>
        <w:pStyle w:val="SingleTxtG"/>
        <w:rPr>
          <w:lang w:val="fr-FR"/>
        </w:rPr>
      </w:pPr>
      <w:r>
        <w:rPr>
          <w:lang w:val="fr-FR"/>
        </w:rPr>
        <w:lastRenderedPageBreak/>
        <w:t>5.</w:t>
      </w:r>
      <w:r>
        <w:rPr>
          <w:lang w:val="fr-FR"/>
        </w:rPr>
        <w:tab/>
        <w:t xml:space="preserve">Application du Plan d’action 2016-2018 pour la prévention et l’élimination du racisme, de la xénophobie, de l’antisémitisme et d’autres formes d’intolérance, évaluation de ce </w:t>
      </w:r>
      <w:r w:rsidR="00FE16C7">
        <w:rPr>
          <w:lang w:val="fr-FR"/>
        </w:rPr>
        <w:t>p</w:t>
      </w:r>
      <w:r>
        <w:rPr>
          <w:lang w:val="fr-FR"/>
        </w:rPr>
        <w:t>lan</w:t>
      </w:r>
      <w:r w:rsidRPr="009111D8">
        <w:rPr>
          <w:rStyle w:val="Appelnotedebasdep"/>
        </w:rPr>
        <w:footnoteReference w:id="7"/>
      </w:r>
      <w:r>
        <w:rPr>
          <w:lang w:val="fr-FR"/>
        </w:rPr>
        <w:t xml:space="preserve"> et information sur la préparation d’un nouveau plan d’action.</w:t>
      </w:r>
    </w:p>
    <w:p w14:paraId="1C644270" w14:textId="57F126C3" w:rsidR="00A1760E" w:rsidRPr="004161F8" w:rsidRDefault="00A1760E" w:rsidP="00A1760E">
      <w:pPr>
        <w:pStyle w:val="SingleTxtG"/>
        <w:rPr>
          <w:lang w:val="fr-FR"/>
        </w:rPr>
      </w:pPr>
      <w:r>
        <w:rPr>
          <w:lang w:val="fr-FR"/>
        </w:rPr>
        <w:t>6.</w:t>
      </w:r>
      <w:r>
        <w:rPr>
          <w:lang w:val="fr-FR"/>
        </w:rPr>
        <w:tab/>
        <w:t>Conformité de la législation pénale de l’État partie avec l’article</w:t>
      </w:r>
      <w:r w:rsidR="00FE16C7">
        <w:rPr>
          <w:lang w:val="fr-FR"/>
        </w:rPr>
        <w:t> </w:t>
      </w:r>
      <w:r>
        <w:rPr>
          <w:lang w:val="fr-FR"/>
        </w:rPr>
        <w:t>4</w:t>
      </w:r>
      <w:r w:rsidR="00FE16C7">
        <w:rPr>
          <w:lang w:val="fr-FR"/>
        </w:rPr>
        <w:t> </w:t>
      </w:r>
      <w:r>
        <w:rPr>
          <w:lang w:val="fr-FR"/>
        </w:rPr>
        <w:t>b) de la Convention. Informations sur le nombre de cas d’infractions à motivation raciale, notamment les agressions verbales et physiques, ainsi que sur le nombre d’enquêtes menées, de poursuites engagées, de déclarations de culpabilité prononcées et de peines imposées</w:t>
      </w:r>
      <w:r w:rsidRPr="009111D8">
        <w:rPr>
          <w:rStyle w:val="Appelnotedebasdep"/>
        </w:rPr>
        <w:footnoteReference w:id="8"/>
      </w:r>
      <w:r>
        <w:rPr>
          <w:lang w:val="fr-FR"/>
        </w:rPr>
        <w:t>.</w:t>
      </w:r>
    </w:p>
    <w:p w14:paraId="4D5575B7" w14:textId="1750E017" w:rsidR="00A1760E" w:rsidRPr="004161F8" w:rsidRDefault="00A1760E" w:rsidP="00A1760E">
      <w:pPr>
        <w:pStyle w:val="SingleTxtG"/>
        <w:rPr>
          <w:lang w:val="fr-FR"/>
        </w:rPr>
      </w:pPr>
      <w:r>
        <w:rPr>
          <w:lang w:val="fr-FR"/>
        </w:rPr>
        <w:t>7.</w:t>
      </w:r>
      <w:r>
        <w:rPr>
          <w:lang w:val="fr-FR"/>
        </w:rPr>
        <w:tab/>
        <w:t>Application de mesures de prévention et de répression des discours de haine raciste, notamment dans les médias et sur Internet</w:t>
      </w:r>
      <w:r w:rsidRPr="009111D8">
        <w:rPr>
          <w:rStyle w:val="Appelnotedebasdep"/>
        </w:rPr>
        <w:footnoteReference w:id="9"/>
      </w:r>
      <w:r>
        <w:rPr>
          <w:lang w:val="fr-FR"/>
        </w:rPr>
        <w:t>. Nombre de cas de discours de haine, d’enquêtes menées, de poursuites engagées, de déclaration de culpabilité prononcées et de peines imposées. Résultats des campagnes de sensibilisation visant à éliminer la discrimination raciale.</w:t>
      </w:r>
    </w:p>
    <w:p w14:paraId="6291BBB4" w14:textId="4B9B79AA" w:rsidR="00A1760E" w:rsidRPr="004161F8" w:rsidRDefault="00A1760E" w:rsidP="00FE16C7">
      <w:pPr>
        <w:pStyle w:val="H23G"/>
        <w:rPr>
          <w:lang w:val="fr-FR"/>
        </w:rPr>
      </w:pPr>
      <w:r>
        <w:rPr>
          <w:lang w:val="fr-FR"/>
        </w:rPr>
        <w:tab/>
      </w:r>
      <w:r>
        <w:rPr>
          <w:lang w:val="fr-FR"/>
        </w:rPr>
        <w:tab/>
        <w:t>Situation des minorités ethniques (art.</w:t>
      </w:r>
      <w:r w:rsidR="00FE16C7">
        <w:rPr>
          <w:lang w:val="fr-FR"/>
        </w:rPr>
        <w:t> </w:t>
      </w:r>
      <w:r>
        <w:rPr>
          <w:lang w:val="fr-FR"/>
        </w:rPr>
        <w:t>2 à 7)</w:t>
      </w:r>
    </w:p>
    <w:p w14:paraId="0BDADA83" w14:textId="269754E3" w:rsidR="00A1760E" w:rsidRPr="004161F8" w:rsidRDefault="00A1760E" w:rsidP="00A1760E">
      <w:pPr>
        <w:pStyle w:val="SingleTxtG"/>
        <w:rPr>
          <w:lang w:val="fr-FR"/>
        </w:rPr>
      </w:pPr>
      <w:r>
        <w:rPr>
          <w:lang w:val="fr-FR"/>
        </w:rPr>
        <w:t>8.</w:t>
      </w:r>
      <w:r>
        <w:rPr>
          <w:lang w:val="fr-FR"/>
        </w:rPr>
        <w:tab/>
        <w:t>Application des mesures visant à lutter contre la discrimination structurelle à l’égard des Roms, en particulier les résultats de la Stratégie nationale pour l’intégration des Roms, en ce qui concerne l’accès à l’emploi et à un logement convenable, et la lutte contre la pauvreté.</w:t>
      </w:r>
    </w:p>
    <w:p w14:paraId="65FD7934" w14:textId="185CEF0E" w:rsidR="00A1760E" w:rsidRPr="004161F8" w:rsidRDefault="00A1760E" w:rsidP="00A1760E">
      <w:pPr>
        <w:pStyle w:val="SingleTxtG"/>
        <w:rPr>
          <w:lang w:val="fr-FR"/>
        </w:rPr>
      </w:pPr>
      <w:r>
        <w:rPr>
          <w:lang w:val="fr-FR"/>
        </w:rPr>
        <w:t>9.</w:t>
      </w:r>
      <w:r>
        <w:rPr>
          <w:lang w:val="fr-FR"/>
        </w:rPr>
        <w:tab/>
        <w:t>Résultats des mesures prises pour améliorer les conditions de vie des Roms et la participation des communautés concernées à la conception et à l’application de ces mesures. Dispositions concrètes prises pour lutter contre la ségrégation en matière de logement dont les Roms sont victimes, notamment en ce qui concerne la construction de murs qui séparent les communautés roms et les communautés non roms</w:t>
      </w:r>
      <w:r w:rsidRPr="009111D8">
        <w:rPr>
          <w:rStyle w:val="Appelnotedebasdep"/>
        </w:rPr>
        <w:footnoteReference w:id="10"/>
      </w:r>
      <w:r>
        <w:rPr>
          <w:lang w:val="fr-FR"/>
        </w:rPr>
        <w:t>.</w:t>
      </w:r>
    </w:p>
    <w:p w14:paraId="481FA0C6" w14:textId="17E995A9" w:rsidR="00A1760E" w:rsidRPr="004161F8" w:rsidRDefault="00A1760E" w:rsidP="00A1760E">
      <w:pPr>
        <w:pStyle w:val="SingleTxtG"/>
        <w:rPr>
          <w:lang w:val="fr-FR"/>
        </w:rPr>
      </w:pPr>
      <w:r>
        <w:rPr>
          <w:lang w:val="fr-FR"/>
        </w:rPr>
        <w:t>10.</w:t>
      </w:r>
      <w:r>
        <w:rPr>
          <w:lang w:val="fr-FR"/>
        </w:rPr>
        <w:tab/>
        <w:t>Application des mesures visant à lutter contre les causes profondes de la discrimination et de la ségrégation que subissent les enfants roms dans le système éducatif et à réduire leur surreprésentation dans les classes ou les écoles spécialisées</w:t>
      </w:r>
      <w:r w:rsidRPr="009111D8">
        <w:rPr>
          <w:rStyle w:val="Appelnotedebasdep"/>
        </w:rPr>
        <w:footnoteReference w:id="11"/>
      </w:r>
      <w:r>
        <w:rPr>
          <w:lang w:val="fr-FR"/>
        </w:rPr>
        <w:t>.</w:t>
      </w:r>
    </w:p>
    <w:p w14:paraId="0067A074" w14:textId="63DBF379" w:rsidR="00A1760E" w:rsidRPr="004161F8" w:rsidRDefault="00A1760E" w:rsidP="00A1760E">
      <w:pPr>
        <w:pStyle w:val="SingleTxtG"/>
        <w:rPr>
          <w:lang w:val="fr-FR"/>
        </w:rPr>
      </w:pPr>
      <w:r>
        <w:rPr>
          <w:lang w:val="fr-FR"/>
        </w:rPr>
        <w:t>11.</w:t>
      </w:r>
      <w:r>
        <w:rPr>
          <w:lang w:val="fr-FR"/>
        </w:rPr>
        <w:tab/>
        <w:t>Mesures prises pour prévenir et combattre toutes les formes de discrimination et de ségrégation visant les Roms dans le système de santé et s’assurer qu’ils ont accès au système de santé</w:t>
      </w:r>
      <w:r w:rsidRPr="009111D8">
        <w:rPr>
          <w:rStyle w:val="Appelnotedebasdep"/>
        </w:rPr>
        <w:footnoteReference w:id="12"/>
      </w:r>
      <w:r>
        <w:rPr>
          <w:lang w:val="fr-FR"/>
        </w:rPr>
        <w:t>.</w:t>
      </w:r>
    </w:p>
    <w:p w14:paraId="2283316C" w14:textId="2FE1CCBC" w:rsidR="00A1760E" w:rsidRPr="004161F8" w:rsidRDefault="00A1760E" w:rsidP="00A1760E">
      <w:pPr>
        <w:pStyle w:val="SingleTxtG"/>
        <w:rPr>
          <w:lang w:val="fr-FR"/>
        </w:rPr>
      </w:pPr>
      <w:r>
        <w:rPr>
          <w:lang w:val="fr-FR"/>
        </w:rPr>
        <w:t>12.</w:t>
      </w:r>
      <w:r>
        <w:rPr>
          <w:lang w:val="fr-FR"/>
        </w:rPr>
        <w:tab/>
        <w:t>Application des mesures visant à prévenir l’usage excessif de la force, les mauvais traitements et les abus d’autorité par la police à l’égard des membres de groupes minoritaires. Cas d’usage excessif de la force, de mauvais traitements et d’autres formes d’abus par les forces de l’ordre à l’égard des minorités ethniques, en particulier les Roms</w:t>
      </w:r>
      <w:r w:rsidR="002D0F84">
        <w:rPr>
          <w:lang w:val="fr-FR"/>
        </w:rPr>
        <w:t> </w:t>
      </w:r>
      <w:r>
        <w:rPr>
          <w:lang w:val="fr-FR"/>
        </w:rPr>
        <w:t>: enquêtes menées, poursuites engagées, déclarations de culpabilité prononcées, peines imposées et réparations accordées aux victimes</w:t>
      </w:r>
      <w:r w:rsidRPr="009111D8">
        <w:rPr>
          <w:rStyle w:val="Appelnotedebasdep"/>
        </w:rPr>
        <w:footnoteReference w:id="13"/>
      </w:r>
      <w:r>
        <w:rPr>
          <w:lang w:val="fr-FR"/>
        </w:rPr>
        <w:t>. Fonctions, composition et garanties d’indépendance de l’Inspection générale des forces de police récemment créée</w:t>
      </w:r>
      <w:r w:rsidRPr="009111D8">
        <w:rPr>
          <w:rStyle w:val="Appelnotedebasdep"/>
        </w:rPr>
        <w:footnoteReference w:id="14"/>
      </w:r>
      <w:r>
        <w:rPr>
          <w:lang w:val="fr-FR"/>
        </w:rPr>
        <w:t>.</w:t>
      </w:r>
    </w:p>
    <w:p w14:paraId="1E0BC751" w14:textId="6A054D54" w:rsidR="00A1760E" w:rsidRPr="004161F8" w:rsidRDefault="00A1760E" w:rsidP="00A1760E">
      <w:pPr>
        <w:pStyle w:val="SingleTxtG"/>
        <w:rPr>
          <w:lang w:val="fr-FR"/>
        </w:rPr>
      </w:pPr>
      <w:r>
        <w:rPr>
          <w:lang w:val="fr-FR"/>
        </w:rPr>
        <w:t>13.</w:t>
      </w:r>
      <w:r>
        <w:rPr>
          <w:lang w:val="fr-FR"/>
        </w:rPr>
        <w:tab/>
        <w:t>Mesures prises pour assurer l’accès à l’éducation des enfants appartenant à des minorités ethniques, en particulier les Roms, pendant la pandémie de maladie à coronavirus (COVID-19).</w:t>
      </w:r>
    </w:p>
    <w:p w14:paraId="44EA3070" w14:textId="4456B6A0" w:rsidR="00A1760E" w:rsidRPr="004161F8" w:rsidRDefault="00A1760E" w:rsidP="00A1760E">
      <w:pPr>
        <w:pStyle w:val="SingleTxtG"/>
        <w:rPr>
          <w:lang w:val="fr-FR"/>
        </w:rPr>
      </w:pPr>
      <w:r>
        <w:rPr>
          <w:lang w:val="fr-FR"/>
        </w:rPr>
        <w:t>14.</w:t>
      </w:r>
      <w:r>
        <w:rPr>
          <w:lang w:val="fr-FR"/>
        </w:rPr>
        <w:tab/>
        <w:t>Effets de la pandémie de COVID-19 sur les minorités ethniques, y</w:t>
      </w:r>
      <w:r>
        <w:rPr>
          <w:lang w:val="fr-FR"/>
        </w:rPr>
        <w:t> </w:t>
      </w:r>
      <w:r>
        <w:rPr>
          <w:lang w:val="fr-FR"/>
        </w:rPr>
        <w:t>compris l’accès aux services de soins de santé, les mesures imposées pour contenir la propagation de la COVID-19 et l’égalité d’accès aux vaccins.</w:t>
      </w:r>
    </w:p>
    <w:p w14:paraId="67511380" w14:textId="42B9B944" w:rsidR="00A1760E" w:rsidRPr="004161F8" w:rsidRDefault="00A1760E" w:rsidP="00A1760E">
      <w:pPr>
        <w:pStyle w:val="SingleTxtG"/>
        <w:rPr>
          <w:lang w:val="fr-FR"/>
        </w:rPr>
      </w:pPr>
      <w:r>
        <w:rPr>
          <w:lang w:val="fr-FR"/>
        </w:rPr>
        <w:lastRenderedPageBreak/>
        <w:t>15.</w:t>
      </w:r>
      <w:r>
        <w:rPr>
          <w:lang w:val="fr-FR"/>
        </w:rPr>
        <w:tab/>
        <w:t>Mesures concrètes prises pour promouvoir et garantir la participation politique et la représentation des personnes appartenant à des minorités ethniques, en particulier les Roms, aux postes de responsabilité et dans les institutions représentatives</w:t>
      </w:r>
      <w:r w:rsidRPr="009111D8">
        <w:rPr>
          <w:rStyle w:val="Appelnotedebasdep"/>
        </w:rPr>
        <w:footnoteReference w:id="15"/>
      </w:r>
      <w:r>
        <w:rPr>
          <w:lang w:val="fr-FR"/>
        </w:rPr>
        <w:t>.</w:t>
      </w:r>
    </w:p>
    <w:p w14:paraId="2C65F509" w14:textId="105AC389" w:rsidR="00A1760E" w:rsidRPr="004161F8" w:rsidRDefault="00A1760E" w:rsidP="00A1760E">
      <w:pPr>
        <w:pStyle w:val="SingleTxtG"/>
        <w:rPr>
          <w:lang w:val="fr-FR"/>
        </w:rPr>
      </w:pPr>
      <w:r>
        <w:rPr>
          <w:lang w:val="fr-FR"/>
        </w:rPr>
        <w:t>16.</w:t>
      </w:r>
      <w:r>
        <w:rPr>
          <w:lang w:val="fr-FR"/>
        </w:rPr>
        <w:tab/>
        <w:t>Mesures visant à lutter contre les formes multiples et croisées de discrimination à l’égard des femmes appartenant à des minorités ethniques, en particulier les Roms. Nombre de cas de traitement discriminatoire ayant fait l’objet d’une enquête, y</w:t>
      </w:r>
      <w:r>
        <w:rPr>
          <w:lang w:val="fr-FR"/>
        </w:rPr>
        <w:t> </w:t>
      </w:r>
      <w:r>
        <w:rPr>
          <w:lang w:val="fr-FR"/>
        </w:rPr>
        <w:t>compris les cas de violence verbale et physique à l’égard des Roms dans le système de santé, et résultats de ces</w:t>
      </w:r>
      <w:r w:rsidR="002D0F84">
        <w:rPr>
          <w:lang w:val="fr-FR"/>
        </w:rPr>
        <w:t> </w:t>
      </w:r>
      <w:r>
        <w:rPr>
          <w:lang w:val="fr-FR"/>
        </w:rPr>
        <w:t>enquêtes.</w:t>
      </w:r>
    </w:p>
    <w:p w14:paraId="5E762472" w14:textId="77777777" w:rsidR="00A1760E" w:rsidRPr="004161F8" w:rsidRDefault="00A1760E" w:rsidP="00A1760E">
      <w:pPr>
        <w:pStyle w:val="SingleTxtG"/>
        <w:rPr>
          <w:lang w:val="fr-FR"/>
        </w:rPr>
      </w:pPr>
      <w:r>
        <w:rPr>
          <w:lang w:val="fr-FR"/>
        </w:rPr>
        <w:t>17.</w:t>
      </w:r>
      <w:r>
        <w:rPr>
          <w:lang w:val="fr-FR"/>
        </w:rPr>
        <w:tab/>
        <w:t>Informations concrètes sur les mesures prises pour que les femmes roms victimes de stérilisation sans leur consentement éclairé aient accès à des recours effectifs et soient indemnisées de manière adéquate</w:t>
      </w:r>
      <w:r w:rsidRPr="009111D8">
        <w:rPr>
          <w:rStyle w:val="Appelnotedebasdep"/>
        </w:rPr>
        <w:footnoteReference w:id="16"/>
      </w:r>
      <w:r>
        <w:rPr>
          <w:lang w:val="fr-FR"/>
        </w:rPr>
        <w:t>.</w:t>
      </w:r>
    </w:p>
    <w:p w14:paraId="756122DF" w14:textId="67AA0A2A" w:rsidR="00A1760E" w:rsidRPr="004161F8" w:rsidRDefault="00A1760E" w:rsidP="00A1760E">
      <w:pPr>
        <w:pStyle w:val="H23G"/>
        <w:rPr>
          <w:lang w:val="fr-FR"/>
        </w:rPr>
      </w:pPr>
      <w:r>
        <w:rPr>
          <w:lang w:val="fr-FR"/>
        </w:rPr>
        <w:tab/>
      </w:r>
      <w:r>
        <w:rPr>
          <w:lang w:val="fr-FR"/>
        </w:rPr>
        <w:tab/>
        <w:t>Situation des non-ressortissants, notamment des migrants, des demandeurs d’asile, des réfugiés et des apatrides (art.</w:t>
      </w:r>
      <w:r>
        <w:rPr>
          <w:lang w:val="fr-FR"/>
        </w:rPr>
        <w:t> </w:t>
      </w:r>
      <w:r>
        <w:rPr>
          <w:lang w:val="fr-FR"/>
        </w:rPr>
        <w:t>5 et 7)</w:t>
      </w:r>
    </w:p>
    <w:p w14:paraId="2A83AFB6" w14:textId="0154E8D2" w:rsidR="00A1760E" w:rsidRPr="004161F8" w:rsidRDefault="00A1760E" w:rsidP="00A1760E">
      <w:pPr>
        <w:pStyle w:val="SingleTxtG"/>
        <w:rPr>
          <w:lang w:val="fr-FR"/>
        </w:rPr>
      </w:pPr>
      <w:r>
        <w:rPr>
          <w:lang w:val="fr-FR"/>
        </w:rPr>
        <w:t>18.</w:t>
      </w:r>
      <w:r>
        <w:rPr>
          <w:lang w:val="fr-FR"/>
        </w:rPr>
        <w:tab/>
        <w:t>Application des mesures visant à assurer la pleine intégration des migrants</w:t>
      </w:r>
      <w:r w:rsidRPr="009111D8">
        <w:rPr>
          <w:rStyle w:val="Appelnotedebasdep"/>
        </w:rPr>
        <w:footnoteReference w:id="17"/>
      </w:r>
      <w:r>
        <w:rPr>
          <w:lang w:val="fr-FR"/>
        </w:rPr>
        <w:t>, notamment l’introduction de cours gratuits de langue slovaque et de classes d’intégration. Informations sur l’accès à un logement convenable pour les migrants, les demandeurs d’asile et les réfugiés.</w:t>
      </w:r>
    </w:p>
    <w:p w14:paraId="18F8A5C6" w14:textId="40622482" w:rsidR="00A1760E" w:rsidRPr="004161F8" w:rsidRDefault="00A1760E" w:rsidP="00A1760E">
      <w:pPr>
        <w:pStyle w:val="SingleTxtG"/>
        <w:rPr>
          <w:lang w:val="fr-FR"/>
        </w:rPr>
      </w:pPr>
      <w:r>
        <w:rPr>
          <w:lang w:val="fr-FR"/>
        </w:rPr>
        <w:t>19.</w:t>
      </w:r>
      <w:r>
        <w:rPr>
          <w:lang w:val="fr-FR"/>
        </w:rPr>
        <w:tab/>
        <w:t>Mesures prises pour promouvoir des solutions autres que le placement en détention des demandeurs d’asile et des migrants</w:t>
      </w:r>
      <w:r w:rsidRPr="009111D8">
        <w:rPr>
          <w:rStyle w:val="Appelnotedebasdep"/>
        </w:rPr>
        <w:footnoteReference w:id="18"/>
      </w:r>
      <w:r>
        <w:rPr>
          <w:lang w:val="fr-FR"/>
        </w:rPr>
        <w:t xml:space="preserve"> et application des mesures prises pour prévenir la détention d’enfants non accompag</w:t>
      </w:r>
      <w:r>
        <w:rPr>
          <w:lang w:val="fr-FR"/>
        </w:rPr>
        <w:t>n</w:t>
      </w:r>
      <w:r>
        <w:rPr>
          <w:lang w:val="fr-FR"/>
        </w:rPr>
        <w:t>és.</w:t>
      </w:r>
    </w:p>
    <w:p w14:paraId="22CBF6A7" w14:textId="619C393D" w:rsidR="00984B29" w:rsidRDefault="00A1760E" w:rsidP="00A1760E">
      <w:pPr>
        <w:pStyle w:val="SingleTxtG"/>
        <w:rPr>
          <w:lang w:val="fr-FR"/>
        </w:rPr>
      </w:pPr>
      <w:r>
        <w:rPr>
          <w:lang w:val="fr-FR"/>
        </w:rPr>
        <w:t>20.</w:t>
      </w:r>
      <w:r>
        <w:rPr>
          <w:lang w:val="fr-FR"/>
        </w:rPr>
        <w:tab/>
        <w:t>Dispositions prises pour permettre à toutes les personnes fuyant le conflit en Ukraine d’avoir accès au territoire de l’État partie et leur accorder la protection voulue.</w:t>
      </w:r>
    </w:p>
    <w:p w14:paraId="414CD58B" w14:textId="3BA9140E" w:rsidR="00A1760E" w:rsidRPr="00A1760E" w:rsidRDefault="00A1760E" w:rsidP="00A1760E">
      <w:pPr>
        <w:pStyle w:val="SingleTxtG"/>
        <w:spacing w:before="240" w:after="0"/>
        <w:jc w:val="center"/>
        <w:rPr>
          <w:u w:val="single"/>
        </w:rPr>
      </w:pPr>
      <w:r>
        <w:rPr>
          <w:u w:val="single"/>
        </w:rPr>
        <w:tab/>
      </w:r>
      <w:r>
        <w:rPr>
          <w:u w:val="single"/>
        </w:rPr>
        <w:tab/>
      </w:r>
      <w:r>
        <w:rPr>
          <w:u w:val="single"/>
        </w:rPr>
        <w:tab/>
      </w:r>
    </w:p>
    <w:sectPr w:rsidR="00A1760E" w:rsidRPr="00A1760E" w:rsidSect="00A176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B19E2" w14:textId="77777777" w:rsidR="00814777" w:rsidRDefault="00814777" w:rsidP="00F95C08">
      <w:pPr>
        <w:spacing w:line="240" w:lineRule="auto"/>
      </w:pPr>
    </w:p>
  </w:endnote>
  <w:endnote w:type="continuationSeparator" w:id="0">
    <w:p w14:paraId="163B00F0" w14:textId="77777777" w:rsidR="00814777" w:rsidRPr="00AC3823" w:rsidRDefault="00814777" w:rsidP="00AC3823">
      <w:pPr>
        <w:pStyle w:val="Pieddepage"/>
      </w:pPr>
    </w:p>
  </w:endnote>
  <w:endnote w:type="continuationNotice" w:id="1">
    <w:p w14:paraId="3796F69D" w14:textId="77777777" w:rsidR="00814777" w:rsidRDefault="00814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72E30" w14:textId="2D0075C1" w:rsidR="00A1760E" w:rsidRPr="00A1760E" w:rsidRDefault="00A1760E" w:rsidP="00A1760E">
    <w:pPr>
      <w:pStyle w:val="Pieddepage"/>
      <w:tabs>
        <w:tab w:val="right" w:pos="9638"/>
      </w:tabs>
    </w:pPr>
    <w:r w:rsidRPr="00A1760E">
      <w:rPr>
        <w:b/>
        <w:sz w:val="18"/>
      </w:rPr>
      <w:fldChar w:fldCharType="begin"/>
    </w:r>
    <w:r w:rsidRPr="00A1760E">
      <w:rPr>
        <w:b/>
        <w:sz w:val="18"/>
      </w:rPr>
      <w:instrText xml:space="preserve"> PAGE  \* MERGEFORMAT </w:instrText>
    </w:r>
    <w:r w:rsidRPr="00A1760E">
      <w:rPr>
        <w:b/>
        <w:sz w:val="18"/>
      </w:rPr>
      <w:fldChar w:fldCharType="separate"/>
    </w:r>
    <w:r w:rsidRPr="00A1760E">
      <w:rPr>
        <w:b/>
        <w:noProof/>
        <w:sz w:val="18"/>
      </w:rPr>
      <w:t>2</w:t>
    </w:r>
    <w:r w:rsidRPr="00A1760E">
      <w:rPr>
        <w:b/>
        <w:sz w:val="18"/>
      </w:rPr>
      <w:fldChar w:fldCharType="end"/>
    </w:r>
    <w:r>
      <w:rPr>
        <w:b/>
        <w:sz w:val="18"/>
      </w:rPr>
      <w:tab/>
    </w:r>
    <w:r>
      <w:t>GE.22-09893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F93D" w14:textId="7EBB1A4B" w:rsidR="00A1760E" w:rsidRPr="00A1760E" w:rsidRDefault="00A1760E" w:rsidP="00A1760E">
    <w:pPr>
      <w:pStyle w:val="Pieddepage"/>
      <w:tabs>
        <w:tab w:val="right" w:pos="9638"/>
      </w:tabs>
      <w:rPr>
        <w:b/>
        <w:sz w:val="18"/>
      </w:rPr>
    </w:pPr>
    <w:r>
      <w:t>GE.22-09893</w:t>
    </w:r>
    <w:r>
      <w:tab/>
    </w:r>
    <w:r w:rsidRPr="00A1760E">
      <w:rPr>
        <w:b/>
        <w:sz w:val="18"/>
      </w:rPr>
      <w:fldChar w:fldCharType="begin"/>
    </w:r>
    <w:r w:rsidRPr="00A1760E">
      <w:rPr>
        <w:b/>
        <w:sz w:val="18"/>
      </w:rPr>
      <w:instrText xml:space="preserve"> PAGE  \* MERGEFORMAT </w:instrText>
    </w:r>
    <w:r w:rsidRPr="00A1760E">
      <w:rPr>
        <w:b/>
        <w:sz w:val="18"/>
      </w:rPr>
      <w:fldChar w:fldCharType="separate"/>
    </w:r>
    <w:r w:rsidRPr="00A1760E">
      <w:rPr>
        <w:b/>
        <w:noProof/>
        <w:sz w:val="18"/>
      </w:rPr>
      <w:t>3</w:t>
    </w:r>
    <w:r w:rsidRPr="00A176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70264" w14:textId="7FF97D88" w:rsidR="00984B29" w:rsidRPr="00A1760E" w:rsidRDefault="00A1760E" w:rsidP="00A1760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C493F1F" wp14:editId="23DF6C3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22-09893  (F)</w:t>
    </w:r>
    <w:r>
      <w:rPr>
        <w:noProof/>
        <w:sz w:val="20"/>
      </w:rPr>
      <w:drawing>
        <wp:anchor distT="0" distB="0" distL="114300" distR="114300" simplePos="0" relativeHeight="251660288" behindDoc="0" locked="0" layoutInCell="1" allowOverlap="1" wp14:anchorId="7BE2A8C6" wp14:editId="5982308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280622    280622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32010" w14:textId="77777777" w:rsidR="00814777" w:rsidRPr="00AC3823" w:rsidRDefault="00814777" w:rsidP="00AC3823">
      <w:pPr>
        <w:pStyle w:val="Pieddepage"/>
        <w:tabs>
          <w:tab w:val="right" w:pos="2155"/>
        </w:tabs>
        <w:spacing w:after="80" w:line="240" w:lineRule="atLeast"/>
        <w:ind w:left="680"/>
        <w:rPr>
          <w:u w:val="single"/>
        </w:rPr>
      </w:pPr>
      <w:r>
        <w:rPr>
          <w:u w:val="single"/>
        </w:rPr>
        <w:tab/>
      </w:r>
    </w:p>
  </w:footnote>
  <w:footnote w:type="continuationSeparator" w:id="0">
    <w:p w14:paraId="5B67142F" w14:textId="77777777" w:rsidR="00814777" w:rsidRPr="00AC3823" w:rsidRDefault="00814777" w:rsidP="00AC3823">
      <w:pPr>
        <w:pStyle w:val="Pieddepage"/>
        <w:tabs>
          <w:tab w:val="right" w:pos="2155"/>
        </w:tabs>
        <w:spacing w:after="80" w:line="240" w:lineRule="atLeast"/>
        <w:ind w:left="680"/>
        <w:rPr>
          <w:u w:val="single"/>
        </w:rPr>
      </w:pPr>
      <w:r>
        <w:rPr>
          <w:u w:val="single"/>
        </w:rPr>
        <w:tab/>
      </w:r>
    </w:p>
  </w:footnote>
  <w:footnote w:type="continuationNotice" w:id="1">
    <w:p w14:paraId="337AD690" w14:textId="77777777" w:rsidR="00814777" w:rsidRPr="00AC3823" w:rsidRDefault="00814777">
      <w:pPr>
        <w:spacing w:line="240" w:lineRule="auto"/>
        <w:rPr>
          <w:sz w:val="2"/>
          <w:szCs w:val="2"/>
        </w:rPr>
      </w:pPr>
    </w:p>
  </w:footnote>
  <w:footnote w:id="2">
    <w:p w14:paraId="0A9A237C" w14:textId="1ABB9F82"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hyperlink r:id="rId1" w:history="1">
        <w:r w:rsidRPr="00A1760E">
          <w:rPr>
            <w:rStyle w:val="Lienhypertexte"/>
            <w:lang w:val="fr-FR"/>
          </w:rPr>
          <w:t>A/65/18</w:t>
        </w:r>
      </w:hyperlink>
      <w:r>
        <w:rPr>
          <w:lang w:val="fr-FR"/>
        </w:rPr>
        <w:t>, par.</w:t>
      </w:r>
      <w:r>
        <w:rPr>
          <w:lang w:val="fr-FR"/>
        </w:rPr>
        <w:t> </w:t>
      </w:r>
      <w:r>
        <w:rPr>
          <w:lang w:val="fr-FR"/>
        </w:rPr>
        <w:t>85.</w:t>
      </w:r>
    </w:p>
  </w:footnote>
  <w:footnote w:id="3">
    <w:p w14:paraId="564FFEB3" w14:textId="28006706"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hyperlink r:id="rId2" w:history="1">
        <w:r w:rsidRPr="00A1760E">
          <w:rPr>
            <w:rStyle w:val="Lienhypertexte"/>
            <w:lang w:val="fr-FR"/>
          </w:rPr>
          <w:t>CERD/C/SVK/CO/11-12</w:t>
        </w:r>
      </w:hyperlink>
      <w:r>
        <w:rPr>
          <w:lang w:val="fr-FR"/>
        </w:rPr>
        <w:t>, par.</w:t>
      </w:r>
      <w:r>
        <w:rPr>
          <w:lang w:val="fr-FR"/>
        </w:rPr>
        <w:t> </w:t>
      </w:r>
      <w:r>
        <w:rPr>
          <w:lang w:val="fr-FR"/>
        </w:rPr>
        <w:t>6.</w:t>
      </w:r>
    </w:p>
  </w:footnote>
  <w:footnote w:id="4">
    <w:p w14:paraId="55EAEAC6" w14:textId="49A794BD"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hyperlink r:id="rId3" w:history="1">
        <w:r w:rsidRPr="00A1760E">
          <w:rPr>
            <w:rStyle w:val="Lienhypertexte"/>
            <w:lang w:val="fr-FR"/>
          </w:rPr>
          <w:t>CERD/C/SVK/13</w:t>
        </w:r>
      </w:hyperlink>
      <w:r>
        <w:rPr>
          <w:lang w:val="fr-FR"/>
        </w:rPr>
        <w:t>, par.</w:t>
      </w:r>
      <w:r>
        <w:rPr>
          <w:lang w:val="fr-FR"/>
        </w:rPr>
        <w:t> </w:t>
      </w:r>
      <w:r>
        <w:rPr>
          <w:lang w:val="fr-FR"/>
        </w:rPr>
        <w:t>7.</w:t>
      </w:r>
    </w:p>
  </w:footnote>
  <w:footnote w:id="5">
    <w:p w14:paraId="303D8E4A" w14:textId="6ACE2B3B"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 xml:space="preserve"> </w:t>
      </w:r>
      <w:r>
        <w:rPr>
          <w:lang w:val="fr-FR"/>
        </w:rPr>
        <w:tab/>
      </w:r>
      <w:r>
        <w:rPr>
          <w:lang w:val="fr-FR"/>
        </w:rPr>
        <w:tab/>
      </w:r>
      <w:hyperlink r:id="rId4" w:history="1">
        <w:r w:rsidRPr="00A1760E">
          <w:rPr>
            <w:rStyle w:val="Lienhypertexte"/>
            <w:lang w:val="fr-FR"/>
          </w:rPr>
          <w:t>CERD/C/SVK/CO/11-12</w:t>
        </w:r>
      </w:hyperlink>
      <w:r>
        <w:rPr>
          <w:lang w:val="fr-FR"/>
        </w:rPr>
        <w:t>, par.</w:t>
      </w:r>
      <w:r>
        <w:rPr>
          <w:lang w:val="fr-FR"/>
        </w:rPr>
        <w:t> </w:t>
      </w:r>
      <w:r>
        <w:rPr>
          <w:lang w:val="fr-FR"/>
        </w:rPr>
        <w:t>10</w:t>
      </w:r>
      <w:r>
        <w:rPr>
          <w:lang w:val="fr-FR"/>
        </w:rPr>
        <w:t> </w:t>
      </w:r>
      <w:r>
        <w:rPr>
          <w:lang w:val="fr-FR"/>
        </w:rPr>
        <w:t xml:space="preserve">b) et </w:t>
      </w:r>
      <w:hyperlink r:id="rId5" w:history="1">
        <w:r w:rsidRPr="00A1760E">
          <w:rPr>
            <w:rStyle w:val="Lienhypertexte"/>
            <w:lang w:val="fr-FR"/>
          </w:rPr>
          <w:t>CERD/C/SVK/13</w:t>
        </w:r>
      </w:hyperlink>
      <w:r>
        <w:rPr>
          <w:lang w:val="fr-FR"/>
        </w:rPr>
        <w:t>, par.</w:t>
      </w:r>
      <w:r>
        <w:rPr>
          <w:lang w:val="fr-FR"/>
        </w:rPr>
        <w:t> </w:t>
      </w:r>
      <w:r>
        <w:rPr>
          <w:lang w:val="fr-FR"/>
        </w:rPr>
        <w:t>13.</w:t>
      </w:r>
    </w:p>
  </w:footnote>
  <w:footnote w:id="6">
    <w:p w14:paraId="448876FD" w14:textId="69167E16"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r>
      <w:hyperlink r:id="rId6" w:history="1">
        <w:r w:rsidRPr="00A1760E">
          <w:rPr>
            <w:rStyle w:val="Lienhypertexte"/>
            <w:lang w:val="fr-FR"/>
          </w:rPr>
          <w:t>CERD/C/SVK/13</w:t>
        </w:r>
      </w:hyperlink>
      <w:r>
        <w:rPr>
          <w:lang w:val="fr-FR"/>
        </w:rPr>
        <w:t>, par.</w:t>
      </w:r>
      <w:r>
        <w:rPr>
          <w:lang w:val="fr-FR"/>
        </w:rPr>
        <w:t> </w:t>
      </w:r>
      <w:r>
        <w:rPr>
          <w:lang w:val="fr-FR"/>
        </w:rPr>
        <w:t>12.</w:t>
      </w:r>
    </w:p>
  </w:footnote>
  <w:footnote w:id="7">
    <w:p w14:paraId="4249940A" w14:textId="7FF78B16"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t>Ibid., par.</w:t>
      </w:r>
      <w:r>
        <w:rPr>
          <w:lang w:val="fr-FR"/>
        </w:rPr>
        <w:t> </w:t>
      </w:r>
      <w:r>
        <w:rPr>
          <w:lang w:val="fr-FR"/>
        </w:rPr>
        <w:t>42.</w:t>
      </w:r>
    </w:p>
  </w:footnote>
  <w:footnote w:id="8">
    <w:p w14:paraId="1BC10C17" w14:textId="4AFE1204"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t>Ibid., par.</w:t>
      </w:r>
      <w:r>
        <w:rPr>
          <w:lang w:val="fr-FR"/>
        </w:rPr>
        <w:t> </w:t>
      </w:r>
      <w:r>
        <w:rPr>
          <w:lang w:val="fr-FR"/>
        </w:rPr>
        <w:t>32 et 35.</w:t>
      </w:r>
    </w:p>
  </w:footnote>
  <w:footnote w:id="9">
    <w:p w14:paraId="57F99AA2" w14:textId="4F60289A"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t>Ibid., par.</w:t>
      </w:r>
      <w:r>
        <w:rPr>
          <w:lang w:val="fr-FR"/>
        </w:rPr>
        <w:t> </w:t>
      </w:r>
      <w:r>
        <w:rPr>
          <w:lang w:val="fr-FR"/>
        </w:rPr>
        <w:t xml:space="preserve">43 à 44. </w:t>
      </w:r>
    </w:p>
  </w:footnote>
  <w:footnote w:id="10">
    <w:p w14:paraId="1DAE0F3F" w14:textId="28932D12"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hyperlink r:id="rId7" w:history="1">
        <w:r w:rsidRPr="00A1760E">
          <w:rPr>
            <w:rStyle w:val="Lienhypertexte"/>
            <w:lang w:val="fr-FR"/>
          </w:rPr>
          <w:t>CERD/C/SVK/CO/11-12</w:t>
        </w:r>
      </w:hyperlink>
      <w:r>
        <w:rPr>
          <w:lang w:val="fr-FR"/>
        </w:rPr>
        <w:t>, par.</w:t>
      </w:r>
      <w:r>
        <w:rPr>
          <w:lang w:val="fr-FR"/>
        </w:rPr>
        <w:t> </w:t>
      </w:r>
      <w:r>
        <w:rPr>
          <w:lang w:val="fr-FR"/>
        </w:rPr>
        <w:t>22.</w:t>
      </w:r>
    </w:p>
  </w:footnote>
  <w:footnote w:id="11">
    <w:p w14:paraId="398BA7EC" w14:textId="515CD0A8"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t>Ibid., par.</w:t>
      </w:r>
      <w:r>
        <w:rPr>
          <w:lang w:val="fr-FR"/>
        </w:rPr>
        <w:t> </w:t>
      </w:r>
      <w:r>
        <w:rPr>
          <w:lang w:val="fr-FR"/>
        </w:rPr>
        <w:t>26.</w:t>
      </w:r>
    </w:p>
  </w:footnote>
  <w:footnote w:id="12">
    <w:p w14:paraId="3DB5DFE0" w14:textId="186B0F95"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t>Ibid., par.</w:t>
      </w:r>
      <w:r>
        <w:rPr>
          <w:lang w:val="fr-FR"/>
        </w:rPr>
        <w:t> </w:t>
      </w:r>
      <w:r>
        <w:rPr>
          <w:lang w:val="fr-FR"/>
        </w:rPr>
        <w:t>24</w:t>
      </w:r>
      <w:r>
        <w:rPr>
          <w:lang w:val="fr-FR"/>
        </w:rPr>
        <w:t> </w:t>
      </w:r>
      <w:r>
        <w:rPr>
          <w:lang w:val="fr-FR"/>
        </w:rPr>
        <w:t>a) et d).</w:t>
      </w:r>
    </w:p>
  </w:footnote>
  <w:footnote w:id="13">
    <w:p w14:paraId="055A77BC" w14:textId="1045E6C7"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t>Ibid., par.</w:t>
      </w:r>
      <w:r>
        <w:rPr>
          <w:lang w:val="fr-FR"/>
        </w:rPr>
        <w:t> </w:t>
      </w:r>
      <w:r>
        <w:rPr>
          <w:lang w:val="fr-FR"/>
        </w:rPr>
        <w:t>16.</w:t>
      </w:r>
    </w:p>
  </w:footnote>
  <w:footnote w:id="14">
    <w:p w14:paraId="7AB0153A" w14:textId="37853F35"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hyperlink r:id="rId8" w:history="1">
        <w:r w:rsidRPr="00A1760E">
          <w:rPr>
            <w:rStyle w:val="Lienhypertexte"/>
            <w:lang w:val="fr-FR"/>
          </w:rPr>
          <w:tab/>
          <w:t>CERD/C/SVK/13</w:t>
        </w:r>
      </w:hyperlink>
      <w:r>
        <w:rPr>
          <w:lang w:val="fr-FR"/>
        </w:rPr>
        <w:t>, par.</w:t>
      </w:r>
      <w:r>
        <w:rPr>
          <w:lang w:val="fr-FR"/>
        </w:rPr>
        <w:t> </w:t>
      </w:r>
      <w:r>
        <w:rPr>
          <w:lang w:val="fr-FR"/>
        </w:rPr>
        <w:t>80.</w:t>
      </w:r>
    </w:p>
  </w:footnote>
  <w:footnote w:id="15">
    <w:p w14:paraId="502B392C" w14:textId="648DBB79"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r>
      <w:hyperlink r:id="rId9" w:history="1">
        <w:r w:rsidRPr="00A1760E">
          <w:rPr>
            <w:rStyle w:val="Lienhypertexte"/>
            <w:lang w:val="fr-FR"/>
          </w:rPr>
          <w:t>CERD/C/SVK/CO/11-12</w:t>
        </w:r>
      </w:hyperlink>
      <w:r>
        <w:rPr>
          <w:lang w:val="fr-FR"/>
        </w:rPr>
        <w:t>, par.</w:t>
      </w:r>
      <w:r>
        <w:rPr>
          <w:lang w:val="fr-FR"/>
        </w:rPr>
        <w:t> </w:t>
      </w:r>
      <w:r>
        <w:rPr>
          <w:lang w:val="fr-FR"/>
        </w:rPr>
        <w:t>20.</w:t>
      </w:r>
    </w:p>
  </w:footnote>
  <w:footnote w:id="16">
    <w:p w14:paraId="253D246D" w14:textId="119D7217"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r>
      <w:hyperlink r:id="rId10" w:history="1">
        <w:r w:rsidRPr="00A1760E">
          <w:rPr>
            <w:rStyle w:val="Lienhypertexte"/>
            <w:lang w:val="fr-FR"/>
          </w:rPr>
          <w:t>CERD/C/SVK</w:t>
        </w:r>
        <w:r w:rsidRPr="00A1760E">
          <w:rPr>
            <w:rStyle w:val="Lienhypertexte"/>
            <w:lang w:val="fr-FR"/>
          </w:rPr>
          <w:t>/</w:t>
        </w:r>
        <w:r w:rsidRPr="00A1760E">
          <w:rPr>
            <w:rStyle w:val="Lienhypertexte"/>
            <w:lang w:val="fr-FR"/>
          </w:rPr>
          <w:t>13</w:t>
        </w:r>
      </w:hyperlink>
      <w:r>
        <w:rPr>
          <w:lang w:val="fr-FR"/>
        </w:rPr>
        <w:t>, par.</w:t>
      </w:r>
      <w:r>
        <w:rPr>
          <w:lang w:val="fr-FR"/>
        </w:rPr>
        <w:t> </w:t>
      </w:r>
      <w:r>
        <w:rPr>
          <w:lang w:val="fr-FR"/>
        </w:rPr>
        <w:t>139.</w:t>
      </w:r>
    </w:p>
  </w:footnote>
  <w:footnote w:id="17">
    <w:p w14:paraId="35AB4277" w14:textId="4C647D2D"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r>
        <w:rPr>
          <w:lang w:val="fr-FR"/>
        </w:rPr>
        <w:tab/>
        <w:t>Ibid., par.</w:t>
      </w:r>
      <w:r>
        <w:t> </w:t>
      </w:r>
      <w:r>
        <w:rPr>
          <w:lang w:val="fr-FR"/>
        </w:rPr>
        <w:t>161.</w:t>
      </w:r>
    </w:p>
  </w:footnote>
  <w:footnote w:id="18">
    <w:p w14:paraId="0621930B" w14:textId="0299CEB9" w:rsidR="00A1760E" w:rsidRPr="004161F8" w:rsidRDefault="00A1760E" w:rsidP="00A1760E">
      <w:pPr>
        <w:pStyle w:val="Notedebasdepage"/>
        <w:rPr>
          <w:lang w:val="fr-FR"/>
        </w:rPr>
      </w:pPr>
      <w:r w:rsidRPr="00D210C6">
        <w:rPr>
          <w:lang w:val="fr-FR"/>
        </w:rPr>
        <w:tab/>
      </w:r>
      <w:r w:rsidRPr="009111D8">
        <w:rPr>
          <w:rStyle w:val="Appelnotedebasdep"/>
        </w:rPr>
        <w:footnoteRef/>
      </w:r>
      <w:r>
        <w:rPr>
          <w:lang w:val="fr-FR"/>
        </w:rPr>
        <w:tab/>
      </w:r>
      <w:hyperlink r:id="rId11" w:history="1">
        <w:r w:rsidRPr="00A1760E">
          <w:rPr>
            <w:rStyle w:val="Lienhypertexte"/>
            <w:lang w:val="fr-FR"/>
          </w:rPr>
          <w:tab/>
          <w:t>CERD/C/SVK/CO/11-12</w:t>
        </w:r>
      </w:hyperlink>
      <w:r>
        <w:rPr>
          <w:lang w:val="fr-FR"/>
        </w:rPr>
        <w:t>, par.</w:t>
      </w:r>
      <w:r>
        <w:rPr>
          <w:lang w:val="fr-FR"/>
        </w:rPr>
        <w:t> </w:t>
      </w:r>
      <w:r>
        <w:rPr>
          <w:lang w:val="fr-FR"/>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5F12C" w14:textId="2AC4A41E" w:rsidR="00A1760E" w:rsidRPr="00A1760E" w:rsidRDefault="00A1760E">
    <w:pPr>
      <w:pStyle w:val="En-tte"/>
    </w:pPr>
    <w:fldSimple w:instr=" TITLE  \* MERGEFORMAT ">
      <w:r>
        <w:t>CERD/C/SVK/Q/13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7E46F" w14:textId="00451814" w:rsidR="00A1760E" w:rsidRPr="00A1760E" w:rsidRDefault="00A1760E" w:rsidP="00A1760E">
    <w:pPr>
      <w:pStyle w:val="En-tte"/>
      <w:jc w:val="right"/>
    </w:pPr>
    <w:fldSimple w:instr=" TITLE  \* MERGEFORMAT ">
      <w:r>
        <w:t>CERD/C/SVK/Q/13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777"/>
    <w:rsid w:val="00017F94"/>
    <w:rsid w:val="00023842"/>
    <w:rsid w:val="000334F9"/>
    <w:rsid w:val="0007796D"/>
    <w:rsid w:val="000B7790"/>
    <w:rsid w:val="00111F2F"/>
    <w:rsid w:val="0014365E"/>
    <w:rsid w:val="00176178"/>
    <w:rsid w:val="001F525A"/>
    <w:rsid w:val="00215BEC"/>
    <w:rsid w:val="00223272"/>
    <w:rsid w:val="0024779E"/>
    <w:rsid w:val="00262657"/>
    <w:rsid w:val="002D0F84"/>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A62E6"/>
    <w:rsid w:val="0080684C"/>
    <w:rsid w:val="00814777"/>
    <w:rsid w:val="00871C75"/>
    <w:rsid w:val="008776DC"/>
    <w:rsid w:val="009705C8"/>
    <w:rsid w:val="00984B29"/>
    <w:rsid w:val="009D5F1A"/>
    <w:rsid w:val="00A1760E"/>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 w:val="00FE16C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ACAE6B"/>
  <w15:docId w15:val="{31A5A848-27A3-4A7C-B84D-BAFAB28B9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17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09CERD/C/SVK/13" TargetMode="External"/><Relationship Id="rId3" Type="http://schemas.openxmlformats.org/officeDocument/2006/relationships/hyperlink" Target="https://undocs.org/fr/CERD/C/SVK/13" TargetMode="External"/><Relationship Id="rId7" Type="http://schemas.openxmlformats.org/officeDocument/2006/relationships/hyperlink" Target="https://undocs.org/fr/CERD/C/SVK/CO/11-12" TargetMode="External"/><Relationship Id="rId2" Type="http://schemas.openxmlformats.org/officeDocument/2006/relationships/hyperlink" Target="https://undocs.org/fr/CERD/C/SVK/CO/11-12" TargetMode="External"/><Relationship Id="rId1" Type="http://schemas.openxmlformats.org/officeDocument/2006/relationships/hyperlink" Target="https://undocs.org/fr/A/65/18" TargetMode="External"/><Relationship Id="rId6" Type="http://schemas.openxmlformats.org/officeDocument/2006/relationships/hyperlink" Target="https://undocs.org/fr/CERD/C/SVK/13" TargetMode="External"/><Relationship Id="rId11" Type="http://schemas.openxmlformats.org/officeDocument/2006/relationships/hyperlink" Target="https://undocs.org/fr/%09CERD/C/SVK/CO/11-12" TargetMode="External"/><Relationship Id="rId5" Type="http://schemas.openxmlformats.org/officeDocument/2006/relationships/hyperlink" Target="https://undocs.org/fr/CERD/C/SVK/13" TargetMode="External"/><Relationship Id="rId10" Type="http://schemas.openxmlformats.org/officeDocument/2006/relationships/hyperlink" Target="https://undocs.org/fr/CERD/C/SVK/13" TargetMode="External"/><Relationship Id="rId4" Type="http://schemas.openxmlformats.org/officeDocument/2006/relationships/hyperlink" Target="https://undocs.org/fr/CERD/C/SVK/CO/11-12" TargetMode="External"/><Relationship Id="rId9" Type="http://schemas.openxmlformats.org/officeDocument/2006/relationships/hyperlink" Target="https://undocs.org/fr/CERD/C/SVK/CO/1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1075</Words>
  <Characters>5988</Characters>
  <Application>Microsoft Office Word</Application>
  <DocSecurity>0</DocSecurity>
  <Lines>108</Lines>
  <Paragraphs>39</Paragraphs>
  <ScaleCrop>false</ScaleCrop>
  <HeadingPairs>
    <vt:vector size="2" baseType="variant">
      <vt:variant>
        <vt:lpstr>Titre</vt:lpstr>
      </vt:variant>
      <vt:variant>
        <vt:i4>1</vt:i4>
      </vt:variant>
    </vt:vector>
  </HeadingPairs>
  <TitlesOfParts>
    <vt:vector size="1" baseType="lpstr">
      <vt:lpstr>CERD/C/SVK/Q/13</vt:lpstr>
    </vt:vector>
  </TitlesOfParts>
  <Company>DCM</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CERD/C/SVK/Q/13</dc:title>
  <dc:subject/>
  <dc:creator>Marie DESCHAMPS</dc:creator>
  <cp:keywords/>
  <cp:lastModifiedBy>Marie Deschamps</cp:lastModifiedBy>
  <cp:revision>2</cp:revision>
  <cp:lastPrinted>2014-05-14T10:59:00Z</cp:lastPrinted>
  <dcterms:created xsi:type="dcterms:W3CDTF">2022-06-28T08:32:00Z</dcterms:created>
  <dcterms:modified xsi:type="dcterms:W3CDTF">2022-06-28T08:32:00Z</dcterms:modified>
</cp:coreProperties>
</file>