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719" w:rsidRDefault="008B77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7A303E" w:rsidRPr="006D5EE8" w:rsidRDefault="007A303E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 170407   061107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8B7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8B7719" w:rsidRDefault="008B77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8B7719" w:rsidRDefault="008B77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8B77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019" r:id="rId8"/>
              </w:object>
            </w:r>
          </w:p>
          <w:p w:rsidR="008B7719" w:rsidRDefault="008B77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0C082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8B7719" w:rsidRDefault="008B7719"/>
          <w:p w:rsidR="008B7719" w:rsidRDefault="008B77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8B7719" w:rsidRDefault="008B77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8B7719" w:rsidRDefault="008B77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8B7719" w:rsidRDefault="008B77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892FEB">
              <w:rPr>
                <w:sz w:val="22"/>
                <w:lang w:val="en-US"/>
              </w:rPr>
              <w:fldChar w:fldCharType="separate"/>
            </w:r>
            <w:r w:rsidR="00892FEB">
              <w:rPr>
                <w:sz w:val="22"/>
                <w:lang w:val="en-US"/>
              </w:rPr>
              <w:t>CERD/C/SR.1736</w:t>
            </w:r>
            <w:r>
              <w:rPr>
                <w:sz w:val="22"/>
                <w:lang w:val="en-US"/>
              </w:rPr>
              <w:fldChar w:fldCharType="end"/>
            </w:r>
          </w:p>
          <w:p w:rsidR="008B7719" w:rsidRPr="006D5EE8" w:rsidRDefault="006D5EE8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6</w:t>
            </w:r>
            <w:r w:rsidR="008B7719">
              <w:rPr>
                <w:sz w:val="22"/>
                <w:lang w:val="en-US"/>
              </w:rPr>
              <w:fldChar w:fldCharType="begin"/>
            </w:r>
            <w:r w:rsidR="008B7719">
              <w:rPr>
                <w:sz w:val="22"/>
              </w:rPr>
              <w:instrText xml:space="preserve"> </w:instrText>
            </w:r>
            <w:r w:rsidR="008B7719">
              <w:rPr>
                <w:sz w:val="22"/>
                <w:lang w:val="en-US"/>
              </w:rPr>
              <w:instrText>FILLIN</w:instrText>
            </w:r>
            <w:r w:rsidR="008B7719">
              <w:rPr>
                <w:sz w:val="22"/>
              </w:rPr>
              <w:instrText xml:space="preserve">  "Введите дату документа" \* </w:instrText>
            </w:r>
            <w:r w:rsidR="008B7719">
              <w:rPr>
                <w:sz w:val="22"/>
                <w:lang w:val="en-US"/>
              </w:rPr>
              <w:instrText>MERGEFORMAT</w:instrText>
            </w:r>
            <w:r w:rsidR="008B7719">
              <w:rPr>
                <w:sz w:val="22"/>
              </w:rPr>
              <w:instrText xml:space="preserve"> </w:instrText>
            </w:r>
            <w:r w:rsidR="00892FEB">
              <w:rPr>
                <w:sz w:val="22"/>
                <w:lang w:val="en-US"/>
              </w:rPr>
              <w:fldChar w:fldCharType="separate"/>
            </w:r>
            <w:r w:rsidR="00892FEB">
              <w:rPr>
                <w:sz w:val="22"/>
                <w:lang w:val="en-US"/>
              </w:rPr>
              <w:t xml:space="preserve"> November 2007</w:t>
            </w:r>
            <w:r w:rsidR="008B7719">
              <w:rPr>
                <w:sz w:val="22"/>
                <w:lang w:val="en-US"/>
              </w:rPr>
              <w:fldChar w:fldCharType="end"/>
            </w:r>
          </w:p>
          <w:p w:rsidR="008B7719" w:rsidRDefault="008B7719">
            <w:pPr>
              <w:spacing w:line="216" w:lineRule="auto"/>
              <w:rPr>
                <w:sz w:val="22"/>
              </w:rPr>
            </w:pPr>
          </w:p>
          <w:p w:rsidR="008B7719" w:rsidRDefault="008B77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8B7719" w:rsidRDefault="008B77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Pr="008D7A5D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8B7719" w:rsidRDefault="008B7719">
            <w:pPr>
              <w:rPr>
                <w:lang w:val="en-US"/>
              </w:rPr>
            </w:pPr>
          </w:p>
          <w:p w:rsidR="008B7719" w:rsidRDefault="008B77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8B7719" w:rsidRDefault="008B77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98315F" w:rsidRDefault="0098315F" w:rsidP="0098315F">
      <w:pPr>
        <w:jc w:val="center"/>
      </w:pPr>
      <w:r>
        <w:t>КОМИТЕТ ПО ЛИКВИДАЦИИ РАСОВОЙ ДИСКРИМИНАЦИИ</w:t>
      </w:r>
    </w:p>
    <w:p w:rsidR="0098315F" w:rsidRDefault="0098315F" w:rsidP="0098315F">
      <w:pPr>
        <w:jc w:val="center"/>
      </w:pPr>
    </w:p>
    <w:p w:rsidR="0098315F" w:rsidRDefault="0098315F" w:rsidP="0098315F">
      <w:pPr>
        <w:jc w:val="center"/>
      </w:pPr>
      <w:r>
        <w:t>Шестьдесят восьмая сессия</w:t>
      </w:r>
    </w:p>
    <w:p w:rsidR="0098315F" w:rsidRDefault="0098315F" w:rsidP="0098315F">
      <w:pPr>
        <w:jc w:val="center"/>
      </w:pPr>
    </w:p>
    <w:p w:rsidR="0098315F" w:rsidRDefault="0098315F" w:rsidP="0098315F">
      <w:pPr>
        <w:jc w:val="center"/>
      </w:pPr>
      <w:r>
        <w:t>КРАТКИЙ ОТЧЕТ О 1736-м ЗАСЕДАНИИ,</w:t>
      </w:r>
    </w:p>
    <w:p w:rsidR="0098315F" w:rsidRDefault="0098315F" w:rsidP="0098315F">
      <w:pPr>
        <w:jc w:val="center"/>
      </w:pPr>
    </w:p>
    <w:p w:rsidR="0098315F" w:rsidRDefault="0098315F" w:rsidP="0098315F">
      <w:pPr>
        <w:jc w:val="center"/>
      </w:pPr>
      <w:r>
        <w:t>состоявшемся во Дворце Вильсона в Женеве</w:t>
      </w:r>
    </w:p>
    <w:p w:rsidR="0098315F" w:rsidRDefault="0098315F" w:rsidP="0098315F">
      <w:pPr>
        <w:jc w:val="center"/>
      </w:pPr>
      <w:r>
        <w:t>в четверг, 23 февраля 2006 года, в 10 час. 00 мин.</w:t>
      </w:r>
    </w:p>
    <w:p w:rsidR="0098315F" w:rsidRDefault="0098315F" w:rsidP="0098315F">
      <w:pPr>
        <w:jc w:val="center"/>
      </w:pPr>
    </w:p>
    <w:p w:rsidR="0098315F" w:rsidRDefault="0098315F" w:rsidP="0098315F">
      <w:pPr>
        <w:jc w:val="center"/>
        <w:rPr>
          <w:lang w:val="en-US"/>
        </w:rPr>
      </w:pPr>
      <w:r>
        <w:rPr>
          <w:u w:val="single"/>
        </w:rPr>
        <w:t>Председатель</w:t>
      </w:r>
      <w:r>
        <w:t>:  г-н де ГУТТ</w:t>
      </w:r>
    </w:p>
    <w:p w:rsidR="0031521C" w:rsidRPr="0031521C" w:rsidRDefault="0031521C" w:rsidP="0098315F">
      <w:pPr>
        <w:jc w:val="center"/>
        <w:rPr>
          <w:lang w:val="en-US"/>
        </w:rPr>
      </w:pPr>
    </w:p>
    <w:p w:rsidR="0098315F" w:rsidRDefault="0098315F" w:rsidP="0098315F">
      <w:pPr>
        <w:jc w:val="center"/>
      </w:pPr>
      <w:r>
        <w:t>СОДЕРЖАНИЕ</w:t>
      </w:r>
    </w:p>
    <w:p w:rsidR="0098315F" w:rsidRDefault="0098315F" w:rsidP="0098315F">
      <w:pPr>
        <w:jc w:val="center"/>
      </w:pPr>
    </w:p>
    <w:p w:rsidR="0098315F" w:rsidRDefault="0098315F" w:rsidP="0098315F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216867">
        <w:rPr>
          <w:i/>
        </w:rPr>
        <w:t>продолжение</w:t>
      </w:r>
      <w:r>
        <w:t>)</w:t>
      </w:r>
    </w:p>
    <w:p w:rsidR="0098315F" w:rsidRDefault="0098315F" w:rsidP="0098315F"/>
    <w:p w:rsidR="0098315F" w:rsidRPr="0098315F" w:rsidRDefault="0098315F" w:rsidP="0066300E">
      <w:pPr>
        <w:ind w:left="567" w:hanging="567"/>
      </w:pPr>
      <w:r>
        <w:tab/>
      </w:r>
      <w:r>
        <w:rPr>
          <w:u w:val="single"/>
        </w:rPr>
        <w:t>Первоначальный доклад и второй-шестой периодические доклады Боснии и Герцеговины</w:t>
      </w:r>
      <w:r>
        <w:t xml:space="preserve"> (</w:t>
      </w:r>
      <w:r w:rsidRPr="00216867">
        <w:rPr>
          <w:i/>
        </w:rPr>
        <w:t>продолжение</w:t>
      </w:r>
      <w:r>
        <w:t>)</w:t>
      </w:r>
    </w:p>
    <w:p w:rsidR="0098315F" w:rsidRPr="003B7A78" w:rsidRDefault="0098315F" w:rsidP="0098315F">
      <w:pPr>
        <w:rPr>
          <w:sz w:val="20"/>
        </w:rPr>
      </w:pPr>
    </w:p>
    <w:p w:rsidR="0098315F" w:rsidRDefault="0066300E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>___________________</w:t>
      </w:r>
    </w:p>
    <w:p w:rsidR="0098315F" w:rsidRDefault="0098315F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В настоящий отчет могут вноситься поправки.</w:t>
      </w:r>
    </w:p>
    <w:p w:rsidR="0098315F" w:rsidRDefault="0098315F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98315F" w:rsidRDefault="0098315F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</w:t>
      </w:r>
      <w:r w:rsidR="0031521C" w:rsidRPr="0031521C">
        <w:t xml:space="preserve"> </w:t>
      </w:r>
      <w:r>
        <w:t>4108, Дворец Наций, Женева.</w:t>
      </w:r>
    </w:p>
    <w:p w:rsidR="0098315F" w:rsidRDefault="0098315F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98315F" w:rsidRDefault="0098315F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3B7A78" w:rsidRDefault="003B7A78" w:rsidP="0098315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CF0131" w:rsidRDefault="0066300E" w:rsidP="00CF0131">
      <w:pPr>
        <w:jc w:val="center"/>
        <w:rPr>
          <w:i/>
          <w:iCs/>
        </w:rPr>
      </w:pPr>
      <w:r>
        <w:rPr>
          <w:i/>
          <w:iCs/>
        </w:rPr>
        <w:t>Заседание открывает</w:t>
      </w:r>
      <w:r w:rsidR="00216867">
        <w:rPr>
          <w:i/>
          <w:iCs/>
        </w:rPr>
        <w:t>ся</w:t>
      </w:r>
      <w:r>
        <w:rPr>
          <w:i/>
          <w:iCs/>
        </w:rPr>
        <w:t xml:space="preserve"> в 10 час. 05 мин.</w:t>
      </w:r>
    </w:p>
    <w:p w:rsidR="00CF0131" w:rsidRDefault="00CF0131" w:rsidP="00CF0131">
      <w:pPr>
        <w:jc w:val="center"/>
        <w:rPr>
          <w:i/>
          <w:iCs/>
        </w:rPr>
      </w:pPr>
    </w:p>
    <w:p w:rsidR="00CF0131" w:rsidRDefault="0066300E" w:rsidP="00CF0131">
      <w:pPr>
        <w:rPr>
          <w:i/>
          <w:iCs/>
        </w:rPr>
      </w:pPr>
      <w:r>
        <w:t>РАССМОТРЕНИЕ ДОКЛАДОВ, ЗАМЕЧАНИЙ И ИНФОРМАЦИИ, ПРЕДСТАВЛЯЕМ</w:t>
      </w:r>
      <w:r w:rsidR="00CF0131">
        <w:t>ЫХ</w:t>
      </w:r>
      <w:r>
        <w:t xml:space="preserve"> ГОСУДАРСТВАМИ-УЧАСТНИКАМИ В СООТВЕТСТВИИ СО СТАТЬЕЙ 9 КОНВЕНЦИИ (пункт 6 повестки дня) (</w:t>
      </w:r>
      <w:r>
        <w:rPr>
          <w:i/>
          <w:iCs/>
        </w:rPr>
        <w:t>продолжение)</w:t>
      </w:r>
    </w:p>
    <w:p w:rsidR="00CF0131" w:rsidRDefault="00CF0131" w:rsidP="00CF0131">
      <w:pPr>
        <w:rPr>
          <w:i/>
          <w:iCs/>
        </w:rPr>
      </w:pPr>
    </w:p>
    <w:p w:rsidR="00CF0131" w:rsidRDefault="0066300E" w:rsidP="00CF0131">
      <w:r>
        <w:rPr>
          <w:u w:val="single"/>
        </w:rPr>
        <w:t>Первоначальный доклад и второй-шестой периодические доклады Боснии и Герцеговины</w:t>
      </w:r>
      <w:r w:rsidR="00CF0131">
        <w:rPr>
          <w:u w:val="single"/>
        </w:rPr>
        <w:t xml:space="preserve"> </w:t>
      </w:r>
      <w:r>
        <w:t>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/464/</w:t>
      </w:r>
      <w:r>
        <w:rPr>
          <w:lang w:val="en-US"/>
        </w:rPr>
        <w:t>Add</w:t>
      </w:r>
      <w:r>
        <w:t>.1) (</w:t>
      </w:r>
      <w:r>
        <w:rPr>
          <w:i/>
          <w:iCs/>
        </w:rPr>
        <w:t>продолжение</w:t>
      </w:r>
      <w:r>
        <w:t>)</w:t>
      </w:r>
    </w:p>
    <w:p w:rsidR="00CF0131" w:rsidRDefault="00CF0131" w:rsidP="00CF0131"/>
    <w:p w:rsidR="00CF0131" w:rsidRDefault="0066300E" w:rsidP="00CF0131">
      <w:r>
        <w:t>1.</w:t>
      </w:r>
      <w:r>
        <w:tab/>
      </w:r>
      <w:r>
        <w:rPr>
          <w:i/>
          <w:iCs/>
        </w:rPr>
        <w:t>По приглашению Председателя члены делегации Боснии и Герцеговины занимают места за столом Комитета</w:t>
      </w:r>
      <w:r>
        <w:t>.</w:t>
      </w:r>
    </w:p>
    <w:p w:rsidR="00CF0131" w:rsidRDefault="00CF0131" w:rsidP="00CF0131"/>
    <w:p w:rsidR="006D5EE8" w:rsidRDefault="0066300E" w:rsidP="00CF0131">
      <w:r>
        <w:t>2.</w:t>
      </w:r>
      <w:r>
        <w:tab/>
      </w:r>
      <w:r>
        <w:rPr>
          <w:u w:val="single"/>
        </w:rPr>
        <w:t>Г-н НАГРАДИЧ</w:t>
      </w:r>
      <w:r>
        <w:t xml:space="preserve"> (Босния и Герцеговина) отмечает ряд особенностей политической структуры и конституционной реформы в Боснии и Герцеговине.  Конституция, принятая в результате заключения Д</w:t>
      </w:r>
      <w:r w:rsidR="00CF0131">
        <w:t>е</w:t>
      </w:r>
      <w:r>
        <w:t xml:space="preserve">йтонского мирного соглашения, наделяла два </w:t>
      </w:r>
      <w:r w:rsidR="00CF0131">
        <w:t>входящи</w:t>
      </w:r>
      <w:r w:rsidR="00216867">
        <w:t>х</w:t>
      </w:r>
      <w:r w:rsidR="00CF0131">
        <w:t xml:space="preserve"> в состав</w:t>
      </w:r>
      <w:r>
        <w:t xml:space="preserve"> Боснии и Герцеговины</w:t>
      </w:r>
      <w:r w:rsidR="00CF0131">
        <w:t xml:space="preserve"> образования</w:t>
      </w:r>
      <w:r>
        <w:t>,</w:t>
      </w:r>
      <w:r w:rsidR="00CF0131">
        <w:t xml:space="preserve"> а именно</w:t>
      </w:r>
      <w:r>
        <w:t xml:space="preserve"> Федерацию Боснии и Герцеговины и Республику Сербскую</w:t>
      </w:r>
      <w:r w:rsidR="00CF0131">
        <w:t>,</w:t>
      </w:r>
      <w:r>
        <w:t xml:space="preserve"> более </w:t>
      </w:r>
      <w:r w:rsidR="00046D08">
        <w:t>широкими</w:t>
      </w:r>
      <w:r>
        <w:t xml:space="preserve"> полномочиями, чем </w:t>
      </w:r>
      <w:r w:rsidR="00046D08">
        <w:t xml:space="preserve">центральную </w:t>
      </w:r>
      <w:r>
        <w:t>власт</w:t>
      </w:r>
      <w:r w:rsidR="00046D08">
        <w:t>ь</w:t>
      </w:r>
      <w:r>
        <w:t xml:space="preserve">.  Начиная с 1996 года значительное число сфер компетенции, в том числе в таких областях, как оборона и безопасность, а также в вопросах прав человека и беженцев, </w:t>
      </w:r>
      <w:r w:rsidR="00046D08">
        <w:t xml:space="preserve">были </w:t>
      </w:r>
      <w:r>
        <w:t xml:space="preserve">постепенно централизованы.  Власти Боснии и Герцеговины хорошо осознают, что положения Конституции являются в некоторых отношениях дискриминационными, и это касается, в частности, двух </w:t>
      </w:r>
      <w:r w:rsidR="00046D08">
        <w:t>аспектов:  с одной стороны, механизма</w:t>
      </w:r>
      <w:r>
        <w:t xml:space="preserve"> избрания </w:t>
      </w:r>
      <w:r w:rsidR="00046D08">
        <w:t xml:space="preserve">Президиума </w:t>
      </w:r>
      <w:r>
        <w:t>Боснии и Герцеговины, три члена которого (оди</w:t>
      </w:r>
      <w:r w:rsidR="00216867">
        <w:t>н</w:t>
      </w:r>
      <w:r>
        <w:t xml:space="preserve"> босниец, один хорват и один серб) должны обязательно быть избраны </w:t>
      </w:r>
      <w:r w:rsidR="00046D08">
        <w:t>на</w:t>
      </w:r>
      <w:r>
        <w:t xml:space="preserve"> территории образования, где соответствующи</w:t>
      </w:r>
      <w:r w:rsidR="00046D08">
        <w:t xml:space="preserve">й государственно-образующий народ, который они представляют, </w:t>
      </w:r>
      <w:r>
        <w:t>находится в большинстве;  с другой стороны, механизм</w:t>
      </w:r>
      <w:r w:rsidR="00CB1D74">
        <w:t>а</w:t>
      </w:r>
      <w:r>
        <w:t xml:space="preserve"> формирования палаты народов, согласно которому каждый </w:t>
      </w:r>
      <w:r w:rsidR="00CB1D74">
        <w:t xml:space="preserve">государственно-образующий </w:t>
      </w:r>
      <w:r>
        <w:t>народ</w:t>
      </w:r>
      <w:r w:rsidR="00CB1D74">
        <w:t xml:space="preserve"> </w:t>
      </w:r>
      <w:r>
        <w:t xml:space="preserve">имеет одинаковое число представителей.  </w:t>
      </w:r>
      <w:r w:rsidR="00CE097D">
        <w:t>В</w:t>
      </w:r>
      <w:r w:rsidR="00FF0092" w:rsidRPr="00FF0092">
        <w:t xml:space="preserve"> </w:t>
      </w:r>
      <w:r w:rsidR="00FF0092">
        <w:t xml:space="preserve">среде </w:t>
      </w:r>
      <w:r>
        <w:t>политических сил с</w:t>
      </w:r>
      <w:r w:rsidR="00FF0092">
        <w:t>ложился</w:t>
      </w:r>
      <w:r>
        <w:t xml:space="preserve"> консенсус в отношении изменения указанных положений, принятых в результате заключения Дейтонского соглашения.  Например, недавно было достигнуто согласие больше не указывать этническое происхождение после фамилий кандидатов на парламентских выборах, и это создает услови</w:t>
      </w:r>
      <w:r w:rsidR="00CE097D">
        <w:t>я</w:t>
      </w:r>
      <w:r>
        <w:t xml:space="preserve"> для того, что</w:t>
      </w:r>
      <w:r w:rsidR="00CE097D">
        <w:t>бы</w:t>
      </w:r>
      <w:r>
        <w:t xml:space="preserve"> в будущем </w:t>
      </w:r>
      <w:r w:rsidR="00CE097D">
        <w:t xml:space="preserve">возможность </w:t>
      </w:r>
      <w:r>
        <w:t xml:space="preserve">баллотироваться в члены </w:t>
      </w:r>
      <w:r w:rsidR="00CE097D">
        <w:t xml:space="preserve">Президиума могла быть открыта для </w:t>
      </w:r>
      <w:r>
        <w:t>кандидата, который не обязательно является сербом, боснийцем или хорватом.  Парламент должен высказать свое мнение по поводу данного предложения о проведении конституционно</w:t>
      </w:r>
      <w:r w:rsidR="00CE097D">
        <w:t>й</w:t>
      </w:r>
      <w:r>
        <w:t xml:space="preserve"> реформы, являющегося следствием политического консенсуса, а </w:t>
      </w:r>
      <w:r w:rsidR="00CE097D">
        <w:t xml:space="preserve">Избирательной </w:t>
      </w:r>
      <w:r>
        <w:t xml:space="preserve">комиссии надлежит соответственно изменить </w:t>
      </w:r>
    </w:p>
    <w:p w:rsidR="00CF0131" w:rsidRDefault="006D5EE8" w:rsidP="00CF0131">
      <w:r>
        <w:br w:type="page"/>
      </w:r>
      <w:r w:rsidR="0066300E">
        <w:t xml:space="preserve">избирательный закон.  Также существует консенсус на тот счет, чтобы позволить любому кандидату, выставляющему свою кандидатуру на выборах, избираться от территории образования, где соответствующий </w:t>
      </w:r>
      <w:r w:rsidR="00CE097D">
        <w:t xml:space="preserve">государственно-образующий народ, к </w:t>
      </w:r>
      <w:r w:rsidR="0066300E">
        <w:t>которому он принадлежит, не находится в большинстве.</w:t>
      </w:r>
    </w:p>
    <w:p w:rsidR="00CF0131" w:rsidRDefault="00CF0131" w:rsidP="00CF0131"/>
    <w:p w:rsidR="00CF0131" w:rsidRDefault="0066300E" w:rsidP="00CF0131">
      <w:r>
        <w:t>3.</w:t>
      </w:r>
      <w:r>
        <w:tab/>
        <w:t xml:space="preserve">Время диктует необходимость проведения этих реформ.  Следующие </w:t>
      </w:r>
      <w:r w:rsidR="00CE097D">
        <w:t xml:space="preserve">парламентские </w:t>
      </w:r>
      <w:r>
        <w:t>и президентские выборы должны состояться 1 октября 2006 года.  Вместе с тем</w:t>
      </w:r>
      <w:r w:rsidR="00292B05">
        <w:t>,</w:t>
      </w:r>
      <w:r>
        <w:t xml:space="preserve"> согласно действующему законодательству</w:t>
      </w:r>
      <w:r w:rsidR="00216867">
        <w:t>,</w:t>
      </w:r>
      <w:r>
        <w:t xml:space="preserve"> в течение шести месяцев, предшествующи</w:t>
      </w:r>
      <w:r w:rsidR="00292B05">
        <w:t>х</w:t>
      </w:r>
      <w:r>
        <w:t xml:space="preserve"> выборам, ни в </w:t>
      </w:r>
      <w:r w:rsidR="00292B05">
        <w:t>Конституцию</w:t>
      </w:r>
      <w:r>
        <w:t xml:space="preserve">, ни в </w:t>
      </w:r>
      <w:r w:rsidR="00292B05">
        <w:t xml:space="preserve">избирательный </w:t>
      </w:r>
      <w:r>
        <w:t xml:space="preserve">закон не могут вноситься изменения, и это подразумевает, что реформы должны быть </w:t>
      </w:r>
      <w:r w:rsidR="00292B05">
        <w:t xml:space="preserve">завершены </w:t>
      </w:r>
      <w:r>
        <w:t xml:space="preserve">до 1 апреля этого года.  В конечном счете </w:t>
      </w:r>
      <w:r w:rsidR="00292B05">
        <w:t xml:space="preserve">принцип </w:t>
      </w:r>
      <w:r>
        <w:t>равенств</w:t>
      </w:r>
      <w:r w:rsidR="00292B05">
        <w:t>а</w:t>
      </w:r>
      <w:r>
        <w:t xml:space="preserve"> между </w:t>
      </w:r>
      <w:r w:rsidR="00292B05">
        <w:t xml:space="preserve">государственно-образующими </w:t>
      </w:r>
      <w:r>
        <w:t>народами, закрепленн</w:t>
      </w:r>
      <w:r w:rsidR="00292B05">
        <w:t>ый</w:t>
      </w:r>
      <w:r>
        <w:t xml:space="preserve"> Дейтонской конституцией, </w:t>
      </w:r>
      <w:r w:rsidR="00263609">
        <w:t xml:space="preserve">а также его воплощение на практике </w:t>
      </w:r>
      <w:r>
        <w:t>выступа</w:t>
      </w:r>
      <w:r w:rsidR="00263609">
        <w:t>ю</w:t>
      </w:r>
      <w:r>
        <w:t xml:space="preserve">т определяющим фактором политической и иной стабильности для Боснии и Герцеговины.  Кроме того, всякое изменение положений, принятых в результате </w:t>
      </w:r>
      <w:r w:rsidR="00216867">
        <w:t>заключения</w:t>
      </w:r>
      <w:r>
        <w:t xml:space="preserve"> Дейтонского мирного соглашения, которое </w:t>
      </w:r>
      <w:r w:rsidR="00263609">
        <w:t>не</w:t>
      </w:r>
      <w:r>
        <w:t xml:space="preserve"> будет являться следствием полного согласия между всеми политическими и социальными силами Боснии и Герцеговины, может дестабилизировать обстановку в стране, которая в первую очередь стремится к миру.</w:t>
      </w:r>
    </w:p>
    <w:p w:rsidR="00CF0131" w:rsidRDefault="00CF0131" w:rsidP="00CF0131"/>
    <w:p w:rsidR="00CF0131" w:rsidRDefault="0066300E" w:rsidP="00CF0131">
      <w:r>
        <w:t>4.</w:t>
      </w:r>
      <w:r>
        <w:tab/>
        <w:t xml:space="preserve">Г-н Наградич также </w:t>
      </w:r>
      <w:r w:rsidR="00263609">
        <w:t>отмечает</w:t>
      </w:r>
      <w:r>
        <w:t xml:space="preserve">, что после вынесения в 2000 году Верховным судом постановления, предусматривавшего предоставление равного статуса каждому </w:t>
      </w:r>
      <w:r w:rsidR="00263609">
        <w:t xml:space="preserve">государственно-образующему </w:t>
      </w:r>
      <w:r>
        <w:t>народу на всей национальной территории</w:t>
      </w:r>
      <w:r w:rsidR="00263609">
        <w:t>,</w:t>
      </w:r>
      <w:r>
        <w:t xml:space="preserve"> в рамках образований произошли важные сдвиги.  Так, в настоящее время председателем Конституционного суда Республики Сербской является хорват, что до вынесения указанного постановления было просто немыслимым.  Многочисленные проблемы, связанные с равным представительством, особенно на уровне местных административно-управленческих органов, по</w:t>
      </w:r>
      <w:r>
        <w:noBreakHyphen/>
        <w:t>прежнему сохраня</w:t>
      </w:r>
      <w:r w:rsidR="00263609">
        <w:t>ю</w:t>
      </w:r>
      <w:r>
        <w:t xml:space="preserve">тся, несмотря на постоянное достижение прогресса в этой и других областях.  </w:t>
      </w:r>
    </w:p>
    <w:p w:rsidR="00CF0131" w:rsidRDefault="00CF0131" w:rsidP="00CF0131"/>
    <w:p w:rsidR="00CF0131" w:rsidRDefault="0066300E" w:rsidP="00CF0131">
      <w:r>
        <w:t>5.</w:t>
      </w:r>
      <w:r>
        <w:tab/>
      </w:r>
      <w:r>
        <w:rPr>
          <w:u w:val="single"/>
        </w:rPr>
        <w:t>Г-жа КАЛМЕТА</w:t>
      </w:r>
      <w:r>
        <w:t xml:space="preserve"> (Босния и Герцеговина) говорит, что во внутреннем правовом порядке Боснии и Герцеговины международные нормы имеют преимущественную силу по сравнению с национальными законами.  Они находят </w:t>
      </w:r>
      <w:r w:rsidR="00263609">
        <w:t xml:space="preserve">прямое </w:t>
      </w:r>
      <w:r>
        <w:t>отражение как в конституции, так и в вытекающем из нее законодательстве.  Инстанциями, непосредственно применяющими международные договоры, выступают главным образом Палата по правам человека и Конституционный суд, которые, например, могут ссылаться в своей работе на Международную конвенцию о ликвидации всех форм расовой дискриминации.  Однако с течением времени опыт в деле применения международных договоров приобрели также другие государственные органы и учреждения.  Основные трудности связаны с существованием в Боснии и Герцеговине традиции европейского права наряду с международными нормами, воплощающими в себе, в частности, англо</w:t>
      </w:r>
      <w:r w:rsidR="00263609">
        <w:t>-</w:t>
      </w:r>
      <w:r>
        <w:t xml:space="preserve">саксонское право, что ставит дилемму перед некоторыми </w:t>
      </w:r>
      <w:r w:rsidR="00EA43C6">
        <w:t>юристами</w:t>
      </w:r>
      <w:r>
        <w:t xml:space="preserve">.  Вместе с тем предпринятые важные </w:t>
      </w:r>
      <w:r w:rsidR="00EA43C6">
        <w:t>ре</w:t>
      </w:r>
      <w:r>
        <w:t xml:space="preserve">формы судебной системы, а также существенное обновление судейского корпуса уже начали приносить свои плоды. </w:t>
      </w:r>
    </w:p>
    <w:p w:rsidR="00CF0131" w:rsidRDefault="00CF0131" w:rsidP="00CF0131"/>
    <w:p w:rsidR="00CF0131" w:rsidRDefault="0066300E" w:rsidP="00CF0131">
      <w:r>
        <w:t>6.</w:t>
      </w:r>
      <w:r>
        <w:tab/>
        <w:t>В 2003 году с принятием нового Уголовного кодекса и согласованием уголовного законодательства двух образований, а также законодательства этих двух образований с законодательством района Брчко начал</w:t>
      </w:r>
      <w:r w:rsidR="00EA43C6">
        <w:t>ся</w:t>
      </w:r>
      <w:r>
        <w:t xml:space="preserve"> новый этап законодательной реформы.  Новые нормы </w:t>
      </w:r>
      <w:r w:rsidR="00EA43C6">
        <w:t>позволяют</w:t>
      </w:r>
      <w:r>
        <w:t xml:space="preserve">, например, подавать жалобы в ранее не существовавшие федеральные суды Боснии и Герцеговины в случае нарушений прав человека.  Хотя повышение информированности населения об этом средстве правовой защиты </w:t>
      </w:r>
      <w:r w:rsidR="00EA43C6">
        <w:t>по-прежнему</w:t>
      </w:r>
      <w:r>
        <w:t xml:space="preserve"> необходим</w:t>
      </w:r>
      <w:r w:rsidR="00EA43C6">
        <w:t>о</w:t>
      </w:r>
      <w:r>
        <w:t>, Комиссия по правам человека уже рассматривала целый ряд соответствующих дел по факту жалоб, поданных гражданами.  Шесть из этих дел касались вопросов расовой дискриминации.  В своих решениях судебные инстанции вменяют в обязанность соответствующи</w:t>
      </w:r>
      <w:r w:rsidR="00EA43C6">
        <w:t>м</w:t>
      </w:r>
      <w:r>
        <w:t xml:space="preserve"> государственны</w:t>
      </w:r>
      <w:r w:rsidR="00EA43C6">
        <w:t>м</w:t>
      </w:r>
      <w:r>
        <w:t xml:space="preserve"> административно-управленчески</w:t>
      </w:r>
      <w:r w:rsidR="00EA43C6">
        <w:t>м</w:t>
      </w:r>
      <w:r>
        <w:t xml:space="preserve"> орган</w:t>
      </w:r>
      <w:r w:rsidR="00EA43C6">
        <w:t>ам</w:t>
      </w:r>
      <w:r>
        <w:t xml:space="preserve"> прекратить всякую практику, которая может </w:t>
      </w:r>
      <w:r w:rsidR="00EA43C6">
        <w:t>на</w:t>
      </w:r>
      <w:r>
        <w:t xml:space="preserve">носить ущерб правам граждан.  В некоторых случаях, когда принятые решения проводились в жизнь недостаточно быстро или неудовлетворительным образом, правительство </w:t>
      </w:r>
      <w:r w:rsidR="00EA43C6">
        <w:t xml:space="preserve">часто </w:t>
      </w:r>
      <w:r>
        <w:t xml:space="preserve">осуществляло успешные меры вмешательства с целью исправления положения.  </w:t>
      </w:r>
    </w:p>
    <w:p w:rsidR="00CF0131" w:rsidRDefault="00CF0131" w:rsidP="00CF0131"/>
    <w:p w:rsidR="00CF0131" w:rsidRDefault="0066300E" w:rsidP="00CF0131">
      <w:pPr>
        <w:rPr>
          <w:i/>
          <w:iCs/>
        </w:rPr>
      </w:pPr>
      <w:r>
        <w:t>7.</w:t>
      </w:r>
      <w:r>
        <w:tab/>
        <w:t>Г-жа Калмета говорит, что в Боснии и Герцеговине положение, четко запрещающее какую бы то ни было дискриминацию по признаку расы, языка, религии или по любому другому признаку, отныне систематически включается в любой новый закон, принимаемый парламентом.  Так, права, которыми каждый человек может пользоваться без дискриминации, прописан</w:t>
      </w:r>
      <w:r w:rsidR="007D04D0">
        <w:t>ы</w:t>
      </w:r>
      <w:r>
        <w:t xml:space="preserve">, в частности, в Законе о </w:t>
      </w:r>
      <w:r w:rsidR="007D04D0">
        <w:t>гендерном</w:t>
      </w:r>
      <w:r w:rsidR="00216867">
        <w:t xml:space="preserve"> равенстве</w:t>
      </w:r>
      <w:r w:rsidR="007D04D0">
        <w:t xml:space="preserve">, Законе </w:t>
      </w:r>
      <w:r>
        <w:t>о свободе</w:t>
      </w:r>
      <w:r w:rsidR="007D04D0">
        <w:t xml:space="preserve"> вероисповедания</w:t>
      </w:r>
      <w:r>
        <w:t xml:space="preserve"> и </w:t>
      </w:r>
      <w:r w:rsidR="007D04D0">
        <w:t xml:space="preserve">правовом </w:t>
      </w:r>
      <w:r>
        <w:t>статусе религиозных</w:t>
      </w:r>
      <w:r w:rsidR="007D04D0">
        <w:t xml:space="preserve"> объединений и</w:t>
      </w:r>
      <w:r>
        <w:t xml:space="preserve"> общин в Боснии и Герцеговине, Законе о перемещенных лицах и беженцах в Боснии и Герцеговине, а также Законе об ассоциациях и фондах Боснии и Герцеговины.  Таким образом, лица, которые считают себя жертвами дискриминации, отныне могут ссылаться в судах не только на международные конвенции и договор</w:t>
      </w:r>
      <w:r w:rsidR="007D04D0">
        <w:t>ы</w:t>
      </w:r>
      <w:r>
        <w:t>, стороной котор</w:t>
      </w:r>
      <w:r w:rsidR="007D04D0">
        <w:t>ых</w:t>
      </w:r>
      <w:r>
        <w:t xml:space="preserve"> является Босния и Герцеговина, но и на соответствующие национальные нормативные акты и требовать принятия мер с целью исправления положения или же обратиться в Конституционный суд </w:t>
      </w:r>
      <w:r w:rsidR="007D04D0">
        <w:t xml:space="preserve">на предмет </w:t>
      </w:r>
      <w:r>
        <w:t>предоставления им возмещения.  В тех случаях</w:t>
      </w:r>
      <w:r w:rsidR="007D04D0">
        <w:t>,</w:t>
      </w:r>
      <w:r>
        <w:t xml:space="preserve"> когда </w:t>
      </w:r>
      <w:r w:rsidR="007D04D0">
        <w:t xml:space="preserve">заявители </w:t>
      </w:r>
      <w:r>
        <w:t xml:space="preserve">являются жертвами войны, государство из-за незначительного объема имеющихся у него ресурсов </w:t>
      </w:r>
      <w:r w:rsidR="00082021">
        <w:t xml:space="preserve"> зачастую не в состоянии </w:t>
      </w:r>
      <w:r>
        <w:t>выплатить жертвам ту сумму, на которую они могут претендовать в соответствии с международными нормами.</w:t>
      </w:r>
    </w:p>
    <w:p w:rsidR="007A3357" w:rsidRDefault="007A3357" w:rsidP="00A46529"/>
    <w:p w:rsidR="007A3357" w:rsidRDefault="007A3357" w:rsidP="00A46529">
      <w:r>
        <w:br w:type="page"/>
        <w:t>8.</w:t>
      </w:r>
      <w:r>
        <w:tab/>
        <w:t>В период с 1996 по 2003 год многие беженцы и перемещенные лица, которые хотели возвратиться к себе домой, отказались от этой идеи, поскольку они сталкивались с дискриминационным отношением, особенно в области занятости, обусловленным, в частности, их этническим происхождением и религиозными убеждениями,.  С тех пор как в соответствии со статьей 145 Уголовного кодекса национальным и местным правительственным органам и государственным учреждениям было запрещено поощрять расовую дискриминацию или осуществлять подстрекательство к ней, а акты дискриминации стали квалифицироваться в качестве преступления, положение репатриантов улучшилось, и количество противоправных деяний, совершенных по отношению к ним, явно сократилось.  В то же время опрос репатриантов, проведенный в 2005 году, показал, что около 77% боснийцев, 63% хорватов и 64% сербов чувствуют себя в безопасности у себя дома, тогда как 1,5% боснийцев, 3,5% хорватов и 1,3% сербов не чувствуют себя в безопасности.</w:t>
      </w:r>
    </w:p>
    <w:p w:rsidR="007A3357" w:rsidRDefault="007A3357" w:rsidP="00A46529"/>
    <w:p w:rsidR="007A3357" w:rsidRDefault="007A3357" w:rsidP="00A46529">
      <w:r>
        <w:t>9.</w:t>
      </w:r>
      <w:r>
        <w:tab/>
        <w:t>Г-жа Калмета отмечает, что после делимитации государственных границ и создания таможенных служб компетентным органам стало легче регулировать проблему притока подпольных мигрантов и в то же время обеспечивать более эффективную защиту прав этих лиц и действеннее бороться с торговлей людьми.</w:t>
      </w:r>
    </w:p>
    <w:p w:rsidR="007A3357" w:rsidRDefault="007A3357" w:rsidP="00A46529"/>
    <w:p w:rsidR="007A3357" w:rsidRDefault="007A3357" w:rsidP="00A46529">
      <w:r>
        <w:t>10.</w:t>
      </w:r>
      <w:r>
        <w:tab/>
        <w:t xml:space="preserve">Что касается права убежища, то функции по оказанию большинства услуг, которые раньше осуществлялись Управлением Верховного комиссара по делам беженцев, несколько лет назад перешли к властям Боснии и Герцеговины, которые, к сожалению, не располагают необходимыми средствами для создания центров приема беженцев.  </w:t>
      </w:r>
    </w:p>
    <w:p w:rsidR="007A3357" w:rsidRDefault="007A3357" w:rsidP="00A46529"/>
    <w:p w:rsidR="007A3357" w:rsidRDefault="007A3357" w:rsidP="00A46529">
      <w:r>
        <w:t>11.</w:t>
      </w:r>
      <w:r>
        <w:tab/>
      </w:r>
      <w:r>
        <w:rPr>
          <w:u w:val="single"/>
        </w:rPr>
        <w:t>Г-жа ТАРАБА</w:t>
      </w:r>
      <w:r>
        <w:t xml:space="preserve"> (Босния и Герцеговина) говорит, что ряд пробелов, обнаруженных некоторыми экспертами в находящемся на рассмотрении докладе, объясняются тем, что министерство по правам человека и делам беженцев, уполномоченное заниматься разработкой докладов об осуществлении международных договоров, стороной которых является Босния и Герцеговина, слишком загружено работой.  Из-за нехватки средств это министерство не смогло провести консультации с неправительственными организациями (НПО) в ходе подготовки доклада, но оно позаботилось о включении всех имеющихся данных, представленных НПО по вопросам, интересующим Комитет.</w:t>
      </w:r>
    </w:p>
    <w:p w:rsidR="007A3357" w:rsidRDefault="007A3357" w:rsidP="00A46529"/>
    <w:p w:rsidR="007A3357" w:rsidRDefault="007A3357" w:rsidP="00A46529">
      <w:r>
        <w:t>12.</w:t>
      </w:r>
      <w:r>
        <w:tab/>
        <w:t xml:space="preserve">Статья 143 Трудового кодекса Федерации и статья 152 Трудового кодекса Республики Сербской обеспечивают лицам, незаконно уволенным во время войны, возможность обращения в специальные комиссии, созданные в каждом образовании, с целью возможного получения возмещения.  В одной лишь Республике Сербской соответствующей комиссией было получено 60 000 жалоб, однако процедура рассмотрения является длительной, и комиссии не всегда располагают достаточными доказательствами для того, чтобы вынести свое решение.  Кроме того, в докладе, опубликованном в 2003 году, омбудсмен по правам человека подчеркнул, что когда заявители выигрывают дело, по причине нехватки ресурсов в Боснии и Герцеговины они не всегда уверены, что получат причитающуюся им компенсацию. </w:t>
      </w:r>
    </w:p>
    <w:p w:rsidR="007A3357" w:rsidRDefault="007A3357" w:rsidP="00A46529"/>
    <w:p w:rsidR="007A3357" w:rsidRDefault="007A3357" w:rsidP="00A46529">
      <w:r>
        <w:t>13.</w:t>
      </w:r>
      <w:r>
        <w:tab/>
        <w:t>В отношении случая рабочих Мостарского алюминиевого завода, уволенных после 1991 года, г-жа Тараба заявляет, что 15 июня 2005 года между представителями профсоюза и администрации было заключено соглашение, которое представляет собой значительный шаг вперед и может служить примером для других предприятий, которые могут сталкиваться с аналогичными проблемами.</w:t>
      </w:r>
    </w:p>
    <w:p w:rsidR="007A3357" w:rsidRDefault="007A3357" w:rsidP="00A46529"/>
    <w:p w:rsidR="004677FB" w:rsidRDefault="007A3357" w:rsidP="00A46529">
      <w:r>
        <w:t>14.</w:t>
      </w:r>
      <w:r>
        <w:tab/>
        <w:t>С тем чтобы гарантировать права религиозных меньшинств и обеспечить наказание по факту надругательства над местами отправления религиозного культа, в 2004 году в Боснии и Герцеговине был принят Закон о свободе вероисповедания и правовом статусе религиозных объединений и общин, а Уголовный кодекс квалифицирует в качестве уголовно-наказуемого деяния осквернение могил и предусматривает наказание за него.</w:t>
      </w:r>
      <w:r w:rsidR="004677FB">
        <w:t xml:space="preserve">  Кроме того, был создан Межрелигиозный совет Боснии и Герцеговины, который играет основополагающую роль при осуществлении различной деятельности, направленной на поощрение терпимости и обеспечение сосуществования различных конфессий на территории страны. </w:t>
      </w:r>
    </w:p>
    <w:p w:rsidR="004677FB" w:rsidRDefault="004677FB" w:rsidP="00A46529"/>
    <w:p w:rsidR="004677FB" w:rsidRDefault="004677FB" w:rsidP="00A46529">
      <w:r>
        <w:t>15.</w:t>
      </w:r>
      <w:r>
        <w:tab/>
        <w:t>Омбудсмен по правам человека уполномочен обращать внимание властей на факты нарушения прав человека, доведенные до его сведения, и может принимать решение о проведении расследования, если сочтет это необходимым.  Государственные должностные лица, располагающие надлежащими сведениями, но не желающие сотрудничать в ходе проведения расследования, могут быть подвергнуты дисциплинарному наказанию или же даже отданы под суд.</w:t>
      </w:r>
    </w:p>
    <w:p w:rsidR="004677FB" w:rsidRDefault="004677FB" w:rsidP="00A46529"/>
    <w:p w:rsidR="004677FB" w:rsidRDefault="004677FB" w:rsidP="00A46529">
      <w:r>
        <w:t>16.</w:t>
      </w:r>
      <w:r>
        <w:tab/>
      </w:r>
      <w:r>
        <w:rPr>
          <w:u w:val="single"/>
        </w:rPr>
        <w:t>Г-жа РАДИЧ</w:t>
      </w:r>
      <w:r>
        <w:t xml:space="preserve"> (Босния и Герцеговина) напоминает членам Комитета, что основная часть рассматриваемого доклада была подготовлена до 2004 года и что после этого в области образования был достигнут определенный прогресс.  Структура системы образования в Боснии и Герцеговине является сложной, однако значительная часть функций в области образования, как правило, возложена на кантональные образования, что объясняет наличие в стране 13 министерств образования.  Федеральное министерство образования призвано обеспечивать исключительно координацию деятельности между различными кантональными образованиями.</w:t>
      </w:r>
    </w:p>
    <w:p w:rsidR="004677FB" w:rsidRDefault="004677FB" w:rsidP="00A46529"/>
    <w:p w:rsidR="004677FB" w:rsidRDefault="004677FB" w:rsidP="00A46529">
      <w:r>
        <w:br w:type="page"/>
        <w:t>17.</w:t>
      </w:r>
      <w:r>
        <w:tab/>
        <w:t>Г-жа Радич уточняет, что деятельность в сферах начального и среднего образования регулируется рамочным законом 2003 года, который устанавливает общие цели образования исходя из общепризнанных целей демократического общества и собственных ценностей системы, основанных на национальных, исторических, культурных и религиозных традициях.  Закон гарантирует доступ к образованию для всех и обеспечивает защиту права на образование.  Он определяет ряд базовых принципов образования и включает в себя также положения, касающиеся интеграции и образования детей, которые недавно прибыли в страну.  Рамочный закон также направлен на согласование законодательства, применяющегося различными кантонами в области образования.  В процессе разработки находятся другие законы, касающиеся дошкольного воспитания, среднего профессионального образования и высшего образования.</w:t>
      </w:r>
    </w:p>
    <w:p w:rsidR="004677FB" w:rsidRDefault="004677FB" w:rsidP="00A46529"/>
    <w:p w:rsidR="004677FB" w:rsidRDefault="004677FB" w:rsidP="00A46529">
      <w:r>
        <w:t>18.</w:t>
      </w:r>
      <w:r>
        <w:tab/>
        <w:t>Применительно к программам и стратегиям, разработанным в области образования, г</w:t>
      </w:r>
      <w:r>
        <w:noBreakHyphen/>
        <w:t>жа Радич ссылается на принятие в 2005 году национального плана действий, который строится на Дакарской рамочной программе действий "Образование для всех" и направлен на развитие системы школьного обучения.  В 2002 году министерства образования подписали соглашение, предусматривающее поощрение школьного обучения детей, недавно прибывших в страну, а также соглашение, направленное на более эффективное удовлетворение образовательных потребностей меньшинства рома и других меньшинств.</w:t>
      </w:r>
    </w:p>
    <w:p w:rsidR="004677FB" w:rsidRDefault="004677FB" w:rsidP="00A46529"/>
    <w:p w:rsidR="004677FB" w:rsidRDefault="004677FB" w:rsidP="00A46529">
      <w:r>
        <w:t>19.</w:t>
      </w:r>
      <w:r>
        <w:tab/>
        <w:t>Г-жа Радич признает, что власти Боснии и Герцеговины сталкиваются с огромными трудностями в осуществлении программ и стратегий, разработанных ими в области образования, и что с их стороны требуются более активные усилия.  В числе трудностей можно отметить отсутствие координации между министерствами образования, дробление функций между различными компетентными органами в области образования, нехватка финансовых средств и в некоторых случаях ненадлежащее использование имеющихся ресурсов.  Федеральное министерство образования намерено активизировать усилия с целью предоставления различным кантональным министерствам поддержки, необходимой им для более эффективного осуществления соответствующих законов и программ.  В этой связи следует отметить, что федеральное министерство образования, как правило, не осуществляет никакой деятельности в районе Брчко и Республике Сербской.</w:t>
      </w:r>
    </w:p>
    <w:p w:rsidR="004677FB" w:rsidRDefault="004677FB" w:rsidP="00A46529"/>
    <w:p w:rsidR="004677FB" w:rsidRDefault="004677FB" w:rsidP="00A46529">
      <w:r>
        <w:t>20.</w:t>
      </w:r>
      <w:r>
        <w:tab/>
        <w:t>Представитель Боснии и Герцеговины говорит, что большинство моноэтнических школ, которые были сравнительно многочисленными сразу же после конфликта, находятся в процессе исчезновения и в любом случае власти отныне нетерпимо относятся к их существованию.  Небольшое число таких школ сохраняется в районах, где некоторые этнические группы находятся в явном большинстве.  Боснию и Герцеговину больше волнует проблема этнической сегрегации в учебных заведениях, в результате которой разные школы занимают одно помещение, но являются независимыми в административном отношении и дают неодинаковое образование.  В настоящее время существуют 52 школы такого типа, которые сосредоточены в трех кантонах.  Соответствующая федеральная комиссия была уполномочена провести инспекции в кантонах, где такие школы наиболее широко распространены, и представить парламенту доклад о путях исправления сложившейся ситуации.</w:t>
      </w:r>
    </w:p>
    <w:p w:rsidR="004677FB" w:rsidRDefault="004677FB" w:rsidP="00A46529"/>
    <w:p w:rsidR="004677FB" w:rsidRDefault="004677FB" w:rsidP="00A46529">
      <w:r>
        <w:t>21.</w:t>
      </w:r>
      <w:r>
        <w:tab/>
        <w:t>Представитель уточняет, что рамочный закон о начальном и среднем образовании четко запрещает дискриминацию по признаку языка, а в Конституции признаются три официальных языка (боснийский, хорватский и сербский) и два алфавита (латинский и кириллица).  Таким образом, указанные три языка и два алфавита используются в начальных школах одинаково, и ни один язык не имеет привилегированного статуса.  Власти прилагают неустанные усилия для того, чтобы все дети могли проходить обучение на своем родном языке.  В районах, где проживают преимущественно сербы, дети начинают изучать кириллицу в начальной школе, а затем приступают к усвоению латинского алфавита в средней школе.  В то же время для детей, являющихся по своему происхождению боснийцами и хорватами, сначала преподается латинский алфавит, а затем в средней школе они начинают изучать кириллицу.</w:t>
      </w:r>
    </w:p>
    <w:p w:rsidR="004677FB" w:rsidRDefault="004677FB" w:rsidP="00A46529"/>
    <w:p w:rsidR="004677FB" w:rsidRDefault="004677FB" w:rsidP="00A46529">
      <w:r>
        <w:t>22.</w:t>
      </w:r>
      <w:r>
        <w:tab/>
        <w:t>Представитель добавляет, что рамочный закон о начальном и среднем образовании устанавливает ряд общих целей в сфере образования, включая, в частности, поощрение уважения прав человека, воспитание в духе культурных и религиозных традиций, поощрение терпимости и взаимопонимания между общинами.  В августе 2003 года во всех кантонах были разработаны совместные программы, предусматривающие уделение пристального внимания терпимости и уважению разнообразия между общинами.</w:t>
      </w:r>
    </w:p>
    <w:p w:rsidR="004677FB" w:rsidRDefault="004677FB" w:rsidP="00A46529"/>
    <w:p w:rsidR="004677FB" w:rsidRDefault="004677FB" w:rsidP="00A46529">
      <w:r>
        <w:t>23.</w:t>
      </w:r>
      <w:r>
        <w:tab/>
      </w:r>
      <w:r>
        <w:rPr>
          <w:u w:val="single"/>
        </w:rPr>
        <w:t>Г-жа ОДОБАСИЧ</w:t>
      </w:r>
      <w:r>
        <w:t xml:space="preserve"> (Босния и Герцеговина) говорит, что органы, регламентирующие деятельность средств печати и электронных СМИ, провели значительную работу за период с 1998 года, когда в Боснии и Герцеговине насчитывалось около 3 000 органов печати и радио- и телевещания, которые в некоторых случаях распространяли материалы, разжигающие ненависть по отношению к той или иной этнической общине.  В Боснии и Герцеговине был разработан кодекс, регулирующий порядок вещания радио- и телевизионных программ, который основывается на положениях Европейской конвенции о правах человека и Всеобщей декларации прав человека, включая ее статью 19.</w:t>
      </w:r>
    </w:p>
    <w:p w:rsidR="004677FB" w:rsidRDefault="004677FB" w:rsidP="00A46529"/>
    <w:p w:rsidR="004677FB" w:rsidRDefault="003229FB" w:rsidP="00A46529">
      <w:r>
        <w:br w:type="page"/>
      </w:r>
      <w:r w:rsidR="004677FB">
        <w:t>24.</w:t>
      </w:r>
      <w:r w:rsidR="004677FB">
        <w:tab/>
        <w:t>Г-жа Одобасич указывает, что работа Коммуникационного регламентационного агентства (пункт 194 доклада), которое отвечает за регулирование деятельности и принятие соответствующих санкций в отношении телекоммуникационных органов и электронных средств массовой информации на всей территории Боснии и Герцеговины, позволила добиться значительного прогресса в области борьбы с расовой дискриминацией.  Так, сегодня заявления, подстрекающие к этнической ненависти или нетерпимости, которые были широко распространены в средствах массовой информации в 1998 году, практически исчезли.</w:t>
      </w:r>
    </w:p>
    <w:p w:rsidR="004677FB" w:rsidRDefault="004677FB" w:rsidP="00A46529"/>
    <w:p w:rsidR="004677FB" w:rsidRDefault="004677FB" w:rsidP="00A46529">
      <w:r>
        <w:t>25.</w:t>
      </w:r>
      <w:r>
        <w:tab/>
      </w:r>
      <w:r>
        <w:rPr>
          <w:u w:val="single"/>
        </w:rPr>
        <w:t>Г-н АБУЛ-НАСР</w:t>
      </w:r>
      <w:r>
        <w:t xml:space="preserve"> говорит, что он был шокирован положениями пункта 112 периодического доклада государства-участника, где отмечается, что "сами рома не проявляют… интереса [к проблеме образования]" и что "в таких условиях ислам, исповедуемый рома в Боснии и Герцеговине, не только способствует отторжению и забвению языка, культуры и традиций рома, но и приводит к тому, что многие рома считают себя боснийцами".  В этой связи он уточняет, что существует лишь один ислам и что, таким образом, ислам, которые исповедуют рома в Боснии и Герцеговине, - это ислам всех верующих мусульман мира.</w:t>
      </w:r>
    </w:p>
    <w:p w:rsidR="004677FB" w:rsidRDefault="004677FB" w:rsidP="00A46529"/>
    <w:p w:rsidR="004677FB" w:rsidRDefault="004677FB" w:rsidP="00A46529">
      <w:r>
        <w:t>26.</w:t>
      </w:r>
      <w:r>
        <w:tab/>
      </w:r>
      <w:r>
        <w:rPr>
          <w:u w:val="single"/>
        </w:rPr>
        <w:t>Г-н АМИР</w:t>
      </w:r>
      <w:r>
        <w:t xml:space="preserve"> утверждает, что он по</w:t>
      </w:r>
      <w:r>
        <w:noBreakHyphen/>
        <w:t>прежнему не понимает, каким образом статья 4 Конвенции была инкорпорирована во внутреннее право Боснии и Герцеговины.  Он отмечает, что в стране действуют определенное число организаций и ассоциаций, которые не зарегистрированы, что не позволяет властям осуществлять за ними контроль и в случае необходимости принимать по отношению к ним санкции, когда они выступают с расистскими заявлениями или подстрекают к расовой дискриминации.  Он просит делегацию Боснии и Герцеговины указать, существует ли уголовный закон, квалифицирующий в качестве противоправного распространение идей, основанных на расовой ненависти, и объявляющий незаконными организации, основанные на теориях превосходства одной расы.</w:t>
      </w:r>
    </w:p>
    <w:p w:rsidR="004677FB" w:rsidRDefault="004677FB" w:rsidP="00A46529"/>
    <w:p w:rsidR="003229FB" w:rsidRDefault="004677FB" w:rsidP="00A46529">
      <w:r>
        <w:t>27.</w:t>
      </w:r>
      <w:r>
        <w:tab/>
      </w:r>
      <w:r>
        <w:rPr>
          <w:u w:val="single"/>
        </w:rPr>
        <w:t>Г-н ЮТСИС</w:t>
      </w:r>
      <w:r>
        <w:t xml:space="preserve"> говорит, что из рассматриваемого периодического доклада и устного сообщения делегации Боснии и Герцеговины в связи с его представлением явствует, что государству-участнику приходится удерживать хрупкое равновесие между своим стремлением к обеспечению определенной политической централизации и необходимостью учета многочисленных проявлений культурной самобытности.  Он признает, что разработка и осуществление национальных программ школьного образования одинаковых для всех, принимая во внимание особые условия, несомненно, является сложной и деликатной задачей, но высказывает мнение о том, что для </w:t>
      </w:r>
    </w:p>
    <w:p w:rsidR="004677FB" w:rsidRDefault="003229FB" w:rsidP="00A46529">
      <w:r>
        <w:br w:type="page"/>
      </w:r>
      <w:r w:rsidR="004677FB">
        <w:t>проведения реформы системы образования Боснии и Герцеговины требуется не только реальная политическая приверженность федеральных структур этому процессу, но также и сотрудничество и поддержка всех участников, на всех эшелонах политической власти и управления на местном и национальном уровнях.</w:t>
      </w:r>
    </w:p>
    <w:p w:rsidR="004677FB" w:rsidRDefault="004677FB" w:rsidP="00A46529"/>
    <w:p w:rsidR="004677FB" w:rsidRDefault="004677FB" w:rsidP="00A46529">
      <w:r>
        <w:t>28.</w:t>
      </w:r>
      <w:r>
        <w:tab/>
        <w:t>Г-н Ютсис говорит, что он крайне встревожен ранее процитированными положениями пункта 112 доклада, которые наводят на мысль о том, что рома, чтобы чувствовать себя интегрированными в общество Боснии и Герцеговины, должны "отказаться от ислама".  Он просит делегацию Боснии и Герцеговины разъяснить содержание этого пункта.</w:t>
      </w:r>
    </w:p>
    <w:p w:rsidR="004677FB" w:rsidRDefault="004677FB" w:rsidP="00A46529"/>
    <w:p w:rsidR="004677FB" w:rsidRDefault="004677FB" w:rsidP="00A46529">
      <w:r>
        <w:t>29.</w:t>
      </w:r>
      <w:r>
        <w:tab/>
        <w:t>Эксперт также хотел бы получить более подробные разъяснения по поводу положения общины ромы в жилищной сфере, и в частности быть информированным о том, существует ли какой-либо федеральный закон в данной области.</w:t>
      </w:r>
    </w:p>
    <w:p w:rsidR="004677FB" w:rsidRDefault="004677FB" w:rsidP="00A46529"/>
    <w:p w:rsidR="004677FB" w:rsidRDefault="004677FB" w:rsidP="00A46529">
      <w:r>
        <w:t>30.</w:t>
      </w:r>
      <w:r>
        <w:tab/>
      </w:r>
      <w:r>
        <w:rPr>
          <w:u w:val="single"/>
        </w:rPr>
        <w:t>Г-н КЬЕРУМ</w:t>
      </w:r>
      <w:r>
        <w:t xml:space="preserve"> просит делегацию уточнить, какие меры были приняты в области образования в интересах детей, испытывающих особые потребности, и детей меньшинства рома, из которых лишь 15% охвачены школьным обучением.</w:t>
      </w:r>
    </w:p>
    <w:p w:rsidR="004677FB" w:rsidRDefault="004677FB" w:rsidP="00A46529"/>
    <w:p w:rsidR="004677FB" w:rsidRDefault="004677FB" w:rsidP="00A46529">
      <w:r>
        <w:t>31.</w:t>
      </w:r>
      <w:r>
        <w:tab/>
        <w:t>Г-н Кьерум подчеркивает, что согласно пункту 2 статьи 2 Конвенции государства-участники призваны принимать особые и конкретные меры с целью обеспечения надлежащего развития и защиты некоторых расовых групп, с тем чтобы гарантировать им полное и равное использование прав человека и основных свобод.  Напоминая, что делегация Боснии и Герцеговины заявила, что правительство намечает провести обзор механизма рассмотрения жалоб по дискриминации в области занятости, он просит делегацию указать те особые меры, которые были приняты с целью преодоления практики, схожей с систематической дискриминацией в области занятости, как в государственном, так и в частном секторах, и с целью обеспечения равенства на рынке труда.</w:t>
      </w:r>
    </w:p>
    <w:p w:rsidR="004677FB" w:rsidRDefault="004677FB" w:rsidP="00A46529"/>
    <w:p w:rsidR="004677FB" w:rsidRDefault="004677FB" w:rsidP="00A46529">
      <w:r>
        <w:t>32.</w:t>
      </w:r>
      <w:r>
        <w:tab/>
      </w:r>
      <w:r>
        <w:rPr>
          <w:u w:val="single"/>
        </w:rPr>
        <w:t>Г-жа ДЖАНУАРИ-БАРДИЛЛЬ</w:t>
      </w:r>
      <w:r>
        <w:t xml:space="preserve"> говорит, что она отлично понимает, что Босния и Герцеговина, познавшая на себе тяготы войны, стремится к стабильности и миру.  Однако она полагает, что ни одно государство не может рассчитывать на достижение этого результата в ущерб своим собственных граждан.  Она заявляет о своем беспокойстве, вызванном нарушением принципов недискриминации и равенства, в частности в области образования и гражданства, в Боснии и Герцеговине, и напоминает, что эти принципы не могут быть предметом ни отступлений, ни обсуждений.  Указанные проблемы, которые носят политический и структурный характер, требуют политических и структурных решений.  В этой связи г-жа Джануари-Бардилль напоминает, что в стране ее происхождения - Южной Африке, в период режима апартеида также существовала построенная по принципу расовой принадлежности система образования, которая была искоренена благодаря принятию законодательства, устанавливающего единую для всех общенациональную систему образования.</w:t>
      </w:r>
    </w:p>
    <w:p w:rsidR="004677FB" w:rsidRDefault="004677FB" w:rsidP="00A46529"/>
    <w:p w:rsidR="004677FB" w:rsidRDefault="004677FB" w:rsidP="00A46529">
      <w:r>
        <w:t>33.</w:t>
      </w:r>
      <w:r>
        <w:tab/>
        <w:t>В то же время г-жа Джануари-Бардилль просит делегацию указать, осведомлены ли судьи, заседающие в судах значительного числа муниципалитетов, о положениях статьи 7 Конвенции, предусматривающей, что государства-участники должны принимать меры с целью поощрения взаимопонимания, терпимости и дружбы между нациями и расовыми или этническими группами, и уточнить, все ли граждане Боснии и Герцеговины, по мнению делегации, испытывают доверие к системе уголовного правосудия, существующей в стране.</w:t>
      </w:r>
    </w:p>
    <w:p w:rsidR="004677FB" w:rsidRDefault="004677FB" w:rsidP="00A46529"/>
    <w:p w:rsidR="004677FB" w:rsidRDefault="004677FB" w:rsidP="00A46529">
      <w:r>
        <w:t>34.</w:t>
      </w:r>
      <w:r>
        <w:tab/>
        <w:t>Принимая к сведению многочисленные меры, перечисленные в пункте 53 и в последующих пунктах рассматриваемого периодического доклада, которые запрещают дискриминацию по признаку пола в сферах общественной и частной жизни, г</w:t>
      </w:r>
      <w:r>
        <w:noBreakHyphen/>
        <w:t>жа Джануари-Бардилль просит сообщить, какие меры были приняты в интересах женщин, принадлежащих к меньшинствам, и соблюдается ли также принцип запрещения дискриминации по признаку пола.</w:t>
      </w:r>
    </w:p>
    <w:p w:rsidR="004677FB" w:rsidRDefault="004677FB" w:rsidP="00A46529"/>
    <w:p w:rsidR="004677FB" w:rsidRDefault="004677FB" w:rsidP="00A46529">
      <w:r>
        <w:t>35.</w:t>
      </w:r>
      <w:r>
        <w:tab/>
      </w:r>
      <w:r>
        <w:rPr>
          <w:u w:val="single"/>
        </w:rPr>
        <w:t>ПРЕДСЕДАТЕЛЬ</w:t>
      </w:r>
      <w:r>
        <w:t xml:space="preserve"> объявляет, что Комитет продолжит рассмотрение первоначального доклада и второго-шестого периодических докладов Боснии и Герцеговины на следующем заседании.</w:t>
      </w:r>
    </w:p>
    <w:p w:rsidR="004677FB" w:rsidRDefault="004677FB" w:rsidP="00A46529"/>
    <w:p w:rsidR="004677FB" w:rsidRDefault="004677FB" w:rsidP="00A46529">
      <w:pPr>
        <w:jc w:val="center"/>
        <w:rPr>
          <w:i/>
          <w:iCs/>
        </w:rPr>
      </w:pPr>
      <w:r>
        <w:rPr>
          <w:i/>
          <w:iCs/>
        </w:rPr>
        <w:t>Заседание закрывается в 13 час. 00 мин.</w:t>
      </w:r>
    </w:p>
    <w:p w:rsidR="004677FB" w:rsidRDefault="004677FB" w:rsidP="00A46529"/>
    <w:p w:rsidR="004677FB" w:rsidRDefault="004677FB" w:rsidP="00A46529"/>
    <w:sectPr w:rsidR="004677FB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D8F" w:rsidRDefault="00047D8F">
      <w:r>
        <w:separator/>
      </w:r>
    </w:p>
  </w:endnote>
  <w:endnote w:type="continuationSeparator" w:id="0">
    <w:p w:rsidR="00047D8F" w:rsidRDefault="00047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03E" w:rsidRDefault="007A303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D8F" w:rsidRDefault="00047D8F">
      <w:r>
        <w:separator/>
      </w:r>
    </w:p>
  </w:footnote>
  <w:footnote w:type="continuationSeparator" w:id="0">
    <w:p w:rsidR="00047D8F" w:rsidRDefault="00047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03E" w:rsidRPr="001049F5" w:rsidRDefault="007A303E">
    <w:pPr>
      <w:pStyle w:val="Header"/>
      <w:tabs>
        <w:tab w:val="left" w:pos="6237"/>
      </w:tabs>
      <w:rPr>
        <w:lang w:val="en-US"/>
      </w:rPr>
    </w:pPr>
    <w:r w:rsidRPr="001049F5">
      <w:rPr>
        <w:lang w:val="en-US"/>
      </w:rPr>
      <w:t>CERD/C/SR.1736</w:t>
    </w:r>
  </w:p>
  <w:p w:rsidR="007A303E" w:rsidRDefault="007A303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082B">
      <w:rPr>
        <w:rStyle w:val="PageNumber"/>
        <w:noProof/>
      </w:rPr>
      <w:t>10</w:t>
    </w:r>
    <w:r>
      <w:rPr>
        <w:rStyle w:val="PageNumber"/>
      </w:rPr>
      <w:fldChar w:fldCharType="end"/>
    </w:r>
  </w:p>
  <w:p w:rsidR="007A303E" w:rsidRDefault="007A303E">
    <w:pPr>
      <w:pStyle w:val="Header"/>
      <w:tabs>
        <w:tab w:val="left" w:pos="6237"/>
      </w:tabs>
      <w:rPr>
        <w:rStyle w:val="PageNumber"/>
        <w:lang w:val="en-US"/>
      </w:rPr>
    </w:pPr>
  </w:p>
  <w:p w:rsidR="007A303E" w:rsidRDefault="007A303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03E" w:rsidRPr="001049F5" w:rsidRDefault="007A303E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1049F5">
      <w:rPr>
        <w:lang w:val="en-US"/>
      </w:rPr>
      <w:t>CERD/C/SR.1736</w:t>
    </w:r>
  </w:p>
  <w:p w:rsidR="007A303E" w:rsidRDefault="007A303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082B">
      <w:rPr>
        <w:rStyle w:val="PageNumber"/>
        <w:noProof/>
      </w:rPr>
      <w:t>11</w:t>
    </w:r>
    <w:r>
      <w:rPr>
        <w:rStyle w:val="PageNumber"/>
      </w:rPr>
      <w:fldChar w:fldCharType="end"/>
    </w:r>
  </w:p>
  <w:p w:rsidR="007A303E" w:rsidRDefault="007A303E">
    <w:pPr>
      <w:pStyle w:val="Header"/>
      <w:tabs>
        <w:tab w:val="left" w:pos="6237"/>
      </w:tabs>
      <w:rPr>
        <w:rStyle w:val="PageNumber"/>
        <w:lang w:val="en-US"/>
      </w:rPr>
    </w:pPr>
  </w:p>
  <w:p w:rsidR="007A303E" w:rsidRDefault="007A303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4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FEB"/>
    <w:rsid w:val="00046D08"/>
    <w:rsid w:val="00047D8F"/>
    <w:rsid w:val="000503A0"/>
    <w:rsid w:val="00074FE2"/>
    <w:rsid w:val="00082021"/>
    <w:rsid w:val="000C082B"/>
    <w:rsid w:val="000F2E70"/>
    <w:rsid w:val="001049F5"/>
    <w:rsid w:val="0017092E"/>
    <w:rsid w:val="00216867"/>
    <w:rsid w:val="00263609"/>
    <w:rsid w:val="00292B05"/>
    <w:rsid w:val="00302B2A"/>
    <w:rsid w:val="0031521C"/>
    <w:rsid w:val="003229FB"/>
    <w:rsid w:val="003818D4"/>
    <w:rsid w:val="003B7A78"/>
    <w:rsid w:val="004677FB"/>
    <w:rsid w:val="0048166F"/>
    <w:rsid w:val="005E3CE5"/>
    <w:rsid w:val="0066300E"/>
    <w:rsid w:val="006D5EE8"/>
    <w:rsid w:val="007209E0"/>
    <w:rsid w:val="007A303E"/>
    <w:rsid w:val="007A3357"/>
    <w:rsid w:val="007D04D0"/>
    <w:rsid w:val="00892FEB"/>
    <w:rsid w:val="008B7719"/>
    <w:rsid w:val="008D7A5D"/>
    <w:rsid w:val="0098315F"/>
    <w:rsid w:val="00A46529"/>
    <w:rsid w:val="00BD2CCC"/>
    <w:rsid w:val="00C41D3D"/>
    <w:rsid w:val="00CB1D74"/>
    <w:rsid w:val="00CE097D"/>
    <w:rsid w:val="00CF0131"/>
    <w:rsid w:val="00D10152"/>
    <w:rsid w:val="00DD01BF"/>
    <w:rsid w:val="00EA43C6"/>
    <w:rsid w:val="00EF4828"/>
    <w:rsid w:val="00FF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3837</Words>
  <Characters>21872</Characters>
  <Application>Microsoft Office Word</Application>
  <DocSecurity>4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Adtpsrus</dc:creator>
  <cp:keywords/>
  <dc:description/>
  <cp:lastModifiedBy>Носкова</cp:lastModifiedBy>
  <cp:revision>3</cp:revision>
  <cp:lastPrinted>2007-11-06T09:26:00Z</cp:lastPrinted>
  <dcterms:created xsi:type="dcterms:W3CDTF">2007-11-06T09:26:00Z</dcterms:created>
  <dcterms:modified xsi:type="dcterms:W3CDTF">2007-11-06T09:26:00Z</dcterms:modified>
</cp:coreProperties>
</file>