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F75" w:rsidRDefault="00986F75" w:rsidP="00986F75">
      <w:pPr>
        <w:pStyle w:val="Release"/>
        <w:spacing w:line="60" w:lineRule="exact"/>
        <w:rPr>
          <w:sz w:val="6"/>
        </w:rPr>
        <w:sectPr w:rsidR="00986F75" w:rsidSect="00986F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986F75">
      <w:pPr>
        <w:pStyle w:val="Release"/>
        <w:spacing w:line="60" w:lineRule="exact"/>
        <w:rPr>
          <w:sz w:val="6"/>
        </w:rPr>
      </w:pPr>
    </w:p>
    <w:p w:rsidR="001F7128" w:rsidRDefault="001F7128" w:rsidP="001F712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第六十一届会议</w:t>
      </w:r>
    </w:p>
    <w:p w:rsidR="001F7128" w:rsidRDefault="001F7128" w:rsidP="001F7128">
      <w:pPr>
        <w:pStyle w:val="SingleTxt"/>
        <w:spacing w:after="60"/>
        <w:ind w:hanging="1264"/>
        <w:rPr>
          <w:rFonts w:hint="eastAsia"/>
        </w:rPr>
      </w:pPr>
      <w:r>
        <w:rPr>
          <w:rFonts w:hint="eastAsia"/>
        </w:rPr>
        <w:t>2015</w:t>
      </w:r>
      <w:r>
        <w:rPr>
          <w:rFonts w:hint="eastAsia"/>
        </w:rPr>
        <w:t>年</w:t>
      </w:r>
      <w:r>
        <w:rPr>
          <w:rFonts w:hint="eastAsia"/>
        </w:rPr>
        <w:t>7</w:t>
      </w:r>
      <w:r>
        <w:rPr>
          <w:rFonts w:hint="eastAsia"/>
        </w:rPr>
        <w:t>月</w:t>
      </w:r>
      <w:r>
        <w:rPr>
          <w:rFonts w:hint="eastAsia"/>
        </w:rPr>
        <w:t>2</w:t>
      </w:r>
      <w:r>
        <w:rPr>
          <w:rFonts w:hint="eastAsia"/>
        </w:rPr>
        <w:t>日至</w:t>
      </w:r>
      <w:r>
        <w:rPr>
          <w:rFonts w:hint="eastAsia"/>
        </w:rPr>
        <w:t>24</w:t>
      </w:r>
      <w:r>
        <w:rPr>
          <w:rFonts w:hint="eastAsia"/>
        </w:rPr>
        <w:t>日</w:t>
      </w:r>
    </w:p>
    <w:p w:rsidR="001F7128" w:rsidRDefault="001F7128" w:rsidP="001F7128">
      <w:pPr>
        <w:pStyle w:val="SingleTxt"/>
        <w:spacing w:after="60"/>
        <w:ind w:hanging="1264"/>
        <w:rPr>
          <w:rFonts w:hint="eastAsia"/>
        </w:rPr>
      </w:pPr>
      <w:r>
        <w:rPr>
          <w:rFonts w:hint="eastAsia"/>
        </w:rPr>
        <w:t>临时议程</w:t>
      </w:r>
      <w:r w:rsidRPr="001F7128">
        <w:rPr>
          <w:rStyle w:val="FootnoteReference"/>
        </w:rPr>
        <w:footnoteReference w:customMarkFollows="1" w:id="1"/>
        <w:t>*</w:t>
      </w:r>
      <w:r>
        <w:t xml:space="preserve"> </w:t>
      </w:r>
      <w:r>
        <w:rPr>
          <w:rFonts w:hint="eastAsia"/>
        </w:rPr>
        <w:t>项目</w:t>
      </w:r>
      <w:r>
        <w:rPr>
          <w:rFonts w:hint="eastAsia"/>
        </w:rPr>
        <w:t>4</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审议缔约国根据《消除对妇女一切形式歧视公约》</w:t>
      </w:r>
      <w:r>
        <w:br/>
      </w:r>
      <w:r>
        <w:rPr>
          <w:rFonts w:hint="eastAsia"/>
        </w:rPr>
        <w:t>第18条提交的报告</w:t>
      </w:r>
    </w:p>
    <w:p w:rsidR="001F7128" w:rsidRPr="001F7128" w:rsidRDefault="001F7128" w:rsidP="001F712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F7128" w:rsidRPr="001F7128" w:rsidRDefault="001F7128" w:rsidP="001F712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F7128" w:rsidRPr="001F7128" w:rsidRDefault="001F7128" w:rsidP="001F712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F7128" w:rsidRDefault="001F7128" w:rsidP="001F712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与冈比亚第四次和第五次合并定期报告有关的议题和问题</w:t>
      </w:r>
      <w:r>
        <w:br/>
      </w:r>
      <w:r>
        <w:rPr>
          <w:rFonts w:hint="eastAsia"/>
        </w:rPr>
        <w:t>清单</w:t>
      </w:r>
    </w:p>
    <w:p w:rsidR="001F7128" w:rsidRPr="001F7128" w:rsidRDefault="001F7128" w:rsidP="001F7128">
      <w:pPr>
        <w:pStyle w:val="SingleTxt"/>
        <w:spacing w:after="0" w:line="120" w:lineRule="exact"/>
        <w:rPr>
          <w:rFonts w:hint="eastAsia"/>
          <w:sz w:val="10"/>
        </w:rPr>
      </w:pPr>
    </w:p>
    <w:p w:rsidR="001F7128" w:rsidRPr="001F7128" w:rsidRDefault="001F7128" w:rsidP="001F7128">
      <w:pPr>
        <w:pStyle w:val="SingleTxt"/>
        <w:spacing w:after="0" w:line="120" w:lineRule="exact"/>
        <w:rPr>
          <w:rFonts w:hint="eastAsia"/>
          <w:sz w:val="10"/>
        </w:rPr>
      </w:pP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整体背景</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w:t>
      </w:r>
      <w:r>
        <w:rPr>
          <w:rFonts w:hint="eastAsia"/>
        </w:rPr>
        <w:tab/>
      </w:r>
      <w:r>
        <w:rPr>
          <w:rFonts w:hint="eastAsia"/>
        </w:rPr>
        <w:t>请提供详细资料说明第四和第五次合并定期报告（</w:t>
      </w:r>
      <w:hyperlink r:id="rId14" w:history="1">
        <w:r w:rsidRPr="001F7128">
          <w:rPr>
            <w:rStyle w:val="Hyperlink"/>
            <w:rFonts w:hint="eastAsia"/>
          </w:rPr>
          <w:t>CEDAW/C/GMB/4-5</w:t>
        </w:r>
      </w:hyperlink>
      <w:r>
        <w:rPr>
          <w:rFonts w:hint="eastAsia"/>
        </w:rPr>
        <w:t>）的起草过程，包括民间社会和妇女权利组织是否积极参与了准备工作。请提供资料说明采取了哪些具体措施在国内宣传《公约》，包括将其翻译成少数民族语言，以便妇女、普通公众及政策制定者更好地了解《公约》下的妇女权利。另请指出采取了哪些措施来保护所有妇女权利捍卫者的权利，包括其免受报复、暴力、骚扰或恐吓伤害；并指出采取了哪些措施以保护妇女人权组织不受过度限制获取资源（包括外国供资）的权利以及不受国家干预运营的权利。</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宪法、立法和体制框架</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2.</w:t>
      </w:r>
      <w:r>
        <w:rPr>
          <w:rFonts w:hint="eastAsia"/>
        </w:rPr>
        <w:tab/>
      </w:r>
      <w:r>
        <w:rPr>
          <w:rFonts w:hint="eastAsia"/>
        </w:rPr>
        <w:t>委员会注意到，经由</w:t>
      </w:r>
      <w:r>
        <w:rPr>
          <w:rFonts w:hint="eastAsia"/>
        </w:rPr>
        <w:t>2010</w:t>
      </w:r>
      <w:r>
        <w:rPr>
          <w:rFonts w:hint="eastAsia"/>
        </w:rPr>
        <w:t>年通过《妇女法案》（报告</w:t>
      </w:r>
      <w:r>
        <w:rPr>
          <w:rStyle w:val="FootnoteReference"/>
        </w:rPr>
        <w:footnoteReference w:id="2"/>
      </w:r>
      <w:r>
        <w:rPr>
          <w:rFonts w:hint="eastAsia"/>
        </w:rPr>
        <w:t xml:space="preserve"> </w:t>
      </w:r>
      <w:r>
        <w:rPr>
          <w:rFonts w:hint="eastAsia"/>
        </w:rPr>
        <w:t>第</w:t>
      </w:r>
      <w:r>
        <w:rPr>
          <w:rFonts w:hint="eastAsia"/>
        </w:rPr>
        <w:t>3</w:t>
      </w:r>
      <w:r>
        <w:rPr>
          <w:rFonts w:hint="eastAsia"/>
        </w:rPr>
        <w:t>段和共同核心文件（</w:t>
      </w:r>
      <w:hyperlink r:id="rId15" w:history="1">
        <w:r w:rsidRPr="001F7128">
          <w:rPr>
            <w:rStyle w:val="Hyperlink"/>
            <w:rFonts w:hint="eastAsia"/>
          </w:rPr>
          <w:t>HRI/CORE/GMB/2012</w:t>
        </w:r>
      </w:hyperlink>
      <w:r>
        <w:rPr>
          <w:rFonts w:hint="eastAsia"/>
        </w:rPr>
        <w:t>）第</w:t>
      </w:r>
      <w:r>
        <w:rPr>
          <w:rFonts w:hint="eastAsia"/>
        </w:rPr>
        <w:t>122</w:t>
      </w:r>
      <w:r>
        <w:rPr>
          <w:rFonts w:hint="eastAsia"/>
        </w:rPr>
        <w:t>段），已将《公约》纳入国家法律。请提供资料说明《公约》的直接适用性，并指出国家法院是否援引或参考了《公约》的条款。请提供更详细的资料说明判例法、习惯法和伊斯兰教法的层级和权限，并说明有关其共存的条款（</w:t>
      </w:r>
      <w:hyperlink r:id="rId16" w:history="1">
        <w:r w:rsidRPr="001F7128">
          <w:rPr>
            <w:rStyle w:val="Hyperlink"/>
            <w:rFonts w:hint="eastAsia"/>
          </w:rPr>
          <w:t>HRI/CORE/GMB/2012</w:t>
        </w:r>
      </w:hyperlink>
      <w:r>
        <w:rPr>
          <w:rFonts w:hint="eastAsia"/>
        </w:rPr>
        <w:t>，第</w:t>
      </w:r>
      <w:r>
        <w:rPr>
          <w:rFonts w:hint="eastAsia"/>
        </w:rPr>
        <w:t>46</w:t>
      </w:r>
      <w:r>
        <w:rPr>
          <w:rFonts w:hint="eastAsia"/>
        </w:rPr>
        <w:t>段）。</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司法救助</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3.</w:t>
      </w:r>
      <w:r>
        <w:rPr>
          <w:rFonts w:hint="eastAsia"/>
        </w:rPr>
        <w:tab/>
      </w:r>
      <w:r>
        <w:rPr>
          <w:rFonts w:hint="eastAsia"/>
        </w:rPr>
        <w:t>缔约国提到了长期存在的有罪不罚现象，其部分原因是沉默文化以及妇女仍然不了解她们可通过哪些渠道寻求补救（第</w:t>
      </w:r>
      <w:r>
        <w:rPr>
          <w:rFonts w:hint="eastAsia"/>
        </w:rPr>
        <w:t>37</w:t>
      </w:r>
      <w:r>
        <w:rPr>
          <w:rFonts w:hint="eastAsia"/>
        </w:rPr>
        <w:t>段）。委员会注意到，</w:t>
      </w:r>
      <w:r>
        <w:rPr>
          <w:rFonts w:hint="eastAsia"/>
        </w:rPr>
        <w:t>2008</w:t>
      </w:r>
      <w:r>
        <w:rPr>
          <w:rFonts w:hint="eastAsia"/>
        </w:rPr>
        <w:t>年</w:t>
      </w:r>
      <w:r>
        <w:rPr>
          <w:rFonts w:hint="eastAsia"/>
        </w:rPr>
        <w:t>1</w:t>
      </w:r>
      <w:r>
        <w:rPr>
          <w:rFonts w:hint="eastAsia"/>
        </w:rPr>
        <w:t>月启动的法院外争端解决法制度是一个更具成本效益的恢复性司法制度，尤其是对妇女而言。但委员会也注意到该制度的局限性，即在宗法观念浓厚的社会里，该制度对妇女可能十分不利（第</w:t>
      </w:r>
      <w:r>
        <w:rPr>
          <w:rFonts w:hint="eastAsia"/>
        </w:rPr>
        <w:t>5</w:t>
      </w:r>
      <w:r>
        <w:rPr>
          <w:rFonts w:hint="eastAsia"/>
        </w:rPr>
        <w:t>段）。请提供资料说明设想采取哪些措施来解决这些局限性，并说明妇女在获得司法救助方面面临的其他障碍。请指出缔约国是否在考虑制定政策，包括法律援助机制，以增强妇女诉诸法院和法庭的渠道，尤其是针对性别暴力以及对妇女其他形式歧视的案件。另请指出采取了哪些措施，以提高妇女对刑法中关于性暴力的条款的认识，并鼓励她们只要有理便选择刑事申诉而不是调解；请说明是否出台了措施对调解使用情况进行监督，以期确保在开展调解时尊重妇女的权利，不会出现暴力侵害妇女的暴力犯罪者有罪不罚现象。</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提高妇女地位的国家机制</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4.</w:t>
      </w:r>
      <w:r>
        <w:rPr>
          <w:rFonts w:hint="eastAsia"/>
        </w:rPr>
        <w:tab/>
      </w:r>
      <w:r>
        <w:rPr>
          <w:rFonts w:hint="eastAsia"/>
        </w:rPr>
        <w:t>该缔约国指出，根据《妇女法案》，全国妇女委员会及其行政机构全国妇女事务局的任务授权大幅拓宽，这两家机构与全国妇女联合会，共同构成提高妇女地位的国家机制，令《公约》条款及提高冈比亚妇女和女童地位的国家政策产生了法律效力（</w:t>
      </w:r>
      <w:hyperlink r:id="rId17" w:history="1">
        <w:r w:rsidRPr="001F7128">
          <w:rPr>
            <w:rStyle w:val="Hyperlink"/>
            <w:rFonts w:hint="eastAsia"/>
          </w:rPr>
          <w:t>HRI/CORE/GMB/2012</w:t>
        </w:r>
      </w:hyperlink>
      <w:r>
        <w:rPr>
          <w:rFonts w:hint="eastAsia"/>
        </w:rPr>
        <w:t>，第</w:t>
      </w:r>
      <w:r>
        <w:rPr>
          <w:rFonts w:hint="eastAsia"/>
        </w:rPr>
        <w:t>130</w:t>
      </w:r>
      <w:r>
        <w:rPr>
          <w:rFonts w:hint="eastAsia"/>
        </w:rPr>
        <w:t>至第</w:t>
      </w:r>
      <w:r>
        <w:rPr>
          <w:rFonts w:hint="eastAsia"/>
        </w:rPr>
        <w:t>131</w:t>
      </w:r>
      <w:r>
        <w:rPr>
          <w:rFonts w:hint="eastAsia"/>
        </w:rPr>
        <w:t>段和第</w:t>
      </w:r>
      <w:r>
        <w:rPr>
          <w:rFonts w:hint="eastAsia"/>
        </w:rPr>
        <w:t>148</w:t>
      </w:r>
      <w:r>
        <w:rPr>
          <w:rFonts w:hint="eastAsia"/>
        </w:rPr>
        <w:t>段）。请提供资料说明提高妇女地位国家机制的能力、权威、社会表现及人力和预算资源，并阐明出台了哪些措施以确保这三个机构之间以及与相关部委和部门得到了有效协调。请说明设立了哪些机制以对国家和地方两级执行国家政策情况进行协调。</w:t>
      </w:r>
      <w:r>
        <w:rPr>
          <w:rFonts w:hint="eastAsia"/>
        </w:rPr>
        <w:t>2007</w:t>
      </w:r>
      <w:r>
        <w:rPr>
          <w:rFonts w:hint="eastAsia"/>
        </w:rPr>
        <w:t>年由联合国儿童基金会供资开展的一项有关重要政府部委将性别平等观点纳入预算编制的研究显示，存在着重大差距，这主要是由于大多数机构缺乏将性别平等观点纳入预算编制的知识、能力和专业技术（第</w:t>
      </w:r>
      <w:r>
        <w:rPr>
          <w:rFonts w:hint="eastAsia"/>
        </w:rPr>
        <w:t>64</w:t>
      </w:r>
      <w:r>
        <w:rPr>
          <w:rFonts w:hint="eastAsia"/>
        </w:rPr>
        <w:t>段）。请指出已采取哪些措施以缩小重要政府部委将性别平等观点纳入预算编制方面的差距。</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国家人权机构</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5.</w:t>
      </w:r>
      <w:r>
        <w:rPr>
          <w:rFonts w:hint="eastAsia"/>
        </w:rPr>
        <w:tab/>
      </w:r>
      <w:r>
        <w:rPr>
          <w:rFonts w:hint="eastAsia"/>
        </w:rPr>
        <w:t>该缔约国表示，监察员办公室设立了一个专门负责处理人权问题的人权股（</w:t>
      </w:r>
      <w:hyperlink r:id="rId18" w:history="1">
        <w:r w:rsidRPr="001F7128">
          <w:rPr>
            <w:rStyle w:val="Hyperlink"/>
            <w:rFonts w:hint="eastAsia"/>
          </w:rPr>
          <w:t>HRI/CORE/GMB/2012</w:t>
        </w:r>
      </w:hyperlink>
      <w:r>
        <w:rPr>
          <w:rFonts w:hint="eastAsia"/>
        </w:rPr>
        <w:t>，第</w:t>
      </w:r>
      <w:r>
        <w:rPr>
          <w:rFonts w:hint="eastAsia"/>
        </w:rPr>
        <w:t>147</w:t>
      </w:r>
      <w:r>
        <w:rPr>
          <w:rFonts w:hint="eastAsia"/>
        </w:rPr>
        <w:t>段）。请指出缔约国是否正在考虑根据关于促进和保护人权的国家机构的地位的原则（《巴黎原则》），成立一个资源充沛、人员充足的独立人权机构，该机构的人权任务范围广泛，具体侧重于解决对妇女一切形式的歧视。若果真如此，请向委员会提供成立该机构的具体时间表。</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暂行特别措施</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6.</w:t>
      </w:r>
      <w:r>
        <w:rPr>
          <w:rFonts w:hint="eastAsia"/>
        </w:rPr>
        <w:tab/>
      </w:r>
      <w:r>
        <w:rPr>
          <w:rFonts w:hint="eastAsia"/>
        </w:rPr>
        <w:t>请提供详细资料，说明根据《公约》第</w:t>
      </w:r>
      <w:r>
        <w:rPr>
          <w:rFonts w:hint="eastAsia"/>
        </w:rPr>
        <w:t xml:space="preserve">4 </w:t>
      </w:r>
      <w:r>
        <w:rPr>
          <w:rFonts w:hint="eastAsia"/>
        </w:rPr>
        <w:t>（</w:t>
      </w:r>
      <w:r>
        <w:rPr>
          <w:rFonts w:hint="eastAsia"/>
        </w:rPr>
        <w:t>1</w:t>
      </w:r>
      <w:r>
        <w:rPr>
          <w:rFonts w:hint="eastAsia"/>
        </w:rPr>
        <w:t>）条或委员会关于暂行特别措施的第</w:t>
      </w:r>
      <w:r>
        <w:rPr>
          <w:rFonts w:hint="eastAsia"/>
        </w:rPr>
        <w:t>25</w:t>
      </w:r>
      <w:r>
        <w:rPr>
          <w:rFonts w:hint="eastAsia"/>
        </w:rPr>
        <w:t>号一般性建议已经出台或设想出台哪些暂行特别措施，以便在《公约》涵盖的所有领域内促进和加速实现男女事实上的平等，特别是在教育、就业和妇女参与经济、政治和公共生活领域。</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陈规定型观念和有害习俗</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7.</w:t>
      </w:r>
      <w:r>
        <w:rPr>
          <w:rFonts w:hint="eastAsia"/>
        </w:rPr>
        <w:tab/>
      </w:r>
      <w:r>
        <w:rPr>
          <w:rFonts w:hint="eastAsia"/>
        </w:rPr>
        <w:t>委员会以前就对该国广泛实行残割女性生殖器官行为及缺乏旨在消除这一有害习俗的立法、政策和方案表示关切（</w:t>
      </w:r>
      <w:hyperlink r:id="rId19" w:history="1">
        <w:r w:rsidRPr="001F7128">
          <w:rPr>
            <w:rStyle w:val="Hyperlink"/>
            <w:rFonts w:hint="eastAsia"/>
          </w:rPr>
          <w:t>A/60/38</w:t>
        </w:r>
      </w:hyperlink>
      <w:r>
        <w:rPr>
          <w:rFonts w:hint="eastAsia"/>
        </w:rPr>
        <w:t>，第二部分，第</w:t>
      </w:r>
      <w:r>
        <w:rPr>
          <w:rFonts w:hint="eastAsia"/>
        </w:rPr>
        <w:t>195</w:t>
      </w:r>
      <w:r>
        <w:rPr>
          <w:rFonts w:hint="eastAsia"/>
        </w:rPr>
        <w:t>至第</w:t>
      </w:r>
      <w:r>
        <w:rPr>
          <w:rFonts w:hint="eastAsia"/>
        </w:rPr>
        <w:t>196</w:t>
      </w:r>
      <w:r>
        <w:rPr>
          <w:rFonts w:hint="eastAsia"/>
        </w:rPr>
        <w:t>段）。向委员会提供的资料表明，该国在联合国人口基金和联合国儿童基金会支持下，制定了《加快摒弃</w:t>
      </w:r>
      <w:r>
        <w:rPr>
          <w:rFonts w:hint="eastAsia"/>
        </w:rPr>
        <w:t>/</w:t>
      </w:r>
      <w:r>
        <w:rPr>
          <w:rFonts w:hint="eastAsia"/>
        </w:rPr>
        <w:t>残割</w:t>
      </w:r>
      <w:r>
        <w:rPr>
          <w:rFonts w:hint="eastAsia"/>
        </w:rPr>
        <w:t>/</w:t>
      </w:r>
      <w:r>
        <w:rPr>
          <w:rFonts w:hint="eastAsia"/>
        </w:rPr>
        <w:t>切割女性生殖器官做法国家行动计划》，由此还制定了若干措施，包括增强社区权能方案（</w:t>
      </w:r>
      <w:r>
        <w:rPr>
          <w:rFonts w:hint="eastAsia"/>
        </w:rPr>
        <w:t>2006-2009</w:t>
      </w:r>
      <w:r>
        <w:rPr>
          <w:rFonts w:hint="eastAsia"/>
        </w:rPr>
        <w:t>年）。请提供资料说明该方案及行动计划的实施情况及其对负面态度和信仰以及该缔约国残割</w:t>
      </w:r>
      <w:r>
        <w:rPr>
          <w:rFonts w:hint="eastAsia"/>
        </w:rPr>
        <w:t>/</w:t>
      </w:r>
      <w:r>
        <w:rPr>
          <w:rFonts w:hint="eastAsia"/>
        </w:rPr>
        <w:t>切割女性生殖器官做法盛行的影响。请指出已采取或设想采取哪些措施，以改变社会、文化模式以及消除性别陈规定型观念和有害习俗，包括残割女性生殖器官、童婚和（或）强迫婚姻。该缔约国表示，需要继续进行宣传，树立意识，并开展行为改变交流，使人们摒弃切割女性生殖器官习俗（第</w:t>
      </w:r>
      <w:r>
        <w:rPr>
          <w:rFonts w:hint="eastAsia"/>
        </w:rPr>
        <w:t>13</w:t>
      </w:r>
      <w:r>
        <w:rPr>
          <w:rFonts w:hint="eastAsia"/>
        </w:rPr>
        <w:t>段）。请提供资料说明已出台哪些措施，针对社会各阶层的男性和女性、传统和宗教领袖、学校系统和媒体开展提高认识和行为改变交流活动。另请说明该缔约国是否打算通过并充分执行将切割女性生殖器官定为刑事犯罪的立法，打算按照之前的建议，确保违法者受到适当起诉和惩罚（</w:t>
      </w:r>
      <w:hyperlink r:id="rId20" w:history="1">
        <w:r w:rsidRPr="001F7128">
          <w:rPr>
            <w:rStyle w:val="Hyperlink"/>
            <w:rFonts w:hint="eastAsia"/>
          </w:rPr>
          <w:t>A/60/38</w:t>
        </w:r>
      </w:hyperlink>
      <w:r>
        <w:rPr>
          <w:rFonts w:hint="eastAsia"/>
        </w:rPr>
        <w:t>，第二部分，第</w:t>
      </w:r>
      <w:r>
        <w:rPr>
          <w:rFonts w:hint="eastAsia"/>
        </w:rPr>
        <w:t>196</w:t>
      </w:r>
      <w:r>
        <w:rPr>
          <w:rFonts w:hint="eastAsia"/>
        </w:rPr>
        <w:t>段）。</w:t>
      </w:r>
      <w:r>
        <w:rPr>
          <w:rFonts w:hint="eastAsia"/>
        </w:rPr>
        <w:t xml:space="preserve"> </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Pr>
          <w:rFonts w:hint="eastAsia"/>
        </w:rPr>
        <w:tab/>
      </w:r>
      <w:r>
        <w:rPr>
          <w:rFonts w:hint="eastAsia"/>
        </w:rPr>
        <w:tab/>
        <w:t>暴力侵害妇女行为</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8.</w:t>
      </w:r>
      <w:r>
        <w:rPr>
          <w:rFonts w:hint="eastAsia"/>
        </w:rPr>
        <w:tab/>
      </w:r>
      <w:r>
        <w:rPr>
          <w:rFonts w:hint="eastAsia"/>
        </w:rPr>
        <w:t>向委员会提供的资料表明，</w:t>
      </w:r>
      <w:r>
        <w:rPr>
          <w:rFonts w:hint="eastAsia"/>
        </w:rPr>
        <w:t>2013</w:t>
      </w:r>
      <w:r>
        <w:rPr>
          <w:rFonts w:hint="eastAsia"/>
        </w:rPr>
        <w:t>年国民议会通过了《家庭暴力法案》。</w:t>
      </w:r>
      <w:r>
        <w:rPr>
          <w:rFonts w:hint="eastAsia"/>
        </w:rPr>
        <w:t>2013</w:t>
      </w:r>
      <w:r>
        <w:rPr>
          <w:rFonts w:hint="eastAsia"/>
        </w:rPr>
        <w:t>年还通过了《性犯罪法案》，该法案修正了与强奸和其他性犯罪的审判相关的法律。请提供资料说明采取了哪些措施，以确保充分执行这些法律，包括通过预防、保护和受害者获得有效补救和康复，以及惩罚罪犯。该缔约国指出，有一项国家研究表明，一些限制因素妨碍了消除暴力侵害妇女行为，包括沉默文化、恐惧、羞耻、缺乏对现行立法的了解以及缺少数据（第</w:t>
      </w:r>
      <w:r>
        <w:rPr>
          <w:rFonts w:hint="eastAsia"/>
        </w:rPr>
        <w:t>36</w:t>
      </w:r>
      <w:r>
        <w:rPr>
          <w:rFonts w:hint="eastAsia"/>
        </w:rPr>
        <w:t>段）。请指明为了应对这些限制因素已出台了哪些措施。请指出为了确保收集到分类数据所采取的步骤，以期提供关于该缔约国存在的暴力侵害妇女行为的程度、新法律的执行水平、起诉和定罪数量以及收容所数量的实证性经验。</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贩运和利用妇女卖淫营利</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9.</w:t>
      </w:r>
      <w:r>
        <w:rPr>
          <w:rFonts w:hint="eastAsia"/>
        </w:rPr>
        <w:tab/>
      </w:r>
      <w:r>
        <w:rPr>
          <w:rFonts w:hint="eastAsia"/>
        </w:rPr>
        <w:t>有资料显示，在颁布了《贩运人口法案》（</w:t>
      </w:r>
      <w:r>
        <w:rPr>
          <w:rFonts w:hint="eastAsia"/>
        </w:rPr>
        <w:t>2007</w:t>
      </w:r>
      <w:r>
        <w:rPr>
          <w:rFonts w:hint="eastAsia"/>
        </w:rPr>
        <w:t>年）之后，贩运妇女行为被定为犯罪，而且根据《贩运人口法案》成立了国家打击贩运机构（第</w:t>
      </w:r>
      <w:r>
        <w:rPr>
          <w:rFonts w:hint="eastAsia"/>
        </w:rPr>
        <w:t>40</w:t>
      </w:r>
      <w:r>
        <w:rPr>
          <w:rFonts w:hint="eastAsia"/>
        </w:rPr>
        <w:t>至第</w:t>
      </w:r>
      <w:r>
        <w:rPr>
          <w:rFonts w:hint="eastAsia"/>
        </w:rPr>
        <w:t>41</w:t>
      </w:r>
      <w:r>
        <w:rPr>
          <w:rFonts w:hint="eastAsia"/>
        </w:rPr>
        <w:t>段）。请提供更详细的资料说明实施该法案方面取得的进展，包括：自颁布该法案以来人贩子被起诉和被定罪的数目；为该国家机构分配的资源：人口贩运受害者收容所数目及为其提供的资金数额；为执法人员提供的培训，以帮助他们积极查明弱势民众中的受害者，并完善与受害者识别相关的数据收集和执法统计工作；以及为受害者提供康复及重返社会服务情况。请指出采取了哪些措施来确保适当调查贩运案件以及对被定罪犯罪者做出合理判决。</w:t>
      </w:r>
    </w:p>
    <w:p w:rsidR="001F7128" w:rsidRDefault="001F7128" w:rsidP="001F7128">
      <w:pPr>
        <w:pStyle w:val="SingleTxt"/>
        <w:rPr>
          <w:rFonts w:hint="eastAsia"/>
        </w:rPr>
      </w:pPr>
      <w:r>
        <w:rPr>
          <w:rFonts w:hint="eastAsia"/>
        </w:rPr>
        <w:t>10.</w:t>
      </w:r>
      <w:r>
        <w:rPr>
          <w:rFonts w:hint="eastAsia"/>
        </w:rPr>
        <w:tab/>
      </w:r>
      <w:r>
        <w:rPr>
          <w:rFonts w:hint="eastAsia"/>
        </w:rPr>
        <w:t>色情旅游是冈比亚关切的一个问题，虽然报告介绍了旨在应对色情旅游现象的措施，但未提及该缔约国普遍存在的卖淫现象（第</w:t>
      </w:r>
      <w:r>
        <w:rPr>
          <w:rFonts w:hint="eastAsia"/>
        </w:rPr>
        <w:t>42</w:t>
      </w:r>
      <w:r>
        <w:rPr>
          <w:rFonts w:hint="eastAsia"/>
        </w:rPr>
        <w:t>段）。请提供资料说明该缔约国普遍存在的卖淫现象及适用的法律框架，并说明希望摆脱卖淫的妇女可以利用哪些方案（如有）。另外，请提供最新资料说明该国为应对色情旅游现象而采取的措施，包括为确保有效执行《旅游犯罪法案》（</w:t>
      </w:r>
      <w:r>
        <w:rPr>
          <w:rFonts w:hint="eastAsia"/>
        </w:rPr>
        <w:t>2003</w:t>
      </w:r>
      <w:r>
        <w:rPr>
          <w:rFonts w:hint="eastAsia"/>
        </w:rPr>
        <w:t>年）、《旅游行为守则》（</w:t>
      </w:r>
      <w:r>
        <w:rPr>
          <w:rFonts w:hint="eastAsia"/>
        </w:rPr>
        <w:t>2005</w:t>
      </w:r>
      <w:r>
        <w:rPr>
          <w:rFonts w:hint="eastAsia"/>
        </w:rPr>
        <w:t>年）以及《商业色情剥削行动计划》而采取的措施。另请说明出台了哪些措施以确保为隶属于冈比亚旅游局的儿童色情旅游业问题工作队和警察部内设的旅游安全股配备了充足的资源，以确保其有效性。</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参与政治和公共生活</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11.</w:t>
      </w:r>
      <w:r>
        <w:rPr>
          <w:rFonts w:hint="eastAsia"/>
        </w:rPr>
        <w:tab/>
        <w:t xml:space="preserve"> </w:t>
      </w:r>
      <w:r>
        <w:rPr>
          <w:rFonts w:hint="eastAsia"/>
        </w:rPr>
        <w:t>报告指出，由于最高领导层采取的平权行动，内阁中有</w:t>
      </w:r>
      <w:r>
        <w:rPr>
          <w:rFonts w:hint="eastAsia"/>
        </w:rPr>
        <w:t>33%</w:t>
      </w:r>
      <w:r>
        <w:rPr>
          <w:rFonts w:hint="eastAsia"/>
        </w:rPr>
        <w:t>的部长级职位由妇女担任，政府中排名第二和第三的职位（即副总统兼妇女事务部长和国民议会议长）皆由妇女担任（第</w:t>
      </w:r>
      <w:r>
        <w:rPr>
          <w:rFonts w:hint="eastAsia"/>
        </w:rPr>
        <w:t>45</w:t>
      </w:r>
      <w:r>
        <w:rPr>
          <w:rFonts w:hint="eastAsia"/>
        </w:rPr>
        <w:t>段）。然而，报告也承认，虽然</w:t>
      </w:r>
      <w:r>
        <w:rPr>
          <w:rFonts w:hint="eastAsia"/>
        </w:rPr>
        <w:t>2002</w:t>
      </w:r>
      <w:r>
        <w:rPr>
          <w:rFonts w:hint="eastAsia"/>
        </w:rPr>
        <w:t>年《地方政府法》规定，乡村发展委员会和选区发展委员会中男女代表比例平等，但是，妇女在当地政府的参与程度仍十分有限。请提供资料说明已采取或设想采取哪些措施，以增加当选和（或）获得任命担任决策职务的妇女人数，并说明为实现妇女在政治和公共生活的各个层面的平等代表性所做的努力，包括根据《公约》第</w:t>
      </w:r>
      <w:r>
        <w:rPr>
          <w:rFonts w:hint="eastAsia"/>
        </w:rPr>
        <w:t>4</w:t>
      </w:r>
      <w:r>
        <w:rPr>
          <w:rFonts w:hint="eastAsia"/>
        </w:rPr>
        <w:t>（</w:t>
      </w:r>
      <w:r>
        <w:rPr>
          <w:rFonts w:hint="eastAsia"/>
        </w:rPr>
        <w:t>1</w:t>
      </w:r>
      <w:r>
        <w:rPr>
          <w:rFonts w:hint="eastAsia"/>
        </w:rPr>
        <w:t>）条和委员会第</w:t>
      </w:r>
      <w:r>
        <w:rPr>
          <w:rFonts w:hint="eastAsia"/>
        </w:rPr>
        <w:t>25</w:t>
      </w:r>
      <w:r>
        <w:rPr>
          <w:rFonts w:hint="eastAsia"/>
        </w:rPr>
        <w:t>号一般性建议而采用的暂行特别措施。</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教育</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12.</w:t>
      </w:r>
      <w:r>
        <w:rPr>
          <w:rFonts w:hint="eastAsia"/>
        </w:rPr>
        <w:tab/>
      </w:r>
      <w:r>
        <w:rPr>
          <w:rFonts w:hint="eastAsia"/>
        </w:rPr>
        <w:t>报告指出，自审议该缔约国之前的合并定期报告（</w:t>
      </w:r>
      <w:hyperlink r:id="rId21" w:history="1">
        <w:r w:rsidRPr="001F7128">
          <w:rPr>
            <w:rStyle w:val="Hyperlink"/>
            <w:rFonts w:hint="eastAsia"/>
          </w:rPr>
          <w:t>CEDAW/C/GMB/1-3</w:t>
        </w:r>
      </w:hyperlink>
      <w:r>
        <w:rPr>
          <w:rFonts w:hint="eastAsia"/>
        </w:rPr>
        <w:t>）以来，该缔约国实施了各种项目和方案，在帮助拓展各级女童接受教育的渠道方面取得了进展，其中包括通过执行《</w:t>
      </w:r>
      <w:r>
        <w:rPr>
          <w:rFonts w:hint="eastAsia"/>
        </w:rPr>
        <w:t>2004-2015</w:t>
      </w:r>
      <w:r>
        <w:rPr>
          <w:rFonts w:hint="eastAsia"/>
        </w:rPr>
        <w:t>年国家教育政策</w:t>
      </w:r>
      <w:r>
        <w:rPr>
          <w:rFonts w:hint="eastAsia"/>
        </w:rPr>
        <w:t xml:space="preserve"> </w:t>
      </w:r>
      <w:r>
        <w:rPr>
          <w:rFonts w:hint="eastAsia"/>
        </w:rPr>
        <w:t>》和《</w:t>
      </w:r>
      <w:r>
        <w:rPr>
          <w:rFonts w:hint="eastAsia"/>
        </w:rPr>
        <w:t>2006-2015</w:t>
      </w:r>
      <w:r>
        <w:rPr>
          <w:rFonts w:hint="eastAsia"/>
        </w:rPr>
        <w:t>年教育部门战略计划》中所载的性别平等主流化战略（第</w:t>
      </w:r>
      <w:r>
        <w:rPr>
          <w:rFonts w:hint="eastAsia"/>
        </w:rPr>
        <w:t>14</w:t>
      </w:r>
      <w:r>
        <w:rPr>
          <w:rFonts w:hint="eastAsia"/>
        </w:rPr>
        <w:t>至第</w:t>
      </w:r>
      <w:r>
        <w:rPr>
          <w:rFonts w:hint="eastAsia"/>
        </w:rPr>
        <w:t>15</w:t>
      </w:r>
      <w:r>
        <w:rPr>
          <w:rFonts w:hint="eastAsia"/>
        </w:rPr>
        <w:t>段）。请提供最新数据，说明分配给教育的资源占国家预算的比例，并说明已采取或设想采取哪些措施，以提高各级教育的女童入学率，尤其是在高等教育阶段，因为该阶段的女童入学率仍然较低（第</w:t>
      </w:r>
      <w:r>
        <w:rPr>
          <w:rFonts w:hint="eastAsia"/>
        </w:rPr>
        <w:t>25</w:t>
      </w:r>
      <w:r>
        <w:rPr>
          <w:rFonts w:hint="eastAsia"/>
        </w:rPr>
        <w:t>段）；减少女童辍学率；消除女童接受教育的经济、社会和文化障碍，包括教育的直接和间接费用以及童婚和（或）强迫婚姻以及少女怀孕；消除课本、课程和教师培训中对男子和妇女作用与职责的陈规定型态度；通过在正规和非正规级别执行全面教育方案以及执行专门针对成年妇女的各项方案，为妇女扫盲，尤其是为农村地区妇女扫盲。</w:t>
      </w:r>
      <w:r>
        <w:rPr>
          <w:rFonts w:hint="eastAsia"/>
        </w:rPr>
        <w:t xml:space="preserve"> </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就业</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 xml:space="preserve">13. </w:t>
      </w:r>
      <w:r>
        <w:rPr>
          <w:rFonts w:hint="eastAsia"/>
        </w:rPr>
        <w:tab/>
      </w:r>
      <w:r>
        <w:rPr>
          <w:rFonts w:hint="eastAsia"/>
        </w:rPr>
        <w:t>报告指出，正规部门就业存在着有利于男性的性别偏见，因为教育是参与就业的前提，妇女识字水平较低，所以一般情况下被排斥在外（第</w:t>
      </w:r>
      <w:r>
        <w:rPr>
          <w:rFonts w:hint="eastAsia"/>
        </w:rPr>
        <w:t>58</w:t>
      </w:r>
      <w:r>
        <w:rPr>
          <w:rFonts w:hint="eastAsia"/>
        </w:rPr>
        <w:t>段）。委员会得知，妇女占非正规部门劳动力的大多数，在这些部门，妇女一般得不到社会保护，如工人的福利和医疗保险，该缔约国的报告承认了这一点，虽然报告也承认这方面缺少按性别和其他因素分列的数据（第</w:t>
      </w:r>
      <w:r>
        <w:rPr>
          <w:rFonts w:hint="eastAsia"/>
        </w:rPr>
        <w:t>61</w:t>
      </w:r>
      <w:r>
        <w:rPr>
          <w:rFonts w:hint="eastAsia"/>
        </w:rPr>
        <w:t>段）。请指出采取了哪些措施来缩小教育</w:t>
      </w:r>
      <w:r>
        <w:rPr>
          <w:rFonts w:hint="eastAsia"/>
        </w:rPr>
        <w:t>/</w:t>
      </w:r>
      <w:r>
        <w:rPr>
          <w:rFonts w:hint="eastAsia"/>
        </w:rPr>
        <w:t>培训差距，以确保有更多的妇女获得在正规部门找到工作所必需的资格（第</w:t>
      </w:r>
      <w:r>
        <w:rPr>
          <w:rFonts w:hint="eastAsia"/>
        </w:rPr>
        <w:t>58</w:t>
      </w:r>
      <w:r>
        <w:rPr>
          <w:rFonts w:hint="eastAsia"/>
        </w:rPr>
        <w:t>至第</w:t>
      </w:r>
      <w:r>
        <w:rPr>
          <w:rFonts w:hint="eastAsia"/>
        </w:rPr>
        <w:t>60</w:t>
      </w:r>
      <w:r>
        <w:rPr>
          <w:rFonts w:hint="eastAsia"/>
        </w:rPr>
        <w:t>段）。另请提供资料说明出台了哪些措施来解决非正规部门、公共部门和私营部门以及决策职位妇女任职情况的性别分类数据不足问题。请提供资料说明非正规部门现有的或设想的针对妇女的保护措施及社会或其他服务类型，尤其是提供社会福利，包括产假及将她们纳入正规劳动力队伍。</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卫生</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14.</w:t>
      </w:r>
      <w:r>
        <w:rPr>
          <w:rFonts w:hint="eastAsia"/>
        </w:rPr>
        <w:tab/>
      </w:r>
      <w:r>
        <w:rPr>
          <w:rFonts w:hint="eastAsia"/>
        </w:rPr>
        <w:t>委员会得知，除母亲的健康或生命有危险，否则，堕胎便是一种犯罪。该缔约国对堕胎处以三年监禁。请指出该缔约国是否正在考虑将堕胎非刑罪化，并说明是否计划拓宽妇女选择堕胎的理由，例如：强奸或乱伦导致的怀孕，或者胎儿可能出现严重损伤。另请提供资料说明不安全堕胎对妇女健康的影响，包括孕产妇死亡率，</w:t>
      </w:r>
      <w:r>
        <w:rPr>
          <w:rFonts w:hint="eastAsia"/>
        </w:rPr>
        <w:t>2010</w:t>
      </w:r>
      <w:r>
        <w:rPr>
          <w:rFonts w:hint="eastAsia"/>
        </w:rPr>
        <w:t>年的孕产妇死亡率为每</w:t>
      </w:r>
      <w:r>
        <w:rPr>
          <w:rFonts w:hint="eastAsia"/>
        </w:rPr>
        <w:t>10</w:t>
      </w:r>
      <w:r>
        <w:rPr>
          <w:rFonts w:hint="eastAsia"/>
        </w:rPr>
        <w:t>万活产</w:t>
      </w:r>
      <w:r>
        <w:rPr>
          <w:rFonts w:hint="eastAsia"/>
        </w:rPr>
        <w:t>360</w:t>
      </w:r>
      <w:r>
        <w:rPr>
          <w:rFonts w:hint="eastAsia"/>
        </w:rPr>
        <w:t>例死亡。请提供资料说明早孕现象的发生率以及设想采取哪些措施来进一步增加适龄的性健康和生殖健康权利及计划生育服务全面教育的使用率和便捷性，以及说明避孕药具的使用率。请说明设想采取哪些措施以进一步解决孕产妇和婴儿死亡率居高不下这一问题，尤其是特定民族群体中的这一问题，虽然在该方面取得了一些进展，以及说明设想采取哪些措施以进一步解决始终得不到基本医疗保健服务问题，包括：基本产科保健；训练有素且工作积极的医务人员以及充足的现代化医疗设备。</w:t>
      </w:r>
    </w:p>
    <w:p w:rsidR="001F7128" w:rsidRDefault="001F7128" w:rsidP="001F7128">
      <w:pPr>
        <w:pStyle w:val="SingleTxt"/>
        <w:rPr>
          <w:rFonts w:hint="eastAsia"/>
        </w:rPr>
      </w:pPr>
      <w:r>
        <w:rPr>
          <w:rFonts w:hint="eastAsia"/>
        </w:rPr>
        <w:t>15.</w:t>
      </w:r>
      <w:r>
        <w:rPr>
          <w:rFonts w:hint="eastAsia"/>
        </w:rPr>
        <w:tab/>
      </w:r>
      <w:r>
        <w:rPr>
          <w:rFonts w:hint="eastAsia"/>
        </w:rPr>
        <w:t>报告指出，在该国的艾滋病毒感染者中，女性人数（</w:t>
      </w:r>
      <w:r>
        <w:rPr>
          <w:rFonts w:hint="eastAsia"/>
        </w:rPr>
        <w:t>54%</w:t>
      </w:r>
      <w:r>
        <w:rPr>
          <w:rFonts w:hint="eastAsia"/>
        </w:rPr>
        <w:t>）超过了男性（</w:t>
      </w:r>
      <w:r>
        <w:rPr>
          <w:rFonts w:hint="eastAsia"/>
        </w:rPr>
        <w:t>46%</w:t>
      </w:r>
      <w:r>
        <w:rPr>
          <w:rFonts w:hint="eastAsia"/>
        </w:rPr>
        <w:t>）。报告还明确指出，由于艾滋病毒整体发病率低，多数冈比亚人没有直接受该疾病的影响，造成其不可见性，从而对减少和扭转患病趋势造成了挑战。请提供最新资料说明制定了哪些方案来为感染艾滋病毒</w:t>
      </w:r>
      <w:r>
        <w:rPr>
          <w:rFonts w:hint="eastAsia"/>
        </w:rPr>
        <w:t>/</w:t>
      </w:r>
      <w:r>
        <w:rPr>
          <w:rFonts w:hint="eastAsia"/>
        </w:rPr>
        <w:t>艾滋病的妇女提供支持，并为其提供抗逆转录病毒治疗，以及说明策划并实施了哪些提高认识运动以及其实地影响如何。</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农村妇女</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16.</w:t>
      </w:r>
      <w:r>
        <w:rPr>
          <w:rFonts w:hint="eastAsia"/>
        </w:rPr>
        <w:tab/>
      </w:r>
      <w:r>
        <w:rPr>
          <w:rFonts w:hint="eastAsia"/>
        </w:rPr>
        <w:t>报告指出，在从事农业活动的</w:t>
      </w:r>
      <w:r>
        <w:rPr>
          <w:rFonts w:hint="eastAsia"/>
        </w:rPr>
        <w:t>56%</w:t>
      </w:r>
      <w:r>
        <w:rPr>
          <w:rFonts w:hint="eastAsia"/>
        </w:rPr>
        <w:t>劳动人口中，妇女占农业部门劳动力的绝大部分（</w:t>
      </w:r>
      <w:r>
        <w:rPr>
          <w:rFonts w:hint="eastAsia"/>
        </w:rPr>
        <w:t>65.5%</w:t>
      </w:r>
      <w:r>
        <w:rPr>
          <w:rFonts w:hint="eastAsia"/>
        </w:rPr>
        <w:t>），而她们的男性同行占</w:t>
      </w:r>
      <w:r>
        <w:rPr>
          <w:rFonts w:hint="eastAsia"/>
        </w:rPr>
        <w:t>47.5%</w:t>
      </w:r>
      <w:r>
        <w:rPr>
          <w:rFonts w:hint="eastAsia"/>
        </w:rPr>
        <w:t>。请提供最新分类数据，说明《公约》覆盖所有地区农村妇女的状况。还请说明已采取和（或）设想采取哪些措施，确保农村妇女与男子和城市妇女在平等和公平的基础上，获得包括卫生、教育、安全用水和卫生设施在内的基本服务，以及获得土地所有权和管理权、农业支持和包括创收项目和信贷在内的经济机会。</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婚姻和家庭关系</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17.</w:t>
      </w:r>
      <w:r>
        <w:rPr>
          <w:rFonts w:hint="eastAsia"/>
        </w:rPr>
        <w:tab/>
      </w:r>
      <w:r>
        <w:rPr>
          <w:rFonts w:hint="eastAsia"/>
        </w:rPr>
        <w:t>该缔约国指出，习惯法和属人法影响着冈比亚</w:t>
      </w:r>
      <w:r>
        <w:rPr>
          <w:rFonts w:hint="eastAsia"/>
        </w:rPr>
        <w:t>90%</w:t>
      </w:r>
      <w:r>
        <w:rPr>
          <w:rFonts w:hint="eastAsia"/>
        </w:rPr>
        <w:t>以上妇女的生活，对《公约》某些条款的适用造成限制（</w:t>
      </w:r>
      <w:hyperlink r:id="rId22" w:history="1">
        <w:r w:rsidRPr="001F7128">
          <w:rPr>
            <w:rStyle w:val="Hyperlink"/>
            <w:rFonts w:hint="eastAsia"/>
          </w:rPr>
          <w:t>HRI/CORE/GMB/2012</w:t>
        </w:r>
      </w:hyperlink>
      <w:r>
        <w:rPr>
          <w:rFonts w:hint="eastAsia"/>
        </w:rPr>
        <w:t>，第</w:t>
      </w:r>
      <w:r>
        <w:rPr>
          <w:rFonts w:hint="eastAsia"/>
        </w:rPr>
        <w:t>95</w:t>
      </w:r>
      <w:r>
        <w:rPr>
          <w:rFonts w:hint="eastAsia"/>
        </w:rPr>
        <w:t>段）。该缔约国表示，对大多数冈比亚人（其中有</w:t>
      </w:r>
      <w:r>
        <w:rPr>
          <w:rFonts w:hint="eastAsia"/>
        </w:rPr>
        <w:t>95%</w:t>
      </w:r>
      <w:r>
        <w:rPr>
          <w:rFonts w:hint="eastAsia"/>
        </w:rPr>
        <w:t>为穆斯林）而言，结婚、离婚和继承等事宜都受属人法或习惯法管辖，即适用于穆斯林的伊斯兰教法或适用于人数相对较少的传统主义者的习惯法（同上，第</w:t>
      </w:r>
      <w:r>
        <w:rPr>
          <w:rFonts w:hint="eastAsia"/>
        </w:rPr>
        <w:t>96</w:t>
      </w:r>
      <w:r>
        <w:rPr>
          <w:rFonts w:hint="eastAsia"/>
        </w:rPr>
        <w:t>段）。除报告第</w:t>
      </w:r>
      <w:r>
        <w:rPr>
          <w:rFonts w:hint="eastAsia"/>
        </w:rPr>
        <w:t>6</w:t>
      </w:r>
      <w:r>
        <w:rPr>
          <w:rFonts w:hint="eastAsia"/>
        </w:rPr>
        <w:t>段提供的资料外，请指出为了解决之前的关切并落实委员会的建议（</w:t>
      </w:r>
      <w:hyperlink r:id="rId23" w:history="1">
        <w:r w:rsidRPr="001F7128">
          <w:rPr>
            <w:rStyle w:val="Hyperlink"/>
            <w:rFonts w:hint="eastAsia"/>
          </w:rPr>
          <w:t>A/60/38</w:t>
        </w:r>
      </w:hyperlink>
      <w:r>
        <w:rPr>
          <w:rFonts w:hint="eastAsia"/>
        </w:rPr>
        <w:t>，第二部分，第</w:t>
      </w:r>
      <w:r>
        <w:rPr>
          <w:rFonts w:hint="eastAsia"/>
        </w:rPr>
        <w:t>189</w:t>
      </w:r>
      <w:r>
        <w:rPr>
          <w:rFonts w:hint="eastAsia"/>
        </w:rPr>
        <w:t>和第</w:t>
      </w:r>
      <w:r>
        <w:rPr>
          <w:rFonts w:hint="eastAsia"/>
        </w:rPr>
        <w:t>190</w:t>
      </w:r>
      <w:r>
        <w:rPr>
          <w:rFonts w:hint="eastAsia"/>
        </w:rPr>
        <w:t>段）所采取的措施（如有），包括缔约国是否设想对其</w:t>
      </w:r>
      <w:r>
        <w:rPr>
          <w:rFonts w:hint="eastAsia"/>
        </w:rPr>
        <w:t>1997</w:t>
      </w:r>
      <w:r>
        <w:rPr>
          <w:rFonts w:hint="eastAsia"/>
        </w:rPr>
        <w:t>年《宪法》第</w:t>
      </w:r>
      <w:r>
        <w:rPr>
          <w:rFonts w:hint="eastAsia"/>
        </w:rPr>
        <w:t>33</w:t>
      </w:r>
      <w:r>
        <w:rPr>
          <w:rFonts w:hint="eastAsia"/>
        </w:rPr>
        <w:t>（</w:t>
      </w:r>
      <w:r>
        <w:rPr>
          <w:rFonts w:hint="eastAsia"/>
        </w:rPr>
        <w:t>5</w:t>
      </w:r>
      <w:r>
        <w:rPr>
          <w:rFonts w:hint="eastAsia"/>
        </w:rPr>
        <w:t>）条进行修正，该条规定，禁止歧视不适用于收养、婚姻、离婚、丧葬和继承财产。考虑到该缔约国在批准《公约》时没有任何保留，请详细说明在确保国内法和习惯法以及伊斯兰教法的某些方面是以符合《公约》条款的方式来解释和适用的方面取得的进展。另请指出采取了哪些措施来抵制童婚和（或）强迫婚姻习俗，尽管</w:t>
      </w:r>
      <w:r>
        <w:rPr>
          <w:rFonts w:hint="eastAsia"/>
        </w:rPr>
        <w:t>2005</w:t>
      </w:r>
      <w:r>
        <w:rPr>
          <w:rFonts w:hint="eastAsia"/>
        </w:rPr>
        <w:t>年《儿童法案》禁止童婚，但童婚仍在实行（第</w:t>
      </w:r>
      <w:r>
        <w:rPr>
          <w:rFonts w:hint="eastAsia"/>
        </w:rPr>
        <w:t>103</w:t>
      </w:r>
      <w:r>
        <w:rPr>
          <w:rFonts w:hint="eastAsia"/>
        </w:rPr>
        <w:t>至第</w:t>
      </w:r>
      <w:r>
        <w:rPr>
          <w:rFonts w:hint="eastAsia"/>
        </w:rPr>
        <w:t>104</w:t>
      </w:r>
      <w:r>
        <w:rPr>
          <w:rFonts w:hint="eastAsia"/>
        </w:rPr>
        <w:t>段），请指出采取了哪些措施对允许男童和女童结婚年龄不同的法律进行修订。</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数据收集</w:t>
      </w:r>
    </w:p>
    <w:p w:rsidR="001F7128" w:rsidRPr="001F7128" w:rsidRDefault="001F7128" w:rsidP="001F7128">
      <w:pPr>
        <w:pStyle w:val="SingleTxt"/>
        <w:spacing w:after="0" w:line="120" w:lineRule="exact"/>
        <w:rPr>
          <w:rFonts w:hint="eastAsia"/>
          <w:sz w:val="10"/>
        </w:rPr>
      </w:pPr>
    </w:p>
    <w:p w:rsidR="001F7128" w:rsidRDefault="001F7128" w:rsidP="001F7128">
      <w:pPr>
        <w:pStyle w:val="SingleTxt"/>
        <w:rPr>
          <w:rFonts w:hint="eastAsia"/>
        </w:rPr>
      </w:pPr>
      <w:r>
        <w:rPr>
          <w:rFonts w:hint="eastAsia"/>
        </w:rPr>
        <w:t>18.</w:t>
      </w:r>
      <w:r>
        <w:rPr>
          <w:rFonts w:hint="eastAsia"/>
        </w:rPr>
        <w:tab/>
      </w:r>
      <w:r>
        <w:rPr>
          <w:rFonts w:hint="eastAsia"/>
        </w:rPr>
        <w:t>请说明在制定专用系统用以收集和分析与《公约》所有领域相关的性别分类数据及其他因素方面取得的进展，以及说明为了实现性别平等主流化而进行的协调情况。</w:t>
      </w:r>
    </w:p>
    <w:p w:rsidR="001F7128" w:rsidRDefault="001F7128" w:rsidP="001F712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《任择议定书》和《公约》第20条第1款修正案</w:t>
      </w:r>
    </w:p>
    <w:p w:rsidR="001F7128" w:rsidRPr="001F7128" w:rsidRDefault="001F7128" w:rsidP="001F7128">
      <w:pPr>
        <w:pStyle w:val="SingleTxt"/>
        <w:spacing w:after="0" w:line="120" w:lineRule="exact"/>
        <w:rPr>
          <w:rFonts w:hint="eastAsia"/>
          <w:sz w:val="10"/>
        </w:rPr>
      </w:pPr>
    </w:p>
    <w:p w:rsidR="00986F75" w:rsidRDefault="001F7128" w:rsidP="001F7128">
      <w:pPr>
        <w:pStyle w:val="SingleTxt"/>
      </w:pPr>
      <w:r>
        <w:rPr>
          <w:rFonts w:hint="eastAsia"/>
        </w:rPr>
        <w:t>19.</w:t>
      </w:r>
      <w:r>
        <w:rPr>
          <w:rFonts w:hint="eastAsia"/>
        </w:rPr>
        <w:tab/>
      </w:r>
      <w:r>
        <w:rPr>
          <w:rFonts w:hint="eastAsia"/>
        </w:rPr>
        <w:t>请指出在批准《公约任择议定书》及接</w:t>
      </w:r>
      <w:bookmarkStart w:id="1" w:name="TmpSave"/>
      <w:bookmarkEnd w:id="1"/>
      <w:r>
        <w:rPr>
          <w:rFonts w:hint="eastAsia"/>
        </w:rPr>
        <w:t>受《公约》第</w:t>
      </w:r>
      <w:r>
        <w:rPr>
          <w:rFonts w:hint="eastAsia"/>
        </w:rPr>
        <w:t>20</w:t>
      </w:r>
      <w:r>
        <w:rPr>
          <w:rFonts w:hint="eastAsia"/>
        </w:rPr>
        <w:t>条第</w:t>
      </w:r>
      <w:r>
        <w:rPr>
          <w:rFonts w:hint="eastAsia"/>
        </w:rPr>
        <w:t>1</w:t>
      </w:r>
      <w:r>
        <w:rPr>
          <w:rFonts w:hint="eastAsia"/>
        </w:rPr>
        <w:t>款有关委员会会议的修正案方面取得了哪些进展。</w:t>
      </w:r>
    </w:p>
    <w:p w:rsidR="001F7128" w:rsidRPr="001F7128" w:rsidRDefault="001F7128" w:rsidP="001F7128">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1F7128" w:rsidRPr="001F7128" w:rsidSect="00986F75">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7T16:03:00Z" w:initials="Start">
    <w:p w:rsidR="00986F75" w:rsidRDefault="00986F75">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D17428">
        <w:fldChar w:fldCharType="separate"/>
      </w:r>
      <w:r w:rsidR="00D17428">
        <w:rPr>
          <w:rFonts w:hint="eastAsia"/>
          <w:noProof/>
        </w:rPr>
        <w:t>页</w:t>
      </w:r>
      <w:r w:rsidR="00D17428">
        <w:rPr>
          <w:rFonts w:hint="eastAsia"/>
          <w:noProof/>
        </w:rPr>
        <w:t xml:space="preserve">: </w:t>
      </w:r>
      <w:r w:rsidR="00D17428">
        <w:rPr>
          <w:noProof/>
        </w:rPr>
        <w:t>1</w:t>
      </w:r>
      <w:r w:rsidR="00D17428">
        <w:rPr>
          <w:rFonts w:hint="eastAsia"/>
          <w:noProof/>
        </w:rPr>
        <w:br/>
      </w:r>
      <w:r>
        <w:fldChar w:fldCharType="end"/>
      </w:r>
      <w:r>
        <w:rPr>
          <w:rStyle w:val="CommentReference"/>
        </w:rPr>
        <w:annotationRef/>
      </w:r>
      <w:r>
        <w:t>&lt;&lt;ODS JOB NO&gt;&gt;N1463300C&lt;&lt;ODS JOB NO&gt;&gt;</w:t>
      </w:r>
    </w:p>
    <w:p w:rsidR="00986F75" w:rsidRDefault="00986F75">
      <w:pPr>
        <w:pStyle w:val="CommentText"/>
      </w:pPr>
      <w:r>
        <w:t>&lt;&lt;ODS DOC SYMBOL1&gt;&gt;CEDAW/C/GMB/Q/4-5&lt;&lt;ODS DOC SYMBOL1&gt;&gt;</w:t>
      </w:r>
    </w:p>
    <w:p w:rsidR="00986F75" w:rsidRDefault="00986F7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6F3F" w:rsidRDefault="00A66F3F">
      <w:r>
        <w:separator/>
      </w:r>
    </w:p>
  </w:endnote>
  <w:endnote w:type="continuationSeparator" w:id="0">
    <w:p w:rsidR="00A66F3F" w:rsidRDefault="00A66F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86F75" w:rsidTr="00986F75">
      <w:tblPrEx>
        <w:tblCellMar>
          <w:top w:w="0" w:type="dxa"/>
          <w:bottom w:w="0" w:type="dxa"/>
        </w:tblCellMar>
      </w:tblPrEx>
      <w:tc>
        <w:tcPr>
          <w:tcW w:w="5028" w:type="dxa"/>
          <w:shd w:val="clear" w:color="auto" w:fill="auto"/>
        </w:tcPr>
        <w:p w:rsidR="00986F75" w:rsidRPr="00986F75" w:rsidRDefault="00986F75" w:rsidP="00986F75">
          <w:pPr>
            <w:pStyle w:val="Footer"/>
            <w:jc w:val="right"/>
            <w:rPr>
              <w:b w:val="0"/>
              <w:w w:val="103"/>
              <w:sz w:val="14"/>
            </w:rPr>
          </w:pPr>
          <w:fldSimple w:instr=" DOCVARIABLE &quot;FooterJN&quot; \* MERGEFORMAT ">
            <w:r w:rsidR="00D17428">
              <w:rPr>
                <w:b w:val="0"/>
                <w:w w:val="103"/>
                <w:sz w:val="14"/>
              </w:rPr>
              <w:t>14-64932 (C)</w:t>
            </w:r>
          </w:fldSimple>
        </w:p>
      </w:tc>
      <w:tc>
        <w:tcPr>
          <w:tcW w:w="5028" w:type="dxa"/>
          <w:shd w:val="clear" w:color="auto" w:fill="auto"/>
        </w:tcPr>
        <w:p w:rsidR="00986F75" w:rsidRPr="00986F75" w:rsidRDefault="00986F75" w:rsidP="00986F75">
          <w:pPr>
            <w:pStyle w:val="Footer"/>
            <w:jc w:val="left"/>
            <w:rPr>
              <w:w w:val="103"/>
            </w:rPr>
          </w:pPr>
          <w:r>
            <w:rPr>
              <w:w w:val="103"/>
            </w:rPr>
            <w:fldChar w:fldCharType="begin"/>
          </w:r>
          <w:r>
            <w:rPr>
              <w:w w:val="103"/>
            </w:rPr>
            <w:instrText xml:space="preserve"> PAGE  \* Arabic  \* MERGEFORMAT </w:instrText>
          </w:r>
          <w:r>
            <w:rPr>
              <w:w w:val="103"/>
            </w:rPr>
            <w:fldChar w:fldCharType="separate"/>
          </w:r>
          <w:r w:rsidR="00653FF5">
            <w:rPr>
              <w:w w:val="103"/>
            </w:rPr>
            <w:t>6</w:t>
          </w:r>
          <w:r>
            <w:rPr>
              <w:w w:val="103"/>
            </w:rPr>
            <w:fldChar w:fldCharType="end"/>
          </w:r>
          <w:r>
            <w:rPr>
              <w:w w:val="103"/>
            </w:rPr>
            <w:t>/</w:t>
          </w:r>
          <w:fldSimple w:instr=" NUMPAGES  \* Arabic  \* MERGEFORMAT ">
            <w:r w:rsidR="00653FF5">
              <w:rPr>
                <w:w w:val="103"/>
              </w:rPr>
              <w:t>6</w:t>
            </w:r>
          </w:fldSimple>
        </w:p>
      </w:tc>
    </w:tr>
  </w:tbl>
  <w:p w:rsidR="00986F75" w:rsidRPr="00986F75" w:rsidRDefault="00986F75" w:rsidP="00986F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86F75" w:rsidTr="00986F75">
      <w:tblPrEx>
        <w:tblCellMar>
          <w:top w:w="0" w:type="dxa"/>
          <w:bottom w:w="0" w:type="dxa"/>
        </w:tblCellMar>
      </w:tblPrEx>
      <w:tc>
        <w:tcPr>
          <w:tcW w:w="5028" w:type="dxa"/>
          <w:shd w:val="clear" w:color="auto" w:fill="auto"/>
        </w:tcPr>
        <w:p w:rsidR="00986F75" w:rsidRPr="00986F75" w:rsidRDefault="00986F75" w:rsidP="00986F75">
          <w:pPr>
            <w:pStyle w:val="Footer"/>
            <w:jc w:val="right"/>
          </w:pPr>
          <w:fldSimple w:instr=" PAGE  \* Arabic  \* MERGEFORMAT ">
            <w:r w:rsidR="00653FF5">
              <w:t>5</w:t>
            </w:r>
          </w:fldSimple>
          <w:r>
            <w:t>/</w:t>
          </w:r>
          <w:fldSimple w:instr=" NUMPAGES  \* Arabic  \* MERGEFORMAT ">
            <w:r w:rsidR="00653FF5">
              <w:t>6</w:t>
            </w:r>
          </w:fldSimple>
        </w:p>
      </w:tc>
      <w:tc>
        <w:tcPr>
          <w:tcW w:w="5028" w:type="dxa"/>
          <w:shd w:val="clear" w:color="auto" w:fill="auto"/>
        </w:tcPr>
        <w:p w:rsidR="00986F75" w:rsidRPr="00986F75" w:rsidRDefault="00986F75" w:rsidP="00986F75">
          <w:pPr>
            <w:pStyle w:val="Footer"/>
            <w:jc w:val="left"/>
            <w:rPr>
              <w:b w:val="0"/>
              <w:w w:val="103"/>
              <w:sz w:val="14"/>
            </w:rPr>
          </w:pPr>
          <w:fldSimple w:instr=" DOCVARIABLE &quot;FooterJN&quot; \* MERGEFORMAT ">
            <w:r w:rsidR="00D17428">
              <w:rPr>
                <w:b w:val="0"/>
                <w:w w:val="103"/>
                <w:sz w:val="14"/>
              </w:rPr>
              <w:t>14-64932 (C)</w:t>
            </w:r>
          </w:fldSimple>
        </w:p>
      </w:tc>
    </w:tr>
  </w:tbl>
  <w:p w:rsidR="00986F75" w:rsidRPr="00986F75" w:rsidRDefault="00986F75" w:rsidP="00986F7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986F75" w:rsidTr="00986F75">
      <w:tblPrEx>
        <w:tblCellMar>
          <w:top w:w="0" w:type="dxa"/>
          <w:bottom w:w="0" w:type="dxa"/>
        </w:tblCellMar>
      </w:tblPrEx>
      <w:tc>
        <w:tcPr>
          <w:tcW w:w="3744" w:type="dxa"/>
        </w:tcPr>
        <w:p w:rsidR="00986F75" w:rsidRDefault="001F7128" w:rsidP="00986F75">
          <w:pPr>
            <w:pStyle w:val="Release"/>
          </w:pPr>
          <w:r w:rsidRPr="001F7128">
            <w:t xml:space="preserve">14-64932 </w:t>
          </w:r>
          <w:r>
            <w:t xml:space="preserve">X </w:t>
          </w:r>
          <w:r w:rsidRPr="001F7128">
            <w:t>(C)</w:t>
          </w:r>
          <w:r w:rsidR="00986F7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4-5Size =1Lang = C"/>
                <w10:wrap anchorx="page" anchory="page"/>
              </v:shape>
            </w:pict>
          </w:r>
          <w:r w:rsidR="00986F75">
            <w:t xml:space="preserve">    0</w:t>
          </w:r>
          <w:r>
            <w:rPr>
              <w:rFonts w:hint="eastAsia"/>
            </w:rPr>
            <w:t>6</w:t>
          </w:r>
          <w:r w:rsidR="00986F75">
            <w:t xml:space="preserve">0115    </w:t>
          </w:r>
          <w:r>
            <w:rPr>
              <w:rFonts w:hint="eastAsia"/>
            </w:rPr>
            <w:t>19</w:t>
          </w:r>
          <w:r w:rsidR="00986F75">
            <w:t>0115</w:t>
          </w:r>
        </w:p>
        <w:p w:rsidR="00986F75" w:rsidRPr="00986F75" w:rsidRDefault="00986F75" w:rsidP="00986F75">
          <w:pPr>
            <w:spacing w:before="80" w:line="210" w:lineRule="exact"/>
            <w:rPr>
              <w:rFonts w:ascii="Barcode 3 of 9 by request" w:hAnsi="Barcode 3 of 9 by request"/>
              <w:sz w:val="24"/>
            </w:rPr>
          </w:pPr>
          <w:r>
            <w:rPr>
              <w:rFonts w:ascii="Barcode 3 of 9 by request" w:hAnsi="Barcode 3 of 9 by request"/>
              <w:sz w:val="24"/>
            </w:rPr>
            <w:t>*1464932*</w:t>
          </w:r>
        </w:p>
      </w:tc>
      <w:tc>
        <w:tcPr>
          <w:tcW w:w="5028" w:type="dxa"/>
        </w:tcPr>
        <w:p w:rsidR="00986F75" w:rsidRDefault="00986F75" w:rsidP="00986F75">
          <w:pPr>
            <w:pStyle w:val="Footer"/>
            <w:jc w:val="right"/>
            <w:rPr>
              <w:b w:val="0"/>
              <w:sz w:val="21"/>
            </w:rPr>
          </w:pPr>
          <w:r>
            <w:rPr>
              <w:b w:val="0"/>
              <w:sz w:val="21"/>
            </w:rPr>
            <w:pict>
              <v:shape id="_x0000_i1026" type="#_x0000_t75" style="width:48.75pt;height:18pt">
                <v:imagedata r:id="rId2" o:title="recycle_Chinese"/>
              </v:shape>
            </w:pict>
          </w:r>
        </w:p>
      </w:tc>
    </w:tr>
  </w:tbl>
  <w:p w:rsidR="00986F75" w:rsidRPr="00986F75" w:rsidRDefault="00986F75" w:rsidP="00986F7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6F3F" w:rsidRPr="001F7128" w:rsidRDefault="00A66F3F" w:rsidP="001F7128">
      <w:pPr>
        <w:pStyle w:val="Footer"/>
        <w:spacing w:after="80"/>
        <w:ind w:left="792"/>
        <w:rPr>
          <w:sz w:val="16"/>
        </w:rPr>
      </w:pPr>
      <w:r w:rsidRPr="001F7128">
        <w:rPr>
          <w:sz w:val="16"/>
        </w:rPr>
        <w:t>__________________</w:t>
      </w:r>
    </w:p>
  </w:footnote>
  <w:footnote w:type="continuationSeparator" w:id="0">
    <w:p w:rsidR="00A66F3F" w:rsidRPr="001F7128" w:rsidRDefault="00A66F3F" w:rsidP="001F7128">
      <w:pPr>
        <w:pStyle w:val="Footer"/>
        <w:spacing w:after="80"/>
        <w:ind w:left="792"/>
        <w:rPr>
          <w:sz w:val="16"/>
        </w:rPr>
      </w:pPr>
      <w:r w:rsidRPr="001F7128">
        <w:rPr>
          <w:sz w:val="16"/>
        </w:rPr>
        <w:t>__________________</w:t>
      </w:r>
    </w:p>
  </w:footnote>
  <w:footnote w:id="1">
    <w:p w:rsidR="001F7128" w:rsidRDefault="001F7128" w:rsidP="001F712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t>*</w:t>
      </w:r>
      <w:r>
        <w:tab/>
      </w:r>
      <w:hyperlink r:id="rId1" w:history="1">
        <w:r w:rsidRPr="001F7128">
          <w:rPr>
            <w:rStyle w:val="Hyperlink"/>
            <w:rFonts w:hint="eastAsia"/>
          </w:rPr>
          <w:t>CEDAW/C/61/1</w:t>
        </w:r>
      </w:hyperlink>
      <w:r w:rsidRPr="001F7128">
        <w:rPr>
          <w:rFonts w:hint="eastAsia"/>
        </w:rPr>
        <w:t>。</w:t>
      </w:r>
    </w:p>
  </w:footnote>
  <w:footnote w:id="2">
    <w:p w:rsidR="001F7128" w:rsidRDefault="001F7128" w:rsidP="001F7128">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F7128">
        <w:rPr>
          <w:rFonts w:hint="eastAsia"/>
        </w:rPr>
        <w:t>除非另有说明，段号是指冈比亚第四和第五次合并定期报告中的段号。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86F75" w:rsidTr="00986F75">
      <w:tblPrEx>
        <w:tblCellMar>
          <w:top w:w="0" w:type="dxa"/>
          <w:bottom w:w="0" w:type="dxa"/>
        </w:tblCellMar>
      </w:tblPrEx>
      <w:trPr>
        <w:trHeight w:hRule="exact" w:val="864"/>
      </w:trPr>
      <w:tc>
        <w:tcPr>
          <w:tcW w:w="4838" w:type="dxa"/>
          <w:shd w:val="clear" w:color="auto" w:fill="auto"/>
          <w:vAlign w:val="bottom"/>
        </w:tcPr>
        <w:p w:rsidR="00986F75" w:rsidRPr="00986F75" w:rsidRDefault="00986F75" w:rsidP="00986F75">
          <w:pPr>
            <w:pStyle w:val="Header"/>
            <w:spacing w:after="80"/>
            <w:jc w:val="left"/>
            <w:rPr>
              <w:b/>
              <w:sz w:val="17"/>
            </w:rPr>
          </w:pPr>
          <w:fldSimple w:instr=" DOCVARIABLE &quot;sss1&quot; \* MERGEFORMAT ">
            <w:r w:rsidR="00D17428">
              <w:rPr>
                <w:b/>
                <w:sz w:val="17"/>
              </w:rPr>
              <w:t>CEDAW/C/GMB/Q/4-5</w:t>
            </w:r>
          </w:fldSimple>
        </w:p>
      </w:tc>
      <w:tc>
        <w:tcPr>
          <w:tcW w:w="5028" w:type="dxa"/>
          <w:shd w:val="clear" w:color="auto" w:fill="auto"/>
          <w:vAlign w:val="bottom"/>
        </w:tcPr>
        <w:p w:rsidR="00986F75" w:rsidRDefault="00986F75" w:rsidP="00986F75">
          <w:pPr>
            <w:pStyle w:val="Header"/>
          </w:pPr>
        </w:p>
      </w:tc>
    </w:tr>
  </w:tbl>
  <w:p w:rsidR="00986F75" w:rsidRPr="00986F75" w:rsidRDefault="00986F75" w:rsidP="00986F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86F75" w:rsidTr="00986F75">
      <w:tblPrEx>
        <w:tblCellMar>
          <w:top w:w="0" w:type="dxa"/>
          <w:bottom w:w="0" w:type="dxa"/>
        </w:tblCellMar>
      </w:tblPrEx>
      <w:trPr>
        <w:trHeight w:hRule="exact" w:val="864"/>
      </w:trPr>
      <w:tc>
        <w:tcPr>
          <w:tcW w:w="4838" w:type="dxa"/>
          <w:shd w:val="clear" w:color="auto" w:fill="auto"/>
          <w:vAlign w:val="bottom"/>
        </w:tcPr>
        <w:p w:rsidR="00986F75" w:rsidRDefault="00986F75" w:rsidP="00986F75">
          <w:pPr>
            <w:pStyle w:val="Header"/>
          </w:pPr>
        </w:p>
      </w:tc>
      <w:tc>
        <w:tcPr>
          <w:tcW w:w="5028" w:type="dxa"/>
          <w:shd w:val="clear" w:color="auto" w:fill="auto"/>
          <w:vAlign w:val="bottom"/>
        </w:tcPr>
        <w:p w:rsidR="00986F75" w:rsidRPr="00986F75" w:rsidRDefault="00986F75" w:rsidP="00986F75">
          <w:pPr>
            <w:pStyle w:val="Header"/>
            <w:spacing w:after="80"/>
            <w:jc w:val="right"/>
            <w:rPr>
              <w:b/>
              <w:sz w:val="17"/>
            </w:rPr>
          </w:pPr>
          <w:fldSimple w:instr=" DOCVARIABLE &quot;sss1&quot; \* MERGEFORMAT ">
            <w:r w:rsidR="00D17428">
              <w:rPr>
                <w:b/>
                <w:sz w:val="17"/>
              </w:rPr>
              <w:t>CEDAW/C/GMB/Q/4-5</w:t>
            </w:r>
          </w:fldSimple>
        </w:p>
      </w:tc>
    </w:tr>
  </w:tbl>
  <w:p w:rsidR="00986F75" w:rsidRPr="00986F75" w:rsidRDefault="00986F75" w:rsidP="00986F7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86F75" w:rsidTr="00986F7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86F75" w:rsidRDefault="00986F75" w:rsidP="00986F75">
          <w:pPr>
            <w:pStyle w:val="Header"/>
            <w:spacing w:after="120"/>
          </w:pPr>
        </w:p>
      </w:tc>
      <w:tc>
        <w:tcPr>
          <w:tcW w:w="1872" w:type="dxa"/>
          <w:tcBorders>
            <w:bottom w:val="single" w:sz="4" w:space="0" w:color="auto"/>
          </w:tcBorders>
          <w:shd w:val="clear" w:color="auto" w:fill="auto"/>
          <w:vAlign w:val="bottom"/>
        </w:tcPr>
        <w:p w:rsidR="00986F75" w:rsidRPr="00986F75" w:rsidRDefault="00986F75" w:rsidP="00986F7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86F75" w:rsidRDefault="00986F75" w:rsidP="00986F75">
          <w:pPr>
            <w:pStyle w:val="Header"/>
            <w:spacing w:after="120"/>
          </w:pPr>
        </w:p>
      </w:tc>
      <w:tc>
        <w:tcPr>
          <w:tcW w:w="6523" w:type="dxa"/>
          <w:gridSpan w:val="3"/>
          <w:tcBorders>
            <w:bottom w:val="single" w:sz="4" w:space="0" w:color="auto"/>
          </w:tcBorders>
          <w:shd w:val="clear" w:color="auto" w:fill="auto"/>
          <w:vAlign w:val="bottom"/>
        </w:tcPr>
        <w:p w:rsidR="00986F75" w:rsidRPr="00986F75" w:rsidRDefault="00986F75" w:rsidP="00986F75">
          <w:pPr>
            <w:spacing w:after="80" w:line="240" w:lineRule="auto"/>
            <w:jc w:val="right"/>
            <w:rPr>
              <w:position w:val="-4"/>
            </w:rPr>
          </w:pPr>
          <w:r>
            <w:rPr>
              <w:position w:val="-4"/>
              <w:sz w:val="40"/>
            </w:rPr>
            <w:t>CEDAW</w:t>
          </w:r>
          <w:r>
            <w:rPr>
              <w:position w:val="-4"/>
            </w:rPr>
            <w:t>/C/GMB/Q/4-5</w:t>
          </w:r>
        </w:p>
      </w:tc>
    </w:tr>
    <w:tr w:rsidR="00986F75" w:rsidRPr="00986F75" w:rsidTr="00986F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86F75" w:rsidRPr="00986F75" w:rsidRDefault="00986F75" w:rsidP="00986F7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86F75" w:rsidRPr="00986F75" w:rsidRDefault="00986F75" w:rsidP="00986F7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86F75" w:rsidRPr="00986F75" w:rsidRDefault="00986F75" w:rsidP="00986F75">
          <w:pPr>
            <w:pStyle w:val="Header"/>
            <w:spacing w:before="109"/>
          </w:pPr>
        </w:p>
      </w:tc>
      <w:tc>
        <w:tcPr>
          <w:tcW w:w="3180" w:type="dxa"/>
          <w:gridSpan w:val="2"/>
          <w:tcBorders>
            <w:top w:val="single" w:sz="4" w:space="0" w:color="auto"/>
            <w:bottom w:val="single" w:sz="12" w:space="0" w:color="auto"/>
          </w:tcBorders>
          <w:shd w:val="clear" w:color="auto" w:fill="auto"/>
        </w:tcPr>
        <w:p w:rsidR="00986F75" w:rsidRDefault="00986F75" w:rsidP="00986F75">
          <w:pPr>
            <w:pStyle w:val="Distr"/>
          </w:pPr>
          <w:r>
            <w:t>Distr.: General</w:t>
          </w:r>
        </w:p>
        <w:p w:rsidR="00986F75" w:rsidRDefault="00986F75" w:rsidP="00986F75">
          <w:pPr>
            <w:pStyle w:val="Publication"/>
          </w:pPr>
          <w:r>
            <w:t>17 November 2014</w:t>
          </w:r>
        </w:p>
        <w:p w:rsidR="00986F75" w:rsidRDefault="00986F75" w:rsidP="00986F75">
          <w:pPr>
            <w:spacing w:line="240" w:lineRule="exact"/>
          </w:pPr>
          <w:r>
            <w:t>Chinese</w:t>
          </w:r>
        </w:p>
        <w:p w:rsidR="00986F75" w:rsidRDefault="00986F75" w:rsidP="00986F75">
          <w:pPr>
            <w:pStyle w:val="Original"/>
          </w:pPr>
          <w:r>
            <w:t>Original: English</w:t>
          </w:r>
        </w:p>
        <w:p w:rsidR="00986F75" w:rsidRPr="00986F75" w:rsidRDefault="00986F75" w:rsidP="00986F75"/>
      </w:tc>
    </w:tr>
  </w:tbl>
  <w:p w:rsidR="00986F75" w:rsidRPr="00986F75" w:rsidRDefault="00986F75" w:rsidP="00986F7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2*"/>
    <w:docVar w:name="CreationDt" w:val="07/01/2015 15:54:15"/>
    <w:docVar w:name="DocCategory" w:val="Doc"/>
    <w:docVar w:name="DocType" w:val="Final"/>
    <w:docVar w:name="DutyStation" w:val="New York"/>
    <w:docVar w:name="FooterJN" w:val="14-64932 (C)"/>
    <w:docVar w:name="jobn" w:val="14-64932 (C)"/>
    <w:docVar w:name="jobnDT" w:val="14-64932 (C)   070115"/>
    <w:docVar w:name="jobnDTDT" w:val="14-64932 (C)   070115   070115"/>
    <w:docVar w:name="JobNo" w:val="1464932C"/>
    <w:docVar w:name="OandT" w:val="DHG"/>
    <w:docVar w:name="PaperSize" w:val="Letter"/>
    <w:docVar w:name="sss1" w:val="CEDAW/C/GMB/Q/4-5"/>
    <w:docVar w:name="sss2" w:val="-"/>
    <w:docVar w:name="Symbol1" w:val="CEDAW/C/GMB/Q/4-5"/>
    <w:docVar w:name="Symbol2" w:val="-"/>
  </w:docVars>
  <w:rsids>
    <w:rsidRoot w:val="00513574"/>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D467B"/>
    <w:rsid w:val="000E240F"/>
    <w:rsid w:val="000E49A4"/>
    <w:rsid w:val="000E62BF"/>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1F7128"/>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E797C"/>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3574"/>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53FF5"/>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4BE0"/>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86F75"/>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66F3F"/>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42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37C9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HRI/CORE/GMB/2012" TargetMode="External"/><Relationship Id="rId3" Type="http://schemas.openxmlformats.org/officeDocument/2006/relationships/settings" Target="settings.xml"/><Relationship Id="rId21" Type="http://schemas.openxmlformats.org/officeDocument/2006/relationships/hyperlink" Target="http://undocs.org/ch/CEDAW/C/GMB/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HRI/CORE/GMB/201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h/HRI/CORE/GMB/2012" TargetMode="External"/><Relationship Id="rId20" Type="http://schemas.openxmlformats.org/officeDocument/2006/relationships/hyperlink" Target="http://undocs.org/ch/A/60/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h/HRI/CORE/GMB/2012" TargetMode="External"/><Relationship Id="rId23" Type="http://schemas.openxmlformats.org/officeDocument/2006/relationships/hyperlink" Target="http://undocs.org/ch/A/60/38" TargetMode="External"/><Relationship Id="rId10" Type="http://schemas.openxmlformats.org/officeDocument/2006/relationships/footer" Target="footer2.xml"/><Relationship Id="rId19" Type="http://schemas.openxmlformats.org/officeDocument/2006/relationships/hyperlink" Target="http://undocs.org/ch/A/60/3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GMB/4-5" TargetMode="External"/><Relationship Id="rId22" Type="http://schemas.openxmlformats.org/officeDocument/2006/relationships/hyperlink" Target="http://undocs.org/ch/HRI/CORE/GMB/201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6</Pages>
  <Words>2988</Words>
  <Characters>3138</Characters>
  <Application>Microsoft Office Outlook</Application>
  <DocSecurity>4</DocSecurity>
  <Lines>120</Lines>
  <Paragraphs>46</Paragraphs>
  <ScaleCrop>false</ScaleCrop>
  <Company>United Nations</Company>
  <LinksUpToDate>false</LinksUpToDate>
  <CharactersWithSpaces>6080</CharactersWithSpaces>
  <SharedDoc>false</SharedDoc>
  <HLinks>
    <vt:vector size="66" baseType="variant">
      <vt:variant>
        <vt:i4>131091</vt:i4>
      </vt:variant>
      <vt:variant>
        <vt:i4>27</vt:i4>
      </vt:variant>
      <vt:variant>
        <vt:i4>0</vt:i4>
      </vt:variant>
      <vt:variant>
        <vt:i4>5</vt:i4>
      </vt:variant>
      <vt:variant>
        <vt:lpwstr>http://undocs.org/ch/A/60/38</vt:lpwstr>
      </vt:variant>
      <vt:variant>
        <vt:lpwstr/>
      </vt:variant>
      <vt:variant>
        <vt:i4>3997806</vt:i4>
      </vt:variant>
      <vt:variant>
        <vt:i4>24</vt:i4>
      </vt:variant>
      <vt:variant>
        <vt:i4>0</vt:i4>
      </vt:variant>
      <vt:variant>
        <vt:i4>5</vt:i4>
      </vt:variant>
      <vt:variant>
        <vt:lpwstr>http://undocs.org/ch/HRI/CORE/GMB/2012</vt:lpwstr>
      </vt:variant>
      <vt:variant>
        <vt:lpwstr/>
      </vt:variant>
      <vt:variant>
        <vt:i4>5636180</vt:i4>
      </vt:variant>
      <vt:variant>
        <vt:i4>21</vt:i4>
      </vt:variant>
      <vt:variant>
        <vt:i4>0</vt:i4>
      </vt:variant>
      <vt:variant>
        <vt:i4>5</vt:i4>
      </vt:variant>
      <vt:variant>
        <vt:lpwstr>http://undocs.org/ch/CEDAW/C/GMB/1-3</vt:lpwstr>
      </vt:variant>
      <vt:variant>
        <vt:lpwstr/>
      </vt:variant>
      <vt:variant>
        <vt:i4>131091</vt:i4>
      </vt:variant>
      <vt:variant>
        <vt:i4>18</vt:i4>
      </vt:variant>
      <vt:variant>
        <vt:i4>0</vt:i4>
      </vt:variant>
      <vt:variant>
        <vt:i4>5</vt:i4>
      </vt:variant>
      <vt:variant>
        <vt:lpwstr>http://undocs.org/ch/A/60/38</vt:lpwstr>
      </vt:variant>
      <vt:variant>
        <vt:lpwstr/>
      </vt:variant>
      <vt:variant>
        <vt:i4>131091</vt:i4>
      </vt:variant>
      <vt:variant>
        <vt:i4>15</vt:i4>
      </vt:variant>
      <vt:variant>
        <vt:i4>0</vt:i4>
      </vt:variant>
      <vt:variant>
        <vt:i4>5</vt:i4>
      </vt:variant>
      <vt:variant>
        <vt:lpwstr>http://undocs.org/ch/A/60/38</vt:lpwstr>
      </vt:variant>
      <vt:variant>
        <vt:lpwstr/>
      </vt:variant>
      <vt:variant>
        <vt:i4>3997806</vt:i4>
      </vt:variant>
      <vt:variant>
        <vt:i4>12</vt:i4>
      </vt:variant>
      <vt:variant>
        <vt:i4>0</vt:i4>
      </vt:variant>
      <vt:variant>
        <vt:i4>5</vt:i4>
      </vt:variant>
      <vt:variant>
        <vt:lpwstr>http://undocs.org/ch/HRI/CORE/GMB/2012</vt:lpwstr>
      </vt:variant>
      <vt:variant>
        <vt:lpwstr/>
      </vt:variant>
      <vt:variant>
        <vt:i4>3997806</vt:i4>
      </vt:variant>
      <vt:variant>
        <vt:i4>9</vt:i4>
      </vt:variant>
      <vt:variant>
        <vt:i4>0</vt:i4>
      </vt:variant>
      <vt:variant>
        <vt:i4>5</vt:i4>
      </vt:variant>
      <vt:variant>
        <vt:lpwstr>http://undocs.org/ch/HRI/CORE/GMB/2012</vt:lpwstr>
      </vt:variant>
      <vt:variant>
        <vt:lpwstr/>
      </vt:variant>
      <vt:variant>
        <vt:i4>3997806</vt:i4>
      </vt:variant>
      <vt:variant>
        <vt:i4>6</vt:i4>
      </vt:variant>
      <vt:variant>
        <vt:i4>0</vt:i4>
      </vt:variant>
      <vt:variant>
        <vt:i4>5</vt:i4>
      </vt:variant>
      <vt:variant>
        <vt:lpwstr>http://undocs.org/ch/HRI/CORE/GMB/2012</vt:lpwstr>
      </vt:variant>
      <vt:variant>
        <vt:lpwstr/>
      </vt:variant>
      <vt:variant>
        <vt:i4>3997806</vt:i4>
      </vt:variant>
      <vt:variant>
        <vt:i4>3</vt:i4>
      </vt:variant>
      <vt:variant>
        <vt:i4>0</vt:i4>
      </vt:variant>
      <vt:variant>
        <vt:i4>5</vt:i4>
      </vt:variant>
      <vt:variant>
        <vt:lpwstr>http://undocs.org/ch/HRI/CORE/GMB/2012</vt:lpwstr>
      </vt:variant>
      <vt:variant>
        <vt:lpwstr/>
      </vt:variant>
      <vt:variant>
        <vt:i4>5570644</vt:i4>
      </vt:variant>
      <vt:variant>
        <vt:i4>0</vt:i4>
      </vt:variant>
      <vt:variant>
        <vt:i4>0</vt:i4>
      </vt:variant>
      <vt:variant>
        <vt:i4>5</vt:i4>
      </vt:variant>
      <vt:variant>
        <vt:lpwstr>http://undocs.org/ch/CEDAW/C/GMB/4-5</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 Du</dc:creator>
  <cp:keywords/>
  <dc:description/>
  <cp:lastModifiedBy>Huangui Du</cp:lastModifiedBy>
  <cp:revision>8</cp:revision>
  <cp:lastPrinted>2015-01-07T15:03:00Z</cp:lastPrinted>
  <dcterms:created xsi:type="dcterms:W3CDTF">2015-01-07T14:50:00Z</dcterms:created>
  <dcterms:modified xsi:type="dcterms:W3CDTF">2015-01-07T15:05:00Z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1464932</vt:lpwstr>
  </property>
  <property fmtid="{D5CDD505-2E9C-101B-9397-08002B2CF9AE}" pid="3" name="ODSRefJobNo">
    <vt:lpwstr>1463300C</vt:lpwstr>
  </property>
  <property fmtid="{D5CDD505-2E9C-101B-9397-08002B2CF9AE}" pid="4" name="Symbol1">
    <vt:lpwstr>CEDAW/C/GMB/Q/4-5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070115</vt:lpwstr>
  </property>
  <property fmtid="{D5CDD505-2E9C-101B-9397-08002B2CF9AE}" pid="11" name="Comment">
    <vt:lpwstr/>
  </property>
  <property fmtid="{D5CDD505-2E9C-101B-9397-08002B2CF9AE}" pid="12" name="DraftPages">
    <vt:lpwstr> </vt:lpwstr>
  </property>
  <property fmtid="{D5CDD505-2E9C-101B-9397-08002B2CF9AE}" pid="13" name="Operator">
    <vt:lpwstr>DHG</vt:lpwstr>
  </property>
</Properties>
</file>