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after="0"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t>Комитет по ликвидации дискриминации</w:t>
      </w:r>
      <w:r>
        <w:br/>
        <w:t>в отношении женщин</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uppressAutoHyphens/>
        <w:spacing w:line="240" w:lineRule="auto"/>
        <w:ind w:left="1267"/>
        <w:rPr>
          <w:b/>
          <w:sz w:val="28"/>
        </w:rPr>
      </w:pPr>
      <w:r>
        <w:rPr>
          <w:b/>
          <w:sz w:val="28"/>
        </w:rP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pPr>
      <w:r>
        <w:tab/>
      </w:r>
      <w:r>
        <w:tab/>
        <w:t>Пятые периодические доклады государств-участников</w:t>
      </w:r>
    </w:p>
    <w:p w:rsidR="00000000" w:rsidRDefault="00000000">
      <w:pPr>
        <w:pStyle w:val="SingleTxt"/>
        <w:suppressAutoHyphens/>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Гватемала</w:t>
      </w:r>
      <w:r>
        <w:rPr>
          <w:rStyle w:val="FootnoteReference"/>
          <w:b w:val="0"/>
          <w:sz w:val="20"/>
        </w:rPr>
        <w:footnoteReference w:customMarkFollows="1" w:id="1"/>
        <w:t>*</w:t>
      </w:r>
    </w:p>
    <w:p w:rsidR="00000000" w:rsidRDefault="00000000"/>
    <w:p w:rsidR="00000000" w:rsidRDefault="00000000"/>
    <w:p w:rsidR="00000000" w:rsidRDefault="00000000">
      <w:pPr>
        <w:pStyle w:val="SingleTxt"/>
        <w:suppressAutoHyphens/>
        <w:spacing w:after="0" w:line="120" w:lineRule="exact"/>
        <w:ind w:left="0"/>
        <w:rPr>
          <w:sz w:val="10"/>
        </w:rPr>
      </w:pPr>
      <w:r>
        <w:br w:type="page"/>
      </w:r>
    </w:p>
    <w:p w:rsidR="00000000" w:rsidRDefault="00000000">
      <w:pPr>
        <w:pStyle w:val="SingleTxt"/>
        <w:spacing w:after="0" w:line="120" w:lineRule="exact"/>
        <w:ind w:left="0"/>
        <w:rPr>
          <w:sz w:val="10"/>
        </w:rPr>
      </w:pPr>
    </w:p>
    <w:p w:rsidR="00000000" w:rsidRDefault="00000000">
      <w:pPr>
        <w:pStyle w:val="SingleTxt"/>
        <w:spacing w:after="0" w:line="120" w:lineRule="exact"/>
        <w:ind w:left="0"/>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Секретариат по вопросам женщин при президенте</w:t>
      </w:r>
    </w:p>
    <w:p w:rsidR="00000000" w:rsidRDefault="00000000">
      <w:pPr>
        <w:pStyle w:val="H1"/>
        <w:jc w:val="center"/>
      </w:pPr>
    </w:p>
    <w:p w:rsidR="00000000" w:rsidRDefault="00000000">
      <w:pPr>
        <w:pStyle w:val="H1"/>
        <w:jc w:val="cente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СЕПРЕМ</w:t>
      </w:r>
    </w:p>
    <w:p w:rsidR="00000000" w:rsidRDefault="00000000">
      <w:pPr>
        <w:pStyle w:val="H1"/>
        <w:jc w:val="center"/>
      </w:pPr>
    </w:p>
    <w:p w:rsidR="00000000" w:rsidRDefault="00000000">
      <w:pPr>
        <w:pStyle w:val="H1"/>
        <w:jc w:val="cente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Координационная комиссия по политике исполнительной власти в области прав человека при президенте республики</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1"/>
        <w:jc w:val="cente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КОПРЕДЕ</w:t>
      </w:r>
    </w:p>
    <w:p w:rsidR="00000000" w:rsidRDefault="00000000">
      <w:pPr>
        <w:pStyle w:val="HCh"/>
        <w:jc w:val="center"/>
      </w:pPr>
    </w:p>
    <w:p w:rsidR="00000000" w:rsidRDefault="00000000">
      <w:pPr>
        <w:pStyle w:val="HCh"/>
        <w:jc w:val="center"/>
      </w:pPr>
    </w:p>
    <w:p w:rsidR="00000000" w:rsidRDefault="00000000">
      <w:pPr>
        <w:pStyle w:val="HCh"/>
        <w:jc w:val="cente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Пятый периодический доклад</w:t>
      </w:r>
    </w:p>
    <w:p w:rsidR="00000000" w:rsidRDefault="00000000">
      <w:pPr>
        <w:pStyle w:val="SingleTxt"/>
        <w:jc w:val="cente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«Выполнение Конвенции о ликвидации всех форм </w:t>
      </w:r>
      <w:r>
        <w:br/>
        <w:t>дискриминации в отношении женщин»</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23"/>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Гватемала, декабрь 2001 года</w:t>
      </w:r>
    </w:p>
    <w:p w:rsidR="00000000" w:rsidRDefault="00000000">
      <w:pPr>
        <w:pStyle w:val="SingleTxt"/>
        <w:suppressAutoHyphens/>
        <w:spacing w:after="0" w:line="120" w:lineRule="exact"/>
        <w:ind w:left="0"/>
        <w:rPr>
          <w:sz w:val="10"/>
        </w:r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Предисловие</w:t>
      </w:r>
    </w:p>
    <w:p w:rsidR="00000000" w:rsidRDefault="00000000">
      <w:pPr>
        <w:pStyle w:val="SingleTxt"/>
        <w:suppressAutoHyphens/>
        <w:spacing w:after="0" w:line="120" w:lineRule="exact"/>
        <w:ind w:left="0"/>
        <w:rPr>
          <w:sz w:val="10"/>
        </w:rPr>
      </w:pPr>
    </w:p>
    <w:p w:rsidR="00000000" w:rsidRDefault="00000000">
      <w:pPr>
        <w:pStyle w:val="SingleTxt"/>
        <w:spacing w:after="0" w:line="120" w:lineRule="exact"/>
        <w:ind w:left="0"/>
        <w:rPr>
          <w:sz w:val="10"/>
        </w:rPr>
      </w:pPr>
    </w:p>
    <w:p w:rsidR="00000000" w:rsidRDefault="00000000">
      <w:pPr>
        <w:pStyle w:val="SingleTxt"/>
      </w:pPr>
      <w:r>
        <w:tab/>
        <w:t>Данный документ представляет собой пятый доклад Гватемалы о ходе в</w:t>
      </w:r>
      <w:r>
        <w:t>ы</w:t>
      </w:r>
      <w:r>
        <w:t>полнения Конвенции о ликвидации всех форм дискриминации в отношении женщин. В нем содержится информация о ходе выполнения положений Ко</w:t>
      </w:r>
      <w:r>
        <w:t>н</w:t>
      </w:r>
      <w:r>
        <w:t>венции, а также о деятельности правительства Гватемалы по улучшению пол</w:t>
      </w:r>
      <w:r>
        <w:t>о</w:t>
      </w:r>
      <w:r>
        <w:t>жения гватемальских женщин в области доступа к образованию, здравоохран</w:t>
      </w:r>
      <w:r>
        <w:t>е</w:t>
      </w:r>
      <w:r>
        <w:t>нию, труду, землепользованию и о мерах по борьбе с сексуальным домогател</w:t>
      </w:r>
      <w:r>
        <w:t>ь</w:t>
      </w:r>
      <w:r>
        <w:t>ством, насилием и другими формами дискрим</w:t>
      </w:r>
      <w:r>
        <w:t>и</w:t>
      </w:r>
      <w:r>
        <w:t>нации.</w:t>
      </w:r>
    </w:p>
    <w:p w:rsidR="00000000" w:rsidRDefault="00000000">
      <w:pPr>
        <w:pStyle w:val="SingleTxt"/>
      </w:pPr>
      <w:r>
        <w:tab/>
        <w:t>Доклад подготовлен в сотрудничестве с Секретариатом по вопросам же</w:t>
      </w:r>
      <w:r>
        <w:t>н</w:t>
      </w:r>
      <w:r>
        <w:t>щин при президенте (СЕПРЕМ) и Координационной комиссией по политике исполнительной власти в области прав человека при президенте республики (КОПРЕДЕ), в нем отражены результаты деятельности государственных орг</w:t>
      </w:r>
      <w:r>
        <w:t>а</w:t>
      </w:r>
      <w:r>
        <w:t>нов Гватемалы и организаций гражданского общества.</w:t>
      </w:r>
    </w:p>
    <w:p w:rsidR="00000000" w:rsidRDefault="00000000">
      <w:pPr>
        <w:pStyle w:val="SingleTxt"/>
      </w:pPr>
      <w:r>
        <w:tab/>
        <w:t>Данный документ содержит информацию за период с января 1999 года по ноябрь 2001 года, определенные трудности связаны с получением количестве</w:t>
      </w:r>
      <w:r>
        <w:t>н</w:t>
      </w:r>
      <w:r>
        <w:t>ных и качественных показателей, которые могли бы дать более полное пре</w:t>
      </w:r>
      <w:r>
        <w:t>д</w:t>
      </w:r>
      <w:r>
        <w:t>ставление о положении женщин. Несмотря на прилагаемые усилия, по ряду к</w:t>
      </w:r>
      <w:r>
        <w:t>о</w:t>
      </w:r>
      <w:r>
        <w:t>личественных показателей разбивка по полу отсутствует. Однако мы все же н</w:t>
      </w:r>
      <w:r>
        <w:t>а</w:t>
      </w:r>
      <w:r>
        <w:t>деемся, что настоящий документ дает представление о прогрессе, достигнутом нашей страной в области улучшения положения женщин и борьбы с дискрим</w:t>
      </w:r>
      <w:r>
        <w:t>и</w:t>
      </w:r>
      <w:r>
        <w:t>национной практикой, которая все еще имеет место.</w:t>
      </w:r>
    </w:p>
    <w:p w:rsidR="00000000" w:rsidRDefault="00000000">
      <w:pPr>
        <w:pStyle w:val="H1"/>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542"/>
      </w:tblGrid>
      <w:tr w:rsidR="00000000">
        <w:tblPrEx>
          <w:tblCellMar>
            <w:top w:w="0" w:type="dxa"/>
            <w:left w:w="0" w:type="dxa"/>
            <w:bottom w:w="0" w:type="dxa"/>
            <w:right w:w="0" w:type="dxa"/>
          </w:tblCellMar>
        </w:tblPrEx>
        <w:trPr>
          <w:trHeight w:val="184"/>
        </w:trPr>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542" w:type="dxa"/>
          </w:tcPr>
          <w:p w:rsidR="00000000" w:rsidRDefault="00000000">
            <w:pPr>
              <w:spacing w:after="120" w:line="240" w:lineRule="auto"/>
              <w:ind w:right="14"/>
              <w:jc w:val="right"/>
              <w:rPr>
                <w:i/>
                <w:sz w:val="14"/>
              </w:rPr>
            </w:pPr>
            <w:r>
              <w:rPr>
                <w:i/>
                <w:sz w:val="14"/>
              </w:rPr>
              <w:t>Стр.</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pacing w:after="120"/>
              <w:jc w:val="both"/>
            </w:pPr>
            <w:r>
              <w:t>Введение</w:t>
            </w:r>
          </w:p>
        </w:tc>
        <w:tc>
          <w:tcPr>
            <w:tcW w:w="542" w:type="dxa"/>
            <w:vAlign w:val="bottom"/>
          </w:tcPr>
          <w:p w:rsidR="00000000" w:rsidRDefault="00000000">
            <w:pPr>
              <w:spacing w:after="120"/>
              <w:ind w:right="14"/>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440"/>
                <w:tab w:val="left" w:pos="1728"/>
                <w:tab w:val="left" w:pos="1915"/>
                <w:tab w:val="left" w:pos="2160"/>
                <w:tab w:val="left" w:pos="2405"/>
                <w:tab w:val="left" w:pos="2880"/>
                <w:tab w:val="right" w:leader="dot" w:pos="8381"/>
              </w:tabs>
              <w:suppressAutoHyphens/>
              <w:spacing w:after="120"/>
              <w:ind w:left="475" w:hanging="475"/>
            </w:pPr>
            <w:r>
              <w:t>1.</w:t>
            </w:r>
            <w:r>
              <w:tab/>
              <w:t>Ход выполнения Конвенции и рекомендации в отношении первоначального и второго периодических докладов</w:t>
            </w:r>
          </w:p>
        </w:tc>
        <w:tc>
          <w:tcPr>
            <w:tcW w:w="542" w:type="dxa"/>
            <w:vAlign w:val="bottom"/>
          </w:tcPr>
          <w:p w:rsidR="00000000" w:rsidRDefault="00000000">
            <w:pPr>
              <w:suppressAutoHyphens/>
              <w:spacing w:after="120"/>
              <w:ind w:left="475" w:right="14" w:hanging="475"/>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475" w:hanging="475"/>
            </w:pPr>
            <w:r>
              <w:t>2.</w:t>
            </w:r>
            <w:r>
              <w:tab/>
              <w:t>Политические и иные меры по выполнению положений Конвенции о ликвидации всех форм дискриминации в отношении женщин</w:t>
            </w:r>
          </w:p>
        </w:tc>
        <w:tc>
          <w:tcPr>
            <w:tcW w:w="542" w:type="dxa"/>
            <w:vAlign w:val="bottom"/>
          </w:tcPr>
          <w:p w:rsidR="00000000" w:rsidRDefault="00000000">
            <w:pPr>
              <w:suppressAutoHyphens/>
              <w:spacing w:after="120"/>
              <w:ind w:left="475" w:right="14" w:hanging="475"/>
              <w:jc w:val="right"/>
              <w:rPr>
                <w:lang w:val="en-US"/>
              </w:rPr>
            </w:pPr>
            <w:r>
              <w:rPr>
                <w:lang w:val="en-US"/>
              </w:rP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2.1</w:t>
            </w:r>
            <w:r>
              <w:tab/>
              <w:t>Нормативно-правовые меры по ликвидации дискриминации в отношении женщин и обеспечению их полноценного развития</w:t>
            </w:r>
          </w:p>
        </w:tc>
        <w:tc>
          <w:tcPr>
            <w:tcW w:w="542" w:type="dxa"/>
            <w:vAlign w:val="bottom"/>
          </w:tcPr>
          <w:p w:rsidR="00000000" w:rsidRDefault="00000000">
            <w:pPr>
              <w:suppressAutoHyphens/>
              <w:spacing w:after="120"/>
              <w:ind w:right="14" w:hanging="4505"/>
              <w:jc w:val="right"/>
              <w:rPr>
                <w:lang w:val="en-US"/>
              </w:rPr>
            </w:pPr>
            <w:r>
              <w:rPr>
                <w:lang w:val="en-US"/>
              </w:rP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firstLine="450"/>
            </w:pPr>
            <w:r>
              <w:t>2.2</w:t>
            </w:r>
            <w:r>
              <w:tab/>
              <w:t>Образование</w:t>
            </w:r>
          </w:p>
        </w:tc>
        <w:tc>
          <w:tcPr>
            <w:tcW w:w="542" w:type="dxa"/>
            <w:vAlign w:val="bottom"/>
          </w:tcPr>
          <w:p w:rsidR="00000000" w:rsidRDefault="00000000">
            <w:pPr>
              <w:suppressAutoHyphens/>
              <w:spacing w:after="120"/>
              <w:ind w:right="14" w:hanging="995"/>
              <w:jc w:val="right"/>
              <w:rPr>
                <w:lang w:val="en-US"/>
              </w:rPr>
            </w:pPr>
            <w:r>
              <w:rPr>
                <w:lang w:val="en-US"/>
              </w:rP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firstLine="450"/>
            </w:pPr>
            <w:r>
              <w:t>2.3</w:t>
            </w:r>
            <w:r>
              <w:tab/>
              <w:t>Здравоохранение и проблема насилия</w:t>
            </w:r>
          </w:p>
        </w:tc>
        <w:tc>
          <w:tcPr>
            <w:tcW w:w="542" w:type="dxa"/>
            <w:vAlign w:val="bottom"/>
          </w:tcPr>
          <w:p w:rsidR="00000000" w:rsidRDefault="00000000">
            <w:pPr>
              <w:suppressAutoHyphens/>
              <w:spacing w:after="120"/>
              <w:ind w:right="14" w:hanging="3515"/>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620"/>
                <w:tab w:val="left" w:pos="1915"/>
                <w:tab w:val="left" w:pos="2405"/>
                <w:tab w:val="left" w:pos="2880"/>
                <w:tab w:val="right" w:leader="dot" w:pos="8381"/>
              </w:tabs>
              <w:suppressAutoHyphens/>
              <w:spacing w:after="120"/>
              <w:ind w:firstLine="950"/>
            </w:pPr>
            <w:r>
              <w:t>2.3.1</w:t>
            </w:r>
            <w:r>
              <w:tab/>
              <w:t>Здравоохранение</w:t>
            </w:r>
          </w:p>
        </w:tc>
        <w:tc>
          <w:tcPr>
            <w:tcW w:w="542" w:type="dxa"/>
            <w:vAlign w:val="bottom"/>
          </w:tcPr>
          <w:p w:rsidR="00000000" w:rsidRDefault="00000000">
            <w:pPr>
              <w:suppressAutoHyphens/>
              <w:spacing w:after="120"/>
              <w:ind w:right="14" w:hanging="3515"/>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620"/>
                <w:tab w:val="left" w:pos="1728"/>
                <w:tab w:val="left" w:pos="1915"/>
                <w:tab w:val="left" w:pos="2160"/>
                <w:tab w:val="left" w:pos="2405"/>
                <w:tab w:val="left" w:pos="2880"/>
                <w:tab w:val="right" w:leader="dot" w:pos="8381"/>
              </w:tabs>
              <w:suppressAutoHyphens/>
              <w:spacing w:after="120"/>
              <w:ind w:firstLine="950"/>
            </w:pPr>
            <w:r>
              <w:t>2.3.2</w:t>
            </w:r>
            <w:r>
              <w:tab/>
              <w:t>Деятельность по искоренению насилия</w:t>
            </w:r>
          </w:p>
        </w:tc>
        <w:tc>
          <w:tcPr>
            <w:tcW w:w="542" w:type="dxa"/>
            <w:vAlign w:val="bottom"/>
          </w:tcPr>
          <w:p w:rsidR="00000000" w:rsidRDefault="00000000">
            <w:pPr>
              <w:suppressAutoHyphens/>
              <w:spacing w:after="120"/>
              <w:ind w:right="14" w:hanging="3515"/>
              <w:jc w:val="right"/>
              <w:rPr>
                <w:lang w:val="en-US"/>
              </w:rPr>
            </w:pPr>
            <w:r>
              <w:rPr>
                <w:lang w:val="en-US"/>
              </w:rP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475"/>
            </w:pPr>
            <w:r>
              <w:t>2.4</w:t>
            </w:r>
            <w:r>
              <w:tab/>
              <w:t>Условия труда</w:t>
            </w:r>
          </w:p>
        </w:tc>
        <w:tc>
          <w:tcPr>
            <w:tcW w:w="542" w:type="dxa"/>
            <w:vAlign w:val="bottom"/>
          </w:tcPr>
          <w:p w:rsidR="00000000" w:rsidRDefault="00000000">
            <w:pPr>
              <w:suppressAutoHyphens/>
              <w:spacing w:after="120"/>
              <w:ind w:right="14" w:hanging="3515"/>
              <w:jc w:val="right"/>
              <w:rPr>
                <w:lang w:val="en-US"/>
              </w:rPr>
            </w:pPr>
            <w:r>
              <w:rPr>
                <w:lang w:val="en-US"/>
              </w:rPr>
              <w:t>25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475"/>
            </w:pPr>
            <w:r>
              <w:t>2.5</w:t>
            </w:r>
            <w:r>
              <w:tab/>
              <w:t>Социально-экономическое и культурное развитие</w:t>
            </w:r>
          </w:p>
        </w:tc>
        <w:tc>
          <w:tcPr>
            <w:tcW w:w="542" w:type="dxa"/>
            <w:vAlign w:val="bottom"/>
          </w:tcPr>
          <w:p w:rsidR="00000000" w:rsidRDefault="00000000">
            <w:pPr>
              <w:suppressAutoHyphens/>
              <w:spacing w:after="120"/>
              <w:ind w:right="14" w:hanging="3515"/>
              <w:jc w:val="right"/>
              <w:rPr>
                <w:lang w:val="en-US"/>
              </w:rPr>
            </w:pPr>
            <w:r>
              <w:rPr>
                <w:lang w:val="en-US"/>
              </w:rPr>
              <w:t>28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490"/>
            </w:pPr>
            <w:r>
              <w:t>2.6</w:t>
            </w:r>
            <w:r>
              <w:tab/>
              <w:t>Участие в общественно-политической деятельности и гражданский статус женщины</w:t>
            </w:r>
          </w:p>
        </w:tc>
        <w:tc>
          <w:tcPr>
            <w:tcW w:w="542" w:type="dxa"/>
            <w:vAlign w:val="bottom"/>
          </w:tcPr>
          <w:p w:rsidR="00000000" w:rsidRDefault="00000000">
            <w:pPr>
              <w:suppressAutoHyphens/>
              <w:spacing w:after="120"/>
              <w:ind w:right="14" w:hanging="3515"/>
              <w:jc w:val="right"/>
              <w:rPr>
                <w:lang w:val="en-US"/>
              </w:rPr>
            </w:pPr>
            <w:r>
              <w:rPr>
                <w:lang w:val="en-US"/>
              </w:rPr>
              <w:t>34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720"/>
                <w:tab w:val="left" w:pos="965"/>
                <w:tab w:val="left" w:pos="1080"/>
                <w:tab w:val="left" w:pos="1440"/>
                <w:tab w:val="left" w:pos="1728"/>
                <w:tab w:val="left" w:pos="1915"/>
                <w:tab w:val="left" w:pos="2160"/>
                <w:tab w:val="left" w:pos="2405"/>
                <w:tab w:val="left" w:pos="2880"/>
                <w:tab w:val="right" w:leader="dot" w:pos="8381"/>
              </w:tabs>
              <w:suppressAutoHyphens/>
              <w:spacing w:after="120"/>
            </w:pPr>
            <w:r>
              <w:t>Приложения</w:t>
            </w:r>
          </w:p>
        </w:tc>
        <w:tc>
          <w:tcPr>
            <w:tcW w:w="542" w:type="dxa"/>
            <w:vAlign w:val="bottom"/>
          </w:tcPr>
          <w:p w:rsidR="00000000" w:rsidRDefault="00000000">
            <w:pPr>
              <w:suppressAutoHyphens/>
              <w:spacing w:after="120"/>
              <w:ind w:right="14" w:hanging="3515"/>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720"/>
                <w:tab w:val="left" w:pos="965"/>
                <w:tab w:val="left" w:pos="1080"/>
                <w:tab w:val="left" w:pos="1440"/>
                <w:tab w:val="left" w:pos="1728"/>
                <w:tab w:val="left" w:pos="1915"/>
                <w:tab w:val="left" w:pos="2160"/>
                <w:tab w:val="left" w:pos="2405"/>
                <w:tab w:val="left" w:pos="2880"/>
                <w:tab w:val="right" w:leader="dot" w:pos="8381"/>
              </w:tabs>
              <w:suppressAutoHyphens/>
              <w:spacing w:after="120"/>
            </w:pPr>
            <w:r>
              <w:t>1.</w:t>
            </w:r>
            <w:r>
              <w:tab/>
              <w:t>Документы</w:t>
            </w:r>
            <w:r>
              <w:rPr>
                <w:rStyle w:val="FootnoteReference"/>
              </w:rPr>
              <w:footnoteReference w:customMarkFollows="1" w:id="2"/>
              <w:t>**</w:t>
            </w:r>
          </w:p>
        </w:tc>
        <w:tc>
          <w:tcPr>
            <w:tcW w:w="542" w:type="dxa"/>
            <w:vAlign w:val="bottom"/>
          </w:tcPr>
          <w:p w:rsidR="00000000" w:rsidRDefault="00000000">
            <w:pPr>
              <w:suppressAutoHyphens/>
              <w:spacing w:after="120"/>
              <w:ind w:right="14" w:hanging="171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1.1.</w:t>
            </w:r>
            <w:r>
              <w:tab/>
              <w:t>Постановление Конгресса республики № 14-2000 от 14 февраля 2000 года, содержащее рекомендацию о создании Секретариата по вопросам женщин</w:t>
            </w:r>
          </w:p>
        </w:tc>
        <w:tc>
          <w:tcPr>
            <w:tcW w:w="542" w:type="dxa"/>
            <w:vAlign w:val="bottom"/>
          </w:tcPr>
          <w:p w:rsidR="00000000" w:rsidRDefault="00000000">
            <w:pPr>
              <w:suppressAutoHyphens/>
              <w:spacing w:after="120"/>
              <w:ind w:right="14" w:hanging="3515"/>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1.2.</w:t>
            </w:r>
            <w:r>
              <w:tab/>
              <w:t>Постановление президента республики № 200-2000 от 17 мая 2000 года о создании Секретариата по вопросам женщин</w:t>
            </w:r>
          </w:p>
        </w:tc>
        <w:tc>
          <w:tcPr>
            <w:tcW w:w="542" w:type="dxa"/>
            <w:vAlign w:val="bottom"/>
          </w:tcPr>
          <w:p w:rsidR="00000000" w:rsidRDefault="00000000">
            <w:pPr>
              <w:suppressAutoHyphens/>
              <w:spacing w:after="120"/>
              <w:ind w:right="14" w:hanging="3515"/>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1.3.</w:t>
            </w:r>
            <w:r>
              <w:tab/>
              <w:t>Постановление президента республики № 337 от 6 октября 2000 года о формировании состава Секретариата по вопросам женщин</w:t>
            </w:r>
          </w:p>
        </w:tc>
        <w:tc>
          <w:tcPr>
            <w:tcW w:w="542" w:type="dxa"/>
            <w:vAlign w:val="bottom"/>
          </w:tcPr>
          <w:p w:rsidR="00000000" w:rsidRDefault="00000000">
            <w:pPr>
              <w:suppressAutoHyphens/>
              <w:spacing w:after="120"/>
              <w:ind w:right="14" w:hanging="3515"/>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1.4.</w:t>
            </w:r>
            <w:r>
              <w:tab/>
              <w:t>Постановление правительства № 130-2001 от 6 апреля 2001 года о внутреннем регламенте Секретариата по вопросам женщин</w:t>
            </w:r>
          </w:p>
        </w:tc>
        <w:tc>
          <w:tcPr>
            <w:tcW w:w="542" w:type="dxa"/>
            <w:vAlign w:val="bottom"/>
          </w:tcPr>
          <w:p w:rsidR="00000000" w:rsidRDefault="00000000">
            <w:pPr>
              <w:suppressAutoHyphens/>
              <w:spacing w:after="120"/>
              <w:ind w:right="14" w:hanging="3515"/>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pPr>
            <w:r>
              <w:t>2.</w:t>
            </w:r>
            <w:r>
              <w:tab/>
              <w:t>Таблицы</w:t>
            </w:r>
          </w:p>
        </w:tc>
        <w:tc>
          <w:tcPr>
            <w:tcW w:w="542" w:type="dxa"/>
            <w:vAlign w:val="bottom"/>
          </w:tcPr>
          <w:p w:rsidR="00000000" w:rsidRDefault="00000000">
            <w:pPr>
              <w:suppressAutoHyphens/>
              <w:spacing w:after="120"/>
              <w:ind w:right="14" w:hanging="3515"/>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Таблица 2.1. Доля лиц, перешедших на следующую ступень обучения, от общего числа поступивших, в разбивке по уровням образования</w:t>
            </w:r>
          </w:p>
        </w:tc>
        <w:tc>
          <w:tcPr>
            <w:tcW w:w="542" w:type="dxa"/>
            <w:vAlign w:val="bottom"/>
          </w:tcPr>
          <w:p w:rsidR="00000000" w:rsidRDefault="00000000">
            <w:pPr>
              <w:suppressAutoHyphens/>
              <w:spacing w:after="120"/>
              <w:ind w:right="14" w:hanging="3515"/>
              <w:jc w:val="right"/>
            </w:pPr>
            <w:r>
              <w:rPr>
                <w:lang w:val="en-US"/>
              </w:rPr>
              <w:t>38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Таблица 2.2. Жертвы насилия, которым была оказана помощь в рамках программы ПРОПЕВИ в период с 1999 года по 14 августа 2001 года</w:t>
            </w:r>
          </w:p>
        </w:tc>
        <w:tc>
          <w:tcPr>
            <w:tcW w:w="542" w:type="dxa"/>
            <w:vAlign w:val="bottom"/>
          </w:tcPr>
          <w:p w:rsidR="00000000" w:rsidRDefault="00000000">
            <w:pPr>
              <w:suppressAutoHyphens/>
              <w:spacing w:after="120"/>
              <w:ind w:right="14" w:hanging="3515"/>
              <w:jc w:val="right"/>
              <w:rPr>
                <w:lang w:val="en-US"/>
              </w:rPr>
            </w:pPr>
            <w:r>
              <w:rPr>
                <w:lang w:val="en-US"/>
              </w:rPr>
              <w:t>38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Таблица 2.3. Жертвы насилия, обратившиеся за содействием по горячей линии «помощь семье» в период 1999–2001 годов</w:t>
            </w:r>
          </w:p>
        </w:tc>
        <w:tc>
          <w:tcPr>
            <w:tcW w:w="542" w:type="dxa"/>
            <w:vAlign w:val="bottom"/>
          </w:tcPr>
          <w:p w:rsidR="00000000" w:rsidRDefault="00000000">
            <w:pPr>
              <w:suppressAutoHyphens/>
              <w:spacing w:after="120"/>
              <w:ind w:right="14" w:hanging="3515"/>
              <w:jc w:val="right"/>
              <w:rPr>
                <w:lang w:val="en-US"/>
              </w:rPr>
            </w:pPr>
            <w:r>
              <w:rPr>
                <w:lang w:val="en-US"/>
              </w:rPr>
              <w:t>38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Таблица 2.4. Численность государственных служащих в разбивке по полу и организациям, май 2001 года</w:t>
            </w:r>
          </w:p>
        </w:tc>
        <w:tc>
          <w:tcPr>
            <w:tcW w:w="542" w:type="dxa"/>
            <w:vAlign w:val="bottom"/>
          </w:tcPr>
          <w:p w:rsidR="00000000" w:rsidRDefault="00000000">
            <w:pPr>
              <w:suppressAutoHyphens/>
              <w:spacing w:after="120"/>
              <w:ind w:right="14" w:hanging="3515"/>
              <w:jc w:val="right"/>
              <w:rPr>
                <w:lang w:val="en-US"/>
              </w:rPr>
            </w:pPr>
            <w:r>
              <w:rPr>
                <w:lang w:val="en-US"/>
              </w:rPr>
              <w:t>39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Таблица 2.5. Женщины, выдвинутые кандидатами на выборах в 1999 году</w:t>
            </w:r>
          </w:p>
        </w:tc>
        <w:tc>
          <w:tcPr>
            <w:tcW w:w="542" w:type="dxa"/>
            <w:vAlign w:val="bottom"/>
          </w:tcPr>
          <w:p w:rsidR="00000000" w:rsidRDefault="00000000">
            <w:pPr>
              <w:suppressAutoHyphens/>
              <w:spacing w:after="120"/>
              <w:ind w:right="14" w:hanging="3515"/>
              <w:jc w:val="right"/>
              <w:rPr>
                <w:lang w:val="en-US"/>
              </w:rPr>
            </w:pPr>
            <w:r>
              <w:rPr>
                <w:lang w:val="en-US"/>
              </w:rPr>
              <w:t>40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firstLine="450"/>
            </w:pPr>
            <w:r>
              <w:t>Таблица 2.6. Гватемальцы в Соединенных Штатах в разбивке по штатам</w:t>
            </w:r>
          </w:p>
        </w:tc>
        <w:tc>
          <w:tcPr>
            <w:tcW w:w="542" w:type="dxa"/>
            <w:vAlign w:val="bottom"/>
          </w:tcPr>
          <w:p w:rsidR="00000000" w:rsidRDefault="00000000">
            <w:pPr>
              <w:suppressAutoHyphens/>
              <w:spacing w:after="120"/>
              <w:ind w:right="14" w:hanging="3515"/>
              <w:jc w:val="right"/>
              <w:rPr>
                <w:lang w:val="en-US"/>
              </w:rPr>
            </w:pPr>
            <w:r>
              <w:rPr>
                <w:lang w:val="en-US"/>
              </w:rPr>
              <w:t>41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rPr>
                <w:vanish/>
              </w:rPr>
            </w:pPr>
            <w:r>
              <w:t>Таблица 2.7. Иммигранты — выходцы из Гватемалы в Соединенных Штатах. Разбивка по департаментам происхождения</w:t>
            </w:r>
          </w:p>
        </w:tc>
        <w:tc>
          <w:tcPr>
            <w:tcW w:w="542" w:type="dxa"/>
            <w:vAlign w:val="bottom"/>
          </w:tcPr>
          <w:p w:rsidR="00000000" w:rsidRDefault="00000000">
            <w:pPr>
              <w:suppressAutoHyphens/>
              <w:spacing w:after="120"/>
              <w:ind w:right="14" w:hanging="3515"/>
              <w:jc w:val="right"/>
              <w:rPr>
                <w:lang w:val="en-US"/>
              </w:rPr>
            </w:pPr>
            <w:r>
              <w:rPr>
                <w:lang w:val="en-US"/>
              </w:rPr>
              <w:t>41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Таблица 2.8. Состав семей, мигрирующих с мест происхождения на южное побережье</w:t>
            </w:r>
          </w:p>
        </w:tc>
        <w:tc>
          <w:tcPr>
            <w:tcW w:w="542" w:type="dxa"/>
            <w:vAlign w:val="bottom"/>
          </w:tcPr>
          <w:p w:rsidR="00000000" w:rsidRDefault="00000000">
            <w:pPr>
              <w:suppressAutoHyphens/>
              <w:spacing w:after="120"/>
              <w:ind w:right="14" w:hanging="3515"/>
              <w:jc w:val="right"/>
              <w:rPr>
                <w:lang w:val="en-US"/>
              </w:rPr>
            </w:pPr>
            <w:r>
              <w:rPr>
                <w:lang w:val="en-US"/>
              </w:rPr>
              <w:t>41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ind w:left="965" w:hanging="515"/>
            </w:pPr>
            <w:r>
              <w:t>Таблица 2.9. Мигранты, переезжающие на южное побережье, в разбивке по департаменту происхождения</w:t>
            </w:r>
          </w:p>
        </w:tc>
        <w:tc>
          <w:tcPr>
            <w:tcW w:w="542" w:type="dxa"/>
            <w:vAlign w:val="bottom"/>
          </w:tcPr>
          <w:p w:rsidR="00000000" w:rsidRDefault="00000000">
            <w:pPr>
              <w:suppressAutoHyphens/>
              <w:spacing w:after="120"/>
              <w:ind w:right="14" w:hanging="3515"/>
              <w:jc w:val="right"/>
              <w:rPr>
                <w:lang w:val="en-US"/>
              </w:rPr>
            </w:pPr>
            <w:r>
              <w:rPr>
                <w:lang w:val="en-US"/>
              </w:rPr>
              <w:t>42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uppressAutoHyphens/>
              <w:spacing w:after="120"/>
            </w:pPr>
            <w:r>
              <w:t>3.</w:t>
            </w:r>
            <w:r>
              <w:tab/>
              <w:t>Диаграммы</w:t>
            </w:r>
          </w:p>
        </w:tc>
        <w:tc>
          <w:tcPr>
            <w:tcW w:w="542" w:type="dxa"/>
            <w:vAlign w:val="bottom"/>
          </w:tcPr>
          <w:p w:rsidR="00000000" w:rsidRDefault="00000000">
            <w:pPr>
              <w:suppressAutoHyphens/>
              <w:spacing w:after="120"/>
              <w:ind w:right="14" w:hanging="3515"/>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pacing w:after="120"/>
              <w:ind w:firstLine="450"/>
              <w:jc w:val="both"/>
            </w:pPr>
            <w:r>
              <w:t>3.1.</w:t>
            </w:r>
            <w:r>
              <w:tab/>
              <w:t>Форма доступа к землепользованию</w:t>
            </w:r>
          </w:p>
        </w:tc>
        <w:tc>
          <w:tcPr>
            <w:tcW w:w="542" w:type="dxa"/>
            <w:vAlign w:val="bottom"/>
          </w:tcPr>
          <w:p w:rsidR="00000000" w:rsidRDefault="00000000">
            <w:pPr>
              <w:suppressAutoHyphens/>
              <w:spacing w:after="120"/>
              <w:ind w:right="14" w:hanging="3515"/>
              <w:jc w:val="right"/>
              <w:rPr>
                <w:lang w:val="en-US"/>
              </w:rPr>
            </w:pPr>
            <w:r>
              <w:rPr>
                <w:lang w:val="en-US"/>
              </w:rPr>
              <w:t>43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pacing w:after="120"/>
              <w:ind w:firstLine="450"/>
              <w:jc w:val="both"/>
            </w:pPr>
            <w:r>
              <w:t>3.2.</w:t>
            </w:r>
            <w:r>
              <w:tab/>
              <w:t>Количество предоставленных субсидий в рамках проектов Митч</w:t>
            </w:r>
          </w:p>
        </w:tc>
        <w:tc>
          <w:tcPr>
            <w:tcW w:w="542" w:type="dxa"/>
            <w:vAlign w:val="bottom"/>
          </w:tcPr>
          <w:p w:rsidR="00000000" w:rsidRDefault="00000000">
            <w:pPr>
              <w:suppressAutoHyphens/>
              <w:spacing w:after="120"/>
              <w:ind w:right="14" w:hanging="3515"/>
              <w:jc w:val="right"/>
              <w:rPr>
                <w:lang w:val="en-US"/>
              </w:rPr>
            </w:pPr>
            <w:r>
              <w:rPr>
                <w:lang w:val="en-US"/>
              </w:rPr>
              <w:t>43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pacing w:after="120"/>
              <w:ind w:left="965" w:hanging="515"/>
              <w:jc w:val="both"/>
            </w:pPr>
            <w:r>
              <w:t>3.3.</w:t>
            </w:r>
            <w:r>
              <w:tab/>
              <w:t>Процентное соотношение женщин, получивших субсидии</w:t>
            </w:r>
          </w:p>
        </w:tc>
        <w:tc>
          <w:tcPr>
            <w:tcW w:w="542" w:type="dxa"/>
            <w:vAlign w:val="bottom"/>
          </w:tcPr>
          <w:p w:rsidR="00000000" w:rsidRDefault="00000000">
            <w:pPr>
              <w:suppressAutoHyphens/>
              <w:spacing w:after="120"/>
              <w:ind w:right="14" w:hanging="3515"/>
              <w:jc w:val="right"/>
              <w:rPr>
                <w:lang w:val="en-US"/>
              </w:rPr>
            </w:pPr>
            <w:r>
              <w:rPr>
                <w:lang w:val="en-US"/>
              </w:rP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475"/>
                <w:tab w:val="left" w:pos="965"/>
                <w:tab w:val="left" w:pos="1080"/>
                <w:tab w:val="left" w:pos="1440"/>
                <w:tab w:val="left" w:pos="1728"/>
                <w:tab w:val="left" w:pos="1915"/>
                <w:tab w:val="left" w:pos="2160"/>
                <w:tab w:val="left" w:pos="2405"/>
                <w:tab w:val="left" w:pos="2880"/>
                <w:tab w:val="right" w:leader="dot" w:pos="8381"/>
              </w:tabs>
              <w:spacing w:after="120"/>
              <w:ind w:left="965" w:hanging="515"/>
              <w:jc w:val="both"/>
            </w:pPr>
            <w:r>
              <w:t>3.4.</w:t>
            </w:r>
            <w:r>
              <w:tab/>
              <w:t>Количество предоставленных субсидий в рамках проектов Митч</w:t>
            </w:r>
          </w:p>
        </w:tc>
        <w:tc>
          <w:tcPr>
            <w:tcW w:w="542" w:type="dxa"/>
            <w:vAlign w:val="bottom"/>
          </w:tcPr>
          <w:p w:rsidR="00000000" w:rsidRDefault="00000000">
            <w:pPr>
              <w:suppressAutoHyphens/>
              <w:spacing w:after="120"/>
              <w:ind w:right="14" w:hanging="3515"/>
              <w:jc w:val="right"/>
              <w:rPr>
                <w:lang w:val="en-US"/>
              </w:rPr>
            </w:pPr>
            <w:r>
              <w:t>44</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Пятый доклад Республики Гватемала о ходе выполнения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Государство Гватемала представляет Комитету свой пятый доклад о ходе выполнения Конвенции о ликвидации всех форм дискриминации в отношении женщин за период с января 1999 года по ноябрь 2001 года. В настоящем докл</w:t>
      </w:r>
      <w:r>
        <w:t>а</w:t>
      </w:r>
      <w:r>
        <w:t>де излагается информация о наиболее существенных достижениях в различных областях, охватываемых Конвенцией, кроме того, в нем осуществлен синтез замечаний Комитета в отношении первоначального и второго периодического доклада.</w:t>
      </w:r>
    </w:p>
    <w:p w:rsidR="00000000" w:rsidRDefault="00000000">
      <w:pPr>
        <w:pStyle w:val="SingleTxt"/>
      </w:pPr>
      <w:r>
        <w:tab/>
        <w:t>В декабре 1998 года Гватемалой был представлен третий и четвертый сводный доклад, охватывавший период ведения переговоров об окончании внутреннего вооруженного конфликта и последующие действия, предпринятые во исполнение обязательств, содержащихся в Мирных соглашениях, и прежде всего тех, которые включают специфические обязательства в отношении прав женщин: Соглашения о расселении населения, перемещенного в результате вооруженного конфликта, Соглашения по социально-экономическим вопросам и положению в сельском хозяйстве, Соглашения о самобытности и правах к</w:t>
      </w:r>
      <w:r>
        <w:t>о</w:t>
      </w:r>
      <w:r>
        <w:t>ренных народов и Соглашения об укреплении гражданской власти и функциях вооруженных сил в демократическом общес</w:t>
      </w:r>
      <w:r>
        <w:t>т</w:t>
      </w:r>
      <w:r>
        <w:t>ве.</w:t>
      </w:r>
    </w:p>
    <w:p w:rsidR="00000000" w:rsidRDefault="00000000">
      <w:pPr>
        <w:pStyle w:val="SingleTxt"/>
      </w:pPr>
      <w:r>
        <w:tab/>
        <w:t>Настоящий доклад содержит информацию, позволяющую ознакомиться с положением женщин в Гватемале, с действиями, предпринимаемыми как пр</w:t>
      </w:r>
      <w:r>
        <w:t>а</w:t>
      </w:r>
      <w:r>
        <w:t>вительством, так и гражданским обществом во имя преодоления неравенства между мужчинами и женщинами в сфере образования и  здравоохранения, з</w:t>
      </w:r>
      <w:r>
        <w:t>а</w:t>
      </w:r>
      <w:r>
        <w:t>нятости и доступа к землепользованию, а также с мерами по борьбе с секс</w:t>
      </w:r>
      <w:r>
        <w:t>у</w:t>
      </w:r>
      <w:r>
        <w:t>альным домогательством, насил</w:t>
      </w:r>
      <w:r>
        <w:t>и</w:t>
      </w:r>
      <w:r>
        <w:t>ем и другими формами дискриминации.</w:t>
      </w:r>
    </w:p>
    <w:p w:rsidR="00000000" w:rsidRDefault="00000000">
      <w:pPr>
        <w:pStyle w:val="SingleTxt"/>
      </w:pPr>
      <w:r>
        <w:tab/>
        <w:t>Хотя и признано, что на пути к достижению полного равенства существ</w:t>
      </w:r>
      <w:r>
        <w:t>у</w:t>
      </w:r>
      <w:r>
        <w:t>ют структурные и культурные препятствия, однако по мере того, как общество будет узнавать о правах женщин и существующем неравенстве, оно будет п</w:t>
      </w:r>
      <w:r>
        <w:t>о</w:t>
      </w:r>
      <w:r>
        <w:t>лучать все более ясное представление о положении, в котором находится св</w:t>
      </w:r>
      <w:r>
        <w:t>ы</w:t>
      </w:r>
      <w:r>
        <w:t>ше половины населения Гватемалы, и это будет означать продвижение по пути к общему благу.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Ход выполнения Конвенции и рекомендации в отношении первоначального и второго периодического до</w:t>
      </w:r>
      <w:r>
        <w:t>к</w:t>
      </w:r>
      <w:r>
        <w:t>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Выполнение рекомендаций в отношении конкретных статей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Статья 5</w:t>
      </w:r>
    </w:p>
    <w:p w:rsidR="00000000" w:rsidRDefault="00000000">
      <w:pPr>
        <w:pStyle w:val="SingleTxt"/>
        <w:spacing w:after="0" w:line="120" w:lineRule="exact"/>
        <w:rPr>
          <w:sz w:val="10"/>
        </w:rPr>
      </w:pPr>
    </w:p>
    <w:p w:rsidR="00000000" w:rsidRDefault="00000000">
      <w:pPr>
        <w:pStyle w:val="SingleTxt"/>
      </w:pPr>
      <w:r>
        <w:tab/>
        <w:t>Как было отмечено в третьем и четвертом сводном докладе, Национал</w:t>
      </w:r>
      <w:r>
        <w:t>ь</w:t>
      </w:r>
      <w:r>
        <w:t>ное управление по делам женщин выработало стратегию, направленную на устранение сексистских стереотипов из книг и школьных учебников. Пост</w:t>
      </w:r>
      <w:r>
        <w:t>а</w:t>
      </w:r>
      <w:r>
        <w:t>новлением правительства № 711</w:t>
      </w:r>
      <w:r>
        <w:noBreakHyphen/>
        <w:t>93 предусматривается создание межотрасл</w:t>
      </w:r>
      <w:r>
        <w:t>е</w:t>
      </w:r>
      <w:r>
        <w:t>вой коми</w:t>
      </w:r>
      <w:r>
        <w:t>с</w:t>
      </w:r>
      <w:r>
        <w:t>сии.</w:t>
      </w:r>
    </w:p>
    <w:p w:rsidR="00000000" w:rsidRDefault="00000000">
      <w:pPr>
        <w:pStyle w:val="SingleTxt"/>
      </w:pPr>
      <w:r>
        <w:tab/>
        <w:t>В настоящее время данный аспект прорабатывается в рамках реформы о</w:t>
      </w:r>
      <w:r>
        <w:t>б</w:t>
      </w:r>
      <w:r>
        <w:t>разования, осуществляемой во исполнение Соглашения об укреплении гра</w:t>
      </w:r>
      <w:r>
        <w:t>ж</w:t>
      </w:r>
      <w:r>
        <w:t>данской власти и функциях вооруженных сил в демократическом обществе и предусматривающей пересмотр содержания образовательной литературы с ц</w:t>
      </w:r>
      <w:r>
        <w:t>е</w:t>
      </w:r>
      <w:r>
        <w:t>лью устранения сексистских стереотипов.</w:t>
      </w:r>
    </w:p>
    <w:p w:rsidR="00000000" w:rsidRDefault="00000000">
      <w:pPr>
        <w:pStyle w:val="SingleTxt"/>
      </w:pPr>
      <w:r>
        <w:tab/>
        <w:t>По вопросу о насилии в отношении женщин было отмечено, что на осн</w:t>
      </w:r>
      <w:r>
        <w:t>о</w:t>
      </w:r>
      <w:r>
        <w:t>вании Указа № 78</w:t>
      </w:r>
      <w:r>
        <w:noBreakHyphen/>
        <w:t>96 был опубликован Закон о предотвращении насилия в с</w:t>
      </w:r>
      <w:r>
        <w:t>е</w:t>
      </w:r>
      <w:r>
        <w:t>мье, а в течение 2000–2001 годов — Порядок выполнения данного закона, были созданы органы, ответственные за прием, консультирование и рассмотрение жалоб пострадавших лиц. Был создан Национальный координационный центр по предотвращению насилия в семье и в отношении женщин (КОНАПРЕВИ), орган, осуществляющий руководство государственной политикой по искорен</w:t>
      </w:r>
      <w:r>
        <w:t>е</w:t>
      </w:r>
      <w:r>
        <w:t>нию н</w:t>
      </w:r>
      <w:r>
        <w:t>а</w:t>
      </w:r>
      <w:r>
        <w:t>силия в отношении женщин.</w:t>
      </w:r>
    </w:p>
    <w:p w:rsidR="00000000" w:rsidRDefault="00000000">
      <w:pPr>
        <w:pStyle w:val="SingleTxt"/>
      </w:pPr>
      <w:r>
        <w:tab/>
        <w:t>В том, что касается образования и кампаний по борьбе с насилием и з</w:t>
      </w:r>
      <w:r>
        <w:t>а</w:t>
      </w:r>
      <w:r>
        <w:t>щите прав женщин, Координационная комиссия по политике исполнительной власти в области прав человека при президенте республики (КОПРЕДЕ) реал</w:t>
      </w:r>
      <w:r>
        <w:t>и</w:t>
      </w:r>
      <w:r>
        <w:t>зует через свою штаб-квартиру и восемь региональных отделений серию мер</w:t>
      </w:r>
      <w:r>
        <w:t>о</w:t>
      </w:r>
      <w:r>
        <w:t>приятий по реализации достижений Мирных соглашений, защите прав челов</w:t>
      </w:r>
      <w:r>
        <w:t>е</w:t>
      </w:r>
      <w:r>
        <w:t>ка в целом, прав детей, женщин и коренного населения, а также по охране о</w:t>
      </w:r>
      <w:r>
        <w:t>к</w:t>
      </w:r>
      <w:r>
        <w:t>ружающей среды. Посредством радиовещания ведется пропаганда в области прав человека и борьбы с н</w:t>
      </w:r>
      <w:r>
        <w:t>а</w:t>
      </w:r>
      <w:r>
        <w:t>силием в отношении женщин.</w:t>
      </w:r>
    </w:p>
    <w:p w:rsidR="00000000" w:rsidRDefault="00000000">
      <w:pPr>
        <w:pStyle w:val="SingleTxt"/>
      </w:pPr>
      <w:r>
        <w:tab/>
        <w:t>С подписанием с Евросоюзом 19 июня 1997 года Соглашения об укрепл</w:t>
      </w:r>
      <w:r>
        <w:t>е</w:t>
      </w:r>
      <w:r>
        <w:t>нии прав человека в процессе построения мира была начата пропаганда Ми</w:t>
      </w:r>
      <w:r>
        <w:t>р</w:t>
      </w:r>
      <w:r>
        <w:t>ных соглашений, содержащих обязательства в отношении обеспечения защиты прав женщин посредством ведения радиопропаганды, публикаций и найма пе</w:t>
      </w:r>
      <w:r>
        <w:t>р</w:t>
      </w:r>
      <w:r>
        <w:t>сонала для проведения просветительской деятельности в области прав челов</w:t>
      </w:r>
      <w:r>
        <w:t>е</w:t>
      </w:r>
      <w:r>
        <w:t>ка.</w:t>
      </w:r>
    </w:p>
    <w:p w:rsidR="00000000" w:rsidRDefault="00000000">
      <w:pPr>
        <w:pStyle w:val="SingleTxt"/>
      </w:pPr>
      <w:r>
        <w:tab/>
        <w:t>Помимо этого, в сотрудничестве с Верховным комиссариатом Организ</w:t>
      </w:r>
      <w:r>
        <w:t>а</w:t>
      </w:r>
      <w:r>
        <w:t>ции Объединенных Наций по правам человека было организовано обучение р</w:t>
      </w:r>
      <w:r>
        <w:t>а</w:t>
      </w:r>
      <w:r>
        <w:t>ботников судебных органов при содействии Юридической школы, Подраздел</w:t>
      </w:r>
      <w:r>
        <w:t>е</w:t>
      </w:r>
      <w:r>
        <w:t>ния профессионального обучения Министерства юстиции, Института госуда</w:t>
      </w:r>
      <w:r>
        <w:t>р</w:t>
      </w:r>
      <w:r>
        <w:t>ственных защитников и Института сравнительных исследований.</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Статья 6</w:t>
      </w:r>
    </w:p>
    <w:p w:rsidR="00000000" w:rsidRDefault="00000000">
      <w:pPr>
        <w:pStyle w:val="SingleTxt"/>
        <w:spacing w:after="0" w:line="120" w:lineRule="exact"/>
        <w:rPr>
          <w:sz w:val="10"/>
        </w:rPr>
      </w:pPr>
    </w:p>
    <w:p w:rsidR="00000000" w:rsidRDefault="00000000">
      <w:pPr>
        <w:pStyle w:val="SingleTxt"/>
      </w:pPr>
      <w:r>
        <w:tab/>
        <w:t>В третьем и четвертом сводном докладе приводились сведения о закон</w:t>
      </w:r>
      <w:r>
        <w:t>о</w:t>
      </w:r>
      <w:r>
        <w:t>дательстве в отношении женщин, занимающихся проституцией, и их доступе к услугам здравоохранения, образования, и праве на реабилитацию. Данные м</w:t>
      </w:r>
      <w:r>
        <w:t>е</w:t>
      </w:r>
      <w:r>
        <w:t>роприятия осуществлялись правительственными органами и неправительс</w:t>
      </w:r>
      <w:r>
        <w:t>т</w:t>
      </w:r>
      <w:r>
        <w:t>венными организациями. В докладе также содержалась информация о мерах, предпринимаемых женщинами, занимающимися проституцией, с целью защ</w:t>
      </w:r>
      <w:r>
        <w:t>и</w:t>
      </w:r>
      <w:r>
        <w:t>ты и признания их прав.</w:t>
      </w:r>
    </w:p>
    <w:p w:rsidR="00000000" w:rsidRDefault="00000000">
      <w:pPr>
        <w:pStyle w:val="SingleTxt"/>
      </w:pPr>
      <w:r>
        <w:tab/>
        <w:t>В 1999 году в Гватемале был разработан Национальный план против се</w:t>
      </w:r>
      <w:r>
        <w:t>к</w:t>
      </w:r>
      <w:r>
        <w:t>суальной эксплуатации детей и подростков в коммерческих целях, который был представлен на рассмотрение Кабинету по социальной политике в июле 2001 года.</w:t>
      </w:r>
    </w:p>
    <w:p w:rsidR="00000000" w:rsidRDefault="00000000">
      <w:pPr>
        <w:pStyle w:val="SingleTxt"/>
      </w:pPr>
      <w:r>
        <w:tab/>
        <w:t>В 2000 году был разработан Национальный план по защите беспризорных д</w:t>
      </w:r>
      <w:r>
        <w:t>е</w:t>
      </w:r>
      <w:r>
        <w:t>тей и подростков.</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Статья 7</w:t>
      </w:r>
    </w:p>
    <w:p w:rsidR="00000000" w:rsidRDefault="00000000">
      <w:pPr>
        <w:pStyle w:val="SingleTxt"/>
        <w:spacing w:after="0" w:line="120" w:lineRule="exact"/>
        <w:rPr>
          <w:sz w:val="10"/>
        </w:rPr>
      </w:pPr>
    </w:p>
    <w:p w:rsidR="00000000" w:rsidRDefault="00000000">
      <w:pPr>
        <w:pStyle w:val="SingleTxt"/>
      </w:pPr>
      <w:r>
        <w:tab/>
        <w:t>По вопросу об участии женщин в политической жизни дается та же и</w:t>
      </w:r>
      <w:r>
        <w:t>н</w:t>
      </w:r>
      <w:r>
        <w:t>формация, что содержится в третьем и четвертом сводном докладе, сведения, отн</w:t>
      </w:r>
      <w:r>
        <w:t>о</w:t>
      </w:r>
      <w:r>
        <w:t>сящиеся к настоящему докладу, приводятся ниже.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Статья 10</w:t>
      </w:r>
    </w:p>
    <w:p w:rsidR="00000000" w:rsidRDefault="00000000">
      <w:pPr>
        <w:pStyle w:val="SingleTxt"/>
        <w:spacing w:after="0" w:line="120" w:lineRule="exact"/>
        <w:rPr>
          <w:sz w:val="10"/>
        </w:rPr>
      </w:pPr>
    </w:p>
    <w:p w:rsidR="00000000" w:rsidRDefault="00000000">
      <w:pPr>
        <w:pStyle w:val="SingleTxt"/>
      </w:pPr>
      <w:r>
        <w:tab/>
        <w:t>Как указано в статье 5, реформа образования предполагает пересмотр с</w:t>
      </w:r>
      <w:r>
        <w:t>о</w:t>
      </w:r>
      <w:r>
        <w:t>держания учебников, кроме того, в ее функции также входит ликвидация н</w:t>
      </w:r>
      <w:r>
        <w:t>е</w:t>
      </w:r>
      <w:r>
        <w:t>грамотности. Органом, на который возложено осуществление данных пр</w:t>
      </w:r>
      <w:r>
        <w:t>о</w:t>
      </w:r>
      <w:r>
        <w:t>грамм, явл</w:t>
      </w:r>
      <w:r>
        <w:t>я</w:t>
      </w:r>
      <w:r>
        <w:t>ется КОНАЛФА.</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Статья 11</w:t>
      </w:r>
    </w:p>
    <w:p w:rsidR="00000000" w:rsidRDefault="00000000">
      <w:pPr>
        <w:pStyle w:val="SingleTxt"/>
        <w:spacing w:after="0" w:line="120" w:lineRule="exact"/>
        <w:rPr>
          <w:sz w:val="10"/>
        </w:rPr>
      </w:pPr>
    </w:p>
    <w:p w:rsidR="00000000" w:rsidRDefault="00000000">
      <w:pPr>
        <w:pStyle w:val="SingleTxt"/>
      </w:pPr>
      <w:r>
        <w:tab/>
        <w:t>В сводном третьем и четвертом докладе указывается, что установлен од</w:t>
      </w:r>
      <w:r>
        <w:t>и</w:t>
      </w:r>
      <w:r>
        <w:t>наковый минимальный уровень заработной платы для работников мужского и женского пола, занятых в сельскохозяйственном и иных секторах, при этом не с</w:t>
      </w:r>
      <w:r>
        <w:t>у</w:t>
      </w:r>
      <w:r>
        <w:t>ществует каких-либо различий в оплате труда в зависимости от пола.</w:t>
      </w:r>
    </w:p>
    <w:p w:rsidR="00000000" w:rsidRDefault="00000000">
      <w:pPr>
        <w:pStyle w:val="SingleTxt"/>
      </w:pPr>
      <w:r>
        <w:tab/>
        <w:t>Существуют неправительственные женские организации, а также прав</w:t>
      </w:r>
      <w:r>
        <w:t>и</w:t>
      </w:r>
      <w:r>
        <w:t>тельственные органы по поддержке и защите прав женщин, которые в коорд</w:t>
      </w:r>
      <w:r>
        <w:t>и</w:t>
      </w:r>
      <w:r>
        <w:t>нации с правительством вырабатывают стратегию действий по искоренению неравенства между мужчинами и женщинами. В неорганизованном секторе экономики, в котором заняты многие женщины и мужчины Гватемалы, все еще существуют препятствия для внедрения соц</w:t>
      </w:r>
      <w:r>
        <w:t>и</w:t>
      </w:r>
      <w:r>
        <w:t>альных льгот и гарантий.</w:t>
      </w:r>
    </w:p>
    <w:p w:rsidR="00000000" w:rsidRDefault="00000000">
      <w:pPr>
        <w:pStyle w:val="SingleTxt"/>
      </w:pPr>
      <w:r>
        <w:tab/>
        <w:t>В Гватемале профсоюзные организации могут создаваться от предприятия или по корпоративному принципу, в последнем случае объединяя лиц, зан</w:t>
      </w:r>
      <w:r>
        <w:t>и</w:t>
      </w:r>
      <w:r>
        <w:t>мающихся каким-либо определенным видом неорганизованной экономической деятельности.</w:t>
      </w:r>
    </w:p>
    <w:p w:rsidR="00000000" w:rsidRDefault="00000000">
      <w:pPr>
        <w:pStyle w:val="SingleTxt"/>
      </w:pPr>
      <w:r>
        <w:tab/>
        <w:t>Как уже сообщалось, в период беременности и кормления ребенка грудью женщина не может быть уволена с места работы, а в случае увольнения треб</w:t>
      </w:r>
      <w:r>
        <w:t>у</w:t>
      </w:r>
      <w:r>
        <w:t>ется предварительно получить санкцию судьи, в чью компетенцию входят да</w:t>
      </w:r>
      <w:r>
        <w:t>н</w:t>
      </w:r>
      <w:r>
        <w:t>ные вопросы. В 2001 году в Трудовой кодекс были внесены изменения, над</w:t>
      </w:r>
      <w:r>
        <w:t>е</w:t>
      </w:r>
      <w:r>
        <w:t>ляющие Министерство труда и социального обеспечения правом принимать действия принудительного характера и увеличивающие размер штрафов для тех, кто нарушает вышеуказанные нормы.</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Статья 12</w:t>
      </w:r>
    </w:p>
    <w:p w:rsidR="00000000" w:rsidRDefault="00000000">
      <w:pPr>
        <w:pStyle w:val="SingleTxt"/>
        <w:spacing w:after="0" w:line="120" w:lineRule="exact"/>
        <w:rPr>
          <w:sz w:val="10"/>
        </w:rPr>
      </w:pPr>
    </w:p>
    <w:p w:rsidR="00000000" w:rsidRDefault="00000000">
      <w:pPr>
        <w:pStyle w:val="SingleTxt"/>
      </w:pPr>
      <w:r>
        <w:tab/>
        <w:t>Министерством здравоохранения и социальной помощи осуществляется программа по улучшению положения женщин - представительниц коренного населения, охране репродуктивного здоровья и предотвращению насилия в с</w:t>
      </w:r>
      <w:r>
        <w:t>е</w:t>
      </w:r>
      <w:r>
        <w:t>мье, в настоящее время также реализуется Национальный план по охране р</w:t>
      </w:r>
      <w:r>
        <w:t>е</w:t>
      </w:r>
      <w:r>
        <w:t>продуктивного здоровья, предусматривающий осуществление соответству</w:t>
      </w:r>
      <w:r>
        <w:t>ю</w:t>
      </w:r>
      <w:r>
        <w:t>щих мероприятий как в городе, так и в сельской местности. Кроме того, был опубл</w:t>
      </w:r>
      <w:r>
        <w:t>и</w:t>
      </w:r>
      <w:r>
        <w:t>кован Закон о социальном развитии.</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Статья 14</w:t>
      </w:r>
    </w:p>
    <w:p w:rsidR="00000000" w:rsidRDefault="00000000">
      <w:pPr>
        <w:pStyle w:val="SingleTxt"/>
        <w:keepNext/>
        <w:spacing w:after="0" w:line="120" w:lineRule="exact"/>
        <w:rPr>
          <w:sz w:val="10"/>
        </w:rPr>
      </w:pPr>
    </w:p>
    <w:p w:rsidR="00000000" w:rsidRDefault="00000000">
      <w:pPr>
        <w:pStyle w:val="SingleTxt"/>
      </w:pPr>
      <w:r>
        <w:tab/>
        <w:t>По вопросу о ситуации в области землепользования см. сводный третий и четвертый доклад, сведения об успехах в данной области содержатся также в пр</w:t>
      </w:r>
      <w:r>
        <w:t>и</w:t>
      </w:r>
      <w:r>
        <w:t>ложении к настоящему докладу.</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16</w:t>
      </w:r>
    </w:p>
    <w:p w:rsidR="00000000" w:rsidRDefault="00000000">
      <w:pPr>
        <w:pStyle w:val="SingleTxt"/>
        <w:spacing w:after="0" w:line="120" w:lineRule="exact"/>
        <w:rPr>
          <w:sz w:val="10"/>
        </w:rPr>
      </w:pPr>
    </w:p>
    <w:p w:rsidR="00000000" w:rsidRDefault="00000000">
      <w:pPr>
        <w:pStyle w:val="SingleTxt"/>
      </w:pPr>
      <w:r>
        <w:tab/>
        <w:t>В 1999 году в Гражданский кодекс были внесены изменения, о которых гов</w:t>
      </w:r>
      <w:r>
        <w:t>о</w:t>
      </w:r>
      <w:r>
        <w:t>рится в приложении к настоящему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Политические и иные меры по выполнению положений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Нормативно-правовые меры по ликвидации всех форм дискриминации в отношении женщин и обе</w:t>
      </w:r>
      <w:r>
        <w:t>с</w:t>
      </w:r>
      <w:r>
        <w:t>печению их полноценного развития</w:t>
      </w:r>
    </w:p>
    <w:p w:rsidR="00000000" w:rsidRDefault="00000000">
      <w:pPr>
        <w:pStyle w:val="SingleTxt"/>
        <w:spacing w:after="0" w:line="120" w:lineRule="exact"/>
        <w:rPr>
          <w:sz w:val="10"/>
        </w:rPr>
      </w:pPr>
    </w:p>
    <w:p w:rsidR="00000000" w:rsidRDefault="00000000">
      <w:pPr>
        <w:pStyle w:val="SingleTxt"/>
      </w:pPr>
      <w:r>
        <w:tab/>
        <w:t>В 90</w:t>
      </w:r>
      <w:r>
        <w:noBreakHyphen/>
        <w:t>х годах был начат процесс создания и придания официального стат</w:t>
      </w:r>
      <w:r>
        <w:t>у</w:t>
      </w:r>
      <w:r>
        <w:t>са структуре, на которую было бы возложено осуществление национальной п</w:t>
      </w:r>
      <w:r>
        <w:t>о</w:t>
      </w:r>
      <w:r>
        <w:t>литики в области улучшения положения женщин. В качестве предшественника такой структуры можно назвать Национальное управление по делам женщин (ОНАМ), созданное на основании Постановления правительства № 893</w:t>
      </w:r>
      <w:r>
        <w:noBreakHyphen/>
        <w:t>81 от 24 июня 1981 года и приданное Министерству труда и социального обеспеч</w:t>
      </w:r>
      <w:r>
        <w:t>е</w:t>
      </w:r>
      <w:r>
        <w:t>ния, которое, совместно с Секретариатом по планированию и программной деятельности при президенте (СЕГЕПЛАН), разработало ряд политических проектов, в частности План социального развития на 1992–1999 годы (который так и не вступил в силу в 1993 году) и План социального развития на 1996–2000 годы. Наконец, в 1999 году был выработан документ под названием «Улу</w:t>
      </w:r>
      <w:r>
        <w:t>ч</w:t>
      </w:r>
      <w:r>
        <w:t>шение положения женщин Гватемалы, план по обеспечению равных возможн</w:t>
      </w:r>
      <w:r>
        <w:t>о</w:t>
      </w:r>
      <w:r>
        <w:t>стей», включающий в себя, среди прочего, предложения, представленные Н</w:t>
      </w:r>
      <w:r>
        <w:t>а</w:t>
      </w:r>
      <w:r>
        <w:t>циональным женским форумом. Во всех указанных документах затрагиваются проблемы, с которыми сталкиваются женщины в виду своего маргинального положения и общественного отчуждения, а также предлагаются меры для  р</w:t>
      </w:r>
      <w:r>
        <w:t>е</w:t>
      </w:r>
      <w:r>
        <w:t>шения этих пр</w:t>
      </w:r>
      <w:r>
        <w:t>о</w:t>
      </w:r>
      <w:r>
        <w:t>блем.</w:t>
      </w:r>
    </w:p>
    <w:p w:rsidR="00000000" w:rsidRDefault="00000000">
      <w:pPr>
        <w:pStyle w:val="SingleTxt"/>
      </w:pPr>
      <w:r>
        <w:tab/>
        <w:t>План по обеспечению равных возможностей на 1998–2001 годы имеет важное значение, учитывая уровень представительства и участия в его разр</w:t>
      </w:r>
      <w:r>
        <w:t>а</w:t>
      </w:r>
      <w:r>
        <w:t>ботке различных женских организаций и объединений, а также государстве</w:t>
      </w:r>
      <w:r>
        <w:t>н</w:t>
      </w:r>
      <w:r>
        <w:t>ных органов под руководством Секретариата по делам социальных фондов при супруге президента (СОСЕП) и Национального управления по делам женщин (ОНАМ).</w:t>
      </w:r>
    </w:p>
    <w:p w:rsidR="00000000" w:rsidRDefault="00000000">
      <w:pPr>
        <w:pStyle w:val="SingleTxt"/>
      </w:pPr>
      <w:r>
        <w:tab/>
        <w:t>В 2000 году правительство республики представило гватемальской общ</w:t>
      </w:r>
      <w:r>
        <w:t>е</w:t>
      </w:r>
      <w:r>
        <w:t>ственности Модель социальной политики на 2000–2004 годы, предусматр</w:t>
      </w:r>
      <w:r>
        <w:t>и</w:t>
      </w:r>
      <w:r>
        <w:t>вающую разработку политики в отношении гватемальских женщин, включая раздел «Улучшение положения женщин», целью которого является гарантир</w:t>
      </w:r>
      <w:r>
        <w:t>о</w:t>
      </w:r>
      <w:r>
        <w:t>вать женщинам равенство в экономической, политической, социальной и кул</w:t>
      </w:r>
      <w:r>
        <w:t>ь</w:t>
      </w:r>
      <w:r>
        <w:t>турной сферах. В рамках направлений и задач, реализуемых для достижения данной цели, предполагается осуществление политики по улучшению полож</w:t>
      </w:r>
      <w:r>
        <w:t>е</w:t>
      </w:r>
      <w:r>
        <w:t>ния женщин при использовании определенных механизмов контроля и оценки.</w:t>
      </w:r>
    </w:p>
    <w:p w:rsidR="00000000" w:rsidRDefault="00000000">
      <w:pPr>
        <w:pStyle w:val="SingleTxt"/>
      </w:pPr>
      <w:r>
        <w:tab/>
        <w:t>24 февраля 2000 года выходит Постановление Конгресса республики № 14</w:t>
      </w:r>
      <w:r>
        <w:noBreakHyphen/>
        <w:t>2000, призывающее исполнительную власть к созданию Секретариата по делам женщин.</w:t>
      </w:r>
    </w:p>
    <w:p w:rsidR="00000000" w:rsidRDefault="00000000">
      <w:pPr>
        <w:pStyle w:val="SingleTxt"/>
      </w:pPr>
      <w:r>
        <w:tab/>
        <w:t>Со своей стороны, правительство республики во исполнение данной р</w:t>
      </w:r>
      <w:r>
        <w:t>е</w:t>
      </w:r>
      <w:r>
        <w:t>комендации создает Секретариат по вопросам женщин при президенте (СЕПРЕМ) и издает Постановление № 200</w:t>
      </w:r>
      <w:r>
        <w:noBreakHyphen/>
        <w:t>2000 от 17 мая 2000 года, опред</w:t>
      </w:r>
      <w:r>
        <w:t>е</w:t>
      </w:r>
      <w:r>
        <w:t>ляющее его статус, цели, задачи и полномочия. Следует подчеркнуть, что в разработке постановления принимали участие женские организации, которые устанавливают, что формирование состава Секретариата будет осуществляться на основе предложений, представленных женскими организац</w:t>
      </w:r>
      <w:r>
        <w:t>и</w:t>
      </w:r>
      <w:r>
        <w:t>ям.</w:t>
      </w:r>
    </w:p>
    <w:p w:rsidR="00000000" w:rsidRDefault="00000000">
      <w:pPr>
        <w:pStyle w:val="SingleTxt"/>
      </w:pPr>
      <w:r>
        <w:tab/>
        <w:t>Впоследствии правительственным Постановлением № 337 от 10 октября 2000 года, исходя из содержания десяти предложений, представленных прав</w:t>
      </w:r>
      <w:r>
        <w:t>и</w:t>
      </w:r>
      <w:r>
        <w:t>тельству, был сформирован Секретариат по вопросам женщин при пр</w:t>
      </w:r>
      <w:r>
        <w:t>е</w:t>
      </w:r>
      <w:r>
        <w:t>зиденте.</w:t>
      </w:r>
    </w:p>
    <w:p w:rsidR="00000000" w:rsidRDefault="00000000">
      <w:pPr>
        <w:pStyle w:val="SingleTxt"/>
      </w:pPr>
      <w:r>
        <w:tab/>
        <w:t>Официально Секретариат начал работу в октябре 2000 года и получил статус правительственного органа, являющегося гарантом возможности осущ</w:t>
      </w:r>
      <w:r>
        <w:t>е</w:t>
      </w:r>
      <w:r>
        <w:t>ствления «Национальной политики в области улучшения положения женщин в Гватемале и Плана обеспечения равных возможностей на 2001–2006 годы». Данная политика была разработана с учетом документов, подготовленных ОНАМ, СОСЕП и Национальным женским форумом.</w:t>
      </w:r>
    </w:p>
    <w:p w:rsidR="00000000" w:rsidRDefault="00000000">
      <w:pPr>
        <w:pStyle w:val="SingleTxt"/>
      </w:pPr>
      <w:r>
        <w:tab/>
        <w:t>10 апреля 2001 года, в соответствии с правительственным Постановлен</w:t>
      </w:r>
      <w:r>
        <w:t>и</w:t>
      </w:r>
      <w:r>
        <w:t>ем № 130</w:t>
      </w:r>
      <w:r>
        <w:noBreakHyphen/>
        <w:t>2001, издается Внутренний регламент работы Секретариата по в</w:t>
      </w:r>
      <w:r>
        <w:t>о</w:t>
      </w:r>
      <w:r>
        <w:t>просам женщин при президенте, определяющий его внутреннюю структуру, функции, механизмы координации и другие моменты.</w:t>
      </w:r>
    </w:p>
    <w:p w:rsidR="00000000" w:rsidRDefault="00000000">
      <w:pPr>
        <w:pStyle w:val="SingleTxt"/>
      </w:pPr>
      <w:r>
        <w:tab/>
        <w:t>Секретариат по вопросам женщин при президенте осуществляет свою деятельность под непосредственным руководством президента в качестве орг</w:t>
      </w:r>
      <w:r>
        <w:t>а</w:t>
      </w:r>
      <w:r>
        <w:t>на, консультирующего услуги и координирующего государственную политику по содействию всестороннему развитию женщин Гватемалы и формированию демократической культуры, при которой отношения между мужчинами и же</w:t>
      </w:r>
      <w:r>
        <w:t>н</w:t>
      </w:r>
      <w:r>
        <w:t>щинами были бы гармоничными и равноправными, что привело бы к улучш</w:t>
      </w:r>
      <w:r>
        <w:t>е</w:t>
      </w:r>
      <w:r>
        <w:t>нию условий сосуществования индивидуумов в семье и обществе, с помощью программ и действий по борьбе с предрассудками, отчуждением и неравенс</w:t>
      </w:r>
      <w:r>
        <w:t>т</w:t>
      </w:r>
      <w:r>
        <w:t>вом в обращ</w:t>
      </w:r>
      <w:r>
        <w:t>е</w:t>
      </w:r>
      <w:r>
        <w:t>нии.</w:t>
      </w:r>
    </w:p>
    <w:p w:rsidR="00000000" w:rsidRDefault="00000000">
      <w:pPr>
        <w:pStyle w:val="SingleTxt"/>
      </w:pPr>
      <w:r>
        <w:tab/>
        <w:t>В функции Секретариата входит:</w:t>
      </w:r>
    </w:p>
    <w:p w:rsidR="00000000" w:rsidRDefault="00000000">
      <w:pPr>
        <w:pStyle w:val="SingleTxt"/>
        <w:tabs>
          <w:tab w:val="right" w:pos="1685"/>
        </w:tabs>
        <w:ind w:left="1742" w:hanging="475"/>
        <w:rPr>
          <w:b/>
        </w:rPr>
      </w:pPr>
      <w:r>
        <w:tab/>
        <w:t>•</w:t>
      </w:r>
      <w:r>
        <w:tab/>
        <w:t>оказание содействия полноценному участию женщин в жизни страны и дост</w:t>
      </w:r>
      <w:r>
        <w:t>и</w:t>
      </w:r>
      <w:r>
        <w:t>жению подлинного равенства между мужчинами и женщинами;</w:t>
      </w:r>
    </w:p>
    <w:p w:rsidR="00000000" w:rsidRDefault="00000000">
      <w:pPr>
        <w:pStyle w:val="SingleTxt"/>
        <w:tabs>
          <w:tab w:val="right" w:pos="1685"/>
        </w:tabs>
        <w:ind w:left="1742" w:hanging="475"/>
        <w:rPr>
          <w:b/>
        </w:rPr>
      </w:pPr>
      <w:r>
        <w:tab/>
        <w:t>•</w:t>
      </w:r>
      <w:r>
        <w:tab/>
        <w:t>осуществление контроля за соблюдением и применением конституцио</w:t>
      </w:r>
      <w:r>
        <w:t>н</w:t>
      </w:r>
      <w:r>
        <w:t>ных норм, обычных законов и международных договоров и соглашений по защите прав женщин, а также осуществление контроля за выполнением обязательств, налагаемых международными органами и учреждениями, а также п</w:t>
      </w:r>
      <w:r>
        <w:t>о</w:t>
      </w:r>
      <w:r>
        <w:t>ложениями Мирных соглашений;</w:t>
      </w:r>
    </w:p>
    <w:p w:rsidR="00000000" w:rsidRDefault="00000000">
      <w:pPr>
        <w:pStyle w:val="SingleTxt"/>
        <w:tabs>
          <w:tab w:val="right" w:pos="1685"/>
        </w:tabs>
        <w:ind w:left="1742" w:hanging="475"/>
        <w:rPr>
          <w:b/>
        </w:rPr>
      </w:pPr>
      <w:r>
        <w:tab/>
        <w:t>•</w:t>
      </w:r>
      <w:r>
        <w:tab/>
        <w:t>разработка политики, планов, программ и проектов, касающихся полож</w:t>
      </w:r>
      <w:r>
        <w:t>е</w:t>
      </w:r>
      <w:r>
        <w:t>ния женщин, содействие их осуществлению, оценка и контроль за ними;</w:t>
      </w:r>
    </w:p>
    <w:p w:rsidR="00000000" w:rsidRDefault="00000000">
      <w:pPr>
        <w:pStyle w:val="SingleTxt"/>
        <w:tabs>
          <w:tab w:val="right" w:pos="1685"/>
        </w:tabs>
        <w:ind w:left="1742" w:hanging="475"/>
      </w:pPr>
      <w:r>
        <w:tab/>
        <w:t>•</w:t>
      </w:r>
      <w:r>
        <w:tab/>
        <w:t>изучение действующего законодательства с целью содействия разработке р</w:t>
      </w:r>
      <w:r>
        <w:t>е</w:t>
      </w:r>
      <w:r>
        <w:t>форм, направленных на удовлетворение потребностей женщин, и</w:t>
      </w:r>
    </w:p>
    <w:p w:rsidR="00000000" w:rsidRDefault="00000000">
      <w:pPr>
        <w:pStyle w:val="SingleTxt"/>
        <w:tabs>
          <w:tab w:val="right" w:pos="1685"/>
        </w:tabs>
        <w:ind w:left="1742" w:hanging="475"/>
      </w:pPr>
      <w:r>
        <w:tab/>
        <w:t>•</w:t>
      </w:r>
      <w:r>
        <w:tab/>
        <w:t>представительство правительства республики как на национальном, так и на международном уро</w:t>
      </w:r>
      <w:r>
        <w:t>в</w:t>
      </w:r>
      <w:r>
        <w:t>не.</w:t>
      </w:r>
    </w:p>
    <w:p w:rsidR="00000000" w:rsidRDefault="00000000">
      <w:pPr>
        <w:pStyle w:val="SingleTxt"/>
      </w:pPr>
      <w:r>
        <w:tab/>
        <w:t>Секретариат имеет статус министерства и принимает участие в работе правительства на высоком уровне, что дает возможность большего влияния на пол</w:t>
      </w:r>
      <w:r>
        <w:t>и</w:t>
      </w:r>
      <w:r>
        <w:t>тику следующих органов:</w:t>
      </w:r>
    </w:p>
    <w:p w:rsidR="00000000" w:rsidRDefault="00000000">
      <w:pPr>
        <w:pStyle w:val="SingleTxt"/>
        <w:tabs>
          <w:tab w:val="right" w:pos="1685"/>
        </w:tabs>
        <w:ind w:left="1742" w:hanging="475"/>
      </w:pPr>
      <w:r>
        <w:tab/>
        <w:t>–</w:t>
      </w:r>
      <w:r>
        <w:tab/>
        <w:t>Главного кабинета министров, в который входят министерства и госуда</w:t>
      </w:r>
      <w:r>
        <w:t>р</w:t>
      </w:r>
      <w:r>
        <w:t>ственные секретариаты, президент Банка Гватемалы и Президентский уполномоченный по модернизации и децентрализации государства (КОМОДЕС) и КОПРЕДЕ, возглавляемый президентом республики. Се</w:t>
      </w:r>
      <w:r>
        <w:t>к</w:t>
      </w:r>
      <w:r>
        <w:t>ретариат стал учас</w:t>
      </w:r>
      <w:r>
        <w:t>т</w:t>
      </w:r>
      <w:r>
        <w:t>вовать в его работе с января 2001 года;</w:t>
      </w:r>
    </w:p>
    <w:p w:rsidR="00000000" w:rsidRDefault="00000000">
      <w:pPr>
        <w:pStyle w:val="SingleTxt"/>
        <w:tabs>
          <w:tab w:val="right" w:pos="1685"/>
        </w:tabs>
        <w:ind w:left="1742" w:hanging="475"/>
      </w:pPr>
      <w:r>
        <w:tab/>
        <w:t>–</w:t>
      </w:r>
      <w:r>
        <w:tab/>
        <w:t>Кабинета по социальной политике, который возглавляется вице-президентом республики и в который входят министерства здравоохран</w:t>
      </w:r>
      <w:r>
        <w:t>е</w:t>
      </w:r>
      <w:r>
        <w:t>ния, образования, культуры и спорта, финансов, сельского хозяйства, СЕГЕПЛАН, Фонд социального инвестирования, Фонд мира и Секретар</w:t>
      </w:r>
      <w:r>
        <w:t>и</w:t>
      </w:r>
      <w:r>
        <w:t>ат по координации деятельности исполнительной власти. С марта 2001</w:t>
      </w:r>
      <w:r>
        <w:rPr>
          <w:lang w:val="en-US"/>
        </w:rPr>
        <w:t> </w:t>
      </w:r>
      <w:r>
        <w:t>года;</w:t>
      </w:r>
    </w:p>
    <w:p w:rsidR="00000000" w:rsidRDefault="00000000">
      <w:pPr>
        <w:pStyle w:val="SingleTxt"/>
        <w:tabs>
          <w:tab w:val="right" w:pos="1685"/>
        </w:tabs>
        <w:ind w:left="1742" w:hanging="475"/>
      </w:pPr>
      <w:r>
        <w:tab/>
        <w:t>–</w:t>
      </w:r>
      <w:r>
        <w:tab/>
        <w:t>Координационное управление секретариатов, которое включает также Секретариат по вопросам связи, Секретариат мира (СЕПАЗ), КОНТИЕРРА и КОПРЕДЕ и подчиняется Секретариату по стратегическим вопросам. Секретариат по вопросам женщин при президенте был включен в его состав в ноябре 2000 года;</w:t>
      </w:r>
    </w:p>
    <w:p w:rsidR="00000000" w:rsidRDefault="00000000">
      <w:pPr>
        <w:pStyle w:val="SingleTxt"/>
        <w:tabs>
          <w:tab w:val="right" w:pos="1685"/>
        </w:tabs>
        <w:ind w:left="1742" w:hanging="475"/>
      </w:pPr>
      <w:r>
        <w:tab/>
        <w:t>–</w:t>
      </w:r>
      <w:r>
        <w:tab/>
        <w:t>СЕПРЕМ, в соответствии со своим регламентом, входит в состав всех правительственных институтов, образованных в рамках новой институц</w:t>
      </w:r>
      <w:r>
        <w:t>и</w:t>
      </w:r>
      <w:r>
        <w:t>онной структуры по модернизации и децентрализации государства, и на него возложена обязанность содействовать разработке политических мер и поправок к законам и кодексам, способствующих расширению участия женщин в жизни страны и их разв</w:t>
      </w:r>
      <w:r>
        <w:t>и</w:t>
      </w:r>
      <w:r>
        <w:t>тию.</w:t>
      </w:r>
    </w:p>
    <w:p w:rsidR="00000000" w:rsidRDefault="00000000">
      <w:pPr>
        <w:pStyle w:val="SingleTxt"/>
      </w:pPr>
      <w:r>
        <w:tab/>
        <w:t>11 июня 2001 года губернаторы департаментов, представляющие през</w:t>
      </w:r>
      <w:r>
        <w:t>и</w:t>
      </w:r>
      <w:r>
        <w:t>дента на местном уровне, подписали Согласительную декларацию с целью п</w:t>
      </w:r>
      <w:r>
        <w:t>о</w:t>
      </w:r>
      <w:r>
        <w:t>ложить начало реализации Советами по развитию Национальной политики в области улучшения положения женщин Гватемалы и Плана обеспечения ра</w:t>
      </w:r>
      <w:r>
        <w:t>в</w:t>
      </w:r>
      <w:r>
        <w:t>ных во</w:t>
      </w:r>
      <w:r>
        <w:t>з</w:t>
      </w:r>
      <w:r>
        <w:t>можностей на 2001–2006 годы.</w:t>
      </w:r>
    </w:p>
    <w:p w:rsidR="00000000" w:rsidRDefault="00000000">
      <w:pPr>
        <w:pStyle w:val="SingleTxt"/>
      </w:pPr>
      <w:r>
        <w:tab/>
        <w:t>В состав Секретариата входит Консультативный совет, деятельность кот</w:t>
      </w:r>
      <w:r>
        <w:t>о</w:t>
      </w:r>
      <w:r>
        <w:t>рого регулируется статьей 13 Внутреннего регламента СЕПРЕМ. В него входит по одной представительнице от каждого министерства, организаций и ведомс</w:t>
      </w:r>
      <w:r>
        <w:t>т</w:t>
      </w:r>
      <w:r>
        <w:t>ва, ответственных за осуществление государственной политики, направленной на достижение равноправия между мужчинами и женщинами.</w:t>
      </w:r>
    </w:p>
    <w:p w:rsidR="00000000" w:rsidRDefault="00000000">
      <w:pPr>
        <w:pStyle w:val="SingleTxt"/>
      </w:pPr>
      <w:r>
        <w:tab/>
        <w:t>В настоящее время Консультативный совет состоит из 18 представителей и подчиняется Секретариату по вопросам женщин при президенте. Его осно</w:t>
      </w:r>
      <w:r>
        <w:t>в</w:t>
      </w:r>
      <w:r>
        <w:t>ной функцией является координация с органами государственной власти хода реализации политики и совместных действий, направленных на достижение равноправия для женщин Гватемалы. Он осуществляет работу в пяти областях: а) система образования на основе равенства полов; b) система национальной статистической информации; с) укрепление отраслевых механизмов; d) определение задач для отдельных секторов; и е) участие в подготовке докл</w:t>
      </w:r>
      <w:r>
        <w:t>а</w:t>
      </w:r>
      <w:r>
        <w:t>дов на н</w:t>
      </w:r>
      <w:r>
        <w:t>а</w:t>
      </w:r>
      <w:r>
        <w:t>циональном и международном уровне.</w:t>
      </w:r>
    </w:p>
    <w:p w:rsidR="00000000" w:rsidRDefault="00000000">
      <w:pPr>
        <w:pStyle w:val="SingleTxt"/>
      </w:pPr>
      <w:r>
        <w:tab/>
        <w:t>В работе Консультативного совета принимают участие представительн</w:t>
      </w:r>
      <w:r>
        <w:t>и</w:t>
      </w:r>
      <w:r>
        <w:t>цы следующих министерств: экономики, образования, финансов, иностранных дел, внутренних дел, национальной безопасности, труда и социального обесп</w:t>
      </w:r>
      <w:r>
        <w:t>е</w:t>
      </w:r>
      <w:r>
        <w:t>чения, а также Секретариат планирования  и программирования при президе</w:t>
      </w:r>
      <w:r>
        <w:t>н</w:t>
      </w:r>
      <w:r>
        <w:t>те, Президентский уполномоченный по модернизации и децентрализации гос</w:t>
      </w:r>
      <w:r>
        <w:t>у</w:t>
      </w:r>
      <w:r>
        <w:t>дарства, Секретариат по координации деятельности органов исполнительной власти при президенте и Координационная комиссия по политике исполн</w:t>
      </w:r>
      <w:r>
        <w:t>и</w:t>
      </w:r>
      <w:r>
        <w:t>тельной власти в области прав человека при президенте республики (КОПРЕДЕ).</w:t>
      </w:r>
    </w:p>
    <w:p w:rsidR="00000000" w:rsidRDefault="00000000">
      <w:pPr>
        <w:pStyle w:val="SingleTxt"/>
      </w:pPr>
      <w:r>
        <w:tab/>
        <w:t>Помимо этого, в рамках развития институционных механизмов были со</w:t>
      </w:r>
      <w:r>
        <w:t>з</w:t>
      </w:r>
      <w:r>
        <w:t>даны подразделения по делам женщин при следующих организациях:</w:t>
      </w:r>
    </w:p>
    <w:p w:rsidR="00000000" w:rsidRDefault="00000000">
      <w:pPr>
        <w:pStyle w:val="SingleTxt"/>
        <w:tabs>
          <w:tab w:val="right" w:pos="1685"/>
        </w:tabs>
        <w:ind w:left="1742" w:hanging="475"/>
      </w:pPr>
      <w:r>
        <w:tab/>
        <w:t>•</w:t>
      </w:r>
      <w:r>
        <w:tab/>
        <w:t>Подразделение по гендерным вопросам, делам женщин и сельской мол</w:t>
      </w:r>
      <w:r>
        <w:t>о</w:t>
      </w:r>
      <w:r>
        <w:t>дежи при Министерстве сельского хозяйства, животноводства и пищевой промышленности (МАГА) (Постановление министерства № 1525 от 30 октября 2000 года;</w:t>
      </w:r>
    </w:p>
    <w:p w:rsidR="00000000" w:rsidRDefault="00000000">
      <w:pPr>
        <w:pStyle w:val="SingleTxt"/>
        <w:tabs>
          <w:tab w:val="right" w:pos="1685"/>
        </w:tabs>
        <w:ind w:left="1742" w:hanging="475"/>
      </w:pPr>
      <w:r>
        <w:tab/>
        <w:t>•</w:t>
      </w:r>
      <w:r>
        <w:tab/>
        <w:t>Консультативный совет по делам женщин при Министерстве здравоохр</w:t>
      </w:r>
      <w:r>
        <w:t>а</w:t>
      </w:r>
      <w:r>
        <w:t>нения и социальной помощи, учрежденный Постановлением министерс</w:t>
      </w:r>
      <w:r>
        <w:t>т</w:t>
      </w:r>
      <w:r>
        <w:t>ва № 977 от 29 августа 2001 года;</w:t>
      </w:r>
    </w:p>
    <w:p w:rsidR="00000000" w:rsidRDefault="00000000">
      <w:pPr>
        <w:pStyle w:val="SingleTxt"/>
        <w:tabs>
          <w:tab w:val="right" w:pos="1685"/>
        </w:tabs>
        <w:ind w:left="1742" w:hanging="475"/>
      </w:pPr>
      <w:r>
        <w:tab/>
        <w:t>•</w:t>
      </w:r>
      <w:r>
        <w:tab/>
        <w:t>при Министерстве охраны окружающей среды и природных ресурсов в мае 2001 года было создано подразделение по делам женщин, находяще</w:t>
      </w:r>
      <w:r>
        <w:t>е</w:t>
      </w:r>
      <w:r>
        <w:t>ся в вед</w:t>
      </w:r>
      <w:r>
        <w:t>е</w:t>
      </w:r>
      <w:r>
        <w:t>нии данного министерства;</w:t>
      </w:r>
    </w:p>
    <w:p w:rsidR="00000000" w:rsidRDefault="00000000">
      <w:pPr>
        <w:pStyle w:val="SingleTxt"/>
        <w:tabs>
          <w:tab w:val="right" w:pos="1685"/>
        </w:tabs>
        <w:ind w:left="1742" w:hanging="475"/>
      </w:pPr>
      <w:r>
        <w:tab/>
        <w:t>•</w:t>
      </w:r>
      <w:r>
        <w:tab/>
        <w:t>Подразделение по гендерным вопросам и делам женщин создается в июне 2001 года при Министерстве энергетики и горнорудной промышленн</w:t>
      </w:r>
      <w:r>
        <w:t>о</w:t>
      </w:r>
      <w:r>
        <w:t>сти;</w:t>
      </w:r>
    </w:p>
    <w:p w:rsidR="00000000" w:rsidRDefault="00000000">
      <w:pPr>
        <w:pStyle w:val="SingleTxt"/>
        <w:tabs>
          <w:tab w:val="right" w:pos="1685"/>
        </w:tabs>
        <w:ind w:left="1742" w:hanging="475"/>
      </w:pPr>
      <w:r>
        <w:tab/>
        <w:t>•</w:t>
      </w:r>
      <w:r>
        <w:tab/>
        <w:t>при Министерстве обороны;</w:t>
      </w:r>
    </w:p>
    <w:p w:rsidR="00000000" w:rsidRDefault="00000000">
      <w:pPr>
        <w:pStyle w:val="SingleTxt"/>
        <w:tabs>
          <w:tab w:val="right" w:pos="1685"/>
        </w:tabs>
        <w:ind w:left="1742" w:hanging="475"/>
      </w:pPr>
      <w:r>
        <w:tab/>
        <w:t>•</w:t>
      </w:r>
      <w:r>
        <w:tab/>
        <w:t>при Фонде развития коренного населения (ФОДИГУА) создается подра</w:t>
      </w:r>
      <w:r>
        <w:t>з</w:t>
      </w:r>
      <w:r>
        <w:t>деление по гендерным в</w:t>
      </w:r>
      <w:r>
        <w:t>о</w:t>
      </w:r>
      <w:r>
        <w:t>просам 20 ноября 2001 года;</w:t>
      </w:r>
    </w:p>
    <w:p w:rsidR="00000000" w:rsidRDefault="00000000">
      <w:pPr>
        <w:pStyle w:val="SingleTxt"/>
        <w:tabs>
          <w:tab w:val="right" w:pos="1685"/>
        </w:tabs>
        <w:ind w:left="1742" w:hanging="475"/>
      </w:pPr>
      <w:r>
        <w:tab/>
        <w:t>•</w:t>
      </w:r>
      <w:r>
        <w:tab/>
        <w:t>при Фонде социального инвестирования (ФИС) создается подразделение по гендерным вопросам в мае 2001 года.</w:t>
      </w:r>
    </w:p>
    <w:p w:rsidR="00000000" w:rsidRDefault="00000000">
      <w:pPr>
        <w:pStyle w:val="SingleTxt"/>
      </w:pPr>
      <w:r>
        <w:tab/>
        <w:t>Существуют также и другие ведомства по делам женщин при органах и</w:t>
      </w:r>
      <w:r>
        <w:t>с</w:t>
      </w:r>
      <w:r>
        <w:t>полнительной власти, представители которых входят в состав Консультативн</w:t>
      </w:r>
      <w:r>
        <w:t>о</w:t>
      </w:r>
      <w:r>
        <w:t>го с</w:t>
      </w:r>
      <w:r>
        <w:t>о</w:t>
      </w:r>
      <w:r>
        <w:t>вета:</w:t>
      </w:r>
    </w:p>
    <w:p w:rsidR="00000000" w:rsidRDefault="00000000">
      <w:pPr>
        <w:pStyle w:val="SingleTxt"/>
        <w:tabs>
          <w:tab w:val="right" w:pos="1685"/>
        </w:tabs>
        <w:ind w:left="1742" w:hanging="475"/>
      </w:pPr>
      <w:r>
        <w:tab/>
        <w:t>•</w:t>
      </w:r>
      <w:r>
        <w:tab/>
        <w:t>Программа по предотвращению и искоренению насилия в семье (ПРОПЕВИ) в ведении Секретариата по делам социальных фондов при супруге президента (СОСЕП). Программа ПРОМУХЕР также находится в ведении СОCЕП;</w:t>
      </w:r>
    </w:p>
    <w:p w:rsidR="00000000" w:rsidRDefault="00000000">
      <w:pPr>
        <w:pStyle w:val="SingleTxt"/>
        <w:tabs>
          <w:tab w:val="right" w:pos="1685"/>
        </w:tabs>
        <w:ind w:left="1742" w:hanging="475"/>
      </w:pPr>
      <w:r>
        <w:tab/>
        <w:t>•</w:t>
      </w:r>
      <w:r>
        <w:tab/>
        <w:t>Подразделение по оказанию консультаций по проблемам женщин Секр</w:t>
      </w:r>
      <w:r>
        <w:t>е</w:t>
      </w:r>
      <w:r>
        <w:t>тариата мира (СЕПАЗ).</w:t>
      </w:r>
    </w:p>
    <w:p w:rsidR="00000000" w:rsidRDefault="00000000">
      <w:pPr>
        <w:pStyle w:val="SingleTxt"/>
      </w:pPr>
      <w:r>
        <w:tab/>
        <w:t>В административном плане Секретариат занимается укреплением своей институциональности путем создания условий для повышения эффективности процессов разработки политики и осуществления своей деятельности. Гра</w:t>
      </w:r>
      <w:r>
        <w:t>ж</w:t>
      </w:r>
      <w:r>
        <w:t>данское общество информируется о ходе работы. Секретариат борется за пр</w:t>
      </w:r>
      <w:r>
        <w:t>и</w:t>
      </w:r>
      <w:r>
        <w:t>нятие бюджета, который бы отражал его нужды, а также за выделение всем о</w:t>
      </w:r>
      <w:r>
        <w:t>р</w:t>
      </w:r>
      <w:r>
        <w:t>ганам, занимающимся проблемами женщин, необходимых средств для реал</w:t>
      </w:r>
      <w:r>
        <w:t>и</w:t>
      </w:r>
      <w:r>
        <w:t>зации их программ (в сфере образования, здравоохранения и занятости). Кроме того, удалось добиться 20</w:t>
      </w:r>
      <w:r>
        <w:noBreakHyphen/>
        <w:t>процентного увеличения бюджета 2002 года для улучш</w:t>
      </w:r>
      <w:r>
        <w:t>е</w:t>
      </w:r>
      <w:r>
        <w:t>ния работы секретариата.</w:t>
      </w:r>
    </w:p>
    <w:p w:rsidR="00000000" w:rsidRDefault="00000000">
      <w:pPr>
        <w:pStyle w:val="SingleTxt"/>
      </w:pPr>
      <w:r>
        <w:tab/>
        <w:t>На основе Постановлений правительства №№ 831</w:t>
      </w:r>
      <w:r>
        <w:noBreakHyphen/>
        <w:t>2000 и 868</w:t>
      </w:r>
      <w:r>
        <w:noBreakHyphen/>
        <w:t>2001 создан Национальный координационный центр по предотвращению насилия в семье и в отношении женщин (КОНАПРЕВИ), который начал работу 5 января 2001 года. Это структура, в обязанности которой входит поддержка и осущес</w:t>
      </w:r>
      <w:r>
        <w:t>т</w:t>
      </w:r>
      <w:r>
        <w:t>вление государственной политики по предотвращению и искоренению насилия в отношении женщин. Данное ведомство находится под управлением СЕПРЕМ и было создано во исполнение положений Межамериканской конвенции о пр</w:t>
      </w:r>
      <w:r>
        <w:t>е</w:t>
      </w:r>
      <w:r>
        <w:t>д</w:t>
      </w:r>
      <w:r>
        <w:t>у</w:t>
      </w:r>
      <w:r>
        <w:t>преждении, наказании и искоренении насилия в отношении женщин.</w:t>
      </w:r>
    </w:p>
    <w:p w:rsidR="00000000" w:rsidRDefault="00000000">
      <w:pPr>
        <w:pStyle w:val="SingleTxt"/>
      </w:pPr>
      <w:r>
        <w:tab/>
        <w:t>19 июля 1999 года на основании Постановления правительства № 525</w:t>
      </w:r>
      <w:r>
        <w:noBreakHyphen/>
        <w:t>99 в рамках Мирных соглашений, и в особенности Соглашения о самобытности и правах коренных народов, а также благодаря усилиям со стороны организаций женщин, принадлежащих к коренному населению Гватемалы, было создано Управление защиты женщин - представительниц коренного населения (ДЕМИ), переданное в ведение Координационной комиссии по политике исполнител</w:t>
      </w:r>
      <w:r>
        <w:t>ь</w:t>
      </w:r>
      <w:r>
        <w:t>ной власти в области прав человека при президенте республ</w:t>
      </w:r>
      <w:r>
        <w:t>и</w:t>
      </w:r>
      <w:r>
        <w:t>ки (КОПРЕДЕ).</w:t>
      </w:r>
    </w:p>
    <w:p w:rsidR="00000000" w:rsidRDefault="00000000">
      <w:pPr>
        <w:pStyle w:val="SingleTxt"/>
      </w:pPr>
      <w:r>
        <w:tab/>
        <w:t>Закон о социальном развитии, принятый Конгрессом республики 26 сентября 2001 года и опубликованный Декретом № 42</w:t>
      </w:r>
      <w:r>
        <w:noBreakHyphen/>
        <w:t>2001, имеет огромное значение для развития женщин. Он был внесен на рассмотрение группой же</w:t>
      </w:r>
      <w:r>
        <w:t>н</w:t>
      </w:r>
      <w:r>
        <w:t>щин - депутатов Конгресса, объединившихся для разработки законопроекта. В разработке данного проекта принимали участие организации гражданского о</w:t>
      </w:r>
      <w:r>
        <w:t>б</w:t>
      </w:r>
      <w:r>
        <w:t>щества, было также получено одобрение со стороны католической и евангел</w:t>
      </w:r>
      <w:r>
        <w:t>и</w:t>
      </w:r>
      <w:r>
        <w:t>ческой церквей. С точки зрения концепции всестороннего развития, данный з</w:t>
      </w:r>
      <w:r>
        <w:t>а</w:t>
      </w:r>
      <w:r>
        <w:t>кон создает условия для полной интеграции женщин в процессы экономическ</w:t>
      </w:r>
      <w:r>
        <w:t>о</w:t>
      </w:r>
      <w:r>
        <w:t>го, социального, политического и культурного развития</w:t>
      </w:r>
      <w:r>
        <w:rPr>
          <w:rStyle w:val="a"/>
        </w:rPr>
        <w:footnoteReference w:customMarkFollows="1" w:id="3"/>
        <w:t xml:space="preserve">1. </w:t>
      </w:r>
      <w:r>
        <w:t>По решению Кабинета по социальной политике, Секретариату по делам женщин надлежит осущест</w:t>
      </w:r>
      <w:r>
        <w:t>в</w:t>
      </w:r>
      <w:r>
        <w:t>лять наблюдение за выполнением Национальной политики по развитию, разр</w:t>
      </w:r>
      <w:r>
        <w:t>а</w:t>
      </w:r>
      <w:r>
        <w:t>б</w:t>
      </w:r>
      <w:r>
        <w:t>о</w:t>
      </w:r>
      <w:r>
        <w:t>танной на основе указанного закона.</w:t>
      </w:r>
    </w:p>
    <w:p w:rsidR="00000000" w:rsidRDefault="00000000">
      <w:pPr>
        <w:pStyle w:val="SingleTxt"/>
      </w:pPr>
      <w:r>
        <w:tab/>
        <w:t>Данный закон гарантирует право на материнство и отцовство, на всест</w:t>
      </w:r>
      <w:r>
        <w:t>о</w:t>
      </w:r>
      <w:r>
        <w:t>роннюю охрану здоровья, право на выбор, в особенности для беременных женщин, право на здоровое материнство, на доступ к программам по охране репродуктивного здоровья и услугам центров планирования семьи, а также право на получение информации, образование и обучения, посвященных уходу за новорожденными и вскармливанию гр</w:t>
      </w:r>
      <w:r>
        <w:t>у</w:t>
      </w:r>
      <w:r>
        <w:t>дью.</w:t>
      </w:r>
    </w:p>
    <w:p w:rsidR="00000000" w:rsidRDefault="00000000">
      <w:pPr>
        <w:pStyle w:val="SingleTxt"/>
      </w:pPr>
      <w:r>
        <w:tab/>
        <w:t>Осуществляется реализация поправок, принятых 19 ноября 1998 года Декретом № 80</w:t>
      </w:r>
      <w:r>
        <w:noBreakHyphen/>
        <w:t>98 к статьям 109, 110, 115, 131, 132 и 255 Гражданского кодекса и к Закону о пенсиях, с целью устранения положений, являющихся дискрим</w:t>
      </w:r>
      <w:r>
        <w:t>и</w:t>
      </w:r>
      <w:r>
        <w:t>нацио</w:t>
      </w:r>
      <w:r>
        <w:t>н</w:t>
      </w:r>
      <w:r>
        <w:t>ными по отношению к женщинам или наносящих вред их интересам.</w:t>
      </w:r>
    </w:p>
    <w:p w:rsidR="00000000" w:rsidRDefault="00000000">
      <w:pPr>
        <w:pStyle w:val="SingleTxt"/>
      </w:pPr>
      <w:r>
        <w:tab/>
        <w:t>Было издано Законодательное постановление № 68</w:t>
      </w:r>
      <w:r>
        <w:noBreakHyphen/>
        <w:t>2000, содержащее требование к Специальной комиссии по вопросам выборов при Конгрессе ре</w:t>
      </w:r>
      <w:r>
        <w:t>с</w:t>
      </w:r>
      <w:r>
        <w:t>публики дать заключение о целостности законодательства с точки зрения до</w:t>
      </w:r>
      <w:r>
        <w:t>с</w:t>
      </w:r>
      <w:r>
        <w:t>тижения большего равноправия в отношении участия женщин Гватемалы в п</w:t>
      </w:r>
      <w:r>
        <w:t>о</w:t>
      </w:r>
      <w:r>
        <w:t>литич</w:t>
      </w:r>
      <w:r>
        <w:t>е</w:t>
      </w:r>
      <w:r>
        <w:t>ской жизни.</w:t>
      </w:r>
    </w:p>
    <w:p w:rsidR="00000000" w:rsidRDefault="00000000">
      <w:pPr>
        <w:pStyle w:val="SingleTxt"/>
      </w:pPr>
      <w:r>
        <w:tab/>
        <w:t>Декретом № 24</w:t>
      </w:r>
      <w:r>
        <w:noBreakHyphen/>
        <w:t>99 Конгресса были внесены поправки к Закону о земел</w:t>
      </w:r>
      <w:r>
        <w:t>ь</w:t>
      </w:r>
      <w:r>
        <w:t>ном фонде, содержащие положение о совместном владении землей для пар, с</w:t>
      </w:r>
      <w:r>
        <w:t>о</w:t>
      </w:r>
      <w:r>
        <w:t>стоящих в официальном или гражданском браке, и собственности на землю для одиноких женщин.</w:t>
      </w:r>
    </w:p>
    <w:p w:rsidR="00000000" w:rsidRDefault="00000000">
      <w:pPr>
        <w:pStyle w:val="SingleTxt"/>
      </w:pPr>
      <w:r>
        <w:tab/>
        <w:t>В марте 1999 года Декретом Конгресса республики № 7</w:t>
      </w:r>
      <w:r>
        <w:noBreakHyphen/>
        <w:t>99 был принят Закон о всестороннем улучшении положения женщин. В главе IV данного зак</w:t>
      </w:r>
      <w:r>
        <w:t>о</w:t>
      </w:r>
      <w:r>
        <w:t>на предусматриваются «специальные меры и действия в экономической и п</w:t>
      </w:r>
      <w:r>
        <w:t>о</w:t>
      </w:r>
      <w:r>
        <w:t>литической сфере», а в статье 21 определяется, что: «Государство при участии женских организаций: а) осуществляет рассмотрение и вносит предложения касательно поправок, норм, механизмов их применения и существующей пра</w:t>
      </w:r>
      <w:r>
        <w:t>к</w:t>
      </w:r>
      <w:r>
        <w:t>тики в области выплат семейных пособий, доступа к получению банковских ссуд, ипотечному кредитованию, кредитам для приобретения жилья и другим формам финансовых кредитов, проектов в сфере развития и доступа к земле для устранения всех дискриминационных положений законодательства и сущ</w:t>
      </w:r>
      <w:r>
        <w:t>е</w:t>
      </w:r>
      <w:r>
        <w:t>ствующей практики, представляющих в настоящее время препятствия на пути получения женщинами равных возможностей и доступа к указанным благам без изменения гражданского состояния, с упором на устранение норм и пра</w:t>
      </w:r>
      <w:r>
        <w:t>к</w:t>
      </w:r>
      <w:r>
        <w:t>тики, препятствующим доступу одиноких женщин — глав семьи к указанным благам и услугам…».</w:t>
      </w:r>
    </w:p>
    <w:p w:rsidR="00000000" w:rsidRDefault="00000000">
      <w:pPr>
        <w:pStyle w:val="SingleTxt"/>
      </w:pPr>
      <w:r>
        <w:tab/>
        <w:t>За период с ноября 1998 года Национальное управление по делам женщин (ОНАМ) представило проект реформы Закона о выборах и политических па</w:t>
      </w:r>
      <w:r>
        <w:t>р</w:t>
      </w:r>
      <w:r>
        <w:t>тиях, целью которого является установление 30</w:t>
      </w:r>
      <w:r>
        <w:noBreakHyphen/>
        <w:t>процентной нормы при назн</w:t>
      </w:r>
      <w:r>
        <w:t>а</w:t>
      </w:r>
      <w:r>
        <w:t>чении женщин на руководящие посты в политических партиях и их избрания на выборные должности. Данные поправки подлежат обсуждению и одобрению в Законодательном с</w:t>
      </w:r>
      <w:r>
        <w:t>о</w:t>
      </w:r>
      <w:r>
        <w:t>брании.</w:t>
      </w:r>
    </w:p>
    <w:p w:rsidR="00000000" w:rsidRDefault="00000000">
      <w:pPr>
        <w:pStyle w:val="SingleTxt"/>
      </w:pPr>
      <w:r>
        <w:tab/>
        <w:t>Секретариат мира (СЕПАЗ) и Паритетная комиссия по реформе и участию представили поправки к Закону о системе советов по вопросам развития, в к</w:t>
      </w:r>
      <w:r>
        <w:t>о</w:t>
      </w:r>
      <w:r>
        <w:t>тором подчеркивается  принцип равноправия, независимо от пола и наци</w:t>
      </w:r>
      <w:r>
        <w:t>о</w:t>
      </w:r>
      <w:r>
        <w:t>нальности, и который уже находится в процессе принятия. В нем также пред</w:t>
      </w:r>
      <w:r>
        <w:t>у</w:t>
      </w:r>
      <w:r>
        <w:t>сматривается участие женщин в политической жизни на уровне муниципалит</w:t>
      </w:r>
      <w:r>
        <w:t>е</w:t>
      </w:r>
      <w:r>
        <w:t>тов, департаментов, на региональном и общенациональном уровне. СЕПРЕМ, со своей стороны, направил в Комиссию по децентрализации Конгресса ре</w:t>
      </w:r>
      <w:r>
        <w:t>с</w:t>
      </w:r>
      <w:r>
        <w:t>публики свой проект поправок, смысл которых заключается во включении же</w:t>
      </w:r>
      <w:r>
        <w:t>н</w:t>
      </w:r>
      <w:r>
        <w:t>ских организаций в структуру Системы советов по вопросам развития на всех ее уровнях.</w:t>
      </w:r>
    </w:p>
    <w:p w:rsidR="00000000" w:rsidRDefault="00000000">
      <w:pPr>
        <w:pStyle w:val="SingleTxt"/>
      </w:pPr>
      <w:r>
        <w:tab/>
        <w:t>22 ноября 2001 года Конгресс республики ратифицировал Факультати</w:t>
      </w:r>
      <w:r>
        <w:t>в</w:t>
      </w:r>
      <w:r>
        <w:t>ный протокол КЛДЖ</w:t>
      </w:r>
      <w:r>
        <w:rPr>
          <w:b/>
          <w:i/>
        </w:rPr>
        <w:t xml:space="preserve">, </w:t>
      </w:r>
      <w:r>
        <w:t>что можно рассматривать как значительное достижение в о</w:t>
      </w:r>
      <w:r>
        <w:t>б</w:t>
      </w:r>
      <w:r>
        <w:t>ласти улучшения положения женщин Гватемалы.</w:t>
      </w:r>
    </w:p>
    <w:p w:rsidR="00000000" w:rsidRDefault="00000000">
      <w:pPr>
        <w:pStyle w:val="SingleTxt"/>
      </w:pPr>
      <w:r>
        <w:tab/>
        <w:t>В качестве мероприятия по повышению осведомленности населения и для</w:t>
      </w:r>
      <w:r>
        <w:rPr>
          <w:b/>
          <w:i/>
        </w:rPr>
        <w:t xml:space="preserve"> </w:t>
      </w:r>
      <w:r>
        <w:t>того, чтобы подчеркнуть значимость прав женщин, а также в рамках провед</w:t>
      </w:r>
      <w:r>
        <w:t>е</w:t>
      </w:r>
      <w:r>
        <w:t>ния 28 мая Международного дня охраны здоровья женщины было издано м</w:t>
      </w:r>
      <w:r>
        <w:t>и</w:t>
      </w:r>
      <w:r>
        <w:t>нистерское Постановление № 1307</w:t>
      </w:r>
      <w:r>
        <w:noBreakHyphen/>
        <w:t>2000, объявляющее май «месяцем охраны здоровья женщин»; в этом месяце в столице и в департаментах проводятся празднования, посвященные о</w:t>
      </w:r>
      <w:r>
        <w:t>х</w:t>
      </w:r>
      <w:r>
        <w:t>ране здоровья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Образование</w:t>
      </w:r>
    </w:p>
    <w:p w:rsidR="00000000" w:rsidRDefault="00000000">
      <w:pPr>
        <w:pStyle w:val="SingleTxt"/>
        <w:keepNext/>
        <w:spacing w:after="0" w:line="120" w:lineRule="exact"/>
        <w:rPr>
          <w:sz w:val="10"/>
        </w:rPr>
      </w:pPr>
    </w:p>
    <w:p w:rsidR="00000000" w:rsidRDefault="00000000">
      <w:pPr>
        <w:pStyle w:val="SingleTxt"/>
      </w:pPr>
      <w:r>
        <w:t>Одной из важнейших проблем в области образования в Гватемале является с</w:t>
      </w:r>
      <w:r>
        <w:t>о</w:t>
      </w:r>
      <w:r>
        <w:t>хранение высокой доли неграмотного населения и низкий уровень образования в стране.</w:t>
      </w:r>
    </w:p>
    <w:p w:rsidR="00000000" w:rsidRDefault="00000000">
      <w:pPr>
        <w:pStyle w:val="SingleTxt"/>
      </w:pPr>
      <w:r>
        <w:tab/>
        <w:t>По оценкам Национального совета по борьбе с неграмотностью (КОНАЛФА), уровень неграмотности среди населения в возрасте от 15 до 64 лет составляет в среднем по стране 40 процентов, но в ряде департаментов он выше, например, в Киче (72,4 процента) и Альта-Верапас (71,7 процента), самый низкий показатель зарегистрирован в департаменте Гватемала, где нах</w:t>
      </w:r>
      <w:r>
        <w:t>о</w:t>
      </w:r>
      <w:r>
        <w:t>дится столица страны (14,6 процента). Однако, данные средние показатели не отражают разницу в уровне грамотности мужчин и женщин, поскольку показ</w:t>
      </w:r>
      <w:r>
        <w:t>а</w:t>
      </w:r>
      <w:r>
        <w:t>тели неграмотности среди последних выше.</w:t>
      </w:r>
    </w:p>
    <w:p w:rsidR="00000000" w:rsidRDefault="00000000">
      <w:pPr>
        <w:pStyle w:val="SingleTxt"/>
      </w:pPr>
      <w:r>
        <w:tab/>
        <w:t>Доля лиц, перешедших на следующую ступень обучения, от общего числа поступивших, в 1999 году составляла для начального образования 30,1 проце</w:t>
      </w:r>
      <w:r>
        <w:t>н</w:t>
      </w:r>
      <w:r>
        <w:t>та, а в 2000 году поднялась до 31,5 процента; для неполного среднего образ</w:t>
      </w:r>
      <w:r>
        <w:t>о</w:t>
      </w:r>
      <w:r>
        <w:t>вания доля лиц, перешедших на следующую ступень обучения, от общего чи</w:t>
      </w:r>
      <w:r>
        <w:t>с</w:t>
      </w:r>
      <w:r>
        <w:t>ла поступивших составляла в 1999 году 7,35 процента, а в 2000 увеличилась (до 8,95 процента); для полного среднего образования в 1999 и в 2000 годах данный п</w:t>
      </w:r>
      <w:r>
        <w:t>о</w:t>
      </w:r>
      <w:r>
        <w:t>казатель равнялся 10 процентам.</w:t>
      </w:r>
    </w:p>
    <w:p w:rsidR="00000000" w:rsidRDefault="00000000">
      <w:pPr>
        <w:pStyle w:val="SingleTxt"/>
      </w:pPr>
      <w:r>
        <w:tab/>
        <w:t>В 2000 году средний показатель брутто-коэффициента охвата школьным образованием (ТВЕ) по стране для подготовительного образования (дети в во</w:t>
      </w:r>
      <w:r>
        <w:t>з</w:t>
      </w:r>
      <w:r>
        <w:t>расте от 5 до 6 лет) составлял 51,3 процента; при этом для девочек он соста</w:t>
      </w:r>
      <w:r>
        <w:t>в</w:t>
      </w:r>
      <w:r>
        <w:t>лял 51,6 процента, а для мальчиков — 51 процент. Нетто-коэффициент охвата школьным образованием (TNE) за тот же период составил 37,5 процента как для мальчиков, так и для девочек</w:t>
      </w:r>
      <w:r>
        <w:rPr>
          <w:rStyle w:val="a"/>
        </w:rPr>
        <w:footnoteReference w:customMarkFollows="1" w:id="4"/>
        <w:t>2</w:t>
      </w:r>
      <w:r>
        <w:t>. Для начального образования (от 7 до 12 лет) брутто-коэффициент охвата школьным образованием (ТВЕ) превышает 100 процентов, для мальчиков он равен 106,5 процентам, а для девочек — 97,7 процента, в то время как нетто-коэффициент (ТNE) составляет 84,4 и 82,1 процента, соответственно. Для неполного среднего образования (от 13 до 15 лет) ТВЕ равен 43,8 процента для мальчиков и 38,2 — для девочек, ТNE с</w:t>
      </w:r>
      <w:r>
        <w:t>о</w:t>
      </w:r>
      <w:r>
        <w:t>ставляет 24,7 и 23,4 процента, соответственно, значение данного показателя существенно ниже вследствие того, что многие дети, бросая школу, в раннем возрасте идут работать. Полное среднее среднего образование (с 16 до 18 лет) охватыв</w:t>
      </w:r>
      <w:r>
        <w:t>а</w:t>
      </w:r>
      <w:r>
        <w:t>ет только 20,4 процента мужчин и 21 процент женщин, нетто-коэффициент составляет 14,3 процента для мужчин и 15,8 процента для же</w:t>
      </w:r>
      <w:r>
        <w:t>н</w:t>
      </w:r>
      <w:r>
        <w:t>щин.</w:t>
      </w:r>
    </w:p>
    <w:p w:rsidR="00000000" w:rsidRDefault="00000000">
      <w:pPr>
        <w:pStyle w:val="SingleTxt"/>
      </w:pPr>
      <w:r>
        <w:tab/>
        <w:t>Показатель посещаемости больше в городских районах (96 процентов), чем в сельских (86 процентов), в то время как показатель доли лиц, оставшихся на второй год в начальной школе больше среди мальчиков, чем среди девочек: 17 и 15 процентов соответственно.</w:t>
      </w:r>
    </w:p>
    <w:p w:rsidR="00000000" w:rsidRDefault="00000000">
      <w:pPr>
        <w:pStyle w:val="SingleTxt"/>
      </w:pPr>
      <w:r>
        <w:tab/>
        <w:t>В 2001 году по распоряжению правительства было начато осуществление программы, предусматривающей направление учащихся средних учебных з</w:t>
      </w:r>
      <w:r>
        <w:t>а</w:t>
      </w:r>
      <w:r>
        <w:t>ведений на стажировку по проведению занятий с неграмотным населением. Данная программа имела большое значение для ликвидации неграмотности среди женщин. Она имела весьма значительные масштабы благодаря участию в ее осуществлении учащихся как государственных, так и частных учебных зав</w:t>
      </w:r>
      <w:r>
        <w:t>е</w:t>
      </w:r>
      <w:r>
        <w:t>д</w:t>
      </w:r>
      <w:r>
        <w:t>е</w:t>
      </w:r>
      <w:r>
        <w:t>ний.</w:t>
      </w:r>
    </w:p>
    <w:p w:rsidR="00000000" w:rsidRDefault="00000000">
      <w:pPr>
        <w:pStyle w:val="SingleTxt"/>
      </w:pPr>
      <w:r>
        <w:tab/>
        <w:t>С учетом того, что от качества питания во многом зависит способность ребенка усваивать знания и концентрировать внимание, с целью содействия разрешению указанной проблемы с 1999 года реализуется программа по улу</w:t>
      </w:r>
      <w:r>
        <w:t>ч</w:t>
      </w:r>
      <w:r>
        <w:t>шению питания учащихся государственных учебных заведений в сельских и городских районах, которая предусматривает обеспечение школьных столовых галетами с повышенной питательной ценностью и полноценными завтраками. Программа охватывает все департаменты страны, причем основное внимание уделяется социально неблагополучным городским районам и сельской местн</w:t>
      </w:r>
      <w:r>
        <w:t>о</w:t>
      </w:r>
      <w:r>
        <w:t>сти. Планируется также обеспечение учащихся обедами в рамках данной а</w:t>
      </w:r>
      <w:r>
        <w:t>к</w:t>
      </w:r>
      <w:r>
        <w:t>ции.</w:t>
      </w:r>
    </w:p>
    <w:p w:rsidR="00000000" w:rsidRDefault="00000000">
      <w:pPr>
        <w:pStyle w:val="SingleTxt"/>
      </w:pPr>
      <w:r>
        <w:tab/>
        <w:t>Образовательная реформа, осуществляемая в настоящий момент, пре</w:t>
      </w:r>
      <w:r>
        <w:t>д</w:t>
      </w:r>
      <w:r>
        <w:t>ставляет собой инструмент всестороннего учета количественных и качестве</w:t>
      </w:r>
      <w:r>
        <w:t>н</w:t>
      </w:r>
      <w:r>
        <w:t>ных показателей, иными словами, она затрагивает как географический и кол</w:t>
      </w:r>
      <w:r>
        <w:t>и</w:t>
      </w:r>
      <w:r>
        <w:t>чественный охват населения услугами образования, так и содержание учебных программ и учебников, отражая вопросы взаимодействия различных культур, гендерную проблематику и другие факторы, ведущих к социальной разобще</w:t>
      </w:r>
      <w:r>
        <w:t>н</w:t>
      </w:r>
      <w:r>
        <w:t>ности. Программы и проекты в рамках реформы осуществляются при участии гражданского общества, а также с использованием внутригосударственных и межд</w:t>
      </w:r>
      <w:r>
        <w:t>у</w:t>
      </w:r>
      <w:r>
        <w:t>народных механизмов сотрудничества.</w:t>
      </w:r>
    </w:p>
    <w:p w:rsidR="00000000" w:rsidRDefault="00000000">
      <w:pPr>
        <w:pStyle w:val="SingleTxt"/>
      </w:pPr>
      <w:r>
        <w:tab/>
        <w:t>Секретариат по вопросам женщин при президенте принимает участие в проведении реформы образования, будучи полноправным участником Консул</w:t>
      </w:r>
      <w:r>
        <w:t>ь</w:t>
      </w:r>
      <w:r>
        <w:t>тативной группы, что отражено в его учредительном документе, разрабатывая ге</w:t>
      </w:r>
      <w:r>
        <w:t>н</w:t>
      </w:r>
      <w:r>
        <w:t>дерные вопросы в целях улучшения отношения к женщине.</w:t>
      </w:r>
    </w:p>
    <w:p w:rsidR="00000000" w:rsidRDefault="00000000">
      <w:pPr>
        <w:pStyle w:val="SingleTxt"/>
      </w:pPr>
      <w:r>
        <w:tab/>
        <w:t>Комиссия по образовательной реформе претворяет в жизнь правительс</w:t>
      </w:r>
      <w:r>
        <w:t>т</w:t>
      </w:r>
      <w:r>
        <w:t>венные установки по обеспечению доступа к образованию всех социальных слоев, в особенности беднейших слоев населения и сельских жителей, с учетом культурного и языкового разнообразия страны. Среди выводов, содержащихся в докладе указанной Комиссии, особо подчеркивается необходимость укрепл</w:t>
      </w:r>
      <w:r>
        <w:t>е</w:t>
      </w:r>
      <w:r>
        <w:t>ния и сохранения культурной и этнической самобытности, а также ликвидации дискриминации по признаку пола, расы, религиозной принадлежности и др</w:t>
      </w:r>
      <w:r>
        <w:t>у</w:t>
      </w:r>
      <w:r>
        <w:t>гих социо-культурных стереотипов. Консультативная комиссия по образов</w:t>
      </w:r>
      <w:r>
        <w:t>а</w:t>
      </w:r>
      <w:r>
        <w:t>тельной реформе в настоящее время изучает проект поправок к Закону об обр</w:t>
      </w:r>
      <w:r>
        <w:t>а</w:t>
      </w:r>
      <w:r>
        <w:t>зовании.</w:t>
      </w:r>
    </w:p>
    <w:p w:rsidR="00000000" w:rsidRDefault="00000000">
      <w:pPr>
        <w:pStyle w:val="SingleTxt"/>
      </w:pPr>
      <w:r>
        <w:tab/>
        <w:t>В Законе об образовании признается право на доступ к образованию вр</w:t>
      </w:r>
      <w:r>
        <w:t>е</w:t>
      </w:r>
      <w:r>
        <w:t>менных рабочих-иммигрантов и родившихся на территории Гватемалы детей натурализовавшихся отцов. Для получения доступа к образованию необходимо предоставить следующие документы: свидетельство о рождении, справку с п</w:t>
      </w:r>
      <w:r>
        <w:t>о</w:t>
      </w:r>
      <w:r>
        <w:t>следнего места учебы и медицинскую справку. Однако в случае, если дети р</w:t>
      </w:r>
      <w:r>
        <w:t>а</w:t>
      </w:r>
      <w:r>
        <w:t>нее получили образование в стране, система образования которой отличается от системы Гватемалы, они должны сдать экзамен для определения их образ</w:t>
      </w:r>
      <w:r>
        <w:t>о</w:t>
      </w:r>
      <w:r>
        <w:t>вательного уровня и сопоставления его с образовательными стандартами Гв</w:t>
      </w:r>
      <w:r>
        <w:t>а</w:t>
      </w:r>
      <w:r>
        <w:t>темалы или же пройти обучение по аналогичной программе.</w:t>
      </w:r>
    </w:p>
    <w:p w:rsidR="00000000" w:rsidRDefault="00000000">
      <w:pPr>
        <w:pStyle w:val="SingleTxt"/>
      </w:pPr>
      <w:r>
        <w:tab/>
        <w:t>Программа «Образование для девочек», осуществляемая в рамках Мин</w:t>
      </w:r>
      <w:r>
        <w:t>и</w:t>
      </w:r>
      <w:r>
        <w:t>стерства образования (МИНЕДУК), предусматривает содействие доступу дев</w:t>
      </w:r>
      <w:r>
        <w:t>о</w:t>
      </w:r>
      <w:r>
        <w:t>чек к получению начального образования и реализуется на основе данных и</w:t>
      </w:r>
      <w:r>
        <w:t>с</w:t>
      </w:r>
      <w:r>
        <w:t>следований и Плана мероприятий по предоставлению образования девочкам. В рамках данной программы были разработаны соответствующая политика и стратегия, включая возможность предоставления стипендий девочкам, прож</w:t>
      </w:r>
      <w:r>
        <w:t>и</w:t>
      </w:r>
      <w:r>
        <w:t>вающим в сельских районах, на что выделяется 75 000 кетцалей ежегодно, к</w:t>
      </w:r>
      <w:r>
        <w:t>о</w:t>
      </w:r>
      <w:r>
        <w:t>торые в настоящее время распределяются в 22 департаментах страны из расч</w:t>
      </w:r>
      <w:r>
        <w:t>е</w:t>
      </w:r>
      <w:r>
        <w:t>та 300 кетцалей на человека в год. Хотя объектом данной программы являются девочки, от ее осуществления в</w:t>
      </w:r>
      <w:r>
        <w:t>ы</w:t>
      </w:r>
      <w:r>
        <w:t>игрывают и мальчики.</w:t>
      </w:r>
    </w:p>
    <w:p w:rsidR="00000000" w:rsidRDefault="00000000">
      <w:pPr>
        <w:pStyle w:val="SingleTxt"/>
      </w:pPr>
      <w:r>
        <w:tab/>
        <w:t>Говоря о высшем образовании, следует особо отметить, что в Университ</w:t>
      </w:r>
      <w:r>
        <w:t>е</w:t>
      </w:r>
      <w:r>
        <w:t>те Рафаэля Ландивара реализуется программа подготовки специалистов по ге</w:t>
      </w:r>
      <w:r>
        <w:t>н</w:t>
      </w:r>
      <w:r>
        <w:t>дерной проблематике с участием гватемальских и зарубежных преподавателей.</w:t>
      </w:r>
    </w:p>
    <w:p w:rsidR="00000000" w:rsidRDefault="00000000">
      <w:pPr>
        <w:pStyle w:val="SingleTxt"/>
      </w:pPr>
      <w:r>
        <w:tab/>
        <w:t>Секретариат по делам женщин заключил соглашение с Институтом гос</w:t>
      </w:r>
      <w:r>
        <w:t>у</w:t>
      </w:r>
      <w:r>
        <w:t>дарственного управления (ИНАП) об организации для служащих органов гос</w:t>
      </w:r>
      <w:r>
        <w:t>у</w:t>
      </w:r>
      <w:r>
        <w:t>дарственного управления курсов по гендерной пр</w:t>
      </w:r>
      <w:r>
        <w:t>о</w:t>
      </w:r>
      <w:r>
        <w:t>блематике.</w:t>
      </w:r>
    </w:p>
    <w:p w:rsidR="00000000" w:rsidRDefault="00000000">
      <w:pPr>
        <w:pStyle w:val="SingleTxt"/>
      </w:pPr>
      <w:r>
        <w:tab/>
        <w:t>При университете Сан-Карлос-де-Гватемала действует Комиссия по делам женщин, занимающаяся работой по созданию университетского колледжа по проблемам женщин. На факультетах социальных исследований и сельского х</w:t>
      </w:r>
      <w:r>
        <w:t>о</w:t>
      </w:r>
      <w:r>
        <w:t>зяйства существует кафедра по проблемам женщин. Помимо этого, Генерал</w:t>
      </w:r>
      <w:r>
        <w:t>ь</w:t>
      </w:r>
      <w:r>
        <w:t>ное управление исследований работает над Программой исследований в сфере гендерной проблематики и провело исследования в области миграции женщин, проблем временных поселений, женщин с высшим образованием, обеспечения жильем вдов — жертв внутреннего вооруженного конфликта, влияния реализ</w:t>
      </w:r>
      <w:r>
        <w:t>а</w:t>
      </w:r>
      <w:r>
        <w:t>ции Мирных соглашений на положение женщин, условий для возвращения б</w:t>
      </w:r>
      <w:r>
        <w:t>е</w:t>
      </w:r>
      <w:r>
        <w:t>женцев, ситуации с местными властями,  участия женщин в политической жи</w:t>
      </w:r>
      <w:r>
        <w:t>з</w:t>
      </w:r>
      <w:r>
        <w:t>ни, насилие и т.д.</w:t>
      </w:r>
    </w:p>
    <w:p w:rsidR="00000000" w:rsidRDefault="00000000">
      <w:pPr>
        <w:pStyle w:val="SingleTxt"/>
      </w:pPr>
      <w:r>
        <w:tab/>
        <w:t>Следует упомянуть, что в августе 2001 года в Гватемале состоялся Лат</w:t>
      </w:r>
      <w:r>
        <w:t>и</w:t>
      </w:r>
      <w:r>
        <w:t>ноамериканский съезд женщин, в котором приняли участие женщины - специ</w:t>
      </w:r>
      <w:r>
        <w:t>а</w:t>
      </w:r>
      <w:r>
        <w:t>л</w:t>
      </w:r>
      <w:r>
        <w:t>и</w:t>
      </w:r>
      <w:r>
        <w:t>сты в области общественных наук со всей страны и континента.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Здравоохранение и проблема насилия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2.3.1</w:t>
      </w:r>
      <w:r>
        <w:tab/>
        <w:t>Здравоохранение</w:t>
      </w:r>
    </w:p>
    <w:p w:rsidR="00000000" w:rsidRDefault="00000000">
      <w:pPr>
        <w:pStyle w:val="SingleTxt"/>
        <w:spacing w:after="0" w:line="120" w:lineRule="exact"/>
        <w:rPr>
          <w:sz w:val="10"/>
        </w:rPr>
      </w:pPr>
    </w:p>
    <w:p w:rsidR="00000000" w:rsidRDefault="00000000">
      <w:pPr>
        <w:pStyle w:val="SingleTxt"/>
      </w:pPr>
      <w:r>
        <w:tab/>
        <w:t>Основная проблема в области здравоохранения Гватемалы связана с выс</w:t>
      </w:r>
      <w:r>
        <w:t>о</w:t>
      </w:r>
      <w:r>
        <w:t>ким уровнем нищеты в стране, поскольку многие заболевания могли бы быть своевременно предотвращены и возникают лишь вследствие недоедания, от к</w:t>
      </w:r>
      <w:r>
        <w:t>о</w:t>
      </w:r>
      <w:r>
        <w:t>торого страдает большая часть населения, в особенности дети. Кроме того, женщины более подвержены заболеваниям и имеют более высокий уровень ранней смертности ввиду своих репродуктивных функций и недостатка соо</w:t>
      </w:r>
      <w:r>
        <w:t>т</w:t>
      </w:r>
      <w:r>
        <w:t>ветствующего питания. Согласно показателям уровня истощения, в семьях, живущих в крайней нищете, 61,7 процента детей в возрасте до 5 лет страдают от хронического недоедания, в семьях, живущих за чертой бедности — 47,8 процента, и в более обеспеченных семьях — 25,1 процента. Это стало причиной разработки государством соответствующих мер, включенных в стр</w:t>
      </w:r>
      <w:r>
        <w:t>а</w:t>
      </w:r>
      <w:r>
        <w:t>тегию по борьбе с н</w:t>
      </w:r>
      <w:r>
        <w:t>и</w:t>
      </w:r>
      <w:r>
        <w:t>щетой</w:t>
      </w:r>
      <w:r>
        <w:rPr>
          <w:rStyle w:val="a"/>
        </w:rPr>
        <w:footnoteReference w:customMarkFollows="1" w:id="5"/>
        <w:t>3</w:t>
      </w:r>
      <w:r>
        <w:rPr>
          <w:rStyle w:val="a"/>
          <w:vertAlign w:val="baseline"/>
        </w:rPr>
        <w:t>.</w:t>
      </w:r>
    </w:p>
    <w:p w:rsidR="00000000" w:rsidRDefault="00000000">
      <w:pPr>
        <w:pStyle w:val="SingleTxt"/>
      </w:pPr>
      <w:r>
        <w:tab/>
        <w:t>В настоящее время благодаря принятию Закона о всестороннем улучш</w:t>
      </w:r>
      <w:r>
        <w:t>е</w:t>
      </w:r>
      <w:r>
        <w:t>нии положения женщин, а также недавнему принятию Закона о социальном развитии существует юридический инструмент для содействия осуществлению Национальной программы репродуктивного здоровья, реализуемой Министе</w:t>
      </w:r>
      <w:r>
        <w:t>р</w:t>
      </w:r>
      <w:r>
        <w:t>ством здравоохранения и социальной помощи.</w:t>
      </w:r>
    </w:p>
    <w:p w:rsidR="00000000" w:rsidRDefault="00000000">
      <w:pPr>
        <w:pStyle w:val="SingleTxt"/>
      </w:pPr>
      <w:r>
        <w:tab/>
        <w:t>Система учреждений здравоохранения Гватемалы состоит из учреждений и программ, находящихся в ведении: i) Министерства здравоохранения и соц</w:t>
      </w:r>
      <w:r>
        <w:t>и</w:t>
      </w:r>
      <w:r>
        <w:t>альной помощи (МСПАС), которое охватывает 32 процента населения, работ</w:t>
      </w:r>
      <w:r>
        <w:t>а</w:t>
      </w:r>
      <w:r>
        <w:t>ет с группами высокого социального и биологического риска и осуществляет мероприятия по охране здоровья населения. Оно отвечает за согласованную работу различных ведомств и располагает сетью медицинских учреждений</w:t>
      </w:r>
      <w:r>
        <w:rPr>
          <w:b/>
        </w:rPr>
        <w:t xml:space="preserve">, </w:t>
      </w:r>
      <w:r>
        <w:t>на содержание которых приходится около 40 процентов</w:t>
      </w:r>
      <w:r>
        <w:rPr>
          <w:b/>
        </w:rPr>
        <w:t xml:space="preserve"> </w:t>
      </w:r>
      <w:r>
        <w:t>общенациональных ра</w:t>
      </w:r>
      <w:r>
        <w:t>с</w:t>
      </w:r>
      <w:r>
        <w:t>ходов на здравоохранение; ii) Гватемальского института социального обеспеч</w:t>
      </w:r>
      <w:r>
        <w:t>е</w:t>
      </w:r>
      <w:r>
        <w:t>ния (ИГСС), который охватывает 25 процентов населения (в основном лица, занятые в организованном секторе экономики); его программа страхования от несчастных случаев распространяется на всех участников, однако программа оказания помощи в случае общих заболеваний и материнства ограничивается жителями столицы и нескольких департаментов; на содержание сети учрежд</w:t>
      </w:r>
      <w:r>
        <w:t>е</w:t>
      </w:r>
      <w:r>
        <w:t>ний ИГСС уходит около 30 процентов национальных расходов на здравоохр</w:t>
      </w:r>
      <w:r>
        <w:t>а</w:t>
      </w:r>
      <w:r>
        <w:t>нение; частного субсектора, состоящего из обширной сети частных клиник, больниц, аптек и лабораторий, охватывающих своими услугами 10 процентов населения и потребляющих 31 процент общенациональных расходов на здр</w:t>
      </w:r>
      <w:r>
        <w:t>а</w:t>
      </w:r>
      <w:r>
        <w:t>воохран</w:t>
      </w:r>
      <w:r>
        <w:t>е</w:t>
      </w:r>
      <w:r>
        <w:t>ние.</w:t>
      </w:r>
    </w:p>
    <w:p w:rsidR="00000000" w:rsidRDefault="00000000">
      <w:pPr>
        <w:pStyle w:val="SingleTxt"/>
      </w:pPr>
      <w:r>
        <w:tab/>
        <w:t>На период 1996–2000 годов Министерством здравоохранения и социал</w:t>
      </w:r>
      <w:r>
        <w:t>ь</w:t>
      </w:r>
      <w:r>
        <w:t>ной помощи была разработана национальная политика в сфере здравоохран</w:t>
      </w:r>
      <w:r>
        <w:t>е</w:t>
      </w:r>
      <w:r>
        <w:t>ния, включающая:</w:t>
      </w:r>
    </w:p>
    <w:p w:rsidR="00000000" w:rsidRDefault="00000000">
      <w:pPr>
        <w:pStyle w:val="SingleTxt"/>
        <w:tabs>
          <w:tab w:val="right" w:pos="1685"/>
        </w:tabs>
        <w:ind w:left="1742" w:hanging="475"/>
      </w:pPr>
      <w:r>
        <w:tab/>
        <w:t>•</w:t>
      </w:r>
      <w:r>
        <w:tab/>
        <w:t>реорганизацию, интеграцию и модернизацию данного сектора;</w:t>
      </w:r>
    </w:p>
    <w:p w:rsidR="00000000" w:rsidRDefault="00000000">
      <w:pPr>
        <w:pStyle w:val="SingleTxt"/>
        <w:tabs>
          <w:tab w:val="right" w:pos="1685"/>
        </w:tabs>
        <w:ind w:left="1742" w:hanging="475"/>
      </w:pPr>
      <w:r>
        <w:tab/>
        <w:t>•</w:t>
      </w:r>
      <w:r>
        <w:tab/>
        <w:t>расширение сферы охвата и повышение качества с упором на профила</w:t>
      </w:r>
      <w:r>
        <w:t>к</w:t>
      </w:r>
      <w:r>
        <w:t>тику и контроль в приоритетных областях;</w:t>
      </w:r>
    </w:p>
    <w:p w:rsidR="00000000" w:rsidRDefault="00000000">
      <w:pPr>
        <w:pStyle w:val="SingleTxt"/>
        <w:tabs>
          <w:tab w:val="right" w:pos="1685"/>
        </w:tabs>
        <w:ind w:left="1742" w:hanging="475"/>
      </w:pPr>
      <w:r>
        <w:tab/>
        <w:t>•</w:t>
      </w:r>
      <w:r>
        <w:tab/>
        <w:t>улучшение системы управления медицинскими учреждениями;</w:t>
      </w:r>
    </w:p>
    <w:p w:rsidR="00000000" w:rsidRDefault="00000000">
      <w:pPr>
        <w:pStyle w:val="SingleTxt"/>
        <w:tabs>
          <w:tab w:val="right" w:pos="1685"/>
        </w:tabs>
        <w:ind w:left="1742" w:hanging="475"/>
      </w:pPr>
      <w:r>
        <w:tab/>
        <w:t>•</w:t>
      </w:r>
      <w:r>
        <w:tab/>
        <w:t>охрана здоровья и окружающей среды;</w:t>
      </w:r>
    </w:p>
    <w:p w:rsidR="00000000" w:rsidRDefault="00000000">
      <w:pPr>
        <w:pStyle w:val="SingleTxt"/>
        <w:tabs>
          <w:tab w:val="right" w:pos="1685"/>
        </w:tabs>
        <w:ind w:left="1742" w:hanging="475"/>
      </w:pPr>
      <w:r>
        <w:tab/>
        <w:t>•</w:t>
      </w:r>
      <w:r>
        <w:tab/>
        <w:t>расширение системы водоснабжения и повышение качества воды, разв</w:t>
      </w:r>
      <w:r>
        <w:t>и</w:t>
      </w:r>
      <w:r>
        <w:t>тия канализацио</w:t>
      </w:r>
      <w:r>
        <w:t>н</w:t>
      </w:r>
      <w:r>
        <w:t>ных систем в сельских районах; а также</w:t>
      </w:r>
    </w:p>
    <w:p w:rsidR="00000000" w:rsidRDefault="00000000">
      <w:pPr>
        <w:pStyle w:val="SingleTxt"/>
        <w:tabs>
          <w:tab w:val="right" w:pos="1685"/>
        </w:tabs>
        <w:ind w:left="1742" w:hanging="475"/>
      </w:pPr>
      <w:r>
        <w:tab/>
        <w:t>•</w:t>
      </w:r>
      <w:r>
        <w:tab/>
        <w:t>развитие людских ресурсов.</w:t>
      </w:r>
    </w:p>
    <w:p w:rsidR="00000000" w:rsidRDefault="00000000">
      <w:pPr>
        <w:pStyle w:val="SingleTxt"/>
      </w:pPr>
      <w:r>
        <w:tab/>
        <w:t>В последние годы происходит расширение охвата населения первичным медицинским обслуживанием при росте в 15 процентов с 1998 по 1999 год и 16 процентов с 1999 по 2000 год. Охват услуг по гигиене беременных женщин с 1998 по 1999 год в относительном выражении был следующим: услугами врача пользовалось 47,5 процента населения, акушерки — 26,7 процента, ме</w:t>
      </w:r>
      <w:r>
        <w:t>д</w:t>
      </w:r>
      <w:r>
        <w:t>сестры — 12,1 процента и не пользовались услугами здравоохранения 13,2 процента</w:t>
      </w:r>
      <w:r>
        <w:rPr>
          <w:rStyle w:val="a"/>
        </w:rPr>
        <w:footnoteReference w:customMarkFollows="1" w:id="6"/>
        <w:t>4</w:t>
      </w:r>
      <w:r>
        <w:t>, что вызывает наибольшее бе</w:t>
      </w:r>
      <w:r>
        <w:t>с</w:t>
      </w:r>
      <w:r>
        <w:t>покойство.</w:t>
      </w:r>
    </w:p>
    <w:p w:rsidR="00000000" w:rsidRDefault="00000000">
      <w:pPr>
        <w:pStyle w:val="SingleTxt"/>
      </w:pPr>
      <w:r>
        <w:tab/>
        <w:t>В настоящее время при разработке политики в сфере охраны женского здоровья упор делается на охрану здоровья беременных женщин, приоритет отдается оказанию поддержки учреждениям, оказывающим медицинские усл</w:t>
      </w:r>
      <w:r>
        <w:t>у</w:t>
      </w:r>
      <w:r>
        <w:t>ги женщинам, исходя из того, что существует большой риск материнской смертности во время родов и послеродовых схваток.</w:t>
      </w:r>
    </w:p>
    <w:p w:rsidR="00000000" w:rsidRDefault="00000000">
      <w:pPr>
        <w:pStyle w:val="SingleTxt"/>
      </w:pPr>
      <w:r>
        <w:tab/>
        <w:t>Согласно исследованиям, основными причинами материнской заболева</w:t>
      </w:r>
      <w:r>
        <w:t>е</w:t>
      </w:r>
      <w:r>
        <w:t>мости являются: анемия — 12,5 процента, инфекция мочевыводящих путей - 11,7 процента, инфекции дыхательных путей — 7 процентов, заболевания п</w:t>
      </w:r>
      <w:r>
        <w:t>и</w:t>
      </w:r>
      <w:r>
        <w:t>щеварительной системы — 3,3 процента и другие причины — 62,6 процента; причинами материнской смертности являются: задержание плаценты детского места — 22,2 процента, гиповолический шок — 12,6 процента, послеродовое кровотечение — 10,8 процента, послеродовой сепсис — 8,4 процента и другие пр</w:t>
      </w:r>
      <w:r>
        <w:t>и</w:t>
      </w:r>
      <w:r>
        <w:t>чины — 46,1 процента.</w:t>
      </w:r>
    </w:p>
    <w:p w:rsidR="00000000" w:rsidRDefault="00000000">
      <w:pPr>
        <w:pStyle w:val="SingleTxt"/>
      </w:pPr>
      <w:r>
        <w:t>По данным МСПАС, В 2000 году было зарегистрировано 382 717 новорожде</w:t>
      </w:r>
      <w:r>
        <w:t>н</w:t>
      </w:r>
      <w:r>
        <w:t>ных, из которых на каждые 100 девочек приходилось 103 мальчика, причем в 75,3 процентах случаев роды происходили в доме матери, в 19,8 процентах случаев — в больнице и в 4,3 процентах — в других медицинских учрежден</w:t>
      </w:r>
      <w:r>
        <w:t>и</w:t>
      </w:r>
      <w:r>
        <w:t>ях, а в 0,7 процентах случаев — на улице. 61,0 процента родов принимались акушерками, 23,7 процента — врачами, 10,9 процента — повивальными бабк</w:t>
      </w:r>
      <w:r>
        <w:t>а</w:t>
      </w:r>
      <w:r>
        <w:t>ми, без медицинского наблюдения происходило 4,4 процента всех родов, из к</w:t>
      </w:r>
      <w:r>
        <w:t>о</w:t>
      </w:r>
      <w:r>
        <w:t>торых в 4,7 процента случаев было сделано кесарево сечение. На общенаци</w:t>
      </w:r>
      <w:r>
        <w:t>о</w:t>
      </w:r>
      <w:r>
        <w:t>нальном уро</w:t>
      </w:r>
      <w:r>
        <w:t>в</w:t>
      </w:r>
      <w:r>
        <w:t>не 21 процент всех родов приходился на женщин младше 20 лет.</w:t>
      </w:r>
    </w:p>
    <w:p w:rsidR="00000000" w:rsidRDefault="00000000">
      <w:pPr>
        <w:pStyle w:val="SingleTxt"/>
      </w:pPr>
      <w:r>
        <w:tab/>
        <w:t>Отмечается недостаток данных о количестве абортов вследствие отсутс</w:t>
      </w:r>
      <w:r>
        <w:t>т</w:t>
      </w:r>
      <w:r>
        <w:t>вия должного учета, а также вследствие того, что они производятся вне рамок Единой системы здравоохранения. По данным за 2000 год, количество абортов составляло 10 765, причем 33,5 процента из них приходилось на департамент Гват</w:t>
      </w:r>
      <w:r>
        <w:t>е</w:t>
      </w:r>
      <w:r>
        <w:t>мала.</w:t>
      </w:r>
    </w:p>
    <w:p w:rsidR="00000000" w:rsidRDefault="00000000">
      <w:pPr>
        <w:pStyle w:val="SingleTxt"/>
      </w:pPr>
      <w:r>
        <w:tab/>
        <w:t>С целью оказания помощи женщинам принято решение о том, что каждая беременная женщина должна бесплатно получать в учреждениях здравоохр</w:t>
      </w:r>
      <w:r>
        <w:t>а</w:t>
      </w:r>
      <w:r>
        <w:t>нения поливитамины, железный купорос и фолиевую кислоту на протяжении всего периода беременности, а в идеальном варианте — и в послеродовый п</w:t>
      </w:r>
      <w:r>
        <w:t>е</w:t>
      </w:r>
      <w:r>
        <w:t>риод во время обращения в учреждения здравоохранения, при наличии соо</w:t>
      </w:r>
      <w:r>
        <w:t>т</w:t>
      </w:r>
      <w:r>
        <w:t>ветствующих запасов данных препар</w:t>
      </w:r>
      <w:r>
        <w:t>а</w:t>
      </w:r>
      <w:r>
        <w:t>тов</w:t>
      </w:r>
      <w:r>
        <w:rPr>
          <w:rStyle w:val="a"/>
        </w:rPr>
        <w:footnoteReference w:customMarkFollows="1" w:id="7"/>
        <w:t>5</w:t>
      </w:r>
      <w:r>
        <w:t>.</w:t>
      </w:r>
    </w:p>
    <w:p w:rsidR="00000000" w:rsidRDefault="00000000">
      <w:pPr>
        <w:pStyle w:val="SingleTxt"/>
      </w:pPr>
      <w:r>
        <w:tab/>
        <w:t>В отношении планирования семьи, численность лиц, использующих к</w:t>
      </w:r>
      <w:r>
        <w:t>а</w:t>
      </w:r>
      <w:r>
        <w:t>кой-либо из методов планирования, составила в 1999 году 98 876 человек, из которых 54,2 процента предохранялись с помощью инъекций, 25,7 процента с помощью таблеток и 2 процента с помощью внутриматочных противозачато</w:t>
      </w:r>
      <w:r>
        <w:t>ч</w:t>
      </w:r>
      <w:r>
        <w:t>ных устройств, презервативами пользовались 17,8 процента, общее число п</w:t>
      </w:r>
      <w:r>
        <w:t>о</w:t>
      </w:r>
      <w:r>
        <w:t>вторных консультаций за тот же период составило 173 155. В 2000 году число пользующихся методами планирования семьи составило 100 742 человека, из них 50 процентов использовали метод  инъекций, 31,4 процента — таблетки и 2,1 процента — внутриматочные противозачаточные устройства, 16,6</w:t>
      </w:r>
      <w:r>
        <w:rPr>
          <w:lang w:val="en-US"/>
        </w:rPr>
        <w:t xml:space="preserve"> </w:t>
      </w:r>
      <w:r>
        <w:t>проце</w:t>
      </w:r>
      <w:r>
        <w:t>н</w:t>
      </w:r>
      <w:r>
        <w:t>тов пользуются презервативами, общее количество повторных консультаций составляло 205 647.</w:t>
      </w:r>
    </w:p>
    <w:p w:rsidR="00000000" w:rsidRDefault="00000000">
      <w:pPr>
        <w:pStyle w:val="SingleTxt"/>
      </w:pPr>
      <w:r>
        <w:tab/>
        <w:t>В 1999 году было зарегистрировано 4080 случаев хирургического вмеш</w:t>
      </w:r>
      <w:r>
        <w:t>а</w:t>
      </w:r>
      <w:r>
        <w:t>тельства как противозачаточного средства, причем 95 процентов случаев пр</w:t>
      </w:r>
      <w:r>
        <w:t>и</w:t>
      </w:r>
      <w:r>
        <w:t>ходилось на женщин, а в 2000 году было зарегистрировано 5335 случае, пр</w:t>
      </w:r>
      <w:r>
        <w:t>и</w:t>
      </w:r>
      <w:r>
        <w:t>чем с преобладанием женщин — 94 процента, мужчины составили 6 проце</w:t>
      </w:r>
      <w:r>
        <w:t>н</w:t>
      </w:r>
      <w:r>
        <w:t>тов.</w:t>
      </w:r>
    </w:p>
    <w:p w:rsidR="00000000" w:rsidRDefault="00000000">
      <w:pPr>
        <w:pStyle w:val="SingleTxt"/>
      </w:pPr>
      <w:r>
        <w:tab/>
        <w:t>Женщины составляют 68,6 процента от общего числа лиц, зарегистрир</w:t>
      </w:r>
      <w:r>
        <w:t>о</w:t>
      </w:r>
      <w:r>
        <w:t>ванных в 2000 году, у которых были выявлены венерические заболевания. С диагнозом ВИЧ/СПИД в 1999 году 680 человек обратились к врачу в первый раз и 498 — повторно. В 2000 году было зарегистрировано 527 случаев первого обращения к врачу и 303 случая повторных обращений, из них 56,2 процента приходится на женщин, при этом более низкий показатель в 2000 году по сра</w:t>
      </w:r>
      <w:r>
        <w:t>в</w:t>
      </w:r>
      <w:r>
        <w:t>нению с 1999 году объясняется тем, что не все случаи были зарегистрированы в СИГСА</w:t>
      </w:r>
      <w:r>
        <w:rPr>
          <w:rStyle w:val="FootnoteReference"/>
        </w:rPr>
        <w:footnoteReference w:customMarkFollows="1" w:id="8"/>
        <w:t>6</w:t>
      </w:r>
      <w:r>
        <w:t>.</w:t>
      </w:r>
    </w:p>
    <w:p w:rsidR="00000000" w:rsidRDefault="00000000">
      <w:pPr>
        <w:pStyle w:val="SingleTxt"/>
      </w:pPr>
      <w:r>
        <w:tab/>
        <w:t>Постановлением № 977 от 29 августа 2001 года Министерством здрав</w:t>
      </w:r>
      <w:r>
        <w:t>о</w:t>
      </w:r>
      <w:r>
        <w:t>охранения и социальной помощи был учрежден Консультативный совет по в</w:t>
      </w:r>
      <w:r>
        <w:t>о</w:t>
      </w:r>
      <w:r>
        <w:t>просам женщин для координации различных программ министерства по обе</w:t>
      </w:r>
      <w:r>
        <w:t>с</w:t>
      </w:r>
      <w:r>
        <w:t>печению учета гендерной специфики во всех сферах деятельности, с целью п</w:t>
      </w:r>
      <w:r>
        <w:t>о</w:t>
      </w:r>
      <w:r>
        <w:t>ощрения более активного участия, оказание юридической помощи, а также для содействия децентрализации и деконцентрации медицинского обслуживания на основе гендерного подхода; в Совет вошли следующие управления:</w:t>
      </w:r>
    </w:p>
    <w:p w:rsidR="00000000" w:rsidRDefault="00000000">
      <w:pPr>
        <w:pStyle w:val="SingleTxt"/>
        <w:tabs>
          <w:tab w:val="right" w:pos="1685"/>
        </w:tabs>
        <w:ind w:left="1742" w:hanging="475"/>
      </w:pPr>
      <w:r>
        <w:tab/>
        <w:t>•</w:t>
      </w:r>
      <w:r>
        <w:tab/>
        <w:t>Главное управление по регулированию, мониторингу и контролю в сфере здр</w:t>
      </w:r>
      <w:r>
        <w:t>а</w:t>
      </w:r>
      <w:r>
        <w:t>воохранения, а также Программа репродуктивного здоровья;</w:t>
      </w:r>
    </w:p>
    <w:p w:rsidR="00000000" w:rsidRDefault="00000000">
      <w:pPr>
        <w:pStyle w:val="SingleTxt"/>
        <w:tabs>
          <w:tab w:val="right" w:pos="1685"/>
        </w:tabs>
        <w:ind w:left="1742" w:hanging="475"/>
      </w:pPr>
      <w:r>
        <w:tab/>
        <w:t>•</w:t>
      </w:r>
      <w:r>
        <w:tab/>
        <w:t>Программа комплексной охраны здоровья;</w:t>
      </w:r>
    </w:p>
    <w:p w:rsidR="00000000" w:rsidRDefault="00000000">
      <w:pPr>
        <w:pStyle w:val="SingleTxt"/>
        <w:tabs>
          <w:tab w:val="right" w:pos="1685"/>
        </w:tabs>
        <w:ind w:left="1742" w:hanging="475"/>
      </w:pPr>
      <w:r>
        <w:tab/>
        <w:t>•</w:t>
      </w:r>
      <w:r>
        <w:tab/>
        <w:t>Программа охраны психического здоровья;</w:t>
      </w:r>
    </w:p>
    <w:p w:rsidR="00000000" w:rsidRDefault="00000000">
      <w:pPr>
        <w:pStyle w:val="SingleTxt"/>
        <w:tabs>
          <w:tab w:val="right" w:pos="1685"/>
        </w:tabs>
        <w:ind w:left="1742" w:hanging="475"/>
      </w:pPr>
      <w:r>
        <w:tab/>
        <w:t>•</w:t>
      </w:r>
      <w:r>
        <w:tab/>
        <w:t>Программа по обеспечению безопасности пищевых продуктов;</w:t>
      </w:r>
    </w:p>
    <w:p w:rsidR="00000000" w:rsidRDefault="00000000">
      <w:pPr>
        <w:pStyle w:val="SingleTxt"/>
        <w:tabs>
          <w:tab w:val="right" w:pos="1685"/>
        </w:tabs>
        <w:ind w:left="1742" w:hanging="475"/>
      </w:pPr>
      <w:r>
        <w:tab/>
        <w:t>•</w:t>
      </w:r>
      <w:r>
        <w:tab/>
        <w:t>Программа борьбы с венерическими заболеваниями ВИЧ/СПИД.</w:t>
      </w:r>
    </w:p>
    <w:p w:rsidR="00000000" w:rsidRDefault="00000000">
      <w:pPr>
        <w:pStyle w:val="SingleTxt"/>
      </w:pPr>
      <w:r>
        <w:tab/>
        <w:t>Проституция не квалифицируется в уголовном кодексе как преступление, преступлением считается только торговля людьми и сутенерство. Существует нелегальная и легальная проституция. В последнем случае необходима регис</w:t>
      </w:r>
      <w:r>
        <w:t>т</w:t>
      </w:r>
      <w:r>
        <w:t>р</w:t>
      </w:r>
      <w:r>
        <w:t>а</w:t>
      </w:r>
      <w:r>
        <w:t>ция, в 1999 году было зарегистрировано 3803 случая выдачи лицензии</w:t>
      </w:r>
      <w:r>
        <w:rPr>
          <w:rStyle w:val="FootnoteReference"/>
        </w:rPr>
        <w:footnoteReference w:customMarkFollows="1" w:id="9"/>
        <w:t>7</w:t>
      </w:r>
      <w:r>
        <w:t>.</w:t>
      </w:r>
    </w:p>
    <w:p w:rsidR="00000000" w:rsidRDefault="00000000">
      <w:pPr>
        <w:pStyle w:val="SingleTxt"/>
      </w:pPr>
      <w:r>
        <w:tab/>
        <w:t>В Национальный совет ликвидации безграмотности (КОНАЛФА) было представлено методологическое предложение, направленной на ознакомление женщин с проблемами репродуктивного здоровья. С КОНАЛФА было подпис</w:t>
      </w:r>
      <w:r>
        <w:t>а</w:t>
      </w:r>
      <w:r>
        <w:t>но соответствующее соглашение, реализация которого предполагается в 2003 году.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2.3.2</w:t>
      </w:r>
      <w:r>
        <w:tab/>
        <w:t>Деятельность по искоренению насилия</w:t>
      </w:r>
    </w:p>
    <w:p w:rsidR="00000000" w:rsidRDefault="00000000">
      <w:pPr>
        <w:pStyle w:val="SingleTxt"/>
        <w:spacing w:after="0" w:line="120" w:lineRule="exact"/>
        <w:rPr>
          <w:sz w:val="10"/>
        </w:rPr>
      </w:pPr>
    </w:p>
    <w:p w:rsidR="00000000" w:rsidRDefault="00000000">
      <w:pPr>
        <w:pStyle w:val="SingleTxt"/>
      </w:pPr>
      <w:r>
        <w:tab/>
        <w:t>На Секретариат по вопросам женщин возложена, в рамках национальной политики в области улучшения положения женщин в Гватемале, Плана обесп</w:t>
      </w:r>
      <w:r>
        <w:t>е</w:t>
      </w:r>
      <w:r>
        <w:t>чения равных возможностей на 2001–2006 годы и Конвенции Белем-до-Пара, координация межведомственной и межотраслевой деятельности по предотвр</w:t>
      </w:r>
      <w:r>
        <w:t>а</w:t>
      </w:r>
      <w:r>
        <w:t>щению насилия в отношении женщин. Успешное выполнение поставленных задач зависит от усилий по трем направлениям: 1) правосудие, 2) оказание п</w:t>
      </w:r>
      <w:r>
        <w:t>о</w:t>
      </w:r>
      <w:r>
        <w:t>мощи, и 3) гражданское общество.</w:t>
      </w:r>
    </w:p>
    <w:p w:rsidR="00000000" w:rsidRDefault="00000000">
      <w:pPr>
        <w:pStyle w:val="SingleTxt"/>
      </w:pPr>
      <w:r>
        <w:rPr>
          <w:b/>
        </w:rPr>
        <w:tab/>
      </w:r>
      <w:r>
        <w:t>Как правительство, так и неправительственные организации иницииров</w:t>
      </w:r>
      <w:r>
        <w:t>а</w:t>
      </w:r>
      <w:r>
        <w:t>ли ряд программ по предоставлению убежища и оказанию психологической и юридической женщинам, ставшим жертвами насилия. Несмотря на принятые меры, все еще велико число женщин, которые подвергаются насилию и скр</w:t>
      </w:r>
      <w:r>
        <w:t>ы</w:t>
      </w:r>
      <w:r>
        <w:t>вают это из страха. Предполагается, что их число будет постепенно сокращат</w:t>
      </w:r>
      <w:r>
        <w:t>ь</w:t>
      </w:r>
      <w:r>
        <w:t>ся, по мере того как будет расти их сознание собственных прав и стремление заручиться поддержкой в противодействии насилию и жест</w:t>
      </w:r>
      <w:r>
        <w:t>о</w:t>
      </w:r>
      <w:r>
        <w:t>кому обращению.</w:t>
      </w:r>
    </w:p>
    <w:p w:rsidR="00000000" w:rsidRDefault="00000000">
      <w:pPr>
        <w:pStyle w:val="SingleTxt"/>
      </w:pPr>
      <w:r>
        <w:tab/>
        <w:t>Была учреждена Национальная координационная комиссия по предотвр</w:t>
      </w:r>
      <w:r>
        <w:t>а</w:t>
      </w:r>
      <w:r>
        <w:t>щению насилия в семье и в отношении женщин (КОНАПРЕВИ), перед которой стоит задача активизировать процесс принятия государством мер, направле</w:t>
      </w:r>
      <w:r>
        <w:t>н</w:t>
      </w:r>
      <w:r>
        <w:t>ных на предотвращение и искоренение насилия в семье и в отношении же</w:t>
      </w:r>
      <w:r>
        <w:t>н</w:t>
      </w:r>
      <w:r>
        <w:t>щин, 5 января 2001 года члены Комиссии были приведены к присяге.</w:t>
      </w:r>
    </w:p>
    <w:p w:rsidR="00000000" w:rsidRDefault="00000000">
      <w:pPr>
        <w:pStyle w:val="SingleTxt"/>
      </w:pPr>
      <w:r>
        <w:tab/>
        <w:t>В состав Комиссии вошли три представителя «Сети против насилия», один представитель Судебного управления, Генеральной прокуратуры респу</w:t>
      </w:r>
      <w:r>
        <w:t>б</w:t>
      </w:r>
      <w:r>
        <w:t>лики, одна представительница CОСЕП</w:t>
      </w:r>
      <w:r>
        <w:noBreakHyphen/>
        <w:t>ПРОПЕВИ, а также президент респу</w:t>
      </w:r>
      <w:r>
        <w:t>б</w:t>
      </w:r>
      <w:r>
        <w:t>лики, представленный Секретариатом по вопросам женщин при президенте.</w:t>
      </w:r>
    </w:p>
    <w:p w:rsidR="00000000" w:rsidRDefault="00000000">
      <w:pPr>
        <w:pStyle w:val="SingleTxt"/>
      </w:pPr>
      <w:r>
        <w:tab/>
        <w:t>Отделению по делам женщин прокуратуры поручено проведение следс</w:t>
      </w:r>
      <w:r>
        <w:t>т</w:t>
      </w:r>
      <w:r>
        <w:t>венных действий и судопроизводства по делам, в которых женщины фигур</w:t>
      </w:r>
      <w:r>
        <w:t>и</w:t>
      </w:r>
      <w:r>
        <w:t>руют в качестве жертвы или подозреваемой. Прокуратура ведет судебные ра</w:t>
      </w:r>
      <w:r>
        <w:t>з</w:t>
      </w:r>
      <w:r>
        <w:t>бирательства по тем делам, в которых замешана одна или несколько женщин или которые затрагивают ее как женщину, вне зависимости от того, является она пострадавшей или обвиняемой, а также оказывает юридическую, психол</w:t>
      </w:r>
      <w:r>
        <w:t>о</w:t>
      </w:r>
      <w:r>
        <w:t>гическую, социальную и медицинскую помощь жертвам через службу судебной м</w:t>
      </w:r>
      <w:r>
        <w:t>е</w:t>
      </w:r>
      <w:r>
        <w:t>дицины.</w:t>
      </w:r>
    </w:p>
    <w:p w:rsidR="00000000" w:rsidRDefault="00000000">
      <w:pPr>
        <w:pStyle w:val="SingleTxt"/>
      </w:pPr>
      <w:r>
        <w:tab/>
        <w:t>В целях предотвращения и искоренения случаев сексуального домог</w:t>
      </w:r>
      <w:r>
        <w:t>а</w:t>
      </w:r>
      <w:r>
        <w:t>тельства было учреждено несколько органов как при государственных учре</w:t>
      </w:r>
      <w:r>
        <w:t>ж</w:t>
      </w:r>
      <w:r>
        <w:t>дениях по защите прав человека и отделений по делам женщин, так и при н</w:t>
      </w:r>
      <w:r>
        <w:t>е</w:t>
      </w:r>
      <w:r>
        <w:t>правительственных организациях, которые занимаются регистрацией и оказ</w:t>
      </w:r>
      <w:r>
        <w:t>а</w:t>
      </w:r>
      <w:r>
        <w:t>нием помощи пострадавшим. Помимо данных мер, была также разработана программа профессиональной подготовки государственных служащих в целях содействия борьбе за ликвидацию насилия в отношении же</w:t>
      </w:r>
      <w:r>
        <w:t>н</w:t>
      </w:r>
      <w:r>
        <w:t>щин.</w:t>
      </w:r>
    </w:p>
    <w:p w:rsidR="00000000" w:rsidRDefault="00000000">
      <w:pPr>
        <w:pStyle w:val="SingleTxt"/>
      </w:pPr>
      <w:r>
        <w:tab/>
        <w:t>В соответствии с правительственным Постановлением 929</w:t>
      </w:r>
      <w:r>
        <w:noBreakHyphen/>
        <w:t>99, была ра</w:t>
      </w:r>
      <w:r>
        <w:t>з</w:t>
      </w:r>
      <w:r>
        <w:t>работана Программа по предотвращению и искоренению насилия в семье, з</w:t>
      </w:r>
      <w:r>
        <w:t>а</w:t>
      </w:r>
      <w:r>
        <w:t>дача которой сводится к следующему: содействовать разработке и претворению в жизнь государственной политики, направленной на ликвидацию насилия в семье, а также на профессиональную подготовку государственных служащих в этой сфере.</w:t>
      </w:r>
    </w:p>
    <w:p w:rsidR="00000000" w:rsidRDefault="00000000">
      <w:pPr>
        <w:pStyle w:val="SingleTxt"/>
      </w:pPr>
      <w:r>
        <w:tab/>
        <w:t>В целях оказания помощи конкретным слоям населения, в соответствии с правительственным Постановлением 525</w:t>
      </w:r>
      <w:r>
        <w:noBreakHyphen/>
        <w:t>99, было создано Управление по з</w:t>
      </w:r>
      <w:r>
        <w:t>а</w:t>
      </w:r>
      <w:r>
        <w:t>щите прав женщин - представительниц коренного населения (ДЕМИ), которое в июле 1999 года было передано в ведение Координационной комиссии по п</w:t>
      </w:r>
      <w:r>
        <w:t>о</w:t>
      </w:r>
      <w:r>
        <w:t>литике исполнительной власти в области прав человека при президенте ре</w:t>
      </w:r>
      <w:r>
        <w:t>с</w:t>
      </w:r>
      <w:r>
        <w:t>публики (КОПРЕДЕ), в рамках Мирных соглашений, в частности Соглашения о самобытности и правах коренных народов. ДЕМИ обладает «… администр</w:t>
      </w:r>
      <w:r>
        <w:t>а</w:t>
      </w:r>
      <w:r>
        <w:t>тивными, техническими и финансовыми возможностями, возможностью дейс</w:t>
      </w:r>
      <w:r>
        <w:t>т</w:t>
      </w:r>
      <w:r>
        <w:t>вия в конкретных случаях, когда представительницы коренного населения ок</w:t>
      </w:r>
      <w:r>
        <w:t>а</w:t>
      </w:r>
      <w:r>
        <w:t>зывают уязвимы, беззащитны и подвергаются дискримин</w:t>
      </w:r>
      <w:r>
        <w:t>а</w:t>
      </w:r>
      <w:r>
        <w:t>ции».</w:t>
      </w:r>
    </w:p>
    <w:p w:rsidR="00000000" w:rsidRDefault="00000000">
      <w:pPr>
        <w:pStyle w:val="SingleTxt"/>
      </w:pPr>
      <w:r>
        <w:tab/>
        <w:t>В рамках возлагаемых на него задач и функций Управление защиты прав женщин — представительниц коренного населения занимается разработкой мер государственной политики и проектов, направленных на предотвращение и ликвидацию дискриминации и нарушения прав представительниц коренного населения, при взаимодействии с Координационной комиссией по политике исполнительной власти в области прав человека при президенте республики (КОПРЕДЕ).</w:t>
      </w:r>
    </w:p>
    <w:p w:rsidR="00000000" w:rsidRDefault="00000000">
      <w:pPr>
        <w:pStyle w:val="SingleTxt"/>
      </w:pPr>
      <w:r>
        <w:tab/>
        <w:t>КОПРЕДЕ предоставляет юридическую помощь представительницам к</w:t>
      </w:r>
      <w:r>
        <w:t>о</w:t>
      </w:r>
      <w:r>
        <w:t>ренного населения, ставшим жертвами насилия, дискриминации и иных прав</w:t>
      </w:r>
      <w:r>
        <w:t>о</w:t>
      </w:r>
      <w:r>
        <w:t>нарушений; оказывает социальную помощь пострадавшим, а также занимается профессиональной подготовкой и пропагандистской деятельностью в области защиты прав женщин — представительниц коренного населения. Ведется раб</w:t>
      </w:r>
      <w:r>
        <w:t>о</w:t>
      </w:r>
      <w:r>
        <w:t>та в рамках проекта диагностических исследований положения женщин — представительниц коренного населения в департаментах Эль-Киче и Альта-Верапас, кроме того намечено открытие подобных отделений в тех округах, где более выс</w:t>
      </w:r>
      <w:r>
        <w:t>о</w:t>
      </w:r>
      <w:r>
        <w:t>кое процентное отношение коренного населения.</w:t>
      </w:r>
    </w:p>
    <w:p w:rsidR="00000000" w:rsidRDefault="00000000">
      <w:pPr>
        <w:pStyle w:val="SingleTxt"/>
      </w:pPr>
      <w:r>
        <w:tab/>
        <w:t>Согласно Управлению защиты прав женщин — представительниц коре</w:t>
      </w:r>
      <w:r>
        <w:t>н</w:t>
      </w:r>
      <w:r>
        <w:t>ного населения, отдельные случаи проявления населения в отношении женщин считаются культурной нормой, и в этом случае свед</w:t>
      </w:r>
      <w:r>
        <w:t>е</w:t>
      </w:r>
      <w:r>
        <w:t>ния у них отсутствуют.</w:t>
      </w:r>
    </w:p>
    <w:p w:rsidR="00000000" w:rsidRDefault="00000000">
      <w:pPr>
        <w:pStyle w:val="SingleTxt"/>
      </w:pPr>
      <w:r>
        <w:tab/>
        <w:t>Как правительственные органы, так и институты гражданского общества выступили с рядом законодательных инициатив и предложений по внесению поправок в уголовный кодекс в связи с признанием насилия в отношении же</w:t>
      </w:r>
      <w:r>
        <w:t>н</w:t>
      </w:r>
      <w:r>
        <w:t>щин уголовно наказуемым. Такие организации по делам женщин, как Ассоци</w:t>
      </w:r>
      <w:r>
        <w:t>а</w:t>
      </w:r>
      <w:r>
        <w:t>ция женщин «За дальнейшее развитие», Центр исследований, профессионал</w:t>
      </w:r>
      <w:r>
        <w:t>ь</w:t>
      </w:r>
      <w:r>
        <w:t>ной подготовки и содействия улучшению положения женщин, Совет женщин майя по содействию всестороннему развитию, которые объединили свои ус</w:t>
      </w:r>
      <w:r>
        <w:t>и</w:t>
      </w:r>
      <w:r>
        <w:t>лия в целях реализации «Проекта по борьбе с насилием в отношении женщин» на основе обязательств, принятых в ходе Международной конференции по пр</w:t>
      </w:r>
      <w:r>
        <w:t>а</w:t>
      </w:r>
      <w:r>
        <w:t>вам человека, Межамериканской конвенции о предупреждении, наказании и искоренении насилия в отношении женщин и Конвенции о ликвидации всех форм дискриминации в отношении женщин.</w:t>
      </w:r>
    </w:p>
    <w:p w:rsidR="00000000" w:rsidRDefault="00000000">
      <w:pPr>
        <w:pStyle w:val="SingleTxt"/>
      </w:pPr>
      <w:r>
        <w:tab/>
        <w:t>В целях установления новых правовых норм, признающих сексуальные домогательства, насилие в семье и дискриминацию по национальному и пол</w:t>
      </w:r>
      <w:r>
        <w:t>о</w:t>
      </w:r>
      <w:r>
        <w:t>вому признаку в качестве общественно опасных деяний, в Уголовный кодекс, в соответствии с Указом № 17</w:t>
      </w:r>
      <w:r>
        <w:noBreakHyphen/>
        <w:t>73 Конгресса республики, были внесены следу</w:t>
      </w:r>
      <w:r>
        <w:t>ю</w:t>
      </w:r>
      <w:r>
        <w:t>щие изменения.</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Поправки к Уголовному кодексу</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В соответствии с поправкой к статье 106 Уголовного кодекса, касающейся освобождения от наказания на основании ходатайства потерпевшей, в т</w:t>
      </w:r>
      <w:r>
        <w:t>а</w:t>
      </w:r>
      <w:r>
        <w:t>ком ходатайстве, направленном законными представителями несоверше</w:t>
      </w:r>
      <w:r>
        <w:t>н</w:t>
      </w:r>
      <w:r>
        <w:t>нолетней, суд отказывает и постановляет продолжить рассмотрение дела в суде или отбытие наказания, кроме того, освобождение от наказания не допускается в случае изнасилования, изнасилования несовершенноле</w:t>
      </w:r>
      <w:r>
        <w:t>т</w:t>
      </w:r>
      <w:r>
        <w:t>них, совершения развратных действий и п</w:t>
      </w:r>
      <w:r>
        <w:t>о</w:t>
      </w:r>
      <w:r>
        <w:t>хищения.</w:t>
      </w:r>
    </w:p>
    <w:p w:rsidR="00000000" w:rsidRDefault="00000000">
      <w:pPr>
        <w:pStyle w:val="SingleTxt"/>
        <w:tabs>
          <w:tab w:val="right" w:pos="1685"/>
        </w:tabs>
        <w:ind w:left="1742" w:hanging="475"/>
      </w:pPr>
      <w:r>
        <w:tab/>
        <w:t>•</w:t>
      </w:r>
      <w:r>
        <w:tab/>
        <w:t>Изменение заголовка главы V раздела I второго тома Уголовного кодекса «Причинение вреда здоровью» на «О причинении вреда здоровью и нас</w:t>
      </w:r>
      <w:r>
        <w:t>и</w:t>
      </w:r>
      <w:r>
        <w:t>лии в семье», учитывая тот факт, что насилие в семье является формой а</w:t>
      </w:r>
      <w:r>
        <w:t>г</w:t>
      </w:r>
      <w:r>
        <w:t>рессии мужчин в отношении женщин, в то время как телесные поврежд</w:t>
      </w:r>
      <w:r>
        <w:t>е</w:t>
      </w:r>
      <w:r>
        <w:t>ния ранее были наказуемы и квалифицированы как проявление агрессии непосредственно между мужч</w:t>
      </w:r>
      <w:r>
        <w:t>и</w:t>
      </w:r>
      <w:r>
        <w:t>нами.</w:t>
      </w:r>
    </w:p>
    <w:p w:rsidR="00000000" w:rsidRDefault="00000000">
      <w:pPr>
        <w:pStyle w:val="SingleTxt"/>
        <w:tabs>
          <w:tab w:val="right" w:pos="1685"/>
        </w:tabs>
        <w:ind w:left="1742" w:hanging="475"/>
      </w:pPr>
      <w:r>
        <w:tab/>
        <w:t>•</w:t>
      </w:r>
      <w:r>
        <w:tab/>
        <w:t>Добавлена статья 146</w:t>
      </w:r>
      <w:r>
        <w:noBreakHyphen/>
        <w:t>бис, в которой вводится понятие насилия в семье как преступления: в целях защиты прав женщин, несовершеннолетних и достигших совершеннолетия детей необходимо установить уголовную о</w:t>
      </w:r>
      <w:r>
        <w:t>т</w:t>
      </w:r>
      <w:r>
        <w:t>ветственность за совершение в отношении них насильственных действий.</w:t>
      </w:r>
    </w:p>
    <w:p w:rsidR="00000000" w:rsidRDefault="00000000">
      <w:pPr>
        <w:pStyle w:val="SingleTxt"/>
        <w:tabs>
          <w:tab w:val="right" w:pos="1685"/>
        </w:tabs>
        <w:ind w:left="1742" w:hanging="475"/>
      </w:pPr>
      <w:r>
        <w:tab/>
        <w:t>•</w:t>
      </w:r>
      <w:r>
        <w:tab/>
        <w:t>Действующий Уголовный кодекс предусматривает привлечение лиц к уг</w:t>
      </w:r>
      <w:r>
        <w:t>о</w:t>
      </w:r>
      <w:r>
        <w:t>ловной ответственности за преступное посягательство на половую своб</w:t>
      </w:r>
      <w:r>
        <w:t>о</w:t>
      </w:r>
      <w:r>
        <w:t>ду, половую неприкосновенность и целомудрие; однако необходимо ра</w:t>
      </w:r>
      <w:r>
        <w:t>с</w:t>
      </w:r>
      <w:r>
        <w:t>ширить трактовку прав на защиту в соответствии со статьями 3 и 4 Ко</w:t>
      </w:r>
      <w:r>
        <w:t>н</w:t>
      </w:r>
      <w:r>
        <w:t>ституции.</w:t>
      </w:r>
    </w:p>
    <w:p w:rsidR="00000000" w:rsidRDefault="00000000">
      <w:pPr>
        <w:pStyle w:val="SingleTxt"/>
        <w:tabs>
          <w:tab w:val="right" w:pos="1685"/>
        </w:tabs>
        <w:ind w:left="1742" w:hanging="475"/>
      </w:pPr>
      <w:r>
        <w:tab/>
        <w:t>•</w:t>
      </w:r>
      <w:r>
        <w:tab/>
        <w:t>Изменение статьи 173, касающейся изнасилования: представляется нео</w:t>
      </w:r>
      <w:r>
        <w:t>б</w:t>
      </w:r>
      <w:r>
        <w:t>ходимым включить в текст статьи понятие «посягательство сексуального характера в отнош</w:t>
      </w:r>
      <w:r>
        <w:t>е</w:t>
      </w:r>
      <w:r>
        <w:t>ниях между мужчинами».</w:t>
      </w:r>
    </w:p>
    <w:p w:rsidR="00000000" w:rsidRDefault="00000000">
      <w:pPr>
        <w:pStyle w:val="SingleTxt"/>
        <w:tabs>
          <w:tab w:val="right" w:pos="1685"/>
        </w:tabs>
        <w:ind w:left="1742" w:hanging="475"/>
      </w:pPr>
      <w:r>
        <w:tab/>
        <w:t>•</w:t>
      </w:r>
      <w:r>
        <w:tab/>
        <w:t>Поправка к статье 176 о совращении несовершеннолетних с использов</w:t>
      </w:r>
      <w:r>
        <w:t>а</w:t>
      </w:r>
      <w:r>
        <w:t>нием неопытности или доверчивости жертв: предполагается в целях з</w:t>
      </w:r>
      <w:r>
        <w:t>а</w:t>
      </w:r>
      <w:r>
        <w:t>щиты женщин, не имеющих представления о подобного рода насильс</w:t>
      </w:r>
      <w:r>
        <w:t>т</w:t>
      </w:r>
      <w:r>
        <w:t>венных действиях, изъять из текста слово «честь» в силу его исторически узкого знач</w:t>
      </w:r>
      <w:r>
        <w:t>е</w:t>
      </w:r>
      <w:r>
        <w:t>ния.</w:t>
      </w:r>
    </w:p>
    <w:p w:rsidR="00000000" w:rsidRDefault="00000000">
      <w:pPr>
        <w:pStyle w:val="SingleTxt"/>
        <w:tabs>
          <w:tab w:val="right" w:pos="1685"/>
        </w:tabs>
        <w:ind w:left="1742" w:hanging="475"/>
      </w:pPr>
      <w:r>
        <w:tab/>
        <w:t>•</w:t>
      </w:r>
      <w:r>
        <w:tab/>
        <w:t>Изменение названия главы III раздела III «Развратные действия» на «Ра</w:t>
      </w:r>
      <w:r>
        <w:t>з</w:t>
      </w:r>
      <w:r>
        <w:t>личные половые акты».</w:t>
      </w:r>
    </w:p>
    <w:p w:rsidR="00000000" w:rsidRDefault="00000000">
      <w:pPr>
        <w:pStyle w:val="SingleTxt"/>
        <w:tabs>
          <w:tab w:val="right" w:pos="1685"/>
        </w:tabs>
        <w:ind w:left="1742" w:hanging="475"/>
      </w:pPr>
      <w:r>
        <w:tab/>
        <w:t>•</w:t>
      </w:r>
      <w:r>
        <w:tab/>
        <w:t>Поправка к статье 179 о развратных действиях: поправка направлена на устранение неясностей, которые могут возникнуть при истолковании да</w:t>
      </w:r>
      <w:r>
        <w:t>н</w:t>
      </w:r>
      <w:r>
        <w:t>ной нормы и понятия «изнасилование».</w:t>
      </w:r>
    </w:p>
    <w:p w:rsidR="00000000" w:rsidRDefault="00000000">
      <w:pPr>
        <w:pStyle w:val="SingleTxt"/>
        <w:tabs>
          <w:tab w:val="right" w:pos="1685"/>
        </w:tabs>
        <w:ind w:left="1742" w:hanging="475"/>
      </w:pPr>
      <w:r>
        <w:tab/>
        <w:t>•</w:t>
      </w:r>
      <w:r>
        <w:tab/>
        <w:t>Добавлена статья 180</w:t>
      </w:r>
      <w:r>
        <w:noBreakHyphen/>
        <w:t>бис, в которой сексуальное домогательство и пр</w:t>
      </w:r>
      <w:r>
        <w:t>е</w:t>
      </w:r>
      <w:r>
        <w:t>следование квалифицир</w:t>
      </w:r>
      <w:r>
        <w:t>у</w:t>
      </w:r>
      <w:r>
        <w:t>ются как преступление.</w:t>
      </w:r>
    </w:p>
    <w:p w:rsidR="00000000" w:rsidRDefault="00000000">
      <w:pPr>
        <w:pStyle w:val="SingleTxt"/>
        <w:tabs>
          <w:tab w:val="right" w:pos="1685"/>
        </w:tabs>
        <w:ind w:left="1742" w:hanging="475"/>
      </w:pPr>
      <w:r>
        <w:tab/>
        <w:t>•</w:t>
      </w:r>
      <w:r>
        <w:tab/>
        <w:t>Добавлена статья 180</w:t>
      </w:r>
      <w:r>
        <w:noBreakHyphen/>
        <w:t>тер, в соответствии с которой в деле о сексуальном преследовании или домогательстве отягчающим обстоятельством являе</w:t>
      </w:r>
      <w:r>
        <w:t>т</w:t>
      </w:r>
      <w:r>
        <w:t>ся соучастие двух или более лиц, а также то, является ли преступник ч</w:t>
      </w:r>
      <w:r>
        <w:t>а</w:t>
      </w:r>
      <w:r>
        <w:t>стным л</w:t>
      </w:r>
      <w:r>
        <w:t>и</w:t>
      </w:r>
      <w:r>
        <w:t>цом или представителем властных структур.</w:t>
      </w:r>
    </w:p>
    <w:p w:rsidR="00000000" w:rsidRDefault="00000000">
      <w:pPr>
        <w:pStyle w:val="SingleTxt"/>
        <w:tabs>
          <w:tab w:val="right" w:pos="1685"/>
        </w:tabs>
        <w:ind w:left="1742" w:hanging="475"/>
      </w:pPr>
      <w:r>
        <w:tab/>
        <w:t>•</w:t>
      </w:r>
      <w:r>
        <w:tab/>
        <w:t>В поправке к статье 197, которая регулирует уголовное преследование, предполагается возложить судопроизводство по судебным делам на гос</w:t>
      </w:r>
      <w:r>
        <w:t>у</w:t>
      </w:r>
      <w:r>
        <w:t>дарственных обвинителей, освободив тем самым потерпевших от необх</w:t>
      </w:r>
      <w:r>
        <w:t>о</w:t>
      </w:r>
      <w:r>
        <w:t>димости лично в</w:t>
      </w:r>
      <w:r>
        <w:t>ы</w:t>
      </w:r>
      <w:r>
        <w:t>ступать в качестве обвинения.</w:t>
      </w:r>
    </w:p>
    <w:p w:rsidR="00000000" w:rsidRDefault="00000000">
      <w:pPr>
        <w:pStyle w:val="SingleTxt"/>
        <w:tabs>
          <w:tab w:val="right" w:pos="1685"/>
        </w:tabs>
        <w:ind w:left="1742" w:hanging="475"/>
      </w:pPr>
      <w:r>
        <w:tab/>
        <w:t>•</w:t>
      </w:r>
      <w:r>
        <w:tab/>
        <w:t>Отмена статьи 200, которая касается вступления потерпевшей в брак с о</w:t>
      </w:r>
      <w:r>
        <w:t>б</w:t>
      </w:r>
      <w:r>
        <w:t>виняемым, поскольку данная норма позволяла мужчине, совершившему половое преступление против женщины, избежать уголовной ответстве</w:t>
      </w:r>
      <w:r>
        <w:t>н</w:t>
      </w:r>
      <w:r>
        <w:t>ности или наказания, вступив в законный брак со своей жер</w:t>
      </w:r>
      <w:r>
        <w:t>т</w:t>
      </w:r>
      <w:r>
        <w:t>вой.</w:t>
      </w:r>
    </w:p>
    <w:p w:rsidR="00000000" w:rsidRDefault="00000000">
      <w:pPr>
        <w:pStyle w:val="SingleTxt"/>
        <w:tabs>
          <w:tab w:val="right" w:pos="1685"/>
        </w:tabs>
        <w:ind w:left="1742" w:hanging="475"/>
      </w:pPr>
      <w:r>
        <w:tab/>
        <w:t>•</w:t>
      </w:r>
      <w:r>
        <w:tab/>
        <w:t>Добавлена статья 200</w:t>
      </w:r>
      <w:r>
        <w:noBreakHyphen/>
        <w:t>бис, в которой устанавливается, что при рассмотр</w:t>
      </w:r>
      <w:r>
        <w:t>е</w:t>
      </w:r>
      <w:r>
        <w:t>нии дел о половых преступлениях особо отягчающим обстоятельством считается факт беременности жертвы, ее принадлежность к коренному населению, наличие у пострадавших физических и/или психических о</w:t>
      </w:r>
      <w:r>
        <w:t>т</w:t>
      </w:r>
      <w:r>
        <w:t>клонений, а также если подобные преступления были совершены в отн</w:t>
      </w:r>
      <w:r>
        <w:t>о</w:t>
      </w:r>
      <w:r>
        <w:t>шении несовершеннолетних и женщин в зр</w:t>
      </w:r>
      <w:r>
        <w:t>е</w:t>
      </w:r>
      <w:r>
        <w:t>лом возрасте.</w:t>
      </w:r>
    </w:p>
    <w:p w:rsidR="00000000" w:rsidRDefault="00000000">
      <w:pPr>
        <w:pStyle w:val="SingleTxt"/>
        <w:tabs>
          <w:tab w:val="right" w:pos="1685"/>
        </w:tabs>
        <w:ind w:left="1742" w:hanging="475"/>
      </w:pPr>
      <w:r>
        <w:tab/>
        <w:t>•</w:t>
      </w:r>
      <w:r>
        <w:tab/>
        <w:t>Поправка к статье 236 о возложении ведения дела об инцесте на госуда</w:t>
      </w:r>
      <w:r>
        <w:t>р</w:t>
      </w:r>
      <w:r>
        <w:t>стве</w:t>
      </w:r>
      <w:r>
        <w:t>н</w:t>
      </w:r>
      <w:r>
        <w:t>ных обвинителей.</w:t>
      </w:r>
    </w:p>
    <w:p w:rsidR="00000000" w:rsidRDefault="00000000">
      <w:pPr>
        <w:pStyle w:val="SingleTxt"/>
        <w:tabs>
          <w:tab w:val="right" w:pos="1685"/>
        </w:tabs>
        <w:ind w:left="1742" w:hanging="475"/>
      </w:pPr>
      <w:r>
        <w:tab/>
        <w:t>•</w:t>
      </w:r>
      <w:r>
        <w:tab/>
        <w:t>Поправка к статье 242 о возложении ведения дел об отказе в предоставл</w:t>
      </w:r>
      <w:r>
        <w:t>е</w:t>
      </w:r>
      <w:r>
        <w:t>нии экономической п</w:t>
      </w:r>
      <w:r>
        <w:t>о</w:t>
      </w:r>
      <w:r>
        <w:t>мощи на государственных обвинителей.</w:t>
      </w:r>
    </w:p>
    <w:p w:rsidR="00000000" w:rsidRDefault="00000000">
      <w:pPr>
        <w:pStyle w:val="SingleTxt"/>
        <w:tabs>
          <w:tab w:val="right" w:pos="1685"/>
        </w:tabs>
        <w:ind w:left="1742" w:hanging="475"/>
      </w:pPr>
      <w:r>
        <w:tab/>
        <w:t>•</w:t>
      </w:r>
      <w:r>
        <w:tab/>
        <w:t>Отмена пункта 4 статьи 482.</w:t>
      </w:r>
    </w:p>
    <w:p w:rsidR="00000000" w:rsidRDefault="00000000">
      <w:pPr>
        <w:pStyle w:val="SingleTxt"/>
        <w:tabs>
          <w:tab w:val="right" w:pos="1685"/>
        </w:tabs>
        <w:ind w:left="1742" w:hanging="475"/>
      </w:pPr>
      <w:r>
        <w:tab/>
        <w:t>•</w:t>
      </w:r>
      <w:r>
        <w:tab/>
        <w:t>Отмена пунктов 2, 6 и 9 статьи 483 Уголовного кодекса.</w:t>
      </w:r>
    </w:p>
    <w:p w:rsidR="00000000" w:rsidRDefault="00000000">
      <w:pPr>
        <w:pStyle w:val="SingleTxt"/>
      </w:pPr>
      <w:r>
        <w:tab/>
        <w:t>Над проблемой ликвидацией насилия в отношении женщин и девочек-подростков работают многие правительственные учреждения и организации гражданского общества, в том числе Сеть «Против насилия», которая объед</w:t>
      </w:r>
      <w:r>
        <w:t>и</w:t>
      </w:r>
      <w:r>
        <w:t>няет целый ряд организаций по защите прав женщин. Она возникла в ответ на насильственные меры в отношении женщин по политическим мотивам и ставит своей целью объективное рассмотрение и изучение данной проблематики, а также содействие принятию законодательных и политических мер, направле</w:t>
      </w:r>
      <w:r>
        <w:t>н</w:t>
      </w:r>
      <w:r>
        <w:t>ных на улучшение положения женщин. Были предприняты усилия по содейс</w:t>
      </w:r>
      <w:r>
        <w:t>т</w:t>
      </w:r>
      <w:r>
        <w:t>вию принятию нормативно-правовых актов и внесению изменений в дейс</w:t>
      </w:r>
      <w:r>
        <w:t>т</w:t>
      </w:r>
      <w:r>
        <w:t>вующее законодательство, в частности было оказано содействие в разработке и выполнении положений Закона 97</w:t>
      </w:r>
      <w:r>
        <w:noBreakHyphen/>
        <w:t>96 о предотвращении и искоренении нас</w:t>
      </w:r>
      <w:r>
        <w:t>и</w:t>
      </w:r>
      <w:r>
        <w:t>лия в семье и наказании за него; созданию Национальной координационной комиссии по предотвращению насилия в семье и в отношении женщин (КОНАПРЕВИ) и признании официального статуса единого бюллетеня сист</w:t>
      </w:r>
      <w:r>
        <w:t>е</w:t>
      </w:r>
      <w:r>
        <w:t>мы учета случаев насилия в семье.</w:t>
      </w:r>
    </w:p>
    <w:p w:rsidR="00000000" w:rsidRDefault="00000000">
      <w:pPr>
        <w:pStyle w:val="SingleTxt"/>
      </w:pPr>
      <w:r>
        <w:t>Со своей стороны, Секретариат по делам социальных фондов при супруге пр</w:t>
      </w:r>
      <w:r>
        <w:t>е</w:t>
      </w:r>
      <w:r>
        <w:t>зидента (СОСЕП) провел по всей стране кампанию по повышению уровня о</w:t>
      </w:r>
      <w:r>
        <w:t>с</w:t>
      </w:r>
      <w:r>
        <w:t>ведомленности и профессиональной подготовки, а также ряд лекций и семин</w:t>
      </w:r>
      <w:r>
        <w:t>а</w:t>
      </w:r>
      <w:r>
        <w:t>ров, посвященных проблематике насилия в семье. В период с января по август 2001 года было прочитано 129 лекций, на которых присутствовали служащие различных министерств, главы общин и учителя, в общей сложности 4219 ч</w:t>
      </w:r>
      <w:r>
        <w:t>е</w:t>
      </w:r>
      <w:r>
        <w:t>ловек, кроме того, было проведено 147 сем</w:t>
      </w:r>
      <w:r>
        <w:t>и</w:t>
      </w:r>
      <w:r>
        <w:t>наров</w:t>
      </w:r>
      <w:r>
        <w:rPr>
          <w:rStyle w:val="FootnoteReference"/>
        </w:rPr>
        <w:footnoteReference w:customMarkFollows="1" w:id="10"/>
        <w:t>8</w:t>
      </w:r>
      <w:r>
        <w:t>.</w:t>
      </w:r>
    </w:p>
    <w:p w:rsidR="00000000" w:rsidRDefault="00000000">
      <w:pPr>
        <w:pStyle w:val="SingleTxt"/>
      </w:pPr>
      <w:r>
        <w:tab/>
        <w:t>Можно отметить, что увеличилось количество жалоб, поданных в прав</w:t>
      </w:r>
      <w:r>
        <w:t>о</w:t>
      </w:r>
      <w:r>
        <w:t>охранительные органы по факту совершения насилия, однако это обусловлено не ростом насилия в обществе, а снижением терпимости к жестокому обращ</w:t>
      </w:r>
      <w:r>
        <w:t>е</w:t>
      </w:r>
      <w:r>
        <w:t>нию, как следствие действия программ по проведению разъяснительной работы среди женщин. Согласно сведениям, представленным ПРОПЕВИ, в 1999 году из 173 заявлений в правоохранительные 143 (81 процент) приходилось на же</w:t>
      </w:r>
      <w:r>
        <w:t>н</w:t>
      </w:r>
      <w:r>
        <w:t>щин, в 2000 году из 4453 заявлений на женщин приходилось 2 690 (60 проце</w:t>
      </w:r>
      <w:r>
        <w:t>н</w:t>
      </w:r>
      <w:r>
        <w:t>тов), а в период с января по август 2001 года было получено 3159 заявлений от женщин (70 процентов), при том, что общее число обращений составляло 4521.</w:t>
      </w:r>
    </w:p>
    <w:p w:rsidR="00000000" w:rsidRDefault="00000000">
      <w:pPr>
        <w:pStyle w:val="SingleTxt"/>
      </w:pPr>
      <w:r>
        <w:tab/>
        <w:t>В рамках программы, предусматривающей возможность по телефону, в 1999 году из 408 жалоб, полученных в отделении ПРОПЕВИ, 140 было подано женщинами, а количество заявлений об изнасиловании, поданных в отделение по делам женщин прокуратуры, составило 1713.</w:t>
      </w:r>
    </w:p>
    <w:p w:rsidR="00000000" w:rsidRDefault="00000000">
      <w:pPr>
        <w:pStyle w:val="SingleTxt"/>
      </w:pPr>
      <w:r>
        <w:tab/>
        <w:t>Согласно данным Управления по правам человека Миграционной службы, в первом полугодии с.г. с жалобой в правоохранительные органы обратились 1560 человек и было выявлено 1926 нарушений.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Условия труда</w:t>
      </w:r>
    </w:p>
    <w:p w:rsidR="00000000" w:rsidRDefault="00000000">
      <w:pPr>
        <w:pStyle w:val="SingleTxt"/>
        <w:spacing w:after="0" w:line="120" w:lineRule="exact"/>
        <w:rPr>
          <w:sz w:val="10"/>
        </w:rPr>
      </w:pPr>
    </w:p>
    <w:p w:rsidR="00000000" w:rsidRDefault="00000000">
      <w:pPr>
        <w:pStyle w:val="SingleTxt"/>
      </w:pPr>
      <w:r>
        <w:tab/>
        <w:t>Нищета, вкупе с неграмотностью населения и низким уровнем образов</w:t>
      </w:r>
      <w:r>
        <w:t>а</w:t>
      </w:r>
      <w:r>
        <w:t>ния, обуславливает тот факт, что значительная часть экономически активного населения (ЭАМ) работает в отраслях экономики с низкой производительн</w:t>
      </w:r>
      <w:r>
        <w:t>о</w:t>
      </w:r>
      <w:r>
        <w:t>стью, где, как следствие, установлена невысокая оплата труда. Такая ситуация особенно негативно сказывается на положении женщин, поэтому и соответс</w:t>
      </w:r>
      <w:r>
        <w:t>т</w:t>
      </w:r>
      <w:r>
        <w:t>вующие социальные показатели у них н</w:t>
      </w:r>
      <w:r>
        <w:t>и</w:t>
      </w:r>
      <w:r>
        <w:t>же, чем у мужчин.</w:t>
      </w:r>
    </w:p>
    <w:p w:rsidR="00000000" w:rsidRDefault="00000000">
      <w:pPr>
        <w:pStyle w:val="SingleTxt"/>
      </w:pPr>
      <w:r>
        <w:tab/>
        <w:t>Проблема занятости в Гватемале заключается не только в существовании явной безработицы, которая, согласно переписи населения, составляет порядка 3 процентов, а в 1994 году — 3,5 процента</w:t>
      </w:r>
      <w:r>
        <w:rPr>
          <w:rStyle w:val="FootnoteReference"/>
        </w:rPr>
        <w:footnoteReference w:customMarkFollows="1" w:id="11"/>
        <w:t>9</w:t>
      </w:r>
      <w:r>
        <w:t>, сколько в крайне высоких показ</w:t>
      </w:r>
      <w:r>
        <w:t>а</w:t>
      </w:r>
      <w:r>
        <w:t>телях частичной безработицы, как явной, так и скрытой, которая порой дост</w:t>
      </w:r>
      <w:r>
        <w:t>и</w:t>
      </w:r>
      <w:r>
        <w:t>гает показателя, близкого к 50 процентам. Это является следствием тех огран</w:t>
      </w:r>
      <w:r>
        <w:t>и</w:t>
      </w:r>
      <w:r>
        <w:t>чений, которые существуют в производственной системе и обуславливают н</w:t>
      </w:r>
      <w:r>
        <w:t>е</w:t>
      </w:r>
      <w:r>
        <w:t>соответствие между спросом и предложением рабочей силы, а также вследс</w:t>
      </w:r>
      <w:r>
        <w:t>т</w:t>
      </w:r>
      <w:r>
        <w:t>вие роста численности населения в работоспособном возрасте и низких темпов развития производственной, в частности, и экономической деятельности в ц</w:t>
      </w:r>
      <w:r>
        <w:t>е</w:t>
      </w:r>
      <w:r>
        <w:t>лом.</w:t>
      </w:r>
    </w:p>
    <w:p w:rsidR="00000000" w:rsidRDefault="00000000">
      <w:pPr>
        <w:pStyle w:val="SingleTxt"/>
      </w:pPr>
      <w:r>
        <w:tab/>
        <w:t>Особенно негативно частичная безработица отражается на положении женщин, что обусловлено низким уровнем образования и необходимостью с</w:t>
      </w:r>
      <w:r>
        <w:t>о</w:t>
      </w:r>
      <w:r>
        <w:t>вмещать трудовую деятельность с работой по дому и заб</w:t>
      </w:r>
      <w:r>
        <w:t>о</w:t>
      </w:r>
      <w:r>
        <w:t>той о семье.</w:t>
      </w:r>
    </w:p>
    <w:p w:rsidR="00000000" w:rsidRDefault="00000000">
      <w:pPr>
        <w:pStyle w:val="SingleTxt"/>
      </w:pPr>
      <w:r>
        <w:tab/>
        <w:t>Полная и частичная безработица вызвана низким уровнем развития пр</w:t>
      </w:r>
      <w:r>
        <w:t>о</w:t>
      </w:r>
      <w:r>
        <w:t>изводства, незначительным притоком частных и государственных инвестиций, недостаточной автоматизацией и малой производительностью как сельскох</w:t>
      </w:r>
      <w:r>
        <w:t>о</w:t>
      </w:r>
      <w:r>
        <w:t>зяйственного, так и промышленного производства, на фоне формирования гл</w:t>
      </w:r>
      <w:r>
        <w:t>о</w:t>
      </w:r>
      <w:r>
        <w:t>бального рынка, который требует развития производительности и конкурент</w:t>
      </w:r>
      <w:r>
        <w:t>о</w:t>
      </w:r>
      <w:r>
        <w:t>способности.</w:t>
      </w:r>
    </w:p>
    <w:p w:rsidR="00000000" w:rsidRDefault="00000000">
      <w:pPr>
        <w:pStyle w:val="SingleTxt"/>
      </w:pPr>
      <w:r>
        <w:tab/>
        <w:t>С другой стороны, патриархальный социальный уклад способствует з</w:t>
      </w:r>
      <w:r>
        <w:t>а</w:t>
      </w:r>
      <w:r>
        <w:t>нижению значимости тех видов деятельности, которыми занимаются женщины, поскольку они считаются заурядными и неэффективными, при этом игнорир</w:t>
      </w:r>
      <w:r>
        <w:t>у</w:t>
      </w:r>
      <w:r>
        <w:t>ется вклад женщин в социально-экономическое развитие страны. Поэтому женщины не фигурируют в статистических отчетах социальной активности. Ярким примером такого отношения является сложившееся в обществе пре</w:t>
      </w:r>
      <w:r>
        <w:t>д</w:t>
      </w:r>
      <w:r>
        <w:t>ставление о работе женщин по дому, которую называют просто «домашние об</w:t>
      </w:r>
      <w:r>
        <w:t>я</w:t>
      </w:r>
      <w:r>
        <w:t>занности» и которая возлагается исключительно на женщин, без учета того значения, которое имеет подобная работа для всей экономики в целом и о</w:t>
      </w:r>
      <w:r>
        <w:t>т</w:t>
      </w:r>
      <w:r>
        <w:t>дельной семьи.</w:t>
      </w:r>
    </w:p>
    <w:p w:rsidR="00000000" w:rsidRDefault="00000000">
      <w:pPr>
        <w:pStyle w:val="SingleTxt"/>
      </w:pPr>
      <w:r>
        <w:tab/>
        <w:t>Кроме того, в рамках подобной деловой активности женщины вносят свой вклад в развитие экономики страны, занимаясь садоводством и выращиванием домашнего скота, что также не находит объективной оценки, в иных случаях женщины помогают своим домочадцам непосредственно по работе, прежде всего в сельском хозяйстве, однако их труд остается без признания и вознагр</w:t>
      </w:r>
      <w:r>
        <w:t>а</w:t>
      </w:r>
      <w:r>
        <w:t>ждения.</w:t>
      </w:r>
    </w:p>
    <w:p w:rsidR="00000000" w:rsidRDefault="00000000">
      <w:pPr>
        <w:pStyle w:val="SingleTxt"/>
      </w:pPr>
      <w:r>
        <w:tab/>
        <w:t>Кризис, который переживает в настоящее время страна, привел к увел</w:t>
      </w:r>
      <w:r>
        <w:t>и</w:t>
      </w:r>
      <w:r>
        <w:t>чению теневого сектора экономики и частичной безработицы среди женщин, проживающих в городах, а также и к полной безработице, поскольку спрос на женский труд существует в малопродуктивных секторах экономики, что об</w:t>
      </w:r>
      <w:r>
        <w:t>у</w:t>
      </w:r>
      <w:r>
        <w:t>славливает низкий уровень заработной платы, помимо этого, значительная часть женского населения занимается теми видами деятельности, которые не оплачиваются, являются особо изнурительными и предполагают напряженный график работы, таково положение, например, домашней прислуги или рабо</w:t>
      </w:r>
      <w:r>
        <w:t>т</w:t>
      </w:r>
      <w:r>
        <w:t>ниц мукомол</w:t>
      </w:r>
      <w:r>
        <w:t>ь</w:t>
      </w:r>
      <w:r>
        <w:t>ных предприятий.</w:t>
      </w:r>
    </w:p>
    <w:p w:rsidR="00000000" w:rsidRDefault="00000000">
      <w:pPr>
        <w:pStyle w:val="SingleTxt"/>
      </w:pPr>
      <w:r>
        <w:tab/>
        <w:t>Сфера услуг по ведению домашнего хозяйства является одним из низк</w:t>
      </w:r>
      <w:r>
        <w:t>о</w:t>
      </w:r>
      <w:r>
        <w:t>оплачиваемых видов деятельности женщин, в котором занято 10 процентов ЭАН городов, проживающего в условиях крайней нищеты</w:t>
      </w:r>
      <w:r>
        <w:rPr>
          <w:rStyle w:val="FootnoteReference"/>
        </w:rPr>
        <w:footnoteReference w:customMarkFollows="1" w:id="12"/>
        <w:t>10</w:t>
      </w:r>
      <w:r>
        <w:t>. 55 процентов з</w:t>
      </w:r>
      <w:r>
        <w:t>а</w:t>
      </w:r>
      <w:r>
        <w:t>нятых в сфере домашних услуг — представительницы коренного населения и 11 процентов — живущая в семьях прислуга, труд которой не оплачивается. Велика доля женщин в сфере мелкой торговли, 26 процентов из них - предст</w:t>
      </w:r>
      <w:r>
        <w:t>а</w:t>
      </w:r>
      <w:r>
        <w:t>вительницы коренного населения, проживающие в городах и занимающиеся розничной торговлей, и 30 процентов некоренных жительниц, торгующих в м</w:t>
      </w:r>
      <w:r>
        <w:t>а</w:t>
      </w:r>
      <w:r>
        <w:t>г</w:t>
      </w:r>
      <w:r>
        <w:t>а</w:t>
      </w:r>
      <w:r>
        <w:t>зинах, уличных киосках, на рынках и т.д.</w:t>
      </w:r>
    </w:p>
    <w:p w:rsidR="00000000" w:rsidRDefault="00000000">
      <w:pPr>
        <w:pStyle w:val="SingleTxt"/>
      </w:pPr>
      <w:r>
        <w:tab/>
        <w:t>На мукомольных предприятиях, за счет которых в последние годы росла доля женского труда в экономике, условия труда не соответствуют существу</w:t>
      </w:r>
      <w:r>
        <w:t>ю</w:t>
      </w:r>
      <w:r>
        <w:t>щим нормам, наблюдаются нарушения отдельных положений трудового зак</w:t>
      </w:r>
      <w:r>
        <w:t>о</w:t>
      </w:r>
      <w:r>
        <w:t>нодательства, касающихся рабочего графика, справедливого отношения, в</w:t>
      </w:r>
      <w:r>
        <w:t>ы</w:t>
      </w:r>
      <w:r>
        <w:t>платы пос</w:t>
      </w:r>
      <w:r>
        <w:t>о</w:t>
      </w:r>
      <w:r>
        <w:t>бий и права на социальное обслуживание.</w:t>
      </w:r>
    </w:p>
    <w:p w:rsidR="00000000" w:rsidRDefault="00000000">
      <w:pPr>
        <w:pStyle w:val="SingleTxt"/>
      </w:pPr>
      <w:r>
        <w:tab/>
        <w:t>В рамках своей компетенции и во исполнение соглашений с МОТ, Мин</w:t>
      </w:r>
      <w:r>
        <w:t>и</w:t>
      </w:r>
      <w:r>
        <w:t>стерство труда и социального обеспечения приняло ряд мер, направленных на защиту прав трудящихся. Обязанности Департамента по делам трудящихся женщин включают оказание содействие росту участия женщин в профсоюзных организациях, в этих целях он занимается повышением профессиональной подготовки женщин, распространением информационных материалов, осущ</w:t>
      </w:r>
      <w:r>
        <w:t>е</w:t>
      </w:r>
      <w:r>
        <w:t>ствляет консультационную и координирующую де</w:t>
      </w:r>
      <w:r>
        <w:t>я</w:t>
      </w:r>
      <w:r>
        <w:t>тельность.</w:t>
      </w:r>
    </w:p>
    <w:p w:rsidR="00000000" w:rsidRDefault="00000000">
      <w:pPr>
        <w:pStyle w:val="SingleTxt"/>
      </w:pPr>
      <w:r>
        <w:tab/>
        <w:t>Среди проведенных мероприятий следует выделить:</w:t>
      </w:r>
    </w:p>
    <w:p w:rsidR="00000000" w:rsidRDefault="00000000">
      <w:pPr>
        <w:pStyle w:val="SingleTxt"/>
        <w:tabs>
          <w:tab w:val="right" w:pos="1685"/>
        </w:tabs>
        <w:ind w:left="1742" w:hanging="475"/>
      </w:pPr>
      <w:r>
        <w:tab/>
        <w:t>•</w:t>
      </w:r>
      <w:r>
        <w:tab/>
        <w:t>проведение профессиональной подготовки и распространение учебных пособий более чем 150 женщинам — активисткам институтов гражда</w:t>
      </w:r>
      <w:r>
        <w:t>н</w:t>
      </w:r>
      <w:r>
        <w:t>ского общества и профсоюзных организаций;</w:t>
      </w:r>
    </w:p>
    <w:p w:rsidR="00000000" w:rsidRDefault="00000000">
      <w:pPr>
        <w:pStyle w:val="SingleTxt"/>
        <w:tabs>
          <w:tab w:val="right" w:pos="1685"/>
        </w:tabs>
        <w:ind w:left="1742" w:hanging="475"/>
      </w:pPr>
      <w:r>
        <w:tab/>
        <w:t>•</w:t>
      </w:r>
      <w:r>
        <w:tab/>
        <w:t>согласование действий с Проектом МОТ «Женский труд и мукомольные предприятия» 2001 года, в рамках которого был разработан план совмес</w:t>
      </w:r>
      <w:r>
        <w:t>т</w:t>
      </w:r>
      <w:r>
        <w:t>ной деятельности, а также предоставления консультаций по составлению учебных материалов о правах и обязанностях в трудовой сфере, сам</w:t>
      </w:r>
      <w:r>
        <w:t>о</w:t>
      </w:r>
      <w:r>
        <w:t>оценке и комплексному здрав</w:t>
      </w:r>
      <w:r>
        <w:t>о</w:t>
      </w:r>
      <w:r>
        <w:t>охранению;</w:t>
      </w:r>
    </w:p>
    <w:p w:rsidR="00000000" w:rsidRDefault="00000000">
      <w:pPr>
        <w:pStyle w:val="SingleTxt"/>
        <w:tabs>
          <w:tab w:val="right" w:pos="1685"/>
        </w:tabs>
        <w:ind w:left="1742" w:hanging="475"/>
      </w:pPr>
      <w:r>
        <w:tab/>
        <w:t>•</w:t>
      </w:r>
      <w:r>
        <w:tab/>
        <w:t>участие в работе координационного программы «Ежедневный уход за р</w:t>
      </w:r>
      <w:r>
        <w:t>е</w:t>
      </w:r>
      <w:r>
        <w:t>бенком», в разработке при поддержке МОТ диагностического инструме</w:t>
      </w:r>
      <w:r>
        <w:t>н</w:t>
      </w:r>
      <w:r>
        <w:t>тария, а также в проведении при поддержке ЮНИСЕФ исследования в сфере занятости;</w:t>
      </w:r>
    </w:p>
    <w:p w:rsidR="00000000" w:rsidRDefault="00000000">
      <w:pPr>
        <w:pStyle w:val="SingleTxt"/>
        <w:tabs>
          <w:tab w:val="right" w:pos="1685"/>
        </w:tabs>
        <w:ind w:left="1742" w:hanging="475"/>
      </w:pPr>
      <w:r>
        <w:tab/>
        <w:t>•</w:t>
      </w:r>
      <w:r>
        <w:tab/>
        <w:t>планирование совместной трудовой деятельности, осуществленное в 2001 году совместно с Координационным органом по вопросам мук</w:t>
      </w:r>
      <w:r>
        <w:t>о</w:t>
      </w:r>
      <w:r>
        <w:t>мольных предпр</w:t>
      </w:r>
      <w:r>
        <w:t>и</w:t>
      </w:r>
      <w:r>
        <w:t>ятий;</w:t>
      </w:r>
    </w:p>
    <w:p w:rsidR="00000000" w:rsidRDefault="00000000">
      <w:pPr>
        <w:pStyle w:val="SingleTxt"/>
        <w:tabs>
          <w:tab w:val="right" w:pos="1685"/>
        </w:tabs>
        <w:ind w:left="1742" w:hanging="475"/>
      </w:pPr>
      <w:r>
        <w:tab/>
        <w:t>•</w:t>
      </w:r>
      <w:r>
        <w:tab/>
        <w:t>проведение образовательной работы с 35 работодателями, 150 женщин</w:t>
      </w:r>
      <w:r>
        <w:t>а</w:t>
      </w:r>
      <w:r>
        <w:t>ми — рабочими лидерами и 43 рабочими инспекторами в рамках совмес</w:t>
      </w:r>
      <w:r>
        <w:t>т</w:t>
      </w:r>
      <w:r>
        <w:t>ного с ЮНИСЕФ проекта защиты прав трудящихся.</w:t>
      </w:r>
    </w:p>
    <w:p w:rsidR="00000000" w:rsidRDefault="00000000">
      <w:pPr>
        <w:pStyle w:val="SingleTxt"/>
      </w:pPr>
      <w:r>
        <w:tab/>
        <w:t>Министерство труда и социального обеспечения поручило различным о</w:t>
      </w:r>
      <w:r>
        <w:t>р</w:t>
      </w:r>
      <w:r>
        <w:t>ганизациям и группам по делам женщин гражданского общества разрабатывать для предоставления на рассмотрение Кабинета министров предложения по м</w:t>
      </w:r>
      <w:r>
        <w:t>о</w:t>
      </w:r>
      <w:r>
        <w:t>дификации Трудового кодекса, направленного, в частности, на то, чтобы изб</w:t>
      </w:r>
      <w:r>
        <w:t>е</w:t>
      </w:r>
      <w:r>
        <w:t>жать дискриминации женщин в сфере занятости. В результате 9 июля на ра</w:t>
      </w:r>
      <w:r>
        <w:t>с</w:t>
      </w:r>
      <w:r>
        <w:t>смотрение Министерства труда был представлен проект поправок к Трудовому кодексу, в котором нашли отражения предложения Национального управления по делам женщин, Комиссии по делам женщин, несовершеннолетних и семьи при Конгрессе республики, Центра профессиональной подготовки работников домашнего хозяйства, Управления защиты прав женщин — представительниц коренного населения, Центра юридической защиты по правам человека и Н</w:t>
      </w:r>
      <w:r>
        <w:t>а</w:t>
      </w:r>
      <w:r>
        <w:t>ционального женского форума.</w:t>
      </w:r>
    </w:p>
    <w:p w:rsidR="00000000" w:rsidRDefault="00000000">
      <w:pPr>
        <w:pStyle w:val="SingleTxt"/>
      </w:pPr>
      <w:r>
        <w:tab/>
        <w:t>Сотрудники (</w:t>
      </w:r>
      <w:r>
        <w:noBreakHyphen/>
        <w:t>цы) Министерства труда и социального обеспечения, а та</w:t>
      </w:r>
      <w:r>
        <w:t>к</w:t>
      </w:r>
      <w:r>
        <w:t>же Управления по развитию и профессиональной подготовки женщин в сфере занятости участвовали в разработке законопроектов о национальной системе де</w:t>
      </w:r>
      <w:r>
        <w:t>т</w:t>
      </w:r>
      <w:r>
        <w:t>ских садов для детей работающих родителей.</w:t>
      </w:r>
    </w:p>
    <w:p w:rsidR="00000000" w:rsidRDefault="00000000">
      <w:pPr>
        <w:pStyle w:val="SingleTxt"/>
      </w:pPr>
      <w:r>
        <w:tab/>
        <w:t>В Указе 1441 Конгресса республики, Трудовом кодексе, раздел IV, глава I, статьи 138–145, определяются те виды трудовой деятельности, которые подл</w:t>
      </w:r>
      <w:r>
        <w:t>е</w:t>
      </w:r>
      <w:r>
        <w:t>жат специальному регулированию, при этом предусматривается предоставл</w:t>
      </w:r>
      <w:r>
        <w:t>е</w:t>
      </w:r>
      <w:r>
        <w:t>ние в обязательном порядке минимальных прав, как-то: право на обеспечение жильем, право на регистрацию и социальное обеспечение, — кроме того, ко</w:t>
      </w:r>
      <w:r>
        <w:t>н</w:t>
      </w:r>
      <w:r>
        <w:t>троль над соблюдением положений трудового законодательства возлагается на Гла</w:t>
      </w:r>
      <w:r>
        <w:t>в</w:t>
      </w:r>
      <w:r>
        <w:t>ную инспекцию по труду.</w:t>
      </w:r>
    </w:p>
    <w:p w:rsidR="00000000" w:rsidRDefault="00000000">
      <w:pPr>
        <w:pStyle w:val="SingleTxt"/>
      </w:pPr>
      <w:r>
        <w:tab/>
        <w:t>Закон о достоинстве и всестороннем развитии женщины и института с</w:t>
      </w:r>
      <w:r>
        <w:t>е</w:t>
      </w:r>
      <w:r>
        <w:t>мьи, Указ 7</w:t>
      </w:r>
      <w:r>
        <w:noBreakHyphen/>
        <w:t>99 Конгресса республики, предусматривает регулирование труд</w:t>
      </w:r>
      <w:r>
        <w:t>о</w:t>
      </w:r>
      <w:r>
        <w:t>вых отношений в различных видах деятельности как в государственном, так и в частном секторе, а также признание индивидуального трудового статуса же</w:t>
      </w:r>
      <w:r>
        <w:t>н</w:t>
      </w:r>
      <w:r>
        <w:t>щины, занятой в сельскохозяйственном производстве на постоянной, време</w:t>
      </w:r>
      <w:r>
        <w:t>н</w:t>
      </w:r>
      <w:r>
        <w:t>ной или поденной основе.</w:t>
      </w:r>
    </w:p>
    <w:p w:rsidR="00000000" w:rsidRDefault="00000000">
      <w:pPr>
        <w:pStyle w:val="SingleTxt"/>
      </w:pPr>
      <w:r>
        <w:tab/>
        <w:t>Управление социальной помощи Министерства труда и социального обе</w:t>
      </w:r>
      <w:r>
        <w:t>с</w:t>
      </w:r>
      <w:r>
        <w:t>печения осуществляет профессиональную подготовку женщин, мелких и сре</w:t>
      </w:r>
      <w:r>
        <w:t>д</w:t>
      </w:r>
      <w:r>
        <w:t>них предпринимателей, в частности оказывает помощь женщинам, живущим за чертой бедности, предоставляя им финансовое и техническое содействие, а также возможность получить профессиональное образование.</w:t>
      </w:r>
    </w:p>
    <w:p w:rsidR="00000000" w:rsidRDefault="00000000">
      <w:pPr>
        <w:pStyle w:val="SingleTxt"/>
      </w:pPr>
      <w:r>
        <w:tab/>
        <w:t>На курсах при факультете по работе с клиентами Технического института повышения профессиональной подготовки и производительности (ИНТЕКАП) готовят следующих специалистов: пекарей (обоих полов), визажистов и пари</w:t>
      </w:r>
      <w:r>
        <w:t>к</w:t>
      </w:r>
      <w:r>
        <w:t>махеров, поваров, а также закройщиков и швей, при этом 35 процентов из о</w:t>
      </w:r>
      <w:r>
        <w:t>б</w:t>
      </w:r>
      <w:r>
        <w:t>щего числа учащихся составляют женщины.</w:t>
      </w:r>
    </w:p>
    <w:p w:rsidR="00000000" w:rsidRDefault="00000000">
      <w:pPr>
        <w:pStyle w:val="SingleTxt"/>
      </w:pPr>
      <w:r>
        <w:tab/>
        <w:t>Ежегодно ИНТЕКАП обучает различным специальностям порядка 700 000 человек по всей стране, из которых треть составляют женщин. На заочных ку</w:t>
      </w:r>
      <w:r>
        <w:t>р</w:t>
      </w:r>
      <w:r>
        <w:t>сах, организованных при данном институте, ежегодно проходят обучение п</w:t>
      </w:r>
      <w:r>
        <w:t>о</w:t>
      </w:r>
      <w:r>
        <w:t>рядка 300 женщин, овладевая навыками управления мелкими предприятиями, основами радиоэлектроники, кроме того, из них готовят руководителей средн</w:t>
      </w:r>
      <w:r>
        <w:t>е</w:t>
      </w:r>
      <w:r>
        <w:t>го звена, техников, агентов по продажам и ткачих.</w:t>
      </w:r>
    </w:p>
    <w:p w:rsidR="00000000" w:rsidRDefault="00000000">
      <w:pPr>
        <w:pStyle w:val="SingleTxt"/>
      </w:pPr>
      <w:r>
        <w:tab/>
        <w:t>Женщины, занятые в государственном секторе, имеют два специальных выходных дня с сохран</w:t>
      </w:r>
      <w:r>
        <w:t>е</w:t>
      </w:r>
      <w:r>
        <w:t>нием жалованья: 10 мая и 26 апреля.</w:t>
      </w:r>
    </w:p>
    <w:p w:rsidR="00000000" w:rsidRDefault="00000000">
      <w:pPr>
        <w:pStyle w:val="SingleTxt"/>
      </w:pPr>
      <w:r>
        <w:tab/>
        <w:t>Указом 37</w:t>
      </w:r>
      <w:r>
        <w:noBreakHyphen/>
        <w:t>2001 предусмотрена возможность премиальных выплат в ра</w:t>
      </w:r>
      <w:r>
        <w:t>з</w:t>
      </w:r>
      <w:r>
        <w:t>мере 250,00 кетцалей.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Социально-экономическое и культурное развитие</w:t>
      </w:r>
    </w:p>
    <w:p w:rsidR="00000000" w:rsidRDefault="00000000">
      <w:pPr>
        <w:pStyle w:val="SingleTxt"/>
        <w:spacing w:after="0" w:line="120" w:lineRule="exact"/>
        <w:rPr>
          <w:sz w:val="10"/>
        </w:rPr>
      </w:pPr>
    </w:p>
    <w:p w:rsidR="00000000" w:rsidRDefault="00000000">
      <w:pPr>
        <w:pStyle w:val="SingleTxt"/>
      </w:pPr>
      <w:r>
        <w:tab/>
        <w:t>Существующее в обществе социальное неравенство имеет исторические корни и оказывает негативное воздействие на социально уязвимые слои нас</w:t>
      </w:r>
      <w:r>
        <w:t>е</w:t>
      </w:r>
      <w:r>
        <w:t>ления, например, сельских жителей, этнические группы, женщин, стариков и детей. В такой ситуации именно женщины больше остальных страдают от ди</w:t>
      </w:r>
      <w:r>
        <w:t>с</w:t>
      </w:r>
      <w:r>
        <w:t>криминации, социальной изолированности и притеснения. Подобное полож</w:t>
      </w:r>
      <w:r>
        <w:t>е</w:t>
      </w:r>
      <w:r>
        <w:t>ние дел влияет и на социальное развитие Гватемалы. С другой стороны, такие явления, как нестабильность, представляют собой проблемы, затрагивающие большую часть населения страны, и прежде всего женщин, которые более др</w:t>
      </w:r>
      <w:r>
        <w:t>у</w:t>
      </w:r>
      <w:r>
        <w:t>гих пострадали от социальной изолированности, обусловленной особенност</w:t>
      </w:r>
      <w:r>
        <w:t>я</w:t>
      </w:r>
      <w:r>
        <w:t>ми патриархальной культуры, доминирующей на протяжении всей истории страны. В итоге, в 1999 году Гватемала была на 117 месте из 174 стран по и</w:t>
      </w:r>
      <w:r>
        <w:t>н</w:t>
      </w:r>
      <w:r>
        <w:t>дексу развития людских ресурсов (0,624). А по индексу развития, включающ</w:t>
      </w:r>
      <w:r>
        <w:t>е</w:t>
      </w:r>
      <w:r>
        <w:t>му гендерные факторы, — на 101 месте (0,608). В последнее время наблюдае</w:t>
      </w:r>
      <w:r>
        <w:t>т</w:t>
      </w:r>
      <w:r>
        <w:t>ся падение макроэкономических показателей и сокращение производственной активности как в сельскохозяйственном, так и промышленном секторе, что в первом случае обусловлено падением спроса на кофе, который является осно</w:t>
      </w:r>
      <w:r>
        <w:t>в</w:t>
      </w:r>
      <w:r>
        <w:t>ной статьей экспорта сельскохозяйственной продукции, что, в свою очередь, привело к снижению уровня занятости, доходов предпринимателей и сокращ</w:t>
      </w:r>
      <w:r>
        <w:t>е</w:t>
      </w:r>
      <w:r>
        <w:t>нию семейного бюджета; в промышленном секторе также было закрыто н</w:t>
      </w:r>
      <w:r>
        <w:t>е</w:t>
      </w:r>
      <w:r>
        <w:t>скольких предприятий, в основном мукомольных, на которых работают пр</w:t>
      </w:r>
      <w:r>
        <w:t>е</w:t>
      </w:r>
      <w:r>
        <w:t>имущественно женщины.</w:t>
      </w:r>
    </w:p>
    <w:p w:rsidR="00000000" w:rsidRDefault="00000000">
      <w:pPr>
        <w:pStyle w:val="SingleTxt"/>
      </w:pPr>
      <w:r>
        <w:tab/>
        <w:t>На основе изучения данных Статистического исследования расходов и д</w:t>
      </w:r>
      <w:r>
        <w:t>о</w:t>
      </w:r>
      <w:r>
        <w:t>ходов в семейном бюджете (ЕНИГФАМ) и применения методов анализа, о</w:t>
      </w:r>
      <w:r>
        <w:t>т</w:t>
      </w:r>
      <w:r>
        <w:t>личных от тех, которые были использованы в третьем и четвертом докладе, можно сделать вывод, что 56 процентов населения страны (6,4 млн. жителей) живут за чертой бедности, при этом 15,7 процента (1,8 млн. жителей) живут за чертой нищеты, 40,2 процента (4,6 млн. жителей) не испытывают крайней н</w:t>
      </w:r>
      <w:r>
        <w:t>у</w:t>
      </w:r>
      <w:r>
        <w:t>жды, а 44 процента населения (5 млн. жителей) не считаются неимущими. Наиболее важные выводы касаются наблюдения о том, что нищета наиболее распространена среди коренного населения (56 процентов), на севере и северо-западе страны, где неимущими являются 8 из 10 человек, в районе Петен и на юго-востоке страны — 7 из 10 человек, и только в районе Метрополитана, где находится город Гватемала, процент населения, проживающего за чертой бе</w:t>
      </w:r>
      <w:r>
        <w:t>д</w:t>
      </w:r>
      <w:r>
        <w:t>ности, составляет 17 пр</w:t>
      </w:r>
      <w:r>
        <w:t>о</w:t>
      </w:r>
      <w:r>
        <w:t>центов.</w:t>
      </w:r>
    </w:p>
    <w:p w:rsidR="00000000" w:rsidRDefault="00000000">
      <w:pPr>
        <w:pStyle w:val="SingleTxt"/>
      </w:pPr>
      <w:r>
        <w:tab/>
        <w:t>Необходимо отметить, что некоторые государственные институты при с</w:t>
      </w:r>
      <w:r>
        <w:t>о</w:t>
      </w:r>
      <w:r>
        <w:t>ставлении рабочих планов не учитывали особенности поведения мужчин и женщин. Однако сегодня, приняв на вооружение Модуль социальной политики, правительство намерено достичь большего прогресса в обеспечении равенства мужчин и женщин, содействовать улучшению положения женщин и молодежи, обеспечить удовлетворение основных нужд населения, а также формировать многонациональное общество, укреплять гражданскую власть в контексте д</w:t>
      </w:r>
      <w:r>
        <w:t>е</w:t>
      </w:r>
      <w:r>
        <w:t>мократ</w:t>
      </w:r>
      <w:r>
        <w:t>и</w:t>
      </w:r>
      <w:r>
        <w:t>зации общественных отношений и участия граждан в жизни страны.</w:t>
      </w:r>
    </w:p>
    <w:p w:rsidR="00000000" w:rsidRDefault="00000000">
      <w:pPr>
        <w:pStyle w:val="SingleTxt"/>
      </w:pPr>
      <w:r>
        <w:tab/>
        <w:t>Со своей стороны, СЕПРЕМ проводит в жизнь политику в области улу</w:t>
      </w:r>
      <w:r>
        <w:t>ч</w:t>
      </w:r>
      <w:r>
        <w:t>шения положения женщин и План обеспечения равных возможностей на 2001–2006 годы, начался процесс повышения осведомленности правительственных служащих и разработки проектов и программ, направленных на улучшение п</w:t>
      </w:r>
      <w:r>
        <w:t>о</w:t>
      </w:r>
      <w:r>
        <w:t>ложения женщин, с тем чтобы каждый сможет внести свой вклад в ликвидацию существующего неравенства. Тем не менее, все еще сохраняются определенные проблемы, связанные с отсутствием необходимых статистических данных, о</w:t>
      </w:r>
      <w:r>
        <w:t>т</w:t>
      </w:r>
      <w:r>
        <w:t>ражающих должным образом разбивку по половому признаку, что не позволяет составить представление о положении женщин вообще и их проблемах в час</w:t>
      </w:r>
      <w:r>
        <w:t>т</w:t>
      </w:r>
      <w:r>
        <w:t>ности, и разработать адекватный пр</w:t>
      </w:r>
      <w:r>
        <w:t>о</w:t>
      </w:r>
      <w:r>
        <w:t>гноз распределения ресурсов.</w:t>
      </w:r>
    </w:p>
    <w:p w:rsidR="00000000" w:rsidRDefault="00000000">
      <w:pPr>
        <w:pStyle w:val="SingleTxt"/>
      </w:pPr>
      <w:r>
        <w:tab/>
        <w:t>СЕПРЕМ подписал соглашение с Национальным институтом статистики (НИС), в целях разработки статистических методов и показателей с разбивкой по половому признаку, а также в целях проведения таких статистических в</w:t>
      </w:r>
      <w:r>
        <w:t>ы</w:t>
      </w:r>
      <w:r>
        <w:t>борок и исследований, которые бы соответствовали возникающим потребн</w:t>
      </w:r>
      <w:r>
        <w:t>о</w:t>
      </w:r>
      <w:r>
        <w:t>стям.</w:t>
      </w:r>
    </w:p>
    <w:p w:rsidR="00000000" w:rsidRDefault="00000000">
      <w:pPr>
        <w:pStyle w:val="SingleTxt"/>
      </w:pPr>
      <w:r>
        <w:tab/>
        <w:t>Вышесказанное нашло отражение в Соглашении по социально-экономическим вопросам и положению в сельском хозяйстве, в соответствии с которым правительство обязуется принимать во внимание интересы женщин при разработке стратегии, планов и программ развития, признавая тем самым равноправие мужчин и женщин в семье, сфере трудовых отношений, произво</w:t>
      </w:r>
      <w:r>
        <w:t>д</w:t>
      </w:r>
      <w:r>
        <w:t>ственной сфере, а также социальной и политической сфере, обеспечивая раве</w:t>
      </w:r>
      <w:r>
        <w:t>н</w:t>
      </w:r>
      <w:r>
        <w:t>ство возможностей мужчин и женщин, в частности в отношении права на п</w:t>
      </w:r>
      <w:r>
        <w:t>о</w:t>
      </w:r>
      <w:r>
        <w:t>лучение кредита, приобретение земли, права на жилище и т.п.</w:t>
      </w:r>
    </w:p>
    <w:p w:rsidR="00000000" w:rsidRDefault="00000000">
      <w:pPr>
        <w:pStyle w:val="SingleTxt"/>
      </w:pPr>
      <w:r>
        <w:tab/>
        <w:t>В 2001 году в рамках Фонда социального инвестирования было создано Подразделение по гендерным вопросам. В результате его шестилетней де</w:t>
      </w:r>
      <w:r>
        <w:t>я</w:t>
      </w:r>
      <w:r>
        <w:t>тельности по оказанию содействия женщинам в получении кредита за период с 2000 по 2001 год общинные банки выдали женщинам 15 676 кредитов.</w:t>
      </w:r>
    </w:p>
    <w:p w:rsidR="00000000" w:rsidRDefault="00000000">
      <w:pPr>
        <w:pStyle w:val="SingleTxt"/>
      </w:pPr>
      <w:r>
        <w:tab/>
        <w:t>Сельскохозяйственная политика на 2000–2004 годы, разработанная Мин</w:t>
      </w:r>
      <w:r>
        <w:t>и</w:t>
      </w:r>
      <w:r>
        <w:t>стерством сельского хозяйства, животноводства и пищевой промышленности (МАГА), в качестве своего основного направления предусматривает обеспеч</w:t>
      </w:r>
      <w:r>
        <w:t>е</w:t>
      </w:r>
      <w:r>
        <w:t>ние «Равенства мужчин и женщин и улучшение положения женщин и молод</w:t>
      </w:r>
      <w:r>
        <w:t>е</w:t>
      </w:r>
      <w:r>
        <w:t>жи в сельской местности»</w:t>
      </w:r>
      <w:r>
        <w:rPr>
          <w:rStyle w:val="FootnoteReference"/>
        </w:rPr>
        <w:footnoteReference w:customMarkFollows="1" w:id="13"/>
        <w:t>11</w:t>
      </w:r>
      <w:r>
        <w:t>. И это должно найти отражение во всех меропри</w:t>
      </w:r>
      <w:r>
        <w:t>я</w:t>
      </w:r>
      <w:r>
        <w:t>тиях, которые еще предстоит осуществить данной структуре, главным образом в реализации процессов развития при расширении участия женщин, которые способствовали бы сокращению уровня нищеты, социальной изолированности и неравенства посредством государственного регулирования тех видов де</w:t>
      </w:r>
      <w:r>
        <w:t>я</w:t>
      </w:r>
      <w:r>
        <w:t>тельности и социальных ролей, которые традиционно отводятся женщинам, мужчинам и молодежи, проживающих в сельских районах, и которые опред</w:t>
      </w:r>
      <w:r>
        <w:t>е</w:t>
      </w:r>
      <w:r>
        <w:t>ляют их участие в социально-экономическом развитии, а также возможность доступа к благам этого развития.</w:t>
      </w:r>
    </w:p>
    <w:p w:rsidR="00000000" w:rsidRDefault="00000000">
      <w:pPr>
        <w:pStyle w:val="SingleTxt"/>
      </w:pPr>
      <w:r>
        <w:tab/>
        <w:t>С 1995 года МАГА ведет работу с группами женщин, учредив на основ</w:t>
      </w:r>
      <w:r>
        <w:t>а</w:t>
      </w:r>
      <w:r>
        <w:t>нии правительственного Указа 175</w:t>
      </w:r>
      <w:r>
        <w:noBreakHyphen/>
        <w:t>96 Консультативную группу по гендерным вопросам, которая объединяет усилия, предпринимаемые в рамках различных организаций и проектов в сельскохозяйственном секторе, с целью содействия расширению возможностей на местах, модернизации государственного аппар</w:t>
      </w:r>
      <w:r>
        <w:t>а</w:t>
      </w:r>
      <w:r>
        <w:t>та и разработки глобальных стратегий развития с учетом гендерной проблем</w:t>
      </w:r>
      <w:r>
        <w:t>а</w:t>
      </w:r>
      <w:r>
        <w:t>тики.</w:t>
      </w:r>
    </w:p>
    <w:p w:rsidR="00000000" w:rsidRDefault="00000000">
      <w:pPr>
        <w:pStyle w:val="SingleTxt"/>
      </w:pPr>
      <w:r>
        <w:tab/>
        <w:t>При реализации предыдущего проекта в период 1997–1999 годов осно</w:t>
      </w:r>
      <w:r>
        <w:t>в</w:t>
      </w:r>
      <w:r>
        <w:t>ное внимание уделялось следующим элементам: а) учет гендерной проблем</w:t>
      </w:r>
      <w:r>
        <w:t>а</w:t>
      </w:r>
      <w:r>
        <w:t>тики в процессе институциональной перестройки; b) осуществление профе</w:t>
      </w:r>
      <w:r>
        <w:t>с</w:t>
      </w:r>
      <w:r>
        <w:t>сионального обучения сотрудников МАГА по вопросу о принципах гендерного анализа; c) распространение положительного опыта в рамках подхода, осн</w:t>
      </w:r>
      <w:r>
        <w:t>о</w:t>
      </w:r>
      <w:r>
        <w:t>ванного на учете гендерной проблематики; d) содействие процессу модерниз</w:t>
      </w:r>
      <w:r>
        <w:t>а</w:t>
      </w:r>
      <w:r>
        <w:t>ции посредством укрепления институтов гражданского общества и развития между различными органами сотрудничества в решении тех вопросов, которые кас</w:t>
      </w:r>
      <w:r>
        <w:t>а</w:t>
      </w:r>
      <w:r>
        <w:t>ются положения женщин.</w:t>
      </w:r>
    </w:p>
    <w:p w:rsidR="00000000" w:rsidRDefault="00000000">
      <w:pPr>
        <w:pStyle w:val="SingleTxt"/>
      </w:pPr>
      <w:r>
        <w:tab/>
        <w:t>Оказывая техническую и финансовую поддержку Двустороннему комит</w:t>
      </w:r>
      <w:r>
        <w:t>е</w:t>
      </w:r>
      <w:r>
        <w:t>ту МАГА и MUJERES RURALES («Сельские женщины»), в сотрудничестве с координаторами министерства и представителями Сети агентств по содейс</w:t>
      </w:r>
      <w:r>
        <w:t>т</w:t>
      </w:r>
      <w:r>
        <w:t>вию сельскохозяйственному развитию (РАДЕС), а также во взаимодействии с местными неправительственными организациями разработали, с учетом ге</w:t>
      </w:r>
      <w:r>
        <w:t>н</w:t>
      </w:r>
      <w:r>
        <w:t>дерной проблематики, учебные материалы для профессиональной подготовки и помощи техническому персоналу, лидерам общин и работникам службы ра</w:t>
      </w:r>
      <w:r>
        <w:t>с</w:t>
      </w:r>
      <w:r>
        <w:t>пространения сельскохозяйственных знаний. Соответствующую професси</w:t>
      </w:r>
      <w:r>
        <w:t>о</w:t>
      </w:r>
      <w:r>
        <w:t>нальную подготовку прошли 2680 человек.</w:t>
      </w:r>
    </w:p>
    <w:p w:rsidR="00000000" w:rsidRDefault="00000000">
      <w:pPr>
        <w:pStyle w:val="SingleTxt"/>
      </w:pPr>
      <w:r>
        <w:tab/>
        <w:t>Одним из важных произошедших в 200  году событий в контексте оказ</w:t>
      </w:r>
      <w:r>
        <w:t>а</w:t>
      </w:r>
      <w:r>
        <w:t>ния помощи женщинам в сельской местности, явилось создание подразделения по гендерным вопросам, делам женщин и сельской молодежи (постановление министерства № 1525 от 30 октября 2000 года) с целью содействия выработке политики с учетом гендерной проблематики и контроля за соблюдением мер, призванных помочь женщинам добиться успеха в личной и общественной жи</w:t>
      </w:r>
      <w:r>
        <w:t>з</w:t>
      </w:r>
      <w:r>
        <w:t>ни. Основное внимание в работе данного подразделения уделяется вопросам институционализации гендерного подхода в рамках данного министерс</w:t>
      </w:r>
      <w:r>
        <w:t>т</w:t>
      </w:r>
      <w:r>
        <w:t>ва.</w:t>
      </w:r>
    </w:p>
    <w:p w:rsidR="00000000" w:rsidRDefault="00000000">
      <w:pPr>
        <w:pStyle w:val="SingleTxt"/>
      </w:pPr>
      <w:r>
        <w:tab/>
        <w:t>Прогресс, достигнутый в деле установления равенства возможностей в сфере занятости, привел к увеличению уровня занятости и доходов сельских женщин, общественному признанию их труда, развитию механизмов, обесп</w:t>
      </w:r>
      <w:r>
        <w:t>е</w:t>
      </w:r>
      <w:r>
        <w:t>чивающих равные права сельских женщин на пользование и владение ресурс</w:t>
      </w:r>
      <w:r>
        <w:t>а</w:t>
      </w:r>
      <w:r>
        <w:t>ми и средствами производства, повышение их знаний в области традиционных и нетрадиционных сельскохозяйственных культур с передачей технологий, п</w:t>
      </w:r>
      <w:r>
        <w:t>о</w:t>
      </w:r>
      <w:r>
        <w:t>ощрение деловой активности сельских женщин, а также защиту и укрепление гражданских прав женщин, проживающих в сельских районах. Важно отметить рост участия женщин в процессе принятия решений, с учетом их этнических и культурных особенностей.</w:t>
      </w:r>
    </w:p>
    <w:p w:rsidR="00000000" w:rsidRDefault="00000000">
      <w:pPr>
        <w:pStyle w:val="SingleTxt"/>
      </w:pPr>
      <w:r>
        <w:tab/>
        <w:t>Целью политики «Равноправие мужчин и женщин и улучшения полож</w:t>
      </w:r>
      <w:r>
        <w:t>е</w:t>
      </w:r>
      <w:r>
        <w:t>ния женщин в сельской местности» является удовлетворение потребностей сельских женщин при их интеграции в сферу производственных отношений на основе равноправия, а также устранение препятствий политического, социо-экономического и культурного характера, которые ограничивают возможности женщин участвовать и пользоваться преимуществами в: а) развитии человеч</w:t>
      </w:r>
      <w:r>
        <w:t>е</w:t>
      </w:r>
      <w:r>
        <w:t>ского потенциала и b) развитии производства.</w:t>
      </w:r>
    </w:p>
    <w:p w:rsidR="00000000" w:rsidRDefault="00000000">
      <w:pPr>
        <w:pStyle w:val="SingleTxt"/>
      </w:pPr>
      <w:r>
        <w:tab/>
        <w:t>Национальный фонд по восстановлению и модернизации сельскохозяйс</w:t>
      </w:r>
      <w:r>
        <w:t>т</w:t>
      </w:r>
      <w:r>
        <w:t>венной деятельности (ФОНАГРО) выделил средства в объеме 15 030 928 ке</w:t>
      </w:r>
      <w:r>
        <w:t>т</w:t>
      </w:r>
      <w:r>
        <w:t>цалей на реализацию 85 проектов, направленных на улучшение положения женщин в сельской местности.</w:t>
      </w:r>
    </w:p>
    <w:p w:rsidR="00000000" w:rsidRDefault="00000000">
      <w:pPr>
        <w:pStyle w:val="SingleTxt"/>
      </w:pPr>
      <w:r>
        <w:tab/>
        <w:t>МАГА и СОСЕП заключили Рамочное соглашение № 1108</w:t>
      </w:r>
      <w:r>
        <w:noBreakHyphen/>
        <w:t>99 о выдел</w:t>
      </w:r>
      <w:r>
        <w:t>е</w:t>
      </w:r>
      <w:r>
        <w:t>нии финансовой помощи в размере 6 000 000 кетцалей из средств ФОНАГРО на учреждение 103 общинных банков в департаментах Кетцалтенаго, Тотон</w:t>
      </w:r>
      <w:r>
        <w:t>и</w:t>
      </w:r>
      <w:r>
        <w:t>капан, Киче, Альта-Верапас и Петен, под управлением ФУНДЕСПЕ, ФУНДЕМИ-Талита Куми и контролем данного Фонда и программой ПРОМУХЕР. Для того чтобы еще более увеличить масштабы деятельности ФОНАГРО, программе ПРОМУХЕР выделяется еще 4 000 000 кетцалей.</w:t>
      </w:r>
    </w:p>
    <w:p w:rsidR="00000000" w:rsidRDefault="00000000">
      <w:pPr>
        <w:pStyle w:val="SingleTxt"/>
      </w:pPr>
      <w:r>
        <w:tab/>
        <w:t>Входя в состав правления БАНРУРАЛ, МАГА следит за тем, чтобы кр</w:t>
      </w:r>
      <w:r>
        <w:t>е</w:t>
      </w:r>
      <w:r>
        <w:t>дитная политика банка была ориентирована на мелких и средних производит</w:t>
      </w:r>
      <w:r>
        <w:t>е</w:t>
      </w:r>
      <w:r>
        <w:t>лей на условиях равноправия мужчин и женщин при предоставлении кредитов. Особая доверительная собственность проектов ПЛАМАР, ПРОДЕРТ и ПРОКУХУ, помещенных в данном банке, принесла прибыль 2553 женщинам и 5894 мужчинам.</w:t>
      </w:r>
    </w:p>
    <w:p w:rsidR="00000000" w:rsidRDefault="00000000">
      <w:pPr>
        <w:pStyle w:val="SingleTxt"/>
      </w:pPr>
      <w:r>
        <w:tab/>
        <w:t>МАГА передала в ведение Двустороннего комитета МАГА-Mujeres Rurales расположенный в Чималтенанго Центр профессиональной подготовки ДИГЕСА, который непосредственно оказал помощь 300 сельским женщинам и опосредованно — 1800.</w:t>
      </w:r>
    </w:p>
    <w:p w:rsidR="00000000" w:rsidRDefault="00000000">
      <w:pPr>
        <w:pStyle w:val="SingleTxt"/>
      </w:pPr>
      <w:r>
        <w:tab/>
        <w:t>Было организовано 120 новых групп женщин, которые прошли профе</w:t>
      </w:r>
      <w:r>
        <w:t>с</w:t>
      </w:r>
      <w:r>
        <w:t>сиональную подготовку, помощь получили 860 семей, занимающихся садово</w:t>
      </w:r>
      <w:r>
        <w:t>д</w:t>
      </w:r>
      <w:r>
        <w:t>ством, было оказано техническое содействие при выращивании плодовых д</w:t>
      </w:r>
      <w:r>
        <w:t>е</w:t>
      </w:r>
      <w:r>
        <w:t>ревьев (3785 га), а также при организации высадки плодовых деревьев (17 731 га), таким образом, помощь получили 8772 мужчины и 25 477 мужчин. В 2000 году была проведена работа по предотвращению эрозии почв (2910 га) в интересах 2624 женщин и 9334 мужчин. Было распределено 2920 клеток для домашней птицы, в каждой по 10 куриц и петухов, в целях развития птицево</w:t>
      </w:r>
      <w:r>
        <w:t>д</w:t>
      </w:r>
      <w:r>
        <w:t>ства и потребления птицы. Была оказана консультация по вопросам ведения лесного хозяйства (4253 га), создана противопожарная полоса (на 146 000 га), в инт</w:t>
      </w:r>
      <w:r>
        <w:t>е</w:t>
      </w:r>
      <w:r>
        <w:t>ресах 3475 женщин и 10 425 мужчин.</w:t>
      </w:r>
    </w:p>
    <w:p w:rsidR="00000000" w:rsidRDefault="00000000">
      <w:pPr>
        <w:pStyle w:val="SingleTxt"/>
      </w:pPr>
      <w:r>
        <w:tab/>
        <w:t>В 2000 году было роздано 6228,17 метрических тонн продовольственных продуктов с целью реализации в тех общинах, где зарегистрирован высокий процент неимущего населения, проектов развития производственной инфр</w:t>
      </w:r>
      <w:r>
        <w:t>а</w:t>
      </w:r>
      <w:r>
        <w:t>структуры, рекультивации и консервации почв, агролесоводства, а также пр</w:t>
      </w:r>
      <w:r>
        <w:t>о</w:t>
      </w:r>
      <w:r>
        <w:t>фессиональной подготовки и образования, в результате которых помощь пол</w:t>
      </w:r>
      <w:r>
        <w:t>у</w:t>
      </w:r>
      <w:r>
        <w:t>чили 61 488 семей.</w:t>
      </w:r>
    </w:p>
    <w:p w:rsidR="00000000" w:rsidRDefault="00000000">
      <w:pPr>
        <w:pStyle w:val="SingleTxt"/>
      </w:pPr>
      <w:r>
        <w:tab/>
        <w:t>Миграция сельских жителей в города привела к обострению жилищных проблем в городах. Единственным выходом для этих семей являются неблаг</w:t>
      </w:r>
      <w:r>
        <w:t>о</w:t>
      </w:r>
      <w:r>
        <w:t>устроенные временные поселки, в которых стандарты жилья находятся на ни</w:t>
      </w:r>
      <w:r>
        <w:t>з</w:t>
      </w:r>
      <w:r>
        <w:t>ком уровне и отсутствуют коммунальные удобства.</w:t>
      </w:r>
    </w:p>
    <w:p w:rsidR="00000000" w:rsidRDefault="00000000">
      <w:pPr>
        <w:pStyle w:val="SingleTxt"/>
      </w:pPr>
      <w:r>
        <w:tab/>
        <w:t>Отдавая себе отчет в существовании подобной проблемы, правительство на основе модели социальной политики на 2000–2006 годы провело работу с государственными и частными организациями в жилищном секторе по разр</w:t>
      </w:r>
      <w:r>
        <w:t>а</w:t>
      </w:r>
      <w:r>
        <w:t>ботке и осуществлению ряда программ и проектов, направленных на улучш</w:t>
      </w:r>
      <w:r>
        <w:t>е</w:t>
      </w:r>
      <w:r>
        <w:t>ние ситуации в жилищной сфере, льготное кредитование неимущих семей, и прежде всего тех, главой которых являются женщины.</w:t>
      </w:r>
    </w:p>
    <w:p w:rsidR="00000000" w:rsidRDefault="00000000">
      <w:pPr>
        <w:pStyle w:val="SingleTxt"/>
      </w:pPr>
      <w:r>
        <w:tab/>
        <w:t>В целях преодоления существующего дефицита, Гватемальский жили</w:t>
      </w:r>
      <w:r>
        <w:t>щ</w:t>
      </w:r>
      <w:r>
        <w:t>ный фонд при Министерстве коммуникаций, инфраструктуры и жилищного строительства выработал жилищную политику Гватемалы, которая зиждется на трех основных элементах: гендерные аспекты, культурное многообразие и межкультурное взаимодействие, окружающая среда и существующие угрозы. Данная политика была утверждена 6 июля 2001 года, а в дальнейшем, 18 сентября 2001 года, после подписания Договора об учреждении доверител</w:t>
      </w:r>
      <w:r>
        <w:t>ь</w:t>
      </w:r>
      <w:r>
        <w:t>ного фонда с Центральноамериканским банком экономической интеграции (ЦАБЭИ), президент республики сделал заявление, в котором назвал ее офиц</w:t>
      </w:r>
      <w:r>
        <w:t>и</w:t>
      </w:r>
      <w:r>
        <w:t>альном политикой государства.</w:t>
      </w:r>
    </w:p>
    <w:p w:rsidR="00000000" w:rsidRDefault="00000000">
      <w:pPr>
        <w:pStyle w:val="SingleTxt"/>
      </w:pPr>
      <w:r>
        <w:tab/>
        <w:t>Кроме того, ратифицированные Гватемалой международные договоры в области прав человека предусматривают ряд обязательств, касающихся вопр</w:t>
      </w:r>
      <w:r>
        <w:t>о</w:t>
      </w:r>
      <w:r>
        <w:t>сов землепользования и обеспечения удовлетворительных жилищных условий на основе равноправия. Помимо этого, существуют внутригосударственные нормативно-правовые акты, в частности Гражданский кодекс, который регул</w:t>
      </w:r>
      <w:r>
        <w:t>и</w:t>
      </w:r>
      <w:r>
        <w:t>рует имущественные права, право на совместное имущество, и ограничение такого права противоречит идее равноправия мужчин и женщин.</w:t>
      </w:r>
    </w:p>
    <w:p w:rsidR="00000000" w:rsidRDefault="00000000">
      <w:pPr>
        <w:pStyle w:val="SingleTxt"/>
      </w:pPr>
      <w:r>
        <w:tab/>
        <w:t>Традиционно право женщин на владение землей было ограничено, вне з</w:t>
      </w:r>
      <w:r>
        <w:t>а</w:t>
      </w:r>
      <w:r>
        <w:t>висимости от того, являлась ли она владелицей, будучи матерью-одиночкой, вдовой или в разводе, или совладелицей участка, состоя в браке. Подобная с</w:t>
      </w:r>
      <w:r>
        <w:t>и</w:t>
      </w:r>
      <w:r>
        <w:t>туация сложилась в силу устоявшихся культурных стереотипов, которые проя</w:t>
      </w:r>
      <w:r>
        <w:t>в</w:t>
      </w:r>
      <w:r>
        <w:t>ляются в ра</w:t>
      </w:r>
      <w:r>
        <w:t>з</w:t>
      </w:r>
      <w:r>
        <w:t>личных этнических группах.</w:t>
      </w:r>
    </w:p>
    <w:p w:rsidR="00000000" w:rsidRDefault="00000000">
      <w:pPr>
        <w:pStyle w:val="SingleTxt"/>
      </w:pPr>
      <w:r>
        <w:tab/>
        <w:t>Закон о земельном фонде, принятый Указом № 24</w:t>
      </w:r>
      <w:r>
        <w:noBreakHyphen/>
        <w:t>99, предусматривает в качестве основной задачи проведение государственной политики по кредит</w:t>
      </w:r>
      <w:r>
        <w:t>о</w:t>
      </w:r>
      <w:r>
        <w:t>ванию населения, в целях обеспечения доступа к земле, эта программа поо</w:t>
      </w:r>
      <w:r>
        <w:t>щ</w:t>
      </w:r>
      <w:r>
        <w:t>ряет рациональное использование природных ресурсов и предусматривает со</w:t>
      </w:r>
      <w:r>
        <w:t>з</w:t>
      </w:r>
      <w:r>
        <w:t>дание условий, необходимых для всестороннего развития сельских районов, а также помощь в приобретении жилья, которое бы удовлетворяло базовым п</w:t>
      </w:r>
      <w:r>
        <w:t>о</w:t>
      </w:r>
      <w:r>
        <w:t>требностям граждан. Данный закон отражает государственную политику, н</w:t>
      </w:r>
      <w:r>
        <w:t>а</w:t>
      </w:r>
      <w:r>
        <w:t>правленную на создание общественных фондов с целью противодействия об</w:t>
      </w:r>
      <w:r>
        <w:t>о</w:t>
      </w:r>
      <w:r>
        <w:t>стряющемуся процессу обнищания населения, а также приданию гибкости г</w:t>
      </w:r>
      <w:r>
        <w:t>о</w:t>
      </w:r>
      <w:r>
        <w:t>суда</w:t>
      </w:r>
      <w:r>
        <w:t>р</w:t>
      </w:r>
      <w:r>
        <w:t>ственной системе управления.</w:t>
      </w:r>
    </w:p>
    <w:p w:rsidR="00000000" w:rsidRDefault="00000000">
      <w:pPr>
        <w:pStyle w:val="SingleTxt"/>
      </w:pPr>
      <w:r>
        <w:tab/>
        <w:t>Данный закон устанавливает критерии, на основании которых осущест</w:t>
      </w:r>
      <w:r>
        <w:t>в</w:t>
      </w:r>
      <w:r>
        <w:t>ляется отбор претендентов на участие в программах Фонда, при этом мужчины и женщины упоминаются по отдельности: a) безземельные крестьяне и крест</w:t>
      </w:r>
      <w:r>
        <w:t>ь</w:t>
      </w:r>
      <w:r>
        <w:t>янки; b) крестьяне и крестьянки, располагающие недостаточными наделами земель; c) крестьяне и крестьянки в условиях нищеты.</w:t>
      </w:r>
    </w:p>
    <w:p w:rsidR="00000000" w:rsidRDefault="00000000">
      <w:pPr>
        <w:pStyle w:val="SingleTxt"/>
      </w:pPr>
      <w:r>
        <w:tab/>
        <w:t>В настоящее время представляется необходимым рассмотреть положения Муниципального кодекса в целях внесения в него ряда поправок, необходимых для обеспечения развития на местах, равного участия различных этнических групп, мужчин и женщин в работе совещательных политических органов. С</w:t>
      </w:r>
      <w:r>
        <w:t>о</w:t>
      </w:r>
      <w:r>
        <w:t>ответствующее предложение уже было внесено исполнительной властью на рассмотрение Конгресса республ</w:t>
      </w:r>
      <w:r>
        <w:t>и</w:t>
      </w:r>
      <w:r>
        <w:t>ки.</w:t>
      </w:r>
    </w:p>
    <w:p w:rsidR="00000000" w:rsidRDefault="00000000">
      <w:pPr>
        <w:pStyle w:val="SingleTxt"/>
      </w:pPr>
      <w:r>
        <w:tab/>
        <w:t>Что касается участия в социально-экономической деятельности, то ур</w:t>
      </w:r>
      <w:r>
        <w:t>о</w:t>
      </w:r>
      <w:r>
        <w:t>вень участия женщин в кооперативных обществах ниже, по сравнению с му</w:t>
      </w:r>
      <w:r>
        <w:t>ж</w:t>
      </w:r>
      <w:r>
        <w:t>чинами, хотя уже и наметился определенный прогресс, кроме того, налицо сл</w:t>
      </w:r>
      <w:r>
        <w:t>а</w:t>
      </w:r>
      <w:r>
        <w:t>бое участие женщин в тех отраслях экономики, где отмечается наибольший уровень доходов и производственной прибыли, так, например, на 39 600 членов сельскохозяйственных кооперат</w:t>
      </w:r>
      <w:r>
        <w:t>и</w:t>
      </w:r>
      <w:r>
        <w:t>вов приходится всего 3150 женщин</w:t>
      </w:r>
      <w:r>
        <w:rPr>
          <w:rStyle w:val="FootnoteReference"/>
        </w:rPr>
        <w:footnoteReference w:customMarkFollows="1" w:id="14"/>
        <w:t>12</w:t>
      </w:r>
      <w:r>
        <w:t>.</w:t>
      </w:r>
    </w:p>
    <w:p w:rsidR="00000000" w:rsidRDefault="00000000">
      <w:pPr>
        <w:pStyle w:val="SingleTxt"/>
      </w:pPr>
      <w:r>
        <w:tab/>
        <w:t>ФОНТИЕРРАС оказывает содействие доступу к землепользованию п</w:t>
      </w:r>
      <w:r>
        <w:t>о</w:t>
      </w:r>
      <w:r>
        <w:t>средством финансовых механизмов около 60 тысячам семей с учетом сущес</w:t>
      </w:r>
      <w:r>
        <w:t>т</w:t>
      </w:r>
      <w:r>
        <w:t>вующих потребностей и на основе официальной петиции 531 группы, пре</w:t>
      </w:r>
      <w:r>
        <w:t>д</w:t>
      </w:r>
      <w:r>
        <w:t>ставляющей 35 457 семей. С января 1998 года по 31 марта 2000 года Фонд профинансировал приобретение земли 2476 семьями общим объемом 13 408 гектаров. В 271 семье из числа получивших кредиты главой семьи явл</w:t>
      </w:r>
      <w:r>
        <w:t>я</w:t>
      </w:r>
      <w:r>
        <w:t>ется женщина (11 процентов от общего числа). Общий объем предоставляемых кредитов достиг 84 054 667 кетцалей, при дополнительном объеме средств в 24 860 000 кетцалей, по большей части предоставляемых национальными фо</w:t>
      </w:r>
      <w:r>
        <w:t>н</w:t>
      </w:r>
      <w:r>
        <w:t>д</w:t>
      </w:r>
      <w:r>
        <w:t>а</w:t>
      </w:r>
      <w:r>
        <w:t>ми и проходящих по статье социальных выплат.</w:t>
      </w:r>
    </w:p>
    <w:p w:rsidR="00000000" w:rsidRDefault="00000000">
      <w:pPr>
        <w:pStyle w:val="SingleTxt"/>
      </w:pPr>
      <w:r>
        <w:tab/>
        <w:t>Титул собственности на землю передается обоим супругам или совместно проживающим главам семьи с целью обеспечения прав женщин, занимающи</w:t>
      </w:r>
      <w:r>
        <w:t>х</w:t>
      </w:r>
      <w:r>
        <w:t>ся сельским хозяйством. Также определяется необходимость поощрения уч</w:t>
      </w:r>
      <w:r>
        <w:t>а</w:t>
      </w:r>
      <w:r>
        <w:t>стия женщин в проектах данного фонда в индивидуальной и коллективной форме.</w:t>
      </w:r>
    </w:p>
    <w:p w:rsidR="00000000" w:rsidRDefault="00000000">
      <w:pPr>
        <w:pStyle w:val="SingleTxt"/>
      </w:pPr>
      <w:r>
        <w:tab/>
        <w:t>КОНТИЕРРА: в его функции входит вмешательство и урегулирование з</w:t>
      </w:r>
      <w:r>
        <w:t>е</w:t>
      </w:r>
      <w:r>
        <w:t>мельных споров на основании обращения одной сторон и предоставление бе</w:t>
      </w:r>
      <w:r>
        <w:t>с</w:t>
      </w:r>
      <w:r>
        <w:t>платных консультаций и правовой помощи крестьянам и/или их организациям в случае судебных разбирательств, включая особые функции в рамках земел</w:t>
      </w:r>
      <w:r>
        <w:t>ь</w:t>
      </w:r>
      <w:r>
        <w:t>ного законодательства. В его обязанности входит содействие участию женщин в деятельности по защите их интересов, главным образом на уровне общины, тем самым способствуя достижению большего равенства женщин в данной о</w:t>
      </w:r>
      <w:r>
        <w:t>б</w:t>
      </w:r>
      <w:r>
        <w:t>ласти, которое имеет столь важное значение для развития страны.</w:t>
      </w:r>
    </w:p>
    <w:p w:rsidR="00000000" w:rsidRDefault="00000000">
      <w:pPr>
        <w:pStyle w:val="SingleTxt"/>
      </w:pPr>
      <w:r>
        <w:tab/>
        <w:t>Политика регулирования землепользования, осуществляемая в настоящий момент Министерством сельского хозяйства, животноводства и пищевой пр</w:t>
      </w:r>
      <w:r>
        <w:t>о</w:t>
      </w:r>
      <w:r>
        <w:t>мышленности и Институтом аграрной реформы, может быть реализована тол</w:t>
      </w:r>
      <w:r>
        <w:t>ь</w:t>
      </w:r>
      <w:r>
        <w:t>ко в 30. Около 10 процентов бенефициариев распределения земель составляли женщины.</w:t>
      </w:r>
    </w:p>
    <w:p w:rsidR="00000000" w:rsidRDefault="00000000">
      <w:pPr>
        <w:pStyle w:val="SingleTxt"/>
      </w:pPr>
      <w:r>
        <w:tab/>
        <w:t>Политика оказания приоритетной поддержки семьям, живущим в услов</w:t>
      </w:r>
      <w:r>
        <w:t>и</w:t>
      </w:r>
      <w:r>
        <w:t>ях бедности и крайней нищеты, включает трансверсальные программы и пр</w:t>
      </w:r>
      <w:r>
        <w:t>о</w:t>
      </w:r>
      <w:r>
        <w:t>екты в области гендерной проблематики, мультикультурализма, защиты окр</w:t>
      </w:r>
      <w:r>
        <w:t>у</w:t>
      </w:r>
      <w:r>
        <w:t>жа</w:t>
      </w:r>
      <w:r>
        <w:t>ю</w:t>
      </w:r>
      <w:r>
        <w:t>щей среды и рисков.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Участие в политической и общественной жизни и гражданское состояние женщин</w:t>
      </w:r>
    </w:p>
    <w:p w:rsidR="00000000" w:rsidRDefault="00000000">
      <w:pPr>
        <w:pStyle w:val="SingleTxt"/>
        <w:keepNext/>
        <w:spacing w:after="0" w:line="120" w:lineRule="exact"/>
        <w:rPr>
          <w:sz w:val="10"/>
        </w:rPr>
      </w:pPr>
    </w:p>
    <w:p w:rsidR="00000000" w:rsidRDefault="00000000">
      <w:pPr>
        <w:pStyle w:val="SingleTxt"/>
      </w:pPr>
      <w:r>
        <w:tab/>
        <w:t>Соглашение по социально-экономическим вопросам и положению в сел</w:t>
      </w:r>
      <w:r>
        <w:t>ь</w:t>
      </w:r>
      <w:r>
        <w:t>ском хозяйстве предусматривает учет интересов женщин при разработке стр</w:t>
      </w:r>
      <w:r>
        <w:t>а</w:t>
      </w:r>
      <w:r>
        <w:t>тегий, планов и программ в области развития,  признавая равенство прав му</w:t>
      </w:r>
      <w:r>
        <w:t>ж</w:t>
      </w:r>
      <w:r>
        <w:t>чин и женщин в семье, в области занятости, производства и в политической и общественной жизни, гарантируя женщинам равные с мужчинами возможн</w:t>
      </w:r>
      <w:r>
        <w:t>о</w:t>
      </w:r>
      <w:r>
        <w:t>сти, в частности в отношении доступа к получению кредитов, приобретения земли, собственного жилья и других ресурсов, устраняя препятствия и огран</w:t>
      </w:r>
      <w:r>
        <w:t>и</w:t>
      </w:r>
      <w:r>
        <w:t>чения прав женщин на получение кредита и строительство. Конечно, для в</w:t>
      </w:r>
      <w:r>
        <w:t>ы</w:t>
      </w:r>
      <w:r>
        <w:t>полнения данных обязательств прилагаются усилия, однако многое еще пре</w:t>
      </w:r>
      <w:r>
        <w:t>д</w:t>
      </w:r>
      <w:r>
        <w:t>стоит сделать, как в области институционализации, так и культуры отношений между мужчиной и женщиной.</w:t>
      </w:r>
    </w:p>
    <w:p w:rsidR="00000000" w:rsidRDefault="00000000">
      <w:pPr>
        <w:pStyle w:val="SingleTxt"/>
      </w:pPr>
      <w:r>
        <w:tab/>
        <w:t>Признается необходимость гарантирования прав женских организаций и их участие на равных с мужчинами условиях в органах власти и принятии р</w:t>
      </w:r>
      <w:r>
        <w:t>е</w:t>
      </w:r>
      <w:r>
        <w:t>шений на местном, региональном и национальном уровнях. С учетом этого в указанном соглашении, в словах «содействовать проведению реформы Закона о городских и сельских советах по вопросам развития в целях увеличения числа секторов, участвующих в работе советов по вопросам развития в департаме</w:t>
      </w:r>
      <w:r>
        <w:t>н</w:t>
      </w:r>
      <w:r>
        <w:t>тах и районах», указывается на необходимость пересмотра ряда правовых и</w:t>
      </w:r>
      <w:r>
        <w:t>н</w:t>
      </w:r>
      <w:r>
        <w:t>струментов, содержащих положения, способствующие такому участию.</w:t>
      </w:r>
    </w:p>
    <w:p w:rsidR="00000000" w:rsidRDefault="00000000">
      <w:pPr>
        <w:pStyle w:val="SingleTxt"/>
      </w:pPr>
      <w:r>
        <w:tab/>
        <w:t>В области реформы указанного закона достигнут прогресс вследствие проведения активной кампании с участием представительниц различных учр</w:t>
      </w:r>
      <w:r>
        <w:t>е</w:t>
      </w:r>
      <w:r>
        <w:t>ждений и организаций, которые вначале внесли в Конгресс республики закон</w:t>
      </w:r>
      <w:r>
        <w:t>о</w:t>
      </w:r>
      <w:r>
        <w:t>проект, в котором высказывались в пользу участия в работе местных советов этнических и других видов организаций. В настоящий момент в Конгрессе на обсуждении находится законопроект, содержащий поправки к предыдущему варианту и вскоре подлежит опубликованию. СЕПРЕМ принимал участие в п</w:t>
      </w:r>
      <w:r>
        <w:t>о</w:t>
      </w:r>
      <w:r>
        <w:t>следнем внесении изменений в законопроект перед его принятием.</w:t>
      </w:r>
    </w:p>
    <w:p w:rsidR="00000000" w:rsidRDefault="00000000">
      <w:pPr>
        <w:pStyle w:val="SingleTxt"/>
      </w:pPr>
      <w:r>
        <w:tab/>
        <w:t>По данным Секретариата по модернизации и децентрализации, в стране сейчас на государственных должностях находятся 127 женщин, избранным по па</w:t>
      </w:r>
      <w:r>
        <w:t>р</w:t>
      </w:r>
      <w:r>
        <w:t>тийным спискам и выдвинутых гражданскими комитетами.</w:t>
      </w:r>
    </w:p>
    <w:p w:rsidR="00000000" w:rsidRDefault="00000000">
      <w:pPr>
        <w:pStyle w:val="SingleTxt"/>
      </w:pPr>
      <w:r>
        <w:tab/>
        <w:t>На выборах 1999 года доля женщин от общего числа участвовавших в г</w:t>
      </w:r>
      <w:r>
        <w:t>о</w:t>
      </w:r>
      <w:r>
        <w:t>лосовании составила 46,8 процентов в департаменте Гватемала, что является самым высоким показателем по стране, затем идут департаменты Сакапа, Эс</w:t>
      </w:r>
      <w:r>
        <w:t>к</w:t>
      </w:r>
      <w:r>
        <w:t>винтла и Хутиапа со средним уровнем участия женщин 40 процентов, а самый низкий показатель в 18,4 процента</w:t>
      </w:r>
      <w:r>
        <w:rPr>
          <w:rStyle w:val="a"/>
        </w:rPr>
        <w:footnoteReference w:customMarkFollows="1" w:id="15"/>
        <w:t>13</w:t>
      </w:r>
      <w:r>
        <w:t xml:space="preserve"> был отмечен в департаменте Альта-Верапас.</w:t>
      </w:r>
    </w:p>
    <w:p w:rsidR="00000000" w:rsidRDefault="00000000">
      <w:pPr>
        <w:pStyle w:val="SingleTxt"/>
      </w:pPr>
      <w:r>
        <w:tab/>
        <w:t>В соответствии с Законодательным постановлением № 68</w:t>
      </w:r>
      <w:r>
        <w:noBreakHyphen/>
        <w:t>2000, специал</w:t>
      </w:r>
      <w:r>
        <w:t>ь</w:t>
      </w:r>
      <w:r>
        <w:t>ная комиссия по вопросам выборов должна принять решение о целостности з</w:t>
      </w:r>
      <w:r>
        <w:t>а</w:t>
      </w:r>
      <w:r>
        <w:t>конодательства с точки зрения достижения большей справедливости в отнош</w:t>
      </w:r>
      <w:r>
        <w:t>е</w:t>
      </w:r>
      <w:r>
        <w:t>нии участия женщин Гватемалы в политической жизни.</w:t>
      </w:r>
    </w:p>
    <w:p w:rsidR="00000000" w:rsidRDefault="00000000">
      <w:pPr>
        <w:pStyle w:val="SingleTxt"/>
      </w:pPr>
      <w:r>
        <w:tab/>
        <w:t>В Законе 7</w:t>
      </w:r>
      <w:r>
        <w:noBreakHyphen/>
        <w:t>99 о всестороннем улучшении положения женщин, принятом Конгрессом республики в марте 1999 года, отражено улучшение положения в обла</w:t>
      </w:r>
      <w:r>
        <w:t>с</w:t>
      </w:r>
      <w:r>
        <w:t>ти участия женщин в политической жизни.</w:t>
      </w:r>
    </w:p>
    <w:p w:rsidR="00000000" w:rsidRDefault="00000000">
      <w:pPr>
        <w:pStyle w:val="SingleTxt"/>
      </w:pPr>
      <w:r>
        <w:t>Национальный женский форум, созданный на основе постановления Прав</w:t>
      </w:r>
      <w:r>
        <w:t>и</w:t>
      </w:r>
      <w:r>
        <w:t>тельства № 105</w:t>
      </w:r>
      <w:r>
        <w:noBreakHyphen/>
        <w:t>98, представляет собой плюралистическую организацию, обе</w:t>
      </w:r>
      <w:r>
        <w:t>с</w:t>
      </w:r>
      <w:r>
        <w:t>печивающую участие женщин в политической жизни с целью активизации процесса достижения согласия при осуществлении политики развития в соо</w:t>
      </w:r>
      <w:r>
        <w:t>т</w:t>
      </w:r>
      <w:r>
        <w:t>ветствии с международными договорами, ратифицированными Гватемалой, и государственной политики, разработанной на основе Мирных соглашений, и продолжает свою деятельность.</w:t>
      </w:r>
    </w:p>
    <w:p w:rsidR="00000000" w:rsidRDefault="00000000">
      <w:pPr>
        <w:pStyle w:val="SingleTxt"/>
      </w:pPr>
      <w:r>
        <w:tab/>
        <w:t>Представительство женщин в области международных отношений: же</w:t>
      </w:r>
      <w:r>
        <w:t>н</w:t>
      </w:r>
      <w:r>
        <w:t>щина имеет право и возможность представлять государство на международном уровне. В настоящий момент среди женщин Гватемалы есть 4 посла (10,8 пр</w:t>
      </w:r>
      <w:r>
        <w:t>о</w:t>
      </w:r>
      <w:r>
        <w:t>це</w:t>
      </w:r>
      <w:r>
        <w:t>н</w:t>
      </w:r>
      <w:r>
        <w:t>та), 4 генеральных консула (30,8 процента), один консул и 12 вице-консулов. Из 230 сотрудников сферы международных отношений женщины с</w:t>
      </w:r>
      <w:r>
        <w:t>о</w:t>
      </w:r>
      <w:r>
        <w:t>ставляют 2,2 процента, СЕПРЕМ представляет Правительство Гватемалы в Межамерика</w:t>
      </w:r>
      <w:r>
        <w:t>н</w:t>
      </w:r>
      <w:r>
        <w:t>ской комиссии женщин — СИМ, ОАГ и в ООН.</w:t>
      </w:r>
    </w:p>
    <w:p w:rsidR="00000000" w:rsidRDefault="00000000">
      <w:pPr>
        <w:pStyle w:val="SingleTxt"/>
      </w:pPr>
      <w:r>
        <w:tab/>
        <w:t>В настоящее время в Министерстве иностранных дел работают 26 же</w:t>
      </w:r>
      <w:r>
        <w:t>н</w:t>
      </w:r>
      <w:r>
        <w:t>щин, занимающих следующие должности: заместителя Министра иностранных дел, главы кабинета, советника, директора, заместителя директора и начальн</w:t>
      </w:r>
      <w:r>
        <w:t>и</w:t>
      </w:r>
      <w:r>
        <w:t>ка о</w:t>
      </w:r>
      <w:r>
        <w:t>т</w:t>
      </w:r>
      <w:r>
        <w:t>дела и департамента.</w:t>
      </w:r>
    </w:p>
    <w:p w:rsidR="00000000" w:rsidRDefault="00000000">
      <w:pPr>
        <w:pStyle w:val="SingleTxt"/>
      </w:pPr>
      <w:r>
        <w:tab/>
        <w:t>В Министерстве экономики работает высокопрофессиональный персонал, среди которых одинак</w:t>
      </w:r>
      <w:r>
        <w:t>о</w:t>
      </w:r>
      <w:r>
        <w:t>вое число мужчин и женщин.</w:t>
      </w:r>
    </w:p>
    <w:p w:rsidR="00000000" w:rsidRDefault="00000000">
      <w:pPr>
        <w:pStyle w:val="SingleTxt"/>
      </w:pPr>
      <w:r>
        <w:tab/>
        <w:t>На всеобщих выборах на  избираемые должности было выдвинуто 1409 женщин: 2 человека на пост президента, 2 — вице-президента, 28 - на посты депутатов по общенациональному списку, 30 человек было выдвинуто в деп</w:t>
      </w:r>
      <w:r>
        <w:t>у</w:t>
      </w:r>
      <w:r>
        <w:t>таты Центральноамериканского парламента и 35 — на посты заместителей д</w:t>
      </w:r>
      <w:r>
        <w:t>е</w:t>
      </w:r>
      <w:r>
        <w:t>путатов, 105 — в депутаты окружных собраний, всего было выдвинуто 202 женщины.</w:t>
      </w:r>
    </w:p>
    <w:p w:rsidR="00000000" w:rsidRDefault="00000000">
      <w:pPr>
        <w:pStyle w:val="SingleTxt"/>
      </w:pPr>
      <w:r>
        <w:tab/>
        <w:t>На должности членов  муниципалитетов было выдвинуто 50 человек, и еще 152 — на прочие дол</w:t>
      </w:r>
      <w:r>
        <w:t>ж</w:t>
      </w:r>
      <w:r>
        <w:t>ности.</w:t>
      </w:r>
    </w:p>
    <w:p w:rsidR="00000000" w:rsidRDefault="00000000">
      <w:pPr>
        <w:pStyle w:val="SingleTxt"/>
      </w:pPr>
      <w:r>
        <w:tab/>
        <w:t>В департаменте Гватемала 20 женщин было избрано на муниципальные должности, а именно: одна женщина — на пост мэра, 3 — синдика и 2 — з</w:t>
      </w:r>
      <w:r>
        <w:t>а</w:t>
      </w:r>
      <w:r>
        <w:t>местителя синдика, 11 — депутатов городского совета и 3 — заместителей д</w:t>
      </w:r>
      <w:r>
        <w:t>е</w:t>
      </w:r>
      <w:r>
        <w:t>путатов. По всей стране на муниципальные должности избрано 127 женщин, в том числе на пост мэра — 3 человека, 16 — на должности синдиков и 7 — з</w:t>
      </w:r>
      <w:r>
        <w:t>а</w:t>
      </w:r>
      <w:r>
        <w:t>местителей синдиков, 71 — депутатов городского совета и 30 — заместителей деп</w:t>
      </w:r>
      <w:r>
        <w:t>у</w:t>
      </w:r>
      <w:r>
        <w:t>татов.</w:t>
      </w:r>
    </w:p>
    <w:p w:rsidR="00000000" w:rsidRDefault="00000000">
      <w:pPr>
        <w:pStyle w:val="SingleTxt"/>
      </w:pPr>
      <w:r>
        <w:tab/>
        <w:t>Представительство женщин в крестьянских организациях в 2000 году б</w:t>
      </w:r>
      <w:r>
        <w:t>ы</w:t>
      </w:r>
      <w:r>
        <w:t>ло следующим: 120 в Комитете союза крестьян (КУК), 170 в Национальном к</w:t>
      </w:r>
      <w:r>
        <w:t>о</w:t>
      </w:r>
      <w:r>
        <w:t>ординационном центре крестьян-представителей коренных народов (КОНИК), 155 в организации «Сотрудничество по развитию сельских районов запада страны» (КДРО), 145 в Координационном центре ассоциаций всестороннего  развития юго-запада Гватемалы (КАДИСОГУА) и 145 в АСОСИАСИОНЕС КАМПЕСИНАС.</w:t>
      </w:r>
      <w:r>
        <w:rPr>
          <w:rStyle w:val="a"/>
        </w:rPr>
        <w:footnoteReference w:customMarkFollows="1" w:id="16"/>
        <w:t>14</w:t>
      </w:r>
    </w:p>
    <w:p w:rsidR="00000000" w:rsidRDefault="00000000">
      <w:pPr>
        <w:pStyle w:val="SingleTxt"/>
      </w:pPr>
      <w:r>
        <w:tab/>
        <w:t>По данным Министерства иностранных дел, согласно Закону о гватемал</w:t>
      </w:r>
      <w:r>
        <w:t>ь</w:t>
      </w:r>
      <w:r>
        <w:t>ском гражданстве и Ко</w:t>
      </w:r>
      <w:r>
        <w:t>н</w:t>
      </w:r>
      <w:r>
        <w:t>венции о гражданстве замужней женщины, женщина-иностранка может приобрести гватемальское гражданство посредством брака с гватемальским гражданином. Брак гражданки Гватемалы с иностранцем или смена гражданства ее супругом не влечет за собой изменение ее гражданства.</w:t>
      </w:r>
    </w:p>
    <w:p w:rsidR="00000000" w:rsidRDefault="00000000">
      <w:pPr>
        <w:pStyle w:val="SingleTxt"/>
      </w:pPr>
      <w:r>
        <w:tab/>
        <w:t>В Законе № 95-98 о миграции Конгресса Республики, нелегальный провоз мигрантов квалифицируется в качестве правонарушения и приводится опис</w:t>
      </w:r>
      <w:r>
        <w:t>а</w:t>
      </w:r>
      <w:r>
        <w:t>ние механизма сотрудничества правительственных и неправительственных и</w:t>
      </w:r>
      <w:r>
        <w:t>н</w:t>
      </w:r>
      <w:r>
        <w:t>ститутов в области защиты основных прав человека. Несмотря на это, подо</w:t>
      </w:r>
      <w:r>
        <w:t>б</w:t>
      </w:r>
      <w:r>
        <w:t>ная практика по-прежнему является распространенной и способствует обос</w:t>
      </w:r>
      <w:r>
        <w:t>т</w:t>
      </w:r>
      <w:r>
        <w:t>рению ситуации с нарушением прав мигрантов. Согласно данным статистики Управления по правам человека Миграционной службы, в первом полугодии с.г. были приняты заявления от 1560 пострадавших и выявлено 1926 наруш</w:t>
      </w:r>
      <w:r>
        <w:t>е</w:t>
      </w:r>
      <w:r>
        <w:t>ний прав мигрантов.</w:t>
      </w:r>
    </w:p>
    <w:p w:rsidR="00000000" w:rsidRDefault="00000000">
      <w:pPr>
        <w:pStyle w:val="SingleTxt"/>
      </w:pPr>
      <w:r>
        <w:tab/>
        <w:t>В Постановлении Правительства № 529</w:t>
      </w:r>
      <w:r>
        <w:noBreakHyphen/>
        <w:t>99, содержащем Регламент Закона о миграции, определяется структура и функции правительственных органов, ответственных за выполнение положений Закона о миграции.</w:t>
      </w:r>
    </w:p>
    <w:p w:rsidR="00000000" w:rsidRDefault="00000000">
      <w:pPr>
        <w:pStyle w:val="SingleTxt"/>
      </w:pPr>
      <w:r>
        <w:tab/>
        <w:t>Указ № 75</w:t>
      </w:r>
      <w:r>
        <w:noBreakHyphen/>
        <w:t>97 содержит Временный специальный закон о личной док</w:t>
      </w:r>
      <w:r>
        <w:t>у</w:t>
      </w:r>
      <w:r>
        <w:t>ментации, касающийся вынужденных переселенцев — граждан Гватемалы, как за пределами данной страны, так и на ее территории. Данный документ позв</w:t>
      </w:r>
      <w:r>
        <w:t>о</w:t>
      </w:r>
      <w:r>
        <w:t>ляет устанавливать личность тех, кто вынужден был покинуть место постоя</w:t>
      </w:r>
      <w:r>
        <w:t>н</w:t>
      </w:r>
      <w:r>
        <w:t>ного проживания вследствие вооруженного конфликта, тем самым делая во</w:t>
      </w:r>
      <w:r>
        <w:t>з</w:t>
      </w:r>
      <w:r>
        <w:t>можным осуществление их гражданских и политических прав в полном объ</w:t>
      </w:r>
      <w:r>
        <w:t>е</w:t>
      </w:r>
      <w:r>
        <w:t>ме.</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Приложения</w:t>
      </w:r>
    </w:p>
    <w:p w:rsidR="00000000" w:rsidRDefault="00000000"/>
    <w:p w:rsidR="00000000" w:rsidRDefault="00000000">
      <w:pPr>
        <w:pStyle w:val="DualTxt"/>
        <w:tabs>
          <w:tab w:val="clear" w:pos="480"/>
          <w:tab w:val="clear" w:pos="960"/>
          <w:tab w:val="left" w:pos="475"/>
          <w:tab w:val="left" w:pos="965"/>
        </w:tabs>
        <w:spacing w:after="0" w:line="120" w:lineRule="exact"/>
        <w:rPr>
          <w:sz w:val="10"/>
        </w:rPr>
      </w:pPr>
      <w:r>
        <w:br w:type="page"/>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H23"/>
      </w:pPr>
      <w:r>
        <w:t>2.</w:t>
      </w:r>
      <w:r>
        <w:tab/>
        <w:t>Таблицы</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spacing w:after="80"/>
        <w:rPr>
          <w:b/>
        </w:rPr>
      </w:pPr>
      <w:r>
        <w:rPr>
          <w:b/>
        </w:rPr>
        <w:t>Таблица 2.1. Доля лиц,  перешедших на следующую ступень обучения, от общего числа поступи</w:t>
      </w:r>
      <w:r>
        <w:rPr>
          <w:b/>
        </w:rPr>
        <w:t>в</w:t>
      </w:r>
      <w:r>
        <w:rPr>
          <w:b/>
        </w:rPr>
        <w:t>ших, в разбивке по уровням образования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9"/>
        <w:gridCol w:w="2549"/>
        <w:gridCol w:w="2549"/>
      </w:tblGrid>
      <w:tr w:rsidR="00000000">
        <w:tblPrEx>
          <w:tblCellMar>
            <w:top w:w="0" w:type="dxa"/>
            <w:bottom w:w="0" w:type="dxa"/>
          </w:tblCellMar>
        </w:tblPrEx>
        <w:trPr>
          <w:trHeight w:val="689"/>
        </w:trPr>
        <w:tc>
          <w:tcPr>
            <w:tcW w:w="2549" w:type="dxa"/>
          </w:tcPr>
          <w:p w:rsidR="00000000" w:rsidRDefault="00000000">
            <w:pPr>
              <w:spacing w:after="80"/>
              <w:jc w:val="center"/>
              <w:rPr>
                <w:sz w:val="18"/>
              </w:rPr>
            </w:pPr>
            <w:r>
              <w:rPr>
                <w:sz w:val="18"/>
              </w:rPr>
              <w:t>Уровень образования</w:t>
            </w:r>
          </w:p>
        </w:tc>
        <w:tc>
          <w:tcPr>
            <w:tcW w:w="2549" w:type="dxa"/>
          </w:tcPr>
          <w:p w:rsidR="00000000" w:rsidRDefault="00000000">
            <w:pPr>
              <w:spacing w:after="80"/>
              <w:jc w:val="center"/>
              <w:rPr>
                <w:sz w:val="18"/>
              </w:rPr>
            </w:pPr>
            <w:r>
              <w:rPr>
                <w:sz w:val="18"/>
              </w:rPr>
              <w:t>Год</w:t>
            </w:r>
          </w:p>
        </w:tc>
        <w:tc>
          <w:tcPr>
            <w:tcW w:w="2549" w:type="dxa"/>
          </w:tcPr>
          <w:p w:rsidR="00000000" w:rsidRDefault="00000000">
            <w:pPr>
              <w:spacing w:after="80"/>
              <w:jc w:val="center"/>
              <w:rPr>
                <w:sz w:val="18"/>
              </w:rPr>
            </w:pPr>
            <w:r>
              <w:rPr>
                <w:sz w:val="18"/>
              </w:rPr>
              <w:t>Прирост в процентах</w:t>
            </w:r>
          </w:p>
        </w:tc>
      </w:tr>
      <w:tr w:rsidR="00000000">
        <w:tblPrEx>
          <w:tblCellMar>
            <w:top w:w="0" w:type="dxa"/>
            <w:bottom w:w="0" w:type="dxa"/>
          </w:tblCellMar>
        </w:tblPrEx>
        <w:tc>
          <w:tcPr>
            <w:tcW w:w="2549" w:type="dxa"/>
          </w:tcPr>
          <w:p w:rsidR="00000000" w:rsidRDefault="00000000">
            <w:pPr>
              <w:spacing w:after="80"/>
              <w:rPr>
                <w:sz w:val="18"/>
              </w:rPr>
            </w:pPr>
            <w:r>
              <w:rPr>
                <w:sz w:val="18"/>
              </w:rPr>
              <w:t>Начальное</w:t>
            </w:r>
          </w:p>
        </w:tc>
        <w:tc>
          <w:tcPr>
            <w:tcW w:w="2549" w:type="dxa"/>
          </w:tcPr>
          <w:p w:rsidR="00000000" w:rsidRDefault="00000000">
            <w:pPr>
              <w:spacing w:after="80"/>
              <w:jc w:val="center"/>
              <w:rPr>
                <w:sz w:val="18"/>
              </w:rPr>
            </w:pPr>
            <w:r>
              <w:rPr>
                <w:sz w:val="18"/>
              </w:rPr>
              <w:t>1999</w:t>
            </w:r>
          </w:p>
        </w:tc>
        <w:tc>
          <w:tcPr>
            <w:tcW w:w="2549" w:type="dxa"/>
          </w:tcPr>
          <w:p w:rsidR="00000000" w:rsidRDefault="00000000">
            <w:pPr>
              <w:spacing w:after="80"/>
              <w:jc w:val="center"/>
              <w:rPr>
                <w:sz w:val="18"/>
              </w:rPr>
            </w:pPr>
            <w:r>
              <w:rPr>
                <w:sz w:val="18"/>
              </w:rPr>
              <w:t>30,13</w:t>
            </w:r>
          </w:p>
        </w:tc>
      </w:tr>
      <w:tr w:rsidR="00000000">
        <w:tblPrEx>
          <w:tblCellMar>
            <w:top w:w="0" w:type="dxa"/>
            <w:bottom w:w="0" w:type="dxa"/>
          </w:tblCellMar>
        </w:tblPrEx>
        <w:tc>
          <w:tcPr>
            <w:tcW w:w="2549" w:type="dxa"/>
          </w:tcPr>
          <w:p w:rsidR="00000000" w:rsidRDefault="00000000">
            <w:pPr>
              <w:spacing w:after="80"/>
              <w:rPr>
                <w:sz w:val="18"/>
              </w:rPr>
            </w:pPr>
            <w:r>
              <w:rPr>
                <w:sz w:val="18"/>
              </w:rPr>
              <w:t>Начальное</w:t>
            </w:r>
          </w:p>
        </w:tc>
        <w:tc>
          <w:tcPr>
            <w:tcW w:w="2549" w:type="dxa"/>
          </w:tcPr>
          <w:p w:rsidR="00000000" w:rsidRDefault="00000000">
            <w:pPr>
              <w:spacing w:after="80"/>
              <w:jc w:val="center"/>
              <w:rPr>
                <w:sz w:val="18"/>
              </w:rPr>
            </w:pPr>
            <w:r>
              <w:rPr>
                <w:sz w:val="18"/>
              </w:rPr>
              <w:t>2000</w:t>
            </w:r>
          </w:p>
        </w:tc>
        <w:tc>
          <w:tcPr>
            <w:tcW w:w="2549" w:type="dxa"/>
          </w:tcPr>
          <w:p w:rsidR="00000000" w:rsidRDefault="00000000">
            <w:pPr>
              <w:spacing w:after="80"/>
              <w:jc w:val="center"/>
              <w:rPr>
                <w:sz w:val="18"/>
              </w:rPr>
            </w:pPr>
            <w:r>
              <w:rPr>
                <w:sz w:val="18"/>
              </w:rPr>
              <w:t>31,53</w:t>
            </w:r>
          </w:p>
        </w:tc>
      </w:tr>
      <w:tr w:rsidR="00000000">
        <w:tblPrEx>
          <w:tblCellMar>
            <w:top w:w="0" w:type="dxa"/>
            <w:bottom w:w="0" w:type="dxa"/>
          </w:tblCellMar>
        </w:tblPrEx>
        <w:tc>
          <w:tcPr>
            <w:tcW w:w="2549" w:type="dxa"/>
          </w:tcPr>
          <w:p w:rsidR="00000000" w:rsidRDefault="00000000">
            <w:pPr>
              <w:spacing w:after="80"/>
              <w:rPr>
                <w:sz w:val="18"/>
              </w:rPr>
            </w:pPr>
            <w:r>
              <w:rPr>
                <w:sz w:val="18"/>
              </w:rPr>
              <w:t>Неполное среднее</w:t>
            </w:r>
          </w:p>
        </w:tc>
        <w:tc>
          <w:tcPr>
            <w:tcW w:w="2549" w:type="dxa"/>
          </w:tcPr>
          <w:p w:rsidR="00000000" w:rsidRDefault="00000000">
            <w:pPr>
              <w:spacing w:after="80"/>
              <w:jc w:val="center"/>
              <w:rPr>
                <w:sz w:val="18"/>
              </w:rPr>
            </w:pPr>
            <w:r>
              <w:rPr>
                <w:sz w:val="18"/>
              </w:rPr>
              <w:t>1999</w:t>
            </w:r>
          </w:p>
        </w:tc>
        <w:tc>
          <w:tcPr>
            <w:tcW w:w="2549" w:type="dxa"/>
          </w:tcPr>
          <w:p w:rsidR="00000000" w:rsidRDefault="00000000">
            <w:pPr>
              <w:spacing w:after="80"/>
              <w:jc w:val="center"/>
              <w:rPr>
                <w:sz w:val="18"/>
              </w:rPr>
            </w:pPr>
            <w:r>
              <w:rPr>
                <w:sz w:val="18"/>
              </w:rPr>
              <w:t>7,37</w:t>
            </w:r>
          </w:p>
        </w:tc>
      </w:tr>
      <w:tr w:rsidR="00000000">
        <w:tblPrEx>
          <w:tblCellMar>
            <w:top w:w="0" w:type="dxa"/>
            <w:bottom w:w="0" w:type="dxa"/>
          </w:tblCellMar>
        </w:tblPrEx>
        <w:tc>
          <w:tcPr>
            <w:tcW w:w="2549" w:type="dxa"/>
          </w:tcPr>
          <w:p w:rsidR="00000000" w:rsidRDefault="00000000">
            <w:pPr>
              <w:spacing w:after="80"/>
              <w:rPr>
                <w:sz w:val="18"/>
              </w:rPr>
            </w:pPr>
            <w:r>
              <w:rPr>
                <w:sz w:val="18"/>
              </w:rPr>
              <w:t>Неполное среднее</w:t>
            </w:r>
          </w:p>
        </w:tc>
        <w:tc>
          <w:tcPr>
            <w:tcW w:w="2549" w:type="dxa"/>
          </w:tcPr>
          <w:p w:rsidR="00000000" w:rsidRDefault="00000000">
            <w:pPr>
              <w:spacing w:after="80"/>
              <w:jc w:val="center"/>
              <w:rPr>
                <w:sz w:val="18"/>
              </w:rPr>
            </w:pPr>
            <w:r>
              <w:rPr>
                <w:sz w:val="18"/>
              </w:rPr>
              <w:t>2000</w:t>
            </w:r>
          </w:p>
        </w:tc>
        <w:tc>
          <w:tcPr>
            <w:tcW w:w="2549" w:type="dxa"/>
          </w:tcPr>
          <w:p w:rsidR="00000000" w:rsidRDefault="00000000">
            <w:pPr>
              <w:spacing w:after="80"/>
              <w:jc w:val="center"/>
              <w:rPr>
                <w:sz w:val="18"/>
              </w:rPr>
            </w:pPr>
            <w:r>
              <w:rPr>
                <w:sz w:val="18"/>
              </w:rPr>
              <w:t>8,95</w:t>
            </w:r>
          </w:p>
        </w:tc>
      </w:tr>
      <w:tr w:rsidR="00000000">
        <w:tblPrEx>
          <w:tblCellMar>
            <w:top w:w="0" w:type="dxa"/>
            <w:bottom w:w="0" w:type="dxa"/>
          </w:tblCellMar>
        </w:tblPrEx>
        <w:tc>
          <w:tcPr>
            <w:tcW w:w="2549" w:type="dxa"/>
          </w:tcPr>
          <w:p w:rsidR="00000000" w:rsidRDefault="00000000">
            <w:pPr>
              <w:spacing w:after="80"/>
              <w:rPr>
                <w:sz w:val="18"/>
              </w:rPr>
            </w:pPr>
            <w:r>
              <w:rPr>
                <w:sz w:val="18"/>
              </w:rPr>
              <w:t>Полное среднее</w:t>
            </w:r>
          </w:p>
        </w:tc>
        <w:tc>
          <w:tcPr>
            <w:tcW w:w="2549" w:type="dxa"/>
          </w:tcPr>
          <w:p w:rsidR="00000000" w:rsidRDefault="00000000">
            <w:pPr>
              <w:spacing w:after="80"/>
              <w:jc w:val="center"/>
              <w:rPr>
                <w:sz w:val="18"/>
              </w:rPr>
            </w:pPr>
            <w:r>
              <w:rPr>
                <w:sz w:val="18"/>
              </w:rPr>
              <w:t>1999</w:t>
            </w:r>
          </w:p>
        </w:tc>
        <w:tc>
          <w:tcPr>
            <w:tcW w:w="2549" w:type="dxa"/>
          </w:tcPr>
          <w:p w:rsidR="00000000" w:rsidRDefault="00000000">
            <w:pPr>
              <w:spacing w:after="80"/>
              <w:jc w:val="center"/>
              <w:rPr>
                <w:sz w:val="18"/>
              </w:rPr>
            </w:pPr>
            <w:r>
              <w:rPr>
                <w:sz w:val="18"/>
              </w:rPr>
              <w:t>10,02</w:t>
            </w:r>
          </w:p>
        </w:tc>
      </w:tr>
      <w:tr w:rsidR="00000000">
        <w:tblPrEx>
          <w:tblCellMar>
            <w:top w:w="0" w:type="dxa"/>
            <w:bottom w:w="0" w:type="dxa"/>
          </w:tblCellMar>
        </w:tblPrEx>
        <w:tc>
          <w:tcPr>
            <w:tcW w:w="2549" w:type="dxa"/>
          </w:tcPr>
          <w:p w:rsidR="00000000" w:rsidRDefault="00000000">
            <w:pPr>
              <w:spacing w:after="80"/>
              <w:rPr>
                <w:sz w:val="18"/>
              </w:rPr>
            </w:pPr>
            <w:r>
              <w:rPr>
                <w:sz w:val="18"/>
              </w:rPr>
              <w:t>Полное среднее</w:t>
            </w:r>
          </w:p>
        </w:tc>
        <w:tc>
          <w:tcPr>
            <w:tcW w:w="2549" w:type="dxa"/>
          </w:tcPr>
          <w:p w:rsidR="00000000" w:rsidRDefault="00000000">
            <w:pPr>
              <w:spacing w:after="80"/>
              <w:jc w:val="center"/>
              <w:rPr>
                <w:sz w:val="18"/>
              </w:rPr>
            </w:pPr>
            <w:r>
              <w:rPr>
                <w:sz w:val="18"/>
              </w:rPr>
              <w:t>2000</w:t>
            </w:r>
          </w:p>
        </w:tc>
        <w:tc>
          <w:tcPr>
            <w:tcW w:w="2549" w:type="dxa"/>
          </w:tcPr>
          <w:p w:rsidR="00000000" w:rsidRDefault="00000000">
            <w:pPr>
              <w:spacing w:after="80"/>
              <w:jc w:val="center"/>
              <w:rPr>
                <w:sz w:val="18"/>
              </w:rPr>
            </w:pPr>
            <w:r>
              <w:rPr>
                <w:sz w:val="18"/>
              </w:rPr>
              <w:t>10,05</w:t>
            </w:r>
          </w:p>
        </w:tc>
      </w:tr>
    </w:tbl>
    <w:p w:rsidR="00000000" w:rsidRDefault="00000000">
      <w:pPr>
        <w:spacing w:after="80"/>
        <w:ind w:firstLine="720"/>
      </w:pPr>
      <w:r>
        <w:rPr>
          <w:i/>
        </w:rPr>
        <w:t>Источник</w:t>
      </w:r>
      <w:r>
        <w:t>: Anuarios Estadísticos años 1994-2000.</w:t>
      </w:r>
    </w:p>
    <w:p w:rsidR="00000000" w:rsidRDefault="00000000">
      <w:pPr>
        <w:suppressAutoHyphens/>
        <w:spacing w:after="80"/>
        <w:rPr>
          <w:b/>
        </w:rPr>
      </w:pPr>
      <w:r>
        <w:rPr>
          <w:b/>
        </w:rPr>
        <w:t>Таблица 2.2. Жертвы насилия, которым была оказана помощь в рамках программы ПРОПЕВИ в период с 1999 года по 14 августа 2001 года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72"/>
        <w:gridCol w:w="1872"/>
        <w:gridCol w:w="1872"/>
        <w:gridCol w:w="1872"/>
      </w:tblGrid>
      <w:tr w:rsidR="00000000">
        <w:tblPrEx>
          <w:tblCellMar>
            <w:top w:w="0" w:type="dxa"/>
            <w:bottom w:w="0" w:type="dxa"/>
          </w:tblCellMar>
        </w:tblPrEx>
        <w:tc>
          <w:tcPr>
            <w:tcW w:w="2160" w:type="dxa"/>
          </w:tcPr>
          <w:p w:rsidR="00000000" w:rsidRDefault="00000000">
            <w:pPr>
              <w:spacing w:after="80"/>
              <w:jc w:val="center"/>
              <w:rPr>
                <w:sz w:val="18"/>
              </w:rPr>
            </w:pPr>
            <w:r>
              <w:rPr>
                <w:sz w:val="18"/>
              </w:rPr>
              <w:t>Категория лиц</w:t>
            </w:r>
          </w:p>
        </w:tc>
        <w:tc>
          <w:tcPr>
            <w:tcW w:w="1872" w:type="dxa"/>
          </w:tcPr>
          <w:p w:rsidR="00000000" w:rsidRDefault="00000000">
            <w:pPr>
              <w:spacing w:after="80"/>
              <w:jc w:val="center"/>
              <w:rPr>
                <w:sz w:val="18"/>
              </w:rPr>
            </w:pPr>
            <w:r>
              <w:rPr>
                <w:sz w:val="18"/>
              </w:rPr>
              <w:t>1999 год</w:t>
            </w:r>
          </w:p>
        </w:tc>
        <w:tc>
          <w:tcPr>
            <w:tcW w:w="1872" w:type="dxa"/>
          </w:tcPr>
          <w:p w:rsidR="00000000" w:rsidRDefault="00000000">
            <w:pPr>
              <w:spacing w:after="80"/>
              <w:jc w:val="center"/>
              <w:rPr>
                <w:sz w:val="18"/>
              </w:rPr>
            </w:pPr>
            <w:r>
              <w:rPr>
                <w:sz w:val="18"/>
              </w:rPr>
              <w:t>2000 год</w:t>
            </w:r>
          </w:p>
        </w:tc>
        <w:tc>
          <w:tcPr>
            <w:tcW w:w="1872" w:type="dxa"/>
          </w:tcPr>
          <w:p w:rsidR="00000000" w:rsidRDefault="00000000">
            <w:pPr>
              <w:spacing w:after="80"/>
              <w:jc w:val="center"/>
              <w:rPr>
                <w:sz w:val="18"/>
              </w:rPr>
            </w:pPr>
            <w:r>
              <w:rPr>
                <w:sz w:val="18"/>
              </w:rPr>
              <w:t>Август 2001 года</w:t>
            </w:r>
          </w:p>
        </w:tc>
        <w:tc>
          <w:tcPr>
            <w:tcW w:w="1872" w:type="dxa"/>
          </w:tcPr>
          <w:p w:rsidR="00000000" w:rsidRDefault="00000000">
            <w:pPr>
              <w:spacing w:after="80"/>
              <w:jc w:val="center"/>
              <w:rPr>
                <w:sz w:val="18"/>
              </w:rPr>
            </w:pPr>
            <w:r>
              <w:rPr>
                <w:sz w:val="18"/>
              </w:rPr>
              <w:t>Всего</w:t>
            </w:r>
          </w:p>
        </w:tc>
      </w:tr>
      <w:tr w:rsidR="00000000">
        <w:tblPrEx>
          <w:tblCellMar>
            <w:top w:w="0" w:type="dxa"/>
            <w:bottom w:w="0" w:type="dxa"/>
          </w:tblCellMar>
        </w:tblPrEx>
        <w:tc>
          <w:tcPr>
            <w:tcW w:w="2160" w:type="dxa"/>
          </w:tcPr>
          <w:p w:rsidR="00000000" w:rsidRDefault="00000000">
            <w:pPr>
              <w:spacing w:after="80"/>
              <w:rPr>
                <w:sz w:val="18"/>
              </w:rPr>
            </w:pPr>
            <w:r>
              <w:rPr>
                <w:sz w:val="18"/>
              </w:rPr>
              <w:t>Женщины</w:t>
            </w:r>
          </w:p>
        </w:tc>
        <w:tc>
          <w:tcPr>
            <w:tcW w:w="1872" w:type="dxa"/>
          </w:tcPr>
          <w:p w:rsidR="00000000" w:rsidRDefault="00000000">
            <w:pPr>
              <w:spacing w:after="80"/>
              <w:jc w:val="center"/>
              <w:rPr>
                <w:sz w:val="18"/>
              </w:rPr>
            </w:pPr>
            <w:r>
              <w:rPr>
                <w:sz w:val="18"/>
              </w:rPr>
              <w:t>143</w:t>
            </w:r>
          </w:p>
        </w:tc>
        <w:tc>
          <w:tcPr>
            <w:tcW w:w="1872" w:type="dxa"/>
          </w:tcPr>
          <w:p w:rsidR="00000000" w:rsidRDefault="00000000">
            <w:pPr>
              <w:spacing w:after="80"/>
              <w:jc w:val="center"/>
              <w:rPr>
                <w:sz w:val="18"/>
              </w:rPr>
            </w:pPr>
            <w:r>
              <w:rPr>
                <w:sz w:val="18"/>
              </w:rPr>
              <w:t>2690</w:t>
            </w:r>
          </w:p>
        </w:tc>
        <w:tc>
          <w:tcPr>
            <w:tcW w:w="1872" w:type="dxa"/>
          </w:tcPr>
          <w:p w:rsidR="00000000" w:rsidRDefault="00000000">
            <w:pPr>
              <w:spacing w:after="80"/>
              <w:jc w:val="center"/>
              <w:rPr>
                <w:sz w:val="18"/>
              </w:rPr>
            </w:pPr>
            <w:r>
              <w:rPr>
                <w:sz w:val="18"/>
              </w:rPr>
              <w:t>3159</w:t>
            </w:r>
          </w:p>
        </w:tc>
        <w:tc>
          <w:tcPr>
            <w:tcW w:w="1872" w:type="dxa"/>
          </w:tcPr>
          <w:p w:rsidR="00000000" w:rsidRDefault="00000000">
            <w:pPr>
              <w:spacing w:after="80"/>
              <w:jc w:val="center"/>
              <w:rPr>
                <w:sz w:val="18"/>
              </w:rPr>
            </w:pPr>
            <w:r>
              <w:rPr>
                <w:sz w:val="18"/>
              </w:rPr>
              <w:t>5992</w:t>
            </w:r>
          </w:p>
        </w:tc>
      </w:tr>
      <w:tr w:rsidR="00000000">
        <w:tblPrEx>
          <w:tblCellMar>
            <w:top w:w="0" w:type="dxa"/>
            <w:bottom w:w="0" w:type="dxa"/>
          </w:tblCellMar>
        </w:tblPrEx>
        <w:tc>
          <w:tcPr>
            <w:tcW w:w="2160" w:type="dxa"/>
          </w:tcPr>
          <w:p w:rsidR="00000000" w:rsidRDefault="00000000">
            <w:pPr>
              <w:spacing w:after="80"/>
              <w:rPr>
                <w:sz w:val="18"/>
              </w:rPr>
            </w:pPr>
            <w:r>
              <w:rPr>
                <w:sz w:val="18"/>
              </w:rPr>
              <w:t>Мужчины</w:t>
            </w:r>
          </w:p>
        </w:tc>
        <w:tc>
          <w:tcPr>
            <w:tcW w:w="1872" w:type="dxa"/>
          </w:tcPr>
          <w:p w:rsidR="00000000" w:rsidRDefault="00000000">
            <w:pPr>
              <w:spacing w:after="80"/>
              <w:jc w:val="center"/>
              <w:rPr>
                <w:sz w:val="18"/>
              </w:rPr>
            </w:pPr>
            <w:r>
              <w:rPr>
                <w:sz w:val="18"/>
              </w:rPr>
              <w:t>33</w:t>
            </w:r>
          </w:p>
        </w:tc>
        <w:tc>
          <w:tcPr>
            <w:tcW w:w="1872" w:type="dxa"/>
          </w:tcPr>
          <w:p w:rsidR="00000000" w:rsidRDefault="00000000">
            <w:pPr>
              <w:spacing w:after="80"/>
              <w:jc w:val="center"/>
              <w:rPr>
                <w:sz w:val="18"/>
              </w:rPr>
            </w:pPr>
            <w:r>
              <w:rPr>
                <w:sz w:val="18"/>
              </w:rPr>
              <w:t>1072</w:t>
            </w:r>
          </w:p>
        </w:tc>
        <w:tc>
          <w:tcPr>
            <w:tcW w:w="1872" w:type="dxa"/>
          </w:tcPr>
          <w:p w:rsidR="00000000" w:rsidRDefault="00000000">
            <w:pPr>
              <w:spacing w:after="80"/>
              <w:jc w:val="center"/>
              <w:rPr>
                <w:sz w:val="18"/>
              </w:rPr>
            </w:pPr>
            <w:r>
              <w:rPr>
                <w:sz w:val="18"/>
              </w:rPr>
              <w:t>701</w:t>
            </w:r>
          </w:p>
        </w:tc>
        <w:tc>
          <w:tcPr>
            <w:tcW w:w="1872" w:type="dxa"/>
          </w:tcPr>
          <w:p w:rsidR="00000000" w:rsidRDefault="00000000">
            <w:pPr>
              <w:spacing w:after="80"/>
              <w:jc w:val="center"/>
              <w:rPr>
                <w:sz w:val="18"/>
              </w:rPr>
            </w:pPr>
            <w:r>
              <w:rPr>
                <w:sz w:val="18"/>
              </w:rPr>
              <w:t>1806</w:t>
            </w:r>
          </w:p>
        </w:tc>
      </w:tr>
      <w:tr w:rsidR="00000000">
        <w:tblPrEx>
          <w:tblCellMar>
            <w:top w:w="0" w:type="dxa"/>
            <w:bottom w:w="0" w:type="dxa"/>
          </w:tblCellMar>
        </w:tblPrEx>
        <w:tc>
          <w:tcPr>
            <w:tcW w:w="2160" w:type="dxa"/>
          </w:tcPr>
          <w:p w:rsidR="00000000" w:rsidRDefault="00000000">
            <w:pPr>
              <w:spacing w:after="80"/>
              <w:rPr>
                <w:sz w:val="18"/>
              </w:rPr>
            </w:pPr>
            <w:r>
              <w:rPr>
                <w:sz w:val="18"/>
              </w:rPr>
              <w:t>Малолетние</w:t>
            </w:r>
          </w:p>
        </w:tc>
        <w:tc>
          <w:tcPr>
            <w:tcW w:w="1872" w:type="dxa"/>
          </w:tcPr>
          <w:p w:rsidR="00000000" w:rsidRDefault="00000000">
            <w:pPr>
              <w:spacing w:after="80"/>
              <w:jc w:val="center"/>
              <w:rPr>
                <w:sz w:val="18"/>
              </w:rPr>
            </w:pPr>
            <w:r>
              <w:rPr>
                <w:sz w:val="18"/>
              </w:rPr>
              <w:t>0</w:t>
            </w:r>
          </w:p>
        </w:tc>
        <w:tc>
          <w:tcPr>
            <w:tcW w:w="1872" w:type="dxa"/>
          </w:tcPr>
          <w:p w:rsidR="00000000" w:rsidRDefault="00000000">
            <w:pPr>
              <w:spacing w:after="80"/>
              <w:jc w:val="center"/>
              <w:rPr>
                <w:sz w:val="18"/>
              </w:rPr>
            </w:pPr>
            <w:r>
              <w:rPr>
                <w:sz w:val="18"/>
              </w:rPr>
              <w:t>2960</w:t>
            </w:r>
          </w:p>
        </w:tc>
        <w:tc>
          <w:tcPr>
            <w:tcW w:w="1872" w:type="dxa"/>
          </w:tcPr>
          <w:p w:rsidR="00000000" w:rsidRDefault="00000000">
            <w:pPr>
              <w:spacing w:after="80"/>
              <w:jc w:val="center"/>
              <w:rPr>
                <w:sz w:val="18"/>
              </w:rPr>
            </w:pPr>
            <w:r>
              <w:rPr>
                <w:sz w:val="18"/>
              </w:rPr>
              <w:t>397</w:t>
            </w:r>
          </w:p>
        </w:tc>
        <w:tc>
          <w:tcPr>
            <w:tcW w:w="1872" w:type="dxa"/>
          </w:tcPr>
          <w:p w:rsidR="00000000" w:rsidRDefault="00000000">
            <w:pPr>
              <w:spacing w:after="80"/>
              <w:jc w:val="center"/>
              <w:rPr>
                <w:sz w:val="18"/>
              </w:rPr>
            </w:pPr>
            <w:r>
              <w:rPr>
                <w:sz w:val="18"/>
              </w:rPr>
              <w:t>693</w:t>
            </w:r>
          </w:p>
        </w:tc>
      </w:tr>
      <w:tr w:rsidR="00000000">
        <w:tblPrEx>
          <w:tblCellMar>
            <w:top w:w="0" w:type="dxa"/>
            <w:bottom w:w="0" w:type="dxa"/>
          </w:tblCellMar>
        </w:tblPrEx>
        <w:tc>
          <w:tcPr>
            <w:tcW w:w="2160" w:type="dxa"/>
          </w:tcPr>
          <w:p w:rsidR="00000000" w:rsidRDefault="00000000">
            <w:pPr>
              <w:spacing w:after="80"/>
              <w:rPr>
                <w:sz w:val="18"/>
              </w:rPr>
            </w:pPr>
            <w:r>
              <w:rPr>
                <w:sz w:val="18"/>
              </w:rPr>
              <w:t>Подростки</w:t>
            </w:r>
          </w:p>
        </w:tc>
        <w:tc>
          <w:tcPr>
            <w:tcW w:w="1872" w:type="dxa"/>
          </w:tcPr>
          <w:p w:rsidR="00000000" w:rsidRDefault="00000000">
            <w:pPr>
              <w:spacing w:after="80"/>
              <w:jc w:val="center"/>
              <w:rPr>
                <w:sz w:val="18"/>
              </w:rPr>
            </w:pPr>
            <w:r>
              <w:rPr>
                <w:sz w:val="18"/>
              </w:rPr>
              <w:t>0</w:t>
            </w:r>
          </w:p>
        </w:tc>
        <w:tc>
          <w:tcPr>
            <w:tcW w:w="1872" w:type="dxa"/>
          </w:tcPr>
          <w:p w:rsidR="00000000" w:rsidRDefault="00000000">
            <w:pPr>
              <w:spacing w:after="80"/>
              <w:jc w:val="center"/>
              <w:rPr>
                <w:sz w:val="18"/>
              </w:rPr>
            </w:pPr>
            <w:r>
              <w:rPr>
                <w:sz w:val="18"/>
              </w:rPr>
              <w:t>315</w:t>
            </w:r>
          </w:p>
        </w:tc>
        <w:tc>
          <w:tcPr>
            <w:tcW w:w="1872" w:type="dxa"/>
          </w:tcPr>
          <w:p w:rsidR="00000000" w:rsidRDefault="00000000">
            <w:pPr>
              <w:spacing w:after="80"/>
              <w:jc w:val="center"/>
              <w:rPr>
                <w:sz w:val="18"/>
              </w:rPr>
            </w:pPr>
            <w:r>
              <w:rPr>
                <w:sz w:val="18"/>
              </w:rPr>
              <w:t>197</w:t>
            </w:r>
          </w:p>
        </w:tc>
        <w:tc>
          <w:tcPr>
            <w:tcW w:w="1872" w:type="dxa"/>
          </w:tcPr>
          <w:p w:rsidR="00000000" w:rsidRDefault="00000000">
            <w:pPr>
              <w:spacing w:after="80"/>
              <w:jc w:val="center"/>
              <w:rPr>
                <w:sz w:val="18"/>
              </w:rPr>
            </w:pPr>
            <w:r>
              <w:rPr>
                <w:sz w:val="18"/>
              </w:rPr>
              <w:t>512</w:t>
            </w:r>
          </w:p>
        </w:tc>
      </w:tr>
      <w:tr w:rsidR="00000000">
        <w:tblPrEx>
          <w:tblCellMar>
            <w:top w:w="0" w:type="dxa"/>
            <w:bottom w:w="0" w:type="dxa"/>
          </w:tblCellMar>
        </w:tblPrEx>
        <w:tc>
          <w:tcPr>
            <w:tcW w:w="2160" w:type="dxa"/>
          </w:tcPr>
          <w:p w:rsidR="00000000" w:rsidRDefault="00000000">
            <w:pPr>
              <w:spacing w:after="80"/>
              <w:rPr>
                <w:sz w:val="18"/>
              </w:rPr>
            </w:pPr>
            <w:r>
              <w:rPr>
                <w:sz w:val="18"/>
              </w:rPr>
              <w:t>Взрослые</w:t>
            </w:r>
          </w:p>
        </w:tc>
        <w:tc>
          <w:tcPr>
            <w:tcW w:w="1872" w:type="dxa"/>
          </w:tcPr>
          <w:p w:rsidR="00000000" w:rsidRDefault="00000000">
            <w:pPr>
              <w:spacing w:after="80"/>
              <w:jc w:val="center"/>
              <w:rPr>
                <w:sz w:val="18"/>
              </w:rPr>
            </w:pPr>
            <w:r>
              <w:rPr>
                <w:sz w:val="18"/>
              </w:rPr>
              <w:t>0</w:t>
            </w:r>
          </w:p>
        </w:tc>
        <w:tc>
          <w:tcPr>
            <w:tcW w:w="1872" w:type="dxa"/>
          </w:tcPr>
          <w:p w:rsidR="00000000" w:rsidRDefault="00000000">
            <w:pPr>
              <w:spacing w:after="80"/>
              <w:jc w:val="center"/>
              <w:rPr>
                <w:sz w:val="18"/>
              </w:rPr>
            </w:pPr>
            <w:r>
              <w:rPr>
                <w:sz w:val="18"/>
              </w:rPr>
              <w:t>80</w:t>
            </w:r>
          </w:p>
        </w:tc>
        <w:tc>
          <w:tcPr>
            <w:tcW w:w="1872" w:type="dxa"/>
          </w:tcPr>
          <w:p w:rsidR="00000000" w:rsidRDefault="00000000">
            <w:pPr>
              <w:spacing w:after="80"/>
              <w:jc w:val="center"/>
              <w:rPr>
                <w:sz w:val="18"/>
              </w:rPr>
            </w:pPr>
            <w:r>
              <w:rPr>
                <w:sz w:val="18"/>
              </w:rPr>
              <w:t>60</w:t>
            </w:r>
          </w:p>
        </w:tc>
        <w:tc>
          <w:tcPr>
            <w:tcW w:w="1872" w:type="dxa"/>
          </w:tcPr>
          <w:p w:rsidR="00000000" w:rsidRDefault="00000000">
            <w:pPr>
              <w:spacing w:after="80"/>
              <w:jc w:val="center"/>
              <w:rPr>
                <w:sz w:val="18"/>
              </w:rPr>
            </w:pPr>
            <w:r>
              <w:rPr>
                <w:sz w:val="18"/>
              </w:rPr>
              <w:t>140</w:t>
            </w:r>
          </w:p>
        </w:tc>
      </w:tr>
      <w:tr w:rsidR="00000000">
        <w:tblPrEx>
          <w:tblCellMar>
            <w:top w:w="0" w:type="dxa"/>
            <w:bottom w:w="0" w:type="dxa"/>
          </w:tblCellMar>
        </w:tblPrEx>
        <w:tc>
          <w:tcPr>
            <w:tcW w:w="2160" w:type="dxa"/>
          </w:tcPr>
          <w:p w:rsidR="00000000" w:rsidRDefault="00000000">
            <w:pPr>
              <w:spacing w:after="80"/>
              <w:rPr>
                <w:sz w:val="18"/>
              </w:rPr>
            </w:pPr>
            <w:r>
              <w:rPr>
                <w:sz w:val="18"/>
              </w:rPr>
              <w:t>Нетрудоспособные</w:t>
            </w:r>
          </w:p>
        </w:tc>
        <w:tc>
          <w:tcPr>
            <w:tcW w:w="1872" w:type="dxa"/>
          </w:tcPr>
          <w:p w:rsidR="00000000" w:rsidRDefault="00000000">
            <w:pPr>
              <w:spacing w:after="80"/>
              <w:jc w:val="center"/>
              <w:rPr>
                <w:sz w:val="18"/>
              </w:rPr>
            </w:pPr>
            <w:r>
              <w:rPr>
                <w:sz w:val="18"/>
              </w:rPr>
              <w:t>0</w:t>
            </w:r>
          </w:p>
        </w:tc>
        <w:tc>
          <w:tcPr>
            <w:tcW w:w="1872" w:type="dxa"/>
          </w:tcPr>
          <w:p w:rsidR="00000000" w:rsidRDefault="00000000">
            <w:pPr>
              <w:spacing w:after="80"/>
              <w:jc w:val="center"/>
              <w:rPr>
                <w:sz w:val="18"/>
              </w:rPr>
            </w:pPr>
            <w:r>
              <w:rPr>
                <w:sz w:val="18"/>
              </w:rPr>
              <w:t>0</w:t>
            </w:r>
          </w:p>
        </w:tc>
        <w:tc>
          <w:tcPr>
            <w:tcW w:w="1872" w:type="dxa"/>
          </w:tcPr>
          <w:p w:rsidR="00000000" w:rsidRDefault="00000000">
            <w:pPr>
              <w:spacing w:after="80"/>
              <w:jc w:val="center"/>
              <w:rPr>
                <w:sz w:val="18"/>
              </w:rPr>
            </w:pPr>
            <w:r>
              <w:rPr>
                <w:sz w:val="18"/>
              </w:rPr>
              <w:t>7</w:t>
            </w:r>
          </w:p>
        </w:tc>
        <w:tc>
          <w:tcPr>
            <w:tcW w:w="1872" w:type="dxa"/>
          </w:tcPr>
          <w:p w:rsidR="00000000" w:rsidRDefault="00000000">
            <w:pPr>
              <w:spacing w:after="80"/>
              <w:jc w:val="center"/>
              <w:rPr>
                <w:sz w:val="18"/>
              </w:rPr>
            </w:pPr>
            <w:r>
              <w:rPr>
                <w:sz w:val="18"/>
              </w:rPr>
              <w:t>7</w:t>
            </w:r>
          </w:p>
        </w:tc>
      </w:tr>
      <w:tr w:rsidR="00000000">
        <w:tblPrEx>
          <w:tblCellMar>
            <w:top w:w="0" w:type="dxa"/>
            <w:bottom w:w="0" w:type="dxa"/>
          </w:tblCellMar>
        </w:tblPrEx>
        <w:tc>
          <w:tcPr>
            <w:tcW w:w="2160" w:type="dxa"/>
          </w:tcPr>
          <w:p w:rsidR="00000000" w:rsidRDefault="00000000">
            <w:pPr>
              <w:spacing w:after="80"/>
              <w:rPr>
                <w:sz w:val="18"/>
              </w:rPr>
            </w:pPr>
            <w:r>
              <w:rPr>
                <w:sz w:val="18"/>
              </w:rPr>
              <w:t>Всего</w:t>
            </w:r>
          </w:p>
        </w:tc>
        <w:tc>
          <w:tcPr>
            <w:tcW w:w="1872" w:type="dxa"/>
          </w:tcPr>
          <w:p w:rsidR="00000000" w:rsidRDefault="00000000">
            <w:pPr>
              <w:spacing w:after="80"/>
              <w:jc w:val="center"/>
              <w:rPr>
                <w:sz w:val="18"/>
              </w:rPr>
            </w:pPr>
            <w:r>
              <w:rPr>
                <w:sz w:val="18"/>
              </w:rPr>
              <w:t>176</w:t>
            </w:r>
          </w:p>
        </w:tc>
        <w:tc>
          <w:tcPr>
            <w:tcW w:w="1872" w:type="dxa"/>
          </w:tcPr>
          <w:p w:rsidR="00000000" w:rsidRDefault="00000000">
            <w:pPr>
              <w:spacing w:after="80"/>
              <w:jc w:val="center"/>
              <w:rPr>
                <w:sz w:val="18"/>
              </w:rPr>
            </w:pPr>
            <w:r>
              <w:rPr>
                <w:sz w:val="18"/>
              </w:rPr>
              <w:t>4453</w:t>
            </w:r>
          </w:p>
        </w:tc>
        <w:tc>
          <w:tcPr>
            <w:tcW w:w="1872" w:type="dxa"/>
          </w:tcPr>
          <w:p w:rsidR="00000000" w:rsidRDefault="00000000">
            <w:pPr>
              <w:spacing w:after="80"/>
              <w:jc w:val="center"/>
              <w:rPr>
                <w:sz w:val="18"/>
              </w:rPr>
            </w:pPr>
            <w:r>
              <w:rPr>
                <w:sz w:val="18"/>
              </w:rPr>
              <w:t>4521</w:t>
            </w:r>
          </w:p>
        </w:tc>
        <w:tc>
          <w:tcPr>
            <w:tcW w:w="1872" w:type="dxa"/>
          </w:tcPr>
          <w:p w:rsidR="00000000" w:rsidRDefault="00000000">
            <w:pPr>
              <w:spacing w:after="80"/>
              <w:jc w:val="center"/>
              <w:rPr>
                <w:sz w:val="18"/>
              </w:rPr>
            </w:pPr>
            <w:r>
              <w:rPr>
                <w:sz w:val="18"/>
              </w:rPr>
              <w:t>9150</w:t>
            </w:r>
          </w:p>
        </w:tc>
      </w:tr>
    </w:tbl>
    <w:p w:rsidR="00000000" w:rsidRDefault="00000000">
      <w:pPr>
        <w:spacing w:before="120" w:after="80"/>
        <w:rPr>
          <w:b/>
        </w:rPr>
      </w:pPr>
      <w:r>
        <w:rPr>
          <w:b/>
        </w:rPr>
        <w:t>Таблица 2.3. Жертвы насилия, обратившиеся за содействием по горячей линии "помощь семье" в период 1999</w:t>
      </w:r>
      <w:r>
        <w:rPr>
          <w:b/>
        </w:rPr>
        <w:noBreakHyphen/>
        <w:t>2001 годов</w:t>
      </w:r>
      <w:r>
        <w:rPr>
          <w:b/>
        </w:rPr>
        <w:sym w:font="Symbol" w:char="F02A"/>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72"/>
        <w:gridCol w:w="1872"/>
        <w:gridCol w:w="1872"/>
        <w:gridCol w:w="1872"/>
      </w:tblGrid>
      <w:tr w:rsidR="00000000">
        <w:tblPrEx>
          <w:tblCellMar>
            <w:top w:w="0" w:type="dxa"/>
            <w:bottom w:w="0" w:type="dxa"/>
          </w:tblCellMar>
        </w:tblPrEx>
        <w:tc>
          <w:tcPr>
            <w:tcW w:w="2160" w:type="dxa"/>
          </w:tcPr>
          <w:p w:rsidR="00000000" w:rsidRDefault="00000000">
            <w:pPr>
              <w:spacing w:after="80"/>
              <w:jc w:val="center"/>
              <w:rPr>
                <w:sz w:val="18"/>
              </w:rPr>
            </w:pPr>
            <w:r>
              <w:rPr>
                <w:sz w:val="18"/>
              </w:rPr>
              <w:t>Категория лиц</w:t>
            </w:r>
          </w:p>
        </w:tc>
        <w:tc>
          <w:tcPr>
            <w:tcW w:w="1872" w:type="dxa"/>
          </w:tcPr>
          <w:p w:rsidR="00000000" w:rsidRDefault="00000000">
            <w:pPr>
              <w:spacing w:after="80"/>
              <w:jc w:val="center"/>
              <w:rPr>
                <w:sz w:val="18"/>
              </w:rPr>
            </w:pPr>
            <w:r>
              <w:rPr>
                <w:sz w:val="18"/>
              </w:rPr>
              <w:t>1999 год</w:t>
            </w:r>
          </w:p>
        </w:tc>
        <w:tc>
          <w:tcPr>
            <w:tcW w:w="1872" w:type="dxa"/>
          </w:tcPr>
          <w:p w:rsidR="00000000" w:rsidRDefault="00000000">
            <w:pPr>
              <w:spacing w:after="80"/>
              <w:jc w:val="center"/>
              <w:rPr>
                <w:sz w:val="18"/>
              </w:rPr>
            </w:pPr>
            <w:r>
              <w:rPr>
                <w:sz w:val="18"/>
              </w:rPr>
              <w:t>2000 год</w:t>
            </w:r>
          </w:p>
        </w:tc>
        <w:tc>
          <w:tcPr>
            <w:tcW w:w="1872" w:type="dxa"/>
          </w:tcPr>
          <w:p w:rsidR="00000000" w:rsidRDefault="00000000">
            <w:pPr>
              <w:spacing w:after="80"/>
              <w:jc w:val="center"/>
              <w:rPr>
                <w:sz w:val="18"/>
              </w:rPr>
            </w:pPr>
            <w:r>
              <w:rPr>
                <w:sz w:val="18"/>
              </w:rPr>
              <w:t>Август 2001 года</w:t>
            </w:r>
          </w:p>
        </w:tc>
        <w:tc>
          <w:tcPr>
            <w:tcW w:w="1872" w:type="dxa"/>
          </w:tcPr>
          <w:p w:rsidR="00000000" w:rsidRDefault="00000000">
            <w:pPr>
              <w:spacing w:after="80"/>
              <w:jc w:val="center"/>
              <w:rPr>
                <w:sz w:val="18"/>
              </w:rPr>
            </w:pPr>
            <w:r>
              <w:rPr>
                <w:sz w:val="18"/>
              </w:rPr>
              <w:t>Всего</w:t>
            </w:r>
          </w:p>
        </w:tc>
      </w:tr>
      <w:tr w:rsidR="00000000">
        <w:tblPrEx>
          <w:tblCellMar>
            <w:top w:w="0" w:type="dxa"/>
            <w:bottom w:w="0" w:type="dxa"/>
          </w:tblCellMar>
        </w:tblPrEx>
        <w:tc>
          <w:tcPr>
            <w:tcW w:w="2160" w:type="dxa"/>
          </w:tcPr>
          <w:p w:rsidR="00000000" w:rsidRDefault="00000000">
            <w:pPr>
              <w:spacing w:after="80"/>
              <w:rPr>
                <w:sz w:val="18"/>
              </w:rPr>
            </w:pPr>
            <w:r>
              <w:rPr>
                <w:sz w:val="18"/>
              </w:rPr>
              <w:t>Женщины</w:t>
            </w:r>
          </w:p>
        </w:tc>
        <w:tc>
          <w:tcPr>
            <w:tcW w:w="1872" w:type="dxa"/>
          </w:tcPr>
          <w:p w:rsidR="00000000" w:rsidRDefault="00000000">
            <w:pPr>
              <w:spacing w:after="80"/>
              <w:jc w:val="center"/>
              <w:rPr>
                <w:sz w:val="18"/>
              </w:rPr>
            </w:pPr>
            <w:r>
              <w:rPr>
                <w:sz w:val="18"/>
              </w:rPr>
              <w:t>140</w:t>
            </w:r>
          </w:p>
        </w:tc>
        <w:tc>
          <w:tcPr>
            <w:tcW w:w="1872" w:type="dxa"/>
          </w:tcPr>
          <w:p w:rsidR="00000000" w:rsidRDefault="00000000">
            <w:pPr>
              <w:spacing w:after="80"/>
              <w:jc w:val="center"/>
              <w:rPr>
                <w:sz w:val="18"/>
              </w:rPr>
            </w:pPr>
            <w:r>
              <w:rPr>
                <w:sz w:val="18"/>
              </w:rPr>
              <w:t>1328</w:t>
            </w:r>
          </w:p>
        </w:tc>
        <w:tc>
          <w:tcPr>
            <w:tcW w:w="1872" w:type="dxa"/>
          </w:tcPr>
          <w:p w:rsidR="00000000" w:rsidRDefault="00000000">
            <w:pPr>
              <w:spacing w:after="80"/>
              <w:jc w:val="center"/>
              <w:rPr>
                <w:sz w:val="18"/>
              </w:rPr>
            </w:pPr>
            <w:r>
              <w:rPr>
                <w:sz w:val="18"/>
              </w:rPr>
              <w:t>1291</w:t>
            </w:r>
          </w:p>
        </w:tc>
        <w:tc>
          <w:tcPr>
            <w:tcW w:w="1872" w:type="dxa"/>
          </w:tcPr>
          <w:p w:rsidR="00000000" w:rsidRDefault="00000000">
            <w:pPr>
              <w:spacing w:after="80"/>
              <w:jc w:val="center"/>
              <w:rPr>
                <w:sz w:val="18"/>
              </w:rPr>
            </w:pPr>
            <w:r>
              <w:rPr>
                <w:sz w:val="18"/>
              </w:rPr>
              <w:t>2759</w:t>
            </w:r>
          </w:p>
        </w:tc>
      </w:tr>
      <w:tr w:rsidR="00000000">
        <w:tblPrEx>
          <w:tblCellMar>
            <w:top w:w="0" w:type="dxa"/>
            <w:bottom w:w="0" w:type="dxa"/>
          </w:tblCellMar>
        </w:tblPrEx>
        <w:tc>
          <w:tcPr>
            <w:tcW w:w="2160" w:type="dxa"/>
          </w:tcPr>
          <w:p w:rsidR="00000000" w:rsidRDefault="00000000">
            <w:pPr>
              <w:spacing w:after="80"/>
              <w:rPr>
                <w:sz w:val="18"/>
              </w:rPr>
            </w:pPr>
            <w:r>
              <w:rPr>
                <w:sz w:val="18"/>
              </w:rPr>
              <w:t>Мужчины</w:t>
            </w:r>
          </w:p>
        </w:tc>
        <w:tc>
          <w:tcPr>
            <w:tcW w:w="1872" w:type="dxa"/>
          </w:tcPr>
          <w:p w:rsidR="00000000" w:rsidRDefault="00000000">
            <w:pPr>
              <w:spacing w:after="80"/>
              <w:jc w:val="center"/>
              <w:rPr>
                <w:sz w:val="18"/>
              </w:rPr>
            </w:pPr>
            <w:r>
              <w:rPr>
                <w:sz w:val="18"/>
              </w:rPr>
              <w:t>22</w:t>
            </w:r>
          </w:p>
        </w:tc>
        <w:tc>
          <w:tcPr>
            <w:tcW w:w="1872" w:type="dxa"/>
          </w:tcPr>
          <w:p w:rsidR="00000000" w:rsidRDefault="00000000">
            <w:pPr>
              <w:spacing w:after="80"/>
              <w:jc w:val="center"/>
              <w:rPr>
                <w:sz w:val="18"/>
              </w:rPr>
            </w:pPr>
            <w:r>
              <w:rPr>
                <w:sz w:val="18"/>
              </w:rPr>
              <w:t>177</w:t>
            </w:r>
          </w:p>
        </w:tc>
        <w:tc>
          <w:tcPr>
            <w:tcW w:w="1872" w:type="dxa"/>
          </w:tcPr>
          <w:p w:rsidR="00000000" w:rsidRDefault="00000000">
            <w:pPr>
              <w:spacing w:after="80"/>
              <w:jc w:val="center"/>
              <w:rPr>
                <w:sz w:val="18"/>
              </w:rPr>
            </w:pPr>
            <w:r>
              <w:rPr>
                <w:sz w:val="18"/>
              </w:rPr>
              <w:t>223</w:t>
            </w:r>
          </w:p>
        </w:tc>
        <w:tc>
          <w:tcPr>
            <w:tcW w:w="1872" w:type="dxa"/>
          </w:tcPr>
          <w:p w:rsidR="00000000" w:rsidRDefault="00000000">
            <w:pPr>
              <w:spacing w:after="80"/>
              <w:jc w:val="center"/>
              <w:rPr>
                <w:sz w:val="18"/>
              </w:rPr>
            </w:pPr>
            <w:r>
              <w:rPr>
                <w:sz w:val="18"/>
              </w:rPr>
              <w:t>422</w:t>
            </w:r>
          </w:p>
        </w:tc>
      </w:tr>
      <w:tr w:rsidR="00000000">
        <w:tblPrEx>
          <w:tblCellMar>
            <w:top w:w="0" w:type="dxa"/>
            <w:bottom w:w="0" w:type="dxa"/>
          </w:tblCellMar>
        </w:tblPrEx>
        <w:tc>
          <w:tcPr>
            <w:tcW w:w="2160" w:type="dxa"/>
          </w:tcPr>
          <w:p w:rsidR="00000000" w:rsidRDefault="00000000">
            <w:pPr>
              <w:spacing w:after="80"/>
              <w:rPr>
                <w:sz w:val="18"/>
              </w:rPr>
            </w:pPr>
            <w:r>
              <w:rPr>
                <w:sz w:val="18"/>
              </w:rPr>
              <w:t>Малолетние</w:t>
            </w:r>
          </w:p>
        </w:tc>
        <w:tc>
          <w:tcPr>
            <w:tcW w:w="1872" w:type="dxa"/>
          </w:tcPr>
          <w:p w:rsidR="00000000" w:rsidRDefault="00000000">
            <w:pPr>
              <w:spacing w:after="80"/>
              <w:jc w:val="center"/>
              <w:rPr>
                <w:sz w:val="18"/>
              </w:rPr>
            </w:pPr>
            <w:r>
              <w:rPr>
                <w:sz w:val="18"/>
              </w:rPr>
              <w:t>180</w:t>
            </w:r>
          </w:p>
        </w:tc>
        <w:tc>
          <w:tcPr>
            <w:tcW w:w="1872" w:type="dxa"/>
          </w:tcPr>
          <w:p w:rsidR="00000000" w:rsidRDefault="00000000">
            <w:pPr>
              <w:spacing w:after="80"/>
              <w:jc w:val="center"/>
              <w:rPr>
                <w:sz w:val="18"/>
              </w:rPr>
            </w:pPr>
            <w:r>
              <w:rPr>
                <w:sz w:val="18"/>
              </w:rPr>
              <w:t>767</w:t>
            </w:r>
          </w:p>
        </w:tc>
        <w:tc>
          <w:tcPr>
            <w:tcW w:w="1872" w:type="dxa"/>
          </w:tcPr>
          <w:p w:rsidR="00000000" w:rsidRDefault="00000000">
            <w:pPr>
              <w:spacing w:after="80"/>
              <w:jc w:val="center"/>
              <w:rPr>
                <w:sz w:val="18"/>
              </w:rPr>
            </w:pPr>
            <w:r>
              <w:rPr>
                <w:sz w:val="18"/>
              </w:rPr>
              <w:t>360</w:t>
            </w:r>
          </w:p>
        </w:tc>
        <w:tc>
          <w:tcPr>
            <w:tcW w:w="1872" w:type="dxa"/>
          </w:tcPr>
          <w:p w:rsidR="00000000" w:rsidRDefault="00000000">
            <w:pPr>
              <w:spacing w:after="80"/>
              <w:jc w:val="center"/>
              <w:rPr>
                <w:sz w:val="18"/>
              </w:rPr>
            </w:pPr>
            <w:r>
              <w:rPr>
                <w:sz w:val="18"/>
              </w:rPr>
              <w:t>1 307</w:t>
            </w:r>
          </w:p>
        </w:tc>
      </w:tr>
      <w:tr w:rsidR="00000000">
        <w:tblPrEx>
          <w:tblCellMar>
            <w:top w:w="0" w:type="dxa"/>
            <w:bottom w:w="0" w:type="dxa"/>
          </w:tblCellMar>
        </w:tblPrEx>
        <w:tc>
          <w:tcPr>
            <w:tcW w:w="2160" w:type="dxa"/>
          </w:tcPr>
          <w:p w:rsidR="00000000" w:rsidRDefault="00000000">
            <w:pPr>
              <w:spacing w:after="80"/>
              <w:rPr>
                <w:sz w:val="18"/>
              </w:rPr>
            </w:pPr>
            <w:r>
              <w:rPr>
                <w:sz w:val="18"/>
              </w:rPr>
              <w:t>Подростки</w:t>
            </w:r>
          </w:p>
        </w:tc>
        <w:tc>
          <w:tcPr>
            <w:tcW w:w="1872" w:type="dxa"/>
          </w:tcPr>
          <w:p w:rsidR="00000000" w:rsidRDefault="00000000">
            <w:pPr>
              <w:spacing w:after="80"/>
              <w:jc w:val="center"/>
              <w:rPr>
                <w:sz w:val="18"/>
              </w:rPr>
            </w:pPr>
            <w:r>
              <w:rPr>
                <w:sz w:val="18"/>
              </w:rPr>
              <w:t>28</w:t>
            </w:r>
          </w:p>
        </w:tc>
        <w:tc>
          <w:tcPr>
            <w:tcW w:w="1872" w:type="dxa"/>
          </w:tcPr>
          <w:p w:rsidR="00000000" w:rsidRDefault="00000000">
            <w:pPr>
              <w:spacing w:after="80"/>
              <w:jc w:val="center"/>
              <w:rPr>
                <w:sz w:val="18"/>
              </w:rPr>
            </w:pPr>
            <w:r>
              <w:rPr>
                <w:sz w:val="18"/>
              </w:rPr>
              <w:t>108</w:t>
            </w:r>
          </w:p>
        </w:tc>
        <w:tc>
          <w:tcPr>
            <w:tcW w:w="1872" w:type="dxa"/>
          </w:tcPr>
          <w:p w:rsidR="00000000" w:rsidRDefault="00000000">
            <w:pPr>
              <w:spacing w:after="80"/>
              <w:jc w:val="center"/>
              <w:rPr>
                <w:sz w:val="18"/>
              </w:rPr>
            </w:pPr>
            <w:r>
              <w:rPr>
                <w:sz w:val="18"/>
              </w:rPr>
              <w:t>98</w:t>
            </w:r>
          </w:p>
        </w:tc>
        <w:tc>
          <w:tcPr>
            <w:tcW w:w="1872" w:type="dxa"/>
          </w:tcPr>
          <w:p w:rsidR="00000000" w:rsidRDefault="00000000">
            <w:pPr>
              <w:spacing w:after="80"/>
              <w:jc w:val="center"/>
              <w:rPr>
                <w:sz w:val="18"/>
              </w:rPr>
            </w:pPr>
            <w:r>
              <w:rPr>
                <w:sz w:val="18"/>
              </w:rPr>
              <w:t>234</w:t>
            </w:r>
          </w:p>
        </w:tc>
      </w:tr>
      <w:tr w:rsidR="00000000">
        <w:tblPrEx>
          <w:tblCellMar>
            <w:top w:w="0" w:type="dxa"/>
            <w:bottom w:w="0" w:type="dxa"/>
          </w:tblCellMar>
        </w:tblPrEx>
        <w:tc>
          <w:tcPr>
            <w:tcW w:w="2160" w:type="dxa"/>
          </w:tcPr>
          <w:p w:rsidR="00000000" w:rsidRDefault="00000000">
            <w:pPr>
              <w:spacing w:after="80"/>
              <w:rPr>
                <w:sz w:val="18"/>
              </w:rPr>
            </w:pPr>
            <w:r>
              <w:rPr>
                <w:sz w:val="18"/>
              </w:rPr>
              <w:t>Взрослые</w:t>
            </w:r>
          </w:p>
        </w:tc>
        <w:tc>
          <w:tcPr>
            <w:tcW w:w="1872" w:type="dxa"/>
          </w:tcPr>
          <w:p w:rsidR="00000000" w:rsidRDefault="00000000">
            <w:pPr>
              <w:spacing w:after="80"/>
              <w:jc w:val="center"/>
              <w:rPr>
                <w:sz w:val="18"/>
              </w:rPr>
            </w:pPr>
            <w:r>
              <w:rPr>
                <w:sz w:val="18"/>
              </w:rPr>
              <w:t>35</w:t>
            </w:r>
          </w:p>
        </w:tc>
        <w:tc>
          <w:tcPr>
            <w:tcW w:w="1872" w:type="dxa"/>
          </w:tcPr>
          <w:p w:rsidR="00000000" w:rsidRDefault="00000000">
            <w:pPr>
              <w:spacing w:after="80"/>
              <w:jc w:val="center"/>
              <w:rPr>
                <w:sz w:val="18"/>
              </w:rPr>
            </w:pPr>
            <w:r>
              <w:rPr>
                <w:sz w:val="18"/>
              </w:rPr>
              <w:t>113</w:t>
            </w:r>
          </w:p>
        </w:tc>
        <w:tc>
          <w:tcPr>
            <w:tcW w:w="1872" w:type="dxa"/>
          </w:tcPr>
          <w:p w:rsidR="00000000" w:rsidRDefault="00000000">
            <w:pPr>
              <w:spacing w:after="80"/>
              <w:jc w:val="center"/>
              <w:rPr>
                <w:sz w:val="18"/>
              </w:rPr>
            </w:pPr>
            <w:r>
              <w:rPr>
                <w:sz w:val="18"/>
              </w:rPr>
              <w:t>83</w:t>
            </w:r>
          </w:p>
        </w:tc>
        <w:tc>
          <w:tcPr>
            <w:tcW w:w="1872" w:type="dxa"/>
          </w:tcPr>
          <w:p w:rsidR="00000000" w:rsidRDefault="00000000">
            <w:pPr>
              <w:spacing w:after="80"/>
              <w:jc w:val="center"/>
              <w:rPr>
                <w:sz w:val="18"/>
              </w:rPr>
            </w:pPr>
            <w:r>
              <w:rPr>
                <w:sz w:val="18"/>
              </w:rPr>
              <w:t>231</w:t>
            </w:r>
          </w:p>
        </w:tc>
      </w:tr>
      <w:tr w:rsidR="00000000">
        <w:tblPrEx>
          <w:tblCellMar>
            <w:top w:w="0" w:type="dxa"/>
            <w:bottom w:w="0" w:type="dxa"/>
          </w:tblCellMar>
        </w:tblPrEx>
        <w:tc>
          <w:tcPr>
            <w:tcW w:w="2160" w:type="dxa"/>
          </w:tcPr>
          <w:p w:rsidR="00000000" w:rsidRDefault="00000000">
            <w:pPr>
              <w:spacing w:after="80"/>
              <w:rPr>
                <w:sz w:val="18"/>
              </w:rPr>
            </w:pPr>
            <w:r>
              <w:rPr>
                <w:sz w:val="18"/>
              </w:rPr>
              <w:t>Нетрудоспособные</w:t>
            </w:r>
          </w:p>
        </w:tc>
        <w:tc>
          <w:tcPr>
            <w:tcW w:w="1872" w:type="dxa"/>
          </w:tcPr>
          <w:p w:rsidR="00000000" w:rsidRDefault="00000000">
            <w:pPr>
              <w:spacing w:after="80"/>
              <w:jc w:val="center"/>
              <w:rPr>
                <w:sz w:val="18"/>
              </w:rPr>
            </w:pPr>
            <w:r>
              <w:rPr>
                <w:sz w:val="18"/>
              </w:rPr>
              <w:t>3</w:t>
            </w:r>
          </w:p>
        </w:tc>
        <w:tc>
          <w:tcPr>
            <w:tcW w:w="1872" w:type="dxa"/>
          </w:tcPr>
          <w:p w:rsidR="00000000" w:rsidRDefault="00000000">
            <w:pPr>
              <w:spacing w:after="80"/>
              <w:jc w:val="center"/>
              <w:rPr>
                <w:sz w:val="18"/>
              </w:rPr>
            </w:pPr>
            <w:r>
              <w:rPr>
                <w:sz w:val="18"/>
              </w:rPr>
              <w:t>0</w:t>
            </w:r>
          </w:p>
        </w:tc>
        <w:tc>
          <w:tcPr>
            <w:tcW w:w="1872" w:type="dxa"/>
          </w:tcPr>
          <w:p w:rsidR="00000000" w:rsidRDefault="00000000">
            <w:pPr>
              <w:spacing w:after="80"/>
              <w:jc w:val="center"/>
              <w:rPr>
                <w:sz w:val="18"/>
              </w:rPr>
            </w:pPr>
            <w:r>
              <w:rPr>
                <w:sz w:val="18"/>
              </w:rPr>
              <w:t>9</w:t>
            </w:r>
          </w:p>
        </w:tc>
        <w:tc>
          <w:tcPr>
            <w:tcW w:w="1872" w:type="dxa"/>
          </w:tcPr>
          <w:p w:rsidR="00000000" w:rsidRDefault="00000000">
            <w:pPr>
              <w:spacing w:after="80"/>
              <w:jc w:val="center"/>
              <w:rPr>
                <w:sz w:val="18"/>
              </w:rPr>
            </w:pPr>
            <w:r>
              <w:rPr>
                <w:sz w:val="18"/>
              </w:rPr>
              <w:t>12</w:t>
            </w:r>
          </w:p>
        </w:tc>
      </w:tr>
      <w:tr w:rsidR="00000000">
        <w:tblPrEx>
          <w:tblCellMar>
            <w:top w:w="0" w:type="dxa"/>
            <w:bottom w:w="0" w:type="dxa"/>
          </w:tblCellMar>
        </w:tblPrEx>
        <w:tc>
          <w:tcPr>
            <w:tcW w:w="2160" w:type="dxa"/>
          </w:tcPr>
          <w:p w:rsidR="00000000" w:rsidRDefault="00000000">
            <w:pPr>
              <w:spacing w:after="80"/>
              <w:rPr>
                <w:sz w:val="18"/>
              </w:rPr>
            </w:pPr>
            <w:r>
              <w:rPr>
                <w:sz w:val="18"/>
              </w:rPr>
              <w:t>Всего</w:t>
            </w:r>
          </w:p>
        </w:tc>
        <w:tc>
          <w:tcPr>
            <w:tcW w:w="1872" w:type="dxa"/>
          </w:tcPr>
          <w:p w:rsidR="00000000" w:rsidRDefault="00000000">
            <w:pPr>
              <w:spacing w:after="80"/>
              <w:jc w:val="center"/>
              <w:rPr>
                <w:sz w:val="18"/>
              </w:rPr>
            </w:pPr>
            <w:r>
              <w:rPr>
                <w:sz w:val="18"/>
              </w:rPr>
              <w:t>408</w:t>
            </w:r>
          </w:p>
        </w:tc>
        <w:tc>
          <w:tcPr>
            <w:tcW w:w="1872" w:type="dxa"/>
          </w:tcPr>
          <w:p w:rsidR="00000000" w:rsidRDefault="00000000">
            <w:pPr>
              <w:spacing w:after="80"/>
              <w:jc w:val="center"/>
              <w:rPr>
                <w:sz w:val="18"/>
              </w:rPr>
            </w:pPr>
            <w:r>
              <w:rPr>
                <w:sz w:val="18"/>
              </w:rPr>
              <w:t>2493</w:t>
            </w:r>
          </w:p>
        </w:tc>
        <w:tc>
          <w:tcPr>
            <w:tcW w:w="1872" w:type="dxa"/>
          </w:tcPr>
          <w:p w:rsidR="00000000" w:rsidRDefault="00000000">
            <w:pPr>
              <w:spacing w:after="80"/>
              <w:jc w:val="center"/>
              <w:rPr>
                <w:sz w:val="18"/>
              </w:rPr>
            </w:pPr>
            <w:r>
              <w:rPr>
                <w:sz w:val="18"/>
              </w:rPr>
              <w:t>2064</w:t>
            </w:r>
          </w:p>
        </w:tc>
        <w:tc>
          <w:tcPr>
            <w:tcW w:w="1872" w:type="dxa"/>
          </w:tcPr>
          <w:p w:rsidR="00000000" w:rsidRDefault="00000000">
            <w:pPr>
              <w:spacing w:after="80"/>
              <w:jc w:val="center"/>
              <w:rPr>
                <w:sz w:val="18"/>
              </w:rPr>
            </w:pPr>
            <w:r>
              <w:rPr>
                <w:sz w:val="18"/>
              </w:rPr>
              <w:t>4965</w:t>
            </w:r>
          </w:p>
        </w:tc>
      </w:tr>
    </w:tbl>
    <w:p w:rsidR="00000000" w:rsidRDefault="00000000">
      <w:pPr>
        <w:spacing w:after="80"/>
      </w:pPr>
      <w:r>
        <w:sym w:font="Symbol" w:char="F02A"/>
      </w:r>
      <w:r>
        <w:tab/>
        <w:t>В период с 1999 по 14 августа 2001 года</w:t>
      </w:r>
    </w:p>
    <w:p w:rsidR="00000000" w:rsidRDefault="00000000">
      <w:pPr>
        <w:spacing w:after="80"/>
        <w:ind w:firstLine="720"/>
        <w:jc w:val="both"/>
      </w:pPr>
      <w:r>
        <w:rPr>
          <w:i/>
        </w:rPr>
        <w:t>Источник</w:t>
      </w:r>
      <w:r>
        <w:t>: Секретариат по делам благотворительных фондов при супруге президента (СОСЕП), Программа по предотвращению и искоренению насилия в семье насилия (ПРОПЕВИ).</w:t>
      </w:r>
    </w:p>
    <w:p w:rsidR="00000000" w:rsidRDefault="00000000">
      <w:pPr>
        <w:keepNext/>
        <w:spacing w:after="80"/>
        <w:rPr>
          <w:b/>
        </w:rPr>
      </w:pPr>
      <w:r>
        <w:rPr>
          <w:b/>
        </w:rPr>
        <w:t>Таблица 2.4. Численность государственных служащих в разбивке по полу и организациям, май 2001 года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1152"/>
        <w:gridCol w:w="1152"/>
        <w:gridCol w:w="1152"/>
        <w:gridCol w:w="1152"/>
        <w:gridCol w:w="1152"/>
      </w:tblGrid>
      <w:tr w:rsidR="00000000">
        <w:tblPrEx>
          <w:tblCellMar>
            <w:top w:w="0" w:type="dxa"/>
            <w:bottom w:w="0" w:type="dxa"/>
          </w:tblCellMar>
        </w:tblPrEx>
        <w:tc>
          <w:tcPr>
            <w:tcW w:w="3600" w:type="dxa"/>
            <w:tcBorders>
              <w:bottom w:val="nil"/>
            </w:tcBorders>
          </w:tcPr>
          <w:p w:rsidR="00000000" w:rsidRDefault="00000000">
            <w:pPr>
              <w:keepNext/>
              <w:spacing w:after="80"/>
              <w:jc w:val="center"/>
              <w:rPr>
                <w:sz w:val="18"/>
              </w:rPr>
            </w:pPr>
            <w:r>
              <w:rPr>
                <w:sz w:val="18"/>
              </w:rPr>
              <w:t>Организация</w:t>
            </w:r>
          </w:p>
        </w:tc>
        <w:tc>
          <w:tcPr>
            <w:tcW w:w="1152" w:type="dxa"/>
            <w:tcBorders>
              <w:bottom w:val="nil"/>
            </w:tcBorders>
          </w:tcPr>
          <w:p w:rsidR="00000000" w:rsidRDefault="00000000">
            <w:pPr>
              <w:keepNext/>
              <w:spacing w:after="80"/>
              <w:jc w:val="center"/>
              <w:rPr>
                <w:sz w:val="18"/>
              </w:rPr>
            </w:pPr>
            <w:r>
              <w:rPr>
                <w:sz w:val="18"/>
              </w:rPr>
              <w:t>Всего</w:t>
            </w:r>
          </w:p>
        </w:tc>
        <w:tc>
          <w:tcPr>
            <w:tcW w:w="1152" w:type="dxa"/>
            <w:tcBorders>
              <w:bottom w:val="nil"/>
            </w:tcBorders>
          </w:tcPr>
          <w:p w:rsidR="00000000" w:rsidRDefault="00000000">
            <w:pPr>
              <w:keepNext/>
              <w:spacing w:after="80"/>
              <w:jc w:val="center"/>
              <w:rPr>
                <w:sz w:val="18"/>
              </w:rPr>
            </w:pPr>
            <w:r>
              <w:rPr>
                <w:sz w:val="18"/>
              </w:rPr>
              <w:t>Женщ</w:t>
            </w:r>
            <w:r>
              <w:rPr>
                <w:sz w:val="18"/>
              </w:rPr>
              <w:t>и</w:t>
            </w:r>
            <w:r>
              <w:rPr>
                <w:sz w:val="18"/>
              </w:rPr>
              <w:t>ны</w:t>
            </w:r>
          </w:p>
        </w:tc>
        <w:tc>
          <w:tcPr>
            <w:tcW w:w="1152" w:type="dxa"/>
            <w:tcBorders>
              <w:bottom w:val="nil"/>
            </w:tcBorders>
          </w:tcPr>
          <w:p w:rsidR="00000000" w:rsidRDefault="00000000">
            <w:pPr>
              <w:keepNext/>
              <w:spacing w:after="80"/>
              <w:jc w:val="center"/>
              <w:rPr>
                <w:sz w:val="18"/>
              </w:rPr>
            </w:pPr>
            <w:r>
              <w:rPr>
                <w:sz w:val="18"/>
              </w:rPr>
              <w:t>Мужч</w:t>
            </w:r>
            <w:r>
              <w:rPr>
                <w:sz w:val="18"/>
              </w:rPr>
              <w:t>и</w:t>
            </w:r>
            <w:r>
              <w:rPr>
                <w:sz w:val="18"/>
              </w:rPr>
              <w:t>ны</w:t>
            </w:r>
          </w:p>
        </w:tc>
        <w:tc>
          <w:tcPr>
            <w:tcW w:w="1152" w:type="dxa"/>
            <w:tcBorders>
              <w:bottom w:val="nil"/>
            </w:tcBorders>
          </w:tcPr>
          <w:p w:rsidR="00000000" w:rsidRDefault="00000000">
            <w:pPr>
              <w:keepNext/>
              <w:spacing w:after="80"/>
              <w:jc w:val="center"/>
              <w:rPr>
                <w:sz w:val="18"/>
              </w:rPr>
            </w:pPr>
            <w:r>
              <w:rPr>
                <w:sz w:val="18"/>
              </w:rPr>
              <w:t>Женщины, в %</w:t>
            </w:r>
          </w:p>
        </w:tc>
        <w:tc>
          <w:tcPr>
            <w:tcW w:w="1152" w:type="dxa"/>
            <w:tcBorders>
              <w:bottom w:val="nil"/>
            </w:tcBorders>
          </w:tcPr>
          <w:p w:rsidR="00000000" w:rsidRDefault="00000000">
            <w:pPr>
              <w:keepNext/>
              <w:spacing w:after="80"/>
              <w:jc w:val="center"/>
              <w:rPr>
                <w:sz w:val="18"/>
              </w:rPr>
            </w:pPr>
            <w:r>
              <w:rPr>
                <w:sz w:val="18"/>
              </w:rPr>
              <w:t>Мужчины, в %</w:t>
            </w:r>
          </w:p>
        </w:tc>
      </w:tr>
      <w:tr w:rsidR="00000000">
        <w:tblPrEx>
          <w:tblCellMar>
            <w:top w:w="0" w:type="dxa"/>
            <w:bottom w:w="0" w:type="dxa"/>
          </w:tblCellMar>
        </w:tblPrEx>
        <w:tc>
          <w:tcPr>
            <w:tcW w:w="3600" w:type="dxa"/>
            <w:tcBorders>
              <w:top w:val="single" w:sz="4" w:space="0" w:color="auto"/>
              <w:left w:val="single" w:sz="4" w:space="0" w:color="auto"/>
              <w:bottom w:val="nil"/>
              <w:right w:val="single" w:sz="4" w:space="0" w:color="auto"/>
            </w:tcBorders>
          </w:tcPr>
          <w:p w:rsidR="00000000" w:rsidRDefault="00000000">
            <w:pPr>
              <w:keepNext/>
              <w:spacing w:after="80"/>
              <w:jc w:val="center"/>
              <w:rPr>
                <w:sz w:val="18"/>
              </w:rPr>
            </w:pPr>
          </w:p>
        </w:tc>
        <w:tc>
          <w:tcPr>
            <w:tcW w:w="1152" w:type="dxa"/>
            <w:tcBorders>
              <w:top w:val="single" w:sz="4" w:space="0" w:color="auto"/>
              <w:left w:val="single" w:sz="4" w:space="0" w:color="auto"/>
              <w:bottom w:val="nil"/>
              <w:right w:val="single" w:sz="4" w:space="0" w:color="auto"/>
            </w:tcBorders>
          </w:tcPr>
          <w:p w:rsidR="00000000" w:rsidRDefault="00000000">
            <w:pPr>
              <w:keepNext/>
              <w:spacing w:after="80"/>
              <w:jc w:val="center"/>
              <w:rPr>
                <w:sz w:val="18"/>
              </w:rPr>
            </w:pPr>
          </w:p>
        </w:tc>
        <w:tc>
          <w:tcPr>
            <w:tcW w:w="1152" w:type="dxa"/>
            <w:tcBorders>
              <w:top w:val="single" w:sz="4" w:space="0" w:color="auto"/>
              <w:left w:val="single" w:sz="4" w:space="0" w:color="auto"/>
              <w:bottom w:val="nil"/>
              <w:right w:val="single" w:sz="4" w:space="0" w:color="auto"/>
            </w:tcBorders>
          </w:tcPr>
          <w:p w:rsidR="00000000" w:rsidRDefault="00000000">
            <w:pPr>
              <w:keepNext/>
              <w:spacing w:after="80"/>
              <w:jc w:val="center"/>
              <w:rPr>
                <w:sz w:val="18"/>
              </w:rPr>
            </w:pPr>
          </w:p>
        </w:tc>
        <w:tc>
          <w:tcPr>
            <w:tcW w:w="1152" w:type="dxa"/>
            <w:tcBorders>
              <w:top w:val="single" w:sz="4" w:space="0" w:color="auto"/>
              <w:left w:val="single" w:sz="4" w:space="0" w:color="auto"/>
              <w:bottom w:val="nil"/>
              <w:right w:val="single" w:sz="4" w:space="0" w:color="auto"/>
            </w:tcBorders>
          </w:tcPr>
          <w:p w:rsidR="00000000" w:rsidRDefault="00000000">
            <w:pPr>
              <w:keepNext/>
              <w:spacing w:after="80"/>
              <w:jc w:val="center"/>
              <w:rPr>
                <w:sz w:val="18"/>
              </w:rPr>
            </w:pPr>
          </w:p>
        </w:tc>
        <w:tc>
          <w:tcPr>
            <w:tcW w:w="1152" w:type="dxa"/>
            <w:tcBorders>
              <w:top w:val="single" w:sz="4" w:space="0" w:color="auto"/>
              <w:left w:val="single" w:sz="4" w:space="0" w:color="auto"/>
              <w:bottom w:val="nil"/>
              <w:right w:val="single" w:sz="4" w:space="0" w:color="auto"/>
            </w:tcBorders>
          </w:tcPr>
          <w:p w:rsidR="00000000" w:rsidRDefault="00000000">
            <w:pPr>
              <w:keepNext/>
              <w:spacing w:after="80"/>
              <w:jc w:val="center"/>
              <w:rPr>
                <w:sz w:val="18"/>
              </w:rPr>
            </w:pPr>
          </w:p>
        </w:tc>
        <w:tc>
          <w:tcPr>
            <w:tcW w:w="1152" w:type="dxa"/>
            <w:tcBorders>
              <w:top w:val="single" w:sz="4" w:space="0" w:color="auto"/>
              <w:left w:val="single" w:sz="4" w:space="0" w:color="auto"/>
              <w:bottom w:val="nil"/>
              <w:right w:val="single" w:sz="4" w:space="0" w:color="auto"/>
            </w:tcBorders>
          </w:tcPr>
          <w:p w:rsidR="00000000" w:rsidRDefault="00000000">
            <w:pPr>
              <w:keepNext/>
              <w:spacing w:after="80"/>
              <w:jc w:val="center"/>
              <w:rPr>
                <w:sz w:val="18"/>
              </w:rPr>
            </w:pPr>
          </w:p>
        </w:tc>
      </w:tr>
      <w:tr w:rsidR="00000000">
        <w:tblPrEx>
          <w:tblCellMar>
            <w:top w:w="0" w:type="dxa"/>
            <w:bottom w:w="0" w:type="dxa"/>
          </w:tblCellMar>
        </w:tblPrEx>
        <w:trPr>
          <w:trHeight w:val="456"/>
        </w:trPr>
        <w:tc>
          <w:tcPr>
            <w:tcW w:w="3600" w:type="dxa"/>
            <w:tcBorders>
              <w:top w:val="nil"/>
              <w:bottom w:val="nil"/>
            </w:tcBorders>
          </w:tcPr>
          <w:p w:rsidR="00000000" w:rsidRDefault="00000000">
            <w:pPr>
              <w:spacing w:after="80"/>
              <w:jc w:val="both"/>
              <w:rPr>
                <w:sz w:val="18"/>
              </w:rPr>
            </w:pPr>
            <w:r>
              <w:rPr>
                <w:sz w:val="18"/>
              </w:rPr>
              <w:t>Всего</w:t>
            </w:r>
          </w:p>
        </w:tc>
        <w:tc>
          <w:tcPr>
            <w:tcW w:w="1152" w:type="dxa"/>
            <w:tcBorders>
              <w:top w:val="nil"/>
              <w:bottom w:val="nil"/>
            </w:tcBorders>
          </w:tcPr>
          <w:p w:rsidR="00000000" w:rsidRDefault="00000000">
            <w:pPr>
              <w:spacing w:after="80"/>
              <w:jc w:val="right"/>
              <w:rPr>
                <w:sz w:val="18"/>
              </w:rPr>
            </w:pPr>
            <w:r>
              <w:rPr>
                <w:sz w:val="18"/>
              </w:rPr>
              <w:t>109 571</w:t>
            </w:r>
          </w:p>
        </w:tc>
        <w:tc>
          <w:tcPr>
            <w:tcW w:w="1152" w:type="dxa"/>
            <w:tcBorders>
              <w:top w:val="nil"/>
              <w:bottom w:val="nil"/>
            </w:tcBorders>
          </w:tcPr>
          <w:p w:rsidR="00000000" w:rsidRDefault="00000000">
            <w:pPr>
              <w:spacing w:after="80"/>
              <w:jc w:val="right"/>
              <w:rPr>
                <w:sz w:val="18"/>
              </w:rPr>
            </w:pPr>
            <w:r>
              <w:rPr>
                <w:sz w:val="18"/>
              </w:rPr>
              <w:t>49 473</w:t>
            </w:r>
          </w:p>
        </w:tc>
        <w:tc>
          <w:tcPr>
            <w:tcW w:w="1152" w:type="dxa"/>
            <w:tcBorders>
              <w:top w:val="nil"/>
              <w:bottom w:val="nil"/>
            </w:tcBorders>
          </w:tcPr>
          <w:p w:rsidR="00000000" w:rsidRDefault="00000000">
            <w:pPr>
              <w:spacing w:after="80"/>
              <w:jc w:val="right"/>
              <w:rPr>
                <w:sz w:val="18"/>
              </w:rPr>
            </w:pPr>
            <w:r>
              <w:rPr>
                <w:sz w:val="18"/>
              </w:rPr>
              <w:t>60 278</w:t>
            </w:r>
          </w:p>
        </w:tc>
        <w:tc>
          <w:tcPr>
            <w:tcW w:w="1152" w:type="dxa"/>
            <w:tcBorders>
              <w:top w:val="nil"/>
              <w:bottom w:val="nil"/>
            </w:tcBorders>
          </w:tcPr>
          <w:p w:rsidR="00000000" w:rsidRDefault="00000000">
            <w:pPr>
              <w:spacing w:after="80"/>
              <w:jc w:val="right"/>
              <w:rPr>
                <w:sz w:val="18"/>
              </w:rPr>
            </w:pPr>
            <w:r>
              <w:rPr>
                <w:sz w:val="18"/>
              </w:rPr>
              <w:t>45,1</w:t>
            </w:r>
          </w:p>
        </w:tc>
        <w:tc>
          <w:tcPr>
            <w:tcW w:w="1152" w:type="dxa"/>
            <w:tcBorders>
              <w:top w:val="nil"/>
              <w:bottom w:val="nil"/>
            </w:tcBorders>
          </w:tcPr>
          <w:p w:rsidR="00000000" w:rsidRDefault="00000000">
            <w:pPr>
              <w:spacing w:after="80"/>
              <w:jc w:val="right"/>
              <w:rPr>
                <w:sz w:val="18"/>
              </w:rPr>
            </w:pPr>
            <w:r>
              <w:rPr>
                <w:sz w:val="18"/>
              </w:rPr>
              <w:t>54,9</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Секретариат президента</w:t>
            </w:r>
          </w:p>
        </w:tc>
        <w:tc>
          <w:tcPr>
            <w:tcW w:w="1152" w:type="dxa"/>
            <w:tcBorders>
              <w:top w:val="nil"/>
              <w:bottom w:val="nil"/>
            </w:tcBorders>
          </w:tcPr>
          <w:p w:rsidR="00000000" w:rsidRDefault="00000000">
            <w:pPr>
              <w:spacing w:after="80"/>
              <w:jc w:val="right"/>
              <w:rPr>
                <w:sz w:val="18"/>
              </w:rPr>
            </w:pPr>
            <w:r>
              <w:rPr>
                <w:sz w:val="18"/>
              </w:rPr>
              <w:t>269</w:t>
            </w:r>
          </w:p>
        </w:tc>
        <w:tc>
          <w:tcPr>
            <w:tcW w:w="1152" w:type="dxa"/>
            <w:tcBorders>
              <w:top w:val="nil"/>
              <w:bottom w:val="nil"/>
            </w:tcBorders>
          </w:tcPr>
          <w:p w:rsidR="00000000" w:rsidRDefault="00000000">
            <w:pPr>
              <w:spacing w:after="80"/>
              <w:jc w:val="right"/>
              <w:rPr>
                <w:sz w:val="18"/>
              </w:rPr>
            </w:pPr>
            <w:r>
              <w:rPr>
                <w:sz w:val="18"/>
              </w:rPr>
              <w:t>60</w:t>
            </w:r>
          </w:p>
        </w:tc>
        <w:tc>
          <w:tcPr>
            <w:tcW w:w="1152" w:type="dxa"/>
            <w:tcBorders>
              <w:top w:val="nil"/>
              <w:bottom w:val="nil"/>
            </w:tcBorders>
          </w:tcPr>
          <w:p w:rsidR="00000000" w:rsidRDefault="00000000">
            <w:pPr>
              <w:spacing w:after="80"/>
              <w:jc w:val="right"/>
              <w:rPr>
                <w:sz w:val="18"/>
              </w:rPr>
            </w:pPr>
            <w:r>
              <w:rPr>
                <w:sz w:val="18"/>
              </w:rPr>
              <w:t>209</w:t>
            </w:r>
          </w:p>
        </w:tc>
        <w:tc>
          <w:tcPr>
            <w:tcW w:w="1152" w:type="dxa"/>
            <w:tcBorders>
              <w:top w:val="nil"/>
              <w:bottom w:val="nil"/>
            </w:tcBorders>
          </w:tcPr>
          <w:p w:rsidR="00000000" w:rsidRDefault="00000000">
            <w:pPr>
              <w:spacing w:after="80"/>
              <w:jc w:val="right"/>
              <w:rPr>
                <w:sz w:val="18"/>
              </w:rPr>
            </w:pPr>
            <w:r>
              <w:rPr>
                <w:sz w:val="18"/>
              </w:rPr>
              <w:t>22,3</w:t>
            </w:r>
          </w:p>
        </w:tc>
        <w:tc>
          <w:tcPr>
            <w:tcW w:w="1152" w:type="dxa"/>
            <w:tcBorders>
              <w:top w:val="nil"/>
              <w:bottom w:val="nil"/>
            </w:tcBorders>
          </w:tcPr>
          <w:p w:rsidR="00000000" w:rsidRDefault="00000000">
            <w:pPr>
              <w:spacing w:after="80"/>
              <w:jc w:val="right"/>
              <w:rPr>
                <w:sz w:val="18"/>
              </w:rPr>
            </w:pPr>
            <w:r>
              <w:rPr>
                <w:sz w:val="18"/>
              </w:rPr>
              <w:t>71,7</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Министерства:</w:t>
            </w:r>
          </w:p>
        </w:tc>
        <w:tc>
          <w:tcPr>
            <w:tcW w:w="1152" w:type="dxa"/>
            <w:tcBorders>
              <w:top w:val="nil"/>
              <w:bottom w:val="nil"/>
            </w:tcBorders>
          </w:tcPr>
          <w:p w:rsidR="00000000" w:rsidRDefault="00000000">
            <w:pPr>
              <w:spacing w:after="80"/>
              <w:jc w:val="right"/>
              <w:rPr>
                <w:sz w:val="18"/>
              </w:rPr>
            </w:pPr>
          </w:p>
        </w:tc>
        <w:tc>
          <w:tcPr>
            <w:tcW w:w="1152" w:type="dxa"/>
            <w:tcBorders>
              <w:top w:val="nil"/>
              <w:bottom w:val="nil"/>
            </w:tcBorders>
          </w:tcPr>
          <w:p w:rsidR="00000000" w:rsidRDefault="00000000">
            <w:pPr>
              <w:spacing w:after="80"/>
              <w:jc w:val="right"/>
              <w:rPr>
                <w:sz w:val="18"/>
              </w:rPr>
            </w:pPr>
          </w:p>
        </w:tc>
        <w:tc>
          <w:tcPr>
            <w:tcW w:w="1152" w:type="dxa"/>
            <w:tcBorders>
              <w:top w:val="nil"/>
              <w:bottom w:val="nil"/>
            </w:tcBorders>
          </w:tcPr>
          <w:p w:rsidR="00000000" w:rsidRDefault="00000000">
            <w:pPr>
              <w:spacing w:after="80"/>
              <w:jc w:val="right"/>
              <w:rPr>
                <w:sz w:val="18"/>
              </w:rPr>
            </w:pPr>
          </w:p>
        </w:tc>
        <w:tc>
          <w:tcPr>
            <w:tcW w:w="1152" w:type="dxa"/>
            <w:tcBorders>
              <w:top w:val="nil"/>
              <w:bottom w:val="nil"/>
            </w:tcBorders>
          </w:tcPr>
          <w:p w:rsidR="00000000" w:rsidRDefault="00000000">
            <w:pPr>
              <w:spacing w:after="80"/>
              <w:jc w:val="right"/>
              <w:rPr>
                <w:sz w:val="18"/>
              </w:rPr>
            </w:pPr>
          </w:p>
        </w:tc>
        <w:tc>
          <w:tcPr>
            <w:tcW w:w="1152" w:type="dxa"/>
            <w:tcBorders>
              <w:top w:val="nil"/>
              <w:bottom w:val="nil"/>
            </w:tcBorders>
          </w:tcPr>
          <w:p w:rsidR="00000000" w:rsidRDefault="00000000">
            <w:pPr>
              <w:spacing w:after="80"/>
              <w:jc w:val="right"/>
              <w:rPr>
                <w:sz w:val="18"/>
              </w:rPr>
            </w:pP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 xml:space="preserve">  иностранных дел</w:t>
            </w:r>
          </w:p>
        </w:tc>
        <w:tc>
          <w:tcPr>
            <w:tcW w:w="1152" w:type="dxa"/>
            <w:tcBorders>
              <w:top w:val="nil"/>
              <w:bottom w:val="nil"/>
            </w:tcBorders>
          </w:tcPr>
          <w:p w:rsidR="00000000" w:rsidRDefault="00000000">
            <w:pPr>
              <w:spacing w:after="80"/>
              <w:jc w:val="right"/>
              <w:rPr>
                <w:sz w:val="18"/>
              </w:rPr>
            </w:pPr>
            <w:r>
              <w:rPr>
                <w:sz w:val="18"/>
              </w:rPr>
              <w:t>418</w:t>
            </w:r>
          </w:p>
        </w:tc>
        <w:tc>
          <w:tcPr>
            <w:tcW w:w="1152" w:type="dxa"/>
            <w:tcBorders>
              <w:top w:val="nil"/>
              <w:bottom w:val="nil"/>
            </w:tcBorders>
          </w:tcPr>
          <w:p w:rsidR="00000000" w:rsidRDefault="00000000">
            <w:pPr>
              <w:spacing w:after="80"/>
              <w:jc w:val="right"/>
              <w:rPr>
                <w:sz w:val="18"/>
              </w:rPr>
            </w:pPr>
            <w:r>
              <w:rPr>
                <w:sz w:val="18"/>
              </w:rPr>
              <w:t>162</w:t>
            </w:r>
          </w:p>
        </w:tc>
        <w:tc>
          <w:tcPr>
            <w:tcW w:w="1152" w:type="dxa"/>
            <w:tcBorders>
              <w:top w:val="nil"/>
              <w:bottom w:val="nil"/>
            </w:tcBorders>
          </w:tcPr>
          <w:p w:rsidR="00000000" w:rsidRDefault="00000000">
            <w:pPr>
              <w:spacing w:after="80"/>
              <w:jc w:val="right"/>
              <w:rPr>
                <w:sz w:val="18"/>
              </w:rPr>
            </w:pPr>
            <w:r>
              <w:rPr>
                <w:sz w:val="18"/>
              </w:rPr>
              <w:t>256</w:t>
            </w:r>
          </w:p>
        </w:tc>
        <w:tc>
          <w:tcPr>
            <w:tcW w:w="1152" w:type="dxa"/>
            <w:tcBorders>
              <w:top w:val="nil"/>
              <w:bottom w:val="nil"/>
            </w:tcBorders>
          </w:tcPr>
          <w:p w:rsidR="00000000" w:rsidRDefault="00000000">
            <w:pPr>
              <w:spacing w:after="80"/>
              <w:jc w:val="right"/>
              <w:rPr>
                <w:sz w:val="18"/>
              </w:rPr>
            </w:pPr>
            <w:r>
              <w:rPr>
                <w:sz w:val="18"/>
              </w:rPr>
              <w:t>38,8</w:t>
            </w:r>
          </w:p>
        </w:tc>
        <w:tc>
          <w:tcPr>
            <w:tcW w:w="1152" w:type="dxa"/>
            <w:tcBorders>
              <w:top w:val="nil"/>
              <w:bottom w:val="nil"/>
            </w:tcBorders>
          </w:tcPr>
          <w:p w:rsidR="00000000" w:rsidRDefault="00000000">
            <w:pPr>
              <w:spacing w:after="80"/>
              <w:jc w:val="right"/>
              <w:rPr>
                <w:sz w:val="18"/>
              </w:rPr>
            </w:pPr>
            <w:r>
              <w:rPr>
                <w:sz w:val="18"/>
              </w:rPr>
              <w:t>61,2</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 xml:space="preserve">  внутренних дел</w:t>
            </w:r>
          </w:p>
        </w:tc>
        <w:tc>
          <w:tcPr>
            <w:tcW w:w="1152" w:type="dxa"/>
            <w:tcBorders>
              <w:top w:val="nil"/>
              <w:bottom w:val="nil"/>
            </w:tcBorders>
          </w:tcPr>
          <w:p w:rsidR="00000000" w:rsidRDefault="00000000">
            <w:pPr>
              <w:spacing w:after="80"/>
              <w:jc w:val="right"/>
              <w:rPr>
                <w:sz w:val="18"/>
              </w:rPr>
            </w:pPr>
            <w:r>
              <w:rPr>
                <w:sz w:val="18"/>
              </w:rPr>
              <w:t>21 726</w:t>
            </w:r>
          </w:p>
        </w:tc>
        <w:tc>
          <w:tcPr>
            <w:tcW w:w="1152" w:type="dxa"/>
            <w:tcBorders>
              <w:top w:val="nil"/>
              <w:bottom w:val="nil"/>
            </w:tcBorders>
          </w:tcPr>
          <w:p w:rsidR="00000000" w:rsidRDefault="00000000">
            <w:pPr>
              <w:spacing w:after="80"/>
              <w:jc w:val="right"/>
              <w:rPr>
                <w:sz w:val="18"/>
              </w:rPr>
            </w:pPr>
            <w:r>
              <w:rPr>
                <w:sz w:val="18"/>
              </w:rPr>
              <w:t>2 180</w:t>
            </w:r>
          </w:p>
        </w:tc>
        <w:tc>
          <w:tcPr>
            <w:tcW w:w="1152" w:type="dxa"/>
            <w:tcBorders>
              <w:top w:val="nil"/>
              <w:bottom w:val="nil"/>
            </w:tcBorders>
          </w:tcPr>
          <w:p w:rsidR="00000000" w:rsidRDefault="00000000">
            <w:pPr>
              <w:spacing w:after="80"/>
              <w:jc w:val="right"/>
              <w:rPr>
                <w:sz w:val="18"/>
              </w:rPr>
            </w:pPr>
            <w:r>
              <w:rPr>
                <w:sz w:val="18"/>
              </w:rPr>
              <w:t>19 546</w:t>
            </w:r>
          </w:p>
        </w:tc>
        <w:tc>
          <w:tcPr>
            <w:tcW w:w="1152" w:type="dxa"/>
            <w:tcBorders>
              <w:top w:val="nil"/>
              <w:bottom w:val="nil"/>
            </w:tcBorders>
          </w:tcPr>
          <w:p w:rsidR="00000000" w:rsidRDefault="00000000">
            <w:pPr>
              <w:spacing w:after="80"/>
              <w:jc w:val="right"/>
              <w:rPr>
                <w:sz w:val="18"/>
              </w:rPr>
            </w:pPr>
            <w:r>
              <w:rPr>
                <w:sz w:val="18"/>
              </w:rPr>
              <w:t>10,0</w:t>
            </w:r>
          </w:p>
        </w:tc>
        <w:tc>
          <w:tcPr>
            <w:tcW w:w="1152" w:type="dxa"/>
            <w:tcBorders>
              <w:top w:val="nil"/>
              <w:bottom w:val="nil"/>
            </w:tcBorders>
          </w:tcPr>
          <w:p w:rsidR="00000000" w:rsidRDefault="00000000">
            <w:pPr>
              <w:spacing w:after="80"/>
              <w:jc w:val="right"/>
              <w:rPr>
                <w:sz w:val="18"/>
              </w:rPr>
            </w:pPr>
            <w:r>
              <w:rPr>
                <w:sz w:val="18"/>
              </w:rPr>
              <w:t>90,0</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 xml:space="preserve">  финансов</w:t>
            </w:r>
          </w:p>
        </w:tc>
        <w:tc>
          <w:tcPr>
            <w:tcW w:w="1152" w:type="dxa"/>
            <w:tcBorders>
              <w:top w:val="nil"/>
              <w:bottom w:val="nil"/>
            </w:tcBorders>
          </w:tcPr>
          <w:p w:rsidR="00000000" w:rsidRDefault="00000000">
            <w:pPr>
              <w:spacing w:after="80"/>
              <w:jc w:val="right"/>
              <w:rPr>
                <w:sz w:val="18"/>
              </w:rPr>
            </w:pPr>
            <w:r>
              <w:rPr>
                <w:sz w:val="18"/>
              </w:rPr>
              <w:t>1050</w:t>
            </w:r>
          </w:p>
        </w:tc>
        <w:tc>
          <w:tcPr>
            <w:tcW w:w="1152" w:type="dxa"/>
            <w:tcBorders>
              <w:top w:val="nil"/>
              <w:bottom w:val="nil"/>
            </w:tcBorders>
          </w:tcPr>
          <w:p w:rsidR="00000000" w:rsidRDefault="00000000">
            <w:pPr>
              <w:spacing w:after="80"/>
              <w:jc w:val="right"/>
              <w:rPr>
                <w:sz w:val="18"/>
              </w:rPr>
            </w:pPr>
            <w:r>
              <w:rPr>
                <w:sz w:val="18"/>
              </w:rPr>
              <w:t>358</w:t>
            </w:r>
          </w:p>
        </w:tc>
        <w:tc>
          <w:tcPr>
            <w:tcW w:w="1152" w:type="dxa"/>
            <w:tcBorders>
              <w:top w:val="nil"/>
              <w:bottom w:val="nil"/>
            </w:tcBorders>
          </w:tcPr>
          <w:p w:rsidR="00000000" w:rsidRDefault="00000000">
            <w:pPr>
              <w:spacing w:after="80"/>
              <w:jc w:val="right"/>
              <w:rPr>
                <w:sz w:val="18"/>
              </w:rPr>
            </w:pPr>
            <w:r>
              <w:rPr>
                <w:sz w:val="18"/>
              </w:rPr>
              <w:t xml:space="preserve">692 </w:t>
            </w:r>
          </w:p>
        </w:tc>
        <w:tc>
          <w:tcPr>
            <w:tcW w:w="1152" w:type="dxa"/>
            <w:tcBorders>
              <w:top w:val="nil"/>
              <w:bottom w:val="nil"/>
            </w:tcBorders>
          </w:tcPr>
          <w:p w:rsidR="00000000" w:rsidRDefault="00000000">
            <w:pPr>
              <w:spacing w:after="80"/>
              <w:jc w:val="right"/>
              <w:rPr>
                <w:sz w:val="18"/>
              </w:rPr>
            </w:pPr>
            <w:r>
              <w:rPr>
                <w:sz w:val="18"/>
              </w:rPr>
              <w:t>34,1</w:t>
            </w:r>
          </w:p>
        </w:tc>
        <w:tc>
          <w:tcPr>
            <w:tcW w:w="1152" w:type="dxa"/>
            <w:tcBorders>
              <w:top w:val="nil"/>
              <w:bottom w:val="nil"/>
            </w:tcBorders>
          </w:tcPr>
          <w:p w:rsidR="00000000" w:rsidRDefault="00000000">
            <w:pPr>
              <w:spacing w:after="80"/>
              <w:jc w:val="right"/>
              <w:rPr>
                <w:sz w:val="18"/>
              </w:rPr>
            </w:pPr>
            <w:r>
              <w:rPr>
                <w:sz w:val="18"/>
              </w:rPr>
              <w:t>65,9</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 xml:space="preserve">  образования</w:t>
            </w:r>
          </w:p>
        </w:tc>
        <w:tc>
          <w:tcPr>
            <w:tcW w:w="1152" w:type="dxa"/>
            <w:tcBorders>
              <w:top w:val="nil"/>
              <w:bottom w:val="nil"/>
            </w:tcBorders>
          </w:tcPr>
          <w:p w:rsidR="00000000" w:rsidRDefault="00000000">
            <w:pPr>
              <w:spacing w:after="80"/>
              <w:jc w:val="right"/>
              <w:rPr>
                <w:sz w:val="18"/>
              </w:rPr>
            </w:pPr>
            <w:r>
              <w:rPr>
                <w:sz w:val="18"/>
              </w:rPr>
              <w:t>58 716</w:t>
            </w:r>
          </w:p>
        </w:tc>
        <w:tc>
          <w:tcPr>
            <w:tcW w:w="1152" w:type="dxa"/>
            <w:tcBorders>
              <w:top w:val="nil"/>
              <w:bottom w:val="nil"/>
            </w:tcBorders>
          </w:tcPr>
          <w:p w:rsidR="00000000" w:rsidRDefault="00000000">
            <w:pPr>
              <w:spacing w:after="80"/>
              <w:jc w:val="right"/>
              <w:rPr>
                <w:sz w:val="18"/>
              </w:rPr>
            </w:pPr>
            <w:r>
              <w:rPr>
                <w:sz w:val="18"/>
              </w:rPr>
              <w:t>33 410</w:t>
            </w:r>
          </w:p>
        </w:tc>
        <w:tc>
          <w:tcPr>
            <w:tcW w:w="1152" w:type="dxa"/>
            <w:tcBorders>
              <w:top w:val="nil"/>
              <w:bottom w:val="nil"/>
            </w:tcBorders>
          </w:tcPr>
          <w:p w:rsidR="00000000" w:rsidRDefault="00000000">
            <w:pPr>
              <w:spacing w:after="80"/>
              <w:jc w:val="right"/>
              <w:rPr>
                <w:sz w:val="18"/>
              </w:rPr>
            </w:pPr>
            <w:r>
              <w:rPr>
                <w:sz w:val="18"/>
              </w:rPr>
              <w:t>25 075</w:t>
            </w:r>
          </w:p>
        </w:tc>
        <w:tc>
          <w:tcPr>
            <w:tcW w:w="1152" w:type="dxa"/>
            <w:tcBorders>
              <w:top w:val="nil"/>
              <w:bottom w:val="nil"/>
            </w:tcBorders>
          </w:tcPr>
          <w:p w:rsidR="00000000" w:rsidRDefault="00000000">
            <w:pPr>
              <w:spacing w:after="80"/>
              <w:jc w:val="right"/>
              <w:rPr>
                <w:sz w:val="18"/>
              </w:rPr>
            </w:pPr>
            <w:r>
              <w:rPr>
                <w:sz w:val="18"/>
              </w:rPr>
              <w:t>57,3</w:t>
            </w:r>
          </w:p>
        </w:tc>
        <w:tc>
          <w:tcPr>
            <w:tcW w:w="1152" w:type="dxa"/>
            <w:tcBorders>
              <w:top w:val="nil"/>
              <w:bottom w:val="nil"/>
            </w:tcBorders>
          </w:tcPr>
          <w:p w:rsidR="00000000" w:rsidRDefault="00000000">
            <w:pPr>
              <w:spacing w:after="80"/>
              <w:jc w:val="right"/>
              <w:rPr>
                <w:sz w:val="18"/>
              </w:rPr>
            </w:pPr>
            <w:r>
              <w:rPr>
                <w:sz w:val="18"/>
              </w:rPr>
              <w:t>42,7</w:t>
            </w:r>
          </w:p>
        </w:tc>
      </w:tr>
      <w:tr w:rsidR="00000000">
        <w:tblPrEx>
          <w:tblCellMar>
            <w:top w:w="0" w:type="dxa"/>
            <w:bottom w:w="0" w:type="dxa"/>
          </w:tblCellMar>
        </w:tblPrEx>
        <w:tc>
          <w:tcPr>
            <w:tcW w:w="3600" w:type="dxa"/>
            <w:tcBorders>
              <w:top w:val="nil"/>
              <w:bottom w:val="nil"/>
            </w:tcBorders>
          </w:tcPr>
          <w:p w:rsidR="00000000" w:rsidRDefault="00000000">
            <w:pPr>
              <w:rPr>
                <w:sz w:val="18"/>
              </w:rPr>
            </w:pPr>
            <w:r>
              <w:rPr>
                <w:sz w:val="18"/>
              </w:rPr>
              <w:t xml:space="preserve">  здравоохранения и социальной</w:t>
            </w:r>
          </w:p>
          <w:p w:rsidR="00000000" w:rsidRDefault="00000000">
            <w:pPr>
              <w:spacing w:after="80"/>
              <w:rPr>
                <w:sz w:val="18"/>
              </w:rPr>
            </w:pPr>
            <w:r>
              <w:rPr>
                <w:sz w:val="18"/>
              </w:rPr>
              <w:t xml:space="preserve">  помощи</w:t>
            </w:r>
          </w:p>
        </w:tc>
        <w:tc>
          <w:tcPr>
            <w:tcW w:w="1152" w:type="dxa"/>
            <w:tcBorders>
              <w:top w:val="nil"/>
              <w:bottom w:val="nil"/>
            </w:tcBorders>
          </w:tcPr>
          <w:p w:rsidR="00000000" w:rsidRDefault="00000000">
            <w:pPr>
              <w:spacing w:after="80"/>
              <w:jc w:val="right"/>
              <w:rPr>
                <w:sz w:val="18"/>
              </w:rPr>
            </w:pPr>
            <w:r>
              <w:rPr>
                <w:sz w:val="18"/>
              </w:rPr>
              <w:t>18 482</w:t>
            </w:r>
          </w:p>
        </w:tc>
        <w:tc>
          <w:tcPr>
            <w:tcW w:w="1152" w:type="dxa"/>
            <w:tcBorders>
              <w:top w:val="nil"/>
              <w:bottom w:val="nil"/>
            </w:tcBorders>
          </w:tcPr>
          <w:p w:rsidR="00000000" w:rsidRDefault="00000000">
            <w:pPr>
              <w:spacing w:after="80"/>
              <w:jc w:val="right"/>
              <w:rPr>
                <w:sz w:val="18"/>
              </w:rPr>
            </w:pPr>
            <w:r>
              <w:rPr>
                <w:sz w:val="18"/>
              </w:rPr>
              <w:t>10 336</w:t>
            </w:r>
          </w:p>
        </w:tc>
        <w:tc>
          <w:tcPr>
            <w:tcW w:w="1152" w:type="dxa"/>
            <w:tcBorders>
              <w:top w:val="nil"/>
              <w:bottom w:val="nil"/>
            </w:tcBorders>
          </w:tcPr>
          <w:p w:rsidR="00000000" w:rsidRDefault="00000000">
            <w:pPr>
              <w:spacing w:after="80"/>
              <w:jc w:val="right"/>
              <w:rPr>
                <w:sz w:val="18"/>
              </w:rPr>
            </w:pPr>
            <w:r>
              <w:rPr>
                <w:sz w:val="18"/>
              </w:rPr>
              <w:t>8 146</w:t>
            </w:r>
          </w:p>
        </w:tc>
        <w:tc>
          <w:tcPr>
            <w:tcW w:w="1152" w:type="dxa"/>
            <w:tcBorders>
              <w:top w:val="nil"/>
              <w:bottom w:val="nil"/>
            </w:tcBorders>
          </w:tcPr>
          <w:p w:rsidR="00000000" w:rsidRDefault="00000000">
            <w:pPr>
              <w:spacing w:after="80"/>
              <w:jc w:val="right"/>
              <w:rPr>
                <w:sz w:val="18"/>
              </w:rPr>
            </w:pPr>
            <w:r>
              <w:rPr>
                <w:sz w:val="18"/>
              </w:rPr>
              <w:t>56,9</w:t>
            </w:r>
          </w:p>
        </w:tc>
        <w:tc>
          <w:tcPr>
            <w:tcW w:w="1152" w:type="dxa"/>
            <w:tcBorders>
              <w:top w:val="nil"/>
              <w:bottom w:val="nil"/>
            </w:tcBorders>
          </w:tcPr>
          <w:p w:rsidR="00000000" w:rsidRDefault="00000000">
            <w:pPr>
              <w:spacing w:after="80"/>
              <w:jc w:val="right"/>
              <w:rPr>
                <w:sz w:val="18"/>
              </w:rPr>
            </w:pPr>
            <w:r>
              <w:rPr>
                <w:sz w:val="18"/>
              </w:rPr>
              <w:t>44,1</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 xml:space="preserve">  труда и социального обеспеч</w:t>
            </w:r>
            <w:r>
              <w:rPr>
                <w:sz w:val="18"/>
              </w:rPr>
              <w:t>е</w:t>
            </w:r>
            <w:r>
              <w:rPr>
                <w:sz w:val="18"/>
              </w:rPr>
              <w:t>ния</w:t>
            </w:r>
          </w:p>
        </w:tc>
        <w:tc>
          <w:tcPr>
            <w:tcW w:w="1152" w:type="dxa"/>
            <w:tcBorders>
              <w:top w:val="nil"/>
              <w:bottom w:val="nil"/>
            </w:tcBorders>
          </w:tcPr>
          <w:p w:rsidR="00000000" w:rsidRDefault="00000000">
            <w:pPr>
              <w:spacing w:after="80"/>
              <w:jc w:val="right"/>
              <w:rPr>
                <w:sz w:val="18"/>
              </w:rPr>
            </w:pPr>
            <w:r>
              <w:rPr>
                <w:sz w:val="18"/>
              </w:rPr>
              <w:t>745</w:t>
            </w:r>
          </w:p>
        </w:tc>
        <w:tc>
          <w:tcPr>
            <w:tcW w:w="1152" w:type="dxa"/>
            <w:tcBorders>
              <w:top w:val="nil"/>
              <w:bottom w:val="nil"/>
            </w:tcBorders>
          </w:tcPr>
          <w:p w:rsidR="00000000" w:rsidRDefault="00000000">
            <w:pPr>
              <w:spacing w:after="80"/>
              <w:jc w:val="right"/>
              <w:rPr>
                <w:sz w:val="18"/>
              </w:rPr>
            </w:pPr>
            <w:r>
              <w:rPr>
                <w:sz w:val="18"/>
              </w:rPr>
              <w:t>276</w:t>
            </w:r>
          </w:p>
        </w:tc>
        <w:tc>
          <w:tcPr>
            <w:tcW w:w="1152" w:type="dxa"/>
            <w:tcBorders>
              <w:top w:val="nil"/>
              <w:bottom w:val="nil"/>
            </w:tcBorders>
          </w:tcPr>
          <w:p w:rsidR="00000000" w:rsidRDefault="00000000">
            <w:pPr>
              <w:spacing w:after="80"/>
              <w:jc w:val="right"/>
              <w:rPr>
                <w:sz w:val="18"/>
              </w:rPr>
            </w:pPr>
            <w:r>
              <w:rPr>
                <w:sz w:val="18"/>
              </w:rPr>
              <w:t>469</w:t>
            </w:r>
          </w:p>
        </w:tc>
        <w:tc>
          <w:tcPr>
            <w:tcW w:w="1152" w:type="dxa"/>
            <w:tcBorders>
              <w:top w:val="nil"/>
              <w:bottom w:val="nil"/>
            </w:tcBorders>
          </w:tcPr>
          <w:p w:rsidR="00000000" w:rsidRDefault="00000000">
            <w:pPr>
              <w:spacing w:after="80"/>
              <w:jc w:val="right"/>
              <w:rPr>
                <w:sz w:val="18"/>
              </w:rPr>
            </w:pPr>
            <w:r>
              <w:rPr>
                <w:sz w:val="18"/>
              </w:rPr>
              <w:t>37,0</w:t>
            </w:r>
          </w:p>
        </w:tc>
        <w:tc>
          <w:tcPr>
            <w:tcW w:w="1152" w:type="dxa"/>
            <w:tcBorders>
              <w:top w:val="nil"/>
              <w:bottom w:val="nil"/>
            </w:tcBorders>
          </w:tcPr>
          <w:p w:rsidR="00000000" w:rsidRDefault="00000000">
            <w:pPr>
              <w:spacing w:after="80"/>
              <w:jc w:val="right"/>
              <w:rPr>
                <w:sz w:val="18"/>
              </w:rPr>
            </w:pPr>
            <w:r>
              <w:rPr>
                <w:sz w:val="18"/>
              </w:rPr>
              <w:t>63,0</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 xml:space="preserve">  экономики</w:t>
            </w:r>
          </w:p>
        </w:tc>
        <w:tc>
          <w:tcPr>
            <w:tcW w:w="1152" w:type="dxa"/>
            <w:tcBorders>
              <w:top w:val="nil"/>
              <w:bottom w:val="nil"/>
            </w:tcBorders>
          </w:tcPr>
          <w:p w:rsidR="00000000" w:rsidRDefault="00000000">
            <w:pPr>
              <w:spacing w:after="80"/>
              <w:jc w:val="right"/>
              <w:rPr>
                <w:sz w:val="18"/>
              </w:rPr>
            </w:pPr>
            <w:r>
              <w:rPr>
                <w:sz w:val="18"/>
              </w:rPr>
              <w:t>366</w:t>
            </w:r>
          </w:p>
        </w:tc>
        <w:tc>
          <w:tcPr>
            <w:tcW w:w="1152" w:type="dxa"/>
            <w:tcBorders>
              <w:top w:val="nil"/>
              <w:bottom w:val="nil"/>
            </w:tcBorders>
          </w:tcPr>
          <w:p w:rsidR="00000000" w:rsidRDefault="00000000">
            <w:pPr>
              <w:spacing w:after="80"/>
              <w:jc w:val="right"/>
              <w:rPr>
                <w:sz w:val="18"/>
              </w:rPr>
            </w:pPr>
            <w:r>
              <w:rPr>
                <w:sz w:val="18"/>
              </w:rPr>
              <w:t>137</w:t>
            </w:r>
          </w:p>
        </w:tc>
        <w:tc>
          <w:tcPr>
            <w:tcW w:w="1152" w:type="dxa"/>
            <w:tcBorders>
              <w:top w:val="nil"/>
              <w:bottom w:val="nil"/>
            </w:tcBorders>
          </w:tcPr>
          <w:p w:rsidR="00000000" w:rsidRDefault="00000000">
            <w:pPr>
              <w:spacing w:after="80"/>
              <w:jc w:val="right"/>
              <w:rPr>
                <w:sz w:val="18"/>
              </w:rPr>
            </w:pPr>
            <w:r>
              <w:rPr>
                <w:sz w:val="18"/>
              </w:rPr>
              <w:t>229</w:t>
            </w:r>
          </w:p>
        </w:tc>
        <w:tc>
          <w:tcPr>
            <w:tcW w:w="1152" w:type="dxa"/>
            <w:tcBorders>
              <w:top w:val="nil"/>
              <w:bottom w:val="nil"/>
            </w:tcBorders>
          </w:tcPr>
          <w:p w:rsidR="00000000" w:rsidRDefault="00000000">
            <w:pPr>
              <w:spacing w:after="80"/>
              <w:jc w:val="right"/>
              <w:rPr>
                <w:sz w:val="18"/>
              </w:rPr>
            </w:pPr>
            <w:r>
              <w:rPr>
                <w:sz w:val="18"/>
              </w:rPr>
              <w:t>32,5</w:t>
            </w:r>
          </w:p>
        </w:tc>
        <w:tc>
          <w:tcPr>
            <w:tcW w:w="1152" w:type="dxa"/>
            <w:tcBorders>
              <w:top w:val="nil"/>
              <w:bottom w:val="nil"/>
            </w:tcBorders>
          </w:tcPr>
          <w:p w:rsidR="00000000" w:rsidRDefault="00000000">
            <w:pPr>
              <w:spacing w:after="80"/>
              <w:jc w:val="right"/>
              <w:rPr>
                <w:sz w:val="18"/>
              </w:rPr>
            </w:pPr>
            <w:r>
              <w:rPr>
                <w:sz w:val="18"/>
              </w:rPr>
              <w:t>62,5</w:t>
            </w:r>
          </w:p>
        </w:tc>
      </w:tr>
      <w:tr w:rsidR="00000000">
        <w:tblPrEx>
          <w:tblCellMar>
            <w:top w:w="0" w:type="dxa"/>
            <w:bottom w:w="0" w:type="dxa"/>
          </w:tblCellMar>
        </w:tblPrEx>
        <w:tc>
          <w:tcPr>
            <w:tcW w:w="3600" w:type="dxa"/>
            <w:tcBorders>
              <w:top w:val="nil"/>
              <w:bottom w:val="nil"/>
            </w:tcBorders>
          </w:tcPr>
          <w:p w:rsidR="00000000" w:rsidRDefault="00000000">
            <w:pPr>
              <w:rPr>
                <w:sz w:val="18"/>
              </w:rPr>
            </w:pPr>
            <w:r>
              <w:rPr>
                <w:sz w:val="18"/>
              </w:rPr>
              <w:t xml:space="preserve">  сельского хозяйства, животноводства</w:t>
            </w:r>
          </w:p>
          <w:p w:rsidR="00000000" w:rsidRDefault="00000000">
            <w:pPr>
              <w:spacing w:after="80"/>
              <w:rPr>
                <w:sz w:val="18"/>
              </w:rPr>
            </w:pPr>
            <w:r>
              <w:rPr>
                <w:sz w:val="18"/>
              </w:rPr>
              <w:t xml:space="preserve">  и пищевой промышленности</w:t>
            </w:r>
          </w:p>
        </w:tc>
        <w:tc>
          <w:tcPr>
            <w:tcW w:w="1152" w:type="dxa"/>
            <w:tcBorders>
              <w:top w:val="nil"/>
              <w:bottom w:val="nil"/>
            </w:tcBorders>
          </w:tcPr>
          <w:p w:rsidR="00000000" w:rsidRDefault="00000000">
            <w:pPr>
              <w:spacing w:after="80"/>
              <w:jc w:val="right"/>
              <w:rPr>
                <w:sz w:val="18"/>
              </w:rPr>
            </w:pPr>
            <w:r>
              <w:rPr>
                <w:sz w:val="18"/>
              </w:rPr>
              <w:t>492</w:t>
            </w:r>
          </w:p>
        </w:tc>
        <w:tc>
          <w:tcPr>
            <w:tcW w:w="1152" w:type="dxa"/>
            <w:tcBorders>
              <w:top w:val="nil"/>
              <w:bottom w:val="nil"/>
            </w:tcBorders>
          </w:tcPr>
          <w:p w:rsidR="00000000" w:rsidRDefault="00000000">
            <w:pPr>
              <w:spacing w:after="80"/>
              <w:jc w:val="right"/>
              <w:rPr>
                <w:sz w:val="18"/>
              </w:rPr>
            </w:pPr>
            <w:r>
              <w:rPr>
                <w:sz w:val="18"/>
              </w:rPr>
              <w:t>125</w:t>
            </w:r>
          </w:p>
        </w:tc>
        <w:tc>
          <w:tcPr>
            <w:tcW w:w="1152" w:type="dxa"/>
            <w:tcBorders>
              <w:top w:val="nil"/>
              <w:bottom w:val="nil"/>
            </w:tcBorders>
          </w:tcPr>
          <w:p w:rsidR="00000000" w:rsidRDefault="00000000">
            <w:pPr>
              <w:spacing w:after="80"/>
              <w:jc w:val="right"/>
              <w:rPr>
                <w:sz w:val="18"/>
              </w:rPr>
            </w:pPr>
            <w:r>
              <w:rPr>
                <w:sz w:val="18"/>
              </w:rPr>
              <w:t>367</w:t>
            </w:r>
          </w:p>
        </w:tc>
        <w:tc>
          <w:tcPr>
            <w:tcW w:w="1152" w:type="dxa"/>
            <w:tcBorders>
              <w:top w:val="nil"/>
              <w:bottom w:val="nil"/>
            </w:tcBorders>
          </w:tcPr>
          <w:p w:rsidR="00000000" w:rsidRDefault="00000000">
            <w:pPr>
              <w:spacing w:after="80"/>
              <w:jc w:val="right"/>
              <w:rPr>
                <w:sz w:val="18"/>
              </w:rPr>
            </w:pPr>
            <w:r>
              <w:rPr>
                <w:sz w:val="18"/>
              </w:rPr>
              <w:t>25,4</w:t>
            </w:r>
          </w:p>
        </w:tc>
        <w:tc>
          <w:tcPr>
            <w:tcW w:w="1152" w:type="dxa"/>
            <w:tcBorders>
              <w:top w:val="nil"/>
              <w:bottom w:val="nil"/>
            </w:tcBorders>
          </w:tcPr>
          <w:p w:rsidR="00000000" w:rsidRDefault="00000000">
            <w:pPr>
              <w:spacing w:after="80"/>
              <w:jc w:val="right"/>
              <w:rPr>
                <w:sz w:val="18"/>
              </w:rPr>
            </w:pPr>
            <w:r>
              <w:rPr>
                <w:sz w:val="18"/>
              </w:rPr>
              <w:t>74,6</w:t>
            </w:r>
          </w:p>
        </w:tc>
      </w:tr>
      <w:tr w:rsidR="00000000">
        <w:tblPrEx>
          <w:tblCellMar>
            <w:top w:w="0" w:type="dxa"/>
            <w:bottom w:w="0" w:type="dxa"/>
          </w:tblCellMar>
        </w:tblPrEx>
        <w:tc>
          <w:tcPr>
            <w:tcW w:w="3600" w:type="dxa"/>
            <w:tcBorders>
              <w:top w:val="nil"/>
              <w:bottom w:val="nil"/>
            </w:tcBorders>
          </w:tcPr>
          <w:p w:rsidR="00000000" w:rsidRDefault="00000000">
            <w:pPr>
              <w:spacing w:after="80"/>
              <w:rPr>
                <w:sz w:val="18"/>
              </w:rPr>
            </w:pPr>
            <w:r>
              <w:rPr>
                <w:sz w:val="18"/>
              </w:rPr>
              <w:t xml:space="preserve">  связи и инфраструктуры</w:t>
            </w:r>
          </w:p>
        </w:tc>
        <w:tc>
          <w:tcPr>
            <w:tcW w:w="1152" w:type="dxa"/>
            <w:tcBorders>
              <w:top w:val="nil"/>
              <w:bottom w:val="nil"/>
            </w:tcBorders>
          </w:tcPr>
          <w:p w:rsidR="00000000" w:rsidRDefault="00000000">
            <w:pPr>
              <w:spacing w:after="80"/>
              <w:jc w:val="right"/>
              <w:rPr>
                <w:sz w:val="18"/>
              </w:rPr>
            </w:pPr>
            <w:r>
              <w:rPr>
                <w:sz w:val="18"/>
              </w:rPr>
              <w:t>3 271</w:t>
            </w:r>
          </w:p>
        </w:tc>
        <w:tc>
          <w:tcPr>
            <w:tcW w:w="1152" w:type="dxa"/>
            <w:tcBorders>
              <w:top w:val="nil"/>
              <w:bottom w:val="nil"/>
            </w:tcBorders>
          </w:tcPr>
          <w:p w:rsidR="00000000" w:rsidRDefault="00000000">
            <w:pPr>
              <w:spacing w:after="80"/>
              <w:jc w:val="right"/>
              <w:rPr>
                <w:sz w:val="18"/>
              </w:rPr>
            </w:pPr>
            <w:r>
              <w:rPr>
                <w:sz w:val="18"/>
              </w:rPr>
              <w:t>356</w:t>
            </w:r>
          </w:p>
        </w:tc>
        <w:tc>
          <w:tcPr>
            <w:tcW w:w="1152" w:type="dxa"/>
            <w:tcBorders>
              <w:top w:val="nil"/>
              <w:bottom w:val="nil"/>
            </w:tcBorders>
          </w:tcPr>
          <w:p w:rsidR="00000000" w:rsidRDefault="00000000">
            <w:pPr>
              <w:spacing w:after="80"/>
              <w:jc w:val="right"/>
              <w:rPr>
                <w:sz w:val="18"/>
              </w:rPr>
            </w:pPr>
            <w:r>
              <w:rPr>
                <w:sz w:val="18"/>
              </w:rPr>
              <w:t>2915</w:t>
            </w:r>
          </w:p>
        </w:tc>
        <w:tc>
          <w:tcPr>
            <w:tcW w:w="1152" w:type="dxa"/>
            <w:tcBorders>
              <w:top w:val="nil"/>
              <w:bottom w:val="nil"/>
            </w:tcBorders>
          </w:tcPr>
          <w:p w:rsidR="00000000" w:rsidRDefault="00000000">
            <w:pPr>
              <w:spacing w:after="80"/>
              <w:jc w:val="right"/>
              <w:rPr>
                <w:sz w:val="18"/>
              </w:rPr>
            </w:pPr>
            <w:r>
              <w:rPr>
                <w:sz w:val="18"/>
              </w:rPr>
              <w:t>10,9</w:t>
            </w:r>
          </w:p>
        </w:tc>
        <w:tc>
          <w:tcPr>
            <w:tcW w:w="1152" w:type="dxa"/>
            <w:tcBorders>
              <w:top w:val="nil"/>
              <w:bottom w:val="nil"/>
            </w:tcBorders>
          </w:tcPr>
          <w:p w:rsidR="00000000" w:rsidRDefault="00000000">
            <w:pPr>
              <w:spacing w:after="80"/>
              <w:jc w:val="right"/>
              <w:rPr>
                <w:sz w:val="18"/>
              </w:rPr>
            </w:pPr>
            <w:r>
              <w:rPr>
                <w:sz w:val="18"/>
              </w:rPr>
              <w:t>89,1</w:t>
            </w:r>
          </w:p>
        </w:tc>
      </w:tr>
      <w:tr w:rsidR="00000000">
        <w:tblPrEx>
          <w:tblCellMar>
            <w:top w:w="0" w:type="dxa"/>
            <w:bottom w:w="0" w:type="dxa"/>
          </w:tblCellMar>
        </w:tblPrEx>
        <w:tc>
          <w:tcPr>
            <w:tcW w:w="3600" w:type="dxa"/>
            <w:tcBorders>
              <w:top w:val="nil"/>
              <w:bottom w:val="nil"/>
            </w:tcBorders>
          </w:tcPr>
          <w:p w:rsidR="00000000" w:rsidRDefault="00000000">
            <w:pPr>
              <w:rPr>
                <w:sz w:val="18"/>
              </w:rPr>
            </w:pPr>
            <w:r>
              <w:rPr>
                <w:sz w:val="18"/>
              </w:rPr>
              <w:t xml:space="preserve">  энергетики и горнорудной</w:t>
            </w:r>
          </w:p>
          <w:p w:rsidR="00000000" w:rsidRDefault="00000000">
            <w:pPr>
              <w:spacing w:after="80"/>
              <w:rPr>
                <w:sz w:val="18"/>
              </w:rPr>
            </w:pPr>
            <w:r>
              <w:rPr>
                <w:sz w:val="18"/>
              </w:rPr>
              <w:t xml:space="preserve">  промы</w:t>
            </w:r>
            <w:r>
              <w:rPr>
                <w:sz w:val="18"/>
              </w:rPr>
              <w:t>ш</w:t>
            </w:r>
            <w:r>
              <w:rPr>
                <w:sz w:val="18"/>
              </w:rPr>
              <w:t>ленности</w:t>
            </w:r>
          </w:p>
        </w:tc>
        <w:tc>
          <w:tcPr>
            <w:tcW w:w="1152" w:type="dxa"/>
            <w:tcBorders>
              <w:top w:val="nil"/>
              <w:bottom w:val="nil"/>
            </w:tcBorders>
          </w:tcPr>
          <w:p w:rsidR="00000000" w:rsidRDefault="00000000">
            <w:pPr>
              <w:spacing w:after="80"/>
              <w:jc w:val="right"/>
              <w:rPr>
                <w:sz w:val="18"/>
              </w:rPr>
            </w:pPr>
            <w:r>
              <w:rPr>
                <w:sz w:val="18"/>
              </w:rPr>
              <w:t>299</w:t>
            </w:r>
          </w:p>
        </w:tc>
        <w:tc>
          <w:tcPr>
            <w:tcW w:w="1152" w:type="dxa"/>
            <w:tcBorders>
              <w:top w:val="nil"/>
              <w:bottom w:val="nil"/>
            </w:tcBorders>
          </w:tcPr>
          <w:p w:rsidR="00000000" w:rsidRDefault="00000000">
            <w:pPr>
              <w:spacing w:after="80"/>
              <w:jc w:val="right"/>
              <w:rPr>
                <w:sz w:val="18"/>
              </w:rPr>
            </w:pPr>
            <w:r>
              <w:rPr>
                <w:sz w:val="18"/>
              </w:rPr>
              <w:t>104</w:t>
            </w:r>
          </w:p>
        </w:tc>
        <w:tc>
          <w:tcPr>
            <w:tcW w:w="1152" w:type="dxa"/>
            <w:tcBorders>
              <w:top w:val="nil"/>
              <w:bottom w:val="nil"/>
            </w:tcBorders>
          </w:tcPr>
          <w:p w:rsidR="00000000" w:rsidRDefault="00000000">
            <w:pPr>
              <w:spacing w:after="80"/>
              <w:jc w:val="right"/>
              <w:rPr>
                <w:sz w:val="18"/>
              </w:rPr>
            </w:pPr>
            <w:r>
              <w:rPr>
                <w:sz w:val="18"/>
              </w:rPr>
              <w:t>195</w:t>
            </w:r>
          </w:p>
        </w:tc>
        <w:tc>
          <w:tcPr>
            <w:tcW w:w="1152" w:type="dxa"/>
            <w:tcBorders>
              <w:top w:val="nil"/>
              <w:bottom w:val="nil"/>
            </w:tcBorders>
          </w:tcPr>
          <w:p w:rsidR="00000000" w:rsidRDefault="00000000">
            <w:pPr>
              <w:spacing w:after="80"/>
              <w:jc w:val="right"/>
              <w:rPr>
                <w:sz w:val="18"/>
              </w:rPr>
            </w:pPr>
            <w:r>
              <w:rPr>
                <w:sz w:val="18"/>
              </w:rPr>
              <w:t>34,8</w:t>
            </w:r>
          </w:p>
        </w:tc>
        <w:tc>
          <w:tcPr>
            <w:tcW w:w="1152" w:type="dxa"/>
            <w:tcBorders>
              <w:top w:val="nil"/>
              <w:bottom w:val="nil"/>
            </w:tcBorders>
          </w:tcPr>
          <w:p w:rsidR="00000000" w:rsidRDefault="00000000">
            <w:pPr>
              <w:spacing w:after="80"/>
              <w:jc w:val="right"/>
              <w:rPr>
                <w:sz w:val="18"/>
              </w:rPr>
            </w:pPr>
            <w:r>
              <w:rPr>
                <w:sz w:val="18"/>
              </w:rPr>
              <w:t>85,2</w:t>
            </w:r>
          </w:p>
        </w:tc>
      </w:tr>
      <w:tr w:rsidR="00000000">
        <w:tblPrEx>
          <w:tblCellMar>
            <w:top w:w="0" w:type="dxa"/>
            <w:bottom w:w="0" w:type="dxa"/>
          </w:tblCellMar>
        </w:tblPrEx>
        <w:trPr>
          <w:trHeight w:val="283"/>
        </w:trPr>
        <w:tc>
          <w:tcPr>
            <w:tcW w:w="3600" w:type="dxa"/>
            <w:tcBorders>
              <w:top w:val="nil"/>
              <w:bottom w:val="nil"/>
            </w:tcBorders>
          </w:tcPr>
          <w:p w:rsidR="00000000" w:rsidRDefault="00000000">
            <w:pPr>
              <w:spacing w:after="80"/>
              <w:rPr>
                <w:sz w:val="18"/>
              </w:rPr>
            </w:pPr>
            <w:r>
              <w:rPr>
                <w:sz w:val="18"/>
              </w:rPr>
              <w:t xml:space="preserve">  культуры и спорта</w:t>
            </w:r>
          </w:p>
        </w:tc>
        <w:tc>
          <w:tcPr>
            <w:tcW w:w="1152" w:type="dxa"/>
            <w:tcBorders>
              <w:top w:val="nil"/>
              <w:bottom w:val="nil"/>
            </w:tcBorders>
          </w:tcPr>
          <w:p w:rsidR="00000000" w:rsidRDefault="00000000">
            <w:pPr>
              <w:spacing w:after="80"/>
              <w:jc w:val="right"/>
              <w:rPr>
                <w:sz w:val="18"/>
              </w:rPr>
            </w:pPr>
            <w:r>
              <w:rPr>
                <w:sz w:val="18"/>
              </w:rPr>
              <w:t>829</w:t>
            </w:r>
          </w:p>
        </w:tc>
        <w:tc>
          <w:tcPr>
            <w:tcW w:w="1152" w:type="dxa"/>
            <w:tcBorders>
              <w:top w:val="nil"/>
              <w:bottom w:val="nil"/>
            </w:tcBorders>
          </w:tcPr>
          <w:p w:rsidR="00000000" w:rsidRDefault="00000000">
            <w:pPr>
              <w:spacing w:after="80"/>
              <w:jc w:val="right"/>
              <w:rPr>
                <w:sz w:val="18"/>
              </w:rPr>
            </w:pPr>
            <w:r>
              <w:rPr>
                <w:sz w:val="18"/>
              </w:rPr>
              <w:t>229</w:t>
            </w:r>
          </w:p>
        </w:tc>
        <w:tc>
          <w:tcPr>
            <w:tcW w:w="1152" w:type="dxa"/>
            <w:tcBorders>
              <w:top w:val="nil"/>
              <w:bottom w:val="nil"/>
            </w:tcBorders>
          </w:tcPr>
          <w:p w:rsidR="00000000" w:rsidRDefault="00000000">
            <w:pPr>
              <w:spacing w:after="80"/>
              <w:jc w:val="right"/>
              <w:rPr>
                <w:sz w:val="18"/>
              </w:rPr>
            </w:pPr>
            <w:r>
              <w:rPr>
                <w:sz w:val="18"/>
              </w:rPr>
              <w:t>600</w:t>
            </w:r>
          </w:p>
        </w:tc>
        <w:tc>
          <w:tcPr>
            <w:tcW w:w="1152" w:type="dxa"/>
            <w:tcBorders>
              <w:top w:val="nil"/>
              <w:bottom w:val="nil"/>
            </w:tcBorders>
          </w:tcPr>
          <w:p w:rsidR="00000000" w:rsidRDefault="00000000">
            <w:pPr>
              <w:spacing w:after="80"/>
              <w:jc w:val="right"/>
              <w:rPr>
                <w:sz w:val="18"/>
              </w:rPr>
            </w:pPr>
            <w:r>
              <w:rPr>
                <w:sz w:val="18"/>
              </w:rPr>
              <w:t>27,6</w:t>
            </w:r>
          </w:p>
        </w:tc>
        <w:tc>
          <w:tcPr>
            <w:tcW w:w="1152" w:type="dxa"/>
            <w:tcBorders>
              <w:top w:val="nil"/>
              <w:bottom w:val="nil"/>
            </w:tcBorders>
          </w:tcPr>
          <w:p w:rsidR="00000000" w:rsidRDefault="00000000">
            <w:pPr>
              <w:spacing w:after="80"/>
              <w:jc w:val="right"/>
              <w:rPr>
                <w:sz w:val="18"/>
              </w:rPr>
            </w:pPr>
            <w:r>
              <w:rPr>
                <w:sz w:val="18"/>
              </w:rPr>
              <w:t>72,4</w:t>
            </w:r>
          </w:p>
        </w:tc>
      </w:tr>
      <w:tr w:rsidR="00000000">
        <w:tblPrEx>
          <w:tblCellMar>
            <w:top w:w="0" w:type="dxa"/>
            <w:bottom w:w="0" w:type="dxa"/>
          </w:tblCellMar>
        </w:tblPrEx>
        <w:trPr>
          <w:trHeight w:val="283"/>
        </w:trPr>
        <w:tc>
          <w:tcPr>
            <w:tcW w:w="3600" w:type="dxa"/>
            <w:tcBorders>
              <w:top w:val="nil"/>
              <w:bottom w:val="nil"/>
            </w:tcBorders>
          </w:tcPr>
          <w:p w:rsidR="00000000" w:rsidRDefault="00000000">
            <w:pPr>
              <w:rPr>
                <w:sz w:val="18"/>
              </w:rPr>
            </w:pPr>
            <w:r>
              <w:rPr>
                <w:sz w:val="18"/>
              </w:rPr>
              <w:t xml:space="preserve">  охраны окружающей среды и</w:t>
            </w:r>
          </w:p>
          <w:p w:rsidR="00000000" w:rsidRDefault="00000000">
            <w:pPr>
              <w:spacing w:after="80"/>
              <w:rPr>
                <w:sz w:val="18"/>
              </w:rPr>
            </w:pPr>
            <w:r>
              <w:rPr>
                <w:sz w:val="18"/>
              </w:rPr>
              <w:t xml:space="preserve">  природных  ресу</w:t>
            </w:r>
            <w:r>
              <w:rPr>
                <w:sz w:val="18"/>
              </w:rPr>
              <w:t>р</w:t>
            </w:r>
            <w:r>
              <w:rPr>
                <w:sz w:val="18"/>
              </w:rPr>
              <w:t>сов</w:t>
            </w:r>
          </w:p>
        </w:tc>
        <w:tc>
          <w:tcPr>
            <w:tcW w:w="1152" w:type="dxa"/>
            <w:tcBorders>
              <w:top w:val="nil"/>
              <w:bottom w:val="nil"/>
            </w:tcBorders>
          </w:tcPr>
          <w:p w:rsidR="00000000" w:rsidRDefault="00000000">
            <w:pPr>
              <w:spacing w:after="80"/>
              <w:jc w:val="right"/>
              <w:rPr>
                <w:sz w:val="18"/>
              </w:rPr>
            </w:pPr>
            <w:r>
              <w:rPr>
                <w:sz w:val="18"/>
              </w:rPr>
              <w:t>58</w:t>
            </w:r>
          </w:p>
        </w:tc>
        <w:tc>
          <w:tcPr>
            <w:tcW w:w="1152" w:type="dxa"/>
            <w:tcBorders>
              <w:top w:val="nil"/>
              <w:bottom w:val="nil"/>
            </w:tcBorders>
          </w:tcPr>
          <w:p w:rsidR="00000000" w:rsidRDefault="00000000">
            <w:pPr>
              <w:spacing w:after="80"/>
              <w:jc w:val="right"/>
              <w:rPr>
                <w:sz w:val="18"/>
              </w:rPr>
            </w:pPr>
            <w:r>
              <w:rPr>
                <w:sz w:val="18"/>
              </w:rPr>
              <w:t>23</w:t>
            </w:r>
          </w:p>
        </w:tc>
        <w:tc>
          <w:tcPr>
            <w:tcW w:w="1152" w:type="dxa"/>
            <w:tcBorders>
              <w:top w:val="nil"/>
              <w:bottom w:val="nil"/>
            </w:tcBorders>
          </w:tcPr>
          <w:p w:rsidR="00000000" w:rsidRDefault="00000000">
            <w:pPr>
              <w:spacing w:after="80"/>
              <w:jc w:val="right"/>
              <w:rPr>
                <w:sz w:val="18"/>
              </w:rPr>
            </w:pPr>
            <w:r>
              <w:rPr>
                <w:sz w:val="18"/>
              </w:rPr>
              <w:t>35</w:t>
            </w:r>
          </w:p>
        </w:tc>
        <w:tc>
          <w:tcPr>
            <w:tcW w:w="1152" w:type="dxa"/>
            <w:tcBorders>
              <w:top w:val="nil"/>
              <w:bottom w:val="nil"/>
            </w:tcBorders>
          </w:tcPr>
          <w:p w:rsidR="00000000" w:rsidRDefault="00000000">
            <w:pPr>
              <w:spacing w:after="80"/>
              <w:jc w:val="right"/>
              <w:rPr>
                <w:sz w:val="18"/>
              </w:rPr>
            </w:pPr>
            <w:r>
              <w:rPr>
                <w:sz w:val="18"/>
              </w:rPr>
              <w:t>39,7</w:t>
            </w:r>
          </w:p>
        </w:tc>
        <w:tc>
          <w:tcPr>
            <w:tcW w:w="1152" w:type="dxa"/>
            <w:tcBorders>
              <w:top w:val="nil"/>
              <w:bottom w:val="nil"/>
            </w:tcBorders>
          </w:tcPr>
          <w:p w:rsidR="00000000" w:rsidRDefault="00000000">
            <w:pPr>
              <w:spacing w:after="80"/>
              <w:jc w:val="right"/>
              <w:rPr>
                <w:sz w:val="18"/>
              </w:rPr>
            </w:pPr>
            <w:r>
              <w:rPr>
                <w:sz w:val="18"/>
              </w:rPr>
              <w:t>60,3</w:t>
            </w:r>
          </w:p>
        </w:tc>
      </w:tr>
      <w:tr w:rsidR="00000000">
        <w:tblPrEx>
          <w:tblCellMar>
            <w:top w:w="0" w:type="dxa"/>
            <w:bottom w:w="0" w:type="dxa"/>
          </w:tblCellMar>
        </w:tblPrEx>
        <w:trPr>
          <w:trHeight w:val="283"/>
        </w:trPr>
        <w:tc>
          <w:tcPr>
            <w:tcW w:w="3600" w:type="dxa"/>
            <w:tcBorders>
              <w:top w:val="nil"/>
              <w:bottom w:val="nil"/>
            </w:tcBorders>
          </w:tcPr>
          <w:p w:rsidR="00000000" w:rsidRDefault="00000000">
            <w:pPr>
              <w:spacing w:after="80"/>
              <w:rPr>
                <w:sz w:val="18"/>
              </w:rPr>
            </w:pPr>
            <w:r>
              <w:rPr>
                <w:sz w:val="18"/>
              </w:rPr>
              <w:t>Секретариаты и другие ведо</w:t>
            </w:r>
            <w:r>
              <w:rPr>
                <w:sz w:val="18"/>
              </w:rPr>
              <w:t>м</w:t>
            </w:r>
            <w:r>
              <w:rPr>
                <w:sz w:val="18"/>
              </w:rPr>
              <w:t>ства</w:t>
            </w:r>
          </w:p>
        </w:tc>
        <w:tc>
          <w:tcPr>
            <w:tcW w:w="1152" w:type="dxa"/>
            <w:tcBorders>
              <w:top w:val="nil"/>
              <w:bottom w:val="nil"/>
            </w:tcBorders>
          </w:tcPr>
          <w:p w:rsidR="00000000" w:rsidRDefault="00000000">
            <w:pPr>
              <w:spacing w:after="80"/>
              <w:jc w:val="right"/>
              <w:rPr>
                <w:sz w:val="18"/>
              </w:rPr>
            </w:pPr>
            <w:r>
              <w:rPr>
                <w:sz w:val="18"/>
              </w:rPr>
              <w:t>2 045</w:t>
            </w:r>
          </w:p>
        </w:tc>
        <w:tc>
          <w:tcPr>
            <w:tcW w:w="1152" w:type="dxa"/>
            <w:tcBorders>
              <w:top w:val="nil"/>
              <w:bottom w:val="nil"/>
            </w:tcBorders>
          </w:tcPr>
          <w:p w:rsidR="00000000" w:rsidRDefault="00000000">
            <w:pPr>
              <w:spacing w:after="80"/>
              <w:jc w:val="right"/>
              <w:rPr>
                <w:sz w:val="18"/>
              </w:rPr>
            </w:pPr>
            <w:r>
              <w:rPr>
                <w:sz w:val="18"/>
              </w:rPr>
              <w:t>1 092</w:t>
            </w:r>
          </w:p>
        </w:tc>
        <w:tc>
          <w:tcPr>
            <w:tcW w:w="1152" w:type="dxa"/>
            <w:tcBorders>
              <w:top w:val="nil"/>
              <w:bottom w:val="nil"/>
            </w:tcBorders>
          </w:tcPr>
          <w:p w:rsidR="00000000" w:rsidRDefault="00000000">
            <w:pPr>
              <w:spacing w:after="80"/>
              <w:jc w:val="right"/>
              <w:rPr>
                <w:sz w:val="18"/>
              </w:rPr>
            </w:pPr>
            <w:r>
              <w:rPr>
                <w:sz w:val="18"/>
              </w:rPr>
              <w:t>953</w:t>
            </w:r>
          </w:p>
        </w:tc>
        <w:tc>
          <w:tcPr>
            <w:tcW w:w="1152" w:type="dxa"/>
            <w:tcBorders>
              <w:top w:val="nil"/>
              <w:bottom w:val="nil"/>
            </w:tcBorders>
          </w:tcPr>
          <w:p w:rsidR="00000000" w:rsidRDefault="00000000">
            <w:pPr>
              <w:spacing w:after="80"/>
              <w:jc w:val="right"/>
              <w:rPr>
                <w:sz w:val="18"/>
              </w:rPr>
            </w:pPr>
            <w:r>
              <w:rPr>
                <w:sz w:val="18"/>
              </w:rPr>
              <w:t>57,4</w:t>
            </w:r>
          </w:p>
        </w:tc>
        <w:tc>
          <w:tcPr>
            <w:tcW w:w="1152" w:type="dxa"/>
            <w:tcBorders>
              <w:top w:val="nil"/>
              <w:bottom w:val="nil"/>
            </w:tcBorders>
          </w:tcPr>
          <w:p w:rsidR="00000000" w:rsidRDefault="00000000">
            <w:pPr>
              <w:spacing w:after="80"/>
              <w:jc w:val="right"/>
              <w:rPr>
                <w:sz w:val="18"/>
              </w:rPr>
            </w:pPr>
            <w:r>
              <w:rPr>
                <w:sz w:val="18"/>
              </w:rPr>
              <w:t>46,6</w:t>
            </w:r>
          </w:p>
        </w:tc>
      </w:tr>
      <w:tr w:rsidR="00000000">
        <w:tblPrEx>
          <w:tblCellMar>
            <w:top w:w="0" w:type="dxa"/>
            <w:bottom w:w="0" w:type="dxa"/>
          </w:tblCellMar>
        </w:tblPrEx>
        <w:trPr>
          <w:trHeight w:val="283"/>
        </w:trPr>
        <w:tc>
          <w:tcPr>
            <w:tcW w:w="3600" w:type="dxa"/>
            <w:tcBorders>
              <w:top w:val="nil"/>
              <w:bottom w:val="nil"/>
            </w:tcBorders>
          </w:tcPr>
          <w:p w:rsidR="00000000" w:rsidRDefault="00000000">
            <w:pPr>
              <w:spacing w:after="80"/>
              <w:rPr>
                <w:sz w:val="18"/>
              </w:rPr>
            </w:pPr>
            <w:r>
              <w:rPr>
                <w:sz w:val="18"/>
              </w:rPr>
              <w:t>Счетная палата</w:t>
            </w:r>
          </w:p>
        </w:tc>
        <w:tc>
          <w:tcPr>
            <w:tcW w:w="1152" w:type="dxa"/>
            <w:tcBorders>
              <w:top w:val="nil"/>
              <w:bottom w:val="nil"/>
            </w:tcBorders>
          </w:tcPr>
          <w:p w:rsidR="00000000" w:rsidRDefault="00000000">
            <w:pPr>
              <w:spacing w:after="80"/>
              <w:jc w:val="right"/>
              <w:rPr>
                <w:sz w:val="18"/>
              </w:rPr>
            </w:pPr>
            <w:r>
              <w:rPr>
                <w:sz w:val="18"/>
              </w:rPr>
              <w:t>837</w:t>
            </w:r>
          </w:p>
        </w:tc>
        <w:tc>
          <w:tcPr>
            <w:tcW w:w="1152" w:type="dxa"/>
            <w:tcBorders>
              <w:top w:val="nil"/>
              <w:bottom w:val="nil"/>
            </w:tcBorders>
          </w:tcPr>
          <w:p w:rsidR="00000000" w:rsidRDefault="00000000">
            <w:pPr>
              <w:spacing w:after="80"/>
              <w:jc w:val="right"/>
              <w:rPr>
                <w:sz w:val="18"/>
              </w:rPr>
            </w:pPr>
            <w:r>
              <w:rPr>
                <w:sz w:val="18"/>
              </w:rPr>
              <w:t>334</w:t>
            </w:r>
          </w:p>
        </w:tc>
        <w:tc>
          <w:tcPr>
            <w:tcW w:w="1152" w:type="dxa"/>
            <w:tcBorders>
              <w:top w:val="nil"/>
              <w:bottom w:val="nil"/>
            </w:tcBorders>
          </w:tcPr>
          <w:p w:rsidR="00000000" w:rsidRDefault="00000000">
            <w:pPr>
              <w:spacing w:after="80"/>
              <w:jc w:val="right"/>
              <w:rPr>
                <w:sz w:val="18"/>
              </w:rPr>
            </w:pPr>
            <w:r>
              <w:rPr>
                <w:sz w:val="18"/>
              </w:rPr>
              <w:t>503</w:t>
            </w:r>
          </w:p>
        </w:tc>
        <w:tc>
          <w:tcPr>
            <w:tcW w:w="1152" w:type="dxa"/>
            <w:tcBorders>
              <w:top w:val="nil"/>
              <w:bottom w:val="nil"/>
            </w:tcBorders>
          </w:tcPr>
          <w:p w:rsidR="00000000" w:rsidRDefault="00000000">
            <w:pPr>
              <w:spacing w:after="80"/>
              <w:jc w:val="right"/>
              <w:rPr>
                <w:sz w:val="18"/>
              </w:rPr>
            </w:pPr>
            <w:r>
              <w:rPr>
                <w:sz w:val="18"/>
              </w:rPr>
              <w:t>39,7</w:t>
            </w:r>
          </w:p>
        </w:tc>
        <w:tc>
          <w:tcPr>
            <w:tcW w:w="1152" w:type="dxa"/>
            <w:tcBorders>
              <w:top w:val="nil"/>
              <w:bottom w:val="nil"/>
            </w:tcBorders>
          </w:tcPr>
          <w:p w:rsidR="00000000" w:rsidRDefault="00000000">
            <w:pPr>
              <w:spacing w:after="80"/>
              <w:jc w:val="right"/>
              <w:rPr>
                <w:sz w:val="18"/>
              </w:rPr>
            </w:pPr>
            <w:r>
              <w:rPr>
                <w:sz w:val="18"/>
              </w:rPr>
              <w:t>60,3</w:t>
            </w:r>
          </w:p>
        </w:tc>
      </w:tr>
      <w:tr w:rsidR="00000000">
        <w:tblPrEx>
          <w:tblCellMar>
            <w:top w:w="0" w:type="dxa"/>
            <w:bottom w:w="0" w:type="dxa"/>
          </w:tblCellMar>
        </w:tblPrEx>
        <w:trPr>
          <w:trHeight w:val="283"/>
        </w:trPr>
        <w:tc>
          <w:tcPr>
            <w:tcW w:w="3600" w:type="dxa"/>
            <w:tcBorders>
              <w:top w:val="nil"/>
            </w:tcBorders>
          </w:tcPr>
          <w:p w:rsidR="00000000" w:rsidRDefault="00000000">
            <w:pPr>
              <w:spacing w:after="80"/>
              <w:rPr>
                <w:sz w:val="18"/>
              </w:rPr>
            </w:pPr>
            <w:r>
              <w:rPr>
                <w:sz w:val="18"/>
              </w:rPr>
              <w:t>Генеральная прокуратура</w:t>
            </w:r>
          </w:p>
        </w:tc>
        <w:tc>
          <w:tcPr>
            <w:tcW w:w="1152" w:type="dxa"/>
            <w:tcBorders>
              <w:top w:val="nil"/>
            </w:tcBorders>
          </w:tcPr>
          <w:p w:rsidR="00000000" w:rsidRDefault="00000000">
            <w:pPr>
              <w:spacing w:after="80"/>
              <w:jc w:val="right"/>
              <w:rPr>
                <w:sz w:val="18"/>
              </w:rPr>
            </w:pPr>
            <w:r>
              <w:rPr>
                <w:sz w:val="18"/>
              </w:rPr>
              <w:t>148</w:t>
            </w:r>
          </w:p>
        </w:tc>
        <w:tc>
          <w:tcPr>
            <w:tcW w:w="1152" w:type="dxa"/>
            <w:tcBorders>
              <w:top w:val="nil"/>
            </w:tcBorders>
          </w:tcPr>
          <w:p w:rsidR="00000000" w:rsidRDefault="00000000">
            <w:pPr>
              <w:spacing w:after="80"/>
              <w:jc w:val="right"/>
              <w:rPr>
                <w:sz w:val="18"/>
              </w:rPr>
            </w:pPr>
            <w:r>
              <w:rPr>
                <w:sz w:val="18"/>
              </w:rPr>
              <w:t>60</w:t>
            </w:r>
          </w:p>
        </w:tc>
        <w:tc>
          <w:tcPr>
            <w:tcW w:w="1152" w:type="dxa"/>
            <w:tcBorders>
              <w:top w:val="nil"/>
            </w:tcBorders>
          </w:tcPr>
          <w:p w:rsidR="00000000" w:rsidRDefault="00000000">
            <w:pPr>
              <w:spacing w:after="80"/>
              <w:jc w:val="right"/>
              <w:rPr>
                <w:sz w:val="18"/>
              </w:rPr>
            </w:pPr>
            <w:r>
              <w:rPr>
                <w:sz w:val="18"/>
              </w:rPr>
              <w:t>88</w:t>
            </w:r>
          </w:p>
        </w:tc>
        <w:tc>
          <w:tcPr>
            <w:tcW w:w="1152" w:type="dxa"/>
            <w:tcBorders>
              <w:top w:val="nil"/>
            </w:tcBorders>
          </w:tcPr>
          <w:p w:rsidR="00000000" w:rsidRDefault="00000000">
            <w:pPr>
              <w:spacing w:after="80"/>
              <w:jc w:val="right"/>
              <w:rPr>
                <w:sz w:val="18"/>
              </w:rPr>
            </w:pPr>
            <w:r>
              <w:rPr>
                <w:sz w:val="18"/>
              </w:rPr>
              <w:t>40,5</w:t>
            </w:r>
          </w:p>
        </w:tc>
        <w:tc>
          <w:tcPr>
            <w:tcW w:w="1152" w:type="dxa"/>
            <w:tcBorders>
              <w:top w:val="nil"/>
            </w:tcBorders>
          </w:tcPr>
          <w:p w:rsidR="00000000" w:rsidRDefault="00000000">
            <w:pPr>
              <w:spacing w:after="80"/>
              <w:jc w:val="right"/>
              <w:rPr>
                <w:sz w:val="18"/>
              </w:rPr>
            </w:pPr>
            <w:r>
              <w:rPr>
                <w:sz w:val="18"/>
              </w:rPr>
              <w:t>59,5</w:t>
            </w:r>
          </w:p>
        </w:tc>
      </w:tr>
    </w:tbl>
    <w:p w:rsidR="00000000" w:rsidRDefault="00000000">
      <w:pPr>
        <w:spacing w:after="80"/>
        <w:ind w:firstLine="720"/>
      </w:pPr>
      <w:r>
        <w:rPr>
          <w:i/>
        </w:rPr>
        <w:t>Источник</w:t>
      </w:r>
      <w:r>
        <w:t>: Национальное управление гражданской службы.</w:t>
      </w:r>
    </w:p>
    <w:p w:rsidR="00000000" w:rsidRDefault="00000000">
      <w:pPr>
        <w:spacing w:after="80"/>
        <w:rPr>
          <w:b/>
        </w:rPr>
      </w:pPr>
      <w:r>
        <w:rPr>
          <w:b/>
        </w:rPr>
        <w:br w:type="page"/>
        <w:t>Таблица 2.5. Женщины, выдвинутые кандидатами на выборах в 1999 году</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8"/>
        <w:gridCol w:w="2880"/>
      </w:tblGrid>
      <w:tr w:rsidR="00000000">
        <w:tblPrEx>
          <w:tblCellMar>
            <w:top w:w="0" w:type="dxa"/>
            <w:bottom w:w="0" w:type="dxa"/>
          </w:tblCellMar>
        </w:tblPrEx>
        <w:tc>
          <w:tcPr>
            <w:tcW w:w="4878" w:type="dxa"/>
          </w:tcPr>
          <w:p w:rsidR="00000000" w:rsidRDefault="00000000">
            <w:pPr>
              <w:spacing w:after="80"/>
            </w:pPr>
            <w:r>
              <w:t>Выдвижение женщин на выборные должн</w:t>
            </w:r>
            <w:r>
              <w:t>о</w:t>
            </w:r>
            <w:r>
              <w:t>сти:</w:t>
            </w:r>
          </w:p>
        </w:tc>
        <w:tc>
          <w:tcPr>
            <w:tcW w:w="2880" w:type="dxa"/>
          </w:tcPr>
          <w:p w:rsidR="00000000" w:rsidRDefault="00000000">
            <w:pPr>
              <w:spacing w:after="80"/>
              <w:jc w:val="center"/>
            </w:pPr>
            <w:r>
              <w:t>К-во женщин, выдвигаемых на должность</w:t>
            </w:r>
          </w:p>
        </w:tc>
      </w:tr>
      <w:tr w:rsidR="00000000">
        <w:tblPrEx>
          <w:tblCellMar>
            <w:top w:w="0" w:type="dxa"/>
            <w:bottom w:w="0" w:type="dxa"/>
          </w:tblCellMar>
        </w:tblPrEx>
        <w:tc>
          <w:tcPr>
            <w:tcW w:w="4878" w:type="dxa"/>
          </w:tcPr>
          <w:p w:rsidR="00000000" w:rsidRDefault="00000000">
            <w:pPr>
              <w:spacing w:after="80"/>
            </w:pPr>
            <w:r>
              <w:t>Президента</w:t>
            </w:r>
          </w:p>
        </w:tc>
        <w:tc>
          <w:tcPr>
            <w:tcW w:w="2880" w:type="dxa"/>
          </w:tcPr>
          <w:p w:rsidR="00000000" w:rsidRDefault="00000000">
            <w:pPr>
              <w:spacing w:after="80"/>
              <w:jc w:val="center"/>
            </w:pPr>
            <w:r>
              <w:t>2</w:t>
            </w:r>
          </w:p>
        </w:tc>
      </w:tr>
      <w:tr w:rsidR="00000000">
        <w:tblPrEx>
          <w:tblCellMar>
            <w:top w:w="0" w:type="dxa"/>
            <w:bottom w:w="0" w:type="dxa"/>
          </w:tblCellMar>
        </w:tblPrEx>
        <w:tc>
          <w:tcPr>
            <w:tcW w:w="4878" w:type="dxa"/>
          </w:tcPr>
          <w:p w:rsidR="00000000" w:rsidRDefault="00000000">
            <w:pPr>
              <w:spacing w:after="80"/>
            </w:pPr>
            <w:r>
              <w:t>Вице-президента</w:t>
            </w:r>
          </w:p>
        </w:tc>
        <w:tc>
          <w:tcPr>
            <w:tcW w:w="2880" w:type="dxa"/>
          </w:tcPr>
          <w:p w:rsidR="00000000" w:rsidRDefault="00000000">
            <w:pPr>
              <w:spacing w:after="80"/>
              <w:jc w:val="center"/>
            </w:pPr>
            <w:r>
              <w:t>2</w:t>
            </w:r>
          </w:p>
        </w:tc>
      </w:tr>
      <w:tr w:rsidR="00000000">
        <w:tblPrEx>
          <w:tblCellMar>
            <w:top w:w="0" w:type="dxa"/>
            <w:bottom w:w="0" w:type="dxa"/>
          </w:tblCellMar>
        </w:tblPrEx>
        <w:tc>
          <w:tcPr>
            <w:tcW w:w="4878" w:type="dxa"/>
          </w:tcPr>
          <w:p w:rsidR="00000000" w:rsidRDefault="00000000">
            <w:pPr>
              <w:spacing w:after="80"/>
            </w:pPr>
            <w:r>
              <w:t>Депутатов по общенациональному списку</w:t>
            </w:r>
          </w:p>
        </w:tc>
        <w:tc>
          <w:tcPr>
            <w:tcW w:w="2880" w:type="dxa"/>
          </w:tcPr>
          <w:p w:rsidR="00000000" w:rsidRDefault="00000000">
            <w:pPr>
              <w:spacing w:after="80"/>
              <w:jc w:val="center"/>
            </w:pPr>
            <w:r>
              <w:t>28</w:t>
            </w:r>
          </w:p>
        </w:tc>
      </w:tr>
      <w:tr w:rsidR="00000000">
        <w:tblPrEx>
          <w:tblCellMar>
            <w:top w:w="0" w:type="dxa"/>
            <w:bottom w:w="0" w:type="dxa"/>
          </w:tblCellMar>
        </w:tblPrEx>
        <w:tc>
          <w:tcPr>
            <w:tcW w:w="4878" w:type="dxa"/>
          </w:tcPr>
          <w:p w:rsidR="00000000" w:rsidRDefault="00000000">
            <w:pPr>
              <w:spacing w:after="80"/>
            </w:pPr>
            <w:r>
              <w:t>Депутатов Центральноамериканского парл</w:t>
            </w:r>
            <w:r>
              <w:t>а</w:t>
            </w:r>
            <w:r>
              <w:t>мента</w:t>
            </w:r>
          </w:p>
        </w:tc>
        <w:tc>
          <w:tcPr>
            <w:tcW w:w="2880" w:type="dxa"/>
          </w:tcPr>
          <w:p w:rsidR="00000000" w:rsidRDefault="00000000">
            <w:pPr>
              <w:spacing w:after="80"/>
              <w:jc w:val="center"/>
            </w:pPr>
            <w:r>
              <w:t>30</w:t>
            </w:r>
          </w:p>
        </w:tc>
      </w:tr>
      <w:tr w:rsidR="00000000">
        <w:tblPrEx>
          <w:tblCellMar>
            <w:top w:w="0" w:type="dxa"/>
            <w:bottom w:w="0" w:type="dxa"/>
          </w:tblCellMar>
        </w:tblPrEx>
        <w:tc>
          <w:tcPr>
            <w:tcW w:w="4878" w:type="dxa"/>
          </w:tcPr>
          <w:p w:rsidR="00000000" w:rsidRDefault="00000000">
            <w:pPr>
              <w:spacing w:after="80"/>
            </w:pPr>
            <w:r>
              <w:t>Депутатов окружных собраний</w:t>
            </w:r>
          </w:p>
        </w:tc>
        <w:tc>
          <w:tcPr>
            <w:tcW w:w="2880" w:type="dxa"/>
          </w:tcPr>
          <w:p w:rsidR="00000000" w:rsidRDefault="00000000">
            <w:pPr>
              <w:spacing w:after="80"/>
              <w:jc w:val="center"/>
            </w:pPr>
            <w:r>
              <w:t>105</w:t>
            </w:r>
          </w:p>
        </w:tc>
      </w:tr>
      <w:tr w:rsidR="00000000">
        <w:tblPrEx>
          <w:tblCellMar>
            <w:top w:w="0" w:type="dxa"/>
            <w:bottom w:w="0" w:type="dxa"/>
          </w:tblCellMar>
        </w:tblPrEx>
        <w:tc>
          <w:tcPr>
            <w:tcW w:w="4878" w:type="dxa"/>
          </w:tcPr>
          <w:p w:rsidR="00000000" w:rsidRDefault="00000000">
            <w:pPr>
              <w:spacing w:after="80"/>
            </w:pPr>
            <w:r>
              <w:t>Мэров</w:t>
            </w:r>
          </w:p>
        </w:tc>
        <w:tc>
          <w:tcPr>
            <w:tcW w:w="2880" w:type="dxa"/>
          </w:tcPr>
          <w:p w:rsidR="00000000" w:rsidRDefault="00000000">
            <w:pPr>
              <w:spacing w:after="80"/>
              <w:jc w:val="center"/>
            </w:pPr>
            <w:r>
              <w:t>50</w:t>
            </w:r>
          </w:p>
        </w:tc>
      </w:tr>
      <w:tr w:rsidR="00000000">
        <w:tblPrEx>
          <w:tblCellMar>
            <w:top w:w="0" w:type="dxa"/>
            <w:bottom w:w="0" w:type="dxa"/>
          </w:tblCellMar>
        </w:tblPrEx>
        <w:tc>
          <w:tcPr>
            <w:tcW w:w="4878" w:type="dxa"/>
          </w:tcPr>
          <w:p w:rsidR="00000000" w:rsidRDefault="00000000">
            <w:pPr>
              <w:spacing w:after="80"/>
            </w:pPr>
            <w:r>
              <w:t>Первого синдика</w:t>
            </w:r>
          </w:p>
        </w:tc>
        <w:tc>
          <w:tcPr>
            <w:tcW w:w="2880" w:type="dxa"/>
          </w:tcPr>
          <w:p w:rsidR="00000000" w:rsidRDefault="00000000">
            <w:pPr>
              <w:spacing w:after="80"/>
              <w:jc w:val="center"/>
            </w:pPr>
            <w:r>
              <w:t>63</w:t>
            </w:r>
          </w:p>
        </w:tc>
      </w:tr>
      <w:tr w:rsidR="00000000">
        <w:tblPrEx>
          <w:tblCellMar>
            <w:top w:w="0" w:type="dxa"/>
            <w:bottom w:w="0" w:type="dxa"/>
          </w:tblCellMar>
        </w:tblPrEx>
        <w:tc>
          <w:tcPr>
            <w:tcW w:w="4878" w:type="dxa"/>
          </w:tcPr>
          <w:p w:rsidR="00000000" w:rsidRDefault="00000000">
            <w:pPr>
              <w:spacing w:after="80"/>
            </w:pPr>
            <w:r>
              <w:t>Второго синдика</w:t>
            </w:r>
          </w:p>
        </w:tc>
        <w:tc>
          <w:tcPr>
            <w:tcW w:w="2880" w:type="dxa"/>
          </w:tcPr>
          <w:p w:rsidR="00000000" w:rsidRDefault="00000000">
            <w:pPr>
              <w:spacing w:after="80"/>
              <w:jc w:val="center"/>
            </w:pPr>
            <w:r>
              <w:t>90</w:t>
            </w:r>
          </w:p>
        </w:tc>
      </w:tr>
      <w:tr w:rsidR="00000000">
        <w:tblPrEx>
          <w:tblCellMar>
            <w:top w:w="0" w:type="dxa"/>
            <w:bottom w:w="0" w:type="dxa"/>
          </w:tblCellMar>
        </w:tblPrEx>
        <w:tc>
          <w:tcPr>
            <w:tcW w:w="4878" w:type="dxa"/>
          </w:tcPr>
          <w:p w:rsidR="00000000" w:rsidRDefault="00000000">
            <w:pPr>
              <w:spacing w:after="80"/>
            </w:pPr>
            <w:r>
              <w:t>Третьего синдика</w:t>
            </w:r>
          </w:p>
        </w:tc>
        <w:tc>
          <w:tcPr>
            <w:tcW w:w="2880" w:type="dxa"/>
          </w:tcPr>
          <w:p w:rsidR="00000000" w:rsidRDefault="00000000">
            <w:pPr>
              <w:spacing w:after="80"/>
              <w:jc w:val="center"/>
            </w:pPr>
            <w:r>
              <w:t>6</w:t>
            </w:r>
          </w:p>
        </w:tc>
      </w:tr>
      <w:tr w:rsidR="00000000">
        <w:tblPrEx>
          <w:tblCellMar>
            <w:top w:w="0" w:type="dxa"/>
            <w:bottom w:w="0" w:type="dxa"/>
          </w:tblCellMar>
        </w:tblPrEx>
        <w:tc>
          <w:tcPr>
            <w:tcW w:w="4878" w:type="dxa"/>
          </w:tcPr>
          <w:p w:rsidR="00000000" w:rsidRDefault="00000000">
            <w:pPr>
              <w:spacing w:after="80"/>
            </w:pPr>
            <w:r>
              <w:t>Заместителя синдика</w:t>
            </w:r>
          </w:p>
        </w:tc>
        <w:tc>
          <w:tcPr>
            <w:tcW w:w="2880" w:type="dxa"/>
          </w:tcPr>
          <w:p w:rsidR="00000000" w:rsidRDefault="00000000">
            <w:pPr>
              <w:spacing w:after="80"/>
              <w:jc w:val="center"/>
            </w:pPr>
            <w:r>
              <w:t>94</w:t>
            </w:r>
          </w:p>
        </w:tc>
      </w:tr>
      <w:tr w:rsidR="00000000">
        <w:tblPrEx>
          <w:tblCellMar>
            <w:top w:w="0" w:type="dxa"/>
            <w:bottom w:w="0" w:type="dxa"/>
          </w:tblCellMar>
        </w:tblPrEx>
        <w:tc>
          <w:tcPr>
            <w:tcW w:w="4878" w:type="dxa"/>
          </w:tcPr>
          <w:p w:rsidR="00000000" w:rsidRDefault="00000000">
            <w:pPr>
              <w:spacing w:after="80"/>
            </w:pPr>
            <w:r>
              <w:t>Первого члена муниципалитета</w:t>
            </w:r>
          </w:p>
        </w:tc>
        <w:tc>
          <w:tcPr>
            <w:tcW w:w="2880" w:type="dxa"/>
          </w:tcPr>
          <w:p w:rsidR="00000000" w:rsidRDefault="00000000">
            <w:pPr>
              <w:spacing w:after="80"/>
              <w:jc w:val="center"/>
            </w:pPr>
            <w:r>
              <w:t>70</w:t>
            </w:r>
          </w:p>
        </w:tc>
      </w:tr>
      <w:tr w:rsidR="00000000">
        <w:tblPrEx>
          <w:tblCellMar>
            <w:top w:w="0" w:type="dxa"/>
            <w:bottom w:w="0" w:type="dxa"/>
          </w:tblCellMar>
        </w:tblPrEx>
        <w:tc>
          <w:tcPr>
            <w:tcW w:w="4878" w:type="dxa"/>
          </w:tcPr>
          <w:p w:rsidR="00000000" w:rsidRDefault="00000000">
            <w:pPr>
              <w:spacing w:after="80"/>
            </w:pPr>
            <w:r>
              <w:t>Второго члена муниципалитета</w:t>
            </w:r>
          </w:p>
        </w:tc>
        <w:tc>
          <w:tcPr>
            <w:tcW w:w="2880" w:type="dxa"/>
          </w:tcPr>
          <w:p w:rsidR="00000000" w:rsidRDefault="00000000">
            <w:pPr>
              <w:spacing w:after="80"/>
              <w:jc w:val="center"/>
            </w:pPr>
            <w:r>
              <w:t>126</w:t>
            </w:r>
          </w:p>
        </w:tc>
      </w:tr>
      <w:tr w:rsidR="00000000">
        <w:tblPrEx>
          <w:tblCellMar>
            <w:top w:w="0" w:type="dxa"/>
            <w:bottom w:w="0" w:type="dxa"/>
          </w:tblCellMar>
        </w:tblPrEx>
        <w:tc>
          <w:tcPr>
            <w:tcW w:w="4878" w:type="dxa"/>
          </w:tcPr>
          <w:p w:rsidR="00000000" w:rsidRDefault="00000000">
            <w:pPr>
              <w:spacing w:after="80"/>
            </w:pPr>
            <w:r>
              <w:t>Третьего члена муниципалитета</w:t>
            </w:r>
          </w:p>
        </w:tc>
        <w:tc>
          <w:tcPr>
            <w:tcW w:w="2880" w:type="dxa"/>
          </w:tcPr>
          <w:p w:rsidR="00000000" w:rsidRDefault="00000000">
            <w:pPr>
              <w:spacing w:after="80"/>
              <w:jc w:val="center"/>
            </w:pPr>
            <w:r>
              <w:t>164</w:t>
            </w:r>
          </w:p>
        </w:tc>
      </w:tr>
      <w:tr w:rsidR="00000000">
        <w:tblPrEx>
          <w:tblCellMar>
            <w:top w:w="0" w:type="dxa"/>
            <w:bottom w:w="0" w:type="dxa"/>
          </w:tblCellMar>
        </w:tblPrEx>
        <w:tc>
          <w:tcPr>
            <w:tcW w:w="4878" w:type="dxa"/>
          </w:tcPr>
          <w:p w:rsidR="00000000" w:rsidRDefault="00000000">
            <w:pPr>
              <w:spacing w:after="80"/>
            </w:pPr>
            <w:r>
              <w:t>Четвертого члена муниципалитета</w:t>
            </w:r>
          </w:p>
        </w:tc>
        <w:tc>
          <w:tcPr>
            <w:tcW w:w="2880" w:type="dxa"/>
          </w:tcPr>
          <w:p w:rsidR="00000000" w:rsidRDefault="00000000">
            <w:pPr>
              <w:spacing w:after="80"/>
              <w:jc w:val="center"/>
            </w:pPr>
            <w:r>
              <w:t>146</w:t>
            </w:r>
          </w:p>
        </w:tc>
      </w:tr>
      <w:tr w:rsidR="00000000">
        <w:tblPrEx>
          <w:tblCellMar>
            <w:top w:w="0" w:type="dxa"/>
            <w:bottom w:w="0" w:type="dxa"/>
          </w:tblCellMar>
        </w:tblPrEx>
        <w:tc>
          <w:tcPr>
            <w:tcW w:w="4878" w:type="dxa"/>
          </w:tcPr>
          <w:p w:rsidR="00000000" w:rsidRDefault="00000000">
            <w:pPr>
              <w:spacing w:after="80"/>
            </w:pPr>
            <w:r>
              <w:t>Пятого члена муниципалитета</w:t>
            </w:r>
          </w:p>
        </w:tc>
        <w:tc>
          <w:tcPr>
            <w:tcW w:w="2880" w:type="dxa"/>
          </w:tcPr>
          <w:p w:rsidR="00000000" w:rsidRDefault="00000000">
            <w:pPr>
              <w:spacing w:after="80"/>
              <w:jc w:val="center"/>
            </w:pPr>
            <w:r>
              <w:t>83</w:t>
            </w:r>
          </w:p>
        </w:tc>
      </w:tr>
      <w:tr w:rsidR="00000000">
        <w:tblPrEx>
          <w:tblCellMar>
            <w:top w:w="0" w:type="dxa"/>
            <w:bottom w:w="0" w:type="dxa"/>
          </w:tblCellMar>
        </w:tblPrEx>
        <w:tc>
          <w:tcPr>
            <w:tcW w:w="4878" w:type="dxa"/>
          </w:tcPr>
          <w:p w:rsidR="00000000" w:rsidRDefault="00000000">
            <w:pPr>
              <w:spacing w:after="80"/>
            </w:pPr>
            <w:r>
              <w:t>Шестого члена муниципалитета</w:t>
            </w:r>
          </w:p>
        </w:tc>
        <w:tc>
          <w:tcPr>
            <w:tcW w:w="2880" w:type="dxa"/>
          </w:tcPr>
          <w:p w:rsidR="00000000" w:rsidRDefault="00000000">
            <w:pPr>
              <w:spacing w:after="80"/>
              <w:jc w:val="center"/>
            </w:pPr>
            <w:r>
              <w:t>22</w:t>
            </w:r>
          </w:p>
        </w:tc>
      </w:tr>
      <w:tr w:rsidR="00000000">
        <w:tblPrEx>
          <w:tblCellMar>
            <w:top w:w="0" w:type="dxa"/>
            <w:bottom w:w="0" w:type="dxa"/>
          </w:tblCellMar>
        </w:tblPrEx>
        <w:tc>
          <w:tcPr>
            <w:tcW w:w="4878" w:type="dxa"/>
          </w:tcPr>
          <w:p w:rsidR="00000000" w:rsidRDefault="00000000">
            <w:pPr>
              <w:spacing w:after="80"/>
            </w:pPr>
            <w:r>
              <w:t>Седьмого член муниципалитета</w:t>
            </w:r>
          </w:p>
        </w:tc>
        <w:tc>
          <w:tcPr>
            <w:tcW w:w="2880" w:type="dxa"/>
          </w:tcPr>
          <w:p w:rsidR="00000000" w:rsidRDefault="00000000">
            <w:pPr>
              <w:spacing w:after="80"/>
              <w:jc w:val="center"/>
            </w:pPr>
            <w:r>
              <w:t>17</w:t>
            </w:r>
          </w:p>
        </w:tc>
      </w:tr>
      <w:tr w:rsidR="00000000">
        <w:tblPrEx>
          <w:tblCellMar>
            <w:top w:w="0" w:type="dxa"/>
            <w:bottom w:w="0" w:type="dxa"/>
          </w:tblCellMar>
        </w:tblPrEx>
        <w:tc>
          <w:tcPr>
            <w:tcW w:w="4878" w:type="dxa"/>
          </w:tcPr>
          <w:p w:rsidR="00000000" w:rsidRDefault="00000000">
            <w:pPr>
              <w:spacing w:after="80"/>
            </w:pPr>
            <w:r>
              <w:t>Восьмого члена муниципалитета</w:t>
            </w:r>
          </w:p>
        </w:tc>
        <w:tc>
          <w:tcPr>
            <w:tcW w:w="2880" w:type="dxa"/>
          </w:tcPr>
          <w:p w:rsidR="00000000" w:rsidRDefault="00000000">
            <w:pPr>
              <w:spacing w:after="80"/>
              <w:jc w:val="center"/>
            </w:pPr>
            <w:r>
              <w:t>12</w:t>
            </w:r>
          </w:p>
        </w:tc>
      </w:tr>
      <w:tr w:rsidR="00000000">
        <w:tblPrEx>
          <w:tblCellMar>
            <w:top w:w="0" w:type="dxa"/>
            <w:bottom w:w="0" w:type="dxa"/>
          </w:tblCellMar>
        </w:tblPrEx>
        <w:tc>
          <w:tcPr>
            <w:tcW w:w="4878" w:type="dxa"/>
          </w:tcPr>
          <w:p w:rsidR="00000000" w:rsidRDefault="00000000">
            <w:pPr>
              <w:spacing w:after="80"/>
            </w:pPr>
            <w:r>
              <w:t>Девятого члена муниципалитета</w:t>
            </w:r>
          </w:p>
        </w:tc>
        <w:tc>
          <w:tcPr>
            <w:tcW w:w="2880" w:type="dxa"/>
          </w:tcPr>
          <w:p w:rsidR="00000000" w:rsidRDefault="00000000">
            <w:pPr>
              <w:spacing w:after="80"/>
              <w:jc w:val="center"/>
            </w:pPr>
            <w:r>
              <w:t>9</w:t>
            </w:r>
          </w:p>
        </w:tc>
      </w:tr>
      <w:tr w:rsidR="00000000">
        <w:tblPrEx>
          <w:tblCellMar>
            <w:top w:w="0" w:type="dxa"/>
            <w:bottom w:w="0" w:type="dxa"/>
          </w:tblCellMar>
        </w:tblPrEx>
        <w:tc>
          <w:tcPr>
            <w:tcW w:w="4878" w:type="dxa"/>
          </w:tcPr>
          <w:p w:rsidR="00000000" w:rsidRDefault="00000000">
            <w:pPr>
              <w:spacing w:after="80"/>
            </w:pPr>
            <w:r>
              <w:t>Десятого члена муниципалитета</w:t>
            </w:r>
          </w:p>
        </w:tc>
        <w:tc>
          <w:tcPr>
            <w:tcW w:w="2880" w:type="dxa"/>
          </w:tcPr>
          <w:p w:rsidR="00000000" w:rsidRDefault="00000000">
            <w:pPr>
              <w:spacing w:after="80"/>
              <w:jc w:val="center"/>
            </w:pPr>
            <w:r>
              <w:t>10</w:t>
            </w:r>
          </w:p>
        </w:tc>
      </w:tr>
      <w:tr w:rsidR="00000000">
        <w:tblPrEx>
          <w:tblCellMar>
            <w:top w:w="0" w:type="dxa"/>
            <w:bottom w:w="0" w:type="dxa"/>
          </w:tblCellMar>
        </w:tblPrEx>
        <w:tc>
          <w:tcPr>
            <w:tcW w:w="4878" w:type="dxa"/>
          </w:tcPr>
          <w:p w:rsidR="00000000" w:rsidRDefault="00000000">
            <w:pPr>
              <w:spacing w:after="80"/>
            </w:pPr>
            <w:r>
              <w:t>Первого заместителя члена муниципалит</w:t>
            </w:r>
            <w:r>
              <w:t>е</w:t>
            </w:r>
            <w:r>
              <w:t>та</w:t>
            </w:r>
          </w:p>
        </w:tc>
        <w:tc>
          <w:tcPr>
            <w:tcW w:w="2880" w:type="dxa"/>
          </w:tcPr>
          <w:p w:rsidR="00000000" w:rsidRDefault="00000000">
            <w:pPr>
              <w:spacing w:after="80"/>
              <w:jc w:val="center"/>
            </w:pPr>
            <w:r>
              <w:t>139</w:t>
            </w:r>
          </w:p>
        </w:tc>
      </w:tr>
      <w:tr w:rsidR="00000000">
        <w:tblPrEx>
          <w:tblCellMar>
            <w:top w:w="0" w:type="dxa"/>
            <w:bottom w:w="0" w:type="dxa"/>
          </w:tblCellMar>
        </w:tblPrEx>
        <w:tc>
          <w:tcPr>
            <w:tcW w:w="4878" w:type="dxa"/>
          </w:tcPr>
          <w:p w:rsidR="00000000" w:rsidRDefault="00000000">
            <w:pPr>
              <w:spacing w:after="80"/>
            </w:pPr>
            <w:r>
              <w:t>Второго заместителя члена муниципалит</w:t>
            </w:r>
            <w:r>
              <w:t>е</w:t>
            </w:r>
            <w:r>
              <w:t>та</w:t>
            </w:r>
          </w:p>
        </w:tc>
        <w:tc>
          <w:tcPr>
            <w:tcW w:w="2880" w:type="dxa"/>
          </w:tcPr>
          <w:p w:rsidR="00000000" w:rsidRDefault="00000000">
            <w:pPr>
              <w:spacing w:after="80"/>
              <w:jc w:val="center"/>
            </w:pPr>
            <w:r>
              <w:t>76</w:t>
            </w:r>
          </w:p>
        </w:tc>
      </w:tr>
      <w:tr w:rsidR="00000000">
        <w:tblPrEx>
          <w:tblCellMar>
            <w:top w:w="0" w:type="dxa"/>
            <w:bottom w:w="0" w:type="dxa"/>
          </w:tblCellMar>
        </w:tblPrEx>
        <w:tc>
          <w:tcPr>
            <w:tcW w:w="4878" w:type="dxa"/>
          </w:tcPr>
          <w:p w:rsidR="00000000" w:rsidRDefault="00000000">
            <w:pPr>
              <w:spacing w:after="80"/>
            </w:pPr>
            <w:r>
              <w:t>Третьего заместителя члена муниципалит</w:t>
            </w:r>
            <w:r>
              <w:t>е</w:t>
            </w:r>
            <w:r>
              <w:t>та</w:t>
            </w:r>
          </w:p>
        </w:tc>
        <w:tc>
          <w:tcPr>
            <w:tcW w:w="2880" w:type="dxa"/>
          </w:tcPr>
          <w:p w:rsidR="00000000" w:rsidRDefault="00000000">
            <w:pPr>
              <w:spacing w:after="80"/>
              <w:jc w:val="center"/>
            </w:pPr>
            <w:r>
              <w:t>22</w:t>
            </w:r>
          </w:p>
        </w:tc>
      </w:tr>
      <w:tr w:rsidR="00000000">
        <w:tblPrEx>
          <w:tblCellMar>
            <w:top w:w="0" w:type="dxa"/>
            <w:bottom w:w="0" w:type="dxa"/>
          </w:tblCellMar>
        </w:tblPrEx>
        <w:tc>
          <w:tcPr>
            <w:tcW w:w="4878" w:type="dxa"/>
          </w:tcPr>
          <w:p w:rsidR="00000000" w:rsidRDefault="00000000">
            <w:pPr>
              <w:spacing w:after="80"/>
            </w:pPr>
            <w:r>
              <w:t>Четвертого заместителя члена муниципал</w:t>
            </w:r>
            <w:r>
              <w:t>и</w:t>
            </w:r>
            <w:r>
              <w:t>тета</w:t>
            </w:r>
          </w:p>
        </w:tc>
        <w:tc>
          <w:tcPr>
            <w:tcW w:w="2880" w:type="dxa"/>
          </w:tcPr>
          <w:p w:rsidR="00000000" w:rsidRDefault="00000000">
            <w:pPr>
              <w:spacing w:after="80"/>
              <w:jc w:val="center"/>
            </w:pPr>
            <w:r>
              <w:t>8</w:t>
            </w:r>
          </w:p>
        </w:tc>
      </w:tr>
      <w:tr w:rsidR="00000000">
        <w:tblPrEx>
          <w:tblCellMar>
            <w:top w:w="0" w:type="dxa"/>
            <w:bottom w:w="0" w:type="dxa"/>
          </w:tblCellMar>
        </w:tblPrEx>
        <w:tc>
          <w:tcPr>
            <w:tcW w:w="4878" w:type="dxa"/>
          </w:tcPr>
          <w:p w:rsidR="00000000" w:rsidRDefault="00000000">
            <w:pPr>
              <w:spacing w:after="80"/>
            </w:pPr>
            <w:r>
              <w:t>Всего</w:t>
            </w:r>
          </w:p>
        </w:tc>
        <w:tc>
          <w:tcPr>
            <w:tcW w:w="2880" w:type="dxa"/>
          </w:tcPr>
          <w:p w:rsidR="00000000" w:rsidRDefault="00000000">
            <w:pPr>
              <w:spacing w:after="80"/>
              <w:jc w:val="center"/>
            </w:pPr>
            <w:r>
              <w:t>1 409</w:t>
            </w:r>
          </w:p>
        </w:tc>
      </w:tr>
    </w:tbl>
    <w:p w:rsidR="00000000" w:rsidRDefault="00000000">
      <w:pPr>
        <w:spacing w:after="80"/>
        <w:ind w:firstLine="720"/>
        <w:rPr>
          <w:lang w:val="en-US"/>
        </w:rPr>
      </w:pPr>
      <w:r>
        <w:rPr>
          <w:i/>
        </w:rPr>
        <w:t>Источник</w:t>
      </w:r>
      <w:r>
        <w:t>: Верховная избирательная комиссия</w:t>
      </w:r>
      <w:r>
        <w:rPr>
          <w:lang w:val="en-US"/>
        </w:rPr>
        <w:t>.</w:t>
      </w:r>
    </w:p>
    <w:p w:rsidR="00000000" w:rsidRDefault="00000000">
      <w:pPr>
        <w:spacing w:after="80"/>
        <w:rPr>
          <w:b/>
        </w:rPr>
      </w:pPr>
      <w:r>
        <w:rPr>
          <w:b/>
        </w:rPr>
        <w:br w:type="page"/>
        <w:t>Таблица 2.6. Гватемальцы в Соединенных Штатах в разбивке по штатам</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600"/>
      </w:tblGrid>
      <w:tr w:rsidR="00000000">
        <w:tblPrEx>
          <w:tblCellMar>
            <w:top w:w="0" w:type="dxa"/>
            <w:bottom w:w="0" w:type="dxa"/>
          </w:tblCellMar>
        </w:tblPrEx>
        <w:tc>
          <w:tcPr>
            <w:tcW w:w="3600" w:type="dxa"/>
          </w:tcPr>
          <w:p w:rsidR="00000000" w:rsidRDefault="00000000">
            <w:pPr>
              <w:spacing w:after="80"/>
              <w:jc w:val="center"/>
            </w:pPr>
            <w:r>
              <w:t>Штат</w:t>
            </w:r>
          </w:p>
        </w:tc>
        <w:tc>
          <w:tcPr>
            <w:tcW w:w="3600" w:type="dxa"/>
          </w:tcPr>
          <w:p w:rsidR="00000000" w:rsidRDefault="00000000">
            <w:pPr>
              <w:spacing w:after="80"/>
              <w:jc w:val="center"/>
            </w:pPr>
            <w:r>
              <w:t>Доля в процентах</w:t>
            </w:r>
          </w:p>
        </w:tc>
      </w:tr>
      <w:tr w:rsidR="00000000">
        <w:tblPrEx>
          <w:tblCellMar>
            <w:top w:w="0" w:type="dxa"/>
            <w:bottom w:w="0" w:type="dxa"/>
          </w:tblCellMar>
        </w:tblPrEx>
        <w:tc>
          <w:tcPr>
            <w:tcW w:w="3600" w:type="dxa"/>
          </w:tcPr>
          <w:p w:rsidR="00000000" w:rsidRDefault="00000000">
            <w:pPr>
              <w:spacing w:after="80"/>
            </w:pPr>
            <w:r>
              <w:t>Калифорния</w:t>
            </w:r>
          </w:p>
        </w:tc>
        <w:tc>
          <w:tcPr>
            <w:tcW w:w="3600" w:type="dxa"/>
          </w:tcPr>
          <w:p w:rsidR="00000000" w:rsidRDefault="00000000">
            <w:pPr>
              <w:spacing w:after="80"/>
              <w:jc w:val="center"/>
            </w:pPr>
            <w:r>
              <w:t>64</w:t>
            </w:r>
          </w:p>
        </w:tc>
      </w:tr>
      <w:tr w:rsidR="00000000">
        <w:tblPrEx>
          <w:tblCellMar>
            <w:top w:w="0" w:type="dxa"/>
            <w:bottom w:w="0" w:type="dxa"/>
          </w:tblCellMar>
        </w:tblPrEx>
        <w:tc>
          <w:tcPr>
            <w:tcW w:w="3600" w:type="dxa"/>
          </w:tcPr>
          <w:p w:rsidR="00000000" w:rsidRDefault="00000000">
            <w:pPr>
              <w:spacing w:after="80"/>
            </w:pPr>
            <w:r>
              <w:t>Нью-Йорк</w:t>
            </w:r>
          </w:p>
        </w:tc>
        <w:tc>
          <w:tcPr>
            <w:tcW w:w="3600" w:type="dxa"/>
          </w:tcPr>
          <w:p w:rsidR="00000000" w:rsidRDefault="00000000">
            <w:pPr>
              <w:spacing w:after="80"/>
              <w:jc w:val="center"/>
            </w:pPr>
            <w:r>
              <w:t>12</w:t>
            </w:r>
          </w:p>
        </w:tc>
      </w:tr>
      <w:tr w:rsidR="00000000">
        <w:tblPrEx>
          <w:tblCellMar>
            <w:top w:w="0" w:type="dxa"/>
            <w:bottom w:w="0" w:type="dxa"/>
          </w:tblCellMar>
        </w:tblPrEx>
        <w:tc>
          <w:tcPr>
            <w:tcW w:w="3600" w:type="dxa"/>
          </w:tcPr>
          <w:p w:rsidR="00000000" w:rsidRDefault="00000000">
            <w:pPr>
              <w:spacing w:after="80"/>
            </w:pPr>
            <w:r>
              <w:t>Иллинойс</w:t>
            </w:r>
          </w:p>
        </w:tc>
        <w:tc>
          <w:tcPr>
            <w:tcW w:w="3600" w:type="dxa"/>
          </w:tcPr>
          <w:p w:rsidR="00000000" w:rsidRDefault="00000000">
            <w:pPr>
              <w:spacing w:after="80"/>
              <w:jc w:val="center"/>
            </w:pPr>
            <w:r>
              <w:t>7</w:t>
            </w:r>
          </w:p>
        </w:tc>
      </w:tr>
      <w:tr w:rsidR="00000000">
        <w:tblPrEx>
          <w:tblCellMar>
            <w:top w:w="0" w:type="dxa"/>
            <w:bottom w:w="0" w:type="dxa"/>
          </w:tblCellMar>
        </w:tblPrEx>
        <w:tc>
          <w:tcPr>
            <w:tcW w:w="3600" w:type="dxa"/>
          </w:tcPr>
          <w:p w:rsidR="00000000" w:rsidRDefault="00000000">
            <w:pPr>
              <w:spacing w:after="80"/>
            </w:pPr>
            <w:r>
              <w:t>Флорида</w:t>
            </w:r>
          </w:p>
        </w:tc>
        <w:tc>
          <w:tcPr>
            <w:tcW w:w="3600" w:type="dxa"/>
          </w:tcPr>
          <w:p w:rsidR="00000000" w:rsidRDefault="00000000">
            <w:pPr>
              <w:spacing w:after="80"/>
              <w:jc w:val="center"/>
            </w:pPr>
            <w:r>
              <w:t>5</w:t>
            </w:r>
          </w:p>
        </w:tc>
      </w:tr>
      <w:tr w:rsidR="00000000">
        <w:tblPrEx>
          <w:tblCellMar>
            <w:top w:w="0" w:type="dxa"/>
            <w:bottom w:w="0" w:type="dxa"/>
          </w:tblCellMar>
        </w:tblPrEx>
        <w:tc>
          <w:tcPr>
            <w:tcW w:w="3600" w:type="dxa"/>
          </w:tcPr>
          <w:p w:rsidR="00000000" w:rsidRDefault="00000000">
            <w:pPr>
              <w:spacing w:after="80"/>
            </w:pPr>
            <w:r>
              <w:t>Техас</w:t>
            </w:r>
          </w:p>
        </w:tc>
        <w:tc>
          <w:tcPr>
            <w:tcW w:w="3600" w:type="dxa"/>
          </w:tcPr>
          <w:p w:rsidR="00000000" w:rsidRDefault="00000000">
            <w:pPr>
              <w:spacing w:after="80"/>
              <w:jc w:val="center"/>
            </w:pPr>
            <w:r>
              <w:t>4</w:t>
            </w:r>
          </w:p>
        </w:tc>
      </w:tr>
      <w:tr w:rsidR="00000000">
        <w:tblPrEx>
          <w:tblCellMar>
            <w:top w:w="0" w:type="dxa"/>
            <w:bottom w:w="0" w:type="dxa"/>
          </w:tblCellMar>
        </w:tblPrEx>
        <w:tc>
          <w:tcPr>
            <w:tcW w:w="3600" w:type="dxa"/>
          </w:tcPr>
          <w:p w:rsidR="00000000" w:rsidRDefault="00000000">
            <w:pPr>
              <w:spacing w:after="80"/>
            </w:pPr>
            <w:r>
              <w:t>Джорджия</w:t>
            </w:r>
          </w:p>
        </w:tc>
        <w:tc>
          <w:tcPr>
            <w:tcW w:w="3600" w:type="dxa"/>
          </w:tcPr>
          <w:p w:rsidR="00000000" w:rsidRDefault="00000000">
            <w:pPr>
              <w:spacing w:after="80"/>
              <w:jc w:val="center"/>
            </w:pPr>
            <w:r>
              <w:t>3</w:t>
            </w:r>
          </w:p>
        </w:tc>
      </w:tr>
      <w:tr w:rsidR="00000000">
        <w:tblPrEx>
          <w:tblCellMar>
            <w:top w:w="0" w:type="dxa"/>
            <w:bottom w:w="0" w:type="dxa"/>
          </w:tblCellMar>
        </w:tblPrEx>
        <w:tc>
          <w:tcPr>
            <w:tcW w:w="3600" w:type="dxa"/>
          </w:tcPr>
          <w:p w:rsidR="00000000" w:rsidRDefault="00000000">
            <w:pPr>
              <w:spacing w:after="80"/>
            </w:pPr>
            <w:r>
              <w:t>Орегон</w:t>
            </w:r>
          </w:p>
        </w:tc>
        <w:tc>
          <w:tcPr>
            <w:tcW w:w="3600" w:type="dxa"/>
          </w:tcPr>
          <w:p w:rsidR="00000000" w:rsidRDefault="00000000">
            <w:pPr>
              <w:spacing w:after="80"/>
              <w:jc w:val="center"/>
            </w:pPr>
            <w:r>
              <w:t>2</w:t>
            </w:r>
          </w:p>
        </w:tc>
      </w:tr>
      <w:tr w:rsidR="00000000">
        <w:tblPrEx>
          <w:tblCellMar>
            <w:top w:w="0" w:type="dxa"/>
            <w:bottom w:w="0" w:type="dxa"/>
          </w:tblCellMar>
        </w:tblPrEx>
        <w:tc>
          <w:tcPr>
            <w:tcW w:w="3600" w:type="dxa"/>
          </w:tcPr>
          <w:p w:rsidR="00000000" w:rsidRDefault="00000000">
            <w:pPr>
              <w:spacing w:after="80"/>
            </w:pPr>
            <w:r>
              <w:t>Другие</w:t>
            </w:r>
          </w:p>
        </w:tc>
        <w:tc>
          <w:tcPr>
            <w:tcW w:w="3600" w:type="dxa"/>
          </w:tcPr>
          <w:p w:rsidR="00000000" w:rsidRDefault="00000000">
            <w:pPr>
              <w:spacing w:after="80"/>
              <w:jc w:val="center"/>
            </w:pPr>
            <w:r>
              <w:t>3</w:t>
            </w:r>
          </w:p>
        </w:tc>
      </w:tr>
    </w:tbl>
    <w:p w:rsidR="00000000" w:rsidRDefault="00000000">
      <w:pPr>
        <w:spacing w:after="80"/>
        <w:ind w:firstLine="720"/>
      </w:pPr>
      <w:r>
        <w:rPr>
          <w:i/>
        </w:rPr>
        <w:t>Источник</w:t>
      </w:r>
      <w:r>
        <w:t>: ЭКЛАК, СИН, ООН, Мировой банк, 2001 год</w:t>
      </w:r>
    </w:p>
    <w:p w:rsidR="00000000" w:rsidRDefault="00000000">
      <w:pPr>
        <w:spacing w:after="80"/>
        <w:rPr>
          <w:b/>
        </w:rPr>
      </w:pPr>
      <w:r>
        <w:rPr>
          <w:b/>
        </w:rPr>
        <w:t>Таблица 2.7. Иммигранты - выходцы из Гватемалы в Соединенных Штатах. Разбивка по департ</w:t>
      </w:r>
      <w:r>
        <w:rPr>
          <w:b/>
        </w:rPr>
        <w:t>а</w:t>
      </w:r>
      <w:r>
        <w:rPr>
          <w:b/>
        </w:rPr>
        <w:t>ментам происхождения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600"/>
      </w:tblGrid>
      <w:tr w:rsidR="00000000">
        <w:tblPrEx>
          <w:tblCellMar>
            <w:top w:w="0" w:type="dxa"/>
            <w:bottom w:w="0" w:type="dxa"/>
          </w:tblCellMar>
        </w:tblPrEx>
        <w:tc>
          <w:tcPr>
            <w:tcW w:w="3600" w:type="dxa"/>
          </w:tcPr>
          <w:p w:rsidR="00000000" w:rsidRDefault="00000000">
            <w:pPr>
              <w:spacing w:after="80"/>
            </w:pPr>
            <w:r>
              <w:t>Департамент</w:t>
            </w:r>
          </w:p>
        </w:tc>
        <w:tc>
          <w:tcPr>
            <w:tcW w:w="3600" w:type="dxa"/>
          </w:tcPr>
          <w:p w:rsidR="00000000" w:rsidRDefault="00000000">
            <w:pPr>
              <w:spacing w:after="80"/>
              <w:jc w:val="center"/>
            </w:pPr>
            <w:r>
              <w:t>Доля в процентах</w:t>
            </w:r>
          </w:p>
        </w:tc>
      </w:tr>
      <w:tr w:rsidR="00000000">
        <w:tblPrEx>
          <w:tblCellMar>
            <w:top w:w="0" w:type="dxa"/>
            <w:bottom w:w="0" w:type="dxa"/>
          </w:tblCellMar>
        </w:tblPrEx>
        <w:tc>
          <w:tcPr>
            <w:tcW w:w="3600" w:type="dxa"/>
          </w:tcPr>
          <w:p w:rsidR="00000000" w:rsidRDefault="00000000">
            <w:pPr>
              <w:spacing w:after="80"/>
            </w:pPr>
            <w:r>
              <w:t>Всего</w:t>
            </w:r>
          </w:p>
        </w:tc>
        <w:tc>
          <w:tcPr>
            <w:tcW w:w="3600" w:type="dxa"/>
          </w:tcPr>
          <w:p w:rsidR="00000000" w:rsidRDefault="00000000">
            <w:pPr>
              <w:spacing w:after="80"/>
              <w:jc w:val="center"/>
            </w:pPr>
            <w:r>
              <w:t>23</w:t>
            </w:r>
          </w:p>
        </w:tc>
      </w:tr>
      <w:tr w:rsidR="00000000">
        <w:tblPrEx>
          <w:tblCellMar>
            <w:top w:w="0" w:type="dxa"/>
            <w:bottom w:w="0" w:type="dxa"/>
          </w:tblCellMar>
        </w:tblPrEx>
        <w:tc>
          <w:tcPr>
            <w:tcW w:w="3600" w:type="dxa"/>
          </w:tcPr>
          <w:p w:rsidR="00000000" w:rsidRDefault="00000000">
            <w:pPr>
              <w:spacing w:after="80"/>
            </w:pPr>
            <w:r>
              <w:t>Сан-Маркос</w:t>
            </w:r>
          </w:p>
        </w:tc>
        <w:tc>
          <w:tcPr>
            <w:tcW w:w="3600" w:type="dxa"/>
          </w:tcPr>
          <w:p w:rsidR="00000000" w:rsidRDefault="00000000">
            <w:pPr>
              <w:spacing w:after="80"/>
              <w:jc w:val="center"/>
            </w:pPr>
            <w:r>
              <w:t>18</w:t>
            </w:r>
          </w:p>
        </w:tc>
      </w:tr>
      <w:tr w:rsidR="00000000">
        <w:tblPrEx>
          <w:tblCellMar>
            <w:top w:w="0" w:type="dxa"/>
            <w:bottom w:w="0" w:type="dxa"/>
          </w:tblCellMar>
        </w:tblPrEx>
        <w:tc>
          <w:tcPr>
            <w:tcW w:w="3600" w:type="dxa"/>
          </w:tcPr>
          <w:p w:rsidR="00000000" w:rsidRDefault="00000000">
            <w:pPr>
              <w:spacing w:after="80"/>
            </w:pPr>
            <w:r>
              <w:t>Кецальтенанго</w:t>
            </w:r>
          </w:p>
        </w:tc>
        <w:tc>
          <w:tcPr>
            <w:tcW w:w="3600" w:type="dxa"/>
          </w:tcPr>
          <w:p w:rsidR="00000000" w:rsidRDefault="00000000">
            <w:pPr>
              <w:spacing w:after="80"/>
              <w:jc w:val="center"/>
            </w:pPr>
            <w:r>
              <w:t>14</w:t>
            </w:r>
          </w:p>
        </w:tc>
      </w:tr>
      <w:tr w:rsidR="00000000">
        <w:tblPrEx>
          <w:tblCellMar>
            <w:top w:w="0" w:type="dxa"/>
            <w:bottom w:w="0" w:type="dxa"/>
          </w:tblCellMar>
        </w:tblPrEx>
        <w:tc>
          <w:tcPr>
            <w:tcW w:w="3600" w:type="dxa"/>
          </w:tcPr>
          <w:p w:rsidR="00000000" w:rsidRDefault="00000000">
            <w:pPr>
              <w:spacing w:after="80"/>
            </w:pPr>
            <w:r>
              <w:t>Реталулеу</w:t>
            </w:r>
          </w:p>
        </w:tc>
        <w:tc>
          <w:tcPr>
            <w:tcW w:w="3600" w:type="dxa"/>
          </w:tcPr>
          <w:p w:rsidR="00000000" w:rsidRDefault="00000000">
            <w:pPr>
              <w:spacing w:after="80"/>
              <w:jc w:val="center"/>
            </w:pPr>
            <w:r>
              <w:t>12</w:t>
            </w:r>
          </w:p>
        </w:tc>
      </w:tr>
      <w:tr w:rsidR="00000000">
        <w:tblPrEx>
          <w:tblCellMar>
            <w:top w:w="0" w:type="dxa"/>
            <w:bottom w:w="0" w:type="dxa"/>
          </w:tblCellMar>
        </w:tblPrEx>
        <w:tc>
          <w:tcPr>
            <w:tcW w:w="3600" w:type="dxa"/>
          </w:tcPr>
          <w:p w:rsidR="00000000" w:rsidRDefault="00000000">
            <w:pPr>
              <w:spacing w:after="80"/>
            </w:pPr>
            <w:r>
              <w:t>Сучитепекес</w:t>
            </w:r>
          </w:p>
        </w:tc>
        <w:tc>
          <w:tcPr>
            <w:tcW w:w="3600" w:type="dxa"/>
          </w:tcPr>
          <w:p w:rsidR="00000000" w:rsidRDefault="00000000">
            <w:pPr>
              <w:spacing w:after="80"/>
              <w:jc w:val="center"/>
            </w:pPr>
            <w:r>
              <w:t>10</w:t>
            </w:r>
          </w:p>
        </w:tc>
      </w:tr>
      <w:tr w:rsidR="00000000">
        <w:tblPrEx>
          <w:tblCellMar>
            <w:top w:w="0" w:type="dxa"/>
            <w:bottom w:w="0" w:type="dxa"/>
          </w:tblCellMar>
        </w:tblPrEx>
        <w:tc>
          <w:tcPr>
            <w:tcW w:w="3600" w:type="dxa"/>
          </w:tcPr>
          <w:p w:rsidR="00000000" w:rsidRDefault="00000000">
            <w:pPr>
              <w:spacing w:after="80"/>
            </w:pPr>
            <w:r>
              <w:t>Чикимула</w:t>
            </w:r>
          </w:p>
        </w:tc>
        <w:tc>
          <w:tcPr>
            <w:tcW w:w="3600" w:type="dxa"/>
          </w:tcPr>
          <w:p w:rsidR="00000000" w:rsidRDefault="00000000">
            <w:pPr>
              <w:spacing w:after="80"/>
              <w:jc w:val="center"/>
            </w:pPr>
            <w:r>
              <w:t>9</w:t>
            </w:r>
          </w:p>
        </w:tc>
      </w:tr>
      <w:tr w:rsidR="00000000">
        <w:tblPrEx>
          <w:tblCellMar>
            <w:top w:w="0" w:type="dxa"/>
            <w:bottom w:w="0" w:type="dxa"/>
          </w:tblCellMar>
        </w:tblPrEx>
        <w:tc>
          <w:tcPr>
            <w:tcW w:w="3600" w:type="dxa"/>
          </w:tcPr>
          <w:p w:rsidR="00000000" w:rsidRDefault="00000000">
            <w:pPr>
              <w:spacing w:after="80"/>
            </w:pPr>
            <w:r>
              <w:t>Санта-Роса</w:t>
            </w:r>
          </w:p>
        </w:tc>
        <w:tc>
          <w:tcPr>
            <w:tcW w:w="3600" w:type="dxa"/>
          </w:tcPr>
          <w:p w:rsidR="00000000" w:rsidRDefault="00000000">
            <w:pPr>
              <w:spacing w:after="80"/>
              <w:jc w:val="center"/>
            </w:pPr>
            <w:r>
              <w:t>8</w:t>
            </w:r>
          </w:p>
        </w:tc>
      </w:tr>
      <w:tr w:rsidR="00000000">
        <w:tblPrEx>
          <w:tblCellMar>
            <w:top w:w="0" w:type="dxa"/>
            <w:bottom w:w="0" w:type="dxa"/>
          </w:tblCellMar>
        </w:tblPrEx>
        <w:tc>
          <w:tcPr>
            <w:tcW w:w="3600" w:type="dxa"/>
          </w:tcPr>
          <w:p w:rsidR="00000000" w:rsidRDefault="00000000">
            <w:pPr>
              <w:spacing w:after="80"/>
            </w:pPr>
            <w:r>
              <w:t>Эль-Прогресо</w:t>
            </w:r>
          </w:p>
        </w:tc>
        <w:tc>
          <w:tcPr>
            <w:tcW w:w="3600" w:type="dxa"/>
          </w:tcPr>
          <w:p w:rsidR="00000000" w:rsidRDefault="00000000">
            <w:pPr>
              <w:spacing w:after="80"/>
              <w:jc w:val="center"/>
            </w:pPr>
            <w:r>
              <w:t>6</w:t>
            </w:r>
          </w:p>
        </w:tc>
      </w:tr>
    </w:tbl>
    <w:p w:rsidR="00000000" w:rsidRDefault="00000000">
      <w:pPr>
        <w:spacing w:after="80"/>
        <w:ind w:firstLine="720"/>
      </w:pPr>
      <w:r>
        <w:rPr>
          <w:i/>
        </w:rPr>
        <w:t>Источник</w:t>
      </w:r>
      <w:r>
        <w:t>: Документ ЭКЛАК, январь 2001 года.</w:t>
      </w:r>
    </w:p>
    <w:p w:rsidR="00000000" w:rsidRDefault="00000000">
      <w:pPr>
        <w:spacing w:after="80"/>
        <w:rPr>
          <w:b/>
        </w:rPr>
      </w:pPr>
      <w:r>
        <w:rPr>
          <w:b/>
        </w:rPr>
        <w:t>Таблица 2.8. Состав семей, мигрирующих с мест происхождения на южное побережье</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600"/>
      </w:tblGrid>
      <w:tr w:rsidR="00000000">
        <w:tblPrEx>
          <w:tblCellMar>
            <w:top w:w="0" w:type="dxa"/>
            <w:bottom w:w="0" w:type="dxa"/>
          </w:tblCellMar>
        </w:tblPrEx>
        <w:tc>
          <w:tcPr>
            <w:tcW w:w="3600" w:type="dxa"/>
          </w:tcPr>
          <w:p w:rsidR="00000000" w:rsidRDefault="00000000">
            <w:pPr>
              <w:spacing w:after="80"/>
              <w:jc w:val="center"/>
            </w:pPr>
            <w:r>
              <w:t>Временные мигранты</w:t>
            </w:r>
          </w:p>
        </w:tc>
        <w:tc>
          <w:tcPr>
            <w:tcW w:w="3600" w:type="dxa"/>
          </w:tcPr>
          <w:p w:rsidR="00000000" w:rsidRDefault="00000000">
            <w:pPr>
              <w:spacing w:after="80"/>
              <w:jc w:val="center"/>
            </w:pPr>
            <w:r>
              <w:t>В процентах</w:t>
            </w:r>
          </w:p>
        </w:tc>
      </w:tr>
      <w:tr w:rsidR="00000000">
        <w:tblPrEx>
          <w:tblCellMar>
            <w:top w:w="0" w:type="dxa"/>
            <w:bottom w:w="0" w:type="dxa"/>
          </w:tblCellMar>
        </w:tblPrEx>
        <w:tc>
          <w:tcPr>
            <w:tcW w:w="3600" w:type="dxa"/>
          </w:tcPr>
          <w:p w:rsidR="00000000" w:rsidRDefault="00000000">
            <w:pPr>
              <w:spacing w:after="80"/>
            </w:pPr>
            <w:r>
              <w:t>Глава семьи</w:t>
            </w:r>
          </w:p>
        </w:tc>
        <w:tc>
          <w:tcPr>
            <w:tcW w:w="3600" w:type="dxa"/>
          </w:tcPr>
          <w:p w:rsidR="00000000" w:rsidRDefault="00000000">
            <w:pPr>
              <w:spacing w:after="80"/>
              <w:jc w:val="center"/>
            </w:pPr>
            <w:r>
              <w:t>31,3</w:t>
            </w:r>
          </w:p>
        </w:tc>
      </w:tr>
      <w:tr w:rsidR="00000000">
        <w:tblPrEx>
          <w:tblCellMar>
            <w:top w:w="0" w:type="dxa"/>
            <w:bottom w:w="0" w:type="dxa"/>
          </w:tblCellMar>
        </w:tblPrEx>
        <w:tc>
          <w:tcPr>
            <w:tcW w:w="3600" w:type="dxa"/>
          </w:tcPr>
          <w:p w:rsidR="00000000" w:rsidRDefault="00000000">
            <w:pPr>
              <w:spacing w:after="80"/>
            </w:pPr>
            <w:r>
              <w:t>Супруга</w:t>
            </w:r>
          </w:p>
        </w:tc>
        <w:tc>
          <w:tcPr>
            <w:tcW w:w="3600" w:type="dxa"/>
          </w:tcPr>
          <w:p w:rsidR="00000000" w:rsidRDefault="00000000">
            <w:pPr>
              <w:spacing w:after="80"/>
              <w:jc w:val="center"/>
            </w:pPr>
            <w:r>
              <w:t>17,1</w:t>
            </w:r>
          </w:p>
        </w:tc>
      </w:tr>
      <w:tr w:rsidR="00000000">
        <w:tblPrEx>
          <w:tblCellMar>
            <w:top w:w="0" w:type="dxa"/>
            <w:bottom w:w="0" w:type="dxa"/>
          </w:tblCellMar>
        </w:tblPrEx>
        <w:tc>
          <w:tcPr>
            <w:tcW w:w="3600" w:type="dxa"/>
          </w:tcPr>
          <w:p w:rsidR="00000000" w:rsidRDefault="00000000">
            <w:pPr>
              <w:spacing w:after="80"/>
            </w:pPr>
            <w:r>
              <w:t>Дети мужского пола</w:t>
            </w:r>
          </w:p>
        </w:tc>
        <w:tc>
          <w:tcPr>
            <w:tcW w:w="3600" w:type="dxa"/>
          </w:tcPr>
          <w:p w:rsidR="00000000" w:rsidRDefault="00000000">
            <w:pPr>
              <w:spacing w:after="80"/>
              <w:jc w:val="center"/>
            </w:pPr>
            <w:r>
              <w:t>22,7</w:t>
            </w:r>
          </w:p>
        </w:tc>
      </w:tr>
      <w:tr w:rsidR="00000000">
        <w:tblPrEx>
          <w:tblCellMar>
            <w:top w:w="0" w:type="dxa"/>
            <w:bottom w:w="0" w:type="dxa"/>
          </w:tblCellMar>
        </w:tblPrEx>
        <w:tc>
          <w:tcPr>
            <w:tcW w:w="3600" w:type="dxa"/>
          </w:tcPr>
          <w:p w:rsidR="00000000" w:rsidRDefault="00000000">
            <w:pPr>
              <w:spacing w:after="80"/>
            </w:pPr>
            <w:r>
              <w:t>Дети женского пола</w:t>
            </w:r>
          </w:p>
        </w:tc>
        <w:tc>
          <w:tcPr>
            <w:tcW w:w="3600" w:type="dxa"/>
          </w:tcPr>
          <w:p w:rsidR="00000000" w:rsidRDefault="00000000">
            <w:pPr>
              <w:spacing w:after="80"/>
              <w:jc w:val="center"/>
            </w:pPr>
            <w:r>
              <w:t>26,9</w:t>
            </w:r>
          </w:p>
        </w:tc>
      </w:tr>
      <w:tr w:rsidR="00000000">
        <w:tblPrEx>
          <w:tblCellMar>
            <w:top w:w="0" w:type="dxa"/>
            <w:bottom w:w="0" w:type="dxa"/>
          </w:tblCellMar>
        </w:tblPrEx>
        <w:tc>
          <w:tcPr>
            <w:tcW w:w="3600" w:type="dxa"/>
          </w:tcPr>
          <w:p w:rsidR="00000000" w:rsidRDefault="00000000">
            <w:pPr>
              <w:spacing w:after="80"/>
            </w:pPr>
            <w:r>
              <w:t>Другие родственники</w:t>
            </w:r>
          </w:p>
        </w:tc>
        <w:tc>
          <w:tcPr>
            <w:tcW w:w="3600" w:type="dxa"/>
          </w:tcPr>
          <w:p w:rsidR="00000000" w:rsidRDefault="00000000">
            <w:pPr>
              <w:spacing w:after="80"/>
              <w:jc w:val="center"/>
            </w:pPr>
            <w:r>
              <w:t>2,0</w:t>
            </w:r>
          </w:p>
        </w:tc>
      </w:tr>
      <w:tr w:rsidR="00000000">
        <w:tblPrEx>
          <w:tblCellMar>
            <w:top w:w="0" w:type="dxa"/>
            <w:bottom w:w="0" w:type="dxa"/>
          </w:tblCellMar>
        </w:tblPrEx>
        <w:tc>
          <w:tcPr>
            <w:tcW w:w="3600" w:type="dxa"/>
          </w:tcPr>
          <w:p w:rsidR="00000000" w:rsidRDefault="00000000">
            <w:pPr>
              <w:spacing w:after="80"/>
            </w:pPr>
            <w:r>
              <w:t>Итого</w:t>
            </w:r>
          </w:p>
        </w:tc>
        <w:tc>
          <w:tcPr>
            <w:tcW w:w="3600" w:type="dxa"/>
          </w:tcPr>
          <w:p w:rsidR="00000000" w:rsidRDefault="00000000">
            <w:pPr>
              <w:spacing w:after="80"/>
              <w:jc w:val="center"/>
            </w:pPr>
            <w:r>
              <w:t>100,0</w:t>
            </w:r>
          </w:p>
        </w:tc>
      </w:tr>
    </w:tbl>
    <w:p w:rsidR="00000000" w:rsidRDefault="00000000">
      <w:pPr>
        <w:spacing w:after="80"/>
        <w:ind w:firstLine="720"/>
      </w:pPr>
      <w:r>
        <w:rPr>
          <w:i/>
        </w:rPr>
        <w:t>Источник</w:t>
      </w:r>
      <w:r>
        <w:t>: Министерство здравоохранения и социальной помощи; Гватемальский институт соц</w:t>
      </w:r>
      <w:r>
        <w:t>и</w:t>
      </w:r>
      <w:r>
        <w:t>ального обеспечения; ПАОЗ/ВОЗ (1998: 61).</w:t>
      </w:r>
    </w:p>
    <w:p w:rsidR="00000000" w:rsidRDefault="00000000">
      <w:pPr>
        <w:spacing w:after="80"/>
        <w:ind w:firstLine="720"/>
      </w:pPr>
      <w:r>
        <w:br w:type="page"/>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600"/>
      </w:tblGrid>
      <w:tr w:rsidR="00000000">
        <w:tblPrEx>
          <w:tblCellMar>
            <w:top w:w="0" w:type="dxa"/>
            <w:bottom w:w="0" w:type="dxa"/>
          </w:tblCellMar>
        </w:tblPrEx>
        <w:tc>
          <w:tcPr>
            <w:tcW w:w="3600" w:type="dxa"/>
          </w:tcPr>
          <w:p w:rsidR="00000000" w:rsidRDefault="00000000">
            <w:pPr>
              <w:spacing w:after="80"/>
              <w:jc w:val="center"/>
            </w:pPr>
            <w:r>
              <w:t>Возрастные группы (лет)</w:t>
            </w:r>
          </w:p>
        </w:tc>
        <w:tc>
          <w:tcPr>
            <w:tcW w:w="3600" w:type="dxa"/>
          </w:tcPr>
          <w:p w:rsidR="00000000" w:rsidRDefault="00000000">
            <w:pPr>
              <w:spacing w:after="80"/>
              <w:jc w:val="center"/>
            </w:pPr>
            <w:r>
              <w:t>В процентах</w:t>
            </w:r>
          </w:p>
        </w:tc>
      </w:tr>
      <w:tr w:rsidR="00000000">
        <w:tblPrEx>
          <w:tblCellMar>
            <w:top w:w="0" w:type="dxa"/>
            <w:bottom w:w="0" w:type="dxa"/>
          </w:tblCellMar>
        </w:tblPrEx>
        <w:tc>
          <w:tcPr>
            <w:tcW w:w="3600" w:type="dxa"/>
          </w:tcPr>
          <w:p w:rsidR="00000000" w:rsidRDefault="00000000">
            <w:pPr>
              <w:spacing w:after="80"/>
            </w:pPr>
            <w:r>
              <w:t>0-9</w:t>
            </w:r>
          </w:p>
        </w:tc>
        <w:tc>
          <w:tcPr>
            <w:tcW w:w="3600" w:type="dxa"/>
          </w:tcPr>
          <w:p w:rsidR="00000000" w:rsidRDefault="00000000">
            <w:pPr>
              <w:spacing w:after="80"/>
              <w:jc w:val="center"/>
            </w:pPr>
            <w:r>
              <w:t>24,7</w:t>
            </w:r>
          </w:p>
        </w:tc>
      </w:tr>
      <w:tr w:rsidR="00000000">
        <w:tblPrEx>
          <w:tblCellMar>
            <w:top w:w="0" w:type="dxa"/>
            <w:bottom w:w="0" w:type="dxa"/>
          </w:tblCellMar>
        </w:tblPrEx>
        <w:tc>
          <w:tcPr>
            <w:tcW w:w="3600" w:type="dxa"/>
          </w:tcPr>
          <w:p w:rsidR="00000000" w:rsidRDefault="00000000">
            <w:pPr>
              <w:spacing w:after="80"/>
            </w:pPr>
            <w:r>
              <w:t>10-19</w:t>
            </w:r>
          </w:p>
        </w:tc>
        <w:tc>
          <w:tcPr>
            <w:tcW w:w="3600" w:type="dxa"/>
          </w:tcPr>
          <w:p w:rsidR="00000000" w:rsidRDefault="00000000">
            <w:pPr>
              <w:spacing w:after="80"/>
              <w:jc w:val="center"/>
            </w:pPr>
            <w:r>
              <w:t>23,6</w:t>
            </w:r>
          </w:p>
        </w:tc>
      </w:tr>
      <w:tr w:rsidR="00000000">
        <w:tblPrEx>
          <w:tblCellMar>
            <w:top w:w="0" w:type="dxa"/>
            <w:bottom w:w="0" w:type="dxa"/>
          </w:tblCellMar>
        </w:tblPrEx>
        <w:tc>
          <w:tcPr>
            <w:tcW w:w="3600" w:type="dxa"/>
          </w:tcPr>
          <w:p w:rsidR="00000000" w:rsidRDefault="00000000">
            <w:pPr>
              <w:spacing w:after="80"/>
            </w:pPr>
            <w:r>
              <w:t>20-29</w:t>
            </w:r>
          </w:p>
        </w:tc>
        <w:tc>
          <w:tcPr>
            <w:tcW w:w="3600" w:type="dxa"/>
          </w:tcPr>
          <w:p w:rsidR="00000000" w:rsidRDefault="00000000">
            <w:pPr>
              <w:spacing w:after="80"/>
              <w:jc w:val="center"/>
            </w:pPr>
            <w:r>
              <w:t>23,6</w:t>
            </w:r>
          </w:p>
        </w:tc>
      </w:tr>
      <w:tr w:rsidR="00000000">
        <w:tblPrEx>
          <w:tblCellMar>
            <w:top w:w="0" w:type="dxa"/>
            <w:bottom w:w="0" w:type="dxa"/>
          </w:tblCellMar>
        </w:tblPrEx>
        <w:tc>
          <w:tcPr>
            <w:tcW w:w="3600" w:type="dxa"/>
          </w:tcPr>
          <w:p w:rsidR="00000000" w:rsidRDefault="00000000">
            <w:pPr>
              <w:spacing w:after="80"/>
            </w:pPr>
            <w:r>
              <w:t>30-39</w:t>
            </w:r>
          </w:p>
        </w:tc>
        <w:tc>
          <w:tcPr>
            <w:tcW w:w="3600" w:type="dxa"/>
          </w:tcPr>
          <w:p w:rsidR="00000000" w:rsidRDefault="00000000">
            <w:pPr>
              <w:spacing w:after="80"/>
              <w:jc w:val="center"/>
            </w:pPr>
            <w:r>
              <w:t>14,2</w:t>
            </w:r>
          </w:p>
        </w:tc>
      </w:tr>
      <w:tr w:rsidR="00000000">
        <w:tblPrEx>
          <w:tblCellMar>
            <w:top w:w="0" w:type="dxa"/>
            <w:bottom w:w="0" w:type="dxa"/>
          </w:tblCellMar>
        </w:tblPrEx>
        <w:tc>
          <w:tcPr>
            <w:tcW w:w="3600" w:type="dxa"/>
          </w:tcPr>
          <w:p w:rsidR="00000000" w:rsidRDefault="00000000">
            <w:pPr>
              <w:spacing w:after="80"/>
            </w:pPr>
            <w:r>
              <w:t>40-49</w:t>
            </w:r>
          </w:p>
        </w:tc>
        <w:tc>
          <w:tcPr>
            <w:tcW w:w="3600" w:type="dxa"/>
          </w:tcPr>
          <w:p w:rsidR="00000000" w:rsidRDefault="00000000">
            <w:pPr>
              <w:spacing w:after="80"/>
              <w:jc w:val="center"/>
            </w:pPr>
            <w:r>
              <w:t>9,2</w:t>
            </w:r>
          </w:p>
        </w:tc>
      </w:tr>
      <w:tr w:rsidR="00000000">
        <w:tblPrEx>
          <w:tblCellMar>
            <w:top w:w="0" w:type="dxa"/>
            <w:bottom w:w="0" w:type="dxa"/>
          </w:tblCellMar>
        </w:tblPrEx>
        <w:tc>
          <w:tcPr>
            <w:tcW w:w="3600" w:type="dxa"/>
          </w:tcPr>
          <w:p w:rsidR="00000000" w:rsidRDefault="00000000">
            <w:pPr>
              <w:spacing w:after="80"/>
            </w:pPr>
            <w:r>
              <w:t>50-59</w:t>
            </w:r>
          </w:p>
        </w:tc>
        <w:tc>
          <w:tcPr>
            <w:tcW w:w="3600" w:type="dxa"/>
          </w:tcPr>
          <w:p w:rsidR="00000000" w:rsidRDefault="00000000">
            <w:pPr>
              <w:spacing w:after="80"/>
              <w:jc w:val="center"/>
            </w:pPr>
            <w:r>
              <w:t>3,2</w:t>
            </w:r>
          </w:p>
        </w:tc>
      </w:tr>
      <w:tr w:rsidR="00000000">
        <w:tblPrEx>
          <w:tblCellMar>
            <w:top w:w="0" w:type="dxa"/>
            <w:bottom w:w="0" w:type="dxa"/>
          </w:tblCellMar>
        </w:tblPrEx>
        <w:tc>
          <w:tcPr>
            <w:tcW w:w="3600" w:type="dxa"/>
          </w:tcPr>
          <w:p w:rsidR="00000000" w:rsidRDefault="00000000">
            <w:pPr>
              <w:spacing w:after="80"/>
            </w:pPr>
            <w:r>
              <w:t>60 лет и старше</w:t>
            </w:r>
          </w:p>
        </w:tc>
        <w:tc>
          <w:tcPr>
            <w:tcW w:w="3600" w:type="dxa"/>
          </w:tcPr>
          <w:p w:rsidR="00000000" w:rsidRDefault="00000000">
            <w:pPr>
              <w:spacing w:after="80"/>
              <w:jc w:val="center"/>
            </w:pPr>
            <w:r>
              <w:t>1,5</w:t>
            </w:r>
          </w:p>
        </w:tc>
      </w:tr>
      <w:tr w:rsidR="00000000">
        <w:tblPrEx>
          <w:tblCellMar>
            <w:top w:w="0" w:type="dxa"/>
            <w:bottom w:w="0" w:type="dxa"/>
          </w:tblCellMar>
        </w:tblPrEx>
        <w:tc>
          <w:tcPr>
            <w:tcW w:w="3600" w:type="dxa"/>
          </w:tcPr>
          <w:p w:rsidR="00000000" w:rsidRDefault="00000000">
            <w:pPr>
              <w:spacing w:after="80"/>
            </w:pPr>
            <w:r>
              <w:t>Итого</w:t>
            </w:r>
          </w:p>
        </w:tc>
        <w:tc>
          <w:tcPr>
            <w:tcW w:w="3600" w:type="dxa"/>
          </w:tcPr>
          <w:p w:rsidR="00000000" w:rsidRDefault="00000000">
            <w:pPr>
              <w:spacing w:after="80"/>
              <w:jc w:val="center"/>
            </w:pPr>
            <w:r>
              <w:t>100,0</w:t>
            </w:r>
          </w:p>
        </w:tc>
      </w:tr>
    </w:tbl>
    <w:p w:rsidR="00000000" w:rsidRDefault="00000000">
      <w:pPr>
        <w:spacing w:after="80"/>
        <w:ind w:firstLine="720"/>
      </w:pPr>
      <w:r>
        <w:rPr>
          <w:i/>
        </w:rPr>
        <w:t>Источник</w:t>
      </w:r>
      <w:r>
        <w:t>: Министерство здравоохранения и социальной помощи; Гватемальский институт соц</w:t>
      </w:r>
      <w:r>
        <w:t>и</w:t>
      </w:r>
      <w:r>
        <w:t>ального обеспечения; ПАОЗ/ВОЗ (1998).</w:t>
      </w:r>
    </w:p>
    <w:p w:rsidR="00000000" w:rsidRDefault="00000000">
      <w:pPr>
        <w:spacing w:after="80"/>
        <w:rPr>
          <w:b/>
        </w:rPr>
      </w:pPr>
      <w:r>
        <w:rPr>
          <w:b/>
        </w:rPr>
        <w:t>Таблица 2.9. Мигранты, переезжающие на южное побережье, в разбивке по департаменту происхо</w:t>
      </w:r>
      <w:r>
        <w:rPr>
          <w:b/>
        </w:rPr>
        <w:t>ж</w:t>
      </w:r>
      <w:r>
        <w:rPr>
          <w:b/>
        </w:rPr>
        <w:t>д</w:t>
      </w:r>
      <w:r>
        <w:rPr>
          <w:b/>
        </w:rPr>
        <w:t>е</w:t>
      </w:r>
      <w:r>
        <w:rPr>
          <w:b/>
        </w:rPr>
        <w:t>ния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600"/>
      </w:tblGrid>
      <w:tr w:rsidR="00000000">
        <w:tblPrEx>
          <w:tblCellMar>
            <w:top w:w="0" w:type="dxa"/>
            <w:bottom w:w="0" w:type="dxa"/>
          </w:tblCellMar>
        </w:tblPrEx>
        <w:tc>
          <w:tcPr>
            <w:tcW w:w="3600" w:type="dxa"/>
          </w:tcPr>
          <w:p w:rsidR="00000000" w:rsidRDefault="00000000">
            <w:pPr>
              <w:spacing w:after="80"/>
              <w:jc w:val="center"/>
            </w:pPr>
            <w:r>
              <w:t>Департамент</w:t>
            </w:r>
          </w:p>
        </w:tc>
        <w:tc>
          <w:tcPr>
            <w:tcW w:w="3600" w:type="dxa"/>
          </w:tcPr>
          <w:p w:rsidR="00000000" w:rsidRDefault="00000000">
            <w:pPr>
              <w:spacing w:after="80"/>
              <w:jc w:val="center"/>
            </w:pPr>
            <w:r>
              <w:t>Мигранты, в процентах</w:t>
            </w:r>
          </w:p>
        </w:tc>
      </w:tr>
      <w:tr w:rsidR="00000000">
        <w:tblPrEx>
          <w:tblCellMar>
            <w:top w:w="0" w:type="dxa"/>
            <w:bottom w:w="0" w:type="dxa"/>
          </w:tblCellMar>
        </w:tblPrEx>
        <w:tc>
          <w:tcPr>
            <w:tcW w:w="3600" w:type="dxa"/>
          </w:tcPr>
          <w:p w:rsidR="00000000" w:rsidRDefault="00000000">
            <w:pPr>
              <w:spacing w:after="80"/>
            </w:pPr>
            <w:r>
              <w:t>Киче</w:t>
            </w:r>
          </w:p>
        </w:tc>
        <w:tc>
          <w:tcPr>
            <w:tcW w:w="3600" w:type="dxa"/>
          </w:tcPr>
          <w:p w:rsidR="00000000" w:rsidRDefault="00000000">
            <w:pPr>
              <w:spacing w:after="80"/>
              <w:jc w:val="center"/>
            </w:pPr>
            <w:r>
              <w:t>69,6</w:t>
            </w:r>
          </w:p>
        </w:tc>
      </w:tr>
      <w:tr w:rsidR="00000000">
        <w:tblPrEx>
          <w:tblCellMar>
            <w:top w:w="0" w:type="dxa"/>
            <w:bottom w:w="0" w:type="dxa"/>
          </w:tblCellMar>
        </w:tblPrEx>
        <w:tc>
          <w:tcPr>
            <w:tcW w:w="3600" w:type="dxa"/>
          </w:tcPr>
          <w:p w:rsidR="00000000" w:rsidRDefault="00000000">
            <w:pPr>
              <w:spacing w:after="80"/>
            </w:pPr>
            <w:r>
              <w:t>Баха Верапас</w:t>
            </w:r>
          </w:p>
        </w:tc>
        <w:tc>
          <w:tcPr>
            <w:tcW w:w="3600" w:type="dxa"/>
          </w:tcPr>
          <w:p w:rsidR="00000000" w:rsidRDefault="00000000">
            <w:pPr>
              <w:spacing w:after="80"/>
              <w:jc w:val="center"/>
            </w:pPr>
            <w:r>
              <w:t>9,7</w:t>
            </w:r>
          </w:p>
        </w:tc>
      </w:tr>
      <w:tr w:rsidR="00000000">
        <w:tblPrEx>
          <w:tblCellMar>
            <w:top w:w="0" w:type="dxa"/>
            <w:bottom w:w="0" w:type="dxa"/>
          </w:tblCellMar>
        </w:tblPrEx>
        <w:tc>
          <w:tcPr>
            <w:tcW w:w="3600" w:type="dxa"/>
          </w:tcPr>
          <w:p w:rsidR="00000000" w:rsidRDefault="00000000">
            <w:pPr>
              <w:spacing w:after="80"/>
            </w:pPr>
            <w:r>
              <w:t>Чималтенанго</w:t>
            </w:r>
          </w:p>
        </w:tc>
        <w:tc>
          <w:tcPr>
            <w:tcW w:w="3600" w:type="dxa"/>
          </w:tcPr>
          <w:p w:rsidR="00000000" w:rsidRDefault="00000000">
            <w:pPr>
              <w:spacing w:after="80"/>
              <w:jc w:val="center"/>
            </w:pPr>
            <w:r>
              <w:t>3,0</w:t>
            </w:r>
          </w:p>
        </w:tc>
      </w:tr>
      <w:tr w:rsidR="00000000">
        <w:tblPrEx>
          <w:tblCellMar>
            <w:top w:w="0" w:type="dxa"/>
            <w:bottom w:w="0" w:type="dxa"/>
          </w:tblCellMar>
        </w:tblPrEx>
        <w:tc>
          <w:tcPr>
            <w:tcW w:w="3600" w:type="dxa"/>
          </w:tcPr>
          <w:p w:rsidR="00000000" w:rsidRDefault="00000000">
            <w:pPr>
              <w:spacing w:after="80"/>
            </w:pPr>
            <w:r>
              <w:t>Сакатепекес</w:t>
            </w:r>
          </w:p>
        </w:tc>
        <w:tc>
          <w:tcPr>
            <w:tcW w:w="3600" w:type="dxa"/>
          </w:tcPr>
          <w:p w:rsidR="00000000" w:rsidRDefault="00000000">
            <w:pPr>
              <w:spacing w:after="80"/>
              <w:jc w:val="center"/>
            </w:pPr>
            <w:r>
              <w:t>2,5</w:t>
            </w:r>
          </w:p>
        </w:tc>
      </w:tr>
      <w:tr w:rsidR="00000000">
        <w:tblPrEx>
          <w:tblCellMar>
            <w:top w:w="0" w:type="dxa"/>
            <w:bottom w:w="0" w:type="dxa"/>
          </w:tblCellMar>
        </w:tblPrEx>
        <w:tc>
          <w:tcPr>
            <w:tcW w:w="3600" w:type="dxa"/>
          </w:tcPr>
          <w:p w:rsidR="00000000" w:rsidRDefault="00000000">
            <w:pPr>
              <w:spacing w:after="80"/>
            </w:pPr>
            <w:r>
              <w:t>Сучитепекес</w:t>
            </w:r>
          </w:p>
        </w:tc>
        <w:tc>
          <w:tcPr>
            <w:tcW w:w="3600" w:type="dxa"/>
          </w:tcPr>
          <w:p w:rsidR="00000000" w:rsidRDefault="00000000">
            <w:pPr>
              <w:spacing w:after="80"/>
              <w:jc w:val="center"/>
            </w:pPr>
            <w:r>
              <w:t>2,5</w:t>
            </w:r>
          </w:p>
        </w:tc>
      </w:tr>
      <w:tr w:rsidR="00000000">
        <w:tblPrEx>
          <w:tblCellMar>
            <w:top w:w="0" w:type="dxa"/>
            <w:bottom w:w="0" w:type="dxa"/>
          </w:tblCellMar>
        </w:tblPrEx>
        <w:tc>
          <w:tcPr>
            <w:tcW w:w="3600" w:type="dxa"/>
          </w:tcPr>
          <w:p w:rsidR="00000000" w:rsidRDefault="00000000">
            <w:pPr>
              <w:spacing w:after="80"/>
            </w:pPr>
            <w:r>
              <w:t>Тотоникапан</w:t>
            </w:r>
          </w:p>
        </w:tc>
        <w:tc>
          <w:tcPr>
            <w:tcW w:w="3600" w:type="dxa"/>
          </w:tcPr>
          <w:p w:rsidR="00000000" w:rsidRDefault="00000000">
            <w:pPr>
              <w:spacing w:after="80"/>
              <w:jc w:val="center"/>
            </w:pPr>
            <w:r>
              <w:t>1,7</w:t>
            </w:r>
          </w:p>
        </w:tc>
      </w:tr>
      <w:tr w:rsidR="00000000">
        <w:tblPrEx>
          <w:tblCellMar>
            <w:top w:w="0" w:type="dxa"/>
            <w:bottom w:w="0" w:type="dxa"/>
          </w:tblCellMar>
        </w:tblPrEx>
        <w:tc>
          <w:tcPr>
            <w:tcW w:w="3600" w:type="dxa"/>
          </w:tcPr>
          <w:p w:rsidR="00000000" w:rsidRDefault="00000000">
            <w:pPr>
              <w:spacing w:after="80"/>
            </w:pPr>
            <w:r>
              <w:t>Сан Маркос</w:t>
            </w:r>
          </w:p>
        </w:tc>
        <w:tc>
          <w:tcPr>
            <w:tcW w:w="3600" w:type="dxa"/>
          </w:tcPr>
          <w:p w:rsidR="00000000" w:rsidRDefault="00000000">
            <w:pPr>
              <w:spacing w:after="80"/>
              <w:jc w:val="center"/>
            </w:pPr>
            <w:r>
              <w:t>1,7</w:t>
            </w:r>
          </w:p>
        </w:tc>
      </w:tr>
      <w:tr w:rsidR="00000000">
        <w:tblPrEx>
          <w:tblCellMar>
            <w:top w:w="0" w:type="dxa"/>
            <w:bottom w:w="0" w:type="dxa"/>
          </w:tblCellMar>
        </w:tblPrEx>
        <w:tc>
          <w:tcPr>
            <w:tcW w:w="3600" w:type="dxa"/>
          </w:tcPr>
          <w:p w:rsidR="00000000" w:rsidRDefault="00000000">
            <w:pPr>
              <w:spacing w:after="80"/>
            </w:pPr>
            <w:r>
              <w:t>Уэуэтенанго</w:t>
            </w:r>
          </w:p>
        </w:tc>
        <w:tc>
          <w:tcPr>
            <w:tcW w:w="3600" w:type="dxa"/>
          </w:tcPr>
          <w:p w:rsidR="00000000" w:rsidRDefault="00000000">
            <w:pPr>
              <w:spacing w:after="80"/>
              <w:jc w:val="center"/>
            </w:pPr>
            <w:r>
              <w:t>1,3</w:t>
            </w:r>
          </w:p>
        </w:tc>
      </w:tr>
      <w:tr w:rsidR="00000000">
        <w:tblPrEx>
          <w:tblCellMar>
            <w:top w:w="0" w:type="dxa"/>
            <w:bottom w:w="0" w:type="dxa"/>
          </w:tblCellMar>
        </w:tblPrEx>
        <w:tc>
          <w:tcPr>
            <w:tcW w:w="3600" w:type="dxa"/>
          </w:tcPr>
          <w:p w:rsidR="00000000" w:rsidRDefault="00000000">
            <w:pPr>
              <w:spacing w:after="80"/>
            </w:pPr>
            <w:r>
              <w:t>Кетсалтенанго</w:t>
            </w:r>
          </w:p>
        </w:tc>
        <w:tc>
          <w:tcPr>
            <w:tcW w:w="3600" w:type="dxa"/>
          </w:tcPr>
          <w:p w:rsidR="00000000" w:rsidRDefault="00000000">
            <w:pPr>
              <w:spacing w:after="80"/>
              <w:jc w:val="center"/>
            </w:pPr>
            <w:r>
              <w:t>1,3</w:t>
            </w:r>
          </w:p>
        </w:tc>
      </w:tr>
      <w:tr w:rsidR="00000000">
        <w:tblPrEx>
          <w:tblCellMar>
            <w:top w:w="0" w:type="dxa"/>
            <w:bottom w:w="0" w:type="dxa"/>
          </w:tblCellMar>
        </w:tblPrEx>
        <w:tc>
          <w:tcPr>
            <w:tcW w:w="3600" w:type="dxa"/>
          </w:tcPr>
          <w:p w:rsidR="00000000" w:rsidRDefault="00000000">
            <w:pPr>
              <w:spacing w:after="80"/>
            </w:pPr>
            <w:r>
              <w:t>9 других округов</w:t>
            </w:r>
          </w:p>
        </w:tc>
        <w:tc>
          <w:tcPr>
            <w:tcW w:w="3600" w:type="dxa"/>
          </w:tcPr>
          <w:p w:rsidR="00000000" w:rsidRDefault="00000000">
            <w:pPr>
              <w:spacing w:after="80"/>
              <w:jc w:val="center"/>
            </w:pPr>
            <w:r>
              <w:t>4,0</w:t>
            </w:r>
          </w:p>
        </w:tc>
      </w:tr>
      <w:tr w:rsidR="00000000">
        <w:tblPrEx>
          <w:tblCellMar>
            <w:top w:w="0" w:type="dxa"/>
            <w:bottom w:w="0" w:type="dxa"/>
          </w:tblCellMar>
        </w:tblPrEx>
        <w:tc>
          <w:tcPr>
            <w:tcW w:w="3600" w:type="dxa"/>
          </w:tcPr>
          <w:p w:rsidR="00000000" w:rsidRDefault="00000000">
            <w:pPr>
              <w:spacing w:after="80"/>
            </w:pPr>
            <w:r>
              <w:t>Сведения отсутствуют</w:t>
            </w:r>
          </w:p>
        </w:tc>
        <w:tc>
          <w:tcPr>
            <w:tcW w:w="3600" w:type="dxa"/>
          </w:tcPr>
          <w:p w:rsidR="00000000" w:rsidRDefault="00000000">
            <w:pPr>
              <w:spacing w:after="80"/>
              <w:jc w:val="center"/>
            </w:pPr>
            <w:r>
              <w:t>2,7</w:t>
            </w:r>
          </w:p>
        </w:tc>
      </w:tr>
    </w:tbl>
    <w:p w:rsidR="00000000" w:rsidRDefault="00000000">
      <w:pPr>
        <w:spacing w:after="80"/>
        <w:ind w:firstLine="720"/>
      </w:pPr>
      <w:r>
        <w:rPr>
          <w:i/>
        </w:rPr>
        <w:t>Источник</w:t>
      </w:r>
      <w:r>
        <w:t>: Министерство здравоохранения и социальной помощи; Гватемальский институт соц</w:t>
      </w:r>
      <w:r>
        <w:t>и</w:t>
      </w:r>
      <w:r>
        <w:t>ального обеспечения; ПАОЗ/ВОЗ (1998: 66).</w:t>
      </w:r>
    </w:p>
    <w:p w:rsidR="00000000" w:rsidRDefault="00000000">
      <w:pPr>
        <w:pStyle w:val="DualTxt"/>
        <w:tabs>
          <w:tab w:val="clear" w:pos="480"/>
          <w:tab w:val="clear" w:pos="960"/>
          <w:tab w:val="left" w:pos="475"/>
          <w:tab w:val="left" w:pos="965"/>
        </w:tabs>
        <w:spacing w:after="0" w:line="120" w:lineRule="exact"/>
        <w:rPr>
          <w:sz w:val="10"/>
        </w:rPr>
      </w:pPr>
      <w:r>
        <w:br w:type="page"/>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H23"/>
      </w:pPr>
      <w:r>
        <w:t>3.</w:t>
      </w:r>
      <w:r>
        <w:tab/>
        <w:t>Диаграммы</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spacing w:after="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0;margin-top:0;width:406.5pt;height:203.2pt;z-index:1;mso-position-horizontal:absolute;mso-position-horizontal-relative:text;mso-position-vertical:absolute;mso-position-vertical-relative:text" o:allowincell="f">
            <v:imagedata r:id="rId14" o:title=""/>
            <w10:wrap type="topAndBottom"/>
          </v:shape>
          <o:OLEObject Type="Embed" ProgID="MSGraph.Chart.8" ShapeID="_x0000_s2061" DrawAspect="Content" ObjectID="_1444041863" r:id="rId15">
            <o:FieldCodes>\s</o:FieldCodes>
          </o:OLEObject>
        </w:pict>
      </w:r>
      <w:r>
        <w:tab/>
      </w:r>
      <w:r>
        <w:rPr>
          <w:i/>
        </w:rPr>
        <w:t>Источник</w:t>
      </w:r>
      <w:r>
        <w:t>: НИС, Сведения о доходах-расходах семей, 1998-1999 годы.</w:t>
      </w:r>
    </w:p>
    <w:p w:rsidR="00000000" w:rsidRDefault="00000000">
      <w:pPr>
        <w:spacing w:after="120"/>
      </w:pPr>
      <w:r>
        <w:pict>
          <v:shape id="_x0000_s2062" type="#_x0000_t75" style="position:absolute;margin-left:0;margin-top:20pt;width:355.5pt;height:2in;z-index:2;mso-position-horizontal:absolute;mso-position-horizontal-relative:text;mso-position-vertical:absolute;mso-position-vertical-relative:text" o:allowincell="f">
            <v:imagedata r:id="rId16" o:title=""/>
            <w10:wrap type="topAndBottom"/>
          </v:shape>
          <o:OLEObject Type="Embed" ProgID="MSGraph.Chart.8" ShapeID="_x0000_s2062" DrawAspect="Content" ObjectID="_1444041862" r:id="rId17">
            <o:FieldCodes>\s</o:FieldCodes>
          </o:OLEObject>
        </w:pict>
      </w:r>
    </w:p>
    <w:p w:rsidR="00000000" w:rsidRDefault="00000000">
      <w:pPr>
        <w:spacing w:after="120"/>
      </w:pPr>
      <w:r>
        <w:tab/>
      </w:r>
      <w:r>
        <w:rPr>
          <w:i/>
        </w:rPr>
        <w:t>Источник</w:t>
      </w:r>
      <w:r>
        <w:t>: Департамент финансово-кредитного экономического анализа.</w:t>
      </w:r>
    </w:p>
    <w:p w:rsidR="00000000" w:rsidRDefault="00000000">
      <w:pPr>
        <w:spacing w:after="120"/>
      </w:pPr>
    </w:p>
    <w:p w:rsidR="00000000" w:rsidRDefault="00000000">
      <w:pPr>
        <w:spacing w:after="120"/>
        <w:jc w:val="center"/>
        <w:rPr>
          <w:b/>
        </w:rPr>
      </w:pPr>
      <w:r>
        <w:rPr>
          <w:b/>
        </w:rPr>
        <w:br w:type="page"/>
        <w:t>Программы жилищного строительства для перемещенных и демобилизованных групп населения</w:t>
      </w:r>
    </w:p>
    <w:tbl>
      <w:tblPr>
        <w:tblW w:w="0" w:type="auto"/>
        <w:tblInd w:w="992" w:type="dxa"/>
        <w:tblLayout w:type="fixed"/>
        <w:tblLook w:val="0000" w:firstRow="0" w:lastRow="0" w:firstColumn="0" w:lastColumn="0" w:noHBand="0" w:noVBand="0"/>
      </w:tblPr>
      <w:tblGrid>
        <w:gridCol w:w="3888"/>
        <w:gridCol w:w="1872"/>
        <w:gridCol w:w="1872"/>
      </w:tblGrid>
      <w:tr w:rsidR="00000000">
        <w:tblPrEx>
          <w:tblCellMar>
            <w:top w:w="0" w:type="dxa"/>
            <w:bottom w:w="0" w:type="dxa"/>
          </w:tblCellMar>
        </w:tblPrEx>
        <w:tc>
          <w:tcPr>
            <w:tcW w:w="3888" w:type="dxa"/>
          </w:tcPr>
          <w:p w:rsidR="00000000" w:rsidRDefault="00000000">
            <w:pPr>
              <w:spacing w:after="120"/>
              <w:jc w:val="center"/>
            </w:pPr>
          </w:p>
        </w:tc>
        <w:tc>
          <w:tcPr>
            <w:tcW w:w="1872" w:type="dxa"/>
          </w:tcPr>
          <w:p w:rsidR="00000000" w:rsidRDefault="00000000">
            <w:pPr>
              <w:spacing w:after="120"/>
              <w:jc w:val="center"/>
            </w:pPr>
            <w:r>
              <w:t>Кол-во</w:t>
            </w:r>
          </w:p>
        </w:tc>
        <w:tc>
          <w:tcPr>
            <w:tcW w:w="1872" w:type="dxa"/>
          </w:tcPr>
          <w:p w:rsidR="00000000" w:rsidRDefault="00000000">
            <w:pPr>
              <w:spacing w:after="120"/>
              <w:jc w:val="center"/>
            </w:pPr>
            <w:r>
              <w:t>В процентах</w:t>
            </w:r>
          </w:p>
        </w:tc>
      </w:tr>
      <w:tr w:rsidR="00000000">
        <w:tblPrEx>
          <w:tblCellMar>
            <w:top w:w="0" w:type="dxa"/>
            <w:bottom w:w="0" w:type="dxa"/>
          </w:tblCellMar>
        </w:tblPrEx>
        <w:tc>
          <w:tcPr>
            <w:tcW w:w="3888" w:type="dxa"/>
          </w:tcPr>
          <w:p w:rsidR="00000000" w:rsidRDefault="00000000">
            <w:pPr>
              <w:spacing w:after="120"/>
            </w:pPr>
            <w:r>
              <w:t>Количество предоставленных су</w:t>
            </w:r>
            <w:r>
              <w:t>б</w:t>
            </w:r>
            <w:r>
              <w:t>сидий</w:t>
            </w:r>
          </w:p>
        </w:tc>
        <w:tc>
          <w:tcPr>
            <w:tcW w:w="1872" w:type="dxa"/>
          </w:tcPr>
          <w:p w:rsidR="00000000" w:rsidRDefault="00000000">
            <w:pPr>
              <w:spacing w:after="120"/>
              <w:jc w:val="center"/>
            </w:pPr>
            <w:r>
              <w:t>5748</w:t>
            </w:r>
          </w:p>
        </w:tc>
        <w:tc>
          <w:tcPr>
            <w:tcW w:w="1872" w:type="dxa"/>
          </w:tcPr>
          <w:p w:rsidR="00000000" w:rsidRDefault="00000000">
            <w:pPr>
              <w:spacing w:after="120"/>
              <w:jc w:val="center"/>
            </w:pPr>
            <w:r>
              <w:t>100</w:t>
            </w:r>
          </w:p>
        </w:tc>
      </w:tr>
      <w:tr w:rsidR="00000000">
        <w:tblPrEx>
          <w:tblCellMar>
            <w:top w:w="0" w:type="dxa"/>
            <w:bottom w:w="0" w:type="dxa"/>
          </w:tblCellMar>
        </w:tblPrEx>
        <w:tc>
          <w:tcPr>
            <w:tcW w:w="3888" w:type="dxa"/>
          </w:tcPr>
          <w:p w:rsidR="00000000" w:rsidRDefault="00000000">
            <w:pPr>
              <w:spacing w:after="120"/>
            </w:pPr>
            <w:r>
              <w:t>Количество субсидий, предоставленных же</w:t>
            </w:r>
            <w:r>
              <w:t>н</w:t>
            </w:r>
            <w:r>
              <w:t>щинам</w:t>
            </w:r>
          </w:p>
        </w:tc>
        <w:tc>
          <w:tcPr>
            <w:tcW w:w="1872" w:type="dxa"/>
          </w:tcPr>
          <w:p w:rsidR="00000000" w:rsidRDefault="00000000">
            <w:pPr>
              <w:spacing w:after="120"/>
              <w:jc w:val="center"/>
            </w:pPr>
            <w:r>
              <w:t>629</w:t>
            </w:r>
          </w:p>
        </w:tc>
        <w:tc>
          <w:tcPr>
            <w:tcW w:w="1872" w:type="dxa"/>
          </w:tcPr>
          <w:p w:rsidR="00000000" w:rsidRDefault="00000000">
            <w:pPr>
              <w:spacing w:after="120"/>
              <w:jc w:val="center"/>
            </w:pPr>
            <w:r>
              <w:t>11</w:t>
            </w:r>
          </w:p>
        </w:tc>
      </w:tr>
    </w:tbl>
    <w:p w:rsidR="00000000" w:rsidRDefault="00000000">
      <w:pPr>
        <w:spacing w:after="120"/>
      </w:pPr>
    </w:p>
    <w:p w:rsidR="00000000" w:rsidRDefault="00000000">
      <w:pPr>
        <w:spacing w:after="120"/>
      </w:pPr>
    </w:p>
    <w:p w:rsidR="00000000" w:rsidRDefault="00000000">
      <w:pPr>
        <w:spacing w:after="120"/>
      </w:pPr>
      <w:r>
        <w:pict>
          <v:shape id="_x0000_s2063" type="#_x0000_t75" style="position:absolute;margin-left:0;margin-top:0;width:336.75pt;height:141pt;z-index:3;mso-position-horizontal:absolute;mso-position-horizontal-relative:text;mso-position-vertical:absolute;mso-position-vertical-relative:text" o:allowincell="f">
            <v:imagedata r:id="rId18" o:title=""/>
            <w10:wrap type="topAndBottom"/>
          </v:shape>
          <o:OLEObject Type="Embed" ProgID="MSGraph.Chart.8" ShapeID="_x0000_s2063" DrawAspect="Content" ObjectID="_1444041864" r:id="rId19">
            <o:FieldCodes>\s</o:FieldCodes>
          </o:OLEObject>
        </w:pict>
      </w:r>
    </w:p>
    <w:p w:rsidR="00000000" w:rsidRDefault="00000000">
      <w:pPr>
        <w:spacing w:after="120"/>
      </w:pPr>
      <w:r>
        <w:pict>
          <v:shape id="_x0000_s2064" type="#_x0000_t75" style="position:absolute;margin-left:5.05pt;margin-top:16.7pt;width:336.75pt;height:141pt;z-index:4;mso-position-horizontal:absolute;mso-position-horizontal-relative:text;mso-position-vertical:absolute;mso-position-vertical-relative:text" o:allowincell="f">
            <v:imagedata r:id="rId20" o:title=""/>
            <w10:wrap type="topAndBottom"/>
          </v:shape>
          <o:OLEObject Type="Embed" ProgID="MSGraph.Chart.8" ShapeID="_x0000_s2064" DrawAspect="Content" ObjectID="_1444041861" r:id="rId21">
            <o:FieldCodes>\s</o:FieldCodes>
          </o:OLEObject>
        </w:pict>
      </w:r>
    </w:p>
    <w:p w:rsidR="00000000" w:rsidRDefault="00000000">
      <w:pPr>
        <w:spacing w:after="120"/>
      </w:pPr>
      <w:r>
        <w:t>Всего женщины = 1960</w:t>
      </w:r>
    </w:p>
    <w:p w:rsidR="00000000" w:rsidRDefault="00000000">
      <w:pPr>
        <w:spacing w:after="120"/>
      </w:pPr>
      <w:r>
        <w:t>Всего мужчины = 867</w:t>
      </w:r>
    </w:p>
    <w:p w:rsidR="00000000" w:rsidRDefault="00000000">
      <w:pPr>
        <w:tabs>
          <w:tab w:val="left" w:pos="475"/>
          <w:tab w:val="left" w:pos="965"/>
          <w:tab w:val="left" w:pos="1915"/>
          <w:tab w:val="left" w:pos="2405"/>
          <w:tab w:val="left" w:pos="2880"/>
          <w:tab w:val="left" w:pos="3355"/>
        </w:tabs>
        <w:spacing w:after="120"/>
      </w:pPr>
    </w:p>
    <w:p w:rsidR="00000000" w:rsidRDefault="00000000">
      <w:pPr>
        <w:tabs>
          <w:tab w:val="left" w:pos="475"/>
          <w:tab w:val="left" w:pos="965"/>
          <w:tab w:val="left" w:pos="1915"/>
          <w:tab w:val="left" w:pos="2405"/>
          <w:tab w:val="left" w:pos="2880"/>
          <w:tab w:val="left" w:pos="3355"/>
        </w:tabs>
        <w:spacing w:line="240" w:lineRule="auto"/>
      </w:pPr>
      <w:r>
        <w:rPr>
          <w:w w:val="100"/>
        </w:rPr>
        <w:pict>
          <v:line id="_x0000_s2069" style="position:absolute;z-index:5;mso-position-horizontal:absolute;mso-position-horizontal-relative:text;mso-position-vertical:absolute;mso-position-vertical-relative:text" from="210.25pt,30pt" to="282.25pt,30pt" o:allowincell="f" strokeweight=".25pt">
            <w10:wrap type="topAndBottom"/>
          </v:line>
        </w:pict>
      </w:r>
    </w:p>
    <w:sectPr w:rsidR="00000000">
      <w:headerReference w:type="first" r:id="rId22"/>
      <w:footerReference w:type="first" r:id="rId23"/>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231484</w:t>
      </w:r>
      <w:r>
        <w:t>R&lt;&lt;ODS JOB NO&gt;&gt;</w:t>
      </w:r>
    </w:p>
    <w:p w:rsidR="00000000" w:rsidRDefault="00000000">
      <w:pPr>
        <w:pStyle w:val="CommentText"/>
      </w:pPr>
      <w:r>
        <w:t>&lt;&lt;ODS DOC SYMBOL1&gt;&gt;CEDAW/C/GUA/5&lt;&lt;ODS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r>
            <w:fldChar w:fldCharType="begin"/>
          </w:r>
          <w:r>
            <w:instrText xml:space="preserve"> PAGE  \* MERGEFORMAT </w:instrText>
          </w:r>
          <w:r>
            <w:fldChar w:fldCharType="separate"/>
          </w:r>
          <w:r>
            <w:t>44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240" w:lineRule="exact"/>
    </w:pPr>
  </w:p>
  <w:p w:rsidR="00000000" w:rsidRDefault="00000000">
    <w:pPr>
      <w:pStyle w:val="Footer"/>
      <w:spacing w:line="240" w:lineRule="exact"/>
      <w:rPr>
        <w:b w:val="0"/>
        <w:sz w:val="20"/>
      </w:rPr>
    </w:pPr>
    <w:r>
      <w:rPr>
        <w:b w:val="0"/>
        <w:sz w:val="20"/>
      </w:rPr>
      <w:t>02-31484</w:t>
    </w:r>
    <w:r>
      <w:rPr>
        <w:b w:val="0"/>
        <w:noProof w:val="0"/>
        <w:sz w:val="20"/>
        <w:lang w:val="ru-RU"/>
      </w:rPr>
      <w:t xml:space="preserve"> </w:t>
    </w:r>
    <w:r>
      <w:rPr>
        <w:b w:val="0"/>
        <w:sz w:val="20"/>
      </w:rPr>
      <w:t>(R)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*0231484*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Pr>
          <w:lang w:val="en-US"/>
        </w:rPr>
        <w:tab/>
      </w:r>
      <w:r>
        <w:rPr>
          <w:sz w:val="18"/>
        </w:rPr>
        <w:t>Сводный первоначальный и второй доклад, представленный правительством Гватемалы, см. CEDAW/C/</w:t>
      </w:r>
      <w:r>
        <w:rPr>
          <w:sz w:val="18"/>
          <w:lang w:val="en-US"/>
        </w:rPr>
        <w:t xml:space="preserve">GUA/1-2 </w:t>
      </w:r>
      <w:r>
        <w:rPr>
          <w:sz w:val="18"/>
        </w:rPr>
        <w:t>и CEDAW/C/</w:t>
      </w:r>
      <w:r>
        <w:rPr>
          <w:sz w:val="18"/>
          <w:lang w:val="en-US"/>
        </w:rPr>
        <w:t>GUA/1-2/Amend.1</w:t>
      </w:r>
      <w:r>
        <w:rPr>
          <w:sz w:val="18"/>
        </w:rPr>
        <w:t>, рассмотрен Комитетом на его тринадцатой сессии. Сводный третий и четвертый периодический доклад, представленный правительством Гватемалы, см. CEDAW/C/</w:t>
      </w:r>
      <w:r>
        <w:rPr>
          <w:sz w:val="18"/>
          <w:lang w:val="en-US"/>
        </w:rPr>
        <w:t>GUA</w:t>
      </w:r>
      <w:r>
        <w:rPr>
          <w:sz w:val="18"/>
        </w:rPr>
        <w:t>/3-4.</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tab/>
        <w:t>Документы находятся в Секретариате, куда можно обратиться за справкой.</w:t>
      </w:r>
    </w:p>
  </w:footnote>
  <w:footnote w:id="3">
    <w:p w:rsidR="00000000" w:rsidRDefault="00000000">
      <w:pPr>
        <w:pStyle w:val="a0"/>
        <w:tabs>
          <w:tab w:val="right" w:pos="1195"/>
          <w:tab w:val="left" w:pos="1267"/>
          <w:tab w:val="left" w:pos="1742"/>
          <w:tab w:val="left" w:pos="2218"/>
          <w:tab w:val="left" w:pos="2693"/>
        </w:tabs>
        <w:ind w:left="1267" w:right="1260" w:hanging="432"/>
        <w:rPr>
          <w:sz w:val="18"/>
        </w:rPr>
      </w:pPr>
      <w:r>
        <w:rPr>
          <w:rStyle w:val="a"/>
          <w:sz w:val="18"/>
        </w:rPr>
        <w:tab/>
        <w:t>1</w:t>
      </w:r>
      <w:r>
        <w:rPr>
          <w:sz w:val="18"/>
        </w:rPr>
        <w:tab/>
        <w:t>Закон о социальном развитии</w:t>
      </w:r>
      <w:r>
        <w:rPr>
          <w:sz w:val="18"/>
          <w:lang w:val="en-US"/>
        </w:rPr>
        <w:t>,</w:t>
      </w:r>
      <w:r>
        <w:rPr>
          <w:sz w:val="18"/>
        </w:rPr>
        <w:t xml:space="preserve"> глава </w:t>
      </w:r>
      <w:r>
        <w:rPr>
          <w:sz w:val="18"/>
          <w:lang w:val="en-US"/>
        </w:rPr>
        <w:t xml:space="preserve">III, </w:t>
      </w:r>
      <w:r>
        <w:rPr>
          <w:sz w:val="18"/>
        </w:rPr>
        <w:t>ст. 10</w:t>
      </w:r>
      <w:r>
        <w:rPr>
          <w:sz w:val="18"/>
          <w:lang w:val="en-US"/>
        </w:rPr>
        <w:t>,</w:t>
      </w:r>
      <w:r>
        <w:rPr>
          <w:sz w:val="18"/>
        </w:rPr>
        <w:t xml:space="preserve"> п.</w:t>
      </w:r>
      <w:r>
        <w:rPr>
          <w:sz w:val="18"/>
          <w:lang w:val="en-US"/>
        </w:rPr>
        <w:t xml:space="preserve"> </w:t>
      </w:r>
      <w:r>
        <w:rPr>
          <w:sz w:val="18"/>
        </w:rPr>
        <w:t>6</w:t>
      </w:r>
    </w:p>
  </w:footnote>
  <w:footnote w:id="4">
    <w:p w:rsidR="00000000" w:rsidRDefault="00000000">
      <w:pPr>
        <w:pStyle w:val="a0"/>
        <w:tabs>
          <w:tab w:val="right" w:pos="1195"/>
          <w:tab w:val="left" w:pos="1267"/>
          <w:tab w:val="left" w:pos="1742"/>
          <w:tab w:val="left" w:pos="2218"/>
          <w:tab w:val="left" w:pos="2693"/>
        </w:tabs>
        <w:ind w:left="1267" w:right="1260" w:hanging="432"/>
        <w:rPr>
          <w:sz w:val="18"/>
        </w:rPr>
      </w:pPr>
      <w:r>
        <w:rPr>
          <w:rStyle w:val="a"/>
          <w:sz w:val="18"/>
        </w:rPr>
        <w:tab/>
        <w:t>2</w:t>
      </w:r>
      <w:r>
        <w:rPr>
          <w:sz w:val="18"/>
        </w:rPr>
        <w:tab/>
        <w:t>ТВЕ включает также и  школьников вне установленных возрастных рамок</w:t>
      </w:r>
      <w:r>
        <w:rPr>
          <w:sz w:val="18"/>
          <w:lang w:val="en-US"/>
        </w:rPr>
        <w:t xml:space="preserve">, а TNE — </w:t>
      </w:r>
      <w:r>
        <w:rPr>
          <w:sz w:val="18"/>
        </w:rPr>
        <w:t>только в пределах указанных возра</w:t>
      </w:r>
      <w:r>
        <w:rPr>
          <w:sz w:val="18"/>
        </w:rPr>
        <w:t>с</w:t>
      </w:r>
      <w:r>
        <w:rPr>
          <w:sz w:val="18"/>
        </w:rPr>
        <w:t>тов.</w:t>
      </w:r>
    </w:p>
  </w:footnote>
  <w:footnote w:id="5">
    <w:p w:rsidR="00000000" w:rsidRDefault="00000000">
      <w:pPr>
        <w:pStyle w:val="a0"/>
        <w:tabs>
          <w:tab w:val="right" w:pos="1195"/>
          <w:tab w:val="left" w:pos="1267"/>
          <w:tab w:val="left" w:pos="1742"/>
          <w:tab w:val="left" w:pos="2218"/>
          <w:tab w:val="left" w:pos="2693"/>
        </w:tabs>
        <w:ind w:left="1267" w:right="1260" w:hanging="432"/>
        <w:rPr>
          <w:sz w:val="18"/>
        </w:rPr>
      </w:pPr>
      <w:r>
        <w:rPr>
          <w:rStyle w:val="a"/>
          <w:sz w:val="18"/>
        </w:rPr>
        <w:tab/>
        <w:t>3</w:t>
      </w:r>
      <w:r>
        <w:rPr>
          <w:sz w:val="18"/>
        </w:rPr>
        <w:tab/>
        <w:t>По предложению СЕГЕПЛАН в июле 2000 года был  подготовлен проект политических мер</w:t>
      </w:r>
      <w:r>
        <w:rPr>
          <w:sz w:val="18"/>
          <w:lang w:val="en-US"/>
        </w:rPr>
        <w:t xml:space="preserve">, содержащийся в документе </w:t>
      </w:r>
      <w:r>
        <w:rPr>
          <w:sz w:val="18"/>
          <w:lang/>
        </w:rPr>
        <w:t>«</w:t>
      </w:r>
      <w:r>
        <w:rPr>
          <w:sz w:val="18"/>
          <w:lang w:val="en-US"/>
        </w:rPr>
        <w:t>Стратегия по борьбе с нищетой</w:t>
      </w:r>
      <w:r>
        <w:rPr>
          <w:sz w:val="18"/>
          <w:lang/>
        </w:rPr>
        <w:t>»</w:t>
      </w:r>
      <w:r>
        <w:rPr>
          <w:sz w:val="18"/>
          <w:lang w:val="en-US"/>
        </w:rPr>
        <w:t>.</w:t>
      </w:r>
    </w:p>
  </w:footnote>
  <w:footnote w:id="6">
    <w:p w:rsidR="00000000" w:rsidRDefault="00000000">
      <w:pPr>
        <w:pStyle w:val="a0"/>
        <w:tabs>
          <w:tab w:val="right" w:pos="1195"/>
          <w:tab w:val="left" w:pos="1267"/>
          <w:tab w:val="left" w:pos="1742"/>
          <w:tab w:val="left" w:pos="2218"/>
          <w:tab w:val="left" w:pos="2693"/>
        </w:tabs>
        <w:ind w:left="1267" w:right="1260" w:hanging="432"/>
        <w:rPr>
          <w:sz w:val="18"/>
        </w:rPr>
      </w:pPr>
      <w:r>
        <w:rPr>
          <w:rStyle w:val="a"/>
          <w:sz w:val="18"/>
        </w:rPr>
        <w:tab/>
        <w:t>4</w:t>
      </w:r>
      <w:r>
        <w:rPr>
          <w:sz w:val="18"/>
        </w:rPr>
        <w:tab/>
        <w:t>Источник: доклад Министерства здравоохранения и социальной помощи - М</w:t>
      </w:r>
      <w:r>
        <w:rPr>
          <w:sz w:val="18"/>
          <w:lang w:val="en-US"/>
        </w:rPr>
        <w:t>C</w:t>
      </w:r>
      <w:r>
        <w:rPr>
          <w:sz w:val="18"/>
        </w:rPr>
        <w:t>ПАС.</w:t>
      </w:r>
    </w:p>
  </w:footnote>
  <w:footnote w:id="7">
    <w:p w:rsidR="00000000" w:rsidRDefault="00000000">
      <w:pPr>
        <w:pStyle w:val="a0"/>
        <w:tabs>
          <w:tab w:val="right" w:pos="1195"/>
          <w:tab w:val="left" w:pos="1267"/>
          <w:tab w:val="left" w:pos="1742"/>
          <w:tab w:val="left" w:pos="2218"/>
          <w:tab w:val="left" w:pos="2693"/>
        </w:tabs>
        <w:ind w:left="1267" w:right="1260" w:hanging="432"/>
        <w:rPr>
          <w:sz w:val="18"/>
        </w:rPr>
      </w:pPr>
      <w:r>
        <w:rPr>
          <w:rStyle w:val="a"/>
          <w:sz w:val="18"/>
        </w:rPr>
        <w:tab/>
        <w:t>5</w:t>
      </w:r>
      <w:r>
        <w:rPr>
          <w:sz w:val="18"/>
        </w:rPr>
        <w:tab/>
        <w:t>Министерство здравоохранения и социальной помощи</w:t>
      </w:r>
      <w:r>
        <w:rPr>
          <w:sz w:val="18"/>
          <w:lang w:val="en-US"/>
        </w:rPr>
        <w:t xml:space="preserve">, </w:t>
      </w:r>
      <w:r>
        <w:rPr>
          <w:sz w:val="18"/>
        </w:rPr>
        <w:t>доклад для представления в Секрет</w:t>
      </w:r>
      <w:r>
        <w:rPr>
          <w:sz w:val="18"/>
        </w:rPr>
        <w:t>а</w:t>
      </w:r>
      <w:r>
        <w:rPr>
          <w:sz w:val="18"/>
        </w:rPr>
        <w:t>риат по делам женщин.</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6</w:t>
      </w:r>
      <w:r>
        <w:tab/>
        <w:t>Там же.</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7</w:t>
      </w:r>
      <w:r>
        <w:tab/>
        <w:t>Главное управление здравоохранения, Министерство здравоохранения и социальной помощи.</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8</w:t>
      </w:r>
      <w:r>
        <w:tab/>
        <w:t>Доклад СОСЕП, 2001 года.</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9</w:t>
      </w:r>
      <w:r>
        <w:tab/>
        <w:t>Последняя перепись населения была проведена в 1994 году.</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10</w:t>
      </w:r>
      <w:r>
        <w:tab/>
        <w:t>ПРООН, «Составляющая развития человеческого потенциала», Гватемала, 2000 год.</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11</w:t>
      </w:r>
      <w:r>
        <w:tab/>
        <w:t>Доклад Министерства сельского хозяйства, животноводства и пищевой промышленности (МАГА).</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 xml:space="preserve"> </w:t>
      </w:r>
      <w:r>
        <w:tab/>
      </w:r>
      <w:r>
        <w:rPr>
          <w:rStyle w:val="FootnoteReference"/>
        </w:rPr>
        <w:t>12</w:t>
      </w:r>
      <w:r>
        <w:tab/>
      </w:r>
      <w:r>
        <w:rPr>
          <w:lang w:val="en-US"/>
        </w:rPr>
        <w:t>“Guatemama: el rostro rural des desarrollo humano”.</w:t>
      </w:r>
      <w:r>
        <w:t xml:space="preserve"> Издание 1999 года, система Организации Объединенных Наций в Гватемале.</w:t>
      </w:r>
    </w:p>
  </w:footnote>
  <w:footnote w:id="15">
    <w:p w:rsidR="00000000" w:rsidRDefault="00000000">
      <w:pPr>
        <w:pStyle w:val="a0"/>
        <w:tabs>
          <w:tab w:val="right" w:pos="1195"/>
          <w:tab w:val="left" w:pos="1267"/>
          <w:tab w:val="left" w:pos="1742"/>
          <w:tab w:val="left" w:pos="2218"/>
          <w:tab w:val="left" w:pos="2693"/>
        </w:tabs>
        <w:ind w:left="1267" w:right="1260" w:hanging="432"/>
        <w:rPr>
          <w:sz w:val="18"/>
        </w:rPr>
      </w:pPr>
      <w:r>
        <w:rPr>
          <w:rStyle w:val="a"/>
          <w:sz w:val="18"/>
        </w:rPr>
        <w:tab/>
        <w:t>13</w:t>
      </w:r>
      <w:r>
        <w:rPr>
          <w:sz w:val="18"/>
        </w:rPr>
        <w:tab/>
        <w:t>Верховная избирательная комиссия.</w:t>
      </w:r>
    </w:p>
  </w:footnote>
  <w:footnote w:id="16">
    <w:p w:rsidR="00000000" w:rsidRDefault="00000000">
      <w:pPr>
        <w:pStyle w:val="a0"/>
        <w:tabs>
          <w:tab w:val="right" w:pos="1195"/>
          <w:tab w:val="left" w:pos="1267"/>
          <w:tab w:val="left" w:pos="1742"/>
          <w:tab w:val="left" w:pos="2218"/>
          <w:tab w:val="left" w:pos="2693"/>
        </w:tabs>
        <w:ind w:left="1267" w:right="1260" w:hanging="432"/>
        <w:rPr>
          <w:sz w:val="18"/>
        </w:rPr>
      </w:pPr>
      <w:r>
        <w:rPr>
          <w:rStyle w:val="a"/>
          <w:sz w:val="18"/>
        </w:rPr>
        <w:tab/>
        <w:t>14</w:t>
      </w:r>
      <w:r>
        <w:rPr>
          <w:sz w:val="18"/>
        </w:rPr>
        <w:tab/>
        <w:t>Министерство труда и социального обеспечения.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CEDAW/C/GUA/5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CEDAW/C/GUA/5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/C/GUA/5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pPr>
            <w:rPr>
              <w:lang w:val="en-US"/>
            </w:rPr>
          </w:pPr>
          <w:r>
            <w:rPr>
              <w:lang w:val="en-US"/>
            </w:rPr>
            <w:t>17 January 2002</w:t>
          </w:r>
        </w:p>
        <w:p w:rsidR="00000000" w:rsidRDefault="00000000">
          <w:r>
            <w:t>Russian</w:t>
          </w:r>
        </w:p>
        <w:p w:rsidR="00000000" w:rsidRDefault="00000000">
          <w:pPr>
            <w:rPr>
              <w:lang w:val="en-US"/>
            </w:rPr>
          </w:pPr>
          <w:r>
            <w:t xml:space="preserve">Original: </w:t>
          </w:r>
          <w:r>
            <w:rPr>
              <w:lang w:val="en-US"/>
            </w:rPr>
            <w:t>Spanish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FFFFFFFE"/>
    <w:multiLevelType w:val="singleLevel"/>
    <w:tmpl w:val="FFFFFFFF"/>
    <w:lvl w:ilvl="0">
      <w:numFmt w:val="decimal"/>
      <w:lvlText w:val="*"/>
      <w:lvlJc w:val="left"/>
    </w:lvl>
  </w:abstractNum>
  <w:abstractNum w:abstractNumId="7">
    <w:nsid w:val="00490C0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8">
    <w:nsid w:val="026B66D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9">
    <w:nsid w:val="054A0A5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0">
    <w:nsid w:val="0552437A"/>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1">
    <w:nsid w:val="08B3771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2">
    <w:nsid w:val="0B6541CA"/>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3">
    <w:nsid w:val="0E3B31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4">
    <w:nsid w:val="11505F5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5">
    <w:nsid w:val="1265581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6">
    <w:nsid w:val="14192D1A"/>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7">
    <w:nsid w:val="14BA4B3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8">
    <w:nsid w:val="19C66E8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9">
    <w:nsid w:val="1AF84B6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0">
    <w:nsid w:val="1B7335A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1">
    <w:nsid w:val="1D0325F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2">
    <w:nsid w:val="1DFD31BD"/>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3">
    <w:nsid w:val="21F02081"/>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4">
    <w:nsid w:val="234369A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5">
    <w:nsid w:val="25A7208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6">
    <w:nsid w:val="2AC46E4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7">
    <w:nsid w:val="2B57726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8">
    <w:nsid w:val="2BA8769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9">
    <w:nsid w:val="2DCC1CFE"/>
    <w:multiLevelType w:val="singleLevel"/>
    <w:tmpl w:val="DAC2DE86"/>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
    <w:nsid w:val="2F2F5B35"/>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1">
    <w:nsid w:val="339F104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2">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3">
    <w:nsid w:val="357E62D1"/>
    <w:multiLevelType w:val="singleLevel"/>
    <w:tmpl w:val="0809000F"/>
    <w:lvl w:ilvl="0">
      <w:start w:val="1"/>
      <w:numFmt w:val="decimal"/>
      <w:lvlText w:val="%1."/>
      <w:lvlJc w:val="left"/>
      <w:pPr>
        <w:tabs>
          <w:tab w:val="num" w:pos="360"/>
        </w:tabs>
        <w:ind w:left="360" w:hanging="360"/>
      </w:pPr>
    </w:lvl>
  </w:abstractNum>
  <w:abstractNum w:abstractNumId="34">
    <w:nsid w:val="364B12B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5">
    <w:nsid w:val="3700362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6">
    <w:nsid w:val="37420FC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7">
    <w:nsid w:val="377C511C"/>
    <w:multiLevelType w:val="singleLevel"/>
    <w:tmpl w:val="F138A5AE"/>
    <w:lvl w:ilvl="0">
      <w:start w:val="1"/>
      <w:numFmt w:val="decimal"/>
      <w:lvlText w:val="3.%1 "/>
      <w:legacy w:legacy="1" w:legacySpace="0" w:legacyIndent="283"/>
      <w:lvlJc w:val="left"/>
      <w:pPr>
        <w:ind w:left="283" w:hanging="283"/>
      </w:pPr>
      <w:rPr>
        <w:rFonts w:ascii="Times New Roman" w:hAnsi="Times New Roman" w:hint="default"/>
        <w:b w:val="0"/>
        <w:i w:val="0"/>
        <w:sz w:val="28"/>
        <w:u w:val="none"/>
      </w:rPr>
    </w:lvl>
  </w:abstractNum>
  <w:abstractNum w:abstractNumId="38">
    <w:nsid w:val="3A7C755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9">
    <w:nsid w:val="3D692D4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0">
    <w:nsid w:val="3E2A138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1">
    <w:nsid w:val="3EE7637D"/>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2">
    <w:nsid w:val="3F01504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3">
    <w:nsid w:val="3F75282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4">
    <w:nsid w:val="3F89201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5">
    <w:nsid w:val="3FE2023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6">
    <w:nsid w:val="427419B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7">
    <w:nsid w:val="441E7F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8">
    <w:nsid w:val="4459580A"/>
    <w:multiLevelType w:val="singleLevel"/>
    <w:tmpl w:val="0809000F"/>
    <w:lvl w:ilvl="0">
      <w:start w:val="1"/>
      <w:numFmt w:val="decimal"/>
      <w:lvlText w:val="%1."/>
      <w:lvlJc w:val="left"/>
      <w:pPr>
        <w:tabs>
          <w:tab w:val="num" w:pos="360"/>
        </w:tabs>
        <w:ind w:left="360" w:hanging="360"/>
      </w:pPr>
    </w:lvl>
  </w:abstractNum>
  <w:abstractNum w:abstractNumId="49">
    <w:nsid w:val="44FE165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0">
    <w:nsid w:val="46667A7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1">
    <w:nsid w:val="477C2F4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2">
    <w:nsid w:val="47EB33D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3">
    <w:nsid w:val="491F725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4">
    <w:nsid w:val="494A5A8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5">
    <w:nsid w:val="49D81AC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6">
    <w:nsid w:val="4B5C3BE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7">
    <w:nsid w:val="4C080F2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8">
    <w:nsid w:val="4CC571A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9">
    <w:nsid w:val="4D614A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0">
    <w:nsid w:val="503B272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1">
    <w:nsid w:val="50C55E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2">
    <w:nsid w:val="510C03B7"/>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3">
    <w:nsid w:val="567F05BF"/>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4">
    <w:nsid w:val="59375D9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5">
    <w:nsid w:val="5C44563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6">
    <w:nsid w:val="5EF0676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7">
    <w:nsid w:val="61204E1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8">
    <w:nsid w:val="6120532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9">
    <w:nsid w:val="634A538F"/>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0">
    <w:nsid w:val="64777C9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1">
    <w:nsid w:val="692C02B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2">
    <w:nsid w:val="6BC23DC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73">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4">
    <w:nsid w:val="6E0A565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75">
    <w:nsid w:val="7276600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6">
    <w:nsid w:val="750C1B86"/>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7">
    <w:nsid w:val="764222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8">
    <w:nsid w:val="7CA339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79">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0">
    <w:nsid w:val="7D9D4036"/>
    <w:multiLevelType w:val="singleLevel"/>
    <w:tmpl w:val="09602B14"/>
    <w:lvl w:ilvl="0">
      <w:start w:val="1"/>
      <w:numFmt w:val="bullet"/>
      <w:lvlText w:val=""/>
      <w:lvlJc w:val="left"/>
      <w:pPr>
        <w:tabs>
          <w:tab w:val="num" w:pos="720"/>
        </w:tabs>
        <w:ind w:left="720" w:hanging="720"/>
      </w:pPr>
      <w:rPr>
        <w:rFonts w:ascii="Symbol" w:hAnsi="Symbol" w:hint="default"/>
      </w:rPr>
    </w:lvl>
  </w:abstractNum>
  <w:num w:numId="1">
    <w:abstractNumId w:val="32"/>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9"/>
  </w:num>
  <w:num w:numId="13">
    <w:abstractNumId w:val="48"/>
  </w:num>
  <w:num w:numId="14">
    <w:abstractNumId w:val="33"/>
  </w:num>
  <w:num w:numId="15">
    <w:abstractNumId w:val="73"/>
  </w:num>
  <w:num w:numId="16">
    <w:abstractNumId w:val="5"/>
  </w:num>
  <w:num w:numId="17">
    <w:abstractNumId w:val="29"/>
  </w:num>
  <w:num w:numId="18">
    <w:abstractNumId w:val="37"/>
  </w:num>
  <w:num w:numId="19">
    <w:abstractNumId w:val="6"/>
    <w:lvlOverride w:ilvl="0">
      <w:lvl w:ilvl="0">
        <w:start w:val="1"/>
        <w:numFmt w:val="bullet"/>
        <w:lvlText w:val=""/>
        <w:legacy w:legacy="1" w:legacySpace="0" w:legacyIndent="720"/>
        <w:lvlJc w:val="left"/>
        <w:pPr>
          <w:ind w:left="720" w:hanging="720"/>
        </w:pPr>
        <w:rPr>
          <w:rFonts w:ascii="Symbol" w:hAnsi="Symbol" w:hint="default"/>
        </w:rPr>
      </w:lvl>
    </w:lvlOverride>
  </w:num>
  <w:num w:numId="20">
    <w:abstractNumId w:val="45"/>
  </w:num>
  <w:num w:numId="21">
    <w:abstractNumId w:val="15"/>
  </w:num>
  <w:num w:numId="22">
    <w:abstractNumId w:val="31"/>
  </w:num>
  <w:num w:numId="23">
    <w:abstractNumId w:val="59"/>
  </w:num>
  <w:num w:numId="24">
    <w:abstractNumId w:val="40"/>
  </w:num>
  <w:num w:numId="25">
    <w:abstractNumId w:val="8"/>
  </w:num>
  <w:num w:numId="26">
    <w:abstractNumId w:val="17"/>
  </w:num>
  <w:num w:numId="27">
    <w:abstractNumId w:val="42"/>
  </w:num>
  <w:num w:numId="28">
    <w:abstractNumId w:val="61"/>
  </w:num>
  <w:num w:numId="29">
    <w:abstractNumId w:val="46"/>
  </w:num>
  <w:num w:numId="30">
    <w:abstractNumId w:val="21"/>
  </w:num>
  <w:num w:numId="31">
    <w:abstractNumId w:val="56"/>
  </w:num>
  <w:num w:numId="32">
    <w:abstractNumId w:val="18"/>
  </w:num>
  <w:num w:numId="33">
    <w:abstractNumId w:val="47"/>
  </w:num>
  <w:num w:numId="34">
    <w:abstractNumId w:val="65"/>
  </w:num>
  <w:num w:numId="35">
    <w:abstractNumId w:val="52"/>
  </w:num>
  <w:num w:numId="36">
    <w:abstractNumId w:val="24"/>
  </w:num>
  <w:num w:numId="37">
    <w:abstractNumId w:val="75"/>
  </w:num>
  <w:num w:numId="38">
    <w:abstractNumId w:val="7"/>
  </w:num>
  <w:num w:numId="39">
    <w:abstractNumId w:val="38"/>
  </w:num>
  <w:num w:numId="40">
    <w:abstractNumId w:val="54"/>
  </w:num>
  <w:num w:numId="41">
    <w:abstractNumId w:val="67"/>
  </w:num>
  <w:num w:numId="42">
    <w:abstractNumId w:val="26"/>
  </w:num>
  <w:num w:numId="43">
    <w:abstractNumId w:val="12"/>
  </w:num>
  <w:num w:numId="44">
    <w:abstractNumId w:val="30"/>
  </w:num>
  <w:num w:numId="45">
    <w:abstractNumId w:val="41"/>
  </w:num>
  <w:num w:numId="46">
    <w:abstractNumId w:val="74"/>
  </w:num>
  <w:num w:numId="47">
    <w:abstractNumId w:val="51"/>
  </w:num>
  <w:num w:numId="48">
    <w:abstractNumId w:val="60"/>
  </w:num>
  <w:num w:numId="49">
    <w:abstractNumId w:val="72"/>
  </w:num>
  <w:num w:numId="50">
    <w:abstractNumId w:val="53"/>
  </w:num>
  <w:num w:numId="51">
    <w:abstractNumId w:val="68"/>
  </w:num>
  <w:num w:numId="52">
    <w:abstractNumId w:val="80"/>
  </w:num>
  <w:num w:numId="53">
    <w:abstractNumId w:val="23"/>
  </w:num>
  <w:num w:numId="54">
    <w:abstractNumId w:val="25"/>
  </w:num>
  <w:num w:numId="55">
    <w:abstractNumId w:val="57"/>
  </w:num>
  <w:num w:numId="56">
    <w:abstractNumId w:val="27"/>
  </w:num>
  <w:num w:numId="57">
    <w:abstractNumId w:val="66"/>
  </w:num>
  <w:num w:numId="58">
    <w:abstractNumId w:val="43"/>
  </w:num>
  <w:num w:numId="59">
    <w:abstractNumId w:val="62"/>
  </w:num>
  <w:num w:numId="60">
    <w:abstractNumId w:val="34"/>
  </w:num>
  <w:num w:numId="61">
    <w:abstractNumId w:val="16"/>
  </w:num>
  <w:num w:numId="62">
    <w:abstractNumId w:val="77"/>
  </w:num>
  <w:num w:numId="63">
    <w:abstractNumId w:val="36"/>
  </w:num>
  <w:num w:numId="64">
    <w:abstractNumId w:val="14"/>
  </w:num>
  <w:num w:numId="65">
    <w:abstractNumId w:val="9"/>
  </w:num>
  <w:num w:numId="66">
    <w:abstractNumId w:val="39"/>
  </w:num>
  <w:num w:numId="67">
    <w:abstractNumId w:val="76"/>
  </w:num>
  <w:num w:numId="68">
    <w:abstractNumId w:val="22"/>
  </w:num>
  <w:num w:numId="69">
    <w:abstractNumId w:val="70"/>
  </w:num>
  <w:num w:numId="70">
    <w:abstractNumId w:val="19"/>
  </w:num>
  <w:num w:numId="71">
    <w:abstractNumId w:val="20"/>
  </w:num>
  <w:num w:numId="72">
    <w:abstractNumId w:val="49"/>
  </w:num>
  <w:num w:numId="73">
    <w:abstractNumId w:val="64"/>
  </w:num>
  <w:num w:numId="74">
    <w:abstractNumId w:val="78"/>
  </w:num>
  <w:num w:numId="75">
    <w:abstractNumId w:val="44"/>
  </w:num>
  <w:num w:numId="76">
    <w:abstractNumId w:val="13"/>
  </w:num>
  <w:num w:numId="77">
    <w:abstractNumId w:val="11"/>
  </w:num>
  <w:num w:numId="78">
    <w:abstractNumId w:val="28"/>
  </w:num>
  <w:num w:numId="79">
    <w:abstractNumId w:val="63"/>
  </w:num>
  <w:num w:numId="80">
    <w:abstractNumId w:val="6"/>
    <w:lvlOverride w:ilvl="0">
      <w:lvl w:ilvl="0">
        <w:start w:val="1"/>
        <w:numFmt w:val="bullet"/>
        <w:lvlText w:val=""/>
        <w:legacy w:legacy="1" w:legacySpace="0" w:legacyIndent="283"/>
        <w:lvlJc w:val="left"/>
        <w:pPr>
          <w:ind w:left="1003" w:hanging="283"/>
        </w:pPr>
        <w:rPr>
          <w:rFonts w:ascii="Symbol" w:hAnsi="Symbol" w:hint="default"/>
        </w:rPr>
      </w:lvl>
    </w:lvlOverride>
  </w:num>
  <w:num w:numId="81">
    <w:abstractNumId w:val="50"/>
  </w:num>
  <w:num w:numId="82">
    <w:abstractNumId w:val="55"/>
  </w:num>
  <w:num w:numId="83">
    <w:abstractNumId w:val="35"/>
  </w:num>
  <w:num w:numId="84">
    <w:abstractNumId w:val="69"/>
  </w:num>
  <w:num w:numId="85">
    <w:abstractNumId w:val="58"/>
  </w:num>
  <w:num w:numId="86">
    <w:abstractNumId w:val="71"/>
  </w:num>
  <w:num w:numId="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0231484R"/>
    <w:docVar w:name="OandT" w:val="Griaznova"/>
    <w:docVar w:name="Symbol1" w:val="CEDAW/C/GUA/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jc w:val="center"/>
      <w:outlineLvl w:val="0"/>
    </w:pPr>
    <w:rPr>
      <w:spacing w:val="0"/>
      <w:w w:val="100"/>
      <w:kern w:val="0"/>
      <w:sz w:val="28"/>
    </w:rPr>
  </w:style>
  <w:style w:type="paragraph" w:styleId="Heading2">
    <w:name w:val="heading 2"/>
    <w:basedOn w:val="Normal"/>
    <w:next w:val="Normal"/>
    <w:qFormat/>
    <w:pPr>
      <w:keepNext/>
      <w:spacing w:line="240" w:lineRule="auto"/>
      <w:jc w:val="center"/>
      <w:outlineLvl w:val="1"/>
    </w:pPr>
    <w:rPr>
      <w:b/>
      <w:spacing w:val="0"/>
      <w:w w:val="100"/>
      <w:kern w:val="0"/>
      <w:sz w:val="28"/>
    </w:rPr>
  </w:style>
  <w:style w:type="paragraph" w:styleId="Heading3">
    <w:name w:val="heading 3"/>
    <w:basedOn w:val="Normal"/>
    <w:next w:val="Normal"/>
    <w:qFormat/>
    <w:pPr>
      <w:keepNext/>
      <w:spacing w:line="480" w:lineRule="auto"/>
      <w:jc w:val="center"/>
      <w:outlineLvl w:val="2"/>
    </w:pPr>
    <w:rPr>
      <w:b/>
      <w:spacing w:val="0"/>
      <w:w w:val="100"/>
      <w:kern w:val="0"/>
      <w:sz w:val="28"/>
      <w:lang w:val="en-US"/>
    </w:rPr>
  </w:style>
  <w:style w:type="paragraph" w:styleId="Heading4">
    <w:name w:val="heading 4"/>
    <w:basedOn w:val="Normal"/>
    <w:next w:val="Normal"/>
    <w:qFormat/>
    <w:pPr>
      <w:keepNext/>
      <w:spacing w:line="480" w:lineRule="auto"/>
      <w:jc w:val="both"/>
      <w:outlineLvl w:val="3"/>
    </w:pPr>
    <w:rPr>
      <w:b/>
      <w:spacing w:val="0"/>
      <w:w w:val="100"/>
      <w:kern w:val="0"/>
      <w:sz w:val="28"/>
    </w:rPr>
  </w:style>
  <w:style w:type="paragraph" w:styleId="Heading5">
    <w:name w:val="heading 5"/>
    <w:basedOn w:val="Normal"/>
    <w:next w:val="Normal"/>
    <w:qFormat/>
    <w:pPr>
      <w:keepNext/>
      <w:spacing w:line="360" w:lineRule="auto"/>
      <w:outlineLvl w:val="4"/>
    </w:pPr>
    <w:rPr>
      <w:b/>
      <w:spacing w:val="0"/>
      <w:w w:val="100"/>
      <w:kern w:val="0"/>
      <w:sz w:val="28"/>
    </w:rPr>
  </w:style>
  <w:style w:type="paragraph" w:styleId="Heading6">
    <w:name w:val="heading 6"/>
    <w:basedOn w:val="Normal"/>
    <w:next w:val="Normal"/>
    <w:qFormat/>
    <w:pPr>
      <w:keepNext/>
      <w:tabs>
        <w:tab w:val="left" w:pos="475"/>
        <w:tab w:val="left" w:pos="965"/>
        <w:tab w:val="left" w:pos="1440"/>
        <w:tab w:val="left" w:pos="1915"/>
        <w:tab w:val="left" w:pos="2405"/>
        <w:tab w:val="left" w:pos="2880"/>
        <w:tab w:val="left" w:pos="3355"/>
      </w:tabs>
      <w:spacing w:line="270" w:lineRule="exact"/>
      <w:jc w:val="both"/>
      <w:outlineLvl w:val="5"/>
    </w:pPr>
    <w:rPr>
      <w:b/>
      <w:sz w:val="24"/>
    </w:rPr>
  </w:style>
  <w:style w:type="paragraph" w:styleId="Heading7">
    <w:name w:val="heading 7"/>
    <w:basedOn w:val="Normal"/>
    <w:next w:val="Normal"/>
    <w:qFormat/>
    <w:pPr>
      <w:keepNext/>
      <w:tabs>
        <w:tab w:val="left" w:pos="475"/>
        <w:tab w:val="left" w:pos="965"/>
        <w:tab w:val="left" w:pos="1440"/>
        <w:tab w:val="left" w:pos="1915"/>
        <w:tab w:val="left" w:pos="2405"/>
        <w:tab w:val="left" w:pos="2880"/>
        <w:tab w:val="left" w:pos="3355"/>
      </w:tabs>
      <w:jc w:val="both"/>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6"/>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keepNext/>
      <w:spacing w:line="360" w:lineRule="auto"/>
    </w:pPr>
    <w:rPr>
      <w:b/>
      <w:spacing w:val="0"/>
      <w:w w:val="100"/>
      <w:kern w:val="0"/>
      <w:sz w:val="28"/>
    </w:rPr>
  </w:style>
  <w:style w:type="paragraph" w:styleId="BodyText2">
    <w:name w:val="Body Text 2"/>
    <w:basedOn w:val="Normal"/>
    <w:semiHidden/>
    <w:pPr>
      <w:spacing w:line="240" w:lineRule="auto"/>
      <w:ind w:firstLine="720"/>
    </w:pPr>
    <w:rPr>
      <w:spacing w:val="0"/>
      <w:w w:val="100"/>
      <w:kern w:val="0"/>
      <w:sz w:val="28"/>
    </w:rPr>
  </w:style>
  <w:style w:type="paragraph" w:styleId="BodyTextIndent2">
    <w:name w:val="Body Text Indent 2"/>
    <w:basedOn w:val="Normal"/>
    <w:semiHidden/>
    <w:pPr>
      <w:spacing w:line="240" w:lineRule="auto"/>
      <w:ind w:firstLine="720"/>
    </w:pPr>
    <w:rPr>
      <w:b/>
      <w:i/>
      <w:spacing w:val="0"/>
      <w:w w:val="100"/>
      <w:kern w:val="0"/>
      <w:sz w:val="28"/>
    </w:rPr>
  </w:style>
  <w:style w:type="paragraph" w:styleId="BodyTextIndent3">
    <w:name w:val="Body Text Indent 3"/>
    <w:basedOn w:val="Normal"/>
    <w:semiHidden/>
    <w:pPr>
      <w:spacing w:line="240" w:lineRule="auto"/>
      <w:ind w:firstLine="720"/>
      <w:jc w:val="center"/>
    </w:pPr>
    <w:rPr>
      <w:b/>
      <w:spacing w:val="0"/>
      <w:w w:val="100"/>
      <w:kern w:val="0"/>
      <w:sz w:val="28"/>
    </w:rPr>
  </w:style>
  <w:style w:type="paragraph" w:styleId="BodyText3">
    <w:name w:val="Body Text 3"/>
    <w:basedOn w:val="Normal"/>
    <w:semiHidden/>
    <w:pPr>
      <w:spacing w:line="480" w:lineRule="auto"/>
    </w:pPr>
    <w:rPr>
      <w:b/>
      <w:i/>
      <w:spacing w:val="0"/>
      <w:w w:val="100"/>
      <w:kern w:val="0"/>
      <w:sz w:val="28"/>
    </w:rPr>
  </w:style>
  <w:style w:type="paragraph" w:styleId="BodyTextIndent">
    <w:name w:val="Body Text Indent"/>
    <w:basedOn w:val="Normal"/>
    <w:semiHidden/>
    <w:pPr>
      <w:tabs>
        <w:tab w:val="left" w:pos="475"/>
        <w:tab w:val="left" w:pos="965"/>
        <w:tab w:val="left" w:pos="1440"/>
        <w:tab w:val="left" w:pos="1915"/>
        <w:tab w:val="left" w:pos="2405"/>
        <w:tab w:val="left" w:pos="2880"/>
        <w:tab w:val="left" w:pos="3355"/>
      </w:tabs>
      <w:spacing w:after="120"/>
      <w:ind w:left="1015" w:hanging="540"/>
      <w:jc w:val="both"/>
    </w:pPr>
    <w:rPr>
      <w:b/>
      <w:i/>
    </w:rPr>
  </w:style>
  <w:style w:type="character" w:customStyle="1" w:styleId="a">
    <w:name w:val="знак сноски"/>
    <w:rPr>
      <w:vertAlign w:val="superscript"/>
    </w:rPr>
  </w:style>
  <w:style w:type="paragraph" w:customStyle="1" w:styleId="a0">
    <w:name w:val="текст сноски"/>
    <w:basedOn w:val="Normal"/>
    <w:pPr>
      <w:spacing w:line="240" w:lineRule="auto"/>
    </w:pPr>
    <w:rPr>
      <w:snapToGrid w:val="0"/>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1</Pages>
  <Words>12127</Words>
  <Characters>82469</Characters>
  <Application>Microsoft Office Word</Application>
  <DocSecurity>4</DocSecurity>
  <Lines>2011</Lines>
  <Paragraphs>704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98234</CharactersWithSpaces>
  <SharedDoc>false</SharedDoc>
  <HLinks>
    <vt:vector size="6" baseType="variant">
      <vt:variant>
        <vt:i4>4522087</vt:i4>
      </vt:variant>
      <vt:variant>
        <vt:i4>197618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2002-05-30T08:31:00Z</cp:lastPrinted>
  <dcterms:created xsi:type="dcterms:W3CDTF">2002-05-30T08:07:00Z</dcterms:created>
  <dcterms:modified xsi:type="dcterms:W3CDTF">2002-05-30T08:33:00Z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0231484R</vt:lpwstr>
  </property>
  <property fmtid="{D5CDD505-2E9C-101B-9397-08002B2CF9AE}" pid="5" name="Symbol1">
    <vt:lpwstr>CEDAW/C/GUA/5</vt:lpwstr>
  </property>
  <property fmtid="{D5CDD505-2E9C-101B-9397-08002B2CF9AE}" pid="6" name="Comment">
    <vt:lpwstr/>
  </property>
  <property fmtid="{D5CDD505-2E9C-101B-9397-08002B2CF9AE}" pid="7" name="DraftPages">
    <vt:lpwstr> 44</vt:lpwstr>
  </property>
  <property fmtid="{D5CDD505-2E9C-101B-9397-08002B2CF9AE}" pid="8" name="Operator">
    <vt:lpwstr>Shibanova</vt:lpwstr>
  </property>
</Properties>
</file>