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C02" w:rsidRDefault="00374C02" w:rsidP="00374C02">
      <w:pPr>
        <w:spacing w:line="60" w:lineRule="exact"/>
        <w:sectPr w:rsidR="00374C02" w:rsidSect="00374C0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7 Size =1Lang = C"/>
            <w10:wrap anchorx="page" anchory="page"/>
          </v:shape>
        </w:pict>
      </w:r>
      <w:commentRangeEnd w:id="0"/>
      <w:r>
        <w:rPr>
          <w:rStyle w:val="CommentReference"/>
        </w:rPr>
        <w:commentReference w:id="0"/>
      </w:r>
    </w:p>
    <w:p w:rsidR="00374C02" w:rsidRDefault="00374C02" w:rsidP="00374C02">
      <w:pPr>
        <w:spacing w:line="60" w:lineRule="exact"/>
      </w:pPr>
    </w:p>
    <w:p w:rsidR="00E41B04" w:rsidRDefault="00E41B04" w:rsidP="00E41B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E41B04" w:rsidRPr="00E41B04" w:rsidRDefault="00E41B04" w:rsidP="00E41B04">
      <w:pPr>
        <w:pStyle w:val="SingleTxt"/>
        <w:spacing w:after="0" w:line="120" w:lineRule="exact"/>
        <w:rPr>
          <w:rFonts w:hint="eastAsia"/>
          <w:sz w:val="10"/>
        </w:rPr>
      </w:pPr>
    </w:p>
    <w:p w:rsidR="00E41B04" w:rsidRPr="00E41B04" w:rsidRDefault="00E41B04" w:rsidP="00E41B04">
      <w:pPr>
        <w:pStyle w:val="SingleTxt"/>
        <w:spacing w:after="0" w:line="120" w:lineRule="exact"/>
        <w:rPr>
          <w:rFonts w:hint="eastAsia"/>
          <w:sz w:val="10"/>
        </w:rPr>
      </w:pPr>
    </w:p>
    <w:p w:rsidR="00E41B04" w:rsidRPr="00E41B04" w:rsidRDefault="00E41B04" w:rsidP="00E41B04">
      <w:pPr>
        <w:pStyle w:val="SingleTxt"/>
        <w:spacing w:after="0" w:line="120" w:lineRule="exact"/>
        <w:rPr>
          <w:rFonts w:hint="eastAsia"/>
          <w:sz w:val="10"/>
        </w:rPr>
      </w:pPr>
    </w:p>
    <w:p w:rsidR="00E41B04" w:rsidRDefault="00E41B04" w:rsidP="00E41B0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与芬兰第七次定期报告有关的议题和问题清单</w:t>
      </w:r>
      <w:r>
        <w:t></w:t>
      </w:r>
      <w:r w:rsidRPr="00E41B04">
        <w:rPr>
          <w:rFonts w:ascii="Times New Roman"/>
          <w:vertAlign w:val="superscript"/>
        </w:rPr>
        <w:t>*</w:t>
      </w:r>
    </w:p>
    <w:p w:rsidR="00E41B04" w:rsidRPr="00E41B04" w:rsidRDefault="00E41B04" w:rsidP="00E41B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41B04" w:rsidRPr="00E41B04" w:rsidRDefault="00E41B04" w:rsidP="00E41B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41B04" w:rsidRDefault="00E41B04" w:rsidP="00E41B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宪法、立法和体制框架</w:t>
      </w:r>
    </w:p>
    <w:p w:rsidR="00E41B04" w:rsidRPr="00E41B04" w:rsidRDefault="00E41B04" w:rsidP="00E41B04">
      <w:pPr>
        <w:pStyle w:val="SingleTxt"/>
        <w:spacing w:after="0" w:line="120" w:lineRule="exact"/>
        <w:rPr>
          <w:rFonts w:hint="eastAsia"/>
          <w:sz w:val="10"/>
        </w:rPr>
      </w:pPr>
    </w:p>
    <w:p w:rsidR="00E41B04" w:rsidRPr="00E41B04" w:rsidRDefault="00E41B04" w:rsidP="00E41B04">
      <w:pPr>
        <w:pStyle w:val="SingleTxt"/>
        <w:spacing w:after="0" w:line="120" w:lineRule="exact"/>
        <w:rPr>
          <w:rFonts w:hint="eastAsia"/>
          <w:sz w:val="10"/>
        </w:rPr>
      </w:pPr>
    </w:p>
    <w:p w:rsidR="00E41B04" w:rsidRDefault="00E41B04" w:rsidP="00E41B04">
      <w:pPr>
        <w:pStyle w:val="SingleTxt"/>
        <w:rPr>
          <w:rFonts w:hint="eastAsia"/>
        </w:rPr>
      </w:pPr>
      <w:r>
        <w:rPr>
          <w:rFonts w:hint="eastAsia"/>
        </w:rPr>
        <w:t>1.</w:t>
      </w:r>
      <w:r>
        <w:rPr>
          <w:rFonts w:hint="eastAsia"/>
        </w:rPr>
        <w:tab/>
        <w:t>核心文件(</w:t>
      </w:r>
      <w:hyperlink r:id="rId14" w:history="1">
        <w:r w:rsidRPr="00E41B04">
          <w:rPr>
            <w:rStyle w:val="Hyperlink"/>
            <w:rFonts w:hint="eastAsia"/>
          </w:rPr>
          <w:t>HRI/CORE/1/Add.59/Rev.2</w:t>
        </w:r>
      </w:hyperlink>
      <w:r>
        <w:rPr>
          <w:rFonts w:hint="eastAsia"/>
        </w:rPr>
        <w:t>)第43段指出，缔约国利用二元模式解决了国内法和国际法之间的关系。不过，缔约国同时提及，这个模式是“事实上的一元论”，其中将国际协定颁布为法律的法统级别决定了这项国际协定的正式地位。除了《公约》得到援引或提及的一些实例外，请提供有关《公约》及其任择议定书的正式地位的资料。</w:t>
      </w:r>
    </w:p>
    <w:p w:rsidR="00E41B04" w:rsidRDefault="00E41B04" w:rsidP="00E41B04">
      <w:pPr>
        <w:pStyle w:val="SingleTxt"/>
        <w:rPr>
          <w:rFonts w:hint="eastAsia"/>
        </w:rPr>
      </w:pPr>
      <w:r>
        <w:rPr>
          <w:rFonts w:hint="eastAsia"/>
        </w:rPr>
        <w:t>2.</w:t>
      </w:r>
      <w:r>
        <w:rPr>
          <w:rFonts w:hint="eastAsia"/>
        </w:rPr>
        <w:tab/>
        <w:t>请提供最新资料，说明对《平等法》和《非歧视法》拟议作出的修改，包括提供关于禁止多重歧视和基于性别认同和性别表现的歧视的资料。还请提供资料，说明为发展和加强对执行《平等法》的监测系统采取的措施(第9段)。</w:t>
      </w:r>
      <w:r>
        <w:rPr>
          <w:rStyle w:val="FootnoteReference"/>
        </w:rPr>
        <w:footnoteReference w:id="1"/>
      </w:r>
    </w:p>
    <w:p w:rsidR="00E41B04" w:rsidRPr="00E41B04" w:rsidRDefault="00E41B04" w:rsidP="00E41B04">
      <w:pPr>
        <w:pStyle w:val="SingleTxt"/>
        <w:rPr>
          <w:rFonts w:ascii="SimHei" w:eastAsia="SimHei" w:hint="eastAsia"/>
        </w:rPr>
      </w:pPr>
      <w:r w:rsidRPr="00E41B04">
        <w:rPr>
          <w:rFonts w:ascii="SimHei" w:eastAsia="SimHei" w:hint="eastAsia"/>
        </w:rPr>
        <w:t>性别平等主流化</w:t>
      </w:r>
    </w:p>
    <w:p w:rsidR="00E41B04" w:rsidRDefault="00E41B04" w:rsidP="00E41B04">
      <w:pPr>
        <w:pStyle w:val="SingleTxt"/>
        <w:rPr>
          <w:rFonts w:hint="eastAsia"/>
        </w:rPr>
      </w:pPr>
      <w:r>
        <w:rPr>
          <w:rFonts w:hint="eastAsia"/>
        </w:rPr>
        <w:t>3.</w:t>
      </w:r>
      <w:r>
        <w:rPr>
          <w:rFonts w:hint="eastAsia"/>
        </w:rPr>
        <w:tab/>
        <w:t xml:space="preserve">第58段指出，政府从2009年开始，已在其管理结构中推动性别平等主流化的工作，具体重点是起草法律和编制国家预算这两个领域。然而，它认识到，各部委在草拟法案时，仍然很少进行性别影响评估。请提供资料，说明在草拟法案时，将性别影响评估作为一般做法实施所采取的措施。 </w:t>
      </w:r>
    </w:p>
    <w:p w:rsidR="00E41B04" w:rsidRDefault="00E41B04" w:rsidP="00E41B04">
      <w:pPr>
        <w:pStyle w:val="SingleTxt"/>
        <w:rPr>
          <w:rFonts w:hint="eastAsia"/>
        </w:rPr>
      </w:pPr>
      <w:r>
        <w:rPr>
          <w:rFonts w:hint="eastAsia"/>
        </w:rPr>
        <w:t>4.</w:t>
      </w:r>
      <w:r>
        <w:rPr>
          <w:rFonts w:hint="eastAsia"/>
        </w:rPr>
        <w:tab/>
        <w:t xml:space="preserve">请提供有关2011年开展的《平等方案》(第52段)和关于2012年缔约国为加强两性平等观点及推动两性平等主流化的工作所设立的人权中心(第65段)的最新资料。 </w:t>
      </w:r>
    </w:p>
    <w:p w:rsidR="00E41B04" w:rsidRPr="00E41B04" w:rsidRDefault="00E41B04" w:rsidP="00E41B04">
      <w:pPr>
        <w:pStyle w:val="SingleTxt"/>
        <w:rPr>
          <w:rFonts w:ascii="SimHei" w:eastAsia="SimHei" w:hint="eastAsia"/>
        </w:rPr>
      </w:pPr>
      <w:r>
        <w:rPr>
          <w:rFonts w:ascii="SimHei" w:eastAsia="SimHei"/>
        </w:rPr>
        <w:br w:type="page"/>
      </w:r>
      <w:r w:rsidRPr="00E41B04">
        <w:rPr>
          <w:rFonts w:ascii="SimHei" w:eastAsia="SimHei" w:hint="eastAsia"/>
        </w:rPr>
        <w:t>处于不利地位的妇女团体</w:t>
      </w:r>
    </w:p>
    <w:p w:rsidR="00E41B04" w:rsidRDefault="00E41B04" w:rsidP="00E41B04">
      <w:pPr>
        <w:pStyle w:val="SingleTxt"/>
        <w:rPr>
          <w:rFonts w:hint="eastAsia"/>
        </w:rPr>
      </w:pPr>
      <w:r>
        <w:rPr>
          <w:rFonts w:hint="eastAsia"/>
        </w:rPr>
        <w:t>5.</w:t>
      </w:r>
      <w:r>
        <w:rPr>
          <w:rFonts w:hint="eastAsia"/>
        </w:rPr>
        <w:tab/>
        <w:t>委员会在其前一份结论性意见(</w:t>
      </w:r>
      <w:hyperlink r:id="rId15" w:history="1">
        <w:r w:rsidRPr="00E41B04">
          <w:rPr>
            <w:rStyle w:val="Hyperlink"/>
            <w:rFonts w:hint="eastAsia"/>
          </w:rPr>
          <w:t>CEDAW/C/FIN/CO/6</w:t>
        </w:r>
      </w:hyperlink>
      <w:r>
        <w:rPr>
          <w:rFonts w:hint="eastAsia"/>
        </w:rPr>
        <w:t xml:space="preserve">，第32段)中要求提供资料，说明少数民族妇女的境况，包括介绍她们获得教育、就业和保健服务的机会，以及为增进这些机会所采取的措施的影响和取得的结果及其长期趋势。请提供这些数据。 </w:t>
      </w:r>
    </w:p>
    <w:p w:rsidR="00E41B04" w:rsidRDefault="00E41B04" w:rsidP="00E41B04">
      <w:pPr>
        <w:pStyle w:val="SingleTxt"/>
        <w:rPr>
          <w:rFonts w:hint="eastAsia"/>
        </w:rPr>
      </w:pPr>
      <w:r>
        <w:rPr>
          <w:rFonts w:hint="eastAsia"/>
        </w:rPr>
        <w:t>6.</w:t>
      </w:r>
      <w:r>
        <w:rPr>
          <w:rFonts w:hint="eastAsia"/>
        </w:rPr>
        <w:tab/>
        <w:t xml:space="preserve">请提供最新资料，说明缔约国为使罗姆妇女、移民妇女和萨米妇女以及在《公约》管辖的所有领域遭到歧视的残疾妇女获得两性平等所采取的具体措施。 </w:t>
      </w:r>
    </w:p>
    <w:p w:rsidR="00E41B04" w:rsidRPr="00E41B04" w:rsidRDefault="00E41B04" w:rsidP="00E41B04">
      <w:pPr>
        <w:pStyle w:val="SingleTxt"/>
        <w:rPr>
          <w:rFonts w:ascii="SimHei" w:eastAsia="SimHei" w:hint="eastAsia"/>
        </w:rPr>
      </w:pPr>
      <w:r w:rsidRPr="00E41B04">
        <w:rPr>
          <w:rFonts w:ascii="SimHei" w:eastAsia="SimHei" w:hint="eastAsia"/>
        </w:rPr>
        <w:t>暴力侵害妇女行为</w:t>
      </w:r>
    </w:p>
    <w:p w:rsidR="00E41B04" w:rsidRDefault="00E41B04" w:rsidP="00E41B04">
      <w:pPr>
        <w:pStyle w:val="SingleTxt"/>
        <w:rPr>
          <w:rFonts w:hint="eastAsia"/>
        </w:rPr>
      </w:pPr>
      <w:r>
        <w:rPr>
          <w:rFonts w:hint="eastAsia"/>
        </w:rPr>
        <w:t>7.</w:t>
      </w:r>
      <w:r>
        <w:rPr>
          <w:rFonts w:hint="eastAsia"/>
        </w:rPr>
        <w:tab/>
        <w:t>第69段提及，已经通过了2010</w:t>
      </w:r>
      <w:r>
        <w:t>-</w:t>
      </w:r>
      <w:r>
        <w:rPr>
          <w:rFonts w:hint="eastAsia"/>
        </w:rPr>
        <w:t xml:space="preserve">2015年期间减少暴力侵害妇女行为的国家行动计划。请提供最新资料，说明其中所载的66项措施的执行情况以及为何没有对其拨供预算的理由。 </w:t>
      </w:r>
    </w:p>
    <w:p w:rsidR="00E41B04" w:rsidRDefault="00E41B04" w:rsidP="00E41B04">
      <w:pPr>
        <w:pStyle w:val="SingleTxt"/>
        <w:rPr>
          <w:rFonts w:hint="eastAsia"/>
        </w:rPr>
      </w:pPr>
      <w:r>
        <w:rPr>
          <w:rFonts w:hint="eastAsia"/>
        </w:rPr>
        <w:t>8.</w:t>
      </w:r>
      <w:r>
        <w:rPr>
          <w:rFonts w:hint="eastAsia"/>
        </w:rPr>
        <w:tab/>
        <w:t xml:space="preserve">请提供资料，说明缔约国在2009年开始的关于阻止残割女童生殖器的行动计划的制订情况和执行情况以及2011年提出的关于遏止移民家庭实施暴力惩戒手段的行动计划(第80段和第82段)。 </w:t>
      </w:r>
    </w:p>
    <w:p w:rsidR="00E41B04" w:rsidRDefault="00E41B04" w:rsidP="00E41B04">
      <w:pPr>
        <w:pStyle w:val="SingleTxt"/>
        <w:rPr>
          <w:rFonts w:hint="eastAsia"/>
        </w:rPr>
      </w:pPr>
      <w:r>
        <w:rPr>
          <w:rFonts w:hint="eastAsia"/>
        </w:rPr>
        <w:t>9.</w:t>
      </w:r>
      <w:r>
        <w:rPr>
          <w:rFonts w:hint="eastAsia"/>
        </w:rPr>
        <w:tab/>
        <w:t xml:space="preserve">该段指出，国家健康与福利研究所执行了一个试点项目，以减少个人关系中的严重暴力事件，和支持受害者(第74段)。请提供资料，说明对这个在2012年进行的项目的评估；还请提供统计数字，说明被其配偶、前配偶或性伴侣杀害的女性人数。 </w:t>
      </w:r>
    </w:p>
    <w:p w:rsidR="00E41B04" w:rsidRDefault="00E41B04" w:rsidP="00E41B04">
      <w:pPr>
        <w:pStyle w:val="SingleTxt"/>
        <w:rPr>
          <w:rFonts w:hint="eastAsia"/>
        </w:rPr>
      </w:pPr>
      <w:r>
        <w:rPr>
          <w:rFonts w:hint="eastAsia"/>
        </w:rPr>
        <w:t>10.</w:t>
      </w:r>
      <w:r>
        <w:rPr>
          <w:rFonts w:hint="eastAsia"/>
        </w:rPr>
        <w:tab/>
        <w:t>第78段指出，已经修改了《刑法》第20章(第495/2011号法)，其中规定，凡利用受害者无力自卫而与受害者发生性关系之行为均被认为强奸行为。该段承认，这项修订案遭到批评，理由是它注意到施暴者的意图，而非受害者的拒绝。请提供详细资料，说明对强奸案的惩处做法的研究结果。还请提供最新资料，说明通过2012年向议会提交的法案对强奸法作出的修订，以及强奸案中遭到起诉和定罪的统计数字。</w:t>
      </w:r>
    </w:p>
    <w:p w:rsidR="00E41B04" w:rsidRDefault="00E41B04" w:rsidP="00E41B04">
      <w:pPr>
        <w:pStyle w:val="SingleTxt"/>
        <w:rPr>
          <w:rFonts w:hint="eastAsia"/>
        </w:rPr>
      </w:pPr>
      <w:r>
        <w:rPr>
          <w:rFonts w:hint="eastAsia"/>
        </w:rPr>
        <w:t>11.</w:t>
      </w:r>
      <w:r>
        <w:rPr>
          <w:rFonts w:hint="eastAsia"/>
        </w:rPr>
        <w:tab/>
        <w:t>第89段指出，根据《刑事和某些民事案件调解法》(第1015/2005号法)的规定，对涉及亲密关系的暴力犯罪允许进行调解，但性暴力除外，对这种暴力不能提交调解。根据总检察长2007年的指示，调解主要适用于“自诉罪行”。请提供详细资料，说明允许进行和解的罪行以及以英文提交统计数字(以前以芬兰文提交这项数字)。</w:t>
      </w:r>
    </w:p>
    <w:p w:rsidR="00E41B04" w:rsidRDefault="00E41B04" w:rsidP="00E41B04">
      <w:pPr>
        <w:pStyle w:val="SingleTxt"/>
        <w:rPr>
          <w:rFonts w:hint="eastAsia"/>
        </w:rPr>
      </w:pPr>
      <w:r>
        <w:rPr>
          <w:rFonts w:hint="eastAsia"/>
        </w:rPr>
        <w:t>12.</w:t>
      </w:r>
      <w:r>
        <w:rPr>
          <w:rFonts w:hint="eastAsia"/>
        </w:rPr>
        <w:tab/>
        <w:t xml:space="preserve">第98段指出，正在制定收容所统一质量标准的建议；第97段指出，启动了一个建立收容所网络模式的项目，为遭受过严重暴力或暴力威胁的人提供不对外公开的住址。请提供关于这些举措的最新资料。提交给委员会的资料还指出，收容所的数量普遍不够或分布地点不均、没有照顾到残疾妇女的需要以及政府提供的经费不足。请提供详细资料，说明这项社会福利方案及其为解决这些不足之处所采取的措施。 </w:t>
      </w:r>
    </w:p>
    <w:p w:rsidR="00E41B04" w:rsidRDefault="00E41B04" w:rsidP="00E41B04">
      <w:pPr>
        <w:pStyle w:val="SingleTxt"/>
        <w:rPr>
          <w:rFonts w:hint="eastAsia"/>
        </w:rPr>
      </w:pPr>
      <w:r>
        <w:rPr>
          <w:rFonts w:hint="eastAsia"/>
        </w:rPr>
        <w:t>13.</w:t>
      </w:r>
      <w:r>
        <w:rPr>
          <w:rFonts w:hint="eastAsia"/>
        </w:rPr>
        <w:tab/>
        <w:t xml:space="preserve">请提供详细资料，说明缔约国提供给遭到性别暴力的女性受害者的他种服务，如强奸危机处理中心、全天提供的电话服务和全日开放的收容中心等。 </w:t>
      </w:r>
    </w:p>
    <w:p w:rsidR="00E41B04" w:rsidRPr="00E41B04" w:rsidRDefault="00E41B04" w:rsidP="00E41B04">
      <w:pPr>
        <w:pStyle w:val="SingleTxt"/>
        <w:rPr>
          <w:rFonts w:ascii="SimHei" w:eastAsia="SimHei" w:hint="eastAsia"/>
        </w:rPr>
      </w:pPr>
      <w:r w:rsidRPr="00E41B04">
        <w:rPr>
          <w:rFonts w:ascii="SimHei" w:eastAsia="SimHei" w:hint="eastAsia"/>
        </w:rPr>
        <w:t>贩运和剥削卖淫</w:t>
      </w:r>
    </w:p>
    <w:p w:rsidR="00E41B04" w:rsidRDefault="00E41B04" w:rsidP="00E41B04">
      <w:pPr>
        <w:pStyle w:val="SingleTxt"/>
        <w:rPr>
          <w:rFonts w:hint="eastAsia"/>
        </w:rPr>
      </w:pPr>
      <w:r>
        <w:rPr>
          <w:rFonts w:hint="eastAsia"/>
        </w:rPr>
        <w:t>14.</w:t>
      </w:r>
      <w:r>
        <w:rPr>
          <w:rFonts w:hint="eastAsia"/>
        </w:rPr>
        <w:tab/>
        <w:t xml:space="preserve">第110段指出，法律事务委员会认为，评估适用于性贩卖受害者的刑法条款对决定它加强保护受害者的程度十分重要。它期望在2011年议会选举后进行这项工作。请提供有关这项问题的详细资料。 </w:t>
      </w:r>
    </w:p>
    <w:p w:rsidR="00E41B04" w:rsidRDefault="00E41B04" w:rsidP="00E41B04">
      <w:pPr>
        <w:pStyle w:val="SingleTxt"/>
        <w:rPr>
          <w:rFonts w:hint="eastAsia"/>
        </w:rPr>
      </w:pPr>
      <w:r>
        <w:rPr>
          <w:rFonts w:hint="eastAsia"/>
        </w:rPr>
        <w:t>15.</w:t>
      </w:r>
      <w:r>
        <w:rPr>
          <w:rFonts w:hint="eastAsia"/>
        </w:rPr>
        <w:tab/>
        <w:t xml:space="preserve">第116段指出，内政部为提出依照《打击人口贩运订正行动计划》制定遏止人口贩运措施的办法的建议任命了一个指导小组，该小组建议应起草对人口贩运受害者提供援助的特别立法。请提供有关根据这些建议所采取的行动的最新资料。 </w:t>
      </w:r>
    </w:p>
    <w:p w:rsidR="00E41B04" w:rsidRDefault="00E41B04" w:rsidP="00E41B04">
      <w:pPr>
        <w:pStyle w:val="SingleTxt"/>
        <w:rPr>
          <w:rFonts w:hint="eastAsia"/>
        </w:rPr>
      </w:pPr>
      <w:r>
        <w:rPr>
          <w:rFonts w:hint="eastAsia"/>
        </w:rPr>
        <w:t>16.</w:t>
      </w:r>
      <w:r>
        <w:rPr>
          <w:rFonts w:hint="eastAsia"/>
        </w:rPr>
        <w:tab/>
        <w:t>请提供进一步资料，说明缔约国管理卖淫和按摩院暗娼的立法，包括有关对在按摩院工作的人给予支持的资料。</w:t>
      </w:r>
    </w:p>
    <w:p w:rsidR="00E41B04" w:rsidRPr="00E41B04" w:rsidRDefault="00E41B04" w:rsidP="00E41B04">
      <w:pPr>
        <w:pStyle w:val="SingleTxt"/>
        <w:rPr>
          <w:rFonts w:ascii="SimHei" w:eastAsia="SimHei" w:hint="eastAsia"/>
        </w:rPr>
      </w:pPr>
      <w:r w:rsidRPr="00E41B04">
        <w:rPr>
          <w:rFonts w:ascii="SimHei" w:eastAsia="SimHei" w:hint="eastAsia"/>
        </w:rPr>
        <w:t>参与政治和公共生活</w:t>
      </w:r>
    </w:p>
    <w:p w:rsidR="00E41B04" w:rsidRDefault="00E41B04" w:rsidP="00E41B04">
      <w:pPr>
        <w:pStyle w:val="SingleTxt"/>
        <w:rPr>
          <w:rFonts w:hint="eastAsia"/>
        </w:rPr>
      </w:pPr>
      <w:r>
        <w:rPr>
          <w:rFonts w:hint="eastAsia"/>
        </w:rPr>
        <w:t>17.</w:t>
      </w:r>
      <w:r>
        <w:rPr>
          <w:rFonts w:hint="eastAsia"/>
        </w:rPr>
        <w:tab/>
        <w:t>请提供数据，说明在地方政府和中央政府任职的少数族裔妇女和残疾妇女的人数，并指出为增加她们的参与所采取的措施。</w:t>
      </w:r>
    </w:p>
    <w:p w:rsidR="00E41B04" w:rsidRPr="00E41B04" w:rsidRDefault="00E41B04" w:rsidP="00E41B04">
      <w:pPr>
        <w:pStyle w:val="SingleTxt"/>
        <w:rPr>
          <w:rFonts w:ascii="SimHei" w:eastAsia="SimHei" w:hint="eastAsia"/>
        </w:rPr>
      </w:pPr>
      <w:r w:rsidRPr="00E41B04">
        <w:rPr>
          <w:rFonts w:ascii="SimHei" w:eastAsia="SimHei" w:hint="eastAsia"/>
        </w:rPr>
        <w:t>就业</w:t>
      </w:r>
    </w:p>
    <w:p w:rsidR="00E41B04" w:rsidRDefault="00E41B04" w:rsidP="00E41B04">
      <w:pPr>
        <w:pStyle w:val="SingleTxt"/>
        <w:rPr>
          <w:rFonts w:hint="eastAsia"/>
        </w:rPr>
      </w:pPr>
      <w:r>
        <w:rPr>
          <w:rFonts w:hint="eastAsia"/>
        </w:rPr>
        <w:t>18.</w:t>
      </w:r>
      <w:r>
        <w:rPr>
          <w:rFonts w:hint="eastAsia"/>
        </w:rPr>
        <w:tab/>
        <w:t xml:space="preserve">第179段指出，基于性别的工资差距仍是缔约国的一个严重两性平等问题。请提供详细资料，说明政府为在2015年降低2006年的工资差距20%至少5%所推行的同工同酬方案的结果。还请提供资料，说明目前对不保证男女同工同酬的雇主和对被控不当辞退怀孕妇女的雇主所作的惩处。 </w:t>
      </w:r>
    </w:p>
    <w:p w:rsidR="00E41B04" w:rsidRDefault="00E41B04" w:rsidP="00E41B04">
      <w:pPr>
        <w:pStyle w:val="SingleTxt"/>
        <w:rPr>
          <w:rFonts w:hint="eastAsia"/>
        </w:rPr>
      </w:pPr>
      <w:r>
        <w:rPr>
          <w:rFonts w:hint="eastAsia"/>
        </w:rPr>
        <w:t>19.</w:t>
      </w:r>
      <w:r>
        <w:rPr>
          <w:rFonts w:hint="eastAsia"/>
        </w:rPr>
        <w:tab/>
        <w:t>有报告指出，移民和罗姆妇女及残疾妇女的失业率低于一般大众的失业率。请提供资料，说明为改善这些妇女的就业状况所采取的措施，并指出缔约国是否考虑批准《残疾人权利公约》和《保护所有移徙工人及其家庭成员权利国际公约》。</w:t>
      </w:r>
    </w:p>
    <w:p w:rsidR="00E41B04" w:rsidRPr="00E41B04" w:rsidRDefault="00E41B04" w:rsidP="00E41B04">
      <w:pPr>
        <w:pStyle w:val="SingleTxt"/>
        <w:rPr>
          <w:rFonts w:ascii="SimHei" w:eastAsia="SimHei" w:hint="eastAsia"/>
        </w:rPr>
      </w:pPr>
      <w:r w:rsidRPr="00E41B04">
        <w:rPr>
          <w:rFonts w:ascii="SimHei" w:eastAsia="SimHei" w:hint="eastAsia"/>
        </w:rPr>
        <w:t>健康</w:t>
      </w:r>
    </w:p>
    <w:p w:rsidR="00E41B04" w:rsidRDefault="00E41B04" w:rsidP="00E41B04">
      <w:pPr>
        <w:pStyle w:val="SingleTxt"/>
        <w:rPr>
          <w:rFonts w:hint="eastAsia"/>
        </w:rPr>
      </w:pPr>
      <w:r>
        <w:rPr>
          <w:rFonts w:hint="eastAsia"/>
        </w:rPr>
        <w:t>20.</w:t>
      </w:r>
      <w:r>
        <w:rPr>
          <w:rFonts w:hint="eastAsia"/>
        </w:rPr>
        <w:tab/>
        <w:t>请提供资料，说明罗姆妇女、移民妇女和萨米妇女及残疾妇女的健康状况和使她们获得保健服务包括产前和产后照顾所采取的措施。</w:t>
      </w:r>
    </w:p>
    <w:p w:rsidR="00EA31C3" w:rsidRPr="00E41B04" w:rsidRDefault="00E41B04" w:rsidP="00E41B04">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EA31C3" w:rsidRPr="00E41B04" w:rsidSect="00374C02">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01T16:33:00Z" w:initials="Start">
    <w:p w:rsidR="00A30133" w:rsidRDefault="00A30133">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NO&gt;&gt;N1341651C&lt;&lt;ODS JOB NO&gt;&gt;</w:t>
      </w:r>
    </w:p>
    <w:p w:rsidR="00A30133" w:rsidRDefault="00A30133">
      <w:pPr>
        <w:pStyle w:val="CommentText"/>
      </w:pPr>
      <w:r>
        <w:t>&lt;&lt;ODS DOC SYMBOL1&gt;&gt;CEDAW/C/FIN/Q/7&lt;&lt;ODS DOC SYMBOL1&gt;&gt;</w:t>
      </w:r>
    </w:p>
    <w:p w:rsidR="00A30133" w:rsidRDefault="00A3013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699" w:rsidRDefault="003F6699">
      <w:r>
        <w:separator/>
      </w:r>
    </w:p>
  </w:endnote>
  <w:endnote w:type="continuationSeparator" w:id="0">
    <w:p w:rsidR="003F6699" w:rsidRDefault="003F66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30133" w:rsidTr="00374C02">
      <w:tblPrEx>
        <w:tblCellMar>
          <w:top w:w="0" w:type="dxa"/>
          <w:bottom w:w="0" w:type="dxa"/>
        </w:tblCellMar>
      </w:tblPrEx>
      <w:tc>
        <w:tcPr>
          <w:tcW w:w="5033" w:type="dxa"/>
          <w:shd w:val="clear" w:color="auto" w:fill="auto"/>
        </w:tcPr>
        <w:p w:rsidR="00A30133" w:rsidRPr="00374C02" w:rsidRDefault="00A30133" w:rsidP="00374C02">
          <w:pPr>
            <w:pStyle w:val="Footer"/>
            <w:jc w:val="right"/>
            <w:rPr>
              <w:b w:val="0"/>
              <w:w w:val="103"/>
              <w:sz w:val="14"/>
            </w:rPr>
          </w:pPr>
          <w:fldSimple w:instr=" DOCVARIABLE &quot;FooterJN&quot; \* MERGEFORMAT ">
            <w:r>
              <w:rPr>
                <w:b w:val="0"/>
                <w:w w:val="103"/>
                <w:sz w:val="14"/>
              </w:rPr>
              <w:t>13-41651 (C)</w:t>
            </w:r>
          </w:fldSimple>
        </w:p>
      </w:tc>
      <w:tc>
        <w:tcPr>
          <w:tcW w:w="5033" w:type="dxa"/>
          <w:shd w:val="clear" w:color="auto" w:fill="auto"/>
        </w:tcPr>
        <w:p w:rsidR="00A30133" w:rsidRPr="00374C02" w:rsidRDefault="00A30133" w:rsidP="00374C02">
          <w:pPr>
            <w:pStyle w:val="Footer"/>
            <w:jc w:val="left"/>
            <w:rPr>
              <w:w w:val="103"/>
            </w:rPr>
          </w:pPr>
          <w:r>
            <w:rPr>
              <w:w w:val="103"/>
            </w:rPr>
            <w:fldChar w:fldCharType="begin"/>
          </w:r>
          <w:r>
            <w:rPr>
              <w:w w:val="103"/>
            </w:rPr>
            <w:instrText xml:space="preserve"> PAGE  \* Arabic  \* MERGEFORMAT </w:instrText>
          </w:r>
          <w:r>
            <w:rPr>
              <w:w w:val="103"/>
            </w:rPr>
            <w:fldChar w:fldCharType="separate"/>
          </w:r>
          <w:r w:rsidR="00D6647A">
            <w:rPr>
              <w:w w:val="103"/>
            </w:rPr>
            <w:t>2</w:t>
          </w:r>
          <w:r>
            <w:rPr>
              <w:w w:val="103"/>
            </w:rPr>
            <w:fldChar w:fldCharType="end"/>
          </w:r>
          <w:r>
            <w:rPr>
              <w:w w:val="103"/>
            </w:rPr>
            <w:t>/</w:t>
          </w:r>
          <w:fldSimple w:instr=" NUMPAGES  \* Arabic  \* MERGEFORMAT ">
            <w:r w:rsidR="00D6647A">
              <w:rPr>
                <w:w w:val="103"/>
              </w:rPr>
              <w:t>3</w:t>
            </w:r>
          </w:fldSimple>
        </w:p>
      </w:tc>
    </w:tr>
  </w:tbl>
  <w:p w:rsidR="00A30133" w:rsidRPr="00374C02" w:rsidRDefault="00A30133" w:rsidP="00374C0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30133" w:rsidTr="00374C02">
      <w:tblPrEx>
        <w:tblCellMar>
          <w:top w:w="0" w:type="dxa"/>
          <w:bottom w:w="0" w:type="dxa"/>
        </w:tblCellMar>
      </w:tblPrEx>
      <w:tc>
        <w:tcPr>
          <w:tcW w:w="5033" w:type="dxa"/>
          <w:shd w:val="clear" w:color="auto" w:fill="auto"/>
        </w:tcPr>
        <w:p w:rsidR="00A30133" w:rsidRPr="00374C02" w:rsidRDefault="00A30133" w:rsidP="00374C02">
          <w:pPr>
            <w:pStyle w:val="Footer"/>
            <w:jc w:val="right"/>
          </w:pPr>
          <w:fldSimple w:instr=" PAGE  \* Arabic  \* MERGEFORMAT ">
            <w:r w:rsidR="00D6647A">
              <w:t>3</w:t>
            </w:r>
          </w:fldSimple>
          <w:r>
            <w:t>/</w:t>
          </w:r>
          <w:fldSimple w:instr=" NUMPAGES  \* Arabic  \* MERGEFORMAT ">
            <w:r w:rsidR="00D6647A">
              <w:t>3</w:t>
            </w:r>
          </w:fldSimple>
        </w:p>
      </w:tc>
      <w:tc>
        <w:tcPr>
          <w:tcW w:w="5033" w:type="dxa"/>
          <w:shd w:val="clear" w:color="auto" w:fill="auto"/>
        </w:tcPr>
        <w:p w:rsidR="00A30133" w:rsidRPr="00374C02" w:rsidRDefault="00A30133" w:rsidP="00374C02">
          <w:pPr>
            <w:pStyle w:val="Footer"/>
            <w:jc w:val="left"/>
            <w:rPr>
              <w:b w:val="0"/>
              <w:w w:val="103"/>
              <w:sz w:val="14"/>
            </w:rPr>
          </w:pPr>
          <w:fldSimple w:instr=" DOCVARIABLE &quot;FooterJN&quot; \* MERGEFORMAT ">
            <w:r>
              <w:rPr>
                <w:b w:val="0"/>
                <w:w w:val="103"/>
                <w:sz w:val="14"/>
              </w:rPr>
              <w:t>13-41651 (C)</w:t>
            </w:r>
          </w:fldSimple>
        </w:p>
      </w:tc>
    </w:tr>
  </w:tbl>
  <w:p w:rsidR="00A30133" w:rsidRPr="00374C02" w:rsidRDefault="00A30133" w:rsidP="00374C0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A30133" w:rsidTr="00374C02">
      <w:tblPrEx>
        <w:tblCellMar>
          <w:top w:w="0" w:type="dxa"/>
          <w:bottom w:w="0" w:type="dxa"/>
        </w:tblCellMar>
      </w:tblPrEx>
      <w:tc>
        <w:tcPr>
          <w:tcW w:w="5033" w:type="dxa"/>
        </w:tcPr>
        <w:p w:rsidR="00A30133" w:rsidRPr="00E41B04" w:rsidRDefault="00A30133" w:rsidP="00374C02">
          <w:pPr>
            <w:pStyle w:val="Footer"/>
            <w:rPr>
              <w:b w:val="0"/>
              <w:sz w:val="21"/>
            </w:rPr>
          </w:pPr>
          <w:r w:rsidRPr="00E41B04">
            <w:rPr>
              <w:b w:val="0"/>
              <w:sz w:val="21"/>
            </w:rPr>
            <w:t>13-41651 X (C)    300913    061113</w:t>
          </w:r>
        </w:p>
        <w:p w:rsidR="00A30133" w:rsidRPr="00374C02" w:rsidRDefault="00A30133" w:rsidP="00374C02">
          <w:pPr>
            <w:spacing w:before="80" w:line="210" w:lineRule="exact"/>
            <w:rPr>
              <w:rFonts w:ascii="Barcode 3 of 9 by request" w:hAnsi="Barcode 3 of 9 by request"/>
              <w:sz w:val="24"/>
            </w:rPr>
          </w:pPr>
          <w:r>
            <w:rPr>
              <w:rFonts w:ascii="Barcode 3 of 9 by request" w:hAnsi="Barcode 3 of 9 by request" w:hint="eastAsia"/>
              <w:sz w:val="24"/>
            </w:rPr>
            <w:t>*1341651C*</w:t>
          </w:r>
        </w:p>
      </w:tc>
      <w:tc>
        <w:tcPr>
          <w:tcW w:w="3686" w:type="dxa"/>
        </w:tcPr>
        <w:p w:rsidR="00A30133" w:rsidRDefault="00A30133" w:rsidP="00374C02">
          <w:pPr>
            <w:pStyle w:val="Footer"/>
            <w:jc w:val="right"/>
            <w:rPr>
              <w:b w:val="0"/>
              <w:sz w:val="21"/>
            </w:rPr>
          </w:pPr>
          <w:r w:rsidRPr="00374C02">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A30133" w:rsidRPr="00374C02" w:rsidRDefault="00A30133" w:rsidP="00374C0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699" w:rsidRPr="00E41B04" w:rsidRDefault="003F6699" w:rsidP="00E41B04">
      <w:pPr>
        <w:pStyle w:val="Footer"/>
        <w:spacing w:after="80"/>
        <w:ind w:left="792"/>
        <w:rPr>
          <w:sz w:val="16"/>
        </w:rPr>
      </w:pPr>
      <w:r w:rsidRPr="00E41B04">
        <w:rPr>
          <w:sz w:val="16"/>
        </w:rPr>
        <w:t>__________________</w:t>
      </w:r>
    </w:p>
  </w:footnote>
  <w:footnote w:type="continuationSeparator" w:id="0">
    <w:p w:rsidR="003F6699" w:rsidRPr="00E41B04" w:rsidRDefault="003F6699" w:rsidP="00E41B04">
      <w:pPr>
        <w:pStyle w:val="Footer"/>
        <w:spacing w:after="80"/>
        <w:ind w:left="792"/>
        <w:rPr>
          <w:sz w:val="16"/>
        </w:rPr>
      </w:pPr>
      <w:r w:rsidRPr="00E41B04">
        <w:rPr>
          <w:sz w:val="16"/>
        </w:rPr>
        <w:t>__________________</w:t>
      </w:r>
    </w:p>
  </w:footnote>
  <w:footnote w:id="1">
    <w:p w:rsidR="00A30133" w:rsidRPr="00E41B04" w:rsidRDefault="00A30133" w:rsidP="00E41B0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sidRPr="00E41B04">
        <w:rPr>
          <w:rFonts w:ascii="Times New Roman"/>
          <w:vertAlign w:val="superscript"/>
        </w:rPr>
        <w:t>*</w:t>
      </w:r>
      <w:r>
        <w:tab/>
      </w:r>
      <w:r w:rsidRPr="00E41B04">
        <w:rPr>
          <w:rFonts w:hint="eastAsia"/>
        </w:rPr>
        <w:t>经由2013年7月29日至8月2日举行会议的第五十七届会议会前工作组通过。</w:t>
      </w:r>
    </w:p>
    <w:p w:rsidR="00A30133" w:rsidRPr="00E41B04" w:rsidRDefault="00A30133" w:rsidP="00E41B0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41B04">
        <w:rPr>
          <w:rFonts w:hint="eastAsia"/>
        </w:rPr>
        <w:t>除非另有说明，段落号码是指缔约国提交的第七次定期报告(CEDAW/C/FIN/7)的段号。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30133" w:rsidTr="00374C02">
      <w:tblPrEx>
        <w:tblCellMar>
          <w:top w:w="0" w:type="dxa"/>
          <w:bottom w:w="0" w:type="dxa"/>
        </w:tblCellMar>
      </w:tblPrEx>
      <w:trPr>
        <w:trHeight w:hRule="exact" w:val="864"/>
      </w:trPr>
      <w:tc>
        <w:tcPr>
          <w:tcW w:w="4838" w:type="dxa"/>
          <w:shd w:val="clear" w:color="auto" w:fill="auto"/>
          <w:vAlign w:val="bottom"/>
        </w:tcPr>
        <w:p w:rsidR="00A30133" w:rsidRPr="00374C02" w:rsidRDefault="00A30133" w:rsidP="00374C02">
          <w:pPr>
            <w:pStyle w:val="Header"/>
            <w:spacing w:after="80"/>
            <w:jc w:val="left"/>
            <w:rPr>
              <w:b/>
              <w:sz w:val="17"/>
            </w:rPr>
          </w:pPr>
          <w:fldSimple w:instr=" DOCVARIABLE &quot;sss1&quot; \* MERGEFORMAT ">
            <w:r>
              <w:rPr>
                <w:b/>
                <w:sz w:val="17"/>
              </w:rPr>
              <w:t xml:space="preserve">CEDAW/C/FIN/Q/7 </w:t>
            </w:r>
          </w:fldSimple>
        </w:p>
      </w:tc>
      <w:tc>
        <w:tcPr>
          <w:tcW w:w="5033" w:type="dxa"/>
          <w:shd w:val="clear" w:color="auto" w:fill="auto"/>
          <w:vAlign w:val="bottom"/>
        </w:tcPr>
        <w:p w:rsidR="00A30133" w:rsidRDefault="00A30133" w:rsidP="00374C02">
          <w:pPr>
            <w:pStyle w:val="Header"/>
          </w:pPr>
        </w:p>
      </w:tc>
    </w:tr>
  </w:tbl>
  <w:p w:rsidR="00A30133" w:rsidRPr="00374C02" w:rsidRDefault="00A30133" w:rsidP="00374C0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30133" w:rsidTr="00374C02">
      <w:tblPrEx>
        <w:tblCellMar>
          <w:top w:w="0" w:type="dxa"/>
          <w:bottom w:w="0" w:type="dxa"/>
        </w:tblCellMar>
      </w:tblPrEx>
      <w:trPr>
        <w:trHeight w:hRule="exact" w:val="864"/>
      </w:trPr>
      <w:tc>
        <w:tcPr>
          <w:tcW w:w="4838" w:type="dxa"/>
          <w:shd w:val="clear" w:color="auto" w:fill="auto"/>
          <w:vAlign w:val="bottom"/>
        </w:tcPr>
        <w:p w:rsidR="00A30133" w:rsidRDefault="00A30133" w:rsidP="00374C02">
          <w:pPr>
            <w:pStyle w:val="Header"/>
          </w:pPr>
        </w:p>
      </w:tc>
      <w:tc>
        <w:tcPr>
          <w:tcW w:w="5033" w:type="dxa"/>
          <w:shd w:val="clear" w:color="auto" w:fill="auto"/>
          <w:vAlign w:val="bottom"/>
        </w:tcPr>
        <w:p w:rsidR="00A30133" w:rsidRPr="00374C02" w:rsidRDefault="00A30133" w:rsidP="00374C02">
          <w:pPr>
            <w:pStyle w:val="Header"/>
            <w:spacing w:after="80"/>
            <w:jc w:val="right"/>
            <w:rPr>
              <w:b/>
              <w:sz w:val="17"/>
            </w:rPr>
          </w:pPr>
          <w:fldSimple w:instr=" DOCVARIABLE &quot;sss1&quot; \* MERGEFORMAT ">
            <w:r>
              <w:rPr>
                <w:b/>
                <w:sz w:val="17"/>
              </w:rPr>
              <w:t xml:space="preserve">CEDAW/C/FIN/Q/7 </w:t>
            </w:r>
          </w:fldSimple>
        </w:p>
      </w:tc>
    </w:tr>
  </w:tbl>
  <w:p w:rsidR="00A30133" w:rsidRPr="00374C02" w:rsidRDefault="00A30133" w:rsidP="00374C0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A30133" w:rsidTr="00374C0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30133" w:rsidRDefault="00A30133" w:rsidP="00374C02">
          <w:pPr>
            <w:pStyle w:val="Header"/>
            <w:spacing w:after="120"/>
          </w:pPr>
        </w:p>
      </w:tc>
      <w:tc>
        <w:tcPr>
          <w:tcW w:w="1872" w:type="dxa"/>
          <w:tcBorders>
            <w:bottom w:val="single" w:sz="4" w:space="0" w:color="auto"/>
          </w:tcBorders>
          <w:shd w:val="clear" w:color="auto" w:fill="auto"/>
          <w:vAlign w:val="bottom"/>
        </w:tcPr>
        <w:p w:rsidR="00A30133" w:rsidRPr="00374C02" w:rsidRDefault="00A30133" w:rsidP="00374C0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30133" w:rsidRDefault="00A30133" w:rsidP="00374C02">
          <w:pPr>
            <w:pStyle w:val="Header"/>
            <w:spacing w:after="120"/>
          </w:pPr>
        </w:p>
      </w:tc>
      <w:tc>
        <w:tcPr>
          <w:tcW w:w="6523" w:type="dxa"/>
          <w:gridSpan w:val="3"/>
          <w:tcBorders>
            <w:bottom w:val="single" w:sz="4" w:space="0" w:color="auto"/>
          </w:tcBorders>
          <w:shd w:val="clear" w:color="auto" w:fill="auto"/>
          <w:vAlign w:val="bottom"/>
        </w:tcPr>
        <w:p w:rsidR="00A30133" w:rsidRPr="00374C02" w:rsidRDefault="00A30133" w:rsidP="00374C02">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/C/FIN/Q/7 </w:t>
          </w:r>
        </w:p>
      </w:tc>
    </w:tr>
    <w:tr w:rsidR="00A30133" w:rsidRPr="00374C02" w:rsidTr="00374C0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30133" w:rsidRDefault="00A30133" w:rsidP="00374C0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30133" w:rsidRPr="00374C02" w:rsidRDefault="00A30133" w:rsidP="00374C02">
          <w:pPr>
            <w:pStyle w:val="Header"/>
            <w:spacing w:before="109"/>
            <w:ind w:left="-72"/>
          </w:pPr>
        </w:p>
      </w:tc>
      <w:tc>
        <w:tcPr>
          <w:tcW w:w="5227" w:type="dxa"/>
          <w:gridSpan w:val="3"/>
          <w:tcBorders>
            <w:top w:val="single" w:sz="4" w:space="0" w:color="auto"/>
            <w:bottom w:val="single" w:sz="12" w:space="0" w:color="auto"/>
          </w:tcBorders>
          <w:shd w:val="clear" w:color="auto" w:fill="auto"/>
        </w:tcPr>
        <w:p w:rsidR="00A30133" w:rsidRPr="00374C02" w:rsidRDefault="00A30133" w:rsidP="00374C0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30133" w:rsidRPr="00374C02" w:rsidRDefault="00A30133" w:rsidP="00374C02">
          <w:pPr>
            <w:pStyle w:val="Header"/>
            <w:spacing w:before="109"/>
          </w:pPr>
        </w:p>
      </w:tc>
      <w:tc>
        <w:tcPr>
          <w:tcW w:w="3180" w:type="dxa"/>
          <w:gridSpan w:val="2"/>
          <w:tcBorders>
            <w:top w:val="single" w:sz="4" w:space="0" w:color="auto"/>
            <w:bottom w:val="single" w:sz="12" w:space="0" w:color="auto"/>
          </w:tcBorders>
          <w:shd w:val="clear" w:color="auto" w:fill="auto"/>
        </w:tcPr>
        <w:p w:rsidR="00A30133" w:rsidRDefault="00A30133" w:rsidP="00374C02">
          <w:pPr>
            <w:spacing w:before="240" w:line="240" w:lineRule="exact"/>
            <w:rPr>
              <w:rFonts w:ascii="Times New Roman"/>
            </w:rPr>
          </w:pPr>
          <w:r>
            <w:rPr>
              <w:rFonts w:ascii="Times New Roman"/>
            </w:rPr>
            <w:t>Distr.: General</w:t>
          </w:r>
        </w:p>
        <w:p w:rsidR="00A30133" w:rsidRDefault="00A30133" w:rsidP="00374C02">
          <w:pPr>
            <w:spacing w:line="240" w:lineRule="exact"/>
            <w:rPr>
              <w:rFonts w:ascii="Times New Roman"/>
            </w:rPr>
          </w:pPr>
          <w:r>
            <w:rPr>
              <w:rFonts w:ascii="Times New Roman"/>
            </w:rPr>
            <w:t>2 August 2013</w:t>
          </w:r>
        </w:p>
        <w:p w:rsidR="00A30133" w:rsidRDefault="00A30133" w:rsidP="00374C02">
          <w:pPr>
            <w:spacing w:line="240" w:lineRule="exact"/>
            <w:rPr>
              <w:rFonts w:ascii="Times New Roman"/>
            </w:rPr>
          </w:pPr>
          <w:r>
            <w:rPr>
              <w:rFonts w:ascii="Times New Roman"/>
            </w:rPr>
            <w:t>Chinese</w:t>
          </w:r>
        </w:p>
        <w:p w:rsidR="00A30133" w:rsidRPr="00374C02" w:rsidRDefault="00A30133" w:rsidP="00374C02">
          <w:pPr>
            <w:spacing w:line="240" w:lineRule="exact"/>
            <w:rPr>
              <w:rFonts w:ascii="Times New Roman"/>
            </w:rPr>
          </w:pPr>
          <w:r>
            <w:rPr>
              <w:rFonts w:ascii="Times New Roman"/>
            </w:rPr>
            <w:t>Original: English</w:t>
          </w:r>
        </w:p>
      </w:tc>
    </w:tr>
  </w:tbl>
  <w:p w:rsidR="00A30133" w:rsidRPr="00374C02" w:rsidRDefault="00A30133" w:rsidP="00374C0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51*"/>
    <w:docVar w:name="CreationDt" w:val="01/10/2013 16:28:15"/>
    <w:docVar w:name="DocCategory" w:val="Doc"/>
    <w:docVar w:name="DocType" w:val="Final"/>
    <w:docVar w:name="FooterJN" w:val="13-41651 (C)"/>
    <w:docVar w:name="jobn" w:val="13-41651 (C)"/>
    <w:docVar w:name="jobnDT" w:val="13-41651 (C)   011013"/>
    <w:docVar w:name="jobnDTDT" w:val="13-41651 (C)   011013   011013"/>
    <w:docVar w:name="JobNo" w:val="1341651C"/>
    <w:docVar w:name="OandT" w:val="yanghua"/>
    <w:docVar w:name="sss1" w:val="CEDAW/C/FIN/Q/7 "/>
    <w:docVar w:name="sss2" w:val="-"/>
    <w:docVar w:name="Symbol1" w:val="CEDAW/C/FIN/Q/7 "/>
    <w:docVar w:name="Symbol2" w:val="-"/>
  </w:docVars>
  <w:rsids>
    <w:rsidRoot w:val="008D0FF9"/>
    <w:rsid w:val="0000347C"/>
    <w:rsid w:val="000125BC"/>
    <w:rsid w:val="0001645E"/>
    <w:rsid w:val="00021A2B"/>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E240F"/>
    <w:rsid w:val="000E49A4"/>
    <w:rsid w:val="000F1058"/>
    <w:rsid w:val="000F55DC"/>
    <w:rsid w:val="00101C4E"/>
    <w:rsid w:val="001079EB"/>
    <w:rsid w:val="001113F8"/>
    <w:rsid w:val="001212F9"/>
    <w:rsid w:val="00121328"/>
    <w:rsid w:val="0012708E"/>
    <w:rsid w:val="001329F7"/>
    <w:rsid w:val="00141322"/>
    <w:rsid w:val="0015066B"/>
    <w:rsid w:val="00150D3A"/>
    <w:rsid w:val="00153D29"/>
    <w:rsid w:val="00161E69"/>
    <w:rsid w:val="00161F54"/>
    <w:rsid w:val="00170FBE"/>
    <w:rsid w:val="00174233"/>
    <w:rsid w:val="001746A8"/>
    <w:rsid w:val="0017506F"/>
    <w:rsid w:val="001917F2"/>
    <w:rsid w:val="001B2814"/>
    <w:rsid w:val="001B4F95"/>
    <w:rsid w:val="001C3329"/>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4601"/>
    <w:rsid w:val="00346223"/>
    <w:rsid w:val="00363610"/>
    <w:rsid w:val="003649EE"/>
    <w:rsid w:val="00371BC6"/>
    <w:rsid w:val="00373A15"/>
    <w:rsid w:val="00374C02"/>
    <w:rsid w:val="00376C04"/>
    <w:rsid w:val="00383ACA"/>
    <w:rsid w:val="00384CB1"/>
    <w:rsid w:val="00394A02"/>
    <w:rsid w:val="003966E8"/>
    <w:rsid w:val="003C7B20"/>
    <w:rsid w:val="003D075F"/>
    <w:rsid w:val="003E4565"/>
    <w:rsid w:val="003E748F"/>
    <w:rsid w:val="003E7612"/>
    <w:rsid w:val="003F6699"/>
    <w:rsid w:val="00414423"/>
    <w:rsid w:val="004268D9"/>
    <w:rsid w:val="00433853"/>
    <w:rsid w:val="00440B0D"/>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15C01"/>
    <w:rsid w:val="00521275"/>
    <w:rsid w:val="0052216F"/>
    <w:rsid w:val="005232CA"/>
    <w:rsid w:val="00523636"/>
    <w:rsid w:val="0053111B"/>
    <w:rsid w:val="005335B9"/>
    <w:rsid w:val="00536CCE"/>
    <w:rsid w:val="00552CE5"/>
    <w:rsid w:val="005541E4"/>
    <w:rsid w:val="00554F60"/>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328DE"/>
    <w:rsid w:val="006353DE"/>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83DB0"/>
    <w:rsid w:val="00884C8F"/>
    <w:rsid w:val="00896D38"/>
    <w:rsid w:val="008A0216"/>
    <w:rsid w:val="008C076B"/>
    <w:rsid w:val="008C3296"/>
    <w:rsid w:val="008C3413"/>
    <w:rsid w:val="008D0FF9"/>
    <w:rsid w:val="008E2D03"/>
    <w:rsid w:val="008E7BDF"/>
    <w:rsid w:val="008F2BB5"/>
    <w:rsid w:val="008F425D"/>
    <w:rsid w:val="008F5472"/>
    <w:rsid w:val="008F5D0F"/>
    <w:rsid w:val="009122E0"/>
    <w:rsid w:val="00913351"/>
    <w:rsid w:val="00922AFA"/>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252DF"/>
    <w:rsid w:val="00A26C97"/>
    <w:rsid w:val="00A27E35"/>
    <w:rsid w:val="00A30133"/>
    <w:rsid w:val="00A33D6D"/>
    <w:rsid w:val="00A37345"/>
    <w:rsid w:val="00A40AAE"/>
    <w:rsid w:val="00A40EA9"/>
    <w:rsid w:val="00A4532A"/>
    <w:rsid w:val="00A5206D"/>
    <w:rsid w:val="00A72E47"/>
    <w:rsid w:val="00A778F1"/>
    <w:rsid w:val="00A90956"/>
    <w:rsid w:val="00A95404"/>
    <w:rsid w:val="00A968C5"/>
    <w:rsid w:val="00AA3C28"/>
    <w:rsid w:val="00AA759D"/>
    <w:rsid w:val="00AB2786"/>
    <w:rsid w:val="00AC550F"/>
    <w:rsid w:val="00AD4308"/>
    <w:rsid w:val="00AF2A33"/>
    <w:rsid w:val="00B03EFA"/>
    <w:rsid w:val="00B309DD"/>
    <w:rsid w:val="00B35235"/>
    <w:rsid w:val="00B36621"/>
    <w:rsid w:val="00B36D64"/>
    <w:rsid w:val="00B41B48"/>
    <w:rsid w:val="00B55E1D"/>
    <w:rsid w:val="00B56194"/>
    <w:rsid w:val="00B60F41"/>
    <w:rsid w:val="00B61A34"/>
    <w:rsid w:val="00B64E8E"/>
    <w:rsid w:val="00B65E8B"/>
    <w:rsid w:val="00B8025A"/>
    <w:rsid w:val="00B827B1"/>
    <w:rsid w:val="00B9116F"/>
    <w:rsid w:val="00BB23A4"/>
    <w:rsid w:val="00BC2276"/>
    <w:rsid w:val="00BD1BFF"/>
    <w:rsid w:val="00BD2150"/>
    <w:rsid w:val="00BE1CC3"/>
    <w:rsid w:val="00BE365A"/>
    <w:rsid w:val="00BE47C4"/>
    <w:rsid w:val="00C052A2"/>
    <w:rsid w:val="00C06A4A"/>
    <w:rsid w:val="00C1391A"/>
    <w:rsid w:val="00C14CE6"/>
    <w:rsid w:val="00C15218"/>
    <w:rsid w:val="00C22BB2"/>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B2B1E"/>
    <w:rsid w:val="00CC053E"/>
    <w:rsid w:val="00CC1E2C"/>
    <w:rsid w:val="00CC3E8B"/>
    <w:rsid w:val="00CC4E84"/>
    <w:rsid w:val="00CD5641"/>
    <w:rsid w:val="00CE474E"/>
    <w:rsid w:val="00CE64AC"/>
    <w:rsid w:val="00CE7DFC"/>
    <w:rsid w:val="00CF49BA"/>
    <w:rsid w:val="00CF7718"/>
    <w:rsid w:val="00D177F1"/>
    <w:rsid w:val="00D323B5"/>
    <w:rsid w:val="00D42ACC"/>
    <w:rsid w:val="00D51DC5"/>
    <w:rsid w:val="00D6647A"/>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25442"/>
    <w:rsid w:val="00E25A1F"/>
    <w:rsid w:val="00E35B72"/>
    <w:rsid w:val="00E37EEB"/>
    <w:rsid w:val="00E41B04"/>
    <w:rsid w:val="00E5153D"/>
    <w:rsid w:val="00E6687B"/>
    <w:rsid w:val="00E710FB"/>
    <w:rsid w:val="00E77E09"/>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CEDAW/C/FIN/CO/6"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HRI/CORE/1/Add.59/Rev.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366</Words>
  <Characters>2089</Characters>
  <Application>Microsoft Office Outlook</Application>
  <DocSecurity>4</DocSecurity>
  <Lines>17</Lines>
  <Paragraphs>4</Paragraphs>
  <ScaleCrop>false</ScaleCrop>
  <Company>United Nations</Company>
  <LinksUpToDate>false</LinksUpToDate>
  <CharactersWithSpaces>2451</CharactersWithSpaces>
  <SharedDoc>false</SharedDoc>
  <HLinks>
    <vt:vector size="12" baseType="variant">
      <vt:variant>
        <vt:i4>1376274</vt:i4>
      </vt:variant>
      <vt:variant>
        <vt:i4>3</vt:i4>
      </vt:variant>
      <vt:variant>
        <vt:i4>0</vt:i4>
      </vt:variant>
      <vt:variant>
        <vt:i4>5</vt:i4>
      </vt:variant>
      <vt:variant>
        <vt:lpwstr>http://undocs.org/ch/CEDAW/C/FIN/CO/6</vt:lpwstr>
      </vt:variant>
      <vt:variant>
        <vt:lpwstr/>
      </vt:variant>
      <vt:variant>
        <vt:i4>1507341</vt:i4>
      </vt:variant>
      <vt:variant>
        <vt:i4>0</vt:i4>
      </vt:variant>
      <vt:variant>
        <vt:i4>0</vt:i4>
      </vt:variant>
      <vt:variant>
        <vt:i4>5</vt:i4>
      </vt:variant>
      <vt:variant>
        <vt:lpwstr>http://undocs.org/ch/HRI/CORE/1/Add.59/Rev.2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ZAY</cp:lastModifiedBy>
  <cp:revision>13</cp:revision>
  <cp:lastPrinted>2013-10-01T15:34:00Z</cp:lastPrinted>
  <dcterms:created xsi:type="dcterms:W3CDTF">2013-10-01T15:27:00Z</dcterms:created>
  <dcterms:modified xsi:type="dcterms:W3CDTF">2013-10-01T16:18:00Z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1341651</vt:lpwstr>
  </property>
  <property fmtid="{D5CDD505-2E9C-101B-9397-08002B2CF9AE}" pid="3" name="Symbol1">
    <vt:lpwstr>CEDAW/C/FIN/Q/7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